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9350E" w14:textId="1C692C87" w:rsidR="009C5F11" w:rsidRPr="009C5F11" w:rsidRDefault="009C5F11" w:rsidP="009C5F11">
      <w:pPr>
        <w:spacing w:after="0" w:line="240" w:lineRule="auto"/>
        <w:ind w:left="5672"/>
        <w:jc w:val="center"/>
        <w:rPr>
          <w:rFonts w:ascii="Times New Roman" w:eastAsia="Calibri" w:hAnsi="Times New Roman" w:cs="Times New Roman"/>
          <w:sz w:val="24"/>
          <w:szCs w:val="28"/>
          <w:lang w:val="ro-RO" w:eastAsia="ru-RU"/>
        </w:rPr>
      </w:pPr>
      <w:bookmarkStart w:id="0" w:name="_Toc322013134"/>
      <w:bookmarkStart w:id="1" w:name="_GoBack"/>
      <w:bookmarkEnd w:id="1"/>
      <w:r w:rsidRPr="009C5F11">
        <w:rPr>
          <w:rFonts w:ascii="Times New Roman" w:eastAsia="Calibri" w:hAnsi="Times New Roman" w:cs="Times New Roman"/>
          <w:sz w:val="24"/>
          <w:szCs w:val="28"/>
          <w:lang w:val="ro-RO" w:eastAsia="ru-RU"/>
        </w:rPr>
        <w:t>Aprobat prin</w:t>
      </w:r>
      <w:r w:rsidRPr="009C5F11">
        <w:rPr>
          <w:rFonts w:ascii="Times New Roman" w:eastAsia="Calibri" w:hAnsi="Times New Roman" w:cs="Times New Roman"/>
          <w:sz w:val="24"/>
          <w:szCs w:val="28"/>
          <w:lang w:val="ro-RO" w:eastAsia="ru-RU"/>
        </w:rPr>
        <w:br/>
        <w:t xml:space="preserve"> Hotărârea Guvernului  nr. ___</w:t>
      </w:r>
    </w:p>
    <w:p w14:paraId="47452816" w14:textId="4BD315F5" w:rsidR="009C5F11" w:rsidRPr="009C5F11" w:rsidRDefault="009C5F11" w:rsidP="009C5F11">
      <w:pPr>
        <w:spacing w:after="0" w:line="240" w:lineRule="auto"/>
        <w:ind w:left="5672"/>
        <w:jc w:val="center"/>
        <w:rPr>
          <w:rFonts w:ascii="Times New Roman" w:eastAsia="Calibri" w:hAnsi="Times New Roman" w:cs="Times New Roman"/>
          <w:sz w:val="24"/>
          <w:szCs w:val="28"/>
          <w:lang w:val="ro-RO" w:eastAsia="ru-RU"/>
        </w:rPr>
      </w:pPr>
      <w:r w:rsidRPr="009C5F11">
        <w:rPr>
          <w:rFonts w:ascii="Times New Roman" w:eastAsia="Calibri" w:hAnsi="Times New Roman" w:cs="Times New Roman"/>
          <w:sz w:val="24"/>
          <w:szCs w:val="28"/>
          <w:lang w:val="ro-RO" w:eastAsia="ru-RU"/>
        </w:rPr>
        <w:t>din __ _______ 2016</w:t>
      </w:r>
    </w:p>
    <w:p w14:paraId="5B2D8EB8" w14:textId="77777777" w:rsidR="009C5F11" w:rsidRPr="009C5F11" w:rsidRDefault="009C5F11" w:rsidP="00EA4D9D">
      <w:pPr>
        <w:pStyle w:val="Titlu1"/>
        <w:numPr>
          <w:ilvl w:val="0"/>
          <w:numId w:val="0"/>
        </w:numPr>
        <w:ind w:left="907"/>
        <w:rPr>
          <w:rFonts w:ascii="Times New Roman" w:hAnsi="Times New Roman" w:cs="Times New Roman"/>
          <w:noProof w:val="0"/>
          <w:sz w:val="36"/>
          <w:lang w:val="ro-RO"/>
        </w:rPr>
      </w:pPr>
    </w:p>
    <w:p w14:paraId="7954E973" w14:textId="77777777" w:rsidR="009C5F11" w:rsidRPr="009C5F11" w:rsidRDefault="009C5F11" w:rsidP="009C5F11">
      <w:pPr>
        <w:spacing w:after="0" w:line="240" w:lineRule="auto"/>
        <w:jc w:val="center"/>
        <w:rPr>
          <w:rFonts w:ascii="Times New Roman" w:eastAsia="Calibri" w:hAnsi="Times New Roman" w:cs="Times New Roman"/>
          <w:b/>
          <w:sz w:val="28"/>
          <w:szCs w:val="28"/>
          <w:lang w:val="ro-RO" w:eastAsia="ru-RU"/>
        </w:rPr>
      </w:pPr>
      <w:r w:rsidRPr="009C5F11">
        <w:rPr>
          <w:rFonts w:ascii="Times New Roman" w:eastAsia="Calibri" w:hAnsi="Times New Roman" w:cs="Times New Roman"/>
          <w:b/>
          <w:sz w:val="28"/>
          <w:szCs w:val="28"/>
          <w:lang w:val="ro-RO" w:eastAsia="ru-RU"/>
        </w:rPr>
        <w:t>PLANUL NAŢIONAL DE ACŢIUNI</w:t>
      </w:r>
    </w:p>
    <w:p w14:paraId="498CDECE" w14:textId="77777777" w:rsidR="009C5F11" w:rsidRPr="009C5F11" w:rsidRDefault="009C5F11" w:rsidP="009C5F11">
      <w:pPr>
        <w:spacing w:after="0" w:line="240" w:lineRule="auto"/>
        <w:jc w:val="center"/>
        <w:rPr>
          <w:rFonts w:ascii="Times New Roman" w:eastAsia="Calibri" w:hAnsi="Times New Roman" w:cs="Times New Roman"/>
          <w:b/>
          <w:sz w:val="28"/>
          <w:szCs w:val="28"/>
          <w:lang w:val="ro-RO" w:eastAsia="ru-RU"/>
        </w:rPr>
      </w:pPr>
      <w:r w:rsidRPr="009C5F11">
        <w:rPr>
          <w:rFonts w:ascii="Times New Roman" w:eastAsia="Calibri" w:hAnsi="Times New Roman" w:cs="Times New Roman"/>
          <w:b/>
          <w:sz w:val="28"/>
          <w:szCs w:val="28"/>
          <w:lang w:val="ro-RO" w:eastAsia="ru-RU"/>
        </w:rPr>
        <w:t>ÎN DOMENIUL EFICIENŢEI ENERGETICE</w:t>
      </w:r>
    </w:p>
    <w:p w14:paraId="3C4C72C2" w14:textId="48CFE43D" w:rsidR="009C5F11" w:rsidRPr="009C5F11" w:rsidRDefault="009C5F11" w:rsidP="009C5F11">
      <w:pPr>
        <w:spacing w:after="0" w:line="240" w:lineRule="auto"/>
        <w:jc w:val="center"/>
        <w:rPr>
          <w:rFonts w:ascii="Times New Roman" w:eastAsia="Calibri" w:hAnsi="Times New Roman" w:cs="Times New Roman"/>
          <w:b/>
          <w:sz w:val="28"/>
          <w:szCs w:val="28"/>
          <w:lang w:val="ro-RO" w:eastAsia="ru-RU"/>
        </w:rPr>
      </w:pPr>
      <w:r w:rsidRPr="009C5F11">
        <w:rPr>
          <w:rFonts w:ascii="Times New Roman" w:eastAsia="Calibri" w:hAnsi="Times New Roman" w:cs="Times New Roman"/>
          <w:b/>
          <w:sz w:val="28"/>
          <w:szCs w:val="28"/>
          <w:lang w:val="ro-RO" w:eastAsia="ru-RU"/>
        </w:rPr>
        <w:t>PENTRU ANII 201</w:t>
      </w:r>
      <w:r w:rsidR="003A3B6F">
        <w:rPr>
          <w:rFonts w:ascii="Times New Roman" w:eastAsia="Calibri" w:hAnsi="Times New Roman" w:cs="Times New Roman"/>
          <w:b/>
          <w:sz w:val="28"/>
          <w:szCs w:val="28"/>
          <w:lang w:val="ro-RO" w:eastAsia="ru-RU"/>
        </w:rPr>
        <w:t>6</w:t>
      </w:r>
      <w:r w:rsidRPr="009C5F11">
        <w:rPr>
          <w:rFonts w:ascii="Times New Roman" w:eastAsia="Calibri" w:hAnsi="Times New Roman" w:cs="Times New Roman"/>
          <w:b/>
          <w:sz w:val="28"/>
          <w:szCs w:val="28"/>
          <w:lang w:val="ro-RO" w:eastAsia="ru-RU"/>
        </w:rPr>
        <w:t>-201</w:t>
      </w:r>
      <w:r w:rsidR="003A3B6F">
        <w:rPr>
          <w:rFonts w:ascii="Times New Roman" w:eastAsia="Calibri" w:hAnsi="Times New Roman" w:cs="Times New Roman"/>
          <w:b/>
          <w:sz w:val="28"/>
          <w:szCs w:val="28"/>
          <w:lang w:val="ro-RO" w:eastAsia="ru-RU"/>
        </w:rPr>
        <w:t>8</w:t>
      </w:r>
    </w:p>
    <w:p w14:paraId="7DC91749" w14:textId="77777777" w:rsidR="009C5F11" w:rsidRPr="009C5F11" w:rsidRDefault="009C5F11" w:rsidP="00EA4D9D">
      <w:pPr>
        <w:pStyle w:val="Titlu1"/>
        <w:numPr>
          <w:ilvl w:val="0"/>
          <w:numId w:val="0"/>
        </w:numPr>
        <w:ind w:left="907"/>
        <w:rPr>
          <w:rFonts w:ascii="Times New Roman" w:hAnsi="Times New Roman" w:cs="Times New Roman"/>
          <w:noProof w:val="0"/>
          <w:sz w:val="36"/>
          <w:lang w:val="ro-RO"/>
        </w:rPr>
      </w:pPr>
    </w:p>
    <w:p w14:paraId="1426E39A" w14:textId="10E2E84C" w:rsidR="00103079" w:rsidRPr="009C5F11" w:rsidRDefault="009C5F11" w:rsidP="009C5F11">
      <w:pPr>
        <w:pStyle w:val="Titlu1"/>
        <w:numPr>
          <w:ilvl w:val="0"/>
          <w:numId w:val="0"/>
        </w:numPr>
        <w:ind w:left="907"/>
        <w:jc w:val="center"/>
        <w:rPr>
          <w:rFonts w:ascii="Times New Roman" w:hAnsi="Times New Roman" w:cs="Times New Roman"/>
          <w:color w:val="000000" w:themeColor="text1"/>
          <w:lang w:val="ro-RO"/>
        </w:rPr>
      </w:pPr>
      <w:r w:rsidRPr="009C5F11">
        <w:rPr>
          <w:rFonts w:ascii="Times New Roman" w:hAnsi="Times New Roman" w:cs="Times New Roman"/>
          <w:noProof w:val="0"/>
          <w:color w:val="000000" w:themeColor="text1"/>
          <w:lang w:val="ro-RO"/>
        </w:rPr>
        <w:t>SUMAR EXECUTIV</w:t>
      </w:r>
      <w:bookmarkEnd w:id="0"/>
    </w:p>
    <w:p w14:paraId="32F64338" w14:textId="77777777" w:rsidR="00103079" w:rsidRPr="009C5F11" w:rsidRDefault="007D5180" w:rsidP="00103079">
      <w:pPr>
        <w:spacing w:after="0" w:line="240" w:lineRule="auto"/>
        <w:jc w:val="both"/>
        <w:rPr>
          <w:rFonts w:ascii="Times New Roman" w:hAnsi="Times New Roman" w:cs="Times New Roman"/>
          <w:b/>
          <w:caps/>
          <w:sz w:val="24"/>
          <w:lang w:val="ro-RO"/>
        </w:rPr>
      </w:pPr>
      <w:r w:rsidRPr="009C5F11">
        <w:rPr>
          <w:rFonts w:ascii="Times New Roman" w:hAnsi="Times New Roman" w:cs="Times New Roman"/>
          <w:b/>
          <w:caps/>
          <w:sz w:val="24"/>
          <w:lang w:val="ro-RO"/>
        </w:rPr>
        <w:t>CONTEXT</w:t>
      </w:r>
    </w:p>
    <w:p w14:paraId="2C7D7EA2" w14:textId="66B5F4A2" w:rsidR="001C4ECB" w:rsidRPr="009C5F11" w:rsidRDefault="00871B4E" w:rsidP="00124404">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Republica Moldova</w:t>
      </w:r>
      <w:r w:rsidR="00464148" w:rsidRPr="009C5F11">
        <w:rPr>
          <w:rFonts w:ascii="Times New Roman" w:hAnsi="Times New Roman" w:cs="Times New Roman"/>
          <w:sz w:val="24"/>
          <w:lang w:val="ro-RO"/>
        </w:rPr>
        <w:t xml:space="preserve"> </w:t>
      </w:r>
      <w:r w:rsidR="002B7540" w:rsidRPr="009C5F11">
        <w:rPr>
          <w:rFonts w:ascii="Times New Roman" w:hAnsi="Times New Roman" w:cs="Times New Roman"/>
          <w:sz w:val="24"/>
          <w:lang w:val="ro-RO"/>
        </w:rPr>
        <w:t>a aderat la Comunitatea Energetică</w:t>
      </w:r>
      <w:r w:rsidR="004130B6" w:rsidRPr="009C5F11">
        <w:rPr>
          <w:rFonts w:ascii="Times New Roman" w:hAnsi="Times New Roman" w:cs="Times New Roman"/>
          <w:sz w:val="24"/>
          <w:lang w:val="ro-RO"/>
        </w:rPr>
        <w:t xml:space="preserve"> (EnC)</w:t>
      </w:r>
      <w:r w:rsidR="00321CD5" w:rsidRPr="009C5F11">
        <w:rPr>
          <w:rFonts w:ascii="Times New Roman" w:hAnsi="Times New Roman" w:cs="Times New Roman"/>
          <w:sz w:val="24"/>
          <w:lang w:val="ro-RO"/>
        </w:rPr>
        <w:t xml:space="preserve"> în </w:t>
      </w:r>
      <w:r w:rsidR="002B7540" w:rsidRPr="009C5F11">
        <w:rPr>
          <w:rFonts w:ascii="Times New Roman" w:hAnsi="Times New Roman" w:cs="Times New Roman"/>
          <w:sz w:val="24"/>
          <w:lang w:val="ro-RO"/>
        </w:rPr>
        <w:t xml:space="preserve">anul </w:t>
      </w:r>
      <w:r w:rsidR="00464148" w:rsidRPr="009C5F11">
        <w:rPr>
          <w:rFonts w:ascii="Times New Roman" w:hAnsi="Times New Roman" w:cs="Times New Roman"/>
          <w:sz w:val="24"/>
          <w:lang w:val="ro-RO"/>
        </w:rPr>
        <w:t xml:space="preserve">2010, </w:t>
      </w:r>
      <w:r w:rsidR="006A6D2F" w:rsidRPr="009C5F11">
        <w:rPr>
          <w:rFonts w:ascii="Times New Roman" w:hAnsi="Times New Roman" w:cs="Times New Roman"/>
          <w:sz w:val="24"/>
          <w:lang w:val="ro-RO"/>
        </w:rPr>
        <w:t>motiv din care</w:t>
      </w:r>
      <w:r w:rsidR="00247861" w:rsidRPr="009C5F11">
        <w:rPr>
          <w:rFonts w:ascii="Times New Roman" w:hAnsi="Times New Roman" w:cs="Times New Roman"/>
          <w:sz w:val="24"/>
          <w:lang w:val="ro-RO"/>
        </w:rPr>
        <w:t xml:space="preserve"> </w:t>
      </w:r>
      <w:r w:rsidR="00464148" w:rsidRPr="009C5F11">
        <w:rPr>
          <w:rFonts w:ascii="Times New Roman" w:hAnsi="Times New Roman" w:cs="Times New Roman"/>
          <w:sz w:val="24"/>
          <w:lang w:val="ro-RO"/>
        </w:rPr>
        <w:t>transp</w:t>
      </w:r>
      <w:r w:rsidR="002B7540" w:rsidRPr="009C5F11">
        <w:rPr>
          <w:rFonts w:ascii="Times New Roman" w:hAnsi="Times New Roman" w:cs="Times New Roman"/>
          <w:sz w:val="24"/>
          <w:lang w:val="ro-RO"/>
        </w:rPr>
        <w:t xml:space="preserve">unerea </w:t>
      </w:r>
      <w:r w:rsidR="000A4CC7" w:rsidRPr="009C5F11">
        <w:rPr>
          <w:rFonts w:ascii="Times New Roman" w:hAnsi="Times New Roman" w:cs="Times New Roman"/>
          <w:sz w:val="24"/>
          <w:lang w:val="ro-RO"/>
        </w:rPr>
        <w:t>Directiv</w:t>
      </w:r>
      <w:r w:rsidR="002B7540" w:rsidRPr="009C5F11">
        <w:rPr>
          <w:rFonts w:ascii="Times New Roman" w:hAnsi="Times New Roman" w:cs="Times New Roman"/>
          <w:sz w:val="24"/>
          <w:lang w:val="ro-RO"/>
        </w:rPr>
        <w:t>ei</w:t>
      </w:r>
      <w:r w:rsidR="000A4CC7" w:rsidRPr="009C5F11">
        <w:rPr>
          <w:rFonts w:ascii="Times New Roman" w:hAnsi="Times New Roman" w:cs="Times New Roman"/>
          <w:sz w:val="24"/>
          <w:lang w:val="ro-RO"/>
        </w:rPr>
        <w:t xml:space="preserve"> </w:t>
      </w:r>
      <w:r w:rsidR="007330C1" w:rsidRPr="009C5F11">
        <w:rPr>
          <w:rFonts w:ascii="Times New Roman" w:hAnsi="Times New Roman" w:cs="Times New Roman"/>
          <w:sz w:val="24"/>
          <w:lang w:val="ro-RO"/>
        </w:rPr>
        <w:t>2006/32</w:t>
      </w:r>
      <w:r w:rsidR="000A4CC7" w:rsidRPr="009C5F11">
        <w:rPr>
          <w:rFonts w:ascii="Times New Roman" w:hAnsi="Times New Roman" w:cs="Times New Roman"/>
          <w:sz w:val="24"/>
          <w:lang w:val="ro-RO"/>
        </w:rPr>
        <w:t>/CE</w:t>
      </w:r>
      <w:r w:rsidR="007330C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privind eficiența energetică la utilizatorii finali și serviciile energetice </w:t>
      </w:r>
      <w:r w:rsidR="007330C1" w:rsidRPr="009C5F11">
        <w:rPr>
          <w:rFonts w:ascii="Times New Roman" w:hAnsi="Times New Roman" w:cs="Times New Roman"/>
          <w:sz w:val="24"/>
          <w:lang w:val="ro-RO"/>
        </w:rPr>
        <w:t>(</w:t>
      </w:r>
      <w:r w:rsidRPr="009C5F11">
        <w:rPr>
          <w:rFonts w:ascii="Times New Roman" w:hAnsi="Times New Roman" w:cs="Times New Roman"/>
          <w:sz w:val="24"/>
          <w:lang w:val="ro-RO"/>
        </w:rPr>
        <w:t>DSE</w:t>
      </w:r>
      <w:r w:rsidR="007330C1" w:rsidRPr="009C5F11">
        <w:rPr>
          <w:rFonts w:ascii="Times New Roman" w:hAnsi="Times New Roman" w:cs="Times New Roman"/>
          <w:sz w:val="24"/>
          <w:lang w:val="ro-RO"/>
        </w:rPr>
        <w:t>)</w:t>
      </w:r>
      <w:r w:rsidR="00247861"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w:t>
      </w:r>
      <w:r w:rsidR="002B7540" w:rsidRPr="009C5F11">
        <w:rPr>
          <w:rFonts w:ascii="Times New Roman" w:hAnsi="Times New Roman" w:cs="Times New Roman"/>
          <w:sz w:val="24"/>
          <w:lang w:val="ro-RO"/>
        </w:rPr>
        <w:t>care este relevantă acestui proces</w:t>
      </w:r>
      <w:r w:rsidR="006A6D2F" w:rsidRPr="009C5F11">
        <w:rPr>
          <w:rFonts w:ascii="Times New Roman" w:hAnsi="Times New Roman" w:cs="Times New Roman"/>
          <w:sz w:val="24"/>
          <w:lang w:val="ro-RO"/>
        </w:rPr>
        <w:t>,</w:t>
      </w:r>
      <w:r w:rsidR="002B7540"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şi</w:t>
      </w:r>
      <w:r w:rsidR="002B7540" w:rsidRPr="009C5F11">
        <w:rPr>
          <w:rFonts w:ascii="Times New Roman" w:hAnsi="Times New Roman" w:cs="Times New Roman"/>
          <w:sz w:val="24"/>
          <w:lang w:val="ro-RO"/>
        </w:rPr>
        <w:t xml:space="preserve"> </w:t>
      </w:r>
      <w:r w:rsidR="007D5180" w:rsidRPr="009C5F11">
        <w:rPr>
          <w:rFonts w:ascii="Times New Roman" w:hAnsi="Times New Roman" w:cs="Times New Roman"/>
          <w:sz w:val="24"/>
          <w:lang w:val="ro-RO"/>
        </w:rPr>
        <w:t xml:space="preserve">deci </w:t>
      </w:r>
      <w:r w:rsidR="00247861" w:rsidRPr="009C5F11">
        <w:rPr>
          <w:rFonts w:ascii="Times New Roman" w:hAnsi="Times New Roman" w:cs="Times New Roman"/>
          <w:sz w:val="24"/>
          <w:lang w:val="ro-RO"/>
        </w:rPr>
        <w:t xml:space="preserve">elaborarea planurilor de acţiune corespunzătoare a început în </w:t>
      </w:r>
      <w:r w:rsidR="006A6D2F" w:rsidRPr="009C5F11">
        <w:rPr>
          <w:rFonts w:ascii="Times New Roman" w:hAnsi="Times New Roman" w:cs="Times New Roman"/>
          <w:sz w:val="24"/>
          <w:lang w:val="ro-RO"/>
        </w:rPr>
        <w:t xml:space="preserve">Moldova </w:t>
      </w:r>
      <w:r w:rsidR="00247861" w:rsidRPr="009C5F11">
        <w:rPr>
          <w:rFonts w:ascii="Times New Roman" w:hAnsi="Times New Roman" w:cs="Times New Roman"/>
          <w:sz w:val="24"/>
          <w:lang w:val="ro-RO"/>
        </w:rPr>
        <w:t xml:space="preserve">mai târziu decât în alte </w:t>
      </w:r>
      <w:r w:rsidR="007D5180" w:rsidRPr="009C5F11">
        <w:rPr>
          <w:rFonts w:ascii="Times New Roman" w:hAnsi="Times New Roman" w:cs="Times New Roman"/>
          <w:sz w:val="24"/>
          <w:lang w:val="ro-RO"/>
        </w:rPr>
        <w:t>parti</w:t>
      </w:r>
      <w:r w:rsidR="00935A48" w:rsidRPr="009C5F11">
        <w:rPr>
          <w:rFonts w:ascii="Times New Roman" w:hAnsi="Times New Roman" w:cs="Times New Roman"/>
          <w:sz w:val="24"/>
          <w:lang w:val="ro-RO"/>
        </w:rPr>
        <w:t xml:space="preserve"> contractante</w:t>
      </w:r>
      <w:r w:rsidR="00464148" w:rsidRPr="009C5F11">
        <w:rPr>
          <w:rFonts w:ascii="Times New Roman" w:hAnsi="Times New Roman" w:cs="Times New Roman"/>
          <w:sz w:val="24"/>
          <w:lang w:val="ro-RO"/>
        </w:rPr>
        <w:t xml:space="preserve">. </w:t>
      </w:r>
      <w:r w:rsidR="00935A48" w:rsidRPr="009C5F11">
        <w:rPr>
          <w:rFonts w:ascii="Times New Roman" w:hAnsi="Times New Roman" w:cs="Times New Roman"/>
          <w:sz w:val="24"/>
          <w:lang w:val="ro-RO"/>
        </w:rPr>
        <w:t xml:space="preserve">Planurile </w:t>
      </w:r>
      <w:r w:rsidR="009C5F11">
        <w:rPr>
          <w:rFonts w:ascii="Times New Roman" w:hAnsi="Times New Roman" w:cs="Times New Roman"/>
          <w:sz w:val="24"/>
          <w:lang w:val="ro-RO"/>
        </w:rPr>
        <w:t xml:space="preserve">Naționale </w:t>
      </w:r>
      <w:r w:rsidR="00935A48" w:rsidRPr="009C5F11">
        <w:rPr>
          <w:rFonts w:ascii="Times New Roman" w:hAnsi="Times New Roman" w:cs="Times New Roman"/>
          <w:sz w:val="24"/>
          <w:lang w:val="ro-RO"/>
        </w:rPr>
        <w:t xml:space="preserve">de acţiuni </w:t>
      </w:r>
      <w:r w:rsidR="006A6D2F" w:rsidRPr="009C5F11">
        <w:rPr>
          <w:rFonts w:ascii="Times New Roman" w:hAnsi="Times New Roman" w:cs="Times New Roman"/>
          <w:sz w:val="24"/>
          <w:lang w:val="ro-RO"/>
        </w:rPr>
        <w:t>în domeniul</w:t>
      </w:r>
      <w:r w:rsidR="00935A48" w:rsidRPr="009C5F11">
        <w:rPr>
          <w:rFonts w:ascii="Times New Roman" w:hAnsi="Times New Roman" w:cs="Times New Roman"/>
          <w:sz w:val="24"/>
          <w:lang w:val="ro-RO"/>
        </w:rPr>
        <w:t xml:space="preserve"> eficienţ</w:t>
      </w:r>
      <w:r w:rsidR="006A6D2F" w:rsidRPr="009C5F11">
        <w:rPr>
          <w:rFonts w:ascii="Times New Roman" w:hAnsi="Times New Roman" w:cs="Times New Roman"/>
          <w:sz w:val="24"/>
          <w:lang w:val="ro-RO"/>
        </w:rPr>
        <w:t>ei</w:t>
      </w:r>
      <w:r w:rsidR="00935A48" w:rsidRPr="009C5F11">
        <w:rPr>
          <w:rFonts w:ascii="Times New Roman" w:hAnsi="Times New Roman" w:cs="Times New Roman"/>
          <w:sz w:val="24"/>
          <w:lang w:val="ro-RO"/>
        </w:rPr>
        <w:t xml:space="preserve"> energetic</w:t>
      </w:r>
      <w:r w:rsidR="006A6D2F" w:rsidRPr="009C5F11">
        <w:rPr>
          <w:rFonts w:ascii="Times New Roman" w:hAnsi="Times New Roman" w:cs="Times New Roman"/>
          <w:sz w:val="24"/>
          <w:lang w:val="ro-RO"/>
        </w:rPr>
        <w:t>e</w:t>
      </w:r>
      <w:r w:rsidR="00935A48" w:rsidRPr="009C5F11">
        <w:rPr>
          <w:rFonts w:ascii="Times New Roman" w:hAnsi="Times New Roman" w:cs="Times New Roman"/>
          <w:sz w:val="24"/>
          <w:lang w:val="ro-RO"/>
        </w:rPr>
        <w:t xml:space="preserve"> </w:t>
      </w:r>
      <w:r w:rsidR="0028278F" w:rsidRPr="009C5F11">
        <w:rPr>
          <w:rFonts w:ascii="Times New Roman" w:hAnsi="Times New Roman" w:cs="Times New Roman"/>
          <w:sz w:val="24"/>
          <w:lang w:val="ro-RO"/>
        </w:rPr>
        <w:t>(</w:t>
      </w:r>
      <w:r w:rsidR="00935A48" w:rsidRPr="009C5F11">
        <w:rPr>
          <w:rFonts w:ascii="Times New Roman" w:hAnsi="Times New Roman" w:cs="Times New Roman"/>
          <w:sz w:val="24"/>
          <w:lang w:val="ro-RO"/>
        </w:rPr>
        <w:t>P</w:t>
      </w:r>
      <w:r w:rsidR="009C5F11">
        <w:rPr>
          <w:rFonts w:ascii="Times New Roman" w:hAnsi="Times New Roman" w:cs="Times New Roman"/>
          <w:sz w:val="24"/>
          <w:lang w:val="ro-RO"/>
        </w:rPr>
        <w:t>N</w:t>
      </w:r>
      <w:r w:rsidR="00935A48" w:rsidRPr="009C5F11">
        <w:rPr>
          <w:rFonts w:ascii="Times New Roman" w:hAnsi="Times New Roman" w:cs="Times New Roman"/>
          <w:sz w:val="24"/>
          <w:lang w:val="ro-RO"/>
        </w:rPr>
        <w:t>AEE</w:t>
      </w:r>
      <w:r w:rsidR="0028278F" w:rsidRPr="009C5F11">
        <w:rPr>
          <w:rFonts w:ascii="Times New Roman" w:hAnsi="Times New Roman" w:cs="Times New Roman"/>
          <w:sz w:val="24"/>
          <w:lang w:val="ro-RO"/>
        </w:rPr>
        <w:t>)</w:t>
      </w:r>
      <w:r w:rsidR="00E27227" w:rsidRPr="009C5F11">
        <w:rPr>
          <w:rFonts w:ascii="Times New Roman" w:hAnsi="Times New Roman" w:cs="Times New Roman"/>
          <w:sz w:val="24"/>
          <w:lang w:val="ro-RO"/>
        </w:rPr>
        <w:t xml:space="preserve"> </w:t>
      </w:r>
      <w:r w:rsidR="00935A48" w:rsidRPr="009C5F11">
        <w:rPr>
          <w:rFonts w:ascii="Times New Roman" w:hAnsi="Times New Roman" w:cs="Times New Roman"/>
          <w:sz w:val="24"/>
          <w:lang w:val="ro-RO"/>
        </w:rPr>
        <w:t xml:space="preserve">sunt elaborate pe o perioadă de 3 ani </w:t>
      </w:r>
      <w:r w:rsidR="002C2F67" w:rsidRPr="009C5F11">
        <w:rPr>
          <w:rFonts w:ascii="Times New Roman" w:hAnsi="Times New Roman" w:cs="Times New Roman"/>
          <w:sz w:val="24"/>
          <w:lang w:val="ro-RO"/>
        </w:rPr>
        <w:t xml:space="preserve">cu scopul de a stabili obiective privind economia de energie şi de a </w:t>
      </w:r>
      <w:r w:rsidR="00B02A7D" w:rsidRPr="009C5F11">
        <w:rPr>
          <w:rFonts w:ascii="Times New Roman" w:hAnsi="Times New Roman" w:cs="Times New Roman"/>
          <w:sz w:val="24"/>
          <w:lang w:val="ro-RO"/>
        </w:rPr>
        <w:t>adauga</w:t>
      </w:r>
      <w:r w:rsidR="002C2F67" w:rsidRPr="009C5F11">
        <w:rPr>
          <w:rFonts w:ascii="Times New Roman" w:hAnsi="Times New Roman" w:cs="Times New Roman"/>
          <w:sz w:val="24"/>
          <w:lang w:val="ro-RO"/>
        </w:rPr>
        <w:t xml:space="preserve"> măsuri realiste pentru atingerea obiectivelor stabilite</w:t>
      </w:r>
      <w:r w:rsidR="00711656" w:rsidRPr="009C5F11">
        <w:rPr>
          <w:rFonts w:ascii="Times New Roman" w:hAnsi="Times New Roman" w:cs="Times New Roman"/>
          <w:sz w:val="24"/>
          <w:lang w:val="ro-RO"/>
        </w:rPr>
        <w:t>.</w:t>
      </w:r>
      <w:r w:rsidR="00F85FA3" w:rsidRPr="009C5F11">
        <w:rPr>
          <w:rFonts w:ascii="Times New Roman" w:hAnsi="Times New Roman" w:cs="Times New Roman"/>
          <w:sz w:val="24"/>
          <w:lang w:val="ro-RO"/>
        </w:rPr>
        <w:t xml:space="preserve"> </w:t>
      </w:r>
      <w:r w:rsidR="002C2F67" w:rsidRPr="009C5F11">
        <w:rPr>
          <w:rFonts w:ascii="Times New Roman" w:hAnsi="Times New Roman" w:cs="Times New Roman"/>
          <w:sz w:val="24"/>
          <w:lang w:val="ro-RO"/>
        </w:rPr>
        <w:t xml:space="preserve">Primul Plan naţional de acţiuni </w:t>
      </w:r>
      <w:r w:rsidR="006A6D2F" w:rsidRPr="009C5F11">
        <w:rPr>
          <w:rFonts w:ascii="Times New Roman" w:hAnsi="Times New Roman" w:cs="Times New Roman"/>
          <w:sz w:val="24"/>
          <w:lang w:val="ro-RO"/>
        </w:rPr>
        <w:t xml:space="preserve">în domeniul eficienţei energetice </w:t>
      </w:r>
      <w:r w:rsidR="004F521B" w:rsidRPr="009C5F11">
        <w:rPr>
          <w:rFonts w:ascii="Times New Roman" w:hAnsi="Times New Roman" w:cs="Times New Roman"/>
          <w:sz w:val="24"/>
          <w:lang w:val="ro-RO"/>
        </w:rPr>
        <w:t>(</w:t>
      </w:r>
      <w:r w:rsidR="00872DC2" w:rsidRPr="009C5F11">
        <w:rPr>
          <w:rFonts w:ascii="Times New Roman" w:hAnsi="Times New Roman" w:cs="Times New Roman"/>
          <w:sz w:val="24"/>
          <w:lang w:val="ro-RO"/>
        </w:rPr>
        <w:t>PNAEE</w:t>
      </w:r>
      <w:r w:rsidR="004F521B" w:rsidRPr="009C5F11">
        <w:rPr>
          <w:rFonts w:ascii="Times New Roman" w:hAnsi="Times New Roman" w:cs="Times New Roman"/>
          <w:sz w:val="24"/>
          <w:lang w:val="ro-RO"/>
        </w:rPr>
        <w:t>)</w:t>
      </w:r>
      <w:r w:rsidR="00464148" w:rsidRPr="009C5F11">
        <w:rPr>
          <w:rFonts w:ascii="Times New Roman" w:hAnsi="Times New Roman" w:cs="Times New Roman"/>
          <w:sz w:val="24"/>
          <w:lang w:val="ro-RO"/>
        </w:rPr>
        <w:t xml:space="preserve"> </w:t>
      </w:r>
      <w:r w:rsidR="002C2F67" w:rsidRPr="009C5F11">
        <w:rPr>
          <w:rFonts w:ascii="Times New Roman" w:hAnsi="Times New Roman" w:cs="Times New Roman"/>
          <w:sz w:val="24"/>
          <w:lang w:val="ro-RO"/>
        </w:rPr>
        <w:t>al Republicii</w:t>
      </w:r>
      <w:r w:rsidR="00464148" w:rsidRPr="009C5F11">
        <w:rPr>
          <w:rFonts w:ascii="Times New Roman" w:hAnsi="Times New Roman" w:cs="Times New Roman"/>
          <w:sz w:val="24"/>
          <w:lang w:val="ro-RO"/>
        </w:rPr>
        <w:t xml:space="preserve"> Moldova </w:t>
      </w:r>
      <w:r w:rsidR="002C2F67" w:rsidRPr="009C5F11">
        <w:rPr>
          <w:rFonts w:ascii="Times New Roman" w:hAnsi="Times New Roman" w:cs="Times New Roman"/>
          <w:sz w:val="24"/>
          <w:lang w:val="ro-RO"/>
        </w:rPr>
        <w:t>a fost</w:t>
      </w:r>
      <w:r w:rsidR="00464148" w:rsidRPr="009C5F11">
        <w:rPr>
          <w:rFonts w:ascii="Times New Roman" w:hAnsi="Times New Roman" w:cs="Times New Roman"/>
          <w:sz w:val="24"/>
          <w:lang w:val="ro-RO"/>
        </w:rPr>
        <w:t xml:space="preserve"> elaborat</w:t>
      </w:r>
      <w:r w:rsidR="002C2F67" w:rsidRPr="009C5F11">
        <w:rPr>
          <w:rFonts w:ascii="Times New Roman" w:hAnsi="Times New Roman" w:cs="Times New Roman"/>
          <w:sz w:val="24"/>
          <w:lang w:val="ro-RO"/>
        </w:rPr>
        <w:t xml:space="preserve"> pentru perioada </w:t>
      </w:r>
      <w:r w:rsidR="00464148" w:rsidRPr="009C5F11">
        <w:rPr>
          <w:rFonts w:ascii="Times New Roman" w:hAnsi="Times New Roman" w:cs="Times New Roman"/>
          <w:sz w:val="24"/>
          <w:lang w:val="ro-RO"/>
        </w:rPr>
        <w:t>2013-2015</w:t>
      </w:r>
      <w:r w:rsidR="002C2F67" w:rsidRPr="009C5F11">
        <w:rPr>
          <w:rFonts w:ascii="Times New Roman" w:hAnsi="Times New Roman" w:cs="Times New Roman"/>
          <w:sz w:val="24"/>
          <w:lang w:val="ro-RO"/>
        </w:rPr>
        <w:t>, în ti</w:t>
      </w:r>
      <w:r w:rsidR="006A6D2F" w:rsidRPr="009C5F11">
        <w:rPr>
          <w:rFonts w:ascii="Times New Roman" w:hAnsi="Times New Roman" w:cs="Times New Roman"/>
          <w:sz w:val="24"/>
          <w:lang w:val="ro-RO"/>
        </w:rPr>
        <w:t>m</w:t>
      </w:r>
      <w:r w:rsidR="002C2F67" w:rsidRPr="009C5F11">
        <w:rPr>
          <w:rFonts w:ascii="Times New Roman" w:hAnsi="Times New Roman" w:cs="Times New Roman"/>
          <w:sz w:val="24"/>
          <w:lang w:val="ro-RO"/>
        </w:rPr>
        <w:t xml:space="preserve">p ce alte părţi contractante elaborau deja </w:t>
      </w:r>
      <w:r w:rsidR="00B02A7D" w:rsidRPr="009C5F11">
        <w:rPr>
          <w:rFonts w:ascii="Times New Roman" w:hAnsi="Times New Roman" w:cs="Times New Roman"/>
          <w:sz w:val="24"/>
          <w:lang w:val="ro-RO"/>
        </w:rPr>
        <w:t xml:space="preserve">cel de al doilea </w:t>
      </w:r>
      <w:r w:rsidR="006A6D2F" w:rsidRPr="009C5F11">
        <w:rPr>
          <w:rFonts w:ascii="Times New Roman" w:hAnsi="Times New Roman" w:cs="Times New Roman"/>
          <w:sz w:val="24"/>
          <w:lang w:val="ro-RO"/>
        </w:rPr>
        <w:t>plan</w:t>
      </w:r>
      <w:r w:rsidR="007330C1" w:rsidRPr="009C5F11">
        <w:rPr>
          <w:rFonts w:ascii="Times New Roman" w:hAnsi="Times New Roman" w:cs="Times New Roman"/>
          <w:sz w:val="24"/>
          <w:lang w:val="ro-RO"/>
        </w:rPr>
        <w:t xml:space="preserve">. </w:t>
      </w:r>
      <w:r w:rsidR="002C2F67" w:rsidRPr="009C5F11">
        <w:rPr>
          <w:rFonts w:ascii="Times New Roman" w:hAnsi="Times New Roman" w:cs="Times New Roman"/>
          <w:sz w:val="24"/>
          <w:lang w:val="ro-RO"/>
        </w:rPr>
        <w:t xml:space="preserve">Actualmente, Republica </w:t>
      </w:r>
      <w:r w:rsidR="004F521B" w:rsidRPr="009C5F11">
        <w:rPr>
          <w:rFonts w:ascii="Times New Roman" w:hAnsi="Times New Roman" w:cs="Times New Roman"/>
          <w:sz w:val="24"/>
          <w:lang w:val="ro-RO"/>
        </w:rPr>
        <w:t xml:space="preserve">Moldova </w:t>
      </w:r>
      <w:r w:rsidR="002C2F67" w:rsidRPr="009C5F11">
        <w:rPr>
          <w:rFonts w:ascii="Times New Roman" w:hAnsi="Times New Roman" w:cs="Times New Roman"/>
          <w:sz w:val="24"/>
          <w:lang w:val="ro-RO"/>
        </w:rPr>
        <w:t xml:space="preserve">prezintă cel de al </w:t>
      </w:r>
      <w:r w:rsidR="00F56424" w:rsidRPr="009C5F11">
        <w:rPr>
          <w:rFonts w:ascii="Times New Roman" w:hAnsi="Times New Roman" w:cs="Times New Roman"/>
          <w:sz w:val="24"/>
          <w:lang w:val="ro-RO"/>
        </w:rPr>
        <w:t>doilea</w:t>
      </w:r>
      <w:r w:rsidR="002C2F67" w:rsidRPr="009C5F11">
        <w:rPr>
          <w:rFonts w:ascii="Times New Roman" w:hAnsi="Times New Roman" w:cs="Times New Roman"/>
          <w:sz w:val="24"/>
          <w:lang w:val="ro-RO"/>
        </w:rPr>
        <w:t xml:space="preserve"> </w:t>
      </w:r>
      <w:r w:rsidR="00872DC2" w:rsidRPr="009C5F11">
        <w:rPr>
          <w:rFonts w:ascii="Times New Roman" w:hAnsi="Times New Roman" w:cs="Times New Roman"/>
          <w:sz w:val="24"/>
          <w:lang w:val="ro-RO"/>
        </w:rPr>
        <w:t>PNAEE</w:t>
      </w:r>
      <w:r w:rsidR="001C4ECB" w:rsidRPr="009C5F11">
        <w:rPr>
          <w:rFonts w:ascii="Times New Roman" w:hAnsi="Times New Roman" w:cs="Times New Roman"/>
          <w:sz w:val="24"/>
          <w:lang w:val="ro-RO"/>
        </w:rPr>
        <w:t xml:space="preserve"> </w:t>
      </w:r>
      <w:r w:rsidR="002C2F67" w:rsidRPr="009C5F11">
        <w:rPr>
          <w:rFonts w:ascii="Times New Roman" w:hAnsi="Times New Roman" w:cs="Times New Roman"/>
          <w:sz w:val="24"/>
          <w:lang w:val="ro-RO"/>
        </w:rPr>
        <w:t>care</w:t>
      </w:r>
      <w:r w:rsidR="004F521B" w:rsidRPr="009C5F11">
        <w:rPr>
          <w:rFonts w:ascii="Times New Roman" w:hAnsi="Times New Roman" w:cs="Times New Roman"/>
          <w:sz w:val="24"/>
          <w:lang w:val="ro-RO"/>
        </w:rPr>
        <w:t xml:space="preserve"> include</w:t>
      </w:r>
      <w:r w:rsidR="002C2F67" w:rsidRPr="009C5F11">
        <w:rPr>
          <w:rFonts w:ascii="Times New Roman" w:hAnsi="Times New Roman" w:cs="Times New Roman"/>
          <w:sz w:val="24"/>
          <w:lang w:val="ro-RO"/>
        </w:rPr>
        <w:t xml:space="preserve"> o analiză </w:t>
      </w:r>
      <w:r w:rsidR="004F521B" w:rsidRPr="009C5F11">
        <w:rPr>
          <w:rFonts w:ascii="Times New Roman" w:hAnsi="Times New Roman" w:cs="Times New Roman"/>
          <w:sz w:val="24"/>
          <w:lang w:val="ro-RO"/>
        </w:rPr>
        <w:t>retrospectiv</w:t>
      </w:r>
      <w:r w:rsidR="002C2F67" w:rsidRPr="009C5F11">
        <w:rPr>
          <w:rFonts w:ascii="Times New Roman" w:hAnsi="Times New Roman" w:cs="Times New Roman"/>
          <w:sz w:val="24"/>
          <w:lang w:val="ro-RO"/>
        </w:rPr>
        <w:t xml:space="preserve">ă a primei perioade de </w:t>
      </w:r>
      <w:r w:rsidR="004F521B" w:rsidRPr="009C5F11">
        <w:rPr>
          <w:rFonts w:ascii="Times New Roman" w:hAnsi="Times New Roman" w:cs="Times New Roman"/>
          <w:sz w:val="24"/>
          <w:lang w:val="ro-RO"/>
        </w:rPr>
        <w:t>implementa</w:t>
      </w:r>
      <w:r w:rsidR="002C2F67" w:rsidRPr="009C5F11">
        <w:rPr>
          <w:rFonts w:ascii="Times New Roman" w:hAnsi="Times New Roman" w:cs="Times New Roman"/>
          <w:sz w:val="24"/>
          <w:lang w:val="ro-RO"/>
        </w:rPr>
        <w:t>re</w:t>
      </w:r>
      <w:r w:rsidR="00321CD5" w:rsidRPr="009C5F11">
        <w:rPr>
          <w:rFonts w:ascii="Times New Roman" w:hAnsi="Times New Roman" w:cs="Times New Roman"/>
          <w:sz w:val="24"/>
          <w:lang w:val="ro-RO"/>
        </w:rPr>
        <w:t xml:space="preserve"> şi </w:t>
      </w:r>
      <w:r w:rsidR="002C2F67" w:rsidRPr="009C5F11">
        <w:rPr>
          <w:rFonts w:ascii="Times New Roman" w:hAnsi="Times New Roman" w:cs="Times New Roman"/>
          <w:sz w:val="24"/>
          <w:lang w:val="ro-RO"/>
        </w:rPr>
        <w:t xml:space="preserve">o strategie cuprinzătoare în vederea sporirii eficienţei energetice în ţară în </w:t>
      </w:r>
      <w:r w:rsidR="001C4ECB" w:rsidRPr="009C5F11">
        <w:rPr>
          <w:rFonts w:ascii="Times New Roman" w:hAnsi="Times New Roman" w:cs="Times New Roman"/>
          <w:sz w:val="24"/>
          <w:lang w:val="ro-RO"/>
        </w:rPr>
        <w:t>perio</w:t>
      </w:r>
      <w:r w:rsidR="002C2F67" w:rsidRPr="009C5F11">
        <w:rPr>
          <w:rFonts w:ascii="Times New Roman" w:hAnsi="Times New Roman" w:cs="Times New Roman"/>
          <w:sz w:val="24"/>
          <w:lang w:val="ro-RO"/>
        </w:rPr>
        <w:t>a</w:t>
      </w:r>
      <w:r w:rsidR="001C4ECB" w:rsidRPr="009C5F11">
        <w:rPr>
          <w:rFonts w:ascii="Times New Roman" w:hAnsi="Times New Roman" w:cs="Times New Roman"/>
          <w:sz w:val="24"/>
          <w:lang w:val="ro-RO"/>
        </w:rPr>
        <w:t>d</w:t>
      </w:r>
      <w:r w:rsidR="002C2F67" w:rsidRPr="009C5F11">
        <w:rPr>
          <w:rFonts w:ascii="Times New Roman" w:hAnsi="Times New Roman" w:cs="Times New Roman"/>
          <w:sz w:val="24"/>
          <w:lang w:val="ro-RO"/>
        </w:rPr>
        <w:t>a</w:t>
      </w:r>
      <w:r w:rsidR="00C16EED" w:rsidRPr="009C5F11">
        <w:rPr>
          <w:rFonts w:ascii="Times New Roman" w:hAnsi="Times New Roman" w:cs="Times New Roman"/>
          <w:sz w:val="24"/>
          <w:lang w:val="ro-RO"/>
        </w:rPr>
        <w:t xml:space="preserve"> </w:t>
      </w:r>
      <w:r w:rsidR="001C4ECB" w:rsidRPr="009C5F11">
        <w:rPr>
          <w:rFonts w:ascii="Times New Roman" w:hAnsi="Times New Roman" w:cs="Times New Roman"/>
          <w:sz w:val="24"/>
          <w:lang w:val="ro-RO"/>
        </w:rPr>
        <w:t>2016-2018.</w:t>
      </w:r>
    </w:p>
    <w:p w14:paraId="656FC4AC" w14:textId="7EFE6290" w:rsidR="002554E1" w:rsidRPr="009C5F11" w:rsidRDefault="004F128A" w:rsidP="00124404">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Cel de al doilea</w:t>
      </w:r>
      <w:r w:rsidR="002F2AF5" w:rsidRPr="009C5F11">
        <w:rPr>
          <w:rFonts w:ascii="Times New Roman" w:hAnsi="Times New Roman" w:cs="Times New Roman"/>
          <w:sz w:val="24"/>
          <w:lang w:val="ro-RO"/>
        </w:rPr>
        <w:t xml:space="preserve"> </w:t>
      </w:r>
      <w:r w:rsidR="00872DC2" w:rsidRPr="009C5F11">
        <w:rPr>
          <w:rFonts w:ascii="Times New Roman" w:hAnsi="Times New Roman" w:cs="Times New Roman"/>
          <w:sz w:val="24"/>
          <w:lang w:val="ro-RO"/>
        </w:rPr>
        <w:t>PNAEE</w:t>
      </w:r>
      <w:r w:rsidR="002F2AF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al Republicii Moldova pentru anii </w:t>
      </w:r>
      <w:r w:rsidR="002F2AF5" w:rsidRPr="009C5F11">
        <w:rPr>
          <w:rFonts w:ascii="Times New Roman" w:hAnsi="Times New Roman" w:cs="Times New Roman"/>
          <w:sz w:val="24"/>
          <w:lang w:val="ro-RO"/>
        </w:rPr>
        <w:t xml:space="preserve">2016-2018 </w:t>
      </w:r>
      <w:r w:rsidRPr="009C5F11">
        <w:rPr>
          <w:rFonts w:ascii="Times New Roman" w:hAnsi="Times New Roman" w:cs="Times New Roman"/>
          <w:sz w:val="24"/>
          <w:lang w:val="ro-RO"/>
        </w:rPr>
        <w:t xml:space="preserve">a fost întocmit pe baza </w:t>
      </w:r>
      <w:r w:rsidR="00730BB5" w:rsidRPr="009C5F11">
        <w:rPr>
          <w:rFonts w:ascii="Times New Roman" w:hAnsi="Times New Roman" w:cs="Times New Roman"/>
          <w:sz w:val="24"/>
          <w:lang w:val="ro-RO"/>
        </w:rPr>
        <w:t>model</w:t>
      </w:r>
      <w:r w:rsidRPr="009C5F11">
        <w:rPr>
          <w:rFonts w:ascii="Times New Roman" w:hAnsi="Times New Roman" w:cs="Times New Roman"/>
          <w:sz w:val="24"/>
          <w:lang w:val="ro-RO"/>
        </w:rPr>
        <w:t>ului elaborat</w:t>
      </w:r>
      <w:r w:rsidR="00696907"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 Secretariatul Comunităţii Energetice</w:t>
      </w:r>
      <w:r w:rsidR="00321CD5" w:rsidRPr="009C5F11">
        <w:rPr>
          <w:rFonts w:ascii="Times New Roman" w:hAnsi="Times New Roman" w:cs="Times New Roman"/>
          <w:sz w:val="24"/>
          <w:lang w:val="ro-RO"/>
        </w:rPr>
        <w:t xml:space="preserve"> şi </w:t>
      </w:r>
      <w:r w:rsidR="00534C1F" w:rsidRPr="009C5F11">
        <w:rPr>
          <w:rFonts w:ascii="Times New Roman" w:hAnsi="Times New Roman" w:cs="Times New Roman"/>
          <w:sz w:val="24"/>
          <w:lang w:val="ro-RO"/>
        </w:rPr>
        <w:t>pre</w:t>
      </w:r>
      <w:r w:rsidRPr="009C5F11">
        <w:rPr>
          <w:rFonts w:ascii="Times New Roman" w:hAnsi="Times New Roman" w:cs="Times New Roman"/>
          <w:sz w:val="24"/>
          <w:lang w:val="ro-RO"/>
        </w:rPr>
        <w:t xml:space="preserve">zentat Grupului de coordonare pentru eficienţă energetică la Sesiunea de instruire pentru întocmirea </w:t>
      </w:r>
      <w:r w:rsidR="00872DC2" w:rsidRPr="009C5F11">
        <w:rPr>
          <w:rFonts w:ascii="Times New Roman" w:hAnsi="Times New Roman" w:cs="Times New Roman"/>
          <w:sz w:val="24"/>
          <w:lang w:val="ro-RO"/>
        </w:rPr>
        <w:t>PNAEE</w:t>
      </w:r>
      <w:r w:rsidRPr="009C5F11">
        <w:rPr>
          <w:rFonts w:ascii="Times New Roman" w:hAnsi="Times New Roman" w:cs="Times New Roman"/>
          <w:sz w:val="24"/>
          <w:lang w:val="ro-RO"/>
        </w:rPr>
        <w:t xml:space="preserve"> desfăşurată </w:t>
      </w:r>
      <w:r w:rsidR="00730BB5" w:rsidRPr="009C5F11">
        <w:rPr>
          <w:rFonts w:ascii="Times New Roman" w:hAnsi="Times New Roman" w:cs="Times New Roman"/>
          <w:sz w:val="24"/>
          <w:lang w:val="ro-RO"/>
        </w:rPr>
        <w:t>la</w:t>
      </w:r>
      <w:r w:rsidRPr="009C5F11">
        <w:rPr>
          <w:rFonts w:ascii="Times New Roman" w:hAnsi="Times New Roman" w:cs="Times New Roman"/>
          <w:sz w:val="24"/>
          <w:lang w:val="ro-RO"/>
        </w:rPr>
        <w:t xml:space="preserve"> </w:t>
      </w:r>
      <w:r w:rsidR="00534C1F" w:rsidRPr="009C5F11">
        <w:rPr>
          <w:rFonts w:ascii="Times New Roman" w:hAnsi="Times New Roman" w:cs="Times New Roman"/>
          <w:sz w:val="24"/>
          <w:lang w:val="ro-RO"/>
        </w:rPr>
        <w:t xml:space="preserve">17-18 </w:t>
      </w:r>
      <w:r w:rsidR="000A4CC7" w:rsidRPr="009C5F11">
        <w:rPr>
          <w:rFonts w:ascii="Times New Roman" w:hAnsi="Times New Roman" w:cs="Times New Roman"/>
          <w:sz w:val="24"/>
          <w:lang w:val="ro-RO"/>
        </w:rPr>
        <w:t>noiembrie</w:t>
      </w:r>
      <w:r w:rsidR="00534C1F" w:rsidRPr="009C5F11">
        <w:rPr>
          <w:rFonts w:ascii="Times New Roman" w:hAnsi="Times New Roman" w:cs="Times New Roman"/>
          <w:sz w:val="24"/>
          <w:lang w:val="ro-RO"/>
        </w:rPr>
        <w:t xml:space="preserve"> 2015. </w:t>
      </w:r>
      <w:r w:rsidR="00F56424" w:rsidRPr="009C5F11">
        <w:rPr>
          <w:rFonts w:ascii="Times New Roman" w:hAnsi="Times New Roman" w:cs="Times New Roman"/>
          <w:sz w:val="24"/>
          <w:lang w:val="ro-RO"/>
        </w:rPr>
        <w:t>Noul</w:t>
      </w:r>
      <w:r w:rsidR="00730BB5" w:rsidRPr="009C5F11">
        <w:rPr>
          <w:rFonts w:ascii="Times New Roman" w:hAnsi="Times New Roman" w:cs="Times New Roman"/>
          <w:sz w:val="24"/>
          <w:lang w:val="ro-RO"/>
        </w:rPr>
        <w:t xml:space="preserve"> model </w:t>
      </w:r>
      <w:r w:rsidR="0028278F" w:rsidRPr="009C5F11">
        <w:rPr>
          <w:rFonts w:ascii="Times New Roman" w:hAnsi="Times New Roman" w:cs="Times New Roman"/>
          <w:sz w:val="24"/>
          <w:lang w:val="ro-RO"/>
        </w:rPr>
        <w:t>(</w:t>
      </w:r>
      <w:r w:rsidR="00730BB5" w:rsidRPr="009C5F11">
        <w:rPr>
          <w:rFonts w:ascii="Times New Roman" w:hAnsi="Times New Roman" w:cs="Times New Roman"/>
          <w:sz w:val="24"/>
          <w:lang w:val="ro-RO"/>
        </w:rPr>
        <w:t>model</w:t>
      </w:r>
      <w:r w:rsidR="006A6D2F" w:rsidRPr="009C5F11">
        <w:rPr>
          <w:rFonts w:ascii="Times New Roman" w:hAnsi="Times New Roman" w:cs="Times New Roman"/>
          <w:sz w:val="24"/>
          <w:lang w:val="ro-RO"/>
        </w:rPr>
        <w:t>ul</w:t>
      </w:r>
      <w:r w:rsidR="00730BB5" w:rsidRPr="009C5F11">
        <w:rPr>
          <w:rFonts w:ascii="Times New Roman" w:hAnsi="Times New Roman" w:cs="Times New Roman"/>
          <w:sz w:val="24"/>
          <w:lang w:val="ro-RO"/>
        </w:rPr>
        <w:t xml:space="preserve"> </w:t>
      </w:r>
      <w:r w:rsidR="00B02A7D" w:rsidRPr="009C5F11">
        <w:rPr>
          <w:rFonts w:ascii="Times New Roman" w:hAnsi="Times New Roman" w:cs="Times New Roman"/>
          <w:sz w:val="24"/>
          <w:lang w:val="ro-RO"/>
        </w:rPr>
        <w:t>celui de al treilea</w:t>
      </w:r>
      <w:r w:rsidR="006A6D2F" w:rsidRPr="009C5F11">
        <w:rPr>
          <w:rFonts w:ascii="Times New Roman" w:hAnsi="Times New Roman" w:cs="Times New Roman"/>
          <w:sz w:val="24"/>
          <w:lang w:val="ro-RO"/>
        </w:rPr>
        <w:t xml:space="preserve"> </w:t>
      </w:r>
      <w:r w:rsidR="00935A48" w:rsidRPr="009C5F11">
        <w:rPr>
          <w:rFonts w:ascii="Times New Roman" w:hAnsi="Times New Roman" w:cs="Times New Roman"/>
          <w:sz w:val="24"/>
          <w:lang w:val="ro-RO"/>
        </w:rPr>
        <w:t>PNAEE</w:t>
      </w:r>
      <w:r w:rsidR="0028278F" w:rsidRPr="009C5F11">
        <w:rPr>
          <w:rFonts w:ascii="Times New Roman" w:hAnsi="Times New Roman" w:cs="Times New Roman"/>
          <w:sz w:val="24"/>
          <w:lang w:val="ro-RO"/>
        </w:rPr>
        <w:t>) incorpor</w:t>
      </w:r>
      <w:r w:rsidR="00730BB5" w:rsidRPr="009C5F11">
        <w:rPr>
          <w:rFonts w:ascii="Times New Roman" w:hAnsi="Times New Roman" w:cs="Times New Roman"/>
          <w:sz w:val="24"/>
          <w:lang w:val="ro-RO"/>
        </w:rPr>
        <w:t xml:space="preserve">ează obligaţiile de raportare conform </w:t>
      </w:r>
      <w:r w:rsidR="00871B4E" w:rsidRPr="009C5F11">
        <w:rPr>
          <w:rFonts w:ascii="Times New Roman" w:hAnsi="Times New Roman" w:cs="Times New Roman"/>
          <w:sz w:val="24"/>
          <w:lang w:val="ro-RO"/>
        </w:rPr>
        <w:t>DSE</w:t>
      </w:r>
      <w:r w:rsidR="0028278F" w:rsidRPr="009C5F11">
        <w:rPr>
          <w:rFonts w:ascii="Times New Roman" w:hAnsi="Times New Roman" w:cs="Times New Roman"/>
          <w:sz w:val="24"/>
          <w:lang w:val="ro-RO"/>
        </w:rPr>
        <w:t>, facilit</w:t>
      </w:r>
      <w:r w:rsidR="00730BB5" w:rsidRPr="009C5F11">
        <w:rPr>
          <w:rFonts w:ascii="Times New Roman" w:hAnsi="Times New Roman" w:cs="Times New Roman"/>
          <w:sz w:val="24"/>
          <w:lang w:val="ro-RO"/>
        </w:rPr>
        <w:t>ând concomitent întocmirea unui document strategic global pentru toate economiile de energi</w:t>
      </w:r>
      <w:r w:rsidR="00E25A34" w:rsidRPr="009C5F11">
        <w:rPr>
          <w:rFonts w:ascii="Times New Roman" w:hAnsi="Times New Roman" w:cs="Times New Roman"/>
          <w:sz w:val="24"/>
          <w:lang w:val="ro-RO"/>
        </w:rPr>
        <w:t>e</w:t>
      </w:r>
      <w:r w:rsidR="00730BB5" w:rsidRPr="009C5F11">
        <w:rPr>
          <w:rFonts w:ascii="Times New Roman" w:hAnsi="Times New Roman" w:cs="Times New Roman"/>
          <w:sz w:val="24"/>
          <w:lang w:val="ro-RO"/>
        </w:rPr>
        <w:t xml:space="preserve"> şi pentru toate măsurile de </w:t>
      </w:r>
      <w:r w:rsidR="00B02A7D" w:rsidRPr="009C5F11">
        <w:rPr>
          <w:rFonts w:ascii="Times New Roman" w:hAnsi="Times New Roman" w:cs="Times New Roman"/>
          <w:sz w:val="24"/>
          <w:lang w:val="ro-RO"/>
        </w:rPr>
        <w:t>economisire</w:t>
      </w:r>
      <w:r w:rsidR="00730BB5" w:rsidRPr="009C5F11">
        <w:rPr>
          <w:rFonts w:ascii="Times New Roman" w:hAnsi="Times New Roman" w:cs="Times New Roman"/>
          <w:sz w:val="24"/>
          <w:lang w:val="ro-RO"/>
        </w:rPr>
        <w:t xml:space="preserve"> a energiei</w:t>
      </w:r>
      <w:r w:rsidR="00321CD5" w:rsidRPr="009C5F11">
        <w:rPr>
          <w:rFonts w:ascii="Times New Roman" w:hAnsi="Times New Roman" w:cs="Times New Roman"/>
          <w:sz w:val="24"/>
          <w:lang w:val="ro-RO"/>
        </w:rPr>
        <w:t xml:space="preserve"> în </w:t>
      </w:r>
      <w:r w:rsidR="00730BB5" w:rsidRPr="009C5F11">
        <w:rPr>
          <w:rFonts w:ascii="Times New Roman" w:hAnsi="Times New Roman" w:cs="Times New Roman"/>
          <w:sz w:val="24"/>
          <w:lang w:val="ro-RO"/>
        </w:rPr>
        <w:t xml:space="preserve">conformitate cu </w:t>
      </w:r>
      <w:r w:rsidR="000A4CC7" w:rsidRPr="009C5F11">
        <w:rPr>
          <w:rFonts w:ascii="Times New Roman" w:hAnsi="Times New Roman" w:cs="Times New Roman"/>
          <w:sz w:val="24"/>
          <w:lang w:val="ro-RO"/>
        </w:rPr>
        <w:t xml:space="preserve">Directiva </w:t>
      </w:r>
      <w:r w:rsidR="00730BB5" w:rsidRPr="009C5F11">
        <w:rPr>
          <w:rFonts w:ascii="Times New Roman" w:hAnsi="Times New Roman" w:cs="Times New Roman"/>
          <w:sz w:val="24"/>
          <w:lang w:val="ro-RO"/>
        </w:rPr>
        <w:t>privind eficienţa energetică (</w:t>
      </w:r>
      <w:r w:rsidR="00B0316D" w:rsidRPr="009C5F11">
        <w:rPr>
          <w:rFonts w:ascii="Times New Roman" w:hAnsi="Times New Roman" w:cs="Times New Roman"/>
          <w:sz w:val="24"/>
          <w:lang w:val="ro-RO"/>
        </w:rPr>
        <w:t>2012/27</w:t>
      </w:r>
      <w:r w:rsidR="00730BB5" w:rsidRPr="009C5F11">
        <w:rPr>
          <w:rFonts w:ascii="Times New Roman" w:hAnsi="Times New Roman" w:cs="Times New Roman"/>
          <w:sz w:val="24"/>
          <w:lang w:val="ro-RO"/>
        </w:rPr>
        <w:t>/UE</w:t>
      </w:r>
      <w:r w:rsidR="00B0316D" w:rsidRPr="009C5F11">
        <w:rPr>
          <w:rFonts w:ascii="Times New Roman" w:hAnsi="Times New Roman" w:cs="Times New Roman"/>
          <w:sz w:val="24"/>
          <w:lang w:val="ro-RO"/>
        </w:rPr>
        <w:t xml:space="preserve"> </w:t>
      </w:r>
      <w:r w:rsidR="00730BB5" w:rsidRPr="009C5F11">
        <w:rPr>
          <w:rFonts w:ascii="Times New Roman" w:hAnsi="Times New Roman" w:cs="Times New Roman"/>
          <w:sz w:val="24"/>
          <w:lang w:val="ro-RO"/>
        </w:rPr>
        <w:t>– D</w:t>
      </w:r>
      <w:r w:rsidR="0028278F" w:rsidRPr="009C5F11">
        <w:rPr>
          <w:rFonts w:ascii="Times New Roman" w:hAnsi="Times New Roman" w:cs="Times New Roman"/>
          <w:sz w:val="24"/>
          <w:lang w:val="ro-RO"/>
        </w:rPr>
        <w:t>EE</w:t>
      </w:r>
      <w:r w:rsidR="00730BB5"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şi </w:t>
      </w:r>
      <w:r w:rsidR="00730BB5" w:rsidRPr="009C5F11">
        <w:rPr>
          <w:rFonts w:ascii="Times New Roman" w:hAnsi="Times New Roman" w:cs="Times New Roman"/>
          <w:sz w:val="24"/>
          <w:lang w:val="ro-RO"/>
        </w:rPr>
        <w:t xml:space="preserve">cu </w:t>
      </w:r>
      <w:r w:rsidR="000A4CC7" w:rsidRPr="009C5F11">
        <w:rPr>
          <w:rFonts w:ascii="Times New Roman" w:hAnsi="Times New Roman" w:cs="Times New Roman"/>
          <w:sz w:val="24"/>
          <w:lang w:val="ro-RO"/>
        </w:rPr>
        <w:t xml:space="preserve">Directiva </w:t>
      </w:r>
      <w:r w:rsidR="00730BB5" w:rsidRPr="009C5F11">
        <w:rPr>
          <w:rFonts w:ascii="Times New Roman" w:hAnsi="Times New Roman" w:cs="Times New Roman"/>
          <w:sz w:val="24"/>
          <w:lang w:val="ro-RO"/>
        </w:rPr>
        <w:t xml:space="preserve">privind performanţa </w:t>
      </w:r>
      <w:r w:rsidR="00F56424" w:rsidRPr="009C5F11">
        <w:rPr>
          <w:rFonts w:ascii="Times New Roman" w:hAnsi="Times New Roman" w:cs="Times New Roman"/>
          <w:sz w:val="24"/>
          <w:lang w:val="ro-RO"/>
        </w:rPr>
        <w:t>energetică</w:t>
      </w:r>
      <w:r w:rsidR="00730BB5" w:rsidRPr="009C5F11">
        <w:rPr>
          <w:rFonts w:ascii="Times New Roman" w:hAnsi="Times New Roman" w:cs="Times New Roman"/>
          <w:sz w:val="24"/>
          <w:lang w:val="ro-RO"/>
        </w:rPr>
        <w:t xml:space="preserve"> a clădirilor (</w:t>
      </w:r>
      <w:r w:rsidR="00B0316D" w:rsidRPr="009C5F11">
        <w:rPr>
          <w:rFonts w:ascii="Times New Roman" w:hAnsi="Times New Roman" w:cs="Times New Roman"/>
          <w:sz w:val="24"/>
          <w:lang w:val="ro-RO"/>
        </w:rPr>
        <w:t>2010/31</w:t>
      </w:r>
      <w:r w:rsidR="000A4CC7" w:rsidRPr="009C5F11">
        <w:rPr>
          <w:rFonts w:ascii="Times New Roman" w:hAnsi="Times New Roman" w:cs="Times New Roman"/>
          <w:sz w:val="24"/>
          <w:lang w:val="ro-RO"/>
        </w:rPr>
        <w:t>/CE</w:t>
      </w:r>
      <w:r w:rsidR="00B0316D" w:rsidRPr="009C5F11">
        <w:rPr>
          <w:rFonts w:ascii="Times New Roman" w:hAnsi="Times New Roman" w:cs="Times New Roman"/>
          <w:sz w:val="24"/>
          <w:lang w:val="ro-RO"/>
        </w:rPr>
        <w:t xml:space="preserve"> </w:t>
      </w:r>
      <w:r w:rsidR="00730BB5" w:rsidRPr="009C5F11">
        <w:rPr>
          <w:rFonts w:ascii="Times New Roman" w:hAnsi="Times New Roman" w:cs="Times New Roman"/>
          <w:sz w:val="24"/>
          <w:lang w:val="ro-RO"/>
        </w:rPr>
        <w:t xml:space="preserve">– </w:t>
      </w:r>
      <w:r w:rsidR="00D160E1" w:rsidRPr="009C5F11">
        <w:rPr>
          <w:rFonts w:ascii="Times New Roman" w:hAnsi="Times New Roman" w:cs="Times New Roman"/>
          <w:sz w:val="24"/>
          <w:lang w:val="ro-RO"/>
        </w:rPr>
        <w:t>DPEC</w:t>
      </w:r>
      <w:r w:rsidR="0028278F" w:rsidRPr="009C5F11">
        <w:rPr>
          <w:rFonts w:ascii="Times New Roman" w:hAnsi="Times New Roman" w:cs="Times New Roman"/>
          <w:sz w:val="24"/>
          <w:lang w:val="ro-RO"/>
        </w:rPr>
        <w:t>).</w:t>
      </w:r>
      <w:r w:rsidR="002554E1" w:rsidRPr="009C5F11">
        <w:rPr>
          <w:rFonts w:ascii="Times New Roman" w:hAnsi="Times New Roman" w:cs="Times New Roman"/>
          <w:sz w:val="24"/>
          <w:lang w:val="ro-RO"/>
        </w:rPr>
        <w:t xml:space="preserve"> </w:t>
      </w:r>
      <w:r w:rsidR="00730BB5" w:rsidRPr="009C5F11">
        <w:rPr>
          <w:rFonts w:ascii="Times New Roman" w:hAnsi="Times New Roman" w:cs="Times New Roman"/>
          <w:sz w:val="24"/>
          <w:lang w:val="ro-RO"/>
        </w:rPr>
        <w:t>În afară de cele menţionate mai sus, noul model reflectă diferenţele în ceea ce priveşte angajamentele Republicii Moldova ce decurg din aderarea mai târzie a ţării la Comunitatea Energetică.</w:t>
      </w:r>
    </w:p>
    <w:p w14:paraId="0BD8E0B1" w14:textId="77777777" w:rsidR="00993BB8" w:rsidRPr="009C5F11" w:rsidRDefault="00993BB8" w:rsidP="00993BB8">
      <w:pPr>
        <w:spacing w:after="0" w:line="240" w:lineRule="auto"/>
        <w:jc w:val="both"/>
        <w:rPr>
          <w:rFonts w:ascii="Times New Roman" w:hAnsi="Times New Roman" w:cs="Times New Roman"/>
          <w:b/>
          <w:caps/>
          <w:sz w:val="24"/>
          <w:lang w:val="ro-RO"/>
        </w:rPr>
      </w:pPr>
    </w:p>
    <w:p w14:paraId="1A30907D" w14:textId="77777777" w:rsidR="00993BB8" w:rsidRPr="009C5F11" w:rsidRDefault="00993BB8" w:rsidP="00993BB8">
      <w:pPr>
        <w:spacing w:after="0" w:line="240" w:lineRule="auto"/>
        <w:jc w:val="both"/>
        <w:rPr>
          <w:rFonts w:ascii="Times New Roman" w:hAnsi="Times New Roman" w:cs="Times New Roman"/>
          <w:b/>
          <w:caps/>
          <w:sz w:val="24"/>
          <w:lang w:val="ro-RO"/>
        </w:rPr>
      </w:pPr>
      <w:r w:rsidRPr="009C5F11">
        <w:rPr>
          <w:rFonts w:ascii="Times New Roman" w:hAnsi="Times New Roman" w:cs="Times New Roman"/>
          <w:b/>
          <w:caps/>
          <w:sz w:val="24"/>
          <w:lang w:val="ro-RO"/>
        </w:rPr>
        <w:t>Proces</w:t>
      </w:r>
      <w:r w:rsidR="00321CD5" w:rsidRPr="009C5F11">
        <w:rPr>
          <w:rFonts w:ascii="Times New Roman" w:hAnsi="Times New Roman" w:cs="Times New Roman"/>
          <w:b/>
          <w:caps/>
          <w:sz w:val="24"/>
          <w:lang w:val="ro-RO"/>
        </w:rPr>
        <w:t>ul de elaborare</w:t>
      </w:r>
      <w:r w:rsidRPr="009C5F11">
        <w:rPr>
          <w:rFonts w:ascii="Times New Roman" w:hAnsi="Times New Roman" w:cs="Times New Roman"/>
          <w:b/>
          <w:caps/>
          <w:sz w:val="24"/>
          <w:lang w:val="ro-RO"/>
        </w:rPr>
        <w:t xml:space="preserve"> </w:t>
      </w:r>
      <w:r w:rsidR="00321CD5" w:rsidRPr="009C5F11">
        <w:rPr>
          <w:rFonts w:ascii="Times New Roman" w:hAnsi="Times New Roman" w:cs="Times New Roman"/>
          <w:b/>
          <w:caps/>
          <w:sz w:val="24"/>
          <w:lang w:val="ro-RO"/>
        </w:rPr>
        <w:t>ŞI</w:t>
      </w:r>
      <w:r w:rsidRPr="009C5F11">
        <w:rPr>
          <w:rFonts w:ascii="Times New Roman" w:hAnsi="Times New Roman" w:cs="Times New Roman"/>
          <w:b/>
          <w:caps/>
          <w:sz w:val="24"/>
          <w:lang w:val="ro-RO"/>
        </w:rPr>
        <w:t xml:space="preserve"> adopt</w:t>
      </w:r>
      <w:r w:rsidR="00321CD5" w:rsidRPr="009C5F11">
        <w:rPr>
          <w:rFonts w:ascii="Times New Roman" w:hAnsi="Times New Roman" w:cs="Times New Roman"/>
          <w:b/>
          <w:caps/>
          <w:sz w:val="24"/>
          <w:lang w:val="ro-RO"/>
        </w:rPr>
        <w:t>ARE</w:t>
      </w:r>
    </w:p>
    <w:p w14:paraId="5423C900" w14:textId="6CE98D35" w:rsidR="00C11DB4" w:rsidRPr="009C5F11" w:rsidRDefault="00AD7737" w:rsidP="00124404">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 xml:space="preserve">Pentru elaborarea </w:t>
      </w:r>
      <w:r w:rsidR="00B02A7D" w:rsidRPr="009C5F11">
        <w:rPr>
          <w:rFonts w:ascii="Times New Roman" w:hAnsi="Times New Roman" w:cs="Times New Roman"/>
          <w:sz w:val="24"/>
          <w:lang w:val="ro-RO"/>
        </w:rPr>
        <w:t xml:space="preserve">acestui </w:t>
      </w:r>
      <w:r w:rsidR="007F4D1B" w:rsidRPr="009C5F11">
        <w:rPr>
          <w:rFonts w:ascii="Times New Roman" w:hAnsi="Times New Roman" w:cs="Times New Roman"/>
          <w:sz w:val="24"/>
          <w:lang w:val="ro-RO"/>
        </w:rPr>
        <w:t>document</w:t>
      </w:r>
      <w:r w:rsidRPr="009C5F11">
        <w:rPr>
          <w:rFonts w:ascii="Times New Roman" w:hAnsi="Times New Roman" w:cs="Times New Roman"/>
          <w:sz w:val="24"/>
          <w:lang w:val="ro-RO"/>
        </w:rPr>
        <w:t xml:space="preserve"> a fost creat un grup de lucru</w:t>
      </w:r>
      <w:r w:rsidR="00D9464A">
        <w:rPr>
          <w:rFonts w:ascii="Times New Roman" w:hAnsi="Times New Roman" w:cs="Times New Roman"/>
          <w:sz w:val="24"/>
          <w:lang w:val="ro-RO"/>
        </w:rPr>
        <w:t>,</w:t>
      </w:r>
      <w:r w:rsidRPr="009C5F11">
        <w:rPr>
          <w:rFonts w:ascii="Times New Roman" w:hAnsi="Times New Roman" w:cs="Times New Roman"/>
          <w:sz w:val="24"/>
          <w:lang w:val="ro-RO"/>
        </w:rPr>
        <w:t xml:space="preserve"> care</w:t>
      </w:r>
      <w:r w:rsidR="00D9464A">
        <w:rPr>
          <w:rFonts w:ascii="Times New Roman" w:hAnsi="Times New Roman" w:cs="Times New Roman"/>
          <w:sz w:val="24"/>
          <w:lang w:val="ro-RO"/>
        </w:rPr>
        <w:t xml:space="preserve"> a activat pe parcursul perioadei </w:t>
      </w:r>
      <w:r w:rsidR="000A4CC7" w:rsidRPr="009C5F11">
        <w:rPr>
          <w:rFonts w:ascii="Times New Roman" w:hAnsi="Times New Roman" w:cs="Times New Roman"/>
          <w:sz w:val="24"/>
          <w:lang w:val="ro-RO"/>
        </w:rPr>
        <w:t>octombrie</w:t>
      </w:r>
      <w:r w:rsidR="00D9464A">
        <w:rPr>
          <w:rFonts w:ascii="Times New Roman" w:hAnsi="Times New Roman" w:cs="Times New Roman"/>
          <w:sz w:val="24"/>
          <w:lang w:val="ro-RO"/>
        </w:rPr>
        <w:t xml:space="preserve"> 2015</w:t>
      </w:r>
      <w:r w:rsidR="00C11DB4" w:rsidRPr="009C5F11">
        <w:rPr>
          <w:rFonts w:ascii="Times New Roman" w:hAnsi="Times New Roman" w:cs="Times New Roman"/>
          <w:sz w:val="24"/>
          <w:lang w:val="ro-RO"/>
        </w:rPr>
        <w:t xml:space="preserve"> – </w:t>
      </w:r>
      <w:r w:rsidR="00D9464A">
        <w:rPr>
          <w:rFonts w:ascii="Times New Roman" w:hAnsi="Times New Roman" w:cs="Times New Roman"/>
          <w:sz w:val="24"/>
          <w:lang w:val="ro-RO"/>
        </w:rPr>
        <w:t>aprilie 2016</w:t>
      </w:r>
      <w:r w:rsidR="00C11DB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rezultatul activităţii sale fiind prim</w:t>
      </w:r>
      <w:r w:rsidR="00B02A7D"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w:t>
      </w:r>
      <w:r w:rsidR="00B02A7D" w:rsidRPr="009C5F11">
        <w:rPr>
          <w:rFonts w:ascii="Times New Roman" w:hAnsi="Times New Roman" w:cs="Times New Roman"/>
          <w:sz w:val="24"/>
          <w:lang w:val="ro-RO"/>
        </w:rPr>
        <w:t>versiune</w:t>
      </w:r>
      <w:r w:rsidRPr="009C5F11">
        <w:rPr>
          <w:rFonts w:ascii="Times New Roman" w:hAnsi="Times New Roman" w:cs="Times New Roman"/>
          <w:sz w:val="24"/>
          <w:lang w:val="ro-RO"/>
        </w:rPr>
        <w:t xml:space="preserve"> a </w:t>
      </w:r>
      <w:r w:rsidR="00B02A7D" w:rsidRPr="009C5F11">
        <w:rPr>
          <w:rFonts w:ascii="Times New Roman" w:hAnsi="Times New Roman" w:cs="Times New Roman"/>
          <w:sz w:val="24"/>
          <w:lang w:val="ro-RO"/>
        </w:rPr>
        <w:t xml:space="preserve">celui de al doilea </w:t>
      </w:r>
      <w:r w:rsidR="00872DC2" w:rsidRPr="009C5F11">
        <w:rPr>
          <w:rFonts w:ascii="Times New Roman" w:hAnsi="Times New Roman" w:cs="Times New Roman"/>
          <w:sz w:val="24"/>
          <w:lang w:val="ro-RO"/>
        </w:rPr>
        <w:t>PNAEE</w:t>
      </w:r>
      <w:r w:rsidR="00C11DB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procesul de elaborare a documentului au fost contactate peste </w:t>
      </w:r>
      <w:r w:rsidR="00C11DB4" w:rsidRPr="009C5F11">
        <w:rPr>
          <w:rFonts w:ascii="Times New Roman" w:hAnsi="Times New Roman" w:cs="Times New Roman"/>
          <w:sz w:val="24"/>
          <w:lang w:val="ro-RO"/>
        </w:rPr>
        <w:t xml:space="preserve">60 </w:t>
      </w:r>
      <w:r w:rsidRPr="009C5F11">
        <w:rPr>
          <w:rFonts w:ascii="Times New Roman" w:hAnsi="Times New Roman" w:cs="Times New Roman"/>
          <w:sz w:val="24"/>
          <w:lang w:val="ro-RO"/>
        </w:rPr>
        <w:t>de diverse instituţii, companii şi organisme publice, inclusiv</w:t>
      </w:r>
      <w:r w:rsidR="00C11DB4" w:rsidRPr="009C5F11">
        <w:rPr>
          <w:rFonts w:ascii="Times New Roman" w:hAnsi="Times New Roman" w:cs="Times New Roman"/>
          <w:sz w:val="24"/>
          <w:lang w:val="ro-RO"/>
        </w:rPr>
        <w:t xml:space="preserve">: </w:t>
      </w:r>
    </w:p>
    <w:p w14:paraId="7BE2EAAD" w14:textId="77777777" w:rsidR="00B00DCE" w:rsidRPr="009C5F11" w:rsidRDefault="00943E74"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Toate cele </w:t>
      </w:r>
      <w:r w:rsidR="00B00DCE" w:rsidRPr="009C5F11">
        <w:rPr>
          <w:rFonts w:ascii="Times New Roman" w:hAnsi="Times New Roman" w:cs="Times New Roman"/>
          <w:sz w:val="24"/>
          <w:lang w:val="ro-RO"/>
        </w:rPr>
        <w:t xml:space="preserve">32 </w:t>
      </w:r>
      <w:r w:rsidRPr="009C5F11">
        <w:rPr>
          <w:rFonts w:ascii="Times New Roman" w:hAnsi="Times New Roman" w:cs="Times New Roman"/>
          <w:sz w:val="24"/>
          <w:lang w:val="ro-RO"/>
        </w:rPr>
        <w:t>de raioane</w:t>
      </w:r>
      <w:r w:rsidR="00B00DCE"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şi </w:t>
      </w:r>
      <w:r w:rsidRPr="009C5F11">
        <w:rPr>
          <w:rFonts w:ascii="Times New Roman" w:hAnsi="Times New Roman" w:cs="Times New Roman"/>
          <w:sz w:val="24"/>
          <w:lang w:val="ro-RO"/>
        </w:rPr>
        <w:t>toate municipiile</w:t>
      </w:r>
      <w:r w:rsidR="00AD7737" w:rsidRPr="009C5F11">
        <w:rPr>
          <w:rFonts w:ascii="Times New Roman" w:hAnsi="Times New Roman" w:cs="Times New Roman"/>
          <w:sz w:val="24"/>
          <w:lang w:val="ro-RO"/>
        </w:rPr>
        <w:t>;</w:t>
      </w:r>
      <w:r w:rsidR="00B00DCE" w:rsidRPr="009C5F11">
        <w:rPr>
          <w:rFonts w:ascii="Times New Roman" w:hAnsi="Times New Roman" w:cs="Times New Roman"/>
          <w:sz w:val="24"/>
          <w:lang w:val="ro-RO"/>
        </w:rPr>
        <w:t xml:space="preserve"> </w:t>
      </w:r>
    </w:p>
    <w:p w14:paraId="4B51DB58" w14:textId="77777777" w:rsidR="00B00DCE" w:rsidRPr="009C5F11" w:rsidRDefault="00321CD5"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Ministerul Economiei</w:t>
      </w:r>
      <w:r w:rsidR="00B00DCE" w:rsidRPr="009C5F11">
        <w:rPr>
          <w:rFonts w:ascii="Times New Roman" w:hAnsi="Times New Roman" w:cs="Times New Roman"/>
          <w:sz w:val="24"/>
          <w:lang w:val="ro-RO"/>
        </w:rPr>
        <w:t xml:space="preserve"> (ME)</w:t>
      </w:r>
      <w:r w:rsidR="00AD7737" w:rsidRPr="009C5F11">
        <w:rPr>
          <w:rFonts w:ascii="Times New Roman" w:hAnsi="Times New Roman" w:cs="Times New Roman"/>
          <w:sz w:val="24"/>
          <w:lang w:val="ro-RO"/>
        </w:rPr>
        <w:t>;</w:t>
      </w:r>
    </w:p>
    <w:p w14:paraId="1E589969" w14:textId="77777777" w:rsidR="00B00DCE" w:rsidRPr="009C5F11" w:rsidRDefault="00321CD5"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Ministerul Dezvoltării Regionale şi Construcţiilor</w:t>
      </w:r>
      <w:r w:rsidR="00B00DCE"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MDRC</w:t>
      </w:r>
      <w:r w:rsidR="00B00DCE" w:rsidRPr="009C5F11">
        <w:rPr>
          <w:rFonts w:ascii="Times New Roman" w:hAnsi="Times New Roman" w:cs="Times New Roman"/>
          <w:sz w:val="24"/>
          <w:lang w:val="ro-RO"/>
        </w:rPr>
        <w:t>)</w:t>
      </w:r>
      <w:r w:rsidR="00AD7737" w:rsidRPr="009C5F11">
        <w:rPr>
          <w:rFonts w:ascii="Times New Roman" w:hAnsi="Times New Roman" w:cs="Times New Roman"/>
          <w:sz w:val="24"/>
          <w:lang w:val="ro-RO"/>
        </w:rPr>
        <w:t>;</w:t>
      </w:r>
    </w:p>
    <w:p w14:paraId="48020DD6" w14:textId="77777777" w:rsidR="00B00DCE" w:rsidRPr="009C5F11" w:rsidRDefault="00321CD5"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Ministerul Mediului</w:t>
      </w:r>
      <w:r w:rsidR="00B00DCE" w:rsidRPr="009C5F11">
        <w:rPr>
          <w:rFonts w:ascii="Times New Roman" w:hAnsi="Times New Roman" w:cs="Times New Roman"/>
          <w:sz w:val="24"/>
          <w:lang w:val="ro-RO"/>
        </w:rPr>
        <w:t xml:space="preserve"> (M</w:t>
      </w:r>
      <w:r w:rsidR="00AD7737" w:rsidRPr="009C5F11">
        <w:rPr>
          <w:rFonts w:ascii="Times New Roman" w:hAnsi="Times New Roman" w:cs="Times New Roman"/>
          <w:sz w:val="24"/>
          <w:lang w:val="ro-RO"/>
        </w:rPr>
        <w:t>M</w:t>
      </w:r>
      <w:r w:rsidR="00B00DCE" w:rsidRPr="009C5F11">
        <w:rPr>
          <w:rFonts w:ascii="Times New Roman" w:hAnsi="Times New Roman" w:cs="Times New Roman"/>
          <w:sz w:val="24"/>
          <w:lang w:val="ro-RO"/>
        </w:rPr>
        <w:t>)</w:t>
      </w:r>
      <w:r w:rsidR="00AD7737" w:rsidRPr="009C5F11">
        <w:rPr>
          <w:rFonts w:ascii="Times New Roman" w:hAnsi="Times New Roman" w:cs="Times New Roman"/>
          <w:sz w:val="24"/>
          <w:lang w:val="ro-RO"/>
        </w:rPr>
        <w:t>;</w:t>
      </w:r>
    </w:p>
    <w:p w14:paraId="11D9A988" w14:textId="77777777" w:rsidR="00B00DCE" w:rsidRPr="009C5F11" w:rsidRDefault="00321CD5"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Ministerul Transporturilor</w:t>
      </w:r>
      <w:r w:rsidR="00B00DCE" w:rsidRPr="009C5F11">
        <w:rPr>
          <w:rFonts w:ascii="Times New Roman" w:hAnsi="Times New Roman" w:cs="Times New Roman"/>
          <w:sz w:val="24"/>
          <w:lang w:val="ro-RO"/>
        </w:rPr>
        <w:t xml:space="preserve"> </w:t>
      </w:r>
      <w:r w:rsidR="006A6D2F" w:rsidRPr="009C5F11">
        <w:rPr>
          <w:rFonts w:ascii="Times New Roman" w:hAnsi="Times New Roman" w:cs="Times New Roman"/>
          <w:sz w:val="24"/>
          <w:lang w:val="ro-RO"/>
        </w:rPr>
        <w:t>şi Infrastructurii Drumurilo</w:t>
      </w:r>
      <w:r w:rsidR="009F78FD" w:rsidRPr="009C5F11">
        <w:rPr>
          <w:rFonts w:ascii="Times New Roman" w:hAnsi="Times New Roman" w:cs="Times New Roman"/>
          <w:sz w:val="24"/>
          <w:lang w:val="ro-RO"/>
        </w:rPr>
        <w:t>r</w:t>
      </w:r>
      <w:r w:rsidR="006A6D2F" w:rsidRPr="009C5F11">
        <w:rPr>
          <w:rFonts w:ascii="Times New Roman" w:hAnsi="Times New Roman" w:cs="Times New Roman"/>
          <w:sz w:val="24"/>
          <w:lang w:val="ro-RO"/>
        </w:rPr>
        <w:t xml:space="preserve"> </w:t>
      </w:r>
      <w:r w:rsidR="00B00DCE" w:rsidRPr="009C5F11">
        <w:rPr>
          <w:rFonts w:ascii="Times New Roman" w:hAnsi="Times New Roman" w:cs="Times New Roman"/>
          <w:sz w:val="24"/>
          <w:lang w:val="ro-RO"/>
        </w:rPr>
        <w:t>(MT</w:t>
      </w:r>
      <w:r w:rsidR="006A6D2F" w:rsidRPr="009C5F11">
        <w:rPr>
          <w:rFonts w:ascii="Times New Roman" w:hAnsi="Times New Roman" w:cs="Times New Roman"/>
          <w:sz w:val="24"/>
          <w:lang w:val="ro-RO"/>
        </w:rPr>
        <w:t>ID</w:t>
      </w:r>
      <w:r w:rsidR="00B00DCE" w:rsidRPr="009C5F11">
        <w:rPr>
          <w:rFonts w:ascii="Times New Roman" w:hAnsi="Times New Roman" w:cs="Times New Roman"/>
          <w:sz w:val="24"/>
          <w:lang w:val="ro-RO"/>
        </w:rPr>
        <w:t>)</w:t>
      </w:r>
      <w:r w:rsidR="00AD7737" w:rsidRPr="009C5F11">
        <w:rPr>
          <w:rFonts w:ascii="Times New Roman" w:hAnsi="Times New Roman" w:cs="Times New Roman"/>
          <w:sz w:val="24"/>
          <w:lang w:val="ro-RO"/>
        </w:rPr>
        <w:t>;</w:t>
      </w:r>
    </w:p>
    <w:p w14:paraId="66497143" w14:textId="77777777" w:rsidR="00B00DCE" w:rsidRPr="009C5F11" w:rsidRDefault="00321CD5"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Ministerul Finanţelor</w:t>
      </w:r>
      <w:r w:rsidR="00B00DCE" w:rsidRPr="009C5F11">
        <w:rPr>
          <w:rFonts w:ascii="Times New Roman" w:hAnsi="Times New Roman" w:cs="Times New Roman"/>
          <w:sz w:val="24"/>
          <w:lang w:val="ro-RO"/>
        </w:rPr>
        <w:t xml:space="preserve"> (MF)</w:t>
      </w:r>
      <w:r w:rsidR="00AD7737" w:rsidRPr="009C5F11">
        <w:rPr>
          <w:rFonts w:ascii="Times New Roman" w:hAnsi="Times New Roman" w:cs="Times New Roman"/>
          <w:sz w:val="24"/>
          <w:lang w:val="ro-RO"/>
        </w:rPr>
        <w:t>;</w:t>
      </w:r>
    </w:p>
    <w:p w14:paraId="2A8B13A6" w14:textId="77777777" w:rsidR="00B00DCE" w:rsidRPr="009C5F11" w:rsidRDefault="00321CD5"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Ministerul Agriculturii şi Industriei Alimentare</w:t>
      </w:r>
      <w:r w:rsidR="00B00DCE" w:rsidRPr="009C5F11">
        <w:rPr>
          <w:rFonts w:ascii="Times New Roman" w:hAnsi="Times New Roman" w:cs="Times New Roman"/>
          <w:sz w:val="24"/>
          <w:lang w:val="ro-RO"/>
        </w:rPr>
        <w:t xml:space="preserve"> (MA</w:t>
      </w:r>
      <w:r w:rsidR="00943E74" w:rsidRPr="009C5F11">
        <w:rPr>
          <w:rFonts w:ascii="Times New Roman" w:hAnsi="Times New Roman" w:cs="Times New Roman"/>
          <w:sz w:val="24"/>
          <w:lang w:val="ro-RO"/>
        </w:rPr>
        <w:t>IA</w:t>
      </w:r>
      <w:r w:rsidR="00B00DCE" w:rsidRPr="009C5F11">
        <w:rPr>
          <w:rFonts w:ascii="Times New Roman" w:hAnsi="Times New Roman" w:cs="Times New Roman"/>
          <w:sz w:val="24"/>
          <w:lang w:val="ro-RO"/>
        </w:rPr>
        <w:t>)</w:t>
      </w:r>
      <w:r w:rsidR="00AD7737" w:rsidRPr="009C5F11">
        <w:rPr>
          <w:rFonts w:ascii="Times New Roman" w:hAnsi="Times New Roman" w:cs="Times New Roman"/>
          <w:sz w:val="24"/>
          <w:lang w:val="ro-RO"/>
        </w:rPr>
        <w:t>;</w:t>
      </w:r>
    </w:p>
    <w:p w14:paraId="347D87E5" w14:textId="77777777" w:rsidR="00B00DCE" w:rsidRPr="009C5F11" w:rsidRDefault="00321CD5"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Agenţia pentru Eficienţă Energetică</w:t>
      </w:r>
      <w:r w:rsidR="00B00DCE"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AEE</w:t>
      </w:r>
      <w:r w:rsidR="00B00DCE" w:rsidRPr="009C5F11">
        <w:rPr>
          <w:rFonts w:ascii="Times New Roman" w:hAnsi="Times New Roman" w:cs="Times New Roman"/>
          <w:sz w:val="24"/>
          <w:lang w:val="ro-RO"/>
        </w:rPr>
        <w:t>)</w:t>
      </w:r>
      <w:r w:rsidR="00AD7737" w:rsidRPr="009C5F11">
        <w:rPr>
          <w:rFonts w:ascii="Times New Roman" w:hAnsi="Times New Roman" w:cs="Times New Roman"/>
          <w:sz w:val="24"/>
          <w:lang w:val="ro-RO"/>
        </w:rPr>
        <w:t>;</w:t>
      </w:r>
    </w:p>
    <w:p w14:paraId="4ED325B2" w14:textId="77777777" w:rsidR="00B00DCE" w:rsidRPr="009C5F11" w:rsidRDefault="00AD7737"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lastRenderedPageBreak/>
        <w:t xml:space="preserve">Inspectoratul Energetic de Stat; </w:t>
      </w:r>
    </w:p>
    <w:p w14:paraId="1559FEC6" w14:textId="77777777" w:rsidR="00B00DCE" w:rsidRPr="009C5F11" w:rsidRDefault="00AD7737"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Agenţia </w:t>
      </w:r>
      <w:r w:rsidR="006A6D2F" w:rsidRPr="009C5F11">
        <w:rPr>
          <w:rFonts w:ascii="Times New Roman" w:hAnsi="Times New Roman" w:cs="Times New Roman"/>
          <w:sz w:val="24"/>
          <w:lang w:val="ro-RO"/>
        </w:rPr>
        <w:t>d</w:t>
      </w:r>
      <w:r w:rsidRPr="009C5F11">
        <w:rPr>
          <w:rFonts w:ascii="Times New Roman" w:hAnsi="Times New Roman" w:cs="Times New Roman"/>
          <w:sz w:val="24"/>
          <w:lang w:val="ro-RO"/>
        </w:rPr>
        <w:t xml:space="preserve">e Protecţie a Consumatorului; </w:t>
      </w:r>
    </w:p>
    <w:p w14:paraId="388FB4FE" w14:textId="77777777" w:rsidR="00B00DCE" w:rsidRPr="009C5F11" w:rsidRDefault="00AD7737"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Agenţia Naţională </w:t>
      </w:r>
      <w:r w:rsidR="006F5ED3" w:rsidRPr="009C5F11">
        <w:rPr>
          <w:rFonts w:ascii="Times New Roman" w:hAnsi="Times New Roman" w:cs="Times New Roman"/>
          <w:sz w:val="24"/>
          <w:lang w:val="ro-RO"/>
        </w:rPr>
        <w:t xml:space="preserve">pentru </w:t>
      </w:r>
      <w:r w:rsidRPr="009C5F11">
        <w:rPr>
          <w:rFonts w:ascii="Times New Roman" w:hAnsi="Times New Roman" w:cs="Times New Roman"/>
          <w:sz w:val="24"/>
          <w:lang w:val="ro-RO"/>
        </w:rPr>
        <w:t xml:space="preserve">Reglementare în Energetică </w:t>
      </w:r>
      <w:r w:rsidR="00B00DCE" w:rsidRPr="009C5F11">
        <w:rPr>
          <w:rFonts w:ascii="Times New Roman" w:hAnsi="Times New Roman" w:cs="Times New Roman"/>
          <w:sz w:val="24"/>
          <w:lang w:val="ro-RO"/>
        </w:rPr>
        <w:t>(ANRE)</w:t>
      </w:r>
      <w:r w:rsidRPr="009C5F11">
        <w:rPr>
          <w:rFonts w:ascii="Times New Roman" w:hAnsi="Times New Roman" w:cs="Times New Roman"/>
          <w:sz w:val="24"/>
          <w:lang w:val="ro-RO"/>
        </w:rPr>
        <w:t>;</w:t>
      </w:r>
    </w:p>
    <w:p w14:paraId="7C1F3D8D" w14:textId="77777777" w:rsidR="00B00DCE" w:rsidRPr="009C5F11" w:rsidRDefault="00B00DCE"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Moldelectrica – </w:t>
      </w:r>
      <w:r w:rsidR="00AD7737" w:rsidRPr="009C5F11">
        <w:rPr>
          <w:rFonts w:ascii="Times New Roman" w:hAnsi="Times New Roman" w:cs="Times New Roman"/>
          <w:sz w:val="24"/>
          <w:lang w:val="ro-RO"/>
        </w:rPr>
        <w:t xml:space="preserve">Operatorul </w:t>
      </w:r>
      <w:r w:rsidR="006F5ED3" w:rsidRPr="009C5F11">
        <w:rPr>
          <w:rFonts w:ascii="Times New Roman" w:hAnsi="Times New Roman" w:cs="Times New Roman"/>
          <w:sz w:val="24"/>
          <w:lang w:val="ro-RO"/>
        </w:rPr>
        <w:t xml:space="preserve">retelei </w:t>
      </w:r>
      <w:r w:rsidR="00AD7737" w:rsidRPr="009C5F11">
        <w:rPr>
          <w:rFonts w:ascii="Times New Roman" w:hAnsi="Times New Roman" w:cs="Times New Roman"/>
          <w:sz w:val="24"/>
          <w:lang w:val="ro-RO"/>
        </w:rPr>
        <w:t xml:space="preserve">de transport şi de </w:t>
      </w:r>
      <w:r w:rsidR="00177E9C" w:rsidRPr="009C5F11">
        <w:rPr>
          <w:rFonts w:ascii="Times New Roman" w:hAnsi="Times New Roman" w:cs="Times New Roman"/>
          <w:sz w:val="24"/>
          <w:lang w:val="ro-RO"/>
        </w:rPr>
        <w:t xml:space="preserve">sistem </w:t>
      </w:r>
      <w:r w:rsidR="00AD7737" w:rsidRPr="009C5F11">
        <w:rPr>
          <w:rFonts w:ascii="Times New Roman" w:hAnsi="Times New Roman" w:cs="Times New Roman"/>
          <w:sz w:val="24"/>
          <w:lang w:val="ro-RO"/>
        </w:rPr>
        <w:t>din Republica Moldova;</w:t>
      </w:r>
    </w:p>
    <w:p w14:paraId="55893CC9" w14:textId="77777777" w:rsidR="00B00DCE" w:rsidRPr="009C5F11" w:rsidRDefault="00B00DCE"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Red </w:t>
      </w:r>
      <w:r w:rsidR="00800247" w:rsidRPr="009C5F11">
        <w:rPr>
          <w:rFonts w:ascii="Times New Roman" w:hAnsi="Times New Roman" w:cs="Times New Roman"/>
          <w:sz w:val="24"/>
          <w:lang w:val="ro-RO"/>
        </w:rPr>
        <w:t>Nord</w:t>
      </w:r>
      <w:r w:rsidRPr="009C5F11">
        <w:rPr>
          <w:rFonts w:ascii="Times New Roman" w:hAnsi="Times New Roman" w:cs="Times New Roman"/>
          <w:sz w:val="24"/>
          <w:lang w:val="ro-RO"/>
        </w:rPr>
        <w:t xml:space="preserve">, Red </w:t>
      </w:r>
      <w:r w:rsidR="00800247" w:rsidRPr="009C5F11">
        <w:rPr>
          <w:rFonts w:ascii="Times New Roman" w:hAnsi="Times New Roman" w:cs="Times New Roman"/>
          <w:sz w:val="24"/>
          <w:lang w:val="ro-RO"/>
        </w:rPr>
        <w:t>Nord</w:t>
      </w:r>
      <w:r w:rsidRPr="009C5F11">
        <w:rPr>
          <w:rFonts w:ascii="Times New Roman" w:hAnsi="Times New Roman" w:cs="Times New Roman"/>
          <w:sz w:val="24"/>
          <w:lang w:val="ro-RO"/>
        </w:rPr>
        <w:t xml:space="preserve">-Vest, Union Fenosa – </w:t>
      </w:r>
      <w:r w:rsidR="00AD7737" w:rsidRPr="009C5F11">
        <w:rPr>
          <w:rFonts w:ascii="Times New Roman" w:hAnsi="Times New Roman" w:cs="Times New Roman"/>
          <w:sz w:val="24"/>
          <w:lang w:val="ro-RO"/>
        </w:rPr>
        <w:t xml:space="preserve">operatori ai </w:t>
      </w:r>
      <w:r w:rsidR="00F56424" w:rsidRPr="009C5F11">
        <w:rPr>
          <w:rFonts w:ascii="Times New Roman" w:hAnsi="Times New Roman" w:cs="Times New Roman"/>
          <w:sz w:val="24"/>
          <w:lang w:val="ro-RO"/>
        </w:rPr>
        <w:t>rețelei</w:t>
      </w:r>
      <w:r w:rsidR="00AD7737" w:rsidRPr="009C5F11">
        <w:rPr>
          <w:rFonts w:ascii="Times New Roman" w:hAnsi="Times New Roman" w:cs="Times New Roman"/>
          <w:sz w:val="24"/>
          <w:lang w:val="ro-RO"/>
        </w:rPr>
        <w:t xml:space="preserve"> de d</w:t>
      </w:r>
      <w:r w:rsidRPr="009C5F11">
        <w:rPr>
          <w:rFonts w:ascii="Times New Roman" w:hAnsi="Times New Roman" w:cs="Times New Roman"/>
          <w:sz w:val="24"/>
          <w:lang w:val="ro-RO"/>
        </w:rPr>
        <w:t>istribu</w:t>
      </w:r>
      <w:r w:rsidR="00AD7737" w:rsidRPr="009C5F11">
        <w:rPr>
          <w:rFonts w:ascii="Times New Roman" w:hAnsi="Times New Roman" w:cs="Times New Roman"/>
          <w:sz w:val="24"/>
          <w:lang w:val="ro-RO"/>
        </w:rPr>
        <w:t>ţie;</w:t>
      </w:r>
    </w:p>
    <w:p w14:paraId="0CEDE0E3" w14:textId="77777777" w:rsidR="00B00DCE" w:rsidRPr="009C5F11" w:rsidRDefault="00B00DCE"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Termoelectrica– </w:t>
      </w:r>
      <w:r w:rsidR="00AD7737" w:rsidRPr="009C5F11">
        <w:rPr>
          <w:rFonts w:ascii="Times New Roman" w:hAnsi="Times New Roman" w:cs="Times New Roman"/>
          <w:sz w:val="24"/>
          <w:lang w:val="ro-RO"/>
        </w:rPr>
        <w:t xml:space="preserve">Producătorul şi distribuitorul de energie termică din </w:t>
      </w:r>
      <w:r w:rsidRPr="009C5F11">
        <w:rPr>
          <w:rFonts w:ascii="Times New Roman" w:hAnsi="Times New Roman" w:cs="Times New Roman"/>
          <w:sz w:val="24"/>
          <w:lang w:val="ro-RO"/>
        </w:rPr>
        <w:t>Moldova</w:t>
      </w:r>
      <w:r w:rsidR="00AD7737" w:rsidRPr="009C5F11">
        <w:rPr>
          <w:rFonts w:ascii="Times New Roman" w:hAnsi="Times New Roman" w:cs="Times New Roman"/>
          <w:sz w:val="24"/>
          <w:lang w:val="ro-RO"/>
        </w:rPr>
        <w:t xml:space="preserve">; </w:t>
      </w:r>
    </w:p>
    <w:p w14:paraId="1CD90D3A" w14:textId="77777777" w:rsidR="00B00DCE" w:rsidRPr="009C5F11" w:rsidRDefault="00B00DCE"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CET-</w:t>
      </w:r>
      <w:r w:rsidR="00800247" w:rsidRPr="009C5F11">
        <w:rPr>
          <w:rFonts w:ascii="Times New Roman" w:hAnsi="Times New Roman" w:cs="Times New Roman"/>
          <w:sz w:val="24"/>
          <w:lang w:val="ro-RO"/>
        </w:rPr>
        <w:t>Nord</w:t>
      </w:r>
      <w:r w:rsidR="00AD7737" w:rsidRPr="009C5F11">
        <w:rPr>
          <w:rFonts w:ascii="Times New Roman" w:hAnsi="Times New Roman" w:cs="Times New Roman"/>
          <w:sz w:val="24"/>
          <w:lang w:val="ro-RO"/>
        </w:rPr>
        <w:t>;</w:t>
      </w:r>
    </w:p>
    <w:p w14:paraId="4DDD3CB7" w14:textId="77777777" w:rsidR="00B00DCE" w:rsidRPr="009C5F11" w:rsidRDefault="00AD7737"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Unitatea Teritorial-autonomă </w:t>
      </w:r>
      <w:r w:rsidR="00B00DCE" w:rsidRPr="009C5F11">
        <w:rPr>
          <w:rFonts w:ascii="Times New Roman" w:hAnsi="Times New Roman" w:cs="Times New Roman"/>
          <w:sz w:val="24"/>
          <w:lang w:val="ro-RO"/>
        </w:rPr>
        <w:t>G</w:t>
      </w:r>
      <w:r w:rsidRPr="009C5F11">
        <w:rPr>
          <w:rFonts w:ascii="Times New Roman" w:hAnsi="Times New Roman" w:cs="Times New Roman"/>
          <w:sz w:val="24"/>
          <w:lang w:val="ro-RO"/>
        </w:rPr>
        <w:t>ă</w:t>
      </w:r>
      <w:r w:rsidR="00B00DCE" w:rsidRPr="009C5F11">
        <w:rPr>
          <w:rFonts w:ascii="Times New Roman" w:hAnsi="Times New Roman" w:cs="Times New Roman"/>
          <w:sz w:val="24"/>
          <w:lang w:val="ro-RO"/>
        </w:rPr>
        <w:t>g</w:t>
      </w:r>
      <w:r w:rsidRPr="009C5F11">
        <w:rPr>
          <w:rFonts w:ascii="Times New Roman" w:hAnsi="Times New Roman" w:cs="Times New Roman"/>
          <w:sz w:val="24"/>
          <w:lang w:val="ro-RO"/>
        </w:rPr>
        <w:t>ă</w:t>
      </w:r>
      <w:r w:rsidR="00B00DCE" w:rsidRPr="009C5F11">
        <w:rPr>
          <w:rFonts w:ascii="Times New Roman" w:hAnsi="Times New Roman" w:cs="Times New Roman"/>
          <w:sz w:val="24"/>
          <w:lang w:val="ro-RO"/>
        </w:rPr>
        <w:t>uzia</w:t>
      </w:r>
      <w:r w:rsidRPr="009C5F11">
        <w:rPr>
          <w:rFonts w:ascii="Times New Roman" w:hAnsi="Times New Roman" w:cs="Times New Roman"/>
          <w:sz w:val="24"/>
          <w:lang w:val="ro-RO"/>
        </w:rPr>
        <w:t>;</w:t>
      </w:r>
    </w:p>
    <w:p w14:paraId="3B6F1FBB" w14:textId="77777777" w:rsidR="00B00DCE" w:rsidRPr="009C5F11" w:rsidRDefault="00AD7737"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Universitatea Tehnică din</w:t>
      </w:r>
      <w:r w:rsidR="00B00DCE" w:rsidRPr="009C5F11">
        <w:rPr>
          <w:rFonts w:ascii="Times New Roman" w:hAnsi="Times New Roman" w:cs="Times New Roman"/>
          <w:sz w:val="24"/>
          <w:lang w:val="ro-RO"/>
        </w:rPr>
        <w:t xml:space="preserve"> Moldova</w:t>
      </w:r>
      <w:r w:rsidRPr="009C5F11">
        <w:rPr>
          <w:rFonts w:ascii="Times New Roman" w:hAnsi="Times New Roman" w:cs="Times New Roman"/>
          <w:sz w:val="24"/>
          <w:lang w:val="ro-RO"/>
        </w:rPr>
        <w:t>;</w:t>
      </w:r>
      <w:r w:rsidR="00B00DCE" w:rsidRPr="009C5F11">
        <w:rPr>
          <w:rFonts w:ascii="Times New Roman" w:hAnsi="Times New Roman" w:cs="Times New Roman"/>
          <w:sz w:val="24"/>
          <w:lang w:val="ro-RO"/>
        </w:rPr>
        <w:t xml:space="preserve"> </w:t>
      </w:r>
    </w:p>
    <w:p w14:paraId="31212E50" w14:textId="77777777" w:rsidR="00B00DCE" w:rsidRPr="009C5F11" w:rsidRDefault="00AD7737"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Institutul de Energetică al </w:t>
      </w:r>
      <w:r w:rsidR="00B00DCE"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cademiei de Ştiinţe a </w:t>
      </w:r>
      <w:r w:rsidR="00B00DCE" w:rsidRPr="009C5F11">
        <w:rPr>
          <w:rFonts w:ascii="Times New Roman" w:hAnsi="Times New Roman" w:cs="Times New Roman"/>
          <w:sz w:val="24"/>
          <w:lang w:val="ro-RO"/>
        </w:rPr>
        <w:t>M</w:t>
      </w:r>
      <w:r w:rsidRPr="009C5F11">
        <w:rPr>
          <w:rFonts w:ascii="Times New Roman" w:hAnsi="Times New Roman" w:cs="Times New Roman"/>
          <w:sz w:val="24"/>
          <w:lang w:val="ro-RO"/>
        </w:rPr>
        <w:t>oldovei;</w:t>
      </w:r>
    </w:p>
    <w:p w14:paraId="60FA83AF" w14:textId="77777777" w:rsidR="00B00DCE" w:rsidRPr="009C5F11" w:rsidRDefault="00AA0566"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FEE</w:t>
      </w:r>
      <w:r w:rsidR="00AD7737" w:rsidRPr="009C5F11">
        <w:rPr>
          <w:rFonts w:ascii="Times New Roman" w:hAnsi="Times New Roman" w:cs="Times New Roman"/>
          <w:sz w:val="24"/>
          <w:lang w:val="ro-RO"/>
        </w:rPr>
        <w:t xml:space="preserve"> – </w:t>
      </w:r>
      <w:r w:rsidR="00321CD5" w:rsidRPr="009C5F11">
        <w:rPr>
          <w:rFonts w:ascii="Times New Roman" w:hAnsi="Times New Roman" w:cs="Times New Roman"/>
          <w:sz w:val="24"/>
          <w:lang w:val="ro-RO"/>
        </w:rPr>
        <w:t>Fondul pentru Eficienţă Energetică</w:t>
      </w:r>
      <w:r w:rsidR="00AD7737" w:rsidRPr="009C5F11">
        <w:rPr>
          <w:rFonts w:ascii="Times New Roman" w:hAnsi="Times New Roman" w:cs="Times New Roman"/>
          <w:sz w:val="24"/>
          <w:lang w:val="ro-RO"/>
        </w:rPr>
        <w:t>;</w:t>
      </w:r>
      <w:r w:rsidR="00B00DCE" w:rsidRPr="009C5F11">
        <w:rPr>
          <w:rFonts w:ascii="Times New Roman" w:hAnsi="Times New Roman" w:cs="Times New Roman"/>
          <w:sz w:val="24"/>
          <w:lang w:val="ro-RO"/>
        </w:rPr>
        <w:t xml:space="preserve"> </w:t>
      </w:r>
    </w:p>
    <w:p w14:paraId="059ABB80" w14:textId="77777777" w:rsidR="00B00DCE" w:rsidRPr="009C5F11" w:rsidRDefault="00F53252"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Fondul de Investiţii Sociale din Moldova</w:t>
      </w:r>
      <w:r w:rsidR="006A6D2F" w:rsidRPr="009C5F11">
        <w:rPr>
          <w:rFonts w:ascii="Times New Roman" w:hAnsi="Times New Roman" w:cs="Times New Roman"/>
          <w:sz w:val="24"/>
          <w:lang w:val="ro-RO"/>
        </w:rPr>
        <w:t xml:space="preserve"> (FISM)</w:t>
      </w:r>
      <w:r w:rsidR="00AD7737" w:rsidRPr="009C5F11">
        <w:rPr>
          <w:rFonts w:ascii="Times New Roman" w:hAnsi="Times New Roman" w:cs="Times New Roman"/>
          <w:sz w:val="24"/>
          <w:lang w:val="ro-RO"/>
        </w:rPr>
        <w:t>;</w:t>
      </w:r>
    </w:p>
    <w:p w14:paraId="1C17D8B2" w14:textId="77777777" w:rsidR="00B00DCE" w:rsidRPr="009C5F11" w:rsidRDefault="00AA0566"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BERD</w:t>
      </w:r>
      <w:r w:rsidR="00B00DCE"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 xml:space="preserve">proiectele </w:t>
      </w:r>
      <w:r w:rsidR="00B00DCE" w:rsidRPr="009C5F11">
        <w:rPr>
          <w:rFonts w:ascii="Times New Roman" w:hAnsi="Times New Roman" w:cs="Times New Roman"/>
          <w:sz w:val="24"/>
          <w:lang w:val="ro-RO"/>
        </w:rPr>
        <w:t xml:space="preserve">MoSEFF, </w:t>
      </w:r>
      <w:r w:rsidR="006A6D2F" w:rsidRPr="009C5F11">
        <w:rPr>
          <w:rFonts w:ascii="Times New Roman" w:hAnsi="Times New Roman" w:cs="Times New Roman"/>
          <w:sz w:val="24"/>
          <w:lang w:val="ro-RO"/>
        </w:rPr>
        <w:t>MoREEFF</w:t>
      </w:r>
      <w:r w:rsidR="00AD7737" w:rsidRPr="009C5F11">
        <w:rPr>
          <w:rFonts w:ascii="Times New Roman" w:hAnsi="Times New Roman" w:cs="Times New Roman"/>
          <w:sz w:val="24"/>
          <w:lang w:val="ro-RO"/>
        </w:rPr>
        <w:t>;</w:t>
      </w:r>
      <w:r w:rsidR="00B00DCE" w:rsidRPr="009C5F11">
        <w:rPr>
          <w:rFonts w:ascii="Times New Roman" w:hAnsi="Times New Roman" w:cs="Times New Roman"/>
          <w:sz w:val="24"/>
          <w:lang w:val="ro-RO"/>
        </w:rPr>
        <w:t xml:space="preserve"> </w:t>
      </w:r>
    </w:p>
    <w:p w14:paraId="59E0EB2C" w14:textId="77777777" w:rsidR="00B00DCE" w:rsidRPr="009C5F11" w:rsidRDefault="00321CD5"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PNUD</w:t>
      </w:r>
      <w:r w:rsidR="00B00DCE" w:rsidRPr="009C5F11">
        <w:rPr>
          <w:rFonts w:ascii="Times New Roman" w:hAnsi="Times New Roman" w:cs="Times New Roman"/>
          <w:sz w:val="24"/>
          <w:lang w:val="ro-RO"/>
        </w:rPr>
        <w:t xml:space="preserve"> Moldova: </w:t>
      </w:r>
      <w:r w:rsidRPr="009C5F11">
        <w:rPr>
          <w:rFonts w:ascii="Times New Roman" w:hAnsi="Times New Roman" w:cs="Times New Roman"/>
          <w:sz w:val="24"/>
          <w:lang w:val="ro-RO"/>
        </w:rPr>
        <w:t xml:space="preserve">Proiectul Energie şi Biomasă </w:t>
      </w:r>
      <w:r w:rsidR="00223DAC" w:rsidRPr="009C5F11">
        <w:rPr>
          <w:rFonts w:ascii="Times New Roman" w:hAnsi="Times New Roman" w:cs="Times New Roman"/>
          <w:sz w:val="24"/>
          <w:lang w:val="ro-RO"/>
        </w:rPr>
        <w:t>în Moldova</w:t>
      </w:r>
      <w:r w:rsidR="00AD7737" w:rsidRPr="009C5F11">
        <w:rPr>
          <w:rFonts w:ascii="Times New Roman" w:hAnsi="Times New Roman" w:cs="Times New Roman"/>
          <w:sz w:val="24"/>
          <w:lang w:val="ro-RO"/>
        </w:rPr>
        <w:t>;</w:t>
      </w:r>
    </w:p>
    <w:p w14:paraId="24AACDE7" w14:textId="77777777" w:rsidR="00C11DB4" w:rsidRPr="009C5F11" w:rsidRDefault="00AD7737"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ONG “Asociaţia pentru promovarea energiei renovabile”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Asociaţia obştească “</w:t>
      </w:r>
      <w:r w:rsidR="003234E5" w:rsidRPr="009C5F11">
        <w:rPr>
          <w:rFonts w:ascii="Times New Roman" w:hAnsi="Times New Roman" w:cs="Times New Roman"/>
          <w:sz w:val="24"/>
          <w:lang w:val="ro-RO"/>
        </w:rPr>
        <w:t>I</w:t>
      </w:r>
      <w:r w:rsidR="00B00DCE" w:rsidRPr="009C5F11">
        <w:rPr>
          <w:rFonts w:ascii="Times New Roman" w:hAnsi="Times New Roman" w:cs="Times New Roman"/>
          <w:sz w:val="24"/>
          <w:lang w:val="ro-RO"/>
        </w:rPr>
        <w:t>nstitut</w:t>
      </w:r>
      <w:r w:rsidRPr="009C5F11">
        <w:rPr>
          <w:rFonts w:ascii="Times New Roman" w:hAnsi="Times New Roman" w:cs="Times New Roman"/>
          <w:sz w:val="24"/>
          <w:lang w:val="ro-RO"/>
        </w:rPr>
        <w:t>ul case</w:t>
      </w:r>
      <w:r w:rsidR="003234E5" w:rsidRPr="009C5F11">
        <w:rPr>
          <w:rFonts w:ascii="Times New Roman" w:hAnsi="Times New Roman" w:cs="Times New Roman"/>
          <w:sz w:val="24"/>
          <w:lang w:val="ro-RO"/>
        </w:rPr>
        <w:t>i</w:t>
      </w:r>
      <w:r w:rsidRPr="009C5F11">
        <w:rPr>
          <w:rFonts w:ascii="Times New Roman" w:hAnsi="Times New Roman" w:cs="Times New Roman"/>
          <w:sz w:val="24"/>
          <w:lang w:val="ro-RO"/>
        </w:rPr>
        <w:t xml:space="preserve"> pasive</w:t>
      </w:r>
      <w:r w:rsidR="003234E5"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w:t>
      </w:r>
    </w:p>
    <w:p w14:paraId="47A9E55E" w14:textId="69E48AFA" w:rsidR="00C11DB4" w:rsidRPr="009C5F11" w:rsidRDefault="00F56424" w:rsidP="00124404">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 xml:space="preserve">Procesul de consultări publice derulat intens în primăvara 2016 le-a permis Ministerului Economiei şi Agenţiei pentru Eficienţă Energetică să </w:t>
      </w:r>
      <w:r w:rsidR="006A6D2F" w:rsidRPr="009C5F11">
        <w:rPr>
          <w:rFonts w:ascii="Times New Roman" w:hAnsi="Times New Roman" w:cs="Times New Roman"/>
          <w:sz w:val="24"/>
          <w:lang w:val="ro-RO"/>
        </w:rPr>
        <w:t>colecteze</w:t>
      </w:r>
      <w:r w:rsidRPr="009C5F11">
        <w:rPr>
          <w:rFonts w:ascii="Times New Roman" w:hAnsi="Times New Roman" w:cs="Times New Roman"/>
          <w:sz w:val="24"/>
          <w:lang w:val="ro-RO"/>
        </w:rPr>
        <w:t xml:space="preserve"> toate opiniile şi să </w:t>
      </w:r>
      <w:r w:rsidR="006F5ED3" w:rsidRPr="009C5F11">
        <w:rPr>
          <w:rFonts w:ascii="Times New Roman" w:hAnsi="Times New Roman" w:cs="Times New Roman"/>
          <w:sz w:val="24"/>
          <w:lang w:val="ro-RO"/>
        </w:rPr>
        <w:t>le aiba in vedere</w:t>
      </w:r>
      <w:r w:rsidRPr="009C5F11">
        <w:rPr>
          <w:rFonts w:ascii="Times New Roman" w:hAnsi="Times New Roman" w:cs="Times New Roman"/>
          <w:sz w:val="24"/>
          <w:lang w:val="ro-RO"/>
        </w:rPr>
        <w:t xml:space="preserve"> pentru </w:t>
      </w:r>
      <w:r w:rsidR="006F5ED3" w:rsidRPr="009C5F11">
        <w:rPr>
          <w:rFonts w:ascii="Times New Roman" w:hAnsi="Times New Roman" w:cs="Times New Roman"/>
          <w:sz w:val="24"/>
          <w:lang w:val="ro-RO"/>
        </w:rPr>
        <w:t xml:space="preserve">aprobarea </w:t>
      </w:r>
      <w:r w:rsidRPr="009C5F11">
        <w:rPr>
          <w:rFonts w:ascii="Times New Roman" w:hAnsi="Times New Roman" w:cs="Times New Roman"/>
          <w:sz w:val="24"/>
          <w:lang w:val="ro-RO"/>
        </w:rPr>
        <w:t>versiun</w:t>
      </w:r>
      <w:r w:rsidR="006F5ED3" w:rsidRPr="009C5F11">
        <w:rPr>
          <w:rFonts w:ascii="Times New Roman" w:hAnsi="Times New Roman" w:cs="Times New Roman"/>
          <w:sz w:val="24"/>
          <w:lang w:val="ro-RO"/>
        </w:rPr>
        <w:t>ii</w:t>
      </w:r>
      <w:r w:rsidRPr="009C5F11">
        <w:rPr>
          <w:rFonts w:ascii="Times New Roman" w:hAnsi="Times New Roman" w:cs="Times New Roman"/>
          <w:sz w:val="24"/>
          <w:lang w:val="ro-RO"/>
        </w:rPr>
        <w:t xml:space="preserve"> final</w:t>
      </w:r>
      <w:r w:rsidR="006F5ED3"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a Planului naţional de acţiuni </w:t>
      </w:r>
      <w:r w:rsidR="006A6D2F" w:rsidRPr="009C5F11">
        <w:rPr>
          <w:rFonts w:ascii="Times New Roman" w:hAnsi="Times New Roman" w:cs="Times New Roman"/>
          <w:sz w:val="24"/>
          <w:lang w:val="ro-RO"/>
        </w:rPr>
        <w:t>în domeniul</w:t>
      </w:r>
      <w:r w:rsidRPr="009C5F11">
        <w:rPr>
          <w:rFonts w:ascii="Times New Roman" w:hAnsi="Times New Roman" w:cs="Times New Roman"/>
          <w:sz w:val="24"/>
          <w:lang w:val="ro-RO"/>
        </w:rPr>
        <w:t xml:space="preserve"> eficienţ</w:t>
      </w:r>
      <w:r w:rsidR="006A6D2F" w:rsidRPr="009C5F11">
        <w:rPr>
          <w:rFonts w:ascii="Times New Roman" w:hAnsi="Times New Roman" w:cs="Times New Roman"/>
          <w:sz w:val="24"/>
          <w:lang w:val="ro-RO"/>
        </w:rPr>
        <w:t>ei</w:t>
      </w:r>
      <w:r w:rsidRPr="009C5F11">
        <w:rPr>
          <w:rFonts w:ascii="Times New Roman" w:hAnsi="Times New Roman" w:cs="Times New Roman"/>
          <w:sz w:val="24"/>
          <w:lang w:val="ro-RO"/>
        </w:rPr>
        <w:t xml:space="preserve"> energetic</w:t>
      </w:r>
      <w:r w:rsidR="006A6D2F"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2016-2018.</w:t>
      </w:r>
    </w:p>
    <w:p w14:paraId="5BD127CE" w14:textId="77777777" w:rsidR="00C11DB4" w:rsidRPr="009C5F11" w:rsidRDefault="00C11DB4" w:rsidP="00464148">
      <w:pPr>
        <w:spacing w:before="120" w:after="120" w:line="240" w:lineRule="auto"/>
        <w:jc w:val="both"/>
        <w:rPr>
          <w:rFonts w:ascii="Times New Roman" w:hAnsi="Times New Roman" w:cs="Times New Roman"/>
          <w:sz w:val="24"/>
          <w:lang w:val="ro-RO"/>
        </w:rPr>
      </w:pPr>
    </w:p>
    <w:p w14:paraId="01F0EFD1" w14:textId="77777777" w:rsidR="00993BB8" w:rsidRPr="009C5F11" w:rsidRDefault="000A4CC7" w:rsidP="00993BB8">
      <w:pPr>
        <w:spacing w:after="0" w:line="240" w:lineRule="auto"/>
        <w:jc w:val="both"/>
        <w:rPr>
          <w:rFonts w:ascii="Times New Roman" w:hAnsi="Times New Roman" w:cs="Times New Roman"/>
          <w:b/>
          <w:caps/>
          <w:sz w:val="24"/>
          <w:lang w:val="ro-RO"/>
        </w:rPr>
      </w:pPr>
      <w:r w:rsidRPr="009C5F11">
        <w:rPr>
          <w:rFonts w:ascii="Times New Roman" w:hAnsi="Times New Roman" w:cs="Times New Roman"/>
          <w:b/>
          <w:caps/>
          <w:sz w:val="24"/>
          <w:lang w:val="ro-RO"/>
        </w:rPr>
        <w:t xml:space="preserve">Revizuirea </w:t>
      </w:r>
      <w:r w:rsidR="00720A89" w:rsidRPr="009C5F11">
        <w:rPr>
          <w:rFonts w:ascii="Times New Roman" w:hAnsi="Times New Roman" w:cs="Times New Roman"/>
          <w:b/>
          <w:caps/>
          <w:sz w:val="24"/>
          <w:lang w:val="ro-RO"/>
        </w:rPr>
        <w:t>obiectiv</w:t>
      </w:r>
      <w:r w:rsidR="003461D4" w:rsidRPr="009C5F11">
        <w:rPr>
          <w:rFonts w:ascii="Times New Roman" w:hAnsi="Times New Roman" w:cs="Times New Roman"/>
          <w:b/>
          <w:caps/>
          <w:sz w:val="24"/>
          <w:lang w:val="ro-RO"/>
        </w:rPr>
        <w:t>ELOR</w:t>
      </w:r>
      <w:r w:rsidRPr="009C5F11">
        <w:rPr>
          <w:rFonts w:ascii="Times New Roman" w:hAnsi="Times New Roman" w:cs="Times New Roman"/>
          <w:b/>
          <w:caps/>
          <w:sz w:val="24"/>
          <w:lang w:val="ro-RO"/>
        </w:rPr>
        <w:t xml:space="preserve"> </w:t>
      </w:r>
    </w:p>
    <w:p w14:paraId="6F0D1A0E" w14:textId="563369E7" w:rsidR="0014013D" w:rsidRPr="009C5F11" w:rsidRDefault="001B3DD5" w:rsidP="0014013D">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 xml:space="preserve">Pentru redactarea </w:t>
      </w:r>
      <w:r w:rsidR="00872DC2" w:rsidRPr="009C5F11">
        <w:rPr>
          <w:rFonts w:ascii="Times New Roman" w:hAnsi="Times New Roman" w:cs="Times New Roman"/>
          <w:sz w:val="24"/>
          <w:lang w:val="ro-RO"/>
        </w:rPr>
        <w:t>PNAEE</w:t>
      </w:r>
      <w:r w:rsidR="00464148"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secund </w:t>
      </w:r>
      <w:r w:rsidR="00137156" w:rsidRPr="009C5F11">
        <w:rPr>
          <w:rFonts w:ascii="Times New Roman" w:hAnsi="Times New Roman" w:cs="Times New Roman"/>
          <w:sz w:val="24"/>
          <w:lang w:val="ro-RO"/>
        </w:rPr>
        <w:t>al Republicii Moldova</w:t>
      </w:r>
      <w:r w:rsidR="00464148"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au fost </w:t>
      </w:r>
      <w:r w:rsidR="00137156" w:rsidRPr="009C5F11">
        <w:rPr>
          <w:rFonts w:ascii="Times New Roman" w:hAnsi="Times New Roman" w:cs="Times New Roman"/>
          <w:sz w:val="24"/>
          <w:lang w:val="ro-RO"/>
        </w:rPr>
        <w:t>revizui</w:t>
      </w:r>
      <w:r w:rsidRPr="009C5F11">
        <w:rPr>
          <w:rFonts w:ascii="Times New Roman" w:hAnsi="Times New Roman" w:cs="Times New Roman"/>
          <w:sz w:val="24"/>
          <w:lang w:val="ro-RO"/>
        </w:rPr>
        <w:t xml:space="preserve">te </w:t>
      </w:r>
      <w:r w:rsidR="00720A89" w:rsidRPr="009C5F11">
        <w:rPr>
          <w:rFonts w:ascii="Times New Roman" w:hAnsi="Times New Roman" w:cs="Times New Roman"/>
          <w:sz w:val="24"/>
          <w:lang w:val="ro-RO"/>
        </w:rPr>
        <w:t>obiective</w:t>
      </w:r>
      <w:r w:rsidR="00137156" w:rsidRPr="009C5F11">
        <w:rPr>
          <w:rFonts w:ascii="Times New Roman" w:hAnsi="Times New Roman" w:cs="Times New Roman"/>
          <w:sz w:val="24"/>
          <w:lang w:val="ro-RO"/>
        </w:rPr>
        <w:t>l</w:t>
      </w:r>
      <w:r w:rsidRPr="009C5F11">
        <w:rPr>
          <w:rFonts w:ascii="Times New Roman" w:hAnsi="Times New Roman" w:cs="Times New Roman"/>
          <w:sz w:val="24"/>
          <w:lang w:val="ro-RO"/>
        </w:rPr>
        <w:t>e</w:t>
      </w:r>
      <w:r w:rsidR="00720A89" w:rsidRPr="009C5F11">
        <w:rPr>
          <w:rFonts w:ascii="Times New Roman" w:hAnsi="Times New Roman" w:cs="Times New Roman"/>
          <w:sz w:val="24"/>
          <w:lang w:val="ro-RO"/>
        </w:rPr>
        <w:t xml:space="preserve"> </w:t>
      </w:r>
      <w:r w:rsidR="00137156" w:rsidRPr="009C5F11">
        <w:rPr>
          <w:rFonts w:ascii="Times New Roman" w:hAnsi="Times New Roman" w:cs="Times New Roman"/>
          <w:sz w:val="24"/>
          <w:lang w:val="ro-RO"/>
        </w:rPr>
        <w:t>stabilite de</w:t>
      </w:r>
      <w:r w:rsidR="00464148"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PNEE</w:t>
      </w:r>
      <w:r w:rsidR="00464148" w:rsidRPr="009C5F11">
        <w:rPr>
          <w:rFonts w:ascii="Times New Roman" w:hAnsi="Times New Roman" w:cs="Times New Roman"/>
          <w:sz w:val="24"/>
          <w:lang w:val="ro-RO"/>
        </w:rPr>
        <w:t xml:space="preserve"> 2011-2020</w:t>
      </w:r>
      <w:r w:rsidR="00321CD5" w:rsidRPr="009C5F11">
        <w:rPr>
          <w:rFonts w:ascii="Times New Roman" w:hAnsi="Times New Roman" w:cs="Times New Roman"/>
          <w:sz w:val="24"/>
          <w:lang w:val="ro-RO"/>
        </w:rPr>
        <w:t xml:space="preserve"> şi </w:t>
      </w:r>
      <w:r w:rsidR="00872DC2" w:rsidRPr="009C5F11">
        <w:rPr>
          <w:rFonts w:ascii="Times New Roman" w:hAnsi="Times New Roman" w:cs="Times New Roman"/>
          <w:sz w:val="24"/>
          <w:lang w:val="ro-RO"/>
        </w:rPr>
        <w:t>PNAEE</w:t>
      </w:r>
      <w:r w:rsidR="00464148" w:rsidRPr="009C5F11">
        <w:rPr>
          <w:rFonts w:ascii="Times New Roman" w:hAnsi="Times New Roman" w:cs="Times New Roman"/>
          <w:sz w:val="24"/>
          <w:lang w:val="ro-RO"/>
        </w:rPr>
        <w:t xml:space="preserve"> 2013-2015</w:t>
      </w:r>
      <w:r w:rsidR="00137156" w:rsidRPr="009C5F11">
        <w:rPr>
          <w:rFonts w:ascii="Times New Roman" w:hAnsi="Times New Roman" w:cs="Times New Roman"/>
          <w:sz w:val="24"/>
          <w:lang w:val="ro-RO"/>
        </w:rPr>
        <w:t xml:space="preserve">, sumarul </w:t>
      </w:r>
      <w:r w:rsidR="006F5ED3" w:rsidRPr="009C5F11">
        <w:rPr>
          <w:rFonts w:ascii="Times New Roman" w:hAnsi="Times New Roman" w:cs="Times New Roman"/>
          <w:sz w:val="24"/>
          <w:lang w:val="ro-RO"/>
        </w:rPr>
        <w:t>acestora fiind</w:t>
      </w:r>
      <w:r w:rsidR="00137156" w:rsidRPr="009C5F11">
        <w:rPr>
          <w:rFonts w:ascii="Times New Roman" w:hAnsi="Times New Roman" w:cs="Times New Roman"/>
          <w:sz w:val="24"/>
          <w:lang w:val="ro-RO"/>
        </w:rPr>
        <w:t xml:space="preserve"> inclus </w:t>
      </w:r>
      <w:r w:rsidR="00321CD5" w:rsidRPr="009C5F11">
        <w:rPr>
          <w:rFonts w:ascii="Times New Roman" w:hAnsi="Times New Roman" w:cs="Times New Roman"/>
          <w:sz w:val="24"/>
          <w:lang w:val="ro-RO"/>
        </w:rPr>
        <w:t xml:space="preserve">în </w:t>
      </w:r>
      <w:r w:rsidR="00672E6E" w:rsidRPr="009C5F11">
        <w:rPr>
          <w:rFonts w:ascii="Times New Roman" w:hAnsi="Times New Roman" w:cs="Times New Roman"/>
          <w:sz w:val="24"/>
          <w:lang w:val="ro-RO"/>
        </w:rPr>
        <w:fldChar w:fldCharType="begin"/>
      </w:r>
      <w:r w:rsidR="00672E6E" w:rsidRPr="009C5F11">
        <w:rPr>
          <w:rFonts w:ascii="Times New Roman" w:hAnsi="Times New Roman" w:cs="Times New Roman"/>
          <w:sz w:val="24"/>
          <w:lang w:val="ro-RO"/>
        </w:rPr>
        <w:instrText xml:space="preserve"> REF _Ref319761514 \h  \* MERGEFORMAT </w:instrText>
      </w:r>
      <w:r w:rsidR="00672E6E" w:rsidRPr="009C5F11">
        <w:rPr>
          <w:rFonts w:ascii="Times New Roman" w:hAnsi="Times New Roman" w:cs="Times New Roman"/>
          <w:sz w:val="24"/>
          <w:lang w:val="ro-RO"/>
        </w:rPr>
      </w:r>
      <w:r w:rsidR="00672E6E" w:rsidRPr="009C5F11">
        <w:rPr>
          <w:rFonts w:ascii="Times New Roman" w:hAnsi="Times New Roman" w:cs="Times New Roman"/>
          <w:sz w:val="24"/>
          <w:lang w:val="ro-RO"/>
        </w:rPr>
        <w:fldChar w:fldCharType="separate"/>
      </w:r>
      <w:r w:rsidR="0014013D" w:rsidRPr="009C5F11">
        <w:rPr>
          <w:rFonts w:ascii="Times New Roman" w:hAnsi="Times New Roman" w:cs="Times New Roman"/>
          <w:sz w:val="24"/>
          <w:lang w:val="ro-RO"/>
        </w:rPr>
        <w:t xml:space="preserve">Metodologia de calcul (dupa cum este furnizata de DSE si DEE), precum si setul de presupuneri sunt prezentate explicit in Sectiunea </w:t>
      </w:r>
      <w:r w:rsidR="0014013D">
        <w:rPr>
          <w:rFonts w:ascii="Times New Roman" w:hAnsi="Times New Roman" w:cs="Times New Roman"/>
          <w:sz w:val="24"/>
          <w:lang w:val="ro-RO"/>
        </w:rPr>
        <w:t>1.3.2</w:t>
      </w:r>
      <w:r w:rsidR="0014013D" w:rsidRPr="009C5F11">
        <w:rPr>
          <w:rFonts w:ascii="Times New Roman" w:hAnsi="Times New Roman" w:cs="Times New Roman"/>
          <w:noProof/>
          <w:sz w:val="24"/>
          <w:lang w:val="ro-RO"/>
        </w:rPr>
        <w:t xml:space="preserve"> </w:t>
      </w:r>
      <w:r w:rsidR="0014013D" w:rsidRPr="009C5F11">
        <w:rPr>
          <w:rFonts w:ascii="Times New Roman" w:hAnsi="Times New Roman" w:cs="Times New Roman"/>
          <w:sz w:val="24"/>
          <w:lang w:val="ro-RO"/>
        </w:rPr>
        <w:t xml:space="preserve">si in Sectiunea </w:t>
      </w:r>
      <w:r w:rsidR="0014013D">
        <w:rPr>
          <w:rFonts w:ascii="Times New Roman" w:hAnsi="Times New Roman" w:cs="Times New Roman"/>
          <w:sz w:val="24"/>
          <w:lang w:val="ro-RO"/>
        </w:rPr>
        <w:t>1.3.3</w:t>
      </w:r>
      <w:r w:rsidR="0014013D" w:rsidRPr="009C5F11">
        <w:rPr>
          <w:rFonts w:ascii="Times New Roman" w:hAnsi="Times New Roman" w:cs="Times New Roman"/>
          <w:sz w:val="24"/>
          <w:lang w:val="ro-RO"/>
        </w:rPr>
        <w:t xml:space="preserve">. Sectiunea </w:t>
      </w:r>
      <w:r w:rsidR="0014013D">
        <w:rPr>
          <w:rFonts w:ascii="Times New Roman" w:hAnsi="Times New Roman" w:cs="Times New Roman"/>
          <w:sz w:val="24"/>
          <w:lang w:val="ro-RO"/>
        </w:rPr>
        <w:t>1.3.2</w:t>
      </w:r>
      <w:r w:rsidR="0014013D" w:rsidRPr="009C5F11">
        <w:rPr>
          <w:rFonts w:ascii="Times New Roman" w:hAnsi="Times New Roman" w:cs="Times New Roman"/>
          <w:noProof/>
          <w:sz w:val="24"/>
          <w:lang w:val="ro-RO"/>
        </w:rPr>
        <w:t xml:space="preserve"> </w:t>
      </w:r>
      <w:r w:rsidR="0014013D" w:rsidRPr="009C5F11">
        <w:rPr>
          <w:rFonts w:ascii="Times New Roman" w:hAnsi="Times New Roman" w:cs="Times New Roman"/>
          <w:sz w:val="24"/>
          <w:lang w:val="ro-RO"/>
        </w:rPr>
        <w:t>ofera de asemenea explicatia asupra ratiunilor pentru existenta unor diferente in abordarea calculului in cadrul NEEAP 2013-2015. De asemenea particularitatile Moldovei privind calcul</w:t>
      </w:r>
      <w:r w:rsidR="006205EB">
        <w:rPr>
          <w:rFonts w:ascii="Times New Roman" w:hAnsi="Times New Roman" w:cs="Times New Roman"/>
          <w:sz w:val="24"/>
          <w:lang w:val="ro-RO"/>
        </w:rPr>
        <w:t>e</w:t>
      </w:r>
      <w:r w:rsidR="0014013D" w:rsidRPr="009C5F11">
        <w:rPr>
          <w:rFonts w:ascii="Times New Roman" w:hAnsi="Times New Roman" w:cs="Times New Roman"/>
          <w:sz w:val="24"/>
          <w:lang w:val="ro-RO"/>
        </w:rPr>
        <w:t>le specifice sunt explicate in detaliu.</w:t>
      </w:r>
    </w:p>
    <w:p w14:paraId="132CE092" w14:textId="6D21F258" w:rsidR="003461D4" w:rsidRPr="009C5F11" w:rsidRDefault="0014013D" w:rsidP="00124404">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lang w:val="ro-RO"/>
        </w:rPr>
        <w:t xml:space="preserve">Tabelul </w:t>
      </w:r>
      <w:r>
        <w:rPr>
          <w:rFonts w:ascii="Times New Roman" w:hAnsi="Times New Roman" w:cs="Times New Roman"/>
          <w:noProof/>
          <w:lang w:val="ro-RO"/>
        </w:rPr>
        <w:t>1</w:t>
      </w:r>
      <w:r w:rsidR="00672E6E" w:rsidRPr="009C5F11">
        <w:rPr>
          <w:rFonts w:ascii="Times New Roman" w:hAnsi="Times New Roman" w:cs="Times New Roman"/>
          <w:sz w:val="24"/>
          <w:lang w:val="ro-RO"/>
        </w:rPr>
        <w:fldChar w:fldCharType="end"/>
      </w:r>
      <w:r w:rsidR="00212B97" w:rsidRPr="009C5F11">
        <w:rPr>
          <w:rFonts w:ascii="Times New Roman" w:hAnsi="Times New Roman" w:cs="Times New Roman"/>
          <w:sz w:val="24"/>
          <w:lang w:val="ro-RO"/>
        </w:rPr>
        <w:t>. Revi</w:t>
      </w:r>
      <w:r w:rsidR="00137156" w:rsidRPr="009C5F11">
        <w:rPr>
          <w:rFonts w:ascii="Times New Roman" w:hAnsi="Times New Roman" w:cs="Times New Roman"/>
          <w:sz w:val="24"/>
          <w:lang w:val="ro-RO"/>
        </w:rPr>
        <w:t>zuirea a fost efectuată în conformitate cu</w:t>
      </w:r>
      <w:r w:rsidR="006F5ED3" w:rsidRPr="009C5F11">
        <w:rPr>
          <w:rFonts w:ascii="Times New Roman" w:hAnsi="Times New Roman" w:cs="Times New Roman"/>
          <w:sz w:val="24"/>
          <w:lang w:val="ro-RO"/>
        </w:rPr>
        <w:t xml:space="preserve"> </w:t>
      </w:r>
    </w:p>
    <w:p w14:paraId="3BB00AFF" w14:textId="77777777" w:rsidR="003461D4" w:rsidRPr="009C5F11" w:rsidRDefault="000A4CC7" w:rsidP="00334F3B">
      <w:pPr>
        <w:pStyle w:val="Listparagraf"/>
        <w:numPr>
          <w:ilvl w:val="0"/>
          <w:numId w:val="204"/>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Articolul</w:t>
      </w:r>
      <w:r w:rsidR="002E4994" w:rsidRPr="009C5F11">
        <w:rPr>
          <w:rFonts w:ascii="Times New Roman" w:hAnsi="Times New Roman" w:cs="Times New Roman"/>
          <w:sz w:val="24"/>
          <w:lang w:val="ro-RO"/>
        </w:rPr>
        <w:t xml:space="preserve"> 4</w:t>
      </w:r>
      <w:r w:rsidR="001B3DD5" w:rsidRPr="009C5F11">
        <w:rPr>
          <w:rFonts w:ascii="Times New Roman" w:hAnsi="Times New Roman" w:cs="Times New Roman"/>
          <w:sz w:val="24"/>
          <w:lang w:val="ro-RO"/>
        </w:rPr>
        <w:t xml:space="preserve"> alineatul </w:t>
      </w:r>
      <w:r w:rsidR="002E4994" w:rsidRPr="009C5F11">
        <w:rPr>
          <w:rFonts w:ascii="Times New Roman" w:hAnsi="Times New Roman" w:cs="Times New Roman"/>
          <w:sz w:val="24"/>
          <w:lang w:val="ro-RO"/>
        </w:rPr>
        <w:t>(1)</w:t>
      </w:r>
      <w:r w:rsidR="00BA1BE3" w:rsidRPr="009C5F11">
        <w:rPr>
          <w:rStyle w:val="Referinnotdesubsol"/>
          <w:rFonts w:ascii="Times New Roman" w:hAnsi="Times New Roman" w:cs="Times New Roman"/>
          <w:sz w:val="24"/>
          <w:lang w:val="ro-RO"/>
        </w:rPr>
        <w:footnoteReference w:id="1"/>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Anexa</w:t>
      </w:r>
      <w:r w:rsidR="00BA1BE3" w:rsidRPr="009C5F11">
        <w:rPr>
          <w:rFonts w:ascii="Times New Roman" w:hAnsi="Times New Roman" w:cs="Times New Roman"/>
          <w:sz w:val="24"/>
          <w:lang w:val="ro-RO"/>
        </w:rPr>
        <w:t xml:space="preserve"> I</w:t>
      </w:r>
      <w:r w:rsidR="00BA1BE3" w:rsidRPr="009C5F11">
        <w:rPr>
          <w:rStyle w:val="Referinnotdesubsol"/>
          <w:rFonts w:ascii="Times New Roman" w:hAnsi="Times New Roman" w:cs="Times New Roman"/>
          <w:sz w:val="24"/>
          <w:lang w:val="ro-RO"/>
        </w:rPr>
        <w:footnoteReference w:id="2"/>
      </w:r>
      <w:r w:rsidR="00BA1BE3"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la</w:t>
      </w:r>
      <w:r w:rsidR="00BA1BE3" w:rsidRPr="009C5F11">
        <w:rPr>
          <w:rFonts w:ascii="Times New Roman" w:hAnsi="Times New Roman" w:cs="Times New Roman"/>
          <w:sz w:val="24"/>
          <w:lang w:val="ro-RO"/>
        </w:rPr>
        <w:t xml:space="preserve"> Directiv</w:t>
      </w:r>
      <w:r w:rsidRPr="009C5F11">
        <w:rPr>
          <w:rFonts w:ascii="Times New Roman" w:hAnsi="Times New Roman" w:cs="Times New Roman"/>
          <w:sz w:val="24"/>
          <w:lang w:val="ro-RO"/>
        </w:rPr>
        <w:t>a</w:t>
      </w:r>
      <w:r w:rsidR="00BA1BE3" w:rsidRPr="009C5F11">
        <w:rPr>
          <w:rFonts w:ascii="Times New Roman" w:hAnsi="Times New Roman" w:cs="Times New Roman"/>
          <w:sz w:val="24"/>
          <w:lang w:val="ro-RO"/>
        </w:rPr>
        <w:t xml:space="preserve"> 2006/32</w:t>
      </w:r>
      <w:r w:rsidRPr="009C5F11">
        <w:rPr>
          <w:rFonts w:ascii="Times New Roman" w:hAnsi="Times New Roman" w:cs="Times New Roman"/>
          <w:sz w:val="24"/>
          <w:lang w:val="ro-RO"/>
        </w:rPr>
        <w:t>/CE</w:t>
      </w:r>
      <w:r w:rsidR="00BA1BE3"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DSE</w:t>
      </w:r>
      <w:r w:rsidR="00BA1BE3" w:rsidRPr="009C5F11">
        <w:rPr>
          <w:rFonts w:ascii="Times New Roman" w:hAnsi="Times New Roman" w:cs="Times New Roman"/>
          <w:sz w:val="24"/>
          <w:lang w:val="ro-RO"/>
        </w:rPr>
        <w:t xml:space="preserve">) </w:t>
      </w:r>
      <w:r w:rsidR="00137156" w:rsidRPr="009C5F11">
        <w:rPr>
          <w:rFonts w:ascii="Times New Roman" w:hAnsi="Times New Roman" w:cs="Times New Roman"/>
          <w:sz w:val="24"/>
          <w:lang w:val="ro-RO"/>
        </w:rPr>
        <w:t>şi</w:t>
      </w:r>
      <w:r w:rsidR="006F5ED3" w:rsidRPr="009C5F11">
        <w:rPr>
          <w:rFonts w:ascii="Times New Roman" w:hAnsi="Times New Roman" w:cs="Times New Roman"/>
          <w:sz w:val="24"/>
          <w:lang w:val="ro-RO"/>
        </w:rPr>
        <w:t xml:space="preserve"> </w:t>
      </w:r>
    </w:p>
    <w:p w14:paraId="6BA2ADD4" w14:textId="77777777" w:rsidR="00464148" w:rsidRPr="009C5F11" w:rsidRDefault="000A4CC7" w:rsidP="00334F3B">
      <w:pPr>
        <w:pStyle w:val="Listparagraf"/>
        <w:numPr>
          <w:ilvl w:val="0"/>
          <w:numId w:val="204"/>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lastRenderedPageBreak/>
        <w:t xml:space="preserve">Directiva </w:t>
      </w:r>
      <w:r w:rsidR="00464148" w:rsidRPr="009C5F11">
        <w:rPr>
          <w:rFonts w:ascii="Times New Roman" w:hAnsi="Times New Roman" w:cs="Times New Roman"/>
          <w:sz w:val="24"/>
          <w:lang w:val="ro-RO"/>
        </w:rPr>
        <w:t>2012/27</w:t>
      </w:r>
      <w:r w:rsidR="00730BB5" w:rsidRPr="009C5F11">
        <w:rPr>
          <w:rFonts w:ascii="Times New Roman" w:hAnsi="Times New Roman" w:cs="Times New Roman"/>
          <w:sz w:val="24"/>
          <w:lang w:val="ro-RO"/>
        </w:rPr>
        <w:t>/UE</w:t>
      </w:r>
      <w:r w:rsidR="00464148" w:rsidRPr="009C5F11">
        <w:rPr>
          <w:rFonts w:ascii="Times New Roman" w:hAnsi="Times New Roman" w:cs="Times New Roman"/>
          <w:sz w:val="24"/>
          <w:lang w:val="ro-RO"/>
        </w:rPr>
        <w:t xml:space="preserve"> </w:t>
      </w:r>
      <w:r w:rsidR="001B3DD5" w:rsidRPr="009C5F11">
        <w:rPr>
          <w:rFonts w:ascii="Times New Roman" w:hAnsi="Times New Roman" w:cs="Times New Roman"/>
          <w:sz w:val="24"/>
          <w:lang w:val="ro-RO"/>
        </w:rPr>
        <w:t>d</w:t>
      </w:r>
      <w:r w:rsidR="00137156" w:rsidRPr="009C5F11">
        <w:rPr>
          <w:rFonts w:ascii="Times New Roman" w:hAnsi="Times New Roman" w:cs="Times New Roman"/>
          <w:sz w:val="24"/>
          <w:lang w:val="ro-RO"/>
        </w:rPr>
        <w:t>upă cum a</w:t>
      </w:r>
      <w:r w:rsidR="006F5ED3" w:rsidRPr="009C5F11">
        <w:rPr>
          <w:rFonts w:ascii="Times New Roman" w:hAnsi="Times New Roman" w:cs="Times New Roman"/>
          <w:sz w:val="24"/>
          <w:lang w:val="ro-RO"/>
        </w:rPr>
        <w:t>u</w:t>
      </w:r>
      <w:r w:rsidR="00137156" w:rsidRPr="009C5F11">
        <w:rPr>
          <w:rFonts w:ascii="Times New Roman" w:hAnsi="Times New Roman" w:cs="Times New Roman"/>
          <w:sz w:val="24"/>
          <w:lang w:val="ro-RO"/>
        </w:rPr>
        <w:t xml:space="preserve"> fost adoptat</w:t>
      </w:r>
      <w:r w:rsidR="006F5ED3" w:rsidRPr="009C5F11">
        <w:rPr>
          <w:rFonts w:ascii="Times New Roman" w:hAnsi="Times New Roman" w:cs="Times New Roman"/>
          <w:sz w:val="24"/>
          <w:lang w:val="ro-RO"/>
        </w:rPr>
        <w:t>e</w:t>
      </w:r>
      <w:r w:rsidR="00137156" w:rsidRPr="009C5F11">
        <w:rPr>
          <w:rFonts w:ascii="Times New Roman" w:hAnsi="Times New Roman" w:cs="Times New Roman"/>
          <w:sz w:val="24"/>
          <w:lang w:val="ro-RO"/>
        </w:rPr>
        <w:t xml:space="preserve"> </w:t>
      </w:r>
      <w:r w:rsidR="006F5ED3" w:rsidRPr="009C5F11">
        <w:rPr>
          <w:rFonts w:ascii="Times New Roman" w:hAnsi="Times New Roman" w:cs="Times New Roman"/>
          <w:sz w:val="24"/>
          <w:lang w:val="ro-RO"/>
        </w:rPr>
        <w:t>prin</w:t>
      </w:r>
      <w:r w:rsidR="00137156" w:rsidRPr="009C5F11">
        <w:rPr>
          <w:rFonts w:ascii="Times New Roman" w:hAnsi="Times New Roman" w:cs="Times New Roman"/>
          <w:sz w:val="24"/>
          <w:lang w:val="ro-RO"/>
        </w:rPr>
        <w:t xml:space="preserve"> hotărârile Consiliului </w:t>
      </w:r>
      <w:r w:rsidR="00F56424" w:rsidRPr="009C5F11">
        <w:rPr>
          <w:rFonts w:ascii="Times New Roman" w:hAnsi="Times New Roman" w:cs="Times New Roman"/>
          <w:sz w:val="24"/>
          <w:lang w:val="ro-RO"/>
        </w:rPr>
        <w:t>Ministerial</w:t>
      </w:r>
      <w:r w:rsidR="00137156" w:rsidRPr="009C5F11">
        <w:rPr>
          <w:rFonts w:ascii="Times New Roman" w:hAnsi="Times New Roman" w:cs="Times New Roman"/>
          <w:sz w:val="24"/>
          <w:lang w:val="ro-RO"/>
        </w:rPr>
        <w:t xml:space="preserve"> </w:t>
      </w:r>
      <w:r w:rsidR="001B3DD5" w:rsidRPr="009C5F11">
        <w:rPr>
          <w:rFonts w:ascii="Times New Roman" w:hAnsi="Times New Roman" w:cs="Times New Roman"/>
          <w:sz w:val="24"/>
          <w:lang w:val="ro-RO"/>
        </w:rPr>
        <w:t xml:space="preserve">al </w:t>
      </w:r>
      <w:r w:rsidR="00137156" w:rsidRPr="009C5F11">
        <w:rPr>
          <w:rFonts w:ascii="Times New Roman" w:hAnsi="Times New Roman" w:cs="Times New Roman"/>
          <w:sz w:val="24"/>
          <w:lang w:val="ro-RO"/>
        </w:rPr>
        <w:t xml:space="preserve">Comunităţii Energetice </w:t>
      </w:r>
      <w:r w:rsidR="00464148" w:rsidRPr="009C5F11">
        <w:rPr>
          <w:rFonts w:ascii="Times New Roman" w:hAnsi="Times New Roman" w:cs="Times New Roman"/>
          <w:sz w:val="24"/>
          <w:lang w:val="ro-RO"/>
        </w:rPr>
        <w:t xml:space="preserve">D/2009/05/MC-EnC </w:t>
      </w:r>
      <w:r w:rsidR="00137156" w:rsidRPr="009C5F11">
        <w:rPr>
          <w:rFonts w:ascii="Times New Roman" w:hAnsi="Times New Roman" w:cs="Times New Roman"/>
          <w:sz w:val="24"/>
          <w:lang w:val="ro-RO"/>
        </w:rPr>
        <w:t>din</w:t>
      </w:r>
      <w:r w:rsidR="00464148" w:rsidRPr="009C5F11">
        <w:rPr>
          <w:rFonts w:ascii="Times New Roman" w:hAnsi="Times New Roman" w:cs="Times New Roman"/>
          <w:sz w:val="24"/>
          <w:lang w:val="ro-RO"/>
        </w:rPr>
        <w:t xml:space="preserve"> 18 </w:t>
      </w:r>
      <w:r w:rsidRPr="009C5F11">
        <w:rPr>
          <w:rFonts w:ascii="Times New Roman" w:hAnsi="Times New Roman" w:cs="Times New Roman"/>
          <w:sz w:val="24"/>
          <w:lang w:val="ro-RO"/>
        </w:rPr>
        <w:t>decembrie</w:t>
      </w:r>
      <w:r w:rsidR="00464148" w:rsidRPr="009C5F11">
        <w:rPr>
          <w:rFonts w:ascii="Times New Roman" w:hAnsi="Times New Roman" w:cs="Times New Roman"/>
          <w:sz w:val="24"/>
          <w:lang w:val="ro-RO"/>
        </w:rPr>
        <w:t xml:space="preserve"> 2009</w:t>
      </w:r>
      <w:r w:rsidR="00321CD5" w:rsidRPr="009C5F11">
        <w:rPr>
          <w:rFonts w:ascii="Times New Roman" w:hAnsi="Times New Roman" w:cs="Times New Roman"/>
          <w:sz w:val="24"/>
          <w:lang w:val="ro-RO"/>
        </w:rPr>
        <w:t xml:space="preserve"> şi </w:t>
      </w:r>
      <w:r w:rsidR="00464148" w:rsidRPr="009C5F11">
        <w:rPr>
          <w:rFonts w:ascii="Times New Roman" w:hAnsi="Times New Roman" w:cs="Times New Roman"/>
          <w:sz w:val="24"/>
          <w:lang w:val="ro-RO"/>
        </w:rPr>
        <w:t xml:space="preserve">D/2015/08/MC-EnC </w:t>
      </w:r>
      <w:r w:rsidR="00137156" w:rsidRPr="009C5F11">
        <w:rPr>
          <w:rFonts w:ascii="Times New Roman" w:hAnsi="Times New Roman" w:cs="Times New Roman"/>
          <w:sz w:val="24"/>
          <w:lang w:val="ro-RO"/>
        </w:rPr>
        <w:t>din</w:t>
      </w:r>
      <w:r w:rsidR="00464148" w:rsidRPr="009C5F11">
        <w:rPr>
          <w:rFonts w:ascii="Times New Roman" w:hAnsi="Times New Roman" w:cs="Times New Roman"/>
          <w:sz w:val="24"/>
          <w:lang w:val="ro-RO"/>
        </w:rPr>
        <w:t xml:space="preserve"> 16 </w:t>
      </w:r>
      <w:r w:rsidRPr="009C5F11">
        <w:rPr>
          <w:rFonts w:ascii="Times New Roman" w:hAnsi="Times New Roman" w:cs="Times New Roman"/>
          <w:sz w:val="24"/>
          <w:lang w:val="ro-RO"/>
        </w:rPr>
        <w:t>octombrie</w:t>
      </w:r>
      <w:r w:rsidR="00464148" w:rsidRPr="009C5F11">
        <w:rPr>
          <w:rFonts w:ascii="Times New Roman" w:hAnsi="Times New Roman" w:cs="Times New Roman"/>
          <w:sz w:val="24"/>
          <w:lang w:val="ro-RO"/>
        </w:rPr>
        <w:t xml:space="preserve"> 2015. </w:t>
      </w:r>
    </w:p>
    <w:p w14:paraId="5AF38C02" w14:textId="15E924C9" w:rsidR="005A4965" w:rsidRPr="009C5F11" w:rsidRDefault="005A4965" w:rsidP="00087B37">
      <w:pPr>
        <w:pStyle w:val="Listparagraf"/>
        <w:numPr>
          <w:ilvl w:val="0"/>
          <w:numId w:val="210"/>
        </w:numPr>
        <w:ind w:left="0" w:firstLine="426"/>
        <w:jc w:val="both"/>
        <w:rPr>
          <w:rFonts w:ascii="Times New Roman" w:hAnsi="Times New Roman" w:cs="Times New Roman"/>
          <w:sz w:val="24"/>
          <w:lang w:val="ro-RO"/>
        </w:rPr>
      </w:pPr>
      <w:bookmarkStart w:id="2" w:name="_Ref319761514"/>
      <w:r w:rsidRPr="009C5F11">
        <w:rPr>
          <w:rFonts w:ascii="Times New Roman" w:hAnsi="Times New Roman" w:cs="Times New Roman"/>
          <w:sz w:val="24"/>
          <w:lang w:val="ro-RO"/>
        </w:rPr>
        <w:t xml:space="preserve">Metodologia de calcul (dupa cum este furnizata de DSE si DEE), precum si setul de presupuneri sunt prezentate explicit in Sectiunea </w:t>
      </w:r>
      <w:r w:rsidR="008A10FD" w:rsidRPr="009C5F11">
        <w:rPr>
          <w:rFonts w:ascii="Times New Roman" w:hAnsi="Times New Roman" w:cs="Times New Roman"/>
          <w:sz w:val="24"/>
          <w:lang w:val="ro-RO"/>
        </w:rPr>
        <w:fldChar w:fldCharType="begin"/>
      </w:r>
      <w:r w:rsidR="008A10FD" w:rsidRPr="009C5F11">
        <w:rPr>
          <w:rFonts w:ascii="Times New Roman" w:hAnsi="Times New Roman" w:cs="Times New Roman"/>
          <w:sz w:val="24"/>
          <w:lang w:val="ro-RO"/>
        </w:rPr>
        <w:instrText xml:space="preserve"> REF _Ref322009790 \r \h </w:instrText>
      </w:r>
      <w:r w:rsidR="009C5F11" w:rsidRPr="009C5F11">
        <w:rPr>
          <w:rFonts w:ascii="Times New Roman" w:hAnsi="Times New Roman" w:cs="Times New Roman"/>
          <w:sz w:val="24"/>
          <w:lang w:val="ro-RO"/>
        </w:rPr>
        <w:instrText xml:space="preserve"> \* MERGEFORMAT </w:instrText>
      </w:r>
      <w:r w:rsidR="008A10FD" w:rsidRPr="009C5F11">
        <w:rPr>
          <w:rFonts w:ascii="Times New Roman" w:hAnsi="Times New Roman" w:cs="Times New Roman"/>
          <w:sz w:val="24"/>
          <w:lang w:val="ro-RO"/>
        </w:rPr>
      </w:r>
      <w:r w:rsidR="008A10FD"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1.3.2</w:t>
      </w:r>
      <w:r w:rsidR="008A10FD" w:rsidRPr="009C5F11">
        <w:rPr>
          <w:rFonts w:ascii="Times New Roman" w:hAnsi="Times New Roman" w:cs="Times New Roman"/>
          <w:sz w:val="24"/>
          <w:lang w:val="ro-RO"/>
        </w:rPr>
        <w:fldChar w:fldCharType="end"/>
      </w:r>
      <w:r w:rsidR="008A10FD" w:rsidRPr="009C5F11">
        <w:rPr>
          <w:rFonts w:ascii="Times New Roman" w:hAnsi="Times New Roman" w:cs="Times New Roman"/>
          <w:noProof/>
          <w:sz w:val="24"/>
          <w:lang w:val="ro-RO"/>
        </w:rPr>
        <w:t xml:space="preserve"> </w:t>
      </w:r>
      <w:r w:rsidRPr="009C5F11">
        <w:rPr>
          <w:rFonts w:ascii="Times New Roman" w:hAnsi="Times New Roman" w:cs="Times New Roman"/>
          <w:sz w:val="24"/>
          <w:lang w:val="ro-RO"/>
        </w:rPr>
        <w:t>si in Sectiunea</w:t>
      </w:r>
      <w:r w:rsidR="008A10FD" w:rsidRPr="009C5F11">
        <w:rPr>
          <w:rFonts w:ascii="Times New Roman" w:hAnsi="Times New Roman" w:cs="Times New Roman"/>
          <w:sz w:val="24"/>
          <w:lang w:val="ro-RO"/>
        </w:rPr>
        <w:t xml:space="preserve"> </w:t>
      </w:r>
      <w:r w:rsidR="008A10FD" w:rsidRPr="009C5F11">
        <w:rPr>
          <w:rFonts w:ascii="Times New Roman" w:hAnsi="Times New Roman" w:cs="Times New Roman"/>
          <w:noProof/>
          <w:sz w:val="24"/>
          <w:lang w:val="ro-RO"/>
        </w:rPr>
        <w:fldChar w:fldCharType="begin"/>
      </w:r>
      <w:r w:rsidR="008A10FD" w:rsidRPr="009C5F11">
        <w:rPr>
          <w:rFonts w:ascii="Times New Roman" w:hAnsi="Times New Roman" w:cs="Times New Roman"/>
          <w:sz w:val="24"/>
          <w:lang w:val="ro-RO"/>
        </w:rPr>
        <w:instrText xml:space="preserve"> REF _Ref322009812 \r \h </w:instrText>
      </w:r>
      <w:r w:rsidR="009C5F11" w:rsidRPr="009C5F11">
        <w:rPr>
          <w:rFonts w:ascii="Times New Roman" w:hAnsi="Times New Roman" w:cs="Times New Roman"/>
          <w:noProof/>
          <w:sz w:val="24"/>
          <w:lang w:val="ro-RO"/>
        </w:rPr>
        <w:instrText xml:space="preserve"> \* MERGEFORMAT </w:instrText>
      </w:r>
      <w:r w:rsidR="008A10FD" w:rsidRPr="009C5F11">
        <w:rPr>
          <w:rFonts w:ascii="Times New Roman" w:hAnsi="Times New Roman" w:cs="Times New Roman"/>
          <w:noProof/>
          <w:sz w:val="24"/>
          <w:lang w:val="ro-RO"/>
        </w:rPr>
      </w:r>
      <w:r w:rsidR="008A10FD" w:rsidRPr="009C5F11">
        <w:rPr>
          <w:rFonts w:ascii="Times New Roman" w:hAnsi="Times New Roman" w:cs="Times New Roman"/>
          <w:noProof/>
          <w:sz w:val="24"/>
          <w:lang w:val="ro-RO"/>
        </w:rPr>
        <w:fldChar w:fldCharType="separate"/>
      </w:r>
      <w:r w:rsidR="0014013D">
        <w:rPr>
          <w:rFonts w:ascii="Times New Roman" w:hAnsi="Times New Roman" w:cs="Times New Roman"/>
          <w:sz w:val="24"/>
          <w:lang w:val="ro-RO"/>
        </w:rPr>
        <w:t>1.3.3</w:t>
      </w:r>
      <w:r w:rsidR="008A10FD" w:rsidRPr="009C5F11">
        <w:rPr>
          <w:rFonts w:ascii="Times New Roman" w:hAnsi="Times New Roman" w:cs="Times New Roman"/>
          <w:noProof/>
          <w:sz w:val="24"/>
          <w:lang w:val="ro-RO"/>
        </w:rPr>
        <w:fldChar w:fldCharType="end"/>
      </w:r>
      <w:r w:rsidR="008A10FD" w:rsidRPr="009C5F11">
        <w:rPr>
          <w:rFonts w:ascii="Times New Roman" w:hAnsi="Times New Roman" w:cs="Times New Roman"/>
          <w:noProof/>
          <w:sz w:val="24"/>
          <w:lang w:val="ro-RO"/>
        </w:rPr>
        <w:t>.</w:t>
      </w:r>
      <w:r w:rsidRPr="009C5F11">
        <w:rPr>
          <w:rFonts w:ascii="Times New Roman" w:hAnsi="Times New Roman" w:cs="Times New Roman"/>
          <w:sz w:val="24"/>
          <w:lang w:val="ro-RO"/>
        </w:rPr>
        <w:t xml:space="preserve"> </w:t>
      </w:r>
      <w:r w:rsidR="008A10FD" w:rsidRPr="009C5F11">
        <w:rPr>
          <w:rFonts w:ascii="Times New Roman" w:hAnsi="Times New Roman" w:cs="Times New Roman"/>
          <w:sz w:val="24"/>
          <w:lang w:val="ro-RO"/>
        </w:rPr>
        <w:t xml:space="preserve">Sectiunea </w:t>
      </w:r>
      <w:r w:rsidR="008A10FD" w:rsidRPr="009C5F11">
        <w:rPr>
          <w:rFonts w:ascii="Times New Roman" w:hAnsi="Times New Roman" w:cs="Times New Roman"/>
          <w:noProof/>
          <w:sz w:val="24"/>
          <w:lang w:val="ro-RO"/>
        </w:rPr>
        <w:fldChar w:fldCharType="begin"/>
      </w:r>
      <w:r w:rsidR="008A10FD" w:rsidRPr="009C5F11">
        <w:rPr>
          <w:rFonts w:ascii="Times New Roman" w:hAnsi="Times New Roman" w:cs="Times New Roman"/>
          <w:sz w:val="24"/>
          <w:lang w:val="ro-RO"/>
        </w:rPr>
        <w:instrText xml:space="preserve"> REF _Ref322009774 \r \h </w:instrText>
      </w:r>
      <w:r w:rsidR="009C5F11" w:rsidRPr="009C5F11">
        <w:rPr>
          <w:rFonts w:ascii="Times New Roman" w:hAnsi="Times New Roman" w:cs="Times New Roman"/>
          <w:noProof/>
          <w:sz w:val="24"/>
          <w:lang w:val="ro-RO"/>
        </w:rPr>
        <w:instrText xml:space="preserve"> \* MERGEFORMAT </w:instrText>
      </w:r>
      <w:r w:rsidR="008A10FD" w:rsidRPr="009C5F11">
        <w:rPr>
          <w:rFonts w:ascii="Times New Roman" w:hAnsi="Times New Roman" w:cs="Times New Roman"/>
          <w:noProof/>
          <w:sz w:val="24"/>
          <w:lang w:val="ro-RO"/>
        </w:rPr>
      </w:r>
      <w:r w:rsidR="008A10FD" w:rsidRPr="009C5F11">
        <w:rPr>
          <w:rFonts w:ascii="Times New Roman" w:hAnsi="Times New Roman" w:cs="Times New Roman"/>
          <w:noProof/>
          <w:sz w:val="24"/>
          <w:lang w:val="ro-RO"/>
        </w:rPr>
        <w:fldChar w:fldCharType="separate"/>
      </w:r>
      <w:r w:rsidR="0014013D">
        <w:rPr>
          <w:rFonts w:ascii="Times New Roman" w:hAnsi="Times New Roman" w:cs="Times New Roman"/>
          <w:sz w:val="24"/>
          <w:lang w:val="ro-RO"/>
        </w:rPr>
        <w:t>1.3.2</w:t>
      </w:r>
      <w:r w:rsidR="008A10FD" w:rsidRPr="009C5F11">
        <w:rPr>
          <w:rFonts w:ascii="Times New Roman" w:hAnsi="Times New Roman" w:cs="Times New Roman"/>
          <w:noProof/>
          <w:sz w:val="24"/>
          <w:lang w:val="ro-RO"/>
        </w:rPr>
        <w:fldChar w:fldCharType="end"/>
      </w:r>
      <w:r w:rsidR="008A10FD" w:rsidRPr="009C5F11">
        <w:rPr>
          <w:rFonts w:ascii="Times New Roman" w:hAnsi="Times New Roman" w:cs="Times New Roman"/>
          <w:noProof/>
          <w:sz w:val="24"/>
          <w:lang w:val="ro-RO"/>
        </w:rPr>
        <w:t xml:space="preserve"> </w:t>
      </w:r>
      <w:r w:rsidRPr="009C5F11">
        <w:rPr>
          <w:rFonts w:ascii="Times New Roman" w:hAnsi="Times New Roman" w:cs="Times New Roman"/>
          <w:sz w:val="24"/>
          <w:lang w:val="ro-RO"/>
        </w:rPr>
        <w:t>ofera de asemenea explicatia asupra ratiunilor pentru existenta unor diferente in abordarea calculului in cadrul NEEAP 2013-2015. De asemenea particularitatile Moldovei privind calcul</w:t>
      </w:r>
      <w:r w:rsidR="00B57E66">
        <w:rPr>
          <w:rFonts w:ascii="Times New Roman" w:hAnsi="Times New Roman" w:cs="Times New Roman"/>
          <w:sz w:val="24"/>
          <w:lang w:val="ro-RO"/>
        </w:rPr>
        <w:t>e</w:t>
      </w:r>
      <w:r w:rsidRPr="009C5F11">
        <w:rPr>
          <w:rFonts w:ascii="Times New Roman" w:hAnsi="Times New Roman" w:cs="Times New Roman"/>
          <w:sz w:val="24"/>
          <w:lang w:val="ro-RO"/>
        </w:rPr>
        <w:t>le specifice sunt explicate in detaliu.</w:t>
      </w:r>
    </w:p>
    <w:p w14:paraId="11DC9B6A" w14:textId="77777777" w:rsidR="0042096C" w:rsidRPr="009C5F11" w:rsidRDefault="00321CD5" w:rsidP="00626CB5">
      <w:pPr>
        <w:pStyle w:val="Legend"/>
        <w:keepNext/>
        <w:jc w:val="center"/>
        <w:rPr>
          <w:rFonts w:ascii="Times New Roman" w:hAnsi="Times New Roman" w:cs="Times New Roman"/>
          <w:sz w:val="22"/>
          <w:lang w:val="ro-RO"/>
        </w:rPr>
      </w:pPr>
      <w:bookmarkStart w:id="3" w:name="_Toc322013224"/>
      <w:r w:rsidRPr="009C5F11">
        <w:rPr>
          <w:rFonts w:ascii="Times New Roman" w:hAnsi="Times New Roman" w:cs="Times New Roman"/>
          <w:sz w:val="22"/>
          <w:lang w:val="ro-RO"/>
        </w:rPr>
        <w:t>Tabelul</w:t>
      </w:r>
      <w:r w:rsidR="0042096C"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42096C"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w:t>
      </w:r>
      <w:r w:rsidR="003A6ADB" w:rsidRPr="009C5F11">
        <w:rPr>
          <w:rFonts w:ascii="Times New Roman" w:hAnsi="Times New Roman" w:cs="Times New Roman"/>
          <w:sz w:val="22"/>
          <w:lang w:val="ro-RO"/>
        </w:rPr>
        <w:fldChar w:fldCharType="end"/>
      </w:r>
      <w:bookmarkEnd w:id="2"/>
      <w:r w:rsidR="0042096C" w:rsidRPr="009C5F11">
        <w:rPr>
          <w:rFonts w:ascii="Times New Roman" w:hAnsi="Times New Roman" w:cs="Times New Roman"/>
          <w:sz w:val="22"/>
          <w:lang w:val="ro-RO"/>
        </w:rPr>
        <w:t xml:space="preserve"> </w:t>
      </w:r>
      <w:r w:rsidR="00137156" w:rsidRPr="009C5F11">
        <w:rPr>
          <w:rFonts w:ascii="Times New Roman" w:hAnsi="Times New Roman" w:cs="Times New Roman"/>
          <w:sz w:val="22"/>
          <w:lang w:val="ro-RO"/>
        </w:rPr>
        <w:t>–</w:t>
      </w:r>
      <w:r w:rsidR="0042096C" w:rsidRPr="009C5F11">
        <w:rPr>
          <w:rFonts w:ascii="Times New Roman" w:hAnsi="Times New Roman" w:cs="Times New Roman"/>
          <w:sz w:val="22"/>
          <w:lang w:val="ro-RO"/>
        </w:rPr>
        <w:t xml:space="preserve"> </w:t>
      </w:r>
      <w:r w:rsidR="00720A89" w:rsidRPr="009C5F11">
        <w:rPr>
          <w:rFonts w:ascii="Times New Roman" w:hAnsi="Times New Roman" w:cs="Times New Roman"/>
          <w:sz w:val="22"/>
          <w:lang w:val="ro-RO"/>
        </w:rPr>
        <w:t>Obiectiv</w:t>
      </w:r>
      <w:r w:rsidR="00137156" w:rsidRPr="009C5F11">
        <w:rPr>
          <w:rFonts w:ascii="Times New Roman" w:hAnsi="Times New Roman" w:cs="Times New Roman"/>
          <w:sz w:val="22"/>
          <w:lang w:val="ro-RO"/>
        </w:rPr>
        <w:t xml:space="preserve">ele iniţiale </w:t>
      </w:r>
      <w:r w:rsidR="00720A89" w:rsidRPr="009C5F11">
        <w:rPr>
          <w:rFonts w:ascii="Times New Roman" w:hAnsi="Times New Roman" w:cs="Times New Roman"/>
          <w:sz w:val="22"/>
          <w:lang w:val="ro-RO"/>
        </w:rPr>
        <w:t>stabilite de</w:t>
      </w:r>
      <w:r w:rsidR="00137156" w:rsidRPr="009C5F11">
        <w:rPr>
          <w:rFonts w:ascii="Times New Roman" w:hAnsi="Times New Roman" w:cs="Times New Roman"/>
          <w:sz w:val="22"/>
          <w:lang w:val="ro-RO"/>
        </w:rPr>
        <w:t xml:space="preserve"> </w:t>
      </w:r>
      <w:r w:rsidR="00872DC2" w:rsidRPr="009C5F11">
        <w:rPr>
          <w:rFonts w:ascii="Times New Roman" w:hAnsi="Times New Roman" w:cs="Times New Roman"/>
          <w:sz w:val="22"/>
          <w:lang w:val="ro-RO"/>
        </w:rPr>
        <w:t>PNAEE</w:t>
      </w:r>
      <w:r w:rsidR="0042096C" w:rsidRPr="009C5F11">
        <w:rPr>
          <w:rFonts w:ascii="Times New Roman" w:hAnsi="Times New Roman" w:cs="Times New Roman"/>
          <w:sz w:val="22"/>
          <w:lang w:val="ro-RO"/>
        </w:rPr>
        <w:t xml:space="preserve"> </w:t>
      </w:r>
      <w:r w:rsidR="00720A89" w:rsidRPr="009C5F11">
        <w:rPr>
          <w:rFonts w:ascii="Times New Roman" w:hAnsi="Times New Roman" w:cs="Times New Roman"/>
          <w:sz w:val="22"/>
          <w:lang w:val="ro-RO"/>
        </w:rPr>
        <w:t>şi</w:t>
      </w:r>
      <w:r w:rsidR="00137156" w:rsidRPr="009C5F11">
        <w:rPr>
          <w:rFonts w:ascii="Times New Roman" w:hAnsi="Times New Roman" w:cs="Times New Roman"/>
          <w:sz w:val="22"/>
          <w:lang w:val="ro-RO"/>
        </w:rPr>
        <w:t xml:space="preserve"> </w:t>
      </w:r>
      <w:r w:rsidR="00720A89" w:rsidRPr="009C5F11">
        <w:rPr>
          <w:rFonts w:ascii="Times New Roman" w:hAnsi="Times New Roman" w:cs="Times New Roman"/>
          <w:sz w:val="22"/>
          <w:lang w:val="ro-RO"/>
        </w:rPr>
        <w:t>obiectivele</w:t>
      </w:r>
      <w:r w:rsidR="00137156" w:rsidRPr="009C5F11">
        <w:rPr>
          <w:rFonts w:ascii="Times New Roman" w:hAnsi="Times New Roman" w:cs="Times New Roman"/>
          <w:sz w:val="22"/>
          <w:lang w:val="ro-RO"/>
        </w:rPr>
        <w:t xml:space="preserve"> revizuite.</w:t>
      </w:r>
      <w:bookmarkEnd w:id="3"/>
    </w:p>
    <w:tbl>
      <w:tblPr>
        <w:tblW w:w="0" w:type="auto"/>
        <w:tblBorders>
          <w:top w:val="single" w:sz="8" w:space="0" w:color="001C53" w:themeColor="accent2" w:themeShade="80"/>
          <w:left w:val="single" w:sz="8" w:space="0" w:color="001C53" w:themeColor="accent2" w:themeShade="80"/>
          <w:bottom w:val="single" w:sz="8" w:space="0" w:color="001C53" w:themeColor="accent2" w:themeShade="80"/>
          <w:right w:val="single" w:sz="8" w:space="0" w:color="001C53" w:themeColor="accent2" w:themeShade="80"/>
          <w:insideH w:val="single" w:sz="8" w:space="0" w:color="001C53" w:themeColor="accent2" w:themeShade="80"/>
        </w:tblBorders>
        <w:tblLook w:val="04A0" w:firstRow="1" w:lastRow="0" w:firstColumn="1" w:lastColumn="0" w:noHBand="0" w:noVBand="1"/>
      </w:tblPr>
      <w:tblGrid>
        <w:gridCol w:w="3708"/>
        <w:gridCol w:w="2070"/>
        <w:gridCol w:w="1980"/>
        <w:gridCol w:w="1890"/>
      </w:tblGrid>
      <w:tr w:rsidR="00D11915" w:rsidRPr="009C5F11" w14:paraId="51DE4BB0" w14:textId="77777777" w:rsidTr="00B40DB5">
        <w:tc>
          <w:tcPr>
            <w:tcW w:w="3708" w:type="dxa"/>
            <w:shd w:val="clear" w:color="auto" w:fill="000080"/>
          </w:tcPr>
          <w:p w14:paraId="5742F16C" w14:textId="77777777" w:rsidR="00103079" w:rsidRPr="009C5F11" w:rsidRDefault="00103079" w:rsidP="008D2A1B">
            <w:pPr>
              <w:spacing w:after="0" w:line="240" w:lineRule="auto"/>
              <w:jc w:val="both"/>
              <w:rPr>
                <w:rFonts w:ascii="Times New Roman" w:hAnsi="Times New Roman" w:cs="Times New Roman"/>
                <w:b/>
                <w:sz w:val="20"/>
                <w:szCs w:val="16"/>
                <w:lang w:val="ro-RO"/>
              </w:rPr>
            </w:pPr>
          </w:p>
        </w:tc>
        <w:tc>
          <w:tcPr>
            <w:tcW w:w="2070" w:type="dxa"/>
            <w:shd w:val="clear" w:color="auto" w:fill="000080"/>
          </w:tcPr>
          <w:p w14:paraId="3E3493C0" w14:textId="77777777" w:rsidR="00103079" w:rsidRPr="009C5F11" w:rsidRDefault="00720A89" w:rsidP="00B40DB5">
            <w:pPr>
              <w:spacing w:after="0" w:line="24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Obiectivul</w:t>
            </w:r>
            <w:r w:rsidR="00137156" w:rsidRPr="009C5F11">
              <w:rPr>
                <w:rFonts w:ascii="Times New Roman" w:hAnsi="Times New Roman" w:cs="Times New Roman"/>
                <w:b/>
                <w:sz w:val="20"/>
                <w:szCs w:val="16"/>
                <w:lang w:val="ro-RO"/>
              </w:rPr>
              <w:t xml:space="preserve"> (</w:t>
            </w:r>
            <w:r w:rsidRPr="009C5F11">
              <w:rPr>
                <w:rFonts w:ascii="Times New Roman" w:hAnsi="Times New Roman" w:cs="Times New Roman"/>
                <w:b/>
                <w:sz w:val="20"/>
                <w:szCs w:val="16"/>
                <w:lang w:val="ro-RO"/>
              </w:rPr>
              <w:t>obiectiv</w:t>
            </w:r>
            <w:r w:rsidR="00137156" w:rsidRPr="009C5F11">
              <w:rPr>
                <w:rFonts w:ascii="Times New Roman" w:hAnsi="Times New Roman" w:cs="Times New Roman"/>
                <w:b/>
                <w:sz w:val="20"/>
                <w:szCs w:val="16"/>
                <w:lang w:val="ro-RO"/>
              </w:rPr>
              <w:t>ele) prevăzut</w:t>
            </w:r>
            <w:r w:rsidR="009F78FD" w:rsidRPr="009C5F11">
              <w:rPr>
                <w:rFonts w:ascii="Times New Roman" w:hAnsi="Times New Roman" w:cs="Times New Roman"/>
                <w:b/>
                <w:sz w:val="20"/>
                <w:szCs w:val="16"/>
                <w:lang w:val="ro-RO"/>
              </w:rPr>
              <w:t>/e</w:t>
            </w:r>
            <w:r w:rsidR="00137156" w:rsidRPr="009C5F11">
              <w:rPr>
                <w:rFonts w:ascii="Times New Roman" w:hAnsi="Times New Roman" w:cs="Times New Roman"/>
                <w:b/>
                <w:sz w:val="20"/>
                <w:szCs w:val="16"/>
                <w:lang w:val="ro-RO"/>
              </w:rPr>
              <w:t xml:space="preserve"> </w:t>
            </w:r>
            <w:r w:rsidRPr="009C5F11">
              <w:rPr>
                <w:rFonts w:ascii="Times New Roman" w:hAnsi="Times New Roman" w:cs="Times New Roman"/>
                <w:b/>
                <w:sz w:val="20"/>
                <w:szCs w:val="16"/>
                <w:lang w:val="ro-RO"/>
              </w:rPr>
              <w:t>de</w:t>
            </w:r>
            <w:r w:rsidR="00321CD5" w:rsidRPr="009C5F11">
              <w:rPr>
                <w:rFonts w:ascii="Times New Roman" w:hAnsi="Times New Roman" w:cs="Times New Roman"/>
                <w:b/>
                <w:sz w:val="20"/>
                <w:szCs w:val="16"/>
                <w:lang w:val="ro-RO"/>
              </w:rPr>
              <w:t xml:space="preserve"> </w:t>
            </w:r>
            <w:r w:rsidR="00872DC2" w:rsidRPr="009C5F11">
              <w:rPr>
                <w:rFonts w:ascii="Times New Roman" w:hAnsi="Times New Roman" w:cs="Times New Roman"/>
                <w:b/>
                <w:sz w:val="20"/>
                <w:szCs w:val="16"/>
                <w:lang w:val="ro-RO"/>
              </w:rPr>
              <w:t>PNAEE</w:t>
            </w:r>
            <w:r w:rsidR="00103079" w:rsidRPr="009C5F11">
              <w:rPr>
                <w:rFonts w:ascii="Times New Roman" w:hAnsi="Times New Roman" w:cs="Times New Roman"/>
                <w:b/>
                <w:sz w:val="20"/>
                <w:szCs w:val="16"/>
                <w:lang w:val="ro-RO"/>
              </w:rPr>
              <w:t xml:space="preserve"> 2013-2015</w:t>
            </w:r>
            <w:r w:rsidR="00103079" w:rsidRPr="009C5F11">
              <w:rPr>
                <w:rStyle w:val="Referinnotdesubsol"/>
                <w:rFonts w:ascii="Times New Roman" w:hAnsi="Times New Roman" w:cs="Times New Roman"/>
                <w:b/>
                <w:sz w:val="20"/>
                <w:szCs w:val="16"/>
                <w:lang w:val="ro-RO"/>
              </w:rPr>
              <w:footnoteReference w:id="3"/>
            </w:r>
            <w:r w:rsidR="00103079" w:rsidRPr="009C5F11">
              <w:rPr>
                <w:rFonts w:ascii="Times New Roman" w:hAnsi="Times New Roman" w:cs="Times New Roman"/>
                <w:b/>
                <w:sz w:val="20"/>
                <w:szCs w:val="16"/>
                <w:lang w:val="ro-RO"/>
              </w:rPr>
              <w:t xml:space="preserve"> </w:t>
            </w:r>
          </w:p>
        </w:tc>
        <w:tc>
          <w:tcPr>
            <w:tcW w:w="1980" w:type="dxa"/>
            <w:shd w:val="clear" w:color="auto" w:fill="000080"/>
          </w:tcPr>
          <w:p w14:paraId="02150C96" w14:textId="77777777" w:rsidR="00103079" w:rsidRPr="009C5F11" w:rsidRDefault="00720A89" w:rsidP="00B40DB5">
            <w:pPr>
              <w:spacing w:after="0" w:line="24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Obiectivul</w:t>
            </w:r>
            <w:r w:rsidR="00137156" w:rsidRPr="009C5F11">
              <w:rPr>
                <w:rFonts w:ascii="Times New Roman" w:hAnsi="Times New Roman" w:cs="Times New Roman"/>
                <w:b/>
                <w:sz w:val="20"/>
                <w:szCs w:val="16"/>
                <w:lang w:val="ro-RO"/>
              </w:rPr>
              <w:t xml:space="preserve"> revizuit pe baza aplicării dispoziţiilor din </w:t>
            </w:r>
            <w:r w:rsidR="000A4CC7" w:rsidRPr="009C5F11">
              <w:rPr>
                <w:rFonts w:ascii="Times New Roman" w:hAnsi="Times New Roman" w:cs="Times New Roman"/>
                <w:b/>
                <w:sz w:val="20"/>
                <w:szCs w:val="16"/>
                <w:lang w:val="ro-RO"/>
              </w:rPr>
              <w:t>Anexa</w:t>
            </w:r>
            <w:r w:rsidR="00103079" w:rsidRPr="009C5F11">
              <w:rPr>
                <w:rFonts w:ascii="Times New Roman" w:hAnsi="Times New Roman" w:cs="Times New Roman"/>
                <w:b/>
                <w:sz w:val="20"/>
                <w:szCs w:val="16"/>
                <w:lang w:val="ro-RO"/>
              </w:rPr>
              <w:t xml:space="preserve"> I, </w:t>
            </w:r>
            <w:r w:rsidR="00871B4E" w:rsidRPr="009C5F11">
              <w:rPr>
                <w:rFonts w:ascii="Times New Roman" w:hAnsi="Times New Roman" w:cs="Times New Roman"/>
                <w:b/>
                <w:sz w:val="20"/>
                <w:szCs w:val="16"/>
                <w:lang w:val="ro-RO"/>
              </w:rPr>
              <w:t>DSE</w:t>
            </w:r>
            <w:r w:rsidR="00103079" w:rsidRPr="009C5F11">
              <w:rPr>
                <w:rStyle w:val="Referinnotdesubsol"/>
                <w:rFonts w:ascii="Times New Roman" w:hAnsi="Times New Roman" w:cs="Times New Roman"/>
                <w:b/>
                <w:sz w:val="20"/>
                <w:szCs w:val="16"/>
                <w:lang w:val="ro-RO"/>
              </w:rPr>
              <w:footnoteReference w:id="4"/>
            </w:r>
          </w:p>
        </w:tc>
        <w:tc>
          <w:tcPr>
            <w:tcW w:w="1890" w:type="dxa"/>
            <w:shd w:val="clear" w:color="auto" w:fill="000080"/>
          </w:tcPr>
          <w:p w14:paraId="7C90962E" w14:textId="77777777" w:rsidR="00103079" w:rsidRPr="009C5F11" w:rsidRDefault="00720A89" w:rsidP="00B40DB5">
            <w:pPr>
              <w:spacing w:after="0" w:line="24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Obiectivul</w:t>
            </w:r>
            <w:r w:rsidR="00137156" w:rsidRPr="009C5F11">
              <w:rPr>
                <w:rFonts w:ascii="Times New Roman" w:hAnsi="Times New Roman" w:cs="Times New Roman"/>
                <w:b/>
                <w:sz w:val="20"/>
                <w:szCs w:val="16"/>
                <w:lang w:val="ro-RO"/>
              </w:rPr>
              <w:t xml:space="preserve"> stabilit </w:t>
            </w:r>
            <w:r w:rsidR="00CB011F" w:rsidRPr="009C5F11">
              <w:rPr>
                <w:rFonts w:ascii="Times New Roman" w:hAnsi="Times New Roman" w:cs="Times New Roman"/>
                <w:b/>
                <w:sz w:val="20"/>
                <w:szCs w:val="16"/>
                <w:lang w:val="ro-RO"/>
              </w:rPr>
              <w:t xml:space="preserve">în conformitate cu </w:t>
            </w:r>
            <w:r w:rsidR="000A4CC7" w:rsidRPr="009C5F11">
              <w:rPr>
                <w:rFonts w:ascii="Times New Roman" w:hAnsi="Times New Roman" w:cs="Times New Roman"/>
                <w:b/>
                <w:sz w:val="20"/>
                <w:szCs w:val="16"/>
                <w:lang w:val="ro-RO"/>
              </w:rPr>
              <w:t>Articolul</w:t>
            </w:r>
            <w:r w:rsidR="00103079" w:rsidRPr="009C5F11">
              <w:rPr>
                <w:rFonts w:ascii="Times New Roman" w:hAnsi="Times New Roman" w:cs="Times New Roman"/>
                <w:b/>
                <w:sz w:val="20"/>
                <w:szCs w:val="16"/>
                <w:lang w:val="ro-RO"/>
              </w:rPr>
              <w:t xml:space="preserve"> 7 </w:t>
            </w:r>
            <w:r w:rsidR="00CB011F" w:rsidRPr="009C5F11">
              <w:rPr>
                <w:rFonts w:ascii="Times New Roman" w:hAnsi="Times New Roman" w:cs="Times New Roman"/>
                <w:b/>
                <w:sz w:val="20"/>
                <w:szCs w:val="16"/>
                <w:lang w:val="ro-RO"/>
              </w:rPr>
              <w:t>din</w:t>
            </w:r>
            <w:r w:rsidR="00103079" w:rsidRPr="009C5F11">
              <w:rPr>
                <w:rFonts w:ascii="Times New Roman" w:hAnsi="Times New Roman" w:cs="Times New Roman"/>
                <w:b/>
                <w:sz w:val="20"/>
                <w:szCs w:val="16"/>
                <w:lang w:val="ro-RO"/>
              </w:rPr>
              <w:t xml:space="preserve"> </w:t>
            </w:r>
            <w:r w:rsidR="00CB011F" w:rsidRPr="009C5F11">
              <w:rPr>
                <w:rFonts w:ascii="Times New Roman" w:hAnsi="Times New Roman" w:cs="Times New Roman"/>
                <w:b/>
                <w:sz w:val="20"/>
                <w:szCs w:val="16"/>
                <w:lang w:val="ro-RO"/>
              </w:rPr>
              <w:t>DEE</w:t>
            </w:r>
          </w:p>
        </w:tc>
      </w:tr>
      <w:tr w:rsidR="00D11915" w:rsidRPr="009C5F11" w14:paraId="040DF1E9" w14:textId="77777777" w:rsidTr="00B40DB5">
        <w:tc>
          <w:tcPr>
            <w:tcW w:w="3708" w:type="dxa"/>
            <w:shd w:val="clear" w:color="auto" w:fill="auto"/>
          </w:tcPr>
          <w:p w14:paraId="580A7BC6" w14:textId="77777777" w:rsidR="00103079" w:rsidRPr="009C5F11" w:rsidRDefault="004D5B80" w:rsidP="008D2A1B">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Obiectivul naţional </w:t>
            </w:r>
            <w:r w:rsidR="00103079" w:rsidRPr="009C5F11">
              <w:rPr>
                <w:rFonts w:ascii="Times New Roman" w:hAnsi="Times New Roman" w:cs="Times New Roman"/>
                <w:sz w:val="20"/>
                <w:szCs w:val="16"/>
                <w:lang w:val="ro-RO"/>
              </w:rPr>
              <w:t xml:space="preserve">indicativ </w:t>
            </w:r>
            <w:r w:rsidRPr="009C5F11">
              <w:rPr>
                <w:rFonts w:ascii="Times New Roman" w:hAnsi="Times New Roman" w:cs="Times New Roman"/>
                <w:sz w:val="20"/>
                <w:szCs w:val="16"/>
                <w:lang w:val="ro-RO"/>
              </w:rPr>
              <w:t>pentru eficienţa energetică</w:t>
            </w:r>
            <w:r w:rsidR="00103079" w:rsidRPr="009C5F11">
              <w:rPr>
                <w:rFonts w:ascii="Times New Roman" w:hAnsi="Times New Roman" w:cs="Times New Roman"/>
                <w:sz w:val="20"/>
                <w:szCs w:val="16"/>
                <w:lang w:val="ro-RO"/>
              </w:rPr>
              <w:t>:</w:t>
            </w:r>
          </w:p>
          <w:p w14:paraId="253B36CB" w14:textId="77777777" w:rsidR="00103079" w:rsidRPr="009C5F11" w:rsidRDefault="008377CD" w:rsidP="008377CD">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cantitatea absolută de energie de economisit </w:t>
            </w:r>
          </w:p>
        </w:tc>
        <w:tc>
          <w:tcPr>
            <w:tcW w:w="2070" w:type="dxa"/>
            <w:shd w:val="clear" w:color="auto" w:fill="auto"/>
          </w:tcPr>
          <w:p w14:paraId="6BB1D7BE" w14:textId="77777777" w:rsidR="00103079" w:rsidRPr="009C5F11" w:rsidRDefault="00103079" w:rsidP="008D2A1B">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428 </w:t>
            </w:r>
            <w:r w:rsidR="00E52940" w:rsidRPr="009C5F11">
              <w:rPr>
                <w:rFonts w:ascii="Times New Roman" w:hAnsi="Times New Roman" w:cs="Times New Roman"/>
                <w:sz w:val="20"/>
                <w:szCs w:val="16"/>
                <w:lang w:val="ro-RO"/>
              </w:rPr>
              <w:t>ktep</w:t>
            </w:r>
            <w:r w:rsidRPr="009C5F11">
              <w:rPr>
                <w:rFonts w:ascii="Times New Roman" w:hAnsi="Times New Roman" w:cs="Times New Roman"/>
                <w:sz w:val="20"/>
                <w:szCs w:val="16"/>
                <w:lang w:val="ro-RO"/>
              </w:rPr>
              <w:t xml:space="preserve"> </w:t>
            </w:r>
            <w:r w:rsidR="00F56424" w:rsidRPr="009C5F11">
              <w:rPr>
                <w:rFonts w:ascii="Times New Roman" w:hAnsi="Times New Roman" w:cs="Times New Roman"/>
                <w:sz w:val="20"/>
                <w:szCs w:val="16"/>
                <w:lang w:val="ro-RO"/>
              </w:rPr>
              <w:t>până în</w:t>
            </w:r>
            <w:r w:rsidRPr="009C5F11">
              <w:rPr>
                <w:rFonts w:ascii="Times New Roman" w:hAnsi="Times New Roman" w:cs="Times New Roman"/>
                <w:sz w:val="20"/>
                <w:szCs w:val="16"/>
                <w:lang w:val="ro-RO"/>
              </w:rPr>
              <w:t xml:space="preserve"> 2015</w:t>
            </w:r>
          </w:p>
          <w:p w14:paraId="20AE979A" w14:textId="77777777" w:rsidR="00103079" w:rsidRPr="009C5F11" w:rsidRDefault="00103079" w:rsidP="008D2A1B">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867 </w:t>
            </w:r>
            <w:r w:rsidR="00E52940" w:rsidRPr="009C5F11">
              <w:rPr>
                <w:rFonts w:ascii="Times New Roman" w:hAnsi="Times New Roman" w:cs="Times New Roman"/>
                <w:sz w:val="20"/>
                <w:szCs w:val="16"/>
                <w:lang w:val="ro-RO"/>
              </w:rPr>
              <w:t>ktep</w:t>
            </w:r>
            <w:r w:rsidRPr="009C5F11">
              <w:rPr>
                <w:rFonts w:ascii="Times New Roman" w:hAnsi="Times New Roman" w:cs="Times New Roman"/>
                <w:sz w:val="20"/>
                <w:szCs w:val="16"/>
                <w:lang w:val="ro-RO"/>
              </w:rPr>
              <w:t xml:space="preserve"> </w:t>
            </w:r>
            <w:r w:rsidR="00F56424" w:rsidRPr="009C5F11">
              <w:rPr>
                <w:rFonts w:ascii="Times New Roman" w:hAnsi="Times New Roman" w:cs="Times New Roman"/>
                <w:sz w:val="20"/>
                <w:szCs w:val="16"/>
                <w:lang w:val="ro-RO"/>
              </w:rPr>
              <w:t>până în</w:t>
            </w:r>
            <w:r w:rsidRPr="009C5F11">
              <w:rPr>
                <w:rFonts w:ascii="Times New Roman" w:hAnsi="Times New Roman" w:cs="Times New Roman"/>
                <w:sz w:val="20"/>
                <w:szCs w:val="16"/>
                <w:lang w:val="ro-RO"/>
              </w:rPr>
              <w:t xml:space="preserve"> 2016</w:t>
            </w:r>
          </w:p>
        </w:tc>
        <w:tc>
          <w:tcPr>
            <w:tcW w:w="1980" w:type="dxa"/>
            <w:shd w:val="clear" w:color="auto" w:fill="auto"/>
          </w:tcPr>
          <w:p w14:paraId="64FAA0EC" w14:textId="77777777" w:rsidR="006F5ED3" w:rsidRPr="009C5F11" w:rsidRDefault="006F5ED3" w:rsidP="008D2A1B">
            <w:pPr>
              <w:spacing w:after="0" w:line="240" w:lineRule="auto"/>
              <w:jc w:val="both"/>
              <w:rPr>
                <w:rFonts w:ascii="Times New Roman" w:hAnsi="Times New Roman" w:cs="Times New Roman"/>
                <w:sz w:val="20"/>
                <w:szCs w:val="16"/>
                <w:lang w:val="ro-RO"/>
              </w:rPr>
            </w:pPr>
          </w:p>
          <w:p w14:paraId="7DFC5D7D" w14:textId="02E3A9E9" w:rsidR="00B01C01" w:rsidRPr="009C5F11" w:rsidRDefault="00B01C01" w:rsidP="008D2A1B">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92.</w:t>
            </w:r>
            <w:r w:rsidR="000417A6" w:rsidRPr="009C5F11">
              <w:rPr>
                <w:rFonts w:ascii="Times New Roman" w:hAnsi="Times New Roman" w:cs="Times New Roman"/>
                <w:sz w:val="20"/>
                <w:szCs w:val="16"/>
                <w:lang w:val="ro-RO"/>
              </w:rPr>
              <w:t>9</w:t>
            </w:r>
            <w:r w:rsidRPr="009C5F11">
              <w:rPr>
                <w:rFonts w:ascii="Times New Roman" w:hAnsi="Times New Roman" w:cs="Times New Roman"/>
                <w:sz w:val="20"/>
                <w:szCs w:val="16"/>
                <w:lang w:val="ro-RO"/>
              </w:rPr>
              <w:t xml:space="preserve"> </w:t>
            </w:r>
            <w:r w:rsidR="00E52940" w:rsidRPr="009C5F11">
              <w:rPr>
                <w:rFonts w:ascii="Times New Roman" w:hAnsi="Times New Roman" w:cs="Times New Roman"/>
                <w:sz w:val="20"/>
                <w:szCs w:val="16"/>
                <w:lang w:val="ro-RO"/>
              </w:rPr>
              <w:t>ktep</w:t>
            </w:r>
            <w:r w:rsidR="00321CD5" w:rsidRPr="009C5F11">
              <w:rPr>
                <w:rFonts w:ascii="Times New Roman" w:hAnsi="Times New Roman" w:cs="Times New Roman"/>
                <w:sz w:val="20"/>
                <w:szCs w:val="16"/>
                <w:lang w:val="ro-RO"/>
              </w:rPr>
              <w:t xml:space="preserve"> în </w:t>
            </w:r>
            <w:r w:rsidRPr="009C5F11">
              <w:rPr>
                <w:rFonts w:ascii="Times New Roman" w:hAnsi="Times New Roman" w:cs="Times New Roman"/>
                <w:sz w:val="20"/>
                <w:szCs w:val="16"/>
                <w:lang w:val="ro-RO"/>
              </w:rPr>
              <w:t>2016</w:t>
            </w:r>
            <w:r w:rsidRPr="009C5F11">
              <w:rPr>
                <w:rStyle w:val="Referinnotdesubsol"/>
                <w:rFonts w:ascii="Times New Roman" w:hAnsi="Times New Roman" w:cs="Times New Roman"/>
                <w:sz w:val="20"/>
                <w:szCs w:val="16"/>
                <w:lang w:val="ro-RO"/>
              </w:rPr>
              <w:footnoteReference w:id="5"/>
            </w:r>
          </w:p>
          <w:p w14:paraId="559B89DB" w14:textId="77777777" w:rsidR="00103079" w:rsidRPr="009C5F11" w:rsidRDefault="00103079" w:rsidP="00B01C01">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167.2 </w:t>
            </w:r>
            <w:r w:rsidR="00E52940" w:rsidRPr="009C5F11">
              <w:rPr>
                <w:rFonts w:ascii="Times New Roman" w:hAnsi="Times New Roman" w:cs="Times New Roman"/>
                <w:sz w:val="20"/>
                <w:szCs w:val="16"/>
                <w:lang w:val="ro-RO"/>
              </w:rPr>
              <w:t>ktep</w:t>
            </w:r>
            <w:r w:rsidR="00321CD5" w:rsidRPr="009C5F11">
              <w:rPr>
                <w:rFonts w:ascii="Times New Roman" w:hAnsi="Times New Roman" w:cs="Times New Roman"/>
                <w:sz w:val="20"/>
                <w:szCs w:val="16"/>
                <w:lang w:val="ro-RO"/>
              </w:rPr>
              <w:t xml:space="preserve"> în </w:t>
            </w:r>
            <w:r w:rsidRPr="009C5F11">
              <w:rPr>
                <w:rFonts w:ascii="Times New Roman" w:hAnsi="Times New Roman" w:cs="Times New Roman"/>
                <w:sz w:val="20"/>
                <w:szCs w:val="16"/>
                <w:lang w:val="ro-RO"/>
              </w:rPr>
              <w:t>2020</w:t>
            </w:r>
            <w:r w:rsidR="00B01C01" w:rsidRPr="009C5F11">
              <w:rPr>
                <w:rStyle w:val="Referinnotdesubsol"/>
                <w:rFonts w:ascii="Times New Roman" w:hAnsi="Times New Roman" w:cs="Times New Roman"/>
                <w:sz w:val="20"/>
                <w:szCs w:val="16"/>
                <w:lang w:val="ro-RO"/>
              </w:rPr>
              <w:footnoteReference w:id="6"/>
            </w:r>
            <w:r w:rsidR="00B01C01" w:rsidRPr="009C5F11">
              <w:rPr>
                <w:rFonts w:ascii="Times New Roman" w:hAnsi="Times New Roman" w:cs="Times New Roman"/>
                <w:sz w:val="20"/>
                <w:szCs w:val="16"/>
                <w:lang w:val="ro-RO"/>
              </w:rPr>
              <w:t xml:space="preserve"> </w:t>
            </w:r>
          </w:p>
        </w:tc>
        <w:tc>
          <w:tcPr>
            <w:tcW w:w="1890" w:type="dxa"/>
          </w:tcPr>
          <w:p w14:paraId="4B0483BB" w14:textId="77777777" w:rsidR="006F5ED3" w:rsidRPr="009C5F11" w:rsidRDefault="006F5ED3" w:rsidP="008D2A1B">
            <w:pPr>
              <w:spacing w:after="0" w:line="240" w:lineRule="auto"/>
              <w:jc w:val="both"/>
              <w:rPr>
                <w:rFonts w:ascii="Times New Roman" w:hAnsi="Times New Roman" w:cs="Times New Roman"/>
                <w:sz w:val="20"/>
                <w:szCs w:val="16"/>
                <w:lang w:val="ro-RO"/>
              </w:rPr>
            </w:pPr>
          </w:p>
          <w:p w14:paraId="073E695D" w14:textId="77777777" w:rsidR="006F5ED3" w:rsidRPr="009C5F11" w:rsidRDefault="006F5ED3" w:rsidP="008D2A1B">
            <w:pPr>
              <w:spacing w:after="0" w:line="240" w:lineRule="auto"/>
              <w:jc w:val="both"/>
              <w:rPr>
                <w:rFonts w:ascii="Times New Roman" w:hAnsi="Times New Roman" w:cs="Times New Roman"/>
                <w:sz w:val="20"/>
                <w:szCs w:val="16"/>
                <w:lang w:val="ro-RO"/>
              </w:rPr>
            </w:pPr>
          </w:p>
          <w:p w14:paraId="005CD2C1" w14:textId="77777777" w:rsidR="00103079" w:rsidRPr="009C5F11" w:rsidRDefault="00103079" w:rsidP="008D2A1B">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29.66 </w:t>
            </w:r>
            <w:r w:rsidR="00E52940" w:rsidRPr="009C5F11">
              <w:rPr>
                <w:rFonts w:ascii="Times New Roman" w:hAnsi="Times New Roman" w:cs="Times New Roman"/>
                <w:sz w:val="20"/>
                <w:szCs w:val="16"/>
                <w:lang w:val="ro-RO"/>
              </w:rPr>
              <w:t>ktep</w:t>
            </w:r>
            <w:r w:rsidR="00321CD5" w:rsidRPr="009C5F11">
              <w:rPr>
                <w:rFonts w:ascii="Times New Roman" w:hAnsi="Times New Roman" w:cs="Times New Roman"/>
                <w:sz w:val="20"/>
                <w:szCs w:val="16"/>
                <w:lang w:val="ro-RO"/>
              </w:rPr>
              <w:t xml:space="preserve"> în </w:t>
            </w:r>
            <w:r w:rsidRPr="009C5F11">
              <w:rPr>
                <w:rFonts w:ascii="Times New Roman" w:hAnsi="Times New Roman" w:cs="Times New Roman"/>
                <w:sz w:val="20"/>
                <w:szCs w:val="16"/>
                <w:lang w:val="ro-RO"/>
              </w:rPr>
              <w:t>2020</w:t>
            </w:r>
          </w:p>
        </w:tc>
      </w:tr>
    </w:tbl>
    <w:p w14:paraId="2606292D" w14:textId="4666E3E2" w:rsidR="00E7213E" w:rsidRPr="009C5F11" w:rsidRDefault="00892B59"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Calcul</w:t>
      </w:r>
      <w:r w:rsidR="003C5EBD" w:rsidRPr="009C5F11">
        <w:rPr>
          <w:rFonts w:ascii="Times New Roman" w:hAnsi="Times New Roman" w:cs="Times New Roman"/>
          <w:sz w:val="24"/>
          <w:lang w:val="ro-RO"/>
        </w:rPr>
        <w:t xml:space="preserve">ele </w:t>
      </w:r>
      <w:r w:rsidR="00424F31" w:rsidRPr="009C5F11">
        <w:rPr>
          <w:rFonts w:ascii="Times New Roman" w:hAnsi="Times New Roman" w:cs="Times New Roman"/>
          <w:sz w:val="24"/>
          <w:lang w:val="ro-RO"/>
        </w:rPr>
        <w:t xml:space="preserve">efectuate conform dispoziţiilor din </w:t>
      </w:r>
      <w:r w:rsidR="000A4CC7" w:rsidRPr="009C5F11">
        <w:rPr>
          <w:rFonts w:ascii="Times New Roman" w:hAnsi="Times New Roman" w:cs="Times New Roman"/>
          <w:sz w:val="24"/>
          <w:lang w:val="ro-RO"/>
        </w:rPr>
        <w:t>Anexa</w:t>
      </w:r>
      <w:r w:rsidRPr="009C5F11">
        <w:rPr>
          <w:rFonts w:ascii="Times New Roman" w:hAnsi="Times New Roman" w:cs="Times New Roman"/>
          <w:sz w:val="24"/>
          <w:lang w:val="ro-RO"/>
        </w:rPr>
        <w:t xml:space="preserve"> I </w:t>
      </w:r>
      <w:r w:rsidR="00424F31" w:rsidRPr="009C5F11">
        <w:rPr>
          <w:rFonts w:ascii="Times New Roman" w:hAnsi="Times New Roman" w:cs="Times New Roman"/>
          <w:sz w:val="24"/>
          <w:lang w:val="ro-RO"/>
        </w:rPr>
        <w:t>la</w:t>
      </w:r>
      <w:r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DSE</w:t>
      </w:r>
      <w:r w:rsidR="00E25A34" w:rsidRPr="009C5F11">
        <w:rPr>
          <w:rFonts w:ascii="Times New Roman" w:hAnsi="Times New Roman" w:cs="Times New Roman"/>
          <w:sz w:val="24"/>
          <w:lang w:val="ro-RO"/>
        </w:rPr>
        <w:t xml:space="preserve"> indică</w:t>
      </w:r>
      <w:r w:rsidRPr="009C5F11">
        <w:rPr>
          <w:rFonts w:ascii="Times New Roman" w:hAnsi="Times New Roman" w:cs="Times New Roman"/>
          <w:sz w:val="24"/>
          <w:lang w:val="ro-RO"/>
        </w:rPr>
        <w:t xml:space="preserve"> </w:t>
      </w:r>
      <w:r w:rsidR="00E25A34" w:rsidRPr="009C5F11">
        <w:rPr>
          <w:rFonts w:ascii="Times New Roman" w:hAnsi="Times New Roman" w:cs="Times New Roman"/>
          <w:sz w:val="24"/>
          <w:lang w:val="ro-RO"/>
        </w:rPr>
        <w:t xml:space="preserve">economii </w:t>
      </w:r>
      <w:r w:rsidR="00280231" w:rsidRPr="009C5F11">
        <w:rPr>
          <w:rFonts w:ascii="Times New Roman" w:hAnsi="Times New Roman" w:cs="Times New Roman"/>
          <w:sz w:val="24"/>
          <w:lang w:val="ro-RO"/>
        </w:rPr>
        <w:t xml:space="preserve">în </w:t>
      </w:r>
      <w:r w:rsidR="00D66E2C" w:rsidRPr="009C5F11">
        <w:rPr>
          <w:rFonts w:ascii="Times New Roman" w:hAnsi="Times New Roman" w:cs="Times New Roman"/>
          <w:sz w:val="24"/>
          <w:lang w:val="ro-RO"/>
        </w:rPr>
        <w:t>cuantum</w:t>
      </w:r>
      <w:r w:rsidR="00280231" w:rsidRPr="009C5F11">
        <w:rPr>
          <w:rFonts w:ascii="Times New Roman" w:hAnsi="Times New Roman" w:cs="Times New Roman"/>
          <w:sz w:val="24"/>
          <w:lang w:val="ro-RO"/>
        </w:rPr>
        <w:t xml:space="preserve"> de 92.9 ktep măsurabile</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2016 (</w:t>
      </w:r>
      <w:r w:rsidR="003C5EBD" w:rsidRPr="009C5F11">
        <w:rPr>
          <w:rFonts w:ascii="Times New Roman" w:hAnsi="Times New Roman" w:cs="Times New Roman"/>
          <w:sz w:val="24"/>
          <w:lang w:val="ro-RO"/>
        </w:rPr>
        <w:t>după cel de al cincilea an de aplicare a DSE</w:t>
      </w:r>
      <w:r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167.2 </w:t>
      </w:r>
      <w:r w:rsidR="00E52940" w:rsidRPr="009C5F11">
        <w:rPr>
          <w:rFonts w:ascii="Times New Roman" w:hAnsi="Times New Roman" w:cs="Times New Roman"/>
          <w:sz w:val="24"/>
          <w:lang w:val="ro-RO"/>
        </w:rPr>
        <w:t>ktep</w:t>
      </w:r>
      <w:r w:rsidRPr="009C5F11">
        <w:rPr>
          <w:rFonts w:ascii="Times New Roman" w:hAnsi="Times New Roman" w:cs="Times New Roman"/>
          <w:sz w:val="24"/>
          <w:lang w:val="ro-RO"/>
        </w:rPr>
        <w:t xml:space="preserve"> </w:t>
      </w:r>
      <w:r w:rsidR="005619E4" w:rsidRPr="009C5F11">
        <w:rPr>
          <w:rFonts w:ascii="Times New Roman" w:hAnsi="Times New Roman" w:cs="Times New Roman"/>
          <w:sz w:val="24"/>
          <w:lang w:val="ro-RO"/>
        </w:rPr>
        <w:t>–</w:t>
      </w:r>
      <w:r w:rsidR="00280231" w:rsidRPr="009C5F11">
        <w:rPr>
          <w:rFonts w:ascii="Times New Roman" w:hAnsi="Times New Roman" w:cs="Times New Roman"/>
          <w:sz w:val="24"/>
          <w:lang w:val="ro-RO"/>
        </w:rPr>
        <w:t xml:space="preserve"> economii măsurabile</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2020 (</w:t>
      </w:r>
      <w:r w:rsidR="003C5EBD" w:rsidRPr="009C5F11">
        <w:rPr>
          <w:rFonts w:ascii="Times New Roman" w:hAnsi="Times New Roman" w:cs="Times New Roman"/>
          <w:sz w:val="24"/>
          <w:lang w:val="ro-RO"/>
        </w:rPr>
        <w:t>după cel de al nouălea an de aplicare a DSE</w:t>
      </w:r>
      <w:r w:rsidRPr="009C5F11">
        <w:rPr>
          <w:rFonts w:ascii="Times New Roman" w:hAnsi="Times New Roman" w:cs="Times New Roman"/>
          <w:sz w:val="24"/>
          <w:lang w:val="ro-RO"/>
        </w:rPr>
        <w:t xml:space="preserve">). </w:t>
      </w:r>
      <w:r w:rsidR="00280231" w:rsidRPr="009C5F11">
        <w:rPr>
          <w:rFonts w:ascii="Times New Roman" w:hAnsi="Times New Roman" w:cs="Times New Roman"/>
          <w:sz w:val="24"/>
          <w:lang w:val="ro-RO"/>
        </w:rPr>
        <w:t xml:space="preserve">Concomitent sunt stabilite economii în </w:t>
      </w:r>
      <w:r w:rsidR="00D66E2C" w:rsidRPr="009C5F11">
        <w:rPr>
          <w:rFonts w:ascii="Times New Roman" w:hAnsi="Times New Roman" w:cs="Times New Roman"/>
          <w:sz w:val="24"/>
          <w:lang w:val="ro-RO"/>
        </w:rPr>
        <w:t>cuantum</w:t>
      </w:r>
      <w:r w:rsidR="00280231" w:rsidRPr="009C5F11">
        <w:rPr>
          <w:rFonts w:ascii="Times New Roman" w:hAnsi="Times New Roman" w:cs="Times New Roman"/>
          <w:sz w:val="24"/>
          <w:lang w:val="ro-RO"/>
        </w:rPr>
        <w:t xml:space="preserve"> de </w:t>
      </w:r>
      <w:r w:rsidR="00E7213E" w:rsidRPr="009C5F11">
        <w:rPr>
          <w:rFonts w:ascii="Times New Roman" w:hAnsi="Times New Roman" w:cs="Times New Roman"/>
          <w:sz w:val="24"/>
          <w:lang w:val="ro-RO"/>
        </w:rPr>
        <w:t xml:space="preserve">29.66 </w:t>
      </w:r>
      <w:r w:rsidR="00B3237E">
        <w:rPr>
          <w:rFonts w:ascii="Times New Roman" w:hAnsi="Times New Roman" w:cs="Times New Roman"/>
          <w:sz w:val="24"/>
          <w:lang w:val="ro-RO"/>
        </w:rPr>
        <w:t xml:space="preserve">ktep </w:t>
      </w:r>
      <w:r w:rsidR="005619E4" w:rsidRPr="009C5F11">
        <w:rPr>
          <w:rFonts w:ascii="Times New Roman" w:hAnsi="Times New Roman" w:cs="Times New Roman"/>
          <w:sz w:val="24"/>
          <w:lang w:val="ro-RO"/>
        </w:rPr>
        <w:t xml:space="preserve">ce decurg din obligaţia </w:t>
      </w:r>
      <w:r w:rsidR="00D66E2C" w:rsidRPr="009C5F11">
        <w:rPr>
          <w:rFonts w:ascii="Times New Roman" w:hAnsi="Times New Roman" w:cs="Times New Roman"/>
          <w:sz w:val="24"/>
          <w:lang w:val="ro-RO"/>
        </w:rPr>
        <w:t>asumată în</w:t>
      </w:r>
      <w:r w:rsidR="009F78FD" w:rsidRPr="009C5F11">
        <w:rPr>
          <w:rFonts w:ascii="Times New Roman" w:hAnsi="Times New Roman" w:cs="Times New Roman"/>
          <w:sz w:val="24"/>
          <w:lang w:val="ro-RO"/>
        </w:rPr>
        <w:t xml:space="preserve"> </w:t>
      </w:r>
      <w:r w:rsidR="00D66E2C" w:rsidRPr="009C5F11">
        <w:rPr>
          <w:rFonts w:ascii="Times New Roman" w:hAnsi="Times New Roman" w:cs="Times New Roman"/>
          <w:sz w:val="24"/>
          <w:lang w:val="ro-RO"/>
        </w:rPr>
        <w:t>temeiul</w:t>
      </w:r>
      <w:r w:rsidR="005619E4"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Articolul</w:t>
      </w:r>
      <w:r w:rsidR="00D66E2C" w:rsidRPr="009C5F11">
        <w:rPr>
          <w:rFonts w:ascii="Times New Roman" w:hAnsi="Times New Roman" w:cs="Times New Roman"/>
          <w:sz w:val="24"/>
          <w:lang w:val="ro-RO"/>
        </w:rPr>
        <w:t>ui</w:t>
      </w:r>
      <w:r w:rsidR="00E7213E" w:rsidRPr="009C5F11">
        <w:rPr>
          <w:rFonts w:ascii="Times New Roman" w:hAnsi="Times New Roman" w:cs="Times New Roman"/>
          <w:sz w:val="24"/>
          <w:lang w:val="ro-RO"/>
        </w:rPr>
        <w:t xml:space="preserve"> 7 </w:t>
      </w:r>
      <w:r w:rsidR="00810470" w:rsidRPr="009C5F11">
        <w:rPr>
          <w:rFonts w:ascii="Times New Roman" w:hAnsi="Times New Roman" w:cs="Times New Roman"/>
          <w:sz w:val="24"/>
          <w:lang w:val="ro-RO"/>
        </w:rPr>
        <w:t>literele</w:t>
      </w:r>
      <w:r w:rsidR="00FA4F43" w:rsidRPr="009C5F11">
        <w:rPr>
          <w:rFonts w:ascii="Times New Roman" w:hAnsi="Times New Roman" w:cs="Times New Roman"/>
          <w:sz w:val="24"/>
          <w:lang w:val="ro-RO"/>
        </w:rPr>
        <w:t xml:space="preserve"> </w:t>
      </w:r>
      <w:r w:rsidR="00E7213E" w:rsidRPr="009C5F11">
        <w:rPr>
          <w:rFonts w:ascii="Times New Roman" w:hAnsi="Times New Roman" w:cs="Times New Roman"/>
          <w:sz w:val="24"/>
          <w:lang w:val="ro-RO"/>
        </w:rPr>
        <w:t>a, c</w:t>
      </w:r>
      <w:r w:rsidR="00FA4F43" w:rsidRPr="009C5F11">
        <w:rPr>
          <w:rFonts w:ascii="Times New Roman" w:hAnsi="Times New Roman" w:cs="Times New Roman"/>
          <w:sz w:val="24"/>
          <w:lang w:val="ro-RO"/>
        </w:rPr>
        <w:t xml:space="preserve"> şi</w:t>
      </w:r>
      <w:r w:rsidR="00E7213E" w:rsidRPr="009C5F11">
        <w:rPr>
          <w:rFonts w:ascii="Times New Roman" w:hAnsi="Times New Roman" w:cs="Times New Roman"/>
          <w:sz w:val="24"/>
          <w:lang w:val="ro-RO"/>
        </w:rPr>
        <w:t xml:space="preserve"> d</w:t>
      </w:r>
      <w:r w:rsidR="005619E4" w:rsidRPr="009C5F11">
        <w:rPr>
          <w:rFonts w:ascii="Times New Roman" w:hAnsi="Times New Roman" w:cs="Times New Roman"/>
          <w:sz w:val="24"/>
          <w:lang w:val="ro-RO"/>
        </w:rPr>
        <w:t xml:space="preserve"> din DEE.</w:t>
      </w:r>
      <w:r w:rsidR="00E7213E" w:rsidRPr="009C5F11">
        <w:rPr>
          <w:rFonts w:ascii="Times New Roman" w:hAnsi="Times New Roman" w:cs="Times New Roman"/>
          <w:sz w:val="24"/>
          <w:lang w:val="ro-RO"/>
        </w:rPr>
        <w:t xml:space="preserve"> </w:t>
      </w:r>
    </w:p>
    <w:p w14:paraId="556667AB" w14:textId="78CD21F6" w:rsidR="00892B59" w:rsidRPr="009C5F11" w:rsidRDefault="005619E4"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În toate evaluările măsurilor anterioare şi în planificarea măsurilor noi/prel</w:t>
      </w:r>
      <w:r w:rsidR="00D66E2C" w:rsidRPr="009C5F11">
        <w:rPr>
          <w:rFonts w:ascii="Times New Roman" w:hAnsi="Times New Roman" w:cs="Times New Roman"/>
          <w:sz w:val="24"/>
          <w:lang w:val="ro-RO"/>
        </w:rPr>
        <w:t>uate</w:t>
      </w:r>
      <w:r w:rsidRPr="009C5F11">
        <w:rPr>
          <w:rFonts w:ascii="Times New Roman" w:hAnsi="Times New Roman" w:cs="Times New Roman"/>
          <w:sz w:val="24"/>
          <w:lang w:val="ro-RO"/>
        </w:rPr>
        <w:t xml:space="preserve"> sunt utilizate obiectivele recalculate</w:t>
      </w:r>
      <w:r w:rsidR="00AE731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Explicaţii în detaliu sunt incluse în Secţiunea</w:t>
      </w:r>
      <w:r w:rsidR="0050657B"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50657B" w:rsidRPr="009C5F11">
        <w:rPr>
          <w:rFonts w:ascii="Times New Roman" w:hAnsi="Times New Roman" w:cs="Times New Roman"/>
          <w:sz w:val="24"/>
          <w:lang w:val="ro-RO"/>
        </w:rPr>
        <w:instrText xml:space="preserve"> REF _Ref319704829 \r \h </w:instrText>
      </w:r>
      <w:r w:rsidR="00D11915"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1.3.2</w:t>
      </w:r>
      <w:r w:rsidR="003A6ADB" w:rsidRPr="009C5F11">
        <w:rPr>
          <w:rFonts w:ascii="Times New Roman" w:hAnsi="Times New Roman" w:cs="Times New Roman"/>
          <w:sz w:val="24"/>
          <w:lang w:val="ro-RO"/>
        </w:rPr>
        <w:fldChar w:fldCharType="end"/>
      </w:r>
      <w:r w:rsidR="0050657B" w:rsidRPr="009C5F11">
        <w:rPr>
          <w:rFonts w:ascii="Times New Roman" w:hAnsi="Times New Roman" w:cs="Times New Roman"/>
          <w:sz w:val="24"/>
          <w:lang w:val="ro-RO"/>
        </w:rPr>
        <w:t xml:space="preserve"> </w:t>
      </w:r>
      <w:r w:rsidR="00D66E2C" w:rsidRPr="009C5F11">
        <w:rPr>
          <w:rFonts w:ascii="Times New Roman" w:hAnsi="Times New Roman" w:cs="Times New Roman"/>
          <w:sz w:val="24"/>
          <w:lang w:val="ro-RO"/>
        </w:rPr>
        <w:t>cu privire la</w:t>
      </w:r>
      <w:r w:rsidRPr="009C5F11">
        <w:rPr>
          <w:rFonts w:ascii="Times New Roman" w:hAnsi="Times New Roman" w:cs="Times New Roman"/>
          <w:sz w:val="24"/>
          <w:lang w:val="ro-RO"/>
        </w:rPr>
        <w:t xml:space="preserve"> implementarea</w:t>
      </w:r>
      <w:r w:rsidR="00892B59"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w:t>
      </w:r>
      <w:r w:rsidR="00892B59" w:rsidRPr="009C5F11">
        <w:rPr>
          <w:rFonts w:ascii="Times New Roman" w:hAnsi="Times New Roman" w:cs="Times New Roman"/>
          <w:sz w:val="24"/>
          <w:lang w:val="ro-RO"/>
        </w:rPr>
        <w:t>rt</w:t>
      </w:r>
      <w:r w:rsidRPr="009C5F11">
        <w:rPr>
          <w:rFonts w:ascii="Times New Roman" w:hAnsi="Times New Roman" w:cs="Times New Roman"/>
          <w:sz w:val="24"/>
          <w:lang w:val="ro-RO"/>
        </w:rPr>
        <w:t xml:space="preserve">icolului </w:t>
      </w:r>
      <w:r w:rsidR="00892B59" w:rsidRPr="009C5F11">
        <w:rPr>
          <w:rFonts w:ascii="Times New Roman" w:hAnsi="Times New Roman" w:cs="Times New Roman"/>
          <w:sz w:val="24"/>
          <w:lang w:val="ro-RO"/>
        </w:rPr>
        <w:t xml:space="preserve">4 </w:t>
      </w:r>
      <w:r w:rsidRPr="009C5F11">
        <w:rPr>
          <w:rFonts w:ascii="Times New Roman" w:hAnsi="Times New Roman" w:cs="Times New Roman"/>
          <w:sz w:val="24"/>
          <w:lang w:val="ro-RO"/>
        </w:rPr>
        <w:t xml:space="preserve">din </w:t>
      </w:r>
      <w:r w:rsidR="00892B59" w:rsidRPr="009C5F11">
        <w:rPr>
          <w:rFonts w:ascii="Times New Roman" w:hAnsi="Times New Roman" w:cs="Times New Roman"/>
          <w:sz w:val="24"/>
          <w:lang w:val="ro-RO"/>
        </w:rPr>
        <w:t>Directiv</w:t>
      </w:r>
      <w:r w:rsidRPr="009C5F11">
        <w:rPr>
          <w:rFonts w:ascii="Times New Roman" w:hAnsi="Times New Roman" w:cs="Times New Roman"/>
          <w:sz w:val="24"/>
          <w:lang w:val="ro-RO"/>
        </w:rPr>
        <w:t>a privind serviciile energetice</w:t>
      </w:r>
      <w:r w:rsidR="00380B3F" w:rsidRPr="009C5F11">
        <w:rPr>
          <w:rFonts w:ascii="Times New Roman" w:hAnsi="Times New Roman" w:cs="Times New Roman"/>
          <w:sz w:val="24"/>
          <w:lang w:val="ro-RO"/>
        </w:rPr>
        <w:t xml:space="preserve">, precum </w:t>
      </w:r>
      <w:r w:rsidR="00B57E66">
        <w:rPr>
          <w:rFonts w:ascii="Times New Roman" w:hAnsi="Times New Roman" w:cs="Times New Roman"/>
          <w:sz w:val="24"/>
          <w:lang w:val="ro-RO"/>
        </w:rPr>
        <w:t>ș</w:t>
      </w:r>
      <w:r w:rsidR="00380B3F" w:rsidRPr="009C5F11">
        <w:rPr>
          <w:rFonts w:ascii="Times New Roman" w:hAnsi="Times New Roman" w:cs="Times New Roman"/>
          <w:sz w:val="24"/>
          <w:lang w:val="ro-RO"/>
        </w:rPr>
        <w:t xml:space="preserve">i </w:t>
      </w:r>
      <w:r w:rsidR="00B57E66">
        <w:rPr>
          <w:rFonts w:ascii="Times New Roman" w:hAnsi="Times New Roman" w:cs="Times New Roman"/>
          <w:sz w:val="24"/>
          <w:lang w:val="ro-RO"/>
        </w:rPr>
        <w:t>î</w:t>
      </w:r>
      <w:r w:rsidR="00380B3F" w:rsidRPr="009C5F11">
        <w:rPr>
          <w:rFonts w:ascii="Times New Roman" w:hAnsi="Times New Roman" w:cs="Times New Roman"/>
          <w:sz w:val="24"/>
          <w:lang w:val="ro-RO"/>
        </w:rPr>
        <w:t xml:space="preserve">n Sectiunea </w:t>
      </w:r>
      <w:r w:rsidR="00380B3F" w:rsidRPr="009C5F11">
        <w:rPr>
          <w:rFonts w:ascii="Times New Roman" w:hAnsi="Times New Roman" w:cs="Times New Roman"/>
          <w:sz w:val="24"/>
          <w:lang w:val="ro-RO"/>
        </w:rPr>
        <w:fldChar w:fldCharType="begin"/>
      </w:r>
      <w:r w:rsidR="00380B3F" w:rsidRPr="009C5F11">
        <w:rPr>
          <w:rFonts w:ascii="Times New Roman" w:hAnsi="Times New Roman" w:cs="Times New Roman"/>
          <w:sz w:val="24"/>
          <w:lang w:val="ro-RO"/>
        </w:rPr>
        <w:instrText xml:space="preserve"> REF _Ref319774360 \r \h </w:instrText>
      </w:r>
      <w:r w:rsidR="009C5F11" w:rsidRPr="009C5F11">
        <w:rPr>
          <w:rFonts w:ascii="Times New Roman" w:hAnsi="Times New Roman" w:cs="Times New Roman"/>
          <w:sz w:val="24"/>
          <w:lang w:val="ro-RO"/>
        </w:rPr>
        <w:instrText xml:space="preserve"> \* MERGEFORMAT </w:instrText>
      </w:r>
      <w:r w:rsidR="00380B3F" w:rsidRPr="009C5F11">
        <w:rPr>
          <w:rFonts w:ascii="Times New Roman" w:hAnsi="Times New Roman" w:cs="Times New Roman"/>
          <w:sz w:val="24"/>
          <w:lang w:val="ro-RO"/>
        </w:rPr>
      </w:r>
      <w:r w:rsidR="00380B3F"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4.5</w:t>
      </w:r>
      <w:r w:rsidR="00380B3F" w:rsidRPr="009C5F11">
        <w:rPr>
          <w:rFonts w:ascii="Times New Roman" w:hAnsi="Times New Roman" w:cs="Times New Roman"/>
          <w:sz w:val="24"/>
          <w:lang w:val="ro-RO"/>
        </w:rPr>
        <w:fldChar w:fldCharType="end"/>
      </w:r>
      <w:r w:rsidR="00D11915" w:rsidRPr="009C5F11">
        <w:rPr>
          <w:rFonts w:ascii="Times New Roman" w:hAnsi="Times New Roman" w:cs="Times New Roman"/>
          <w:sz w:val="24"/>
          <w:lang w:val="ro-RO"/>
        </w:rPr>
        <w:t xml:space="preserve"> cu privire la </w:t>
      </w:r>
      <w:r w:rsidR="00BA3679" w:rsidRPr="009C5F11">
        <w:rPr>
          <w:rFonts w:ascii="Times New Roman" w:hAnsi="Times New Roman" w:cs="Times New Roman"/>
          <w:sz w:val="24"/>
          <w:lang w:val="ro-RO"/>
        </w:rPr>
        <w:t>implementarea Articolului 7 din DEE adaptata prin Decizia D/2015/08/MC-EnC</w:t>
      </w:r>
      <w:r w:rsidR="009A7E05" w:rsidRPr="009C5F11">
        <w:rPr>
          <w:rFonts w:ascii="Times New Roman" w:hAnsi="Times New Roman" w:cs="Times New Roman"/>
          <w:sz w:val="24"/>
          <w:lang w:val="ro-RO"/>
        </w:rPr>
        <w:t>.</w:t>
      </w:r>
    </w:p>
    <w:p w14:paraId="54A3E73F" w14:textId="77777777" w:rsidR="00996D99" w:rsidRPr="009C5F11" w:rsidRDefault="00996D99" w:rsidP="00996D99">
      <w:pPr>
        <w:spacing w:after="0" w:line="240" w:lineRule="auto"/>
        <w:jc w:val="both"/>
        <w:rPr>
          <w:rFonts w:ascii="Times New Roman" w:hAnsi="Times New Roman" w:cs="Times New Roman"/>
          <w:b/>
          <w:caps/>
          <w:sz w:val="24"/>
          <w:lang w:val="ro-RO"/>
        </w:rPr>
      </w:pPr>
    </w:p>
    <w:p w14:paraId="2EEB2F0F" w14:textId="77777777" w:rsidR="00996D99" w:rsidRPr="009C5F11" w:rsidRDefault="00321CD5" w:rsidP="00996D99">
      <w:pPr>
        <w:spacing w:after="0" w:line="240" w:lineRule="auto"/>
        <w:jc w:val="both"/>
        <w:rPr>
          <w:rFonts w:ascii="Times New Roman" w:hAnsi="Times New Roman" w:cs="Times New Roman"/>
          <w:b/>
          <w:caps/>
          <w:sz w:val="24"/>
          <w:lang w:val="ro-RO"/>
        </w:rPr>
      </w:pPr>
      <w:r w:rsidRPr="009C5F11">
        <w:rPr>
          <w:rFonts w:ascii="Times New Roman" w:hAnsi="Times New Roman" w:cs="Times New Roman"/>
          <w:b/>
          <w:caps/>
          <w:sz w:val="24"/>
          <w:lang w:val="ro-RO"/>
        </w:rPr>
        <w:t xml:space="preserve">analiză </w:t>
      </w:r>
      <w:r w:rsidR="00996D99" w:rsidRPr="009C5F11">
        <w:rPr>
          <w:rFonts w:ascii="Times New Roman" w:hAnsi="Times New Roman" w:cs="Times New Roman"/>
          <w:b/>
          <w:caps/>
          <w:sz w:val="24"/>
          <w:lang w:val="ro-RO"/>
        </w:rPr>
        <w:t>Retrospectiv</w:t>
      </w:r>
      <w:r w:rsidRPr="009C5F11">
        <w:rPr>
          <w:rFonts w:ascii="Times New Roman" w:hAnsi="Times New Roman" w:cs="Times New Roman"/>
          <w:b/>
          <w:caps/>
          <w:sz w:val="24"/>
          <w:lang w:val="ro-RO"/>
        </w:rPr>
        <w:t xml:space="preserve">ă pentru anii </w:t>
      </w:r>
      <w:r w:rsidR="00996D99" w:rsidRPr="009C5F11">
        <w:rPr>
          <w:rFonts w:ascii="Times New Roman" w:hAnsi="Times New Roman" w:cs="Times New Roman"/>
          <w:b/>
          <w:caps/>
          <w:sz w:val="24"/>
          <w:lang w:val="ro-RO"/>
        </w:rPr>
        <w:t>2013-2015</w:t>
      </w:r>
    </w:p>
    <w:p w14:paraId="0F791DC1" w14:textId="4B510F72" w:rsidR="001D046D" w:rsidRPr="009C5F11" w:rsidRDefault="005619E4"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 xml:space="preserve">Până în prezent a fost atins un progres </w:t>
      </w:r>
      <w:r w:rsidR="00981DB2" w:rsidRPr="009C5F11">
        <w:rPr>
          <w:rFonts w:ascii="Times New Roman" w:hAnsi="Times New Roman" w:cs="Times New Roman"/>
          <w:sz w:val="24"/>
          <w:lang w:val="ro-RO"/>
        </w:rPr>
        <w:t xml:space="preserve">relevant </w:t>
      </w:r>
      <w:r w:rsidRPr="009C5F11">
        <w:rPr>
          <w:rFonts w:ascii="Times New Roman" w:hAnsi="Times New Roman" w:cs="Times New Roman"/>
          <w:sz w:val="24"/>
          <w:lang w:val="ro-RO"/>
        </w:rPr>
        <w:t xml:space="preserve">în realizarea dispoziţiilor </w:t>
      </w:r>
      <w:r w:rsidR="000A4CC7" w:rsidRPr="009C5F11">
        <w:rPr>
          <w:rFonts w:ascii="Times New Roman" w:hAnsi="Times New Roman" w:cs="Times New Roman"/>
          <w:sz w:val="24"/>
          <w:lang w:val="ro-RO"/>
        </w:rPr>
        <w:t>PNEE</w:t>
      </w:r>
      <w:r w:rsidR="001D046D" w:rsidRPr="009C5F11">
        <w:rPr>
          <w:rFonts w:ascii="Times New Roman" w:hAnsi="Times New Roman" w:cs="Times New Roman"/>
          <w:sz w:val="24"/>
          <w:lang w:val="ro-RO"/>
        </w:rPr>
        <w:t xml:space="preserve"> 2011-2020</w:t>
      </w:r>
      <w:r w:rsidR="00321CD5" w:rsidRPr="009C5F11">
        <w:rPr>
          <w:rFonts w:ascii="Times New Roman" w:hAnsi="Times New Roman" w:cs="Times New Roman"/>
          <w:sz w:val="24"/>
          <w:lang w:val="ro-RO"/>
        </w:rPr>
        <w:t xml:space="preserve"> şi </w:t>
      </w:r>
      <w:r w:rsidR="00D66E2C" w:rsidRPr="009C5F11">
        <w:rPr>
          <w:rFonts w:ascii="Times New Roman" w:hAnsi="Times New Roman" w:cs="Times New Roman"/>
          <w:sz w:val="24"/>
          <w:lang w:val="ro-RO"/>
        </w:rPr>
        <w:t xml:space="preserve">ale </w:t>
      </w:r>
      <w:r w:rsidR="00872DC2" w:rsidRPr="009C5F11">
        <w:rPr>
          <w:rFonts w:ascii="Times New Roman" w:hAnsi="Times New Roman" w:cs="Times New Roman"/>
          <w:sz w:val="24"/>
          <w:lang w:val="ro-RO"/>
        </w:rPr>
        <w:t>PNAEE</w:t>
      </w:r>
      <w:r w:rsidR="001D046D" w:rsidRPr="009C5F11">
        <w:rPr>
          <w:rFonts w:ascii="Times New Roman" w:hAnsi="Times New Roman" w:cs="Times New Roman"/>
          <w:sz w:val="24"/>
          <w:lang w:val="ro-RO"/>
        </w:rPr>
        <w:t xml:space="preserve"> 2013-2015:</w:t>
      </w:r>
    </w:p>
    <w:p w14:paraId="34773DA5" w14:textId="77777777" w:rsidR="00ED00B5" w:rsidRPr="009C5F11" w:rsidRDefault="005619E4" w:rsidP="00334F3B">
      <w:pPr>
        <w:pStyle w:val="Listparagraf"/>
        <w:numPr>
          <w:ilvl w:val="0"/>
          <w:numId w:val="180"/>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Au fost elaborate sau actualizate numeroase documente </w:t>
      </w:r>
      <w:r w:rsidR="00981DB2" w:rsidRPr="009C5F11">
        <w:rPr>
          <w:rFonts w:ascii="Times New Roman" w:hAnsi="Times New Roman" w:cs="Times New Roman"/>
          <w:sz w:val="24"/>
          <w:lang w:val="ro-RO"/>
        </w:rPr>
        <w:t>legislative</w:t>
      </w:r>
      <w:r w:rsidR="00321CD5" w:rsidRPr="009C5F11">
        <w:rPr>
          <w:rFonts w:ascii="Times New Roman" w:hAnsi="Times New Roman" w:cs="Times New Roman"/>
          <w:sz w:val="24"/>
          <w:lang w:val="ro-RO"/>
        </w:rPr>
        <w:t xml:space="preserve"> şi </w:t>
      </w:r>
      <w:r w:rsidR="00981DB2" w:rsidRPr="009C5F11">
        <w:rPr>
          <w:rFonts w:ascii="Times New Roman" w:hAnsi="Times New Roman" w:cs="Times New Roman"/>
          <w:sz w:val="24"/>
          <w:lang w:val="ro-RO"/>
        </w:rPr>
        <w:t>regulator</w:t>
      </w:r>
      <w:r w:rsidRPr="009C5F11">
        <w:rPr>
          <w:rFonts w:ascii="Times New Roman" w:hAnsi="Times New Roman" w:cs="Times New Roman"/>
          <w:sz w:val="24"/>
          <w:lang w:val="ro-RO"/>
        </w:rPr>
        <w:t xml:space="preserve">ii, unele </w:t>
      </w:r>
      <w:r w:rsidR="00810470" w:rsidRPr="009C5F11">
        <w:rPr>
          <w:rFonts w:ascii="Times New Roman" w:hAnsi="Times New Roman" w:cs="Times New Roman"/>
          <w:sz w:val="24"/>
          <w:lang w:val="ro-RO"/>
        </w:rPr>
        <w:t>dintre</w:t>
      </w:r>
      <w:r w:rsidRPr="009C5F11">
        <w:rPr>
          <w:rFonts w:ascii="Times New Roman" w:hAnsi="Times New Roman" w:cs="Times New Roman"/>
          <w:sz w:val="24"/>
          <w:lang w:val="ro-RO"/>
        </w:rPr>
        <w:t xml:space="preserve"> aceste documente fiind deja </w:t>
      </w:r>
      <w:r w:rsidR="00ED00B5" w:rsidRPr="009C5F11">
        <w:rPr>
          <w:rFonts w:ascii="Times New Roman" w:hAnsi="Times New Roman" w:cs="Times New Roman"/>
          <w:sz w:val="24"/>
          <w:lang w:val="ro-RO"/>
        </w:rPr>
        <w:t>adopt</w:t>
      </w:r>
      <w:r w:rsidRPr="009C5F11">
        <w:rPr>
          <w:rFonts w:ascii="Times New Roman" w:hAnsi="Times New Roman" w:cs="Times New Roman"/>
          <w:sz w:val="24"/>
          <w:lang w:val="ro-RO"/>
        </w:rPr>
        <w:t>at</w:t>
      </w:r>
      <w:r w:rsidR="00ED00B5" w:rsidRPr="009C5F11">
        <w:rPr>
          <w:rFonts w:ascii="Times New Roman" w:hAnsi="Times New Roman" w:cs="Times New Roman"/>
          <w:sz w:val="24"/>
          <w:lang w:val="ro-RO"/>
        </w:rPr>
        <w:t>e</w:t>
      </w:r>
      <w:r w:rsidR="005F41F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Printre acestea se numără</w:t>
      </w:r>
      <w:r w:rsidR="00727D9A" w:rsidRPr="009C5F11">
        <w:rPr>
          <w:rFonts w:ascii="Times New Roman" w:hAnsi="Times New Roman" w:cs="Times New Roman"/>
          <w:sz w:val="24"/>
          <w:lang w:val="ro-RO"/>
        </w:rPr>
        <w:t>:</w:t>
      </w:r>
    </w:p>
    <w:p w14:paraId="5D84B62F" w14:textId="77777777" w:rsidR="00ED00B5" w:rsidRPr="009C5F11" w:rsidRDefault="000A4CC7" w:rsidP="00334F3B">
      <w:pPr>
        <w:pStyle w:val="Listparagraf"/>
        <w:numPr>
          <w:ilvl w:val="1"/>
          <w:numId w:val="180"/>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Legea</w:t>
      </w:r>
      <w:r w:rsidR="00981DB2" w:rsidRPr="009C5F11">
        <w:rPr>
          <w:rFonts w:ascii="Times New Roman" w:hAnsi="Times New Roman" w:cs="Times New Roman"/>
          <w:sz w:val="24"/>
          <w:lang w:val="ro-RO"/>
        </w:rPr>
        <w:t xml:space="preserve"> </w:t>
      </w:r>
      <w:r w:rsidR="00E13ED2" w:rsidRPr="009C5F11">
        <w:rPr>
          <w:rFonts w:ascii="Times New Roman" w:hAnsi="Times New Roman" w:cs="Times New Roman"/>
          <w:sz w:val="24"/>
          <w:lang w:val="ro-RO"/>
        </w:rPr>
        <w:t>privind etichetarea produselor cu impact energetic (</w:t>
      </w:r>
      <w:r w:rsidR="005619E4" w:rsidRPr="009C5F11">
        <w:rPr>
          <w:rFonts w:ascii="Times New Roman" w:hAnsi="Times New Roman" w:cs="Times New Roman"/>
          <w:sz w:val="24"/>
          <w:lang w:val="ro-RO"/>
        </w:rPr>
        <w:t xml:space="preserve">de transpunere a Directivei privind </w:t>
      </w:r>
      <w:r w:rsidR="00E13ED2" w:rsidRPr="009C5F11">
        <w:rPr>
          <w:rFonts w:ascii="Times New Roman" w:hAnsi="Times New Roman" w:cs="Times New Roman"/>
          <w:sz w:val="24"/>
          <w:lang w:val="ro-RO"/>
        </w:rPr>
        <w:t xml:space="preserve">indicarea, prin </w:t>
      </w:r>
      <w:r w:rsidR="005619E4" w:rsidRPr="009C5F11">
        <w:rPr>
          <w:rFonts w:ascii="Times New Roman" w:hAnsi="Times New Roman" w:cs="Times New Roman"/>
          <w:sz w:val="24"/>
          <w:lang w:val="ro-RO"/>
        </w:rPr>
        <w:t>etichetare</w:t>
      </w:r>
      <w:r w:rsidR="00E13ED2" w:rsidRPr="009C5F11">
        <w:rPr>
          <w:rFonts w:ascii="Times New Roman" w:hAnsi="Times New Roman" w:cs="Times New Roman"/>
          <w:sz w:val="24"/>
          <w:lang w:val="ro-RO"/>
        </w:rPr>
        <w:t xml:space="preserve"> şi informaţii standard de produs, </w:t>
      </w:r>
      <w:r w:rsidR="005619E4" w:rsidRPr="009C5F11">
        <w:rPr>
          <w:rFonts w:ascii="Times New Roman" w:hAnsi="Times New Roman" w:cs="Times New Roman"/>
          <w:sz w:val="24"/>
          <w:lang w:val="ro-RO"/>
        </w:rPr>
        <w:t xml:space="preserve">a consumului de energie </w:t>
      </w:r>
      <w:r w:rsidR="00E13ED2" w:rsidRPr="009C5F11">
        <w:rPr>
          <w:rFonts w:ascii="Times New Roman" w:hAnsi="Times New Roman" w:cs="Times New Roman"/>
          <w:sz w:val="24"/>
          <w:lang w:val="ro-RO"/>
        </w:rPr>
        <w:t xml:space="preserve">şi de alte resurse al produselor cu impact energetic) </w:t>
      </w:r>
      <w:r w:rsidR="005619E4" w:rsidRPr="009C5F11">
        <w:rPr>
          <w:rFonts w:ascii="Times New Roman" w:hAnsi="Times New Roman" w:cs="Times New Roman"/>
          <w:sz w:val="24"/>
          <w:lang w:val="ro-RO"/>
        </w:rPr>
        <w:t xml:space="preserve">a intrat în vigoare </w:t>
      </w:r>
      <w:r w:rsidR="00321CD5" w:rsidRPr="009C5F11">
        <w:rPr>
          <w:rFonts w:ascii="Times New Roman" w:hAnsi="Times New Roman" w:cs="Times New Roman"/>
          <w:sz w:val="24"/>
          <w:lang w:val="ro-RO"/>
        </w:rPr>
        <w:t xml:space="preserve">în </w:t>
      </w:r>
      <w:r w:rsidR="005619E4" w:rsidRPr="009C5F11">
        <w:rPr>
          <w:rFonts w:ascii="Times New Roman" w:hAnsi="Times New Roman" w:cs="Times New Roman"/>
          <w:sz w:val="24"/>
          <w:lang w:val="ro-RO"/>
        </w:rPr>
        <w:t xml:space="preserve">luna </w:t>
      </w:r>
      <w:r w:rsidRPr="009C5F11">
        <w:rPr>
          <w:rFonts w:ascii="Times New Roman" w:hAnsi="Times New Roman" w:cs="Times New Roman"/>
          <w:sz w:val="24"/>
          <w:lang w:val="ro-RO"/>
        </w:rPr>
        <w:t>octombrie</w:t>
      </w:r>
      <w:r w:rsidR="00ED00B5" w:rsidRPr="009C5F11">
        <w:rPr>
          <w:rFonts w:ascii="Times New Roman" w:hAnsi="Times New Roman" w:cs="Times New Roman"/>
          <w:sz w:val="24"/>
          <w:lang w:val="ro-RO"/>
        </w:rPr>
        <w:t xml:space="preserve"> 2014</w:t>
      </w:r>
      <w:r w:rsidR="005F41F1" w:rsidRPr="009C5F11">
        <w:rPr>
          <w:rFonts w:ascii="Times New Roman" w:hAnsi="Times New Roman" w:cs="Times New Roman"/>
          <w:sz w:val="24"/>
          <w:lang w:val="ro-RO"/>
        </w:rPr>
        <w:t>;</w:t>
      </w:r>
    </w:p>
    <w:p w14:paraId="474E21B5" w14:textId="77777777" w:rsidR="00ED00B5" w:rsidRPr="009C5F11" w:rsidRDefault="00E13ED2" w:rsidP="00334F3B">
      <w:pPr>
        <w:pStyle w:val="Listparagraf"/>
        <w:numPr>
          <w:ilvl w:val="1"/>
          <w:numId w:val="180"/>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Legea privind cerinţele în materie de proiectare ecologică aplicabile produselor cu impact energetic a intrat în vigoare în luna </w:t>
      </w:r>
      <w:r w:rsidR="000A4CC7" w:rsidRPr="009C5F11">
        <w:rPr>
          <w:rFonts w:ascii="Times New Roman" w:hAnsi="Times New Roman" w:cs="Times New Roman"/>
          <w:sz w:val="24"/>
          <w:lang w:val="ro-RO"/>
        </w:rPr>
        <w:t>aprilie</w:t>
      </w:r>
      <w:r w:rsidR="00ED00B5" w:rsidRPr="009C5F11">
        <w:rPr>
          <w:rFonts w:ascii="Times New Roman" w:hAnsi="Times New Roman" w:cs="Times New Roman"/>
          <w:sz w:val="24"/>
          <w:lang w:val="ro-RO"/>
        </w:rPr>
        <w:t xml:space="preserve"> 2015</w:t>
      </w:r>
      <w:r w:rsidR="005F41F1" w:rsidRPr="009C5F11">
        <w:rPr>
          <w:rFonts w:ascii="Times New Roman" w:hAnsi="Times New Roman" w:cs="Times New Roman"/>
          <w:sz w:val="24"/>
          <w:lang w:val="ro-RO"/>
        </w:rPr>
        <w:t>;</w:t>
      </w:r>
    </w:p>
    <w:p w14:paraId="1B700787" w14:textId="77777777" w:rsidR="00ED00B5" w:rsidRPr="009C5F11" w:rsidRDefault="000A4CC7" w:rsidP="00334F3B">
      <w:pPr>
        <w:pStyle w:val="Listparagraf"/>
        <w:numPr>
          <w:ilvl w:val="1"/>
          <w:numId w:val="180"/>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Legea</w:t>
      </w:r>
      <w:r w:rsidR="00ED00B5" w:rsidRPr="009C5F11">
        <w:rPr>
          <w:rFonts w:ascii="Times New Roman" w:hAnsi="Times New Roman" w:cs="Times New Roman"/>
          <w:sz w:val="24"/>
          <w:lang w:val="ro-RO"/>
        </w:rPr>
        <w:t xml:space="preserve"> </w:t>
      </w:r>
      <w:r w:rsidR="00E13ED2" w:rsidRPr="009C5F11">
        <w:rPr>
          <w:rFonts w:ascii="Times New Roman" w:hAnsi="Times New Roman" w:cs="Times New Roman"/>
          <w:sz w:val="24"/>
          <w:lang w:val="ro-RO"/>
        </w:rPr>
        <w:t xml:space="preserve">privind performanţa energetică a clădirilor (de transpunere a DPEC) a intrat în vigoare în luna </w:t>
      </w:r>
      <w:r w:rsidRPr="009C5F11">
        <w:rPr>
          <w:rFonts w:ascii="Times New Roman" w:hAnsi="Times New Roman" w:cs="Times New Roman"/>
          <w:sz w:val="24"/>
          <w:lang w:val="ro-RO"/>
        </w:rPr>
        <w:t>ianuarie</w:t>
      </w:r>
      <w:r w:rsidR="00ED00B5" w:rsidRPr="009C5F11">
        <w:rPr>
          <w:rFonts w:ascii="Times New Roman" w:hAnsi="Times New Roman" w:cs="Times New Roman"/>
          <w:sz w:val="24"/>
          <w:lang w:val="ro-RO"/>
        </w:rPr>
        <w:t xml:space="preserve"> 2015</w:t>
      </w:r>
      <w:r w:rsidR="005F41F1" w:rsidRPr="009C5F11">
        <w:rPr>
          <w:rFonts w:ascii="Times New Roman" w:hAnsi="Times New Roman" w:cs="Times New Roman"/>
          <w:sz w:val="24"/>
          <w:lang w:val="ro-RO"/>
        </w:rPr>
        <w:t>;</w:t>
      </w:r>
    </w:p>
    <w:p w14:paraId="33DD99AA" w14:textId="77777777" w:rsidR="00ED00B5" w:rsidRPr="009C5F11" w:rsidRDefault="000A4CC7" w:rsidP="00334F3B">
      <w:pPr>
        <w:pStyle w:val="Listparagraf"/>
        <w:numPr>
          <w:ilvl w:val="1"/>
          <w:numId w:val="180"/>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lastRenderedPageBreak/>
        <w:t>Legea</w:t>
      </w:r>
      <w:r w:rsidR="00ED00B5" w:rsidRPr="009C5F11">
        <w:rPr>
          <w:rFonts w:ascii="Times New Roman" w:hAnsi="Times New Roman" w:cs="Times New Roman"/>
          <w:sz w:val="24"/>
          <w:lang w:val="ro-RO"/>
        </w:rPr>
        <w:t xml:space="preserve"> </w:t>
      </w:r>
      <w:r w:rsidR="00E13ED2" w:rsidRPr="009C5F11">
        <w:rPr>
          <w:rFonts w:ascii="Times New Roman" w:hAnsi="Times New Roman" w:cs="Times New Roman"/>
          <w:sz w:val="24"/>
          <w:lang w:val="ro-RO"/>
        </w:rPr>
        <w:t>cu privire la energia termică şi promovarea cogenerării (de transpunere</w:t>
      </w:r>
      <w:r w:rsidR="00ED00B5" w:rsidRPr="009C5F11">
        <w:rPr>
          <w:rFonts w:ascii="Times New Roman" w:hAnsi="Times New Roman" w:cs="Times New Roman"/>
          <w:sz w:val="24"/>
          <w:lang w:val="ro-RO"/>
        </w:rPr>
        <w:t xml:space="preserve"> par</w:t>
      </w:r>
      <w:r w:rsidR="00E13ED2" w:rsidRPr="009C5F11">
        <w:rPr>
          <w:rFonts w:ascii="Times New Roman" w:hAnsi="Times New Roman" w:cs="Times New Roman"/>
          <w:sz w:val="24"/>
          <w:lang w:val="ro-RO"/>
        </w:rPr>
        <w:t>ţ</w:t>
      </w:r>
      <w:r w:rsidR="00ED00B5" w:rsidRPr="009C5F11">
        <w:rPr>
          <w:rFonts w:ascii="Times New Roman" w:hAnsi="Times New Roman" w:cs="Times New Roman"/>
          <w:sz w:val="24"/>
          <w:lang w:val="ro-RO"/>
        </w:rPr>
        <w:t>ial</w:t>
      </w:r>
      <w:r w:rsidR="00E13ED2" w:rsidRPr="009C5F11">
        <w:rPr>
          <w:rFonts w:ascii="Times New Roman" w:hAnsi="Times New Roman" w:cs="Times New Roman"/>
          <w:sz w:val="24"/>
          <w:lang w:val="ro-RO"/>
        </w:rPr>
        <w:t>ă</w:t>
      </w:r>
      <w:r w:rsidR="00ED00B5" w:rsidRPr="009C5F11">
        <w:rPr>
          <w:rFonts w:ascii="Times New Roman" w:hAnsi="Times New Roman" w:cs="Times New Roman"/>
          <w:sz w:val="24"/>
          <w:lang w:val="ro-RO"/>
        </w:rPr>
        <w:t xml:space="preserve"> </w:t>
      </w:r>
      <w:r w:rsidR="00E13ED2" w:rsidRPr="009C5F11">
        <w:rPr>
          <w:rFonts w:ascii="Times New Roman" w:hAnsi="Times New Roman" w:cs="Times New Roman"/>
          <w:sz w:val="24"/>
          <w:lang w:val="ro-RO"/>
        </w:rPr>
        <w:t xml:space="preserve">a </w:t>
      </w:r>
      <w:r w:rsidRPr="009C5F11">
        <w:rPr>
          <w:rFonts w:ascii="Times New Roman" w:hAnsi="Times New Roman" w:cs="Times New Roman"/>
          <w:sz w:val="24"/>
          <w:lang w:val="ro-RO"/>
        </w:rPr>
        <w:t>Directiv</w:t>
      </w:r>
      <w:r w:rsidR="00E13ED2" w:rsidRPr="009C5F11">
        <w:rPr>
          <w:rFonts w:ascii="Times New Roman" w:hAnsi="Times New Roman" w:cs="Times New Roman"/>
          <w:sz w:val="24"/>
          <w:lang w:val="ro-RO"/>
        </w:rPr>
        <w:t>ei</w:t>
      </w:r>
      <w:r w:rsidRPr="009C5F11">
        <w:rPr>
          <w:rFonts w:ascii="Times New Roman" w:hAnsi="Times New Roman" w:cs="Times New Roman"/>
          <w:sz w:val="24"/>
          <w:lang w:val="ro-RO"/>
        </w:rPr>
        <w:t xml:space="preserve"> </w:t>
      </w:r>
      <w:r w:rsidR="00ED00B5" w:rsidRPr="009C5F11">
        <w:rPr>
          <w:rFonts w:ascii="Times New Roman" w:hAnsi="Times New Roman" w:cs="Times New Roman"/>
          <w:sz w:val="24"/>
          <w:lang w:val="ro-RO"/>
        </w:rPr>
        <w:t xml:space="preserve">2012/27/UE </w:t>
      </w:r>
      <w:r w:rsidR="00C43E50" w:rsidRPr="009C5F11">
        <w:rPr>
          <w:rFonts w:ascii="Times New Roman" w:hAnsi="Times New Roman" w:cs="Times New Roman"/>
          <w:sz w:val="24"/>
          <w:lang w:val="ro-RO"/>
        </w:rPr>
        <w:t>privind eficienţa energetică</w:t>
      </w:r>
      <w:r w:rsidR="00E13ED2" w:rsidRPr="009C5F11">
        <w:rPr>
          <w:rFonts w:ascii="Times New Roman" w:hAnsi="Times New Roman" w:cs="Times New Roman"/>
          <w:sz w:val="24"/>
          <w:lang w:val="ro-RO"/>
        </w:rPr>
        <w:t>) a</w:t>
      </w:r>
      <w:r w:rsidR="004A3531" w:rsidRPr="009C5F11">
        <w:rPr>
          <w:rFonts w:ascii="Times New Roman" w:hAnsi="Times New Roman" w:cs="Times New Roman"/>
          <w:sz w:val="24"/>
          <w:lang w:val="ro-RO"/>
        </w:rPr>
        <w:t xml:space="preserve"> </w:t>
      </w:r>
      <w:r w:rsidR="00E13ED2" w:rsidRPr="009C5F11">
        <w:rPr>
          <w:rFonts w:ascii="Times New Roman" w:hAnsi="Times New Roman" w:cs="Times New Roman"/>
          <w:sz w:val="24"/>
          <w:lang w:val="ro-RO"/>
        </w:rPr>
        <w:t>intrat în vigoare în luna</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iulie</w:t>
      </w:r>
      <w:r w:rsidR="00661782" w:rsidRPr="009C5F11">
        <w:rPr>
          <w:rFonts w:ascii="Times New Roman" w:hAnsi="Times New Roman" w:cs="Times New Roman"/>
          <w:sz w:val="24"/>
          <w:lang w:val="ro-RO"/>
        </w:rPr>
        <w:t xml:space="preserve"> 2014</w:t>
      </w:r>
      <w:r w:rsidR="00ED00B5" w:rsidRPr="009C5F11">
        <w:rPr>
          <w:rFonts w:ascii="Times New Roman" w:hAnsi="Times New Roman" w:cs="Times New Roman"/>
          <w:sz w:val="24"/>
          <w:lang w:val="ro-RO"/>
        </w:rPr>
        <w:t>.</w:t>
      </w:r>
    </w:p>
    <w:p w14:paraId="575CDD82" w14:textId="77777777" w:rsidR="001D046D" w:rsidRPr="009C5F11" w:rsidRDefault="00532A33" w:rsidP="00334F3B">
      <w:pPr>
        <w:pStyle w:val="Listparagraf"/>
        <w:numPr>
          <w:ilvl w:val="0"/>
          <w:numId w:val="180"/>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Implementarea</w:t>
      </w:r>
      <w:r w:rsidR="00981DB2" w:rsidRPr="009C5F11">
        <w:rPr>
          <w:rFonts w:ascii="Times New Roman" w:hAnsi="Times New Roman" w:cs="Times New Roman"/>
          <w:sz w:val="24"/>
          <w:lang w:val="ro-RO"/>
        </w:rPr>
        <w:t xml:space="preserve"> respons</w:t>
      </w:r>
      <w:r w:rsidRPr="009C5F11">
        <w:rPr>
          <w:rFonts w:ascii="Times New Roman" w:hAnsi="Times New Roman" w:cs="Times New Roman"/>
          <w:sz w:val="24"/>
          <w:lang w:val="ro-RO"/>
        </w:rPr>
        <w:t xml:space="preserve">abilităţilor </w:t>
      </w:r>
      <w:r w:rsidR="00D66E2C" w:rsidRPr="009C5F11">
        <w:rPr>
          <w:rFonts w:ascii="Times New Roman" w:hAnsi="Times New Roman" w:cs="Times New Roman"/>
          <w:sz w:val="24"/>
          <w:lang w:val="ro-RO"/>
        </w:rPr>
        <w:t>este</w:t>
      </w:r>
      <w:r w:rsidRPr="009C5F11">
        <w:rPr>
          <w:rFonts w:ascii="Times New Roman" w:hAnsi="Times New Roman" w:cs="Times New Roman"/>
          <w:sz w:val="24"/>
          <w:lang w:val="ro-RO"/>
        </w:rPr>
        <w:t xml:space="preserve"> clar partajat</w:t>
      </w:r>
      <w:r w:rsidR="00D66E2C" w:rsidRPr="009C5F11">
        <w:rPr>
          <w:rFonts w:ascii="Times New Roman" w:hAnsi="Times New Roman" w:cs="Times New Roman"/>
          <w:sz w:val="24"/>
          <w:lang w:val="ro-RO"/>
        </w:rPr>
        <w:t>ă</w:t>
      </w:r>
      <w:r w:rsidRPr="009C5F11">
        <w:rPr>
          <w:rFonts w:ascii="Times New Roman" w:hAnsi="Times New Roman" w:cs="Times New Roman"/>
          <w:sz w:val="24"/>
          <w:lang w:val="ro-RO"/>
        </w:rPr>
        <w:t xml:space="preserve"> între </w:t>
      </w:r>
      <w:r w:rsidR="00321CD5" w:rsidRPr="009C5F11">
        <w:rPr>
          <w:rFonts w:ascii="Times New Roman" w:hAnsi="Times New Roman" w:cs="Times New Roman"/>
          <w:sz w:val="24"/>
          <w:lang w:val="ro-RO"/>
        </w:rPr>
        <w:t>Ministerul Economiei</w:t>
      </w:r>
      <w:r w:rsidR="00981DB2"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Ministerul Mediului</w:t>
      </w:r>
      <w:r w:rsidR="00981DB2"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Ministerul Dezvoltării Regionale şi Construcţiilor</w:t>
      </w:r>
      <w:r w:rsidR="00DA0436"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Agenţia pentru Eficienţă Energetică</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Agenţia pentru Protecţia Consumatorului</w:t>
      </w:r>
      <w:r w:rsidR="00812CB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timp ce </w:t>
      </w:r>
      <w:r w:rsidR="00321CD5" w:rsidRPr="009C5F11">
        <w:rPr>
          <w:rFonts w:ascii="Times New Roman" w:hAnsi="Times New Roman" w:cs="Times New Roman"/>
          <w:sz w:val="24"/>
          <w:lang w:val="ro-RO"/>
        </w:rPr>
        <w:t xml:space="preserve">Fondul pentru Eficienţă </w:t>
      </w:r>
      <w:r w:rsidR="00810470" w:rsidRPr="009C5F11">
        <w:rPr>
          <w:rFonts w:ascii="Times New Roman" w:hAnsi="Times New Roman" w:cs="Times New Roman"/>
          <w:sz w:val="24"/>
          <w:lang w:val="ro-RO"/>
        </w:rPr>
        <w:t>Energetică</w:t>
      </w:r>
      <w:r w:rsidR="00812CBB" w:rsidRPr="009C5F11">
        <w:rPr>
          <w:rFonts w:ascii="Times New Roman" w:hAnsi="Times New Roman" w:cs="Times New Roman"/>
          <w:sz w:val="24"/>
          <w:lang w:val="ro-RO"/>
        </w:rPr>
        <w:t xml:space="preserve"> ac</w:t>
      </w:r>
      <w:r w:rsidR="00223DAC" w:rsidRPr="009C5F11">
        <w:rPr>
          <w:rFonts w:ascii="Times New Roman" w:hAnsi="Times New Roman" w:cs="Times New Roman"/>
          <w:sz w:val="24"/>
          <w:lang w:val="ro-RO"/>
        </w:rPr>
        <w:t xml:space="preserve">ţionează în calitate de </w:t>
      </w:r>
      <w:r w:rsidR="00800210" w:rsidRPr="009C5F11">
        <w:rPr>
          <w:rFonts w:ascii="Times New Roman" w:hAnsi="Times New Roman" w:cs="Times New Roman"/>
          <w:sz w:val="24"/>
          <w:lang w:val="ro-RO"/>
        </w:rPr>
        <w:t>facilitator</w:t>
      </w:r>
      <w:r w:rsidR="00223DAC" w:rsidRPr="009C5F11">
        <w:rPr>
          <w:rFonts w:ascii="Times New Roman" w:hAnsi="Times New Roman" w:cs="Times New Roman"/>
          <w:sz w:val="24"/>
          <w:lang w:val="ro-RO"/>
        </w:rPr>
        <w:t xml:space="preserve"> principal pentru promovarea evoluţiilor în domeniul eficienţei energetice în Republica Moldova</w:t>
      </w:r>
      <w:r w:rsidR="00981DB2" w:rsidRPr="009C5F11">
        <w:rPr>
          <w:rFonts w:ascii="Times New Roman" w:hAnsi="Times New Roman" w:cs="Times New Roman"/>
          <w:sz w:val="24"/>
          <w:lang w:val="ro-RO"/>
        </w:rPr>
        <w:t xml:space="preserve">. </w:t>
      </w:r>
    </w:p>
    <w:p w14:paraId="20AA9A65" w14:textId="77777777" w:rsidR="00696CDA" w:rsidRPr="009C5F11" w:rsidRDefault="00223DAC" w:rsidP="00334F3B">
      <w:pPr>
        <w:pStyle w:val="Listparagraf"/>
        <w:numPr>
          <w:ilvl w:val="0"/>
          <w:numId w:val="180"/>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Sunt depuse eforturi şi investite resurse </w:t>
      </w:r>
      <w:r w:rsidR="00D66E2C" w:rsidRPr="009C5F11">
        <w:rPr>
          <w:rFonts w:ascii="Times New Roman" w:hAnsi="Times New Roman" w:cs="Times New Roman"/>
          <w:sz w:val="24"/>
          <w:lang w:val="ro-RO"/>
        </w:rPr>
        <w:t xml:space="preserve">semnificative </w:t>
      </w:r>
      <w:r w:rsidRPr="009C5F11">
        <w:rPr>
          <w:rFonts w:ascii="Times New Roman" w:hAnsi="Times New Roman" w:cs="Times New Roman"/>
          <w:sz w:val="24"/>
          <w:lang w:val="ro-RO"/>
        </w:rPr>
        <w:t xml:space="preserve">pentru organizarea instruirii şi elaborarea programelor locale </w:t>
      </w:r>
      <w:r w:rsidR="00D66E2C" w:rsidRPr="009C5F11">
        <w:rPr>
          <w:rFonts w:ascii="Times New Roman" w:hAnsi="Times New Roman" w:cs="Times New Roman"/>
          <w:sz w:val="24"/>
          <w:lang w:val="ro-RO"/>
        </w:rPr>
        <w:t xml:space="preserve">pentru eficienţă energetică (PLEE) </w:t>
      </w:r>
      <w:r w:rsidRPr="009C5F11">
        <w:rPr>
          <w:rFonts w:ascii="Times New Roman" w:hAnsi="Times New Roman" w:cs="Times New Roman"/>
          <w:sz w:val="24"/>
          <w:lang w:val="ro-RO"/>
        </w:rPr>
        <w:t xml:space="preserve">şi a planurilor locale de acţiune </w:t>
      </w:r>
      <w:r w:rsidR="00D66E2C" w:rsidRPr="009C5F11">
        <w:rPr>
          <w:rFonts w:ascii="Times New Roman" w:hAnsi="Times New Roman" w:cs="Times New Roman"/>
          <w:sz w:val="24"/>
          <w:lang w:val="ro-RO"/>
        </w:rPr>
        <w:t>în domeniul eficienţei energetice (PLAEE)</w:t>
      </w:r>
      <w:r w:rsidR="008354FE" w:rsidRPr="009C5F11">
        <w:rPr>
          <w:rFonts w:ascii="Times New Roman" w:hAnsi="Times New Roman" w:cs="Times New Roman"/>
          <w:sz w:val="24"/>
          <w:lang w:val="ro-RO"/>
        </w:rPr>
        <w:t>.</w:t>
      </w:r>
    </w:p>
    <w:p w14:paraId="4BF1EA2F" w14:textId="72F9FB53" w:rsidR="002B75BE" w:rsidRPr="009C5F11" w:rsidRDefault="00AF77EE"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 xml:space="preserve">Economiile </w:t>
      </w:r>
      <w:r w:rsidR="00281575" w:rsidRPr="009C5F11">
        <w:rPr>
          <w:rFonts w:ascii="Times New Roman" w:hAnsi="Times New Roman" w:cs="Times New Roman"/>
          <w:sz w:val="24"/>
          <w:lang w:val="ro-RO"/>
        </w:rPr>
        <w:t xml:space="preserve">finale </w:t>
      </w:r>
      <w:r w:rsidRPr="009C5F11">
        <w:rPr>
          <w:rFonts w:ascii="Times New Roman" w:hAnsi="Times New Roman" w:cs="Times New Roman"/>
          <w:sz w:val="24"/>
          <w:lang w:val="ro-RO"/>
        </w:rPr>
        <w:t>de energie care urmează a fi raportate în anul 2016 s</w:t>
      </w:r>
      <w:r w:rsidR="003461D4" w:rsidRPr="009C5F11">
        <w:rPr>
          <w:rFonts w:ascii="Times New Roman" w:hAnsi="Times New Roman" w:cs="Times New Roman"/>
          <w:sz w:val="24"/>
          <w:lang w:val="ro-RO"/>
        </w:rPr>
        <w:t>unt</w:t>
      </w:r>
      <w:r w:rsidRPr="009C5F11">
        <w:rPr>
          <w:rFonts w:ascii="Times New Roman" w:hAnsi="Times New Roman" w:cs="Times New Roman"/>
          <w:sz w:val="24"/>
          <w:lang w:val="ro-RO"/>
        </w:rPr>
        <w:t xml:space="preserve"> estim</w:t>
      </w:r>
      <w:r w:rsidR="003461D4" w:rsidRPr="009C5F11">
        <w:rPr>
          <w:rFonts w:ascii="Times New Roman" w:hAnsi="Times New Roman" w:cs="Times New Roman"/>
          <w:sz w:val="24"/>
          <w:lang w:val="ro-RO"/>
        </w:rPr>
        <w:t>ate</w:t>
      </w:r>
      <w:r w:rsidRPr="009C5F11">
        <w:rPr>
          <w:rFonts w:ascii="Times New Roman" w:hAnsi="Times New Roman" w:cs="Times New Roman"/>
          <w:sz w:val="24"/>
          <w:lang w:val="ro-RO"/>
        </w:rPr>
        <w:t xml:space="preserve"> la </w:t>
      </w:r>
      <w:r w:rsidR="00223A0A" w:rsidRPr="009C5F11">
        <w:rPr>
          <w:rFonts w:ascii="Times New Roman" w:hAnsi="Times New Roman" w:cs="Times New Roman"/>
          <w:sz w:val="24"/>
          <w:lang w:val="ro-RO"/>
        </w:rPr>
        <w:t>92.</w:t>
      </w:r>
      <w:r w:rsidR="000417A6" w:rsidRPr="009C5F11">
        <w:rPr>
          <w:rFonts w:ascii="Times New Roman" w:hAnsi="Times New Roman" w:cs="Times New Roman"/>
          <w:sz w:val="24"/>
          <w:lang w:val="ro-RO"/>
        </w:rPr>
        <w:t xml:space="preserve">9 </w:t>
      </w:r>
      <w:r w:rsidR="00E52940" w:rsidRPr="009C5F11">
        <w:rPr>
          <w:rFonts w:ascii="Times New Roman" w:hAnsi="Times New Roman" w:cs="Times New Roman"/>
          <w:sz w:val="24"/>
          <w:lang w:val="ro-RO"/>
        </w:rPr>
        <w:t>ktep</w:t>
      </w:r>
      <w:r w:rsidR="00321CD5" w:rsidRPr="009C5F11">
        <w:rPr>
          <w:rFonts w:ascii="Times New Roman" w:hAnsi="Times New Roman" w:cs="Times New Roman"/>
          <w:sz w:val="24"/>
          <w:lang w:val="ro-RO"/>
        </w:rPr>
        <w:t xml:space="preserve"> şi</w:t>
      </w:r>
      <w:r w:rsidRPr="009C5F11">
        <w:rPr>
          <w:rFonts w:ascii="Times New Roman" w:hAnsi="Times New Roman" w:cs="Times New Roman"/>
          <w:sz w:val="24"/>
          <w:lang w:val="ro-RO"/>
        </w:rPr>
        <w:t xml:space="preserve">, prin urmare, </w:t>
      </w:r>
      <w:r w:rsidR="00D66E2C" w:rsidRPr="009C5F11">
        <w:rPr>
          <w:rFonts w:ascii="Times New Roman" w:hAnsi="Times New Roman" w:cs="Times New Roman"/>
          <w:sz w:val="24"/>
          <w:lang w:val="ro-RO"/>
        </w:rPr>
        <w:t>acestea</w:t>
      </w:r>
      <w:r w:rsidRPr="009C5F11">
        <w:rPr>
          <w:rFonts w:ascii="Times New Roman" w:hAnsi="Times New Roman" w:cs="Times New Roman"/>
          <w:sz w:val="24"/>
          <w:lang w:val="ro-RO"/>
        </w:rPr>
        <w:t xml:space="preserve"> corespund nivelului de </w:t>
      </w:r>
      <w:r w:rsidR="00810470" w:rsidRPr="009C5F11">
        <w:rPr>
          <w:rFonts w:ascii="Times New Roman" w:hAnsi="Times New Roman" w:cs="Times New Roman"/>
          <w:sz w:val="24"/>
          <w:lang w:val="ro-RO"/>
        </w:rPr>
        <w:t>aproximativ</w:t>
      </w:r>
      <w:r w:rsidRPr="009C5F11">
        <w:rPr>
          <w:rFonts w:ascii="Times New Roman" w:hAnsi="Times New Roman" w:cs="Times New Roman"/>
          <w:sz w:val="24"/>
          <w:lang w:val="ro-RO"/>
        </w:rPr>
        <w:t xml:space="preserve"> </w:t>
      </w:r>
      <w:r w:rsidR="00694C08" w:rsidRPr="009C5F11">
        <w:rPr>
          <w:rFonts w:ascii="Times New Roman" w:hAnsi="Times New Roman" w:cs="Times New Roman"/>
          <w:sz w:val="24"/>
          <w:lang w:val="ro-RO"/>
        </w:rPr>
        <w:t>30%</w:t>
      </w:r>
      <w:r w:rsidR="00B77C8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din volumul preconizat de economii</w:t>
      </w:r>
      <w:r w:rsidR="00B77C8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Se aşteaptă ca economiile efective să fie mai mar</w:t>
      </w:r>
      <w:r w:rsidR="00D66E2C" w:rsidRPr="009C5F11">
        <w:rPr>
          <w:rFonts w:ascii="Times New Roman" w:hAnsi="Times New Roman" w:cs="Times New Roman"/>
          <w:sz w:val="24"/>
          <w:lang w:val="ro-RO"/>
        </w:rPr>
        <w:t>i</w:t>
      </w:r>
      <w:r w:rsidR="00B77C81" w:rsidRPr="009C5F11">
        <w:rPr>
          <w:rFonts w:ascii="Times New Roman" w:hAnsi="Times New Roman" w:cs="Times New Roman"/>
          <w:sz w:val="24"/>
          <w:lang w:val="ro-RO"/>
        </w:rPr>
        <w:t xml:space="preserve">. </w:t>
      </w:r>
    </w:p>
    <w:p w14:paraId="1AB1F095" w14:textId="709CCAAF" w:rsidR="000F1C6E" w:rsidRPr="009C5F11" w:rsidRDefault="00AF77EE"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 xml:space="preserve">Prima perioadă de </w:t>
      </w:r>
      <w:r w:rsidR="00532A33" w:rsidRPr="009C5F11">
        <w:rPr>
          <w:rFonts w:ascii="Times New Roman" w:hAnsi="Times New Roman" w:cs="Times New Roman"/>
          <w:sz w:val="24"/>
          <w:lang w:val="ro-RO"/>
        </w:rPr>
        <w:t>implementare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monitorizarea ulterioară a rezultatelor măsurilor de eficienţă energetică </w:t>
      </w:r>
      <w:r w:rsidR="00D66E2C" w:rsidRPr="009C5F11">
        <w:rPr>
          <w:rFonts w:ascii="Times New Roman" w:hAnsi="Times New Roman" w:cs="Times New Roman"/>
          <w:sz w:val="24"/>
          <w:lang w:val="ro-RO"/>
        </w:rPr>
        <w:t xml:space="preserve">realizate </w:t>
      </w:r>
      <w:r w:rsidR="00810470" w:rsidRPr="009C5F11">
        <w:rPr>
          <w:rFonts w:ascii="Times New Roman" w:hAnsi="Times New Roman" w:cs="Times New Roman"/>
          <w:sz w:val="24"/>
          <w:lang w:val="ro-RO"/>
        </w:rPr>
        <w:t>oferă</w:t>
      </w:r>
      <w:r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Republic</w:t>
      </w:r>
      <w:r w:rsidRPr="009C5F11">
        <w:rPr>
          <w:rFonts w:ascii="Times New Roman" w:hAnsi="Times New Roman" w:cs="Times New Roman"/>
          <w:sz w:val="24"/>
          <w:lang w:val="ro-RO"/>
        </w:rPr>
        <w:t>ii</w:t>
      </w:r>
      <w:r w:rsidR="00871B4E" w:rsidRPr="009C5F11">
        <w:rPr>
          <w:rFonts w:ascii="Times New Roman" w:hAnsi="Times New Roman" w:cs="Times New Roman"/>
          <w:sz w:val="24"/>
          <w:lang w:val="ro-RO"/>
        </w:rPr>
        <w:t xml:space="preserve"> Moldova</w:t>
      </w:r>
      <w:r w:rsidR="004167F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o bază pentru reevaluarea obiectiv</w:t>
      </w:r>
      <w:r w:rsidR="00B57E66">
        <w:rPr>
          <w:rFonts w:ascii="Times New Roman" w:hAnsi="Times New Roman" w:cs="Times New Roman"/>
          <w:sz w:val="24"/>
          <w:lang w:val="ro-RO"/>
        </w:rPr>
        <w:t>e</w:t>
      </w:r>
      <w:r w:rsidRPr="009C5F11">
        <w:rPr>
          <w:rFonts w:ascii="Times New Roman" w:hAnsi="Times New Roman" w:cs="Times New Roman"/>
          <w:sz w:val="24"/>
          <w:lang w:val="ro-RO"/>
        </w:rPr>
        <w:t xml:space="preserve">lor sectoriale </w:t>
      </w:r>
      <w:r w:rsidR="00810470" w:rsidRPr="009C5F11">
        <w:rPr>
          <w:rFonts w:ascii="Times New Roman" w:hAnsi="Times New Roman" w:cs="Times New Roman"/>
          <w:sz w:val="24"/>
          <w:lang w:val="ro-RO"/>
        </w:rPr>
        <w:t>inițial</w:t>
      </w:r>
      <w:r w:rsidRPr="009C5F11">
        <w:rPr>
          <w:rFonts w:ascii="Times New Roman" w:hAnsi="Times New Roman" w:cs="Times New Roman"/>
          <w:sz w:val="24"/>
          <w:lang w:val="ro-RO"/>
        </w:rPr>
        <w:t xml:space="preserve"> definite şi </w:t>
      </w:r>
      <w:r w:rsidR="00850EFF" w:rsidRPr="009C5F11">
        <w:rPr>
          <w:rFonts w:ascii="Times New Roman" w:hAnsi="Times New Roman" w:cs="Times New Roman"/>
          <w:sz w:val="24"/>
          <w:lang w:val="ro-RO"/>
        </w:rPr>
        <w:t>pentru</w:t>
      </w:r>
      <w:r w:rsidRPr="009C5F11">
        <w:rPr>
          <w:rFonts w:ascii="Times New Roman" w:hAnsi="Times New Roman" w:cs="Times New Roman"/>
          <w:sz w:val="24"/>
          <w:lang w:val="ro-RO"/>
        </w:rPr>
        <w:t xml:space="preserve"> elabor</w:t>
      </w:r>
      <w:r w:rsidR="00850EFF" w:rsidRPr="009C5F11">
        <w:rPr>
          <w:rFonts w:ascii="Times New Roman" w:hAnsi="Times New Roman" w:cs="Times New Roman"/>
          <w:sz w:val="24"/>
          <w:lang w:val="ro-RO"/>
        </w:rPr>
        <w:t>area</w:t>
      </w:r>
      <w:r w:rsidRPr="009C5F11">
        <w:rPr>
          <w:rFonts w:ascii="Times New Roman" w:hAnsi="Times New Roman" w:cs="Times New Roman"/>
          <w:sz w:val="24"/>
          <w:lang w:val="ro-RO"/>
        </w:rPr>
        <w:t xml:space="preserve"> </w:t>
      </w:r>
      <w:r w:rsidR="00850EFF" w:rsidRPr="009C5F11">
        <w:rPr>
          <w:rFonts w:ascii="Times New Roman" w:hAnsi="Times New Roman" w:cs="Times New Roman"/>
          <w:sz w:val="24"/>
          <w:lang w:val="ro-RO"/>
        </w:rPr>
        <w:t xml:space="preserve">unor </w:t>
      </w:r>
      <w:r w:rsidRPr="009C5F11">
        <w:rPr>
          <w:rFonts w:ascii="Times New Roman" w:hAnsi="Times New Roman" w:cs="Times New Roman"/>
          <w:sz w:val="24"/>
          <w:lang w:val="ro-RO"/>
        </w:rPr>
        <w:t>obiective mai realiste (a se vedea</w:t>
      </w:r>
      <w:r w:rsidR="00796E74" w:rsidRPr="009C5F11">
        <w:rPr>
          <w:rFonts w:ascii="Times New Roman" w:hAnsi="Times New Roman" w:cs="Times New Roman"/>
          <w:sz w:val="24"/>
          <w:lang w:val="ro-RO"/>
        </w:rPr>
        <w:t xml:space="preserve"> </w:t>
      </w:r>
      <w:r w:rsidR="00672E6E" w:rsidRPr="009C5F11">
        <w:rPr>
          <w:rFonts w:ascii="Times New Roman" w:hAnsi="Times New Roman" w:cs="Times New Roman"/>
          <w:sz w:val="24"/>
          <w:lang w:val="ro-RO"/>
        </w:rPr>
        <w:fldChar w:fldCharType="begin"/>
      </w:r>
      <w:r w:rsidR="00672E6E" w:rsidRPr="009C5F11">
        <w:rPr>
          <w:rFonts w:ascii="Times New Roman" w:hAnsi="Times New Roman" w:cs="Times New Roman"/>
          <w:sz w:val="24"/>
          <w:lang w:val="ro-RO"/>
        </w:rPr>
        <w:instrText xml:space="preserve"> REF _Ref319801512 \h  \* MERGEFORMAT </w:instrText>
      </w:r>
      <w:r w:rsidR="00672E6E" w:rsidRPr="009C5F11">
        <w:rPr>
          <w:rFonts w:ascii="Times New Roman" w:hAnsi="Times New Roman" w:cs="Times New Roman"/>
          <w:sz w:val="24"/>
          <w:lang w:val="ro-RO"/>
        </w:rPr>
      </w:r>
      <w:r w:rsidR="00672E6E"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2</w:t>
      </w:r>
      <w:r w:rsidR="00672E6E" w:rsidRPr="009C5F11">
        <w:rPr>
          <w:rFonts w:ascii="Times New Roman" w:hAnsi="Times New Roman" w:cs="Times New Roman"/>
          <w:sz w:val="24"/>
          <w:lang w:val="ro-RO"/>
        </w:rPr>
        <w:fldChar w:fldCharType="end"/>
      </w:r>
      <w:r w:rsidR="00796E74" w:rsidRPr="009C5F11">
        <w:rPr>
          <w:rFonts w:ascii="Times New Roman" w:hAnsi="Times New Roman" w:cs="Times New Roman"/>
          <w:sz w:val="24"/>
          <w:lang w:val="ro-RO"/>
        </w:rPr>
        <w:t>)</w:t>
      </w:r>
      <w:r w:rsidR="002B190A" w:rsidRPr="009C5F11">
        <w:rPr>
          <w:rFonts w:ascii="Times New Roman" w:hAnsi="Times New Roman" w:cs="Times New Roman"/>
          <w:sz w:val="24"/>
          <w:lang w:val="ro-RO"/>
        </w:rPr>
        <w:t>.</w:t>
      </w:r>
      <w:r w:rsidR="00D80511" w:rsidRPr="009C5F11">
        <w:rPr>
          <w:rFonts w:ascii="Times New Roman" w:hAnsi="Times New Roman" w:cs="Times New Roman"/>
          <w:sz w:val="24"/>
          <w:lang w:val="ro-RO"/>
        </w:rPr>
        <w:t xml:space="preserve"> </w:t>
      </w:r>
    </w:p>
    <w:p w14:paraId="37673FFF" w14:textId="77777777" w:rsidR="002B190A" w:rsidRPr="009C5F11" w:rsidRDefault="002B190A" w:rsidP="000F1C6E">
      <w:pPr>
        <w:spacing w:before="120" w:after="120" w:line="240" w:lineRule="auto"/>
        <w:jc w:val="both"/>
        <w:rPr>
          <w:rFonts w:ascii="Times New Roman" w:hAnsi="Times New Roman" w:cs="Times New Roman"/>
          <w:sz w:val="24"/>
          <w:lang w:val="ro-RO"/>
        </w:rPr>
      </w:pPr>
    </w:p>
    <w:p w14:paraId="0F0EF880" w14:textId="77777777" w:rsidR="00996D99" w:rsidRPr="009C5F11" w:rsidRDefault="00321CD5" w:rsidP="004D1073">
      <w:pPr>
        <w:pStyle w:val="Legend"/>
        <w:keepNext/>
        <w:jc w:val="center"/>
        <w:rPr>
          <w:rFonts w:ascii="Times New Roman" w:hAnsi="Times New Roman" w:cs="Times New Roman"/>
          <w:sz w:val="22"/>
          <w:lang w:val="ro-RO"/>
        </w:rPr>
      </w:pPr>
      <w:bookmarkStart w:id="4" w:name="_Ref319801512"/>
      <w:bookmarkStart w:id="5" w:name="_Toc322013225"/>
      <w:r w:rsidRPr="009C5F11">
        <w:rPr>
          <w:rFonts w:ascii="Times New Roman" w:hAnsi="Times New Roman" w:cs="Times New Roman"/>
          <w:sz w:val="22"/>
          <w:lang w:val="ro-RO"/>
        </w:rPr>
        <w:t>Tabelul</w:t>
      </w:r>
      <w:r w:rsidR="005B0141"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5B0141"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w:t>
      </w:r>
      <w:r w:rsidR="003A6ADB" w:rsidRPr="009C5F11">
        <w:rPr>
          <w:rFonts w:ascii="Times New Roman" w:hAnsi="Times New Roman" w:cs="Times New Roman"/>
          <w:sz w:val="22"/>
          <w:lang w:val="ro-RO"/>
        </w:rPr>
        <w:fldChar w:fldCharType="end"/>
      </w:r>
      <w:bookmarkEnd w:id="4"/>
      <w:r w:rsidR="005B0141" w:rsidRPr="009C5F11">
        <w:rPr>
          <w:rFonts w:ascii="Times New Roman" w:hAnsi="Times New Roman" w:cs="Times New Roman"/>
          <w:sz w:val="22"/>
          <w:lang w:val="ro-RO"/>
        </w:rPr>
        <w:t xml:space="preserve"> </w:t>
      </w:r>
      <w:r w:rsidR="00AF77EE" w:rsidRPr="009C5F11">
        <w:rPr>
          <w:rFonts w:ascii="Times New Roman" w:hAnsi="Times New Roman" w:cs="Times New Roman"/>
          <w:sz w:val="22"/>
          <w:lang w:val="ro-RO"/>
        </w:rPr>
        <w:t>–</w:t>
      </w:r>
      <w:r w:rsidR="005B0141" w:rsidRPr="009C5F11">
        <w:rPr>
          <w:rFonts w:ascii="Times New Roman" w:hAnsi="Times New Roman" w:cs="Times New Roman"/>
          <w:sz w:val="22"/>
          <w:lang w:val="ro-RO"/>
        </w:rPr>
        <w:t xml:space="preserve"> </w:t>
      </w:r>
      <w:r w:rsidR="00AF77EE" w:rsidRPr="009C5F11">
        <w:rPr>
          <w:rFonts w:ascii="Times New Roman" w:hAnsi="Times New Roman" w:cs="Times New Roman"/>
          <w:sz w:val="22"/>
          <w:lang w:val="ro-RO"/>
        </w:rPr>
        <w:t xml:space="preserve">Obiectivele sectoriale pentru anul 2020 </w:t>
      </w:r>
      <w:r w:rsidR="00281575" w:rsidRPr="009C5F11">
        <w:rPr>
          <w:rFonts w:ascii="Times New Roman" w:hAnsi="Times New Roman" w:cs="Times New Roman"/>
          <w:sz w:val="22"/>
          <w:lang w:val="ro-RO"/>
        </w:rPr>
        <w:t xml:space="preserve">în conformitate cu DSE </w:t>
      </w:r>
      <w:r w:rsidR="00AF77EE" w:rsidRPr="009C5F11">
        <w:rPr>
          <w:rFonts w:ascii="Times New Roman" w:hAnsi="Times New Roman" w:cs="Times New Roman"/>
          <w:sz w:val="22"/>
          <w:lang w:val="ro-RO"/>
        </w:rPr>
        <w:t>realocate.</w:t>
      </w:r>
      <w:bookmarkEnd w:id="5"/>
    </w:p>
    <w:tbl>
      <w:tblPr>
        <w:tblW w:w="5000" w:type="pct"/>
        <w:tblBorders>
          <w:top w:val="single" w:sz="8" w:space="0" w:color="001C53" w:themeColor="accent2" w:themeShade="80"/>
          <w:left w:val="single" w:sz="8" w:space="0" w:color="001C53" w:themeColor="accent2" w:themeShade="80"/>
          <w:bottom w:val="single" w:sz="8" w:space="0" w:color="001C53" w:themeColor="accent2" w:themeShade="80"/>
          <w:right w:val="single" w:sz="8" w:space="0" w:color="001C53" w:themeColor="accent2" w:themeShade="80"/>
          <w:insideH w:val="single" w:sz="8" w:space="0" w:color="001C53" w:themeColor="accent2" w:themeShade="80"/>
        </w:tblBorders>
        <w:tblLook w:val="04A0" w:firstRow="1" w:lastRow="0" w:firstColumn="1" w:lastColumn="0" w:noHBand="0" w:noVBand="1"/>
      </w:tblPr>
      <w:tblGrid>
        <w:gridCol w:w="4248"/>
        <w:gridCol w:w="1530"/>
        <w:gridCol w:w="1259"/>
        <w:gridCol w:w="1442"/>
        <w:gridCol w:w="1262"/>
      </w:tblGrid>
      <w:tr w:rsidR="00281575" w:rsidRPr="009C5F11" w14:paraId="43C2414A" w14:textId="77777777" w:rsidTr="00B40DB5">
        <w:tc>
          <w:tcPr>
            <w:tcW w:w="2180" w:type="pct"/>
            <w:tcBorders>
              <w:bottom w:val="single" w:sz="8" w:space="0" w:color="001C53" w:themeColor="accent2" w:themeShade="80"/>
            </w:tcBorders>
            <w:shd w:val="clear" w:color="auto" w:fill="000080"/>
          </w:tcPr>
          <w:p w14:paraId="4C5FF854" w14:textId="77777777" w:rsidR="004D1073" w:rsidRPr="009C5F11" w:rsidRDefault="004D1073"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Sector</w:t>
            </w:r>
          </w:p>
        </w:tc>
        <w:tc>
          <w:tcPr>
            <w:tcW w:w="785" w:type="pct"/>
            <w:tcBorders>
              <w:bottom w:val="single" w:sz="8" w:space="0" w:color="001C53" w:themeColor="accent2" w:themeShade="80"/>
            </w:tcBorders>
            <w:shd w:val="clear" w:color="auto" w:fill="000080"/>
          </w:tcPr>
          <w:p w14:paraId="18C68057" w14:textId="77777777" w:rsidR="004D1073" w:rsidRPr="009C5F11" w:rsidRDefault="005A44ED" w:rsidP="00F364D0">
            <w:pPr>
              <w:spacing w:after="0" w:line="24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Obiective</w:t>
            </w:r>
            <w:r w:rsidR="00850EFF" w:rsidRPr="009C5F11">
              <w:rPr>
                <w:rFonts w:ascii="Times New Roman" w:hAnsi="Times New Roman" w:cs="Times New Roman"/>
                <w:b/>
                <w:sz w:val="20"/>
                <w:szCs w:val="16"/>
                <w:lang w:val="ro-RO"/>
              </w:rPr>
              <w:t>le</w:t>
            </w:r>
            <w:r w:rsidRPr="009C5F11">
              <w:rPr>
                <w:rFonts w:ascii="Times New Roman" w:hAnsi="Times New Roman" w:cs="Times New Roman"/>
                <w:b/>
                <w:sz w:val="20"/>
                <w:szCs w:val="16"/>
                <w:lang w:val="ro-RO"/>
              </w:rPr>
              <w:t xml:space="preserve"> sectoriale iniţiale</w:t>
            </w:r>
            <w:r w:rsidR="004D1073" w:rsidRPr="009C5F11">
              <w:rPr>
                <w:rFonts w:ascii="Times New Roman" w:hAnsi="Times New Roman" w:cs="Times New Roman"/>
                <w:b/>
                <w:sz w:val="20"/>
                <w:szCs w:val="16"/>
                <w:lang w:val="ro-RO"/>
              </w:rPr>
              <w:t xml:space="preserve"> </w:t>
            </w:r>
            <w:r w:rsidR="004D1073" w:rsidRPr="009C5F11">
              <w:rPr>
                <w:rStyle w:val="Referinnotdesubsol"/>
                <w:rFonts w:ascii="Times New Roman" w:hAnsi="Times New Roman" w:cs="Times New Roman"/>
                <w:b/>
                <w:sz w:val="20"/>
                <w:szCs w:val="16"/>
                <w:lang w:val="ro-RO"/>
              </w:rPr>
              <w:footnoteReference w:id="7"/>
            </w:r>
          </w:p>
          <w:p w14:paraId="12364A92" w14:textId="77777777" w:rsidR="004D1073" w:rsidRPr="009C5F11" w:rsidRDefault="00E52940" w:rsidP="00F364D0">
            <w:pPr>
              <w:spacing w:after="0" w:line="24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ktep</w:t>
            </w:r>
          </w:p>
        </w:tc>
        <w:tc>
          <w:tcPr>
            <w:tcW w:w="646" w:type="pct"/>
            <w:tcBorders>
              <w:bottom w:val="single" w:sz="8" w:space="0" w:color="001C53" w:themeColor="accent2" w:themeShade="80"/>
            </w:tcBorders>
            <w:shd w:val="clear" w:color="auto" w:fill="000080"/>
          </w:tcPr>
          <w:p w14:paraId="47D78906" w14:textId="77777777" w:rsidR="004D1073" w:rsidRPr="009C5F11" w:rsidRDefault="005A44ED" w:rsidP="00F364D0">
            <w:pPr>
              <w:spacing w:after="0" w:line="24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Obiective</w:t>
            </w:r>
            <w:r w:rsidR="00850EFF" w:rsidRPr="009C5F11">
              <w:rPr>
                <w:rFonts w:ascii="Times New Roman" w:hAnsi="Times New Roman" w:cs="Times New Roman"/>
                <w:b/>
                <w:sz w:val="20"/>
                <w:szCs w:val="16"/>
                <w:lang w:val="ro-RO"/>
              </w:rPr>
              <w:t>le</w:t>
            </w:r>
            <w:r w:rsidRPr="009C5F11">
              <w:rPr>
                <w:rFonts w:ascii="Times New Roman" w:hAnsi="Times New Roman" w:cs="Times New Roman"/>
                <w:b/>
                <w:sz w:val="20"/>
                <w:szCs w:val="16"/>
                <w:lang w:val="ro-RO"/>
              </w:rPr>
              <w:t xml:space="preserve"> sectoriale r</w:t>
            </w:r>
            <w:r w:rsidR="004D1073" w:rsidRPr="009C5F11">
              <w:rPr>
                <w:rFonts w:ascii="Times New Roman" w:hAnsi="Times New Roman" w:cs="Times New Roman"/>
                <w:b/>
                <w:sz w:val="20"/>
                <w:szCs w:val="16"/>
                <w:lang w:val="ro-RO"/>
              </w:rPr>
              <w:t xml:space="preserve">ealocate </w:t>
            </w:r>
          </w:p>
          <w:p w14:paraId="32B077AF" w14:textId="77777777" w:rsidR="004D1073" w:rsidRPr="009C5F11" w:rsidRDefault="00E52940" w:rsidP="00F364D0">
            <w:pPr>
              <w:spacing w:after="0" w:line="24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ktep</w:t>
            </w:r>
          </w:p>
        </w:tc>
        <w:tc>
          <w:tcPr>
            <w:tcW w:w="740" w:type="pct"/>
            <w:tcBorders>
              <w:bottom w:val="single" w:sz="8" w:space="0" w:color="001C53" w:themeColor="accent2" w:themeShade="80"/>
            </w:tcBorders>
            <w:shd w:val="clear" w:color="auto" w:fill="000080"/>
          </w:tcPr>
          <w:p w14:paraId="36EC3982" w14:textId="77777777" w:rsidR="004D1073" w:rsidRPr="009C5F11" w:rsidRDefault="005A44ED" w:rsidP="00F364D0">
            <w:pPr>
              <w:spacing w:after="0" w:line="24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Obiective</w:t>
            </w:r>
            <w:r w:rsidR="00850EFF" w:rsidRPr="009C5F11">
              <w:rPr>
                <w:rFonts w:ascii="Times New Roman" w:hAnsi="Times New Roman" w:cs="Times New Roman"/>
                <w:b/>
                <w:sz w:val="20"/>
                <w:szCs w:val="16"/>
                <w:lang w:val="ro-RO"/>
              </w:rPr>
              <w:t>le</w:t>
            </w:r>
            <w:r w:rsidRPr="009C5F11">
              <w:rPr>
                <w:rFonts w:ascii="Times New Roman" w:hAnsi="Times New Roman" w:cs="Times New Roman"/>
                <w:b/>
                <w:sz w:val="20"/>
                <w:szCs w:val="16"/>
                <w:lang w:val="ro-RO"/>
              </w:rPr>
              <w:t xml:space="preserve"> sectoriale iniţiale</w:t>
            </w:r>
            <w:r w:rsidR="004D1073" w:rsidRPr="009C5F11">
              <w:rPr>
                <w:rStyle w:val="Referinnotdesubsol"/>
                <w:rFonts w:ascii="Times New Roman" w:hAnsi="Times New Roman" w:cs="Times New Roman"/>
                <w:b/>
                <w:sz w:val="20"/>
                <w:szCs w:val="16"/>
                <w:lang w:val="ro-RO"/>
              </w:rPr>
              <w:footnoteReference w:id="8"/>
            </w:r>
            <w:r w:rsidR="004D1073" w:rsidRPr="009C5F11">
              <w:rPr>
                <w:rFonts w:ascii="Times New Roman" w:hAnsi="Times New Roman" w:cs="Times New Roman"/>
                <w:b/>
                <w:sz w:val="20"/>
                <w:szCs w:val="16"/>
                <w:lang w:val="ro-RO"/>
              </w:rPr>
              <w:t xml:space="preserve">, </w:t>
            </w:r>
          </w:p>
          <w:p w14:paraId="1F670E44" w14:textId="77777777" w:rsidR="004D1073" w:rsidRPr="009C5F11" w:rsidRDefault="00E52940" w:rsidP="00F364D0">
            <w:pPr>
              <w:spacing w:after="0" w:line="24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ktep</w:t>
            </w:r>
          </w:p>
        </w:tc>
        <w:tc>
          <w:tcPr>
            <w:tcW w:w="648" w:type="pct"/>
            <w:tcBorders>
              <w:bottom w:val="single" w:sz="8" w:space="0" w:color="001C53" w:themeColor="accent2" w:themeShade="80"/>
            </w:tcBorders>
            <w:shd w:val="clear" w:color="auto" w:fill="000080"/>
          </w:tcPr>
          <w:p w14:paraId="4F9AF89B" w14:textId="77777777" w:rsidR="004D1073" w:rsidRPr="009C5F11" w:rsidRDefault="005A44ED"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Obiective</w:t>
            </w:r>
            <w:r w:rsidR="00850EFF" w:rsidRPr="009C5F11">
              <w:rPr>
                <w:rFonts w:ascii="Times New Roman" w:hAnsi="Times New Roman" w:cs="Times New Roman"/>
                <w:b/>
                <w:sz w:val="20"/>
                <w:szCs w:val="16"/>
                <w:lang w:val="ro-RO"/>
              </w:rPr>
              <w:t>le</w:t>
            </w:r>
            <w:r w:rsidRPr="009C5F11">
              <w:rPr>
                <w:rFonts w:ascii="Times New Roman" w:hAnsi="Times New Roman" w:cs="Times New Roman"/>
                <w:b/>
                <w:sz w:val="20"/>
                <w:szCs w:val="16"/>
                <w:lang w:val="ro-RO"/>
              </w:rPr>
              <w:t xml:space="preserve"> sectoriale realocate</w:t>
            </w:r>
            <w:r w:rsidR="004D1073" w:rsidRPr="009C5F11">
              <w:rPr>
                <w:rStyle w:val="Referinnotdesubsol"/>
                <w:rFonts w:ascii="Times New Roman" w:hAnsi="Times New Roman" w:cs="Times New Roman"/>
                <w:b/>
                <w:sz w:val="20"/>
                <w:szCs w:val="16"/>
                <w:lang w:val="ro-RO"/>
              </w:rPr>
              <w:footnoteReference w:id="9"/>
            </w:r>
            <w:r w:rsidR="004D1073" w:rsidRPr="009C5F11">
              <w:rPr>
                <w:rFonts w:ascii="Times New Roman" w:hAnsi="Times New Roman" w:cs="Times New Roman"/>
                <w:b/>
                <w:sz w:val="20"/>
                <w:szCs w:val="16"/>
                <w:lang w:val="ro-RO"/>
              </w:rPr>
              <w:t xml:space="preserve">, </w:t>
            </w:r>
          </w:p>
          <w:p w14:paraId="07402B1A" w14:textId="77777777" w:rsidR="004D1073" w:rsidRPr="009C5F11" w:rsidRDefault="00E52940"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ktep</w:t>
            </w:r>
          </w:p>
        </w:tc>
      </w:tr>
      <w:tr w:rsidR="00281575" w:rsidRPr="009C5F11" w14:paraId="4DF81199" w14:textId="77777777" w:rsidTr="00B40DB5">
        <w:tc>
          <w:tcPr>
            <w:tcW w:w="2180" w:type="pct"/>
            <w:shd w:val="clear" w:color="auto" w:fill="99CCFF"/>
          </w:tcPr>
          <w:p w14:paraId="0E4F7A3E" w14:textId="77777777" w:rsidR="004D1073" w:rsidRPr="009C5F11" w:rsidRDefault="004D1073" w:rsidP="00F364D0">
            <w:pPr>
              <w:spacing w:after="0" w:line="240" w:lineRule="auto"/>
              <w:rPr>
                <w:rFonts w:ascii="Times New Roman" w:hAnsi="Times New Roman" w:cs="Times New Roman"/>
                <w:b/>
                <w:sz w:val="20"/>
                <w:szCs w:val="16"/>
                <w:lang w:val="ro-RO"/>
              </w:rPr>
            </w:pPr>
          </w:p>
        </w:tc>
        <w:tc>
          <w:tcPr>
            <w:tcW w:w="785" w:type="pct"/>
            <w:shd w:val="clear" w:color="auto" w:fill="99CCFF"/>
          </w:tcPr>
          <w:p w14:paraId="1A116582" w14:textId="77777777" w:rsidR="004D1073" w:rsidRPr="009C5F11" w:rsidRDefault="004D1073"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2016</w:t>
            </w:r>
          </w:p>
        </w:tc>
        <w:tc>
          <w:tcPr>
            <w:tcW w:w="646" w:type="pct"/>
            <w:shd w:val="clear" w:color="auto" w:fill="99CCFF"/>
          </w:tcPr>
          <w:p w14:paraId="286FDC8F" w14:textId="77777777" w:rsidR="004D1073" w:rsidRPr="009C5F11" w:rsidRDefault="004D1073"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2016</w:t>
            </w:r>
          </w:p>
        </w:tc>
        <w:tc>
          <w:tcPr>
            <w:tcW w:w="740" w:type="pct"/>
            <w:shd w:val="clear" w:color="auto" w:fill="99CCFF"/>
          </w:tcPr>
          <w:p w14:paraId="666D137E" w14:textId="77777777" w:rsidR="004D1073" w:rsidRPr="009C5F11" w:rsidRDefault="004D1073"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2020</w:t>
            </w:r>
          </w:p>
        </w:tc>
        <w:tc>
          <w:tcPr>
            <w:tcW w:w="648" w:type="pct"/>
            <w:shd w:val="clear" w:color="auto" w:fill="99CCFF"/>
          </w:tcPr>
          <w:p w14:paraId="0191B5CC" w14:textId="77777777" w:rsidR="004D1073" w:rsidRPr="009C5F11" w:rsidRDefault="004D1073"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2020</w:t>
            </w:r>
          </w:p>
        </w:tc>
      </w:tr>
      <w:tr w:rsidR="00281575" w:rsidRPr="009C5F11" w14:paraId="65617B00" w14:textId="77777777" w:rsidTr="00B40DB5">
        <w:tc>
          <w:tcPr>
            <w:tcW w:w="2180" w:type="pct"/>
            <w:shd w:val="clear" w:color="auto" w:fill="auto"/>
          </w:tcPr>
          <w:p w14:paraId="40C80728" w14:textId="77777777" w:rsidR="004D1073" w:rsidRPr="009C5F11" w:rsidRDefault="005A44ED" w:rsidP="005A44ED">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Sectorul rez</w:t>
            </w:r>
            <w:r w:rsidR="004D1073" w:rsidRPr="009C5F11">
              <w:rPr>
                <w:rFonts w:ascii="Times New Roman" w:hAnsi="Times New Roman" w:cs="Times New Roman"/>
                <w:sz w:val="20"/>
                <w:szCs w:val="16"/>
                <w:lang w:val="ro-RO"/>
              </w:rPr>
              <w:t>iden</w:t>
            </w:r>
            <w:r w:rsidRPr="009C5F11">
              <w:rPr>
                <w:rFonts w:ascii="Times New Roman" w:hAnsi="Times New Roman" w:cs="Times New Roman"/>
                <w:sz w:val="20"/>
                <w:szCs w:val="16"/>
                <w:lang w:val="ro-RO"/>
              </w:rPr>
              <w:t>ţ</w:t>
            </w:r>
            <w:r w:rsidR="004D1073" w:rsidRPr="009C5F11">
              <w:rPr>
                <w:rFonts w:ascii="Times New Roman" w:hAnsi="Times New Roman" w:cs="Times New Roman"/>
                <w:sz w:val="20"/>
                <w:szCs w:val="16"/>
                <w:lang w:val="ro-RO"/>
              </w:rPr>
              <w:t>ial</w:t>
            </w:r>
          </w:p>
        </w:tc>
        <w:tc>
          <w:tcPr>
            <w:tcW w:w="785" w:type="pct"/>
          </w:tcPr>
          <w:p w14:paraId="54C7500A"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40.</w:t>
            </w:r>
            <w:r w:rsidR="007D059A" w:rsidRPr="009C5F11">
              <w:rPr>
                <w:rFonts w:ascii="Times New Roman" w:hAnsi="Times New Roman" w:cs="Times New Roman"/>
                <w:sz w:val="20"/>
                <w:szCs w:val="16"/>
                <w:lang w:val="ro-RO"/>
              </w:rPr>
              <w:t>8</w:t>
            </w:r>
          </w:p>
        </w:tc>
        <w:tc>
          <w:tcPr>
            <w:tcW w:w="646" w:type="pct"/>
          </w:tcPr>
          <w:p w14:paraId="7D56668C"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40.1</w:t>
            </w:r>
          </w:p>
        </w:tc>
        <w:tc>
          <w:tcPr>
            <w:tcW w:w="740" w:type="pct"/>
            <w:shd w:val="clear" w:color="auto" w:fill="auto"/>
          </w:tcPr>
          <w:p w14:paraId="76A8FDAB"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73.4</w:t>
            </w:r>
          </w:p>
        </w:tc>
        <w:tc>
          <w:tcPr>
            <w:tcW w:w="648" w:type="pct"/>
            <w:shd w:val="clear" w:color="auto" w:fill="auto"/>
          </w:tcPr>
          <w:p w14:paraId="4C189037"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72.2</w:t>
            </w:r>
          </w:p>
        </w:tc>
      </w:tr>
      <w:tr w:rsidR="00281575" w:rsidRPr="009C5F11" w14:paraId="138AF34C" w14:textId="77777777" w:rsidTr="00B40DB5">
        <w:tc>
          <w:tcPr>
            <w:tcW w:w="2180" w:type="pct"/>
            <w:shd w:val="clear" w:color="auto" w:fill="auto"/>
          </w:tcPr>
          <w:p w14:paraId="67B893DA" w14:textId="77777777" w:rsidR="004D1073" w:rsidRPr="009C5F11" w:rsidRDefault="005A44ED" w:rsidP="005A44ED">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Sectorul p</w:t>
            </w:r>
            <w:r w:rsidR="004D1073" w:rsidRPr="009C5F11">
              <w:rPr>
                <w:rFonts w:ascii="Times New Roman" w:hAnsi="Times New Roman" w:cs="Times New Roman"/>
                <w:sz w:val="20"/>
                <w:szCs w:val="16"/>
                <w:lang w:val="ro-RO"/>
              </w:rPr>
              <w:t>ublic</w:t>
            </w:r>
          </w:p>
        </w:tc>
        <w:tc>
          <w:tcPr>
            <w:tcW w:w="785" w:type="pct"/>
          </w:tcPr>
          <w:p w14:paraId="2F0CFEC5" w14:textId="77777777" w:rsidR="004D1073" w:rsidRPr="009C5F11" w:rsidRDefault="004D1073" w:rsidP="007D059A">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11.7</w:t>
            </w:r>
          </w:p>
        </w:tc>
        <w:tc>
          <w:tcPr>
            <w:tcW w:w="646" w:type="pct"/>
          </w:tcPr>
          <w:p w14:paraId="2096869D" w14:textId="77777777" w:rsidR="004D1073" w:rsidRPr="009C5F11" w:rsidRDefault="007D059A"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27.</w:t>
            </w:r>
            <w:r w:rsidR="004D1073" w:rsidRPr="009C5F11">
              <w:rPr>
                <w:rFonts w:ascii="Times New Roman" w:hAnsi="Times New Roman" w:cs="Times New Roman"/>
                <w:sz w:val="20"/>
                <w:szCs w:val="16"/>
                <w:lang w:val="ro-RO"/>
              </w:rPr>
              <w:t>8</w:t>
            </w:r>
          </w:p>
        </w:tc>
        <w:tc>
          <w:tcPr>
            <w:tcW w:w="740" w:type="pct"/>
            <w:shd w:val="clear" w:color="auto" w:fill="auto"/>
          </w:tcPr>
          <w:p w14:paraId="49B6ED9B"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21.</w:t>
            </w:r>
            <w:r w:rsidR="007D059A" w:rsidRPr="009C5F11">
              <w:rPr>
                <w:rFonts w:ascii="Times New Roman" w:hAnsi="Times New Roman" w:cs="Times New Roman"/>
                <w:sz w:val="20"/>
                <w:szCs w:val="16"/>
                <w:lang w:val="ro-RO"/>
              </w:rPr>
              <w:t>1</w:t>
            </w:r>
          </w:p>
        </w:tc>
        <w:tc>
          <w:tcPr>
            <w:tcW w:w="648" w:type="pct"/>
            <w:shd w:val="clear" w:color="auto" w:fill="auto"/>
          </w:tcPr>
          <w:p w14:paraId="09C63279"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50</w:t>
            </w:r>
            <w:r w:rsidR="007D059A"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0</w:t>
            </w:r>
          </w:p>
        </w:tc>
      </w:tr>
      <w:tr w:rsidR="00281575" w:rsidRPr="009C5F11" w14:paraId="497C70EF" w14:textId="77777777" w:rsidTr="00B40DB5">
        <w:tc>
          <w:tcPr>
            <w:tcW w:w="2180" w:type="pct"/>
            <w:shd w:val="clear" w:color="auto" w:fill="auto"/>
          </w:tcPr>
          <w:p w14:paraId="54A46BF2" w14:textId="77777777" w:rsidR="004D1073" w:rsidRPr="009C5F11" w:rsidRDefault="005A44ED" w:rsidP="005A44ED">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Sectorul industrial</w:t>
            </w:r>
          </w:p>
        </w:tc>
        <w:tc>
          <w:tcPr>
            <w:tcW w:w="785" w:type="pct"/>
          </w:tcPr>
          <w:p w14:paraId="42CE0BBD" w14:textId="77777777" w:rsidR="004D1073" w:rsidRPr="009C5F11" w:rsidRDefault="004D1073" w:rsidP="007D059A">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11.2</w:t>
            </w:r>
          </w:p>
        </w:tc>
        <w:tc>
          <w:tcPr>
            <w:tcW w:w="646" w:type="pct"/>
          </w:tcPr>
          <w:p w14:paraId="75A52FEB"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8.3</w:t>
            </w:r>
          </w:p>
        </w:tc>
        <w:tc>
          <w:tcPr>
            <w:tcW w:w="740" w:type="pct"/>
            <w:shd w:val="clear" w:color="auto" w:fill="auto"/>
          </w:tcPr>
          <w:p w14:paraId="5D2C378A"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20.2</w:t>
            </w:r>
          </w:p>
        </w:tc>
        <w:tc>
          <w:tcPr>
            <w:tcW w:w="648" w:type="pct"/>
            <w:shd w:val="clear" w:color="auto" w:fill="auto"/>
          </w:tcPr>
          <w:p w14:paraId="045B9C00"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15</w:t>
            </w:r>
            <w:r w:rsidR="007D059A"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0</w:t>
            </w:r>
          </w:p>
        </w:tc>
      </w:tr>
      <w:tr w:rsidR="00281575" w:rsidRPr="009C5F11" w14:paraId="3ED05F26" w14:textId="77777777" w:rsidTr="00B40DB5">
        <w:tc>
          <w:tcPr>
            <w:tcW w:w="2180" w:type="pct"/>
            <w:shd w:val="clear" w:color="auto" w:fill="auto"/>
          </w:tcPr>
          <w:p w14:paraId="46055EDC" w14:textId="77777777" w:rsidR="004D1073" w:rsidRPr="009C5F11" w:rsidRDefault="005A44ED" w:rsidP="005A44ED">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Sectorul t</w:t>
            </w:r>
            <w:r w:rsidR="004D1073" w:rsidRPr="009C5F11">
              <w:rPr>
                <w:rFonts w:ascii="Times New Roman" w:hAnsi="Times New Roman" w:cs="Times New Roman"/>
                <w:sz w:val="20"/>
                <w:szCs w:val="16"/>
                <w:lang w:val="ro-RO"/>
              </w:rPr>
              <w:t>ransport</w:t>
            </w:r>
            <w:r w:rsidRPr="009C5F11">
              <w:rPr>
                <w:rFonts w:ascii="Times New Roman" w:hAnsi="Times New Roman" w:cs="Times New Roman"/>
                <w:sz w:val="20"/>
                <w:szCs w:val="16"/>
                <w:lang w:val="ro-RO"/>
              </w:rPr>
              <w:t>uri</w:t>
            </w:r>
          </w:p>
        </w:tc>
        <w:tc>
          <w:tcPr>
            <w:tcW w:w="785" w:type="pct"/>
          </w:tcPr>
          <w:p w14:paraId="5714F630"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29.</w:t>
            </w:r>
            <w:r w:rsidR="007D059A" w:rsidRPr="009C5F11">
              <w:rPr>
                <w:rFonts w:ascii="Times New Roman" w:hAnsi="Times New Roman" w:cs="Times New Roman"/>
                <w:sz w:val="20"/>
                <w:szCs w:val="16"/>
                <w:lang w:val="ro-RO"/>
              </w:rPr>
              <w:t>2</w:t>
            </w:r>
          </w:p>
        </w:tc>
        <w:tc>
          <w:tcPr>
            <w:tcW w:w="646" w:type="pct"/>
          </w:tcPr>
          <w:p w14:paraId="5A35683A" w14:textId="77777777" w:rsidR="004D1073" w:rsidRPr="009C5F11" w:rsidRDefault="007D059A"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16.</w:t>
            </w:r>
            <w:r w:rsidR="004D1073" w:rsidRPr="009C5F11">
              <w:rPr>
                <w:rFonts w:ascii="Times New Roman" w:hAnsi="Times New Roman" w:cs="Times New Roman"/>
                <w:sz w:val="20"/>
                <w:szCs w:val="16"/>
                <w:lang w:val="ro-RO"/>
              </w:rPr>
              <w:t>7</w:t>
            </w:r>
          </w:p>
        </w:tc>
        <w:tc>
          <w:tcPr>
            <w:tcW w:w="740" w:type="pct"/>
            <w:shd w:val="clear" w:color="auto" w:fill="auto"/>
          </w:tcPr>
          <w:p w14:paraId="4DEC5C46"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52.</w:t>
            </w:r>
            <w:r w:rsidR="007D059A" w:rsidRPr="009C5F11">
              <w:rPr>
                <w:rFonts w:ascii="Times New Roman" w:hAnsi="Times New Roman" w:cs="Times New Roman"/>
                <w:sz w:val="20"/>
                <w:szCs w:val="16"/>
                <w:lang w:val="ro-RO"/>
              </w:rPr>
              <w:t>5</w:t>
            </w:r>
          </w:p>
        </w:tc>
        <w:tc>
          <w:tcPr>
            <w:tcW w:w="648" w:type="pct"/>
            <w:shd w:val="clear" w:color="auto" w:fill="auto"/>
          </w:tcPr>
          <w:p w14:paraId="7F9CD626" w14:textId="77777777" w:rsidR="004D1073" w:rsidRPr="009C5F11" w:rsidRDefault="004D1073" w:rsidP="00F364D0">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30</w:t>
            </w:r>
            <w:r w:rsidR="007D059A"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0</w:t>
            </w:r>
          </w:p>
        </w:tc>
      </w:tr>
      <w:tr w:rsidR="00281575" w:rsidRPr="009C5F11" w14:paraId="55C93B80" w14:textId="77777777" w:rsidTr="00B40DB5">
        <w:tc>
          <w:tcPr>
            <w:tcW w:w="2180" w:type="pct"/>
            <w:shd w:val="clear" w:color="auto" w:fill="auto"/>
          </w:tcPr>
          <w:p w14:paraId="5ADF0BA5" w14:textId="77777777" w:rsidR="004D1073" w:rsidRPr="009C5F11" w:rsidRDefault="005A44ED" w:rsidP="00CB2EE5">
            <w:pPr>
              <w:spacing w:after="0" w:line="24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 xml:space="preserve">Obiectivul </w:t>
            </w:r>
            <w:r w:rsidR="00CB2EE5" w:rsidRPr="009C5F11">
              <w:rPr>
                <w:rFonts w:ascii="Times New Roman" w:hAnsi="Times New Roman" w:cs="Times New Roman"/>
                <w:b/>
                <w:sz w:val="20"/>
                <w:szCs w:val="16"/>
                <w:lang w:val="ro-RO"/>
              </w:rPr>
              <w:t>stabilit pentru</w:t>
            </w:r>
            <w:r w:rsidRPr="009C5F11">
              <w:rPr>
                <w:rFonts w:ascii="Times New Roman" w:hAnsi="Times New Roman" w:cs="Times New Roman"/>
                <w:b/>
                <w:sz w:val="20"/>
                <w:szCs w:val="16"/>
                <w:lang w:val="ro-RO"/>
              </w:rPr>
              <w:t xml:space="preserve"> economii</w:t>
            </w:r>
            <w:r w:rsidR="00CB2EE5" w:rsidRPr="009C5F11">
              <w:rPr>
                <w:rFonts w:ascii="Times New Roman" w:hAnsi="Times New Roman" w:cs="Times New Roman"/>
                <w:b/>
                <w:sz w:val="20"/>
                <w:szCs w:val="16"/>
                <w:lang w:val="ro-RO"/>
              </w:rPr>
              <w:t>le</w:t>
            </w:r>
            <w:r w:rsidRPr="009C5F11">
              <w:rPr>
                <w:rFonts w:ascii="Times New Roman" w:hAnsi="Times New Roman" w:cs="Times New Roman"/>
                <w:b/>
                <w:sz w:val="20"/>
                <w:szCs w:val="16"/>
                <w:lang w:val="ro-RO"/>
              </w:rPr>
              <w:t xml:space="preserve"> de energie finală </w:t>
            </w:r>
            <w:r w:rsidR="00CB2EE5" w:rsidRPr="009C5F11">
              <w:rPr>
                <w:rFonts w:ascii="Times New Roman" w:hAnsi="Times New Roman" w:cs="Times New Roman"/>
                <w:b/>
                <w:sz w:val="20"/>
                <w:szCs w:val="16"/>
                <w:lang w:val="ro-RO"/>
              </w:rPr>
              <w:t>în</w:t>
            </w:r>
            <w:r w:rsidRPr="009C5F11">
              <w:rPr>
                <w:rFonts w:ascii="Times New Roman" w:hAnsi="Times New Roman" w:cs="Times New Roman"/>
                <w:b/>
                <w:sz w:val="20"/>
                <w:szCs w:val="16"/>
                <w:lang w:val="ro-RO"/>
              </w:rPr>
              <w:t xml:space="preserve"> </w:t>
            </w:r>
            <w:r w:rsidR="00CB2EE5" w:rsidRPr="009C5F11">
              <w:rPr>
                <w:rFonts w:ascii="Times New Roman" w:hAnsi="Times New Roman" w:cs="Times New Roman"/>
                <w:b/>
                <w:sz w:val="20"/>
                <w:szCs w:val="16"/>
                <w:lang w:val="ro-RO"/>
              </w:rPr>
              <w:t xml:space="preserve">anul </w:t>
            </w:r>
            <w:r w:rsidRPr="009C5F11">
              <w:rPr>
                <w:rFonts w:ascii="Times New Roman" w:hAnsi="Times New Roman" w:cs="Times New Roman"/>
                <w:b/>
                <w:sz w:val="20"/>
                <w:szCs w:val="16"/>
                <w:lang w:val="ro-RO"/>
              </w:rPr>
              <w:t xml:space="preserve">2020 conform </w:t>
            </w:r>
            <w:r w:rsidR="00871B4E" w:rsidRPr="009C5F11">
              <w:rPr>
                <w:rFonts w:ascii="Times New Roman" w:hAnsi="Times New Roman" w:cs="Times New Roman"/>
                <w:b/>
                <w:sz w:val="20"/>
                <w:szCs w:val="16"/>
                <w:lang w:val="ro-RO"/>
              </w:rPr>
              <w:t>DSE</w:t>
            </w:r>
            <w:r w:rsidRPr="009C5F11">
              <w:rPr>
                <w:rFonts w:ascii="Times New Roman" w:hAnsi="Times New Roman" w:cs="Times New Roman"/>
                <w:b/>
                <w:sz w:val="20"/>
                <w:szCs w:val="16"/>
                <w:lang w:val="ro-RO"/>
              </w:rPr>
              <w:t>.</w:t>
            </w:r>
            <w:r w:rsidR="004D1073" w:rsidRPr="009C5F11">
              <w:rPr>
                <w:rFonts w:ascii="Times New Roman" w:hAnsi="Times New Roman" w:cs="Times New Roman"/>
                <w:b/>
                <w:sz w:val="20"/>
                <w:szCs w:val="16"/>
                <w:lang w:val="ro-RO"/>
              </w:rPr>
              <w:t xml:space="preserve"> </w:t>
            </w:r>
          </w:p>
        </w:tc>
        <w:tc>
          <w:tcPr>
            <w:tcW w:w="785" w:type="pct"/>
          </w:tcPr>
          <w:p w14:paraId="39CEA6C9" w14:textId="77777777" w:rsidR="004D1073" w:rsidRPr="009C5F11" w:rsidRDefault="004D1073"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92.9</w:t>
            </w:r>
          </w:p>
        </w:tc>
        <w:tc>
          <w:tcPr>
            <w:tcW w:w="646" w:type="pct"/>
          </w:tcPr>
          <w:p w14:paraId="47E151CC" w14:textId="77777777" w:rsidR="004D1073" w:rsidRPr="009C5F11" w:rsidRDefault="004D1073"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92.9</w:t>
            </w:r>
          </w:p>
        </w:tc>
        <w:tc>
          <w:tcPr>
            <w:tcW w:w="740" w:type="pct"/>
            <w:shd w:val="clear" w:color="auto" w:fill="auto"/>
          </w:tcPr>
          <w:p w14:paraId="2A0BE4B7" w14:textId="77777777" w:rsidR="004D1073" w:rsidRPr="009C5F11" w:rsidRDefault="004D1073"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167.2</w:t>
            </w:r>
          </w:p>
        </w:tc>
        <w:tc>
          <w:tcPr>
            <w:tcW w:w="648" w:type="pct"/>
            <w:shd w:val="clear" w:color="auto" w:fill="auto"/>
          </w:tcPr>
          <w:p w14:paraId="2551FFA6" w14:textId="77777777" w:rsidR="004D1073" w:rsidRPr="009C5F11" w:rsidRDefault="004D1073" w:rsidP="00F364D0">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167.2</w:t>
            </w:r>
          </w:p>
        </w:tc>
      </w:tr>
    </w:tbl>
    <w:p w14:paraId="23FC802F" w14:textId="77777777" w:rsidR="004D1073" w:rsidRPr="009C5F11" w:rsidRDefault="004D1073" w:rsidP="00892B59">
      <w:pPr>
        <w:spacing w:before="120" w:after="120" w:line="240" w:lineRule="auto"/>
        <w:jc w:val="both"/>
        <w:rPr>
          <w:rFonts w:ascii="Times New Roman" w:hAnsi="Times New Roman" w:cs="Times New Roman"/>
          <w:sz w:val="24"/>
          <w:lang w:val="ro-RO"/>
        </w:rPr>
      </w:pPr>
    </w:p>
    <w:p w14:paraId="28CE4705" w14:textId="77777777" w:rsidR="00996D99" w:rsidRPr="009C5F11" w:rsidRDefault="00996D99" w:rsidP="00996D99">
      <w:pPr>
        <w:spacing w:after="0" w:line="240" w:lineRule="auto"/>
        <w:jc w:val="both"/>
        <w:rPr>
          <w:rFonts w:ascii="Times New Roman" w:hAnsi="Times New Roman" w:cs="Times New Roman"/>
          <w:b/>
          <w:caps/>
          <w:sz w:val="24"/>
          <w:lang w:val="ro-RO"/>
        </w:rPr>
      </w:pPr>
      <w:r w:rsidRPr="009C5F11">
        <w:rPr>
          <w:rFonts w:ascii="Times New Roman" w:hAnsi="Times New Roman" w:cs="Times New Roman"/>
          <w:b/>
          <w:caps/>
          <w:sz w:val="24"/>
          <w:lang w:val="ro-RO"/>
        </w:rPr>
        <w:t>Plan</w:t>
      </w:r>
      <w:r w:rsidR="00321CD5" w:rsidRPr="009C5F11">
        <w:rPr>
          <w:rFonts w:ascii="Times New Roman" w:hAnsi="Times New Roman" w:cs="Times New Roman"/>
          <w:b/>
          <w:caps/>
          <w:sz w:val="24"/>
          <w:lang w:val="ro-RO"/>
        </w:rPr>
        <w:t xml:space="preserve">ificarea măsurilor pentru anii </w:t>
      </w:r>
      <w:r w:rsidRPr="009C5F11">
        <w:rPr>
          <w:rFonts w:ascii="Times New Roman" w:hAnsi="Times New Roman" w:cs="Times New Roman"/>
          <w:b/>
          <w:caps/>
          <w:sz w:val="24"/>
          <w:lang w:val="ro-RO"/>
        </w:rPr>
        <w:t>2016-2018</w:t>
      </w:r>
    </w:p>
    <w:p w14:paraId="0C874A49" w14:textId="1BE9C9AC" w:rsidR="008543D2" w:rsidRPr="009C5F11" w:rsidRDefault="005A44ED"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 xml:space="preserve">Obiectivele propuse mai sus vor fi </w:t>
      </w:r>
      <w:r w:rsidR="008153DD" w:rsidRPr="009C5F11">
        <w:rPr>
          <w:rFonts w:ascii="Times New Roman" w:hAnsi="Times New Roman" w:cs="Times New Roman"/>
          <w:sz w:val="24"/>
          <w:lang w:val="ro-RO"/>
        </w:rPr>
        <w:t xml:space="preserve">atinse pe baza </w:t>
      </w:r>
      <w:r w:rsidRPr="009C5F11">
        <w:rPr>
          <w:rFonts w:ascii="Times New Roman" w:hAnsi="Times New Roman" w:cs="Times New Roman"/>
          <w:sz w:val="24"/>
          <w:lang w:val="ro-RO"/>
        </w:rPr>
        <w:t>realiz</w:t>
      </w:r>
      <w:r w:rsidR="008153DD" w:rsidRPr="009C5F11">
        <w:rPr>
          <w:rFonts w:ascii="Times New Roman" w:hAnsi="Times New Roman" w:cs="Times New Roman"/>
          <w:sz w:val="24"/>
          <w:lang w:val="ro-RO"/>
        </w:rPr>
        <w:t xml:space="preserve">ării unei serii de măsuri în următoarele direcţii </w:t>
      </w:r>
      <w:r w:rsidR="001911CB" w:rsidRPr="009C5F11">
        <w:rPr>
          <w:rFonts w:ascii="Times New Roman" w:hAnsi="Times New Roman" w:cs="Times New Roman"/>
          <w:sz w:val="24"/>
          <w:lang w:val="ro-RO"/>
        </w:rPr>
        <w:t>principale</w:t>
      </w:r>
      <w:r w:rsidR="008543D2" w:rsidRPr="009C5F11">
        <w:rPr>
          <w:rFonts w:ascii="Times New Roman" w:hAnsi="Times New Roman" w:cs="Times New Roman"/>
          <w:sz w:val="24"/>
          <w:lang w:val="ro-RO"/>
        </w:rPr>
        <w:t>:</w:t>
      </w:r>
    </w:p>
    <w:p w14:paraId="3D39803A" w14:textId="77777777" w:rsidR="008543D2" w:rsidRPr="009C5F11" w:rsidRDefault="008543D2"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Invest</w:t>
      </w:r>
      <w:r w:rsidR="00AB1710" w:rsidRPr="009C5F11">
        <w:rPr>
          <w:rFonts w:ascii="Times New Roman" w:hAnsi="Times New Roman" w:cs="Times New Roman"/>
          <w:sz w:val="24"/>
          <w:lang w:val="ro-RO"/>
        </w:rPr>
        <w:t>iţii pentru renovarea clădirilor administraţiei publice centrale (APC) şi ale altor entităţi publice</w:t>
      </w:r>
      <w:r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precum şi</w:t>
      </w:r>
      <w:r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pentru renovarea clădirilor comerciale</w:t>
      </w:r>
      <w:r w:rsidR="00321CD5" w:rsidRPr="009C5F11">
        <w:rPr>
          <w:rFonts w:ascii="Times New Roman" w:hAnsi="Times New Roman" w:cs="Times New Roman"/>
          <w:sz w:val="24"/>
          <w:lang w:val="ro-RO"/>
        </w:rPr>
        <w:t xml:space="preserve"> şi </w:t>
      </w:r>
      <w:r w:rsidR="00CB2EE5" w:rsidRPr="009C5F11">
        <w:rPr>
          <w:rFonts w:ascii="Times New Roman" w:hAnsi="Times New Roman" w:cs="Times New Roman"/>
          <w:sz w:val="24"/>
          <w:lang w:val="ro-RO"/>
        </w:rPr>
        <w:t xml:space="preserve">a blocurilor </w:t>
      </w:r>
      <w:r w:rsidR="00AB1710" w:rsidRPr="009C5F11">
        <w:rPr>
          <w:rFonts w:ascii="Times New Roman" w:hAnsi="Times New Roman" w:cs="Times New Roman"/>
          <w:sz w:val="24"/>
          <w:lang w:val="ro-RO"/>
        </w:rPr>
        <w:t>rezidenţiale din sectorul public şi cel privat</w:t>
      </w:r>
      <w:r w:rsidRPr="009C5F11">
        <w:rPr>
          <w:rFonts w:ascii="Times New Roman" w:hAnsi="Times New Roman" w:cs="Times New Roman"/>
          <w:sz w:val="24"/>
          <w:lang w:val="ro-RO"/>
        </w:rPr>
        <w:t>;</w:t>
      </w:r>
    </w:p>
    <w:p w14:paraId="61F90344" w14:textId="77777777" w:rsidR="008543D2" w:rsidRPr="009C5F11" w:rsidRDefault="00AB1710"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Încurajarea aplicării</w:t>
      </w:r>
      <w:r w:rsidR="008543D2"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măsurilor de eficienţă energetică</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mai multe sectoare</w:t>
      </w:r>
      <w:r w:rsidR="008543D2"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inclusiv</w:t>
      </w:r>
      <w:r w:rsidR="008543D2"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w:t>
      </w:r>
      <w:r w:rsidR="008543D2" w:rsidRPr="009C5F11">
        <w:rPr>
          <w:rFonts w:ascii="Times New Roman" w:hAnsi="Times New Roman" w:cs="Times New Roman"/>
          <w:sz w:val="24"/>
          <w:lang w:val="ro-RO"/>
        </w:rPr>
        <w:t>transport</w:t>
      </w:r>
      <w:r w:rsidRPr="009C5F11">
        <w:rPr>
          <w:rFonts w:ascii="Times New Roman" w:hAnsi="Times New Roman" w:cs="Times New Roman"/>
          <w:sz w:val="24"/>
          <w:lang w:val="ro-RO"/>
        </w:rPr>
        <w:t>uri</w:t>
      </w:r>
      <w:r w:rsidR="008543D2" w:rsidRPr="009C5F11">
        <w:rPr>
          <w:rFonts w:ascii="Times New Roman" w:hAnsi="Times New Roman" w:cs="Times New Roman"/>
          <w:sz w:val="24"/>
          <w:lang w:val="ro-RO"/>
        </w:rPr>
        <w:t xml:space="preserve">, </w:t>
      </w:r>
      <w:r w:rsidR="00CB2EE5" w:rsidRPr="009C5F11">
        <w:rPr>
          <w:rFonts w:ascii="Times New Roman" w:hAnsi="Times New Roman" w:cs="Times New Roman"/>
          <w:sz w:val="24"/>
          <w:lang w:val="ro-RO"/>
        </w:rPr>
        <w:t xml:space="preserve">serviciile de </w:t>
      </w:r>
      <w:r w:rsidRPr="009C5F11">
        <w:rPr>
          <w:rFonts w:ascii="Times New Roman" w:hAnsi="Times New Roman" w:cs="Times New Roman"/>
          <w:sz w:val="24"/>
          <w:lang w:val="ro-RO"/>
        </w:rPr>
        <w:t xml:space="preserve">aprovizionare cu apă potabilă şi evacuare a apelor </w:t>
      </w:r>
      <w:r w:rsidR="00CB2EE5" w:rsidRPr="009C5F11">
        <w:rPr>
          <w:rFonts w:ascii="Times New Roman" w:hAnsi="Times New Roman" w:cs="Times New Roman"/>
          <w:sz w:val="24"/>
          <w:lang w:val="ro-RO"/>
        </w:rPr>
        <w:t>uzate</w:t>
      </w:r>
      <w:r w:rsidR="00421FA7" w:rsidRPr="009C5F11">
        <w:rPr>
          <w:rFonts w:ascii="Times New Roman" w:hAnsi="Times New Roman" w:cs="Times New Roman"/>
          <w:sz w:val="24"/>
          <w:lang w:val="ro-RO"/>
        </w:rPr>
        <w:t xml:space="preserve"> şi</w:t>
      </w:r>
      <w:r w:rsidR="008543D2"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iluminatul stradal</w:t>
      </w:r>
      <w:r w:rsidR="008543D2" w:rsidRPr="009C5F11">
        <w:rPr>
          <w:rFonts w:ascii="Times New Roman" w:hAnsi="Times New Roman" w:cs="Times New Roman"/>
          <w:sz w:val="24"/>
          <w:lang w:val="ro-RO"/>
        </w:rPr>
        <w:t>;</w:t>
      </w:r>
    </w:p>
    <w:p w14:paraId="28FF2B82" w14:textId="77777777" w:rsidR="008543D2" w:rsidRPr="009C5F11" w:rsidRDefault="00810470"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Introducerea schemelor</w:t>
      </w:r>
      <w:r w:rsidR="00CB2EE5" w:rsidRPr="009C5F11">
        <w:rPr>
          <w:rFonts w:ascii="Times New Roman" w:hAnsi="Times New Roman" w:cs="Times New Roman"/>
          <w:sz w:val="24"/>
          <w:lang w:val="ro-RO"/>
        </w:rPr>
        <w:t>/sistemelor</w:t>
      </w:r>
      <w:r w:rsidRPr="009C5F11">
        <w:rPr>
          <w:rFonts w:ascii="Times New Roman" w:hAnsi="Times New Roman" w:cs="Times New Roman"/>
          <w:sz w:val="24"/>
          <w:lang w:val="ro-RO"/>
        </w:rPr>
        <w:t xml:space="preserve"> şi a instrumentelor de finanţare sau a stimulentelor fiscale care să conducă la aplicarea unor tehnologii eficiente din punct de vedere </w:t>
      </w:r>
      <w:r w:rsidRPr="009C5F11">
        <w:rPr>
          <w:rFonts w:ascii="Times New Roman" w:hAnsi="Times New Roman" w:cs="Times New Roman"/>
          <w:sz w:val="24"/>
          <w:lang w:val="ro-RO"/>
        </w:rPr>
        <w:lastRenderedPageBreak/>
        <w:t>energetic şi care au efect de reducere a consumului la utilizatorii finali din secto</w:t>
      </w:r>
      <w:r w:rsidR="00B132F9" w:rsidRPr="009C5F11">
        <w:rPr>
          <w:rFonts w:ascii="Times New Roman" w:hAnsi="Times New Roman" w:cs="Times New Roman"/>
          <w:sz w:val="24"/>
          <w:lang w:val="ro-RO"/>
        </w:rPr>
        <w:t>arele</w:t>
      </w:r>
      <w:r w:rsidRPr="009C5F11">
        <w:rPr>
          <w:rFonts w:ascii="Times New Roman" w:hAnsi="Times New Roman" w:cs="Times New Roman"/>
          <w:sz w:val="24"/>
          <w:lang w:val="ro-RO"/>
        </w:rPr>
        <w:t xml:space="preserve"> rezidenţial, de servicii şi industrial, cum ar fi etichetarea energetică etc.;</w:t>
      </w:r>
    </w:p>
    <w:p w14:paraId="6034F1F7" w14:textId="77777777" w:rsidR="008543D2" w:rsidRPr="009C5F11" w:rsidRDefault="00AB1710"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Dezvoltarea </w:t>
      </w:r>
      <w:r w:rsidR="00321CD5" w:rsidRPr="009C5F11">
        <w:rPr>
          <w:rFonts w:ascii="Times New Roman" w:hAnsi="Times New Roman" w:cs="Times New Roman"/>
          <w:sz w:val="24"/>
          <w:lang w:val="ro-RO"/>
        </w:rPr>
        <w:t xml:space="preserve">şi </w:t>
      </w:r>
      <w:r w:rsidR="008543D2" w:rsidRPr="009C5F11">
        <w:rPr>
          <w:rFonts w:ascii="Times New Roman" w:hAnsi="Times New Roman" w:cs="Times New Roman"/>
          <w:sz w:val="24"/>
          <w:lang w:val="ro-RO"/>
        </w:rPr>
        <w:t>promo</w:t>
      </w:r>
      <w:r w:rsidRPr="009C5F11">
        <w:rPr>
          <w:rFonts w:ascii="Times New Roman" w:hAnsi="Times New Roman" w:cs="Times New Roman"/>
          <w:sz w:val="24"/>
          <w:lang w:val="ro-RO"/>
        </w:rPr>
        <w:t>varea pieţei de servicii energetice</w:t>
      </w:r>
      <w:r w:rsidR="00316074" w:rsidRPr="009C5F11">
        <w:rPr>
          <w:rFonts w:ascii="Times New Roman" w:hAnsi="Times New Roman" w:cs="Times New Roman"/>
          <w:sz w:val="24"/>
          <w:lang w:val="ro-RO"/>
        </w:rPr>
        <w:t>;</w:t>
      </w:r>
    </w:p>
    <w:p w14:paraId="6A338577" w14:textId="77777777" w:rsidR="008543D2" w:rsidRPr="009C5F11" w:rsidRDefault="00810470"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Încurajarea</w:t>
      </w:r>
      <w:r w:rsidR="00AB1710" w:rsidRPr="009C5F11">
        <w:rPr>
          <w:rFonts w:ascii="Times New Roman" w:hAnsi="Times New Roman" w:cs="Times New Roman"/>
          <w:sz w:val="24"/>
          <w:lang w:val="ro-RO"/>
        </w:rPr>
        <w:t xml:space="preserve"> prin politici adecvate privind tarifele vamale a achiziţiilor celor mai performante aparate de uz casnic ce </w:t>
      </w:r>
      <w:r w:rsidR="00CB2EE5" w:rsidRPr="009C5F11">
        <w:rPr>
          <w:rFonts w:ascii="Times New Roman" w:hAnsi="Times New Roman" w:cs="Times New Roman"/>
          <w:sz w:val="24"/>
          <w:lang w:val="ro-RO"/>
        </w:rPr>
        <w:t>funcţionează pe bază de</w:t>
      </w:r>
      <w:r w:rsidR="00AB1710" w:rsidRPr="009C5F11">
        <w:rPr>
          <w:rFonts w:ascii="Times New Roman" w:hAnsi="Times New Roman" w:cs="Times New Roman"/>
          <w:sz w:val="24"/>
          <w:lang w:val="ro-RO"/>
        </w:rPr>
        <w:t xml:space="preserve"> energie electrică şi gaze naturale</w:t>
      </w:r>
      <w:r w:rsidR="008543D2" w:rsidRPr="009C5F11">
        <w:rPr>
          <w:rFonts w:ascii="Times New Roman" w:hAnsi="Times New Roman" w:cs="Times New Roman"/>
          <w:sz w:val="24"/>
          <w:lang w:val="ro-RO"/>
        </w:rPr>
        <w:t>; imp</w:t>
      </w:r>
      <w:r w:rsidR="00AB1710" w:rsidRPr="009C5F11">
        <w:rPr>
          <w:rFonts w:ascii="Times New Roman" w:hAnsi="Times New Roman" w:cs="Times New Roman"/>
          <w:sz w:val="24"/>
          <w:lang w:val="ro-RO"/>
        </w:rPr>
        <w:t xml:space="preserve">unerea prin lege a obligaţiilor de eficienţă energetică </w:t>
      </w:r>
      <w:r w:rsidR="00B132F9" w:rsidRPr="009C5F11">
        <w:rPr>
          <w:rFonts w:ascii="Times New Roman" w:hAnsi="Times New Roman" w:cs="Times New Roman"/>
          <w:sz w:val="24"/>
          <w:lang w:val="ro-RO"/>
        </w:rPr>
        <w:t>privind</w:t>
      </w:r>
      <w:r w:rsidR="00AB1710" w:rsidRPr="009C5F11">
        <w:rPr>
          <w:rFonts w:ascii="Times New Roman" w:hAnsi="Times New Roman" w:cs="Times New Roman"/>
          <w:sz w:val="24"/>
          <w:lang w:val="ro-RO"/>
        </w:rPr>
        <w:t xml:space="preserve"> achiziţiile publice;</w:t>
      </w:r>
    </w:p>
    <w:p w14:paraId="55942648" w14:textId="77777777" w:rsidR="008543D2" w:rsidRPr="009C5F11" w:rsidRDefault="008543D2"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Su</w:t>
      </w:r>
      <w:r w:rsidR="00AB1710" w:rsidRPr="009C5F11">
        <w:rPr>
          <w:rFonts w:ascii="Times New Roman" w:hAnsi="Times New Roman" w:cs="Times New Roman"/>
          <w:sz w:val="24"/>
          <w:lang w:val="ro-RO"/>
        </w:rPr>
        <w:t xml:space="preserve">sţinerea cogenerării </w:t>
      </w:r>
      <w:r w:rsidR="00697951" w:rsidRPr="009C5F11">
        <w:rPr>
          <w:rFonts w:ascii="Times New Roman" w:hAnsi="Times New Roman" w:cs="Times New Roman"/>
          <w:sz w:val="24"/>
          <w:lang w:val="ro-RO"/>
        </w:rPr>
        <w:t xml:space="preserve">de </w:t>
      </w:r>
      <w:r w:rsidR="00B132F9" w:rsidRPr="009C5F11">
        <w:rPr>
          <w:rFonts w:ascii="Times New Roman" w:hAnsi="Times New Roman" w:cs="Times New Roman"/>
          <w:sz w:val="24"/>
          <w:lang w:val="ro-RO"/>
        </w:rPr>
        <w:t>inalta eficienta</w:t>
      </w:r>
      <w:r w:rsidR="00AB1710" w:rsidRPr="009C5F11">
        <w:rPr>
          <w:rFonts w:ascii="Times New Roman" w:hAnsi="Times New Roman" w:cs="Times New Roman"/>
          <w:sz w:val="24"/>
          <w:lang w:val="ro-RO"/>
        </w:rPr>
        <w:t xml:space="preserve"> şi a sistemelor eficiente de încălzire şi de răcire centralizată</w:t>
      </w:r>
      <w:r w:rsidRPr="009C5F11">
        <w:rPr>
          <w:rFonts w:ascii="Times New Roman" w:hAnsi="Times New Roman" w:cs="Times New Roman"/>
          <w:sz w:val="24"/>
          <w:lang w:val="ro-RO"/>
        </w:rPr>
        <w:t>;</w:t>
      </w:r>
    </w:p>
    <w:p w14:paraId="2F8D8242" w14:textId="77777777" w:rsidR="008543D2" w:rsidRPr="009C5F11" w:rsidRDefault="008543D2"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Reduc</w:t>
      </w:r>
      <w:r w:rsidR="00AB1710" w:rsidRPr="009C5F11">
        <w:rPr>
          <w:rFonts w:ascii="Times New Roman" w:hAnsi="Times New Roman" w:cs="Times New Roman"/>
          <w:sz w:val="24"/>
          <w:lang w:val="ro-RO"/>
        </w:rPr>
        <w:t xml:space="preserve">erea pierderilor </w:t>
      </w:r>
      <w:r w:rsidR="009637BB" w:rsidRPr="009C5F11">
        <w:rPr>
          <w:rFonts w:ascii="Times New Roman" w:hAnsi="Times New Roman" w:cs="Times New Roman"/>
          <w:sz w:val="24"/>
          <w:lang w:val="ro-RO"/>
        </w:rPr>
        <w:t xml:space="preserve">din </w:t>
      </w:r>
      <w:r w:rsidR="00CB2EE5" w:rsidRPr="009C5F11">
        <w:rPr>
          <w:rFonts w:ascii="Times New Roman" w:hAnsi="Times New Roman" w:cs="Times New Roman"/>
          <w:sz w:val="24"/>
          <w:lang w:val="ro-RO"/>
        </w:rPr>
        <w:t xml:space="preserve">reţelele de </w:t>
      </w:r>
      <w:r w:rsidR="00B132F9" w:rsidRPr="009C5F11">
        <w:rPr>
          <w:rFonts w:ascii="Times New Roman" w:hAnsi="Times New Roman" w:cs="Times New Roman"/>
          <w:sz w:val="24"/>
          <w:lang w:val="ro-RO"/>
        </w:rPr>
        <w:t xml:space="preserve">transport si </w:t>
      </w:r>
      <w:r w:rsidR="009637BB" w:rsidRPr="009C5F11">
        <w:rPr>
          <w:rFonts w:ascii="Times New Roman" w:hAnsi="Times New Roman" w:cs="Times New Roman"/>
          <w:sz w:val="24"/>
          <w:lang w:val="ro-RO"/>
        </w:rPr>
        <w:t>distribuţi</w:t>
      </w:r>
      <w:r w:rsidR="00CB2EE5" w:rsidRPr="009C5F11">
        <w:rPr>
          <w:rFonts w:ascii="Times New Roman" w:hAnsi="Times New Roman" w:cs="Times New Roman"/>
          <w:sz w:val="24"/>
          <w:lang w:val="ro-RO"/>
        </w:rPr>
        <w:t xml:space="preserve">e </w:t>
      </w:r>
      <w:r w:rsidR="009637BB" w:rsidRPr="009C5F11">
        <w:rPr>
          <w:rFonts w:ascii="Times New Roman" w:hAnsi="Times New Roman" w:cs="Times New Roman"/>
          <w:sz w:val="24"/>
          <w:lang w:val="ro-RO"/>
        </w:rPr>
        <w:t xml:space="preserve">a </w:t>
      </w:r>
      <w:r w:rsidR="00AB1710" w:rsidRPr="009C5F11">
        <w:rPr>
          <w:rFonts w:ascii="Times New Roman" w:hAnsi="Times New Roman" w:cs="Times New Roman"/>
          <w:sz w:val="24"/>
          <w:lang w:val="ro-RO"/>
        </w:rPr>
        <w:t>energie</w:t>
      </w:r>
      <w:r w:rsidR="00CB2EE5" w:rsidRPr="009C5F11">
        <w:rPr>
          <w:rFonts w:ascii="Times New Roman" w:hAnsi="Times New Roman" w:cs="Times New Roman"/>
          <w:sz w:val="24"/>
          <w:lang w:val="ro-RO"/>
        </w:rPr>
        <w:t>i</w:t>
      </w:r>
      <w:r w:rsidR="00AB1710" w:rsidRPr="009C5F11">
        <w:rPr>
          <w:rFonts w:ascii="Times New Roman" w:hAnsi="Times New Roman" w:cs="Times New Roman"/>
          <w:sz w:val="24"/>
          <w:lang w:val="ro-RO"/>
        </w:rPr>
        <w:t xml:space="preserve"> electric</w:t>
      </w:r>
      <w:r w:rsidR="00CB2EE5" w:rsidRPr="009C5F11">
        <w:rPr>
          <w:rFonts w:ascii="Times New Roman" w:hAnsi="Times New Roman" w:cs="Times New Roman"/>
          <w:sz w:val="24"/>
          <w:lang w:val="ro-RO"/>
        </w:rPr>
        <w:t>e</w:t>
      </w:r>
      <w:r w:rsidR="00AB1710" w:rsidRPr="009C5F11">
        <w:rPr>
          <w:rFonts w:ascii="Times New Roman" w:hAnsi="Times New Roman" w:cs="Times New Roman"/>
          <w:sz w:val="24"/>
          <w:lang w:val="ro-RO"/>
        </w:rPr>
        <w:t>, gaze</w:t>
      </w:r>
      <w:r w:rsidR="00CB2EE5" w:rsidRPr="009C5F11">
        <w:rPr>
          <w:rFonts w:ascii="Times New Roman" w:hAnsi="Times New Roman" w:cs="Times New Roman"/>
          <w:sz w:val="24"/>
          <w:lang w:val="ro-RO"/>
        </w:rPr>
        <w:t>lor</w:t>
      </w:r>
      <w:r w:rsidR="00AB1710" w:rsidRPr="009C5F11">
        <w:rPr>
          <w:rFonts w:ascii="Times New Roman" w:hAnsi="Times New Roman" w:cs="Times New Roman"/>
          <w:sz w:val="24"/>
          <w:lang w:val="ro-RO"/>
        </w:rPr>
        <w:t xml:space="preserve"> naturale şi </w:t>
      </w:r>
      <w:r w:rsidR="00CB2EE5" w:rsidRPr="009C5F11">
        <w:rPr>
          <w:rFonts w:ascii="Times New Roman" w:hAnsi="Times New Roman" w:cs="Times New Roman"/>
          <w:sz w:val="24"/>
          <w:lang w:val="ro-RO"/>
        </w:rPr>
        <w:t>a</w:t>
      </w:r>
      <w:r w:rsidR="009F78FD"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energie</w:t>
      </w:r>
      <w:r w:rsidR="00CB2EE5" w:rsidRPr="009C5F11">
        <w:rPr>
          <w:rFonts w:ascii="Times New Roman" w:hAnsi="Times New Roman" w:cs="Times New Roman"/>
          <w:sz w:val="24"/>
          <w:lang w:val="ro-RO"/>
        </w:rPr>
        <w:t>i</w:t>
      </w:r>
      <w:r w:rsidR="00AB1710" w:rsidRPr="009C5F11">
        <w:rPr>
          <w:rFonts w:ascii="Times New Roman" w:hAnsi="Times New Roman" w:cs="Times New Roman"/>
          <w:sz w:val="24"/>
          <w:lang w:val="ro-RO"/>
        </w:rPr>
        <w:t xml:space="preserve"> termic</w:t>
      </w:r>
      <w:r w:rsidR="00CB2EE5" w:rsidRPr="009C5F11">
        <w:rPr>
          <w:rFonts w:ascii="Times New Roman" w:hAnsi="Times New Roman" w:cs="Times New Roman"/>
          <w:sz w:val="24"/>
          <w:lang w:val="ro-RO"/>
        </w:rPr>
        <w:t>e</w:t>
      </w:r>
      <w:r w:rsidR="00B132F9" w:rsidRPr="009C5F11">
        <w:rPr>
          <w:rFonts w:ascii="Times New Roman" w:hAnsi="Times New Roman" w:cs="Times New Roman"/>
          <w:sz w:val="24"/>
          <w:lang w:val="ro-RO"/>
        </w:rPr>
        <w:t xml:space="preserve"> precum si eficientizarea proceselor de transformare a energiei, in vederea aplicarii articolului 7.2 alineatul (c)</w:t>
      </w:r>
      <w:r w:rsidRPr="009C5F11">
        <w:rPr>
          <w:rFonts w:ascii="Times New Roman" w:hAnsi="Times New Roman" w:cs="Times New Roman"/>
          <w:sz w:val="24"/>
          <w:lang w:val="ro-RO"/>
        </w:rPr>
        <w:t>.</w:t>
      </w:r>
    </w:p>
    <w:p w14:paraId="62CAD93E" w14:textId="19FFBA81" w:rsidR="005B446C" w:rsidRPr="009C5F11" w:rsidRDefault="001F5C51"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 xml:space="preserve">Unele dintre aceste măsuri a fost deja </w:t>
      </w:r>
      <w:r w:rsidRPr="009C5F11">
        <w:rPr>
          <w:rFonts w:ascii="Times New Roman" w:hAnsi="Times New Roman" w:cs="Times New Roman"/>
          <w:sz w:val="24"/>
          <w:lang w:val="ro-RO"/>
        </w:rPr>
        <w:t>implementat</w:t>
      </w:r>
      <w:r w:rsidR="006E5B5E">
        <w:rPr>
          <w:rFonts w:ascii="Times New Roman" w:hAnsi="Times New Roman" w:cs="Times New Roman"/>
          <w:sz w:val="24"/>
          <w:lang w:val="ro-RO"/>
        </w:rPr>
        <w:t>e</w:t>
      </w:r>
      <w:r w:rsidRPr="009C5F11">
        <w:rPr>
          <w:rFonts w:ascii="Times New Roman" w:hAnsi="Times New Roman" w:cs="Times New Roman"/>
          <w:sz w:val="24"/>
          <w:lang w:val="ro-RO"/>
        </w:rPr>
        <w:t xml:space="preserve">, iar </w:t>
      </w:r>
      <w:r w:rsidRPr="009C5F11">
        <w:rPr>
          <w:rFonts w:ascii="Times New Roman" w:hAnsi="Times New Roman" w:cs="Times New Roman"/>
          <w:sz w:val="24"/>
          <w:lang w:val="ro-RO"/>
        </w:rPr>
        <w:t xml:space="preserve">altele urmează să fie identificate </w:t>
      </w:r>
      <w:r w:rsidR="00321CD5" w:rsidRPr="009C5F11">
        <w:rPr>
          <w:rFonts w:ascii="Times New Roman" w:hAnsi="Times New Roman" w:cs="Times New Roman"/>
          <w:sz w:val="24"/>
          <w:lang w:val="ro-RO"/>
        </w:rPr>
        <w:t xml:space="preserve">şi </w:t>
      </w:r>
      <w:r w:rsidRPr="009C5F11">
        <w:rPr>
          <w:rFonts w:ascii="Times New Roman" w:hAnsi="Times New Roman" w:cs="Times New Roman"/>
          <w:sz w:val="24"/>
          <w:lang w:val="ro-RO"/>
        </w:rPr>
        <w:t xml:space="preserve">orientate spre componenta de </w:t>
      </w:r>
      <w:r w:rsidR="000C7BEC" w:rsidRPr="009C5F11">
        <w:rPr>
          <w:rFonts w:ascii="Times New Roman" w:hAnsi="Times New Roman" w:cs="Times New Roman"/>
          <w:sz w:val="24"/>
          <w:lang w:val="ro-RO"/>
        </w:rPr>
        <w:t>eficienţă energetică</w:t>
      </w:r>
      <w:r w:rsidR="005B446C"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Actualmente</w:t>
      </w:r>
      <w:r w:rsidR="005B446C" w:rsidRPr="009C5F11">
        <w:rPr>
          <w:rFonts w:ascii="Times New Roman" w:hAnsi="Times New Roman" w:cs="Times New Roman"/>
          <w:sz w:val="24"/>
          <w:lang w:val="ro-RO"/>
        </w:rPr>
        <w:t xml:space="preserve">, </w:t>
      </w:r>
      <w:r w:rsidR="00CB2EE5" w:rsidRPr="009C5F11">
        <w:rPr>
          <w:rFonts w:ascii="Times New Roman" w:hAnsi="Times New Roman" w:cs="Times New Roman"/>
          <w:sz w:val="24"/>
          <w:lang w:val="ro-RO"/>
        </w:rPr>
        <w:t>Republica Moldova</w:t>
      </w:r>
      <w:r w:rsidRPr="009C5F11">
        <w:rPr>
          <w:rFonts w:ascii="Times New Roman" w:hAnsi="Times New Roman" w:cs="Times New Roman"/>
          <w:sz w:val="24"/>
          <w:lang w:val="ro-RO"/>
        </w:rPr>
        <w:t xml:space="preserve"> prevede </w:t>
      </w:r>
      <w:r w:rsidR="00CB2EE5" w:rsidRPr="009C5F11">
        <w:rPr>
          <w:rFonts w:ascii="Times New Roman" w:hAnsi="Times New Roman" w:cs="Times New Roman"/>
          <w:sz w:val="24"/>
          <w:lang w:val="ro-RO"/>
        </w:rPr>
        <w:t>aplicarea unui</w:t>
      </w:r>
      <w:r w:rsidRPr="009C5F11">
        <w:rPr>
          <w:rFonts w:ascii="Times New Roman" w:hAnsi="Times New Roman" w:cs="Times New Roman"/>
          <w:sz w:val="24"/>
          <w:lang w:val="ro-RO"/>
        </w:rPr>
        <w:t xml:space="preserve"> spectru de instrumente</w:t>
      </w:r>
      <w:r w:rsidR="005B446C" w:rsidRPr="009C5F11">
        <w:rPr>
          <w:rFonts w:ascii="Times New Roman" w:hAnsi="Times New Roman" w:cs="Times New Roman"/>
          <w:sz w:val="24"/>
          <w:lang w:val="ro-RO"/>
        </w:rPr>
        <w:t xml:space="preserve"> (majorit</w:t>
      </w:r>
      <w:r w:rsidRPr="009C5F11">
        <w:rPr>
          <w:rFonts w:ascii="Times New Roman" w:hAnsi="Times New Roman" w:cs="Times New Roman"/>
          <w:sz w:val="24"/>
          <w:lang w:val="ro-RO"/>
        </w:rPr>
        <w:t>atea cărora au deja finanţare</w:t>
      </w:r>
      <w:r w:rsidR="005B446C"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care să permită mişcarea </w:t>
      </w:r>
      <w:r w:rsidR="00CB2EE5" w:rsidRPr="009C5F11">
        <w:rPr>
          <w:rFonts w:ascii="Times New Roman" w:hAnsi="Times New Roman" w:cs="Times New Roman"/>
          <w:sz w:val="24"/>
          <w:lang w:val="ro-RO"/>
        </w:rPr>
        <w:t xml:space="preserve">înainte </w:t>
      </w:r>
      <w:r w:rsidRPr="009C5F11">
        <w:rPr>
          <w:rFonts w:ascii="Times New Roman" w:hAnsi="Times New Roman" w:cs="Times New Roman"/>
          <w:sz w:val="24"/>
          <w:lang w:val="ro-RO"/>
        </w:rPr>
        <w:t>spre îmbunătăţirea eficienţei energetice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să </w:t>
      </w:r>
      <w:r w:rsidR="00810470" w:rsidRPr="009C5F11">
        <w:rPr>
          <w:rFonts w:ascii="Times New Roman" w:hAnsi="Times New Roman" w:cs="Times New Roman"/>
          <w:sz w:val="24"/>
          <w:lang w:val="ro-RO"/>
        </w:rPr>
        <w:t>asigure</w:t>
      </w:r>
      <w:r w:rsidRPr="009C5F11">
        <w:rPr>
          <w:rFonts w:ascii="Times New Roman" w:hAnsi="Times New Roman" w:cs="Times New Roman"/>
          <w:sz w:val="24"/>
          <w:lang w:val="ro-RO"/>
        </w:rPr>
        <w:t xml:space="preserve"> </w:t>
      </w:r>
      <w:r w:rsidR="001F1AE8" w:rsidRPr="009C5F11">
        <w:rPr>
          <w:rFonts w:ascii="Times New Roman" w:hAnsi="Times New Roman" w:cs="Times New Roman"/>
          <w:sz w:val="24"/>
          <w:lang w:val="ro-RO"/>
        </w:rPr>
        <w:t xml:space="preserve">acoperirea a </w:t>
      </w:r>
      <w:r w:rsidR="00CB2EE5" w:rsidRPr="009C5F11">
        <w:rPr>
          <w:rFonts w:ascii="Times New Roman" w:hAnsi="Times New Roman" w:cs="Times New Roman"/>
          <w:sz w:val="24"/>
          <w:lang w:val="ro-RO"/>
        </w:rPr>
        <w:t xml:space="preserve">circa </w:t>
      </w:r>
      <w:r w:rsidR="005B446C" w:rsidRPr="009C5F11">
        <w:rPr>
          <w:rFonts w:ascii="Times New Roman" w:hAnsi="Times New Roman" w:cs="Times New Roman"/>
          <w:sz w:val="24"/>
          <w:lang w:val="ro-RO"/>
        </w:rPr>
        <w:t xml:space="preserve">130 </w:t>
      </w:r>
      <w:r w:rsidR="00E52940" w:rsidRPr="009C5F11">
        <w:rPr>
          <w:rFonts w:ascii="Times New Roman" w:hAnsi="Times New Roman" w:cs="Times New Roman"/>
          <w:sz w:val="24"/>
          <w:lang w:val="ro-RO"/>
        </w:rPr>
        <w:t>ktep</w:t>
      </w:r>
      <w:r w:rsidR="005B446C"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din cei</w:t>
      </w:r>
      <w:r w:rsidR="005B446C" w:rsidRPr="009C5F11">
        <w:rPr>
          <w:rFonts w:ascii="Times New Roman" w:hAnsi="Times New Roman" w:cs="Times New Roman"/>
          <w:sz w:val="24"/>
          <w:lang w:val="ro-RO"/>
        </w:rPr>
        <w:t xml:space="preserve"> 167 </w:t>
      </w:r>
      <w:r w:rsidRPr="009C5F11">
        <w:rPr>
          <w:rFonts w:ascii="Times New Roman" w:hAnsi="Times New Roman" w:cs="Times New Roman"/>
          <w:sz w:val="24"/>
          <w:lang w:val="ro-RO"/>
        </w:rPr>
        <w:t>până în anul</w:t>
      </w:r>
      <w:r w:rsidR="005B446C" w:rsidRPr="009C5F11">
        <w:rPr>
          <w:rFonts w:ascii="Times New Roman" w:hAnsi="Times New Roman" w:cs="Times New Roman"/>
          <w:sz w:val="24"/>
          <w:lang w:val="ro-RO"/>
        </w:rPr>
        <w:t xml:space="preserve"> 2020. </w:t>
      </w:r>
    </w:p>
    <w:p w14:paraId="1AFD135D" w14:textId="3F84D479" w:rsidR="008543D2" w:rsidRPr="009C5F11" w:rsidRDefault="00D8573C"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 xml:space="preserve">Principalele </w:t>
      </w:r>
      <w:r w:rsidR="00B132F9" w:rsidRPr="009C5F11">
        <w:rPr>
          <w:rFonts w:ascii="Times New Roman" w:hAnsi="Times New Roman" w:cs="Times New Roman"/>
          <w:sz w:val="24"/>
          <w:lang w:val="ro-RO"/>
        </w:rPr>
        <w:t>instrumente</w:t>
      </w:r>
      <w:r w:rsidRPr="009C5F11">
        <w:rPr>
          <w:rFonts w:ascii="Times New Roman" w:hAnsi="Times New Roman" w:cs="Times New Roman"/>
          <w:sz w:val="24"/>
          <w:lang w:val="ro-RO"/>
        </w:rPr>
        <w:t xml:space="preserve"> de implementare a măsurilor indicate mai sus sunt după cum urmează</w:t>
      </w:r>
      <w:r w:rsidR="008543D2" w:rsidRPr="009C5F11">
        <w:rPr>
          <w:rFonts w:ascii="Times New Roman" w:hAnsi="Times New Roman" w:cs="Times New Roman"/>
          <w:sz w:val="24"/>
          <w:lang w:val="ro-RO"/>
        </w:rPr>
        <w:t>:</w:t>
      </w:r>
    </w:p>
    <w:p w14:paraId="79DCA994" w14:textId="77777777" w:rsidR="008543D2" w:rsidRPr="009C5F11" w:rsidRDefault="00D8573C"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Finanţare concretă oferită de Uniunea Europeană prin intermediul </w:t>
      </w:r>
      <w:r w:rsidR="00AA0566" w:rsidRPr="009C5F11">
        <w:rPr>
          <w:rFonts w:ascii="Times New Roman" w:hAnsi="Times New Roman" w:cs="Times New Roman"/>
          <w:sz w:val="24"/>
          <w:lang w:val="ro-RO"/>
        </w:rPr>
        <w:t>BERD</w:t>
      </w:r>
      <w:r w:rsidR="008543D2"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BEI</w:t>
      </w:r>
      <w:r w:rsidR="008543D2" w:rsidRPr="009C5F11">
        <w:rPr>
          <w:rFonts w:ascii="Times New Roman" w:hAnsi="Times New Roman" w:cs="Times New Roman"/>
          <w:sz w:val="24"/>
          <w:lang w:val="ro-RO"/>
        </w:rPr>
        <w:t>, GGF</w:t>
      </w:r>
      <w:r w:rsidR="00B32218" w:rsidRPr="009C5F11">
        <w:rPr>
          <w:rFonts w:ascii="Times New Roman" w:hAnsi="Times New Roman" w:cs="Times New Roman"/>
          <w:sz w:val="24"/>
          <w:lang w:val="ro-RO"/>
        </w:rPr>
        <w:t>, NIF</w:t>
      </w:r>
      <w:r w:rsidR="008543D2"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BIRD</w:t>
      </w:r>
      <w:r w:rsidR="008543D2"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PNUD şi </w:t>
      </w:r>
      <w:r w:rsidRPr="009C5F11">
        <w:rPr>
          <w:rFonts w:ascii="Times New Roman" w:hAnsi="Times New Roman" w:cs="Times New Roman"/>
          <w:sz w:val="24"/>
          <w:lang w:val="ro-RO"/>
        </w:rPr>
        <w:t>altele;</w:t>
      </w:r>
      <w:r w:rsidR="008543D2" w:rsidRPr="009C5F11">
        <w:rPr>
          <w:rFonts w:ascii="Times New Roman" w:hAnsi="Times New Roman" w:cs="Times New Roman"/>
          <w:sz w:val="24"/>
          <w:lang w:val="ro-RO"/>
        </w:rPr>
        <w:t xml:space="preserve"> </w:t>
      </w:r>
    </w:p>
    <w:p w14:paraId="216287F5" w14:textId="77777777" w:rsidR="008543D2" w:rsidRPr="009C5F11" w:rsidRDefault="00401F29"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Mijloace financiare din bugetul de stat direcţionate prin intermediul </w:t>
      </w:r>
      <w:r w:rsidR="00321CD5" w:rsidRPr="009C5F11">
        <w:rPr>
          <w:rFonts w:ascii="Times New Roman" w:hAnsi="Times New Roman" w:cs="Times New Roman"/>
          <w:sz w:val="24"/>
          <w:lang w:val="ro-RO"/>
        </w:rPr>
        <w:t>Fondul</w:t>
      </w:r>
      <w:r w:rsidRPr="009C5F11">
        <w:rPr>
          <w:rFonts w:ascii="Times New Roman" w:hAnsi="Times New Roman" w:cs="Times New Roman"/>
          <w:sz w:val="24"/>
          <w:lang w:val="ro-RO"/>
        </w:rPr>
        <w:t>ui</w:t>
      </w:r>
      <w:r w:rsidR="00321CD5" w:rsidRPr="009C5F11">
        <w:rPr>
          <w:rFonts w:ascii="Times New Roman" w:hAnsi="Times New Roman" w:cs="Times New Roman"/>
          <w:sz w:val="24"/>
          <w:lang w:val="ro-RO"/>
        </w:rPr>
        <w:t xml:space="preserve"> pentru Eficienţă Energetică</w:t>
      </w:r>
      <w:r w:rsidR="008543D2"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Fondului </w:t>
      </w:r>
      <w:r w:rsidR="00810470" w:rsidRPr="009C5F11">
        <w:rPr>
          <w:rFonts w:ascii="Times New Roman" w:hAnsi="Times New Roman" w:cs="Times New Roman"/>
          <w:sz w:val="24"/>
          <w:lang w:val="ro-RO"/>
        </w:rPr>
        <w:t>pentru</w:t>
      </w:r>
      <w:r w:rsidRPr="009C5F11">
        <w:rPr>
          <w:rFonts w:ascii="Times New Roman" w:hAnsi="Times New Roman" w:cs="Times New Roman"/>
          <w:sz w:val="24"/>
          <w:lang w:val="ro-RO"/>
        </w:rPr>
        <w:t xml:space="preserve"> Investiţii Sociale din Moldova</w:t>
      </w:r>
      <w:r w:rsidR="008543D2" w:rsidRPr="009C5F11">
        <w:rPr>
          <w:rFonts w:ascii="Times New Roman" w:hAnsi="Times New Roman" w:cs="Times New Roman"/>
          <w:sz w:val="24"/>
          <w:lang w:val="ro-RO"/>
        </w:rPr>
        <w:t>, F</w:t>
      </w:r>
      <w:r w:rsidRPr="009C5F11">
        <w:rPr>
          <w:rFonts w:ascii="Times New Roman" w:hAnsi="Times New Roman" w:cs="Times New Roman"/>
          <w:sz w:val="24"/>
          <w:lang w:val="ro-RO"/>
        </w:rPr>
        <w:t>o</w:t>
      </w:r>
      <w:r w:rsidR="008543D2" w:rsidRPr="009C5F11">
        <w:rPr>
          <w:rFonts w:ascii="Times New Roman" w:hAnsi="Times New Roman" w:cs="Times New Roman"/>
          <w:sz w:val="24"/>
          <w:lang w:val="ro-RO"/>
        </w:rPr>
        <w:t>nd</w:t>
      </w:r>
      <w:r w:rsidRPr="009C5F11">
        <w:rPr>
          <w:rFonts w:ascii="Times New Roman" w:hAnsi="Times New Roman" w:cs="Times New Roman"/>
          <w:sz w:val="24"/>
          <w:lang w:val="ro-RO"/>
        </w:rPr>
        <w:t>ului de mediu</w:t>
      </w:r>
      <w:r w:rsidR="00B32218" w:rsidRPr="009C5F11">
        <w:rPr>
          <w:rFonts w:ascii="Times New Roman" w:hAnsi="Times New Roman" w:cs="Times New Roman"/>
          <w:sz w:val="24"/>
          <w:lang w:val="ro-RO"/>
        </w:rPr>
        <w:t>, Fondul National pentru Dezvoltare Regionala</w:t>
      </w:r>
      <w:r w:rsidRPr="009C5F11">
        <w:rPr>
          <w:rFonts w:ascii="Times New Roman" w:hAnsi="Times New Roman" w:cs="Times New Roman"/>
          <w:sz w:val="24"/>
          <w:lang w:val="ro-RO"/>
        </w:rPr>
        <w:t xml:space="preserve"> etc.;</w:t>
      </w:r>
      <w:r w:rsidR="008543D2" w:rsidRPr="009C5F11">
        <w:rPr>
          <w:rFonts w:ascii="Times New Roman" w:hAnsi="Times New Roman" w:cs="Times New Roman"/>
          <w:sz w:val="24"/>
          <w:lang w:val="ro-RO"/>
        </w:rPr>
        <w:t xml:space="preserve"> </w:t>
      </w:r>
    </w:p>
    <w:p w14:paraId="5C0678C6" w14:textId="0626070F" w:rsidR="008543D2" w:rsidRPr="009C5F11" w:rsidRDefault="00401F29"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Cu toate acestea</w:t>
      </w:r>
      <w:r w:rsidR="008543D2"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viitorul apropiat este necesar de identificat măsuri şi surse de finanţare </w:t>
      </w:r>
      <w:r w:rsidR="00792AA6" w:rsidRPr="009C5F11">
        <w:rPr>
          <w:rFonts w:ascii="Times New Roman" w:hAnsi="Times New Roman" w:cs="Times New Roman"/>
          <w:sz w:val="24"/>
          <w:lang w:val="ro-RO"/>
        </w:rPr>
        <w:t xml:space="preserve">mai concrete </w:t>
      </w:r>
      <w:r w:rsidRPr="009C5F11">
        <w:rPr>
          <w:rFonts w:ascii="Times New Roman" w:hAnsi="Times New Roman" w:cs="Times New Roman"/>
          <w:sz w:val="24"/>
          <w:lang w:val="ro-RO"/>
        </w:rPr>
        <w:t xml:space="preserve">în vederea pregătirii acestora pentru următorul </w:t>
      </w:r>
      <w:r w:rsidR="00872DC2" w:rsidRPr="009C5F11">
        <w:rPr>
          <w:rFonts w:ascii="Times New Roman" w:hAnsi="Times New Roman" w:cs="Times New Roman"/>
          <w:sz w:val="24"/>
          <w:lang w:val="ro-RO"/>
        </w:rPr>
        <w:t>PNAEE</w:t>
      </w:r>
      <w:r w:rsidR="008543D2" w:rsidRPr="009C5F11">
        <w:rPr>
          <w:rFonts w:ascii="Times New Roman" w:hAnsi="Times New Roman" w:cs="Times New Roman"/>
          <w:sz w:val="24"/>
          <w:lang w:val="ro-RO"/>
        </w:rPr>
        <w:t xml:space="preserve"> 2019-2021</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asigurării respectării obiectivului </w:t>
      </w:r>
      <w:r w:rsidR="008543D2" w:rsidRPr="009C5F11">
        <w:rPr>
          <w:rFonts w:ascii="Times New Roman" w:hAnsi="Times New Roman" w:cs="Times New Roman"/>
          <w:sz w:val="24"/>
          <w:lang w:val="ro-RO"/>
        </w:rPr>
        <w:t xml:space="preserve">indicativ </w:t>
      </w:r>
      <w:r w:rsidRPr="009C5F11">
        <w:rPr>
          <w:rFonts w:ascii="Times New Roman" w:hAnsi="Times New Roman" w:cs="Times New Roman"/>
          <w:sz w:val="24"/>
          <w:lang w:val="ro-RO"/>
        </w:rPr>
        <w:t xml:space="preserve">stabilit pentru anul </w:t>
      </w:r>
      <w:r w:rsidR="008543D2" w:rsidRPr="009C5F11">
        <w:rPr>
          <w:rFonts w:ascii="Times New Roman" w:hAnsi="Times New Roman" w:cs="Times New Roman"/>
          <w:sz w:val="24"/>
          <w:lang w:val="ro-RO"/>
        </w:rPr>
        <w:t xml:space="preserve">2020. </w:t>
      </w:r>
    </w:p>
    <w:p w14:paraId="7F543BA9" w14:textId="03BC0CDF" w:rsidR="008543D2" w:rsidRPr="009C5F11" w:rsidRDefault="003A6ADB"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fldChar w:fldCharType="begin"/>
      </w:r>
      <w:r w:rsidR="008543D2" w:rsidRPr="009C5F11">
        <w:rPr>
          <w:rFonts w:ascii="Times New Roman" w:hAnsi="Times New Roman" w:cs="Times New Roman"/>
          <w:sz w:val="24"/>
          <w:lang w:val="ro-RO"/>
        </w:rPr>
        <w:instrText xml:space="preserve"> REF _Ref319676430 \h </w:instrText>
      </w:r>
      <w:r w:rsidR="009C5F11" w:rsidRPr="009C5F11">
        <w:rPr>
          <w:rFonts w:ascii="Times New Roman" w:hAnsi="Times New Roman" w:cs="Times New Roman"/>
          <w:sz w:val="24"/>
          <w:lang w:val="ro-RO"/>
        </w:rPr>
        <w:instrText xml:space="preserve"> \* MERGEFORMAT </w:instrText>
      </w:r>
      <w:r w:rsidRPr="009C5F11">
        <w:rPr>
          <w:rFonts w:ascii="Times New Roman" w:hAnsi="Times New Roman" w:cs="Times New Roman"/>
          <w:sz w:val="24"/>
          <w:lang w:val="ro-RO"/>
        </w:rPr>
      </w:r>
      <w:r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3</w:t>
      </w:r>
      <w:r w:rsidRPr="009C5F11">
        <w:rPr>
          <w:rFonts w:ascii="Times New Roman" w:hAnsi="Times New Roman" w:cs="Times New Roman"/>
          <w:sz w:val="24"/>
          <w:lang w:val="ro-RO"/>
        </w:rPr>
        <w:fldChar w:fldCharType="end"/>
      </w:r>
      <w:r w:rsidR="008543D2" w:rsidRPr="009C5F11">
        <w:rPr>
          <w:rFonts w:ascii="Times New Roman" w:hAnsi="Times New Roman" w:cs="Times New Roman"/>
          <w:sz w:val="24"/>
          <w:lang w:val="ro-RO"/>
        </w:rPr>
        <w:t xml:space="preserve"> </w:t>
      </w:r>
      <w:r w:rsidR="00752A5A" w:rsidRPr="009C5F11">
        <w:rPr>
          <w:rFonts w:ascii="Times New Roman" w:hAnsi="Times New Roman" w:cs="Times New Roman"/>
          <w:sz w:val="24"/>
          <w:lang w:val="ro-RO"/>
        </w:rPr>
        <w:t xml:space="preserve">cuprinde măsurile ce urmează a fi realizate în perioada </w:t>
      </w:r>
      <w:r w:rsidR="008543D2" w:rsidRPr="009C5F11">
        <w:rPr>
          <w:rFonts w:ascii="Times New Roman" w:hAnsi="Times New Roman" w:cs="Times New Roman"/>
          <w:sz w:val="24"/>
          <w:lang w:val="ro-RO"/>
        </w:rPr>
        <w:t xml:space="preserve">2016-2018 </w:t>
      </w:r>
      <w:r w:rsidR="00752A5A" w:rsidRPr="009C5F11">
        <w:rPr>
          <w:rFonts w:ascii="Times New Roman" w:hAnsi="Times New Roman" w:cs="Times New Roman"/>
          <w:sz w:val="24"/>
          <w:lang w:val="ro-RO"/>
        </w:rPr>
        <w:t xml:space="preserve">în cadrul celui de al doilea </w:t>
      </w:r>
      <w:r w:rsidR="00872DC2" w:rsidRPr="009C5F11">
        <w:rPr>
          <w:rFonts w:ascii="Times New Roman" w:hAnsi="Times New Roman" w:cs="Times New Roman"/>
          <w:sz w:val="24"/>
          <w:lang w:val="ro-RO"/>
        </w:rPr>
        <w:t>PNAEE</w:t>
      </w:r>
      <w:r w:rsidR="00752A5A" w:rsidRPr="009C5F11">
        <w:rPr>
          <w:rFonts w:ascii="Times New Roman" w:hAnsi="Times New Roman" w:cs="Times New Roman"/>
          <w:sz w:val="24"/>
          <w:lang w:val="ro-RO"/>
        </w:rPr>
        <w:t xml:space="preserve"> al Republicii Moldova</w:t>
      </w:r>
      <w:r w:rsidR="008543D2" w:rsidRPr="009C5F11">
        <w:rPr>
          <w:rFonts w:ascii="Times New Roman" w:hAnsi="Times New Roman" w:cs="Times New Roman"/>
          <w:sz w:val="24"/>
          <w:lang w:val="ro-RO"/>
        </w:rPr>
        <w:t xml:space="preserve">. </w:t>
      </w:r>
      <w:r w:rsidR="00752A5A" w:rsidRPr="009C5F11">
        <w:rPr>
          <w:rFonts w:ascii="Times New Roman" w:hAnsi="Times New Roman" w:cs="Times New Roman"/>
          <w:sz w:val="24"/>
          <w:lang w:val="ro-RO"/>
        </w:rPr>
        <w:t>O parte dintre aceste măsuri a</w:t>
      </w:r>
      <w:r w:rsidR="006E5B5E">
        <w:rPr>
          <w:rFonts w:ascii="Times New Roman" w:hAnsi="Times New Roman" w:cs="Times New Roman"/>
          <w:sz w:val="24"/>
          <w:lang w:val="ro-RO"/>
        </w:rPr>
        <w:t>u</w:t>
      </w:r>
      <w:r w:rsidR="00752A5A" w:rsidRPr="009C5F11">
        <w:rPr>
          <w:rFonts w:ascii="Times New Roman" w:hAnsi="Times New Roman" w:cs="Times New Roman"/>
          <w:sz w:val="24"/>
          <w:lang w:val="ro-RO"/>
        </w:rPr>
        <w:t xml:space="preserve"> fost lansat</w:t>
      </w:r>
      <w:r w:rsidR="006E5B5E">
        <w:rPr>
          <w:rFonts w:ascii="Times New Roman" w:hAnsi="Times New Roman" w:cs="Times New Roman"/>
          <w:sz w:val="24"/>
          <w:lang w:val="ro-RO"/>
        </w:rPr>
        <w:t>e</w:t>
      </w:r>
      <w:r w:rsidR="00752A5A" w:rsidRPr="009C5F11">
        <w:rPr>
          <w:rFonts w:ascii="Times New Roman" w:hAnsi="Times New Roman" w:cs="Times New Roman"/>
          <w:sz w:val="24"/>
          <w:lang w:val="ro-RO"/>
        </w:rPr>
        <w:t xml:space="preserve"> înainte de perioada indicată, iar o parte v</w:t>
      </w:r>
      <w:r w:rsidR="00792AA6" w:rsidRPr="009C5F11">
        <w:rPr>
          <w:rFonts w:ascii="Times New Roman" w:hAnsi="Times New Roman" w:cs="Times New Roman"/>
          <w:sz w:val="24"/>
          <w:lang w:val="ro-RO"/>
        </w:rPr>
        <w:t>a</w:t>
      </w:r>
      <w:r w:rsidR="00752A5A" w:rsidRPr="009C5F11">
        <w:rPr>
          <w:rFonts w:ascii="Times New Roman" w:hAnsi="Times New Roman" w:cs="Times New Roman"/>
          <w:sz w:val="24"/>
          <w:lang w:val="ro-RO"/>
        </w:rPr>
        <w:t xml:space="preserve"> </w:t>
      </w:r>
      <w:r w:rsidR="008F7BD5" w:rsidRPr="009C5F11">
        <w:rPr>
          <w:rFonts w:ascii="Times New Roman" w:hAnsi="Times New Roman" w:cs="Times New Roman"/>
          <w:sz w:val="24"/>
          <w:lang w:val="ro-RO"/>
        </w:rPr>
        <w:t xml:space="preserve">fi </w:t>
      </w:r>
      <w:r w:rsidR="00752A5A" w:rsidRPr="009C5F11">
        <w:rPr>
          <w:rFonts w:ascii="Times New Roman" w:hAnsi="Times New Roman" w:cs="Times New Roman"/>
          <w:sz w:val="24"/>
          <w:lang w:val="ro-RO"/>
        </w:rPr>
        <w:t>continua</w:t>
      </w:r>
      <w:r w:rsidR="008F7BD5" w:rsidRPr="009C5F11">
        <w:rPr>
          <w:rFonts w:ascii="Times New Roman" w:hAnsi="Times New Roman" w:cs="Times New Roman"/>
          <w:sz w:val="24"/>
          <w:lang w:val="ro-RO"/>
        </w:rPr>
        <w:t>t</w:t>
      </w:r>
      <w:r w:rsidR="00792AA6" w:rsidRPr="009C5F11">
        <w:rPr>
          <w:rFonts w:ascii="Times New Roman" w:hAnsi="Times New Roman" w:cs="Times New Roman"/>
          <w:sz w:val="24"/>
          <w:lang w:val="ro-RO"/>
        </w:rPr>
        <w:t>ă</w:t>
      </w:r>
      <w:r w:rsidR="00752A5A" w:rsidRPr="009C5F11">
        <w:rPr>
          <w:rFonts w:ascii="Times New Roman" w:hAnsi="Times New Roman" w:cs="Times New Roman"/>
          <w:sz w:val="24"/>
          <w:lang w:val="ro-RO"/>
        </w:rPr>
        <w:t xml:space="preserve"> </w:t>
      </w:r>
      <w:r w:rsidR="00792AA6" w:rsidRPr="009C5F11">
        <w:rPr>
          <w:rFonts w:ascii="Times New Roman" w:hAnsi="Times New Roman" w:cs="Times New Roman"/>
          <w:sz w:val="24"/>
          <w:lang w:val="ro-RO"/>
        </w:rPr>
        <w:t xml:space="preserve">şi </w:t>
      </w:r>
      <w:r w:rsidR="00752A5A" w:rsidRPr="009C5F11">
        <w:rPr>
          <w:rFonts w:ascii="Times New Roman" w:hAnsi="Times New Roman" w:cs="Times New Roman"/>
          <w:sz w:val="24"/>
          <w:lang w:val="ro-RO"/>
        </w:rPr>
        <w:t xml:space="preserve">după anul </w:t>
      </w:r>
      <w:r w:rsidR="008543D2" w:rsidRPr="009C5F11">
        <w:rPr>
          <w:rFonts w:ascii="Times New Roman" w:hAnsi="Times New Roman" w:cs="Times New Roman"/>
          <w:sz w:val="24"/>
          <w:lang w:val="ro-RO"/>
        </w:rPr>
        <w:t>2018.</w:t>
      </w:r>
    </w:p>
    <w:p w14:paraId="5D81CCA3" w14:textId="77777777" w:rsidR="00F340D9" w:rsidRPr="009C5F11" w:rsidRDefault="00F340D9" w:rsidP="001708A8">
      <w:pPr>
        <w:spacing w:before="120" w:after="120" w:line="240" w:lineRule="auto"/>
        <w:jc w:val="both"/>
        <w:rPr>
          <w:rFonts w:ascii="Times New Roman" w:hAnsi="Times New Roman" w:cs="Times New Roman"/>
          <w:sz w:val="24"/>
          <w:lang w:val="ro-RO"/>
        </w:rPr>
      </w:pPr>
    </w:p>
    <w:p w14:paraId="579467FF" w14:textId="77777777" w:rsidR="00D91ABB" w:rsidRPr="009C5F11" w:rsidRDefault="00321CD5" w:rsidP="00D91ABB">
      <w:pPr>
        <w:pStyle w:val="Legend"/>
        <w:keepNext/>
        <w:jc w:val="center"/>
        <w:rPr>
          <w:rFonts w:ascii="Times New Roman" w:hAnsi="Times New Roman" w:cs="Times New Roman"/>
          <w:sz w:val="22"/>
          <w:lang w:val="ro-RO"/>
        </w:rPr>
      </w:pPr>
      <w:bookmarkStart w:id="6" w:name="_Ref319676430"/>
      <w:bookmarkStart w:id="7" w:name="_Toc322013226"/>
      <w:r w:rsidRPr="009C5F11">
        <w:rPr>
          <w:rFonts w:ascii="Times New Roman" w:hAnsi="Times New Roman" w:cs="Times New Roman"/>
          <w:sz w:val="22"/>
          <w:lang w:val="ro-RO"/>
        </w:rPr>
        <w:t>Tabelul</w:t>
      </w:r>
      <w:r w:rsidR="00D91ABB"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D91ABB"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w:t>
      </w:r>
      <w:r w:rsidR="003A6ADB" w:rsidRPr="009C5F11">
        <w:rPr>
          <w:rFonts w:ascii="Times New Roman" w:hAnsi="Times New Roman" w:cs="Times New Roman"/>
          <w:sz w:val="22"/>
          <w:lang w:val="ro-RO"/>
        </w:rPr>
        <w:fldChar w:fldCharType="end"/>
      </w:r>
      <w:bookmarkEnd w:id="6"/>
      <w:r w:rsidR="00D91ABB" w:rsidRPr="009C5F11">
        <w:rPr>
          <w:rFonts w:ascii="Times New Roman" w:hAnsi="Times New Roman" w:cs="Times New Roman"/>
          <w:sz w:val="22"/>
          <w:lang w:val="ro-RO"/>
        </w:rPr>
        <w:t xml:space="preserve"> </w:t>
      </w:r>
      <w:r w:rsidR="00421FA7" w:rsidRPr="009C5F11">
        <w:rPr>
          <w:rFonts w:ascii="Times New Roman" w:hAnsi="Times New Roman" w:cs="Times New Roman"/>
          <w:sz w:val="22"/>
          <w:lang w:val="ro-RO"/>
        </w:rPr>
        <w:t>–</w:t>
      </w:r>
      <w:r w:rsidR="00D91ABB" w:rsidRPr="009C5F11">
        <w:rPr>
          <w:rFonts w:ascii="Times New Roman" w:hAnsi="Times New Roman" w:cs="Times New Roman"/>
          <w:sz w:val="22"/>
          <w:lang w:val="ro-RO"/>
        </w:rPr>
        <w:t xml:space="preserve"> </w:t>
      </w:r>
      <w:r w:rsidR="00421FA7" w:rsidRPr="009C5F11">
        <w:rPr>
          <w:rFonts w:ascii="Times New Roman" w:hAnsi="Times New Roman" w:cs="Times New Roman"/>
          <w:sz w:val="22"/>
          <w:lang w:val="ro-RO"/>
        </w:rPr>
        <w:t xml:space="preserve">Măsurile propuse pentru implementare în perioada </w:t>
      </w:r>
      <w:r w:rsidR="00D91ABB" w:rsidRPr="009C5F11">
        <w:rPr>
          <w:rFonts w:ascii="Times New Roman" w:hAnsi="Times New Roman" w:cs="Times New Roman"/>
          <w:sz w:val="22"/>
          <w:lang w:val="ro-RO"/>
        </w:rPr>
        <w:t>2016-2018</w:t>
      </w:r>
      <w:r w:rsidR="00421FA7" w:rsidRPr="009C5F11">
        <w:rPr>
          <w:rFonts w:ascii="Times New Roman" w:hAnsi="Times New Roman" w:cs="Times New Roman"/>
          <w:sz w:val="22"/>
          <w:lang w:val="ro-RO"/>
        </w:rPr>
        <w:t>.</w:t>
      </w:r>
      <w:bookmarkEnd w:id="7"/>
      <w:r w:rsidR="00D91ABB" w:rsidRPr="009C5F11">
        <w:rPr>
          <w:rFonts w:ascii="Times New Roman" w:hAnsi="Times New Roman" w:cs="Times New Roman"/>
          <w:sz w:val="22"/>
          <w:lang w:val="ro-RO"/>
        </w:rPr>
        <w:t xml:space="preserve">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1"/>
        <w:gridCol w:w="1567"/>
        <w:gridCol w:w="1043"/>
        <w:gridCol w:w="1625"/>
        <w:gridCol w:w="2568"/>
        <w:gridCol w:w="2277"/>
      </w:tblGrid>
      <w:tr w:rsidR="00E02D83" w:rsidRPr="009C5F11" w14:paraId="703C7A31" w14:textId="77777777" w:rsidTr="002E306C">
        <w:trPr>
          <w:trHeight w:val="1027"/>
          <w:tblHeader/>
        </w:trPr>
        <w:tc>
          <w:tcPr>
            <w:tcW w:w="339" w:type="pct"/>
            <w:tcBorders>
              <w:bottom w:val="single" w:sz="4" w:space="0" w:color="4F81BD"/>
            </w:tcBorders>
            <w:shd w:val="clear" w:color="auto" w:fill="000080"/>
            <w:vAlign w:val="center"/>
          </w:tcPr>
          <w:p w14:paraId="73669938" w14:textId="77777777" w:rsidR="00D91ABB" w:rsidRPr="009C5F11" w:rsidRDefault="00421FA7" w:rsidP="00AB5A76">
            <w:pPr>
              <w:spacing w:after="0" w:line="240" w:lineRule="auto"/>
              <w:jc w:val="both"/>
              <w:rPr>
                <w:rFonts w:ascii="Times New Roman" w:hAnsi="Times New Roman" w:cs="Times New Roman"/>
                <w:b/>
                <w:sz w:val="16"/>
                <w:szCs w:val="13"/>
                <w:lang w:val="ro-RO" w:eastAsia="de-DE"/>
              </w:rPr>
            </w:pPr>
            <w:r w:rsidRPr="009C5F11">
              <w:rPr>
                <w:rFonts w:ascii="Times New Roman" w:hAnsi="Times New Roman" w:cs="Times New Roman"/>
                <w:b/>
                <w:sz w:val="16"/>
                <w:szCs w:val="13"/>
                <w:lang w:val="ro-RO" w:eastAsia="de-DE"/>
              </w:rPr>
              <w:t>Nr. de ordine</w:t>
            </w:r>
          </w:p>
        </w:tc>
        <w:tc>
          <w:tcPr>
            <w:tcW w:w="804" w:type="pct"/>
            <w:tcBorders>
              <w:bottom w:val="single" w:sz="4" w:space="0" w:color="4F81BD"/>
            </w:tcBorders>
            <w:shd w:val="clear" w:color="auto" w:fill="000080"/>
            <w:vAlign w:val="center"/>
          </w:tcPr>
          <w:p w14:paraId="4210F5A6" w14:textId="77777777" w:rsidR="00D91ABB" w:rsidRPr="009C5F11" w:rsidRDefault="00421FA7" w:rsidP="00B40DB5">
            <w:pPr>
              <w:spacing w:after="0" w:line="240" w:lineRule="auto"/>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 xml:space="preserve">Denumirea măsurii de implementare a eficienţei </w:t>
            </w:r>
            <w:r w:rsidR="00810470" w:rsidRPr="009C5F11">
              <w:rPr>
                <w:rFonts w:ascii="Times New Roman" w:eastAsia="Calibri" w:hAnsi="Times New Roman" w:cs="Times New Roman"/>
                <w:b/>
                <w:sz w:val="16"/>
                <w:szCs w:val="13"/>
                <w:lang w:val="ro-RO"/>
              </w:rPr>
              <w:t>energetice</w:t>
            </w:r>
            <w:r w:rsidRPr="009C5F11">
              <w:rPr>
                <w:rFonts w:ascii="Times New Roman" w:eastAsia="Calibri" w:hAnsi="Times New Roman" w:cs="Times New Roman"/>
                <w:b/>
                <w:sz w:val="16"/>
                <w:szCs w:val="13"/>
                <w:lang w:val="ro-RO"/>
              </w:rPr>
              <w:t xml:space="preserve"> </w:t>
            </w:r>
          </w:p>
        </w:tc>
        <w:tc>
          <w:tcPr>
            <w:tcW w:w="536" w:type="pct"/>
            <w:tcBorders>
              <w:bottom w:val="single" w:sz="4" w:space="0" w:color="4F81BD"/>
            </w:tcBorders>
            <w:shd w:val="clear" w:color="auto" w:fill="000080"/>
            <w:vAlign w:val="center"/>
          </w:tcPr>
          <w:p w14:paraId="1FACC855" w14:textId="77777777" w:rsidR="00D91ABB" w:rsidRPr="009C5F11" w:rsidRDefault="00DB0059" w:rsidP="00AB5A76">
            <w:pPr>
              <w:spacing w:after="0" w:line="240" w:lineRule="auto"/>
              <w:jc w:val="both"/>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Economiile de energie</w:t>
            </w:r>
            <w:r w:rsidR="00E52940" w:rsidRPr="009C5F11">
              <w:rPr>
                <w:rFonts w:ascii="Times New Roman" w:eastAsia="Calibri" w:hAnsi="Times New Roman" w:cs="Times New Roman"/>
                <w:b/>
                <w:sz w:val="16"/>
                <w:szCs w:val="13"/>
                <w:lang w:val="ro-RO"/>
              </w:rPr>
              <w:t xml:space="preserve"> prevăzute</w:t>
            </w:r>
            <w:r w:rsidR="00321CD5" w:rsidRPr="009C5F11">
              <w:rPr>
                <w:rFonts w:ascii="Times New Roman" w:eastAsia="Calibri" w:hAnsi="Times New Roman" w:cs="Times New Roman"/>
                <w:b/>
                <w:sz w:val="16"/>
                <w:szCs w:val="13"/>
                <w:lang w:val="ro-RO"/>
              </w:rPr>
              <w:t xml:space="preserve"> în </w:t>
            </w:r>
            <w:r w:rsidR="00D91ABB" w:rsidRPr="009C5F11">
              <w:rPr>
                <w:rFonts w:ascii="Times New Roman" w:eastAsia="Calibri" w:hAnsi="Times New Roman" w:cs="Times New Roman"/>
                <w:b/>
                <w:sz w:val="16"/>
                <w:szCs w:val="13"/>
                <w:lang w:val="ro-RO"/>
              </w:rPr>
              <w:t>2020</w:t>
            </w:r>
          </w:p>
          <w:p w14:paraId="428E355A" w14:textId="77777777" w:rsidR="00D91ABB" w:rsidRPr="009C5F11" w:rsidRDefault="00D91ABB" w:rsidP="00AB5A76">
            <w:pPr>
              <w:spacing w:after="0" w:line="240" w:lineRule="auto"/>
              <w:jc w:val="both"/>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w:t>
            </w:r>
            <w:r w:rsidR="00E52940" w:rsidRPr="009C5F11">
              <w:rPr>
                <w:rFonts w:ascii="Times New Roman" w:eastAsia="Calibri" w:hAnsi="Times New Roman" w:cs="Times New Roman"/>
                <w:b/>
                <w:sz w:val="16"/>
                <w:szCs w:val="13"/>
                <w:lang w:val="ro-RO"/>
              </w:rPr>
              <w:t>ktep</w:t>
            </w:r>
            <w:r w:rsidRPr="009C5F11">
              <w:rPr>
                <w:rFonts w:ascii="Times New Roman" w:eastAsia="Calibri" w:hAnsi="Times New Roman" w:cs="Times New Roman"/>
                <w:b/>
                <w:sz w:val="16"/>
                <w:szCs w:val="13"/>
                <w:lang w:val="ro-RO"/>
              </w:rPr>
              <w:t>]</w:t>
            </w:r>
          </w:p>
        </w:tc>
        <w:tc>
          <w:tcPr>
            <w:tcW w:w="834" w:type="pct"/>
            <w:tcBorders>
              <w:bottom w:val="single" w:sz="4" w:space="0" w:color="4F81BD"/>
            </w:tcBorders>
            <w:shd w:val="clear" w:color="auto" w:fill="000080"/>
            <w:vAlign w:val="center"/>
          </w:tcPr>
          <w:p w14:paraId="64A19AAE" w14:textId="77777777" w:rsidR="00D91ABB" w:rsidRPr="009C5F11" w:rsidRDefault="00E52940" w:rsidP="00B40DB5">
            <w:pPr>
              <w:spacing w:after="0" w:line="240" w:lineRule="auto"/>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Organismul de implementare</w:t>
            </w:r>
          </w:p>
        </w:tc>
        <w:tc>
          <w:tcPr>
            <w:tcW w:w="1318" w:type="pct"/>
            <w:tcBorders>
              <w:bottom w:val="single" w:sz="4" w:space="0" w:color="4F81BD"/>
            </w:tcBorders>
            <w:shd w:val="clear" w:color="auto" w:fill="000080"/>
            <w:vAlign w:val="center"/>
          </w:tcPr>
          <w:p w14:paraId="26B7EF03" w14:textId="77777777" w:rsidR="00D91ABB" w:rsidRPr="009C5F11" w:rsidRDefault="00421FA7" w:rsidP="00AB5A76">
            <w:pPr>
              <w:spacing w:after="0" w:line="240" w:lineRule="auto"/>
              <w:jc w:val="center"/>
              <w:rPr>
                <w:rFonts w:ascii="Times New Roman" w:hAnsi="Times New Roman" w:cs="Times New Roman"/>
                <w:b/>
                <w:sz w:val="16"/>
                <w:szCs w:val="13"/>
                <w:lang w:val="ro-RO"/>
              </w:rPr>
            </w:pPr>
            <w:r w:rsidRPr="009C5F11">
              <w:rPr>
                <w:rFonts w:ascii="Times New Roman" w:hAnsi="Times New Roman" w:cs="Times New Roman"/>
                <w:b/>
                <w:sz w:val="16"/>
                <w:szCs w:val="13"/>
                <w:lang w:val="ro-RO"/>
              </w:rPr>
              <w:t xml:space="preserve">Finanţarea necesară în perioada </w:t>
            </w:r>
            <w:r w:rsidR="00D91ABB" w:rsidRPr="009C5F11">
              <w:rPr>
                <w:rFonts w:ascii="Times New Roman" w:hAnsi="Times New Roman" w:cs="Times New Roman"/>
                <w:b/>
                <w:sz w:val="16"/>
                <w:szCs w:val="13"/>
                <w:lang w:val="ro-RO"/>
              </w:rPr>
              <w:t>2016-2018</w:t>
            </w:r>
          </w:p>
          <w:p w14:paraId="79590BD8" w14:textId="77777777" w:rsidR="00D91ABB" w:rsidRPr="009C5F11" w:rsidRDefault="00D91ABB" w:rsidP="00AB5A76">
            <w:pPr>
              <w:spacing w:after="0" w:line="240" w:lineRule="auto"/>
              <w:jc w:val="center"/>
              <w:rPr>
                <w:rFonts w:ascii="Times New Roman" w:eastAsia="Calibri" w:hAnsi="Times New Roman" w:cs="Times New Roman"/>
                <w:b/>
                <w:sz w:val="16"/>
                <w:szCs w:val="13"/>
                <w:lang w:val="ro-RO"/>
              </w:rPr>
            </w:pPr>
          </w:p>
        </w:tc>
        <w:tc>
          <w:tcPr>
            <w:tcW w:w="1168" w:type="pct"/>
            <w:tcBorders>
              <w:bottom w:val="single" w:sz="4" w:space="0" w:color="4F81BD"/>
            </w:tcBorders>
            <w:shd w:val="clear" w:color="auto" w:fill="000080"/>
            <w:vAlign w:val="center"/>
          </w:tcPr>
          <w:p w14:paraId="682861CA" w14:textId="77777777" w:rsidR="00D91ABB" w:rsidRPr="009C5F11" w:rsidRDefault="00E52940" w:rsidP="00AB5A76">
            <w:pPr>
              <w:spacing w:after="0" w:line="240" w:lineRule="auto"/>
              <w:jc w:val="center"/>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Surse de finanţare</w:t>
            </w:r>
          </w:p>
        </w:tc>
      </w:tr>
      <w:tr w:rsidR="00983587" w:rsidRPr="009C5F11" w14:paraId="3EDB7F0B" w14:textId="77777777" w:rsidTr="002E306C">
        <w:trPr>
          <w:trHeight w:val="209"/>
        </w:trPr>
        <w:tc>
          <w:tcPr>
            <w:tcW w:w="5000" w:type="pct"/>
            <w:gridSpan w:val="6"/>
            <w:shd w:val="clear" w:color="auto" w:fill="666666"/>
            <w:vAlign w:val="center"/>
          </w:tcPr>
          <w:p w14:paraId="5B2894A6" w14:textId="77777777" w:rsidR="00983587" w:rsidRPr="009C5F11" w:rsidRDefault="00421FA7" w:rsidP="00983587">
            <w:pPr>
              <w:tabs>
                <w:tab w:val="left" w:pos="1440"/>
                <w:tab w:val="left" w:pos="5040"/>
                <w:tab w:val="right" w:pos="8504"/>
              </w:tabs>
              <w:spacing w:before="40" w:after="0" w:line="240" w:lineRule="auto"/>
              <w:jc w:val="center"/>
              <w:rPr>
                <w:rFonts w:ascii="Times New Roman" w:eastAsia="Verdana" w:hAnsi="Times New Roman" w:cs="Times New Roman"/>
                <w:b/>
                <w:color w:val="FFFFFF" w:themeColor="background1"/>
                <w:sz w:val="16"/>
                <w:szCs w:val="13"/>
                <w:lang w:val="ro-RO" w:eastAsia="de-DE"/>
              </w:rPr>
            </w:pPr>
            <w:r w:rsidRPr="009C5F11">
              <w:rPr>
                <w:rFonts w:ascii="Times New Roman" w:eastAsia="Verdana" w:hAnsi="Times New Roman" w:cs="Times New Roman"/>
                <w:b/>
                <w:color w:val="FFFFFF" w:themeColor="background1"/>
                <w:sz w:val="16"/>
                <w:szCs w:val="13"/>
                <w:lang w:val="ro-RO" w:eastAsia="de-DE"/>
              </w:rPr>
              <w:t>Sectorul energetic</w:t>
            </w:r>
          </w:p>
        </w:tc>
      </w:tr>
      <w:tr w:rsidR="00843742" w:rsidRPr="009C5F11" w14:paraId="75CB4D81" w14:textId="77777777" w:rsidTr="002E306C">
        <w:trPr>
          <w:trHeight w:val="900"/>
        </w:trPr>
        <w:tc>
          <w:tcPr>
            <w:tcW w:w="339" w:type="pct"/>
            <w:vMerge w:val="restart"/>
            <w:vAlign w:val="center"/>
          </w:tcPr>
          <w:p w14:paraId="05A5A191" w14:textId="77777777" w:rsidR="00843742" w:rsidRPr="009C5F11" w:rsidRDefault="00843742" w:rsidP="00AB5A76">
            <w:pPr>
              <w:spacing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E.1</w:t>
            </w:r>
          </w:p>
        </w:tc>
        <w:tc>
          <w:tcPr>
            <w:tcW w:w="804" w:type="pct"/>
            <w:vMerge w:val="restart"/>
            <w:vAlign w:val="center"/>
          </w:tcPr>
          <w:p w14:paraId="3E33DF9D" w14:textId="77777777" w:rsidR="00843742" w:rsidRPr="009C5F11" w:rsidRDefault="008F7BD5" w:rsidP="008F7BD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Programe proprii de eficienţă energetică ale operatorilor de distribuţie/transport a</w:t>
            </w:r>
            <w:r w:rsidR="00792AA6" w:rsidRPr="009C5F11">
              <w:rPr>
                <w:rFonts w:ascii="Times New Roman" w:eastAsia="Calibri" w:hAnsi="Times New Roman" w:cs="Times New Roman"/>
                <w:sz w:val="16"/>
                <w:szCs w:val="13"/>
                <w:lang w:val="ro-RO"/>
              </w:rPr>
              <w:t>l</w:t>
            </w:r>
            <w:r w:rsidRPr="009C5F11">
              <w:rPr>
                <w:rFonts w:ascii="Times New Roman" w:eastAsia="Calibri" w:hAnsi="Times New Roman" w:cs="Times New Roman"/>
                <w:sz w:val="16"/>
                <w:szCs w:val="13"/>
                <w:lang w:val="ro-RO"/>
              </w:rPr>
              <w:t xml:space="preserve"> energiei electrice </w:t>
            </w:r>
          </w:p>
        </w:tc>
        <w:tc>
          <w:tcPr>
            <w:tcW w:w="536" w:type="pct"/>
            <w:vMerge w:val="restart"/>
            <w:vAlign w:val="center"/>
          </w:tcPr>
          <w:p w14:paraId="67165CC1" w14:textId="77777777" w:rsidR="00B32218" w:rsidRPr="009C5F11" w:rsidRDefault="00B32218" w:rsidP="00AB5A76">
            <w:pPr>
              <w:spacing w:line="240" w:lineRule="auto"/>
              <w:jc w:val="both"/>
              <w:rPr>
                <w:rFonts w:ascii="Times New Roman" w:eastAsia="Calibri" w:hAnsi="Times New Roman" w:cs="Times New Roman"/>
                <w:sz w:val="16"/>
                <w:szCs w:val="13"/>
                <w:lang w:val="ro-RO"/>
              </w:rPr>
            </w:pPr>
          </w:p>
          <w:p w14:paraId="5FF14655" w14:textId="77777777" w:rsidR="00843742" w:rsidRPr="009C5F11" w:rsidRDefault="00B32218"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12,76 </w:t>
            </w:r>
          </w:p>
        </w:tc>
        <w:tc>
          <w:tcPr>
            <w:tcW w:w="834" w:type="pct"/>
            <w:vMerge w:val="restart"/>
            <w:vAlign w:val="center"/>
          </w:tcPr>
          <w:p w14:paraId="46240C23" w14:textId="77777777" w:rsidR="00843742" w:rsidRPr="009C5F11" w:rsidRDefault="008F7BD5" w:rsidP="00421FA7">
            <w:pPr>
              <w:tabs>
                <w:tab w:val="left" w:pos="1440"/>
                <w:tab w:val="left" w:pos="5040"/>
                <w:tab w:val="right" w:pos="8504"/>
              </w:tabs>
              <w:spacing w:after="0" w:line="288" w:lineRule="auto"/>
              <w:jc w:val="both"/>
              <w:rPr>
                <w:rFonts w:ascii="Times New Roman" w:eastAsia="Calibri" w:hAnsi="Times New Roman" w:cs="Times New Roman"/>
                <w:sz w:val="16"/>
                <w:szCs w:val="13"/>
                <w:lang w:val="ro-RO"/>
              </w:rPr>
            </w:pPr>
            <w:r w:rsidRPr="009C5F11">
              <w:rPr>
                <w:rFonts w:ascii="Times New Roman" w:eastAsia="Verdana" w:hAnsi="Times New Roman" w:cs="Times New Roman"/>
                <w:sz w:val="16"/>
                <w:szCs w:val="13"/>
                <w:lang w:val="ro-RO" w:eastAsia="de-DE"/>
              </w:rPr>
              <w:t>Operatorii reţelei electrice</w:t>
            </w:r>
            <w:r w:rsidR="00AB5A76" w:rsidRPr="009C5F11">
              <w:rPr>
                <w:rFonts w:ascii="Times New Roman" w:eastAsia="Verdana" w:hAnsi="Times New Roman" w:cs="Times New Roman"/>
                <w:sz w:val="16"/>
                <w:szCs w:val="13"/>
                <w:lang w:val="ro-RO" w:eastAsia="de-DE"/>
              </w:rPr>
              <w:t xml:space="preserve"> (</w:t>
            </w:r>
            <w:r w:rsidRPr="009C5F11">
              <w:rPr>
                <w:rFonts w:ascii="Times New Roman" w:eastAsia="Verdana" w:hAnsi="Times New Roman" w:cs="Times New Roman"/>
                <w:sz w:val="16"/>
                <w:szCs w:val="13"/>
                <w:lang w:val="ro-RO" w:eastAsia="de-DE"/>
              </w:rPr>
              <w:t>distribuţie</w:t>
            </w:r>
            <w:r w:rsidR="00843742" w:rsidRPr="009C5F11">
              <w:rPr>
                <w:rFonts w:ascii="Times New Roman" w:eastAsia="Verdana" w:hAnsi="Times New Roman" w:cs="Times New Roman"/>
                <w:sz w:val="16"/>
                <w:szCs w:val="13"/>
                <w:lang w:val="ro-RO" w:eastAsia="de-DE"/>
              </w:rPr>
              <w:t>/</w:t>
            </w:r>
            <w:r w:rsidRPr="009C5F11">
              <w:rPr>
                <w:rFonts w:ascii="Times New Roman" w:eastAsia="Verdana" w:hAnsi="Times New Roman" w:cs="Times New Roman"/>
                <w:sz w:val="16"/>
                <w:szCs w:val="13"/>
                <w:lang w:val="ro-RO" w:eastAsia="de-DE"/>
              </w:rPr>
              <w:t>transport</w:t>
            </w:r>
            <w:r w:rsidR="00AB5A76" w:rsidRPr="009C5F11">
              <w:rPr>
                <w:rFonts w:ascii="Times New Roman" w:eastAsia="Verdana" w:hAnsi="Times New Roman" w:cs="Times New Roman"/>
                <w:sz w:val="16"/>
                <w:szCs w:val="13"/>
                <w:lang w:val="ro-RO" w:eastAsia="de-DE"/>
              </w:rPr>
              <w:t xml:space="preserve">), </w:t>
            </w:r>
            <w:r w:rsidR="00843742" w:rsidRPr="009C5F11">
              <w:rPr>
                <w:rFonts w:ascii="Times New Roman" w:eastAsia="Verdana" w:hAnsi="Times New Roman" w:cs="Times New Roman"/>
                <w:sz w:val="16"/>
                <w:szCs w:val="13"/>
                <w:lang w:val="ro-RO" w:eastAsia="de-DE"/>
              </w:rPr>
              <w:t>ME</w:t>
            </w:r>
          </w:p>
        </w:tc>
        <w:tc>
          <w:tcPr>
            <w:tcW w:w="1318" w:type="pct"/>
            <w:vAlign w:val="center"/>
          </w:tcPr>
          <w:p w14:paraId="6FF26BB6" w14:textId="77777777" w:rsidR="00ED1560" w:rsidRPr="009C5F11" w:rsidRDefault="00ED1560" w:rsidP="00ED1560">
            <w:pPr>
              <w:spacing w:after="0" w:line="240" w:lineRule="auto"/>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 xml:space="preserve">2016-2018 </w:t>
            </w:r>
          </w:p>
          <w:p w14:paraId="421B0C85" w14:textId="77777777" w:rsidR="00ED1560" w:rsidRPr="009C5F11" w:rsidRDefault="00ED1560" w:rsidP="00ED1560">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2016: 19,426 </w:t>
            </w:r>
            <w:r w:rsidR="00AA0566" w:rsidRPr="009C5F11">
              <w:rPr>
                <w:rFonts w:ascii="Times New Roman" w:eastAsia="Calibri" w:hAnsi="Times New Roman" w:cs="Times New Roman"/>
                <w:sz w:val="16"/>
                <w:szCs w:val="13"/>
                <w:lang w:val="ro-RO"/>
              </w:rPr>
              <w:t>mii lei</w:t>
            </w:r>
          </w:p>
          <w:p w14:paraId="22BC1745" w14:textId="77777777" w:rsidR="00ED1560" w:rsidRPr="009C5F11" w:rsidRDefault="00ED1560" w:rsidP="00ED1560">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2017: 24,946.6</w:t>
            </w:r>
            <w:r w:rsidR="00A868D6" w:rsidRPr="009C5F11">
              <w:rPr>
                <w:rFonts w:ascii="Times New Roman" w:eastAsia="Calibri" w:hAnsi="Times New Roman" w:cs="Times New Roman"/>
                <w:sz w:val="16"/>
                <w:szCs w:val="13"/>
                <w:lang w:val="ro-RO"/>
              </w:rPr>
              <w:t xml:space="preserve"> </w:t>
            </w:r>
            <w:r w:rsidR="00AA0566" w:rsidRPr="009C5F11">
              <w:rPr>
                <w:rFonts w:ascii="Times New Roman" w:eastAsia="Calibri" w:hAnsi="Times New Roman" w:cs="Times New Roman"/>
                <w:sz w:val="16"/>
                <w:szCs w:val="13"/>
                <w:lang w:val="ro-RO"/>
              </w:rPr>
              <w:t>mii lei</w:t>
            </w:r>
          </w:p>
          <w:p w14:paraId="24D57A73" w14:textId="77777777" w:rsidR="00843742" w:rsidRPr="009C5F11" w:rsidRDefault="00ED1560" w:rsidP="00ED1560">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2018: 25,862.7</w:t>
            </w:r>
            <w:r w:rsidR="00A868D6" w:rsidRPr="009C5F11">
              <w:rPr>
                <w:rFonts w:ascii="Times New Roman" w:eastAsia="Calibri" w:hAnsi="Times New Roman" w:cs="Times New Roman"/>
                <w:sz w:val="16"/>
                <w:szCs w:val="13"/>
                <w:lang w:val="ro-RO"/>
              </w:rPr>
              <w:t xml:space="preserve"> </w:t>
            </w:r>
            <w:r w:rsidR="00AA0566" w:rsidRPr="009C5F11">
              <w:rPr>
                <w:rFonts w:ascii="Times New Roman" w:eastAsia="Calibri" w:hAnsi="Times New Roman" w:cs="Times New Roman"/>
                <w:sz w:val="16"/>
                <w:szCs w:val="13"/>
                <w:lang w:val="ro-RO"/>
              </w:rPr>
              <w:t>mii lei</w:t>
            </w:r>
          </w:p>
        </w:tc>
        <w:tc>
          <w:tcPr>
            <w:tcW w:w="1168" w:type="pct"/>
            <w:vAlign w:val="center"/>
          </w:tcPr>
          <w:p w14:paraId="2CC75316" w14:textId="77777777" w:rsidR="00843742" w:rsidRPr="009C5F11" w:rsidRDefault="00792AA6"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843742" w:rsidRPr="009C5F11">
              <w:rPr>
                <w:rFonts w:ascii="Times New Roman" w:eastAsia="Verdana" w:hAnsi="Times New Roman" w:cs="Times New Roman"/>
                <w:sz w:val="16"/>
                <w:szCs w:val="13"/>
                <w:lang w:val="ro-RO" w:eastAsia="de-DE"/>
              </w:rPr>
              <w:t>, (</w:t>
            </w:r>
            <w:r w:rsidR="00421FA7" w:rsidRPr="009C5F11">
              <w:rPr>
                <w:rFonts w:ascii="Times New Roman" w:eastAsia="Verdana" w:hAnsi="Times New Roman" w:cs="Times New Roman"/>
                <w:sz w:val="16"/>
                <w:szCs w:val="13"/>
                <w:lang w:val="ro-RO" w:eastAsia="de-DE"/>
              </w:rPr>
              <w:t>Programul</w:t>
            </w:r>
            <w:r w:rsidR="00843742"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Dezvoltarea s</w:t>
            </w:r>
            <w:r w:rsidR="00AA0566" w:rsidRPr="009C5F11">
              <w:rPr>
                <w:rFonts w:ascii="Times New Roman" w:eastAsia="Verdana" w:hAnsi="Times New Roman" w:cs="Times New Roman"/>
                <w:sz w:val="16"/>
                <w:szCs w:val="13"/>
                <w:lang w:val="ro-RO" w:eastAsia="de-DE"/>
              </w:rPr>
              <w:t>ectorul</w:t>
            </w:r>
            <w:r w:rsidR="00421FA7" w:rsidRPr="009C5F11">
              <w:rPr>
                <w:rFonts w:ascii="Times New Roman" w:eastAsia="Verdana" w:hAnsi="Times New Roman" w:cs="Times New Roman"/>
                <w:sz w:val="16"/>
                <w:szCs w:val="13"/>
                <w:lang w:val="ro-RO" w:eastAsia="de-DE"/>
              </w:rPr>
              <w:t>ui</w:t>
            </w:r>
            <w:r w:rsidR="00AA0566" w:rsidRPr="009C5F11">
              <w:rPr>
                <w:rFonts w:ascii="Times New Roman" w:eastAsia="Verdana" w:hAnsi="Times New Roman" w:cs="Times New Roman"/>
                <w:sz w:val="16"/>
                <w:szCs w:val="13"/>
                <w:lang w:val="ro-RO" w:eastAsia="de-DE"/>
              </w:rPr>
              <w:t xml:space="preserve"> energetic</w:t>
            </w:r>
            <w:r w:rsidR="00843742"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subprogramul</w:t>
            </w:r>
            <w:r w:rsidR="00843742" w:rsidRPr="009C5F11">
              <w:rPr>
                <w:rFonts w:ascii="Times New Roman" w:eastAsia="Verdana" w:hAnsi="Times New Roman" w:cs="Times New Roman"/>
                <w:sz w:val="16"/>
                <w:szCs w:val="13"/>
                <w:lang w:val="ro-RO" w:eastAsia="de-DE"/>
              </w:rPr>
              <w:t xml:space="preserve"> “Poli</w:t>
            </w:r>
            <w:r w:rsidR="00421FA7" w:rsidRPr="009C5F11">
              <w:rPr>
                <w:rFonts w:ascii="Times New Roman" w:eastAsia="Verdana" w:hAnsi="Times New Roman" w:cs="Times New Roman"/>
                <w:sz w:val="16"/>
                <w:szCs w:val="13"/>
                <w:lang w:val="ro-RO" w:eastAsia="de-DE"/>
              </w:rPr>
              <w:t>tici</w:t>
            </w:r>
            <w:r w:rsidR="00321CD5" w:rsidRPr="009C5F11">
              <w:rPr>
                <w:rFonts w:ascii="Times New Roman" w:eastAsia="Verdana" w:hAnsi="Times New Roman" w:cs="Times New Roman"/>
                <w:sz w:val="16"/>
                <w:szCs w:val="13"/>
                <w:lang w:val="ro-RO" w:eastAsia="de-DE"/>
              </w:rPr>
              <w:t xml:space="preserve"> şi </w:t>
            </w:r>
            <w:r w:rsidR="00843742" w:rsidRPr="009C5F11">
              <w:rPr>
                <w:rFonts w:ascii="Times New Roman" w:eastAsia="Verdana" w:hAnsi="Times New Roman" w:cs="Times New Roman"/>
                <w:sz w:val="16"/>
                <w:szCs w:val="13"/>
                <w:lang w:val="ro-RO" w:eastAsia="de-DE"/>
              </w:rPr>
              <w:t>management</w:t>
            </w:r>
            <w:r w:rsidR="00321CD5" w:rsidRPr="009C5F11">
              <w:rPr>
                <w:rFonts w:ascii="Times New Roman" w:eastAsia="Verdana" w:hAnsi="Times New Roman" w:cs="Times New Roman"/>
                <w:sz w:val="16"/>
                <w:szCs w:val="13"/>
                <w:lang w:val="ro-RO" w:eastAsia="de-DE"/>
              </w:rPr>
              <w:t xml:space="preserve"> în </w:t>
            </w:r>
            <w:r w:rsidR="00421FA7" w:rsidRPr="009C5F11">
              <w:rPr>
                <w:rFonts w:ascii="Times New Roman" w:eastAsia="Verdana" w:hAnsi="Times New Roman" w:cs="Times New Roman"/>
                <w:sz w:val="16"/>
                <w:szCs w:val="13"/>
                <w:lang w:val="ro-RO" w:eastAsia="de-DE"/>
              </w:rPr>
              <w:t>sectorul energetic</w:t>
            </w:r>
            <w:r w:rsidR="00843742" w:rsidRPr="009C5F11">
              <w:rPr>
                <w:rFonts w:ascii="Times New Roman" w:eastAsia="Verdana" w:hAnsi="Times New Roman" w:cs="Times New Roman"/>
                <w:sz w:val="16"/>
                <w:szCs w:val="13"/>
                <w:lang w:val="ro-RO" w:eastAsia="de-DE"/>
              </w:rPr>
              <w:t>”)</w:t>
            </w:r>
            <w:r w:rsidR="00FD5F1C" w:rsidRPr="009C5F11">
              <w:rPr>
                <w:rFonts w:ascii="Times New Roman" w:eastAsia="Verdana" w:hAnsi="Times New Roman" w:cs="Times New Roman"/>
                <w:sz w:val="16"/>
                <w:szCs w:val="13"/>
                <w:lang w:val="ro-RO" w:eastAsia="de-DE"/>
              </w:rPr>
              <w:t>.</w:t>
            </w:r>
            <w:r w:rsidR="00843742" w:rsidRPr="009C5F11">
              <w:rPr>
                <w:rFonts w:ascii="Times New Roman" w:eastAsia="Verdana" w:hAnsi="Times New Roman" w:cs="Times New Roman"/>
                <w:sz w:val="16"/>
                <w:szCs w:val="13"/>
                <w:lang w:val="ro-RO" w:eastAsia="de-DE"/>
              </w:rPr>
              <w:t xml:space="preserve"> </w:t>
            </w:r>
          </w:p>
        </w:tc>
      </w:tr>
      <w:tr w:rsidR="00843742" w:rsidRPr="009C5F11" w14:paraId="4FB22DE2" w14:textId="77777777" w:rsidTr="002E306C">
        <w:trPr>
          <w:trHeight w:val="986"/>
        </w:trPr>
        <w:tc>
          <w:tcPr>
            <w:tcW w:w="339" w:type="pct"/>
            <w:vMerge/>
            <w:vAlign w:val="center"/>
          </w:tcPr>
          <w:p w14:paraId="136937E4" w14:textId="77777777" w:rsidR="00843742" w:rsidRPr="009C5F11" w:rsidRDefault="00843742" w:rsidP="00AB5A76">
            <w:pPr>
              <w:spacing w:line="240" w:lineRule="auto"/>
              <w:jc w:val="both"/>
              <w:rPr>
                <w:rFonts w:ascii="Times New Roman" w:hAnsi="Times New Roman" w:cs="Times New Roman"/>
                <w:sz w:val="16"/>
                <w:szCs w:val="13"/>
                <w:lang w:val="ro-RO" w:eastAsia="de-DE"/>
              </w:rPr>
            </w:pPr>
          </w:p>
        </w:tc>
        <w:tc>
          <w:tcPr>
            <w:tcW w:w="804" w:type="pct"/>
            <w:vMerge/>
            <w:vAlign w:val="center"/>
          </w:tcPr>
          <w:p w14:paraId="4691DA34" w14:textId="77777777" w:rsidR="00843742" w:rsidRPr="009C5F11" w:rsidRDefault="00843742" w:rsidP="00AB5A76">
            <w:pPr>
              <w:spacing w:after="0" w:line="240" w:lineRule="auto"/>
              <w:rPr>
                <w:rFonts w:ascii="Times New Roman" w:eastAsia="Calibri" w:hAnsi="Times New Roman" w:cs="Times New Roman"/>
                <w:sz w:val="16"/>
                <w:szCs w:val="13"/>
                <w:lang w:val="ro-RO"/>
              </w:rPr>
            </w:pPr>
          </w:p>
        </w:tc>
        <w:tc>
          <w:tcPr>
            <w:tcW w:w="536" w:type="pct"/>
            <w:vMerge/>
            <w:vAlign w:val="center"/>
          </w:tcPr>
          <w:p w14:paraId="646CD574" w14:textId="77777777" w:rsidR="00843742" w:rsidRPr="009C5F11" w:rsidRDefault="00843742" w:rsidP="00AB5A76">
            <w:pPr>
              <w:spacing w:line="240" w:lineRule="auto"/>
              <w:jc w:val="both"/>
              <w:rPr>
                <w:rFonts w:ascii="Times New Roman" w:eastAsia="Calibri" w:hAnsi="Times New Roman" w:cs="Times New Roman"/>
                <w:sz w:val="16"/>
                <w:szCs w:val="13"/>
                <w:lang w:val="ro-RO"/>
              </w:rPr>
            </w:pPr>
          </w:p>
        </w:tc>
        <w:tc>
          <w:tcPr>
            <w:tcW w:w="834" w:type="pct"/>
            <w:vMerge/>
            <w:vAlign w:val="center"/>
          </w:tcPr>
          <w:p w14:paraId="3E45B7CE" w14:textId="77777777" w:rsidR="00843742" w:rsidRPr="009C5F11" w:rsidRDefault="00843742" w:rsidP="00AB5A76">
            <w:pPr>
              <w:tabs>
                <w:tab w:val="left" w:pos="1440"/>
                <w:tab w:val="left" w:pos="5040"/>
                <w:tab w:val="right" w:pos="8504"/>
              </w:tabs>
              <w:spacing w:after="0" w:line="288" w:lineRule="auto"/>
              <w:jc w:val="both"/>
              <w:rPr>
                <w:rFonts w:ascii="Times New Roman" w:eastAsia="Verdana" w:hAnsi="Times New Roman" w:cs="Times New Roman"/>
                <w:sz w:val="16"/>
                <w:szCs w:val="13"/>
                <w:lang w:val="ro-RO" w:eastAsia="de-DE"/>
              </w:rPr>
            </w:pPr>
          </w:p>
        </w:tc>
        <w:tc>
          <w:tcPr>
            <w:tcW w:w="1318" w:type="pct"/>
            <w:vAlign w:val="center"/>
          </w:tcPr>
          <w:p w14:paraId="13A92C8F" w14:textId="77777777" w:rsidR="007E18E3" w:rsidRPr="009C5F11" w:rsidRDefault="007E18E3" w:rsidP="007E18E3">
            <w:pPr>
              <w:spacing w:after="0" w:line="240" w:lineRule="auto"/>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2016-2017</w:t>
            </w:r>
          </w:p>
          <w:p w14:paraId="5C1F31CE" w14:textId="77777777" w:rsidR="00A868D6" w:rsidRPr="009C5F11" w:rsidRDefault="00A868D6" w:rsidP="00A868D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2016: 260,877.0</w:t>
            </w:r>
            <w:r w:rsidR="005521F8" w:rsidRPr="009C5F11">
              <w:rPr>
                <w:rFonts w:ascii="Times New Roman" w:eastAsia="Calibri" w:hAnsi="Times New Roman" w:cs="Times New Roman"/>
                <w:sz w:val="16"/>
                <w:szCs w:val="13"/>
                <w:lang w:val="ro-RO"/>
              </w:rPr>
              <w:t xml:space="preserve"> </w:t>
            </w:r>
            <w:r w:rsidR="00AA0566" w:rsidRPr="009C5F11">
              <w:rPr>
                <w:rFonts w:ascii="Times New Roman" w:eastAsia="Calibri" w:hAnsi="Times New Roman" w:cs="Times New Roman"/>
                <w:sz w:val="16"/>
                <w:szCs w:val="13"/>
                <w:lang w:val="ro-RO"/>
              </w:rPr>
              <w:t>mii lei</w:t>
            </w:r>
          </w:p>
          <w:p w14:paraId="33C68D18" w14:textId="77777777" w:rsidR="00A868D6" w:rsidRPr="009C5F11" w:rsidRDefault="00D15DBD" w:rsidP="00D15DBD">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2017: 225,020.8</w:t>
            </w:r>
            <w:r w:rsidR="005521F8" w:rsidRPr="009C5F11">
              <w:rPr>
                <w:rFonts w:ascii="Times New Roman" w:eastAsia="Calibri" w:hAnsi="Times New Roman" w:cs="Times New Roman"/>
                <w:sz w:val="16"/>
                <w:szCs w:val="13"/>
                <w:lang w:val="ro-RO"/>
              </w:rPr>
              <w:t xml:space="preserve"> </w:t>
            </w:r>
            <w:r w:rsidR="00AA0566" w:rsidRPr="009C5F11">
              <w:rPr>
                <w:rFonts w:ascii="Times New Roman" w:eastAsia="Calibri" w:hAnsi="Times New Roman" w:cs="Times New Roman"/>
                <w:sz w:val="16"/>
                <w:szCs w:val="13"/>
                <w:lang w:val="ro-RO"/>
              </w:rPr>
              <w:t>mii lei</w:t>
            </w:r>
          </w:p>
        </w:tc>
        <w:tc>
          <w:tcPr>
            <w:tcW w:w="1168" w:type="pct"/>
            <w:vAlign w:val="center"/>
          </w:tcPr>
          <w:p w14:paraId="631FA2B7" w14:textId="77777777" w:rsidR="00843742" w:rsidRPr="009C5F11" w:rsidRDefault="00792AA6"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D15DBD" w:rsidRPr="009C5F11">
              <w:rPr>
                <w:rFonts w:ascii="Times New Roman" w:eastAsia="Verdana" w:hAnsi="Times New Roman" w:cs="Times New Roman"/>
                <w:sz w:val="16"/>
                <w:szCs w:val="13"/>
                <w:lang w:val="ro-RO" w:eastAsia="de-DE"/>
              </w:rPr>
              <w:t xml:space="preserve"> 2016-2018, (</w:t>
            </w:r>
            <w:r w:rsidR="00421FA7" w:rsidRPr="009C5F11">
              <w:rPr>
                <w:rFonts w:ascii="Times New Roman" w:eastAsia="Verdana" w:hAnsi="Times New Roman" w:cs="Times New Roman"/>
                <w:sz w:val="16"/>
                <w:szCs w:val="13"/>
                <w:lang w:val="ro-RO" w:eastAsia="de-DE"/>
              </w:rPr>
              <w:t>Programul</w:t>
            </w:r>
            <w:r w:rsidR="00D15DBD"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Dezvoltarea sectorului energetic</w:t>
            </w:r>
            <w:r w:rsidR="00D15DBD"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subprogramul</w:t>
            </w:r>
            <w:r w:rsidR="00D15DBD" w:rsidRPr="009C5F11">
              <w:rPr>
                <w:rFonts w:ascii="Times New Roman" w:eastAsia="Verdana" w:hAnsi="Times New Roman" w:cs="Times New Roman"/>
                <w:sz w:val="16"/>
                <w:szCs w:val="13"/>
                <w:lang w:val="ro-RO" w:eastAsia="de-DE"/>
              </w:rPr>
              <w:t xml:space="preserve"> III “</w:t>
            </w:r>
            <w:r w:rsidR="008F7BD5" w:rsidRPr="009C5F11">
              <w:rPr>
                <w:rFonts w:ascii="Times New Roman" w:eastAsia="Verdana" w:hAnsi="Times New Roman" w:cs="Times New Roman"/>
                <w:sz w:val="16"/>
                <w:szCs w:val="13"/>
                <w:lang w:val="ro-RO" w:eastAsia="de-DE"/>
              </w:rPr>
              <w:t>Dezvoltarea sectorului electroenergetic</w:t>
            </w:r>
            <w:r w:rsidR="00D15DBD"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acţiunea</w:t>
            </w:r>
            <w:r w:rsidR="00D15DBD" w:rsidRPr="009C5F11">
              <w:rPr>
                <w:rFonts w:ascii="Times New Roman" w:eastAsia="Verdana" w:hAnsi="Times New Roman" w:cs="Times New Roman"/>
                <w:sz w:val="16"/>
                <w:szCs w:val="13"/>
                <w:lang w:val="ro-RO" w:eastAsia="de-DE"/>
              </w:rPr>
              <w:t>: ”</w:t>
            </w:r>
            <w:r w:rsidRPr="009C5F11">
              <w:rPr>
                <w:rFonts w:ascii="Times New Roman" w:eastAsia="Verdana" w:hAnsi="Times New Roman" w:cs="Times New Roman"/>
                <w:sz w:val="16"/>
                <w:szCs w:val="13"/>
                <w:lang w:val="ro-RO" w:eastAsia="de-DE"/>
              </w:rPr>
              <w:t>R</w:t>
            </w:r>
            <w:r w:rsidR="008F7BD5" w:rsidRPr="009C5F11">
              <w:rPr>
                <w:rFonts w:ascii="Times New Roman" w:eastAsia="Verdana" w:hAnsi="Times New Roman" w:cs="Times New Roman"/>
                <w:sz w:val="16"/>
                <w:szCs w:val="13"/>
                <w:lang w:val="ro-RO" w:eastAsia="de-DE"/>
              </w:rPr>
              <w:t xml:space="preserve">eabilitarea reţelelor </w:t>
            </w:r>
            <w:r w:rsidR="008F7BD5" w:rsidRPr="009C5F11">
              <w:rPr>
                <w:rFonts w:ascii="Times New Roman" w:eastAsia="Verdana" w:hAnsi="Times New Roman" w:cs="Times New Roman"/>
                <w:sz w:val="16"/>
                <w:szCs w:val="13"/>
                <w:lang w:val="ro-RO" w:eastAsia="de-DE"/>
              </w:rPr>
              <w:lastRenderedPageBreak/>
              <w:t>de transport al energiei electrice</w:t>
            </w:r>
            <w:r w:rsidR="00D15DBD" w:rsidRPr="009C5F11">
              <w:rPr>
                <w:rFonts w:ascii="Times New Roman" w:eastAsia="Verdana" w:hAnsi="Times New Roman" w:cs="Times New Roman"/>
                <w:sz w:val="16"/>
                <w:szCs w:val="13"/>
                <w:lang w:val="ro-RO" w:eastAsia="de-DE"/>
              </w:rPr>
              <w:t>”</w:t>
            </w:r>
            <w:r w:rsidR="00FD5F1C" w:rsidRPr="009C5F11">
              <w:rPr>
                <w:rFonts w:ascii="Times New Roman" w:eastAsia="Verdana" w:hAnsi="Times New Roman" w:cs="Times New Roman"/>
                <w:sz w:val="16"/>
                <w:szCs w:val="13"/>
                <w:lang w:val="ro-RO" w:eastAsia="de-DE"/>
              </w:rPr>
              <w:t>.</w:t>
            </w:r>
            <w:r w:rsidR="00D15DBD" w:rsidRPr="009C5F11">
              <w:rPr>
                <w:rFonts w:ascii="Times New Roman" w:eastAsia="Verdana" w:hAnsi="Times New Roman" w:cs="Times New Roman"/>
                <w:sz w:val="16"/>
                <w:szCs w:val="13"/>
                <w:lang w:val="ro-RO" w:eastAsia="de-DE"/>
              </w:rPr>
              <w:t xml:space="preserve"> </w:t>
            </w:r>
          </w:p>
        </w:tc>
      </w:tr>
      <w:tr w:rsidR="00843742" w:rsidRPr="009C5F11" w14:paraId="7398FB62" w14:textId="77777777" w:rsidTr="002E306C">
        <w:trPr>
          <w:trHeight w:val="1408"/>
        </w:trPr>
        <w:tc>
          <w:tcPr>
            <w:tcW w:w="339" w:type="pct"/>
            <w:vMerge/>
            <w:vAlign w:val="center"/>
          </w:tcPr>
          <w:p w14:paraId="0197040F" w14:textId="77777777" w:rsidR="00843742" w:rsidRPr="009C5F11" w:rsidRDefault="00843742" w:rsidP="00AB5A76">
            <w:pPr>
              <w:spacing w:line="240" w:lineRule="auto"/>
              <w:jc w:val="both"/>
              <w:rPr>
                <w:rFonts w:ascii="Times New Roman" w:hAnsi="Times New Roman" w:cs="Times New Roman"/>
                <w:sz w:val="16"/>
                <w:szCs w:val="13"/>
                <w:lang w:val="ro-RO" w:eastAsia="de-DE"/>
              </w:rPr>
            </w:pPr>
          </w:p>
        </w:tc>
        <w:tc>
          <w:tcPr>
            <w:tcW w:w="804" w:type="pct"/>
            <w:vMerge/>
            <w:vAlign w:val="center"/>
          </w:tcPr>
          <w:p w14:paraId="19835578" w14:textId="77777777" w:rsidR="00843742" w:rsidRPr="009C5F11" w:rsidRDefault="00843742" w:rsidP="00AB5A76">
            <w:pPr>
              <w:spacing w:after="0" w:line="240" w:lineRule="auto"/>
              <w:rPr>
                <w:rFonts w:ascii="Times New Roman" w:eastAsia="Calibri" w:hAnsi="Times New Roman" w:cs="Times New Roman"/>
                <w:sz w:val="16"/>
                <w:szCs w:val="13"/>
                <w:lang w:val="ro-RO"/>
              </w:rPr>
            </w:pPr>
          </w:p>
        </w:tc>
        <w:tc>
          <w:tcPr>
            <w:tcW w:w="536" w:type="pct"/>
            <w:vMerge/>
            <w:vAlign w:val="center"/>
          </w:tcPr>
          <w:p w14:paraId="5E72A1E7" w14:textId="77777777" w:rsidR="00843742" w:rsidRPr="009C5F11" w:rsidRDefault="00843742" w:rsidP="00AB5A76">
            <w:pPr>
              <w:spacing w:line="240" w:lineRule="auto"/>
              <w:jc w:val="both"/>
              <w:rPr>
                <w:rFonts w:ascii="Times New Roman" w:eastAsia="Calibri" w:hAnsi="Times New Roman" w:cs="Times New Roman"/>
                <w:sz w:val="16"/>
                <w:szCs w:val="13"/>
                <w:lang w:val="ro-RO"/>
              </w:rPr>
            </w:pPr>
          </w:p>
        </w:tc>
        <w:tc>
          <w:tcPr>
            <w:tcW w:w="834" w:type="pct"/>
            <w:vMerge/>
            <w:vAlign w:val="center"/>
          </w:tcPr>
          <w:p w14:paraId="6EBA00EE" w14:textId="77777777" w:rsidR="00843742" w:rsidRPr="009C5F11" w:rsidRDefault="00843742" w:rsidP="00AB5A76">
            <w:pPr>
              <w:tabs>
                <w:tab w:val="left" w:pos="1440"/>
                <w:tab w:val="left" w:pos="5040"/>
                <w:tab w:val="right" w:pos="8504"/>
              </w:tabs>
              <w:spacing w:after="0" w:line="288" w:lineRule="auto"/>
              <w:jc w:val="both"/>
              <w:rPr>
                <w:rFonts w:ascii="Times New Roman" w:eastAsia="Verdana" w:hAnsi="Times New Roman" w:cs="Times New Roman"/>
                <w:sz w:val="16"/>
                <w:szCs w:val="13"/>
                <w:lang w:val="ro-RO" w:eastAsia="de-DE"/>
              </w:rPr>
            </w:pPr>
          </w:p>
        </w:tc>
        <w:tc>
          <w:tcPr>
            <w:tcW w:w="1318" w:type="pct"/>
            <w:vAlign w:val="center"/>
          </w:tcPr>
          <w:p w14:paraId="70C2A318" w14:textId="77777777" w:rsidR="007E18E3" w:rsidRPr="009C5F11" w:rsidRDefault="007E18E3" w:rsidP="00564357">
            <w:pPr>
              <w:spacing w:after="0" w:line="240" w:lineRule="auto"/>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2016-2017</w:t>
            </w:r>
          </w:p>
          <w:p w14:paraId="75F7BAA3" w14:textId="77777777" w:rsidR="00564357" w:rsidRPr="009C5F11" w:rsidRDefault="00564357" w:rsidP="00564357">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2016: </w:t>
            </w:r>
            <w:r w:rsidR="00BA35B5" w:rsidRPr="009C5F11">
              <w:rPr>
                <w:rFonts w:ascii="Times New Roman" w:eastAsia="Calibri" w:hAnsi="Times New Roman" w:cs="Times New Roman"/>
                <w:sz w:val="16"/>
                <w:szCs w:val="13"/>
                <w:lang w:val="ro-RO"/>
              </w:rPr>
              <w:t>154,402</w:t>
            </w:r>
            <w:r w:rsidRPr="009C5F11">
              <w:rPr>
                <w:rFonts w:ascii="Times New Roman" w:eastAsia="Calibri" w:hAnsi="Times New Roman" w:cs="Times New Roman"/>
                <w:sz w:val="16"/>
                <w:szCs w:val="13"/>
                <w:lang w:val="ro-RO"/>
              </w:rPr>
              <w:t xml:space="preserve"> </w:t>
            </w:r>
            <w:r w:rsidR="00AA0566" w:rsidRPr="009C5F11">
              <w:rPr>
                <w:rFonts w:ascii="Times New Roman" w:eastAsia="Calibri" w:hAnsi="Times New Roman" w:cs="Times New Roman"/>
                <w:sz w:val="16"/>
                <w:szCs w:val="13"/>
                <w:lang w:val="ro-RO"/>
              </w:rPr>
              <w:t>mii lei</w:t>
            </w:r>
            <w:r w:rsidRPr="009C5F11">
              <w:rPr>
                <w:rFonts w:ascii="Times New Roman" w:eastAsia="Calibri" w:hAnsi="Times New Roman" w:cs="Times New Roman"/>
                <w:sz w:val="16"/>
                <w:szCs w:val="13"/>
                <w:lang w:val="ro-RO"/>
              </w:rPr>
              <w:t xml:space="preserve"> </w:t>
            </w:r>
          </w:p>
          <w:p w14:paraId="3BC00736" w14:textId="77777777" w:rsidR="00564357" w:rsidRPr="009C5F11" w:rsidRDefault="00564357" w:rsidP="00564357">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2017: 224,814.8 </w:t>
            </w:r>
            <w:r w:rsidR="00AA0566" w:rsidRPr="009C5F11">
              <w:rPr>
                <w:rFonts w:ascii="Times New Roman" w:eastAsia="Calibri" w:hAnsi="Times New Roman" w:cs="Times New Roman"/>
                <w:sz w:val="16"/>
                <w:szCs w:val="13"/>
                <w:lang w:val="ro-RO"/>
              </w:rPr>
              <w:t>mii lei</w:t>
            </w:r>
          </w:p>
        </w:tc>
        <w:tc>
          <w:tcPr>
            <w:tcW w:w="1168" w:type="pct"/>
            <w:vAlign w:val="center"/>
          </w:tcPr>
          <w:p w14:paraId="50E1702B" w14:textId="77777777" w:rsidR="00843742" w:rsidRPr="009C5F11" w:rsidRDefault="00792AA6"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843742" w:rsidRPr="009C5F11">
              <w:rPr>
                <w:rFonts w:ascii="Times New Roman" w:eastAsia="Verdana" w:hAnsi="Times New Roman" w:cs="Times New Roman"/>
                <w:sz w:val="16"/>
                <w:szCs w:val="13"/>
                <w:lang w:val="ro-RO" w:eastAsia="de-DE"/>
              </w:rPr>
              <w:t xml:space="preserve"> 2015-2017 (</w:t>
            </w:r>
            <w:r w:rsidR="00421FA7" w:rsidRPr="009C5F11">
              <w:rPr>
                <w:rFonts w:ascii="Times New Roman" w:eastAsia="Verdana" w:hAnsi="Times New Roman" w:cs="Times New Roman"/>
                <w:sz w:val="16"/>
                <w:szCs w:val="13"/>
                <w:lang w:val="ro-RO" w:eastAsia="de-DE"/>
              </w:rPr>
              <w:t>Programul</w:t>
            </w:r>
            <w:r w:rsidR="00843742" w:rsidRPr="009C5F11">
              <w:rPr>
                <w:rFonts w:ascii="Times New Roman" w:eastAsia="Verdana" w:hAnsi="Times New Roman" w:cs="Times New Roman"/>
                <w:sz w:val="16"/>
                <w:szCs w:val="13"/>
                <w:lang w:val="ro-RO" w:eastAsia="de-DE"/>
              </w:rPr>
              <w:t xml:space="preserve"> 5800 “</w:t>
            </w:r>
            <w:r w:rsidR="00421FA7" w:rsidRPr="009C5F11">
              <w:rPr>
                <w:rFonts w:ascii="Times New Roman" w:eastAsia="Verdana" w:hAnsi="Times New Roman" w:cs="Times New Roman"/>
                <w:sz w:val="16"/>
                <w:szCs w:val="13"/>
                <w:lang w:val="ro-RO" w:eastAsia="de-DE"/>
              </w:rPr>
              <w:t>Dezvoltarea sectorului energetic</w:t>
            </w:r>
            <w:r w:rsidR="00843742"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subprogramul</w:t>
            </w:r>
            <w:r w:rsidR="00843742" w:rsidRPr="009C5F11">
              <w:rPr>
                <w:rFonts w:ascii="Times New Roman" w:eastAsia="Verdana" w:hAnsi="Times New Roman" w:cs="Times New Roman"/>
                <w:sz w:val="16"/>
                <w:szCs w:val="13"/>
                <w:lang w:val="ro-RO" w:eastAsia="de-DE"/>
              </w:rPr>
              <w:t xml:space="preserve"> 58.03 “</w:t>
            </w:r>
            <w:r w:rsidR="008F7BD5" w:rsidRPr="009C5F11">
              <w:rPr>
                <w:rFonts w:ascii="Times New Roman" w:eastAsia="Verdana" w:hAnsi="Times New Roman" w:cs="Times New Roman"/>
                <w:sz w:val="16"/>
                <w:szCs w:val="13"/>
                <w:lang w:val="ro-RO" w:eastAsia="de-DE"/>
              </w:rPr>
              <w:t>Reţele electrice</w:t>
            </w:r>
            <w:r w:rsidR="00843742"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acţiunea</w:t>
            </w:r>
            <w:r w:rsidR="00843742"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Implementarea</w:t>
            </w:r>
            <w:r w:rsidR="00843742"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Programul</w:t>
            </w:r>
            <w:r w:rsidR="008F7BD5" w:rsidRPr="009C5F11">
              <w:rPr>
                <w:rFonts w:ascii="Times New Roman" w:eastAsia="Verdana" w:hAnsi="Times New Roman" w:cs="Times New Roman"/>
                <w:sz w:val="16"/>
                <w:szCs w:val="13"/>
                <w:lang w:val="ro-RO" w:eastAsia="de-DE"/>
              </w:rPr>
              <w:t>ui</w:t>
            </w:r>
            <w:r w:rsidR="00843742"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 xml:space="preserve">de </w:t>
            </w:r>
            <w:r w:rsidR="00843742" w:rsidRPr="009C5F11">
              <w:rPr>
                <w:rFonts w:ascii="Times New Roman" w:eastAsia="Verdana" w:hAnsi="Times New Roman" w:cs="Times New Roman"/>
                <w:sz w:val="16"/>
                <w:szCs w:val="13"/>
                <w:lang w:val="ro-RO" w:eastAsia="de-DE"/>
              </w:rPr>
              <w:t>reabilita</w:t>
            </w:r>
            <w:r w:rsidR="008F7BD5" w:rsidRPr="009C5F11">
              <w:rPr>
                <w:rFonts w:ascii="Times New Roman" w:eastAsia="Verdana" w:hAnsi="Times New Roman" w:cs="Times New Roman"/>
                <w:sz w:val="16"/>
                <w:szCs w:val="13"/>
                <w:lang w:val="ro-RO" w:eastAsia="de-DE"/>
              </w:rPr>
              <w:t>re a</w:t>
            </w:r>
            <w:r w:rsidR="00843742"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reţelelor de transport al energiei electrice</w:t>
            </w:r>
            <w:r w:rsidR="00843742" w:rsidRPr="009C5F11">
              <w:rPr>
                <w:rFonts w:ascii="Times New Roman" w:eastAsia="Verdana" w:hAnsi="Times New Roman" w:cs="Times New Roman"/>
                <w:sz w:val="16"/>
                <w:szCs w:val="13"/>
                <w:lang w:val="ro-RO" w:eastAsia="de-DE"/>
              </w:rPr>
              <w:t>” (</w:t>
            </w:r>
            <w:r w:rsidR="00AA0566" w:rsidRPr="009C5F11">
              <w:rPr>
                <w:rFonts w:ascii="Times New Roman" w:eastAsia="Verdana" w:hAnsi="Times New Roman" w:cs="Times New Roman"/>
                <w:sz w:val="16"/>
                <w:szCs w:val="13"/>
                <w:lang w:val="ro-RO" w:eastAsia="de-DE"/>
              </w:rPr>
              <w:t>BERD</w:t>
            </w:r>
            <w:r w:rsidR="00843742" w:rsidRPr="009C5F11">
              <w:rPr>
                <w:rFonts w:ascii="Times New Roman" w:eastAsia="Verdana" w:hAnsi="Times New Roman" w:cs="Times New Roman"/>
                <w:sz w:val="16"/>
                <w:szCs w:val="13"/>
                <w:lang w:val="ro-RO" w:eastAsia="de-DE"/>
              </w:rPr>
              <w:t>,</w:t>
            </w:r>
            <w:r w:rsidR="00507630"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BEI</w:t>
            </w:r>
            <w:r w:rsidR="00843742"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UE</w:t>
            </w:r>
            <w:r w:rsidR="00843742" w:rsidRPr="009C5F11">
              <w:rPr>
                <w:rFonts w:ascii="Times New Roman" w:eastAsia="Verdana" w:hAnsi="Times New Roman" w:cs="Times New Roman"/>
                <w:sz w:val="16"/>
                <w:szCs w:val="13"/>
                <w:lang w:val="ro-RO" w:eastAsia="de-DE"/>
              </w:rPr>
              <w:t>)</w:t>
            </w:r>
            <w:r w:rsidR="008F7BD5" w:rsidRPr="009C5F11">
              <w:rPr>
                <w:rFonts w:ascii="Times New Roman" w:eastAsia="Verdana" w:hAnsi="Times New Roman" w:cs="Times New Roman"/>
                <w:sz w:val="16"/>
                <w:szCs w:val="13"/>
                <w:lang w:val="ro-RO" w:eastAsia="de-DE"/>
              </w:rPr>
              <w:t>.</w:t>
            </w:r>
          </w:p>
        </w:tc>
      </w:tr>
      <w:tr w:rsidR="00E02D83" w:rsidRPr="009C5F11" w14:paraId="56BA5610" w14:textId="77777777" w:rsidTr="002E306C">
        <w:trPr>
          <w:trHeight w:val="307"/>
        </w:trPr>
        <w:tc>
          <w:tcPr>
            <w:tcW w:w="339" w:type="pct"/>
            <w:vAlign w:val="center"/>
          </w:tcPr>
          <w:p w14:paraId="4EF0CFAB" w14:textId="77777777" w:rsidR="00D91ABB" w:rsidRPr="009C5F11" w:rsidRDefault="00D91ABB" w:rsidP="00E16B6D">
            <w:pPr>
              <w:spacing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E.2</w:t>
            </w:r>
          </w:p>
        </w:tc>
        <w:tc>
          <w:tcPr>
            <w:tcW w:w="804" w:type="pct"/>
            <w:vAlign w:val="center"/>
          </w:tcPr>
          <w:p w14:paraId="075BB0B6" w14:textId="77777777" w:rsidR="00D91ABB" w:rsidRPr="009C5F11" w:rsidRDefault="008F7BD5" w:rsidP="008F7BD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Îmbunătăţirea contorizării şi facturării consumului de gaze naturale prin </w:t>
            </w:r>
            <w:r w:rsidR="00532A33" w:rsidRPr="009C5F11">
              <w:rPr>
                <w:rFonts w:ascii="Times New Roman" w:eastAsia="Calibri" w:hAnsi="Times New Roman" w:cs="Times New Roman"/>
                <w:sz w:val="16"/>
                <w:szCs w:val="13"/>
                <w:lang w:val="ro-RO"/>
              </w:rPr>
              <w:t>implementarea</w:t>
            </w:r>
            <w:r w:rsidR="00D91ABB"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tehnologiilor de ultimă oră</w:t>
            </w:r>
            <w:r w:rsidR="00D91ABB" w:rsidRPr="009C5F11">
              <w:rPr>
                <w:rFonts w:ascii="Times New Roman" w:eastAsia="Calibri" w:hAnsi="Times New Roman" w:cs="Times New Roman"/>
                <w:sz w:val="16"/>
                <w:szCs w:val="13"/>
                <w:lang w:val="ro-RO"/>
              </w:rPr>
              <w:t>.</w:t>
            </w:r>
          </w:p>
        </w:tc>
        <w:tc>
          <w:tcPr>
            <w:tcW w:w="536" w:type="pct"/>
            <w:vAlign w:val="center"/>
          </w:tcPr>
          <w:p w14:paraId="6396E492" w14:textId="77777777" w:rsidR="00D91ABB" w:rsidRPr="009C5F11" w:rsidRDefault="00D91ABB" w:rsidP="00E16B6D">
            <w:pPr>
              <w:spacing w:line="240" w:lineRule="auto"/>
              <w:jc w:val="both"/>
              <w:rPr>
                <w:rFonts w:ascii="Times New Roman" w:eastAsia="Calibri" w:hAnsi="Times New Roman" w:cs="Times New Roman"/>
                <w:sz w:val="16"/>
                <w:szCs w:val="13"/>
                <w:lang w:val="ro-RO"/>
              </w:rPr>
            </w:pPr>
            <w:r w:rsidRPr="009C5F11">
              <w:rPr>
                <w:rFonts w:ascii="Times New Roman" w:hAnsi="Times New Roman" w:cs="Times New Roman"/>
                <w:b/>
                <w:sz w:val="16"/>
                <w:szCs w:val="13"/>
                <w:lang w:val="ro-RO" w:eastAsia="de-DE"/>
              </w:rPr>
              <w:t>26.36</w:t>
            </w:r>
          </w:p>
        </w:tc>
        <w:tc>
          <w:tcPr>
            <w:tcW w:w="834" w:type="pct"/>
            <w:vAlign w:val="center"/>
          </w:tcPr>
          <w:p w14:paraId="2ECBA68F" w14:textId="77777777" w:rsidR="00D91ABB" w:rsidRPr="009C5F11" w:rsidRDefault="00AA0566" w:rsidP="00E16B6D">
            <w:pPr>
              <w:spacing w:after="0"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AEE</w:t>
            </w:r>
          </w:p>
          <w:p w14:paraId="55C1768B" w14:textId="77777777" w:rsidR="00D91ABB" w:rsidRPr="009C5F11" w:rsidRDefault="00421FA7" w:rsidP="00E16B6D">
            <w:pPr>
              <w:spacing w:after="0"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ME</w:t>
            </w:r>
          </w:p>
          <w:p w14:paraId="79ED8DFB" w14:textId="77777777" w:rsidR="00D91ABB" w:rsidRPr="009C5F11" w:rsidRDefault="00D91ABB" w:rsidP="00E16B6D">
            <w:pPr>
              <w:spacing w:after="0"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ANRE</w:t>
            </w:r>
          </w:p>
        </w:tc>
        <w:tc>
          <w:tcPr>
            <w:tcW w:w="1318" w:type="pct"/>
            <w:vAlign w:val="center"/>
          </w:tcPr>
          <w:p w14:paraId="296CCE12" w14:textId="77777777" w:rsidR="00302BBF" w:rsidRPr="009C5F11" w:rsidRDefault="00302BBF" w:rsidP="00302BBF">
            <w:pPr>
              <w:spacing w:after="0" w:line="240" w:lineRule="auto"/>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 xml:space="preserve">2016-2018 </w:t>
            </w:r>
          </w:p>
          <w:p w14:paraId="4E2A53FE" w14:textId="77777777" w:rsidR="00D91ABB" w:rsidRPr="009C5F11" w:rsidRDefault="00D91ABB" w:rsidP="0018375D">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2016:138,205 </w:t>
            </w:r>
            <w:r w:rsidR="00AA0566" w:rsidRPr="009C5F11">
              <w:rPr>
                <w:rFonts w:ascii="Times New Roman" w:eastAsia="Calibri" w:hAnsi="Times New Roman" w:cs="Times New Roman"/>
                <w:sz w:val="16"/>
                <w:szCs w:val="13"/>
                <w:lang w:val="ro-RO"/>
              </w:rPr>
              <w:t>mii lei</w:t>
            </w:r>
          </w:p>
          <w:p w14:paraId="48E50DBE" w14:textId="77777777" w:rsidR="00D91ABB" w:rsidRPr="009C5F11" w:rsidRDefault="00D91ABB" w:rsidP="0018375D">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2017: 598,600 </w:t>
            </w:r>
            <w:r w:rsidR="00AA0566" w:rsidRPr="009C5F11">
              <w:rPr>
                <w:rFonts w:ascii="Times New Roman" w:eastAsia="Calibri" w:hAnsi="Times New Roman" w:cs="Times New Roman"/>
                <w:sz w:val="16"/>
                <w:szCs w:val="13"/>
                <w:lang w:val="ro-RO"/>
              </w:rPr>
              <w:t>mii lei</w:t>
            </w:r>
          </w:p>
          <w:p w14:paraId="164CFD08" w14:textId="77777777" w:rsidR="00D91ABB" w:rsidRPr="009C5F11" w:rsidRDefault="00D91ABB" w:rsidP="0018375D">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2018:624,500 </w:t>
            </w:r>
            <w:r w:rsidR="00AA0566" w:rsidRPr="009C5F11">
              <w:rPr>
                <w:rFonts w:ascii="Times New Roman" w:eastAsia="Calibri" w:hAnsi="Times New Roman" w:cs="Times New Roman"/>
                <w:sz w:val="16"/>
                <w:szCs w:val="13"/>
                <w:lang w:val="ro-RO"/>
              </w:rPr>
              <w:t>mii lei</w:t>
            </w:r>
          </w:p>
        </w:tc>
        <w:tc>
          <w:tcPr>
            <w:tcW w:w="1168" w:type="pct"/>
            <w:vAlign w:val="center"/>
          </w:tcPr>
          <w:p w14:paraId="2293C891" w14:textId="77777777" w:rsidR="00D91ABB" w:rsidRPr="009C5F11" w:rsidRDefault="00421FA7"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Sursa principală</w:t>
            </w:r>
            <w:r w:rsidR="00D91ABB"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tarifele aprobate de</w:t>
            </w:r>
            <w:r w:rsidR="00D91ABB" w:rsidRPr="009C5F11">
              <w:rPr>
                <w:rFonts w:ascii="Times New Roman" w:eastAsia="Verdana" w:hAnsi="Times New Roman" w:cs="Times New Roman"/>
                <w:sz w:val="16"/>
                <w:szCs w:val="13"/>
                <w:lang w:val="ro-RO" w:eastAsia="de-DE"/>
              </w:rPr>
              <w:t xml:space="preserve"> ANRE</w:t>
            </w:r>
            <w:r w:rsidR="008F7BD5" w:rsidRPr="009C5F11">
              <w:rPr>
                <w:rFonts w:ascii="Times New Roman" w:eastAsia="Verdana" w:hAnsi="Times New Roman" w:cs="Times New Roman"/>
                <w:sz w:val="16"/>
                <w:szCs w:val="13"/>
                <w:lang w:val="ro-RO" w:eastAsia="de-DE"/>
              </w:rPr>
              <w:t>.</w:t>
            </w:r>
          </w:p>
          <w:p w14:paraId="1A82200B" w14:textId="77777777" w:rsidR="00D91ABB" w:rsidRPr="009C5F11" w:rsidRDefault="00792AA6"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D91ABB" w:rsidRPr="009C5F11">
              <w:rPr>
                <w:rFonts w:ascii="Times New Roman" w:eastAsia="Verdana" w:hAnsi="Times New Roman" w:cs="Times New Roman"/>
                <w:sz w:val="16"/>
                <w:szCs w:val="13"/>
                <w:lang w:val="ro-RO" w:eastAsia="de-DE"/>
              </w:rPr>
              <w:t xml:space="preserve"> 2014-2016 (</w:t>
            </w:r>
            <w:r w:rsidR="00421FA7" w:rsidRPr="009C5F11">
              <w:rPr>
                <w:rFonts w:ascii="Times New Roman" w:eastAsia="Verdana" w:hAnsi="Times New Roman" w:cs="Times New Roman"/>
                <w:sz w:val="16"/>
                <w:szCs w:val="13"/>
                <w:lang w:val="ro-RO" w:eastAsia="de-DE"/>
              </w:rPr>
              <w:t>Programul</w:t>
            </w:r>
            <w:r w:rsidR="00D91ABB"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Dezvoltarea sectorului energetic</w:t>
            </w:r>
            <w:r w:rsidR="00D91ABB"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subprogramul</w:t>
            </w:r>
            <w:r w:rsidR="00D91ABB" w:rsidRPr="009C5F11">
              <w:rPr>
                <w:rFonts w:ascii="Times New Roman" w:eastAsia="Verdana" w:hAnsi="Times New Roman" w:cs="Times New Roman"/>
                <w:sz w:val="16"/>
                <w:szCs w:val="13"/>
                <w:lang w:val="ro-RO" w:eastAsia="de-DE"/>
              </w:rPr>
              <w:t xml:space="preserve"> II “</w:t>
            </w:r>
            <w:r w:rsidR="008F7BD5" w:rsidRPr="009C5F11">
              <w:rPr>
                <w:rFonts w:ascii="Times New Roman" w:eastAsia="Verdana" w:hAnsi="Times New Roman" w:cs="Times New Roman"/>
                <w:sz w:val="16"/>
                <w:szCs w:val="13"/>
                <w:lang w:val="ro-RO" w:eastAsia="de-DE"/>
              </w:rPr>
              <w:t>Reţele şi conducte de gaze naturale</w:t>
            </w:r>
            <w:r w:rsidR="00211462"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acţiunile</w:t>
            </w:r>
            <w:r w:rsidR="00417222" w:rsidRPr="009C5F11">
              <w:rPr>
                <w:rFonts w:ascii="Times New Roman" w:eastAsia="Verdana" w:hAnsi="Times New Roman" w:cs="Times New Roman"/>
                <w:sz w:val="16"/>
                <w:szCs w:val="13"/>
                <w:lang w:val="ro-RO" w:eastAsia="de-DE"/>
              </w:rPr>
              <w:t>:</w:t>
            </w:r>
            <w:r w:rsidR="0018375D" w:rsidRPr="009C5F11">
              <w:rPr>
                <w:rFonts w:ascii="Times New Roman" w:eastAsia="Verdana" w:hAnsi="Times New Roman" w:cs="Times New Roman"/>
                <w:sz w:val="16"/>
                <w:szCs w:val="13"/>
                <w:lang w:val="ro-RO" w:eastAsia="de-DE"/>
              </w:rPr>
              <w:t xml:space="preserve"> </w:t>
            </w:r>
            <w:r w:rsidR="00D91ABB" w:rsidRPr="009C5F11">
              <w:rPr>
                <w:rFonts w:ascii="Times New Roman" w:eastAsia="Verdana" w:hAnsi="Times New Roman" w:cs="Times New Roman"/>
                <w:sz w:val="16"/>
                <w:szCs w:val="13"/>
                <w:lang w:val="ro-RO" w:eastAsia="de-DE"/>
              </w:rPr>
              <w:t>”Intercon</w:t>
            </w:r>
            <w:r w:rsidRPr="009C5F11">
              <w:rPr>
                <w:rFonts w:ascii="Times New Roman" w:eastAsia="Verdana" w:hAnsi="Times New Roman" w:cs="Times New Roman"/>
                <w:sz w:val="16"/>
                <w:szCs w:val="13"/>
                <w:lang w:val="ro-RO" w:eastAsia="de-DE"/>
              </w:rPr>
              <w:t>exiunea</w:t>
            </w:r>
            <w:r w:rsidR="008F7BD5" w:rsidRPr="009C5F11">
              <w:rPr>
                <w:rFonts w:ascii="Times New Roman" w:eastAsia="Verdana" w:hAnsi="Times New Roman" w:cs="Times New Roman"/>
                <w:sz w:val="16"/>
                <w:szCs w:val="13"/>
                <w:lang w:val="ro-RO" w:eastAsia="de-DE"/>
              </w:rPr>
              <w:t xml:space="preserve"> </w:t>
            </w:r>
            <w:r w:rsidR="00DB0059" w:rsidRPr="009C5F11">
              <w:rPr>
                <w:rFonts w:ascii="Times New Roman" w:eastAsia="Verdana" w:hAnsi="Times New Roman" w:cs="Times New Roman"/>
                <w:sz w:val="16"/>
                <w:szCs w:val="13"/>
                <w:lang w:val="ro-RO" w:eastAsia="de-DE"/>
              </w:rPr>
              <w:t>conductei</w:t>
            </w:r>
            <w:r w:rsidR="008F7BD5" w:rsidRPr="009C5F11">
              <w:rPr>
                <w:rFonts w:ascii="Times New Roman" w:eastAsia="Verdana" w:hAnsi="Times New Roman" w:cs="Times New Roman"/>
                <w:sz w:val="16"/>
                <w:szCs w:val="13"/>
                <w:lang w:val="ro-RO" w:eastAsia="de-DE"/>
              </w:rPr>
              <w:t xml:space="preserve"> </w:t>
            </w:r>
            <w:r w:rsidR="00D91ABB" w:rsidRPr="009C5F11">
              <w:rPr>
                <w:rFonts w:ascii="Times New Roman" w:eastAsia="Verdana" w:hAnsi="Times New Roman" w:cs="Times New Roman"/>
                <w:sz w:val="16"/>
                <w:szCs w:val="13"/>
                <w:lang w:val="ro-RO" w:eastAsia="de-DE"/>
              </w:rPr>
              <w:t>Ungheni-</w:t>
            </w:r>
            <w:r w:rsidR="008F7BD5" w:rsidRPr="009C5F11">
              <w:rPr>
                <w:rFonts w:ascii="Times New Roman" w:eastAsia="Verdana" w:hAnsi="Times New Roman" w:cs="Times New Roman"/>
                <w:sz w:val="16"/>
                <w:szCs w:val="13"/>
                <w:lang w:val="ro-RO" w:eastAsia="de-DE"/>
              </w:rPr>
              <w:t>Iaşi</w:t>
            </w:r>
            <w:r w:rsidR="00D91ABB" w:rsidRPr="009C5F11">
              <w:rPr>
                <w:rFonts w:ascii="Times New Roman" w:eastAsia="Verdana" w:hAnsi="Times New Roman" w:cs="Times New Roman"/>
                <w:sz w:val="16"/>
                <w:szCs w:val="13"/>
                <w:lang w:val="ro-RO" w:eastAsia="de-DE"/>
              </w:rPr>
              <w:t>” finali</w:t>
            </w:r>
            <w:r w:rsidR="008F7BD5" w:rsidRPr="009C5F11">
              <w:rPr>
                <w:rFonts w:ascii="Times New Roman" w:eastAsia="Verdana" w:hAnsi="Times New Roman" w:cs="Times New Roman"/>
                <w:sz w:val="16"/>
                <w:szCs w:val="13"/>
                <w:lang w:val="ro-RO" w:eastAsia="de-DE"/>
              </w:rPr>
              <w:t>zată</w:t>
            </w:r>
            <w:r w:rsidR="00D91ABB"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staţie de contorizare pentru conductă.</w:t>
            </w:r>
          </w:p>
          <w:p w14:paraId="0D1416C6" w14:textId="77777777" w:rsidR="00D91ABB" w:rsidRPr="009C5F11" w:rsidRDefault="00792AA6" w:rsidP="00B40DB5">
            <w:pPr>
              <w:tabs>
                <w:tab w:val="left" w:pos="1440"/>
                <w:tab w:val="left" w:pos="5040"/>
                <w:tab w:val="right" w:pos="8504"/>
              </w:tabs>
              <w:spacing w:before="40" w:after="0" w:line="240" w:lineRule="auto"/>
              <w:rPr>
                <w:rFonts w:ascii="Times New Roman" w:hAnsi="Times New Roman" w:cs="Times New Roman"/>
                <w:sz w:val="16"/>
                <w:szCs w:val="13"/>
                <w:lang w:val="ro-RO"/>
              </w:rPr>
            </w:pPr>
            <w:r w:rsidRPr="009C5F11">
              <w:rPr>
                <w:rFonts w:ascii="Times New Roman" w:eastAsia="Verdana" w:hAnsi="Times New Roman" w:cs="Times New Roman"/>
                <w:sz w:val="16"/>
                <w:szCs w:val="13"/>
                <w:lang w:val="ro-RO" w:eastAsia="de-DE"/>
              </w:rPr>
              <w:t>Strategia sectorială de cheltuieli în domeniul energetic</w:t>
            </w:r>
            <w:r w:rsidR="00D91ABB" w:rsidRPr="009C5F11">
              <w:rPr>
                <w:rFonts w:ascii="Times New Roman" w:eastAsia="Verdana" w:hAnsi="Times New Roman" w:cs="Times New Roman"/>
                <w:sz w:val="16"/>
                <w:szCs w:val="13"/>
                <w:lang w:val="ro-RO" w:eastAsia="de-DE"/>
              </w:rPr>
              <w:t xml:space="preserve"> 2016-2018 (</w:t>
            </w:r>
            <w:r w:rsidR="00421FA7" w:rsidRPr="009C5F11">
              <w:rPr>
                <w:rFonts w:ascii="Times New Roman" w:eastAsia="Verdana" w:hAnsi="Times New Roman" w:cs="Times New Roman"/>
                <w:sz w:val="16"/>
                <w:szCs w:val="13"/>
                <w:lang w:val="ro-RO" w:eastAsia="de-DE"/>
              </w:rPr>
              <w:t>Programul</w:t>
            </w:r>
            <w:r w:rsidR="00D91ABB"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Dezvoltarea sectorului energetic</w:t>
            </w:r>
            <w:r w:rsidR="00D91ABB"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subprogramul</w:t>
            </w:r>
            <w:r w:rsidR="00D91ABB" w:rsidRPr="009C5F11">
              <w:rPr>
                <w:rFonts w:ascii="Times New Roman" w:eastAsia="Verdana" w:hAnsi="Times New Roman" w:cs="Times New Roman"/>
                <w:sz w:val="16"/>
                <w:szCs w:val="13"/>
                <w:lang w:val="ro-RO" w:eastAsia="de-DE"/>
              </w:rPr>
              <w:t xml:space="preserve"> III “</w:t>
            </w:r>
            <w:r w:rsidR="008F7BD5" w:rsidRPr="009C5F11">
              <w:rPr>
                <w:rFonts w:ascii="Times New Roman" w:eastAsia="Verdana" w:hAnsi="Times New Roman" w:cs="Times New Roman"/>
                <w:sz w:val="16"/>
                <w:szCs w:val="13"/>
                <w:lang w:val="ro-RO" w:eastAsia="de-DE"/>
              </w:rPr>
              <w:t>Dezvoltarea sistemului intern pentru aprovizionarea cu gaze naturale</w:t>
            </w:r>
            <w:r w:rsidR="00D91ABB" w:rsidRPr="009C5F11">
              <w:rPr>
                <w:rFonts w:ascii="Times New Roman" w:eastAsia="Verdana" w:hAnsi="Times New Roman" w:cs="Times New Roman"/>
                <w:sz w:val="16"/>
                <w:szCs w:val="13"/>
                <w:lang w:val="ro-RO" w:eastAsia="de-DE"/>
              </w:rPr>
              <w:t>”)</w:t>
            </w:r>
            <w:r w:rsidR="008F7BD5" w:rsidRPr="009C5F11">
              <w:rPr>
                <w:rFonts w:ascii="Times New Roman" w:eastAsia="Verdana" w:hAnsi="Times New Roman" w:cs="Times New Roman"/>
                <w:sz w:val="16"/>
                <w:szCs w:val="13"/>
                <w:lang w:val="ro-RO" w:eastAsia="de-DE"/>
              </w:rPr>
              <w:t>.</w:t>
            </w:r>
            <w:r w:rsidR="00D91ABB" w:rsidRPr="009C5F11">
              <w:rPr>
                <w:rFonts w:ascii="Times New Roman" w:hAnsi="Times New Roman" w:cs="Times New Roman"/>
                <w:sz w:val="16"/>
                <w:szCs w:val="13"/>
                <w:lang w:val="ro-RO"/>
              </w:rPr>
              <w:t xml:space="preserve"> </w:t>
            </w:r>
          </w:p>
        </w:tc>
      </w:tr>
      <w:tr w:rsidR="00E02D83" w:rsidRPr="009C5F11" w14:paraId="1A0CC7FA" w14:textId="77777777" w:rsidTr="002E306C">
        <w:trPr>
          <w:trHeight w:val="577"/>
        </w:trPr>
        <w:tc>
          <w:tcPr>
            <w:tcW w:w="339" w:type="pct"/>
            <w:vAlign w:val="center"/>
          </w:tcPr>
          <w:p w14:paraId="45847D21" w14:textId="77777777" w:rsidR="00D91ABB" w:rsidRPr="009C5F11" w:rsidRDefault="00D91ABB" w:rsidP="00AB5A76">
            <w:pPr>
              <w:spacing w:after="0"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E.3</w:t>
            </w:r>
          </w:p>
        </w:tc>
        <w:tc>
          <w:tcPr>
            <w:tcW w:w="804" w:type="pct"/>
            <w:vAlign w:val="center"/>
          </w:tcPr>
          <w:p w14:paraId="06C12240" w14:textId="77777777" w:rsidR="00D91ABB" w:rsidRPr="009C5F11" w:rsidRDefault="008F7BD5" w:rsidP="008F7BD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Îmbunătăţirea contorizării şi facturării consumului de energie termică prin implementarea tehnologiilor de ultimă oră.</w:t>
            </w:r>
          </w:p>
        </w:tc>
        <w:tc>
          <w:tcPr>
            <w:tcW w:w="536" w:type="pct"/>
            <w:vAlign w:val="center"/>
          </w:tcPr>
          <w:p w14:paraId="3A4B9AC3" w14:textId="77777777" w:rsidR="00D91ABB" w:rsidRPr="009C5F11" w:rsidRDefault="000D2EDD" w:rsidP="00B40DB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N/A</w:t>
            </w:r>
          </w:p>
        </w:tc>
        <w:tc>
          <w:tcPr>
            <w:tcW w:w="834" w:type="pct"/>
            <w:vAlign w:val="center"/>
          </w:tcPr>
          <w:p w14:paraId="017CF672" w14:textId="77777777" w:rsidR="00D91ABB" w:rsidRPr="009C5F11" w:rsidRDefault="00421FA7" w:rsidP="00AB5A76">
            <w:pPr>
              <w:spacing w:after="0"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ME</w:t>
            </w:r>
            <w:r w:rsidR="00D91ABB"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Furnizorii</w:t>
            </w:r>
          </w:p>
        </w:tc>
        <w:tc>
          <w:tcPr>
            <w:tcW w:w="1318" w:type="pct"/>
            <w:vAlign w:val="center"/>
          </w:tcPr>
          <w:p w14:paraId="32073175" w14:textId="77777777" w:rsidR="00D91ABB" w:rsidRPr="009C5F11" w:rsidRDefault="00D91ABB" w:rsidP="00AB5A76">
            <w:pPr>
              <w:spacing w:after="0" w:line="240" w:lineRule="auto"/>
              <w:jc w:val="both"/>
              <w:rPr>
                <w:rFonts w:ascii="Times New Roman" w:eastAsia="Calibri" w:hAnsi="Times New Roman" w:cs="Times New Roman"/>
                <w:sz w:val="16"/>
                <w:szCs w:val="13"/>
                <w:lang w:val="ro-RO"/>
              </w:rPr>
            </w:pPr>
          </w:p>
        </w:tc>
        <w:tc>
          <w:tcPr>
            <w:tcW w:w="1168" w:type="pct"/>
            <w:vAlign w:val="center"/>
          </w:tcPr>
          <w:p w14:paraId="59011844" w14:textId="77777777" w:rsidR="00D91ABB" w:rsidRPr="009C5F11" w:rsidRDefault="00421FA7" w:rsidP="00421FA7">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Bugetul </w:t>
            </w:r>
            <w:r w:rsidR="00BA35B5" w:rsidRPr="009C5F11">
              <w:rPr>
                <w:rFonts w:ascii="Times New Roman" w:eastAsia="Verdana" w:hAnsi="Times New Roman" w:cs="Times New Roman"/>
                <w:sz w:val="16"/>
                <w:szCs w:val="13"/>
                <w:lang w:val="ro-RO" w:eastAsia="de-DE"/>
              </w:rPr>
              <w:t xml:space="preserve">propriu al </w:t>
            </w:r>
            <w:r w:rsidRPr="009C5F11">
              <w:rPr>
                <w:rFonts w:ascii="Times New Roman" w:eastAsia="Verdana" w:hAnsi="Times New Roman" w:cs="Times New Roman"/>
                <w:sz w:val="16"/>
                <w:szCs w:val="13"/>
                <w:lang w:val="ro-RO" w:eastAsia="de-DE"/>
              </w:rPr>
              <w:t>furnizorilor</w:t>
            </w:r>
          </w:p>
        </w:tc>
      </w:tr>
      <w:tr w:rsidR="00E02D83" w:rsidRPr="009C5F11" w14:paraId="4F909464" w14:textId="77777777" w:rsidTr="002E306C">
        <w:trPr>
          <w:trHeight w:val="1156"/>
        </w:trPr>
        <w:tc>
          <w:tcPr>
            <w:tcW w:w="339" w:type="pct"/>
            <w:vAlign w:val="center"/>
          </w:tcPr>
          <w:p w14:paraId="4D1E7826" w14:textId="77777777" w:rsidR="00D91ABB" w:rsidRPr="009C5F11" w:rsidRDefault="00D91ABB" w:rsidP="00AB5A76">
            <w:pPr>
              <w:spacing w:after="0"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E.4</w:t>
            </w:r>
          </w:p>
        </w:tc>
        <w:tc>
          <w:tcPr>
            <w:tcW w:w="804" w:type="pct"/>
            <w:vAlign w:val="center"/>
          </w:tcPr>
          <w:p w14:paraId="24F42226" w14:textId="77777777" w:rsidR="00D91ABB" w:rsidRPr="009C5F11" w:rsidRDefault="00A651DF" w:rsidP="00A651DF">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Elaborarea cadrului juridic şi de reglementare şi crearea unui sistem de monitorizare în sectorul termoenergetic. </w:t>
            </w:r>
          </w:p>
        </w:tc>
        <w:tc>
          <w:tcPr>
            <w:tcW w:w="536" w:type="pct"/>
            <w:vAlign w:val="center"/>
          </w:tcPr>
          <w:p w14:paraId="44CEC533" w14:textId="77777777" w:rsidR="00D91ABB" w:rsidRPr="009C5F11" w:rsidRDefault="00534A4C" w:rsidP="00B40DB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w:t>
            </w:r>
            <w:r w:rsidR="00016DA0" w:rsidRPr="009C5F11">
              <w:rPr>
                <w:rFonts w:ascii="Times New Roman" w:eastAsia="Calibri" w:hAnsi="Times New Roman" w:cs="Times New Roman"/>
                <w:sz w:val="16"/>
                <w:szCs w:val="13"/>
                <w:lang w:val="ro-RO"/>
              </w:rPr>
              <w:t>/A</w:t>
            </w:r>
          </w:p>
        </w:tc>
        <w:tc>
          <w:tcPr>
            <w:tcW w:w="834" w:type="pct"/>
            <w:vAlign w:val="center"/>
          </w:tcPr>
          <w:p w14:paraId="4B70149C" w14:textId="77777777" w:rsidR="00BA35B5" w:rsidRPr="009C5F11" w:rsidRDefault="00AA0566" w:rsidP="00AB5A76">
            <w:pPr>
              <w:spacing w:after="0"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MDRC</w:t>
            </w:r>
            <w:r w:rsidR="00D91ABB" w:rsidRPr="009C5F11">
              <w:rPr>
                <w:rFonts w:ascii="Times New Roman" w:eastAsia="Calibri" w:hAnsi="Times New Roman" w:cs="Times New Roman"/>
                <w:sz w:val="16"/>
                <w:szCs w:val="13"/>
                <w:lang w:val="ro-RO"/>
              </w:rPr>
              <w:t xml:space="preserve">, </w:t>
            </w:r>
          </w:p>
          <w:p w14:paraId="25D391C5" w14:textId="77777777" w:rsidR="00BA35B5" w:rsidRPr="009C5F11" w:rsidRDefault="00421FA7" w:rsidP="00AB5A76">
            <w:pPr>
              <w:spacing w:after="0"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ME</w:t>
            </w:r>
            <w:r w:rsidR="00D91ABB" w:rsidRPr="009C5F11">
              <w:rPr>
                <w:rFonts w:ascii="Times New Roman" w:eastAsia="Calibri" w:hAnsi="Times New Roman" w:cs="Times New Roman"/>
                <w:sz w:val="16"/>
                <w:szCs w:val="13"/>
                <w:lang w:val="ro-RO"/>
              </w:rPr>
              <w:t xml:space="preserve">, </w:t>
            </w:r>
          </w:p>
          <w:p w14:paraId="408BF806" w14:textId="77777777" w:rsidR="00D91ABB" w:rsidRPr="009C5F11" w:rsidRDefault="00AA0566" w:rsidP="00AB5A76">
            <w:pPr>
              <w:spacing w:after="0"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AEE</w:t>
            </w:r>
          </w:p>
        </w:tc>
        <w:tc>
          <w:tcPr>
            <w:tcW w:w="1318" w:type="pct"/>
            <w:vAlign w:val="center"/>
          </w:tcPr>
          <w:p w14:paraId="54B6E6A1" w14:textId="77777777" w:rsidR="00194BD3" w:rsidRPr="009C5F11" w:rsidRDefault="00194BD3" w:rsidP="00194BD3">
            <w:pPr>
              <w:tabs>
                <w:tab w:val="left" w:pos="702"/>
                <w:tab w:val="left" w:pos="5040"/>
                <w:tab w:val="right" w:pos="8504"/>
              </w:tabs>
              <w:spacing w:before="40" w:after="0" w:line="240" w:lineRule="auto"/>
              <w:rPr>
                <w:rFonts w:ascii="Times New Roman" w:eastAsia="Verdana" w:hAnsi="Times New Roman" w:cs="Times New Roman"/>
                <w:b/>
                <w:sz w:val="16"/>
                <w:szCs w:val="13"/>
                <w:lang w:val="ro-RO" w:eastAsia="de-DE"/>
              </w:rPr>
            </w:pPr>
            <w:r w:rsidRPr="009C5F11">
              <w:rPr>
                <w:rFonts w:ascii="Times New Roman" w:eastAsia="Verdana" w:hAnsi="Times New Roman" w:cs="Times New Roman"/>
                <w:b/>
                <w:sz w:val="16"/>
                <w:szCs w:val="13"/>
                <w:lang w:val="ro-RO" w:eastAsia="de-DE"/>
              </w:rPr>
              <w:t xml:space="preserve">2016-2018 </w:t>
            </w:r>
          </w:p>
          <w:p w14:paraId="07BA9046" w14:textId="77777777" w:rsidR="00194BD3" w:rsidRPr="009C5F11" w:rsidRDefault="00194BD3" w:rsidP="00194BD3">
            <w:pPr>
              <w:tabs>
                <w:tab w:val="left" w:pos="702"/>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2016: 19,426.2 </w:t>
            </w:r>
            <w:r w:rsidR="00AA0566" w:rsidRPr="009C5F11">
              <w:rPr>
                <w:rFonts w:ascii="Times New Roman" w:eastAsia="Verdana" w:hAnsi="Times New Roman" w:cs="Times New Roman"/>
                <w:sz w:val="16"/>
                <w:szCs w:val="13"/>
                <w:lang w:val="ro-RO" w:eastAsia="de-DE"/>
              </w:rPr>
              <w:t>mii lei</w:t>
            </w:r>
          </w:p>
          <w:p w14:paraId="1B3D827B" w14:textId="77777777" w:rsidR="00194BD3" w:rsidRPr="009C5F11" w:rsidRDefault="00194BD3" w:rsidP="00194BD3">
            <w:pPr>
              <w:tabs>
                <w:tab w:val="left" w:pos="702"/>
                <w:tab w:val="left" w:pos="5040"/>
                <w:tab w:val="right" w:pos="8504"/>
              </w:tabs>
              <w:spacing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2017: 24,946.6 </w:t>
            </w:r>
            <w:r w:rsidR="00AA0566" w:rsidRPr="009C5F11">
              <w:rPr>
                <w:rFonts w:ascii="Times New Roman" w:eastAsia="Verdana" w:hAnsi="Times New Roman" w:cs="Times New Roman"/>
                <w:sz w:val="16"/>
                <w:szCs w:val="13"/>
                <w:lang w:val="ro-RO" w:eastAsia="de-DE"/>
              </w:rPr>
              <w:t>mii lei</w:t>
            </w:r>
          </w:p>
          <w:p w14:paraId="21C3733D" w14:textId="77777777" w:rsidR="00D91ABB" w:rsidRPr="009C5F11" w:rsidRDefault="00194BD3" w:rsidP="00194BD3">
            <w:pPr>
              <w:spacing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2018: 25,862.7 </w:t>
            </w:r>
            <w:r w:rsidR="00AA0566" w:rsidRPr="009C5F11">
              <w:rPr>
                <w:rFonts w:ascii="Times New Roman" w:eastAsia="Verdana" w:hAnsi="Times New Roman" w:cs="Times New Roman"/>
                <w:sz w:val="16"/>
                <w:szCs w:val="13"/>
                <w:lang w:val="ro-RO" w:eastAsia="de-DE"/>
              </w:rPr>
              <w:t>mii lei</w:t>
            </w:r>
          </w:p>
        </w:tc>
        <w:tc>
          <w:tcPr>
            <w:tcW w:w="1168" w:type="pct"/>
            <w:vAlign w:val="center"/>
          </w:tcPr>
          <w:p w14:paraId="6228BABB" w14:textId="77777777" w:rsidR="00D91ABB" w:rsidRPr="009C5F11" w:rsidRDefault="00792AA6"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D91ABB" w:rsidRPr="009C5F11">
              <w:rPr>
                <w:rFonts w:ascii="Times New Roman" w:eastAsia="Verdana" w:hAnsi="Times New Roman" w:cs="Times New Roman"/>
                <w:sz w:val="16"/>
                <w:szCs w:val="13"/>
                <w:lang w:val="ro-RO" w:eastAsia="de-DE"/>
              </w:rPr>
              <w:t>, (</w:t>
            </w:r>
            <w:r w:rsidR="00421FA7" w:rsidRPr="009C5F11">
              <w:rPr>
                <w:rFonts w:ascii="Times New Roman" w:eastAsia="Verdana" w:hAnsi="Times New Roman" w:cs="Times New Roman"/>
                <w:sz w:val="16"/>
                <w:szCs w:val="13"/>
                <w:lang w:val="ro-RO" w:eastAsia="de-DE"/>
              </w:rPr>
              <w:t>Programul</w:t>
            </w:r>
            <w:r w:rsidR="00D91ABB"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Dezvoltarea sectorului energetic</w:t>
            </w:r>
            <w:r w:rsidR="00D91ABB" w:rsidRPr="009C5F11">
              <w:rPr>
                <w:rFonts w:ascii="Times New Roman" w:eastAsia="Verdana" w:hAnsi="Times New Roman" w:cs="Times New Roman"/>
                <w:sz w:val="16"/>
                <w:szCs w:val="13"/>
                <w:lang w:val="ro-RO" w:eastAsia="de-DE"/>
              </w:rPr>
              <w:t xml:space="preserve">”, </w:t>
            </w:r>
            <w:r w:rsidR="008F7BD5" w:rsidRPr="009C5F11">
              <w:rPr>
                <w:rFonts w:ascii="Times New Roman" w:eastAsia="Verdana" w:hAnsi="Times New Roman" w:cs="Times New Roman"/>
                <w:sz w:val="16"/>
                <w:szCs w:val="13"/>
                <w:lang w:val="ro-RO" w:eastAsia="de-DE"/>
              </w:rPr>
              <w:t>subprogramul</w:t>
            </w:r>
            <w:r w:rsidR="00D91ABB" w:rsidRPr="009C5F11">
              <w:rPr>
                <w:rFonts w:ascii="Times New Roman" w:eastAsia="Verdana" w:hAnsi="Times New Roman" w:cs="Times New Roman"/>
                <w:sz w:val="16"/>
                <w:szCs w:val="13"/>
                <w:lang w:val="ro-RO" w:eastAsia="de-DE"/>
              </w:rPr>
              <w:t xml:space="preserve"> “</w:t>
            </w:r>
            <w:r w:rsidR="00A651DF" w:rsidRPr="009C5F11">
              <w:rPr>
                <w:rFonts w:ascii="Times New Roman" w:eastAsia="Verdana" w:hAnsi="Times New Roman" w:cs="Times New Roman"/>
                <w:sz w:val="16"/>
                <w:szCs w:val="13"/>
                <w:lang w:val="ro-RO" w:eastAsia="de-DE"/>
              </w:rPr>
              <w:t>Politici şi management în sectorul energetic</w:t>
            </w:r>
            <w:r w:rsidR="00D91ABB" w:rsidRPr="009C5F11">
              <w:rPr>
                <w:rFonts w:ascii="Times New Roman" w:eastAsia="Verdana" w:hAnsi="Times New Roman" w:cs="Times New Roman"/>
                <w:sz w:val="16"/>
                <w:szCs w:val="13"/>
                <w:lang w:val="ro-RO" w:eastAsia="de-DE"/>
              </w:rPr>
              <w:t>”)</w:t>
            </w:r>
            <w:r w:rsidR="00FD5F1C" w:rsidRPr="009C5F11">
              <w:rPr>
                <w:rFonts w:ascii="Times New Roman" w:eastAsia="Verdana" w:hAnsi="Times New Roman" w:cs="Times New Roman"/>
                <w:sz w:val="16"/>
                <w:szCs w:val="13"/>
                <w:lang w:val="ro-RO" w:eastAsia="de-DE"/>
              </w:rPr>
              <w:t>.</w:t>
            </w:r>
          </w:p>
        </w:tc>
      </w:tr>
      <w:tr w:rsidR="00013828" w:rsidRPr="009C5F11" w14:paraId="3C2B34CF" w14:textId="77777777" w:rsidTr="002E306C">
        <w:trPr>
          <w:trHeight w:val="480"/>
        </w:trPr>
        <w:tc>
          <w:tcPr>
            <w:tcW w:w="339" w:type="pct"/>
            <w:vMerge w:val="restart"/>
            <w:vAlign w:val="center"/>
          </w:tcPr>
          <w:p w14:paraId="78998EDA" w14:textId="77777777" w:rsidR="00013828" w:rsidRPr="009C5F11" w:rsidRDefault="00013828" w:rsidP="00AB5A76">
            <w:pPr>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E.5</w:t>
            </w:r>
          </w:p>
        </w:tc>
        <w:tc>
          <w:tcPr>
            <w:tcW w:w="804" w:type="pct"/>
            <w:vMerge w:val="restart"/>
            <w:vAlign w:val="center"/>
          </w:tcPr>
          <w:p w14:paraId="360A28D2" w14:textId="77777777" w:rsidR="00013828" w:rsidRPr="009C5F11" w:rsidRDefault="00A651DF"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Programe proprii de eficienţă energetică</w:t>
            </w:r>
            <w:r w:rsidR="00013828"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ale operatorilor termoenergetici</w:t>
            </w:r>
          </w:p>
        </w:tc>
        <w:tc>
          <w:tcPr>
            <w:tcW w:w="536" w:type="pct"/>
            <w:vMerge w:val="restart"/>
            <w:vAlign w:val="center"/>
          </w:tcPr>
          <w:p w14:paraId="3ECCE239" w14:textId="77777777" w:rsidR="00BA35B5" w:rsidRPr="009C5F11" w:rsidRDefault="00BA35B5">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19.35 </w:t>
            </w:r>
          </w:p>
          <w:p w14:paraId="550F67B1" w14:textId="77777777" w:rsidR="00013828" w:rsidRPr="009C5F11" w:rsidRDefault="00BA35B5">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(8.45 ESD)</w:t>
            </w:r>
          </w:p>
        </w:tc>
        <w:tc>
          <w:tcPr>
            <w:tcW w:w="834" w:type="pct"/>
            <w:vMerge w:val="restart"/>
            <w:vAlign w:val="center"/>
          </w:tcPr>
          <w:p w14:paraId="4B09D9FA" w14:textId="77777777" w:rsidR="00BA35B5" w:rsidRPr="009C5F11" w:rsidRDefault="00BA35B5" w:rsidP="00B40DB5">
            <w:pPr>
              <w:spacing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Companii de utilitati</w:t>
            </w:r>
          </w:p>
          <w:p w14:paraId="53FC1C24" w14:textId="77777777" w:rsidR="00013828" w:rsidRPr="009C5F11" w:rsidRDefault="00BA35B5" w:rsidP="00B40DB5">
            <w:pPr>
              <w:spacing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ME</w:t>
            </w:r>
          </w:p>
        </w:tc>
        <w:tc>
          <w:tcPr>
            <w:tcW w:w="1318" w:type="pct"/>
            <w:vAlign w:val="center"/>
          </w:tcPr>
          <w:p w14:paraId="09D0867F" w14:textId="77777777" w:rsidR="00013828" w:rsidRPr="009C5F11" w:rsidRDefault="00013828" w:rsidP="00EF1971">
            <w:pPr>
              <w:spacing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40,500,000</w:t>
            </w:r>
            <w:r w:rsidR="00792AA6" w:rsidRPr="009C5F11">
              <w:rPr>
                <w:rFonts w:ascii="Times New Roman" w:eastAsia="Calibri" w:hAnsi="Times New Roman" w:cs="Times New Roman"/>
                <w:sz w:val="16"/>
                <w:szCs w:val="13"/>
                <w:lang w:val="ro-RO"/>
              </w:rPr>
              <w:t xml:space="preserve"> dolari SUA</w:t>
            </w:r>
          </w:p>
        </w:tc>
        <w:tc>
          <w:tcPr>
            <w:tcW w:w="1168" w:type="pct"/>
            <w:vAlign w:val="center"/>
          </w:tcPr>
          <w:p w14:paraId="1FC45B74" w14:textId="77777777" w:rsidR="00013828" w:rsidRPr="009C5F11" w:rsidRDefault="00421FA7" w:rsidP="00D15DBD">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Proiect</w:t>
            </w:r>
            <w:r w:rsidR="00321CD5" w:rsidRPr="009C5F11">
              <w:rPr>
                <w:rFonts w:ascii="Times New Roman" w:eastAsia="Verdana" w:hAnsi="Times New Roman" w:cs="Times New Roman"/>
                <w:sz w:val="16"/>
                <w:szCs w:val="13"/>
                <w:lang w:val="ro-RO" w:eastAsia="de-DE"/>
              </w:rPr>
              <w:t xml:space="preserve"> </w:t>
            </w:r>
            <w:r w:rsidR="00016DA0" w:rsidRPr="009C5F11">
              <w:rPr>
                <w:rFonts w:ascii="Times New Roman" w:eastAsia="Verdana" w:hAnsi="Times New Roman" w:cs="Times New Roman"/>
                <w:sz w:val="16"/>
                <w:szCs w:val="13"/>
                <w:lang w:val="ro-RO" w:eastAsia="de-DE"/>
              </w:rPr>
              <w:t xml:space="preserve">termoficare </w:t>
            </w:r>
            <w:r w:rsidR="00FD5F1C" w:rsidRPr="009C5F11">
              <w:rPr>
                <w:rFonts w:ascii="Times New Roman" w:eastAsia="Verdana" w:hAnsi="Times New Roman" w:cs="Times New Roman"/>
                <w:sz w:val="16"/>
                <w:szCs w:val="13"/>
                <w:lang w:val="ro-RO" w:eastAsia="de-DE"/>
              </w:rPr>
              <w:t xml:space="preserve">realizat </w:t>
            </w:r>
            <w:r w:rsidR="00321CD5" w:rsidRPr="009C5F11">
              <w:rPr>
                <w:rFonts w:ascii="Times New Roman" w:eastAsia="Verdana" w:hAnsi="Times New Roman" w:cs="Times New Roman"/>
                <w:sz w:val="16"/>
                <w:szCs w:val="13"/>
                <w:lang w:val="ro-RO" w:eastAsia="de-DE"/>
              </w:rPr>
              <w:t xml:space="preserve">în </w:t>
            </w:r>
            <w:r w:rsidR="00AA0566" w:rsidRPr="009C5F11">
              <w:rPr>
                <w:rFonts w:ascii="Times New Roman" w:eastAsia="Verdana" w:hAnsi="Times New Roman" w:cs="Times New Roman"/>
                <w:sz w:val="16"/>
                <w:szCs w:val="13"/>
                <w:lang w:val="ro-RO" w:eastAsia="de-DE"/>
              </w:rPr>
              <w:t>Chişinău</w:t>
            </w:r>
          </w:p>
          <w:p w14:paraId="4AF53626" w14:textId="77777777" w:rsidR="00013828" w:rsidRPr="009C5F11" w:rsidRDefault="00AA0566" w:rsidP="00D15DBD">
            <w:pPr>
              <w:tabs>
                <w:tab w:val="left" w:pos="1440"/>
                <w:tab w:val="left" w:pos="5040"/>
                <w:tab w:val="right" w:pos="8504"/>
              </w:tabs>
              <w:spacing w:before="40" w:after="0" w:line="240" w:lineRule="auto"/>
              <w:jc w:val="both"/>
              <w:rPr>
                <w:rFonts w:ascii="Times New Roman" w:eastAsia="Calibri" w:hAnsi="Times New Roman" w:cs="Times New Roman"/>
                <w:sz w:val="16"/>
                <w:szCs w:val="13"/>
                <w:lang w:val="ro-RO"/>
              </w:rPr>
            </w:pPr>
            <w:r w:rsidRPr="009C5F11">
              <w:rPr>
                <w:rFonts w:ascii="Times New Roman" w:eastAsia="Verdana" w:hAnsi="Times New Roman" w:cs="Times New Roman"/>
                <w:sz w:val="16"/>
                <w:szCs w:val="13"/>
                <w:lang w:val="ro-RO" w:eastAsia="de-DE"/>
              </w:rPr>
              <w:t>Împrumut BIRD</w:t>
            </w:r>
          </w:p>
        </w:tc>
      </w:tr>
      <w:tr w:rsidR="00013828" w:rsidRPr="009C5F11" w14:paraId="7BCE8C94" w14:textId="77777777" w:rsidTr="002E306C">
        <w:trPr>
          <w:trHeight w:val="480"/>
        </w:trPr>
        <w:tc>
          <w:tcPr>
            <w:tcW w:w="339" w:type="pct"/>
            <w:vMerge/>
            <w:vAlign w:val="center"/>
          </w:tcPr>
          <w:p w14:paraId="6095BD58" w14:textId="77777777" w:rsidR="00013828" w:rsidRPr="009C5F11" w:rsidRDefault="00013828" w:rsidP="00AB5A76">
            <w:pPr>
              <w:jc w:val="both"/>
              <w:rPr>
                <w:rFonts w:ascii="Times New Roman" w:hAnsi="Times New Roman" w:cs="Times New Roman"/>
                <w:sz w:val="16"/>
                <w:szCs w:val="13"/>
                <w:lang w:val="ro-RO" w:eastAsia="de-DE"/>
              </w:rPr>
            </w:pPr>
          </w:p>
        </w:tc>
        <w:tc>
          <w:tcPr>
            <w:tcW w:w="804" w:type="pct"/>
            <w:vMerge/>
            <w:vAlign w:val="center"/>
          </w:tcPr>
          <w:p w14:paraId="6B8DB222" w14:textId="77777777" w:rsidR="00013828" w:rsidRPr="009C5F11" w:rsidRDefault="00013828" w:rsidP="00AB5A76">
            <w:pPr>
              <w:spacing w:after="0" w:line="240" w:lineRule="auto"/>
              <w:rPr>
                <w:rFonts w:ascii="Times New Roman" w:eastAsia="Calibri" w:hAnsi="Times New Roman" w:cs="Times New Roman"/>
                <w:sz w:val="16"/>
                <w:szCs w:val="13"/>
                <w:lang w:val="ro-RO"/>
              </w:rPr>
            </w:pPr>
          </w:p>
        </w:tc>
        <w:tc>
          <w:tcPr>
            <w:tcW w:w="536" w:type="pct"/>
            <w:vMerge/>
            <w:vAlign w:val="center"/>
          </w:tcPr>
          <w:p w14:paraId="35F7A209" w14:textId="77777777" w:rsidR="00013828" w:rsidRPr="009C5F11" w:rsidRDefault="00013828" w:rsidP="00AB5A76">
            <w:pPr>
              <w:spacing w:line="240" w:lineRule="auto"/>
              <w:jc w:val="both"/>
              <w:rPr>
                <w:rFonts w:ascii="Times New Roman" w:eastAsia="Calibri" w:hAnsi="Times New Roman" w:cs="Times New Roman"/>
                <w:sz w:val="16"/>
                <w:szCs w:val="13"/>
                <w:lang w:val="ro-RO"/>
              </w:rPr>
            </w:pPr>
          </w:p>
        </w:tc>
        <w:tc>
          <w:tcPr>
            <w:tcW w:w="834" w:type="pct"/>
            <w:vMerge/>
            <w:vAlign w:val="center"/>
          </w:tcPr>
          <w:p w14:paraId="78100B75" w14:textId="77777777" w:rsidR="00013828" w:rsidRPr="009C5F11" w:rsidRDefault="00013828" w:rsidP="00AB5A76">
            <w:pPr>
              <w:spacing w:line="240" w:lineRule="auto"/>
              <w:jc w:val="both"/>
              <w:rPr>
                <w:rFonts w:ascii="Times New Roman" w:eastAsia="Calibri" w:hAnsi="Times New Roman" w:cs="Times New Roman"/>
                <w:sz w:val="16"/>
                <w:szCs w:val="13"/>
                <w:lang w:val="ro-RO"/>
              </w:rPr>
            </w:pPr>
          </w:p>
        </w:tc>
        <w:tc>
          <w:tcPr>
            <w:tcW w:w="1318" w:type="pct"/>
            <w:vAlign w:val="center"/>
          </w:tcPr>
          <w:p w14:paraId="1A947FB1" w14:textId="77777777" w:rsidR="00013828" w:rsidRPr="009C5F11" w:rsidRDefault="00013828"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10,000,000</w:t>
            </w:r>
            <w:r w:rsidR="00792AA6" w:rsidRPr="009C5F11">
              <w:rPr>
                <w:rFonts w:ascii="Times New Roman" w:eastAsia="Calibri" w:hAnsi="Times New Roman" w:cs="Times New Roman"/>
                <w:sz w:val="16"/>
                <w:szCs w:val="13"/>
                <w:lang w:val="ro-RO"/>
              </w:rPr>
              <w:t xml:space="preserve"> euro</w:t>
            </w:r>
          </w:p>
        </w:tc>
        <w:tc>
          <w:tcPr>
            <w:tcW w:w="1168" w:type="pct"/>
            <w:vAlign w:val="center"/>
          </w:tcPr>
          <w:p w14:paraId="4DF36A43" w14:textId="37B2AD98" w:rsidR="00016DA0" w:rsidRPr="009C5F11" w:rsidRDefault="00016DA0" w:rsidP="00B40DB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Proiect termoficare in </w:t>
            </w:r>
            <w:r w:rsidR="00022F34">
              <w:rPr>
                <w:rFonts w:ascii="Times New Roman" w:eastAsia="Calibri" w:hAnsi="Times New Roman" w:cs="Times New Roman"/>
                <w:sz w:val="16"/>
                <w:szCs w:val="13"/>
                <w:lang w:val="ro-RO"/>
              </w:rPr>
              <w:t>mun. Bălți</w:t>
            </w:r>
          </w:p>
          <w:p w14:paraId="0E4078B1" w14:textId="77777777" w:rsidR="008653FC" w:rsidRPr="009C5F11" w:rsidRDefault="008653FC" w:rsidP="00B40DB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10,000,000</w:t>
            </w:r>
            <w:r w:rsidR="00792AA6" w:rsidRPr="009C5F11">
              <w:rPr>
                <w:rFonts w:ascii="Times New Roman" w:eastAsia="Calibri" w:hAnsi="Times New Roman" w:cs="Times New Roman"/>
                <w:sz w:val="16"/>
                <w:szCs w:val="13"/>
                <w:lang w:val="ro-RO"/>
              </w:rPr>
              <w:t xml:space="preserve"> euro</w:t>
            </w:r>
            <w:r w:rsidRPr="009C5F11">
              <w:rPr>
                <w:rFonts w:ascii="Times New Roman" w:eastAsia="Calibri" w:hAnsi="Times New Roman" w:cs="Times New Roman"/>
                <w:sz w:val="16"/>
                <w:szCs w:val="13"/>
                <w:lang w:val="ro-RO"/>
              </w:rPr>
              <w:t xml:space="preserve">, </w:t>
            </w:r>
            <w:r w:rsidR="00A651DF" w:rsidRPr="009C5F11">
              <w:rPr>
                <w:rFonts w:ascii="Times New Roman" w:eastAsia="Calibri" w:hAnsi="Times New Roman" w:cs="Times New Roman"/>
                <w:sz w:val="16"/>
                <w:szCs w:val="13"/>
                <w:lang w:val="ro-RO"/>
              </w:rPr>
              <w:t>din care</w:t>
            </w:r>
            <w:r w:rsidRPr="009C5F11">
              <w:rPr>
                <w:rFonts w:ascii="Times New Roman" w:eastAsia="Calibri" w:hAnsi="Times New Roman" w:cs="Times New Roman"/>
                <w:sz w:val="16"/>
                <w:szCs w:val="13"/>
                <w:lang w:val="ro-RO"/>
              </w:rPr>
              <w:t>:</w:t>
            </w:r>
          </w:p>
          <w:p w14:paraId="5A62C470" w14:textId="77777777" w:rsidR="008653FC" w:rsidRPr="009C5F11" w:rsidRDefault="008653FC" w:rsidP="00334F3B">
            <w:pPr>
              <w:pStyle w:val="Listparagraf"/>
              <w:numPr>
                <w:ilvl w:val="0"/>
                <w:numId w:val="181"/>
              </w:numPr>
              <w:tabs>
                <w:tab w:val="left" w:pos="314"/>
              </w:tabs>
              <w:spacing w:after="0" w:line="240" w:lineRule="auto"/>
              <w:ind w:left="314" w:hanging="142"/>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7,000,000 </w:t>
            </w:r>
            <w:r w:rsidR="00792AA6" w:rsidRPr="009C5F11">
              <w:rPr>
                <w:rFonts w:ascii="Times New Roman" w:eastAsia="Calibri" w:hAnsi="Times New Roman" w:cs="Times New Roman"/>
                <w:sz w:val="16"/>
                <w:szCs w:val="13"/>
                <w:lang w:val="ro-RO"/>
              </w:rPr>
              <w:t xml:space="preserve">euro </w:t>
            </w:r>
            <w:r w:rsidR="00A651DF" w:rsidRPr="009C5F11">
              <w:rPr>
                <w:rFonts w:ascii="Times New Roman" w:eastAsia="Calibri" w:hAnsi="Times New Roman" w:cs="Times New Roman"/>
                <w:sz w:val="16"/>
                <w:szCs w:val="13"/>
                <w:lang w:val="ro-RO"/>
              </w:rPr>
              <w:t>– împrumut</w:t>
            </w:r>
            <w:r w:rsidRPr="009C5F11">
              <w:rPr>
                <w:rFonts w:ascii="Times New Roman" w:eastAsia="Calibri" w:hAnsi="Times New Roman" w:cs="Times New Roman"/>
                <w:sz w:val="16"/>
                <w:szCs w:val="13"/>
                <w:lang w:val="ro-RO"/>
              </w:rPr>
              <w:t xml:space="preserve"> </w:t>
            </w:r>
            <w:r w:rsidR="00AA0566" w:rsidRPr="009C5F11">
              <w:rPr>
                <w:rFonts w:ascii="Times New Roman" w:eastAsia="Calibri" w:hAnsi="Times New Roman" w:cs="Times New Roman"/>
                <w:sz w:val="16"/>
                <w:szCs w:val="13"/>
                <w:lang w:val="ro-RO"/>
              </w:rPr>
              <w:t>BERD</w:t>
            </w:r>
            <w:r w:rsidRPr="009C5F11">
              <w:rPr>
                <w:rFonts w:ascii="Times New Roman" w:eastAsia="Calibri" w:hAnsi="Times New Roman" w:cs="Times New Roman"/>
                <w:sz w:val="16"/>
                <w:szCs w:val="13"/>
                <w:lang w:val="ro-RO"/>
              </w:rPr>
              <w:t xml:space="preserve">, </w:t>
            </w:r>
          </w:p>
          <w:p w14:paraId="1A16E7FD" w14:textId="77777777" w:rsidR="008653FC" w:rsidRPr="009C5F11" w:rsidRDefault="008653FC" w:rsidP="00334F3B">
            <w:pPr>
              <w:pStyle w:val="Listparagraf"/>
              <w:numPr>
                <w:ilvl w:val="0"/>
                <w:numId w:val="181"/>
              </w:numPr>
              <w:tabs>
                <w:tab w:val="left" w:pos="314"/>
              </w:tabs>
              <w:spacing w:after="0" w:line="240" w:lineRule="auto"/>
              <w:ind w:left="314" w:hanging="142"/>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3,000,000 </w:t>
            </w:r>
            <w:r w:rsidR="00792AA6" w:rsidRPr="009C5F11">
              <w:rPr>
                <w:rFonts w:ascii="Times New Roman" w:eastAsia="Calibri" w:hAnsi="Times New Roman" w:cs="Times New Roman"/>
                <w:sz w:val="16"/>
                <w:szCs w:val="13"/>
                <w:lang w:val="ro-RO"/>
              </w:rPr>
              <w:t xml:space="preserve">euro </w:t>
            </w:r>
            <w:r w:rsidR="00A651DF"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 xml:space="preserve">grant </w:t>
            </w:r>
            <w:r w:rsidR="00A651DF" w:rsidRPr="009C5F11">
              <w:rPr>
                <w:rFonts w:ascii="Times New Roman" w:eastAsia="Calibri" w:hAnsi="Times New Roman" w:cs="Times New Roman"/>
                <w:sz w:val="16"/>
                <w:szCs w:val="13"/>
                <w:lang w:val="ro-RO"/>
              </w:rPr>
              <w:t xml:space="preserve">oferit de Fondul </w:t>
            </w:r>
            <w:r w:rsidRPr="009C5F11">
              <w:rPr>
                <w:rFonts w:ascii="Times New Roman" w:eastAsia="Calibri" w:hAnsi="Times New Roman" w:cs="Times New Roman"/>
                <w:sz w:val="16"/>
                <w:szCs w:val="13"/>
                <w:lang w:val="ro-RO"/>
              </w:rPr>
              <w:t>Part</w:t>
            </w:r>
            <w:r w:rsidR="00A651DF" w:rsidRPr="009C5F11">
              <w:rPr>
                <w:rFonts w:ascii="Times New Roman" w:eastAsia="Calibri" w:hAnsi="Times New Roman" w:cs="Times New Roman"/>
                <w:sz w:val="16"/>
                <w:szCs w:val="13"/>
                <w:lang w:val="ro-RO"/>
              </w:rPr>
              <w:t>e</w:t>
            </w:r>
            <w:r w:rsidRPr="009C5F11">
              <w:rPr>
                <w:rFonts w:ascii="Times New Roman" w:eastAsia="Calibri" w:hAnsi="Times New Roman" w:cs="Times New Roman"/>
                <w:sz w:val="16"/>
                <w:szCs w:val="13"/>
                <w:lang w:val="ro-RO"/>
              </w:rPr>
              <w:t>ner</w:t>
            </w:r>
            <w:r w:rsidR="00A651DF" w:rsidRPr="009C5F11">
              <w:rPr>
                <w:rFonts w:ascii="Times New Roman" w:eastAsia="Calibri" w:hAnsi="Times New Roman" w:cs="Times New Roman"/>
                <w:sz w:val="16"/>
                <w:szCs w:val="13"/>
                <w:lang w:val="ro-RO"/>
              </w:rPr>
              <w:t xml:space="preserve">iatului Europei de Est pentru Eficienţa Energetică şi Mediu </w:t>
            </w:r>
            <w:r w:rsidRPr="009C5F11">
              <w:rPr>
                <w:rFonts w:ascii="Times New Roman" w:eastAsia="Calibri" w:hAnsi="Times New Roman" w:cs="Times New Roman"/>
                <w:sz w:val="16"/>
                <w:szCs w:val="13"/>
                <w:lang w:val="ro-RO"/>
              </w:rPr>
              <w:t>(E5P)</w:t>
            </w:r>
            <w:r w:rsidR="00A651DF" w:rsidRPr="009C5F11">
              <w:rPr>
                <w:rFonts w:ascii="Times New Roman" w:eastAsia="Calibri" w:hAnsi="Times New Roman" w:cs="Times New Roman"/>
                <w:sz w:val="16"/>
                <w:szCs w:val="13"/>
                <w:lang w:val="ro-RO"/>
              </w:rPr>
              <w:t>.</w:t>
            </w:r>
          </w:p>
        </w:tc>
      </w:tr>
      <w:tr w:rsidR="00E02D83" w:rsidRPr="009C5F11" w14:paraId="3E87F28B" w14:textId="77777777" w:rsidTr="002E306C">
        <w:tc>
          <w:tcPr>
            <w:tcW w:w="339" w:type="pct"/>
            <w:tcBorders>
              <w:bottom w:val="single" w:sz="4" w:space="0" w:color="4F81BD"/>
            </w:tcBorders>
            <w:vAlign w:val="center"/>
          </w:tcPr>
          <w:p w14:paraId="3DF40865" w14:textId="77777777" w:rsidR="00D91ABB" w:rsidRPr="009C5F11" w:rsidRDefault="00D91ABB" w:rsidP="00AB5A76">
            <w:pPr>
              <w:spacing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E.6</w:t>
            </w:r>
          </w:p>
        </w:tc>
        <w:tc>
          <w:tcPr>
            <w:tcW w:w="804" w:type="pct"/>
            <w:tcBorders>
              <w:bottom w:val="single" w:sz="4" w:space="0" w:color="4F81BD"/>
            </w:tcBorders>
            <w:vAlign w:val="center"/>
          </w:tcPr>
          <w:p w14:paraId="55F2E3A1" w14:textId="77777777" w:rsidR="00D91ABB" w:rsidRPr="009C5F11" w:rsidRDefault="005F4F17"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Evaluarea cuprinzătoare a potenţialului pentru aplicarea cogenerării de înaltă eficiență și a termoficării și răcirii centralizate </w:t>
            </w:r>
            <w:r w:rsidRPr="009C5F11">
              <w:rPr>
                <w:rFonts w:ascii="Times New Roman" w:eastAsia="Calibri" w:hAnsi="Times New Roman" w:cs="Times New Roman"/>
                <w:sz w:val="16"/>
                <w:szCs w:val="13"/>
                <w:lang w:val="ro-RO"/>
              </w:rPr>
              <w:lastRenderedPageBreak/>
              <w:t>eficient</w:t>
            </w:r>
          </w:p>
        </w:tc>
        <w:tc>
          <w:tcPr>
            <w:tcW w:w="536" w:type="pct"/>
            <w:tcBorders>
              <w:bottom w:val="single" w:sz="4" w:space="0" w:color="4F81BD"/>
            </w:tcBorders>
            <w:vAlign w:val="center"/>
          </w:tcPr>
          <w:p w14:paraId="621388A1" w14:textId="77777777" w:rsidR="00D91ABB" w:rsidRPr="009C5F11" w:rsidRDefault="00534A4C" w:rsidP="00B40DB5">
            <w:pPr>
              <w:spacing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lastRenderedPageBreak/>
              <w:t>Nu sunt disponibile</w:t>
            </w:r>
          </w:p>
        </w:tc>
        <w:tc>
          <w:tcPr>
            <w:tcW w:w="834" w:type="pct"/>
            <w:tcBorders>
              <w:bottom w:val="single" w:sz="4" w:space="0" w:color="4F81BD"/>
            </w:tcBorders>
            <w:vAlign w:val="center"/>
          </w:tcPr>
          <w:p w14:paraId="226D6CF8" w14:textId="77777777" w:rsidR="00D91ABB" w:rsidRPr="009C5F11" w:rsidRDefault="00421FA7"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ME</w:t>
            </w:r>
          </w:p>
        </w:tc>
        <w:tc>
          <w:tcPr>
            <w:tcW w:w="1318" w:type="pct"/>
            <w:tcBorders>
              <w:bottom w:val="single" w:sz="4" w:space="0" w:color="4F81BD"/>
            </w:tcBorders>
            <w:vAlign w:val="center"/>
          </w:tcPr>
          <w:p w14:paraId="5AFA2FD2" w14:textId="77777777" w:rsidR="00803092" w:rsidRPr="009C5F11" w:rsidRDefault="00803092" w:rsidP="00803092">
            <w:pPr>
              <w:spacing w:line="240" w:lineRule="auto"/>
              <w:jc w:val="both"/>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2016-2018</w:t>
            </w:r>
          </w:p>
          <w:p w14:paraId="4B09814D" w14:textId="77777777" w:rsidR="00803092" w:rsidRPr="009C5F11" w:rsidRDefault="00803092" w:rsidP="0018375D">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2016: 19,426.2 </w:t>
            </w:r>
            <w:r w:rsidR="00AA0566" w:rsidRPr="009C5F11">
              <w:rPr>
                <w:rFonts w:ascii="Times New Roman" w:eastAsia="Calibri" w:hAnsi="Times New Roman" w:cs="Times New Roman"/>
                <w:sz w:val="16"/>
                <w:szCs w:val="13"/>
                <w:lang w:val="ro-RO"/>
              </w:rPr>
              <w:t>mii lei</w:t>
            </w:r>
          </w:p>
          <w:p w14:paraId="46B24409" w14:textId="77777777" w:rsidR="00D91ABB" w:rsidRPr="009C5F11" w:rsidRDefault="00803092" w:rsidP="0018375D">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2017: 24,946.6 </w:t>
            </w:r>
            <w:r w:rsidR="00AA0566" w:rsidRPr="009C5F11">
              <w:rPr>
                <w:rFonts w:ascii="Times New Roman" w:eastAsia="Calibri" w:hAnsi="Times New Roman" w:cs="Times New Roman"/>
                <w:sz w:val="16"/>
                <w:szCs w:val="13"/>
                <w:lang w:val="ro-RO"/>
              </w:rPr>
              <w:t>mii lei</w:t>
            </w:r>
          </w:p>
          <w:p w14:paraId="3FE8D7AC" w14:textId="77777777" w:rsidR="00BA35B5" w:rsidRPr="009C5F11" w:rsidRDefault="00BA35B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2018: 25,862.7 mii lei</w:t>
            </w:r>
          </w:p>
        </w:tc>
        <w:tc>
          <w:tcPr>
            <w:tcW w:w="1168" w:type="pct"/>
            <w:tcBorders>
              <w:bottom w:val="single" w:sz="4" w:space="0" w:color="4F81BD"/>
            </w:tcBorders>
            <w:vAlign w:val="center"/>
          </w:tcPr>
          <w:p w14:paraId="62A6C97C" w14:textId="77777777" w:rsidR="00803092" w:rsidRPr="009C5F11" w:rsidRDefault="00792AA6" w:rsidP="00D15DBD">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FD5F1C" w:rsidRPr="009C5F11">
              <w:rPr>
                <w:rFonts w:ascii="Times New Roman" w:eastAsia="Verdana" w:hAnsi="Times New Roman" w:cs="Times New Roman"/>
                <w:sz w:val="16"/>
                <w:szCs w:val="13"/>
                <w:lang w:val="ro-RO" w:eastAsia="de-DE"/>
              </w:rPr>
              <w:t>,</w:t>
            </w:r>
          </w:p>
          <w:p w14:paraId="338C7862" w14:textId="77777777" w:rsidR="00803092" w:rsidRPr="009C5F11" w:rsidRDefault="006A096E" w:rsidP="00D15DBD">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Subprogramul</w:t>
            </w:r>
            <w:r w:rsidR="00803092" w:rsidRPr="009C5F11">
              <w:rPr>
                <w:rFonts w:ascii="Times New Roman" w:eastAsia="Verdana" w:hAnsi="Times New Roman" w:cs="Times New Roman"/>
                <w:sz w:val="16"/>
                <w:szCs w:val="13"/>
                <w:lang w:val="ro-RO" w:eastAsia="de-DE"/>
              </w:rPr>
              <w:t xml:space="preserve"> I.</w:t>
            </w:r>
          </w:p>
          <w:p w14:paraId="2EF31561" w14:textId="77777777" w:rsidR="00D91ABB" w:rsidRPr="009C5F11" w:rsidRDefault="00803092" w:rsidP="00D15DBD">
            <w:pPr>
              <w:tabs>
                <w:tab w:val="left" w:pos="1440"/>
                <w:tab w:val="left" w:pos="5040"/>
                <w:tab w:val="right" w:pos="8504"/>
              </w:tabs>
              <w:spacing w:before="40" w:after="0" w:line="240" w:lineRule="auto"/>
              <w:jc w:val="both"/>
              <w:rPr>
                <w:rFonts w:ascii="Times New Roman" w:eastAsia="Calibri" w:hAnsi="Times New Roman" w:cs="Times New Roman"/>
                <w:sz w:val="16"/>
                <w:szCs w:val="13"/>
                <w:lang w:val="ro-RO"/>
              </w:rPr>
            </w:pPr>
            <w:r w:rsidRPr="009C5F11">
              <w:rPr>
                <w:rFonts w:ascii="Times New Roman" w:eastAsia="Verdana" w:hAnsi="Times New Roman" w:cs="Times New Roman"/>
                <w:sz w:val="16"/>
                <w:szCs w:val="13"/>
                <w:lang w:val="ro-RO" w:eastAsia="de-DE"/>
              </w:rPr>
              <w:t>“</w:t>
            </w:r>
            <w:r w:rsidR="00637DDF" w:rsidRPr="009C5F11">
              <w:rPr>
                <w:rFonts w:ascii="Times New Roman" w:eastAsia="Verdana" w:hAnsi="Times New Roman" w:cs="Times New Roman"/>
                <w:sz w:val="16"/>
                <w:szCs w:val="13"/>
                <w:lang w:val="ro-RO" w:eastAsia="de-DE"/>
              </w:rPr>
              <w:t>Elaborarea politicii şi management în sectorul energetic</w:t>
            </w:r>
            <w:r w:rsidRPr="009C5F11">
              <w:rPr>
                <w:rFonts w:ascii="Times New Roman" w:eastAsia="Verdana" w:hAnsi="Times New Roman" w:cs="Times New Roman"/>
                <w:sz w:val="16"/>
                <w:szCs w:val="13"/>
                <w:lang w:val="ro-RO" w:eastAsia="de-DE"/>
              </w:rPr>
              <w:t>”.</w:t>
            </w:r>
            <w:r w:rsidRPr="009C5F11">
              <w:rPr>
                <w:rFonts w:ascii="Times New Roman" w:eastAsia="Calibri" w:hAnsi="Times New Roman" w:cs="Times New Roman"/>
                <w:sz w:val="16"/>
                <w:szCs w:val="13"/>
                <w:lang w:val="ro-RO"/>
              </w:rPr>
              <w:t xml:space="preserve"> </w:t>
            </w:r>
          </w:p>
        </w:tc>
      </w:tr>
      <w:tr w:rsidR="00983587" w:rsidRPr="009C5F11" w14:paraId="7C31BA29" w14:textId="77777777" w:rsidTr="002E306C">
        <w:trPr>
          <w:trHeight w:val="206"/>
        </w:trPr>
        <w:tc>
          <w:tcPr>
            <w:tcW w:w="5000" w:type="pct"/>
            <w:gridSpan w:val="6"/>
            <w:shd w:val="clear" w:color="auto" w:fill="666666"/>
            <w:vAlign w:val="center"/>
          </w:tcPr>
          <w:p w14:paraId="0070A334" w14:textId="77777777" w:rsidR="00983587" w:rsidRPr="009C5F11" w:rsidRDefault="00AA0566" w:rsidP="00983587">
            <w:pPr>
              <w:spacing w:after="0" w:line="240" w:lineRule="auto"/>
              <w:jc w:val="center"/>
              <w:rPr>
                <w:rFonts w:ascii="Times New Roman" w:eastAsia="Calibri" w:hAnsi="Times New Roman" w:cs="Times New Roman"/>
                <w:b/>
                <w:color w:val="FFFFFF" w:themeColor="background1"/>
                <w:sz w:val="16"/>
                <w:szCs w:val="13"/>
                <w:lang w:val="ro-RO"/>
              </w:rPr>
            </w:pPr>
            <w:r w:rsidRPr="009C5F11">
              <w:rPr>
                <w:rFonts w:ascii="Times New Roman" w:eastAsia="Calibri" w:hAnsi="Times New Roman" w:cs="Times New Roman"/>
                <w:b/>
                <w:color w:val="FFFFFF" w:themeColor="background1"/>
                <w:sz w:val="16"/>
                <w:szCs w:val="13"/>
                <w:lang w:val="ro-RO"/>
              </w:rPr>
              <w:lastRenderedPageBreak/>
              <w:t>Sectorul industrial</w:t>
            </w:r>
          </w:p>
        </w:tc>
      </w:tr>
      <w:tr w:rsidR="00E02D83" w:rsidRPr="009C5F11" w14:paraId="7C76EA4F" w14:textId="77777777" w:rsidTr="002E306C">
        <w:trPr>
          <w:trHeight w:val="206"/>
        </w:trPr>
        <w:tc>
          <w:tcPr>
            <w:tcW w:w="339" w:type="pct"/>
            <w:vAlign w:val="center"/>
          </w:tcPr>
          <w:p w14:paraId="1ABFA08C" w14:textId="77777777" w:rsidR="00D91ABB" w:rsidRPr="009C5F11" w:rsidRDefault="00D91ABB" w:rsidP="00AB5A76">
            <w:pPr>
              <w:spacing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I.1</w:t>
            </w:r>
          </w:p>
        </w:tc>
        <w:tc>
          <w:tcPr>
            <w:tcW w:w="804" w:type="pct"/>
            <w:vAlign w:val="center"/>
          </w:tcPr>
          <w:p w14:paraId="447EDE38" w14:textId="77777777" w:rsidR="00D91ABB" w:rsidRPr="009C5F11" w:rsidRDefault="00B26897"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Modernizarea şi renovarea</w:t>
            </w:r>
            <w:r w:rsidR="00D91ABB"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sectorului industrial</w:t>
            </w:r>
          </w:p>
        </w:tc>
        <w:tc>
          <w:tcPr>
            <w:tcW w:w="536" w:type="pct"/>
            <w:vAlign w:val="center"/>
          </w:tcPr>
          <w:p w14:paraId="521FEF7F" w14:textId="77777777" w:rsidR="00D91ABB" w:rsidRPr="009C5F11" w:rsidRDefault="00D91ABB" w:rsidP="00AB5A76">
            <w:pPr>
              <w:spacing w:after="0" w:line="240" w:lineRule="auto"/>
              <w:rPr>
                <w:rFonts w:ascii="Times New Roman" w:eastAsia="Calibri" w:hAnsi="Times New Roman" w:cs="Times New Roman"/>
                <w:sz w:val="16"/>
                <w:szCs w:val="13"/>
                <w:lang w:val="ro-RO"/>
              </w:rPr>
            </w:pPr>
          </w:p>
          <w:p w14:paraId="2E33BD38" w14:textId="77777777" w:rsidR="00D91ABB" w:rsidRPr="009C5F11" w:rsidRDefault="00D91ABB"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12.9 </w:t>
            </w:r>
            <w:r w:rsidR="00E52940" w:rsidRPr="009C5F11">
              <w:rPr>
                <w:rFonts w:ascii="Times New Roman" w:eastAsia="Calibri" w:hAnsi="Times New Roman" w:cs="Times New Roman"/>
                <w:sz w:val="16"/>
                <w:szCs w:val="13"/>
                <w:lang w:val="ro-RO"/>
              </w:rPr>
              <w:t>ktep</w:t>
            </w:r>
            <w:r w:rsidRPr="009C5F11">
              <w:rPr>
                <w:rFonts w:ascii="Times New Roman" w:eastAsia="Calibri" w:hAnsi="Times New Roman" w:cs="Times New Roman"/>
                <w:sz w:val="16"/>
                <w:szCs w:val="13"/>
                <w:lang w:val="ro-RO"/>
              </w:rPr>
              <w:t xml:space="preserve"> </w:t>
            </w:r>
          </w:p>
          <w:p w14:paraId="11EEDE45" w14:textId="77777777" w:rsidR="00D91ABB" w:rsidRPr="009C5F11" w:rsidRDefault="00D91ABB" w:rsidP="00AB5A76">
            <w:pPr>
              <w:spacing w:after="0" w:line="240" w:lineRule="auto"/>
              <w:rPr>
                <w:rFonts w:ascii="Times New Roman" w:eastAsia="Calibri" w:hAnsi="Times New Roman" w:cs="Times New Roman"/>
                <w:sz w:val="16"/>
                <w:szCs w:val="13"/>
                <w:lang w:val="ro-RO"/>
              </w:rPr>
            </w:pPr>
          </w:p>
        </w:tc>
        <w:tc>
          <w:tcPr>
            <w:tcW w:w="834" w:type="pct"/>
            <w:vAlign w:val="center"/>
          </w:tcPr>
          <w:p w14:paraId="13D1B724" w14:textId="77777777" w:rsidR="00D91ABB" w:rsidRPr="009C5F11" w:rsidRDefault="00AA0566" w:rsidP="00AB5A76">
            <w:pPr>
              <w:tabs>
                <w:tab w:val="left" w:pos="1440"/>
                <w:tab w:val="left" w:pos="5040"/>
                <w:tab w:val="right" w:pos="8504"/>
              </w:tabs>
              <w:spacing w:after="0"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AEE</w:t>
            </w:r>
          </w:p>
          <w:p w14:paraId="6F6B8AC9" w14:textId="77777777" w:rsidR="00D91ABB" w:rsidRPr="009C5F11" w:rsidRDefault="00421FA7" w:rsidP="00AB5A76">
            <w:pPr>
              <w:spacing w:line="240" w:lineRule="auto"/>
              <w:jc w:val="both"/>
              <w:rPr>
                <w:rFonts w:ascii="Times New Roman" w:eastAsia="Calibri" w:hAnsi="Times New Roman" w:cs="Times New Roman"/>
                <w:sz w:val="16"/>
                <w:szCs w:val="13"/>
                <w:lang w:val="ro-RO"/>
              </w:rPr>
            </w:pPr>
            <w:r w:rsidRPr="009C5F11">
              <w:rPr>
                <w:rFonts w:ascii="Times New Roman" w:hAnsi="Times New Roman" w:cs="Times New Roman"/>
                <w:sz w:val="16"/>
                <w:szCs w:val="13"/>
                <w:lang w:val="ro-RO"/>
              </w:rPr>
              <w:t>ME</w:t>
            </w:r>
          </w:p>
        </w:tc>
        <w:tc>
          <w:tcPr>
            <w:tcW w:w="1318" w:type="pct"/>
          </w:tcPr>
          <w:p w14:paraId="0BB82F64" w14:textId="77777777" w:rsidR="00BA35B5" w:rsidRPr="009C5F11" w:rsidRDefault="00BA35B5" w:rsidP="00AB5A76">
            <w:pPr>
              <w:tabs>
                <w:tab w:val="left" w:pos="-31"/>
                <w:tab w:val="left" w:pos="5040"/>
                <w:tab w:val="right" w:pos="8504"/>
              </w:tabs>
              <w:spacing w:before="40" w:after="0"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BERD</w:t>
            </w:r>
          </w:p>
          <w:p w14:paraId="33FED83C" w14:textId="77777777" w:rsidR="00D91ABB" w:rsidRPr="009C5F11" w:rsidRDefault="00B26897" w:rsidP="00AB5A76">
            <w:pPr>
              <w:tabs>
                <w:tab w:val="left" w:pos="-31"/>
                <w:tab w:val="left" w:pos="5040"/>
                <w:tab w:val="right" w:pos="8504"/>
              </w:tabs>
              <w:spacing w:before="40" w:after="0"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 xml:space="preserve">Linia de credit </w:t>
            </w:r>
            <w:r w:rsidR="002A270D" w:rsidRPr="009C5F11">
              <w:rPr>
                <w:rFonts w:ascii="Times New Roman" w:hAnsi="Times New Roman" w:cs="Times New Roman"/>
                <w:sz w:val="16"/>
                <w:szCs w:val="13"/>
                <w:lang w:val="ro-RO" w:eastAsia="de-DE"/>
              </w:rPr>
              <w:t>MoSEEF</w:t>
            </w:r>
            <w:r w:rsidRPr="009C5F11">
              <w:rPr>
                <w:rFonts w:ascii="Times New Roman" w:hAnsi="Times New Roman" w:cs="Times New Roman"/>
                <w:sz w:val="16"/>
                <w:szCs w:val="13"/>
                <w:lang w:val="ro-RO" w:eastAsia="de-DE"/>
              </w:rPr>
              <w:t xml:space="preserve"> III BERD</w:t>
            </w:r>
            <w:r w:rsidR="00D91ABB" w:rsidRPr="009C5F11">
              <w:rPr>
                <w:rFonts w:ascii="Times New Roman" w:hAnsi="Times New Roman" w:cs="Times New Roman"/>
                <w:sz w:val="16"/>
                <w:szCs w:val="13"/>
                <w:lang w:val="ro-RO" w:eastAsia="de-DE"/>
              </w:rPr>
              <w:t>: (</w:t>
            </w:r>
            <w:r w:rsidRPr="009C5F11">
              <w:rPr>
                <w:rFonts w:ascii="Times New Roman" w:hAnsi="Times New Roman" w:cs="Times New Roman"/>
                <w:sz w:val="16"/>
                <w:szCs w:val="13"/>
                <w:lang w:val="ro-RO" w:eastAsia="de-DE"/>
              </w:rPr>
              <w:t>circa</w:t>
            </w:r>
            <w:r w:rsidR="00D91ABB" w:rsidRPr="009C5F11">
              <w:rPr>
                <w:rFonts w:ascii="Times New Roman" w:hAnsi="Times New Roman" w:cs="Times New Roman"/>
                <w:sz w:val="16"/>
                <w:szCs w:val="13"/>
                <w:lang w:val="ro-RO" w:eastAsia="de-DE"/>
              </w:rPr>
              <w:t xml:space="preserve"> 20 </w:t>
            </w:r>
            <w:r w:rsidRPr="009C5F11">
              <w:rPr>
                <w:rFonts w:ascii="Times New Roman" w:hAnsi="Times New Roman" w:cs="Times New Roman"/>
                <w:sz w:val="16"/>
                <w:szCs w:val="13"/>
                <w:lang w:val="ro-RO" w:eastAsia="de-DE"/>
              </w:rPr>
              <w:t>milioane euro</w:t>
            </w:r>
            <w:r w:rsidR="00D91ABB" w:rsidRPr="009C5F11">
              <w:rPr>
                <w:rFonts w:ascii="Times New Roman" w:hAnsi="Times New Roman" w:cs="Times New Roman"/>
                <w:sz w:val="16"/>
                <w:szCs w:val="13"/>
                <w:lang w:val="ro-RO" w:eastAsia="de-DE"/>
              </w:rPr>
              <w:t>)</w:t>
            </w:r>
          </w:p>
          <w:p w14:paraId="52BA4585" w14:textId="77777777" w:rsidR="00D91ABB" w:rsidRPr="009C5F11" w:rsidRDefault="00B26897" w:rsidP="00AB5A76">
            <w:pPr>
              <w:tabs>
                <w:tab w:val="left" w:pos="1440"/>
                <w:tab w:val="left" w:pos="5040"/>
                <w:tab w:val="right" w:pos="8504"/>
              </w:tabs>
              <w:spacing w:before="40" w:after="0" w:line="240" w:lineRule="auto"/>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Alte stimulente financiare similare</w:t>
            </w:r>
          </w:p>
          <w:p w14:paraId="4F09E358" w14:textId="77777777" w:rsidR="00D91ABB" w:rsidRPr="009C5F11" w:rsidRDefault="00B26897" w:rsidP="00AB5A76">
            <w:pPr>
              <w:spacing w:after="0" w:line="240" w:lineRule="auto"/>
              <w:rPr>
                <w:rFonts w:ascii="Times New Roman" w:eastAsia="Calibri" w:hAnsi="Times New Roman" w:cs="Times New Roman"/>
                <w:sz w:val="16"/>
                <w:szCs w:val="13"/>
                <w:lang w:val="ro-RO"/>
              </w:rPr>
            </w:pPr>
            <w:r w:rsidRPr="009C5F11">
              <w:rPr>
                <w:rFonts w:ascii="Times New Roman" w:hAnsi="Times New Roman" w:cs="Times New Roman"/>
                <w:sz w:val="16"/>
                <w:szCs w:val="13"/>
                <w:lang w:val="ro-RO"/>
              </w:rPr>
              <w:t>Buget</w:t>
            </w:r>
            <w:r w:rsidR="00D91ABB" w:rsidRPr="009C5F11">
              <w:rPr>
                <w:rFonts w:ascii="Times New Roman" w:hAnsi="Times New Roman" w:cs="Times New Roman"/>
                <w:sz w:val="16"/>
                <w:szCs w:val="13"/>
                <w:lang w:val="ro-RO"/>
              </w:rPr>
              <w:t xml:space="preserve">: </w:t>
            </w:r>
            <w:r w:rsidR="00534A4C" w:rsidRPr="009C5F11">
              <w:rPr>
                <w:rFonts w:ascii="Times New Roman" w:hAnsi="Times New Roman" w:cs="Times New Roman"/>
                <w:sz w:val="16"/>
                <w:szCs w:val="13"/>
                <w:lang w:val="ro-RO"/>
              </w:rPr>
              <w:t>Nu sunt disponibile</w:t>
            </w:r>
          </w:p>
        </w:tc>
        <w:tc>
          <w:tcPr>
            <w:tcW w:w="1168" w:type="pct"/>
            <w:vAlign w:val="center"/>
          </w:tcPr>
          <w:p w14:paraId="4963939D" w14:textId="77777777" w:rsidR="00BA35B5" w:rsidRPr="009C5F11" w:rsidRDefault="00BA35B5" w:rsidP="00D15DBD">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BERD </w:t>
            </w:r>
          </w:p>
          <w:p w14:paraId="0C22D66A" w14:textId="77777777" w:rsidR="00D91ABB" w:rsidRPr="009C5F11" w:rsidRDefault="00B26897" w:rsidP="00D15DBD">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Linia de credit </w:t>
            </w:r>
            <w:r w:rsidR="002A270D" w:rsidRPr="009C5F11">
              <w:rPr>
                <w:rFonts w:ascii="Times New Roman" w:eastAsia="Verdana" w:hAnsi="Times New Roman" w:cs="Times New Roman"/>
                <w:sz w:val="16"/>
                <w:szCs w:val="13"/>
                <w:lang w:val="ro-RO" w:eastAsia="de-DE"/>
              </w:rPr>
              <w:t>MoSEEF</w:t>
            </w:r>
            <w:r w:rsidRPr="009C5F11">
              <w:rPr>
                <w:rFonts w:ascii="Times New Roman" w:eastAsia="Verdana" w:hAnsi="Times New Roman" w:cs="Times New Roman"/>
                <w:sz w:val="16"/>
                <w:szCs w:val="13"/>
                <w:lang w:val="ro-RO" w:eastAsia="de-DE"/>
              </w:rPr>
              <w:t xml:space="preserve"> III</w:t>
            </w:r>
            <w:r w:rsidR="00FD5F1C" w:rsidRPr="009C5F11">
              <w:rPr>
                <w:rFonts w:ascii="Times New Roman" w:eastAsia="Verdana" w:hAnsi="Times New Roman" w:cs="Times New Roman"/>
                <w:sz w:val="16"/>
                <w:szCs w:val="13"/>
                <w:lang w:val="ro-RO" w:eastAsia="de-DE"/>
              </w:rPr>
              <w:t>;</w:t>
            </w:r>
          </w:p>
          <w:p w14:paraId="2F8854F5" w14:textId="77777777" w:rsidR="00BA35B5" w:rsidRPr="009C5F11" w:rsidRDefault="00BA35B5" w:rsidP="00D15DBD">
            <w:pPr>
              <w:tabs>
                <w:tab w:val="left" w:pos="1440"/>
                <w:tab w:val="left" w:pos="5040"/>
                <w:tab w:val="right" w:pos="8504"/>
              </w:tabs>
              <w:spacing w:before="40" w:line="240" w:lineRule="auto"/>
              <w:jc w:val="both"/>
              <w:rPr>
                <w:rFonts w:ascii="Times New Roman" w:eastAsia="Verdana" w:hAnsi="Times New Roman" w:cs="Times New Roman"/>
                <w:sz w:val="16"/>
                <w:szCs w:val="13"/>
                <w:lang w:val="ro-RO" w:eastAsia="de-DE"/>
              </w:rPr>
            </w:pPr>
          </w:p>
          <w:p w14:paraId="1C301A8A" w14:textId="77777777" w:rsidR="00D91ABB" w:rsidRPr="009C5F11" w:rsidRDefault="00B26897" w:rsidP="00D15DBD">
            <w:pPr>
              <w:tabs>
                <w:tab w:val="left" w:pos="1440"/>
                <w:tab w:val="left" w:pos="5040"/>
                <w:tab w:val="right" w:pos="8504"/>
              </w:tabs>
              <w:spacing w:before="4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Alte stimulente financiare similare</w:t>
            </w:r>
            <w:r w:rsidR="00FD5F1C" w:rsidRPr="009C5F11">
              <w:rPr>
                <w:rFonts w:ascii="Times New Roman" w:eastAsia="Verdana" w:hAnsi="Times New Roman" w:cs="Times New Roman"/>
                <w:sz w:val="16"/>
                <w:szCs w:val="13"/>
                <w:lang w:val="ro-RO" w:eastAsia="de-DE"/>
              </w:rPr>
              <w:t>.</w:t>
            </w:r>
          </w:p>
        </w:tc>
      </w:tr>
      <w:tr w:rsidR="00E02D83" w:rsidRPr="009C5F11" w14:paraId="2CA8B5CF" w14:textId="77777777" w:rsidTr="002E306C">
        <w:trPr>
          <w:trHeight w:val="1164"/>
        </w:trPr>
        <w:tc>
          <w:tcPr>
            <w:tcW w:w="339" w:type="pct"/>
            <w:tcBorders>
              <w:bottom w:val="single" w:sz="4" w:space="0" w:color="4F81BD"/>
            </w:tcBorders>
            <w:vAlign w:val="center"/>
          </w:tcPr>
          <w:p w14:paraId="7907D228" w14:textId="77777777" w:rsidR="00D91ABB" w:rsidRPr="009C5F11" w:rsidRDefault="00D91ABB" w:rsidP="00AB5A76">
            <w:pPr>
              <w:spacing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I.2.</w:t>
            </w:r>
          </w:p>
        </w:tc>
        <w:tc>
          <w:tcPr>
            <w:tcW w:w="804" w:type="pct"/>
            <w:tcBorders>
              <w:bottom w:val="single" w:sz="4" w:space="0" w:color="4F81BD"/>
            </w:tcBorders>
            <w:vAlign w:val="center"/>
          </w:tcPr>
          <w:p w14:paraId="3C16334E" w14:textId="77777777" w:rsidR="00D91ABB" w:rsidRPr="009C5F11" w:rsidRDefault="00B26897"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Introducerea managementului energetic şi a celor mai bune practici în industrie</w:t>
            </w:r>
          </w:p>
        </w:tc>
        <w:tc>
          <w:tcPr>
            <w:tcW w:w="536" w:type="pct"/>
            <w:tcBorders>
              <w:bottom w:val="single" w:sz="4" w:space="0" w:color="4F81BD"/>
            </w:tcBorders>
            <w:vAlign w:val="center"/>
          </w:tcPr>
          <w:p w14:paraId="3ABB0B08" w14:textId="77777777" w:rsidR="00D91ABB" w:rsidRPr="009C5F11" w:rsidRDefault="00D91ABB" w:rsidP="00AB5A76">
            <w:pPr>
              <w:tabs>
                <w:tab w:val="left" w:pos="1440"/>
                <w:tab w:val="left" w:pos="5040"/>
                <w:tab w:val="right" w:pos="8504"/>
              </w:tabs>
              <w:spacing w:after="0"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 xml:space="preserve">1.15 </w:t>
            </w:r>
            <w:r w:rsidR="00E52940" w:rsidRPr="009C5F11">
              <w:rPr>
                <w:rFonts w:ascii="Times New Roman" w:hAnsi="Times New Roman" w:cs="Times New Roman"/>
                <w:sz w:val="16"/>
                <w:szCs w:val="13"/>
                <w:lang w:val="ro-RO" w:eastAsia="de-DE"/>
              </w:rPr>
              <w:t>ktep</w:t>
            </w:r>
            <w:r w:rsidRPr="009C5F11">
              <w:rPr>
                <w:rFonts w:ascii="Times New Roman" w:hAnsi="Times New Roman" w:cs="Times New Roman"/>
                <w:sz w:val="16"/>
                <w:szCs w:val="13"/>
                <w:lang w:val="ro-RO" w:eastAsia="de-DE"/>
              </w:rPr>
              <w:t xml:space="preserve"> </w:t>
            </w:r>
          </w:p>
          <w:p w14:paraId="34A307A0" w14:textId="77777777" w:rsidR="00D91ABB" w:rsidRPr="009C5F11" w:rsidRDefault="00D91ABB" w:rsidP="00AB5A76">
            <w:pPr>
              <w:spacing w:line="240" w:lineRule="auto"/>
              <w:jc w:val="both"/>
              <w:rPr>
                <w:rFonts w:ascii="Times New Roman" w:eastAsia="Calibri" w:hAnsi="Times New Roman" w:cs="Times New Roman"/>
                <w:sz w:val="16"/>
                <w:szCs w:val="13"/>
                <w:lang w:val="ro-RO"/>
              </w:rPr>
            </w:pPr>
          </w:p>
        </w:tc>
        <w:tc>
          <w:tcPr>
            <w:tcW w:w="834" w:type="pct"/>
            <w:tcBorders>
              <w:bottom w:val="single" w:sz="4" w:space="0" w:color="4F81BD"/>
            </w:tcBorders>
            <w:vAlign w:val="center"/>
          </w:tcPr>
          <w:p w14:paraId="6D68572B" w14:textId="77777777" w:rsidR="00D91ABB" w:rsidRPr="009C5F11" w:rsidRDefault="00421FA7" w:rsidP="00AB5A76">
            <w:pPr>
              <w:tabs>
                <w:tab w:val="left" w:pos="1440"/>
                <w:tab w:val="left" w:pos="5040"/>
                <w:tab w:val="right" w:pos="8504"/>
              </w:tabs>
              <w:spacing w:after="0"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ME</w:t>
            </w:r>
          </w:p>
          <w:p w14:paraId="56E508DA" w14:textId="77777777" w:rsidR="00D91ABB" w:rsidRPr="009C5F11" w:rsidRDefault="00D91ABB" w:rsidP="00AB5A76">
            <w:pPr>
              <w:spacing w:line="240" w:lineRule="auto"/>
              <w:jc w:val="both"/>
              <w:rPr>
                <w:rFonts w:ascii="Times New Roman" w:eastAsia="Calibri" w:hAnsi="Times New Roman" w:cs="Times New Roman"/>
                <w:sz w:val="16"/>
                <w:szCs w:val="13"/>
                <w:lang w:val="ro-RO"/>
              </w:rPr>
            </w:pPr>
            <w:r w:rsidRPr="009C5F11">
              <w:rPr>
                <w:rFonts w:ascii="Times New Roman" w:hAnsi="Times New Roman" w:cs="Times New Roman"/>
                <w:sz w:val="16"/>
                <w:szCs w:val="13"/>
                <w:lang w:val="ro-RO"/>
              </w:rPr>
              <w:t>UNIDO</w:t>
            </w:r>
          </w:p>
        </w:tc>
        <w:tc>
          <w:tcPr>
            <w:tcW w:w="1318" w:type="pct"/>
            <w:tcBorders>
              <w:bottom w:val="single" w:sz="4" w:space="0" w:color="4F81BD"/>
            </w:tcBorders>
            <w:vAlign w:val="center"/>
          </w:tcPr>
          <w:p w14:paraId="2B917354" w14:textId="77777777" w:rsidR="00D91ABB" w:rsidRPr="009C5F11" w:rsidRDefault="00BA35B5" w:rsidP="00B40DB5">
            <w:pPr>
              <w:spacing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NCPP nu oferă subvenții directe pentru proiecte , dar facilitează investițiile directe sau subvenții de principal EEF prin furnizarea de analize și recomandări .</w:t>
            </w:r>
          </w:p>
        </w:tc>
        <w:tc>
          <w:tcPr>
            <w:tcW w:w="1168" w:type="pct"/>
            <w:tcBorders>
              <w:bottom w:val="single" w:sz="4" w:space="0" w:color="4F81BD"/>
            </w:tcBorders>
            <w:vAlign w:val="center"/>
          </w:tcPr>
          <w:p w14:paraId="06023915" w14:textId="77777777" w:rsidR="00D91ABB" w:rsidRPr="009C5F11" w:rsidRDefault="00B26897" w:rsidP="00D15DBD">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Programul naţional de producere mai pură (NCPP Moldova)</w:t>
            </w:r>
            <w:r w:rsidR="00FD5F1C" w:rsidRPr="009C5F11">
              <w:rPr>
                <w:rFonts w:ascii="Times New Roman" w:eastAsia="Verdana" w:hAnsi="Times New Roman" w:cs="Times New Roman"/>
                <w:sz w:val="16"/>
                <w:szCs w:val="13"/>
                <w:lang w:val="ro-RO" w:eastAsia="de-DE"/>
              </w:rPr>
              <w:t>.</w:t>
            </w:r>
          </w:p>
          <w:p w14:paraId="1E548CC2" w14:textId="77777777" w:rsidR="00D91ABB" w:rsidRPr="009C5F11" w:rsidRDefault="00D91ABB" w:rsidP="00792AA6">
            <w:pPr>
              <w:tabs>
                <w:tab w:val="left" w:pos="1440"/>
                <w:tab w:val="left" w:pos="5040"/>
                <w:tab w:val="right" w:pos="8504"/>
              </w:tabs>
              <w:spacing w:before="40" w:after="0" w:line="240" w:lineRule="auto"/>
              <w:jc w:val="both"/>
              <w:rPr>
                <w:rFonts w:ascii="Times New Roman" w:eastAsia="Calibri" w:hAnsi="Times New Roman" w:cs="Times New Roman"/>
                <w:sz w:val="16"/>
                <w:szCs w:val="13"/>
                <w:lang w:val="ro-RO"/>
              </w:rPr>
            </w:pPr>
            <w:r w:rsidRPr="009C5F11">
              <w:rPr>
                <w:rFonts w:ascii="Times New Roman" w:eastAsia="Verdana" w:hAnsi="Times New Roman" w:cs="Times New Roman"/>
                <w:sz w:val="16"/>
                <w:szCs w:val="13"/>
                <w:lang w:val="ro-RO" w:eastAsia="de-DE"/>
              </w:rPr>
              <w:t xml:space="preserve">UNIDO </w:t>
            </w:r>
            <w:r w:rsidR="00B26897" w:rsidRPr="009C5F11">
              <w:rPr>
                <w:rFonts w:ascii="Times New Roman" w:eastAsia="Verdana" w:hAnsi="Times New Roman" w:cs="Times New Roman"/>
                <w:sz w:val="16"/>
                <w:szCs w:val="13"/>
                <w:lang w:val="ro-RO" w:eastAsia="de-DE"/>
              </w:rPr>
              <w:t xml:space="preserve">oferă sprijin </w:t>
            </w:r>
            <w:r w:rsidRPr="009C5F11">
              <w:rPr>
                <w:rFonts w:ascii="Times New Roman" w:eastAsia="Verdana" w:hAnsi="Times New Roman" w:cs="Times New Roman"/>
                <w:sz w:val="16"/>
                <w:szCs w:val="13"/>
                <w:lang w:val="ro-RO" w:eastAsia="de-DE"/>
              </w:rPr>
              <w:t>profesional</w:t>
            </w:r>
            <w:r w:rsidR="00321CD5" w:rsidRPr="009C5F11">
              <w:rPr>
                <w:rFonts w:ascii="Times New Roman" w:eastAsia="Verdana" w:hAnsi="Times New Roman" w:cs="Times New Roman"/>
                <w:sz w:val="16"/>
                <w:szCs w:val="13"/>
                <w:lang w:val="ro-RO" w:eastAsia="de-DE"/>
              </w:rPr>
              <w:t xml:space="preserve"> şi </w:t>
            </w:r>
            <w:r w:rsidRPr="009C5F11">
              <w:rPr>
                <w:rFonts w:ascii="Times New Roman" w:eastAsia="Verdana" w:hAnsi="Times New Roman" w:cs="Times New Roman"/>
                <w:sz w:val="16"/>
                <w:szCs w:val="13"/>
                <w:lang w:val="ro-RO" w:eastAsia="de-DE"/>
              </w:rPr>
              <w:t xml:space="preserve">managerial </w:t>
            </w:r>
            <w:r w:rsidR="00B26897" w:rsidRPr="009C5F11">
              <w:rPr>
                <w:rFonts w:ascii="Times New Roman" w:eastAsia="Verdana" w:hAnsi="Times New Roman" w:cs="Times New Roman"/>
                <w:sz w:val="16"/>
                <w:szCs w:val="13"/>
                <w:lang w:val="ro-RO" w:eastAsia="de-DE"/>
              </w:rPr>
              <w:t>pentru</w:t>
            </w:r>
            <w:r w:rsidRPr="009C5F11">
              <w:rPr>
                <w:rFonts w:ascii="Times New Roman" w:eastAsia="Verdana" w:hAnsi="Times New Roman" w:cs="Times New Roman"/>
                <w:sz w:val="16"/>
                <w:szCs w:val="13"/>
                <w:lang w:val="ro-RO" w:eastAsia="de-DE"/>
              </w:rPr>
              <w:t xml:space="preserve"> NCPP Moldova, </w:t>
            </w:r>
            <w:r w:rsidR="00B26897" w:rsidRPr="009C5F11">
              <w:rPr>
                <w:rFonts w:ascii="Times New Roman" w:eastAsia="Verdana" w:hAnsi="Times New Roman" w:cs="Times New Roman"/>
                <w:sz w:val="16"/>
                <w:szCs w:val="13"/>
                <w:lang w:val="ro-RO" w:eastAsia="de-DE"/>
              </w:rPr>
              <w:t>finanţarea fiind asigurată de Guvernul Austri</w:t>
            </w:r>
            <w:r w:rsidR="00792AA6" w:rsidRPr="009C5F11">
              <w:rPr>
                <w:rFonts w:ascii="Times New Roman" w:eastAsia="Verdana" w:hAnsi="Times New Roman" w:cs="Times New Roman"/>
                <w:sz w:val="16"/>
                <w:szCs w:val="13"/>
                <w:lang w:val="ro-RO" w:eastAsia="de-DE"/>
              </w:rPr>
              <w:t>ei</w:t>
            </w:r>
            <w:r w:rsidR="00FD5F1C" w:rsidRPr="009C5F11">
              <w:rPr>
                <w:rFonts w:ascii="Times New Roman" w:eastAsia="Verdana" w:hAnsi="Times New Roman" w:cs="Times New Roman"/>
                <w:sz w:val="16"/>
                <w:szCs w:val="13"/>
                <w:lang w:val="ro-RO" w:eastAsia="de-DE"/>
              </w:rPr>
              <w:t>.</w:t>
            </w:r>
          </w:p>
        </w:tc>
      </w:tr>
      <w:tr w:rsidR="00983587" w:rsidRPr="009C5F11" w14:paraId="25BC767B" w14:textId="77777777" w:rsidTr="002E306C">
        <w:trPr>
          <w:trHeight w:val="218"/>
        </w:trPr>
        <w:tc>
          <w:tcPr>
            <w:tcW w:w="5000" w:type="pct"/>
            <w:gridSpan w:val="6"/>
            <w:shd w:val="clear" w:color="auto" w:fill="666666"/>
            <w:vAlign w:val="center"/>
          </w:tcPr>
          <w:p w14:paraId="5F539D0A" w14:textId="77777777" w:rsidR="00983587" w:rsidRPr="009C5F11" w:rsidRDefault="00421FA7" w:rsidP="00983587">
            <w:pPr>
              <w:spacing w:after="0" w:line="240" w:lineRule="auto"/>
              <w:jc w:val="center"/>
              <w:rPr>
                <w:rFonts w:ascii="Times New Roman" w:eastAsia="Calibri" w:hAnsi="Times New Roman" w:cs="Times New Roman"/>
                <w:b/>
                <w:color w:val="FFFFFF" w:themeColor="background1"/>
                <w:sz w:val="16"/>
                <w:szCs w:val="13"/>
                <w:lang w:val="ro-RO"/>
              </w:rPr>
            </w:pPr>
            <w:r w:rsidRPr="009C5F11">
              <w:rPr>
                <w:rFonts w:ascii="Times New Roman" w:eastAsia="Calibri" w:hAnsi="Times New Roman" w:cs="Times New Roman"/>
                <w:b/>
                <w:color w:val="FFFFFF" w:themeColor="background1"/>
                <w:sz w:val="16"/>
                <w:szCs w:val="13"/>
                <w:lang w:val="ro-RO"/>
              </w:rPr>
              <w:t>Sectorul rezidenţial</w:t>
            </w:r>
          </w:p>
        </w:tc>
      </w:tr>
      <w:tr w:rsidR="003A6090" w:rsidRPr="009C5F11" w14:paraId="1E5C7104" w14:textId="77777777" w:rsidTr="002E306C">
        <w:trPr>
          <w:trHeight w:val="888"/>
        </w:trPr>
        <w:tc>
          <w:tcPr>
            <w:tcW w:w="339" w:type="pct"/>
            <w:vMerge w:val="restart"/>
            <w:vAlign w:val="center"/>
          </w:tcPr>
          <w:p w14:paraId="4A1A0B19" w14:textId="77777777" w:rsidR="003A6090" w:rsidRPr="009C5F11" w:rsidRDefault="003A6090" w:rsidP="00AB5A76">
            <w:pPr>
              <w:spacing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B.1</w:t>
            </w:r>
          </w:p>
        </w:tc>
        <w:tc>
          <w:tcPr>
            <w:tcW w:w="804" w:type="pct"/>
            <w:vMerge w:val="restart"/>
            <w:vAlign w:val="center"/>
          </w:tcPr>
          <w:p w14:paraId="6428A3AF" w14:textId="77777777" w:rsidR="003A6090" w:rsidRPr="009C5F11" w:rsidRDefault="002B232C" w:rsidP="00792AA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Elaborarea cadrului </w:t>
            </w:r>
            <w:r w:rsidR="00792AA6" w:rsidRPr="009C5F11">
              <w:rPr>
                <w:rFonts w:ascii="Times New Roman" w:eastAsia="Calibri" w:hAnsi="Times New Roman" w:cs="Times New Roman"/>
                <w:sz w:val="16"/>
                <w:szCs w:val="13"/>
                <w:lang w:val="ro-RO"/>
              </w:rPr>
              <w:t>juridic</w:t>
            </w:r>
            <w:r w:rsidRPr="009C5F11">
              <w:rPr>
                <w:rFonts w:ascii="Times New Roman" w:eastAsia="Calibri" w:hAnsi="Times New Roman" w:cs="Times New Roman"/>
                <w:sz w:val="16"/>
                <w:szCs w:val="13"/>
                <w:lang w:val="ro-RO"/>
              </w:rPr>
              <w:t xml:space="preserve"> cu privire la</w:t>
            </w:r>
            <w:r w:rsidR="00D160E1" w:rsidRPr="009C5F11">
              <w:rPr>
                <w:rFonts w:ascii="Times New Roman" w:eastAsia="Calibri" w:hAnsi="Times New Roman" w:cs="Times New Roman"/>
                <w:sz w:val="16"/>
                <w:szCs w:val="13"/>
                <w:lang w:val="ro-RO"/>
              </w:rPr>
              <w:t xml:space="preserve"> performanţa energetică a clădirilor</w:t>
            </w:r>
          </w:p>
        </w:tc>
        <w:tc>
          <w:tcPr>
            <w:tcW w:w="536" w:type="pct"/>
            <w:vMerge w:val="restart"/>
            <w:vAlign w:val="center"/>
          </w:tcPr>
          <w:p w14:paraId="061C561B" w14:textId="77777777" w:rsidR="003A6090" w:rsidRPr="009C5F11" w:rsidRDefault="000D2EDD"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N/A</w:t>
            </w:r>
          </w:p>
        </w:tc>
        <w:tc>
          <w:tcPr>
            <w:tcW w:w="834" w:type="pct"/>
            <w:vMerge w:val="restart"/>
            <w:vAlign w:val="center"/>
          </w:tcPr>
          <w:p w14:paraId="08200202" w14:textId="77777777" w:rsidR="003A6090" w:rsidRPr="009C5F11" w:rsidRDefault="00AA0566"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MDRC</w:t>
            </w:r>
          </w:p>
        </w:tc>
        <w:tc>
          <w:tcPr>
            <w:tcW w:w="1318" w:type="pct"/>
            <w:vAlign w:val="center"/>
          </w:tcPr>
          <w:p w14:paraId="4EF9C30B" w14:textId="77777777" w:rsidR="003A6090" w:rsidRPr="009C5F11" w:rsidRDefault="003A6090" w:rsidP="003A6090">
            <w:pPr>
              <w:spacing w:after="0" w:line="240" w:lineRule="auto"/>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2016-2018</w:t>
            </w:r>
          </w:p>
          <w:p w14:paraId="5EBC5F4D" w14:textId="77777777" w:rsidR="002B1981" w:rsidRPr="009C5F11" w:rsidRDefault="002B1981" w:rsidP="002B1981">
            <w:pPr>
              <w:tabs>
                <w:tab w:val="left" w:pos="153"/>
              </w:tabs>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b/>
                <w:sz w:val="16"/>
                <w:szCs w:val="13"/>
                <w:lang w:val="ro-RO"/>
              </w:rPr>
              <w:tab/>
            </w:r>
            <w:r w:rsidRPr="009C5F11">
              <w:rPr>
                <w:rFonts w:ascii="Times New Roman" w:eastAsia="Calibri" w:hAnsi="Times New Roman" w:cs="Times New Roman"/>
                <w:sz w:val="16"/>
                <w:szCs w:val="13"/>
                <w:lang w:val="ro-RO"/>
              </w:rPr>
              <w:t>2016: 1,260 mii lei</w:t>
            </w:r>
          </w:p>
          <w:p w14:paraId="7BA0F2CC" w14:textId="77777777" w:rsidR="002B1981" w:rsidRPr="009C5F11" w:rsidRDefault="002B1981" w:rsidP="002B1981">
            <w:pPr>
              <w:tabs>
                <w:tab w:val="left" w:pos="153"/>
              </w:tabs>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b/>
              <w:t>2017: 350 mii lei</w:t>
            </w:r>
          </w:p>
          <w:p w14:paraId="688F768A" w14:textId="77777777" w:rsidR="002B1981" w:rsidRPr="009C5F11" w:rsidRDefault="002B1981" w:rsidP="002B1981">
            <w:pPr>
              <w:tabs>
                <w:tab w:val="left" w:pos="153"/>
              </w:tabs>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b/>
              <w:t>2018: 350 mii lei</w:t>
            </w:r>
          </w:p>
          <w:p w14:paraId="62C384D7" w14:textId="77777777" w:rsidR="002B1981" w:rsidRPr="009C5F11" w:rsidRDefault="002B1981" w:rsidP="003A6090">
            <w:pPr>
              <w:spacing w:after="0" w:line="240" w:lineRule="auto"/>
              <w:rPr>
                <w:rFonts w:ascii="Times New Roman" w:eastAsia="Calibri" w:hAnsi="Times New Roman" w:cs="Times New Roman"/>
                <w:b/>
                <w:sz w:val="16"/>
                <w:szCs w:val="13"/>
                <w:lang w:val="ro-RO"/>
              </w:rPr>
            </w:pPr>
          </w:p>
          <w:p w14:paraId="01CC1DDA" w14:textId="77777777" w:rsidR="00336B1F" w:rsidRPr="009C5F11" w:rsidRDefault="00336B1F" w:rsidP="00336B1F">
            <w:pPr>
              <w:spacing w:after="0" w:line="240" w:lineRule="auto"/>
              <w:jc w:val="both"/>
              <w:rPr>
                <w:rFonts w:ascii="Times New Roman" w:eastAsia="Calibri" w:hAnsi="Times New Roman" w:cs="Times New Roman"/>
                <w:sz w:val="16"/>
                <w:szCs w:val="13"/>
                <w:lang w:val="ro-RO"/>
              </w:rPr>
            </w:pPr>
          </w:p>
        </w:tc>
        <w:tc>
          <w:tcPr>
            <w:tcW w:w="1168" w:type="pct"/>
            <w:vAlign w:val="center"/>
          </w:tcPr>
          <w:p w14:paraId="0EA1DD56" w14:textId="77777777" w:rsidR="00C71A7E" w:rsidRPr="009C5F11" w:rsidRDefault="004E780C"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FD5F1C" w:rsidRPr="009C5F11">
              <w:rPr>
                <w:rFonts w:ascii="Times New Roman" w:eastAsia="Verdana" w:hAnsi="Times New Roman" w:cs="Times New Roman"/>
                <w:sz w:val="16"/>
                <w:szCs w:val="13"/>
                <w:lang w:val="ro-RO" w:eastAsia="de-DE"/>
              </w:rPr>
              <w:t>.</w:t>
            </w:r>
          </w:p>
          <w:p w14:paraId="72B4D501" w14:textId="77777777" w:rsidR="003A6090" w:rsidRPr="009C5F11" w:rsidRDefault="00D160E1" w:rsidP="00B40DB5">
            <w:pPr>
              <w:tabs>
                <w:tab w:val="left" w:pos="1440"/>
                <w:tab w:val="left" w:pos="5040"/>
                <w:tab w:val="right" w:pos="8504"/>
              </w:tabs>
              <w:spacing w:before="40" w:after="0" w:line="240" w:lineRule="auto"/>
              <w:rPr>
                <w:rFonts w:ascii="Times New Roman" w:eastAsia="Calibri" w:hAnsi="Times New Roman" w:cs="Times New Roman"/>
                <w:sz w:val="16"/>
                <w:szCs w:val="13"/>
                <w:lang w:val="ro-RO"/>
              </w:rPr>
            </w:pPr>
            <w:r w:rsidRPr="009C5F11">
              <w:rPr>
                <w:rFonts w:ascii="Times New Roman" w:eastAsia="Verdana" w:hAnsi="Times New Roman" w:cs="Times New Roman"/>
                <w:sz w:val="16"/>
                <w:szCs w:val="13"/>
                <w:lang w:val="ro-RO" w:eastAsia="de-DE"/>
              </w:rPr>
              <w:t xml:space="preserve">Acţiunea “Implementarea cadrului legislativ şi de reglementare </w:t>
            </w:r>
            <w:r w:rsidR="00F03954" w:rsidRPr="009C5F11">
              <w:rPr>
                <w:rFonts w:ascii="Times New Roman" w:eastAsia="Verdana" w:hAnsi="Times New Roman" w:cs="Times New Roman"/>
                <w:sz w:val="16"/>
                <w:szCs w:val="13"/>
                <w:lang w:val="ro-RO" w:eastAsia="de-DE"/>
              </w:rPr>
              <w:t>privind performanţa</w:t>
            </w:r>
            <w:r w:rsidRPr="009C5F11">
              <w:rPr>
                <w:rFonts w:ascii="Times New Roman" w:eastAsia="Verdana" w:hAnsi="Times New Roman" w:cs="Times New Roman"/>
                <w:sz w:val="16"/>
                <w:szCs w:val="13"/>
                <w:lang w:val="ro-RO" w:eastAsia="de-DE"/>
              </w:rPr>
              <w:t xml:space="preserve"> energetică a clădirilor (PEC)”</w:t>
            </w:r>
            <w:r w:rsidR="00FD5F1C" w:rsidRPr="009C5F11">
              <w:rPr>
                <w:rFonts w:ascii="Times New Roman" w:eastAsia="Verdana" w:hAnsi="Times New Roman" w:cs="Times New Roman"/>
                <w:sz w:val="16"/>
                <w:szCs w:val="13"/>
                <w:lang w:val="ro-RO" w:eastAsia="de-DE"/>
              </w:rPr>
              <w:t>.</w:t>
            </w:r>
          </w:p>
        </w:tc>
      </w:tr>
      <w:tr w:rsidR="003A6090" w:rsidRPr="009C5F11" w14:paraId="1B9839C2" w14:textId="77777777" w:rsidTr="002E306C">
        <w:trPr>
          <w:trHeight w:val="605"/>
        </w:trPr>
        <w:tc>
          <w:tcPr>
            <w:tcW w:w="339" w:type="pct"/>
            <w:vMerge/>
            <w:vAlign w:val="center"/>
          </w:tcPr>
          <w:p w14:paraId="5B685E6C" w14:textId="77777777" w:rsidR="003A6090" w:rsidRPr="009C5F11" w:rsidRDefault="003A6090" w:rsidP="00AB5A76">
            <w:pPr>
              <w:spacing w:line="240" w:lineRule="auto"/>
              <w:jc w:val="both"/>
              <w:rPr>
                <w:rFonts w:ascii="Times New Roman" w:hAnsi="Times New Roman" w:cs="Times New Roman"/>
                <w:sz w:val="16"/>
                <w:szCs w:val="13"/>
                <w:lang w:val="ro-RO" w:eastAsia="de-DE"/>
              </w:rPr>
            </w:pPr>
          </w:p>
        </w:tc>
        <w:tc>
          <w:tcPr>
            <w:tcW w:w="804" w:type="pct"/>
            <w:vMerge/>
            <w:vAlign w:val="center"/>
          </w:tcPr>
          <w:p w14:paraId="4DFB495F" w14:textId="77777777" w:rsidR="003A6090" w:rsidRPr="009C5F11" w:rsidRDefault="003A6090" w:rsidP="00AB5A76">
            <w:pPr>
              <w:spacing w:after="0" w:line="240" w:lineRule="auto"/>
              <w:rPr>
                <w:rFonts w:ascii="Times New Roman" w:eastAsia="Calibri" w:hAnsi="Times New Roman" w:cs="Times New Roman"/>
                <w:sz w:val="16"/>
                <w:szCs w:val="13"/>
                <w:lang w:val="ro-RO"/>
              </w:rPr>
            </w:pPr>
          </w:p>
        </w:tc>
        <w:tc>
          <w:tcPr>
            <w:tcW w:w="536" w:type="pct"/>
            <w:vMerge/>
            <w:vAlign w:val="center"/>
          </w:tcPr>
          <w:p w14:paraId="3C3AB02E" w14:textId="77777777" w:rsidR="003A6090" w:rsidRPr="009C5F11" w:rsidRDefault="003A6090" w:rsidP="00AB5A76">
            <w:pPr>
              <w:spacing w:line="240" w:lineRule="auto"/>
              <w:jc w:val="both"/>
              <w:rPr>
                <w:rFonts w:ascii="Times New Roman" w:eastAsia="Calibri" w:hAnsi="Times New Roman" w:cs="Times New Roman"/>
                <w:sz w:val="16"/>
                <w:szCs w:val="13"/>
                <w:lang w:val="ro-RO"/>
              </w:rPr>
            </w:pPr>
          </w:p>
        </w:tc>
        <w:tc>
          <w:tcPr>
            <w:tcW w:w="834" w:type="pct"/>
            <w:vMerge/>
            <w:vAlign w:val="center"/>
          </w:tcPr>
          <w:p w14:paraId="3285B96A" w14:textId="77777777" w:rsidR="003A6090" w:rsidRPr="009C5F11" w:rsidRDefault="003A6090" w:rsidP="00AB5A76">
            <w:pPr>
              <w:spacing w:line="240" w:lineRule="auto"/>
              <w:jc w:val="both"/>
              <w:rPr>
                <w:rFonts w:ascii="Times New Roman" w:eastAsia="Calibri" w:hAnsi="Times New Roman" w:cs="Times New Roman"/>
                <w:sz w:val="16"/>
                <w:szCs w:val="13"/>
                <w:lang w:val="ro-RO"/>
              </w:rPr>
            </w:pPr>
          </w:p>
        </w:tc>
        <w:tc>
          <w:tcPr>
            <w:tcW w:w="1318" w:type="pct"/>
            <w:vAlign w:val="center"/>
          </w:tcPr>
          <w:p w14:paraId="4F26F624" w14:textId="77777777" w:rsidR="003A6090" w:rsidRPr="009C5F11" w:rsidRDefault="00534A4C">
            <w:pPr>
              <w:spacing w:after="0" w:line="240" w:lineRule="auto"/>
              <w:rPr>
                <w:rFonts w:ascii="Times New Roman" w:eastAsia="Calibri" w:hAnsi="Times New Roman" w:cs="Times New Roman"/>
                <w:b/>
                <w:sz w:val="16"/>
                <w:szCs w:val="13"/>
                <w:lang w:val="ro-RO"/>
              </w:rPr>
            </w:pPr>
            <w:r w:rsidRPr="009C5F11">
              <w:rPr>
                <w:rFonts w:ascii="Times New Roman" w:eastAsia="Calibri" w:hAnsi="Times New Roman" w:cs="Times New Roman"/>
                <w:sz w:val="16"/>
                <w:szCs w:val="13"/>
                <w:lang w:val="ro-RO"/>
              </w:rPr>
              <w:t>N</w:t>
            </w:r>
            <w:r w:rsidR="00C231C1" w:rsidRPr="009C5F11">
              <w:rPr>
                <w:rFonts w:ascii="Times New Roman" w:eastAsia="Calibri" w:hAnsi="Times New Roman" w:cs="Times New Roman"/>
                <w:sz w:val="16"/>
                <w:szCs w:val="13"/>
                <w:lang w:val="ro-RO"/>
              </w:rPr>
              <w:t>/A</w:t>
            </w:r>
          </w:p>
        </w:tc>
        <w:tc>
          <w:tcPr>
            <w:tcW w:w="1168" w:type="pct"/>
            <w:vAlign w:val="center"/>
          </w:tcPr>
          <w:p w14:paraId="24BDACBB" w14:textId="77777777" w:rsidR="003A6090" w:rsidRPr="009C5F11" w:rsidRDefault="00D160E1"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Foaia de parcurs pentru implementarea Directivei privind performanţa energetică a clădirilor (DPEC) în Republica Moldova</w:t>
            </w:r>
            <w:r w:rsidR="0049198B" w:rsidRPr="009C5F11">
              <w:rPr>
                <w:rFonts w:ascii="Times New Roman" w:eastAsia="Verdana" w:hAnsi="Times New Roman" w:cs="Times New Roman"/>
                <w:sz w:val="16"/>
                <w:szCs w:val="13"/>
                <w:lang w:val="ro-RO" w:eastAsia="de-DE"/>
              </w:rPr>
              <w:t xml:space="preserve"> (</w:t>
            </w:r>
            <w:r w:rsidR="00C231C1" w:rsidRPr="009C5F11">
              <w:rPr>
                <w:rFonts w:ascii="Times New Roman" w:eastAsia="Verdana" w:hAnsi="Times New Roman" w:cs="Times New Roman"/>
                <w:sz w:val="16"/>
                <w:szCs w:val="13"/>
                <w:lang w:val="ro-RO" w:eastAsia="de-DE"/>
              </w:rPr>
              <w:t xml:space="preserve">propusa de </w:t>
            </w:r>
            <w:r w:rsidR="00AA0566" w:rsidRPr="009C5F11">
              <w:rPr>
                <w:rFonts w:ascii="Times New Roman" w:eastAsia="Verdana" w:hAnsi="Times New Roman" w:cs="Times New Roman"/>
                <w:sz w:val="16"/>
                <w:szCs w:val="13"/>
                <w:lang w:val="ro-RO" w:eastAsia="de-DE"/>
              </w:rPr>
              <w:t>BERD</w:t>
            </w:r>
            <w:r w:rsidR="0049198B" w:rsidRPr="009C5F11">
              <w:rPr>
                <w:rFonts w:ascii="Times New Roman" w:eastAsia="Verdana" w:hAnsi="Times New Roman" w:cs="Times New Roman"/>
                <w:sz w:val="16"/>
                <w:szCs w:val="13"/>
                <w:lang w:val="ro-RO" w:eastAsia="de-DE"/>
              </w:rPr>
              <w:t>)</w:t>
            </w:r>
            <w:r w:rsidRPr="009C5F11">
              <w:rPr>
                <w:rFonts w:ascii="Times New Roman" w:eastAsia="Verdana" w:hAnsi="Times New Roman" w:cs="Times New Roman"/>
                <w:sz w:val="16"/>
                <w:szCs w:val="13"/>
                <w:lang w:val="ro-RO" w:eastAsia="de-DE"/>
              </w:rPr>
              <w:t>.</w:t>
            </w:r>
          </w:p>
        </w:tc>
      </w:tr>
      <w:tr w:rsidR="00556D0D" w:rsidRPr="009C5F11" w14:paraId="43647315" w14:textId="77777777" w:rsidTr="002E306C">
        <w:trPr>
          <w:trHeight w:val="616"/>
        </w:trPr>
        <w:tc>
          <w:tcPr>
            <w:tcW w:w="339" w:type="pct"/>
            <w:vMerge w:val="restart"/>
            <w:vAlign w:val="center"/>
          </w:tcPr>
          <w:p w14:paraId="39EC8751" w14:textId="77777777" w:rsidR="00556D0D" w:rsidRPr="009C5F11" w:rsidRDefault="00556D0D" w:rsidP="00AB5A76">
            <w:pPr>
              <w:spacing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B.2</w:t>
            </w:r>
          </w:p>
        </w:tc>
        <w:tc>
          <w:tcPr>
            <w:tcW w:w="804" w:type="pct"/>
            <w:vMerge w:val="restart"/>
            <w:vAlign w:val="center"/>
          </w:tcPr>
          <w:p w14:paraId="420FFEF9" w14:textId="77777777" w:rsidR="00556D0D" w:rsidRPr="009C5F11" w:rsidRDefault="00D160E1"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Promovarea clădirilor al căror consum de energie este aproape egal cu zero</w:t>
            </w:r>
          </w:p>
        </w:tc>
        <w:tc>
          <w:tcPr>
            <w:tcW w:w="536" w:type="pct"/>
            <w:vMerge w:val="restart"/>
            <w:vAlign w:val="center"/>
          </w:tcPr>
          <w:p w14:paraId="7AB57A68" w14:textId="77777777" w:rsidR="00556D0D" w:rsidRPr="009C5F11" w:rsidRDefault="000D2EDD"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N/A</w:t>
            </w:r>
          </w:p>
        </w:tc>
        <w:tc>
          <w:tcPr>
            <w:tcW w:w="834" w:type="pct"/>
            <w:vMerge w:val="restart"/>
            <w:vAlign w:val="center"/>
          </w:tcPr>
          <w:p w14:paraId="1F25F3D3" w14:textId="77777777" w:rsidR="00556D0D" w:rsidRPr="009C5F11" w:rsidRDefault="00AA0566"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MDRC</w:t>
            </w:r>
          </w:p>
        </w:tc>
        <w:tc>
          <w:tcPr>
            <w:tcW w:w="1318" w:type="pct"/>
            <w:vAlign w:val="center"/>
          </w:tcPr>
          <w:p w14:paraId="0E07ABDD" w14:textId="77777777" w:rsidR="00417222" w:rsidRPr="009C5F11" w:rsidRDefault="00417222" w:rsidP="00417222">
            <w:pPr>
              <w:spacing w:after="0" w:line="240" w:lineRule="auto"/>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 xml:space="preserve">2016-2018 </w:t>
            </w:r>
          </w:p>
          <w:p w14:paraId="5758F854" w14:textId="77777777" w:rsidR="00417222" w:rsidRPr="009C5F11" w:rsidRDefault="00417222" w:rsidP="00417222">
            <w:pPr>
              <w:tabs>
                <w:tab w:val="left" w:pos="702"/>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2016: 1,260 </w:t>
            </w:r>
            <w:r w:rsidR="00AA0566" w:rsidRPr="009C5F11">
              <w:rPr>
                <w:rFonts w:ascii="Times New Roman" w:eastAsia="Verdana" w:hAnsi="Times New Roman" w:cs="Times New Roman"/>
                <w:sz w:val="16"/>
                <w:szCs w:val="13"/>
                <w:lang w:val="ro-RO" w:eastAsia="de-DE"/>
              </w:rPr>
              <w:t>mii lei</w:t>
            </w:r>
          </w:p>
          <w:p w14:paraId="0B3B8D74" w14:textId="77777777" w:rsidR="00417222" w:rsidRPr="009C5F11" w:rsidRDefault="00417222" w:rsidP="00417222">
            <w:pPr>
              <w:tabs>
                <w:tab w:val="left" w:pos="702"/>
                <w:tab w:val="left" w:pos="5040"/>
                <w:tab w:val="right" w:pos="8504"/>
              </w:tabs>
              <w:spacing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2017: 350 </w:t>
            </w:r>
            <w:r w:rsidR="00AA0566" w:rsidRPr="009C5F11">
              <w:rPr>
                <w:rFonts w:ascii="Times New Roman" w:eastAsia="Verdana" w:hAnsi="Times New Roman" w:cs="Times New Roman"/>
                <w:sz w:val="16"/>
                <w:szCs w:val="13"/>
                <w:lang w:val="ro-RO" w:eastAsia="de-DE"/>
              </w:rPr>
              <w:t>mii lei</w:t>
            </w:r>
          </w:p>
          <w:p w14:paraId="06AE53F1" w14:textId="77777777" w:rsidR="00556D0D" w:rsidRPr="009C5F11" w:rsidRDefault="00417222" w:rsidP="00417222">
            <w:pPr>
              <w:spacing w:after="0" w:line="240" w:lineRule="auto"/>
              <w:jc w:val="both"/>
              <w:rPr>
                <w:rFonts w:ascii="Times New Roman" w:eastAsia="Calibri" w:hAnsi="Times New Roman" w:cs="Times New Roman"/>
                <w:sz w:val="16"/>
                <w:szCs w:val="13"/>
                <w:lang w:val="ro-RO"/>
              </w:rPr>
            </w:pPr>
            <w:r w:rsidRPr="009C5F11">
              <w:rPr>
                <w:rFonts w:ascii="Times New Roman" w:eastAsia="Verdana" w:hAnsi="Times New Roman" w:cs="Times New Roman"/>
                <w:sz w:val="16"/>
                <w:szCs w:val="13"/>
                <w:lang w:val="ro-RO" w:eastAsia="de-DE"/>
              </w:rPr>
              <w:t xml:space="preserve">2018: 350 </w:t>
            </w:r>
            <w:r w:rsidR="00AA0566" w:rsidRPr="009C5F11">
              <w:rPr>
                <w:rFonts w:ascii="Times New Roman" w:eastAsia="Verdana" w:hAnsi="Times New Roman" w:cs="Times New Roman"/>
                <w:sz w:val="16"/>
                <w:szCs w:val="13"/>
                <w:lang w:val="ro-RO" w:eastAsia="de-DE"/>
              </w:rPr>
              <w:t>mii lei</w:t>
            </w:r>
          </w:p>
        </w:tc>
        <w:tc>
          <w:tcPr>
            <w:tcW w:w="1168" w:type="pct"/>
            <w:vAlign w:val="center"/>
          </w:tcPr>
          <w:p w14:paraId="68D6EBE3" w14:textId="77777777" w:rsidR="00417222" w:rsidRPr="009C5F11" w:rsidRDefault="004E780C"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FD5F1C" w:rsidRPr="009C5F11">
              <w:rPr>
                <w:rFonts w:ascii="Times New Roman" w:eastAsia="Verdana" w:hAnsi="Times New Roman" w:cs="Times New Roman"/>
                <w:sz w:val="16"/>
                <w:szCs w:val="13"/>
                <w:lang w:val="ro-RO" w:eastAsia="de-DE"/>
              </w:rPr>
              <w:t>.</w:t>
            </w:r>
          </w:p>
          <w:p w14:paraId="18244B2B" w14:textId="77777777" w:rsidR="00556D0D" w:rsidRPr="009C5F11" w:rsidRDefault="00D160E1"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Acţiunea “Implementarea cadrului legislativ şi de reglementare cu privire la PEC”.</w:t>
            </w:r>
          </w:p>
        </w:tc>
      </w:tr>
      <w:tr w:rsidR="00556D0D" w:rsidRPr="009C5F11" w14:paraId="14700A73" w14:textId="77777777" w:rsidTr="002E306C">
        <w:trPr>
          <w:trHeight w:val="616"/>
        </w:trPr>
        <w:tc>
          <w:tcPr>
            <w:tcW w:w="339" w:type="pct"/>
            <w:vMerge/>
            <w:vAlign w:val="center"/>
          </w:tcPr>
          <w:p w14:paraId="7F9FCAE3" w14:textId="77777777" w:rsidR="00556D0D" w:rsidRPr="009C5F11" w:rsidRDefault="00556D0D" w:rsidP="00AB5A76">
            <w:pPr>
              <w:spacing w:line="240" w:lineRule="auto"/>
              <w:jc w:val="both"/>
              <w:rPr>
                <w:rFonts w:ascii="Times New Roman" w:hAnsi="Times New Roman" w:cs="Times New Roman"/>
                <w:sz w:val="16"/>
                <w:szCs w:val="13"/>
                <w:lang w:val="ro-RO" w:eastAsia="de-DE"/>
              </w:rPr>
            </w:pPr>
          </w:p>
        </w:tc>
        <w:tc>
          <w:tcPr>
            <w:tcW w:w="804" w:type="pct"/>
            <w:vMerge/>
            <w:vAlign w:val="center"/>
          </w:tcPr>
          <w:p w14:paraId="303753A3" w14:textId="77777777" w:rsidR="00556D0D" w:rsidRPr="009C5F11" w:rsidRDefault="00556D0D" w:rsidP="00AB5A76">
            <w:pPr>
              <w:spacing w:after="0" w:line="240" w:lineRule="auto"/>
              <w:rPr>
                <w:rFonts w:ascii="Times New Roman" w:eastAsia="Calibri" w:hAnsi="Times New Roman" w:cs="Times New Roman"/>
                <w:sz w:val="16"/>
                <w:szCs w:val="13"/>
                <w:lang w:val="ro-RO"/>
              </w:rPr>
            </w:pPr>
          </w:p>
        </w:tc>
        <w:tc>
          <w:tcPr>
            <w:tcW w:w="536" w:type="pct"/>
            <w:vMerge/>
            <w:vAlign w:val="center"/>
          </w:tcPr>
          <w:p w14:paraId="559060B7" w14:textId="77777777" w:rsidR="00556D0D" w:rsidRPr="009C5F11" w:rsidRDefault="00556D0D" w:rsidP="00AB5A76">
            <w:pPr>
              <w:spacing w:line="240" w:lineRule="auto"/>
              <w:jc w:val="both"/>
              <w:rPr>
                <w:rFonts w:ascii="Times New Roman" w:eastAsia="Calibri" w:hAnsi="Times New Roman" w:cs="Times New Roman"/>
                <w:sz w:val="16"/>
                <w:szCs w:val="13"/>
                <w:lang w:val="ro-RO"/>
              </w:rPr>
            </w:pPr>
          </w:p>
        </w:tc>
        <w:tc>
          <w:tcPr>
            <w:tcW w:w="834" w:type="pct"/>
            <w:vMerge/>
            <w:vAlign w:val="center"/>
          </w:tcPr>
          <w:p w14:paraId="1EDB37C8" w14:textId="77777777" w:rsidR="00556D0D" w:rsidRPr="009C5F11" w:rsidRDefault="00556D0D" w:rsidP="00AB5A76">
            <w:pPr>
              <w:spacing w:line="240" w:lineRule="auto"/>
              <w:jc w:val="both"/>
              <w:rPr>
                <w:rFonts w:ascii="Times New Roman" w:eastAsia="Calibri" w:hAnsi="Times New Roman" w:cs="Times New Roman"/>
                <w:sz w:val="16"/>
                <w:szCs w:val="13"/>
                <w:lang w:val="ro-RO"/>
              </w:rPr>
            </w:pPr>
          </w:p>
        </w:tc>
        <w:tc>
          <w:tcPr>
            <w:tcW w:w="1318" w:type="pct"/>
            <w:vAlign w:val="center"/>
          </w:tcPr>
          <w:p w14:paraId="5AF7AB54" w14:textId="77777777" w:rsidR="00556D0D" w:rsidRPr="009C5F11" w:rsidRDefault="00534A4C"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w:t>
            </w:r>
            <w:r w:rsidR="00C231C1" w:rsidRPr="009C5F11">
              <w:rPr>
                <w:rFonts w:ascii="Times New Roman" w:eastAsia="Calibri" w:hAnsi="Times New Roman" w:cs="Times New Roman"/>
                <w:sz w:val="16"/>
                <w:szCs w:val="13"/>
                <w:lang w:val="ro-RO"/>
              </w:rPr>
              <w:t>/A</w:t>
            </w:r>
          </w:p>
        </w:tc>
        <w:tc>
          <w:tcPr>
            <w:tcW w:w="1168" w:type="pct"/>
            <w:vAlign w:val="center"/>
          </w:tcPr>
          <w:p w14:paraId="6A748DC7" w14:textId="77777777" w:rsidR="00556D0D" w:rsidRPr="009C5F11" w:rsidRDefault="00D160E1"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Foaia de parcurs pentru implementarea DPEC în Republica Moldova</w:t>
            </w:r>
            <w:r w:rsidR="00556D0D" w:rsidRPr="009C5F11">
              <w:rPr>
                <w:rFonts w:ascii="Times New Roman" w:eastAsia="Verdana" w:hAnsi="Times New Roman" w:cs="Times New Roman"/>
                <w:sz w:val="16"/>
                <w:szCs w:val="13"/>
                <w:lang w:val="ro-RO" w:eastAsia="de-DE"/>
              </w:rPr>
              <w:t xml:space="preserve"> (</w:t>
            </w:r>
            <w:r w:rsidR="00AA0566" w:rsidRPr="009C5F11">
              <w:rPr>
                <w:rFonts w:ascii="Times New Roman" w:eastAsia="Verdana" w:hAnsi="Times New Roman" w:cs="Times New Roman"/>
                <w:sz w:val="16"/>
                <w:szCs w:val="13"/>
                <w:lang w:val="ro-RO" w:eastAsia="de-DE"/>
              </w:rPr>
              <w:t>BERD</w:t>
            </w:r>
            <w:r w:rsidR="00556D0D" w:rsidRPr="009C5F11">
              <w:rPr>
                <w:rFonts w:ascii="Times New Roman" w:eastAsia="Verdana" w:hAnsi="Times New Roman" w:cs="Times New Roman"/>
                <w:sz w:val="16"/>
                <w:szCs w:val="13"/>
                <w:lang w:val="ro-RO" w:eastAsia="de-DE"/>
              </w:rPr>
              <w:t>)</w:t>
            </w:r>
            <w:r w:rsidRPr="009C5F11">
              <w:rPr>
                <w:rFonts w:ascii="Times New Roman" w:eastAsia="Verdana" w:hAnsi="Times New Roman" w:cs="Times New Roman"/>
                <w:sz w:val="16"/>
                <w:szCs w:val="13"/>
                <w:lang w:val="ro-RO" w:eastAsia="de-DE"/>
              </w:rPr>
              <w:t>.</w:t>
            </w:r>
          </w:p>
        </w:tc>
      </w:tr>
      <w:tr w:rsidR="008025C6" w:rsidRPr="009C5F11" w14:paraId="1651DAE7" w14:textId="77777777" w:rsidTr="002E306C">
        <w:trPr>
          <w:trHeight w:val="204"/>
        </w:trPr>
        <w:tc>
          <w:tcPr>
            <w:tcW w:w="339" w:type="pct"/>
            <w:vMerge w:val="restart"/>
            <w:vAlign w:val="center"/>
          </w:tcPr>
          <w:p w14:paraId="294D9A9F" w14:textId="77777777" w:rsidR="008025C6" w:rsidRPr="009C5F11" w:rsidRDefault="008025C6" w:rsidP="00AB5A76">
            <w:pPr>
              <w:spacing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B.3</w:t>
            </w:r>
          </w:p>
        </w:tc>
        <w:tc>
          <w:tcPr>
            <w:tcW w:w="804" w:type="pct"/>
            <w:vMerge w:val="restart"/>
            <w:vAlign w:val="center"/>
          </w:tcPr>
          <w:p w14:paraId="21318C1F" w14:textId="77777777" w:rsidR="008025C6" w:rsidRPr="009C5F11" w:rsidRDefault="00D160E1"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Măsuri de îmbunătăţire a eficienţei energetice în blocurile rezidenţiale</w:t>
            </w:r>
          </w:p>
        </w:tc>
        <w:tc>
          <w:tcPr>
            <w:tcW w:w="536" w:type="pct"/>
            <w:vMerge w:val="restart"/>
            <w:vAlign w:val="center"/>
          </w:tcPr>
          <w:p w14:paraId="04D94A3F" w14:textId="77777777" w:rsidR="008025C6" w:rsidRPr="009C5F11" w:rsidRDefault="00165459"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31</w:t>
            </w:r>
            <w:r w:rsidR="008025C6" w:rsidRPr="009C5F11">
              <w:rPr>
                <w:rFonts w:ascii="Times New Roman" w:eastAsia="Calibri" w:hAnsi="Times New Roman" w:cs="Times New Roman"/>
                <w:sz w:val="16"/>
                <w:szCs w:val="13"/>
                <w:lang w:val="ro-RO"/>
              </w:rPr>
              <w:t xml:space="preserve"> </w:t>
            </w:r>
            <w:r w:rsidR="00E52940" w:rsidRPr="009C5F11">
              <w:rPr>
                <w:rFonts w:ascii="Times New Roman" w:eastAsia="Calibri" w:hAnsi="Times New Roman" w:cs="Times New Roman"/>
                <w:sz w:val="16"/>
                <w:szCs w:val="13"/>
                <w:lang w:val="ro-RO"/>
              </w:rPr>
              <w:t>ktep</w:t>
            </w:r>
          </w:p>
        </w:tc>
        <w:tc>
          <w:tcPr>
            <w:tcW w:w="834" w:type="pct"/>
            <w:vMerge w:val="restart"/>
            <w:vAlign w:val="center"/>
          </w:tcPr>
          <w:p w14:paraId="1F020338" w14:textId="77777777" w:rsidR="008025C6" w:rsidRPr="009C5F11" w:rsidRDefault="00AA0566"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MDRC</w:t>
            </w:r>
          </w:p>
        </w:tc>
        <w:tc>
          <w:tcPr>
            <w:tcW w:w="1318" w:type="pct"/>
            <w:vAlign w:val="center"/>
          </w:tcPr>
          <w:p w14:paraId="2B4234E4" w14:textId="77777777" w:rsidR="008025C6" w:rsidRPr="009C5F11" w:rsidRDefault="00D15DBD" w:rsidP="008025C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29,000,000</w:t>
            </w:r>
            <w:r w:rsidR="008025C6" w:rsidRPr="009C5F11">
              <w:rPr>
                <w:rFonts w:ascii="Times New Roman" w:eastAsia="Calibri" w:hAnsi="Times New Roman" w:cs="Times New Roman"/>
                <w:sz w:val="16"/>
                <w:szCs w:val="13"/>
                <w:lang w:val="ro-RO"/>
              </w:rPr>
              <w:t xml:space="preserve"> </w:t>
            </w:r>
            <w:r w:rsidR="00421FA7" w:rsidRPr="009C5F11">
              <w:rPr>
                <w:rFonts w:ascii="Times New Roman" w:eastAsia="Calibri" w:hAnsi="Times New Roman" w:cs="Times New Roman"/>
                <w:sz w:val="16"/>
                <w:szCs w:val="13"/>
                <w:lang w:val="ro-RO"/>
              </w:rPr>
              <w:t>euro</w:t>
            </w:r>
          </w:p>
        </w:tc>
        <w:tc>
          <w:tcPr>
            <w:tcW w:w="1168" w:type="pct"/>
            <w:vAlign w:val="center"/>
          </w:tcPr>
          <w:p w14:paraId="25F3D57D" w14:textId="77777777" w:rsidR="008025C6" w:rsidRPr="009C5F11" w:rsidRDefault="00D160E1"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Linia de credit </w:t>
            </w:r>
            <w:r w:rsidR="0087273F" w:rsidRPr="009C5F11">
              <w:rPr>
                <w:rFonts w:ascii="Times New Roman" w:eastAsia="Verdana" w:hAnsi="Times New Roman" w:cs="Times New Roman"/>
                <w:sz w:val="16"/>
                <w:szCs w:val="13"/>
                <w:lang w:val="ro-RO" w:eastAsia="de-DE"/>
              </w:rPr>
              <w:t>MoREEFF</w:t>
            </w:r>
            <w:r w:rsidRPr="009C5F11">
              <w:rPr>
                <w:rFonts w:ascii="Times New Roman" w:eastAsia="Verdana" w:hAnsi="Times New Roman" w:cs="Times New Roman"/>
                <w:sz w:val="16"/>
                <w:szCs w:val="13"/>
                <w:lang w:val="ro-RO" w:eastAsia="de-DE"/>
              </w:rPr>
              <w:t xml:space="preserve"> facilitată de BERD</w:t>
            </w:r>
            <w:r w:rsidR="00FD5F1C" w:rsidRPr="009C5F11">
              <w:rPr>
                <w:rFonts w:ascii="Times New Roman" w:eastAsia="Verdana" w:hAnsi="Times New Roman" w:cs="Times New Roman"/>
                <w:sz w:val="16"/>
                <w:szCs w:val="13"/>
                <w:lang w:val="ro-RO" w:eastAsia="de-DE"/>
              </w:rPr>
              <w:t>.</w:t>
            </w:r>
          </w:p>
        </w:tc>
      </w:tr>
      <w:tr w:rsidR="008025C6" w:rsidRPr="009C5F11" w14:paraId="544D93B9" w14:textId="77777777" w:rsidTr="002E306C">
        <w:trPr>
          <w:trHeight w:val="204"/>
        </w:trPr>
        <w:tc>
          <w:tcPr>
            <w:tcW w:w="339" w:type="pct"/>
            <w:vMerge/>
            <w:vAlign w:val="center"/>
          </w:tcPr>
          <w:p w14:paraId="5D479620" w14:textId="77777777" w:rsidR="008025C6" w:rsidRPr="009C5F11" w:rsidRDefault="008025C6" w:rsidP="00AB5A76">
            <w:pPr>
              <w:spacing w:line="240" w:lineRule="auto"/>
              <w:jc w:val="both"/>
              <w:rPr>
                <w:rFonts w:ascii="Times New Roman" w:hAnsi="Times New Roman" w:cs="Times New Roman"/>
                <w:sz w:val="16"/>
                <w:szCs w:val="13"/>
                <w:lang w:val="ro-RO" w:eastAsia="de-DE"/>
              </w:rPr>
            </w:pPr>
          </w:p>
        </w:tc>
        <w:tc>
          <w:tcPr>
            <w:tcW w:w="804" w:type="pct"/>
            <w:vMerge/>
            <w:vAlign w:val="center"/>
          </w:tcPr>
          <w:p w14:paraId="1E572B09" w14:textId="77777777" w:rsidR="008025C6" w:rsidRPr="009C5F11" w:rsidRDefault="008025C6" w:rsidP="00AB5A76">
            <w:pPr>
              <w:spacing w:after="0" w:line="240" w:lineRule="auto"/>
              <w:rPr>
                <w:rFonts w:ascii="Times New Roman" w:eastAsia="Calibri" w:hAnsi="Times New Roman" w:cs="Times New Roman"/>
                <w:sz w:val="16"/>
                <w:szCs w:val="13"/>
                <w:lang w:val="ro-RO"/>
              </w:rPr>
            </w:pPr>
          </w:p>
        </w:tc>
        <w:tc>
          <w:tcPr>
            <w:tcW w:w="536" w:type="pct"/>
            <w:vMerge/>
            <w:vAlign w:val="center"/>
          </w:tcPr>
          <w:p w14:paraId="111AB0D8" w14:textId="77777777" w:rsidR="008025C6" w:rsidRPr="009C5F11" w:rsidRDefault="008025C6" w:rsidP="00AB5A76">
            <w:pPr>
              <w:spacing w:line="240" w:lineRule="auto"/>
              <w:jc w:val="both"/>
              <w:rPr>
                <w:rFonts w:ascii="Times New Roman" w:eastAsia="Calibri" w:hAnsi="Times New Roman" w:cs="Times New Roman"/>
                <w:sz w:val="16"/>
                <w:szCs w:val="13"/>
                <w:lang w:val="ro-RO"/>
              </w:rPr>
            </w:pPr>
          </w:p>
        </w:tc>
        <w:tc>
          <w:tcPr>
            <w:tcW w:w="834" w:type="pct"/>
            <w:vMerge/>
            <w:vAlign w:val="center"/>
          </w:tcPr>
          <w:p w14:paraId="47FF0744" w14:textId="77777777" w:rsidR="008025C6" w:rsidRPr="009C5F11" w:rsidRDefault="008025C6" w:rsidP="00AB5A76">
            <w:pPr>
              <w:spacing w:after="0" w:line="240" w:lineRule="auto"/>
              <w:rPr>
                <w:rFonts w:ascii="Times New Roman" w:eastAsia="Calibri" w:hAnsi="Times New Roman" w:cs="Times New Roman"/>
                <w:sz w:val="16"/>
                <w:szCs w:val="13"/>
                <w:lang w:val="ro-RO"/>
              </w:rPr>
            </w:pPr>
          </w:p>
        </w:tc>
        <w:tc>
          <w:tcPr>
            <w:tcW w:w="1318" w:type="pct"/>
            <w:vAlign w:val="center"/>
          </w:tcPr>
          <w:p w14:paraId="1DC68968" w14:textId="77777777" w:rsidR="008025C6" w:rsidRPr="009C5F11" w:rsidRDefault="00D15DBD" w:rsidP="008025C6">
            <w:pPr>
              <w:spacing w:before="240"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3,300,000</w:t>
            </w:r>
            <w:r w:rsidR="008025C6" w:rsidRPr="009C5F11">
              <w:rPr>
                <w:rFonts w:ascii="Times New Roman" w:eastAsia="Calibri" w:hAnsi="Times New Roman" w:cs="Times New Roman"/>
                <w:sz w:val="16"/>
                <w:szCs w:val="13"/>
                <w:lang w:val="ro-RO"/>
              </w:rPr>
              <w:t xml:space="preserve"> </w:t>
            </w:r>
            <w:r w:rsidR="00421FA7" w:rsidRPr="009C5F11">
              <w:rPr>
                <w:rFonts w:ascii="Times New Roman" w:eastAsia="Calibri" w:hAnsi="Times New Roman" w:cs="Times New Roman"/>
                <w:sz w:val="16"/>
                <w:szCs w:val="13"/>
                <w:lang w:val="ro-RO"/>
              </w:rPr>
              <w:t>euro</w:t>
            </w:r>
          </w:p>
        </w:tc>
        <w:tc>
          <w:tcPr>
            <w:tcW w:w="1168" w:type="pct"/>
            <w:vAlign w:val="center"/>
          </w:tcPr>
          <w:p w14:paraId="64921C1E" w14:textId="77777777" w:rsidR="008025C6" w:rsidRPr="009C5F11" w:rsidRDefault="00D160E1"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Grant oferit de </w:t>
            </w:r>
            <w:r w:rsidR="008025C6" w:rsidRPr="009C5F11">
              <w:rPr>
                <w:rFonts w:ascii="Times New Roman" w:eastAsia="Verdana" w:hAnsi="Times New Roman" w:cs="Times New Roman"/>
                <w:sz w:val="16"/>
                <w:szCs w:val="13"/>
                <w:lang w:val="ro-RO" w:eastAsia="de-DE"/>
              </w:rPr>
              <w:t>SIDA</w:t>
            </w:r>
            <w:r w:rsidR="00FD5F1C" w:rsidRPr="009C5F11">
              <w:rPr>
                <w:rFonts w:ascii="Times New Roman" w:eastAsia="Verdana" w:hAnsi="Times New Roman" w:cs="Times New Roman"/>
                <w:sz w:val="16"/>
                <w:szCs w:val="13"/>
                <w:lang w:val="ro-RO" w:eastAsia="de-DE"/>
              </w:rPr>
              <w:t>.</w:t>
            </w:r>
          </w:p>
        </w:tc>
      </w:tr>
      <w:tr w:rsidR="008025C6" w:rsidRPr="009C5F11" w14:paraId="78073C45" w14:textId="77777777" w:rsidTr="002E306C">
        <w:trPr>
          <w:trHeight w:val="204"/>
        </w:trPr>
        <w:tc>
          <w:tcPr>
            <w:tcW w:w="339" w:type="pct"/>
            <w:vMerge/>
            <w:vAlign w:val="center"/>
          </w:tcPr>
          <w:p w14:paraId="3F28FE78" w14:textId="77777777" w:rsidR="008025C6" w:rsidRPr="009C5F11" w:rsidRDefault="008025C6" w:rsidP="00AB5A76">
            <w:pPr>
              <w:spacing w:line="240" w:lineRule="auto"/>
              <w:jc w:val="both"/>
              <w:rPr>
                <w:rFonts w:ascii="Times New Roman" w:hAnsi="Times New Roman" w:cs="Times New Roman"/>
                <w:sz w:val="16"/>
                <w:szCs w:val="13"/>
                <w:lang w:val="ro-RO" w:eastAsia="de-DE"/>
              </w:rPr>
            </w:pPr>
          </w:p>
        </w:tc>
        <w:tc>
          <w:tcPr>
            <w:tcW w:w="804" w:type="pct"/>
            <w:vMerge/>
            <w:vAlign w:val="center"/>
          </w:tcPr>
          <w:p w14:paraId="22B70867" w14:textId="77777777" w:rsidR="008025C6" w:rsidRPr="009C5F11" w:rsidRDefault="008025C6" w:rsidP="00AB5A76">
            <w:pPr>
              <w:spacing w:after="0" w:line="240" w:lineRule="auto"/>
              <w:rPr>
                <w:rFonts w:ascii="Times New Roman" w:eastAsia="Calibri" w:hAnsi="Times New Roman" w:cs="Times New Roman"/>
                <w:sz w:val="16"/>
                <w:szCs w:val="13"/>
                <w:lang w:val="ro-RO"/>
              </w:rPr>
            </w:pPr>
          </w:p>
        </w:tc>
        <w:tc>
          <w:tcPr>
            <w:tcW w:w="536" w:type="pct"/>
            <w:vMerge/>
            <w:vAlign w:val="center"/>
          </w:tcPr>
          <w:p w14:paraId="62CA23D8" w14:textId="77777777" w:rsidR="008025C6" w:rsidRPr="009C5F11" w:rsidRDefault="008025C6" w:rsidP="00AB5A76">
            <w:pPr>
              <w:spacing w:line="240" w:lineRule="auto"/>
              <w:jc w:val="both"/>
              <w:rPr>
                <w:rFonts w:ascii="Times New Roman" w:eastAsia="Calibri" w:hAnsi="Times New Roman" w:cs="Times New Roman"/>
                <w:sz w:val="16"/>
                <w:szCs w:val="13"/>
                <w:lang w:val="ro-RO"/>
              </w:rPr>
            </w:pPr>
          </w:p>
        </w:tc>
        <w:tc>
          <w:tcPr>
            <w:tcW w:w="834" w:type="pct"/>
            <w:vMerge/>
            <w:vAlign w:val="center"/>
          </w:tcPr>
          <w:p w14:paraId="7FCDF9CB" w14:textId="77777777" w:rsidR="008025C6" w:rsidRPr="009C5F11" w:rsidRDefault="008025C6" w:rsidP="00AB5A76">
            <w:pPr>
              <w:spacing w:after="0" w:line="240" w:lineRule="auto"/>
              <w:rPr>
                <w:rFonts w:ascii="Times New Roman" w:eastAsia="Calibri" w:hAnsi="Times New Roman" w:cs="Times New Roman"/>
                <w:sz w:val="16"/>
                <w:szCs w:val="13"/>
                <w:lang w:val="ro-RO"/>
              </w:rPr>
            </w:pPr>
          </w:p>
        </w:tc>
        <w:tc>
          <w:tcPr>
            <w:tcW w:w="1318" w:type="pct"/>
            <w:vAlign w:val="center"/>
          </w:tcPr>
          <w:p w14:paraId="1BF4E945" w14:textId="77777777" w:rsidR="008025C6" w:rsidRPr="009C5F11" w:rsidRDefault="00D15DBD" w:rsidP="008025C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5,000,000</w:t>
            </w:r>
            <w:r w:rsidR="008025C6" w:rsidRPr="009C5F11">
              <w:rPr>
                <w:rFonts w:ascii="Times New Roman" w:eastAsia="Calibri" w:hAnsi="Times New Roman" w:cs="Times New Roman"/>
                <w:sz w:val="16"/>
                <w:szCs w:val="13"/>
                <w:lang w:val="ro-RO"/>
              </w:rPr>
              <w:t xml:space="preserve"> </w:t>
            </w:r>
            <w:r w:rsidR="00421FA7" w:rsidRPr="009C5F11">
              <w:rPr>
                <w:rFonts w:ascii="Times New Roman" w:eastAsia="Calibri" w:hAnsi="Times New Roman" w:cs="Times New Roman"/>
                <w:sz w:val="16"/>
                <w:szCs w:val="13"/>
                <w:lang w:val="ro-RO"/>
              </w:rPr>
              <w:t>euro</w:t>
            </w:r>
          </w:p>
        </w:tc>
        <w:tc>
          <w:tcPr>
            <w:tcW w:w="1168" w:type="pct"/>
            <w:vAlign w:val="center"/>
          </w:tcPr>
          <w:p w14:paraId="1DA5ADBF" w14:textId="77777777" w:rsidR="008025C6" w:rsidRPr="009C5F11" w:rsidRDefault="008025C6" w:rsidP="00D160E1">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Grant </w:t>
            </w:r>
            <w:r w:rsidR="00D160E1" w:rsidRPr="009C5F11">
              <w:rPr>
                <w:rFonts w:ascii="Times New Roman" w:eastAsia="Verdana" w:hAnsi="Times New Roman" w:cs="Times New Roman"/>
                <w:sz w:val="16"/>
                <w:szCs w:val="13"/>
                <w:lang w:val="ro-RO" w:eastAsia="de-DE"/>
              </w:rPr>
              <w:t>oferit de</w:t>
            </w:r>
            <w:r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UE</w:t>
            </w:r>
            <w:r w:rsidRPr="009C5F11">
              <w:rPr>
                <w:rFonts w:ascii="Times New Roman" w:eastAsia="Verdana" w:hAnsi="Times New Roman" w:cs="Times New Roman"/>
                <w:sz w:val="16"/>
                <w:szCs w:val="13"/>
                <w:lang w:val="ro-RO" w:eastAsia="de-DE"/>
              </w:rPr>
              <w:t xml:space="preserve"> </w:t>
            </w:r>
            <w:r w:rsidR="00FD5F1C" w:rsidRPr="009C5F11">
              <w:rPr>
                <w:rFonts w:ascii="Times New Roman" w:eastAsia="Verdana" w:hAnsi="Times New Roman" w:cs="Times New Roman"/>
                <w:sz w:val="16"/>
                <w:szCs w:val="13"/>
                <w:lang w:val="ro-RO" w:eastAsia="de-DE"/>
              </w:rPr>
              <w:t xml:space="preserve">prin intermediul </w:t>
            </w:r>
            <w:r w:rsidRPr="009C5F11">
              <w:rPr>
                <w:rFonts w:ascii="Times New Roman" w:eastAsia="Verdana" w:hAnsi="Times New Roman" w:cs="Times New Roman"/>
                <w:sz w:val="16"/>
                <w:szCs w:val="13"/>
                <w:lang w:val="ro-RO" w:eastAsia="de-DE"/>
              </w:rPr>
              <w:t>NIF</w:t>
            </w:r>
            <w:r w:rsidR="00FD5F1C" w:rsidRPr="009C5F11">
              <w:rPr>
                <w:rFonts w:ascii="Times New Roman" w:eastAsia="Verdana" w:hAnsi="Times New Roman" w:cs="Times New Roman"/>
                <w:sz w:val="16"/>
                <w:szCs w:val="13"/>
                <w:lang w:val="ro-RO" w:eastAsia="de-DE"/>
              </w:rPr>
              <w:t>.</w:t>
            </w:r>
          </w:p>
        </w:tc>
      </w:tr>
      <w:tr w:rsidR="008025C6" w:rsidRPr="009C5F11" w14:paraId="3B5F2A9A" w14:textId="77777777" w:rsidTr="002E306C">
        <w:trPr>
          <w:trHeight w:val="204"/>
        </w:trPr>
        <w:tc>
          <w:tcPr>
            <w:tcW w:w="339" w:type="pct"/>
            <w:vMerge/>
            <w:tcBorders>
              <w:bottom w:val="single" w:sz="4" w:space="0" w:color="4F81BD"/>
            </w:tcBorders>
            <w:vAlign w:val="center"/>
          </w:tcPr>
          <w:p w14:paraId="48A012A2" w14:textId="77777777" w:rsidR="008025C6" w:rsidRPr="009C5F11" w:rsidRDefault="008025C6" w:rsidP="00AB5A76">
            <w:pPr>
              <w:spacing w:line="240" w:lineRule="auto"/>
              <w:jc w:val="both"/>
              <w:rPr>
                <w:rFonts w:ascii="Times New Roman" w:hAnsi="Times New Roman" w:cs="Times New Roman"/>
                <w:sz w:val="16"/>
                <w:szCs w:val="13"/>
                <w:lang w:val="ro-RO" w:eastAsia="de-DE"/>
              </w:rPr>
            </w:pPr>
          </w:p>
        </w:tc>
        <w:tc>
          <w:tcPr>
            <w:tcW w:w="804" w:type="pct"/>
            <w:vMerge/>
            <w:tcBorders>
              <w:bottom w:val="single" w:sz="4" w:space="0" w:color="4F81BD"/>
            </w:tcBorders>
            <w:vAlign w:val="center"/>
          </w:tcPr>
          <w:p w14:paraId="3FF7BC86" w14:textId="77777777" w:rsidR="008025C6" w:rsidRPr="009C5F11" w:rsidRDefault="008025C6" w:rsidP="00AB5A76">
            <w:pPr>
              <w:spacing w:after="0" w:line="240" w:lineRule="auto"/>
              <w:rPr>
                <w:rFonts w:ascii="Times New Roman" w:eastAsia="Calibri" w:hAnsi="Times New Roman" w:cs="Times New Roman"/>
                <w:sz w:val="16"/>
                <w:szCs w:val="13"/>
                <w:lang w:val="ro-RO"/>
              </w:rPr>
            </w:pPr>
          </w:p>
        </w:tc>
        <w:tc>
          <w:tcPr>
            <w:tcW w:w="536" w:type="pct"/>
            <w:vMerge/>
            <w:tcBorders>
              <w:bottom w:val="single" w:sz="4" w:space="0" w:color="4F81BD"/>
            </w:tcBorders>
            <w:vAlign w:val="center"/>
          </w:tcPr>
          <w:p w14:paraId="1E083B32" w14:textId="77777777" w:rsidR="008025C6" w:rsidRPr="009C5F11" w:rsidRDefault="008025C6" w:rsidP="00AB5A76">
            <w:pPr>
              <w:spacing w:line="240" w:lineRule="auto"/>
              <w:jc w:val="both"/>
              <w:rPr>
                <w:rFonts w:ascii="Times New Roman" w:eastAsia="Calibri" w:hAnsi="Times New Roman" w:cs="Times New Roman"/>
                <w:sz w:val="16"/>
                <w:szCs w:val="13"/>
                <w:lang w:val="ro-RO"/>
              </w:rPr>
            </w:pPr>
          </w:p>
        </w:tc>
        <w:tc>
          <w:tcPr>
            <w:tcW w:w="834" w:type="pct"/>
            <w:vMerge/>
            <w:tcBorders>
              <w:bottom w:val="single" w:sz="4" w:space="0" w:color="4F81BD"/>
            </w:tcBorders>
            <w:vAlign w:val="center"/>
          </w:tcPr>
          <w:p w14:paraId="3CD3B0D3" w14:textId="77777777" w:rsidR="008025C6" w:rsidRPr="009C5F11" w:rsidRDefault="008025C6" w:rsidP="00AB5A76">
            <w:pPr>
              <w:spacing w:after="0" w:line="240" w:lineRule="auto"/>
              <w:rPr>
                <w:rFonts w:ascii="Times New Roman" w:eastAsia="Calibri" w:hAnsi="Times New Roman" w:cs="Times New Roman"/>
                <w:sz w:val="16"/>
                <w:szCs w:val="13"/>
                <w:lang w:val="ro-RO"/>
              </w:rPr>
            </w:pPr>
          </w:p>
        </w:tc>
        <w:tc>
          <w:tcPr>
            <w:tcW w:w="1318" w:type="pct"/>
            <w:tcBorders>
              <w:bottom w:val="single" w:sz="4" w:space="0" w:color="4F81BD"/>
            </w:tcBorders>
            <w:vAlign w:val="center"/>
          </w:tcPr>
          <w:p w14:paraId="20336951" w14:textId="77777777" w:rsidR="008025C6" w:rsidRPr="009C5F11" w:rsidRDefault="00534A4C" w:rsidP="008025C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w:t>
            </w:r>
            <w:r w:rsidR="00C231C1" w:rsidRPr="009C5F11">
              <w:rPr>
                <w:rFonts w:ascii="Times New Roman" w:eastAsia="Calibri" w:hAnsi="Times New Roman" w:cs="Times New Roman"/>
                <w:sz w:val="16"/>
                <w:szCs w:val="13"/>
                <w:lang w:val="ro-RO"/>
              </w:rPr>
              <w:t>/A</w:t>
            </w:r>
          </w:p>
        </w:tc>
        <w:tc>
          <w:tcPr>
            <w:tcW w:w="1168" w:type="pct"/>
            <w:tcBorders>
              <w:bottom w:val="single" w:sz="4" w:space="0" w:color="4F81BD"/>
            </w:tcBorders>
            <w:vAlign w:val="center"/>
          </w:tcPr>
          <w:p w14:paraId="6F5C1A05" w14:textId="77777777" w:rsidR="008025C6" w:rsidRPr="009C5F11" w:rsidRDefault="00C231C1">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Un nou </w:t>
            </w:r>
            <w:r w:rsidR="008025C6" w:rsidRPr="009C5F11">
              <w:rPr>
                <w:rFonts w:ascii="Times New Roman" w:eastAsia="Verdana" w:hAnsi="Times New Roman" w:cs="Times New Roman"/>
                <w:sz w:val="16"/>
                <w:szCs w:val="13"/>
                <w:lang w:val="ro-RO" w:eastAsia="de-DE"/>
              </w:rPr>
              <w:t xml:space="preserve">APP </w:t>
            </w:r>
            <w:r w:rsidRPr="009C5F11">
              <w:rPr>
                <w:rFonts w:ascii="Times New Roman" w:eastAsia="Verdana" w:hAnsi="Times New Roman" w:cs="Times New Roman"/>
                <w:sz w:val="16"/>
                <w:szCs w:val="13"/>
                <w:lang w:val="ro-RO" w:eastAsia="de-DE"/>
              </w:rPr>
              <w:t>al</w:t>
            </w:r>
            <w:r w:rsidR="008025C6" w:rsidRPr="009C5F11">
              <w:rPr>
                <w:rFonts w:ascii="Times New Roman" w:eastAsia="Verdana" w:hAnsi="Times New Roman" w:cs="Times New Roman"/>
                <w:sz w:val="16"/>
                <w:szCs w:val="13"/>
                <w:lang w:val="ro-RO" w:eastAsia="de-DE"/>
              </w:rPr>
              <w:t xml:space="preserve"> </w:t>
            </w:r>
            <w:r w:rsidR="00AA0566" w:rsidRPr="009C5F11">
              <w:rPr>
                <w:rFonts w:ascii="Times New Roman" w:eastAsia="Verdana" w:hAnsi="Times New Roman" w:cs="Times New Roman"/>
                <w:sz w:val="16"/>
                <w:szCs w:val="13"/>
                <w:lang w:val="ro-RO" w:eastAsia="de-DE"/>
              </w:rPr>
              <w:t>FEE</w:t>
            </w:r>
            <w:r w:rsidR="00FD5F1C" w:rsidRPr="009C5F11">
              <w:rPr>
                <w:rFonts w:ascii="Times New Roman" w:eastAsia="Verdana" w:hAnsi="Times New Roman" w:cs="Times New Roman"/>
                <w:sz w:val="16"/>
                <w:szCs w:val="13"/>
                <w:lang w:val="ro-RO" w:eastAsia="de-DE"/>
              </w:rPr>
              <w:t>.</w:t>
            </w:r>
          </w:p>
        </w:tc>
      </w:tr>
      <w:tr w:rsidR="00983587" w:rsidRPr="009C5F11" w14:paraId="010090A1" w14:textId="77777777" w:rsidTr="002E306C">
        <w:trPr>
          <w:trHeight w:val="325"/>
        </w:trPr>
        <w:tc>
          <w:tcPr>
            <w:tcW w:w="5000" w:type="pct"/>
            <w:gridSpan w:val="6"/>
            <w:shd w:val="clear" w:color="auto" w:fill="666666"/>
            <w:vAlign w:val="center"/>
          </w:tcPr>
          <w:p w14:paraId="4CF2284B" w14:textId="77777777" w:rsidR="00983587" w:rsidRPr="009C5F11" w:rsidRDefault="00421FA7" w:rsidP="00190507">
            <w:pPr>
              <w:spacing w:after="0" w:line="240" w:lineRule="auto"/>
              <w:jc w:val="center"/>
              <w:rPr>
                <w:rFonts w:ascii="Times New Roman" w:eastAsia="Calibri" w:hAnsi="Times New Roman" w:cs="Times New Roman"/>
                <w:b/>
                <w:color w:val="FFFFFF" w:themeColor="background1"/>
                <w:sz w:val="16"/>
                <w:szCs w:val="13"/>
                <w:lang w:val="ro-RO"/>
              </w:rPr>
            </w:pPr>
            <w:r w:rsidRPr="009C5F11">
              <w:rPr>
                <w:rFonts w:ascii="Times New Roman" w:eastAsia="Calibri" w:hAnsi="Times New Roman" w:cs="Times New Roman"/>
                <w:b/>
                <w:color w:val="FFFFFF" w:themeColor="background1"/>
                <w:sz w:val="16"/>
                <w:szCs w:val="13"/>
                <w:lang w:val="ro-RO"/>
              </w:rPr>
              <w:t>Sectorul public</w:t>
            </w:r>
          </w:p>
        </w:tc>
      </w:tr>
      <w:tr w:rsidR="00E02D83" w:rsidRPr="009C5F11" w14:paraId="72FD7E52" w14:textId="77777777" w:rsidTr="002E306C">
        <w:trPr>
          <w:trHeight w:val="1354"/>
        </w:trPr>
        <w:tc>
          <w:tcPr>
            <w:tcW w:w="339" w:type="pct"/>
            <w:vAlign w:val="center"/>
          </w:tcPr>
          <w:p w14:paraId="0DB919A1" w14:textId="77777777" w:rsidR="00D91ABB" w:rsidRPr="009C5F11" w:rsidRDefault="00D91ABB" w:rsidP="00AB5A76">
            <w:pPr>
              <w:spacing w:line="240" w:lineRule="auto"/>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P.1</w:t>
            </w:r>
          </w:p>
        </w:tc>
        <w:tc>
          <w:tcPr>
            <w:tcW w:w="804" w:type="pct"/>
            <w:vAlign w:val="center"/>
          </w:tcPr>
          <w:p w14:paraId="1118DE41" w14:textId="77777777" w:rsidR="00D91ABB" w:rsidRPr="009C5F11" w:rsidRDefault="00FD5F1C"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Îmbunătăţirea eficienţei energetice</w:t>
            </w:r>
            <w:r w:rsidR="00321CD5"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 xml:space="preserve">în </w:t>
            </w:r>
            <w:r w:rsidR="009B74AF" w:rsidRPr="009C5F11">
              <w:rPr>
                <w:rFonts w:ascii="Times New Roman" w:eastAsia="Calibri" w:hAnsi="Times New Roman" w:cs="Times New Roman"/>
                <w:sz w:val="16"/>
                <w:szCs w:val="13"/>
                <w:lang w:val="ro-RO"/>
              </w:rPr>
              <w:t>sectorul construcţiilor publice</w:t>
            </w:r>
            <w:r w:rsidRPr="009C5F11">
              <w:rPr>
                <w:rFonts w:ascii="Times New Roman" w:eastAsia="Calibri" w:hAnsi="Times New Roman" w:cs="Times New Roman"/>
                <w:sz w:val="16"/>
                <w:szCs w:val="13"/>
                <w:lang w:val="ro-RO"/>
              </w:rPr>
              <w:t>.</w:t>
            </w:r>
          </w:p>
        </w:tc>
        <w:tc>
          <w:tcPr>
            <w:tcW w:w="536" w:type="pct"/>
            <w:vAlign w:val="center"/>
          </w:tcPr>
          <w:p w14:paraId="02131B67" w14:textId="77777777" w:rsidR="00D91ABB" w:rsidRPr="009C5F11" w:rsidRDefault="00D91ABB" w:rsidP="00AB5A76">
            <w:pPr>
              <w:spacing w:line="240" w:lineRule="auto"/>
              <w:rPr>
                <w:rFonts w:ascii="Times New Roman" w:eastAsia="Calibri" w:hAnsi="Times New Roman" w:cs="Times New Roman"/>
                <w:sz w:val="16"/>
                <w:szCs w:val="13"/>
                <w:lang w:val="ro-RO"/>
              </w:rPr>
            </w:pPr>
          </w:p>
          <w:p w14:paraId="320EE798" w14:textId="77777777" w:rsidR="00D91ABB" w:rsidRPr="009C5F11" w:rsidRDefault="00092779" w:rsidP="00092779">
            <w:pPr>
              <w:spacing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47.</w:t>
            </w:r>
            <w:r w:rsidR="002B4661" w:rsidRPr="009C5F11">
              <w:rPr>
                <w:rFonts w:ascii="Times New Roman" w:eastAsia="Calibri" w:hAnsi="Times New Roman" w:cs="Times New Roman"/>
                <w:sz w:val="16"/>
                <w:szCs w:val="13"/>
                <w:lang w:val="ro-RO"/>
              </w:rPr>
              <w:t>0</w:t>
            </w:r>
            <w:r w:rsidRPr="009C5F11">
              <w:rPr>
                <w:rFonts w:ascii="Times New Roman" w:eastAsia="Calibri" w:hAnsi="Times New Roman" w:cs="Times New Roman"/>
                <w:sz w:val="16"/>
                <w:szCs w:val="13"/>
                <w:lang w:val="ro-RO"/>
              </w:rPr>
              <w:t>9</w:t>
            </w:r>
            <w:r w:rsidR="00D91ABB" w:rsidRPr="009C5F11">
              <w:rPr>
                <w:rFonts w:ascii="Times New Roman" w:eastAsia="Calibri" w:hAnsi="Times New Roman" w:cs="Times New Roman"/>
                <w:sz w:val="16"/>
                <w:szCs w:val="13"/>
                <w:lang w:val="ro-RO"/>
              </w:rPr>
              <w:t xml:space="preserve"> </w:t>
            </w:r>
            <w:r w:rsidR="00E52940" w:rsidRPr="009C5F11">
              <w:rPr>
                <w:rFonts w:ascii="Times New Roman" w:eastAsia="Calibri" w:hAnsi="Times New Roman" w:cs="Times New Roman"/>
                <w:sz w:val="16"/>
                <w:szCs w:val="13"/>
                <w:lang w:val="ro-RO"/>
              </w:rPr>
              <w:t>ktep</w:t>
            </w:r>
          </w:p>
        </w:tc>
        <w:tc>
          <w:tcPr>
            <w:tcW w:w="834" w:type="pct"/>
            <w:vAlign w:val="center"/>
          </w:tcPr>
          <w:p w14:paraId="00D771A7" w14:textId="77777777" w:rsidR="00D91ABB" w:rsidRPr="009C5F11" w:rsidRDefault="00AA0566"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APL</w:t>
            </w:r>
          </w:p>
          <w:p w14:paraId="642FC1B6" w14:textId="77777777" w:rsidR="00D91ABB" w:rsidRPr="009C5F11" w:rsidRDefault="00421FA7"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ME</w:t>
            </w:r>
          </w:p>
          <w:p w14:paraId="1727417E" w14:textId="77777777" w:rsidR="00D91ABB" w:rsidRPr="009C5F11" w:rsidRDefault="00AA0566" w:rsidP="00AB5A76">
            <w:pPr>
              <w:spacing w:line="240" w:lineRule="auto"/>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AEE</w:t>
            </w:r>
          </w:p>
        </w:tc>
        <w:tc>
          <w:tcPr>
            <w:tcW w:w="1318" w:type="pct"/>
            <w:vAlign w:val="center"/>
          </w:tcPr>
          <w:p w14:paraId="5808485A" w14:textId="77777777" w:rsidR="00D91ABB" w:rsidRPr="009C5F11" w:rsidRDefault="00FD5F1C"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Strategii</w:t>
            </w:r>
          </w:p>
          <w:p w14:paraId="50CC8CC5" w14:textId="77777777" w:rsidR="00D91ABB" w:rsidRPr="009C5F11" w:rsidRDefault="008F7BD5"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subprogramul</w:t>
            </w:r>
            <w:r w:rsidR="00D91ABB" w:rsidRPr="009C5F11">
              <w:rPr>
                <w:rFonts w:ascii="Times New Roman" w:eastAsia="Calibri" w:hAnsi="Times New Roman" w:cs="Times New Roman"/>
                <w:sz w:val="16"/>
                <w:szCs w:val="13"/>
                <w:lang w:val="ro-RO"/>
              </w:rPr>
              <w:t xml:space="preserve"> “</w:t>
            </w:r>
            <w:r w:rsidR="00FD5F1C" w:rsidRPr="009C5F11">
              <w:rPr>
                <w:rFonts w:ascii="Times New Roman" w:eastAsia="Calibri" w:hAnsi="Times New Roman" w:cs="Times New Roman"/>
                <w:sz w:val="16"/>
                <w:szCs w:val="13"/>
                <w:lang w:val="ro-RO"/>
              </w:rPr>
              <w:t>Eficienţa energetică</w:t>
            </w:r>
            <w:r w:rsidR="00321CD5" w:rsidRPr="009C5F11">
              <w:rPr>
                <w:rFonts w:ascii="Times New Roman" w:eastAsia="Calibri" w:hAnsi="Times New Roman" w:cs="Times New Roman"/>
                <w:sz w:val="16"/>
                <w:szCs w:val="13"/>
                <w:lang w:val="ro-RO"/>
              </w:rPr>
              <w:t xml:space="preserve"> şi </w:t>
            </w:r>
            <w:r w:rsidR="00FD5F1C" w:rsidRPr="009C5F11">
              <w:rPr>
                <w:rFonts w:ascii="Times New Roman" w:eastAsia="Calibri" w:hAnsi="Times New Roman" w:cs="Times New Roman"/>
                <w:sz w:val="16"/>
                <w:szCs w:val="13"/>
                <w:lang w:val="ro-RO"/>
              </w:rPr>
              <w:t>surse regenerabile de energie</w:t>
            </w:r>
            <w:r w:rsidR="00D91ABB" w:rsidRPr="009C5F11">
              <w:rPr>
                <w:rFonts w:ascii="Times New Roman" w:eastAsia="Calibri" w:hAnsi="Times New Roman" w:cs="Times New Roman"/>
                <w:sz w:val="16"/>
                <w:szCs w:val="13"/>
                <w:lang w:val="ro-RO"/>
              </w:rPr>
              <w:t>”</w:t>
            </w:r>
            <w:r w:rsidR="00FD5F1C" w:rsidRPr="009C5F11">
              <w:rPr>
                <w:rFonts w:ascii="Times New Roman" w:eastAsia="Calibri" w:hAnsi="Times New Roman" w:cs="Times New Roman"/>
                <w:sz w:val="16"/>
                <w:szCs w:val="13"/>
                <w:lang w:val="ro-RO"/>
              </w:rPr>
              <w:t>.</w:t>
            </w:r>
          </w:p>
          <w:p w14:paraId="524146DE" w14:textId="77777777" w:rsidR="00CD743B" w:rsidRPr="009C5F11" w:rsidRDefault="00CD743B" w:rsidP="00AB5A76">
            <w:pPr>
              <w:spacing w:after="0" w:line="240" w:lineRule="auto"/>
              <w:rPr>
                <w:rFonts w:ascii="Times New Roman" w:eastAsia="Calibri" w:hAnsi="Times New Roman" w:cs="Times New Roman"/>
                <w:sz w:val="16"/>
                <w:szCs w:val="13"/>
                <w:lang w:val="ro-RO"/>
              </w:rPr>
            </w:pPr>
          </w:p>
          <w:p w14:paraId="2D48A2AB" w14:textId="77777777" w:rsidR="007D78C9" w:rsidRPr="009C5F11" w:rsidRDefault="007D78C9" w:rsidP="007D78C9">
            <w:pPr>
              <w:spacing w:after="0" w:line="240" w:lineRule="auto"/>
              <w:rPr>
                <w:rFonts w:ascii="Times New Roman" w:eastAsia="Calibri" w:hAnsi="Times New Roman" w:cs="Times New Roman"/>
                <w:b/>
                <w:sz w:val="16"/>
                <w:szCs w:val="13"/>
                <w:lang w:val="ro-RO"/>
              </w:rPr>
            </w:pPr>
            <w:r w:rsidRPr="009C5F11">
              <w:rPr>
                <w:rFonts w:ascii="Times New Roman" w:eastAsia="Calibri" w:hAnsi="Times New Roman" w:cs="Times New Roman"/>
                <w:b/>
                <w:sz w:val="16"/>
                <w:szCs w:val="13"/>
                <w:lang w:val="ro-RO"/>
              </w:rPr>
              <w:t>2016-2018</w:t>
            </w:r>
          </w:p>
          <w:p w14:paraId="569542CD" w14:textId="77777777" w:rsidR="007D78C9" w:rsidRPr="009C5F11" w:rsidRDefault="007D78C9" w:rsidP="007D78C9">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2016: 184,681.9 </w:t>
            </w:r>
            <w:r w:rsidR="00AA0566" w:rsidRPr="009C5F11">
              <w:rPr>
                <w:rFonts w:ascii="Times New Roman" w:eastAsia="Calibri" w:hAnsi="Times New Roman" w:cs="Times New Roman"/>
                <w:sz w:val="16"/>
                <w:szCs w:val="13"/>
                <w:lang w:val="ro-RO"/>
              </w:rPr>
              <w:t>mii lei</w:t>
            </w:r>
          </w:p>
          <w:p w14:paraId="373093A8" w14:textId="77777777" w:rsidR="007D78C9" w:rsidRPr="009C5F11" w:rsidRDefault="007D78C9" w:rsidP="007D78C9">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2017: 179,520.6 </w:t>
            </w:r>
            <w:r w:rsidR="00AA0566" w:rsidRPr="009C5F11">
              <w:rPr>
                <w:rFonts w:ascii="Times New Roman" w:eastAsia="Calibri" w:hAnsi="Times New Roman" w:cs="Times New Roman"/>
                <w:sz w:val="16"/>
                <w:szCs w:val="13"/>
                <w:lang w:val="ro-RO"/>
              </w:rPr>
              <w:t>mii lei</w:t>
            </w:r>
          </w:p>
          <w:p w14:paraId="5D9D5E0F" w14:textId="77777777" w:rsidR="00D91ABB" w:rsidRPr="009C5F11" w:rsidRDefault="007D78C9" w:rsidP="005B4DDB">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2018: 177,900 </w:t>
            </w:r>
            <w:r w:rsidR="00AA0566" w:rsidRPr="009C5F11">
              <w:rPr>
                <w:rFonts w:ascii="Times New Roman" w:eastAsia="Calibri" w:hAnsi="Times New Roman" w:cs="Times New Roman"/>
                <w:sz w:val="16"/>
                <w:szCs w:val="13"/>
                <w:lang w:val="ro-RO"/>
              </w:rPr>
              <w:t>mii lei</w:t>
            </w:r>
          </w:p>
        </w:tc>
        <w:tc>
          <w:tcPr>
            <w:tcW w:w="1168" w:type="pct"/>
            <w:vAlign w:val="center"/>
          </w:tcPr>
          <w:p w14:paraId="792E50F8" w14:textId="77777777" w:rsidR="00D91ABB" w:rsidRPr="009C5F11" w:rsidRDefault="004E780C"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FD5F1C" w:rsidRPr="009C5F11">
              <w:rPr>
                <w:rFonts w:ascii="Times New Roman" w:eastAsia="Verdana" w:hAnsi="Times New Roman" w:cs="Times New Roman"/>
                <w:sz w:val="16"/>
                <w:szCs w:val="13"/>
                <w:lang w:val="ro-RO" w:eastAsia="de-DE"/>
              </w:rPr>
              <w:t>.</w:t>
            </w:r>
          </w:p>
          <w:p w14:paraId="00E52D0A" w14:textId="77777777" w:rsidR="007D78C9" w:rsidRPr="009C5F11" w:rsidRDefault="006A096E" w:rsidP="00B40DB5">
            <w:pPr>
              <w:tabs>
                <w:tab w:val="left" w:pos="1440"/>
                <w:tab w:val="left" w:pos="5040"/>
                <w:tab w:val="right" w:pos="8504"/>
              </w:tabs>
              <w:spacing w:before="40" w:after="0" w:line="240" w:lineRule="auto"/>
              <w:rPr>
                <w:rFonts w:ascii="Times New Roman" w:eastAsia="Calibri" w:hAnsi="Times New Roman" w:cs="Times New Roman"/>
                <w:sz w:val="16"/>
                <w:szCs w:val="13"/>
                <w:lang w:val="ro-RO"/>
              </w:rPr>
            </w:pPr>
            <w:r w:rsidRPr="009C5F11">
              <w:rPr>
                <w:rFonts w:ascii="Times New Roman" w:eastAsia="Verdana" w:hAnsi="Times New Roman" w:cs="Times New Roman"/>
                <w:sz w:val="16"/>
                <w:szCs w:val="13"/>
                <w:lang w:val="ro-RO" w:eastAsia="de-DE"/>
              </w:rPr>
              <w:t>Subprogramul</w:t>
            </w:r>
            <w:r w:rsidR="007D78C9" w:rsidRPr="009C5F11">
              <w:rPr>
                <w:rFonts w:ascii="Times New Roman" w:eastAsia="Verdana" w:hAnsi="Times New Roman" w:cs="Times New Roman"/>
                <w:sz w:val="16"/>
                <w:szCs w:val="13"/>
                <w:lang w:val="ro-RO" w:eastAsia="de-DE"/>
              </w:rPr>
              <w:t xml:space="preserve"> IV “</w:t>
            </w:r>
            <w:r w:rsidR="00FD5F1C" w:rsidRPr="009C5F11">
              <w:rPr>
                <w:rFonts w:ascii="Times New Roman" w:eastAsia="Verdana" w:hAnsi="Times New Roman" w:cs="Times New Roman"/>
                <w:sz w:val="16"/>
                <w:szCs w:val="13"/>
                <w:lang w:val="ro-RO" w:eastAsia="de-DE"/>
              </w:rPr>
              <w:t>Eficienţa energetică şi surse regenerabile de energie”.</w:t>
            </w:r>
          </w:p>
        </w:tc>
      </w:tr>
      <w:tr w:rsidR="00E02D83" w:rsidRPr="009C5F11" w14:paraId="511C6D58" w14:textId="77777777" w:rsidTr="002E306C">
        <w:trPr>
          <w:trHeight w:val="1547"/>
        </w:trPr>
        <w:tc>
          <w:tcPr>
            <w:tcW w:w="339" w:type="pct"/>
            <w:vAlign w:val="center"/>
          </w:tcPr>
          <w:p w14:paraId="01E3F7A5" w14:textId="77777777" w:rsidR="00D91ABB" w:rsidRPr="009C5F11" w:rsidRDefault="00D91ABB" w:rsidP="00AB5A76">
            <w:pPr>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P.2</w:t>
            </w:r>
          </w:p>
        </w:tc>
        <w:tc>
          <w:tcPr>
            <w:tcW w:w="804" w:type="pct"/>
            <w:vAlign w:val="center"/>
          </w:tcPr>
          <w:p w14:paraId="21A02A84" w14:textId="77777777" w:rsidR="00D91ABB" w:rsidRPr="009C5F11" w:rsidRDefault="00FD5F1C"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Îmbunătăţirea eficienţei energetice</w:t>
            </w:r>
            <w:r w:rsidR="00321CD5"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 xml:space="preserve">în </w:t>
            </w:r>
            <w:r w:rsidR="00637DDF" w:rsidRPr="009C5F11">
              <w:rPr>
                <w:rFonts w:ascii="Times New Roman" w:eastAsia="Calibri" w:hAnsi="Times New Roman" w:cs="Times New Roman"/>
                <w:sz w:val="16"/>
                <w:szCs w:val="13"/>
                <w:lang w:val="ro-RO"/>
              </w:rPr>
              <w:t xml:space="preserve">sectorul </w:t>
            </w:r>
            <w:r w:rsidRPr="009C5F11">
              <w:rPr>
                <w:rFonts w:ascii="Times New Roman" w:eastAsia="Calibri" w:hAnsi="Times New Roman" w:cs="Times New Roman"/>
                <w:sz w:val="16"/>
                <w:szCs w:val="13"/>
                <w:lang w:val="ro-RO"/>
              </w:rPr>
              <w:t>iluminatul</w:t>
            </w:r>
            <w:r w:rsidR="00637DDF" w:rsidRPr="009C5F11">
              <w:rPr>
                <w:rFonts w:ascii="Times New Roman" w:eastAsia="Calibri" w:hAnsi="Times New Roman" w:cs="Times New Roman"/>
                <w:sz w:val="16"/>
                <w:szCs w:val="13"/>
                <w:lang w:val="ro-RO"/>
              </w:rPr>
              <w:t>ui</w:t>
            </w:r>
            <w:r w:rsidRPr="009C5F11">
              <w:rPr>
                <w:rFonts w:ascii="Times New Roman" w:eastAsia="Calibri" w:hAnsi="Times New Roman" w:cs="Times New Roman"/>
                <w:sz w:val="16"/>
                <w:szCs w:val="13"/>
                <w:lang w:val="ro-RO"/>
              </w:rPr>
              <w:t xml:space="preserve"> public stradal.</w:t>
            </w:r>
          </w:p>
        </w:tc>
        <w:tc>
          <w:tcPr>
            <w:tcW w:w="536" w:type="pct"/>
            <w:vAlign w:val="center"/>
          </w:tcPr>
          <w:p w14:paraId="188BDEED" w14:textId="77777777" w:rsidR="00D91ABB" w:rsidRPr="009C5F11" w:rsidRDefault="00DB63F2" w:rsidP="00AB5A76">
            <w:pPr>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0.98</w:t>
            </w:r>
            <w:r w:rsidR="00D91ABB" w:rsidRPr="009C5F11">
              <w:rPr>
                <w:rFonts w:ascii="Times New Roman" w:eastAsia="Calibri" w:hAnsi="Times New Roman" w:cs="Times New Roman"/>
                <w:sz w:val="16"/>
                <w:szCs w:val="13"/>
                <w:lang w:val="ro-RO"/>
              </w:rPr>
              <w:t xml:space="preserve"> </w:t>
            </w:r>
            <w:r w:rsidR="00E52940" w:rsidRPr="009C5F11">
              <w:rPr>
                <w:rFonts w:ascii="Times New Roman" w:eastAsia="Calibri" w:hAnsi="Times New Roman" w:cs="Times New Roman"/>
                <w:sz w:val="16"/>
                <w:szCs w:val="13"/>
                <w:lang w:val="ro-RO"/>
              </w:rPr>
              <w:t>ktep</w:t>
            </w:r>
          </w:p>
        </w:tc>
        <w:tc>
          <w:tcPr>
            <w:tcW w:w="834" w:type="pct"/>
            <w:vAlign w:val="center"/>
          </w:tcPr>
          <w:p w14:paraId="48F3F3D4" w14:textId="77777777" w:rsidR="00D91ABB" w:rsidRPr="009C5F11" w:rsidRDefault="00AA0566" w:rsidP="00AB5A76">
            <w:pPr>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APL</w:t>
            </w:r>
          </w:p>
        </w:tc>
        <w:tc>
          <w:tcPr>
            <w:tcW w:w="1318" w:type="pct"/>
            <w:vAlign w:val="center"/>
          </w:tcPr>
          <w:p w14:paraId="51DDDBAA" w14:textId="77777777" w:rsidR="00D91ABB" w:rsidRPr="009C5F11" w:rsidRDefault="00FD5F1C" w:rsidP="00CF598B">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Strategii</w:t>
            </w:r>
          </w:p>
          <w:p w14:paraId="4740E5D2" w14:textId="77777777" w:rsidR="00D91ABB" w:rsidRPr="009C5F11" w:rsidRDefault="008F7BD5" w:rsidP="00CF598B">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subprogramul</w:t>
            </w:r>
            <w:r w:rsidR="00D91ABB" w:rsidRPr="009C5F11">
              <w:rPr>
                <w:rFonts w:ascii="Times New Roman" w:eastAsia="Verdana" w:hAnsi="Times New Roman" w:cs="Times New Roman"/>
                <w:sz w:val="16"/>
                <w:szCs w:val="13"/>
                <w:lang w:val="ro-RO" w:eastAsia="de-DE"/>
              </w:rPr>
              <w:t xml:space="preserve"> “</w:t>
            </w:r>
            <w:r w:rsidR="00FD5F1C" w:rsidRPr="009C5F11">
              <w:rPr>
                <w:rFonts w:ascii="Times New Roman" w:eastAsia="Verdana" w:hAnsi="Times New Roman" w:cs="Times New Roman"/>
                <w:sz w:val="16"/>
                <w:szCs w:val="13"/>
                <w:lang w:val="ro-RO" w:eastAsia="de-DE"/>
              </w:rPr>
              <w:t>Eficienţa energetică</w:t>
            </w:r>
            <w:r w:rsidR="00321CD5" w:rsidRPr="009C5F11">
              <w:rPr>
                <w:rFonts w:ascii="Times New Roman" w:eastAsia="Verdana" w:hAnsi="Times New Roman" w:cs="Times New Roman"/>
                <w:sz w:val="16"/>
                <w:szCs w:val="13"/>
                <w:lang w:val="ro-RO" w:eastAsia="de-DE"/>
              </w:rPr>
              <w:t xml:space="preserve"> şi </w:t>
            </w:r>
            <w:r w:rsidR="00FD5F1C" w:rsidRPr="009C5F11">
              <w:rPr>
                <w:rFonts w:ascii="Times New Roman" w:eastAsia="Verdana" w:hAnsi="Times New Roman" w:cs="Times New Roman"/>
                <w:sz w:val="16"/>
                <w:szCs w:val="13"/>
                <w:lang w:val="ro-RO" w:eastAsia="de-DE"/>
              </w:rPr>
              <w:t>surse regenerabile de energie</w:t>
            </w:r>
            <w:r w:rsidR="00D91ABB" w:rsidRPr="009C5F11">
              <w:rPr>
                <w:rFonts w:ascii="Times New Roman" w:eastAsia="Verdana" w:hAnsi="Times New Roman" w:cs="Times New Roman"/>
                <w:sz w:val="16"/>
                <w:szCs w:val="13"/>
                <w:lang w:val="ro-RO" w:eastAsia="de-DE"/>
              </w:rPr>
              <w:t>”</w:t>
            </w:r>
            <w:r w:rsidR="00FD5F1C" w:rsidRPr="009C5F11">
              <w:rPr>
                <w:rFonts w:ascii="Times New Roman" w:eastAsia="Verdana" w:hAnsi="Times New Roman" w:cs="Times New Roman"/>
                <w:sz w:val="16"/>
                <w:szCs w:val="13"/>
                <w:lang w:val="ro-RO" w:eastAsia="de-DE"/>
              </w:rPr>
              <w:t>.</w:t>
            </w:r>
          </w:p>
          <w:p w14:paraId="1FBD73B2" w14:textId="77777777" w:rsidR="00721DF8" w:rsidRPr="009C5F11" w:rsidRDefault="00721DF8" w:rsidP="00CF598B">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p>
          <w:p w14:paraId="420C354D" w14:textId="77777777" w:rsidR="007D78C9" w:rsidRPr="009C5F11" w:rsidRDefault="007D78C9" w:rsidP="00CF598B">
            <w:pPr>
              <w:tabs>
                <w:tab w:val="left" w:pos="1440"/>
                <w:tab w:val="left" w:pos="5040"/>
                <w:tab w:val="right" w:pos="8504"/>
              </w:tabs>
              <w:spacing w:before="40" w:after="0" w:line="240" w:lineRule="auto"/>
              <w:jc w:val="both"/>
              <w:rPr>
                <w:rFonts w:ascii="Times New Roman" w:eastAsia="Verdana" w:hAnsi="Times New Roman" w:cs="Times New Roman"/>
                <w:b/>
                <w:sz w:val="16"/>
                <w:szCs w:val="13"/>
                <w:lang w:val="ro-RO" w:eastAsia="de-DE"/>
              </w:rPr>
            </w:pPr>
            <w:r w:rsidRPr="009C5F11">
              <w:rPr>
                <w:rFonts w:ascii="Times New Roman" w:eastAsia="Verdana" w:hAnsi="Times New Roman" w:cs="Times New Roman"/>
                <w:b/>
                <w:sz w:val="16"/>
                <w:szCs w:val="13"/>
                <w:lang w:val="ro-RO" w:eastAsia="de-DE"/>
              </w:rPr>
              <w:t>2016-2018</w:t>
            </w:r>
          </w:p>
          <w:p w14:paraId="6965A94E" w14:textId="77777777" w:rsidR="008E0F09" w:rsidRPr="009C5F11" w:rsidRDefault="008E0F09" w:rsidP="0018375D">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2016: 184,681.9 </w:t>
            </w:r>
            <w:r w:rsidR="00AA0566" w:rsidRPr="009C5F11">
              <w:rPr>
                <w:rFonts w:ascii="Times New Roman" w:eastAsia="Calibri" w:hAnsi="Times New Roman" w:cs="Times New Roman"/>
                <w:sz w:val="16"/>
                <w:szCs w:val="13"/>
                <w:lang w:val="ro-RO"/>
              </w:rPr>
              <w:t>mii lei</w:t>
            </w:r>
          </w:p>
          <w:p w14:paraId="7C1D0979" w14:textId="77777777" w:rsidR="008E0F09" w:rsidRPr="009C5F11" w:rsidRDefault="008E0F09" w:rsidP="0018375D">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2017: 179,520.6 </w:t>
            </w:r>
            <w:r w:rsidR="00AA0566" w:rsidRPr="009C5F11">
              <w:rPr>
                <w:rFonts w:ascii="Times New Roman" w:eastAsia="Calibri" w:hAnsi="Times New Roman" w:cs="Times New Roman"/>
                <w:sz w:val="16"/>
                <w:szCs w:val="13"/>
                <w:lang w:val="ro-RO"/>
              </w:rPr>
              <w:t>mii lei</w:t>
            </w:r>
          </w:p>
          <w:p w14:paraId="010155A1" w14:textId="77777777" w:rsidR="00D91ABB" w:rsidRPr="009C5F11" w:rsidRDefault="008E0F09" w:rsidP="0018375D">
            <w:pPr>
              <w:spacing w:after="0" w:line="240" w:lineRule="auto"/>
              <w:rPr>
                <w:rFonts w:ascii="Times New Roman" w:eastAsia="Verdana" w:hAnsi="Times New Roman" w:cs="Times New Roman"/>
                <w:sz w:val="16"/>
                <w:szCs w:val="13"/>
                <w:lang w:val="ro-RO" w:eastAsia="de-DE"/>
              </w:rPr>
            </w:pPr>
            <w:r w:rsidRPr="009C5F11">
              <w:rPr>
                <w:rFonts w:ascii="Times New Roman" w:eastAsia="Calibri" w:hAnsi="Times New Roman" w:cs="Times New Roman"/>
                <w:sz w:val="16"/>
                <w:szCs w:val="13"/>
                <w:lang w:val="ro-RO"/>
              </w:rPr>
              <w:t xml:space="preserve">2018: 177,900 </w:t>
            </w:r>
            <w:r w:rsidR="00AA0566" w:rsidRPr="009C5F11">
              <w:rPr>
                <w:rFonts w:ascii="Times New Roman" w:eastAsia="Calibri" w:hAnsi="Times New Roman" w:cs="Times New Roman"/>
                <w:sz w:val="16"/>
                <w:szCs w:val="13"/>
                <w:lang w:val="ro-RO"/>
              </w:rPr>
              <w:t>mii lei</w:t>
            </w:r>
          </w:p>
        </w:tc>
        <w:tc>
          <w:tcPr>
            <w:tcW w:w="1168" w:type="pct"/>
            <w:vAlign w:val="center"/>
          </w:tcPr>
          <w:p w14:paraId="2B3EBFE8" w14:textId="77777777" w:rsidR="00D91ABB" w:rsidRPr="009C5F11" w:rsidRDefault="004E780C"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FD5F1C" w:rsidRPr="009C5F11">
              <w:rPr>
                <w:rFonts w:ascii="Times New Roman" w:eastAsia="Verdana" w:hAnsi="Times New Roman" w:cs="Times New Roman"/>
                <w:sz w:val="16"/>
                <w:szCs w:val="13"/>
                <w:lang w:val="ro-RO" w:eastAsia="de-DE"/>
              </w:rPr>
              <w:t>.</w:t>
            </w:r>
            <w:r w:rsidR="00D91ABB" w:rsidRPr="009C5F11">
              <w:rPr>
                <w:rFonts w:ascii="Times New Roman" w:eastAsia="Verdana" w:hAnsi="Times New Roman" w:cs="Times New Roman"/>
                <w:sz w:val="16"/>
                <w:szCs w:val="13"/>
                <w:lang w:val="ro-RO" w:eastAsia="de-DE"/>
              </w:rPr>
              <w:t xml:space="preserve"> </w:t>
            </w:r>
          </w:p>
          <w:p w14:paraId="2154E686" w14:textId="77777777" w:rsidR="00D91ABB" w:rsidRPr="009C5F11" w:rsidRDefault="00FD5F1C"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Subprogramul</w:t>
            </w:r>
            <w:r w:rsidR="00D91ABB" w:rsidRPr="009C5F11">
              <w:rPr>
                <w:rFonts w:ascii="Times New Roman" w:eastAsia="Verdana" w:hAnsi="Times New Roman" w:cs="Times New Roman"/>
                <w:sz w:val="16"/>
                <w:szCs w:val="13"/>
                <w:lang w:val="ro-RO" w:eastAsia="de-DE"/>
              </w:rPr>
              <w:t xml:space="preserve"> “</w:t>
            </w:r>
            <w:r w:rsidRPr="009C5F11">
              <w:rPr>
                <w:rFonts w:ascii="Times New Roman" w:eastAsia="Verdana" w:hAnsi="Times New Roman" w:cs="Times New Roman"/>
                <w:sz w:val="16"/>
                <w:szCs w:val="13"/>
                <w:lang w:val="ro-RO" w:eastAsia="de-DE"/>
              </w:rPr>
              <w:t>Eficienţa energetică</w:t>
            </w:r>
            <w:r w:rsidR="00321CD5" w:rsidRPr="009C5F11">
              <w:rPr>
                <w:rFonts w:ascii="Times New Roman" w:eastAsia="Verdana" w:hAnsi="Times New Roman" w:cs="Times New Roman"/>
                <w:sz w:val="16"/>
                <w:szCs w:val="13"/>
                <w:lang w:val="ro-RO" w:eastAsia="de-DE"/>
              </w:rPr>
              <w:t xml:space="preserve"> şi </w:t>
            </w:r>
            <w:r w:rsidRPr="009C5F11">
              <w:rPr>
                <w:rFonts w:ascii="Times New Roman" w:eastAsia="Verdana" w:hAnsi="Times New Roman" w:cs="Times New Roman"/>
                <w:sz w:val="16"/>
                <w:szCs w:val="13"/>
                <w:lang w:val="ro-RO" w:eastAsia="de-DE"/>
              </w:rPr>
              <w:t>surse regenerabile de energie</w:t>
            </w:r>
            <w:r w:rsidR="00D91ABB" w:rsidRPr="009C5F11">
              <w:rPr>
                <w:rFonts w:ascii="Times New Roman" w:eastAsia="Verdana" w:hAnsi="Times New Roman" w:cs="Times New Roman"/>
                <w:sz w:val="16"/>
                <w:szCs w:val="13"/>
                <w:lang w:val="ro-RO" w:eastAsia="de-DE"/>
              </w:rPr>
              <w:t>”</w:t>
            </w:r>
            <w:r w:rsidRPr="009C5F11">
              <w:rPr>
                <w:rFonts w:ascii="Times New Roman" w:eastAsia="Verdana" w:hAnsi="Times New Roman" w:cs="Times New Roman"/>
                <w:sz w:val="16"/>
                <w:szCs w:val="13"/>
                <w:lang w:val="ro-RO" w:eastAsia="de-DE"/>
              </w:rPr>
              <w:t>.</w:t>
            </w:r>
          </w:p>
        </w:tc>
      </w:tr>
      <w:tr w:rsidR="00152C40" w:rsidRPr="009C5F11" w14:paraId="19570897" w14:textId="77777777" w:rsidTr="002E306C">
        <w:trPr>
          <w:trHeight w:val="134"/>
        </w:trPr>
        <w:tc>
          <w:tcPr>
            <w:tcW w:w="339" w:type="pct"/>
            <w:vMerge w:val="restart"/>
            <w:vAlign w:val="center"/>
          </w:tcPr>
          <w:p w14:paraId="4A9BB62D" w14:textId="77777777" w:rsidR="00152C40" w:rsidRPr="009C5F11" w:rsidRDefault="00152C40" w:rsidP="00AB5A76">
            <w:pPr>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P.3</w:t>
            </w:r>
          </w:p>
        </w:tc>
        <w:tc>
          <w:tcPr>
            <w:tcW w:w="804" w:type="pct"/>
            <w:vMerge w:val="restart"/>
            <w:vAlign w:val="center"/>
          </w:tcPr>
          <w:p w14:paraId="409F6FC6" w14:textId="77777777" w:rsidR="00152C40" w:rsidRDefault="00FD5F1C"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Îmbunătăţirea eficienţei energetice</w:t>
            </w:r>
            <w:r w:rsidR="00321CD5" w:rsidRPr="009C5F11">
              <w:rPr>
                <w:rFonts w:ascii="Times New Roman" w:eastAsia="Calibri" w:hAnsi="Times New Roman" w:cs="Times New Roman"/>
                <w:sz w:val="16"/>
                <w:szCs w:val="13"/>
                <w:lang w:val="ro-RO"/>
              </w:rPr>
              <w:t xml:space="preserve"> </w:t>
            </w:r>
            <w:r w:rsidR="00321CD5" w:rsidRPr="009C5F11">
              <w:rPr>
                <w:rFonts w:ascii="Times New Roman" w:eastAsia="Calibri" w:hAnsi="Times New Roman" w:cs="Times New Roman"/>
                <w:sz w:val="16"/>
                <w:szCs w:val="13"/>
                <w:lang w:val="ro-RO"/>
              </w:rPr>
              <w:lastRenderedPageBreak/>
              <w:t xml:space="preserve">în </w:t>
            </w:r>
            <w:r w:rsidRPr="009C5F11">
              <w:rPr>
                <w:rFonts w:ascii="Times New Roman" w:eastAsia="Calibri" w:hAnsi="Times New Roman" w:cs="Times New Roman"/>
                <w:sz w:val="16"/>
                <w:szCs w:val="13"/>
                <w:lang w:val="ro-RO"/>
              </w:rPr>
              <w:t>serviciile municipale/regionale de alimentare cu apă şi evacuare a apelor uzate.</w:t>
            </w:r>
          </w:p>
          <w:p w14:paraId="3F8FE13C" w14:textId="77777777" w:rsidR="00D9464A" w:rsidRDefault="00D9464A" w:rsidP="00AB5A76">
            <w:pPr>
              <w:spacing w:after="0" w:line="240" w:lineRule="auto"/>
              <w:rPr>
                <w:rFonts w:ascii="Times New Roman" w:eastAsia="Calibri" w:hAnsi="Times New Roman" w:cs="Times New Roman"/>
                <w:sz w:val="16"/>
                <w:szCs w:val="13"/>
                <w:lang w:val="ro-RO"/>
              </w:rPr>
            </w:pPr>
          </w:p>
          <w:p w14:paraId="0DC0A0A1" w14:textId="77777777" w:rsidR="00D9464A" w:rsidRDefault="00D9464A" w:rsidP="00AB5A76">
            <w:pPr>
              <w:spacing w:after="0" w:line="240" w:lineRule="auto"/>
              <w:rPr>
                <w:rFonts w:ascii="Times New Roman" w:eastAsia="Calibri" w:hAnsi="Times New Roman" w:cs="Times New Roman"/>
                <w:sz w:val="16"/>
                <w:szCs w:val="13"/>
                <w:lang w:val="ro-RO"/>
              </w:rPr>
            </w:pPr>
          </w:p>
          <w:p w14:paraId="31DEEE32" w14:textId="77777777" w:rsidR="00D9464A" w:rsidRDefault="00D9464A" w:rsidP="00AB5A76">
            <w:pPr>
              <w:spacing w:after="0" w:line="240" w:lineRule="auto"/>
              <w:rPr>
                <w:rFonts w:ascii="Times New Roman" w:eastAsia="Calibri" w:hAnsi="Times New Roman" w:cs="Times New Roman"/>
                <w:sz w:val="16"/>
                <w:szCs w:val="13"/>
                <w:lang w:val="ro-RO"/>
              </w:rPr>
            </w:pPr>
          </w:p>
          <w:p w14:paraId="5064C65C" w14:textId="77777777" w:rsidR="00D9464A" w:rsidRDefault="00D9464A" w:rsidP="00AB5A76">
            <w:pPr>
              <w:spacing w:after="0" w:line="240" w:lineRule="auto"/>
              <w:rPr>
                <w:rFonts w:ascii="Times New Roman" w:eastAsia="Calibri" w:hAnsi="Times New Roman" w:cs="Times New Roman"/>
                <w:sz w:val="16"/>
                <w:szCs w:val="13"/>
                <w:lang w:val="ro-RO"/>
              </w:rPr>
            </w:pPr>
          </w:p>
          <w:p w14:paraId="451A9B3A" w14:textId="77777777" w:rsidR="00D9464A" w:rsidRDefault="00D9464A" w:rsidP="00AB5A76">
            <w:pPr>
              <w:spacing w:after="0" w:line="240" w:lineRule="auto"/>
              <w:rPr>
                <w:rFonts w:ascii="Times New Roman" w:eastAsia="Calibri" w:hAnsi="Times New Roman" w:cs="Times New Roman"/>
                <w:sz w:val="16"/>
                <w:szCs w:val="13"/>
                <w:lang w:val="ro-RO"/>
              </w:rPr>
            </w:pPr>
          </w:p>
          <w:p w14:paraId="28C1D7D0" w14:textId="77777777" w:rsidR="00D9464A" w:rsidRDefault="00D9464A" w:rsidP="00AB5A76">
            <w:pPr>
              <w:spacing w:after="0" w:line="240" w:lineRule="auto"/>
              <w:rPr>
                <w:rFonts w:ascii="Times New Roman" w:eastAsia="Calibri" w:hAnsi="Times New Roman" w:cs="Times New Roman"/>
                <w:sz w:val="16"/>
                <w:szCs w:val="13"/>
                <w:lang w:val="ro-RO"/>
              </w:rPr>
            </w:pPr>
          </w:p>
          <w:p w14:paraId="2F8114F0" w14:textId="77777777" w:rsidR="00D9464A" w:rsidRDefault="00D9464A" w:rsidP="00AB5A76">
            <w:pPr>
              <w:spacing w:after="0" w:line="240" w:lineRule="auto"/>
              <w:rPr>
                <w:rFonts w:ascii="Times New Roman" w:eastAsia="Calibri" w:hAnsi="Times New Roman" w:cs="Times New Roman"/>
                <w:sz w:val="16"/>
                <w:szCs w:val="13"/>
                <w:lang w:val="ro-RO"/>
              </w:rPr>
            </w:pPr>
          </w:p>
          <w:p w14:paraId="060D14E1" w14:textId="77777777" w:rsidR="00D9464A" w:rsidRDefault="00D9464A" w:rsidP="00AB5A76">
            <w:pPr>
              <w:spacing w:after="0" w:line="240" w:lineRule="auto"/>
              <w:rPr>
                <w:rFonts w:ascii="Times New Roman" w:eastAsia="Calibri" w:hAnsi="Times New Roman" w:cs="Times New Roman"/>
                <w:sz w:val="16"/>
                <w:szCs w:val="13"/>
                <w:lang w:val="ro-RO"/>
              </w:rPr>
            </w:pPr>
          </w:p>
          <w:p w14:paraId="3EE6BF79" w14:textId="77777777" w:rsidR="00D9464A" w:rsidRDefault="00D9464A" w:rsidP="00AB5A76">
            <w:pPr>
              <w:spacing w:after="0" w:line="240" w:lineRule="auto"/>
              <w:rPr>
                <w:rFonts w:ascii="Times New Roman" w:eastAsia="Calibri" w:hAnsi="Times New Roman" w:cs="Times New Roman"/>
                <w:sz w:val="16"/>
                <w:szCs w:val="13"/>
                <w:lang w:val="ro-RO"/>
              </w:rPr>
            </w:pPr>
          </w:p>
          <w:p w14:paraId="354C6697" w14:textId="77777777" w:rsidR="00D9464A" w:rsidRDefault="00D9464A" w:rsidP="00AB5A76">
            <w:pPr>
              <w:spacing w:after="0" w:line="240" w:lineRule="auto"/>
              <w:rPr>
                <w:rFonts w:ascii="Times New Roman" w:eastAsia="Calibri" w:hAnsi="Times New Roman" w:cs="Times New Roman"/>
                <w:sz w:val="16"/>
                <w:szCs w:val="13"/>
                <w:lang w:val="ro-RO"/>
              </w:rPr>
            </w:pPr>
          </w:p>
          <w:p w14:paraId="52A8BF67" w14:textId="77777777" w:rsidR="00D9464A" w:rsidRPr="009C5F11" w:rsidRDefault="00D9464A" w:rsidP="00AB5A76">
            <w:pPr>
              <w:spacing w:after="0" w:line="240" w:lineRule="auto"/>
              <w:rPr>
                <w:rFonts w:ascii="Times New Roman" w:eastAsia="Calibri" w:hAnsi="Times New Roman" w:cs="Times New Roman"/>
                <w:sz w:val="16"/>
                <w:szCs w:val="13"/>
                <w:lang w:val="ro-RO"/>
              </w:rPr>
            </w:pPr>
          </w:p>
        </w:tc>
        <w:tc>
          <w:tcPr>
            <w:tcW w:w="536" w:type="pct"/>
            <w:vMerge w:val="restart"/>
            <w:vAlign w:val="center"/>
          </w:tcPr>
          <w:p w14:paraId="2EC3B134" w14:textId="77777777" w:rsidR="00152C40" w:rsidRPr="009C5F11" w:rsidRDefault="00092779"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lastRenderedPageBreak/>
              <w:t>2</w:t>
            </w:r>
            <w:r w:rsidR="00DB63F2" w:rsidRPr="009C5F11">
              <w:rPr>
                <w:rFonts w:ascii="Times New Roman" w:eastAsia="Calibri" w:hAnsi="Times New Roman" w:cs="Times New Roman"/>
                <w:sz w:val="16"/>
                <w:szCs w:val="13"/>
                <w:lang w:val="ro-RO"/>
              </w:rPr>
              <w:t>.05</w:t>
            </w:r>
            <w:r w:rsidR="00152C40" w:rsidRPr="009C5F11">
              <w:rPr>
                <w:rFonts w:ascii="Times New Roman" w:eastAsia="Calibri" w:hAnsi="Times New Roman" w:cs="Times New Roman"/>
                <w:sz w:val="16"/>
                <w:szCs w:val="13"/>
                <w:lang w:val="ro-RO"/>
              </w:rPr>
              <w:t xml:space="preserve"> </w:t>
            </w:r>
            <w:r w:rsidR="00E52940" w:rsidRPr="009C5F11">
              <w:rPr>
                <w:rFonts w:ascii="Times New Roman" w:eastAsia="Calibri" w:hAnsi="Times New Roman" w:cs="Times New Roman"/>
                <w:sz w:val="16"/>
                <w:szCs w:val="13"/>
                <w:lang w:val="ro-RO"/>
              </w:rPr>
              <w:t>ktep</w:t>
            </w:r>
          </w:p>
        </w:tc>
        <w:tc>
          <w:tcPr>
            <w:tcW w:w="834" w:type="pct"/>
            <w:vMerge w:val="restart"/>
            <w:vAlign w:val="center"/>
          </w:tcPr>
          <w:p w14:paraId="2471E91D" w14:textId="77777777" w:rsidR="00152C40" w:rsidRPr="009C5F11" w:rsidRDefault="00152C40"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Apa Canal </w:t>
            </w:r>
            <w:r w:rsidR="00AA0566" w:rsidRPr="009C5F11">
              <w:rPr>
                <w:rFonts w:ascii="Times New Roman" w:eastAsia="Calibri" w:hAnsi="Times New Roman" w:cs="Times New Roman"/>
                <w:sz w:val="16"/>
                <w:szCs w:val="13"/>
                <w:lang w:val="ro-RO"/>
              </w:rPr>
              <w:t>Chişinău</w:t>
            </w:r>
          </w:p>
          <w:p w14:paraId="4108D37A" w14:textId="77777777" w:rsidR="00152C40" w:rsidRPr="009C5F11" w:rsidRDefault="00421FA7"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lastRenderedPageBreak/>
              <w:t>Alte utilităţi</w:t>
            </w:r>
            <w:r w:rsidR="00FD5F1C" w:rsidRPr="009C5F11">
              <w:rPr>
                <w:rFonts w:ascii="Times New Roman" w:eastAsia="Calibri" w:hAnsi="Times New Roman" w:cs="Times New Roman"/>
                <w:sz w:val="16"/>
                <w:szCs w:val="13"/>
                <w:lang w:val="ro-RO"/>
              </w:rPr>
              <w:t>/servicii</w:t>
            </w:r>
          </w:p>
        </w:tc>
        <w:tc>
          <w:tcPr>
            <w:tcW w:w="1318" w:type="pct"/>
            <w:vAlign w:val="center"/>
          </w:tcPr>
          <w:p w14:paraId="0AA5D646" w14:textId="77777777" w:rsidR="00152C40" w:rsidRPr="009C5F11" w:rsidRDefault="000437ED" w:rsidP="00637DDF">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lastRenderedPageBreak/>
              <w:t xml:space="preserve">59,000,000 </w:t>
            </w:r>
            <w:r w:rsidR="00637DDF" w:rsidRPr="009C5F11">
              <w:rPr>
                <w:rFonts w:ascii="Times New Roman" w:eastAsia="Calibri" w:hAnsi="Times New Roman" w:cs="Times New Roman"/>
                <w:sz w:val="16"/>
                <w:szCs w:val="13"/>
                <w:lang w:val="ro-RO"/>
              </w:rPr>
              <w:t>e</w:t>
            </w:r>
            <w:r w:rsidRPr="009C5F11">
              <w:rPr>
                <w:rFonts w:ascii="Times New Roman" w:eastAsia="Calibri" w:hAnsi="Times New Roman" w:cs="Times New Roman"/>
                <w:sz w:val="16"/>
                <w:szCs w:val="13"/>
                <w:lang w:val="ro-RO"/>
              </w:rPr>
              <w:t>uro</w:t>
            </w:r>
          </w:p>
          <w:p w14:paraId="171A04F0" w14:textId="77777777" w:rsidR="0017055F" w:rsidRPr="009C5F11" w:rsidRDefault="0017055F" w:rsidP="002B4661">
            <w:pPr>
              <w:tabs>
                <w:tab w:val="left" w:pos="252"/>
              </w:tabs>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w:t>
            </w:r>
            <w:r w:rsidRPr="009C5F11">
              <w:rPr>
                <w:rFonts w:ascii="Times New Roman" w:eastAsia="Calibri" w:hAnsi="Times New Roman" w:cs="Times New Roman"/>
                <w:sz w:val="16"/>
                <w:szCs w:val="13"/>
                <w:lang w:val="ro-RO"/>
              </w:rPr>
              <w:tab/>
              <w:t>24,000,000 Euro – B</w:t>
            </w:r>
            <w:r w:rsidR="002B4661" w:rsidRPr="009C5F11">
              <w:rPr>
                <w:rFonts w:ascii="Times New Roman" w:eastAsia="Calibri" w:hAnsi="Times New Roman" w:cs="Times New Roman"/>
                <w:sz w:val="16"/>
                <w:szCs w:val="13"/>
                <w:lang w:val="ro-RO"/>
              </w:rPr>
              <w:t>E</w:t>
            </w:r>
            <w:r w:rsidRPr="009C5F11">
              <w:rPr>
                <w:rFonts w:ascii="Times New Roman" w:eastAsia="Calibri" w:hAnsi="Times New Roman" w:cs="Times New Roman"/>
                <w:sz w:val="16"/>
                <w:szCs w:val="13"/>
                <w:lang w:val="ro-RO"/>
              </w:rPr>
              <w:t>RD</w:t>
            </w:r>
          </w:p>
          <w:p w14:paraId="5C3C25EE" w14:textId="77777777" w:rsidR="0017055F" w:rsidRPr="009C5F11" w:rsidRDefault="0017055F" w:rsidP="002B4661">
            <w:pPr>
              <w:tabs>
                <w:tab w:val="left" w:pos="252"/>
              </w:tabs>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lastRenderedPageBreak/>
              <w:t>•</w:t>
            </w:r>
            <w:r w:rsidRPr="009C5F11">
              <w:rPr>
                <w:rFonts w:ascii="Times New Roman" w:eastAsia="Calibri" w:hAnsi="Times New Roman" w:cs="Times New Roman"/>
                <w:sz w:val="16"/>
                <w:szCs w:val="13"/>
                <w:lang w:val="ro-RO"/>
              </w:rPr>
              <w:tab/>
              <w:t>24,000,000 Euro – B</w:t>
            </w:r>
            <w:r w:rsidR="002B4661" w:rsidRPr="009C5F11">
              <w:rPr>
                <w:rFonts w:ascii="Times New Roman" w:eastAsia="Calibri" w:hAnsi="Times New Roman" w:cs="Times New Roman"/>
                <w:sz w:val="16"/>
                <w:szCs w:val="13"/>
                <w:lang w:val="ro-RO"/>
              </w:rPr>
              <w:t>EI</w:t>
            </w:r>
          </w:p>
          <w:p w14:paraId="0A8804E3" w14:textId="77777777" w:rsidR="0017055F" w:rsidRPr="009C5F11" w:rsidRDefault="0017055F" w:rsidP="002B4661">
            <w:pPr>
              <w:tabs>
                <w:tab w:val="left" w:pos="252"/>
              </w:tabs>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w:t>
            </w:r>
            <w:r w:rsidRPr="009C5F11">
              <w:rPr>
                <w:rFonts w:ascii="Times New Roman" w:eastAsia="Calibri" w:hAnsi="Times New Roman" w:cs="Times New Roman"/>
                <w:sz w:val="16"/>
                <w:szCs w:val="13"/>
                <w:lang w:val="ro-RO"/>
              </w:rPr>
              <w:tab/>
              <w:t>11,000,000 Euro – EU prin NIF</w:t>
            </w:r>
          </w:p>
        </w:tc>
        <w:tc>
          <w:tcPr>
            <w:tcW w:w="1168" w:type="pct"/>
            <w:vAlign w:val="center"/>
          </w:tcPr>
          <w:p w14:paraId="1F3041BF" w14:textId="77777777" w:rsidR="00152C40" w:rsidRPr="009C5F11" w:rsidRDefault="00FD5F1C"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lastRenderedPageBreak/>
              <w:t>Proiectul ACC</w:t>
            </w:r>
            <w:r w:rsidR="00152C40" w:rsidRPr="009C5F11">
              <w:rPr>
                <w:rFonts w:ascii="Times New Roman" w:eastAsia="Verdana" w:hAnsi="Times New Roman" w:cs="Times New Roman"/>
                <w:sz w:val="16"/>
                <w:szCs w:val="13"/>
                <w:lang w:val="ro-RO" w:eastAsia="de-DE"/>
              </w:rPr>
              <w:t xml:space="preserve"> “</w:t>
            </w:r>
            <w:r w:rsidRPr="009C5F11">
              <w:rPr>
                <w:rFonts w:ascii="Times New Roman" w:eastAsia="Verdana" w:hAnsi="Times New Roman" w:cs="Times New Roman"/>
                <w:sz w:val="16"/>
                <w:szCs w:val="13"/>
                <w:lang w:val="ro-RO" w:eastAsia="de-DE"/>
              </w:rPr>
              <w:t xml:space="preserve">Modernizarea gestionării apei şi a apelor uzate </w:t>
            </w:r>
            <w:r w:rsidRPr="009C5F11">
              <w:rPr>
                <w:rFonts w:ascii="Times New Roman" w:eastAsia="Verdana" w:hAnsi="Times New Roman" w:cs="Times New Roman"/>
                <w:sz w:val="16"/>
                <w:szCs w:val="13"/>
                <w:lang w:val="ro-RO" w:eastAsia="de-DE"/>
              </w:rPr>
              <w:lastRenderedPageBreak/>
              <w:t>în Chişinău</w:t>
            </w:r>
            <w:r w:rsidR="00152C40" w:rsidRPr="009C5F11">
              <w:rPr>
                <w:rFonts w:ascii="Times New Roman" w:eastAsia="Verdana" w:hAnsi="Times New Roman" w:cs="Times New Roman"/>
                <w:sz w:val="16"/>
                <w:szCs w:val="13"/>
                <w:lang w:val="ro-RO" w:eastAsia="de-DE"/>
              </w:rPr>
              <w:t>” (</w:t>
            </w:r>
            <w:r w:rsidR="00AA0566" w:rsidRPr="009C5F11">
              <w:rPr>
                <w:rFonts w:ascii="Times New Roman" w:eastAsia="Verdana" w:hAnsi="Times New Roman" w:cs="Times New Roman"/>
                <w:sz w:val="16"/>
                <w:szCs w:val="13"/>
                <w:lang w:val="ro-RO" w:eastAsia="de-DE"/>
              </w:rPr>
              <w:t>BERD</w:t>
            </w:r>
            <w:r w:rsidR="00152C40"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BEI</w:t>
            </w:r>
            <w:r w:rsidR="00152C40"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UE</w:t>
            </w:r>
            <w:r w:rsidR="00152C40" w:rsidRPr="009C5F11">
              <w:rPr>
                <w:rFonts w:ascii="Times New Roman" w:eastAsia="Verdana" w:hAnsi="Times New Roman" w:cs="Times New Roman"/>
                <w:sz w:val="16"/>
                <w:szCs w:val="13"/>
                <w:lang w:val="ro-RO" w:eastAsia="de-DE"/>
              </w:rPr>
              <w:t xml:space="preserve"> </w:t>
            </w:r>
            <w:r w:rsidRPr="009C5F11">
              <w:rPr>
                <w:rFonts w:ascii="Times New Roman" w:eastAsia="Verdana" w:hAnsi="Times New Roman" w:cs="Times New Roman"/>
                <w:sz w:val="16"/>
                <w:szCs w:val="13"/>
                <w:lang w:val="ro-RO" w:eastAsia="de-DE"/>
              </w:rPr>
              <w:t>prin intermediul</w:t>
            </w:r>
            <w:r w:rsidR="00152C40" w:rsidRPr="009C5F11">
              <w:rPr>
                <w:rFonts w:ascii="Times New Roman" w:eastAsia="Verdana" w:hAnsi="Times New Roman" w:cs="Times New Roman"/>
                <w:sz w:val="16"/>
                <w:szCs w:val="13"/>
                <w:lang w:val="ro-RO" w:eastAsia="de-DE"/>
              </w:rPr>
              <w:t xml:space="preserve"> NIF)</w:t>
            </w:r>
            <w:r w:rsidRPr="009C5F11">
              <w:rPr>
                <w:rFonts w:ascii="Times New Roman" w:eastAsia="Verdana" w:hAnsi="Times New Roman" w:cs="Times New Roman"/>
                <w:sz w:val="16"/>
                <w:szCs w:val="13"/>
                <w:lang w:val="ro-RO" w:eastAsia="de-DE"/>
              </w:rPr>
              <w:t>.</w:t>
            </w:r>
          </w:p>
        </w:tc>
      </w:tr>
      <w:tr w:rsidR="00152C40" w:rsidRPr="009C5F11" w14:paraId="63DD3BBA" w14:textId="77777777" w:rsidTr="002E306C">
        <w:trPr>
          <w:trHeight w:hRule="exact" w:val="1641"/>
        </w:trPr>
        <w:tc>
          <w:tcPr>
            <w:tcW w:w="339" w:type="pct"/>
            <w:vMerge/>
            <w:tcBorders>
              <w:bottom w:val="single" w:sz="4" w:space="0" w:color="4F81BD"/>
            </w:tcBorders>
            <w:vAlign w:val="center"/>
          </w:tcPr>
          <w:p w14:paraId="3AF15848" w14:textId="77777777" w:rsidR="00152C40" w:rsidRPr="009C5F11" w:rsidRDefault="00152C40" w:rsidP="00AB5A76">
            <w:pPr>
              <w:rPr>
                <w:rFonts w:ascii="Times New Roman" w:hAnsi="Times New Roman" w:cs="Times New Roman"/>
                <w:sz w:val="16"/>
                <w:szCs w:val="13"/>
                <w:lang w:val="ro-RO" w:eastAsia="de-DE"/>
              </w:rPr>
            </w:pPr>
          </w:p>
        </w:tc>
        <w:tc>
          <w:tcPr>
            <w:tcW w:w="804" w:type="pct"/>
            <w:vMerge/>
            <w:tcBorders>
              <w:bottom w:val="single" w:sz="4" w:space="0" w:color="4F81BD"/>
            </w:tcBorders>
            <w:vAlign w:val="center"/>
          </w:tcPr>
          <w:p w14:paraId="57D48A50" w14:textId="77777777" w:rsidR="00152C40" w:rsidRPr="009C5F11" w:rsidRDefault="00152C40" w:rsidP="00AB5A76">
            <w:pPr>
              <w:spacing w:after="0" w:line="240" w:lineRule="auto"/>
              <w:rPr>
                <w:rFonts w:ascii="Times New Roman" w:eastAsia="Calibri" w:hAnsi="Times New Roman" w:cs="Times New Roman"/>
                <w:sz w:val="16"/>
                <w:szCs w:val="13"/>
                <w:lang w:val="ro-RO"/>
              </w:rPr>
            </w:pPr>
          </w:p>
        </w:tc>
        <w:tc>
          <w:tcPr>
            <w:tcW w:w="536" w:type="pct"/>
            <w:vMerge/>
            <w:tcBorders>
              <w:bottom w:val="single" w:sz="4" w:space="0" w:color="4F81BD"/>
            </w:tcBorders>
            <w:vAlign w:val="center"/>
          </w:tcPr>
          <w:p w14:paraId="0FCAF5D5" w14:textId="77777777" w:rsidR="00152C40" w:rsidRPr="009C5F11" w:rsidRDefault="00152C40" w:rsidP="00AB5A76">
            <w:pPr>
              <w:rPr>
                <w:rFonts w:ascii="Times New Roman" w:eastAsia="Calibri" w:hAnsi="Times New Roman" w:cs="Times New Roman"/>
                <w:sz w:val="16"/>
                <w:szCs w:val="13"/>
                <w:lang w:val="ro-RO"/>
              </w:rPr>
            </w:pPr>
          </w:p>
        </w:tc>
        <w:tc>
          <w:tcPr>
            <w:tcW w:w="834" w:type="pct"/>
            <w:vMerge/>
            <w:tcBorders>
              <w:bottom w:val="single" w:sz="4" w:space="0" w:color="4F81BD"/>
            </w:tcBorders>
            <w:vAlign w:val="center"/>
          </w:tcPr>
          <w:p w14:paraId="7845ACE4" w14:textId="77777777" w:rsidR="00152C40" w:rsidRPr="009C5F11" w:rsidRDefault="00152C40" w:rsidP="00AB5A76">
            <w:pPr>
              <w:rPr>
                <w:rFonts w:ascii="Times New Roman" w:eastAsia="Calibri" w:hAnsi="Times New Roman" w:cs="Times New Roman"/>
                <w:sz w:val="16"/>
                <w:szCs w:val="13"/>
                <w:lang w:val="ro-RO"/>
              </w:rPr>
            </w:pPr>
          </w:p>
        </w:tc>
        <w:tc>
          <w:tcPr>
            <w:tcW w:w="1318" w:type="pct"/>
            <w:tcBorders>
              <w:bottom w:val="single" w:sz="4" w:space="0" w:color="4F81BD"/>
            </w:tcBorders>
            <w:vAlign w:val="center"/>
          </w:tcPr>
          <w:p w14:paraId="24068FBB" w14:textId="77777777" w:rsidR="002B4661" w:rsidRPr="009C5F11" w:rsidRDefault="002B4661" w:rsidP="00637DDF">
            <w:pPr>
              <w:spacing w:after="0" w:line="240" w:lineRule="auto"/>
              <w:rPr>
                <w:rFonts w:ascii="Times New Roman" w:eastAsia="Calibri" w:hAnsi="Times New Roman" w:cs="Times New Roman"/>
                <w:sz w:val="16"/>
                <w:szCs w:val="13"/>
                <w:lang w:val="ro-RO"/>
              </w:rPr>
            </w:pPr>
          </w:p>
          <w:p w14:paraId="2AC4B7CD" w14:textId="77777777" w:rsidR="002B4661" w:rsidRPr="009C5F11" w:rsidRDefault="002B4661" w:rsidP="00637DDF">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Finalizat in 31.12.2015</w:t>
            </w:r>
          </w:p>
          <w:p w14:paraId="57CBF628" w14:textId="77777777" w:rsidR="00152C40" w:rsidRPr="009C5F11" w:rsidRDefault="000437ED" w:rsidP="00637DDF">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30,000,000 </w:t>
            </w:r>
            <w:r w:rsidR="00637DDF" w:rsidRPr="009C5F11">
              <w:rPr>
                <w:rFonts w:ascii="Times New Roman" w:eastAsia="Calibri" w:hAnsi="Times New Roman" w:cs="Times New Roman"/>
                <w:sz w:val="16"/>
                <w:szCs w:val="13"/>
                <w:lang w:val="ro-RO"/>
              </w:rPr>
              <w:t>e</w:t>
            </w:r>
            <w:r w:rsidRPr="009C5F11">
              <w:rPr>
                <w:rFonts w:ascii="Times New Roman" w:eastAsia="Calibri" w:hAnsi="Times New Roman" w:cs="Times New Roman"/>
                <w:sz w:val="16"/>
                <w:szCs w:val="13"/>
                <w:lang w:val="ro-RO"/>
              </w:rPr>
              <w:t>uro</w:t>
            </w:r>
          </w:p>
          <w:p w14:paraId="46AF4FB2" w14:textId="77777777" w:rsidR="002B4661" w:rsidRPr="009C5F11" w:rsidRDefault="002B4661" w:rsidP="00637DDF">
            <w:pPr>
              <w:spacing w:after="0" w:line="240" w:lineRule="auto"/>
              <w:rPr>
                <w:rFonts w:ascii="Times New Roman" w:eastAsia="Calibri" w:hAnsi="Times New Roman" w:cs="Times New Roman"/>
                <w:sz w:val="16"/>
                <w:szCs w:val="13"/>
                <w:lang w:val="ro-RO"/>
              </w:rPr>
            </w:pPr>
          </w:p>
          <w:p w14:paraId="4E914079" w14:textId="77777777" w:rsidR="002B4661" w:rsidRPr="009C5F11" w:rsidRDefault="002B4661" w:rsidP="002B4661">
            <w:pPr>
              <w:tabs>
                <w:tab w:val="left" w:pos="252"/>
              </w:tabs>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w:t>
            </w:r>
            <w:r w:rsidRPr="009C5F11">
              <w:rPr>
                <w:rFonts w:ascii="Times New Roman" w:eastAsia="Calibri" w:hAnsi="Times New Roman" w:cs="Times New Roman"/>
                <w:sz w:val="16"/>
                <w:szCs w:val="13"/>
                <w:lang w:val="ro-RO"/>
              </w:rPr>
              <w:tab/>
              <w:t>10,000,000 Euro – imprumut  BERD</w:t>
            </w:r>
          </w:p>
          <w:p w14:paraId="35632F82" w14:textId="77777777" w:rsidR="002B4661" w:rsidRPr="009C5F11" w:rsidRDefault="002B4661" w:rsidP="002B4661">
            <w:pPr>
              <w:tabs>
                <w:tab w:val="left" w:pos="252"/>
              </w:tabs>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w:t>
            </w:r>
            <w:r w:rsidRPr="009C5F11">
              <w:rPr>
                <w:rFonts w:ascii="Times New Roman" w:eastAsia="Calibri" w:hAnsi="Times New Roman" w:cs="Times New Roman"/>
                <w:sz w:val="16"/>
                <w:szCs w:val="13"/>
                <w:lang w:val="ro-RO"/>
              </w:rPr>
              <w:tab/>
              <w:t>10,000,000 Euro – loan EIB</w:t>
            </w:r>
          </w:p>
          <w:p w14:paraId="392267FE" w14:textId="5AD8E7F5" w:rsidR="0017055F" w:rsidRPr="009C5F11" w:rsidRDefault="002B4661" w:rsidP="00D9464A">
            <w:pPr>
              <w:tabs>
                <w:tab w:val="left" w:pos="252"/>
              </w:tabs>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w:t>
            </w:r>
            <w:r w:rsidRPr="009C5F11">
              <w:rPr>
                <w:rFonts w:ascii="Times New Roman" w:eastAsia="Calibri" w:hAnsi="Times New Roman" w:cs="Times New Roman"/>
                <w:sz w:val="16"/>
                <w:szCs w:val="13"/>
                <w:lang w:val="ro-RO"/>
              </w:rPr>
              <w:tab/>
              <w:t>10,000,000 Euro   grant EU by NIF</w:t>
            </w:r>
          </w:p>
        </w:tc>
        <w:tc>
          <w:tcPr>
            <w:tcW w:w="1168" w:type="pct"/>
            <w:tcBorders>
              <w:bottom w:val="single" w:sz="4" w:space="0" w:color="4F81BD"/>
            </w:tcBorders>
            <w:vAlign w:val="center"/>
          </w:tcPr>
          <w:p w14:paraId="77FC45F9" w14:textId="77777777" w:rsidR="00152C40" w:rsidRPr="009C5F11" w:rsidRDefault="00FD5F1C"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PROIECT ÎN </w:t>
            </w:r>
            <w:r w:rsidR="002B4661" w:rsidRPr="009C5F11">
              <w:rPr>
                <w:rFonts w:ascii="Times New Roman" w:eastAsia="Verdana" w:hAnsi="Times New Roman" w:cs="Times New Roman"/>
                <w:sz w:val="16"/>
                <w:szCs w:val="13"/>
                <w:lang w:val="ro-RO" w:eastAsia="de-DE"/>
              </w:rPr>
              <w:t xml:space="preserve">DOMENIUL ALIMENTARII CU APA </w:t>
            </w:r>
            <w:r w:rsidRPr="009C5F11">
              <w:rPr>
                <w:rFonts w:ascii="Times New Roman" w:eastAsia="Verdana" w:hAnsi="Times New Roman" w:cs="Times New Roman"/>
                <w:sz w:val="16"/>
                <w:szCs w:val="13"/>
                <w:lang w:val="ro-RO" w:eastAsia="de-DE"/>
              </w:rPr>
              <w:t>REGIUNEA NORD</w:t>
            </w:r>
          </w:p>
          <w:p w14:paraId="56DB11CE" w14:textId="77777777" w:rsidR="00152C40" w:rsidRDefault="00152C40" w:rsidP="00B40DB5">
            <w:pPr>
              <w:tabs>
                <w:tab w:val="left" w:pos="1440"/>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w:t>
            </w:r>
            <w:r w:rsidR="00AA0566" w:rsidRPr="009C5F11">
              <w:rPr>
                <w:rFonts w:ascii="Times New Roman" w:eastAsia="Verdana" w:hAnsi="Times New Roman" w:cs="Times New Roman"/>
                <w:sz w:val="16"/>
                <w:szCs w:val="13"/>
                <w:lang w:val="ro-RO" w:eastAsia="de-DE"/>
              </w:rPr>
              <w:t>BERD</w:t>
            </w:r>
            <w:r w:rsidRPr="009C5F11">
              <w:rPr>
                <w:rFonts w:ascii="Times New Roman" w:eastAsia="Verdana" w:hAnsi="Times New Roman" w:cs="Times New Roman"/>
                <w:sz w:val="16"/>
                <w:szCs w:val="13"/>
                <w:lang w:val="ro-RO" w:eastAsia="de-DE"/>
              </w:rPr>
              <w:t xml:space="preserve">, </w:t>
            </w:r>
            <w:r w:rsidR="00421FA7" w:rsidRPr="009C5F11">
              <w:rPr>
                <w:rFonts w:ascii="Times New Roman" w:eastAsia="Verdana" w:hAnsi="Times New Roman" w:cs="Times New Roman"/>
                <w:sz w:val="16"/>
                <w:szCs w:val="13"/>
                <w:lang w:val="ro-RO" w:eastAsia="de-DE"/>
              </w:rPr>
              <w:t>BEI</w:t>
            </w:r>
            <w:r w:rsidRPr="009C5F11">
              <w:rPr>
                <w:rFonts w:ascii="Times New Roman" w:eastAsia="Verdana" w:hAnsi="Times New Roman" w:cs="Times New Roman"/>
                <w:sz w:val="16"/>
                <w:szCs w:val="13"/>
                <w:lang w:val="ro-RO" w:eastAsia="de-DE"/>
              </w:rPr>
              <w:t xml:space="preserve">, </w:t>
            </w:r>
            <w:r w:rsidR="00FD5F1C" w:rsidRPr="009C5F11">
              <w:rPr>
                <w:rFonts w:ascii="Times New Roman" w:eastAsia="Verdana" w:hAnsi="Times New Roman" w:cs="Times New Roman"/>
                <w:sz w:val="16"/>
                <w:szCs w:val="13"/>
                <w:lang w:val="ro-RO" w:eastAsia="de-DE"/>
              </w:rPr>
              <w:t>UE prin intermediul NIF</w:t>
            </w:r>
            <w:r w:rsidRPr="009C5F11">
              <w:rPr>
                <w:rFonts w:ascii="Times New Roman" w:eastAsia="Verdana" w:hAnsi="Times New Roman" w:cs="Times New Roman"/>
                <w:sz w:val="16"/>
                <w:szCs w:val="13"/>
                <w:lang w:val="ro-RO" w:eastAsia="de-DE"/>
              </w:rPr>
              <w:t>)</w:t>
            </w:r>
            <w:r w:rsidR="00FD5F1C" w:rsidRPr="009C5F11">
              <w:rPr>
                <w:rFonts w:ascii="Times New Roman" w:eastAsia="Verdana" w:hAnsi="Times New Roman" w:cs="Times New Roman"/>
                <w:sz w:val="16"/>
                <w:szCs w:val="13"/>
                <w:lang w:val="ro-RO" w:eastAsia="de-DE"/>
              </w:rPr>
              <w:t>.</w:t>
            </w:r>
          </w:p>
          <w:p w14:paraId="2D46E6E0" w14:textId="77777777" w:rsidR="00D9464A" w:rsidRDefault="00D9464A" w:rsidP="00B40DB5">
            <w:pPr>
              <w:tabs>
                <w:tab w:val="left" w:pos="1440"/>
              </w:tabs>
              <w:spacing w:before="40" w:after="0" w:line="240" w:lineRule="auto"/>
              <w:rPr>
                <w:rFonts w:ascii="Times New Roman" w:eastAsia="Verdana" w:hAnsi="Times New Roman" w:cs="Times New Roman"/>
                <w:sz w:val="16"/>
                <w:szCs w:val="13"/>
                <w:lang w:val="ro-RO" w:eastAsia="de-DE"/>
              </w:rPr>
            </w:pPr>
          </w:p>
          <w:p w14:paraId="1413ED74" w14:textId="77777777" w:rsidR="00D9464A" w:rsidRDefault="00D9464A" w:rsidP="00B40DB5">
            <w:pPr>
              <w:tabs>
                <w:tab w:val="left" w:pos="1440"/>
              </w:tabs>
              <w:spacing w:before="40" w:after="0" w:line="240" w:lineRule="auto"/>
              <w:rPr>
                <w:rFonts w:ascii="Times New Roman" w:eastAsia="Verdana" w:hAnsi="Times New Roman" w:cs="Times New Roman"/>
                <w:sz w:val="16"/>
                <w:szCs w:val="13"/>
                <w:lang w:val="ro-RO" w:eastAsia="de-DE"/>
              </w:rPr>
            </w:pPr>
          </w:p>
          <w:p w14:paraId="5B8938F5" w14:textId="77777777" w:rsidR="00D9464A" w:rsidRDefault="00D9464A" w:rsidP="00B40DB5">
            <w:pPr>
              <w:tabs>
                <w:tab w:val="left" w:pos="1440"/>
              </w:tabs>
              <w:spacing w:before="40" w:after="0" w:line="240" w:lineRule="auto"/>
              <w:rPr>
                <w:rFonts w:ascii="Times New Roman" w:eastAsia="Verdana" w:hAnsi="Times New Roman" w:cs="Times New Roman"/>
                <w:sz w:val="16"/>
                <w:szCs w:val="13"/>
                <w:lang w:val="ro-RO" w:eastAsia="de-DE"/>
              </w:rPr>
            </w:pPr>
          </w:p>
          <w:p w14:paraId="3A5AE339" w14:textId="77777777" w:rsidR="00D9464A" w:rsidRDefault="00D9464A" w:rsidP="00B40DB5">
            <w:pPr>
              <w:tabs>
                <w:tab w:val="left" w:pos="1440"/>
              </w:tabs>
              <w:spacing w:before="40" w:after="0" w:line="240" w:lineRule="auto"/>
              <w:rPr>
                <w:rFonts w:ascii="Times New Roman" w:eastAsia="Verdana" w:hAnsi="Times New Roman" w:cs="Times New Roman"/>
                <w:sz w:val="16"/>
                <w:szCs w:val="13"/>
                <w:lang w:val="ro-RO" w:eastAsia="de-DE"/>
              </w:rPr>
            </w:pPr>
          </w:p>
          <w:p w14:paraId="4BCBE1D7" w14:textId="77777777" w:rsidR="00D9464A" w:rsidRDefault="00D9464A" w:rsidP="00B40DB5">
            <w:pPr>
              <w:tabs>
                <w:tab w:val="left" w:pos="1440"/>
              </w:tabs>
              <w:spacing w:before="40" w:after="0" w:line="240" w:lineRule="auto"/>
              <w:rPr>
                <w:rFonts w:ascii="Times New Roman" w:eastAsia="Verdana" w:hAnsi="Times New Roman" w:cs="Times New Roman"/>
                <w:sz w:val="16"/>
                <w:szCs w:val="13"/>
                <w:lang w:val="ro-RO" w:eastAsia="de-DE"/>
              </w:rPr>
            </w:pPr>
          </w:p>
          <w:p w14:paraId="67A3D0AA" w14:textId="77777777" w:rsidR="00D9464A" w:rsidRDefault="00D9464A" w:rsidP="00B40DB5">
            <w:pPr>
              <w:tabs>
                <w:tab w:val="left" w:pos="1440"/>
              </w:tabs>
              <w:spacing w:before="40" w:after="0" w:line="240" w:lineRule="auto"/>
              <w:rPr>
                <w:rFonts w:ascii="Times New Roman" w:eastAsia="Verdana" w:hAnsi="Times New Roman" w:cs="Times New Roman"/>
                <w:sz w:val="16"/>
                <w:szCs w:val="13"/>
                <w:lang w:val="ro-RO" w:eastAsia="de-DE"/>
              </w:rPr>
            </w:pPr>
          </w:p>
          <w:p w14:paraId="24156555" w14:textId="77777777" w:rsidR="00D9464A" w:rsidRPr="009C5F11" w:rsidRDefault="00D9464A" w:rsidP="00B40DB5">
            <w:pPr>
              <w:tabs>
                <w:tab w:val="left" w:pos="1440"/>
              </w:tabs>
              <w:spacing w:before="40" w:after="0" w:line="240" w:lineRule="auto"/>
              <w:rPr>
                <w:rFonts w:ascii="Times New Roman" w:eastAsia="Verdana" w:hAnsi="Times New Roman" w:cs="Times New Roman"/>
                <w:sz w:val="16"/>
                <w:szCs w:val="13"/>
                <w:lang w:val="ro-RO" w:eastAsia="de-DE"/>
              </w:rPr>
            </w:pPr>
          </w:p>
        </w:tc>
      </w:tr>
      <w:tr w:rsidR="00983587" w:rsidRPr="009C5F11" w14:paraId="4ACA85D6" w14:textId="77777777" w:rsidTr="002E306C">
        <w:trPr>
          <w:trHeight w:val="317"/>
        </w:trPr>
        <w:tc>
          <w:tcPr>
            <w:tcW w:w="5000" w:type="pct"/>
            <w:gridSpan w:val="6"/>
            <w:shd w:val="clear" w:color="auto" w:fill="666666"/>
            <w:vAlign w:val="center"/>
          </w:tcPr>
          <w:p w14:paraId="39494435" w14:textId="77777777" w:rsidR="00983587" w:rsidRPr="009C5F11" w:rsidRDefault="00FD5F1C" w:rsidP="00FD5F1C">
            <w:pPr>
              <w:spacing w:after="0" w:line="240" w:lineRule="auto"/>
              <w:jc w:val="center"/>
              <w:rPr>
                <w:rFonts w:ascii="Times New Roman" w:eastAsia="Calibri" w:hAnsi="Times New Roman" w:cs="Times New Roman"/>
                <w:b/>
                <w:color w:val="FFFFFF" w:themeColor="background1"/>
                <w:sz w:val="16"/>
                <w:szCs w:val="13"/>
                <w:lang w:val="ro-RO"/>
              </w:rPr>
            </w:pPr>
            <w:r w:rsidRPr="009C5F11">
              <w:rPr>
                <w:rFonts w:ascii="Times New Roman" w:eastAsia="Calibri" w:hAnsi="Times New Roman" w:cs="Times New Roman"/>
                <w:b/>
                <w:color w:val="FFFFFF" w:themeColor="background1"/>
                <w:sz w:val="16"/>
                <w:szCs w:val="13"/>
                <w:lang w:val="ro-RO"/>
              </w:rPr>
              <w:t>Sectorul de m</w:t>
            </w:r>
            <w:r w:rsidR="00983587" w:rsidRPr="009C5F11">
              <w:rPr>
                <w:rFonts w:ascii="Times New Roman" w:eastAsia="Calibri" w:hAnsi="Times New Roman" w:cs="Times New Roman"/>
                <w:b/>
                <w:color w:val="FFFFFF" w:themeColor="background1"/>
                <w:sz w:val="16"/>
                <w:szCs w:val="13"/>
                <w:lang w:val="ro-RO"/>
              </w:rPr>
              <w:t>obilit</w:t>
            </w:r>
            <w:r w:rsidRPr="009C5F11">
              <w:rPr>
                <w:rFonts w:ascii="Times New Roman" w:eastAsia="Calibri" w:hAnsi="Times New Roman" w:cs="Times New Roman"/>
                <w:b/>
                <w:color w:val="FFFFFF" w:themeColor="background1"/>
                <w:sz w:val="16"/>
                <w:szCs w:val="13"/>
                <w:lang w:val="ro-RO"/>
              </w:rPr>
              <w:t>ate</w:t>
            </w:r>
            <w:r w:rsidR="00983587" w:rsidRPr="009C5F11">
              <w:rPr>
                <w:rFonts w:ascii="Times New Roman" w:eastAsia="Calibri" w:hAnsi="Times New Roman" w:cs="Times New Roman"/>
                <w:b/>
                <w:color w:val="FFFFFF" w:themeColor="background1"/>
                <w:sz w:val="16"/>
                <w:szCs w:val="13"/>
                <w:lang w:val="ro-RO"/>
              </w:rPr>
              <w:t>/transport</w:t>
            </w:r>
            <w:r w:rsidRPr="009C5F11">
              <w:rPr>
                <w:rFonts w:ascii="Times New Roman" w:eastAsia="Calibri" w:hAnsi="Times New Roman" w:cs="Times New Roman"/>
                <w:b/>
                <w:color w:val="FFFFFF" w:themeColor="background1"/>
                <w:sz w:val="16"/>
                <w:szCs w:val="13"/>
                <w:lang w:val="ro-RO"/>
              </w:rPr>
              <w:t>uri</w:t>
            </w:r>
          </w:p>
        </w:tc>
      </w:tr>
      <w:tr w:rsidR="00D2671E" w:rsidRPr="009C5F11" w14:paraId="7AA1BC78" w14:textId="77777777" w:rsidTr="002E306C">
        <w:trPr>
          <w:trHeight w:val="532"/>
        </w:trPr>
        <w:tc>
          <w:tcPr>
            <w:tcW w:w="339" w:type="pct"/>
            <w:vMerge w:val="restart"/>
            <w:vAlign w:val="center"/>
          </w:tcPr>
          <w:p w14:paraId="567D41C0" w14:textId="77777777" w:rsidR="00D2671E" w:rsidRPr="009C5F11" w:rsidRDefault="00D2671E" w:rsidP="00AB5A76">
            <w:pPr>
              <w:jc w:val="both"/>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T.1</w:t>
            </w:r>
          </w:p>
        </w:tc>
        <w:tc>
          <w:tcPr>
            <w:tcW w:w="804" w:type="pct"/>
            <w:vMerge w:val="restart"/>
            <w:vAlign w:val="center"/>
          </w:tcPr>
          <w:p w14:paraId="1E5048E1" w14:textId="77777777" w:rsidR="00D2671E" w:rsidRPr="009C5F11" w:rsidRDefault="00FD5F1C"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Promovarea</w:t>
            </w:r>
            <w:r w:rsidR="00D2671E" w:rsidRPr="009C5F11">
              <w:rPr>
                <w:rFonts w:ascii="Times New Roman" w:eastAsia="Calibri" w:hAnsi="Times New Roman" w:cs="Times New Roman"/>
                <w:sz w:val="16"/>
                <w:szCs w:val="13"/>
                <w:lang w:val="ro-RO"/>
              </w:rPr>
              <w:t xml:space="preserve"> </w:t>
            </w:r>
            <w:r w:rsidR="001F5C51" w:rsidRPr="009C5F11">
              <w:rPr>
                <w:rFonts w:ascii="Times New Roman" w:eastAsia="Calibri" w:hAnsi="Times New Roman" w:cs="Times New Roman"/>
                <w:sz w:val="16"/>
                <w:szCs w:val="13"/>
                <w:lang w:val="ro-RO"/>
              </w:rPr>
              <w:t>eficienţei energetice</w:t>
            </w:r>
            <w:r w:rsidR="00321CD5"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în sectorul transportului terestru.</w:t>
            </w:r>
          </w:p>
        </w:tc>
        <w:tc>
          <w:tcPr>
            <w:tcW w:w="536" w:type="pct"/>
            <w:vMerge w:val="restart"/>
            <w:vAlign w:val="center"/>
          </w:tcPr>
          <w:p w14:paraId="0908A952" w14:textId="77777777" w:rsidR="00D2671E" w:rsidRPr="009C5F11" w:rsidRDefault="00D2671E" w:rsidP="00AB5A76">
            <w:pPr>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33.7</w:t>
            </w:r>
            <w:r w:rsidR="00E52940" w:rsidRPr="009C5F11">
              <w:rPr>
                <w:rFonts w:ascii="Times New Roman" w:eastAsia="Calibri" w:hAnsi="Times New Roman" w:cs="Times New Roman"/>
                <w:sz w:val="16"/>
                <w:szCs w:val="13"/>
                <w:lang w:val="ro-RO"/>
              </w:rPr>
              <w:t>ktep</w:t>
            </w:r>
          </w:p>
        </w:tc>
        <w:tc>
          <w:tcPr>
            <w:tcW w:w="834" w:type="pct"/>
            <w:vMerge w:val="restart"/>
            <w:vAlign w:val="center"/>
          </w:tcPr>
          <w:p w14:paraId="2C547081" w14:textId="77777777" w:rsidR="00D2671E" w:rsidRPr="009C5F11" w:rsidRDefault="00AA0566"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Ministerul Transporturilor şi Infrastructurii Drumurilor</w:t>
            </w:r>
            <w:r w:rsidR="00D2671E" w:rsidRPr="009C5F11">
              <w:rPr>
                <w:rFonts w:ascii="Times New Roman" w:eastAsia="Calibri" w:hAnsi="Times New Roman" w:cs="Times New Roman"/>
                <w:sz w:val="16"/>
                <w:szCs w:val="13"/>
                <w:lang w:val="ro-RO"/>
              </w:rPr>
              <w:t xml:space="preserve">, </w:t>
            </w:r>
            <w:r w:rsidR="00FD5F1C" w:rsidRPr="009C5F11">
              <w:rPr>
                <w:rFonts w:ascii="Times New Roman" w:eastAsia="Calibri" w:hAnsi="Times New Roman" w:cs="Times New Roman"/>
                <w:sz w:val="16"/>
                <w:szCs w:val="13"/>
                <w:lang w:val="ro-RO"/>
              </w:rPr>
              <w:t>autorităţile publice locale.</w:t>
            </w:r>
          </w:p>
        </w:tc>
        <w:tc>
          <w:tcPr>
            <w:tcW w:w="1318" w:type="pct"/>
            <w:vAlign w:val="center"/>
          </w:tcPr>
          <w:p w14:paraId="3E6CC3CE" w14:textId="77777777" w:rsidR="00E131B2" w:rsidRPr="009C5F11" w:rsidRDefault="00D2671E" w:rsidP="00B40DB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17,530,000 </w:t>
            </w:r>
            <w:r w:rsidR="00421FA7" w:rsidRPr="009C5F11">
              <w:rPr>
                <w:rFonts w:ascii="Times New Roman" w:eastAsia="Calibri" w:hAnsi="Times New Roman" w:cs="Times New Roman"/>
                <w:sz w:val="16"/>
                <w:szCs w:val="13"/>
                <w:lang w:val="ro-RO"/>
              </w:rPr>
              <w:t>l</w:t>
            </w:r>
            <w:r w:rsidRPr="009C5F11">
              <w:rPr>
                <w:rFonts w:ascii="Times New Roman" w:eastAsia="Calibri" w:hAnsi="Times New Roman" w:cs="Times New Roman"/>
                <w:sz w:val="16"/>
                <w:szCs w:val="13"/>
                <w:lang w:val="ro-RO"/>
              </w:rPr>
              <w:t xml:space="preserve">ei </w:t>
            </w:r>
          </w:p>
          <w:p w14:paraId="6DA07F7D" w14:textId="77777777" w:rsidR="00D2671E" w:rsidRPr="009C5F11" w:rsidRDefault="00D2671E" w:rsidP="00B40DB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(1,050,000 </w:t>
            </w:r>
            <w:r w:rsidR="00421FA7" w:rsidRPr="009C5F11">
              <w:rPr>
                <w:rFonts w:ascii="Times New Roman" w:eastAsia="Calibri" w:hAnsi="Times New Roman" w:cs="Times New Roman"/>
                <w:sz w:val="16"/>
                <w:szCs w:val="13"/>
                <w:lang w:val="ro-RO"/>
              </w:rPr>
              <w:t>e</w:t>
            </w:r>
            <w:r w:rsidRPr="009C5F11">
              <w:rPr>
                <w:rFonts w:ascii="Times New Roman" w:eastAsia="Calibri" w:hAnsi="Times New Roman" w:cs="Times New Roman"/>
                <w:sz w:val="16"/>
                <w:szCs w:val="13"/>
                <w:lang w:val="ro-RO"/>
              </w:rPr>
              <w:t>uro).</w:t>
            </w:r>
          </w:p>
        </w:tc>
        <w:tc>
          <w:tcPr>
            <w:tcW w:w="1168" w:type="pct"/>
            <w:vAlign w:val="center"/>
          </w:tcPr>
          <w:p w14:paraId="4147CD74" w14:textId="77777777" w:rsidR="00D2671E" w:rsidRPr="009C5F11" w:rsidRDefault="00AA0566"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BERD</w:t>
            </w:r>
            <w:r w:rsidR="00D2671E" w:rsidRPr="009C5F11">
              <w:rPr>
                <w:rFonts w:ascii="Times New Roman" w:eastAsia="Verdana" w:hAnsi="Times New Roman" w:cs="Times New Roman"/>
                <w:sz w:val="16"/>
                <w:szCs w:val="13"/>
                <w:lang w:val="ro-RO" w:eastAsia="de-DE"/>
              </w:rPr>
              <w:t>: Organi</w:t>
            </w:r>
            <w:r w:rsidR="00FD5F1C" w:rsidRPr="009C5F11">
              <w:rPr>
                <w:rFonts w:ascii="Times New Roman" w:eastAsia="Verdana" w:hAnsi="Times New Roman" w:cs="Times New Roman"/>
                <w:sz w:val="16"/>
                <w:szCs w:val="13"/>
                <w:lang w:val="ro-RO" w:eastAsia="de-DE"/>
              </w:rPr>
              <w:t>zarea</w:t>
            </w:r>
            <w:r w:rsidR="00321CD5" w:rsidRPr="009C5F11">
              <w:rPr>
                <w:rFonts w:ascii="Times New Roman" w:eastAsia="Verdana" w:hAnsi="Times New Roman" w:cs="Times New Roman"/>
                <w:sz w:val="16"/>
                <w:szCs w:val="13"/>
                <w:lang w:val="ro-RO" w:eastAsia="de-DE"/>
              </w:rPr>
              <w:t xml:space="preserve"> şi </w:t>
            </w:r>
            <w:r w:rsidR="00FD5F1C" w:rsidRPr="009C5F11">
              <w:rPr>
                <w:rFonts w:ascii="Times New Roman" w:eastAsia="Verdana" w:hAnsi="Times New Roman" w:cs="Times New Roman"/>
                <w:sz w:val="16"/>
                <w:szCs w:val="13"/>
                <w:lang w:val="ro-RO" w:eastAsia="de-DE"/>
              </w:rPr>
              <w:t>gestionarea parcărilor din</w:t>
            </w:r>
            <w:r w:rsidR="00321CD5" w:rsidRPr="009C5F11">
              <w:rPr>
                <w:rFonts w:ascii="Times New Roman" w:eastAsia="Verdana" w:hAnsi="Times New Roman" w:cs="Times New Roman"/>
                <w:sz w:val="16"/>
                <w:szCs w:val="13"/>
                <w:lang w:val="ro-RO" w:eastAsia="de-DE"/>
              </w:rPr>
              <w:t xml:space="preserve"> </w:t>
            </w:r>
            <w:r w:rsidRPr="009C5F11">
              <w:rPr>
                <w:rFonts w:ascii="Times New Roman" w:eastAsia="Verdana" w:hAnsi="Times New Roman" w:cs="Times New Roman"/>
                <w:sz w:val="16"/>
                <w:szCs w:val="13"/>
                <w:lang w:val="ro-RO" w:eastAsia="de-DE"/>
              </w:rPr>
              <w:t>Chişinău</w:t>
            </w:r>
            <w:r w:rsidR="00FD5F1C" w:rsidRPr="009C5F11">
              <w:rPr>
                <w:rFonts w:ascii="Times New Roman" w:eastAsia="Verdana" w:hAnsi="Times New Roman" w:cs="Times New Roman"/>
                <w:sz w:val="16"/>
                <w:szCs w:val="13"/>
                <w:lang w:val="ro-RO" w:eastAsia="de-DE"/>
              </w:rPr>
              <w:t>.</w:t>
            </w:r>
            <w:r w:rsidR="00D2671E" w:rsidRPr="009C5F11">
              <w:rPr>
                <w:rFonts w:ascii="Times New Roman" w:eastAsia="Verdana" w:hAnsi="Times New Roman" w:cs="Times New Roman"/>
                <w:sz w:val="16"/>
                <w:szCs w:val="13"/>
                <w:lang w:val="ro-RO" w:eastAsia="de-DE"/>
              </w:rPr>
              <w:t xml:space="preserve"> </w:t>
            </w:r>
          </w:p>
        </w:tc>
      </w:tr>
      <w:tr w:rsidR="00D2671E" w:rsidRPr="009C5F11" w14:paraId="21EA898E" w14:textId="77777777" w:rsidTr="002E306C">
        <w:trPr>
          <w:trHeight w:val="522"/>
        </w:trPr>
        <w:tc>
          <w:tcPr>
            <w:tcW w:w="339" w:type="pct"/>
            <w:vMerge/>
            <w:vAlign w:val="center"/>
          </w:tcPr>
          <w:p w14:paraId="29C845ED" w14:textId="77777777" w:rsidR="00D2671E" w:rsidRPr="009C5F11" w:rsidRDefault="00D2671E" w:rsidP="00AB5A76">
            <w:pPr>
              <w:jc w:val="both"/>
              <w:rPr>
                <w:rFonts w:ascii="Times New Roman" w:hAnsi="Times New Roman" w:cs="Times New Roman"/>
                <w:sz w:val="16"/>
                <w:szCs w:val="13"/>
                <w:lang w:val="ro-RO" w:eastAsia="de-DE"/>
              </w:rPr>
            </w:pPr>
          </w:p>
        </w:tc>
        <w:tc>
          <w:tcPr>
            <w:tcW w:w="804" w:type="pct"/>
            <w:vMerge/>
            <w:vAlign w:val="center"/>
          </w:tcPr>
          <w:p w14:paraId="032F522B" w14:textId="77777777" w:rsidR="00D2671E" w:rsidRPr="009C5F11" w:rsidRDefault="00D2671E" w:rsidP="00AB5A76">
            <w:pPr>
              <w:spacing w:after="0" w:line="240" w:lineRule="auto"/>
              <w:rPr>
                <w:rFonts w:ascii="Times New Roman" w:eastAsia="Calibri" w:hAnsi="Times New Roman" w:cs="Times New Roman"/>
                <w:sz w:val="16"/>
                <w:szCs w:val="13"/>
                <w:lang w:val="ro-RO"/>
              </w:rPr>
            </w:pPr>
          </w:p>
        </w:tc>
        <w:tc>
          <w:tcPr>
            <w:tcW w:w="536" w:type="pct"/>
            <w:vMerge/>
            <w:vAlign w:val="center"/>
          </w:tcPr>
          <w:p w14:paraId="496FF085" w14:textId="77777777" w:rsidR="00D2671E" w:rsidRPr="009C5F11" w:rsidRDefault="00D2671E" w:rsidP="00AB5A76">
            <w:pPr>
              <w:jc w:val="both"/>
              <w:rPr>
                <w:rFonts w:ascii="Times New Roman" w:eastAsia="Calibri" w:hAnsi="Times New Roman" w:cs="Times New Roman"/>
                <w:sz w:val="16"/>
                <w:szCs w:val="13"/>
                <w:lang w:val="ro-RO"/>
              </w:rPr>
            </w:pPr>
          </w:p>
        </w:tc>
        <w:tc>
          <w:tcPr>
            <w:tcW w:w="834" w:type="pct"/>
            <w:vMerge/>
            <w:vAlign w:val="center"/>
          </w:tcPr>
          <w:p w14:paraId="666B014C" w14:textId="77777777" w:rsidR="00D2671E" w:rsidRPr="009C5F11" w:rsidRDefault="00D2671E" w:rsidP="00AB5A76">
            <w:pPr>
              <w:rPr>
                <w:rFonts w:ascii="Times New Roman" w:eastAsia="Calibri" w:hAnsi="Times New Roman" w:cs="Times New Roman"/>
                <w:sz w:val="16"/>
                <w:szCs w:val="13"/>
                <w:lang w:val="ro-RO"/>
              </w:rPr>
            </w:pPr>
          </w:p>
        </w:tc>
        <w:tc>
          <w:tcPr>
            <w:tcW w:w="1318" w:type="pct"/>
            <w:vAlign w:val="center"/>
          </w:tcPr>
          <w:p w14:paraId="321DAF6E" w14:textId="77777777" w:rsidR="00D2671E" w:rsidRPr="009C5F11" w:rsidRDefault="00AA056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BERD</w:t>
            </w:r>
            <w:r w:rsidR="00D2671E" w:rsidRPr="009C5F11">
              <w:rPr>
                <w:rFonts w:ascii="Times New Roman" w:eastAsia="Calibri" w:hAnsi="Times New Roman" w:cs="Times New Roman"/>
                <w:sz w:val="16"/>
                <w:szCs w:val="13"/>
                <w:lang w:val="ro-RO"/>
              </w:rPr>
              <w:t xml:space="preserve"> –</w:t>
            </w:r>
            <w:r w:rsidR="00637DDF" w:rsidRPr="009C5F11">
              <w:rPr>
                <w:rFonts w:ascii="Times New Roman" w:hAnsi="Times New Roman" w:cs="Times New Roman"/>
                <w:color w:val="545454"/>
                <w:sz w:val="24"/>
                <w:shd w:val="clear" w:color="auto" w:fill="FFFFFF"/>
                <w:lang w:val="ro-RO"/>
              </w:rPr>
              <w:t xml:space="preserve"> </w:t>
            </w:r>
            <w:r w:rsidR="00637DDF" w:rsidRPr="009C5F11">
              <w:rPr>
                <w:rFonts w:ascii="Times New Roman" w:eastAsia="Calibri" w:hAnsi="Times New Roman" w:cs="Times New Roman"/>
                <w:sz w:val="16"/>
                <w:szCs w:val="13"/>
                <w:lang w:val="ro-RO"/>
              </w:rPr>
              <w:t xml:space="preserve">Proiect în sectorul  urban Chişinău </w:t>
            </w:r>
            <w:r w:rsidR="00D2671E" w:rsidRPr="009C5F11">
              <w:rPr>
                <w:rFonts w:ascii="Times New Roman" w:eastAsia="Calibri" w:hAnsi="Times New Roman" w:cs="Times New Roman"/>
                <w:sz w:val="16"/>
                <w:szCs w:val="13"/>
                <w:lang w:val="ro-RO"/>
              </w:rPr>
              <w:t xml:space="preserve">207,457,500 </w:t>
            </w:r>
            <w:r w:rsidR="00421FA7" w:rsidRPr="009C5F11">
              <w:rPr>
                <w:rFonts w:ascii="Times New Roman" w:eastAsia="Calibri" w:hAnsi="Times New Roman" w:cs="Times New Roman"/>
                <w:sz w:val="16"/>
                <w:szCs w:val="13"/>
                <w:lang w:val="ro-RO"/>
              </w:rPr>
              <w:t>lei</w:t>
            </w:r>
          </w:p>
        </w:tc>
        <w:tc>
          <w:tcPr>
            <w:tcW w:w="1168" w:type="pct"/>
            <w:vAlign w:val="center"/>
          </w:tcPr>
          <w:p w14:paraId="37DFDB3D" w14:textId="77777777" w:rsidR="00D2671E" w:rsidRPr="009C5F11" w:rsidRDefault="00DB0059"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Bugetul local </w:t>
            </w:r>
            <w:r w:rsidR="00637DDF" w:rsidRPr="009C5F11">
              <w:rPr>
                <w:rFonts w:ascii="Times New Roman" w:eastAsia="Verdana" w:hAnsi="Times New Roman" w:cs="Times New Roman"/>
                <w:sz w:val="16"/>
                <w:szCs w:val="13"/>
                <w:lang w:val="ro-RO" w:eastAsia="de-DE"/>
              </w:rPr>
              <w:t xml:space="preserve">al Primăriei </w:t>
            </w:r>
            <w:r w:rsidRPr="009C5F11">
              <w:rPr>
                <w:rFonts w:ascii="Times New Roman" w:eastAsia="Verdana" w:hAnsi="Times New Roman" w:cs="Times New Roman"/>
                <w:sz w:val="16"/>
                <w:szCs w:val="13"/>
                <w:lang w:val="ro-RO" w:eastAsia="de-DE"/>
              </w:rPr>
              <w:t xml:space="preserve">Chişinău pentru Strategia în domeniul </w:t>
            </w:r>
            <w:r w:rsidR="00D2671E" w:rsidRPr="009C5F11">
              <w:rPr>
                <w:rFonts w:ascii="Times New Roman" w:eastAsia="Verdana" w:hAnsi="Times New Roman" w:cs="Times New Roman"/>
                <w:sz w:val="16"/>
                <w:szCs w:val="13"/>
                <w:lang w:val="ro-RO" w:eastAsia="de-DE"/>
              </w:rPr>
              <w:t>transport</w:t>
            </w:r>
            <w:r w:rsidRPr="009C5F11">
              <w:rPr>
                <w:rFonts w:ascii="Times New Roman" w:eastAsia="Verdana" w:hAnsi="Times New Roman" w:cs="Times New Roman"/>
                <w:sz w:val="16"/>
                <w:szCs w:val="13"/>
                <w:lang w:val="ro-RO" w:eastAsia="de-DE"/>
              </w:rPr>
              <w:t xml:space="preserve">urilor prin  </w:t>
            </w:r>
            <w:r w:rsidR="00D2671E" w:rsidRPr="009C5F11">
              <w:rPr>
                <w:rFonts w:ascii="Times New Roman" w:eastAsia="Verdana" w:hAnsi="Times New Roman" w:cs="Times New Roman"/>
                <w:sz w:val="16"/>
                <w:szCs w:val="13"/>
                <w:lang w:val="ro-RO" w:eastAsia="de-DE"/>
              </w:rPr>
              <w:t>credit</w:t>
            </w:r>
            <w:r w:rsidR="002B4661" w:rsidRPr="009C5F11">
              <w:rPr>
                <w:rFonts w:ascii="Times New Roman" w:eastAsia="Verdana" w:hAnsi="Times New Roman" w:cs="Times New Roman"/>
                <w:sz w:val="16"/>
                <w:szCs w:val="13"/>
                <w:lang w:val="ro-RO" w:eastAsia="de-DE"/>
              </w:rPr>
              <w:t>are de catre</w:t>
            </w:r>
            <w:r w:rsidR="00D2671E" w:rsidRPr="009C5F11">
              <w:rPr>
                <w:rFonts w:ascii="Times New Roman" w:eastAsia="Verdana" w:hAnsi="Times New Roman" w:cs="Times New Roman"/>
                <w:sz w:val="16"/>
                <w:szCs w:val="13"/>
                <w:lang w:val="ro-RO" w:eastAsia="de-DE"/>
              </w:rPr>
              <w:t xml:space="preserve"> </w:t>
            </w:r>
            <w:r w:rsidR="00637DDF" w:rsidRPr="009C5F11">
              <w:rPr>
                <w:rFonts w:ascii="Times New Roman" w:eastAsia="Verdana" w:hAnsi="Times New Roman" w:cs="Times New Roman"/>
                <w:sz w:val="16"/>
                <w:szCs w:val="13"/>
                <w:lang w:val="ro-RO" w:eastAsia="de-DE"/>
              </w:rPr>
              <w:t>instituţii financiare internaţionale (</w:t>
            </w:r>
            <w:r w:rsidR="00D2671E" w:rsidRPr="009C5F11">
              <w:rPr>
                <w:rFonts w:ascii="Times New Roman" w:eastAsia="Verdana" w:hAnsi="Times New Roman" w:cs="Times New Roman"/>
                <w:sz w:val="16"/>
                <w:szCs w:val="13"/>
                <w:lang w:val="ro-RO" w:eastAsia="de-DE"/>
              </w:rPr>
              <w:t>IFI</w:t>
            </w:r>
            <w:r w:rsidR="00637DDF" w:rsidRPr="009C5F11">
              <w:rPr>
                <w:rFonts w:ascii="Times New Roman" w:eastAsia="Verdana" w:hAnsi="Times New Roman" w:cs="Times New Roman"/>
                <w:sz w:val="16"/>
                <w:szCs w:val="13"/>
                <w:lang w:val="ro-RO" w:eastAsia="de-DE"/>
              </w:rPr>
              <w:t>)</w:t>
            </w:r>
            <w:r w:rsidRPr="009C5F11">
              <w:rPr>
                <w:rFonts w:ascii="Times New Roman" w:eastAsia="Verdana" w:hAnsi="Times New Roman" w:cs="Times New Roman"/>
                <w:sz w:val="16"/>
                <w:szCs w:val="13"/>
                <w:lang w:val="ro-RO" w:eastAsia="de-DE"/>
              </w:rPr>
              <w:t>.</w:t>
            </w:r>
          </w:p>
        </w:tc>
      </w:tr>
      <w:tr w:rsidR="00D2671E" w:rsidRPr="009C5F11" w14:paraId="06DFABF2" w14:textId="77777777" w:rsidTr="002E306C">
        <w:trPr>
          <w:trHeight w:hRule="exact" w:val="779"/>
        </w:trPr>
        <w:tc>
          <w:tcPr>
            <w:tcW w:w="339" w:type="pct"/>
            <w:vMerge/>
            <w:tcBorders>
              <w:bottom w:val="single" w:sz="4" w:space="0" w:color="4F81BD"/>
            </w:tcBorders>
            <w:vAlign w:val="center"/>
          </w:tcPr>
          <w:p w14:paraId="3DABD09F" w14:textId="77777777" w:rsidR="00D2671E" w:rsidRPr="009C5F11" w:rsidRDefault="00D2671E" w:rsidP="00AB5A76">
            <w:pPr>
              <w:jc w:val="both"/>
              <w:rPr>
                <w:rFonts w:ascii="Times New Roman" w:hAnsi="Times New Roman" w:cs="Times New Roman"/>
                <w:sz w:val="16"/>
                <w:szCs w:val="13"/>
                <w:lang w:val="ro-RO" w:eastAsia="de-DE"/>
              </w:rPr>
            </w:pPr>
          </w:p>
        </w:tc>
        <w:tc>
          <w:tcPr>
            <w:tcW w:w="804" w:type="pct"/>
            <w:vMerge/>
            <w:tcBorders>
              <w:bottom w:val="single" w:sz="4" w:space="0" w:color="4F81BD"/>
            </w:tcBorders>
            <w:vAlign w:val="center"/>
          </w:tcPr>
          <w:p w14:paraId="036F3AE8" w14:textId="77777777" w:rsidR="00D2671E" w:rsidRPr="009C5F11" w:rsidRDefault="00D2671E" w:rsidP="00AB5A76">
            <w:pPr>
              <w:spacing w:after="0" w:line="240" w:lineRule="auto"/>
              <w:rPr>
                <w:rFonts w:ascii="Times New Roman" w:eastAsia="Calibri" w:hAnsi="Times New Roman" w:cs="Times New Roman"/>
                <w:sz w:val="16"/>
                <w:szCs w:val="13"/>
                <w:lang w:val="ro-RO"/>
              </w:rPr>
            </w:pPr>
          </w:p>
        </w:tc>
        <w:tc>
          <w:tcPr>
            <w:tcW w:w="536" w:type="pct"/>
            <w:vMerge/>
            <w:tcBorders>
              <w:bottom w:val="single" w:sz="4" w:space="0" w:color="4F81BD"/>
            </w:tcBorders>
            <w:vAlign w:val="center"/>
          </w:tcPr>
          <w:p w14:paraId="5D339345" w14:textId="77777777" w:rsidR="00D2671E" w:rsidRPr="009C5F11" w:rsidRDefault="00D2671E" w:rsidP="00AB5A76">
            <w:pPr>
              <w:jc w:val="both"/>
              <w:rPr>
                <w:rFonts w:ascii="Times New Roman" w:eastAsia="Calibri" w:hAnsi="Times New Roman" w:cs="Times New Roman"/>
                <w:sz w:val="16"/>
                <w:szCs w:val="13"/>
                <w:lang w:val="ro-RO"/>
              </w:rPr>
            </w:pPr>
          </w:p>
        </w:tc>
        <w:tc>
          <w:tcPr>
            <w:tcW w:w="834" w:type="pct"/>
            <w:vMerge/>
            <w:tcBorders>
              <w:bottom w:val="single" w:sz="4" w:space="0" w:color="4F81BD"/>
            </w:tcBorders>
            <w:vAlign w:val="center"/>
          </w:tcPr>
          <w:p w14:paraId="1EA5B8BA" w14:textId="77777777" w:rsidR="00D2671E" w:rsidRPr="009C5F11" w:rsidRDefault="00D2671E" w:rsidP="00AB5A76">
            <w:pPr>
              <w:rPr>
                <w:rFonts w:ascii="Times New Roman" w:eastAsia="Calibri" w:hAnsi="Times New Roman" w:cs="Times New Roman"/>
                <w:sz w:val="16"/>
                <w:szCs w:val="13"/>
                <w:lang w:val="ro-RO"/>
              </w:rPr>
            </w:pPr>
          </w:p>
        </w:tc>
        <w:tc>
          <w:tcPr>
            <w:tcW w:w="1318" w:type="pct"/>
            <w:tcBorders>
              <w:bottom w:val="single" w:sz="4" w:space="0" w:color="4F81BD"/>
            </w:tcBorders>
            <w:vAlign w:val="center"/>
          </w:tcPr>
          <w:p w14:paraId="56AC784F" w14:textId="77777777" w:rsidR="00D2671E" w:rsidRPr="009C5F11" w:rsidRDefault="00D2671E" w:rsidP="00D2671E">
            <w:pPr>
              <w:jc w:val="both"/>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5 </w:t>
            </w:r>
            <w:r w:rsidR="00421FA7" w:rsidRPr="009C5F11">
              <w:rPr>
                <w:rFonts w:ascii="Times New Roman" w:eastAsia="Calibri" w:hAnsi="Times New Roman" w:cs="Times New Roman"/>
                <w:sz w:val="16"/>
                <w:szCs w:val="13"/>
                <w:lang w:val="ro-RO"/>
              </w:rPr>
              <w:t>milioane euro</w:t>
            </w:r>
          </w:p>
        </w:tc>
        <w:tc>
          <w:tcPr>
            <w:tcW w:w="1168" w:type="pct"/>
            <w:tcBorders>
              <w:bottom w:val="single" w:sz="4" w:space="0" w:color="4F81BD"/>
            </w:tcBorders>
            <w:vAlign w:val="center"/>
          </w:tcPr>
          <w:p w14:paraId="31904624" w14:textId="77777777" w:rsidR="00D2671E" w:rsidRPr="009C5F11" w:rsidRDefault="006A096E"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Proiect </w:t>
            </w:r>
            <w:r w:rsidR="00637DDF" w:rsidRPr="009C5F11">
              <w:rPr>
                <w:rFonts w:ascii="Times New Roman" w:eastAsia="Verdana" w:hAnsi="Times New Roman" w:cs="Times New Roman"/>
                <w:sz w:val="16"/>
                <w:szCs w:val="13"/>
                <w:lang w:val="ro-RO" w:eastAsia="de-DE"/>
              </w:rPr>
              <w:t>de</w:t>
            </w:r>
            <w:r w:rsidRPr="009C5F11">
              <w:rPr>
                <w:rFonts w:ascii="Times New Roman" w:eastAsia="Verdana" w:hAnsi="Times New Roman" w:cs="Times New Roman"/>
                <w:sz w:val="16"/>
                <w:szCs w:val="13"/>
                <w:lang w:val="ro-RO" w:eastAsia="de-DE"/>
              </w:rPr>
              <w:t xml:space="preserve"> </w:t>
            </w:r>
            <w:r w:rsidR="00637DDF" w:rsidRPr="009C5F11">
              <w:rPr>
                <w:rFonts w:ascii="Times New Roman" w:eastAsia="Verdana" w:hAnsi="Times New Roman" w:cs="Times New Roman"/>
                <w:sz w:val="16"/>
                <w:szCs w:val="13"/>
                <w:lang w:val="ro-RO" w:eastAsia="de-DE"/>
              </w:rPr>
              <w:t xml:space="preserve">amenajare a zonelor pentru </w:t>
            </w:r>
            <w:r w:rsidRPr="009C5F11">
              <w:rPr>
                <w:rFonts w:ascii="Times New Roman" w:eastAsia="Verdana" w:hAnsi="Times New Roman" w:cs="Times New Roman"/>
                <w:sz w:val="16"/>
                <w:szCs w:val="13"/>
                <w:lang w:val="ro-RO" w:eastAsia="de-DE"/>
              </w:rPr>
              <w:t>biciclişti:</w:t>
            </w:r>
            <w:r w:rsidR="00D2671E" w:rsidRPr="009C5F11">
              <w:rPr>
                <w:rFonts w:ascii="Times New Roman" w:eastAsia="Verdana" w:hAnsi="Times New Roman" w:cs="Times New Roman"/>
                <w:sz w:val="16"/>
                <w:szCs w:val="13"/>
                <w:lang w:val="ro-RO" w:eastAsia="de-DE"/>
              </w:rPr>
              <w:t xml:space="preserve"> </w:t>
            </w:r>
            <w:r w:rsidRPr="009C5F11">
              <w:rPr>
                <w:rFonts w:ascii="Times New Roman" w:eastAsia="Verdana" w:hAnsi="Times New Roman" w:cs="Times New Roman"/>
                <w:sz w:val="16"/>
                <w:szCs w:val="13"/>
                <w:lang w:val="ro-RO" w:eastAsia="de-DE"/>
              </w:rPr>
              <w:t xml:space="preserve">bugetele unităţilor administrativ-teritoriale locale şi asistenţă financiară </w:t>
            </w:r>
            <w:r w:rsidR="00637DDF" w:rsidRPr="009C5F11">
              <w:rPr>
                <w:rFonts w:ascii="Times New Roman" w:eastAsia="Verdana" w:hAnsi="Times New Roman" w:cs="Times New Roman"/>
                <w:sz w:val="16"/>
                <w:szCs w:val="13"/>
                <w:lang w:val="ro-RO" w:eastAsia="de-DE"/>
              </w:rPr>
              <w:t>străin</w:t>
            </w:r>
            <w:r w:rsidRPr="009C5F11">
              <w:rPr>
                <w:rFonts w:ascii="Times New Roman" w:eastAsia="Verdana" w:hAnsi="Times New Roman" w:cs="Times New Roman"/>
                <w:sz w:val="16"/>
                <w:szCs w:val="13"/>
                <w:lang w:val="ro-RO" w:eastAsia="de-DE"/>
              </w:rPr>
              <w:t xml:space="preserve">ă. </w:t>
            </w:r>
          </w:p>
        </w:tc>
      </w:tr>
      <w:tr w:rsidR="00983587" w:rsidRPr="009C5F11" w14:paraId="5EDE6FCE" w14:textId="77777777" w:rsidTr="002E306C">
        <w:trPr>
          <w:trHeight w:val="324"/>
        </w:trPr>
        <w:tc>
          <w:tcPr>
            <w:tcW w:w="5000" w:type="pct"/>
            <w:gridSpan w:val="6"/>
            <w:shd w:val="clear" w:color="auto" w:fill="666666"/>
            <w:vAlign w:val="center"/>
          </w:tcPr>
          <w:p w14:paraId="4DD426B9" w14:textId="77777777" w:rsidR="00983587" w:rsidRPr="009C5F11" w:rsidRDefault="000F5CC5" w:rsidP="00190507">
            <w:pPr>
              <w:spacing w:after="0" w:line="240" w:lineRule="auto"/>
              <w:jc w:val="center"/>
              <w:rPr>
                <w:rFonts w:ascii="Times New Roman" w:eastAsia="Calibri" w:hAnsi="Times New Roman" w:cs="Times New Roman"/>
                <w:b/>
                <w:color w:val="FFFFFF" w:themeColor="background1"/>
                <w:sz w:val="16"/>
                <w:szCs w:val="13"/>
                <w:lang w:val="ro-RO"/>
              </w:rPr>
            </w:pPr>
            <w:r w:rsidRPr="009C5F11">
              <w:rPr>
                <w:rFonts w:ascii="Times New Roman" w:eastAsia="Calibri" w:hAnsi="Times New Roman" w:cs="Times New Roman"/>
                <w:b/>
                <w:color w:val="FFFFFF" w:themeColor="background1"/>
                <w:sz w:val="16"/>
                <w:szCs w:val="13"/>
                <w:lang w:val="ro-RO"/>
              </w:rPr>
              <w:t>Măsuri orizontale</w:t>
            </w:r>
          </w:p>
        </w:tc>
      </w:tr>
      <w:tr w:rsidR="00E02D83" w:rsidRPr="009C5F11" w14:paraId="4CCC47BE" w14:textId="77777777" w:rsidTr="002E306C">
        <w:trPr>
          <w:trHeight w:val="975"/>
        </w:trPr>
        <w:tc>
          <w:tcPr>
            <w:tcW w:w="339" w:type="pct"/>
            <w:vAlign w:val="center"/>
          </w:tcPr>
          <w:p w14:paraId="1674218F" w14:textId="77777777" w:rsidR="00D91ABB" w:rsidRPr="009C5F11" w:rsidRDefault="00D91ABB" w:rsidP="00AB5A76">
            <w:pPr>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H.1</w:t>
            </w:r>
          </w:p>
        </w:tc>
        <w:tc>
          <w:tcPr>
            <w:tcW w:w="804" w:type="pct"/>
            <w:vAlign w:val="center"/>
          </w:tcPr>
          <w:p w14:paraId="003817C3" w14:textId="77777777" w:rsidR="00D91ABB" w:rsidRPr="009C5F11" w:rsidRDefault="006A096E">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Evaluarea potenţialului </w:t>
            </w:r>
            <w:r w:rsidR="00127E34" w:rsidRPr="009C5F11">
              <w:rPr>
                <w:rFonts w:ascii="Times New Roman" w:eastAsia="Calibri" w:hAnsi="Times New Roman" w:cs="Times New Roman"/>
                <w:sz w:val="16"/>
                <w:szCs w:val="13"/>
                <w:lang w:val="ro-RO"/>
              </w:rPr>
              <w:t>de reducere a consumului energetic</w:t>
            </w:r>
            <w:r w:rsidRPr="009C5F11">
              <w:rPr>
                <w:rFonts w:ascii="Times New Roman" w:eastAsia="Calibri" w:hAnsi="Times New Roman" w:cs="Times New Roman"/>
                <w:sz w:val="16"/>
                <w:szCs w:val="13"/>
                <w:lang w:val="ro-RO"/>
              </w:rPr>
              <w:t xml:space="preserve"> pentru Republica Moldova.</w:t>
            </w:r>
          </w:p>
        </w:tc>
        <w:tc>
          <w:tcPr>
            <w:tcW w:w="536" w:type="pct"/>
            <w:vAlign w:val="center"/>
          </w:tcPr>
          <w:p w14:paraId="02F438C9" w14:textId="77777777" w:rsidR="00D91ABB" w:rsidRPr="009C5F11" w:rsidRDefault="000D2EDD"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N/A</w:t>
            </w:r>
          </w:p>
        </w:tc>
        <w:tc>
          <w:tcPr>
            <w:tcW w:w="834" w:type="pct"/>
            <w:vAlign w:val="center"/>
          </w:tcPr>
          <w:p w14:paraId="6E331930" w14:textId="77777777" w:rsidR="00D91ABB" w:rsidRPr="009C5F11" w:rsidRDefault="00AA0566"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AEE</w:t>
            </w:r>
          </w:p>
        </w:tc>
        <w:tc>
          <w:tcPr>
            <w:tcW w:w="1318" w:type="pct"/>
            <w:vAlign w:val="center"/>
          </w:tcPr>
          <w:p w14:paraId="395A280F" w14:textId="77777777" w:rsidR="001B43C4" w:rsidRPr="009C5F11" w:rsidRDefault="001B43C4" w:rsidP="001B43C4">
            <w:pPr>
              <w:tabs>
                <w:tab w:val="left" w:pos="702"/>
                <w:tab w:val="left" w:pos="5040"/>
                <w:tab w:val="right" w:pos="8504"/>
              </w:tabs>
              <w:spacing w:before="40" w:after="0" w:line="240" w:lineRule="auto"/>
              <w:jc w:val="both"/>
              <w:rPr>
                <w:rFonts w:ascii="Times New Roman" w:eastAsia="Verdana" w:hAnsi="Times New Roman" w:cs="Times New Roman"/>
                <w:b/>
                <w:sz w:val="16"/>
                <w:szCs w:val="13"/>
                <w:lang w:val="ro-RO" w:eastAsia="de-DE"/>
              </w:rPr>
            </w:pPr>
            <w:r w:rsidRPr="009C5F11">
              <w:rPr>
                <w:rFonts w:ascii="Times New Roman" w:eastAsia="Verdana" w:hAnsi="Times New Roman" w:cs="Times New Roman"/>
                <w:b/>
                <w:sz w:val="16"/>
                <w:szCs w:val="13"/>
                <w:lang w:val="ro-RO" w:eastAsia="de-DE"/>
              </w:rPr>
              <w:t xml:space="preserve">2016-2018 </w:t>
            </w:r>
          </w:p>
          <w:p w14:paraId="52BF9526" w14:textId="77777777" w:rsidR="001B43C4" w:rsidRPr="009C5F11" w:rsidRDefault="001B43C4" w:rsidP="001B43C4">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2016: 19,426.2 </w:t>
            </w:r>
            <w:r w:rsidR="00AA0566" w:rsidRPr="009C5F11">
              <w:rPr>
                <w:rFonts w:ascii="Times New Roman" w:eastAsia="Calibri" w:hAnsi="Times New Roman" w:cs="Times New Roman"/>
                <w:sz w:val="16"/>
                <w:szCs w:val="13"/>
                <w:lang w:val="ro-RO"/>
              </w:rPr>
              <w:t>mii lei</w:t>
            </w:r>
          </w:p>
          <w:p w14:paraId="1AC9BA82" w14:textId="77777777" w:rsidR="001B43C4" w:rsidRPr="009C5F11" w:rsidRDefault="001B43C4" w:rsidP="001B43C4">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2017: 24,946.6 </w:t>
            </w:r>
            <w:r w:rsidR="00AA0566" w:rsidRPr="009C5F11">
              <w:rPr>
                <w:rFonts w:ascii="Times New Roman" w:eastAsia="Calibri" w:hAnsi="Times New Roman" w:cs="Times New Roman"/>
                <w:sz w:val="16"/>
                <w:szCs w:val="13"/>
                <w:lang w:val="ro-RO"/>
              </w:rPr>
              <w:t>mii lei</w:t>
            </w:r>
          </w:p>
          <w:p w14:paraId="4804CFB0" w14:textId="77777777" w:rsidR="00D91ABB" w:rsidRPr="009C5F11" w:rsidRDefault="001B43C4" w:rsidP="001B43C4">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2018: 25,862.7 </w:t>
            </w:r>
            <w:r w:rsidR="00AA0566" w:rsidRPr="009C5F11">
              <w:rPr>
                <w:rFonts w:ascii="Times New Roman" w:eastAsia="Calibri" w:hAnsi="Times New Roman" w:cs="Times New Roman"/>
                <w:sz w:val="16"/>
                <w:szCs w:val="13"/>
                <w:lang w:val="ro-RO"/>
              </w:rPr>
              <w:t>mii lei</w:t>
            </w:r>
          </w:p>
        </w:tc>
        <w:tc>
          <w:tcPr>
            <w:tcW w:w="1168" w:type="pct"/>
            <w:vAlign w:val="center"/>
          </w:tcPr>
          <w:p w14:paraId="7BA07132" w14:textId="77777777" w:rsidR="00D91ABB" w:rsidRPr="009C5F11" w:rsidRDefault="004E780C"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6A096E" w:rsidRPr="009C5F11">
              <w:rPr>
                <w:rFonts w:ascii="Times New Roman" w:eastAsia="Verdana" w:hAnsi="Times New Roman" w:cs="Times New Roman"/>
                <w:sz w:val="16"/>
                <w:szCs w:val="13"/>
                <w:lang w:val="ro-RO" w:eastAsia="de-DE"/>
              </w:rPr>
              <w:t>:</w:t>
            </w:r>
          </w:p>
          <w:p w14:paraId="55237855" w14:textId="77777777" w:rsidR="001B43C4" w:rsidRPr="009C5F11" w:rsidRDefault="006A096E"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Subprogramul</w:t>
            </w:r>
            <w:r w:rsidR="001B43C4" w:rsidRPr="009C5F11">
              <w:rPr>
                <w:rFonts w:ascii="Times New Roman" w:eastAsia="Verdana" w:hAnsi="Times New Roman" w:cs="Times New Roman"/>
                <w:sz w:val="16"/>
                <w:szCs w:val="13"/>
                <w:lang w:val="ro-RO" w:eastAsia="de-DE"/>
              </w:rPr>
              <w:t xml:space="preserve"> I. “</w:t>
            </w:r>
            <w:r w:rsidR="00637DDF" w:rsidRPr="009C5F11">
              <w:rPr>
                <w:rFonts w:ascii="Times New Roman" w:eastAsia="Verdana" w:hAnsi="Times New Roman" w:cs="Times New Roman"/>
                <w:sz w:val="16"/>
                <w:szCs w:val="13"/>
                <w:lang w:val="ro-RO" w:eastAsia="de-DE"/>
              </w:rPr>
              <w:t>Elaborarea politicii şi management în sectorul energetic</w:t>
            </w:r>
            <w:r w:rsidR="001B43C4" w:rsidRPr="009C5F11">
              <w:rPr>
                <w:rFonts w:ascii="Times New Roman" w:eastAsia="Verdana" w:hAnsi="Times New Roman" w:cs="Times New Roman"/>
                <w:sz w:val="16"/>
                <w:szCs w:val="13"/>
                <w:lang w:val="ro-RO" w:eastAsia="de-DE"/>
              </w:rPr>
              <w:t>”.</w:t>
            </w:r>
          </w:p>
        </w:tc>
      </w:tr>
      <w:tr w:rsidR="00E02D83" w:rsidRPr="009C5F11" w14:paraId="503E3CC1" w14:textId="77777777" w:rsidTr="002E306C">
        <w:tc>
          <w:tcPr>
            <w:tcW w:w="339" w:type="pct"/>
            <w:vAlign w:val="center"/>
          </w:tcPr>
          <w:p w14:paraId="53E92F52" w14:textId="77777777" w:rsidR="00D91ABB" w:rsidRPr="009C5F11" w:rsidRDefault="00D91ABB" w:rsidP="00AB5A76">
            <w:pPr>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H.2</w:t>
            </w:r>
          </w:p>
        </w:tc>
        <w:tc>
          <w:tcPr>
            <w:tcW w:w="804" w:type="pct"/>
            <w:vAlign w:val="center"/>
          </w:tcPr>
          <w:p w14:paraId="33C93AD3" w14:textId="77777777" w:rsidR="00D91ABB" w:rsidRPr="009C5F11" w:rsidRDefault="006A096E">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Actualizarea şi adoptarea cadrului juridic</w:t>
            </w:r>
            <w:r w:rsidR="00D91ABB"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în vederea asigurării punerii în aplicare a Directivei privind eficienţa energetică şi a Legii cu privire la eficienţa energetică</w:t>
            </w:r>
          </w:p>
        </w:tc>
        <w:tc>
          <w:tcPr>
            <w:tcW w:w="536" w:type="pct"/>
            <w:vAlign w:val="center"/>
          </w:tcPr>
          <w:p w14:paraId="49E288EB" w14:textId="77777777" w:rsidR="00D91ABB" w:rsidRPr="009C5F11" w:rsidRDefault="000D2EDD"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N/A</w:t>
            </w:r>
          </w:p>
        </w:tc>
        <w:tc>
          <w:tcPr>
            <w:tcW w:w="834" w:type="pct"/>
            <w:vAlign w:val="center"/>
          </w:tcPr>
          <w:p w14:paraId="12AB782A" w14:textId="77777777" w:rsidR="00D91ABB" w:rsidRPr="009C5F11" w:rsidRDefault="00D91ABB"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ANRE</w:t>
            </w:r>
          </w:p>
          <w:p w14:paraId="572DA019" w14:textId="77777777" w:rsidR="00D91ABB" w:rsidRPr="009C5F11" w:rsidRDefault="00AA0566"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AEE</w:t>
            </w:r>
          </w:p>
        </w:tc>
        <w:tc>
          <w:tcPr>
            <w:tcW w:w="1318" w:type="pct"/>
            <w:vAlign w:val="center"/>
          </w:tcPr>
          <w:p w14:paraId="0C63CBCE" w14:textId="77777777" w:rsidR="001B43C4" w:rsidRPr="009C5F11" w:rsidRDefault="001B43C4" w:rsidP="001B43C4">
            <w:pPr>
              <w:tabs>
                <w:tab w:val="left" w:pos="702"/>
                <w:tab w:val="left" w:pos="5040"/>
                <w:tab w:val="right" w:pos="8504"/>
              </w:tabs>
              <w:spacing w:before="40" w:after="0" w:line="240" w:lineRule="auto"/>
              <w:jc w:val="both"/>
              <w:rPr>
                <w:rFonts w:ascii="Times New Roman" w:eastAsia="Verdana" w:hAnsi="Times New Roman" w:cs="Times New Roman"/>
                <w:b/>
                <w:sz w:val="16"/>
                <w:szCs w:val="13"/>
                <w:lang w:val="ro-RO" w:eastAsia="de-DE"/>
              </w:rPr>
            </w:pPr>
            <w:r w:rsidRPr="009C5F11">
              <w:rPr>
                <w:rFonts w:ascii="Times New Roman" w:eastAsia="Verdana" w:hAnsi="Times New Roman" w:cs="Times New Roman"/>
                <w:b/>
                <w:sz w:val="16"/>
                <w:szCs w:val="13"/>
                <w:lang w:val="ro-RO" w:eastAsia="de-DE"/>
              </w:rPr>
              <w:t xml:space="preserve">2016-2018 </w:t>
            </w:r>
          </w:p>
          <w:p w14:paraId="6B8E66D0" w14:textId="77777777" w:rsidR="001B43C4" w:rsidRPr="009C5F11" w:rsidRDefault="001B43C4" w:rsidP="001B43C4">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2016: 19,426.2 </w:t>
            </w:r>
            <w:r w:rsidR="00AA0566" w:rsidRPr="009C5F11">
              <w:rPr>
                <w:rFonts w:ascii="Times New Roman" w:eastAsia="Calibri" w:hAnsi="Times New Roman" w:cs="Times New Roman"/>
                <w:sz w:val="16"/>
                <w:szCs w:val="13"/>
                <w:lang w:val="ro-RO"/>
              </w:rPr>
              <w:t>mii lei</w:t>
            </w:r>
          </w:p>
          <w:p w14:paraId="510B369E" w14:textId="77777777" w:rsidR="001B43C4" w:rsidRPr="009C5F11" w:rsidRDefault="001B43C4" w:rsidP="001B43C4">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2017: 24,946.6 </w:t>
            </w:r>
            <w:r w:rsidR="00AA0566" w:rsidRPr="009C5F11">
              <w:rPr>
                <w:rFonts w:ascii="Times New Roman" w:eastAsia="Calibri" w:hAnsi="Times New Roman" w:cs="Times New Roman"/>
                <w:sz w:val="16"/>
                <w:szCs w:val="13"/>
                <w:lang w:val="ro-RO"/>
              </w:rPr>
              <w:t>mii lei</w:t>
            </w:r>
          </w:p>
          <w:p w14:paraId="363B2B62" w14:textId="77777777" w:rsidR="00D91ABB" w:rsidRPr="009C5F11" w:rsidRDefault="001B43C4" w:rsidP="001B43C4">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2018: 25,862.7 </w:t>
            </w:r>
            <w:r w:rsidR="00AA0566" w:rsidRPr="009C5F11">
              <w:rPr>
                <w:rFonts w:ascii="Times New Roman" w:eastAsia="Calibri" w:hAnsi="Times New Roman" w:cs="Times New Roman"/>
                <w:sz w:val="16"/>
                <w:szCs w:val="13"/>
                <w:lang w:val="ro-RO"/>
              </w:rPr>
              <w:t>mii lei</w:t>
            </w:r>
          </w:p>
        </w:tc>
        <w:tc>
          <w:tcPr>
            <w:tcW w:w="1168" w:type="pct"/>
            <w:vAlign w:val="center"/>
          </w:tcPr>
          <w:p w14:paraId="16FC1C3B" w14:textId="77777777" w:rsidR="00D91ABB" w:rsidRPr="009C5F11" w:rsidRDefault="006A096E"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Bugetele proprii</w:t>
            </w:r>
          </w:p>
          <w:p w14:paraId="60D3BDCD" w14:textId="77777777" w:rsidR="00D91ABB" w:rsidRPr="009C5F11" w:rsidRDefault="004E780C"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6A096E" w:rsidRPr="009C5F11">
              <w:rPr>
                <w:rFonts w:ascii="Times New Roman" w:eastAsia="Verdana" w:hAnsi="Times New Roman" w:cs="Times New Roman"/>
                <w:sz w:val="16"/>
                <w:szCs w:val="13"/>
                <w:lang w:val="ro-RO" w:eastAsia="de-DE"/>
              </w:rPr>
              <w:t>:</w:t>
            </w:r>
          </w:p>
          <w:p w14:paraId="36254E6B" w14:textId="77777777" w:rsidR="001B43C4" w:rsidRPr="009C5F11" w:rsidRDefault="006A096E"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Subprogramul</w:t>
            </w:r>
            <w:r w:rsidR="001B43C4" w:rsidRPr="009C5F11">
              <w:rPr>
                <w:rFonts w:ascii="Times New Roman" w:eastAsia="Verdana" w:hAnsi="Times New Roman" w:cs="Times New Roman"/>
                <w:sz w:val="16"/>
                <w:szCs w:val="13"/>
                <w:lang w:val="ro-RO" w:eastAsia="de-DE"/>
              </w:rPr>
              <w:t xml:space="preserve"> I. “</w:t>
            </w:r>
            <w:r w:rsidR="00637DDF" w:rsidRPr="009C5F11">
              <w:rPr>
                <w:rFonts w:ascii="Times New Roman" w:eastAsia="Verdana" w:hAnsi="Times New Roman" w:cs="Times New Roman"/>
                <w:sz w:val="16"/>
                <w:szCs w:val="13"/>
                <w:lang w:val="ro-RO" w:eastAsia="de-DE"/>
              </w:rPr>
              <w:t>Elaborarea politicii şi management în sectorul energetic</w:t>
            </w:r>
            <w:r w:rsidR="001B43C4" w:rsidRPr="009C5F11">
              <w:rPr>
                <w:rFonts w:ascii="Times New Roman" w:eastAsia="Verdana" w:hAnsi="Times New Roman" w:cs="Times New Roman"/>
                <w:sz w:val="16"/>
                <w:szCs w:val="13"/>
                <w:lang w:val="ro-RO" w:eastAsia="de-DE"/>
              </w:rPr>
              <w:t>”.</w:t>
            </w:r>
          </w:p>
        </w:tc>
      </w:tr>
      <w:tr w:rsidR="00E02D83" w:rsidRPr="009C5F11" w14:paraId="18E35B48" w14:textId="77777777" w:rsidTr="002E306C">
        <w:tc>
          <w:tcPr>
            <w:tcW w:w="339" w:type="pct"/>
            <w:vAlign w:val="center"/>
          </w:tcPr>
          <w:p w14:paraId="7EADA8CD" w14:textId="77777777" w:rsidR="00D91ABB" w:rsidRPr="009C5F11" w:rsidRDefault="00D91ABB" w:rsidP="00AB5A76">
            <w:pPr>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H.3</w:t>
            </w:r>
          </w:p>
        </w:tc>
        <w:tc>
          <w:tcPr>
            <w:tcW w:w="804" w:type="pct"/>
            <w:vAlign w:val="center"/>
          </w:tcPr>
          <w:p w14:paraId="6731C7DE" w14:textId="77777777" w:rsidR="00D91ABB" w:rsidRPr="009C5F11" w:rsidRDefault="00AA45D2">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Elaborarea metodei BU pentru MV</w:t>
            </w:r>
          </w:p>
        </w:tc>
        <w:tc>
          <w:tcPr>
            <w:tcW w:w="536" w:type="pct"/>
            <w:vAlign w:val="center"/>
          </w:tcPr>
          <w:p w14:paraId="7BCD722D" w14:textId="77777777" w:rsidR="00D91ABB" w:rsidRPr="009C5F11" w:rsidRDefault="000D2EDD"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N/A</w:t>
            </w:r>
          </w:p>
        </w:tc>
        <w:tc>
          <w:tcPr>
            <w:tcW w:w="834" w:type="pct"/>
            <w:vAlign w:val="center"/>
          </w:tcPr>
          <w:p w14:paraId="13A22315" w14:textId="77777777" w:rsidR="00D91ABB" w:rsidRPr="009C5F11" w:rsidRDefault="00AA0566"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AEE</w:t>
            </w:r>
          </w:p>
        </w:tc>
        <w:tc>
          <w:tcPr>
            <w:tcW w:w="1318" w:type="pct"/>
            <w:vAlign w:val="center"/>
          </w:tcPr>
          <w:p w14:paraId="4E28A47C" w14:textId="77777777" w:rsidR="00D91ABB" w:rsidRPr="009C5F11" w:rsidRDefault="00534A4C">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w:t>
            </w:r>
            <w:r w:rsidR="00E131B2" w:rsidRPr="009C5F11">
              <w:rPr>
                <w:rFonts w:ascii="Times New Roman" w:eastAsia="Calibri" w:hAnsi="Times New Roman" w:cs="Times New Roman"/>
                <w:sz w:val="16"/>
                <w:szCs w:val="13"/>
                <w:lang w:val="ro-RO"/>
              </w:rPr>
              <w:t>/A</w:t>
            </w:r>
          </w:p>
        </w:tc>
        <w:tc>
          <w:tcPr>
            <w:tcW w:w="1168" w:type="pct"/>
            <w:vAlign w:val="center"/>
          </w:tcPr>
          <w:p w14:paraId="083B0A4F" w14:textId="77777777" w:rsidR="00D91ABB" w:rsidRPr="009C5F11" w:rsidRDefault="006A096E"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Bugetul </w:t>
            </w:r>
            <w:r w:rsidR="00DB0059" w:rsidRPr="009C5F11">
              <w:rPr>
                <w:rFonts w:ascii="Times New Roman" w:eastAsia="Verdana" w:hAnsi="Times New Roman" w:cs="Times New Roman"/>
                <w:sz w:val="16"/>
                <w:szCs w:val="13"/>
                <w:lang w:val="ro-RO" w:eastAsia="de-DE"/>
              </w:rPr>
              <w:t>propriu</w:t>
            </w:r>
            <w:r w:rsidRPr="009C5F11">
              <w:rPr>
                <w:rFonts w:ascii="Times New Roman" w:eastAsia="Verdana" w:hAnsi="Times New Roman" w:cs="Times New Roman"/>
                <w:sz w:val="16"/>
                <w:szCs w:val="13"/>
                <w:lang w:val="ro-RO" w:eastAsia="de-DE"/>
              </w:rPr>
              <w:t xml:space="preserve"> al organismului de implementare</w:t>
            </w:r>
            <w:r w:rsidR="008C3F54" w:rsidRPr="009C5F11">
              <w:rPr>
                <w:rFonts w:ascii="Times New Roman" w:eastAsia="Verdana" w:hAnsi="Times New Roman" w:cs="Times New Roman"/>
                <w:sz w:val="16"/>
                <w:szCs w:val="13"/>
                <w:lang w:val="ro-RO" w:eastAsia="de-DE"/>
              </w:rPr>
              <w:t>.</w:t>
            </w:r>
          </w:p>
          <w:p w14:paraId="5C072355" w14:textId="77777777" w:rsidR="00D91ABB" w:rsidRPr="009C5F11" w:rsidRDefault="006A096E"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Proiecte în curs de elaborare.</w:t>
            </w:r>
          </w:p>
        </w:tc>
      </w:tr>
      <w:tr w:rsidR="00E02D83" w:rsidRPr="009C5F11" w14:paraId="44D5F55F" w14:textId="77777777" w:rsidTr="002E306C">
        <w:tc>
          <w:tcPr>
            <w:tcW w:w="339" w:type="pct"/>
            <w:vAlign w:val="center"/>
          </w:tcPr>
          <w:p w14:paraId="6531A61B" w14:textId="77777777" w:rsidR="00D91ABB" w:rsidRPr="009C5F11" w:rsidRDefault="00D91ABB" w:rsidP="00AB5A76">
            <w:pPr>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H.4</w:t>
            </w:r>
          </w:p>
        </w:tc>
        <w:tc>
          <w:tcPr>
            <w:tcW w:w="804" w:type="pct"/>
            <w:vAlign w:val="center"/>
          </w:tcPr>
          <w:p w14:paraId="3CBE488E" w14:textId="77777777" w:rsidR="00D91ABB" w:rsidRPr="009C5F11" w:rsidRDefault="00FD5F1C">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Promovarea</w:t>
            </w:r>
            <w:r w:rsidR="00D91ABB" w:rsidRPr="009C5F11">
              <w:rPr>
                <w:rFonts w:ascii="Times New Roman" w:eastAsia="Calibri" w:hAnsi="Times New Roman" w:cs="Times New Roman"/>
                <w:sz w:val="16"/>
                <w:szCs w:val="13"/>
                <w:lang w:val="ro-RO"/>
              </w:rPr>
              <w:t xml:space="preserve"> </w:t>
            </w:r>
            <w:r w:rsidR="00AA45D2" w:rsidRPr="009C5F11">
              <w:rPr>
                <w:rFonts w:ascii="Times New Roman" w:eastAsia="Calibri" w:hAnsi="Times New Roman" w:cs="Times New Roman"/>
                <w:sz w:val="16"/>
                <w:szCs w:val="13"/>
                <w:lang w:val="ro-RO"/>
              </w:rPr>
              <w:t>companiilor de servicii energetice</w:t>
            </w:r>
          </w:p>
        </w:tc>
        <w:tc>
          <w:tcPr>
            <w:tcW w:w="536" w:type="pct"/>
            <w:vAlign w:val="center"/>
          </w:tcPr>
          <w:p w14:paraId="6AF234E4" w14:textId="77777777" w:rsidR="00D91ABB" w:rsidRPr="009C5F11" w:rsidRDefault="000D2EDD"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N/A</w:t>
            </w:r>
          </w:p>
        </w:tc>
        <w:tc>
          <w:tcPr>
            <w:tcW w:w="834" w:type="pct"/>
            <w:vAlign w:val="center"/>
          </w:tcPr>
          <w:p w14:paraId="68E40FB4" w14:textId="77777777" w:rsidR="00D91ABB" w:rsidRPr="009C5F11" w:rsidRDefault="00421FA7"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MM</w:t>
            </w:r>
            <w:r w:rsidR="00D91ABB"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ME</w:t>
            </w:r>
            <w:r w:rsidR="00D91ABB" w:rsidRPr="009C5F11">
              <w:rPr>
                <w:rFonts w:ascii="Times New Roman" w:eastAsia="Calibri" w:hAnsi="Times New Roman" w:cs="Times New Roman"/>
                <w:sz w:val="16"/>
                <w:szCs w:val="13"/>
                <w:lang w:val="ro-RO"/>
              </w:rPr>
              <w:t xml:space="preserve">, </w:t>
            </w:r>
            <w:r w:rsidR="00AA0566" w:rsidRPr="009C5F11">
              <w:rPr>
                <w:rFonts w:ascii="Times New Roman" w:eastAsia="Calibri" w:hAnsi="Times New Roman" w:cs="Times New Roman"/>
                <w:sz w:val="16"/>
                <w:szCs w:val="13"/>
                <w:lang w:val="ro-RO"/>
              </w:rPr>
              <w:t>MDRC</w:t>
            </w:r>
            <w:r w:rsidR="00D91ABB" w:rsidRPr="009C5F11">
              <w:rPr>
                <w:rFonts w:ascii="Times New Roman" w:eastAsia="Calibri" w:hAnsi="Times New Roman" w:cs="Times New Roman"/>
                <w:sz w:val="16"/>
                <w:szCs w:val="13"/>
                <w:lang w:val="ro-RO"/>
              </w:rPr>
              <w:t xml:space="preserve">, </w:t>
            </w:r>
            <w:r w:rsidR="00AA45D2" w:rsidRPr="009C5F11">
              <w:rPr>
                <w:rFonts w:ascii="Times New Roman" w:eastAsia="Calibri" w:hAnsi="Times New Roman" w:cs="Times New Roman"/>
                <w:sz w:val="16"/>
                <w:szCs w:val="13"/>
                <w:lang w:val="ro-RO"/>
              </w:rPr>
              <w:t>MF</w:t>
            </w:r>
          </w:p>
          <w:p w14:paraId="103B566B" w14:textId="77777777" w:rsidR="00D91ABB" w:rsidRPr="009C5F11" w:rsidRDefault="00421FA7"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Primăria Chişinău</w:t>
            </w:r>
            <w:r w:rsidR="00D91ABB" w:rsidRPr="009C5F11">
              <w:rPr>
                <w:rFonts w:ascii="Times New Roman" w:eastAsia="Calibri" w:hAnsi="Times New Roman" w:cs="Times New Roman"/>
                <w:sz w:val="16"/>
                <w:szCs w:val="13"/>
                <w:lang w:val="ro-RO"/>
              </w:rPr>
              <w:t xml:space="preserve">, </w:t>
            </w:r>
          </w:p>
          <w:p w14:paraId="4F6EFB2C" w14:textId="77777777" w:rsidR="00D91ABB" w:rsidRPr="009C5F11" w:rsidRDefault="00AA0566"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FEE</w:t>
            </w:r>
            <w:r w:rsidR="00D91ABB"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AEE</w:t>
            </w:r>
          </w:p>
        </w:tc>
        <w:tc>
          <w:tcPr>
            <w:tcW w:w="1318" w:type="pct"/>
            <w:vAlign w:val="center"/>
          </w:tcPr>
          <w:p w14:paraId="6FA69894" w14:textId="77777777" w:rsidR="00D91ABB" w:rsidRPr="009C5F11" w:rsidRDefault="00637DDF" w:rsidP="00AB5A76">
            <w:pPr>
              <w:tabs>
                <w:tab w:val="left" w:pos="1440"/>
                <w:tab w:val="left" w:pos="5040"/>
                <w:tab w:val="right" w:pos="8504"/>
              </w:tabs>
              <w:spacing w:before="40" w:after="0" w:line="240" w:lineRule="auto"/>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 xml:space="preserve">TOTAL </w:t>
            </w:r>
            <w:r w:rsidR="00D91ABB" w:rsidRPr="009C5F11">
              <w:rPr>
                <w:rFonts w:ascii="Times New Roman" w:hAnsi="Times New Roman" w:cs="Times New Roman"/>
                <w:sz w:val="16"/>
                <w:szCs w:val="13"/>
                <w:lang w:val="ro-RO" w:eastAsia="de-DE"/>
              </w:rPr>
              <w:t xml:space="preserve">1,450,000 </w:t>
            </w:r>
            <w:r w:rsidRPr="009C5F11">
              <w:rPr>
                <w:rFonts w:ascii="Times New Roman" w:hAnsi="Times New Roman" w:cs="Times New Roman"/>
                <w:sz w:val="16"/>
                <w:szCs w:val="13"/>
                <w:lang w:val="ro-RO" w:eastAsia="de-DE"/>
              </w:rPr>
              <w:t>dolari SUA</w:t>
            </w:r>
          </w:p>
          <w:p w14:paraId="65385E8C" w14:textId="77777777" w:rsidR="00D91ABB" w:rsidRPr="009C5F11" w:rsidRDefault="00D91ABB" w:rsidP="00334F3B">
            <w:pPr>
              <w:numPr>
                <w:ilvl w:val="0"/>
                <w:numId w:val="44"/>
              </w:numPr>
              <w:tabs>
                <w:tab w:val="left" w:pos="149"/>
                <w:tab w:val="left" w:pos="5040"/>
                <w:tab w:val="right" w:pos="8504"/>
              </w:tabs>
              <w:spacing w:before="40" w:after="0" w:line="240" w:lineRule="auto"/>
              <w:ind w:left="149" w:hanging="180"/>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 xml:space="preserve">1.3 </w:t>
            </w:r>
            <w:r w:rsidR="00421FA7" w:rsidRPr="009C5F11">
              <w:rPr>
                <w:rFonts w:ascii="Times New Roman" w:hAnsi="Times New Roman" w:cs="Times New Roman"/>
                <w:sz w:val="16"/>
                <w:szCs w:val="13"/>
                <w:lang w:val="ro-RO" w:eastAsia="de-DE"/>
              </w:rPr>
              <w:t xml:space="preserve">milioane </w:t>
            </w:r>
            <w:r w:rsidR="00637DDF" w:rsidRPr="009C5F11">
              <w:rPr>
                <w:rFonts w:ascii="Times New Roman" w:hAnsi="Times New Roman" w:cs="Times New Roman"/>
                <w:sz w:val="16"/>
                <w:szCs w:val="13"/>
                <w:lang w:val="ro-RO" w:eastAsia="de-DE"/>
              </w:rPr>
              <w:t xml:space="preserve">dolari SUA </w:t>
            </w:r>
            <w:r w:rsidRPr="009C5F11">
              <w:rPr>
                <w:rFonts w:ascii="Times New Roman" w:hAnsi="Times New Roman" w:cs="Times New Roman"/>
                <w:sz w:val="16"/>
                <w:szCs w:val="13"/>
                <w:lang w:val="ro-RO" w:eastAsia="de-DE"/>
              </w:rPr>
              <w:t>– GEF</w:t>
            </w:r>
            <w:r w:rsidR="00AA45D2" w:rsidRPr="009C5F11">
              <w:rPr>
                <w:rFonts w:ascii="Times New Roman" w:hAnsi="Times New Roman" w:cs="Times New Roman"/>
                <w:sz w:val="16"/>
                <w:szCs w:val="13"/>
                <w:lang w:val="ro-RO" w:eastAsia="de-DE"/>
              </w:rPr>
              <w:t>;</w:t>
            </w:r>
            <w:r w:rsidRPr="009C5F11">
              <w:rPr>
                <w:rFonts w:ascii="Times New Roman" w:hAnsi="Times New Roman" w:cs="Times New Roman"/>
                <w:sz w:val="16"/>
                <w:szCs w:val="13"/>
                <w:lang w:val="ro-RO" w:eastAsia="de-DE"/>
              </w:rPr>
              <w:t xml:space="preserve"> </w:t>
            </w:r>
          </w:p>
          <w:p w14:paraId="3E901992" w14:textId="77777777" w:rsidR="00D91ABB" w:rsidRPr="009C5F11" w:rsidRDefault="00D91ABB" w:rsidP="00334F3B">
            <w:pPr>
              <w:numPr>
                <w:ilvl w:val="0"/>
                <w:numId w:val="44"/>
              </w:numPr>
              <w:tabs>
                <w:tab w:val="left" w:pos="149"/>
                <w:tab w:val="left" w:pos="5040"/>
                <w:tab w:val="right" w:pos="8504"/>
              </w:tabs>
              <w:spacing w:before="40" w:after="0" w:line="240" w:lineRule="auto"/>
              <w:ind w:left="149" w:hanging="180"/>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 xml:space="preserve">150 </w:t>
            </w:r>
            <w:r w:rsidR="00421FA7" w:rsidRPr="009C5F11">
              <w:rPr>
                <w:rFonts w:ascii="Times New Roman" w:hAnsi="Times New Roman" w:cs="Times New Roman"/>
                <w:sz w:val="16"/>
                <w:szCs w:val="13"/>
                <w:lang w:val="ro-RO" w:eastAsia="de-DE"/>
              </w:rPr>
              <w:t>mii</w:t>
            </w:r>
            <w:r w:rsidRPr="009C5F11">
              <w:rPr>
                <w:rFonts w:ascii="Times New Roman" w:hAnsi="Times New Roman" w:cs="Times New Roman"/>
                <w:sz w:val="16"/>
                <w:szCs w:val="13"/>
                <w:lang w:val="ro-RO" w:eastAsia="de-DE"/>
              </w:rPr>
              <w:t xml:space="preserve"> </w:t>
            </w:r>
            <w:r w:rsidR="00637DDF" w:rsidRPr="009C5F11">
              <w:rPr>
                <w:rFonts w:ascii="Times New Roman" w:hAnsi="Times New Roman" w:cs="Times New Roman"/>
                <w:sz w:val="16"/>
                <w:szCs w:val="13"/>
                <w:lang w:val="ro-RO" w:eastAsia="de-DE"/>
              </w:rPr>
              <w:t xml:space="preserve">dolari SUA </w:t>
            </w:r>
            <w:r w:rsidRPr="009C5F11">
              <w:rPr>
                <w:rFonts w:ascii="Times New Roman" w:hAnsi="Times New Roman" w:cs="Times New Roman"/>
                <w:sz w:val="16"/>
                <w:szCs w:val="13"/>
                <w:lang w:val="ro-RO" w:eastAsia="de-DE"/>
              </w:rPr>
              <w:t xml:space="preserve">- </w:t>
            </w:r>
            <w:r w:rsidR="00321CD5" w:rsidRPr="009C5F11">
              <w:rPr>
                <w:rFonts w:ascii="Times New Roman" w:hAnsi="Times New Roman" w:cs="Times New Roman"/>
                <w:sz w:val="16"/>
                <w:szCs w:val="13"/>
                <w:lang w:val="ro-RO" w:eastAsia="de-DE"/>
              </w:rPr>
              <w:t>PNUD</w:t>
            </w:r>
          </w:p>
        </w:tc>
        <w:tc>
          <w:tcPr>
            <w:tcW w:w="1168" w:type="pct"/>
            <w:vAlign w:val="center"/>
          </w:tcPr>
          <w:p w14:paraId="3931C16B" w14:textId="77777777" w:rsidR="00D91ABB" w:rsidRPr="009C5F11" w:rsidRDefault="00D91ABB"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 xml:space="preserve">“ESCO Moldova - </w:t>
            </w:r>
            <w:r w:rsidR="00AA45D2" w:rsidRPr="009C5F11">
              <w:rPr>
                <w:rFonts w:ascii="Times New Roman" w:eastAsia="Verdana" w:hAnsi="Times New Roman" w:cs="Times New Roman"/>
                <w:sz w:val="16"/>
                <w:szCs w:val="13"/>
                <w:lang w:val="ro-RO" w:eastAsia="de-DE"/>
              </w:rPr>
              <w:t>Transformarea pieței pentru eficiența energetică urbană prin introducerea companiilor de servicii energetice</w:t>
            </w:r>
            <w:r w:rsidR="00716C5F" w:rsidRPr="009C5F11">
              <w:rPr>
                <w:rFonts w:ascii="Times New Roman" w:eastAsia="Verdana" w:hAnsi="Times New Roman" w:cs="Times New Roman"/>
                <w:sz w:val="16"/>
                <w:szCs w:val="13"/>
                <w:lang w:val="ro-RO" w:eastAsia="de-DE"/>
              </w:rPr>
              <w:t xml:space="preserve">”: </w:t>
            </w:r>
            <w:r w:rsidR="00AA45D2" w:rsidRPr="009C5F11">
              <w:rPr>
                <w:rFonts w:ascii="Times New Roman" w:eastAsia="Verdana" w:hAnsi="Times New Roman" w:cs="Times New Roman"/>
                <w:sz w:val="16"/>
                <w:szCs w:val="13"/>
                <w:lang w:val="ro-RO" w:eastAsia="de-DE"/>
              </w:rPr>
              <w:t>finanţat de</w:t>
            </w:r>
            <w:r w:rsidRPr="009C5F11">
              <w:rPr>
                <w:rFonts w:ascii="Times New Roman" w:eastAsia="Verdana" w:hAnsi="Times New Roman" w:cs="Times New Roman"/>
                <w:sz w:val="16"/>
                <w:szCs w:val="13"/>
                <w:lang w:val="ro-RO" w:eastAsia="de-DE"/>
              </w:rPr>
              <w:t xml:space="preserve"> </w:t>
            </w:r>
            <w:r w:rsidR="00AA45D2" w:rsidRPr="009C5F11">
              <w:rPr>
                <w:rFonts w:ascii="Times New Roman" w:eastAsia="Verdana" w:hAnsi="Times New Roman" w:cs="Times New Roman"/>
                <w:sz w:val="16"/>
                <w:szCs w:val="13"/>
                <w:lang w:val="ro-RO" w:eastAsia="de-DE"/>
              </w:rPr>
              <w:t>GEF şi cofinanţat şi implementat de</w:t>
            </w:r>
            <w:r w:rsidRPr="009C5F11">
              <w:rPr>
                <w:rFonts w:ascii="Times New Roman" w:eastAsia="Verdana" w:hAnsi="Times New Roman" w:cs="Times New Roman"/>
                <w:sz w:val="16"/>
                <w:szCs w:val="13"/>
                <w:lang w:val="ro-RO" w:eastAsia="de-DE"/>
              </w:rPr>
              <w:t xml:space="preserve"> </w:t>
            </w:r>
            <w:r w:rsidR="00321CD5" w:rsidRPr="009C5F11">
              <w:rPr>
                <w:rFonts w:ascii="Times New Roman" w:eastAsia="Verdana" w:hAnsi="Times New Roman" w:cs="Times New Roman"/>
                <w:sz w:val="16"/>
                <w:szCs w:val="13"/>
                <w:lang w:val="ro-RO" w:eastAsia="de-DE"/>
              </w:rPr>
              <w:t>PNUD</w:t>
            </w:r>
            <w:r w:rsidR="00637DDF" w:rsidRPr="009C5F11">
              <w:rPr>
                <w:rFonts w:ascii="Times New Roman" w:eastAsia="Verdana" w:hAnsi="Times New Roman" w:cs="Times New Roman"/>
                <w:sz w:val="16"/>
                <w:szCs w:val="13"/>
                <w:lang w:val="ro-RO" w:eastAsia="de-DE"/>
              </w:rPr>
              <w:t>.</w:t>
            </w:r>
          </w:p>
        </w:tc>
      </w:tr>
      <w:tr w:rsidR="00E02D83" w:rsidRPr="009C5F11" w14:paraId="358394E0" w14:textId="77777777" w:rsidTr="002E306C">
        <w:trPr>
          <w:trHeight w:val="1207"/>
        </w:trPr>
        <w:tc>
          <w:tcPr>
            <w:tcW w:w="339" w:type="pct"/>
            <w:vAlign w:val="center"/>
          </w:tcPr>
          <w:p w14:paraId="5F330CA2" w14:textId="77777777" w:rsidR="00D91ABB" w:rsidRPr="009C5F11" w:rsidRDefault="00D91ABB" w:rsidP="00AB5A76">
            <w:pPr>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H.5</w:t>
            </w:r>
          </w:p>
        </w:tc>
        <w:tc>
          <w:tcPr>
            <w:tcW w:w="804" w:type="pct"/>
            <w:vAlign w:val="center"/>
          </w:tcPr>
          <w:p w14:paraId="44789BDC" w14:textId="77777777" w:rsidR="00D91ABB" w:rsidRPr="009C5F11" w:rsidRDefault="00AA45D2"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Studiu cu privire la instrumentele de promovare a eficienţei energetice/sistemele de obligaţii şi evaluarea aplicării acestora în Republica Moldova.</w:t>
            </w:r>
          </w:p>
        </w:tc>
        <w:tc>
          <w:tcPr>
            <w:tcW w:w="536" w:type="pct"/>
            <w:vAlign w:val="center"/>
          </w:tcPr>
          <w:p w14:paraId="62002E2C" w14:textId="77777777" w:rsidR="00D91ABB" w:rsidRPr="009C5F11" w:rsidRDefault="000D2EDD"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N/A</w:t>
            </w:r>
          </w:p>
        </w:tc>
        <w:tc>
          <w:tcPr>
            <w:tcW w:w="834" w:type="pct"/>
            <w:vAlign w:val="center"/>
          </w:tcPr>
          <w:p w14:paraId="3BF8335D" w14:textId="77777777" w:rsidR="00D91ABB" w:rsidRPr="009C5F11" w:rsidRDefault="00AA0566"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AEE</w:t>
            </w:r>
          </w:p>
        </w:tc>
        <w:tc>
          <w:tcPr>
            <w:tcW w:w="1318" w:type="pct"/>
            <w:vAlign w:val="center"/>
          </w:tcPr>
          <w:p w14:paraId="3BD74769" w14:textId="77777777" w:rsidR="001B43C4" w:rsidRPr="009C5F11" w:rsidRDefault="001B43C4" w:rsidP="001B43C4">
            <w:pPr>
              <w:tabs>
                <w:tab w:val="left" w:pos="702"/>
                <w:tab w:val="left" w:pos="5040"/>
                <w:tab w:val="right" w:pos="8504"/>
              </w:tabs>
              <w:spacing w:before="40" w:after="0" w:line="240" w:lineRule="auto"/>
              <w:jc w:val="both"/>
              <w:rPr>
                <w:rFonts w:ascii="Times New Roman" w:eastAsia="Verdana" w:hAnsi="Times New Roman" w:cs="Times New Roman"/>
                <w:b/>
                <w:sz w:val="16"/>
                <w:szCs w:val="13"/>
                <w:lang w:val="ro-RO" w:eastAsia="de-DE"/>
              </w:rPr>
            </w:pPr>
            <w:r w:rsidRPr="009C5F11">
              <w:rPr>
                <w:rFonts w:ascii="Times New Roman" w:eastAsia="Verdana" w:hAnsi="Times New Roman" w:cs="Times New Roman"/>
                <w:b/>
                <w:sz w:val="16"/>
                <w:szCs w:val="13"/>
                <w:lang w:val="ro-RO" w:eastAsia="de-DE"/>
              </w:rPr>
              <w:t xml:space="preserve">2016-2018 </w:t>
            </w:r>
          </w:p>
          <w:p w14:paraId="4CDB4BB4" w14:textId="77777777" w:rsidR="001B43C4" w:rsidRPr="009C5F11" w:rsidRDefault="001B43C4" w:rsidP="001B43C4">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2016: 19,426.2 </w:t>
            </w:r>
            <w:r w:rsidR="00AA0566" w:rsidRPr="009C5F11">
              <w:rPr>
                <w:rFonts w:ascii="Times New Roman" w:eastAsia="Calibri" w:hAnsi="Times New Roman" w:cs="Times New Roman"/>
                <w:sz w:val="16"/>
                <w:szCs w:val="13"/>
                <w:lang w:val="ro-RO"/>
              </w:rPr>
              <w:t>mii lei</w:t>
            </w:r>
          </w:p>
          <w:p w14:paraId="13F419F3" w14:textId="77777777" w:rsidR="001B43C4" w:rsidRPr="009C5F11" w:rsidRDefault="001B43C4" w:rsidP="001B43C4">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2017: 24,946.6 </w:t>
            </w:r>
            <w:r w:rsidR="00AA0566" w:rsidRPr="009C5F11">
              <w:rPr>
                <w:rFonts w:ascii="Times New Roman" w:eastAsia="Calibri" w:hAnsi="Times New Roman" w:cs="Times New Roman"/>
                <w:sz w:val="16"/>
                <w:szCs w:val="13"/>
                <w:lang w:val="ro-RO"/>
              </w:rPr>
              <w:t>mii lei</w:t>
            </w:r>
          </w:p>
          <w:p w14:paraId="169445CA" w14:textId="77777777" w:rsidR="00D91ABB" w:rsidRPr="009C5F11" w:rsidRDefault="001B43C4" w:rsidP="001B43C4">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2018: 25,862.7 </w:t>
            </w:r>
            <w:r w:rsidR="00AA0566" w:rsidRPr="009C5F11">
              <w:rPr>
                <w:rFonts w:ascii="Times New Roman" w:eastAsia="Calibri" w:hAnsi="Times New Roman" w:cs="Times New Roman"/>
                <w:sz w:val="16"/>
                <w:szCs w:val="13"/>
                <w:lang w:val="ro-RO"/>
              </w:rPr>
              <w:t>mii lei</w:t>
            </w:r>
          </w:p>
        </w:tc>
        <w:tc>
          <w:tcPr>
            <w:tcW w:w="1168" w:type="pct"/>
            <w:vAlign w:val="center"/>
          </w:tcPr>
          <w:p w14:paraId="514606F0" w14:textId="77777777" w:rsidR="00D91ABB" w:rsidRPr="009C5F11" w:rsidRDefault="004E780C"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Strategia sectorială de cheltuieli în domeniul energetic</w:t>
            </w:r>
            <w:r w:rsidR="00AA45D2" w:rsidRPr="009C5F11">
              <w:rPr>
                <w:rFonts w:ascii="Times New Roman" w:eastAsia="Verdana" w:hAnsi="Times New Roman" w:cs="Times New Roman"/>
                <w:sz w:val="16"/>
                <w:szCs w:val="13"/>
                <w:lang w:val="ro-RO" w:eastAsia="de-DE"/>
              </w:rPr>
              <w:t>:</w:t>
            </w:r>
          </w:p>
          <w:p w14:paraId="0684F3A4" w14:textId="77777777" w:rsidR="001B43C4" w:rsidRPr="009C5F11" w:rsidRDefault="006A096E" w:rsidP="00B40DB5">
            <w:pPr>
              <w:tabs>
                <w:tab w:val="left" w:pos="1440"/>
                <w:tab w:val="left" w:pos="5040"/>
                <w:tab w:val="right" w:pos="8504"/>
              </w:tabs>
              <w:spacing w:before="40" w:after="0" w:line="240" w:lineRule="auto"/>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Subprogramul</w:t>
            </w:r>
            <w:r w:rsidR="001B43C4" w:rsidRPr="009C5F11">
              <w:rPr>
                <w:rFonts w:ascii="Times New Roman" w:eastAsia="Verdana" w:hAnsi="Times New Roman" w:cs="Times New Roman"/>
                <w:sz w:val="16"/>
                <w:szCs w:val="13"/>
                <w:lang w:val="ro-RO" w:eastAsia="de-DE"/>
              </w:rPr>
              <w:t xml:space="preserve"> I. “</w:t>
            </w:r>
            <w:r w:rsidR="00637DDF" w:rsidRPr="009C5F11">
              <w:rPr>
                <w:rFonts w:ascii="Times New Roman" w:eastAsia="Verdana" w:hAnsi="Times New Roman" w:cs="Times New Roman"/>
                <w:sz w:val="16"/>
                <w:szCs w:val="13"/>
                <w:lang w:val="ro-RO" w:eastAsia="de-DE"/>
              </w:rPr>
              <w:t>Elaborarea politicii şi management în sectorul energetic</w:t>
            </w:r>
            <w:r w:rsidR="001B43C4" w:rsidRPr="009C5F11">
              <w:rPr>
                <w:rFonts w:ascii="Times New Roman" w:eastAsia="Verdana" w:hAnsi="Times New Roman" w:cs="Times New Roman"/>
                <w:sz w:val="16"/>
                <w:szCs w:val="13"/>
                <w:lang w:val="ro-RO" w:eastAsia="de-DE"/>
              </w:rPr>
              <w:t>”.</w:t>
            </w:r>
          </w:p>
        </w:tc>
      </w:tr>
      <w:tr w:rsidR="0017055F" w:rsidRPr="009C5F11" w14:paraId="3654F3AE" w14:textId="77777777" w:rsidTr="002E306C">
        <w:trPr>
          <w:trHeight w:val="78"/>
        </w:trPr>
        <w:tc>
          <w:tcPr>
            <w:tcW w:w="339" w:type="pct"/>
            <w:vMerge w:val="restart"/>
            <w:vAlign w:val="center"/>
          </w:tcPr>
          <w:p w14:paraId="13F314FE" w14:textId="77777777" w:rsidR="0017055F" w:rsidRPr="009C5F11" w:rsidRDefault="0017055F" w:rsidP="00AB5A76">
            <w:pPr>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H.6</w:t>
            </w:r>
          </w:p>
        </w:tc>
        <w:tc>
          <w:tcPr>
            <w:tcW w:w="804" w:type="pct"/>
            <w:vMerge w:val="restart"/>
            <w:vAlign w:val="center"/>
          </w:tcPr>
          <w:p w14:paraId="6F790FEA" w14:textId="77777777" w:rsidR="0017055F" w:rsidRPr="009C5F11" w:rsidRDefault="0017055F"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Etichetarea produselor cu impact energetic şi implementarea proiectării ecologice</w:t>
            </w:r>
          </w:p>
        </w:tc>
        <w:tc>
          <w:tcPr>
            <w:tcW w:w="536" w:type="pct"/>
            <w:vMerge w:val="restart"/>
            <w:vAlign w:val="center"/>
          </w:tcPr>
          <w:p w14:paraId="12647454" w14:textId="77777777" w:rsidR="0017055F" w:rsidRPr="009C5F11" w:rsidRDefault="0017055F"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37.8 ktep</w:t>
            </w:r>
          </w:p>
        </w:tc>
        <w:tc>
          <w:tcPr>
            <w:tcW w:w="834" w:type="pct"/>
            <w:vMerge w:val="restart"/>
            <w:vAlign w:val="center"/>
          </w:tcPr>
          <w:p w14:paraId="32CF78C8" w14:textId="77777777" w:rsidR="0017055F" w:rsidRPr="009C5F11" w:rsidRDefault="0017055F"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 xml:space="preserve">ME, </w:t>
            </w:r>
          </w:p>
          <w:p w14:paraId="5C596852" w14:textId="77777777" w:rsidR="0017055F" w:rsidRPr="009C5F11" w:rsidRDefault="0017055F"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MM,</w:t>
            </w:r>
          </w:p>
          <w:p w14:paraId="6D03FF8E" w14:textId="77777777" w:rsidR="0017055F" w:rsidRPr="009C5F11" w:rsidRDefault="0017055F" w:rsidP="00AA45D2">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AEE</w:t>
            </w:r>
          </w:p>
        </w:tc>
        <w:tc>
          <w:tcPr>
            <w:tcW w:w="1318" w:type="pct"/>
            <w:vAlign w:val="center"/>
          </w:tcPr>
          <w:p w14:paraId="4D6FEEC2" w14:textId="77777777" w:rsidR="0017055F" w:rsidRPr="009C5F11" w:rsidRDefault="0017055F">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w:t>
            </w:r>
            <w:r w:rsidR="00E131B2" w:rsidRPr="009C5F11">
              <w:rPr>
                <w:rFonts w:ascii="Times New Roman" w:eastAsia="Calibri" w:hAnsi="Times New Roman" w:cs="Times New Roman"/>
                <w:sz w:val="16"/>
                <w:szCs w:val="13"/>
                <w:lang w:val="ro-RO"/>
              </w:rPr>
              <w:t>/A</w:t>
            </w:r>
          </w:p>
        </w:tc>
        <w:tc>
          <w:tcPr>
            <w:tcW w:w="1168" w:type="pct"/>
            <w:vAlign w:val="center"/>
          </w:tcPr>
          <w:p w14:paraId="34E64CE2" w14:textId="77777777" w:rsidR="002E306C" w:rsidRDefault="0017055F" w:rsidP="00CF598B">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Bugetul propriu al organismelor de implementare</w:t>
            </w:r>
            <w:r w:rsidR="00C3037E">
              <w:rPr>
                <w:rFonts w:ascii="Times New Roman" w:eastAsia="Verdana" w:hAnsi="Times New Roman" w:cs="Times New Roman"/>
                <w:sz w:val="16"/>
                <w:szCs w:val="13"/>
                <w:lang w:val="ro-RO" w:eastAsia="de-DE"/>
              </w:rPr>
              <w:t xml:space="preserve"> </w:t>
            </w:r>
          </w:p>
          <w:p w14:paraId="5A277233" w14:textId="02204901" w:rsidR="0017055F" w:rsidRPr="009C5F11" w:rsidRDefault="00C62AAD" w:rsidP="00CF598B">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Proiecte în curs de elaborare.</w:t>
            </w:r>
          </w:p>
        </w:tc>
      </w:tr>
      <w:tr w:rsidR="00C62AAD" w:rsidRPr="009C5F11" w14:paraId="4D9A9A62" w14:textId="77777777" w:rsidTr="002E306C">
        <w:trPr>
          <w:trHeight w:val="289"/>
        </w:trPr>
        <w:tc>
          <w:tcPr>
            <w:tcW w:w="339" w:type="pct"/>
            <w:vMerge/>
            <w:vAlign w:val="center"/>
          </w:tcPr>
          <w:p w14:paraId="74153C4A" w14:textId="77777777" w:rsidR="00C62AAD" w:rsidRPr="009C5F11" w:rsidRDefault="00C62AAD" w:rsidP="00AB5A76">
            <w:pPr>
              <w:rPr>
                <w:rFonts w:ascii="Times New Roman" w:hAnsi="Times New Roman" w:cs="Times New Roman"/>
                <w:sz w:val="16"/>
                <w:szCs w:val="13"/>
                <w:lang w:val="ro-RO" w:eastAsia="de-DE"/>
              </w:rPr>
            </w:pPr>
          </w:p>
        </w:tc>
        <w:tc>
          <w:tcPr>
            <w:tcW w:w="804" w:type="pct"/>
            <w:vMerge/>
            <w:vAlign w:val="center"/>
          </w:tcPr>
          <w:p w14:paraId="6DB6DA2B" w14:textId="77777777" w:rsidR="00C62AAD" w:rsidRPr="009C5F11" w:rsidRDefault="00C62AAD" w:rsidP="00AB5A76">
            <w:pPr>
              <w:spacing w:after="0" w:line="240" w:lineRule="auto"/>
              <w:rPr>
                <w:rFonts w:ascii="Times New Roman" w:eastAsia="Calibri" w:hAnsi="Times New Roman" w:cs="Times New Roman"/>
                <w:sz w:val="16"/>
                <w:szCs w:val="13"/>
                <w:lang w:val="ro-RO"/>
              </w:rPr>
            </w:pPr>
          </w:p>
        </w:tc>
        <w:tc>
          <w:tcPr>
            <w:tcW w:w="536" w:type="pct"/>
            <w:vMerge/>
            <w:vAlign w:val="center"/>
          </w:tcPr>
          <w:p w14:paraId="1ADC840E" w14:textId="77777777" w:rsidR="00C62AAD" w:rsidRPr="009C5F11" w:rsidRDefault="00C62AAD" w:rsidP="00AB5A76">
            <w:pPr>
              <w:rPr>
                <w:rFonts w:ascii="Times New Roman" w:eastAsia="Calibri" w:hAnsi="Times New Roman" w:cs="Times New Roman"/>
                <w:sz w:val="16"/>
                <w:szCs w:val="13"/>
                <w:lang w:val="ro-RO"/>
              </w:rPr>
            </w:pPr>
          </w:p>
        </w:tc>
        <w:tc>
          <w:tcPr>
            <w:tcW w:w="834" w:type="pct"/>
            <w:vMerge/>
            <w:vAlign w:val="center"/>
          </w:tcPr>
          <w:p w14:paraId="18C2DE3C" w14:textId="77777777" w:rsidR="00C62AAD" w:rsidRPr="009C5F11" w:rsidRDefault="00C62AAD" w:rsidP="00AB5A76">
            <w:pPr>
              <w:spacing w:after="0" w:line="240" w:lineRule="auto"/>
              <w:rPr>
                <w:rFonts w:ascii="Times New Roman" w:eastAsia="Calibri" w:hAnsi="Times New Roman" w:cs="Times New Roman"/>
                <w:sz w:val="16"/>
                <w:szCs w:val="13"/>
                <w:lang w:val="ro-RO"/>
              </w:rPr>
            </w:pPr>
          </w:p>
        </w:tc>
        <w:tc>
          <w:tcPr>
            <w:tcW w:w="1318" w:type="pct"/>
            <w:vAlign w:val="center"/>
          </w:tcPr>
          <w:p w14:paraId="06D472C6" w14:textId="4A59BDE7" w:rsidR="00C62AAD" w:rsidRPr="009C5F11" w:rsidRDefault="00D772DC" w:rsidP="00B40DB5">
            <w:pPr>
              <w:spacing w:after="0" w:line="240" w:lineRule="auto"/>
              <w:rPr>
                <w:rFonts w:ascii="Times New Roman" w:eastAsia="Calibri" w:hAnsi="Times New Roman" w:cs="Times New Roman"/>
                <w:sz w:val="16"/>
                <w:szCs w:val="13"/>
                <w:lang w:val="ro-RO"/>
              </w:rPr>
            </w:pPr>
            <w:r>
              <w:rPr>
                <w:rFonts w:ascii="Times New Roman" w:eastAsia="Calibri" w:hAnsi="Times New Roman" w:cs="Times New Roman"/>
                <w:sz w:val="16"/>
                <w:szCs w:val="13"/>
                <w:lang w:val="ro-RO"/>
              </w:rPr>
              <w:t>Introducerea unui sistem de etichetare ecologică</w:t>
            </w:r>
            <w:r w:rsidR="00C62AAD" w:rsidRPr="009C5F11">
              <w:rPr>
                <w:rFonts w:ascii="Times New Roman" w:eastAsia="Calibri" w:hAnsi="Times New Roman" w:cs="Times New Roman"/>
                <w:sz w:val="16"/>
                <w:szCs w:val="13"/>
                <w:lang w:val="ro-RO"/>
              </w:rPr>
              <w:t>; 126,400 lei</w:t>
            </w:r>
          </w:p>
          <w:p w14:paraId="1F43DAA4" w14:textId="77777777" w:rsidR="00C62AAD" w:rsidRPr="009C5F11" w:rsidRDefault="00C62AAD" w:rsidP="00B40DB5">
            <w:pPr>
              <w:spacing w:after="0" w:line="240" w:lineRule="auto"/>
              <w:rPr>
                <w:rFonts w:ascii="Times New Roman" w:eastAsia="Calibri" w:hAnsi="Times New Roman" w:cs="Times New Roman"/>
                <w:sz w:val="16"/>
                <w:szCs w:val="13"/>
                <w:lang w:val="ro-RO"/>
              </w:rPr>
            </w:pPr>
          </w:p>
        </w:tc>
        <w:tc>
          <w:tcPr>
            <w:tcW w:w="1168" w:type="pct"/>
            <w:vAlign w:val="center"/>
          </w:tcPr>
          <w:p w14:paraId="09278EB6" w14:textId="17CA864D" w:rsidR="00C62AAD" w:rsidRPr="009C5F11" w:rsidRDefault="00C62AAD">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Bugetul de stat;</w:t>
            </w:r>
            <w:r w:rsidR="00C3037E">
              <w:rPr>
                <w:rFonts w:ascii="Times New Roman" w:eastAsia="Verdana" w:hAnsi="Times New Roman" w:cs="Times New Roman"/>
                <w:sz w:val="16"/>
                <w:szCs w:val="13"/>
                <w:lang w:val="ro-RO" w:eastAsia="de-DE"/>
              </w:rPr>
              <w:t xml:space="preserve"> </w:t>
            </w:r>
            <w:r w:rsidRPr="009C5F11">
              <w:rPr>
                <w:rFonts w:ascii="Times New Roman" w:eastAsia="Verdana" w:hAnsi="Times New Roman" w:cs="Times New Roman"/>
                <w:sz w:val="16"/>
                <w:szCs w:val="13"/>
                <w:lang w:val="ro-RO" w:eastAsia="de-DE"/>
              </w:rPr>
              <w:t>asistenta straina</w:t>
            </w:r>
          </w:p>
        </w:tc>
      </w:tr>
      <w:tr w:rsidR="00C62AAD" w:rsidRPr="009C5F11" w14:paraId="3119C558" w14:textId="77777777" w:rsidTr="002E306C">
        <w:trPr>
          <w:trHeight w:val="1063"/>
        </w:trPr>
        <w:tc>
          <w:tcPr>
            <w:tcW w:w="339" w:type="pct"/>
            <w:vMerge/>
            <w:vAlign w:val="center"/>
          </w:tcPr>
          <w:p w14:paraId="3F217945" w14:textId="77777777" w:rsidR="00C62AAD" w:rsidRPr="009C5F11" w:rsidRDefault="00C62AAD" w:rsidP="00AB5A76">
            <w:pPr>
              <w:rPr>
                <w:rFonts w:ascii="Times New Roman" w:hAnsi="Times New Roman" w:cs="Times New Roman"/>
                <w:sz w:val="16"/>
                <w:szCs w:val="13"/>
                <w:lang w:val="ro-RO" w:eastAsia="de-DE"/>
              </w:rPr>
            </w:pPr>
          </w:p>
        </w:tc>
        <w:tc>
          <w:tcPr>
            <w:tcW w:w="804" w:type="pct"/>
            <w:vMerge/>
            <w:vAlign w:val="center"/>
          </w:tcPr>
          <w:p w14:paraId="0236137A" w14:textId="77777777" w:rsidR="00C62AAD" w:rsidRPr="009C5F11" w:rsidRDefault="00C62AAD" w:rsidP="00AB5A76">
            <w:pPr>
              <w:spacing w:after="0" w:line="240" w:lineRule="auto"/>
              <w:rPr>
                <w:rFonts w:ascii="Times New Roman" w:eastAsia="Calibri" w:hAnsi="Times New Roman" w:cs="Times New Roman"/>
                <w:sz w:val="16"/>
                <w:szCs w:val="13"/>
                <w:lang w:val="ro-RO"/>
              </w:rPr>
            </w:pPr>
          </w:p>
        </w:tc>
        <w:tc>
          <w:tcPr>
            <w:tcW w:w="536" w:type="pct"/>
            <w:vMerge/>
            <w:vAlign w:val="center"/>
          </w:tcPr>
          <w:p w14:paraId="6F95E6C4" w14:textId="77777777" w:rsidR="00C62AAD" w:rsidRPr="009C5F11" w:rsidRDefault="00C62AAD" w:rsidP="00AB5A76">
            <w:pPr>
              <w:rPr>
                <w:rFonts w:ascii="Times New Roman" w:eastAsia="Calibri" w:hAnsi="Times New Roman" w:cs="Times New Roman"/>
                <w:sz w:val="16"/>
                <w:szCs w:val="13"/>
                <w:lang w:val="ro-RO"/>
              </w:rPr>
            </w:pPr>
          </w:p>
        </w:tc>
        <w:tc>
          <w:tcPr>
            <w:tcW w:w="834" w:type="pct"/>
            <w:vMerge/>
            <w:vAlign w:val="center"/>
          </w:tcPr>
          <w:p w14:paraId="64C2D6ED" w14:textId="77777777" w:rsidR="00C62AAD" w:rsidRPr="009C5F11" w:rsidRDefault="00C62AAD" w:rsidP="00AB5A76">
            <w:pPr>
              <w:spacing w:after="0" w:line="240" w:lineRule="auto"/>
              <w:rPr>
                <w:rFonts w:ascii="Times New Roman" w:eastAsia="Calibri" w:hAnsi="Times New Roman" w:cs="Times New Roman"/>
                <w:sz w:val="16"/>
                <w:szCs w:val="13"/>
                <w:lang w:val="ro-RO"/>
              </w:rPr>
            </w:pPr>
          </w:p>
        </w:tc>
        <w:tc>
          <w:tcPr>
            <w:tcW w:w="1318" w:type="pct"/>
            <w:vAlign w:val="center"/>
          </w:tcPr>
          <w:p w14:paraId="03323E36" w14:textId="77777777" w:rsidR="00DB603C" w:rsidRPr="002E306C" w:rsidRDefault="00D772DC" w:rsidP="00DB603C">
            <w:pPr>
              <w:pStyle w:val="PreformatatHTML"/>
              <w:shd w:val="clear" w:color="auto" w:fill="FFFFFF"/>
              <w:rPr>
                <w:rFonts w:ascii="Times New Roman" w:hAnsi="Times New Roman" w:cs="Times New Roman"/>
                <w:color w:val="212121"/>
              </w:rPr>
            </w:pPr>
            <w:r w:rsidRPr="00DB603C">
              <w:rPr>
                <w:rFonts w:ascii="Times New Roman" w:eastAsia="Calibri" w:hAnsi="Times New Roman" w:cs="Times New Roman"/>
                <w:sz w:val="16"/>
                <w:szCs w:val="13"/>
                <w:lang w:val="ro-RO"/>
              </w:rPr>
              <w:t>Revizuirea instr</w:t>
            </w:r>
            <w:r w:rsidR="00DB603C" w:rsidRPr="00DB603C">
              <w:rPr>
                <w:rFonts w:ascii="Times New Roman" w:eastAsia="Calibri" w:hAnsi="Times New Roman" w:cs="Times New Roman"/>
                <w:sz w:val="16"/>
                <w:szCs w:val="13"/>
                <w:lang w:val="ro-RO"/>
              </w:rPr>
              <w:t xml:space="preserve">umentelor economice, </w:t>
            </w:r>
            <w:r w:rsidRPr="00DB603C">
              <w:rPr>
                <w:rFonts w:ascii="Times New Roman" w:eastAsia="Calibri" w:hAnsi="Times New Roman" w:cs="Times New Roman"/>
                <w:sz w:val="16"/>
                <w:szCs w:val="13"/>
                <w:lang w:val="ro-RO"/>
              </w:rPr>
              <w:t xml:space="preserve">fiscale </w:t>
            </w:r>
            <w:r w:rsidR="00DB603C" w:rsidRPr="00DB603C">
              <w:rPr>
                <w:rFonts w:ascii="Times New Roman" w:eastAsia="Calibri" w:hAnsi="Times New Roman" w:cs="Times New Roman"/>
                <w:sz w:val="16"/>
                <w:szCs w:val="13"/>
                <w:lang w:val="ro-RO"/>
              </w:rPr>
              <w:t xml:space="preserve">și </w:t>
            </w:r>
            <w:r w:rsidRPr="00DB603C">
              <w:rPr>
                <w:rFonts w:ascii="Times New Roman" w:eastAsia="Calibri" w:hAnsi="Times New Roman" w:cs="Times New Roman"/>
                <w:sz w:val="16"/>
                <w:szCs w:val="13"/>
                <w:lang w:val="ro-RO"/>
              </w:rPr>
              <w:t xml:space="preserve">de mediu </w:t>
            </w:r>
            <w:r w:rsidR="00DB603C" w:rsidRPr="00DB603C">
              <w:rPr>
                <w:rFonts w:ascii="Times New Roman" w:eastAsia="Calibri" w:hAnsi="Times New Roman" w:cs="Times New Roman"/>
                <w:sz w:val="16"/>
                <w:szCs w:val="13"/>
                <w:lang w:val="ro-RO"/>
              </w:rPr>
              <w:t xml:space="preserve">și </w:t>
            </w:r>
            <w:r w:rsidR="00DB603C" w:rsidRPr="002E306C">
              <w:rPr>
                <w:rFonts w:ascii="Times New Roman" w:hAnsi="Times New Roman" w:cs="Times New Roman"/>
                <w:color w:val="212121"/>
                <w:sz w:val="16"/>
                <w:szCs w:val="16"/>
                <w:lang w:val="ro-RO"/>
              </w:rPr>
              <w:t xml:space="preserve">promovarea unor noi instrumente , </w:t>
            </w:r>
            <w:r w:rsidR="00DB603C" w:rsidRPr="002E306C">
              <w:rPr>
                <w:rFonts w:ascii="Times New Roman" w:hAnsi="Times New Roman" w:cs="Times New Roman" w:hint="eastAsia"/>
                <w:color w:val="212121"/>
                <w:sz w:val="16"/>
                <w:szCs w:val="16"/>
                <w:lang w:val="ro-RO"/>
              </w:rPr>
              <w:t>î</w:t>
            </w:r>
            <w:r w:rsidR="00DB603C" w:rsidRPr="002E306C">
              <w:rPr>
                <w:rFonts w:ascii="Times New Roman" w:hAnsi="Times New Roman" w:cs="Times New Roman"/>
                <w:color w:val="212121"/>
                <w:sz w:val="16"/>
                <w:szCs w:val="16"/>
                <w:lang w:val="ro-RO"/>
              </w:rPr>
              <w:t>n conformitate cu practicile UE</w:t>
            </w:r>
          </w:p>
          <w:p w14:paraId="21BC3E42" w14:textId="72D96FF5" w:rsidR="00C62AAD" w:rsidRPr="009C5F11" w:rsidRDefault="00C62AAD" w:rsidP="00DB603C">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w:t>
            </w:r>
          </w:p>
          <w:p w14:paraId="4DAD1CA1" w14:textId="77777777" w:rsidR="00C62AAD" w:rsidRPr="009C5F11" w:rsidRDefault="00C62AAD" w:rsidP="00B40DB5">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500,000 lei</w:t>
            </w:r>
          </w:p>
        </w:tc>
        <w:tc>
          <w:tcPr>
            <w:tcW w:w="1168" w:type="pct"/>
            <w:vAlign w:val="center"/>
          </w:tcPr>
          <w:p w14:paraId="05301E3D" w14:textId="77777777" w:rsidR="00C62AAD" w:rsidRPr="009C5F11" w:rsidRDefault="00C62AAD">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Bugetul de stat;</w:t>
            </w:r>
          </w:p>
          <w:p w14:paraId="2204C428" w14:textId="77777777" w:rsidR="00C62AAD" w:rsidRPr="009C5F11" w:rsidRDefault="00C62AAD">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Fondul Ecologic National;</w:t>
            </w:r>
          </w:p>
          <w:p w14:paraId="2BE5FCA3" w14:textId="77777777" w:rsidR="00C62AAD" w:rsidRPr="009C5F11" w:rsidRDefault="00C62AAD">
            <w:pPr>
              <w:tabs>
                <w:tab w:val="left" w:pos="1440"/>
                <w:tab w:val="left" w:pos="5040"/>
                <w:tab w:val="right" w:pos="8504"/>
              </w:tabs>
              <w:spacing w:before="40" w:after="0" w:line="240" w:lineRule="auto"/>
              <w:jc w:val="both"/>
              <w:rPr>
                <w:rFonts w:ascii="Times New Roman" w:eastAsia="Verdana" w:hAnsi="Times New Roman" w:cs="Times New Roman"/>
                <w:sz w:val="16"/>
                <w:szCs w:val="13"/>
                <w:lang w:val="ro-RO" w:eastAsia="de-DE"/>
              </w:rPr>
            </w:pPr>
            <w:r w:rsidRPr="009C5F11">
              <w:rPr>
                <w:rFonts w:ascii="Times New Roman" w:eastAsia="Verdana" w:hAnsi="Times New Roman" w:cs="Times New Roman"/>
                <w:sz w:val="16"/>
                <w:szCs w:val="13"/>
                <w:lang w:val="ro-RO" w:eastAsia="de-DE"/>
              </w:rPr>
              <w:t>Asistenta straina</w:t>
            </w:r>
          </w:p>
        </w:tc>
      </w:tr>
      <w:tr w:rsidR="00E02D83" w:rsidRPr="009C5F11" w14:paraId="40D20B3A" w14:textId="77777777" w:rsidTr="002E306C">
        <w:tc>
          <w:tcPr>
            <w:tcW w:w="339" w:type="pct"/>
            <w:vAlign w:val="center"/>
          </w:tcPr>
          <w:p w14:paraId="44B4896D" w14:textId="77777777" w:rsidR="00D91ABB" w:rsidRPr="009C5F11" w:rsidRDefault="00D91ABB" w:rsidP="00AB5A76">
            <w:pPr>
              <w:rPr>
                <w:rFonts w:ascii="Times New Roman" w:hAnsi="Times New Roman" w:cs="Times New Roman"/>
                <w:sz w:val="16"/>
                <w:szCs w:val="13"/>
                <w:lang w:val="ro-RO" w:eastAsia="de-DE"/>
              </w:rPr>
            </w:pPr>
            <w:r w:rsidRPr="009C5F11">
              <w:rPr>
                <w:rFonts w:ascii="Times New Roman" w:hAnsi="Times New Roman" w:cs="Times New Roman"/>
                <w:sz w:val="16"/>
                <w:szCs w:val="13"/>
                <w:lang w:val="ro-RO" w:eastAsia="de-DE"/>
              </w:rPr>
              <w:t>H.7</w:t>
            </w:r>
          </w:p>
        </w:tc>
        <w:tc>
          <w:tcPr>
            <w:tcW w:w="804" w:type="pct"/>
            <w:vAlign w:val="center"/>
          </w:tcPr>
          <w:p w14:paraId="5D08E6E0" w14:textId="77777777" w:rsidR="00D91ABB" w:rsidRPr="009C5F11" w:rsidRDefault="00AA45D2" w:rsidP="00AB5A76">
            <w:pPr>
              <w:spacing w:after="0" w:line="240" w:lineRule="auto"/>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Instruire şi formare</w:t>
            </w:r>
            <w:r w:rsidR="00D91ABB" w:rsidRPr="009C5F11">
              <w:rPr>
                <w:rFonts w:ascii="Times New Roman" w:eastAsia="Calibri" w:hAnsi="Times New Roman" w:cs="Times New Roman"/>
                <w:sz w:val="16"/>
                <w:szCs w:val="13"/>
                <w:lang w:val="ro-RO"/>
              </w:rPr>
              <w:t xml:space="preserve">, </w:t>
            </w:r>
            <w:r w:rsidR="00AB1710" w:rsidRPr="009C5F11">
              <w:rPr>
                <w:rFonts w:ascii="Times New Roman" w:eastAsia="Calibri" w:hAnsi="Times New Roman" w:cs="Times New Roman"/>
                <w:sz w:val="16"/>
                <w:szCs w:val="13"/>
                <w:lang w:val="ro-RO"/>
              </w:rPr>
              <w:t>inclusiv</w:t>
            </w:r>
            <w:r w:rsidR="00D91ABB"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programe de consultanţă în domeniul energetic</w:t>
            </w:r>
            <w:r w:rsidR="00D91ABB" w:rsidRPr="009C5F11">
              <w:rPr>
                <w:rFonts w:ascii="Times New Roman" w:eastAsia="Calibri" w:hAnsi="Times New Roman" w:cs="Times New Roman"/>
                <w:sz w:val="16"/>
                <w:szCs w:val="13"/>
                <w:lang w:val="ro-RO"/>
              </w:rPr>
              <w:t xml:space="preserve">, </w:t>
            </w:r>
            <w:r w:rsidRPr="009C5F11">
              <w:rPr>
                <w:rFonts w:ascii="Times New Roman" w:eastAsia="Calibri" w:hAnsi="Times New Roman" w:cs="Times New Roman"/>
                <w:sz w:val="16"/>
                <w:szCs w:val="13"/>
                <w:lang w:val="ro-RO"/>
              </w:rPr>
              <w:t>care conduc la aplicarea tehnologiei sau tehnicilor eficiente din punct de vedere energetic</w:t>
            </w:r>
            <w:r w:rsidR="00321CD5" w:rsidRPr="009C5F11">
              <w:rPr>
                <w:rFonts w:ascii="Times New Roman" w:eastAsia="Calibri" w:hAnsi="Times New Roman" w:cs="Times New Roman"/>
                <w:sz w:val="16"/>
                <w:szCs w:val="13"/>
                <w:lang w:val="ro-RO"/>
              </w:rPr>
              <w:t xml:space="preserve"> şi </w:t>
            </w:r>
            <w:r w:rsidRPr="009C5F11">
              <w:rPr>
                <w:rFonts w:ascii="Times New Roman" w:eastAsia="Calibri" w:hAnsi="Times New Roman" w:cs="Times New Roman"/>
                <w:sz w:val="16"/>
                <w:szCs w:val="13"/>
                <w:lang w:val="ro-RO"/>
              </w:rPr>
              <w:t>au efectul de reducere a consumului de energie la utilizatorii finali</w:t>
            </w:r>
            <w:r w:rsidR="00D91ABB" w:rsidRPr="009C5F11">
              <w:rPr>
                <w:rFonts w:ascii="Times New Roman" w:eastAsia="Calibri" w:hAnsi="Times New Roman" w:cs="Times New Roman"/>
                <w:sz w:val="16"/>
                <w:szCs w:val="13"/>
                <w:lang w:val="ro-RO"/>
              </w:rPr>
              <w:t>.</w:t>
            </w:r>
          </w:p>
        </w:tc>
        <w:tc>
          <w:tcPr>
            <w:tcW w:w="536" w:type="pct"/>
            <w:vAlign w:val="center"/>
          </w:tcPr>
          <w:p w14:paraId="398DF5C5" w14:textId="77777777" w:rsidR="00D91ABB" w:rsidRPr="009C5F11" w:rsidRDefault="000D2EDD"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N/A</w:t>
            </w:r>
          </w:p>
        </w:tc>
        <w:tc>
          <w:tcPr>
            <w:tcW w:w="834" w:type="pct"/>
            <w:vAlign w:val="center"/>
          </w:tcPr>
          <w:p w14:paraId="161A4A9B" w14:textId="77777777" w:rsidR="00D91ABB" w:rsidRPr="009C5F11" w:rsidRDefault="00AA0566"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Autorităţile publice</w:t>
            </w:r>
          </w:p>
          <w:p w14:paraId="09ACCD17" w14:textId="77777777" w:rsidR="00D91ABB" w:rsidRPr="009C5F11" w:rsidRDefault="00AA0566"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AEE</w:t>
            </w:r>
          </w:p>
        </w:tc>
        <w:tc>
          <w:tcPr>
            <w:tcW w:w="1318" w:type="pct"/>
            <w:vAlign w:val="center"/>
          </w:tcPr>
          <w:p w14:paraId="4544A859" w14:textId="77777777" w:rsidR="00D91ABB" w:rsidRPr="009C5F11" w:rsidRDefault="00534A4C" w:rsidP="00AB5A76">
            <w:pPr>
              <w:rPr>
                <w:rFonts w:ascii="Times New Roman" w:eastAsia="Calibri" w:hAnsi="Times New Roman" w:cs="Times New Roman"/>
                <w:sz w:val="16"/>
                <w:szCs w:val="13"/>
                <w:lang w:val="ro-RO"/>
              </w:rPr>
            </w:pPr>
            <w:r w:rsidRPr="009C5F11">
              <w:rPr>
                <w:rFonts w:ascii="Times New Roman" w:eastAsia="Calibri" w:hAnsi="Times New Roman" w:cs="Times New Roman"/>
                <w:sz w:val="16"/>
                <w:szCs w:val="13"/>
                <w:lang w:val="ro-RO"/>
              </w:rPr>
              <w:t>N</w:t>
            </w:r>
            <w:r w:rsidR="00C62AAD" w:rsidRPr="009C5F11">
              <w:rPr>
                <w:rFonts w:ascii="Times New Roman" w:eastAsia="Calibri" w:hAnsi="Times New Roman" w:cs="Times New Roman"/>
                <w:sz w:val="16"/>
                <w:szCs w:val="13"/>
                <w:lang w:val="ro-RO"/>
              </w:rPr>
              <w:t>/A</w:t>
            </w:r>
          </w:p>
        </w:tc>
        <w:tc>
          <w:tcPr>
            <w:tcW w:w="1168" w:type="pct"/>
            <w:vAlign w:val="center"/>
          </w:tcPr>
          <w:p w14:paraId="75FB32A0" w14:textId="77777777" w:rsidR="00D91ABB" w:rsidRPr="009C5F11" w:rsidRDefault="00AA45D2" w:rsidP="00B40DB5">
            <w:pPr>
              <w:tabs>
                <w:tab w:val="left" w:pos="1440"/>
                <w:tab w:val="left" w:pos="5040"/>
                <w:tab w:val="right" w:pos="8504"/>
              </w:tabs>
              <w:spacing w:before="40" w:after="0" w:line="240" w:lineRule="auto"/>
              <w:rPr>
                <w:rFonts w:ascii="Times New Roman" w:eastAsia="Calibri" w:hAnsi="Times New Roman" w:cs="Times New Roman"/>
                <w:sz w:val="16"/>
                <w:szCs w:val="13"/>
                <w:lang w:val="ro-RO"/>
              </w:rPr>
            </w:pPr>
            <w:r w:rsidRPr="009C5F11">
              <w:rPr>
                <w:rFonts w:ascii="Times New Roman" w:eastAsia="Verdana" w:hAnsi="Times New Roman" w:cs="Times New Roman"/>
                <w:sz w:val="16"/>
                <w:szCs w:val="13"/>
                <w:lang w:val="ro-RO" w:eastAsia="de-DE"/>
              </w:rPr>
              <w:t>Fonduri atrase de la donatori şi livrabile specifice în cadrul proiectelor în curs de elaborare</w:t>
            </w:r>
            <w:r w:rsidR="00D91ABB" w:rsidRPr="009C5F11">
              <w:rPr>
                <w:rFonts w:ascii="Times New Roman" w:eastAsia="Verdana" w:hAnsi="Times New Roman" w:cs="Times New Roman"/>
                <w:sz w:val="16"/>
                <w:szCs w:val="13"/>
                <w:lang w:val="ro-RO" w:eastAsia="de-DE"/>
              </w:rPr>
              <w:t>.</w:t>
            </w:r>
          </w:p>
        </w:tc>
      </w:tr>
    </w:tbl>
    <w:p w14:paraId="55058783" w14:textId="77777777" w:rsidR="009F3E34" w:rsidRPr="009C5F11" w:rsidRDefault="009F3E34" w:rsidP="0017785F">
      <w:pPr>
        <w:widowControl w:val="0"/>
        <w:tabs>
          <w:tab w:val="left" w:pos="220"/>
          <w:tab w:val="left" w:pos="993"/>
        </w:tabs>
        <w:autoSpaceDE w:val="0"/>
        <w:autoSpaceDN w:val="0"/>
        <w:adjustRightInd w:val="0"/>
        <w:spacing w:before="120" w:after="120" w:line="240" w:lineRule="auto"/>
        <w:jc w:val="both"/>
        <w:rPr>
          <w:rFonts w:ascii="Times New Roman" w:eastAsia="Calibri" w:hAnsi="Times New Roman" w:cs="Times New Roman"/>
          <w:sz w:val="24"/>
          <w:lang w:val="ro-RO"/>
        </w:rPr>
      </w:pPr>
    </w:p>
    <w:p w14:paraId="502C8574" w14:textId="77777777" w:rsidR="00B328E3" w:rsidRPr="009C5F11" w:rsidRDefault="00B328E3" w:rsidP="0017785F">
      <w:pPr>
        <w:spacing w:before="120" w:after="120" w:line="240" w:lineRule="auto"/>
        <w:rPr>
          <w:rFonts w:ascii="Times New Roman" w:eastAsia="Times New Roman" w:hAnsi="Times New Roman" w:cs="Times New Roman"/>
          <w:sz w:val="24"/>
          <w:lang w:val="ro-RO"/>
        </w:rPr>
        <w:sectPr w:rsidR="00B328E3" w:rsidRPr="009C5F11" w:rsidSect="009C5F11">
          <w:footerReference w:type="default" r:id="rId10"/>
          <w:pgSz w:w="11907" w:h="16839" w:code="9"/>
          <w:pgMar w:top="819" w:right="936" w:bottom="1588" w:left="1446" w:header="567" w:footer="371" w:gutter="0"/>
          <w:cols w:space="720"/>
          <w:docGrid w:linePitch="272"/>
        </w:sectPr>
      </w:pPr>
    </w:p>
    <w:p w14:paraId="57089D50" w14:textId="77777777" w:rsidR="00B328E3" w:rsidRPr="00D9464A" w:rsidRDefault="00B328E3" w:rsidP="006A114F">
      <w:pPr>
        <w:pStyle w:val="Titlu1"/>
        <w:rPr>
          <w:rFonts w:ascii="Times New Roman" w:hAnsi="Times New Roman" w:cs="Times New Roman"/>
          <w:noProof w:val="0"/>
          <w:color w:val="000000" w:themeColor="text1"/>
          <w:lang w:val="ro-RO"/>
        </w:rPr>
      </w:pPr>
      <w:bookmarkStart w:id="8" w:name="_Toc319555369"/>
      <w:bookmarkStart w:id="9" w:name="_Toc322013135"/>
      <w:r w:rsidRPr="00D9464A">
        <w:rPr>
          <w:rFonts w:ascii="Times New Roman" w:hAnsi="Times New Roman" w:cs="Times New Roman"/>
          <w:noProof w:val="0"/>
          <w:color w:val="000000" w:themeColor="text1"/>
          <w:lang w:val="ro-RO"/>
        </w:rPr>
        <w:lastRenderedPageBreak/>
        <w:t>INTRODUC</w:t>
      </w:r>
      <w:r w:rsidR="00AA0566" w:rsidRPr="00D9464A">
        <w:rPr>
          <w:rFonts w:ascii="Times New Roman" w:hAnsi="Times New Roman" w:cs="Times New Roman"/>
          <w:noProof w:val="0"/>
          <w:color w:val="000000" w:themeColor="text1"/>
          <w:lang w:val="ro-RO"/>
        </w:rPr>
        <w:t>ERE</w:t>
      </w:r>
      <w:bookmarkEnd w:id="8"/>
      <w:bookmarkEnd w:id="9"/>
    </w:p>
    <w:p w14:paraId="0087EEAB" w14:textId="77777777" w:rsidR="00746421" w:rsidRPr="00D9464A" w:rsidRDefault="00421FA7" w:rsidP="006A114F">
      <w:pPr>
        <w:pStyle w:val="Titlu2"/>
        <w:rPr>
          <w:rFonts w:ascii="Times New Roman" w:hAnsi="Times New Roman" w:cs="Times New Roman"/>
          <w:color w:val="000000" w:themeColor="text1"/>
          <w:sz w:val="28"/>
          <w:lang w:val="ro-RO"/>
        </w:rPr>
      </w:pPr>
      <w:bookmarkStart w:id="10" w:name="_Toc322013136"/>
      <w:bookmarkStart w:id="11" w:name="_Toc319555370"/>
      <w:r w:rsidRPr="00D9464A">
        <w:rPr>
          <w:rFonts w:ascii="Times New Roman" w:hAnsi="Times New Roman" w:cs="Times New Roman"/>
          <w:color w:val="000000" w:themeColor="text1"/>
          <w:sz w:val="28"/>
          <w:lang w:val="ro-RO"/>
        </w:rPr>
        <w:t xml:space="preserve">Contextul politicii naţionale </w:t>
      </w:r>
      <w:r w:rsidR="00622BC8" w:rsidRPr="00D9464A">
        <w:rPr>
          <w:rFonts w:ascii="Times New Roman" w:hAnsi="Times New Roman" w:cs="Times New Roman"/>
          <w:color w:val="000000" w:themeColor="text1"/>
          <w:sz w:val="28"/>
          <w:lang w:val="ro-RO"/>
        </w:rPr>
        <w:t>în domeniul</w:t>
      </w:r>
      <w:r w:rsidRPr="00D9464A">
        <w:rPr>
          <w:rFonts w:ascii="Times New Roman" w:hAnsi="Times New Roman" w:cs="Times New Roman"/>
          <w:color w:val="000000" w:themeColor="text1"/>
          <w:sz w:val="28"/>
          <w:lang w:val="ro-RO"/>
        </w:rPr>
        <w:t xml:space="preserve"> eficienţ</w:t>
      </w:r>
      <w:r w:rsidR="00622BC8" w:rsidRPr="00D9464A">
        <w:rPr>
          <w:rFonts w:ascii="Times New Roman" w:hAnsi="Times New Roman" w:cs="Times New Roman"/>
          <w:color w:val="000000" w:themeColor="text1"/>
          <w:sz w:val="28"/>
          <w:lang w:val="ro-RO"/>
        </w:rPr>
        <w:t>ei</w:t>
      </w:r>
      <w:r w:rsidRPr="00D9464A">
        <w:rPr>
          <w:rFonts w:ascii="Times New Roman" w:hAnsi="Times New Roman" w:cs="Times New Roman"/>
          <w:color w:val="000000" w:themeColor="text1"/>
          <w:sz w:val="28"/>
          <w:lang w:val="ro-RO"/>
        </w:rPr>
        <w:t xml:space="preserve"> energetic</w:t>
      </w:r>
      <w:r w:rsidR="00622BC8" w:rsidRPr="00D9464A">
        <w:rPr>
          <w:rFonts w:ascii="Times New Roman" w:hAnsi="Times New Roman" w:cs="Times New Roman"/>
          <w:color w:val="000000" w:themeColor="text1"/>
          <w:sz w:val="28"/>
          <w:lang w:val="ro-RO"/>
        </w:rPr>
        <w:t>e</w:t>
      </w:r>
      <w:bookmarkEnd w:id="10"/>
      <w:r w:rsidRPr="00D9464A">
        <w:rPr>
          <w:rFonts w:ascii="Times New Roman" w:hAnsi="Times New Roman" w:cs="Times New Roman"/>
          <w:color w:val="000000" w:themeColor="text1"/>
          <w:sz w:val="28"/>
          <w:lang w:val="ro-RO"/>
        </w:rPr>
        <w:t xml:space="preserve"> </w:t>
      </w:r>
      <w:bookmarkEnd w:id="11"/>
    </w:p>
    <w:p w14:paraId="3C2228D3" w14:textId="33992E66" w:rsidR="002141C6" w:rsidRPr="009C5F11" w:rsidRDefault="00622BC8" w:rsidP="00087B37">
      <w:pPr>
        <w:pStyle w:val="Listparagraf"/>
        <w:numPr>
          <w:ilvl w:val="0"/>
          <w:numId w:val="210"/>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 xml:space="preserve">O trăsătură caracteristică </w:t>
      </w:r>
      <w:r w:rsidR="00421FA7" w:rsidRPr="009C5F11">
        <w:rPr>
          <w:rFonts w:ascii="Times New Roman" w:hAnsi="Times New Roman" w:cs="Times New Roman"/>
          <w:sz w:val="24"/>
          <w:lang w:val="ro-RO"/>
        </w:rPr>
        <w:t>sectorul</w:t>
      </w:r>
      <w:r w:rsidRPr="009C5F11">
        <w:rPr>
          <w:rFonts w:ascii="Times New Roman" w:hAnsi="Times New Roman" w:cs="Times New Roman"/>
          <w:sz w:val="24"/>
          <w:lang w:val="ro-RO"/>
        </w:rPr>
        <w:t>ui</w:t>
      </w:r>
      <w:r w:rsidR="00421FA7" w:rsidRPr="009C5F11">
        <w:rPr>
          <w:rFonts w:ascii="Times New Roman" w:hAnsi="Times New Roman" w:cs="Times New Roman"/>
          <w:sz w:val="24"/>
          <w:lang w:val="ro-RO"/>
        </w:rPr>
        <w:t xml:space="preserve"> energetic</w:t>
      </w:r>
      <w:r w:rsidR="0074642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al Republicii Moldova este achiziţionarea unor volume semnificative de energie din import, practic dintr-o singură sursă şi fără a apela la diversificarea </w:t>
      </w:r>
      <w:r w:rsidR="00697BFB" w:rsidRPr="009C5F11">
        <w:rPr>
          <w:rFonts w:ascii="Times New Roman" w:hAnsi="Times New Roman" w:cs="Times New Roman"/>
          <w:sz w:val="24"/>
          <w:lang w:val="ro-RO"/>
        </w:rPr>
        <w:t>căilor de aprovizionare</w:t>
      </w:r>
      <w:r w:rsidR="00746421" w:rsidRPr="009C5F11">
        <w:rPr>
          <w:rFonts w:ascii="Times New Roman" w:hAnsi="Times New Roman" w:cs="Times New Roman"/>
          <w:sz w:val="24"/>
          <w:lang w:val="ro-RO"/>
        </w:rPr>
        <w:t xml:space="preserve">. </w:t>
      </w:r>
      <w:r w:rsidR="00E67564" w:rsidRPr="009C5F11">
        <w:rPr>
          <w:rFonts w:ascii="Times New Roman" w:hAnsi="Times New Roman" w:cs="Times New Roman"/>
          <w:sz w:val="24"/>
          <w:lang w:val="ro-RO"/>
        </w:rPr>
        <w:t xml:space="preserve">Din cauza consumului energetic relativ redus al ţării şi a resurselor interne limitate de energie, </w:t>
      </w:r>
      <w:r w:rsidR="00724085" w:rsidRPr="009C5F11">
        <w:rPr>
          <w:rFonts w:ascii="Times New Roman" w:hAnsi="Times New Roman" w:cs="Times New Roman"/>
          <w:sz w:val="24"/>
          <w:lang w:val="ro-RO"/>
        </w:rPr>
        <w:t xml:space="preserve">până în prezent nu a fost dezvoltată intens </w:t>
      </w:r>
      <w:r w:rsidR="00E67564" w:rsidRPr="009C5F11">
        <w:rPr>
          <w:rFonts w:ascii="Times New Roman" w:hAnsi="Times New Roman" w:cs="Times New Roman"/>
          <w:sz w:val="24"/>
          <w:lang w:val="ro-RO"/>
        </w:rPr>
        <w:t xml:space="preserve">activitatea de transformare energetică. În plus, construcţia unor centrale electrice mari care să sporească rolul transformării în balanţa energetică a ţării este puţin probabilă în următorii ani, deoarece pentru </w:t>
      </w:r>
      <w:r w:rsidR="00724085" w:rsidRPr="009C5F11">
        <w:rPr>
          <w:rFonts w:ascii="Times New Roman" w:hAnsi="Times New Roman" w:cs="Times New Roman"/>
          <w:sz w:val="24"/>
          <w:lang w:val="ro-RO"/>
        </w:rPr>
        <w:t>Republica Moldova</w:t>
      </w:r>
      <w:r w:rsidR="00E67564" w:rsidRPr="009C5F11">
        <w:rPr>
          <w:rFonts w:ascii="Times New Roman" w:hAnsi="Times New Roman" w:cs="Times New Roman"/>
          <w:sz w:val="24"/>
          <w:lang w:val="ro-RO"/>
        </w:rPr>
        <w:t xml:space="preserve"> este mai eficient să achiziţioneze</w:t>
      </w:r>
      <w:r w:rsidR="00697BFB" w:rsidRPr="009C5F11">
        <w:rPr>
          <w:rFonts w:ascii="Times New Roman" w:hAnsi="Times New Roman" w:cs="Times New Roman"/>
          <w:sz w:val="24"/>
          <w:lang w:val="ro-RO"/>
        </w:rPr>
        <w:t xml:space="preserve"> concurenţial</w:t>
      </w:r>
      <w:r w:rsidR="00E67564" w:rsidRPr="009C5F11">
        <w:rPr>
          <w:rFonts w:ascii="Times New Roman" w:hAnsi="Times New Roman" w:cs="Times New Roman"/>
          <w:sz w:val="24"/>
          <w:lang w:val="ro-RO"/>
        </w:rPr>
        <w:t xml:space="preserve"> energie electrică din ţările vecine, beneficiind în acest mod de anumite avantaje </w:t>
      </w:r>
      <w:r w:rsidR="00724085" w:rsidRPr="009C5F11">
        <w:rPr>
          <w:rFonts w:ascii="Times New Roman" w:hAnsi="Times New Roman" w:cs="Times New Roman"/>
          <w:sz w:val="24"/>
          <w:lang w:val="ro-RO"/>
        </w:rPr>
        <w:t>prin</w:t>
      </w:r>
      <w:r w:rsidR="00E67564" w:rsidRPr="009C5F11">
        <w:rPr>
          <w:rFonts w:ascii="Times New Roman" w:hAnsi="Times New Roman" w:cs="Times New Roman"/>
          <w:sz w:val="24"/>
          <w:lang w:val="ro-RO"/>
        </w:rPr>
        <w:t xml:space="preserve"> participarea la piaţa mai mare a Comunităţii Energetice.</w:t>
      </w:r>
    </w:p>
    <w:p w14:paraId="595272E8" w14:textId="77777777" w:rsidR="002141C6" w:rsidRPr="009C5F11" w:rsidRDefault="00E67564"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 xml:space="preserve">În ceea ce priveşte economiile de energie, aceste realităţi au condus la conştientizarea faptului că majoritatea economiilor de energie pot fi obţinute din consumul final. Dat fiind faptul că sectorul de transformare aproape lipseşte, Republica Moldova a stabilit obiectivul său pe anul 2020 în </w:t>
      </w:r>
      <w:r w:rsidR="00724085" w:rsidRPr="009C5F11">
        <w:rPr>
          <w:rFonts w:ascii="Times New Roman" w:hAnsi="Times New Roman" w:cs="Times New Roman"/>
          <w:sz w:val="24"/>
          <w:lang w:val="ro-RO"/>
        </w:rPr>
        <w:t>termeni de</w:t>
      </w:r>
      <w:r w:rsidRPr="009C5F11">
        <w:rPr>
          <w:rFonts w:ascii="Times New Roman" w:hAnsi="Times New Roman" w:cs="Times New Roman"/>
          <w:sz w:val="24"/>
          <w:lang w:val="ro-RO"/>
        </w:rPr>
        <w:t xml:space="preserve"> consum final prin implementarea DSE, precum şi a Articolului 7 din DEE.</w:t>
      </w:r>
    </w:p>
    <w:p w14:paraId="2C3328B1" w14:textId="77777777" w:rsidR="002141C6" w:rsidRPr="009C5F11" w:rsidRDefault="00E67564"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 xml:space="preserve">Republica </w:t>
      </w:r>
      <w:r w:rsidR="00746421" w:rsidRPr="009C5F11">
        <w:rPr>
          <w:rFonts w:ascii="Times New Roman" w:hAnsi="Times New Roman" w:cs="Times New Roman"/>
          <w:sz w:val="24"/>
          <w:lang w:val="ro-RO"/>
        </w:rPr>
        <w:t xml:space="preserve">Moldova </w:t>
      </w:r>
      <w:r w:rsidRPr="009C5F11">
        <w:rPr>
          <w:rFonts w:ascii="Times New Roman" w:hAnsi="Times New Roman" w:cs="Times New Roman"/>
          <w:sz w:val="24"/>
          <w:lang w:val="ro-RO"/>
        </w:rPr>
        <w:t xml:space="preserve">a elaborat numeroase </w:t>
      </w:r>
      <w:r w:rsidR="00746421" w:rsidRPr="002E306C">
        <w:rPr>
          <w:rFonts w:ascii="Times New Roman" w:hAnsi="Times New Roman" w:cs="Times New Roman"/>
          <w:sz w:val="24"/>
          <w:lang w:val="ro-RO"/>
        </w:rPr>
        <w:t>strategi</w:t>
      </w:r>
      <w:r w:rsidRPr="002E306C">
        <w:rPr>
          <w:rFonts w:ascii="Times New Roman" w:hAnsi="Times New Roman" w:cs="Times New Roman"/>
          <w:sz w:val="24"/>
          <w:lang w:val="ro-RO"/>
        </w:rPr>
        <w:t>i</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globale în ceea ce priveşte energia</w:t>
      </w:r>
      <w:r w:rsidR="0074642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dezvoltarea naţională şi dezvoltarea regională durabilă</w:t>
      </w:r>
      <w:r w:rsidR="00746421" w:rsidRPr="009C5F11">
        <w:rPr>
          <w:rFonts w:ascii="Times New Roman" w:hAnsi="Times New Roman" w:cs="Times New Roman"/>
          <w:sz w:val="24"/>
          <w:lang w:val="ro-RO"/>
        </w:rPr>
        <w:t xml:space="preserve">, </w:t>
      </w:r>
      <w:r w:rsidR="00481AF0" w:rsidRPr="009C5F11">
        <w:rPr>
          <w:rFonts w:ascii="Times New Roman" w:hAnsi="Times New Roman" w:cs="Times New Roman"/>
          <w:sz w:val="24"/>
          <w:lang w:val="ro-RO"/>
        </w:rPr>
        <w:t>emisii reduse</w:t>
      </w:r>
      <w:r w:rsidR="00746421" w:rsidRPr="009C5F11">
        <w:rPr>
          <w:rFonts w:ascii="Times New Roman" w:hAnsi="Times New Roman" w:cs="Times New Roman"/>
          <w:sz w:val="24"/>
          <w:lang w:val="ro-RO"/>
        </w:rPr>
        <w:t xml:space="preserve">, </w:t>
      </w:r>
      <w:r w:rsidR="00481AF0" w:rsidRPr="009C5F11">
        <w:rPr>
          <w:rFonts w:ascii="Times New Roman" w:hAnsi="Times New Roman" w:cs="Times New Roman"/>
          <w:sz w:val="24"/>
          <w:lang w:val="ro-RO"/>
        </w:rPr>
        <w:t>adaptare la schimb</w:t>
      </w:r>
      <w:r w:rsidR="00C65958" w:rsidRPr="009C5F11">
        <w:rPr>
          <w:rFonts w:ascii="Times New Roman" w:hAnsi="Times New Roman" w:cs="Times New Roman"/>
          <w:sz w:val="24"/>
          <w:lang w:val="ro-RO"/>
        </w:rPr>
        <w:t>ă</w:t>
      </w:r>
      <w:r w:rsidR="00481AF0" w:rsidRPr="009C5F11">
        <w:rPr>
          <w:rFonts w:ascii="Times New Roman" w:hAnsi="Times New Roman" w:cs="Times New Roman"/>
          <w:sz w:val="24"/>
          <w:lang w:val="ro-RO"/>
        </w:rPr>
        <w:t xml:space="preserve">rile climatice, </w:t>
      </w:r>
      <w:r w:rsidRPr="009C5F11">
        <w:rPr>
          <w:rFonts w:ascii="Times New Roman" w:hAnsi="Times New Roman" w:cs="Times New Roman"/>
          <w:sz w:val="24"/>
          <w:lang w:val="ro-RO"/>
        </w:rPr>
        <w:t>mediu</w:t>
      </w:r>
      <w:r w:rsidR="00746421"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precum şi</w:t>
      </w:r>
      <w:r w:rsidR="0074642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strategii de dezvoltare </w:t>
      </w:r>
      <w:r w:rsidR="00746421" w:rsidRPr="009C5F11">
        <w:rPr>
          <w:rFonts w:ascii="Times New Roman" w:hAnsi="Times New Roman" w:cs="Times New Roman"/>
          <w:sz w:val="24"/>
          <w:lang w:val="ro-RO"/>
        </w:rPr>
        <w:t>local</w:t>
      </w:r>
      <w:r w:rsidRPr="009C5F11">
        <w:rPr>
          <w:rFonts w:ascii="Times New Roman" w:hAnsi="Times New Roman" w:cs="Times New Roman"/>
          <w:sz w:val="24"/>
          <w:lang w:val="ro-RO"/>
        </w:rPr>
        <w:t>ă</w:t>
      </w:r>
      <w:r w:rsidR="00746421" w:rsidRPr="009C5F11">
        <w:rPr>
          <w:rFonts w:ascii="Times New Roman" w:hAnsi="Times New Roman" w:cs="Times New Roman"/>
          <w:sz w:val="24"/>
          <w:lang w:val="ro-RO"/>
        </w:rPr>
        <w:t>/regional</w:t>
      </w:r>
      <w:r w:rsidRPr="009C5F11">
        <w:rPr>
          <w:rFonts w:ascii="Times New Roman" w:hAnsi="Times New Roman" w:cs="Times New Roman"/>
          <w:sz w:val="24"/>
          <w:lang w:val="ro-RO"/>
        </w:rPr>
        <w:t>ă</w:t>
      </w:r>
      <w:r w:rsidR="00746421"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în </w:t>
      </w:r>
      <w:r w:rsidR="00E10BE5" w:rsidRPr="009C5F11">
        <w:rPr>
          <w:rFonts w:ascii="Times New Roman" w:hAnsi="Times New Roman" w:cs="Times New Roman"/>
          <w:sz w:val="24"/>
          <w:lang w:val="ro-RO"/>
        </w:rPr>
        <w:t>domeniul construcţiilor, transporturilor, însă nu toate strategiile au fost adoptate şi puse în aplicare</w:t>
      </w:r>
      <w:r w:rsidR="00746421" w:rsidRPr="009C5F11">
        <w:rPr>
          <w:rFonts w:ascii="Times New Roman" w:hAnsi="Times New Roman" w:cs="Times New Roman"/>
          <w:sz w:val="24"/>
          <w:lang w:val="ro-RO"/>
        </w:rPr>
        <w:t xml:space="preserve">. </w:t>
      </w:r>
    </w:p>
    <w:p w14:paraId="6E387323" w14:textId="2B6FD4E4" w:rsidR="00294030" w:rsidRPr="009C5F11" w:rsidRDefault="00E10BE5"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Diverse</w:t>
      </w:r>
      <w:r w:rsidR="00294030"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programe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planuri de acţiune</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au fost elaborate în mod special pentru </w:t>
      </w:r>
      <w:r w:rsidR="000C7BEC" w:rsidRPr="009C5F11">
        <w:rPr>
          <w:rFonts w:ascii="Times New Roman" w:hAnsi="Times New Roman" w:cs="Times New Roman"/>
          <w:sz w:val="24"/>
          <w:lang w:val="ro-RO"/>
        </w:rPr>
        <w:t>eficienţ</w:t>
      </w:r>
      <w:r w:rsidRPr="009C5F11">
        <w:rPr>
          <w:rFonts w:ascii="Times New Roman" w:hAnsi="Times New Roman" w:cs="Times New Roman"/>
          <w:sz w:val="24"/>
          <w:lang w:val="ro-RO"/>
        </w:rPr>
        <w:t>a</w:t>
      </w:r>
      <w:r w:rsidR="000C7BEC" w:rsidRPr="009C5F11">
        <w:rPr>
          <w:rFonts w:ascii="Times New Roman" w:hAnsi="Times New Roman" w:cs="Times New Roman"/>
          <w:sz w:val="24"/>
          <w:lang w:val="ro-RO"/>
        </w:rPr>
        <w:t xml:space="preserve"> energetică</w:t>
      </w:r>
      <w:r w:rsidRPr="009C5F11">
        <w:rPr>
          <w:rFonts w:ascii="Times New Roman" w:hAnsi="Times New Roman" w:cs="Times New Roman"/>
          <w:sz w:val="24"/>
          <w:lang w:val="ro-RO"/>
        </w:rPr>
        <w:t>,</w:t>
      </w:r>
      <w:r w:rsidR="00294030"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precum şi</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pentru</w:t>
      </w:r>
      <w:r w:rsidR="00294030" w:rsidRPr="009C5F11">
        <w:rPr>
          <w:rFonts w:ascii="Times New Roman" w:hAnsi="Times New Roman" w:cs="Times New Roman"/>
          <w:sz w:val="24"/>
          <w:lang w:val="ro-RO"/>
        </w:rPr>
        <w:t xml:space="preserve"> transport</w:t>
      </w:r>
      <w:r w:rsidRPr="009C5F11">
        <w:rPr>
          <w:rFonts w:ascii="Times New Roman" w:hAnsi="Times New Roman" w:cs="Times New Roman"/>
          <w:sz w:val="24"/>
          <w:lang w:val="ro-RO"/>
        </w:rPr>
        <w:t>uri,</w:t>
      </w:r>
      <w:r w:rsidR="00321CD5" w:rsidRPr="009C5F11">
        <w:rPr>
          <w:rFonts w:ascii="Times New Roman" w:hAnsi="Times New Roman" w:cs="Times New Roman"/>
          <w:sz w:val="24"/>
          <w:lang w:val="ro-RO"/>
        </w:rPr>
        <w:t xml:space="preserve"> </w:t>
      </w:r>
      <w:r w:rsidR="00724085" w:rsidRPr="009C5F11">
        <w:rPr>
          <w:rFonts w:ascii="Times New Roman" w:hAnsi="Times New Roman" w:cs="Times New Roman"/>
          <w:sz w:val="24"/>
          <w:lang w:val="ro-RO"/>
        </w:rPr>
        <w:t xml:space="preserve">serviciile de </w:t>
      </w:r>
      <w:r w:rsidRPr="009C5F11">
        <w:rPr>
          <w:rFonts w:ascii="Times New Roman" w:hAnsi="Times New Roman" w:cs="Times New Roman"/>
          <w:sz w:val="24"/>
          <w:lang w:val="ro-RO"/>
        </w:rPr>
        <w:t>alimentare cu apă potabilă şi evacuare</w:t>
      </w:r>
      <w:r w:rsidR="0072408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 apelor uzate, </w:t>
      </w:r>
      <w:r w:rsidR="00AB1710" w:rsidRPr="009C5F11">
        <w:rPr>
          <w:rFonts w:ascii="Times New Roman" w:hAnsi="Times New Roman" w:cs="Times New Roman"/>
          <w:sz w:val="24"/>
          <w:lang w:val="ro-RO"/>
        </w:rPr>
        <w:t>inclusiv</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componentele</w:t>
      </w:r>
      <w:r w:rsidR="00294030" w:rsidRPr="009C5F11">
        <w:rPr>
          <w:rFonts w:ascii="Times New Roman" w:hAnsi="Times New Roman" w:cs="Times New Roman"/>
          <w:sz w:val="24"/>
          <w:lang w:val="ro-RO"/>
        </w:rPr>
        <w:t xml:space="preserve"> dedicate </w:t>
      </w:r>
      <w:r w:rsidRPr="009C5F11">
        <w:rPr>
          <w:rFonts w:ascii="Times New Roman" w:hAnsi="Times New Roman" w:cs="Times New Roman"/>
          <w:sz w:val="24"/>
          <w:lang w:val="ro-RO"/>
        </w:rPr>
        <w:t>economiilor de energie</w:t>
      </w:r>
      <w:r w:rsidR="00294030" w:rsidRPr="009C5F11">
        <w:rPr>
          <w:rFonts w:ascii="Times New Roman" w:hAnsi="Times New Roman" w:cs="Times New Roman"/>
          <w:sz w:val="24"/>
          <w:lang w:val="ro-RO"/>
        </w:rPr>
        <w:t xml:space="preserve">. </w:t>
      </w:r>
      <w:r w:rsidR="00401F29" w:rsidRPr="009C5F11">
        <w:rPr>
          <w:rFonts w:ascii="Times New Roman" w:hAnsi="Times New Roman" w:cs="Times New Roman"/>
          <w:sz w:val="24"/>
          <w:lang w:val="ro-RO"/>
        </w:rPr>
        <w:t>Cu toate acestea</w:t>
      </w:r>
      <w:r w:rsidRPr="009C5F11">
        <w:rPr>
          <w:rFonts w:ascii="Times New Roman" w:hAnsi="Times New Roman" w:cs="Times New Roman"/>
          <w:sz w:val="24"/>
          <w:lang w:val="ro-RO"/>
        </w:rPr>
        <w:t>,</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eficacitatea</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măsurilor planificate</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depinde în mare măsură de disponibilitatea fondurilor</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Actualmente</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rezultate concrete</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sunt</w:t>
      </w:r>
      <w:r w:rsidR="00724085" w:rsidRPr="009C5F11">
        <w:rPr>
          <w:rFonts w:ascii="Times New Roman" w:hAnsi="Times New Roman" w:cs="Times New Roman"/>
          <w:sz w:val="24"/>
          <w:lang w:val="ro-RO"/>
        </w:rPr>
        <w:t xml:space="preserve"> generate</w:t>
      </w:r>
      <w:r w:rsidRPr="009C5F11">
        <w:rPr>
          <w:rFonts w:ascii="Times New Roman" w:hAnsi="Times New Roman" w:cs="Times New Roman"/>
          <w:sz w:val="24"/>
          <w:lang w:val="ro-RO"/>
        </w:rPr>
        <w:t>, de regulă, de proiecte mici</w:t>
      </w:r>
      <w:r w:rsidR="00724085" w:rsidRPr="009C5F11">
        <w:rPr>
          <w:rFonts w:ascii="Times New Roman" w:hAnsi="Times New Roman" w:cs="Times New Roman"/>
          <w:sz w:val="24"/>
          <w:lang w:val="ro-RO"/>
        </w:rPr>
        <w:t xml:space="preserve"> (adică, economii de energie termică în grădiniţe şi în alte clădiri educaţionale)</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care sunt mai puţin riscante şi mai uşor de finanţat, preponderent, din granturi</w:t>
      </w:r>
      <w:r w:rsidR="00294030" w:rsidRPr="009C5F11">
        <w:rPr>
          <w:rFonts w:ascii="Times New Roman" w:hAnsi="Times New Roman" w:cs="Times New Roman"/>
          <w:color w:val="FF0000"/>
          <w:sz w:val="24"/>
          <w:lang w:val="ro-RO"/>
        </w:rPr>
        <w:t xml:space="preserve">. </w:t>
      </w:r>
      <w:r w:rsidR="002E306C">
        <w:rPr>
          <w:rFonts w:ascii="Times New Roman" w:hAnsi="Times New Roman" w:cs="Times New Roman"/>
          <w:color w:val="FF0000"/>
          <w:sz w:val="24"/>
          <w:lang w:val="ro-RO"/>
        </w:rPr>
        <w:t xml:space="preserve">În același timp, </w:t>
      </w:r>
      <w:r w:rsidRPr="009C5F11">
        <w:rPr>
          <w:rFonts w:ascii="Times New Roman" w:hAnsi="Times New Roman" w:cs="Times New Roman"/>
          <w:sz w:val="24"/>
          <w:lang w:val="ro-RO"/>
        </w:rPr>
        <w:t xml:space="preserve">unele domenii cu cel mai mare potenţial nu sunt abordate; prin urmare, acestea nu sunt incluse în lista rezultatelor reale, chiar dacă strategiile existente le identifică </w:t>
      </w:r>
      <w:r w:rsidR="00481AF0" w:rsidRPr="009C5F11">
        <w:rPr>
          <w:rFonts w:ascii="Times New Roman" w:hAnsi="Times New Roman" w:cs="Times New Roman"/>
          <w:sz w:val="24"/>
          <w:lang w:val="ro-RO"/>
        </w:rPr>
        <w:t>a fi</w:t>
      </w:r>
      <w:r w:rsidRPr="009C5F11">
        <w:rPr>
          <w:rFonts w:ascii="Times New Roman" w:hAnsi="Times New Roman" w:cs="Times New Roman"/>
          <w:sz w:val="24"/>
          <w:lang w:val="ro-RO"/>
        </w:rPr>
        <w:t xml:space="preserve"> prioritare</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Se propune dezvoltarea acestor domenii în perioada </w:t>
      </w:r>
      <w:r w:rsidR="00294030" w:rsidRPr="009C5F11">
        <w:rPr>
          <w:rFonts w:ascii="Times New Roman" w:hAnsi="Times New Roman" w:cs="Times New Roman"/>
          <w:sz w:val="24"/>
          <w:lang w:val="ro-RO"/>
        </w:rPr>
        <w:t>2016-2018</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în continuare, după cum urmează</w:t>
      </w:r>
      <w:r w:rsidR="00294030" w:rsidRPr="009C5F11">
        <w:rPr>
          <w:rFonts w:ascii="Times New Roman" w:hAnsi="Times New Roman" w:cs="Times New Roman"/>
          <w:sz w:val="24"/>
          <w:lang w:val="ro-RO"/>
        </w:rPr>
        <w:t>:</w:t>
      </w:r>
    </w:p>
    <w:p w14:paraId="06A5F177" w14:textId="77777777" w:rsidR="00294030" w:rsidRPr="009C5F11" w:rsidRDefault="003A2F50"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Sectorul construcţii</w:t>
      </w:r>
      <w:r w:rsidR="000D16AF" w:rsidRPr="009C5F11">
        <w:rPr>
          <w:rFonts w:ascii="Times New Roman" w:hAnsi="Times New Roman" w:cs="Times New Roman"/>
          <w:sz w:val="24"/>
          <w:lang w:val="ro-RO"/>
        </w:rPr>
        <w:t>lor</w:t>
      </w:r>
      <w:r w:rsidR="003C5E21" w:rsidRPr="009C5F11">
        <w:rPr>
          <w:rStyle w:val="Referinnotdesubsol"/>
          <w:rFonts w:ascii="Times New Roman" w:hAnsi="Times New Roman" w:cs="Times New Roman"/>
          <w:sz w:val="24"/>
          <w:lang w:val="ro-RO"/>
        </w:rPr>
        <w:footnoteReference w:id="10"/>
      </w:r>
      <w:r w:rsidR="00294030" w:rsidRPr="009C5F11">
        <w:rPr>
          <w:rFonts w:ascii="Times New Roman" w:hAnsi="Times New Roman" w:cs="Times New Roman"/>
          <w:sz w:val="24"/>
          <w:lang w:val="ro-RO"/>
        </w:rPr>
        <w:t xml:space="preserve"> (</w:t>
      </w:r>
      <w:r w:rsidR="007F77BE" w:rsidRPr="009C5F11">
        <w:rPr>
          <w:rFonts w:ascii="Times New Roman" w:hAnsi="Times New Roman" w:cs="Times New Roman"/>
          <w:sz w:val="24"/>
          <w:lang w:val="ro-RO"/>
        </w:rPr>
        <w:t xml:space="preserve">cum ar fi blocurile locative </w:t>
      </w:r>
      <w:r w:rsidR="00724085" w:rsidRPr="009C5F11">
        <w:rPr>
          <w:rFonts w:ascii="Times New Roman" w:hAnsi="Times New Roman" w:cs="Times New Roman"/>
          <w:sz w:val="24"/>
          <w:lang w:val="ro-RO"/>
        </w:rPr>
        <w:t>cu multe etaje</w:t>
      </w:r>
      <w:r w:rsidR="00294030"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şi </w:t>
      </w:r>
      <w:r w:rsidR="007F77BE" w:rsidRPr="009C5F11">
        <w:rPr>
          <w:rFonts w:ascii="Times New Roman" w:hAnsi="Times New Roman" w:cs="Times New Roman"/>
          <w:sz w:val="24"/>
          <w:lang w:val="ro-RO"/>
        </w:rPr>
        <w:t>clădirile publice</w:t>
      </w:r>
      <w:r w:rsidR="00DE79AC" w:rsidRPr="009C5F11">
        <w:rPr>
          <w:rFonts w:ascii="Times New Roman" w:hAnsi="Times New Roman" w:cs="Times New Roman"/>
          <w:sz w:val="24"/>
          <w:lang w:val="ro-RO"/>
        </w:rPr>
        <w:t>);</w:t>
      </w:r>
    </w:p>
    <w:p w14:paraId="272D1D80" w14:textId="77777777" w:rsidR="00294030" w:rsidRPr="009C5F11" w:rsidRDefault="007F77BE"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I</w:t>
      </w:r>
      <w:r w:rsidR="00294030" w:rsidRPr="009C5F11">
        <w:rPr>
          <w:rFonts w:ascii="Times New Roman" w:hAnsi="Times New Roman" w:cs="Times New Roman"/>
          <w:sz w:val="24"/>
          <w:lang w:val="ro-RO"/>
        </w:rPr>
        <w:t>nfrastructur</w:t>
      </w:r>
      <w:r w:rsidRPr="009C5F11">
        <w:rPr>
          <w:rFonts w:ascii="Times New Roman" w:hAnsi="Times New Roman" w:cs="Times New Roman"/>
          <w:sz w:val="24"/>
          <w:lang w:val="ro-RO"/>
        </w:rPr>
        <w:t>a publică</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 alimentare cu apă</w:t>
      </w:r>
      <w:r w:rsidR="00DE79AC"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iluminatul stradal</w:t>
      </w:r>
      <w:r w:rsidR="00DE79AC"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planificarea urbană</w:t>
      </w:r>
      <w:r w:rsidR="00DE79AC" w:rsidRPr="009C5F11">
        <w:rPr>
          <w:rFonts w:ascii="Times New Roman" w:hAnsi="Times New Roman" w:cs="Times New Roman"/>
          <w:sz w:val="24"/>
          <w:lang w:val="ro-RO"/>
        </w:rPr>
        <w:t>);</w:t>
      </w:r>
    </w:p>
    <w:p w14:paraId="08D184FB" w14:textId="77777777" w:rsidR="00294030" w:rsidRPr="009C5F11" w:rsidRDefault="007F77BE"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Îmbunătăţirea transportului </w:t>
      </w:r>
      <w:r w:rsidR="00DB0059" w:rsidRPr="009C5F11">
        <w:rPr>
          <w:rFonts w:ascii="Times New Roman" w:hAnsi="Times New Roman" w:cs="Times New Roman"/>
          <w:sz w:val="24"/>
          <w:lang w:val="ro-RO"/>
        </w:rPr>
        <w:t>rutier</w:t>
      </w:r>
      <w:r w:rsidRPr="009C5F11">
        <w:rPr>
          <w:rFonts w:ascii="Times New Roman" w:hAnsi="Times New Roman" w:cs="Times New Roman"/>
          <w:sz w:val="24"/>
          <w:lang w:val="ro-RO"/>
        </w:rPr>
        <w:t>/feroviar</w:t>
      </w:r>
      <w:r w:rsidR="00DE79AC" w:rsidRPr="009C5F11">
        <w:rPr>
          <w:rFonts w:ascii="Times New Roman" w:hAnsi="Times New Roman" w:cs="Times New Roman"/>
          <w:sz w:val="24"/>
          <w:lang w:val="ro-RO"/>
        </w:rPr>
        <w:t>;</w:t>
      </w:r>
    </w:p>
    <w:p w14:paraId="68E73D9D" w14:textId="77777777" w:rsidR="00294030" w:rsidRPr="009C5F11" w:rsidRDefault="00FD5F1C"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Promovarea</w:t>
      </w:r>
      <w:r w:rsidR="00294030" w:rsidRPr="009C5F11">
        <w:rPr>
          <w:rFonts w:ascii="Times New Roman" w:hAnsi="Times New Roman" w:cs="Times New Roman"/>
          <w:sz w:val="24"/>
          <w:lang w:val="ro-RO"/>
        </w:rPr>
        <w:t xml:space="preserve"> </w:t>
      </w:r>
      <w:r w:rsidR="00724085" w:rsidRPr="009C5F11">
        <w:rPr>
          <w:rFonts w:ascii="Times New Roman" w:hAnsi="Times New Roman" w:cs="Times New Roman"/>
          <w:sz w:val="24"/>
          <w:lang w:val="ro-RO"/>
        </w:rPr>
        <w:t xml:space="preserve">utilizării </w:t>
      </w:r>
      <w:r w:rsidR="007F77BE" w:rsidRPr="009C5F11">
        <w:rPr>
          <w:rFonts w:ascii="Times New Roman" w:hAnsi="Times New Roman" w:cs="Times New Roman"/>
          <w:sz w:val="24"/>
          <w:lang w:val="ro-RO"/>
        </w:rPr>
        <w:t xml:space="preserve">aparatelor electrocasnice </w:t>
      </w:r>
      <w:r w:rsidR="00294030" w:rsidRPr="009C5F11">
        <w:rPr>
          <w:rFonts w:ascii="Times New Roman" w:hAnsi="Times New Roman" w:cs="Times New Roman"/>
          <w:sz w:val="24"/>
          <w:lang w:val="ro-RO"/>
        </w:rPr>
        <w:t>efici</w:t>
      </w:r>
      <w:r w:rsidR="00DE79AC" w:rsidRPr="009C5F11">
        <w:rPr>
          <w:rFonts w:ascii="Times New Roman" w:hAnsi="Times New Roman" w:cs="Times New Roman"/>
          <w:sz w:val="24"/>
          <w:lang w:val="ro-RO"/>
        </w:rPr>
        <w:t>ent</w:t>
      </w:r>
      <w:r w:rsidR="007F77BE" w:rsidRPr="009C5F11">
        <w:rPr>
          <w:rFonts w:ascii="Times New Roman" w:hAnsi="Times New Roman" w:cs="Times New Roman"/>
          <w:sz w:val="24"/>
          <w:lang w:val="ro-RO"/>
        </w:rPr>
        <w:t>e din punct de vedere energetic</w:t>
      </w:r>
      <w:r w:rsidR="00DE79AC" w:rsidRPr="009C5F11">
        <w:rPr>
          <w:rFonts w:ascii="Times New Roman" w:hAnsi="Times New Roman" w:cs="Times New Roman"/>
          <w:sz w:val="24"/>
          <w:lang w:val="ro-RO"/>
        </w:rPr>
        <w:t>.</w:t>
      </w:r>
    </w:p>
    <w:p w14:paraId="0A33A53A" w14:textId="32626FD3" w:rsidR="00294030" w:rsidRPr="009C5F11" w:rsidRDefault="007F77BE"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Planul actual de acţiuni</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prevede întreprinderea unor paşi care să permită </w:t>
      </w:r>
      <w:r w:rsidR="00BA100A" w:rsidRPr="009C5F11">
        <w:rPr>
          <w:rFonts w:ascii="Times New Roman" w:hAnsi="Times New Roman" w:cs="Times New Roman"/>
          <w:sz w:val="24"/>
          <w:lang w:val="ro-RO"/>
        </w:rPr>
        <w:t>ca</w:t>
      </w:r>
      <w:r w:rsidRPr="009C5F11">
        <w:rPr>
          <w:rFonts w:ascii="Times New Roman" w:hAnsi="Times New Roman" w:cs="Times New Roman"/>
          <w:sz w:val="24"/>
          <w:lang w:val="ro-RO"/>
        </w:rPr>
        <w:t xml:space="preserve"> sprijinul financiar </w:t>
      </w:r>
      <w:r w:rsidR="00BA100A" w:rsidRPr="009C5F11">
        <w:rPr>
          <w:rFonts w:ascii="Times New Roman" w:hAnsi="Times New Roman" w:cs="Times New Roman"/>
          <w:sz w:val="24"/>
          <w:lang w:val="ro-RO"/>
        </w:rPr>
        <w:t xml:space="preserve">să devină real </w:t>
      </w:r>
      <w:r w:rsidRPr="009C5F11">
        <w:rPr>
          <w:rFonts w:ascii="Times New Roman" w:hAnsi="Times New Roman" w:cs="Times New Roman"/>
          <w:sz w:val="24"/>
          <w:lang w:val="ro-RO"/>
        </w:rPr>
        <w:t>şi măsuril</w:t>
      </w:r>
      <w:r w:rsidR="00BA100A"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preconizate</w:t>
      </w:r>
      <w:r w:rsidR="00BA100A" w:rsidRPr="009C5F11">
        <w:rPr>
          <w:rFonts w:ascii="Times New Roman" w:hAnsi="Times New Roman" w:cs="Times New Roman"/>
          <w:sz w:val="24"/>
          <w:lang w:val="ro-RO"/>
        </w:rPr>
        <w:t xml:space="preserve"> sa aibă succes</w:t>
      </w:r>
      <w:r w:rsidR="00294030" w:rsidRPr="009C5F11">
        <w:rPr>
          <w:rFonts w:ascii="Times New Roman" w:hAnsi="Times New Roman" w:cs="Times New Roman"/>
          <w:sz w:val="24"/>
          <w:lang w:val="ro-RO"/>
        </w:rPr>
        <w:t>:</w:t>
      </w:r>
    </w:p>
    <w:p w14:paraId="7A5658D7" w14:textId="77777777" w:rsidR="00294030" w:rsidRPr="009C5F11" w:rsidRDefault="007F77BE"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lastRenderedPageBreak/>
        <w:t xml:space="preserve">Elaborarea cadrului </w:t>
      </w:r>
      <w:r w:rsidR="00294030" w:rsidRPr="009C5F11">
        <w:rPr>
          <w:rFonts w:ascii="Times New Roman" w:hAnsi="Times New Roman" w:cs="Times New Roman"/>
          <w:sz w:val="24"/>
          <w:lang w:val="ro-RO"/>
        </w:rPr>
        <w:t>legislativ/regulator</w:t>
      </w:r>
      <w:r w:rsidRPr="009C5F11">
        <w:rPr>
          <w:rFonts w:ascii="Times New Roman" w:hAnsi="Times New Roman" w:cs="Times New Roman"/>
          <w:sz w:val="24"/>
          <w:lang w:val="ro-RO"/>
        </w:rPr>
        <w:t>iu lipsă</w:t>
      </w:r>
      <w:r w:rsidR="00294030"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inclusiv</w:t>
      </w:r>
      <w:r w:rsidR="00294030" w:rsidRPr="009C5F11">
        <w:rPr>
          <w:rFonts w:ascii="Times New Roman" w:hAnsi="Times New Roman" w:cs="Times New Roman"/>
          <w:sz w:val="24"/>
          <w:lang w:val="ro-RO"/>
        </w:rPr>
        <w:t xml:space="preserve"> </w:t>
      </w:r>
      <w:r w:rsidR="00724085" w:rsidRPr="009C5F11">
        <w:rPr>
          <w:rFonts w:ascii="Times New Roman" w:hAnsi="Times New Roman" w:cs="Times New Roman"/>
          <w:sz w:val="24"/>
          <w:lang w:val="ro-RO"/>
        </w:rPr>
        <w:t xml:space="preserve">a </w:t>
      </w:r>
      <w:r w:rsidRPr="009C5F11">
        <w:rPr>
          <w:rFonts w:ascii="Times New Roman" w:hAnsi="Times New Roman" w:cs="Times New Roman"/>
          <w:sz w:val="24"/>
          <w:lang w:val="ro-RO"/>
        </w:rPr>
        <w:t>legislaţi</w:t>
      </w:r>
      <w:r w:rsidR="00724085" w:rsidRPr="009C5F11">
        <w:rPr>
          <w:rFonts w:ascii="Times New Roman" w:hAnsi="Times New Roman" w:cs="Times New Roman"/>
          <w:sz w:val="24"/>
          <w:lang w:val="ro-RO"/>
        </w:rPr>
        <w:t>ei</w:t>
      </w:r>
      <w:r w:rsidRPr="009C5F11">
        <w:rPr>
          <w:rFonts w:ascii="Times New Roman" w:hAnsi="Times New Roman" w:cs="Times New Roman"/>
          <w:sz w:val="24"/>
          <w:lang w:val="ro-RO"/>
        </w:rPr>
        <w:t xml:space="preserve"> </w:t>
      </w:r>
      <w:r w:rsidR="00294030" w:rsidRPr="009C5F11">
        <w:rPr>
          <w:rFonts w:ascii="Times New Roman" w:hAnsi="Times New Roman" w:cs="Times New Roman"/>
          <w:sz w:val="24"/>
          <w:lang w:val="ro-RO"/>
        </w:rPr>
        <w:t>sec</w:t>
      </w:r>
      <w:r w:rsidRPr="009C5F11">
        <w:rPr>
          <w:rFonts w:ascii="Times New Roman" w:hAnsi="Times New Roman" w:cs="Times New Roman"/>
          <w:sz w:val="24"/>
          <w:lang w:val="ro-RO"/>
        </w:rPr>
        <w:t>u</w:t>
      </w:r>
      <w:r w:rsidR="00294030" w:rsidRPr="009C5F11">
        <w:rPr>
          <w:rFonts w:ascii="Times New Roman" w:hAnsi="Times New Roman" w:cs="Times New Roman"/>
          <w:sz w:val="24"/>
          <w:lang w:val="ro-RO"/>
        </w:rPr>
        <w:t>ndar</w:t>
      </w:r>
      <w:r w:rsidR="00724085" w:rsidRPr="009C5F11">
        <w:rPr>
          <w:rFonts w:ascii="Times New Roman" w:hAnsi="Times New Roman" w:cs="Times New Roman"/>
          <w:sz w:val="24"/>
          <w:lang w:val="ro-RO"/>
        </w:rPr>
        <w:t>e</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 tematici concrete</w:t>
      </w:r>
      <w:r w:rsidR="00294030" w:rsidRPr="009C5F11">
        <w:rPr>
          <w:rFonts w:ascii="Times New Roman" w:hAnsi="Times New Roman" w:cs="Times New Roman"/>
          <w:sz w:val="24"/>
          <w:lang w:val="ro-RO"/>
        </w:rPr>
        <w:t xml:space="preserve">, </w:t>
      </w:r>
      <w:r w:rsidR="00BA100A" w:rsidRPr="009C5F11">
        <w:rPr>
          <w:rFonts w:ascii="Times New Roman" w:hAnsi="Times New Roman" w:cs="Times New Roman"/>
          <w:sz w:val="24"/>
          <w:lang w:val="ro-RO"/>
        </w:rPr>
        <w:t>metodologia de calcul</w:t>
      </w:r>
      <w:r w:rsidRPr="009C5F11">
        <w:rPr>
          <w:rFonts w:ascii="Times New Roman" w:hAnsi="Times New Roman" w:cs="Times New Roman"/>
          <w:sz w:val="24"/>
          <w:lang w:val="ro-RO"/>
        </w:rPr>
        <w:t xml:space="preserve"> cuprinzătoare a performanţei energetice</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stabilirea cerinţelor minime de performanţă energetică </w:t>
      </w:r>
      <w:r w:rsidR="00AB1710" w:rsidRPr="009C5F11">
        <w:rPr>
          <w:rFonts w:ascii="Times New Roman" w:hAnsi="Times New Roman" w:cs="Times New Roman"/>
          <w:sz w:val="24"/>
          <w:lang w:val="ro-RO"/>
        </w:rPr>
        <w:t>etc.;</w:t>
      </w:r>
      <w:r w:rsidR="00294030" w:rsidRPr="009C5F11">
        <w:rPr>
          <w:rFonts w:ascii="Times New Roman" w:hAnsi="Times New Roman" w:cs="Times New Roman"/>
          <w:sz w:val="24"/>
          <w:lang w:val="ro-RO"/>
        </w:rPr>
        <w:t xml:space="preserve"> </w:t>
      </w:r>
    </w:p>
    <w:p w14:paraId="5D9B27D7" w14:textId="77777777" w:rsidR="00294030" w:rsidRPr="009C5F11" w:rsidRDefault="001D514F"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Consolidarea capacităţii</w:t>
      </w:r>
      <w:r w:rsidR="00294030" w:rsidRPr="009C5F11">
        <w:rPr>
          <w:rFonts w:ascii="Times New Roman" w:hAnsi="Times New Roman" w:cs="Times New Roman"/>
          <w:sz w:val="24"/>
          <w:lang w:val="ro-RO"/>
        </w:rPr>
        <w:t xml:space="preserve"> </w:t>
      </w:r>
      <w:r w:rsidR="00DB0059" w:rsidRPr="009C5F11">
        <w:rPr>
          <w:rFonts w:ascii="Times New Roman" w:hAnsi="Times New Roman" w:cs="Times New Roman"/>
          <w:sz w:val="24"/>
          <w:lang w:val="ro-RO"/>
        </w:rPr>
        <w:t>instituționale</w:t>
      </w:r>
      <w:r w:rsidR="0029403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în vederea i</w:t>
      </w:r>
      <w:r w:rsidR="00294030" w:rsidRPr="009C5F11">
        <w:rPr>
          <w:rFonts w:ascii="Times New Roman" w:hAnsi="Times New Roman" w:cs="Times New Roman"/>
          <w:sz w:val="24"/>
          <w:lang w:val="ro-RO"/>
        </w:rPr>
        <w:t>ni</w:t>
      </w:r>
      <w:r w:rsidRPr="009C5F11">
        <w:rPr>
          <w:rFonts w:ascii="Times New Roman" w:hAnsi="Times New Roman" w:cs="Times New Roman"/>
          <w:sz w:val="24"/>
          <w:lang w:val="ro-RO"/>
        </w:rPr>
        <w:t>ţierii, elaborării</w:t>
      </w:r>
      <w:r w:rsidR="00321CD5" w:rsidRPr="009C5F11">
        <w:rPr>
          <w:rFonts w:ascii="Times New Roman" w:hAnsi="Times New Roman" w:cs="Times New Roman"/>
          <w:sz w:val="24"/>
          <w:lang w:val="ro-RO"/>
        </w:rPr>
        <w:t xml:space="preserve"> şi </w:t>
      </w:r>
      <w:r w:rsidR="00294030" w:rsidRPr="009C5F11">
        <w:rPr>
          <w:rFonts w:ascii="Times New Roman" w:hAnsi="Times New Roman" w:cs="Times New Roman"/>
          <w:sz w:val="24"/>
          <w:lang w:val="ro-RO"/>
        </w:rPr>
        <w:t>finali</w:t>
      </w:r>
      <w:r w:rsidRPr="009C5F11">
        <w:rPr>
          <w:rFonts w:ascii="Times New Roman" w:hAnsi="Times New Roman" w:cs="Times New Roman"/>
          <w:sz w:val="24"/>
          <w:lang w:val="ro-RO"/>
        </w:rPr>
        <w:t xml:space="preserve">zării </w:t>
      </w:r>
      <w:r w:rsidR="00BA100A" w:rsidRPr="009C5F11">
        <w:rPr>
          <w:rFonts w:ascii="Times New Roman" w:hAnsi="Times New Roman" w:cs="Times New Roman"/>
          <w:sz w:val="24"/>
          <w:lang w:val="ro-RO"/>
        </w:rPr>
        <w:t xml:space="preserve">în timp rezonabil a </w:t>
      </w:r>
      <w:r w:rsidRPr="009C5F11">
        <w:rPr>
          <w:rFonts w:ascii="Times New Roman" w:hAnsi="Times New Roman" w:cs="Times New Roman"/>
          <w:sz w:val="24"/>
          <w:lang w:val="ro-RO"/>
        </w:rPr>
        <w:t>proiectelor de anvergură</w:t>
      </w:r>
      <w:r w:rsidR="00294030" w:rsidRPr="009C5F11">
        <w:rPr>
          <w:rFonts w:ascii="Times New Roman" w:hAnsi="Times New Roman" w:cs="Times New Roman"/>
          <w:sz w:val="24"/>
          <w:lang w:val="ro-RO"/>
        </w:rPr>
        <w:t>;</w:t>
      </w:r>
    </w:p>
    <w:p w14:paraId="710414AB" w14:textId="77777777" w:rsidR="005F01BA" w:rsidRPr="009C5F11" w:rsidRDefault="001D514F"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Îmbunătăţirea procesului de culegere periodică, de prezentare şi analizare a datelor în vederea susţinerii </w:t>
      </w:r>
      <w:r w:rsidR="007F77BE" w:rsidRPr="009C5F11">
        <w:rPr>
          <w:rFonts w:ascii="Times New Roman" w:hAnsi="Times New Roman" w:cs="Times New Roman"/>
          <w:sz w:val="24"/>
          <w:lang w:val="ro-RO"/>
        </w:rPr>
        <w:t>procesul</w:t>
      </w:r>
      <w:r w:rsidRPr="009C5F11">
        <w:rPr>
          <w:rFonts w:ascii="Times New Roman" w:hAnsi="Times New Roman" w:cs="Times New Roman"/>
          <w:sz w:val="24"/>
          <w:lang w:val="ro-RO"/>
        </w:rPr>
        <w:t>ui</w:t>
      </w:r>
      <w:r w:rsidR="007F77BE" w:rsidRPr="009C5F11">
        <w:rPr>
          <w:rFonts w:ascii="Times New Roman" w:hAnsi="Times New Roman" w:cs="Times New Roman"/>
          <w:sz w:val="24"/>
          <w:lang w:val="ro-RO"/>
        </w:rPr>
        <w:t xml:space="preserve"> decizional</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elaborării unor politici eficiente. </w:t>
      </w:r>
      <w:r w:rsidR="00BA100A" w:rsidRPr="009C5F11">
        <w:rPr>
          <w:rFonts w:ascii="Times New Roman" w:hAnsi="Times New Roman" w:cs="Times New Roman"/>
          <w:sz w:val="24"/>
          <w:lang w:val="ro-RO"/>
        </w:rPr>
        <w:t>Cele mai importante elemente sunt inventarul suprafetei cladirilor administratiei centrale si a performantei lor energetice precum si modificarea definitiei IMM.</w:t>
      </w:r>
    </w:p>
    <w:p w14:paraId="5A7AFF35" w14:textId="77777777" w:rsidR="005F01BA" w:rsidRPr="009C5F11" w:rsidRDefault="005F01BA" w:rsidP="005F01BA">
      <w:pPr>
        <w:pStyle w:val="Listparagraf"/>
        <w:spacing w:before="120" w:after="120" w:line="240" w:lineRule="auto"/>
        <w:ind w:left="1134"/>
        <w:contextualSpacing w:val="0"/>
        <w:jc w:val="both"/>
        <w:rPr>
          <w:rFonts w:ascii="Times New Roman" w:hAnsi="Times New Roman" w:cs="Times New Roman"/>
          <w:sz w:val="24"/>
          <w:lang w:val="ro-RO"/>
        </w:rPr>
      </w:pPr>
    </w:p>
    <w:p w14:paraId="5039CFFF" w14:textId="77777777" w:rsidR="002733CB" w:rsidRPr="00D9464A" w:rsidRDefault="00421FA7" w:rsidP="006970D6">
      <w:pPr>
        <w:pStyle w:val="Titlu2"/>
        <w:rPr>
          <w:rFonts w:ascii="Times New Roman" w:hAnsi="Times New Roman" w:cs="Times New Roman"/>
          <w:color w:val="000000" w:themeColor="text1"/>
          <w:sz w:val="28"/>
          <w:lang w:val="ro-RO"/>
        </w:rPr>
      </w:pPr>
      <w:bookmarkStart w:id="12" w:name="_Toc319555371"/>
      <w:bookmarkStart w:id="13" w:name="_Toc322013137"/>
      <w:r w:rsidRPr="00D9464A">
        <w:rPr>
          <w:rFonts w:ascii="Times New Roman" w:hAnsi="Times New Roman" w:cs="Times New Roman"/>
          <w:color w:val="000000" w:themeColor="text1"/>
          <w:sz w:val="28"/>
          <w:lang w:val="ro-RO"/>
        </w:rPr>
        <w:t xml:space="preserve">Principalele caracteristici ale </w:t>
      </w:r>
      <w:r w:rsidR="00C65958" w:rsidRPr="00D9464A">
        <w:rPr>
          <w:rFonts w:ascii="Times New Roman" w:hAnsi="Times New Roman" w:cs="Times New Roman"/>
          <w:color w:val="000000" w:themeColor="text1"/>
          <w:sz w:val="28"/>
          <w:lang w:val="ro-RO"/>
        </w:rPr>
        <w:t xml:space="preserve">celui de al doilea </w:t>
      </w:r>
      <w:r w:rsidR="00872DC2" w:rsidRPr="00D9464A">
        <w:rPr>
          <w:rFonts w:ascii="Times New Roman" w:hAnsi="Times New Roman" w:cs="Times New Roman"/>
          <w:color w:val="000000" w:themeColor="text1"/>
          <w:sz w:val="28"/>
          <w:lang w:val="ro-RO"/>
        </w:rPr>
        <w:t>PNAEE</w:t>
      </w:r>
      <w:bookmarkEnd w:id="12"/>
      <w:bookmarkEnd w:id="13"/>
    </w:p>
    <w:p w14:paraId="54ED5203" w14:textId="3347FBEA" w:rsidR="002A40B1" w:rsidRPr="009C5F11" w:rsidRDefault="00175ABB"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bookmarkStart w:id="14" w:name="_Toc274298516"/>
      <w:bookmarkStart w:id="15" w:name="_Toc274304002"/>
      <w:r w:rsidRPr="009C5F11">
        <w:rPr>
          <w:rFonts w:ascii="Times New Roman" w:hAnsi="Times New Roman" w:cs="Times New Roman"/>
          <w:sz w:val="24"/>
          <w:lang w:val="ro-RO"/>
        </w:rPr>
        <w:t xml:space="preserve">După evaluarea </w:t>
      </w:r>
      <w:r w:rsidR="00E10BE5" w:rsidRPr="009C5F11">
        <w:rPr>
          <w:rFonts w:ascii="Times New Roman" w:hAnsi="Times New Roman" w:cs="Times New Roman"/>
          <w:sz w:val="24"/>
          <w:lang w:val="ro-RO"/>
        </w:rPr>
        <w:t>rezultate</w:t>
      </w:r>
      <w:r w:rsidRPr="009C5F11">
        <w:rPr>
          <w:rFonts w:ascii="Times New Roman" w:hAnsi="Times New Roman" w:cs="Times New Roman"/>
          <w:sz w:val="24"/>
          <w:lang w:val="ro-RO"/>
        </w:rPr>
        <w:t xml:space="preserve">lor primului </w:t>
      </w:r>
      <w:r w:rsidR="00872DC2" w:rsidRPr="009C5F11">
        <w:rPr>
          <w:rFonts w:ascii="Times New Roman" w:hAnsi="Times New Roman" w:cs="Times New Roman"/>
          <w:sz w:val="24"/>
          <w:lang w:val="ro-RO"/>
        </w:rPr>
        <w:t>PNAEE</w:t>
      </w:r>
      <w:r w:rsidR="002A40B1" w:rsidRPr="009C5F11">
        <w:rPr>
          <w:rFonts w:ascii="Times New Roman" w:hAnsi="Times New Roman" w:cs="Times New Roman"/>
          <w:sz w:val="24"/>
          <w:lang w:val="ro-RO"/>
        </w:rPr>
        <w:t>, estima</w:t>
      </w:r>
      <w:r w:rsidRPr="009C5F11">
        <w:rPr>
          <w:rFonts w:ascii="Times New Roman" w:hAnsi="Times New Roman" w:cs="Times New Roman"/>
          <w:sz w:val="24"/>
          <w:lang w:val="ro-RO"/>
        </w:rPr>
        <w:t xml:space="preserve">rea cost-eficienţei </w:t>
      </w:r>
      <w:r w:rsidR="00E10BE5" w:rsidRPr="009C5F11">
        <w:rPr>
          <w:rFonts w:ascii="Times New Roman" w:hAnsi="Times New Roman" w:cs="Times New Roman"/>
          <w:sz w:val="24"/>
          <w:lang w:val="ro-RO"/>
        </w:rPr>
        <w:t>măsuri</w:t>
      </w:r>
      <w:r w:rsidRPr="009C5F11">
        <w:rPr>
          <w:rFonts w:ascii="Times New Roman" w:hAnsi="Times New Roman" w:cs="Times New Roman"/>
          <w:sz w:val="24"/>
          <w:lang w:val="ro-RO"/>
        </w:rPr>
        <w:t>lor</w:t>
      </w:r>
      <w:r w:rsidR="00E10BE5" w:rsidRPr="009C5F11">
        <w:rPr>
          <w:rFonts w:ascii="Times New Roman" w:hAnsi="Times New Roman" w:cs="Times New Roman"/>
          <w:sz w:val="24"/>
          <w:lang w:val="ro-RO"/>
        </w:rPr>
        <w:t xml:space="preserve"> planificate</w:t>
      </w:r>
      <w:r w:rsidR="00321CD5" w:rsidRPr="009C5F11">
        <w:rPr>
          <w:rFonts w:ascii="Times New Roman" w:hAnsi="Times New Roman" w:cs="Times New Roman"/>
          <w:sz w:val="24"/>
          <w:lang w:val="ro-RO"/>
        </w:rPr>
        <w:t xml:space="preserve"> şi </w:t>
      </w:r>
      <w:r w:rsidR="00680AE2" w:rsidRPr="009C5F11">
        <w:rPr>
          <w:rFonts w:ascii="Times New Roman" w:hAnsi="Times New Roman" w:cs="Times New Roman"/>
          <w:sz w:val="24"/>
          <w:lang w:val="ro-RO"/>
        </w:rPr>
        <w:t xml:space="preserve">a </w:t>
      </w:r>
      <w:r w:rsidRPr="009C5F11">
        <w:rPr>
          <w:rFonts w:ascii="Times New Roman" w:hAnsi="Times New Roman" w:cs="Times New Roman"/>
          <w:sz w:val="24"/>
          <w:lang w:val="ro-RO"/>
        </w:rPr>
        <w:t>disponibilit</w:t>
      </w:r>
      <w:r w:rsidR="00680AE2" w:rsidRPr="009C5F11">
        <w:rPr>
          <w:rFonts w:ascii="Times New Roman" w:hAnsi="Times New Roman" w:cs="Times New Roman"/>
          <w:sz w:val="24"/>
          <w:lang w:val="ro-RO"/>
        </w:rPr>
        <w:t>ăţii</w:t>
      </w:r>
      <w:r w:rsidR="002A40B1" w:rsidRPr="009C5F11">
        <w:rPr>
          <w:rFonts w:ascii="Times New Roman" w:hAnsi="Times New Roman" w:cs="Times New Roman"/>
          <w:sz w:val="24"/>
          <w:lang w:val="ro-RO"/>
        </w:rPr>
        <w:t xml:space="preserve"> </w:t>
      </w:r>
      <w:r w:rsidR="007F77BE" w:rsidRPr="009C5F11">
        <w:rPr>
          <w:rFonts w:ascii="Times New Roman" w:hAnsi="Times New Roman" w:cs="Times New Roman"/>
          <w:sz w:val="24"/>
          <w:lang w:val="ro-RO"/>
        </w:rPr>
        <w:t>fonduri</w:t>
      </w:r>
      <w:r w:rsidRPr="009C5F11">
        <w:rPr>
          <w:rFonts w:ascii="Times New Roman" w:hAnsi="Times New Roman" w:cs="Times New Roman"/>
          <w:sz w:val="24"/>
          <w:lang w:val="ro-RO"/>
        </w:rPr>
        <w:t>lor</w:t>
      </w:r>
      <w:r w:rsidR="002A40B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au fost puse în evidenţă următoarele caracteristici ale </w:t>
      </w:r>
      <w:r w:rsidR="00C65958" w:rsidRPr="009C5F11">
        <w:rPr>
          <w:rFonts w:ascii="Times New Roman" w:hAnsi="Times New Roman" w:cs="Times New Roman"/>
          <w:sz w:val="24"/>
          <w:lang w:val="ro-RO"/>
        </w:rPr>
        <w:t xml:space="preserve">celui de al doilea </w:t>
      </w:r>
      <w:r w:rsidR="00872DC2" w:rsidRPr="009C5F11">
        <w:rPr>
          <w:rFonts w:ascii="Times New Roman" w:hAnsi="Times New Roman" w:cs="Times New Roman"/>
          <w:sz w:val="24"/>
          <w:lang w:val="ro-RO"/>
        </w:rPr>
        <w:t>PNAEE</w:t>
      </w:r>
      <w:r w:rsidR="002A40B1" w:rsidRPr="009C5F11">
        <w:rPr>
          <w:rFonts w:ascii="Times New Roman" w:hAnsi="Times New Roman" w:cs="Times New Roman"/>
          <w:sz w:val="24"/>
          <w:lang w:val="ro-RO"/>
        </w:rPr>
        <w:t>:</w:t>
      </w:r>
    </w:p>
    <w:p w14:paraId="2F7017E7" w14:textId="77777777" w:rsidR="002733CB" w:rsidRPr="009C5F11" w:rsidRDefault="00C65958" w:rsidP="00334F3B">
      <w:pPr>
        <w:numPr>
          <w:ilvl w:val="0"/>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 xml:space="preserve">Cel de al doilea </w:t>
      </w:r>
      <w:r w:rsidR="009360C8" w:rsidRPr="009C5F11">
        <w:rPr>
          <w:rFonts w:ascii="Times New Roman" w:hAnsi="Times New Roman" w:cs="Times New Roman"/>
          <w:sz w:val="24"/>
          <w:lang w:val="ro-RO"/>
        </w:rPr>
        <w:t>PNAEE</w:t>
      </w:r>
      <w:r w:rsidR="00680AE2" w:rsidRPr="009C5F11">
        <w:rPr>
          <w:rFonts w:ascii="Times New Roman" w:hAnsi="Times New Roman" w:cs="Times New Roman"/>
          <w:sz w:val="24"/>
          <w:lang w:val="ro-RO"/>
        </w:rPr>
        <w:t xml:space="preserve"> </w:t>
      </w:r>
      <w:r w:rsidR="00033C99" w:rsidRPr="009C5F11">
        <w:rPr>
          <w:rFonts w:ascii="Times New Roman" w:hAnsi="Times New Roman" w:cs="Times New Roman"/>
          <w:sz w:val="24"/>
          <w:lang w:val="ro-RO"/>
        </w:rPr>
        <w:t>obligă operatorii de distribuţie a energiei termice şi energiei electrice să planifice sistematic măsuri de eficienţă energetică</w:t>
      </w:r>
      <w:r w:rsidR="00321CD5" w:rsidRPr="009C5F11">
        <w:rPr>
          <w:rFonts w:ascii="Times New Roman" w:hAnsi="Times New Roman" w:cs="Times New Roman"/>
          <w:sz w:val="24"/>
          <w:lang w:val="ro-RO"/>
        </w:rPr>
        <w:t xml:space="preserve"> în </w:t>
      </w:r>
      <w:r w:rsidR="00680AE2" w:rsidRPr="009C5F11">
        <w:rPr>
          <w:rFonts w:ascii="Times New Roman" w:hAnsi="Times New Roman" w:cs="Times New Roman"/>
          <w:sz w:val="24"/>
          <w:lang w:val="ro-RO"/>
        </w:rPr>
        <w:t>domeniile</w:t>
      </w:r>
      <w:r w:rsidR="00033C99" w:rsidRPr="009C5F11">
        <w:rPr>
          <w:rFonts w:ascii="Times New Roman" w:hAnsi="Times New Roman" w:cs="Times New Roman"/>
          <w:sz w:val="24"/>
          <w:lang w:val="ro-RO"/>
        </w:rPr>
        <w:t xml:space="preserve"> lor de activitate</w:t>
      </w:r>
      <w:r w:rsidR="002733CB" w:rsidRPr="009C5F11">
        <w:rPr>
          <w:rFonts w:ascii="Times New Roman" w:hAnsi="Times New Roman" w:cs="Times New Roman"/>
          <w:sz w:val="24"/>
          <w:lang w:val="ro-RO"/>
        </w:rPr>
        <w:t xml:space="preserve">. </w:t>
      </w:r>
      <w:r w:rsidR="00033C99" w:rsidRPr="009C5F11">
        <w:rPr>
          <w:rFonts w:ascii="Times New Roman" w:hAnsi="Times New Roman" w:cs="Times New Roman"/>
          <w:sz w:val="24"/>
          <w:lang w:val="ro-RO"/>
        </w:rPr>
        <w:t xml:space="preserve">De fapt, prin aceste acţiuni se intenţionează compensarea </w:t>
      </w:r>
      <w:r w:rsidRPr="009C5F11">
        <w:rPr>
          <w:rFonts w:ascii="Times New Roman" w:hAnsi="Times New Roman" w:cs="Times New Roman"/>
          <w:sz w:val="24"/>
          <w:lang w:val="ro-RO"/>
        </w:rPr>
        <w:t>lipsei schemelor</w:t>
      </w:r>
      <w:r w:rsidR="00033C99" w:rsidRPr="009C5F11">
        <w:rPr>
          <w:rFonts w:ascii="Times New Roman" w:hAnsi="Times New Roman" w:cs="Times New Roman"/>
          <w:sz w:val="24"/>
          <w:lang w:val="ro-RO"/>
        </w:rPr>
        <w:t xml:space="preserve">de obligaţii , chiar dacă obiectivul iniţial nu este acelaşi. </w:t>
      </w:r>
    </w:p>
    <w:p w14:paraId="7A51D873" w14:textId="5D9DE87B" w:rsidR="002733CB" w:rsidRPr="009C5F11" w:rsidRDefault="00033C99" w:rsidP="00334F3B">
      <w:pPr>
        <w:numPr>
          <w:ilvl w:val="0"/>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D</w:t>
      </w:r>
      <w:r w:rsidR="002733CB" w:rsidRPr="009C5F11">
        <w:rPr>
          <w:rFonts w:ascii="Times New Roman" w:hAnsi="Times New Roman" w:cs="Times New Roman"/>
          <w:sz w:val="24"/>
          <w:lang w:val="ro-RO"/>
        </w:rPr>
        <w:t>ifer</w:t>
      </w:r>
      <w:r w:rsidR="002A40B1" w:rsidRPr="009C5F11">
        <w:rPr>
          <w:rFonts w:ascii="Times New Roman" w:hAnsi="Times New Roman" w:cs="Times New Roman"/>
          <w:sz w:val="24"/>
          <w:lang w:val="ro-RO"/>
        </w:rPr>
        <w:t>en</w:t>
      </w:r>
      <w:r w:rsidRPr="009C5F11">
        <w:rPr>
          <w:rFonts w:ascii="Times New Roman" w:hAnsi="Times New Roman" w:cs="Times New Roman"/>
          <w:sz w:val="24"/>
          <w:lang w:val="ro-RO"/>
        </w:rPr>
        <w:t xml:space="preserve">ţierea tratamentului </w:t>
      </w:r>
      <w:r w:rsidR="002A40B1" w:rsidRPr="009C5F11">
        <w:rPr>
          <w:rFonts w:ascii="Times New Roman" w:hAnsi="Times New Roman" w:cs="Times New Roman"/>
          <w:sz w:val="24"/>
          <w:lang w:val="ro-RO"/>
        </w:rPr>
        <w:t xml:space="preserve">fiscal </w:t>
      </w:r>
      <w:r w:rsidRPr="009C5F11">
        <w:rPr>
          <w:rFonts w:ascii="Times New Roman" w:hAnsi="Times New Roman" w:cs="Times New Roman"/>
          <w:sz w:val="24"/>
          <w:lang w:val="ro-RO"/>
        </w:rPr>
        <w:t xml:space="preserve">al aparatelor electrocasnice performante/învechite ar </w:t>
      </w:r>
      <w:r w:rsidRPr="009C5F11">
        <w:rPr>
          <w:rFonts w:ascii="Times New Roman" w:hAnsi="Times New Roman" w:cs="Times New Roman"/>
          <w:sz w:val="24"/>
          <w:lang w:val="ro-RO"/>
        </w:rPr>
        <w:t xml:space="preserve">putea genera </w:t>
      </w:r>
      <w:r w:rsidR="00E10BE5" w:rsidRPr="009C5F11">
        <w:rPr>
          <w:rFonts w:ascii="Times New Roman" w:hAnsi="Times New Roman" w:cs="Times New Roman"/>
          <w:sz w:val="24"/>
          <w:lang w:val="ro-RO"/>
        </w:rPr>
        <w:t>rezultate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similare ca şi în cazul introducerii unor </w:t>
      </w:r>
      <w:r w:rsidR="00C65958" w:rsidRPr="009C5F11">
        <w:rPr>
          <w:rFonts w:ascii="Times New Roman" w:hAnsi="Times New Roman" w:cs="Times New Roman"/>
          <w:sz w:val="24"/>
          <w:lang w:val="ro-RO"/>
        </w:rPr>
        <w:t>scheme</w:t>
      </w:r>
      <w:r w:rsidRPr="009C5F11">
        <w:rPr>
          <w:rFonts w:ascii="Times New Roman" w:hAnsi="Times New Roman" w:cs="Times New Roman"/>
          <w:sz w:val="24"/>
          <w:lang w:val="ro-RO"/>
        </w:rPr>
        <w:t xml:space="preserve"> de obligaţii</w:t>
      </w:r>
      <w:r w:rsidR="002733CB" w:rsidRPr="009C5F11">
        <w:rPr>
          <w:rFonts w:ascii="Times New Roman" w:hAnsi="Times New Roman" w:cs="Times New Roman"/>
          <w:sz w:val="24"/>
          <w:lang w:val="ro-RO"/>
        </w:rPr>
        <w:t xml:space="preserve">. </w:t>
      </w:r>
      <w:r w:rsidR="00401F29" w:rsidRPr="009C5F11">
        <w:rPr>
          <w:rFonts w:ascii="Times New Roman" w:hAnsi="Times New Roman" w:cs="Times New Roman"/>
          <w:sz w:val="24"/>
          <w:lang w:val="ro-RO"/>
        </w:rPr>
        <w:t>Cu toate acestea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sursa de finanţare </w:t>
      </w:r>
      <w:r w:rsidR="0076612F" w:rsidRPr="009C5F11">
        <w:rPr>
          <w:rFonts w:ascii="Times New Roman" w:hAnsi="Times New Roman" w:cs="Times New Roman"/>
          <w:sz w:val="24"/>
          <w:lang w:val="ro-RO"/>
        </w:rPr>
        <w:t>pentru aceste 2 cazuri va fi diferită</w:t>
      </w:r>
      <w:r w:rsidR="002733CB" w:rsidRPr="009C5F11">
        <w:rPr>
          <w:rFonts w:ascii="Times New Roman" w:hAnsi="Times New Roman" w:cs="Times New Roman"/>
          <w:sz w:val="24"/>
          <w:lang w:val="ro-RO"/>
        </w:rPr>
        <w:t xml:space="preserve">. </w:t>
      </w:r>
      <w:r w:rsidR="008F06C4" w:rsidRPr="009C5F11">
        <w:rPr>
          <w:rFonts w:ascii="Times New Roman" w:hAnsi="Times New Roman" w:cs="Times New Roman"/>
          <w:sz w:val="24"/>
          <w:lang w:val="ro-RO"/>
        </w:rPr>
        <w:t>Actualmente,</w:t>
      </w:r>
      <w:r w:rsidR="002733CB" w:rsidRPr="009C5F11">
        <w:rPr>
          <w:rFonts w:ascii="Times New Roman" w:hAnsi="Times New Roman" w:cs="Times New Roman"/>
          <w:sz w:val="24"/>
          <w:lang w:val="ro-RO"/>
        </w:rPr>
        <w:t xml:space="preserve"> </w:t>
      </w:r>
      <w:r w:rsidR="00393CCD" w:rsidRPr="009C5F11">
        <w:rPr>
          <w:rFonts w:ascii="Times New Roman" w:hAnsi="Times New Roman" w:cs="Times New Roman"/>
          <w:sz w:val="24"/>
          <w:lang w:val="ro-RO"/>
        </w:rPr>
        <w:t>nu exista o schemă</w:t>
      </w:r>
      <w:r w:rsidR="00634471">
        <w:rPr>
          <w:rFonts w:ascii="Times New Roman" w:hAnsi="Times New Roman" w:cs="Times New Roman"/>
          <w:sz w:val="24"/>
          <w:lang w:val="ro-RO"/>
        </w:rPr>
        <w:t xml:space="preserve"> </w:t>
      </w:r>
      <w:r w:rsidR="008F06C4" w:rsidRPr="009C5F11">
        <w:rPr>
          <w:rFonts w:ascii="Times New Roman" w:hAnsi="Times New Roman" w:cs="Times New Roman"/>
          <w:sz w:val="24"/>
          <w:lang w:val="ro-RO"/>
        </w:rPr>
        <w:t xml:space="preserve">de de obligații </w:t>
      </w:r>
      <w:r w:rsidR="00393CCD" w:rsidRPr="009C5F11">
        <w:rPr>
          <w:rFonts w:ascii="Times New Roman" w:hAnsi="Times New Roman" w:cs="Times New Roman"/>
          <w:sz w:val="24"/>
          <w:lang w:val="ro-RO"/>
        </w:rPr>
        <w:t>în Republica Moldova</w:t>
      </w:r>
      <w:r w:rsidR="002733CB" w:rsidRPr="009C5F11">
        <w:rPr>
          <w:rFonts w:ascii="Times New Roman" w:hAnsi="Times New Roman" w:cs="Times New Roman"/>
          <w:sz w:val="24"/>
          <w:lang w:val="ro-RO"/>
        </w:rPr>
        <w:t xml:space="preserve">. </w:t>
      </w:r>
      <w:r w:rsidR="00491BB9" w:rsidRPr="009C5F11">
        <w:rPr>
          <w:rFonts w:ascii="Times New Roman" w:hAnsi="Times New Roman" w:cs="Times New Roman"/>
          <w:sz w:val="24"/>
          <w:lang w:val="ro-RO"/>
        </w:rPr>
        <w:t>Totuşi</w:t>
      </w:r>
      <w:r w:rsidR="002733CB" w:rsidRPr="009C5F11">
        <w:rPr>
          <w:rFonts w:ascii="Times New Roman" w:hAnsi="Times New Roman" w:cs="Times New Roman"/>
          <w:sz w:val="24"/>
          <w:lang w:val="ro-RO"/>
        </w:rPr>
        <w:t xml:space="preserve">, </w:t>
      </w:r>
      <w:r w:rsidR="00393CCD" w:rsidRPr="009C5F11">
        <w:rPr>
          <w:rFonts w:ascii="Times New Roman" w:hAnsi="Times New Roman" w:cs="Times New Roman"/>
          <w:sz w:val="24"/>
          <w:lang w:val="ro-RO"/>
        </w:rPr>
        <w:t xml:space="preserve">cel de al doilea </w:t>
      </w:r>
      <w:r w:rsidR="008F06C4" w:rsidRPr="009C5F11">
        <w:rPr>
          <w:rFonts w:ascii="Times New Roman" w:hAnsi="Times New Roman" w:cs="Times New Roman"/>
          <w:sz w:val="24"/>
          <w:lang w:val="ro-RO"/>
        </w:rPr>
        <w:t>PNAEE</w:t>
      </w:r>
      <w:r w:rsidR="00491BB9" w:rsidRPr="009C5F11">
        <w:rPr>
          <w:rFonts w:ascii="Times New Roman" w:hAnsi="Times New Roman" w:cs="Times New Roman"/>
          <w:sz w:val="24"/>
          <w:lang w:val="ro-RO"/>
        </w:rPr>
        <w:t xml:space="preserve"> </w:t>
      </w:r>
      <w:r w:rsidR="002733CB" w:rsidRPr="009C5F11">
        <w:rPr>
          <w:rFonts w:ascii="Times New Roman" w:hAnsi="Times New Roman" w:cs="Times New Roman"/>
          <w:sz w:val="24"/>
          <w:lang w:val="ro-RO"/>
        </w:rPr>
        <w:t xml:space="preserve">introduce </w:t>
      </w:r>
      <w:r w:rsidR="008F06C4" w:rsidRPr="009C5F11">
        <w:rPr>
          <w:rFonts w:ascii="Times New Roman" w:hAnsi="Times New Roman" w:cs="Times New Roman"/>
          <w:sz w:val="24"/>
          <w:lang w:val="ro-RO"/>
        </w:rPr>
        <w:t>o măsură</w:t>
      </w:r>
      <w:r w:rsidR="002733CB" w:rsidRPr="009C5F11">
        <w:rPr>
          <w:rFonts w:ascii="Times New Roman" w:hAnsi="Times New Roman" w:cs="Times New Roman"/>
          <w:sz w:val="24"/>
          <w:lang w:val="ro-RO"/>
        </w:rPr>
        <w:t xml:space="preserve"> </w:t>
      </w:r>
      <w:r w:rsidR="00393CCD" w:rsidRPr="009C5F11">
        <w:rPr>
          <w:rFonts w:ascii="Times New Roman" w:hAnsi="Times New Roman" w:cs="Times New Roman"/>
          <w:sz w:val="24"/>
          <w:lang w:val="ro-RO"/>
        </w:rPr>
        <w:t>privind</w:t>
      </w:r>
      <w:r w:rsidR="008F06C4" w:rsidRPr="009C5F11">
        <w:rPr>
          <w:rFonts w:ascii="Times New Roman" w:hAnsi="Times New Roman" w:cs="Times New Roman"/>
          <w:sz w:val="24"/>
          <w:lang w:val="ro-RO"/>
        </w:rPr>
        <w:t xml:space="preserve"> evaluarea aplicării posibile a un</w:t>
      </w:r>
      <w:r w:rsidR="00393CCD" w:rsidRPr="009C5F11">
        <w:rPr>
          <w:rFonts w:ascii="Times New Roman" w:hAnsi="Times New Roman" w:cs="Times New Roman"/>
          <w:sz w:val="24"/>
          <w:lang w:val="ro-RO"/>
        </w:rPr>
        <w:t>e</w:t>
      </w:r>
      <w:r w:rsidR="008F06C4" w:rsidRPr="009C5F11">
        <w:rPr>
          <w:rFonts w:ascii="Times New Roman" w:hAnsi="Times New Roman" w:cs="Times New Roman"/>
          <w:sz w:val="24"/>
          <w:lang w:val="ro-RO"/>
        </w:rPr>
        <w:t>i astfel de s</w:t>
      </w:r>
      <w:r w:rsidR="00393CCD" w:rsidRPr="009C5F11">
        <w:rPr>
          <w:rFonts w:ascii="Times New Roman" w:hAnsi="Times New Roman" w:cs="Times New Roman"/>
          <w:sz w:val="24"/>
          <w:lang w:val="ro-RO"/>
        </w:rPr>
        <w:t>cheme</w:t>
      </w:r>
      <w:r w:rsidR="008F06C4" w:rsidRPr="009C5F11">
        <w:rPr>
          <w:rFonts w:ascii="Times New Roman" w:hAnsi="Times New Roman" w:cs="Times New Roman"/>
          <w:sz w:val="24"/>
          <w:lang w:val="ro-RO"/>
        </w:rPr>
        <w:t xml:space="preserve"> de obligaţii </w:t>
      </w:r>
      <w:r w:rsidR="00393CCD" w:rsidRPr="009C5F11">
        <w:rPr>
          <w:rFonts w:ascii="Times New Roman" w:hAnsi="Times New Roman" w:cs="Times New Roman"/>
          <w:sz w:val="24"/>
          <w:lang w:val="ro-RO"/>
        </w:rPr>
        <w:t>si</w:t>
      </w:r>
      <w:r w:rsidR="008F06C4" w:rsidRPr="009C5F11">
        <w:rPr>
          <w:rFonts w:ascii="Times New Roman" w:hAnsi="Times New Roman" w:cs="Times New Roman"/>
          <w:sz w:val="24"/>
          <w:lang w:val="ro-RO"/>
        </w:rPr>
        <w:t xml:space="preserve"> </w:t>
      </w:r>
      <w:r w:rsidR="00393CCD" w:rsidRPr="009C5F11">
        <w:rPr>
          <w:rFonts w:ascii="Times New Roman" w:hAnsi="Times New Roman" w:cs="Times New Roman"/>
          <w:sz w:val="24"/>
          <w:lang w:val="ro-RO"/>
        </w:rPr>
        <w:t xml:space="preserve">potenţiala </w:t>
      </w:r>
      <w:r w:rsidR="008F06C4" w:rsidRPr="009C5F11">
        <w:rPr>
          <w:rFonts w:ascii="Times New Roman" w:hAnsi="Times New Roman" w:cs="Times New Roman"/>
          <w:sz w:val="24"/>
          <w:lang w:val="ro-RO"/>
        </w:rPr>
        <w:t>adoptare</w:t>
      </w:r>
      <w:r w:rsidR="00393CCD" w:rsidRPr="009C5F11">
        <w:rPr>
          <w:rFonts w:ascii="Times New Roman" w:hAnsi="Times New Roman" w:cs="Times New Roman"/>
          <w:sz w:val="24"/>
          <w:lang w:val="ro-RO"/>
        </w:rPr>
        <w:t xml:space="preserve"> </w:t>
      </w:r>
      <w:r w:rsidR="008F06C4" w:rsidRPr="009C5F11">
        <w:rPr>
          <w:rFonts w:ascii="Times New Roman" w:hAnsi="Times New Roman" w:cs="Times New Roman"/>
          <w:sz w:val="24"/>
          <w:lang w:val="ro-RO"/>
        </w:rPr>
        <w:t>a acest</w:t>
      </w:r>
      <w:r w:rsidR="00393CCD" w:rsidRPr="009C5F11">
        <w:rPr>
          <w:rFonts w:ascii="Times New Roman" w:hAnsi="Times New Roman" w:cs="Times New Roman"/>
          <w:sz w:val="24"/>
          <w:lang w:val="ro-RO"/>
        </w:rPr>
        <w:t>e</w:t>
      </w:r>
      <w:r w:rsidR="00491BB9" w:rsidRPr="009C5F11">
        <w:rPr>
          <w:rFonts w:ascii="Times New Roman" w:hAnsi="Times New Roman" w:cs="Times New Roman"/>
          <w:sz w:val="24"/>
          <w:lang w:val="ro-RO"/>
        </w:rPr>
        <w:t>ia</w:t>
      </w:r>
      <w:r w:rsidR="008F06C4" w:rsidRPr="009C5F11">
        <w:rPr>
          <w:rFonts w:ascii="Times New Roman" w:hAnsi="Times New Roman" w:cs="Times New Roman"/>
          <w:sz w:val="24"/>
          <w:lang w:val="ro-RO"/>
        </w:rPr>
        <w:t xml:space="preserve"> în viitor</w:t>
      </w:r>
      <w:r w:rsidR="002733CB" w:rsidRPr="009C5F11">
        <w:rPr>
          <w:rFonts w:ascii="Times New Roman" w:hAnsi="Times New Roman" w:cs="Times New Roman"/>
          <w:sz w:val="24"/>
          <w:lang w:val="ro-RO"/>
        </w:rPr>
        <w:t xml:space="preserve">. </w:t>
      </w:r>
    </w:p>
    <w:p w14:paraId="30E9A452" w14:textId="77777777" w:rsidR="002733CB" w:rsidRPr="009C5F11" w:rsidRDefault="008F06C4" w:rsidP="00334F3B">
      <w:pPr>
        <w:numPr>
          <w:ilvl w:val="0"/>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Măsurile de p</w:t>
      </w:r>
      <w:r w:rsidR="002733CB" w:rsidRPr="009C5F11">
        <w:rPr>
          <w:rFonts w:ascii="Times New Roman" w:hAnsi="Times New Roman" w:cs="Times New Roman"/>
          <w:sz w:val="24"/>
          <w:lang w:val="ro-RO"/>
        </w:rPr>
        <w:t>oli</w:t>
      </w:r>
      <w:r w:rsidRPr="009C5F11">
        <w:rPr>
          <w:rFonts w:ascii="Times New Roman" w:hAnsi="Times New Roman" w:cs="Times New Roman"/>
          <w:sz w:val="24"/>
          <w:lang w:val="ro-RO"/>
        </w:rPr>
        <w:t>ti</w:t>
      </w:r>
      <w:r w:rsidR="002733CB" w:rsidRPr="009C5F11">
        <w:rPr>
          <w:rFonts w:ascii="Times New Roman" w:hAnsi="Times New Roman" w:cs="Times New Roman"/>
          <w:sz w:val="24"/>
          <w:lang w:val="ro-RO"/>
        </w:rPr>
        <w:t>c</w:t>
      </w:r>
      <w:r w:rsidRPr="009C5F11">
        <w:rPr>
          <w:rFonts w:ascii="Times New Roman" w:hAnsi="Times New Roman" w:cs="Times New Roman"/>
          <w:sz w:val="24"/>
          <w:lang w:val="ro-RO"/>
        </w:rPr>
        <w:t>i</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de </w:t>
      </w:r>
      <w:r w:rsidR="002733CB" w:rsidRPr="009C5F11">
        <w:rPr>
          <w:rFonts w:ascii="Times New Roman" w:hAnsi="Times New Roman" w:cs="Times New Roman"/>
          <w:sz w:val="24"/>
          <w:lang w:val="ro-RO"/>
        </w:rPr>
        <w:t>reg</w:t>
      </w:r>
      <w:r w:rsidRPr="009C5F11">
        <w:rPr>
          <w:rFonts w:ascii="Times New Roman" w:hAnsi="Times New Roman" w:cs="Times New Roman"/>
          <w:sz w:val="24"/>
          <w:lang w:val="ro-RO"/>
        </w:rPr>
        <w:t xml:space="preserve">lementare prevăzute de </w:t>
      </w:r>
      <w:r w:rsidR="00872DC2"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pot fi distribuite în 3 categorii principale</w:t>
      </w:r>
      <w:r w:rsidR="002733CB" w:rsidRPr="009C5F11">
        <w:rPr>
          <w:rFonts w:ascii="Times New Roman" w:hAnsi="Times New Roman" w:cs="Times New Roman"/>
          <w:sz w:val="24"/>
          <w:lang w:val="ro-RO"/>
        </w:rPr>
        <w:t xml:space="preserve">: </w:t>
      </w:r>
    </w:p>
    <w:p w14:paraId="0E51B10A" w14:textId="77777777" w:rsidR="002A40B1" w:rsidRPr="009C5F11" w:rsidRDefault="003826B8" w:rsidP="00334F3B">
      <w:pPr>
        <w:numPr>
          <w:ilvl w:val="1"/>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Elaborarea</w:t>
      </w:r>
      <w:r w:rsidR="002A40B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documentelor</w:t>
      </w:r>
      <w:r w:rsidR="002A40B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prevăzute de</w:t>
      </w:r>
      <w:r w:rsidR="002A40B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Directiva privind eficienţa energetică</w:t>
      </w:r>
      <w:r w:rsidR="000A4CC7" w:rsidRPr="009C5F11">
        <w:rPr>
          <w:rFonts w:ascii="Times New Roman" w:hAnsi="Times New Roman" w:cs="Times New Roman"/>
          <w:sz w:val="24"/>
          <w:lang w:val="ro-RO"/>
        </w:rPr>
        <w:t xml:space="preserve"> </w:t>
      </w:r>
      <w:r w:rsidR="002A40B1" w:rsidRPr="009C5F11">
        <w:rPr>
          <w:rFonts w:ascii="Times New Roman" w:hAnsi="Times New Roman" w:cs="Times New Roman"/>
          <w:sz w:val="24"/>
          <w:lang w:val="ro-RO"/>
        </w:rPr>
        <w:t>(</w:t>
      </w:r>
      <w:r w:rsidRPr="009C5F11">
        <w:rPr>
          <w:rFonts w:ascii="Times New Roman" w:hAnsi="Times New Roman" w:cs="Times New Roman"/>
          <w:sz w:val="24"/>
          <w:lang w:val="ro-RO"/>
        </w:rPr>
        <w:t>cum ar fi</w:t>
      </w:r>
      <w:r w:rsidR="002A40B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Strategia de reabilitare a clădirilor</w:t>
      </w:r>
      <w:r w:rsidR="002A40B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Evaluarea cuprinzătoare a potenţialului de cogenerare eficientă şi proiectarea reţelelor</w:t>
      </w:r>
      <w:r w:rsidR="002A40B1" w:rsidRPr="009C5F11">
        <w:rPr>
          <w:rFonts w:ascii="Times New Roman" w:hAnsi="Times New Roman" w:cs="Times New Roman"/>
          <w:sz w:val="24"/>
          <w:lang w:val="ro-RO"/>
        </w:rPr>
        <w:t>)</w:t>
      </w:r>
      <w:r w:rsidRPr="009C5F11">
        <w:rPr>
          <w:rFonts w:ascii="Times New Roman" w:hAnsi="Times New Roman" w:cs="Times New Roman"/>
          <w:sz w:val="24"/>
          <w:lang w:val="ro-RO"/>
        </w:rPr>
        <w:t>,</w:t>
      </w:r>
      <w:r w:rsidR="002A40B1"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precum şi</w:t>
      </w:r>
      <w:r w:rsidR="002A40B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evaluarea în detaliu a potenţialului ţării în privinţa</w:t>
      </w:r>
      <w:r w:rsidR="002A40B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eficienţei energetice</w:t>
      </w:r>
      <w:r w:rsidR="00491BB9" w:rsidRPr="009C5F11">
        <w:rPr>
          <w:rFonts w:ascii="Times New Roman" w:hAnsi="Times New Roman" w:cs="Times New Roman"/>
          <w:sz w:val="24"/>
          <w:lang w:val="ro-RO"/>
        </w:rPr>
        <w:t>, în linii</w:t>
      </w:r>
      <w:r w:rsidRPr="009C5F11">
        <w:rPr>
          <w:rFonts w:ascii="Times New Roman" w:hAnsi="Times New Roman" w:cs="Times New Roman"/>
          <w:sz w:val="24"/>
          <w:lang w:val="ro-RO"/>
        </w:rPr>
        <w:t xml:space="preserve"> generale</w:t>
      </w:r>
      <w:r w:rsidR="00491BB9"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a </w:t>
      </w:r>
      <w:r w:rsidR="002A40B1" w:rsidRPr="009C5F11">
        <w:rPr>
          <w:rFonts w:ascii="Times New Roman" w:hAnsi="Times New Roman" w:cs="Times New Roman"/>
          <w:sz w:val="24"/>
          <w:lang w:val="ro-RO"/>
        </w:rPr>
        <w:t>oportunit</w:t>
      </w:r>
      <w:r w:rsidRPr="009C5F11">
        <w:rPr>
          <w:rFonts w:ascii="Times New Roman" w:hAnsi="Times New Roman" w:cs="Times New Roman"/>
          <w:sz w:val="24"/>
          <w:lang w:val="ro-RO"/>
        </w:rPr>
        <w:t>ăţii</w:t>
      </w:r>
      <w:r w:rsidR="002A40B1" w:rsidRPr="009C5F11">
        <w:rPr>
          <w:rFonts w:ascii="Times New Roman" w:hAnsi="Times New Roman" w:cs="Times New Roman"/>
          <w:sz w:val="24"/>
          <w:lang w:val="ro-RO"/>
        </w:rPr>
        <w:t>/</w:t>
      </w:r>
      <w:r w:rsidRPr="009C5F11">
        <w:rPr>
          <w:rFonts w:ascii="Times New Roman" w:hAnsi="Times New Roman" w:cs="Times New Roman"/>
          <w:sz w:val="24"/>
          <w:lang w:val="ro-RO"/>
        </w:rPr>
        <w:t>accesibilităţii de implementa</w:t>
      </w:r>
      <w:r w:rsidR="00491BB9" w:rsidRPr="009C5F11">
        <w:rPr>
          <w:rFonts w:ascii="Times New Roman" w:hAnsi="Times New Roman" w:cs="Times New Roman"/>
          <w:sz w:val="24"/>
          <w:lang w:val="ro-RO"/>
        </w:rPr>
        <w:t>re a</w:t>
      </w:r>
      <w:r w:rsidRPr="009C5F11">
        <w:rPr>
          <w:rFonts w:ascii="Times New Roman" w:hAnsi="Times New Roman" w:cs="Times New Roman"/>
          <w:sz w:val="24"/>
          <w:lang w:val="ro-RO"/>
        </w:rPr>
        <w:t xml:space="preserve"> </w:t>
      </w:r>
      <w:r w:rsidR="00393CCD" w:rsidRPr="009C5F11">
        <w:rPr>
          <w:rFonts w:ascii="Times New Roman" w:hAnsi="Times New Roman" w:cs="Times New Roman"/>
          <w:sz w:val="24"/>
          <w:lang w:val="ro-RO"/>
        </w:rPr>
        <w:t>schemei</w:t>
      </w:r>
      <w:r w:rsidRPr="009C5F11">
        <w:rPr>
          <w:rFonts w:ascii="Times New Roman" w:hAnsi="Times New Roman" w:cs="Times New Roman"/>
          <w:sz w:val="24"/>
          <w:lang w:val="ro-RO"/>
        </w:rPr>
        <w:t xml:space="preserve"> de obligaţii</w:t>
      </w:r>
      <w:r w:rsidR="002A40B1" w:rsidRPr="009C5F11">
        <w:rPr>
          <w:rFonts w:ascii="Times New Roman" w:hAnsi="Times New Roman" w:cs="Times New Roman"/>
          <w:sz w:val="24"/>
          <w:lang w:val="ro-RO"/>
        </w:rPr>
        <w:t>;</w:t>
      </w:r>
    </w:p>
    <w:p w14:paraId="6F01788A" w14:textId="77777777" w:rsidR="002733CB" w:rsidRPr="009C5F11" w:rsidRDefault="003826B8" w:rsidP="00334F3B">
      <w:pPr>
        <w:numPr>
          <w:ilvl w:val="1"/>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Actualizarea legislaţiei în vigoare în vederea asigurării conformităţii cu cerinţele prevăzute de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Directiva privind eficienţa energetică</w:t>
      </w:r>
      <w:r w:rsidR="000A4CC7" w:rsidRPr="009C5F11">
        <w:rPr>
          <w:rFonts w:ascii="Times New Roman" w:hAnsi="Times New Roman" w:cs="Times New Roman"/>
          <w:sz w:val="24"/>
          <w:lang w:val="ro-RO"/>
        </w:rPr>
        <w:t xml:space="preserve"> </w:t>
      </w:r>
      <w:r w:rsidR="00491BB9" w:rsidRPr="009C5F11">
        <w:rPr>
          <w:rFonts w:ascii="Times New Roman" w:hAnsi="Times New Roman" w:cs="Times New Roman"/>
          <w:sz w:val="24"/>
          <w:lang w:val="ro-RO"/>
        </w:rPr>
        <w:t>în ceea ce priveşte</w:t>
      </w:r>
      <w:r w:rsidRPr="009C5F11">
        <w:rPr>
          <w:rFonts w:ascii="Times New Roman" w:hAnsi="Times New Roman" w:cs="Times New Roman"/>
          <w:sz w:val="24"/>
          <w:lang w:val="ro-RO"/>
        </w:rPr>
        <w:t xml:space="preserve"> gestionarea cererii de energie</w:t>
      </w:r>
      <w:r w:rsidR="002733CB" w:rsidRPr="009C5F11">
        <w:rPr>
          <w:rFonts w:ascii="Times New Roman" w:hAnsi="Times New Roman" w:cs="Times New Roman"/>
          <w:sz w:val="24"/>
          <w:lang w:val="ro-RO"/>
        </w:rPr>
        <w:t>, tarif</w:t>
      </w:r>
      <w:r w:rsidRPr="009C5F11">
        <w:rPr>
          <w:rFonts w:ascii="Times New Roman" w:hAnsi="Times New Roman" w:cs="Times New Roman"/>
          <w:sz w:val="24"/>
          <w:lang w:val="ro-RO"/>
        </w:rPr>
        <w:t>elor şi a configuraţiei de reţea</w:t>
      </w:r>
      <w:r w:rsidR="002733CB" w:rsidRPr="009C5F11">
        <w:rPr>
          <w:rFonts w:ascii="Times New Roman" w:hAnsi="Times New Roman" w:cs="Times New Roman"/>
          <w:sz w:val="24"/>
          <w:lang w:val="ro-RO"/>
        </w:rPr>
        <w:t>;</w:t>
      </w:r>
    </w:p>
    <w:p w14:paraId="267A30E8" w14:textId="77777777" w:rsidR="002733CB" w:rsidRPr="009C5F11" w:rsidRDefault="002733CB" w:rsidP="00334F3B">
      <w:pPr>
        <w:numPr>
          <w:ilvl w:val="1"/>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Introduc</w:t>
      </w:r>
      <w:r w:rsidR="003826B8" w:rsidRPr="009C5F11">
        <w:rPr>
          <w:rFonts w:ascii="Times New Roman" w:hAnsi="Times New Roman" w:cs="Times New Roman"/>
          <w:sz w:val="24"/>
          <w:lang w:val="ro-RO"/>
        </w:rPr>
        <w:t xml:space="preserve">erea cerinţelor minime </w:t>
      </w:r>
      <w:r w:rsidR="00393CCD" w:rsidRPr="009C5F11">
        <w:rPr>
          <w:rFonts w:ascii="Times New Roman" w:hAnsi="Times New Roman" w:cs="Times New Roman"/>
          <w:sz w:val="24"/>
          <w:lang w:val="ro-RO"/>
        </w:rPr>
        <w:t>privind</w:t>
      </w:r>
      <w:r w:rsidR="003826B8" w:rsidRPr="009C5F11">
        <w:rPr>
          <w:rFonts w:ascii="Times New Roman" w:hAnsi="Times New Roman" w:cs="Times New Roman"/>
          <w:sz w:val="24"/>
          <w:lang w:val="ro-RO"/>
        </w:rPr>
        <w:t xml:space="preserve"> achiziţii</w:t>
      </w:r>
      <w:r w:rsidR="00034492" w:rsidRPr="009C5F11">
        <w:rPr>
          <w:rFonts w:ascii="Times New Roman" w:hAnsi="Times New Roman" w:cs="Times New Roman"/>
          <w:sz w:val="24"/>
          <w:lang w:val="ro-RO"/>
        </w:rPr>
        <w:t>le</w:t>
      </w:r>
      <w:r w:rsidR="003826B8" w:rsidRPr="009C5F11">
        <w:rPr>
          <w:rFonts w:ascii="Times New Roman" w:hAnsi="Times New Roman" w:cs="Times New Roman"/>
          <w:sz w:val="24"/>
          <w:lang w:val="ro-RO"/>
        </w:rPr>
        <w:t xml:space="preserve"> publice ce vizează </w:t>
      </w:r>
      <w:r w:rsidR="00491BB9" w:rsidRPr="009C5F11">
        <w:rPr>
          <w:rFonts w:ascii="Times New Roman" w:hAnsi="Times New Roman" w:cs="Times New Roman"/>
          <w:sz w:val="24"/>
          <w:lang w:val="ro-RO"/>
        </w:rPr>
        <w:t xml:space="preserve">domeniul </w:t>
      </w:r>
      <w:r w:rsidR="000C7BEC" w:rsidRPr="009C5F11">
        <w:rPr>
          <w:rFonts w:ascii="Times New Roman" w:hAnsi="Times New Roman" w:cs="Times New Roman"/>
          <w:sz w:val="24"/>
          <w:lang w:val="ro-RO"/>
        </w:rPr>
        <w:t>eficienţ</w:t>
      </w:r>
      <w:r w:rsidR="00491BB9" w:rsidRPr="009C5F11">
        <w:rPr>
          <w:rFonts w:ascii="Times New Roman" w:hAnsi="Times New Roman" w:cs="Times New Roman"/>
          <w:sz w:val="24"/>
          <w:lang w:val="ro-RO"/>
        </w:rPr>
        <w:t>ei</w:t>
      </w:r>
      <w:r w:rsidR="000C7BEC" w:rsidRPr="009C5F11">
        <w:rPr>
          <w:rFonts w:ascii="Times New Roman" w:hAnsi="Times New Roman" w:cs="Times New Roman"/>
          <w:sz w:val="24"/>
          <w:lang w:val="ro-RO"/>
        </w:rPr>
        <w:t xml:space="preserve"> energetic</w:t>
      </w:r>
      <w:r w:rsidR="00491BB9"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w:t>
      </w:r>
    </w:p>
    <w:p w14:paraId="38B307FA" w14:textId="6630AB30" w:rsidR="002733CB" w:rsidRPr="009C5F11" w:rsidRDefault="00491BB9"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Republica Moldova</w:t>
      </w:r>
      <w:r w:rsidR="0009611E" w:rsidRPr="009C5F11">
        <w:rPr>
          <w:rFonts w:ascii="Times New Roman" w:hAnsi="Times New Roman" w:cs="Times New Roman"/>
          <w:sz w:val="24"/>
          <w:lang w:val="ro-RO"/>
        </w:rPr>
        <w:t xml:space="preserve"> ar trebui să întocmească în timp util aceste </w:t>
      </w:r>
      <w:r w:rsidR="003826B8" w:rsidRPr="009C5F11">
        <w:rPr>
          <w:rFonts w:ascii="Times New Roman" w:hAnsi="Times New Roman" w:cs="Times New Roman"/>
          <w:sz w:val="24"/>
          <w:lang w:val="ro-RO"/>
        </w:rPr>
        <w:t>documente</w:t>
      </w:r>
      <w:r w:rsidR="002733CB" w:rsidRPr="009C5F11">
        <w:rPr>
          <w:rFonts w:ascii="Times New Roman" w:hAnsi="Times New Roman" w:cs="Times New Roman"/>
          <w:sz w:val="24"/>
          <w:lang w:val="ro-RO"/>
        </w:rPr>
        <w:t xml:space="preserve"> </w:t>
      </w:r>
      <w:r w:rsidR="0009611E" w:rsidRPr="009C5F11">
        <w:rPr>
          <w:rFonts w:ascii="Times New Roman" w:hAnsi="Times New Roman" w:cs="Times New Roman"/>
          <w:sz w:val="24"/>
          <w:lang w:val="ro-RO"/>
        </w:rPr>
        <w:t>prevăzute de d</w:t>
      </w:r>
      <w:r w:rsidR="002733CB" w:rsidRPr="009C5F11">
        <w:rPr>
          <w:rFonts w:ascii="Times New Roman" w:hAnsi="Times New Roman" w:cs="Times New Roman"/>
          <w:sz w:val="24"/>
          <w:lang w:val="ro-RO"/>
        </w:rPr>
        <w:t>irectiv</w:t>
      </w:r>
      <w:r w:rsidR="0009611E" w:rsidRPr="009C5F11">
        <w:rPr>
          <w:rFonts w:ascii="Times New Roman" w:hAnsi="Times New Roman" w:cs="Times New Roman"/>
          <w:sz w:val="24"/>
          <w:lang w:val="ro-RO"/>
        </w:rPr>
        <w:t xml:space="preserve">a sus-menţionată după cum a fost adaptată prin </w:t>
      </w:r>
      <w:r w:rsidR="00DB0059" w:rsidRPr="009C5F11">
        <w:rPr>
          <w:rFonts w:ascii="Times New Roman" w:hAnsi="Times New Roman" w:cs="Times New Roman"/>
          <w:sz w:val="24"/>
          <w:lang w:val="ro-RO"/>
        </w:rPr>
        <w:t>hotărârea</w:t>
      </w:r>
      <w:r w:rsidR="002733CB" w:rsidRPr="009C5F11">
        <w:rPr>
          <w:rFonts w:ascii="Times New Roman" w:hAnsi="Times New Roman" w:cs="Times New Roman"/>
          <w:sz w:val="24"/>
          <w:lang w:val="ro-RO"/>
        </w:rPr>
        <w:t xml:space="preserve"> En-MC, </w:t>
      </w:r>
      <w:r w:rsidR="0009611E" w:rsidRPr="009C5F11">
        <w:rPr>
          <w:rFonts w:ascii="Times New Roman" w:hAnsi="Times New Roman" w:cs="Times New Roman"/>
          <w:sz w:val="24"/>
          <w:lang w:val="ro-RO"/>
        </w:rPr>
        <w:t xml:space="preserve">termenul-limită </w:t>
      </w:r>
      <w:r w:rsidRPr="009C5F11">
        <w:rPr>
          <w:rFonts w:ascii="Times New Roman" w:hAnsi="Times New Roman" w:cs="Times New Roman"/>
          <w:sz w:val="24"/>
          <w:lang w:val="ro-RO"/>
        </w:rPr>
        <w:t xml:space="preserve">stabilit </w:t>
      </w:r>
      <w:r w:rsidR="0009611E" w:rsidRPr="009C5F11">
        <w:rPr>
          <w:rFonts w:ascii="Times New Roman" w:hAnsi="Times New Roman" w:cs="Times New Roman"/>
          <w:sz w:val="24"/>
          <w:lang w:val="ro-RO"/>
        </w:rPr>
        <w:t>fiind deja destul de aproape</w:t>
      </w:r>
      <w:r w:rsidR="002733CB" w:rsidRPr="009C5F11">
        <w:rPr>
          <w:rFonts w:ascii="Times New Roman" w:hAnsi="Times New Roman" w:cs="Times New Roman"/>
          <w:sz w:val="24"/>
          <w:lang w:val="ro-RO"/>
        </w:rPr>
        <w:t>.</w:t>
      </w:r>
    </w:p>
    <w:p w14:paraId="4745D78A" w14:textId="4BBD1B33" w:rsidR="00842C0F" w:rsidRPr="009C5F11" w:rsidRDefault="0022151F" w:rsidP="00334F3B">
      <w:pPr>
        <w:pStyle w:val="Listparagraf"/>
        <w:numPr>
          <w:ilvl w:val="0"/>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 xml:space="preserve">Acordarea atenţiei </w:t>
      </w:r>
      <w:r w:rsidR="008D07D1" w:rsidRPr="009C5F11">
        <w:rPr>
          <w:rFonts w:ascii="Times New Roman" w:hAnsi="Times New Roman" w:cs="Times New Roman"/>
          <w:sz w:val="24"/>
          <w:lang w:val="ro-RO"/>
        </w:rPr>
        <w:t xml:space="preserve">necesare </w:t>
      </w:r>
      <w:r w:rsidR="00034492" w:rsidRPr="009C5F11">
        <w:rPr>
          <w:rFonts w:ascii="Times New Roman" w:hAnsi="Times New Roman" w:cs="Times New Roman"/>
          <w:sz w:val="24"/>
          <w:lang w:val="ro-RO"/>
        </w:rPr>
        <w:t xml:space="preserve">demonstrării </w:t>
      </w:r>
      <w:r w:rsidRPr="009C5F11">
        <w:rPr>
          <w:rFonts w:ascii="Times New Roman" w:hAnsi="Times New Roman" w:cs="Times New Roman"/>
          <w:sz w:val="24"/>
          <w:lang w:val="ro-RO"/>
        </w:rPr>
        <w:t>rolului exemplar pe care urmează să</w:t>
      </w:r>
      <w:r w:rsidR="003A5D93" w:rsidRPr="009C5F11">
        <w:rPr>
          <w:rFonts w:ascii="Times New Roman" w:hAnsi="Times New Roman" w:cs="Times New Roman"/>
          <w:sz w:val="24"/>
          <w:lang w:val="ro-RO"/>
        </w:rPr>
        <w:t>-</w:t>
      </w:r>
      <w:r w:rsidRPr="009C5F11">
        <w:rPr>
          <w:rFonts w:ascii="Times New Roman" w:hAnsi="Times New Roman" w:cs="Times New Roman"/>
          <w:sz w:val="24"/>
          <w:lang w:val="ro-RO"/>
        </w:rPr>
        <w:t>l joace organismele publice.</w:t>
      </w:r>
    </w:p>
    <w:p w14:paraId="5D6A9B2E" w14:textId="77777777" w:rsidR="00842C0F" w:rsidRPr="009C5F11" w:rsidRDefault="003A5D93" w:rsidP="00334F3B">
      <w:pPr>
        <w:numPr>
          <w:ilvl w:val="0"/>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lastRenderedPageBreak/>
        <w:t xml:space="preserve">Acordarea atenţiei necesare obligaţiei </w:t>
      </w:r>
      <w:r w:rsidR="00491BB9" w:rsidRPr="009C5F11">
        <w:rPr>
          <w:rFonts w:ascii="Times New Roman" w:hAnsi="Times New Roman" w:cs="Times New Roman"/>
          <w:sz w:val="24"/>
          <w:lang w:val="ro-RO"/>
        </w:rPr>
        <w:t>G</w:t>
      </w:r>
      <w:r w:rsidRPr="009C5F11">
        <w:rPr>
          <w:rFonts w:ascii="Times New Roman" w:hAnsi="Times New Roman" w:cs="Times New Roman"/>
          <w:sz w:val="24"/>
          <w:lang w:val="ro-RO"/>
        </w:rPr>
        <w:t>uvernului de a elabora sisteme financiare</w:t>
      </w:r>
      <w:r w:rsidR="00842C0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atât </w:t>
      </w:r>
      <w:r w:rsidR="00842C0F" w:rsidRPr="009C5F11">
        <w:rPr>
          <w:rFonts w:ascii="Times New Roman" w:hAnsi="Times New Roman" w:cs="Times New Roman"/>
          <w:sz w:val="24"/>
          <w:lang w:val="ro-RO"/>
        </w:rPr>
        <w:t>simple</w:t>
      </w:r>
      <w:r w:rsidRPr="009C5F11">
        <w:rPr>
          <w:rFonts w:ascii="Times New Roman" w:hAnsi="Times New Roman" w:cs="Times New Roman"/>
          <w:sz w:val="24"/>
          <w:lang w:val="ro-RO"/>
        </w:rPr>
        <w:t>, cât şi mai</w:t>
      </w:r>
      <w:r w:rsidR="00842C0F" w:rsidRPr="009C5F11">
        <w:rPr>
          <w:rFonts w:ascii="Times New Roman" w:hAnsi="Times New Roman" w:cs="Times New Roman"/>
          <w:sz w:val="24"/>
          <w:lang w:val="ro-RO"/>
        </w:rPr>
        <w:t xml:space="preserve"> inovative) </w:t>
      </w:r>
      <w:r w:rsidRPr="009C5F11">
        <w:rPr>
          <w:rFonts w:ascii="Times New Roman" w:hAnsi="Times New Roman" w:cs="Times New Roman"/>
          <w:sz w:val="24"/>
          <w:lang w:val="ro-RO"/>
        </w:rPr>
        <w:t xml:space="preserve">în susţinerea sectoarelor </w:t>
      </w:r>
      <w:r w:rsidR="00842C0F" w:rsidRPr="009C5F11">
        <w:rPr>
          <w:rFonts w:ascii="Times New Roman" w:hAnsi="Times New Roman" w:cs="Times New Roman"/>
          <w:sz w:val="24"/>
          <w:lang w:val="ro-RO"/>
        </w:rPr>
        <w:t>/ categori</w:t>
      </w:r>
      <w:r w:rsidRPr="009C5F11">
        <w:rPr>
          <w:rFonts w:ascii="Times New Roman" w:hAnsi="Times New Roman" w:cs="Times New Roman"/>
          <w:sz w:val="24"/>
          <w:lang w:val="ro-RO"/>
        </w:rPr>
        <w:t>ilor</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vizate </w:t>
      </w:r>
      <w:r w:rsidR="00321CD5" w:rsidRPr="009C5F11">
        <w:rPr>
          <w:rFonts w:ascii="Times New Roman" w:hAnsi="Times New Roman" w:cs="Times New Roman"/>
          <w:sz w:val="24"/>
          <w:lang w:val="ro-RO"/>
        </w:rPr>
        <w:t xml:space="preserve">în </w:t>
      </w:r>
      <w:r w:rsidR="00532A33" w:rsidRPr="009C5F11">
        <w:rPr>
          <w:rFonts w:ascii="Times New Roman" w:hAnsi="Times New Roman" w:cs="Times New Roman"/>
          <w:sz w:val="24"/>
          <w:lang w:val="ro-RO"/>
        </w:rPr>
        <w:t>implementarea</w:t>
      </w:r>
      <w:r w:rsidR="00842C0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măsurilor</w:t>
      </w:r>
      <w:r w:rsidR="00033C99" w:rsidRPr="009C5F11">
        <w:rPr>
          <w:rFonts w:ascii="Times New Roman" w:hAnsi="Times New Roman" w:cs="Times New Roman"/>
          <w:sz w:val="24"/>
          <w:lang w:val="ro-RO"/>
        </w:rPr>
        <w:t xml:space="preserve"> de eficienţă energetică</w:t>
      </w:r>
      <w:r w:rsidR="00842C0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asigurarea sprijinului din partea băncilor şi atragerea granturilor</w:t>
      </w:r>
      <w:r w:rsidR="00842C0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se va acorda atenţia cuvenită consumatorilor </w:t>
      </w:r>
      <w:r w:rsidR="00842C0F" w:rsidRPr="009C5F11">
        <w:rPr>
          <w:rFonts w:ascii="Times New Roman" w:hAnsi="Times New Roman" w:cs="Times New Roman"/>
          <w:sz w:val="24"/>
          <w:lang w:val="ro-RO"/>
        </w:rPr>
        <w:t>vulnerab</w:t>
      </w:r>
      <w:r w:rsidRPr="009C5F11">
        <w:rPr>
          <w:rFonts w:ascii="Times New Roman" w:hAnsi="Times New Roman" w:cs="Times New Roman"/>
          <w:sz w:val="24"/>
          <w:lang w:val="ro-RO"/>
        </w:rPr>
        <w:t>i</w:t>
      </w:r>
      <w:r w:rsidR="00842C0F" w:rsidRPr="009C5F11">
        <w:rPr>
          <w:rFonts w:ascii="Times New Roman" w:hAnsi="Times New Roman" w:cs="Times New Roman"/>
          <w:sz w:val="24"/>
          <w:lang w:val="ro-RO"/>
        </w:rPr>
        <w:t>l</w:t>
      </w:r>
      <w:r w:rsidRPr="009C5F11">
        <w:rPr>
          <w:rFonts w:ascii="Times New Roman" w:hAnsi="Times New Roman" w:cs="Times New Roman"/>
          <w:sz w:val="24"/>
          <w:lang w:val="ro-RO"/>
        </w:rPr>
        <w:t>i</w:t>
      </w:r>
      <w:r w:rsidR="00842C0F" w:rsidRPr="009C5F11">
        <w:rPr>
          <w:rFonts w:ascii="Times New Roman" w:hAnsi="Times New Roman" w:cs="Times New Roman"/>
          <w:sz w:val="24"/>
          <w:lang w:val="ro-RO"/>
        </w:rPr>
        <w:t>;</w:t>
      </w:r>
    </w:p>
    <w:p w14:paraId="5DD00994" w14:textId="77777777" w:rsidR="00DD325D" w:rsidRPr="009C5F11" w:rsidRDefault="003A5D93" w:rsidP="00334F3B">
      <w:pPr>
        <w:numPr>
          <w:ilvl w:val="0"/>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 xml:space="preserve">Ţinând cont de potenţialul </w:t>
      </w:r>
      <w:r w:rsidR="00034492" w:rsidRPr="009C5F11">
        <w:rPr>
          <w:rFonts w:ascii="Times New Roman" w:hAnsi="Times New Roman" w:cs="Times New Roman"/>
          <w:sz w:val="24"/>
          <w:lang w:val="ro-RO"/>
        </w:rPr>
        <w:t>semnificativ</w:t>
      </w:r>
      <w:r w:rsidRPr="009C5F11">
        <w:rPr>
          <w:rFonts w:ascii="Times New Roman" w:hAnsi="Times New Roman" w:cs="Times New Roman"/>
          <w:sz w:val="24"/>
          <w:lang w:val="ro-RO"/>
        </w:rPr>
        <w:t xml:space="preserve"> </w:t>
      </w:r>
      <w:r w:rsidR="00127E34" w:rsidRPr="009C5F11">
        <w:rPr>
          <w:rFonts w:ascii="Times New Roman" w:hAnsi="Times New Roman" w:cs="Times New Roman"/>
          <w:sz w:val="24"/>
          <w:lang w:val="ro-RO"/>
        </w:rPr>
        <w:t xml:space="preserve">de reducere a consumului </w:t>
      </w:r>
      <w:r w:rsidR="00491BB9" w:rsidRPr="009C5F11">
        <w:rPr>
          <w:rFonts w:ascii="Times New Roman" w:hAnsi="Times New Roman" w:cs="Times New Roman"/>
          <w:sz w:val="24"/>
          <w:lang w:val="ro-RO"/>
        </w:rPr>
        <w:t xml:space="preserve">de </w:t>
      </w:r>
      <w:r w:rsidR="00127E34" w:rsidRPr="009C5F11">
        <w:rPr>
          <w:rFonts w:ascii="Times New Roman" w:hAnsi="Times New Roman" w:cs="Times New Roman"/>
          <w:sz w:val="24"/>
          <w:lang w:val="ro-RO"/>
        </w:rPr>
        <w:t>energ</w:t>
      </w:r>
      <w:r w:rsidR="00491BB9" w:rsidRPr="009C5F11">
        <w:rPr>
          <w:rFonts w:ascii="Times New Roman" w:hAnsi="Times New Roman" w:cs="Times New Roman"/>
          <w:sz w:val="24"/>
          <w:lang w:val="ro-RO"/>
        </w:rPr>
        <w:t>ie</w:t>
      </w:r>
      <w:r w:rsidRPr="009C5F11">
        <w:rPr>
          <w:rFonts w:ascii="Times New Roman" w:hAnsi="Times New Roman" w:cs="Times New Roman"/>
          <w:sz w:val="24"/>
          <w:lang w:val="ro-RO"/>
        </w:rPr>
        <w:t xml:space="preserve"> al sectorului </w:t>
      </w:r>
      <w:r w:rsidR="00AB1710" w:rsidRPr="009C5F11">
        <w:rPr>
          <w:rFonts w:ascii="Times New Roman" w:hAnsi="Times New Roman" w:cs="Times New Roman"/>
          <w:sz w:val="24"/>
          <w:lang w:val="ro-RO"/>
        </w:rPr>
        <w:t>rezidenţial</w:t>
      </w:r>
      <w:r w:rsidR="00DD325D" w:rsidRPr="009C5F11">
        <w:rPr>
          <w:rFonts w:ascii="Times New Roman" w:hAnsi="Times New Roman" w:cs="Times New Roman"/>
          <w:sz w:val="24"/>
          <w:lang w:val="ro-RO"/>
        </w:rPr>
        <w:t xml:space="preserve">, </w:t>
      </w:r>
      <w:r w:rsidR="00034492" w:rsidRPr="009C5F11">
        <w:rPr>
          <w:rFonts w:ascii="Times New Roman" w:hAnsi="Times New Roman" w:cs="Times New Roman"/>
          <w:sz w:val="24"/>
          <w:lang w:val="ro-RO"/>
        </w:rPr>
        <w:t xml:space="preserve">cel de al doilea </w:t>
      </w:r>
      <w:r w:rsidRPr="009C5F11">
        <w:rPr>
          <w:rFonts w:ascii="Times New Roman" w:hAnsi="Times New Roman" w:cs="Times New Roman"/>
          <w:sz w:val="24"/>
          <w:lang w:val="ro-RO"/>
        </w:rPr>
        <w:t>PNAEE</w:t>
      </w:r>
      <w:r w:rsidR="00491BB9" w:rsidRPr="009C5F11">
        <w:rPr>
          <w:rFonts w:ascii="Times New Roman" w:hAnsi="Times New Roman" w:cs="Times New Roman"/>
          <w:sz w:val="24"/>
          <w:lang w:val="ro-RO"/>
        </w:rPr>
        <w:t xml:space="preserve"> </w:t>
      </w:r>
      <w:r w:rsidR="00DD325D" w:rsidRPr="009C5F11">
        <w:rPr>
          <w:rFonts w:ascii="Times New Roman" w:hAnsi="Times New Roman" w:cs="Times New Roman"/>
          <w:sz w:val="24"/>
          <w:lang w:val="ro-RO"/>
        </w:rPr>
        <w:t xml:space="preserve">introduce </w:t>
      </w:r>
      <w:r w:rsidR="00491BB9" w:rsidRPr="009C5F11">
        <w:rPr>
          <w:rFonts w:ascii="Times New Roman" w:hAnsi="Times New Roman" w:cs="Times New Roman"/>
          <w:sz w:val="24"/>
          <w:lang w:val="ro-RO"/>
        </w:rPr>
        <w:t>cerinţa</w:t>
      </w:r>
      <w:r w:rsidRPr="009C5F11">
        <w:rPr>
          <w:rFonts w:ascii="Times New Roman" w:hAnsi="Times New Roman" w:cs="Times New Roman"/>
          <w:sz w:val="24"/>
          <w:lang w:val="ro-RO"/>
        </w:rPr>
        <w:t xml:space="preserve"> de a acorda atenţie consumatorilor</w:t>
      </w:r>
      <w:r w:rsidR="00DD325D" w:rsidRPr="009C5F11">
        <w:rPr>
          <w:rFonts w:ascii="Times New Roman" w:hAnsi="Times New Roman" w:cs="Times New Roman"/>
          <w:sz w:val="24"/>
          <w:lang w:val="ro-RO"/>
        </w:rPr>
        <w:t xml:space="preserve"> vulnerab</w:t>
      </w:r>
      <w:r w:rsidRPr="009C5F11">
        <w:rPr>
          <w:rFonts w:ascii="Times New Roman" w:hAnsi="Times New Roman" w:cs="Times New Roman"/>
          <w:sz w:val="24"/>
          <w:lang w:val="ro-RO"/>
        </w:rPr>
        <w:t>i</w:t>
      </w:r>
      <w:r w:rsidR="00DD325D" w:rsidRPr="009C5F11">
        <w:rPr>
          <w:rFonts w:ascii="Times New Roman" w:hAnsi="Times New Roman" w:cs="Times New Roman"/>
          <w:sz w:val="24"/>
          <w:lang w:val="ro-RO"/>
        </w:rPr>
        <w:t>l</w:t>
      </w:r>
      <w:r w:rsidRPr="009C5F11">
        <w:rPr>
          <w:rFonts w:ascii="Times New Roman" w:hAnsi="Times New Roman" w:cs="Times New Roman"/>
          <w:sz w:val="24"/>
          <w:lang w:val="ro-RO"/>
        </w:rPr>
        <w:t>i</w:t>
      </w:r>
      <w:r w:rsidR="00DD325D" w:rsidRPr="009C5F11">
        <w:rPr>
          <w:rStyle w:val="Referinnotdesubsol"/>
          <w:rFonts w:ascii="Times New Roman" w:hAnsi="Times New Roman" w:cs="Times New Roman"/>
          <w:sz w:val="24"/>
          <w:lang w:val="ro-RO"/>
        </w:rPr>
        <w:footnoteReference w:id="11"/>
      </w:r>
      <w:r w:rsidR="00321CD5" w:rsidRPr="009C5F11">
        <w:rPr>
          <w:rFonts w:ascii="Times New Roman" w:hAnsi="Times New Roman" w:cs="Times New Roman"/>
          <w:sz w:val="24"/>
          <w:lang w:val="ro-RO"/>
        </w:rPr>
        <w:t xml:space="preserve"> şi </w:t>
      </w:r>
      <w:r w:rsidR="00595E25" w:rsidRPr="009C5F11">
        <w:rPr>
          <w:rFonts w:ascii="Times New Roman" w:hAnsi="Times New Roman" w:cs="Times New Roman"/>
          <w:sz w:val="24"/>
          <w:lang w:val="ro-RO"/>
        </w:rPr>
        <w:t xml:space="preserve">sărăciei energetice existente a </w:t>
      </w:r>
      <w:r w:rsidR="00DD325D" w:rsidRPr="009C5F11">
        <w:rPr>
          <w:rFonts w:ascii="Times New Roman" w:hAnsi="Times New Roman" w:cs="Times New Roman"/>
          <w:sz w:val="24"/>
          <w:lang w:val="ro-RO"/>
        </w:rPr>
        <w:t>popula</w:t>
      </w:r>
      <w:r w:rsidR="00595E25" w:rsidRPr="009C5F11">
        <w:rPr>
          <w:rFonts w:ascii="Times New Roman" w:hAnsi="Times New Roman" w:cs="Times New Roman"/>
          <w:sz w:val="24"/>
          <w:lang w:val="ro-RO"/>
        </w:rPr>
        <w:t>ţiei</w:t>
      </w:r>
      <w:r w:rsidR="00DD325D" w:rsidRPr="009C5F11">
        <w:rPr>
          <w:rFonts w:ascii="Times New Roman" w:hAnsi="Times New Roman" w:cs="Times New Roman"/>
          <w:sz w:val="24"/>
          <w:lang w:val="ro-RO"/>
        </w:rPr>
        <w:t>:</w:t>
      </w:r>
    </w:p>
    <w:p w14:paraId="110C52C1" w14:textId="77777777" w:rsidR="00DD325D" w:rsidRPr="009C5F11" w:rsidRDefault="00DB0059" w:rsidP="00334F3B">
      <w:pPr>
        <w:pStyle w:val="Listparagraf"/>
        <w:numPr>
          <w:ilvl w:val="1"/>
          <w:numId w:val="45"/>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Îmbunătățirea</w:t>
      </w:r>
      <w:r w:rsidR="00595E25" w:rsidRPr="009C5F11">
        <w:rPr>
          <w:rFonts w:ascii="Times New Roman" w:hAnsi="Times New Roman" w:cs="Times New Roman"/>
          <w:sz w:val="24"/>
          <w:lang w:val="ro-RO"/>
        </w:rPr>
        <w:t xml:space="preserve"> e</w:t>
      </w:r>
      <w:r w:rsidR="00FD5F1C" w:rsidRPr="009C5F11">
        <w:rPr>
          <w:rFonts w:ascii="Times New Roman" w:hAnsi="Times New Roman" w:cs="Times New Roman"/>
          <w:sz w:val="24"/>
          <w:lang w:val="ro-RO"/>
        </w:rPr>
        <w:t>ficienţ</w:t>
      </w:r>
      <w:r w:rsidR="00595E25" w:rsidRPr="009C5F11">
        <w:rPr>
          <w:rFonts w:ascii="Times New Roman" w:hAnsi="Times New Roman" w:cs="Times New Roman"/>
          <w:sz w:val="24"/>
          <w:lang w:val="ro-RO"/>
        </w:rPr>
        <w:t>ei</w:t>
      </w:r>
      <w:r w:rsidR="00FD5F1C" w:rsidRPr="009C5F11">
        <w:rPr>
          <w:rFonts w:ascii="Times New Roman" w:hAnsi="Times New Roman" w:cs="Times New Roman"/>
          <w:sz w:val="24"/>
          <w:lang w:val="ro-RO"/>
        </w:rPr>
        <w:t xml:space="preserve"> energetic</w:t>
      </w:r>
      <w:r w:rsidR="00595E25" w:rsidRPr="009C5F11">
        <w:rPr>
          <w:rFonts w:ascii="Times New Roman" w:hAnsi="Times New Roman" w:cs="Times New Roman"/>
          <w:sz w:val="24"/>
          <w:lang w:val="ro-RO"/>
        </w:rPr>
        <w:t>e în blocurile locative din zonele urbane;</w:t>
      </w:r>
      <w:r w:rsidR="00DD325D" w:rsidRPr="009C5F11">
        <w:rPr>
          <w:rFonts w:ascii="Times New Roman" w:hAnsi="Times New Roman" w:cs="Times New Roman"/>
          <w:sz w:val="24"/>
          <w:lang w:val="ro-RO"/>
        </w:rPr>
        <w:t xml:space="preserve"> </w:t>
      </w:r>
    </w:p>
    <w:p w14:paraId="20CF5D61" w14:textId="77777777" w:rsidR="00DD325D" w:rsidRPr="009C5F11" w:rsidRDefault="00595E25" w:rsidP="00334F3B">
      <w:pPr>
        <w:pStyle w:val="Listparagraf"/>
        <w:numPr>
          <w:ilvl w:val="1"/>
          <w:numId w:val="45"/>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Utilizarea eficientă a </w:t>
      </w:r>
      <w:r w:rsidR="00DD325D" w:rsidRPr="009C5F11">
        <w:rPr>
          <w:rFonts w:ascii="Times New Roman" w:hAnsi="Times New Roman" w:cs="Times New Roman"/>
          <w:sz w:val="24"/>
          <w:lang w:val="ro-RO"/>
        </w:rPr>
        <w:t>biomas</w:t>
      </w:r>
      <w:r w:rsidRPr="009C5F11">
        <w:rPr>
          <w:rFonts w:ascii="Times New Roman" w:hAnsi="Times New Roman" w:cs="Times New Roman"/>
          <w:sz w:val="24"/>
          <w:lang w:val="ro-RO"/>
        </w:rPr>
        <w:t xml:space="preserve">ei în zonele rurale. </w:t>
      </w:r>
    </w:p>
    <w:p w14:paraId="4E3E0C9B" w14:textId="42E6C238" w:rsidR="00DD325D" w:rsidRPr="009C5F11" w:rsidRDefault="00D666B5"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 xml:space="preserve">Va </w:t>
      </w:r>
      <w:r w:rsidR="00DB0059" w:rsidRPr="009C5F11">
        <w:rPr>
          <w:rFonts w:ascii="Times New Roman" w:hAnsi="Times New Roman" w:cs="Times New Roman"/>
          <w:sz w:val="24"/>
          <w:lang w:val="ro-RO"/>
        </w:rPr>
        <w:t>fi</w:t>
      </w:r>
      <w:r w:rsidRPr="009C5F11">
        <w:rPr>
          <w:rFonts w:ascii="Times New Roman" w:hAnsi="Times New Roman" w:cs="Times New Roman"/>
          <w:sz w:val="24"/>
          <w:lang w:val="ro-RO"/>
        </w:rPr>
        <w:t xml:space="preserve"> acordată atenţia cuvenită adoptării legislaţiei necesare pentru a asigura conformitatea cu cerinţele </w:t>
      </w:r>
      <w:r w:rsidR="00CB011F" w:rsidRPr="009C5F11">
        <w:rPr>
          <w:rFonts w:ascii="Times New Roman" w:hAnsi="Times New Roman" w:cs="Times New Roman"/>
          <w:sz w:val="24"/>
          <w:lang w:val="ro-RO"/>
        </w:rPr>
        <w:t>DEE</w:t>
      </w:r>
      <w:r w:rsidR="00DD325D"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pe de o parte, iar, pe de altă parte, </w:t>
      </w:r>
      <w:r w:rsidR="00491BB9" w:rsidRPr="009C5F11">
        <w:rPr>
          <w:rFonts w:ascii="Times New Roman" w:hAnsi="Times New Roman" w:cs="Times New Roman"/>
          <w:sz w:val="24"/>
          <w:lang w:val="ro-RO"/>
        </w:rPr>
        <w:t xml:space="preserve">care </w:t>
      </w:r>
      <w:r w:rsidRPr="009C5F11">
        <w:rPr>
          <w:rFonts w:ascii="Times New Roman" w:hAnsi="Times New Roman" w:cs="Times New Roman"/>
          <w:sz w:val="24"/>
          <w:lang w:val="ro-RO"/>
        </w:rPr>
        <w:t xml:space="preserve">constituie o </w:t>
      </w:r>
      <w:r w:rsidR="00034492" w:rsidRPr="009C5F11">
        <w:rPr>
          <w:rFonts w:ascii="Times New Roman" w:hAnsi="Times New Roman" w:cs="Times New Roman"/>
          <w:sz w:val="24"/>
          <w:lang w:val="ro-RO"/>
        </w:rPr>
        <w:t>necesitate</w:t>
      </w:r>
      <w:r w:rsidRPr="009C5F11">
        <w:rPr>
          <w:rFonts w:ascii="Times New Roman" w:hAnsi="Times New Roman" w:cs="Times New Roman"/>
          <w:sz w:val="24"/>
          <w:lang w:val="ro-RO"/>
        </w:rPr>
        <w:t xml:space="preserve"> pentru </w:t>
      </w:r>
      <w:r w:rsidR="00532A33" w:rsidRPr="009C5F11">
        <w:rPr>
          <w:rFonts w:ascii="Times New Roman" w:hAnsi="Times New Roman" w:cs="Times New Roman"/>
          <w:sz w:val="24"/>
          <w:lang w:val="ro-RO"/>
        </w:rPr>
        <w:t>implementarea</w:t>
      </w:r>
      <w:r w:rsidRPr="009C5F11">
        <w:rPr>
          <w:rFonts w:ascii="Times New Roman" w:hAnsi="Times New Roman" w:cs="Times New Roman"/>
          <w:sz w:val="24"/>
          <w:lang w:val="ro-RO"/>
        </w:rPr>
        <w:t xml:space="preserve"> ef</w:t>
      </w:r>
      <w:r w:rsidR="00034492" w:rsidRPr="009C5F11">
        <w:rPr>
          <w:rFonts w:ascii="Times New Roman" w:hAnsi="Times New Roman" w:cs="Times New Roman"/>
          <w:sz w:val="24"/>
          <w:lang w:val="ro-RO"/>
        </w:rPr>
        <w:t>ectivă</w:t>
      </w:r>
      <w:r w:rsidRPr="009C5F11">
        <w:rPr>
          <w:rFonts w:ascii="Times New Roman" w:hAnsi="Times New Roman" w:cs="Times New Roman"/>
          <w:sz w:val="24"/>
          <w:lang w:val="ro-RO"/>
        </w:rPr>
        <w:t xml:space="preserve"> a </w:t>
      </w:r>
      <w:r w:rsidR="003A5D93" w:rsidRPr="009C5F11">
        <w:rPr>
          <w:rFonts w:ascii="Times New Roman" w:hAnsi="Times New Roman" w:cs="Times New Roman"/>
          <w:sz w:val="24"/>
          <w:lang w:val="ro-RO"/>
        </w:rPr>
        <w:t>măsurilor</w:t>
      </w:r>
      <w:r w:rsidR="00033C99" w:rsidRPr="009C5F11">
        <w:rPr>
          <w:rFonts w:ascii="Times New Roman" w:hAnsi="Times New Roman" w:cs="Times New Roman"/>
          <w:sz w:val="24"/>
          <w:lang w:val="ro-RO"/>
        </w:rPr>
        <w:t xml:space="preserve"> de eficienţă energetică</w:t>
      </w:r>
      <w:r w:rsidR="00DD325D" w:rsidRPr="009C5F11">
        <w:rPr>
          <w:rFonts w:ascii="Times New Roman" w:hAnsi="Times New Roman" w:cs="Times New Roman"/>
          <w:sz w:val="24"/>
          <w:lang w:val="ro-RO"/>
        </w:rPr>
        <w:t>.</w:t>
      </w:r>
    </w:p>
    <w:p w14:paraId="3D768341" w14:textId="77777777" w:rsidR="002733CB" w:rsidRPr="009C5F11" w:rsidRDefault="00034492" w:rsidP="00334F3B">
      <w:pPr>
        <w:numPr>
          <w:ilvl w:val="0"/>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 xml:space="preserve">Cel de al doilea </w:t>
      </w:r>
      <w:r w:rsidR="009360C8" w:rsidRPr="009C5F11">
        <w:rPr>
          <w:rFonts w:ascii="Times New Roman" w:hAnsi="Times New Roman" w:cs="Times New Roman"/>
          <w:sz w:val="24"/>
          <w:lang w:val="ro-RO"/>
        </w:rPr>
        <w:t>PNAEE</w:t>
      </w:r>
      <w:r w:rsidR="00491BB9" w:rsidRPr="009C5F11">
        <w:rPr>
          <w:rFonts w:ascii="Times New Roman" w:hAnsi="Times New Roman" w:cs="Times New Roman"/>
          <w:sz w:val="24"/>
          <w:lang w:val="ro-RO"/>
        </w:rPr>
        <w:t xml:space="preserve"> presupune</w:t>
      </w:r>
      <w:r w:rsidR="00D666B5" w:rsidRPr="009C5F11">
        <w:rPr>
          <w:rFonts w:ascii="Times New Roman" w:hAnsi="Times New Roman" w:cs="Times New Roman"/>
          <w:sz w:val="24"/>
          <w:lang w:val="ro-RO"/>
        </w:rPr>
        <w:t xml:space="preserve"> dezvoltarea pieţei </w:t>
      </w:r>
      <w:r w:rsidR="002733CB" w:rsidRPr="009C5F11">
        <w:rPr>
          <w:rFonts w:ascii="Times New Roman" w:hAnsi="Times New Roman" w:cs="Times New Roman"/>
          <w:sz w:val="24"/>
          <w:lang w:val="ro-RO"/>
        </w:rPr>
        <w:t xml:space="preserve">ESCO </w:t>
      </w:r>
      <w:r w:rsidR="00D666B5" w:rsidRPr="009C5F11">
        <w:rPr>
          <w:rFonts w:ascii="Times New Roman" w:hAnsi="Times New Roman" w:cs="Times New Roman"/>
          <w:sz w:val="24"/>
          <w:lang w:val="ro-RO"/>
        </w:rPr>
        <w:t xml:space="preserve">prin aplicarea contractelor de performanţă energetică (CPE) şi </w:t>
      </w:r>
      <w:r w:rsidR="00491BB9" w:rsidRPr="009C5F11">
        <w:rPr>
          <w:rFonts w:ascii="Times New Roman" w:hAnsi="Times New Roman" w:cs="Times New Roman"/>
          <w:sz w:val="24"/>
          <w:lang w:val="ro-RO"/>
        </w:rPr>
        <w:t>dezvoltarea</w:t>
      </w:r>
      <w:r w:rsidR="00D666B5" w:rsidRPr="009C5F11">
        <w:rPr>
          <w:rFonts w:ascii="Times New Roman" w:hAnsi="Times New Roman" w:cs="Times New Roman"/>
          <w:sz w:val="24"/>
          <w:lang w:val="ro-RO"/>
        </w:rPr>
        <w:t xml:space="preserve"> companiilor de servicii energetice (companii </w:t>
      </w:r>
      <w:r w:rsidR="002733CB" w:rsidRPr="009C5F11">
        <w:rPr>
          <w:rFonts w:ascii="Times New Roman" w:hAnsi="Times New Roman" w:cs="Times New Roman"/>
          <w:sz w:val="24"/>
          <w:lang w:val="ro-RO"/>
        </w:rPr>
        <w:t>ESCO</w:t>
      </w:r>
      <w:r w:rsidR="00D666B5"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precum şi</w:t>
      </w:r>
      <w:r w:rsidR="002733CB" w:rsidRPr="009C5F11">
        <w:rPr>
          <w:rFonts w:ascii="Times New Roman" w:hAnsi="Times New Roman" w:cs="Times New Roman"/>
          <w:sz w:val="24"/>
          <w:lang w:val="ro-RO"/>
        </w:rPr>
        <w:t xml:space="preserve"> demonstra</w:t>
      </w:r>
      <w:r w:rsidR="00D666B5" w:rsidRPr="009C5F11">
        <w:rPr>
          <w:rFonts w:ascii="Times New Roman" w:hAnsi="Times New Roman" w:cs="Times New Roman"/>
          <w:sz w:val="24"/>
          <w:lang w:val="ro-RO"/>
        </w:rPr>
        <w:t xml:space="preserve">rea rolului </w:t>
      </w:r>
      <w:r w:rsidR="00604870" w:rsidRPr="009C5F11">
        <w:rPr>
          <w:rFonts w:ascii="Times New Roman" w:hAnsi="Times New Roman" w:cs="Times New Roman"/>
          <w:sz w:val="24"/>
          <w:lang w:val="ro-RO"/>
        </w:rPr>
        <w:t>principal</w:t>
      </w:r>
      <w:r w:rsidR="00D666B5" w:rsidRPr="009C5F11">
        <w:rPr>
          <w:rFonts w:ascii="Times New Roman" w:hAnsi="Times New Roman" w:cs="Times New Roman"/>
          <w:sz w:val="24"/>
          <w:lang w:val="ro-RO"/>
        </w:rPr>
        <w:t xml:space="preserve"> al organismelor </w:t>
      </w:r>
      <w:r w:rsidR="002733CB" w:rsidRPr="009C5F11">
        <w:rPr>
          <w:rFonts w:ascii="Times New Roman" w:hAnsi="Times New Roman" w:cs="Times New Roman"/>
          <w:sz w:val="24"/>
          <w:lang w:val="ro-RO"/>
        </w:rPr>
        <w:t>public</w:t>
      </w:r>
      <w:r w:rsidR="00D666B5" w:rsidRPr="009C5F11">
        <w:rPr>
          <w:rFonts w:ascii="Times New Roman" w:hAnsi="Times New Roman" w:cs="Times New Roman"/>
          <w:sz w:val="24"/>
          <w:lang w:val="ro-RO"/>
        </w:rPr>
        <w:t>e</w:t>
      </w:r>
      <w:r w:rsidR="002733CB"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şi </w:t>
      </w:r>
      <w:r w:rsidR="00604870" w:rsidRPr="009C5F11">
        <w:rPr>
          <w:rFonts w:ascii="Times New Roman" w:hAnsi="Times New Roman" w:cs="Times New Roman"/>
          <w:sz w:val="24"/>
          <w:lang w:val="ro-RO"/>
        </w:rPr>
        <w:t xml:space="preserve">creşterea eficientei în </w:t>
      </w:r>
      <w:r w:rsidR="00D666B5" w:rsidRPr="009C5F11">
        <w:rPr>
          <w:rFonts w:ascii="Times New Roman" w:hAnsi="Times New Roman" w:cs="Times New Roman"/>
          <w:sz w:val="24"/>
          <w:lang w:val="ro-RO"/>
        </w:rPr>
        <w:t>utilizarea  potenţialului natural de biomasă de care ţara dispune</w:t>
      </w:r>
      <w:r w:rsidR="002733CB" w:rsidRPr="009C5F11">
        <w:rPr>
          <w:rFonts w:ascii="Times New Roman" w:hAnsi="Times New Roman" w:cs="Times New Roman"/>
          <w:sz w:val="24"/>
          <w:lang w:val="ro-RO"/>
        </w:rPr>
        <w:t>.</w:t>
      </w:r>
    </w:p>
    <w:p w14:paraId="06963281" w14:textId="77777777" w:rsidR="002733CB" w:rsidRPr="009C5F11" w:rsidRDefault="00DB0059" w:rsidP="00334F3B">
      <w:pPr>
        <w:numPr>
          <w:ilvl w:val="0"/>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 xml:space="preserve">Restructurarea sistemului de transporturi, iluminare publică şi de alimentare cu apă potabilă şi evacuare a apelor uzate prevăzute de PNAEE reprezintă îndeplinirea intenţiilor declarate / strategiilor elaborate/ proiectelor întocmite, deja existente, dar care nu beneficiază de </w:t>
      </w:r>
      <w:r w:rsidR="00604870" w:rsidRPr="009C5F11">
        <w:rPr>
          <w:rFonts w:ascii="Times New Roman" w:hAnsi="Times New Roman" w:cs="Times New Roman"/>
          <w:sz w:val="24"/>
          <w:lang w:val="ro-RO"/>
        </w:rPr>
        <w:t xml:space="preserve">o </w:t>
      </w:r>
      <w:r w:rsidRPr="009C5F11">
        <w:rPr>
          <w:rFonts w:ascii="Times New Roman" w:hAnsi="Times New Roman" w:cs="Times New Roman"/>
          <w:sz w:val="24"/>
          <w:lang w:val="ro-RO"/>
        </w:rPr>
        <w:t xml:space="preserve">dezvoltare suficient de rapidă care să genereze rezultate tangibile </w:t>
      </w:r>
      <w:r w:rsidR="00491BB9" w:rsidRPr="009C5F11">
        <w:rPr>
          <w:rFonts w:ascii="Times New Roman" w:hAnsi="Times New Roman" w:cs="Times New Roman"/>
          <w:sz w:val="24"/>
          <w:lang w:val="ro-RO"/>
        </w:rPr>
        <w:t>în termeni de</w:t>
      </w:r>
      <w:r w:rsidRPr="009C5F11">
        <w:rPr>
          <w:rFonts w:ascii="Times New Roman" w:hAnsi="Times New Roman" w:cs="Times New Roman"/>
          <w:sz w:val="24"/>
          <w:lang w:val="ro-RO"/>
        </w:rPr>
        <w:t xml:space="preserve"> economii de energie.</w:t>
      </w:r>
    </w:p>
    <w:p w14:paraId="4B1C22D4" w14:textId="77777777" w:rsidR="002733CB" w:rsidRPr="009C5F11" w:rsidRDefault="00D666B5" w:rsidP="00334F3B">
      <w:pPr>
        <w:numPr>
          <w:ilvl w:val="0"/>
          <w:numId w:val="45"/>
        </w:num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 xml:space="preserve">Încă un punct central al </w:t>
      </w:r>
      <w:r w:rsidR="003A5D93" w:rsidRPr="009C5F11">
        <w:rPr>
          <w:rFonts w:ascii="Times New Roman" w:hAnsi="Times New Roman" w:cs="Times New Roman"/>
          <w:sz w:val="24"/>
          <w:lang w:val="ro-RO"/>
        </w:rPr>
        <w:t>cel</w:t>
      </w:r>
      <w:r w:rsidRPr="009C5F11">
        <w:rPr>
          <w:rFonts w:ascii="Times New Roman" w:hAnsi="Times New Roman" w:cs="Times New Roman"/>
          <w:sz w:val="24"/>
          <w:lang w:val="ro-RO"/>
        </w:rPr>
        <w:t>ui</w:t>
      </w:r>
      <w:r w:rsidR="003A5D93" w:rsidRPr="009C5F11">
        <w:rPr>
          <w:rFonts w:ascii="Times New Roman" w:hAnsi="Times New Roman" w:cs="Times New Roman"/>
          <w:sz w:val="24"/>
          <w:lang w:val="ro-RO"/>
        </w:rPr>
        <w:t xml:space="preserve"> de al doilea PNAEE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care ar </w:t>
      </w:r>
      <w:r w:rsidR="002733CB" w:rsidRPr="009C5F11">
        <w:rPr>
          <w:rFonts w:ascii="Times New Roman" w:hAnsi="Times New Roman" w:cs="Times New Roman"/>
          <w:sz w:val="24"/>
          <w:lang w:val="ro-RO"/>
        </w:rPr>
        <w:t>facilita</w:t>
      </w:r>
      <w:r w:rsidRPr="009C5F11">
        <w:rPr>
          <w:rFonts w:ascii="Times New Roman" w:hAnsi="Times New Roman" w:cs="Times New Roman"/>
          <w:sz w:val="24"/>
          <w:lang w:val="ro-RO"/>
        </w:rPr>
        <w:t xml:space="preserve"> implementarea </w:t>
      </w:r>
      <w:r w:rsidR="00DB0059" w:rsidRPr="009C5F11">
        <w:rPr>
          <w:rFonts w:ascii="Times New Roman" w:hAnsi="Times New Roman" w:cs="Times New Roman"/>
          <w:sz w:val="24"/>
          <w:lang w:val="ro-RO"/>
        </w:rPr>
        <w:t>fluentă</w:t>
      </w:r>
      <w:r w:rsidRPr="009C5F11">
        <w:rPr>
          <w:rFonts w:ascii="Times New Roman" w:hAnsi="Times New Roman" w:cs="Times New Roman"/>
          <w:sz w:val="24"/>
          <w:lang w:val="ro-RO"/>
        </w:rPr>
        <w:t xml:space="preserve"> şi eficientă a acestuia este importanţa crescândă a instruirilor şi </w:t>
      </w:r>
      <w:r w:rsidR="00604870" w:rsidRPr="009C5F11">
        <w:rPr>
          <w:rFonts w:ascii="Times New Roman" w:hAnsi="Times New Roman" w:cs="Times New Roman"/>
          <w:sz w:val="24"/>
          <w:lang w:val="ro-RO"/>
        </w:rPr>
        <w:t>in</w:t>
      </w:r>
      <w:r w:rsidRPr="009C5F11">
        <w:rPr>
          <w:rFonts w:ascii="Times New Roman" w:hAnsi="Times New Roman" w:cs="Times New Roman"/>
          <w:sz w:val="24"/>
          <w:lang w:val="ro-RO"/>
        </w:rPr>
        <w:t xml:space="preserve">formării în domeniile relevante, dezvoltarea competenţelor şi a aptitudinilor necesare, </w:t>
      </w:r>
      <w:r w:rsidR="00421FA7" w:rsidRPr="009C5F11">
        <w:rPr>
          <w:rFonts w:ascii="Times New Roman" w:hAnsi="Times New Roman" w:cs="Times New Roman"/>
          <w:sz w:val="24"/>
          <w:lang w:val="ro-RO"/>
        </w:rPr>
        <w:t>precum şi</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sensibilizarea publicului </w:t>
      </w:r>
      <w:r w:rsidR="00491BB9" w:rsidRPr="009C5F11">
        <w:rPr>
          <w:rFonts w:ascii="Times New Roman" w:hAnsi="Times New Roman" w:cs="Times New Roman"/>
          <w:sz w:val="24"/>
          <w:lang w:val="ro-RO"/>
        </w:rPr>
        <w:t>cu privire la</w:t>
      </w:r>
      <w:r w:rsidRPr="009C5F11">
        <w:rPr>
          <w:rFonts w:ascii="Times New Roman" w:hAnsi="Times New Roman" w:cs="Times New Roman"/>
          <w:sz w:val="24"/>
          <w:lang w:val="ro-RO"/>
        </w:rPr>
        <w:t xml:space="preserve"> beneficiile economisirii energiei. </w:t>
      </w:r>
    </w:p>
    <w:p w14:paraId="1171000D" w14:textId="0BE70F19" w:rsidR="00780B2E" w:rsidRPr="009C5F11" w:rsidRDefault="00D666B5" w:rsidP="00087B37">
      <w:pPr>
        <w:pStyle w:val="Listparagraf"/>
        <w:numPr>
          <w:ilvl w:val="0"/>
          <w:numId w:val="210"/>
        </w:numPr>
        <w:spacing w:before="120" w:after="120" w:line="240" w:lineRule="auto"/>
        <w:ind w:left="0" w:firstLine="426"/>
        <w:jc w:val="both"/>
        <w:rPr>
          <w:rFonts w:ascii="Times New Roman" w:hAnsi="Times New Roman" w:cs="Times New Roman"/>
          <w:sz w:val="24"/>
          <w:lang w:val="ro-RO"/>
        </w:rPr>
      </w:pPr>
      <w:r w:rsidRPr="009C5F11">
        <w:rPr>
          <w:rFonts w:ascii="Times New Roman" w:hAnsi="Times New Roman" w:cs="Times New Roman"/>
          <w:sz w:val="24"/>
          <w:lang w:val="ro-RO"/>
        </w:rPr>
        <w:t>List</w:t>
      </w:r>
      <w:r w:rsidR="00604870" w:rsidRPr="009C5F11">
        <w:rPr>
          <w:rFonts w:ascii="Times New Roman" w:hAnsi="Times New Roman" w:cs="Times New Roman"/>
          <w:sz w:val="24"/>
          <w:lang w:val="ro-RO"/>
        </w:rPr>
        <w:t>a integrală a</w:t>
      </w:r>
      <w:r w:rsidRPr="009C5F11">
        <w:rPr>
          <w:rFonts w:ascii="Times New Roman" w:hAnsi="Times New Roman" w:cs="Times New Roman"/>
          <w:sz w:val="24"/>
          <w:lang w:val="ro-RO"/>
        </w:rPr>
        <w:t xml:space="preserve"> </w:t>
      </w:r>
      <w:r w:rsidR="003A5D93" w:rsidRPr="009C5F11">
        <w:rPr>
          <w:rFonts w:ascii="Times New Roman" w:hAnsi="Times New Roman" w:cs="Times New Roman"/>
          <w:sz w:val="24"/>
          <w:lang w:val="ro-RO"/>
        </w:rPr>
        <w:t>măsurilor</w:t>
      </w:r>
      <w:r w:rsidR="00780B2E"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prevăzute de primul </w:t>
      </w:r>
      <w:r w:rsidR="00872DC2" w:rsidRPr="009C5F11">
        <w:rPr>
          <w:rFonts w:ascii="Times New Roman" w:hAnsi="Times New Roman" w:cs="Times New Roman"/>
          <w:sz w:val="24"/>
          <w:lang w:val="ro-RO"/>
        </w:rPr>
        <w:t>PNAEE</w:t>
      </w:r>
      <w:r w:rsidR="00780B2E" w:rsidRPr="009C5F11">
        <w:rPr>
          <w:rFonts w:ascii="Times New Roman" w:hAnsi="Times New Roman" w:cs="Times New Roman"/>
          <w:sz w:val="24"/>
          <w:lang w:val="ro-RO"/>
        </w:rPr>
        <w:t xml:space="preserve"> 2013-2015 </w:t>
      </w:r>
      <w:r w:rsidRPr="009C5F11">
        <w:rPr>
          <w:rFonts w:ascii="Times New Roman" w:hAnsi="Times New Roman" w:cs="Times New Roman"/>
          <w:sz w:val="24"/>
          <w:lang w:val="ro-RO"/>
        </w:rPr>
        <w:t>este prezentat</w:t>
      </w:r>
      <w:r w:rsidR="00604870" w:rsidRPr="009C5F11">
        <w:rPr>
          <w:rFonts w:ascii="Times New Roman" w:hAnsi="Times New Roman" w:cs="Times New Roman"/>
          <w:sz w:val="24"/>
          <w:lang w:val="ro-RO"/>
        </w:rPr>
        <w:t>ă</w:t>
      </w:r>
      <w:r w:rsidRPr="009C5F11">
        <w:rPr>
          <w:rFonts w:ascii="Times New Roman" w:hAnsi="Times New Roman" w:cs="Times New Roman"/>
          <w:sz w:val="24"/>
          <w:lang w:val="ro-RO"/>
        </w:rPr>
        <w:t xml:space="preserve"> în</w:t>
      </w:r>
      <w:r w:rsidR="004306FC"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4306FC" w:rsidRPr="009C5F11">
        <w:rPr>
          <w:rFonts w:ascii="Times New Roman" w:hAnsi="Times New Roman" w:cs="Times New Roman"/>
          <w:sz w:val="24"/>
          <w:lang w:val="ro-RO"/>
        </w:rPr>
        <w:instrText xml:space="preserve"> REF _Ref319614461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4</w:t>
      </w:r>
      <w:r w:rsidR="003A6ADB" w:rsidRPr="009C5F11">
        <w:rPr>
          <w:rFonts w:ascii="Times New Roman" w:hAnsi="Times New Roman" w:cs="Times New Roman"/>
          <w:sz w:val="24"/>
          <w:lang w:val="ro-RO"/>
        </w:rPr>
        <w:fldChar w:fldCharType="end"/>
      </w:r>
      <w:r w:rsidR="00780B2E"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 mai jos</w:t>
      </w:r>
      <w:r w:rsidR="00780B2E" w:rsidRPr="009C5F11">
        <w:rPr>
          <w:rFonts w:ascii="Times New Roman" w:hAnsi="Times New Roman" w:cs="Times New Roman"/>
          <w:sz w:val="24"/>
          <w:lang w:val="ro-RO"/>
        </w:rPr>
        <w:t>.</w:t>
      </w:r>
      <w:r w:rsidR="00707B7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Tabelul</w:t>
      </w:r>
      <w:r w:rsidR="00780B2E" w:rsidRPr="009C5F11">
        <w:rPr>
          <w:rFonts w:ascii="Times New Roman" w:hAnsi="Times New Roman" w:cs="Times New Roman"/>
          <w:sz w:val="24"/>
          <w:lang w:val="ro-RO"/>
        </w:rPr>
        <w:t xml:space="preserve"> include </w:t>
      </w:r>
      <w:r w:rsidR="00E10BE5" w:rsidRPr="009C5F11">
        <w:rPr>
          <w:rFonts w:ascii="Times New Roman" w:hAnsi="Times New Roman" w:cs="Times New Roman"/>
          <w:sz w:val="24"/>
          <w:lang w:val="ro-RO"/>
        </w:rPr>
        <w:t>rezultate</w:t>
      </w:r>
      <w:r w:rsidRPr="009C5F11">
        <w:rPr>
          <w:rFonts w:ascii="Times New Roman" w:hAnsi="Times New Roman" w:cs="Times New Roman"/>
          <w:sz w:val="24"/>
          <w:lang w:val="ro-RO"/>
        </w:rPr>
        <w:t>le implementării</w:t>
      </w:r>
      <w:r w:rsidR="00780B2E" w:rsidRPr="009C5F11">
        <w:rPr>
          <w:rFonts w:ascii="Times New Roman" w:hAnsi="Times New Roman" w:cs="Times New Roman"/>
          <w:sz w:val="24"/>
          <w:lang w:val="ro-RO"/>
        </w:rPr>
        <w:t xml:space="preserve"> </w:t>
      </w:r>
      <w:r w:rsidR="003A5D93" w:rsidRPr="009C5F11">
        <w:rPr>
          <w:rFonts w:ascii="Times New Roman" w:hAnsi="Times New Roman" w:cs="Times New Roman"/>
          <w:sz w:val="24"/>
          <w:lang w:val="ro-RO"/>
        </w:rPr>
        <w:t>măsurilor</w:t>
      </w:r>
      <w:r w:rsidRPr="009C5F11">
        <w:rPr>
          <w:rFonts w:ascii="Times New Roman" w:hAnsi="Times New Roman" w:cs="Times New Roman"/>
          <w:sz w:val="24"/>
          <w:lang w:val="ro-RO"/>
        </w:rPr>
        <w:t xml:space="preserve"> </w:t>
      </w:r>
      <w:r w:rsidR="00127E34" w:rsidRPr="009C5F11">
        <w:rPr>
          <w:rFonts w:ascii="Times New Roman" w:hAnsi="Times New Roman" w:cs="Times New Roman"/>
          <w:sz w:val="24"/>
          <w:lang w:val="ro-RO"/>
        </w:rPr>
        <w:t>de reducere a consumului energetic</w:t>
      </w:r>
      <w:r w:rsidRPr="009C5F11">
        <w:rPr>
          <w:rFonts w:ascii="Times New Roman" w:hAnsi="Times New Roman" w:cs="Times New Roman"/>
          <w:sz w:val="24"/>
          <w:lang w:val="ro-RO"/>
        </w:rPr>
        <w:t xml:space="preserve"> atinse </w:t>
      </w:r>
      <w:r w:rsidR="00321CD5" w:rsidRPr="009C5F11">
        <w:rPr>
          <w:rFonts w:ascii="Times New Roman" w:hAnsi="Times New Roman" w:cs="Times New Roman"/>
          <w:sz w:val="24"/>
          <w:lang w:val="ro-RO"/>
        </w:rPr>
        <w:t xml:space="preserve">în </w:t>
      </w:r>
      <w:r w:rsidR="00780B2E" w:rsidRPr="009C5F11">
        <w:rPr>
          <w:rFonts w:ascii="Times New Roman" w:hAnsi="Times New Roman" w:cs="Times New Roman"/>
          <w:sz w:val="24"/>
          <w:lang w:val="ro-RO"/>
        </w:rPr>
        <w:t>2016</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cele preconizate pentru anul </w:t>
      </w:r>
      <w:r w:rsidR="00780B2E" w:rsidRPr="009C5F11">
        <w:rPr>
          <w:rFonts w:ascii="Times New Roman" w:hAnsi="Times New Roman" w:cs="Times New Roman"/>
          <w:sz w:val="24"/>
          <w:lang w:val="ro-RO"/>
        </w:rPr>
        <w:t xml:space="preserve">2020, </w:t>
      </w:r>
      <w:r w:rsidR="00421FA7" w:rsidRPr="009C5F11">
        <w:rPr>
          <w:rFonts w:ascii="Times New Roman" w:hAnsi="Times New Roman" w:cs="Times New Roman"/>
          <w:sz w:val="24"/>
          <w:lang w:val="ro-RO"/>
        </w:rPr>
        <w:t>precum şi</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legislaţia adoptată, </w:t>
      </w:r>
      <w:r w:rsidR="00780B2E" w:rsidRPr="009C5F11">
        <w:rPr>
          <w:rFonts w:ascii="Times New Roman" w:hAnsi="Times New Roman" w:cs="Times New Roman"/>
          <w:sz w:val="24"/>
          <w:lang w:val="ro-RO"/>
        </w:rPr>
        <w:t>plan</w:t>
      </w:r>
      <w:r w:rsidRPr="009C5F11">
        <w:rPr>
          <w:rFonts w:ascii="Times New Roman" w:hAnsi="Times New Roman" w:cs="Times New Roman"/>
          <w:sz w:val="24"/>
          <w:lang w:val="ro-RO"/>
        </w:rPr>
        <w:t>uri</w:t>
      </w:r>
      <w:r w:rsidR="00321CD5" w:rsidRPr="009C5F11">
        <w:rPr>
          <w:rFonts w:ascii="Times New Roman" w:hAnsi="Times New Roman" w:cs="Times New Roman"/>
          <w:sz w:val="24"/>
          <w:lang w:val="ro-RO"/>
        </w:rPr>
        <w:t xml:space="preserve"> şi </w:t>
      </w:r>
      <w:r w:rsidR="00421FA7" w:rsidRPr="009C5F11">
        <w:rPr>
          <w:rFonts w:ascii="Times New Roman" w:hAnsi="Times New Roman" w:cs="Times New Roman"/>
          <w:sz w:val="24"/>
          <w:lang w:val="ro-RO"/>
        </w:rPr>
        <w:t>programe</w:t>
      </w:r>
      <w:r w:rsidRPr="009C5F11">
        <w:rPr>
          <w:rFonts w:ascii="Times New Roman" w:hAnsi="Times New Roman" w:cs="Times New Roman"/>
          <w:sz w:val="24"/>
          <w:lang w:val="ro-RO"/>
        </w:rPr>
        <w:t xml:space="preserve"> proprii</w:t>
      </w:r>
      <w:r w:rsidR="00780B2E"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proiecte</w:t>
      </w:r>
      <w:r w:rsidRPr="009C5F11">
        <w:rPr>
          <w:rFonts w:ascii="Times New Roman" w:hAnsi="Times New Roman" w:cs="Times New Roman"/>
          <w:sz w:val="24"/>
          <w:lang w:val="ro-RO"/>
        </w:rPr>
        <w:t xml:space="preserve"> elaborate</w:t>
      </w:r>
      <w:r w:rsidR="00780B2E"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activităţi de formare </w:t>
      </w:r>
      <w:r w:rsidR="00321CD5" w:rsidRPr="009C5F11">
        <w:rPr>
          <w:rFonts w:ascii="Times New Roman" w:hAnsi="Times New Roman" w:cs="Times New Roman"/>
          <w:sz w:val="24"/>
          <w:lang w:val="ro-RO"/>
        </w:rPr>
        <w:t xml:space="preserve">şi </w:t>
      </w:r>
      <w:r w:rsidRPr="009C5F11">
        <w:rPr>
          <w:rFonts w:ascii="Times New Roman" w:hAnsi="Times New Roman" w:cs="Times New Roman"/>
          <w:sz w:val="24"/>
          <w:lang w:val="ro-RO"/>
        </w:rPr>
        <w:t>instruire</w:t>
      </w:r>
      <w:r w:rsidR="00780B2E" w:rsidRPr="009C5F11">
        <w:rPr>
          <w:rFonts w:ascii="Times New Roman" w:hAnsi="Times New Roman" w:cs="Times New Roman"/>
          <w:sz w:val="24"/>
          <w:lang w:val="ro-RO"/>
        </w:rPr>
        <w:t xml:space="preserve"> etc. </w:t>
      </w:r>
      <w:r w:rsidRPr="009C5F11">
        <w:rPr>
          <w:rFonts w:ascii="Times New Roman" w:hAnsi="Times New Roman" w:cs="Times New Roman"/>
          <w:sz w:val="24"/>
          <w:lang w:val="ro-RO"/>
        </w:rPr>
        <w:t xml:space="preserve">Analiza este realizată pe baza listei </w:t>
      </w:r>
      <w:r w:rsidR="008F7BD5" w:rsidRPr="009C5F11">
        <w:rPr>
          <w:rFonts w:ascii="Times New Roman" w:hAnsi="Times New Roman" w:cs="Times New Roman"/>
          <w:sz w:val="24"/>
          <w:lang w:val="ro-RO"/>
        </w:rPr>
        <w:t>acţiunil</w:t>
      </w:r>
      <w:r w:rsidRPr="009C5F11">
        <w:rPr>
          <w:rFonts w:ascii="Times New Roman" w:hAnsi="Times New Roman" w:cs="Times New Roman"/>
          <w:sz w:val="24"/>
          <w:lang w:val="ro-RO"/>
        </w:rPr>
        <w:t>or planificate de primul PNAEE</w:t>
      </w:r>
      <w:r w:rsidR="00780B2E" w:rsidRPr="009C5F11">
        <w:rPr>
          <w:rFonts w:ascii="Times New Roman" w:hAnsi="Times New Roman" w:cs="Times New Roman"/>
          <w:sz w:val="24"/>
          <w:lang w:val="ro-RO"/>
        </w:rPr>
        <w:t>.</w:t>
      </w:r>
      <w:r w:rsidR="00055095" w:rsidRPr="009C5F11">
        <w:rPr>
          <w:rFonts w:ascii="Times New Roman" w:hAnsi="Times New Roman" w:cs="Times New Roman"/>
          <w:sz w:val="24"/>
          <w:lang w:val="ro-RO"/>
        </w:rPr>
        <w:t xml:space="preserve"> </w:t>
      </w:r>
    </w:p>
    <w:p w14:paraId="371BAED1" w14:textId="77777777" w:rsidR="00780B2E" w:rsidRPr="009C5F11" w:rsidRDefault="00780B2E" w:rsidP="00780B2E">
      <w:pPr>
        <w:spacing w:before="120" w:after="120" w:line="240" w:lineRule="auto"/>
        <w:jc w:val="both"/>
        <w:rPr>
          <w:rFonts w:ascii="Times New Roman" w:hAnsi="Times New Roman" w:cs="Times New Roman"/>
          <w:sz w:val="24"/>
          <w:lang w:val="ro-RO"/>
        </w:rPr>
      </w:pPr>
    </w:p>
    <w:p w14:paraId="3C0E5554" w14:textId="77777777" w:rsidR="002733CB" w:rsidRPr="009C5F11" w:rsidRDefault="002733CB" w:rsidP="00B24869">
      <w:pPr>
        <w:spacing w:before="120" w:after="120" w:line="240" w:lineRule="auto"/>
        <w:jc w:val="both"/>
        <w:rPr>
          <w:rFonts w:ascii="Times New Roman" w:hAnsi="Times New Roman" w:cs="Times New Roman"/>
          <w:sz w:val="24"/>
          <w:lang w:val="ro-RO"/>
        </w:rPr>
        <w:sectPr w:rsidR="002733CB" w:rsidRPr="009C5F11" w:rsidSect="002733CB">
          <w:footerReference w:type="even" r:id="rId11"/>
          <w:footerReference w:type="default" r:id="rId12"/>
          <w:pgSz w:w="11907" w:h="16840" w:code="9"/>
          <w:pgMar w:top="1440" w:right="1440" w:bottom="1440" w:left="1440" w:header="720" w:footer="340" w:gutter="0"/>
          <w:cols w:space="720"/>
          <w:titlePg/>
          <w:docGrid w:linePitch="360"/>
        </w:sectPr>
      </w:pPr>
    </w:p>
    <w:p w14:paraId="0CEC4359" w14:textId="77777777" w:rsidR="00407255" w:rsidRPr="009C5F11" w:rsidRDefault="00321CD5" w:rsidP="00DE3287">
      <w:pPr>
        <w:pStyle w:val="Legend"/>
        <w:keepNext/>
        <w:spacing w:after="200"/>
        <w:jc w:val="center"/>
        <w:rPr>
          <w:rFonts w:ascii="Times New Roman" w:hAnsi="Times New Roman" w:cs="Times New Roman"/>
          <w:sz w:val="22"/>
          <w:lang w:val="ro-RO"/>
        </w:rPr>
      </w:pPr>
      <w:bookmarkStart w:id="16" w:name="_Ref319614461"/>
      <w:bookmarkStart w:id="17" w:name="_Toc322013227"/>
      <w:r w:rsidRPr="009C5F11">
        <w:rPr>
          <w:rFonts w:ascii="Times New Roman" w:hAnsi="Times New Roman" w:cs="Times New Roman"/>
          <w:sz w:val="22"/>
          <w:lang w:val="ro-RO"/>
        </w:rPr>
        <w:lastRenderedPageBreak/>
        <w:t>Tabelul</w:t>
      </w:r>
      <w:r w:rsidR="00407255"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407255"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w:t>
      </w:r>
      <w:r w:rsidR="003A6ADB" w:rsidRPr="009C5F11">
        <w:rPr>
          <w:rFonts w:ascii="Times New Roman" w:hAnsi="Times New Roman" w:cs="Times New Roman"/>
          <w:sz w:val="22"/>
          <w:lang w:val="ro-RO"/>
        </w:rPr>
        <w:fldChar w:fldCharType="end"/>
      </w:r>
      <w:bookmarkEnd w:id="16"/>
      <w:r w:rsidR="00407255" w:rsidRPr="009C5F11">
        <w:rPr>
          <w:rFonts w:ascii="Times New Roman" w:hAnsi="Times New Roman" w:cs="Times New Roman"/>
          <w:sz w:val="22"/>
          <w:lang w:val="ro-RO"/>
        </w:rPr>
        <w:t xml:space="preserve"> </w:t>
      </w:r>
      <w:r w:rsidR="009F6857" w:rsidRPr="009C5F11">
        <w:rPr>
          <w:rFonts w:ascii="Times New Roman" w:hAnsi="Times New Roman" w:cs="Times New Roman"/>
          <w:sz w:val="22"/>
          <w:lang w:val="ro-RO"/>
        </w:rPr>
        <w:t>–</w:t>
      </w:r>
      <w:r w:rsidR="00407255" w:rsidRPr="009C5F11">
        <w:rPr>
          <w:rFonts w:ascii="Times New Roman" w:hAnsi="Times New Roman" w:cs="Times New Roman"/>
          <w:sz w:val="22"/>
          <w:lang w:val="ro-RO"/>
        </w:rPr>
        <w:t xml:space="preserve"> </w:t>
      </w:r>
      <w:r w:rsidR="009F6857" w:rsidRPr="009C5F11">
        <w:rPr>
          <w:rFonts w:ascii="Times New Roman" w:hAnsi="Times New Roman" w:cs="Times New Roman"/>
          <w:sz w:val="22"/>
          <w:lang w:val="ro-RO"/>
        </w:rPr>
        <w:t xml:space="preserve">Prezentare generală a măsurilor </w:t>
      </w:r>
      <w:r w:rsidR="00872DC2" w:rsidRPr="009C5F11">
        <w:rPr>
          <w:rFonts w:ascii="Times New Roman" w:hAnsi="Times New Roman" w:cs="Times New Roman"/>
          <w:sz w:val="22"/>
          <w:lang w:val="ro-RO"/>
        </w:rPr>
        <w:t>PNAEE</w:t>
      </w:r>
      <w:r w:rsidR="00407255" w:rsidRPr="009C5F11">
        <w:rPr>
          <w:rFonts w:ascii="Times New Roman" w:hAnsi="Times New Roman" w:cs="Times New Roman"/>
          <w:sz w:val="22"/>
          <w:lang w:val="ro-RO"/>
        </w:rPr>
        <w:t xml:space="preserve"> 2013-2015 </w:t>
      </w:r>
      <w:r w:rsidR="009F6857" w:rsidRPr="009C5F11">
        <w:rPr>
          <w:rFonts w:ascii="Times New Roman" w:hAnsi="Times New Roman" w:cs="Times New Roman"/>
          <w:sz w:val="22"/>
          <w:lang w:val="ro-RO"/>
        </w:rPr>
        <w:t xml:space="preserve">cu evaluarea </w:t>
      </w:r>
      <w:r w:rsidR="00532A33" w:rsidRPr="009C5F11">
        <w:rPr>
          <w:rFonts w:ascii="Times New Roman" w:hAnsi="Times New Roman" w:cs="Times New Roman"/>
          <w:sz w:val="22"/>
          <w:lang w:val="ro-RO"/>
        </w:rPr>
        <w:t>implement</w:t>
      </w:r>
      <w:r w:rsidR="009F6857" w:rsidRPr="009C5F11">
        <w:rPr>
          <w:rFonts w:ascii="Times New Roman" w:hAnsi="Times New Roman" w:cs="Times New Roman"/>
          <w:sz w:val="22"/>
          <w:lang w:val="ro-RO"/>
        </w:rPr>
        <w:t>ării acestora</w:t>
      </w:r>
      <w:bookmarkEnd w:id="17"/>
      <w:r w:rsidR="009F6857" w:rsidRPr="009C5F11">
        <w:rPr>
          <w:rFonts w:ascii="Times New Roman" w:hAnsi="Times New Roman" w:cs="Times New Roman"/>
          <w:sz w:val="22"/>
          <w:lang w:val="ro-RO"/>
        </w:rPr>
        <w:t xml:space="preserve"> </w:t>
      </w:r>
    </w:p>
    <w:tbl>
      <w:tblPr>
        <w:tblpPr w:leftFromText="180" w:rightFromText="180" w:vertAnchor="text" w:horzAnchor="page" w:tblpX="1549" w:tblpY="345"/>
        <w:tblW w:w="4933"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1188"/>
        <w:gridCol w:w="2615"/>
        <w:gridCol w:w="898"/>
        <w:gridCol w:w="901"/>
        <w:gridCol w:w="6660"/>
        <w:gridCol w:w="90"/>
        <w:gridCol w:w="87"/>
        <w:gridCol w:w="1547"/>
      </w:tblGrid>
      <w:tr w:rsidR="00780B2E" w:rsidRPr="009C5F11" w14:paraId="427A9E40" w14:textId="77777777" w:rsidTr="00FC72AC">
        <w:trPr>
          <w:trHeight w:val="300"/>
          <w:tblHeader/>
        </w:trPr>
        <w:tc>
          <w:tcPr>
            <w:tcW w:w="425" w:type="pct"/>
            <w:shd w:val="clear" w:color="auto" w:fill="000080"/>
            <w:noWrap/>
            <w:vAlign w:val="center"/>
            <w:hideMark/>
          </w:tcPr>
          <w:p w14:paraId="5EE059EA" w14:textId="77777777" w:rsidR="00780B2E" w:rsidRPr="009C5F11" w:rsidRDefault="000F5CC5" w:rsidP="000F5CC5">
            <w:pPr>
              <w:spacing w:after="0" w:line="240" w:lineRule="auto"/>
              <w:jc w:val="center"/>
              <w:rPr>
                <w:rFonts w:ascii="Times New Roman" w:eastAsia="Verdana" w:hAnsi="Times New Roman" w:cs="Times New Roman"/>
                <w:b/>
                <w:color w:val="FFFFFF"/>
                <w:sz w:val="18"/>
                <w:szCs w:val="14"/>
                <w:lang w:val="ro-RO"/>
              </w:rPr>
            </w:pPr>
            <w:r w:rsidRPr="009C5F11">
              <w:rPr>
                <w:rFonts w:ascii="Times New Roman" w:eastAsia="Verdana" w:hAnsi="Times New Roman" w:cs="Times New Roman"/>
                <w:b/>
                <w:color w:val="FFFFFF"/>
                <w:sz w:val="18"/>
                <w:szCs w:val="14"/>
                <w:lang w:val="ro-RO"/>
              </w:rPr>
              <w:t xml:space="preserve">Nr. </w:t>
            </w:r>
          </w:p>
        </w:tc>
        <w:tc>
          <w:tcPr>
            <w:tcW w:w="934" w:type="pct"/>
            <w:shd w:val="clear" w:color="auto" w:fill="000080"/>
            <w:vAlign w:val="center"/>
            <w:hideMark/>
          </w:tcPr>
          <w:p w14:paraId="5FE642C4" w14:textId="77777777" w:rsidR="00780B2E" w:rsidRPr="009C5F11" w:rsidRDefault="000F5CC5" w:rsidP="0060148D">
            <w:pPr>
              <w:spacing w:after="0" w:line="240" w:lineRule="auto"/>
              <w:jc w:val="center"/>
              <w:rPr>
                <w:rFonts w:ascii="Times New Roman" w:eastAsia="Verdana" w:hAnsi="Times New Roman" w:cs="Times New Roman"/>
                <w:b/>
                <w:color w:val="FFFFFF"/>
                <w:sz w:val="18"/>
                <w:szCs w:val="14"/>
                <w:lang w:val="ro-RO"/>
              </w:rPr>
            </w:pPr>
            <w:r w:rsidRPr="009C5F11">
              <w:rPr>
                <w:rFonts w:ascii="Times New Roman" w:eastAsia="Verdana" w:hAnsi="Times New Roman" w:cs="Times New Roman"/>
                <w:b/>
                <w:sz w:val="18"/>
                <w:szCs w:val="14"/>
                <w:lang w:val="ro-RO"/>
              </w:rPr>
              <w:t xml:space="preserve">Denumirea măsurii </w:t>
            </w:r>
            <w:r w:rsidR="00127E34" w:rsidRPr="009C5F11">
              <w:rPr>
                <w:rFonts w:ascii="Times New Roman" w:eastAsia="Verdana" w:hAnsi="Times New Roman" w:cs="Times New Roman"/>
                <w:b/>
                <w:sz w:val="18"/>
                <w:szCs w:val="14"/>
                <w:lang w:val="ro-RO"/>
              </w:rPr>
              <w:t xml:space="preserve">de </w:t>
            </w:r>
            <w:r w:rsidR="0060148D" w:rsidRPr="009C5F11">
              <w:rPr>
                <w:rFonts w:ascii="Times New Roman" w:eastAsia="Verdana" w:hAnsi="Times New Roman" w:cs="Times New Roman"/>
                <w:b/>
                <w:sz w:val="18"/>
                <w:szCs w:val="14"/>
                <w:lang w:val="ro-RO"/>
              </w:rPr>
              <w:t>economisire a energiei</w:t>
            </w:r>
          </w:p>
        </w:tc>
        <w:tc>
          <w:tcPr>
            <w:tcW w:w="321" w:type="pct"/>
            <w:shd w:val="clear" w:color="auto" w:fill="000080"/>
            <w:noWrap/>
            <w:vAlign w:val="center"/>
            <w:hideMark/>
          </w:tcPr>
          <w:p w14:paraId="1F9C5476" w14:textId="77777777" w:rsidR="00780B2E" w:rsidRPr="009C5F11" w:rsidRDefault="000F5CC5" w:rsidP="000F5CC5">
            <w:pPr>
              <w:keepNext/>
              <w:keepLines/>
              <w:tabs>
                <w:tab w:val="right" w:pos="8504"/>
              </w:tabs>
              <w:spacing w:after="0" w:line="240" w:lineRule="auto"/>
              <w:jc w:val="center"/>
              <w:rPr>
                <w:rFonts w:ascii="Times New Roman" w:eastAsia="Times New Roman" w:hAnsi="Times New Roman" w:cs="Times New Roman"/>
                <w:b/>
                <w:color w:val="FFFFFF"/>
                <w:sz w:val="16"/>
                <w:szCs w:val="12"/>
                <w:lang w:val="ro-RO" w:eastAsia="de-DE"/>
              </w:rPr>
            </w:pPr>
            <w:r w:rsidRPr="009C5F11">
              <w:rPr>
                <w:rFonts w:ascii="Times New Roman" w:eastAsia="Times New Roman" w:hAnsi="Times New Roman" w:cs="Times New Roman"/>
                <w:b/>
                <w:sz w:val="16"/>
                <w:szCs w:val="12"/>
                <w:lang w:val="ro-RO" w:eastAsia="de-DE"/>
              </w:rPr>
              <w:t xml:space="preserve">Economiile de energie atinse </w:t>
            </w:r>
            <w:r w:rsidR="00321CD5" w:rsidRPr="009C5F11">
              <w:rPr>
                <w:rFonts w:ascii="Times New Roman" w:eastAsia="Times New Roman" w:hAnsi="Times New Roman" w:cs="Times New Roman"/>
                <w:b/>
                <w:sz w:val="16"/>
                <w:szCs w:val="12"/>
                <w:lang w:val="ro-RO" w:eastAsia="de-DE"/>
              </w:rPr>
              <w:t xml:space="preserve">în </w:t>
            </w:r>
            <w:r w:rsidR="00780B2E" w:rsidRPr="009C5F11">
              <w:rPr>
                <w:rFonts w:ascii="Times New Roman" w:eastAsia="Times New Roman" w:hAnsi="Times New Roman" w:cs="Times New Roman"/>
                <w:b/>
                <w:sz w:val="16"/>
                <w:szCs w:val="12"/>
                <w:lang w:val="ro-RO" w:eastAsia="de-DE"/>
              </w:rPr>
              <w:t>2016</w:t>
            </w:r>
            <w:r w:rsidR="00055095" w:rsidRPr="009C5F11">
              <w:rPr>
                <w:rFonts w:ascii="Times New Roman" w:eastAsia="Times New Roman" w:hAnsi="Times New Roman" w:cs="Times New Roman"/>
                <w:b/>
                <w:color w:val="FF0000"/>
                <w:sz w:val="16"/>
                <w:szCs w:val="12"/>
                <w:vertAlign w:val="superscript"/>
                <w:lang w:val="ro-RO" w:eastAsia="de-DE"/>
              </w:rPr>
              <w:t xml:space="preserve"> </w:t>
            </w:r>
            <w:r w:rsidR="00780B2E" w:rsidRPr="009C5F11">
              <w:rPr>
                <w:rFonts w:ascii="Times New Roman" w:eastAsia="Times New Roman" w:hAnsi="Times New Roman" w:cs="Times New Roman"/>
                <w:b/>
                <w:color w:val="FF0000"/>
                <w:sz w:val="16"/>
                <w:szCs w:val="12"/>
                <w:vertAlign w:val="superscript"/>
                <w:lang w:val="ro-RO" w:eastAsia="de-DE"/>
              </w:rPr>
              <w:t xml:space="preserve"> </w:t>
            </w:r>
            <w:r w:rsidR="00E52940" w:rsidRPr="009C5F11">
              <w:rPr>
                <w:rFonts w:ascii="Times New Roman" w:eastAsia="Times New Roman" w:hAnsi="Times New Roman" w:cs="Times New Roman"/>
                <w:b/>
                <w:sz w:val="16"/>
                <w:szCs w:val="12"/>
                <w:lang w:val="ro-RO" w:eastAsia="de-DE"/>
              </w:rPr>
              <w:t>ktep</w:t>
            </w:r>
          </w:p>
        </w:tc>
        <w:tc>
          <w:tcPr>
            <w:tcW w:w="322" w:type="pct"/>
            <w:shd w:val="clear" w:color="auto" w:fill="000080"/>
            <w:vAlign w:val="center"/>
          </w:tcPr>
          <w:p w14:paraId="4B6104FD" w14:textId="77777777" w:rsidR="00780B2E" w:rsidRPr="009C5F11" w:rsidRDefault="000F5CC5" w:rsidP="000F5CC5">
            <w:pPr>
              <w:keepNext/>
              <w:keepLines/>
              <w:tabs>
                <w:tab w:val="right" w:pos="8504"/>
              </w:tabs>
              <w:spacing w:after="0" w:line="240" w:lineRule="auto"/>
              <w:jc w:val="center"/>
              <w:rPr>
                <w:rFonts w:ascii="Times New Roman" w:eastAsia="Times New Roman" w:hAnsi="Times New Roman" w:cs="Times New Roman"/>
                <w:b/>
                <w:sz w:val="16"/>
                <w:szCs w:val="12"/>
                <w:lang w:val="ro-RO" w:eastAsia="de-DE"/>
              </w:rPr>
            </w:pPr>
            <w:r w:rsidRPr="009C5F11">
              <w:rPr>
                <w:rFonts w:ascii="Times New Roman" w:eastAsia="Times New Roman" w:hAnsi="Times New Roman" w:cs="Times New Roman"/>
                <w:b/>
                <w:sz w:val="16"/>
                <w:szCs w:val="12"/>
                <w:lang w:val="ro-RO" w:eastAsia="de-DE"/>
              </w:rPr>
              <w:t>Economiile de energie prevăzute pentru</w:t>
            </w:r>
            <w:r w:rsidR="00321CD5" w:rsidRPr="009C5F11">
              <w:rPr>
                <w:rFonts w:ascii="Times New Roman" w:eastAsia="Times New Roman" w:hAnsi="Times New Roman" w:cs="Times New Roman"/>
                <w:b/>
                <w:sz w:val="16"/>
                <w:szCs w:val="12"/>
                <w:lang w:val="ro-RO" w:eastAsia="de-DE"/>
              </w:rPr>
              <w:t xml:space="preserve"> </w:t>
            </w:r>
            <w:r w:rsidR="00780B2E" w:rsidRPr="009C5F11">
              <w:rPr>
                <w:rFonts w:ascii="Times New Roman" w:eastAsia="Times New Roman" w:hAnsi="Times New Roman" w:cs="Times New Roman"/>
                <w:b/>
                <w:sz w:val="16"/>
                <w:szCs w:val="12"/>
                <w:lang w:val="ro-RO" w:eastAsia="de-DE"/>
              </w:rPr>
              <w:t>2020</w:t>
            </w:r>
            <w:r w:rsidR="00780B2E" w:rsidRPr="009C5F11">
              <w:rPr>
                <w:rFonts w:ascii="Times New Roman" w:eastAsia="Times New Roman" w:hAnsi="Times New Roman" w:cs="Times New Roman"/>
                <w:b/>
                <w:color w:val="FF0000"/>
                <w:sz w:val="16"/>
                <w:szCs w:val="12"/>
                <w:vertAlign w:val="superscript"/>
                <w:lang w:val="ro-RO" w:eastAsia="de-DE"/>
              </w:rPr>
              <w:t xml:space="preserve"> </w:t>
            </w:r>
            <w:r w:rsidR="00E52940" w:rsidRPr="009C5F11">
              <w:rPr>
                <w:rFonts w:ascii="Times New Roman" w:eastAsia="Times New Roman" w:hAnsi="Times New Roman" w:cs="Times New Roman"/>
                <w:b/>
                <w:sz w:val="16"/>
                <w:szCs w:val="12"/>
                <w:lang w:val="ro-RO" w:eastAsia="de-DE"/>
              </w:rPr>
              <w:t>ktep</w:t>
            </w:r>
          </w:p>
        </w:tc>
        <w:tc>
          <w:tcPr>
            <w:tcW w:w="2444" w:type="pct"/>
            <w:gridSpan w:val="3"/>
            <w:shd w:val="clear" w:color="auto" w:fill="000080"/>
            <w:vAlign w:val="center"/>
          </w:tcPr>
          <w:p w14:paraId="64093ABF" w14:textId="77777777" w:rsidR="00780B2E" w:rsidRPr="009C5F11" w:rsidRDefault="00780B2E" w:rsidP="000F5CC5">
            <w:pPr>
              <w:keepNext/>
              <w:keepLines/>
              <w:tabs>
                <w:tab w:val="right" w:pos="8504"/>
              </w:tabs>
              <w:spacing w:after="0" w:line="240" w:lineRule="auto"/>
              <w:jc w:val="center"/>
              <w:rPr>
                <w:rFonts w:ascii="Times New Roman" w:eastAsia="Times New Roman" w:hAnsi="Times New Roman" w:cs="Times New Roman"/>
                <w:b/>
                <w:sz w:val="18"/>
                <w:szCs w:val="14"/>
                <w:lang w:val="ro-RO" w:eastAsia="de-DE"/>
              </w:rPr>
            </w:pPr>
            <w:r w:rsidRPr="009C5F11">
              <w:rPr>
                <w:rFonts w:ascii="Times New Roman" w:eastAsia="Times New Roman" w:hAnsi="Times New Roman" w:cs="Times New Roman"/>
                <w:b/>
                <w:sz w:val="18"/>
                <w:szCs w:val="14"/>
                <w:lang w:val="ro-RO" w:eastAsia="de-DE"/>
              </w:rPr>
              <w:t>Sta</w:t>
            </w:r>
            <w:r w:rsidR="000F5CC5" w:rsidRPr="009C5F11">
              <w:rPr>
                <w:rFonts w:ascii="Times New Roman" w:eastAsia="Times New Roman" w:hAnsi="Times New Roman" w:cs="Times New Roman"/>
                <w:b/>
                <w:sz w:val="18"/>
                <w:szCs w:val="14"/>
                <w:lang w:val="ro-RO" w:eastAsia="de-DE"/>
              </w:rPr>
              <w:t xml:space="preserve">rea actuală în raport cu primul </w:t>
            </w:r>
            <w:r w:rsidR="00872DC2" w:rsidRPr="009C5F11">
              <w:rPr>
                <w:rFonts w:ascii="Times New Roman" w:eastAsia="Times New Roman" w:hAnsi="Times New Roman" w:cs="Times New Roman"/>
                <w:b/>
                <w:sz w:val="18"/>
                <w:szCs w:val="14"/>
                <w:lang w:val="ro-RO" w:eastAsia="de-DE"/>
              </w:rPr>
              <w:t>PNAEE</w:t>
            </w:r>
          </w:p>
        </w:tc>
        <w:tc>
          <w:tcPr>
            <w:tcW w:w="554" w:type="pct"/>
            <w:shd w:val="clear" w:color="auto" w:fill="000080"/>
            <w:vAlign w:val="center"/>
          </w:tcPr>
          <w:p w14:paraId="511F8D40" w14:textId="77777777" w:rsidR="00780B2E" w:rsidRPr="009C5F11" w:rsidRDefault="0088051E" w:rsidP="00C807F1">
            <w:pPr>
              <w:keepNext/>
              <w:keepLines/>
              <w:tabs>
                <w:tab w:val="right" w:pos="8504"/>
              </w:tabs>
              <w:spacing w:after="0" w:line="240" w:lineRule="auto"/>
              <w:jc w:val="center"/>
              <w:rPr>
                <w:rFonts w:ascii="Times New Roman" w:eastAsia="Times New Roman" w:hAnsi="Times New Roman" w:cs="Times New Roman"/>
                <w:b/>
                <w:sz w:val="16"/>
                <w:szCs w:val="12"/>
                <w:lang w:val="ro-RO" w:eastAsia="de-DE"/>
              </w:rPr>
            </w:pPr>
            <w:r w:rsidRPr="009C5F11">
              <w:rPr>
                <w:rFonts w:ascii="Times New Roman" w:eastAsia="Times New Roman" w:hAnsi="Times New Roman" w:cs="Times New Roman"/>
                <w:b/>
                <w:sz w:val="16"/>
                <w:szCs w:val="12"/>
                <w:lang w:val="ro-RO" w:eastAsia="de-DE"/>
              </w:rPr>
              <w:t>Recomandări</w:t>
            </w:r>
          </w:p>
        </w:tc>
      </w:tr>
      <w:tr w:rsidR="00780B2E" w:rsidRPr="009C5F11" w14:paraId="626AB935" w14:textId="77777777" w:rsidTr="0008402D">
        <w:trPr>
          <w:trHeight w:val="300"/>
        </w:trPr>
        <w:tc>
          <w:tcPr>
            <w:tcW w:w="5000" w:type="pct"/>
            <w:gridSpan w:val="8"/>
            <w:shd w:val="clear" w:color="auto" w:fill="3E5DEA"/>
            <w:noWrap/>
            <w:vAlign w:val="bottom"/>
          </w:tcPr>
          <w:p w14:paraId="7515DA75" w14:textId="77777777" w:rsidR="00780B2E" w:rsidRPr="009C5F11" w:rsidRDefault="000F5CC5" w:rsidP="00C807F1">
            <w:pPr>
              <w:spacing w:after="0" w:line="240" w:lineRule="auto"/>
              <w:jc w:val="center"/>
              <w:rPr>
                <w:rFonts w:ascii="Times New Roman" w:eastAsia="Verdana" w:hAnsi="Times New Roman" w:cs="Times New Roman"/>
                <w:b/>
                <w:color w:val="FFFFFF"/>
                <w:sz w:val="18"/>
                <w:szCs w:val="14"/>
                <w:lang w:val="ro-RO"/>
              </w:rPr>
            </w:pPr>
            <w:r w:rsidRPr="009C5F11">
              <w:rPr>
                <w:rFonts w:ascii="Times New Roman" w:eastAsia="Verdana" w:hAnsi="Times New Roman" w:cs="Times New Roman"/>
                <w:b/>
                <w:color w:val="FFFFFF"/>
                <w:sz w:val="18"/>
                <w:szCs w:val="14"/>
                <w:lang w:val="ro-RO"/>
              </w:rPr>
              <w:t>Măsuri orizontale</w:t>
            </w:r>
          </w:p>
        </w:tc>
      </w:tr>
      <w:tr w:rsidR="00780B2E" w:rsidRPr="009C5F11" w14:paraId="51AA96F2" w14:textId="77777777" w:rsidTr="00CD5222">
        <w:trPr>
          <w:trHeight w:val="300"/>
        </w:trPr>
        <w:tc>
          <w:tcPr>
            <w:tcW w:w="424" w:type="pct"/>
            <w:shd w:val="clear" w:color="000000" w:fill="C5D9F1"/>
            <w:noWrap/>
            <w:hideMark/>
          </w:tcPr>
          <w:p w14:paraId="33500617"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tc>
        <w:tc>
          <w:tcPr>
            <w:tcW w:w="935" w:type="pct"/>
            <w:shd w:val="clear" w:color="000000" w:fill="C5D9F1"/>
            <w:noWrap/>
            <w:vAlign w:val="bottom"/>
            <w:hideMark/>
          </w:tcPr>
          <w:p w14:paraId="2006600C"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tc>
        <w:tc>
          <w:tcPr>
            <w:tcW w:w="321" w:type="pct"/>
            <w:shd w:val="clear" w:color="000000" w:fill="C5D9F1"/>
            <w:noWrap/>
            <w:vAlign w:val="bottom"/>
            <w:hideMark/>
          </w:tcPr>
          <w:p w14:paraId="2F9F6EF9"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322" w:type="pct"/>
            <w:shd w:val="clear" w:color="000000" w:fill="C5D9F1"/>
            <w:vAlign w:val="bottom"/>
          </w:tcPr>
          <w:p w14:paraId="12710C4B"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2413" w:type="pct"/>
            <w:gridSpan w:val="2"/>
            <w:shd w:val="clear" w:color="000000" w:fill="C5D9F1"/>
          </w:tcPr>
          <w:p w14:paraId="15F157D0"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585" w:type="pct"/>
            <w:gridSpan w:val="2"/>
            <w:shd w:val="clear" w:color="000000" w:fill="C5D9F1"/>
          </w:tcPr>
          <w:p w14:paraId="66C293BD"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r>
      <w:tr w:rsidR="00780B2E" w:rsidRPr="009C5F11" w14:paraId="3EF81C16" w14:textId="77777777" w:rsidTr="00CD5222">
        <w:trPr>
          <w:trHeight w:val="560"/>
        </w:trPr>
        <w:tc>
          <w:tcPr>
            <w:tcW w:w="424" w:type="pct"/>
            <w:shd w:val="clear" w:color="000000" w:fill="C5D9F1"/>
            <w:noWrap/>
            <w:vAlign w:val="center"/>
            <w:hideMark/>
          </w:tcPr>
          <w:p w14:paraId="186DA13A"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H2</w:t>
            </w:r>
          </w:p>
          <w:p w14:paraId="40CEE358"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5BF4866D"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Art.111</w:t>
            </w:r>
            <w:r w:rsidR="00321CD5" w:rsidRPr="009C5F11">
              <w:rPr>
                <w:rFonts w:ascii="Times New Roman" w:eastAsia="Verdana" w:hAnsi="Times New Roman" w:cs="Times New Roman"/>
                <w:color w:val="000000"/>
                <w:sz w:val="18"/>
                <w:szCs w:val="14"/>
                <w:lang w:val="ro-RO"/>
              </w:rPr>
              <w:t xml:space="preserve"> </w:t>
            </w:r>
            <w:r w:rsidR="0060148D" w:rsidRPr="009C5F11">
              <w:rPr>
                <w:rFonts w:ascii="Times New Roman" w:eastAsia="Verdana" w:hAnsi="Times New Roman" w:cs="Times New Roman"/>
                <w:color w:val="000000"/>
                <w:sz w:val="18"/>
                <w:szCs w:val="14"/>
                <w:lang w:val="ro-RO"/>
              </w:rPr>
              <w:t>di</w:t>
            </w:r>
            <w:r w:rsidR="00321CD5" w:rsidRPr="009C5F11">
              <w:rPr>
                <w:rFonts w:ascii="Times New Roman" w:eastAsia="Verdana" w:hAnsi="Times New Roman" w:cs="Times New Roman"/>
                <w:color w:val="000000"/>
                <w:sz w:val="18"/>
                <w:szCs w:val="14"/>
                <w:lang w:val="ro-RO"/>
              </w:rPr>
              <w:t xml:space="preserve">n </w:t>
            </w:r>
            <w:r w:rsidR="00872DC2" w:rsidRPr="009C5F11">
              <w:rPr>
                <w:rFonts w:ascii="Times New Roman" w:eastAsia="Verdana" w:hAnsi="Times New Roman" w:cs="Times New Roman"/>
                <w:color w:val="000000"/>
                <w:sz w:val="18"/>
                <w:szCs w:val="14"/>
                <w:lang w:val="ro-RO"/>
              </w:rPr>
              <w:t>PNAEE</w:t>
            </w:r>
          </w:p>
          <w:p w14:paraId="4ED5ED2C"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2013-2015</w:t>
            </w:r>
          </w:p>
        </w:tc>
        <w:tc>
          <w:tcPr>
            <w:tcW w:w="935" w:type="pct"/>
            <w:shd w:val="clear" w:color="000000" w:fill="C5D9F1"/>
            <w:vAlign w:val="center"/>
            <w:hideMark/>
          </w:tcPr>
          <w:p w14:paraId="7FF88833" w14:textId="77777777" w:rsidR="00780B2E" w:rsidRPr="009C5F11" w:rsidRDefault="006A096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Actualizarea şi adoptarea cadrului juridic</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în vederea asigurării punerii în aplicare a Directivei privind eficienţa energetică şi a Legii cu privire la eficienţa energetică</w:t>
            </w:r>
          </w:p>
        </w:tc>
        <w:tc>
          <w:tcPr>
            <w:tcW w:w="321" w:type="pct"/>
            <w:shd w:val="clear" w:color="000000" w:fill="C5D9F1"/>
            <w:noWrap/>
            <w:vAlign w:val="center"/>
            <w:hideMark/>
          </w:tcPr>
          <w:p w14:paraId="7C8DF6D9"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w:t>
            </w:r>
          </w:p>
        </w:tc>
        <w:tc>
          <w:tcPr>
            <w:tcW w:w="322" w:type="pct"/>
            <w:shd w:val="clear" w:color="000000" w:fill="C5D9F1"/>
            <w:vAlign w:val="center"/>
          </w:tcPr>
          <w:p w14:paraId="6D43D971"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w:t>
            </w:r>
          </w:p>
        </w:tc>
        <w:tc>
          <w:tcPr>
            <w:tcW w:w="2413" w:type="pct"/>
            <w:gridSpan w:val="2"/>
            <w:shd w:val="clear" w:color="000000" w:fill="C5D9F1"/>
          </w:tcPr>
          <w:p w14:paraId="5EF9B292"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parţial</w:t>
            </w:r>
          </w:p>
          <w:p w14:paraId="2C4461E2" w14:textId="77777777" w:rsidR="00780B2E" w:rsidRPr="009C5F11" w:rsidRDefault="00780B2E" w:rsidP="00C807F1">
            <w:pPr>
              <w:spacing w:after="0" w:line="240" w:lineRule="auto"/>
              <w:jc w:val="right"/>
              <w:rPr>
                <w:rFonts w:ascii="Times New Roman" w:eastAsia="Verdana" w:hAnsi="Times New Roman" w:cs="Times New Roman"/>
                <w:b/>
                <w:color w:val="000000"/>
                <w:sz w:val="18"/>
                <w:szCs w:val="14"/>
                <w:lang w:val="ro-RO"/>
              </w:rPr>
            </w:pPr>
          </w:p>
          <w:p w14:paraId="566BE295"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Calibri" w:hAnsi="Times New Roman" w:cs="Times New Roman"/>
                <w:sz w:val="18"/>
                <w:szCs w:val="14"/>
                <w:lang w:val="ro-RO"/>
              </w:rPr>
              <w:t xml:space="preserve">1. </w:t>
            </w:r>
            <w:r w:rsidR="000F5CC5" w:rsidRPr="009C5F11">
              <w:rPr>
                <w:rFonts w:ascii="Times New Roman" w:eastAsia="Verdana" w:hAnsi="Times New Roman" w:cs="Times New Roman"/>
                <w:bCs/>
                <w:color w:val="000000"/>
                <w:sz w:val="18"/>
                <w:szCs w:val="14"/>
                <w:lang w:val="ro-RO"/>
              </w:rPr>
              <w:t>Legea nr. 142 din 02.07.2010</w:t>
            </w:r>
            <w:r w:rsidRPr="009C5F11">
              <w:rPr>
                <w:rFonts w:ascii="Times New Roman" w:eastAsia="Verdana" w:hAnsi="Times New Roman" w:cs="Times New Roman"/>
                <w:color w:val="000000"/>
                <w:sz w:val="18"/>
                <w:szCs w:val="14"/>
                <w:lang w:val="ro-RO"/>
              </w:rPr>
              <w:t xml:space="preserve"> </w:t>
            </w:r>
            <w:r w:rsidR="000F5CC5" w:rsidRPr="009C5F11">
              <w:rPr>
                <w:rFonts w:ascii="Times New Roman" w:eastAsia="Verdana" w:hAnsi="Times New Roman" w:cs="Times New Roman"/>
                <w:color w:val="000000"/>
                <w:sz w:val="18"/>
                <w:szCs w:val="14"/>
                <w:lang w:val="ro-RO"/>
              </w:rPr>
              <w:t>cu privire la</w:t>
            </w:r>
            <w:r w:rsidRPr="009C5F11">
              <w:rPr>
                <w:rFonts w:ascii="Times New Roman" w:eastAsia="Verdana" w:hAnsi="Times New Roman" w:cs="Times New Roman"/>
                <w:color w:val="000000"/>
                <w:sz w:val="18"/>
                <w:szCs w:val="14"/>
                <w:lang w:val="ro-RO"/>
              </w:rPr>
              <w:t xml:space="preserve"> </w:t>
            </w:r>
            <w:r w:rsidR="000C7BEC" w:rsidRPr="009C5F11">
              <w:rPr>
                <w:rFonts w:ascii="Times New Roman" w:eastAsia="Verdana" w:hAnsi="Times New Roman" w:cs="Times New Roman"/>
                <w:color w:val="000000"/>
                <w:sz w:val="18"/>
                <w:szCs w:val="14"/>
                <w:lang w:val="ro-RO"/>
              </w:rPr>
              <w:t>eficienţă energetică</w:t>
            </w:r>
            <w:r w:rsidRPr="009C5F11">
              <w:rPr>
                <w:rFonts w:ascii="Times New Roman" w:eastAsia="Verdana" w:hAnsi="Times New Roman" w:cs="Times New Roman"/>
                <w:color w:val="000000"/>
                <w:sz w:val="18"/>
                <w:szCs w:val="14"/>
                <w:lang w:val="ro-RO"/>
              </w:rPr>
              <w:t xml:space="preserve"> </w:t>
            </w:r>
            <w:r w:rsidR="000F5CC5" w:rsidRPr="009C5F11">
              <w:rPr>
                <w:rFonts w:ascii="Times New Roman" w:eastAsia="Verdana" w:hAnsi="Times New Roman" w:cs="Times New Roman"/>
                <w:color w:val="000000"/>
                <w:sz w:val="18"/>
                <w:szCs w:val="14"/>
                <w:lang w:val="ro-RO"/>
              </w:rPr>
              <w:t>prevede următoarele</w:t>
            </w:r>
            <w:r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bCs/>
                <w:color w:val="000000"/>
                <w:sz w:val="18"/>
                <w:szCs w:val="14"/>
                <w:lang w:val="ro-RO"/>
              </w:rPr>
              <w:t>Cap. VI, art. 27</w:t>
            </w:r>
            <w:r w:rsidRPr="009C5F11">
              <w:rPr>
                <w:rFonts w:ascii="Times New Roman" w:eastAsia="Verdana" w:hAnsi="Times New Roman" w:cs="Times New Roman"/>
                <w:color w:val="000000"/>
                <w:sz w:val="18"/>
                <w:szCs w:val="14"/>
                <w:lang w:val="ro-RO"/>
              </w:rPr>
              <w:t>):</w:t>
            </w:r>
          </w:p>
          <w:tbl>
            <w:tblPr>
              <w:tblW w:w="6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5"/>
              <w:gridCol w:w="3474"/>
            </w:tblGrid>
            <w:tr w:rsidR="00780B2E" w:rsidRPr="009C5F11" w14:paraId="74B6210B" w14:textId="77777777" w:rsidTr="00C807F1">
              <w:tc>
                <w:tcPr>
                  <w:tcW w:w="2855" w:type="dxa"/>
                  <w:shd w:val="clear" w:color="auto" w:fill="auto"/>
                </w:tcPr>
                <w:p w14:paraId="03E052E9" w14:textId="77777777" w:rsidR="00780B2E" w:rsidRPr="009C5F11" w:rsidRDefault="00780B2E"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a)</w:t>
                  </w:r>
                  <w:r w:rsidR="0088051E" w:rsidRPr="009C5F11">
                    <w:rPr>
                      <w:rFonts w:ascii="Times New Roman" w:eastAsia="Times New Roman" w:hAnsi="Times New Roman" w:cs="Times New Roman"/>
                      <w:color w:val="000000"/>
                      <w:sz w:val="18"/>
                      <w:szCs w:val="14"/>
                      <w:lang w:val="ro-RO"/>
                    </w:rPr>
                    <w:t xml:space="preserve"> în termen de o lună, </w:t>
                  </w:r>
                  <w:r w:rsidR="0060148D" w:rsidRPr="009C5F11">
                    <w:rPr>
                      <w:rFonts w:ascii="Times New Roman" w:eastAsia="Times New Roman" w:hAnsi="Times New Roman" w:cs="Times New Roman"/>
                      <w:color w:val="000000"/>
                      <w:sz w:val="18"/>
                      <w:szCs w:val="14"/>
                      <w:lang w:val="ro-RO"/>
                    </w:rPr>
                    <w:t xml:space="preserve">(Guvernul) </w:t>
                  </w:r>
                  <w:r w:rsidR="0088051E" w:rsidRPr="009C5F11">
                    <w:rPr>
                      <w:rFonts w:ascii="Times New Roman" w:eastAsia="Times New Roman" w:hAnsi="Times New Roman" w:cs="Times New Roman"/>
                      <w:color w:val="000000"/>
                      <w:sz w:val="18"/>
                      <w:szCs w:val="14"/>
                      <w:lang w:val="ro-RO"/>
                    </w:rPr>
                    <w:t>va elabora Regulamentul Agenţiei pentru Eficienţă Energetică şi Programul naţional de îmbunătăţire a eficienţei energetice pentru anii 2010–2020</w:t>
                  </w:r>
                  <w:r w:rsidRPr="009C5F11">
                    <w:rPr>
                      <w:rFonts w:ascii="Times New Roman" w:eastAsia="Verdana" w:hAnsi="Times New Roman" w:cs="Times New Roman"/>
                      <w:color w:val="000000"/>
                      <w:sz w:val="18"/>
                      <w:szCs w:val="14"/>
                      <w:lang w:val="ro-RO"/>
                    </w:rPr>
                    <w:t>;</w:t>
                  </w:r>
                </w:p>
              </w:tc>
              <w:tc>
                <w:tcPr>
                  <w:tcW w:w="3474" w:type="dxa"/>
                  <w:shd w:val="clear" w:color="auto" w:fill="auto"/>
                </w:tcPr>
                <w:p w14:paraId="4FD973E2" w14:textId="77777777" w:rsidR="00780B2E" w:rsidRPr="009C5F11" w:rsidRDefault="00927CD9"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eastAsia="en-GB"/>
                    </w:rPr>
                  </w:pPr>
                  <w:r w:rsidRPr="009C5F11">
                    <w:rPr>
                      <w:rFonts w:ascii="Times New Roman" w:eastAsia="Verdana" w:hAnsi="Times New Roman" w:cs="Times New Roman"/>
                      <w:color w:val="000000"/>
                      <w:sz w:val="18"/>
                      <w:szCs w:val="14"/>
                      <w:lang w:val="ro-RO"/>
                    </w:rPr>
                    <w:t xml:space="preserve">A fost adoptat Regulamentul cu privire la </w:t>
                  </w:r>
                  <w:r w:rsidR="00321CD5" w:rsidRPr="009C5F11">
                    <w:rPr>
                      <w:rFonts w:ascii="Times New Roman" w:eastAsia="Verdana" w:hAnsi="Times New Roman" w:cs="Times New Roman"/>
                      <w:color w:val="000000"/>
                      <w:sz w:val="18"/>
                      <w:szCs w:val="14"/>
                      <w:lang w:val="ro-RO"/>
                    </w:rPr>
                    <w:t>Agenţia pentru Eficienţă Energetică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bCs/>
                      <w:color w:val="000000"/>
                      <w:sz w:val="18"/>
                      <w:szCs w:val="14"/>
                      <w:lang w:val="ro-RO" w:eastAsia="en-GB"/>
                    </w:rPr>
                    <w:t>Hotărârea Guvernului RM</w:t>
                  </w:r>
                  <w:r w:rsidRPr="009C5F11">
                    <w:rPr>
                      <w:rFonts w:ascii="Times New Roman" w:eastAsia="Verdana" w:hAnsi="Times New Roman" w:cs="Times New Roman"/>
                      <w:color w:val="000000"/>
                      <w:sz w:val="18"/>
                      <w:szCs w:val="14"/>
                      <w:lang w:val="ro-RO" w:eastAsia="en-GB"/>
                    </w:rPr>
                    <w:t xml:space="preserve"> </w:t>
                  </w:r>
                  <w:r w:rsidR="00780B2E" w:rsidRPr="009C5F11">
                    <w:rPr>
                      <w:rFonts w:ascii="Times New Roman" w:eastAsia="Verdana" w:hAnsi="Times New Roman" w:cs="Times New Roman"/>
                      <w:color w:val="000000"/>
                      <w:sz w:val="18"/>
                      <w:szCs w:val="14"/>
                      <w:lang w:val="ro-RO" w:eastAsia="en-GB"/>
                    </w:rPr>
                    <w:t xml:space="preserve">nr. 1173 </w:t>
                  </w:r>
                  <w:r w:rsidRPr="009C5F11">
                    <w:rPr>
                      <w:rFonts w:ascii="Times New Roman" w:eastAsia="Verdana" w:hAnsi="Times New Roman" w:cs="Times New Roman"/>
                      <w:color w:val="000000"/>
                      <w:sz w:val="18"/>
                      <w:szCs w:val="14"/>
                      <w:lang w:val="ro-RO" w:eastAsia="en-GB"/>
                    </w:rPr>
                    <w:t>din</w:t>
                  </w:r>
                  <w:r w:rsidR="00780B2E" w:rsidRPr="009C5F11">
                    <w:rPr>
                      <w:rFonts w:ascii="Times New Roman" w:eastAsia="Verdana" w:hAnsi="Times New Roman" w:cs="Times New Roman"/>
                      <w:color w:val="000000"/>
                      <w:sz w:val="18"/>
                      <w:szCs w:val="14"/>
                      <w:lang w:val="ro-RO" w:eastAsia="en-GB"/>
                    </w:rPr>
                    <w:t xml:space="preserve"> 21.12.2010;</w:t>
                  </w:r>
                </w:p>
                <w:p w14:paraId="643F8AA1" w14:textId="77777777" w:rsidR="00780B2E" w:rsidRPr="009C5F11" w:rsidRDefault="00927CD9"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A fost adoptat Programul naţional pentru eficienţă energetică (PNEE) pentru anii </w:t>
                  </w:r>
                  <w:r w:rsidR="00780B2E" w:rsidRPr="009C5F11">
                    <w:rPr>
                      <w:rFonts w:ascii="Times New Roman" w:eastAsia="Verdana" w:hAnsi="Times New Roman" w:cs="Times New Roman"/>
                      <w:color w:val="000000"/>
                      <w:sz w:val="18"/>
                      <w:szCs w:val="14"/>
                      <w:lang w:val="ro-RO" w:eastAsia="en-GB"/>
                    </w:rPr>
                    <w:t xml:space="preserve">2011-2020: </w:t>
                  </w:r>
                  <w:r w:rsidRPr="009C5F11">
                    <w:rPr>
                      <w:rFonts w:ascii="Times New Roman" w:eastAsia="Verdana" w:hAnsi="Times New Roman" w:cs="Times New Roman"/>
                      <w:bCs/>
                      <w:color w:val="000000"/>
                      <w:sz w:val="18"/>
                      <w:szCs w:val="14"/>
                      <w:lang w:val="ro-RO" w:eastAsia="en-GB"/>
                    </w:rPr>
                    <w:t>Hotărârea Guvernului RM</w:t>
                  </w:r>
                  <w:r w:rsidR="00780B2E" w:rsidRPr="009C5F11">
                    <w:rPr>
                      <w:rFonts w:ascii="Times New Roman" w:eastAsia="Verdana" w:hAnsi="Times New Roman" w:cs="Times New Roman"/>
                      <w:bCs/>
                      <w:color w:val="000000"/>
                      <w:sz w:val="18"/>
                      <w:szCs w:val="14"/>
                      <w:lang w:val="ro-RO" w:eastAsia="en-GB"/>
                    </w:rPr>
                    <w:t xml:space="preserve"> </w:t>
                  </w:r>
                  <w:r w:rsidR="00780B2E" w:rsidRPr="009C5F11">
                    <w:rPr>
                      <w:rFonts w:ascii="Times New Roman" w:eastAsia="Verdana" w:hAnsi="Times New Roman" w:cs="Times New Roman"/>
                      <w:sz w:val="18"/>
                      <w:szCs w:val="14"/>
                      <w:lang w:val="ro-RO"/>
                    </w:rPr>
                    <w:t xml:space="preserve">nr. 833 </w:t>
                  </w:r>
                  <w:r w:rsidRPr="009C5F11">
                    <w:rPr>
                      <w:rFonts w:ascii="Times New Roman" w:eastAsia="Verdana" w:hAnsi="Times New Roman" w:cs="Times New Roman"/>
                      <w:sz w:val="18"/>
                      <w:szCs w:val="14"/>
                      <w:lang w:val="ro-RO"/>
                    </w:rPr>
                    <w:t xml:space="preserve">din </w:t>
                  </w:r>
                  <w:r w:rsidR="00780B2E" w:rsidRPr="009C5F11">
                    <w:rPr>
                      <w:rFonts w:ascii="Times New Roman" w:eastAsia="Verdana" w:hAnsi="Times New Roman" w:cs="Times New Roman"/>
                      <w:sz w:val="18"/>
                      <w:szCs w:val="14"/>
                      <w:lang w:val="ro-RO"/>
                    </w:rPr>
                    <w:t>10.11.2011</w:t>
                  </w:r>
                  <w:r w:rsidRPr="009C5F11">
                    <w:rPr>
                      <w:rFonts w:ascii="Times New Roman" w:eastAsia="Verdana" w:hAnsi="Times New Roman" w:cs="Times New Roman"/>
                      <w:sz w:val="18"/>
                      <w:szCs w:val="14"/>
                      <w:lang w:val="ro-RO"/>
                    </w:rPr>
                    <w:t>.</w:t>
                  </w:r>
                  <w:r w:rsidR="00780B2E" w:rsidRPr="009C5F11">
                    <w:rPr>
                      <w:rFonts w:ascii="Times New Roman" w:eastAsia="Verdana" w:hAnsi="Times New Roman" w:cs="Times New Roman"/>
                      <w:color w:val="000000"/>
                      <w:sz w:val="18"/>
                      <w:szCs w:val="14"/>
                      <w:lang w:val="ro-RO"/>
                    </w:rPr>
                    <w:t xml:space="preserve"> </w:t>
                  </w:r>
                </w:p>
              </w:tc>
            </w:tr>
            <w:tr w:rsidR="00780B2E" w:rsidRPr="009C5F11" w14:paraId="7CE405E2" w14:textId="77777777" w:rsidTr="00C807F1">
              <w:tc>
                <w:tcPr>
                  <w:tcW w:w="2855" w:type="dxa"/>
                  <w:shd w:val="clear" w:color="auto" w:fill="auto"/>
                </w:tcPr>
                <w:p w14:paraId="0A1EAC0B" w14:textId="77777777" w:rsidR="00780B2E" w:rsidRPr="009C5F11" w:rsidRDefault="00780B2E"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b)</w:t>
                  </w:r>
                  <w:r w:rsidR="0088051E" w:rsidRPr="009C5F11">
                    <w:rPr>
                      <w:rFonts w:ascii="Times New Roman" w:eastAsia="Times New Roman" w:hAnsi="Times New Roman" w:cs="Times New Roman"/>
                      <w:color w:val="000000"/>
                      <w:sz w:val="18"/>
                      <w:szCs w:val="14"/>
                      <w:lang w:val="ro-RO"/>
                    </w:rPr>
                    <w:t xml:space="preserve"> în termen de 3 luni, va elabora Planul naţional de acţiune în domeniul eficienţei energetice pentru anii 2010–2013;</w:t>
                  </w:r>
                </w:p>
              </w:tc>
              <w:tc>
                <w:tcPr>
                  <w:tcW w:w="3474" w:type="dxa"/>
                  <w:shd w:val="clear" w:color="auto" w:fill="auto"/>
                </w:tcPr>
                <w:p w14:paraId="55BADE03" w14:textId="77777777" w:rsidR="00780B2E" w:rsidRPr="009C5F11" w:rsidRDefault="00927CD9"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A fost adoptat Planul naţional de acţiuni în domeniul eficienţei energetice pentru anii </w:t>
                  </w:r>
                  <w:r w:rsidR="00780B2E" w:rsidRPr="009C5F11">
                    <w:rPr>
                      <w:rFonts w:ascii="Times New Roman" w:eastAsia="Verdana" w:hAnsi="Times New Roman" w:cs="Times New Roman"/>
                      <w:color w:val="000000"/>
                      <w:sz w:val="18"/>
                      <w:szCs w:val="14"/>
                      <w:lang w:val="ro-RO"/>
                    </w:rPr>
                    <w:t xml:space="preserve">2013-2015: </w:t>
                  </w:r>
                  <w:r w:rsidRPr="009C5F11">
                    <w:rPr>
                      <w:rFonts w:ascii="Times New Roman" w:eastAsia="Verdana" w:hAnsi="Times New Roman" w:cs="Times New Roman"/>
                      <w:bCs/>
                      <w:color w:val="000000"/>
                      <w:sz w:val="18"/>
                      <w:szCs w:val="14"/>
                      <w:lang w:val="ro-RO" w:eastAsia="en-GB"/>
                    </w:rPr>
                    <w:t>Hotărârea Guvernului RM</w:t>
                  </w:r>
                  <w:r w:rsidR="00780B2E" w:rsidRPr="009C5F11">
                    <w:rPr>
                      <w:rFonts w:ascii="Times New Roman" w:eastAsia="Verdana" w:hAnsi="Times New Roman" w:cs="Times New Roman"/>
                      <w:color w:val="000000"/>
                      <w:sz w:val="18"/>
                      <w:szCs w:val="14"/>
                      <w:lang w:val="ro-RO"/>
                    </w:rPr>
                    <w:t xml:space="preserve"> nr. 113 </w:t>
                  </w:r>
                  <w:r w:rsidRPr="009C5F11">
                    <w:rPr>
                      <w:rFonts w:ascii="Times New Roman" w:eastAsia="Verdana" w:hAnsi="Times New Roman" w:cs="Times New Roman"/>
                      <w:color w:val="000000"/>
                      <w:sz w:val="18"/>
                      <w:szCs w:val="14"/>
                      <w:lang w:val="ro-RO"/>
                    </w:rPr>
                    <w:t xml:space="preserve">din </w:t>
                  </w:r>
                  <w:r w:rsidR="00780B2E" w:rsidRPr="009C5F11">
                    <w:rPr>
                      <w:rFonts w:ascii="Times New Roman" w:eastAsia="Verdana" w:hAnsi="Times New Roman" w:cs="Times New Roman"/>
                      <w:color w:val="000000"/>
                      <w:sz w:val="18"/>
                      <w:szCs w:val="14"/>
                      <w:lang w:val="ro-RO"/>
                    </w:rPr>
                    <w:t>07.02.2013</w:t>
                  </w:r>
                  <w:r w:rsidRPr="009C5F11">
                    <w:rPr>
                      <w:rFonts w:ascii="Times New Roman" w:eastAsia="Verdana" w:hAnsi="Times New Roman" w:cs="Times New Roman"/>
                      <w:color w:val="000000"/>
                      <w:sz w:val="18"/>
                      <w:szCs w:val="14"/>
                      <w:lang w:val="ro-RO"/>
                    </w:rPr>
                    <w:t>.</w:t>
                  </w:r>
                </w:p>
              </w:tc>
            </w:tr>
            <w:tr w:rsidR="00780B2E" w:rsidRPr="009C5F11" w14:paraId="47DAAD35" w14:textId="77777777" w:rsidTr="00C807F1">
              <w:tc>
                <w:tcPr>
                  <w:tcW w:w="2855" w:type="dxa"/>
                  <w:shd w:val="clear" w:color="auto" w:fill="auto"/>
                </w:tcPr>
                <w:p w14:paraId="52C2A56A" w14:textId="77777777" w:rsidR="00780B2E" w:rsidRPr="009C5F11" w:rsidRDefault="00780B2E"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c) </w:t>
                  </w:r>
                  <w:r w:rsidR="00927CD9" w:rsidRPr="009C5F11">
                    <w:rPr>
                      <w:rFonts w:ascii="Times New Roman" w:eastAsia="Times New Roman" w:hAnsi="Times New Roman" w:cs="Times New Roman"/>
                      <w:color w:val="000000"/>
                      <w:sz w:val="18"/>
                      <w:szCs w:val="14"/>
                      <w:lang w:val="ro-RO"/>
                    </w:rPr>
                    <w:t>în termen de 6 luni va elabora:</w:t>
                  </w:r>
                </w:p>
                <w:p w14:paraId="1050A628" w14:textId="77777777" w:rsidR="00780B2E" w:rsidRPr="009C5F11" w:rsidRDefault="00780B2E"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w:t>
                  </w:r>
                  <w:r w:rsidR="00055095" w:rsidRPr="009C5F11">
                    <w:rPr>
                      <w:rFonts w:ascii="Times New Roman" w:eastAsia="Verdana" w:hAnsi="Times New Roman" w:cs="Times New Roman"/>
                      <w:color w:val="000000"/>
                      <w:sz w:val="18"/>
                      <w:szCs w:val="14"/>
                      <w:lang w:val="ro-RO"/>
                    </w:rPr>
                    <w:t xml:space="preserve"> </w:t>
                  </w:r>
                  <w:r w:rsidR="00927CD9" w:rsidRPr="009C5F11">
                    <w:rPr>
                      <w:rFonts w:ascii="Times New Roman" w:eastAsia="Times New Roman" w:hAnsi="Times New Roman" w:cs="Times New Roman"/>
                      <w:color w:val="000000"/>
                      <w:sz w:val="18"/>
                      <w:szCs w:val="14"/>
                      <w:lang w:val="ro-RO"/>
                    </w:rPr>
                    <w:t>proiectul de Lege privind performanţa energetică a clădirilor</w:t>
                  </w:r>
                  <w:r w:rsidR="00927CD9"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w:t>
                  </w:r>
                </w:p>
                <w:p w14:paraId="01030D6C" w14:textId="77777777" w:rsidR="00780B2E" w:rsidRPr="009C5F11" w:rsidRDefault="00780B2E" w:rsidP="00620782">
                  <w:pPr>
                    <w:framePr w:hSpace="180" w:wrap="around" w:vAnchor="text" w:hAnchor="page" w:x="1549" w:y="345"/>
                    <w:spacing w:after="0" w:line="240" w:lineRule="auto"/>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r w:rsidR="00055095" w:rsidRPr="009C5F11">
                    <w:rPr>
                      <w:rFonts w:ascii="Times New Roman" w:eastAsia="Verdana" w:hAnsi="Times New Roman" w:cs="Times New Roman"/>
                      <w:sz w:val="18"/>
                      <w:szCs w:val="14"/>
                      <w:lang w:val="ro-RO"/>
                    </w:rPr>
                    <w:t xml:space="preserve"> </w:t>
                  </w:r>
                  <w:r w:rsidR="00927CD9" w:rsidRPr="009C5F11">
                    <w:rPr>
                      <w:rFonts w:ascii="Times New Roman" w:eastAsia="Times New Roman" w:hAnsi="Times New Roman" w:cs="Times New Roman"/>
                      <w:color w:val="000000"/>
                      <w:sz w:val="18"/>
                      <w:szCs w:val="14"/>
                      <w:lang w:val="ro-RO"/>
                    </w:rPr>
                    <w:t>Regulamentul privind cerinţele minimale de performanţă energetică pentru clădiri</w:t>
                  </w:r>
                  <w:r w:rsidR="00927CD9"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w:t>
                  </w:r>
                </w:p>
                <w:p w14:paraId="6D26A73F" w14:textId="77777777" w:rsidR="00780B2E" w:rsidRPr="009C5F11" w:rsidRDefault="00780B2E"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w:t>
                  </w:r>
                  <w:r w:rsidR="00055095" w:rsidRPr="009C5F11">
                    <w:rPr>
                      <w:rFonts w:ascii="Times New Roman" w:eastAsia="Verdana" w:hAnsi="Times New Roman" w:cs="Times New Roman"/>
                      <w:color w:val="000000"/>
                      <w:sz w:val="18"/>
                      <w:szCs w:val="14"/>
                      <w:lang w:val="ro-RO"/>
                    </w:rPr>
                    <w:t xml:space="preserve"> </w:t>
                  </w:r>
                  <w:r w:rsidR="00927CD9" w:rsidRPr="009C5F11">
                    <w:rPr>
                      <w:rFonts w:ascii="Times New Roman" w:eastAsia="Times New Roman" w:hAnsi="Times New Roman" w:cs="Times New Roman"/>
                      <w:color w:val="000000"/>
                      <w:sz w:val="18"/>
                      <w:szCs w:val="14"/>
                      <w:lang w:val="ro-RO"/>
                    </w:rPr>
                    <w:t>cadrul legal pentru etichetarea energetică a produselor cu impact energetic</w:t>
                  </w:r>
                  <w:r w:rsidR="00927CD9" w:rsidRPr="009C5F11">
                    <w:rPr>
                      <w:rFonts w:ascii="Times New Roman" w:eastAsia="Verdana" w:hAnsi="Times New Roman" w:cs="Times New Roman"/>
                      <w:color w:val="000000"/>
                      <w:sz w:val="18"/>
                      <w:szCs w:val="14"/>
                      <w:lang w:val="ro-RO"/>
                    </w:rPr>
                    <w:t xml:space="preserve"> şi</w:t>
                  </w:r>
                  <w:r w:rsidR="00927CD9" w:rsidRPr="009C5F11">
                    <w:rPr>
                      <w:rFonts w:ascii="Times New Roman" w:eastAsia="Times New Roman" w:hAnsi="Times New Roman" w:cs="Times New Roman"/>
                      <w:color w:val="000000"/>
                      <w:sz w:val="18"/>
                      <w:szCs w:val="14"/>
                      <w:lang w:val="ro-RO"/>
                    </w:rPr>
                    <w:t xml:space="preserve"> va stabili cerinţele pentru proiectarea ecologică</w:t>
                  </w:r>
                  <w:r w:rsidR="00927CD9" w:rsidRPr="009C5F11">
                    <w:rPr>
                      <w:rFonts w:ascii="Times New Roman" w:eastAsia="Verdana" w:hAnsi="Times New Roman" w:cs="Times New Roman"/>
                      <w:color w:val="000000"/>
                      <w:sz w:val="18"/>
                      <w:szCs w:val="14"/>
                      <w:lang w:val="ro-RO"/>
                    </w:rPr>
                    <w:t>; </w:t>
                  </w:r>
                  <w:r w:rsidR="00927CD9" w:rsidRPr="009C5F11">
                    <w:rPr>
                      <w:rFonts w:ascii="Times New Roman" w:eastAsia="Verdana" w:hAnsi="Times New Roman" w:cs="Times New Roman"/>
                      <w:color w:val="000000"/>
                      <w:sz w:val="18"/>
                      <w:szCs w:val="14"/>
                      <w:lang w:val="ro-RO"/>
                    </w:rPr>
                    <w:br/>
                  </w:r>
                  <w:r w:rsidRPr="009C5F11">
                    <w:rPr>
                      <w:rFonts w:ascii="Times New Roman" w:eastAsia="Verdana" w:hAnsi="Times New Roman" w:cs="Times New Roman"/>
                      <w:color w:val="000000"/>
                      <w:sz w:val="18"/>
                      <w:szCs w:val="14"/>
                      <w:lang w:val="ro-RO"/>
                    </w:rPr>
                    <w:t xml:space="preserve"> </w:t>
                  </w:r>
                </w:p>
              </w:tc>
              <w:tc>
                <w:tcPr>
                  <w:tcW w:w="3474" w:type="dxa"/>
                  <w:shd w:val="clear" w:color="auto" w:fill="auto"/>
                </w:tcPr>
                <w:p w14:paraId="7EEB12DF" w14:textId="77777777" w:rsidR="00780B2E" w:rsidRPr="009C5F11" w:rsidRDefault="00927CD9"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A fost adoptată </w:t>
                  </w:r>
                  <w:r w:rsidR="000A4CC7" w:rsidRPr="009C5F11">
                    <w:rPr>
                      <w:rFonts w:ascii="Times New Roman" w:eastAsia="Verdana" w:hAnsi="Times New Roman" w:cs="Times New Roman"/>
                      <w:color w:val="000000"/>
                      <w:sz w:val="18"/>
                      <w:szCs w:val="14"/>
                      <w:lang w:val="ro-RO"/>
                    </w:rPr>
                    <w:t>Legea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Times New Roman" w:hAnsi="Times New Roman" w:cs="Times New Roman"/>
                      <w:color w:val="000000"/>
                      <w:sz w:val="18"/>
                      <w:szCs w:val="14"/>
                      <w:lang w:val="ro-RO"/>
                    </w:rPr>
                    <w:t>privind performanţa energetică a clădirilor</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bCs/>
                      <w:color w:val="000000"/>
                      <w:sz w:val="18"/>
                      <w:szCs w:val="14"/>
                      <w:lang w:val="ro-RO"/>
                    </w:rPr>
                    <w:t>Legea nr.</w:t>
                  </w:r>
                  <w:r w:rsidR="00780B2E" w:rsidRPr="009C5F11">
                    <w:rPr>
                      <w:rFonts w:ascii="Times New Roman" w:eastAsia="Verdana" w:hAnsi="Times New Roman" w:cs="Times New Roman"/>
                      <w:color w:val="000000"/>
                      <w:sz w:val="18"/>
                      <w:szCs w:val="14"/>
                      <w:lang w:val="ro-RO"/>
                    </w:rPr>
                    <w:t xml:space="preserve"> 128 </w:t>
                  </w:r>
                  <w:r w:rsidRPr="009C5F11">
                    <w:rPr>
                      <w:rFonts w:ascii="Times New Roman" w:eastAsia="Verdana" w:hAnsi="Times New Roman" w:cs="Times New Roman"/>
                      <w:color w:val="000000"/>
                      <w:sz w:val="18"/>
                      <w:szCs w:val="14"/>
                      <w:lang w:val="ro-RO"/>
                    </w:rPr>
                    <w:t xml:space="preserve">din </w:t>
                  </w:r>
                  <w:r w:rsidR="00780B2E" w:rsidRPr="009C5F11">
                    <w:rPr>
                      <w:rFonts w:ascii="Times New Roman" w:eastAsia="Verdana" w:hAnsi="Times New Roman" w:cs="Times New Roman"/>
                      <w:color w:val="000000"/>
                      <w:sz w:val="18"/>
                      <w:szCs w:val="14"/>
                      <w:lang w:val="ro-RO"/>
                    </w:rPr>
                    <w:t>11.07.2014;</w:t>
                  </w:r>
                </w:p>
                <w:p w14:paraId="1B3FEB7A" w14:textId="77777777" w:rsidR="00780B2E" w:rsidRPr="009C5F11" w:rsidRDefault="00927CD9"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sz w:val="18"/>
                      <w:szCs w:val="14"/>
                      <w:lang w:val="ro-RO"/>
                    </w:rPr>
                    <w:t>A fost elaborat proiectul Metodologiei de calcul al performanţei energetice a clădirilor</w:t>
                  </w:r>
                  <w:r w:rsidR="00780B2E" w:rsidRPr="009C5F11">
                    <w:rPr>
                      <w:rFonts w:ascii="Times New Roman" w:eastAsia="Verdana" w:hAnsi="Times New Roman" w:cs="Times New Roman"/>
                      <w:sz w:val="18"/>
                      <w:szCs w:val="14"/>
                      <w:lang w:val="ro-RO"/>
                    </w:rPr>
                    <w:t>;</w:t>
                  </w:r>
                </w:p>
                <w:p w14:paraId="7E396189" w14:textId="77777777" w:rsidR="00780B2E" w:rsidRPr="009C5F11" w:rsidRDefault="0060148D"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eastAsia="en-GB"/>
                    </w:rPr>
                  </w:pPr>
                  <w:r w:rsidRPr="009C5F11">
                    <w:rPr>
                      <w:rFonts w:ascii="Times New Roman" w:eastAsia="Verdana" w:hAnsi="Times New Roman" w:cs="Times New Roman"/>
                      <w:bCs/>
                      <w:color w:val="000000"/>
                      <w:sz w:val="18"/>
                      <w:szCs w:val="14"/>
                      <w:lang w:val="ro-RO" w:eastAsia="en-GB"/>
                    </w:rPr>
                    <w:t xml:space="preserve">Au fost adoptate </w:t>
                  </w:r>
                  <w:r w:rsidR="000A4CC7" w:rsidRPr="009C5F11">
                    <w:rPr>
                      <w:rFonts w:ascii="Times New Roman" w:eastAsia="Verdana" w:hAnsi="Times New Roman" w:cs="Times New Roman"/>
                      <w:bCs/>
                      <w:color w:val="000000"/>
                      <w:sz w:val="18"/>
                      <w:szCs w:val="14"/>
                      <w:lang w:val="ro-RO" w:eastAsia="en-GB"/>
                    </w:rPr>
                    <w:t>Legea</w:t>
                  </w:r>
                  <w:r w:rsidR="00780B2E" w:rsidRPr="009C5F11">
                    <w:rPr>
                      <w:rFonts w:ascii="Times New Roman" w:eastAsia="Verdana" w:hAnsi="Times New Roman" w:cs="Times New Roman"/>
                      <w:bCs/>
                      <w:color w:val="000000"/>
                      <w:sz w:val="18"/>
                      <w:szCs w:val="14"/>
                      <w:lang w:val="ro-RO" w:eastAsia="en-GB"/>
                    </w:rPr>
                    <w:t xml:space="preserve"> </w:t>
                  </w:r>
                  <w:r w:rsidR="00DB0059" w:rsidRPr="009C5F11">
                    <w:rPr>
                      <w:rFonts w:ascii="Times New Roman" w:eastAsia="Verdana" w:hAnsi="Times New Roman" w:cs="Times New Roman"/>
                      <w:bCs/>
                      <w:color w:val="000000"/>
                      <w:sz w:val="18"/>
                      <w:szCs w:val="14"/>
                      <w:lang w:val="ro-RO" w:eastAsia="en-GB"/>
                    </w:rPr>
                    <w:t>cu privire la etichetarea</w:t>
                  </w:r>
                  <w:r w:rsidR="00F10EAE" w:rsidRPr="009C5F11">
                    <w:rPr>
                      <w:rFonts w:ascii="Times New Roman" w:eastAsia="Verdana" w:hAnsi="Times New Roman" w:cs="Times New Roman"/>
                      <w:bCs/>
                      <w:color w:val="000000"/>
                      <w:sz w:val="18"/>
                      <w:szCs w:val="14"/>
                      <w:lang w:val="ro-RO" w:eastAsia="en-GB"/>
                    </w:rPr>
                    <w:t xml:space="preserve"> produselor cu impact energetic</w:t>
                  </w:r>
                  <w:r w:rsidR="00321CD5" w:rsidRPr="009C5F11">
                    <w:rPr>
                      <w:rFonts w:ascii="Times New Roman" w:eastAsia="Verdana" w:hAnsi="Times New Roman" w:cs="Times New Roman"/>
                      <w:bCs/>
                      <w:color w:val="000000"/>
                      <w:sz w:val="18"/>
                      <w:szCs w:val="14"/>
                      <w:lang w:val="ro-RO" w:eastAsia="en-GB"/>
                    </w:rPr>
                    <w:t xml:space="preserve"> </w:t>
                  </w:r>
                  <w:r w:rsidRPr="009C5F11">
                    <w:rPr>
                      <w:rFonts w:ascii="Times New Roman" w:eastAsia="Verdana" w:hAnsi="Times New Roman" w:cs="Times New Roman"/>
                      <w:bCs/>
                      <w:color w:val="000000"/>
                      <w:sz w:val="18"/>
                      <w:szCs w:val="14"/>
                      <w:lang w:val="ro-RO" w:eastAsia="en-GB"/>
                    </w:rPr>
                    <w:t>(Legea nr.</w:t>
                  </w:r>
                  <w:r w:rsidRPr="009C5F11">
                    <w:rPr>
                      <w:rFonts w:ascii="Times New Roman" w:eastAsia="Verdana" w:hAnsi="Times New Roman" w:cs="Times New Roman"/>
                      <w:color w:val="000000"/>
                      <w:sz w:val="18"/>
                      <w:szCs w:val="14"/>
                      <w:lang w:val="ro-RO" w:eastAsia="en-GB"/>
                    </w:rPr>
                    <w:t xml:space="preserve"> 44 din 27.03.2014</w:t>
                  </w:r>
                  <w:r w:rsidRPr="009C5F11">
                    <w:rPr>
                      <w:rFonts w:ascii="Times New Roman" w:eastAsia="Verdana" w:hAnsi="Times New Roman" w:cs="Times New Roman"/>
                      <w:bCs/>
                      <w:color w:val="000000"/>
                      <w:sz w:val="18"/>
                      <w:szCs w:val="14"/>
                      <w:lang w:val="ro-RO" w:eastAsia="en-GB"/>
                    </w:rPr>
                    <w:t xml:space="preserve">) </w:t>
                  </w:r>
                  <w:r w:rsidR="00321CD5" w:rsidRPr="009C5F11">
                    <w:rPr>
                      <w:rFonts w:ascii="Times New Roman" w:eastAsia="Verdana" w:hAnsi="Times New Roman" w:cs="Times New Roman"/>
                      <w:bCs/>
                      <w:color w:val="000000"/>
                      <w:sz w:val="18"/>
                      <w:szCs w:val="14"/>
                      <w:lang w:val="ro-RO" w:eastAsia="en-GB"/>
                    </w:rPr>
                    <w:t xml:space="preserve">şi </w:t>
                  </w:r>
                  <w:r w:rsidR="00780B2E" w:rsidRPr="009C5F11">
                    <w:rPr>
                      <w:rFonts w:ascii="Times New Roman" w:eastAsia="Verdana" w:hAnsi="Times New Roman" w:cs="Times New Roman"/>
                      <w:color w:val="000000"/>
                      <w:sz w:val="18"/>
                      <w:szCs w:val="14"/>
                      <w:lang w:val="ro-RO" w:eastAsia="en-GB"/>
                    </w:rPr>
                    <w:t xml:space="preserve">5 </w:t>
                  </w:r>
                  <w:r w:rsidRPr="009C5F11">
                    <w:rPr>
                      <w:rFonts w:ascii="Times New Roman" w:eastAsia="Verdana" w:hAnsi="Times New Roman" w:cs="Times New Roman"/>
                      <w:color w:val="000000"/>
                      <w:sz w:val="18"/>
                      <w:szCs w:val="14"/>
                      <w:lang w:val="ro-RO" w:eastAsia="en-GB"/>
                    </w:rPr>
                    <w:t>regulamente de i</w:t>
                  </w:r>
                  <w:r w:rsidR="00780B2E" w:rsidRPr="009C5F11">
                    <w:rPr>
                      <w:rFonts w:ascii="Times New Roman" w:eastAsia="Verdana" w:hAnsi="Times New Roman" w:cs="Times New Roman"/>
                      <w:color w:val="000000"/>
                      <w:sz w:val="18"/>
                      <w:szCs w:val="14"/>
                      <w:lang w:val="ro-RO" w:eastAsia="en-GB"/>
                    </w:rPr>
                    <w:t>mplement</w:t>
                  </w:r>
                  <w:r w:rsidRPr="009C5F11">
                    <w:rPr>
                      <w:rFonts w:ascii="Times New Roman" w:eastAsia="Verdana" w:hAnsi="Times New Roman" w:cs="Times New Roman"/>
                      <w:color w:val="000000"/>
                      <w:sz w:val="18"/>
                      <w:szCs w:val="14"/>
                      <w:lang w:val="ro-RO" w:eastAsia="en-GB"/>
                    </w:rPr>
                    <w:t>are a acesteia;</w:t>
                  </w:r>
                  <w:r w:rsidR="00055095" w:rsidRPr="009C5F11">
                    <w:rPr>
                      <w:rFonts w:ascii="Times New Roman" w:eastAsia="Verdana" w:hAnsi="Times New Roman" w:cs="Times New Roman"/>
                      <w:color w:val="000000"/>
                      <w:sz w:val="18"/>
                      <w:szCs w:val="14"/>
                      <w:lang w:val="ro-RO" w:eastAsia="en-GB"/>
                    </w:rPr>
                    <w:t xml:space="preserve"> </w:t>
                  </w:r>
                </w:p>
                <w:p w14:paraId="7A5FCA23" w14:textId="77777777" w:rsidR="00780B2E" w:rsidRPr="009C5F11" w:rsidRDefault="00927CD9" w:rsidP="00620782">
                  <w:pPr>
                    <w:framePr w:hSpace="180" w:wrap="around" w:vAnchor="text" w:hAnchor="page" w:x="1549" w:y="345"/>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A fost adoptată </w:t>
                  </w:r>
                  <w:r w:rsidR="000A4CC7" w:rsidRPr="009C5F11">
                    <w:rPr>
                      <w:rFonts w:ascii="Times New Roman" w:eastAsia="Verdana" w:hAnsi="Times New Roman" w:cs="Times New Roman"/>
                      <w:bCs/>
                      <w:color w:val="000000"/>
                      <w:sz w:val="18"/>
                      <w:szCs w:val="14"/>
                      <w:lang w:val="ro-RO"/>
                    </w:rPr>
                    <w:t>Legea</w:t>
                  </w:r>
                  <w:r w:rsidRPr="009C5F11">
                    <w:rPr>
                      <w:rFonts w:ascii="Times New Roman" w:eastAsia="Times New Roman" w:hAnsi="Times New Roman" w:cs="Times New Roman"/>
                      <w:bCs/>
                      <w:color w:val="000000"/>
                      <w:sz w:val="18"/>
                      <w:szCs w:val="14"/>
                      <w:lang w:val="ro-RO"/>
                    </w:rPr>
                    <w:t xml:space="preserve"> privind cerinţele în materie de proiectare ecologică aplicabile produselor cu impact energetic</w:t>
                  </w:r>
                  <w:r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bCs/>
                      <w:color w:val="000000"/>
                      <w:sz w:val="18"/>
                      <w:szCs w:val="14"/>
                      <w:lang w:val="ro-RO"/>
                    </w:rPr>
                    <w:t>Legea nr.</w:t>
                  </w:r>
                  <w:r w:rsidRPr="009C5F11">
                    <w:rPr>
                      <w:rFonts w:ascii="Times New Roman" w:eastAsia="Verdana" w:hAnsi="Times New Roman" w:cs="Times New Roman"/>
                      <w:color w:val="000000"/>
                      <w:sz w:val="18"/>
                      <w:szCs w:val="14"/>
                      <w:lang w:val="ro-RO"/>
                    </w:rPr>
                    <w:t xml:space="preserve"> 151 din 17.07.2014</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 xml:space="preserve">7 </w:t>
                  </w:r>
                  <w:r w:rsidRPr="009C5F11">
                    <w:rPr>
                      <w:rFonts w:ascii="Times New Roman" w:eastAsia="Verdana" w:hAnsi="Times New Roman" w:cs="Times New Roman"/>
                      <w:color w:val="000000"/>
                      <w:sz w:val="18"/>
                      <w:szCs w:val="14"/>
                      <w:lang w:val="ro-RO"/>
                    </w:rPr>
                    <w:t xml:space="preserve">regulamente de </w:t>
                  </w:r>
                  <w:r w:rsidR="00780B2E" w:rsidRPr="009C5F11">
                    <w:rPr>
                      <w:rFonts w:ascii="Times New Roman" w:eastAsia="Verdana" w:hAnsi="Times New Roman" w:cs="Times New Roman"/>
                      <w:color w:val="000000"/>
                      <w:sz w:val="18"/>
                      <w:szCs w:val="14"/>
                      <w:lang w:val="ro-RO"/>
                    </w:rPr>
                    <w:t>implement</w:t>
                  </w:r>
                  <w:r w:rsidRPr="009C5F11">
                    <w:rPr>
                      <w:rFonts w:ascii="Times New Roman" w:eastAsia="Verdana" w:hAnsi="Times New Roman" w:cs="Times New Roman"/>
                      <w:color w:val="000000"/>
                      <w:sz w:val="18"/>
                      <w:szCs w:val="14"/>
                      <w:lang w:val="ro-RO"/>
                    </w:rPr>
                    <w:t>are</w:t>
                  </w:r>
                  <w:r w:rsidR="0060148D" w:rsidRPr="009C5F11">
                    <w:rPr>
                      <w:rFonts w:ascii="Times New Roman" w:eastAsia="Verdana" w:hAnsi="Times New Roman" w:cs="Times New Roman"/>
                      <w:color w:val="000000"/>
                      <w:sz w:val="18"/>
                      <w:szCs w:val="14"/>
                      <w:lang w:val="ro-RO"/>
                    </w:rPr>
                    <w:t xml:space="preserve"> a acesteia</w:t>
                  </w:r>
                  <w:r w:rsidRPr="009C5F11">
                    <w:rPr>
                      <w:rFonts w:ascii="Times New Roman" w:eastAsia="Verdana" w:hAnsi="Times New Roman" w:cs="Times New Roman"/>
                      <w:color w:val="000000"/>
                      <w:sz w:val="18"/>
                      <w:szCs w:val="14"/>
                      <w:lang w:val="ro-RO"/>
                    </w:rPr>
                    <w:t>.</w:t>
                  </w:r>
                </w:p>
              </w:tc>
            </w:tr>
          </w:tbl>
          <w:p w14:paraId="2B3393E9" w14:textId="77777777" w:rsidR="00780B2E" w:rsidRPr="009C5F11" w:rsidRDefault="00927CD9" w:rsidP="00C807F1">
            <w:pPr>
              <w:spacing w:after="0" w:line="240" w:lineRule="auto"/>
              <w:jc w:val="both"/>
              <w:rPr>
                <w:rFonts w:ascii="Times New Roman" w:eastAsia="Calibri" w:hAnsi="Times New Roman" w:cs="Times New Roman"/>
                <w:bCs/>
                <w:sz w:val="18"/>
                <w:szCs w:val="14"/>
                <w:lang w:val="ro-RO"/>
              </w:rPr>
            </w:pPr>
            <w:r w:rsidRPr="009C5F11">
              <w:rPr>
                <w:rFonts w:ascii="Times New Roman" w:eastAsia="Calibri" w:hAnsi="Times New Roman" w:cs="Times New Roman"/>
                <w:sz w:val="18"/>
                <w:szCs w:val="14"/>
                <w:lang w:val="ro-RO"/>
              </w:rPr>
              <w:lastRenderedPageBreak/>
              <w:t>Potrivit</w:t>
            </w:r>
            <w:r w:rsidR="00780B2E" w:rsidRPr="009C5F11">
              <w:rPr>
                <w:rFonts w:ascii="Times New Roman" w:eastAsia="Calibri" w:hAnsi="Times New Roman" w:cs="Times New Roman"/>
                <w:sz w:val="18"/>
                <w:szCs w:val="14"/>
                <w:lang w:val="ro-RO"/>
              </w:rPr>
              <w:t xml:space="preserve"> </w:t>
            </w:r>
            <w:r w:rsidR="00321CD5" w:rsidRPr="009C5F11">
              <w:rPr>
                <w:rFonts w:ascii="Times New Roman" w:eastAsia="Calibri" w:hAnsi="Times New Roman" w:cs="Times New Roman"/>
                <w:sz w:val="18"/>
                <w:szCs w:val="14"/>
                <w:lang w:val="ro-RO"/>
              </w:rPr>
              <w:t>Ministerul</w:t>
            </w:r>
            <w:r w:rsidRPr="009C5F11">
              <w:rPr>
                <w:rFonts w:ascii="Times New Roman" w:eastAsia="Calibri" w:hAnsi="Times New Roman" w:cs="Times New Roman"/>
                <w:sz w:val="18"/>
                <w:szCs w:val="14"/>
                <w:lang w:val="ro-RO"/>
              </w:rPr>
              <w:t>ui</w:t>
            </w:r>
            <w:r w:rsidR="00321CD5" w:rsidRPr="009C5F11">
              <w:rPr>
                <w:rFonts w:ascii="Times New Roman" w:eastAsia="Calibri" w:hAnsi="Times New Roman" w:cs="Times New Roman"/>
                <w:sz w:val="18"/>
                <w:szCs w:val="14"/>
                <w:lang w:val="ro-RO"/>
              </w:rPr>
              <w:t xml:space="preserve"> Economiei</w:t>
            </w:r>
            <w:r w:rsidR="00780B2E" w:rsidRPr="009C5F11">
              <w:rPr>
                <w:rFonts w:ascii="Times New Roman" w:eastAsia="Calibri" w:hAnsi="Times New Roman" w:cs="Times New Roman"/>
                <w:sz w:val="18"/>
                <w:szCs w:val="14"/>
                <w:lang w:val="ro-RO"/>
              </w:rPr>
              <w:t xml:space="preserve">, </w:t>
            </w:r>
            <w:r w:rsidRPr="009C5F11">
              <w:rPr>
                <w:rFonts w:ascii="Times New Roman" w:eastAsia="Calibri" w:hAnsi="Times New Roman" w:cs="Times New Roman"/>
                <w:sz w:val="18"/>
                <w:szCs w:val="14"/>
                <w:lang w:val="ro-RO"/>
              </w:rPr>
              <w:t xml:space="preserve">legislaţia secundară pentru </w:t>
            </w:r>
            <w:r w:rsidR="0060148D" w:rsidRPr="009C5F11">
              <w:rPr>
                <w:rFonts w:ascii="Times New Roman" w:eastAsia="Calibri" w:hAnsi="Times New Roman" w:cs="Times New Roman"/>
                <w:sz w:val="18"/>
                <w:szCs w:val="14"/>
                <w:lang w:val="ro-RO"/>
              </w:rPr>
              <w:t xml:space="preserve">punerea în aplicare a </w:t>
            </w:r>
            <w:r w:rsidRPr="009C5F11">
              <w:rPr>
                <w:rFonts w:ascii="Times New Roman" w:eastAsia="Calibri" w:hAnsi="Times New Roman" w:cs="Times New Roman"/>
                <w:sz w:val="18"/>
                <w:szCs w:val="14"/>
                <w:lang w:val="ro-RO"/>
              </w:rPr>
              <w:t>Leg</w:t>
            </w:r>
            <w:r w:rsidR="0060148D" w:rsidRPr="009C5F11">
              <w:rPr>
                <w:rFonts w:ascii="Times New Roman" w:eastAsia="Calibri" w:hAnsi="Times New Roman" w:cs="Times New Roman"/>
                <w:sz w:val="18"/>
                <w:szCs w:val="14"/>
                <w:lang w:val="ro-RO"/>
              </w:rPr>
              <w:t>ii</w:t>
            </w:r>
            <w:r w:rsidRPr="009C5F11">
              <w:rPr>
                <w:rFonts w:ascii="Times New Roman" w:eastAsia="Calibri" w:hAnsi="Times New Roman" w:cs="Times New Roman"/>
                <w:sz w:val="18"/>
                <w:szCs w:val="14"/>
                <w:lang w:val="ro-RO"/>
              </w:rPr>
              <w:t xml:space="preserve"> cu privire la eficienţa energetică (privind auditul energetic, ESCO etc.) a fost elaborată cu suportul Proiectului de asistenţă tehnică SPSP până în luna noiembrie 2012</w:t>
            </w:r>
            <w:r w:rsidR="00780B2E" w:rsidRPr="009C5F11">
              <w:rPr>
                <w:rFonts w:ascii="Times New Roman" w:eastAsia="Calibri" w:hAnsi="Times New Roman" w:cs="Times New Roman"/>
                <w:bCs/>
                <w:sz w:val="18"/>
                <w:szCs w:val="14"/>
                <w:lang w:val="ro-RO"/>
              </w:rPr>
              <w:t>.</w:t>
            </w:r>
          </w:p>
          <w:p w14:paraId="74BE1A52" w14:textId="77777777" w:rsidR="00780B2E" w:rsidRPr="009C5F11" w:rsidRDefault="0060148D" w:rsidP="00C807F1">
            <w:pPr>
              <w:spacing w:after="0" w:line="240" w:lineRule="auto"/>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În conformitate cu</w:t>
            </w:r>
            <w:r w:rsidR="00780B2E" w:rsidRPr="009C5F11">
              <w:rPr>
                <w:rFonts w:ascii="Times New Roman" w:eastAsia="Calibri" w:hAnsi="Times New Roman" w:cs="Times New Roman"/>
                <w:bCs/>
                <w:sz w:val="18"/>
                <w:szCs w:val="14"/>
                <w:lang w:val="ro-RO"/>
              </w:rPr>
              <w:t xml:space="preserve"> </w:t>
            </w:r>
            <w:r w:rsidR="00927CD9" w:rsidRPr="009C5F11">
              <w:rPr>
                <w:rFonts w:ascii="Times New Roman" w:eastAsia="Calibri" w:hAnsi="Times New Roman" w:cs="Times New Roman"/>
                <w:bCs/>
                <w:sz w:val="18"/>
                <w:szCs w:val="14"/>
                <w:lang w:val="ro-RO"/>
              </w:rPr>
              <w:t>implement</w:t>
            </w:r>
            <w:r w:rsidRPr="009C5F11">
              <w:rPr>
                <w:rFonts w:ascii="Times New Roman" w:eastAsia="Calibri" w:hAnsi="Times New Roman" w:cs="Times New Roman"/>
                <w:bCs/>
                <w:sz w:val="18"/>
                <w:szCs w:val="14"/>
                <w:lang w:val="ro-RO"/>
              </w:rPr>
              <w:t>area</w:t>
            </w:r>
            <w:r w:rsidR="00927CD9" w:rsidRPr="009C5F11">
              <w:rPr>
                <w:rFonts w:ascii="Times New Roman" w:eastAsia="Calibri" w:hAnsi="Times New Roman" w:cs="Times New Roman"/>
                <w:bCs/>
                <w:sz w:val="18"/>
                <w:szCs w:val="14"/>
                <w:lang w:val="ro-RO"/>
              </w:rPr>
              <w:t xml:space="preserve"> Strategiei de cheltuieli pe termen mediu pentru sectorul energetic din Republica Moldova </w:t>
            </w:r>
            <w:r w:rsidR="00321CD5" w:rsidRPr="009C5F11">
              <w:rPr>
                <w:rFonts w:ascii="Times New Roman" w:eastAsia="Calibri" w:hAnsi="Times New Roman" w:cs="Times New Roman"/>
                <w:bCs/>
                <w:sz w:val="18"/>
                <w:szCs w:val="14"/>
                <w:lang w:val="ro-RO"/>
              </w:rPr>
              <w:t xml:space="preserve">în </w:t>
            </w:r>
            <w:r w:rsidR="00927CD9" w:rsidRPr="009C5F11">
              <w:rPr>
                <w:rFonts w:ascii="Times New Roman" w:eastAsia="Calibri" w:hAnsi="Times New Roman" w:cs="Times New Roman"/>
                <w:bCs/>
                <w:sz w:val="18"/>
                <w:szCs w:val="14"/>
                <w:lang w:val="ro-RO"/>
              </w:rPr>
              <w:t xml:space="preserve">perioada anilor </w:t>
            </w:r>
            <w:r w:rsidR="00780B2E" w:rsidRPr="009C5F11">
              <w:rPr>
                <w:rFonts w:ascii="Times New Roman" w:eastAsia="Calibri" w:hAnsi="Times New Roman" w:cs="Times New Roman"/>
                <w:bCs/>
                <w:sz w:val="18"/>
                <w:szCs w:val="14"/>
                <w:lang w:val="ro-RO"/>
              </w:rPr>
              <w:t>2013</w:t>
            </w:r>
            <w:r w:rsidR="00927CD9" w:rsidRPr="009C5F11">
              <w:rPr>
                <w:rFonts w:ascii="Times New Roman" w:eastAsia="Calibri" w:hAnsi="Times New Roman" w:cs="Times New Roman"/>
                <w:bCs/>
                <w:sz w:val="18"/>
                <w:szCs w:val="14"/>
                <w:lang w:val="ro-RO"/>
              </w:rPr>
              <w:t>-</w:t>
            </w:r>
            <w:r w:rsidR="00780B2E" w:rsidRPr="009C5F11">
              <w:rPr>
                <w:rFonts w:ascii="Times New Roman" w:eastAsia="Calibri" w:hAnsi="Times New Roman" w:cs="Times New Roman"/>
                <w:bCs/>
                <w:sz w:val="18"/>
                <w:szCs w:val="14"/>
                <w:lang w:val="ro-RO"/>
              </w:rPr>
              <w:t>2014</w:t>
            </w:r>
            <w:r w:rsidR="00927CD9" w:rsidRPr="009C5F11">
              <w:rPr>
                <w:rFonts w:ascii="Times New Roman" w:eastAsia="Calibri" w:hAnsi="Times New Roman" w:cs="Times New Roman"/>
                <w:bCs/>
                <w:sz w:val="18"/>
                <w:szCs w:val="14"/>
                <w:lang w:val="ro-RO"/>
              </w:rPr>
              <w:t xml:space="preserve">, au fost elaborate două </w:t>
            </w:r>
            <w:r w:rsidR="00916F33" w:rsidRPr="009C5F11">
              <w:rPr>
                <w:rFonts w:ascii="Times New Roman" w:eastAsia="Calibri" w:hAnsi="Times New Roman" w:cs="Times New Roman"/>
                <w:bCs/>
                <w:sz w:val="18"/>
                <w:szCs w:val="14"/>
                <w:lang w:val="ro-RO"/>
              </w:rPr>
              <w:t>ghiduri</w:t>
            </w:r>
            <w:r w:rsidR="00927CD9" w:rsidRPr="009C5F11">
              <w:rPr>
                <w:rFonts w:ascii="Times New Roman" w:eastAsia="Calibri" w:hAnsi="Times New Roman" w:cs="Times New Roman"/>
                <w:bCs/>
                <w:sz w:val="18"/>
                <w:szCs w:val="14"/>
                <w:lang w:val="ro-RO"/>
              </w:rPr>
              <w:t xml:space="preserve"> (</w:t>
            </w:r>
            <w:r w:rsidR="00321CD5" w:rsidRPr="009C5F11">
              <w:rPr>
                <w:rFonts w:ascii="Times New Roman" w:eastAsia="Calibri" w:hAnsi="Times New Roman" w:cs="Times New Roman"/>
                <w:bCs/>
                <w:sz w:val="18"/>
                <w:szCs w:val="14"/>
                <w:lang w:val="ro-RO"/>
              </w:rPr>
              <w:t xml:space="preserve">în </w:t>
            </w:r>
            <w:r w:rsidR="00780B2E" w:rsidRPr="009C5F11">
              <w:rPr>
                <w:rFonts w:ascii="Times New Roman" w:eastAsia="Calibri" w:hAnsi="Times New Roman" w:cs="Times New Roman"/>
                <w:bCs/>
                <w:sz w:val="18"/>
                <w:szCs w:val="14"/>
                <w:lang w:val="ro-RO"/>
              </w:rPr>
              <w:t>2014</w:t>
            </w:r>
            <w:r w:rsidR="00927CD9" w:rsidRPr="009C5F11">
              <w:rPr>
                <w:rFonts w:ascii="Times New Roman" w:eastAsia="Calibri" w:hAnsi="Times New Roman" w:cs="Times New Roman"/>
                <w:bCs/>
                <w:sz w:val="18"/>
                <w:szCs w:val="14"/>
                <w:lang w:val="ro-RO"/>
              </w:rPr>
              <w:t>)</w:t>
            </w:r>
            <w:r w:rsidR="00A3423B" w:rsidRPr="009C5F11">
              <w:rPr>
                <w:rFonts w:ascii="Times New Roman" w:hAnsi="Times New Roman" w:cs="Times New Roman"/>
                <w:sz w:val="18"/>
                <w:szCs w:val="14"/>
                <w:lang w:val="ro-RO"/>
              </w:rPr>
              <w:t xml:space="preserve"> în domeniul eficienței energetice și surselor regenerabile</w:t>
            </w:r>
            <w:r w:rsidR="00780B2E" w:rsidRPr="009C5F11">
              <w:rPr>
                <w:rFonts w:ascii="Times New Roman" w:eastAsia="Calibri" w:hAnsi="Times New Roman" w:cs="Times New Roman"/>
                <w:bCs/>
                <w:sz w:val="18"/>
                <w:szCs w:val="14"/>
                <w:lang w:val="ro-RO"/>
              </w:rPr>
              <w:t>:</w:t>
            </w:r>
            <w:r w:rsidR="00055095" w:rsidRPr="009C5F11">
              <w:rPr>
                <w:rFonts w:ascii="Times New Roman" w:eastAsia="Calibri" w:hAnsi="Times New Roman" w:cs="Times New Roman"/>
                <w:bCs/>
                <w:sz w:val="18"/>
                <w:szCs w:val="14"/>
                <w:lang w:val="ro-RO"/>
              </w:rPr>
              <w:t xml:space="preserve"> </w:t>
            </w:r>
            <w:r w:rsidR="00A3423B" w:rsidRPr="009C5F11">
              <w:rPr>
                <w:rFonts w:ascii="Times New Roman" w:hAnsi="Times New Roman" w:cs="Times New Roman"/>
                <w:sz w:val="18"/>
                <w:szCs w:val="14"/>
                <w:lang w:val="ro-RO"/>
              </w:rPr>
              <w:t>Ghidul privind evaluarea economică a proiectelor din domeniile eficienței energetice și energiilor regenerabile</w:t>
            </w:r>
            <w:r w:rsidR="00780B2E" w:rsidRPr="009C5F11">
              <w:rPr>
                <w:rFonts w:ascii="Times New Roman" w:eastAsia="Calibri" w:hAnsi="Times New Roman" w:cs="Times New Roman"/>
                <w:bCs/>
                <w:sz w:val="18"/>
                <w:szCs w:val="14"/>
                <w:lang w:val="ro-RO"/>
              </w:rPr>
              <w:t xml:space="preserve"> </w:t>
            </w:r>
            <w:r w:rsidR="00321CD5" w:rsidRPr="009C5F11">
              <w:rPr>
                <w:rFonts w:ascii="Times New Roman" w:eastAsia="Calibri" w:hAnsi="Times New Roman" w:cs="Times New Roman"/>
                <w:bCs/>
                <w:sz w:val="18"/>
                <w:szCs w:val="14"/>
                <w:lang w:val="ro-RO"/>
              </w:rPr>
              <w:t xml:space="preserve">şi </w:t>
            </w:r>
            <w:r w:rsidR="00780B2E" w:rsidRPr="009C5F11">
              <w:rPr>
                <w:rFonts w:ascii="Times New Roman" w:eastAsia="Calibri" w:hAnsi="Times New Roman" w:cs="Times New Roman"/>
                <w:bCs/>
                <w:sz w:val="18"/>
                <w:szCs w:val="14"/>
                <w:lang w:val="ro-RO"/>
              </w:rPr>
              <w:t>G</w:t>
            </w:r>
            <w:r w:rsidR="00FE3FFB" w:rsidRPr="009C5F11">
              <w:rPr>
                <w:rFonts w:ascii="Times New Roman" w:eastAsia="Calibri" w:hAnsi="Times New Roman" w:cs="Times New Roman"/>
                <w:bCs/>
                <w:sz w:val="18"/>
                <w:szCs w:val="14"/>
                <w:lang w:val="ro-RO"/>
              </w:rPr>
              <w:t>hid</w:t>
            </w:r>
            <w:r w:rsidR="00A3423B" w:rsidRPr="009C5F11">
              <w:rPr>
                <w:rFonts w:ascii="Times New Roman" w:eastAsia="Calibri" w:hAnsi="Times New Roman" w:cs="Times New Roman"/>
                <w:bCs/>
                <w:sz w:val="18"/>
                <w:szCs w:val="14"/>
                <w:lang w:val="ro-RO"/>
              </w:rPr>
              <w:t>ul</w:t>
            </w:r>
            <w:r w:rsidR="00FE3FFB" w:rsidRPr="009C5F11">
              <w:rPr>
                <w:rFonts w:ascii="Times New Roman" w:eastAsia="Calibri" w:hAnsi="Times New Roman" w:cs="Times New Roman"/>
                <w:bCs/>
                <w:sz w:val="18"/>
                <w:szCs w:val="14"/>
                <w:lang w:val="ro-RO"/>
              </w:rPr>
              <w:t xml:space="preserve"> </w:t>
            </w:r>
            <w:r w:rsidR="00A3423B" w:rsidRPr="009C5F11">
              <w:rPr>
                <w:rFonts w:ascii="Times New Roman" w:eastAsia="Calibri" w:hAnsi="Times New Roman" w:cs="Times New Roman"/>
                <w:bCs/>
                <w:sz w:val="18"/>
                <w:szCs w:val="14"/>
                <w:lang w:val="ro-RO"/>
              </w:rPr>
              <w:t>privind</w:t>
            </w:r>
            <w:r w:rsidR="00FE3FFB" w:rsidRPr="009C5F11">
              <w:rPr>
                <w:rFonts w:ascii="Times New Roman" w:eastAsia="Calibri" w:hAnsi="Times New Roman" w:cs="Times New Roman"/>
                <w:bCs/>
                <w:sz w:val="18"/>
                <w:szCs w:val="14"/>
                <w:lang w:val="ro-RO"/>
              </w:rPr>
              <w:t xml:space="preserve"> </w:t>
            </w:r>
            <w:r w:rsidR="00780B2E" w:rsidRPr="009C5F11">
              <w:rPr>
                <w:rFonts w:ascii="Times New Roman" w:eastAsia="Calibri" w:hAnsi="Times New Roman" w:cs="Times New Roman"/>
                <w:bCs/>
                <w:sz w:val="18"/>
                <w:szCs w:val="14"/>
                <w:lang w:val="ro-RO"/>
              </w:rPr>
              <w:t>promo</w:t>
            </w:r>
            <w:r w:rsidR="00FE3FFB" w:rsidRPr="009C5F11">
              <w:rPr>
                <w:rFonts w:ascii="Times New Roman" w:eastAsia="Calibri" w:hAnsi="Times New Roman" w:cs="Times New Roman"/>
                <w:bCs/>
                <w:sz w:val="18"/>
                <w:szCs w:val="14"/>
                <w:lang w:val="ro-RO"/>
              </w:rPr>
              <w:t xml:space="preserve">varea tehnologiilor de cogenerare şi trigenerare </w:t>
            </w:r>
            <w:r w:rsidR="00A3423B" w:rsidRPr="009C5F11">
              <w:rPr>
                <w:rFonts w:ascii="Times New Roman" w:eastAsia="Calibri" w:hAnsi="Times New Roman" w:cs="Times New Roman"/>
                <w:bCs/>
                <w:sz w:val="18"/>
                <w:szCs w:val="14"/>
                <w:lang w:val="ro-RO"/>
              </w:rPr>
              <w:t xml:space="preserve">a energiei </w:t>
            </w:r>
            <w:r w:rsidR="00FE3FFB" w:rsidRPr="009C5F11">
              <w:rPr>
                <w:rFonts w:ascii="Times New Roman" w:eastAsia="Calibri" w:hAnsi="Times New Roman" w:cs="Times New Roman"/>
                <w:bCs/>
                <w:sz w:val="18"/>
                <w:szCs w:val="14"/>
                <w:lang w:val="ro-RO"/>
              </w:rPr>
              <w:t xml:space="preserve">în </w:t>
            </w:r>
            <w:r w:rsidR="00780B2E" w:rsidRPr="009C5F11">
              <w:rPr>
                <w:rFonts w:ascii="Times New Roman" w:eastAsia="Calibri" w:hAnsi="Times New Roman" w:cs="Times New Roman"/>
                <w:bCs/>
                <w:sz w:val="18"/>
                <w:szCs w:val="14"/>
                <w:lang w:val="ro-RO"/>
              </w:rPr>
              <w:t>R</w:t>
            </w:r>
            <w:r w:rsidR="00FE3FFB" w:rsidRPr="009C5F11">
              <w:rPr>
                <w:rFonts w:ascii="Times New Roman" w:eastAsia="Calibri" w:hAnsi="Times New Roman" w:cs="Times New Roman"/>
                <w:bCs/>
                <w:sz w:val="18"/>
                <w:szCs w:val="14"/>
                <w:lang w:val="ro-RO"/>
              </w:rPr>
              <w:t>epublica</w:t>
            </w:r>
            <w:r w:rsidR="00780B2E" w:rsidRPr="009C5F11">
              <w:rPr>
                <w:rFonts w:ascii="Times New Roman" w:eastAsia="Calibri" w:hAnsi="Times New Roman" w:cs="Times New Roman"/>
                <w:bCs/>
                <w:sz w:val="18"/>
                <w:szCs w:val="14"/>
                <w:lang w:val="ro-RO"/>
              </w:rPr>
              <w:t xml:space="preserve"> Moldova.</w:t>
            </w:r>
          </w:p>
          <w:p w14:paraId="3C04C356" w14:textId="77777777" w:rsidR="00780B2E" w:rsidRPr="009C5F11" w:rsidRDefault="0060148D" w:rsidP="00C807F1">
            <w:pPr>
              <w:spacing w:after="0" w:line="240" w:lineRule="auto"/>
              <w:jc w:val="both"/>
              <w:rPr>
                <w:rFonts w:ascii="Times New Roman" w:eastAsia="Calibri" w:hAnsi="Times New Roman" w:cs="Times New Roman"/>
                <w:bCs/>
                <w:sz w:val="18"/>
                <w:szCs w:val="14"/>
                <w:lang w:val="ro-RO"/>
              </w:rPr>
            </w:pPr>
            <w:r w:rsidRPr="009C5F11">
              <w:rPr>
                <w:rFonts w:ascii="Times New Roman" w:eastAsia="Calibri" w:hAnsi="Times New Roman" w:cs="Times New Roman"/>
                <w:sz w:val="18"/>
                <w:szCs w:val="14"/>
                <w:lang w:val="ro-RO"/>
              </w:rPr>
              <w:t>Potrivit informaţiilor</w:t>
            </w:r>
            <w:r w:rsidR="00FE3FFB" w:rsidRPr="009C5F11">
              <w:rPr>
                <w:rFonts w:ascii="Times New Roman" w:eastAsia="Calibri" w:hAnsi="Times New Roman" w:cs="Times New Roman"/>
                <w:sz w:val="18"/>
                <w:szCs w:val="14"/>
                <w:lang w:val="ro-RO"/>
              </w:rPr>
              <w:t xml:space="preserve"> furnizate de </w:t>
            </w:r>
            <w:r w:rsidR="00780B2E" w:rsidRPr="009C5F11">
              <w:rPr>
                <w:rFonts w:ascii="Times New Roman" w:eastAsia="Calibri" w:hAnsi="Times New Roman" w:cs="Times New Roman"/>
                <w:sz w:val="18"/>
                <w:szCs w:val="14"/>
                <w:lang w:val="ro-RO"/>
              </w:rPr>
              <w:t xml:space="preserve">AEE </w:t>
            </w:r>
            <w:r w:rsidR="00FE3FFB" w:rsidRPr="009C5F11">
              <w:rPr>
                <w:rFonts w:ascii="Times New Roman" w:eastAsia="Calibri" w:hAnsi="Times New Roman" w:cs="Times New Roman"/>
                <w:sz w:val="18"/>
                <w:szCs w:val="14"/>
                <w:lang w:val="ro-RO"/>
              </w:rPr>
              <w:t>la</w:t>
            </w:r>
            <w:r w:rsidR="00780B2E" w:rsidRPr="009C5F11">
              <w:rPr>
                <w:rFonts w:ascii="Times New Roman" w:eastAsia="Calibri" w:hAnsi="Times New Roman" w:cs="Times New Roman"/>
                <w:sz w:val="18"/>
                <w:szCs w:val="14"/>
                <w:lang w:val="ro-RO"/>
              </w:rPr>
              <w:t xml:space="preserve"> 02.03.2016, </w:t>
            </w:r>
            <w:r w:rsidR="00FE3FFB" w:rsidRPr="009C5F11">
              <w:rPr>
                <w:rFonts w:ascii="Times New Roman" w:eastAsia="Calibri" w:hAnsi="Times New Roman" w:cs="Times New Roman"/>
                <w:sz w:val="18"/>
                <w:szCs w:val="14"/>
                <w:lang w:val="ro-RO"/>
              </w:rPr>
              <w:t>transpunerea Directivei</w:t>
            </w:r>
            <w:r w:rsidR="000A4CC7" w:rsidRPr="009C5F11">
              <w:rPr>
                <w:rFonts w:ascii="Times New Roman" w:eastAsia="Calibri" w:hAnsi="Times New Roman" w:cs="Times New Roman"/>
                <w:sz w:val="18"/>
                <w:szCs w:val="14"/>
                <w:lang w:val="ro-RO"/>
              </w:rPr>
              <w:t xml:space="preserve"> </w:t>
            </w:r>
            <w:r w:rsidR="00780B2E" w:rsidRPr="009C5F11">
              <w:rPr>
                <w:rFonts w:ascii="Times New Roman" w:eastAsia="Calibri" w:hAnsi="Times New Roman" w:cs="Times New Roman"/>
                <w:sz w:val="18"/>
                <w:szCs w:val="14"/>
                <w:lang w:val="ro-RO"/>
              </w:rPr>
              <w:t>2012/27</w:t>
            </w:r>
            <w:r w:rsidR="00730BB5" w:rsidRPr="009C5F11">
              <w:rPr>
                <w:rFonts w:ascii="Times New Roman" w:eastAsia="Calibri" w:hAnsi="Times New Roman" w:cs="Times New Roman"/>
                <w:sz w:val="18"/>
                <w:szCs w:val="14"/>
                <w:lang w:val="ro-RO"/>
              </w:rPr>
              <w:t>/UE</w:t>
            </w:r>
            <w:r w:rsidR="00780B2E" w:rsidRPr="009C5F11">
              <w:rPr>
                <w:rFonts w:ascii="Times New Roman" w:eastAsia="Calibri" w:hAnsi="Times New Roman" w:cs="Times New Roman"/>
                <w:sz w:val="18"/>
                <w:szCs w:val="14"/>
                <w:lang w:val="ro-RO"/>
              </w:rPr>
              <w:t xml:space="preserve"> </w:t>
            </w:r>
            <w:r w:rsidR="00FE3FFB" w:rsidRPr="009C5F11">
              <w:rPr>
                <w:rFonts w:ascii="Times New Roman" w:eastAsia="Calibri" w:hAnsi="Times New Roman" w:cs="Times New Roman"/>
                <w:sz w:val="18"/>
                <w:szCs w:val="14"/>
                <w:lang w:val="ro-RO"/>
              </w:rPr>
              <w:t xml:space="preserve">este planificată pentru anul </w:t>
            </w:r>
            <w:r w:rsidR="00780B2E" w:rsidRPr="009C5F11">
              <w:rPr>
                <w:rFonts w:ascii="Times New Roman" w:eastAsia="Calibri" w:hAnsi="Times New Roman" w:cs="Times New Roman"/>
                <w:sz w:val="18"/>
                <w:szCs w:val="14"/>
                <w:lang w:val="ro-RO"/>
              </w:rPr>
              <w:t>2016.</w:t>
            </w:r>
          </w:p>
          <w:p w14:paraId="1DC68459" w14:textId="77777777" w:rsidR="00780B2E" w:rsidRPr="009C5F11" w:rsidRDefault="00FA7B8A" w:rsidP="00C807F1">
            <w:pPr>
              <w:spacing w:after="0" w:line="240" w:lineRule="auto"/>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Este necesară actualizarea</w:t>
            </w:r>
            <w:r w:rsidR="00780B2E" w:rsidRPr="009C5F11">
              <w:rPr>
                <w:rFonts w:ascii="Times New Roman" w:eastAsia="Calibri" w:hAnsi="Times New Roman" w:cs="Times New Roman"/>
                <w:bCs/>
                <w:sz w:val="18"/>
                <w:szCs w:val="14"/>
                <w:lang w:val="ro-RO"/>
              </w:rPr>
              <w:t xml:space="preserve"> </w:t>
            </w:r>
            <w:r w:rsidR="000A4CC7" w:rsidRPr="009C5F11">
              <w:rPr>
                <w:rFonts w:ascii="Times New Roman" w:eastAsia="Calibri" w:hAnsi="Times New Roman" w:cs="Times New Roman"/>
                <w:bCs/>
                <w:sz w:val="18"/>
                <w:szCs w:val="14"/>
                <w:lang w:val="ro-RO"/>
              </w:rPr>
              <w:t>PNEE</w:t>
            </w:r>
            <w:r w:rsidR="00780B2E" w:rsidRPr="009C5F11">
              <w:rPr>
                <w:rFonts w:ascii="Times New Roman" w:eastAsia="Calibri" w:hAnsi="Times New Roman" w:cs="Times New Roman"/>
                <w:bCs/>
                <w:sz w:val="18"/>
                <w:szCs w:val="14"/>
                <w:lang w:val="ro-RO"/>
              </w:rPr>
              <w:t xml:space="preserve"> 2011-2020</w:t>
            </w:r>
            <w:r w:rsidRPr="009C5F11">
              <w:rPr>
                <w:rFonts w:ascii="Times New Roman" w:eastAsia="Calibri" w:hAnsi="Times New Roman" w:cs="Times New Roman"/>
                <w:bCs/>
                <w:sz w:val="18"/>
                <w:szCs w:val="14"/>
                <w:lang w:val="ro-RO"/>
              </w:rPr>
              <w:t>, însă, deocamdată acest deziderat nu s-a materializat</w:t>
            </w:r>
            <w:r w:rsidR="00780B2E" w:rsidRPr="009C5F11">
              <w:rPr>
                <w:rFonts w:ascii="Times New Roman" w:eastAsia="Calibri" w:hAnsi="Times New Roman" w:cs="Times New Roman"/>
                <w:bCs/>
                <w:sz w:val="18"/>
                <w:szCs w:val="14"/>
                <w:lang w:val="ro-RO"/>
              </w:rPr>
              <w:t>.</w:t>
            </w:r>
          </w:p>
          <w:p w14:paraId="63D01675" w14:textId="77777777" w:rsidR="00780B2E" w:rsidRPr="009C5F11" w:rsidRDefault="00FA7B8A" w:rsidP="00C807F1">
            <w:pPr>
              <w:spacing w:after="0" w:line="240" w:lineRule="auto"/>
              <w:jc w:val="both"/>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 xml:space="preserve">La situaţia din </w:t>
            </w:r>
            <w:r w:rsidR="00780B2E" w:rsidRPr="009C5F11">
              <w:rPr>
                <w:rFonts w:ascii="Times New Roman" w:eastAsia="Calibri" w:hAnsi="Times New Roman" w:cs="Times New Roman"/>
                <w:sz w:val="18"/>
                <w:szCs w:val="14"/>
                <w:lang w:val="ro-RO"/>
              </w:rPr>
              <w:t xml:space="preserve">01.02.2016 </w:t>
            </w:r>
            <w:r w:rsidRPr="009C5F11">
              <w:rPr>
                <w:rFonts w:ascii="Times New Roman" w:eastAsia="Calibri" w:hAnsi="Times New Roman" w:cs="Times New Roman"/>
                <w:sz w:val="18"/>
                <w:szCs w:val="14"/>
                <w:lang w:val="ro-RO"/>
              </w:rPr>
              <w:t xml:space="preserve">relatată de Institutul </w:t>
            </w:r>
            <w:r w:rsidR="00780B2E" w:rsidRPr="009C5F11">
              <w:rPr>
                <w:rFonts w:ascii="Times New Roman" w:eastAsia="Calibri" w:hAnsi="Times New Roman" w:cs="Times New Roman"/>
                <w:sz w:val="18"/>
                <w:szCs w:val="14"/>
                <w:lang w:val="ro-RO"/>
              </w:rPr>
              <w:t>Na</w:t>
            </w:r>
            <w:r w:rsidRPr="009C5F11">
              <w:rPr>
                <w:rFonts w:ascii="Times New Roman" w:eastAsia="Calibri" w:hAnsi="Times New Roman" w:cs="Times New Roman"/>
                <w:sz w:val="18"/>
                <w:szCs w:val="14"/>
                <w:lang w:val="ro-RO"/>
              </w:rPr>
              <w:t>ţ</w:t>
            </w:r>
            <w:r w:rsidR="00780B2E" w:rsidRPr="009C5F11">
              <w:rPr>
                <w:rFonts w:ascii="Times New Roman" w:eastAsia="Calibri" w:hAnsi="Times New Roman" w:cs="Times New Roman"/>
                <w:sz w:val="18"/>
                <w:szCs w:val="14"/>
                <w:lang w:val="ro-RO"/>
              </w:rPr>
              <w:t xml:space="preserve">ional </w:t>
            </w:r>
            <w:r w:rsidRPr="009C5F11">
              <w:rPr>
                <w:rFonts w:ascii="Times New Roman" w:eastAsia="Calibri" w:hAnsi="Times New Roman" w:cs="Times New Roman"/>
                <w:sz w:val="18"/>
                <w:szCs w:val="14"/>
                <w:lang w:val="ro-RO"/>
              </w:rPr>
              <w:t>de Standardizare</w:t>
            </w:r>
            <w:r w:rsidR="00780B2E" w:rsidRPr="009C5F11">
              <w:rPr>
                <w:rFonts w:ascii="Times New Roman" w:eastAsia="Calibri" w:hAnsi="Times New Roman" w:cs="Times New Roman"/>
                <w:sz w:val="18"/>
                <w:szCs w:val="14"/>
                <w:lang w:val="ro-RO"/>
              </w:rPr>
              <w:t xml:space="preserve">, </w:t>
            </w:r>
            <w:r w:rsidRPr="009C5F11">
              <w:rPr>
                <w:rFonts w:ascii="Times New Roman" w:eastAsia="Calibri" w:hAnsi="Times New Roman" w:cs="Times New Roman"/>
                <w:sz w:val="18"/>
                <w:szCs w:val="14"/>
                <w:lang w:val="ro-RO"/>
              </w:rPr>
              <w:t xml:space="preserve">până în prezent Republica Moldova a adoptat </w:t>
            </w:r>
            <w:r w:rsidR="00780B2E" w:rsidRPr="009C5F11">
              <w:rPr>
                <w:rFonts w:ascii="Times New Roman" w:eastAsia="Calibri" w:hAnsi="Times New Roman" w:cs="Times New Roman"/>
                <w:sz w:val="18"/>
                <w:szCs w:val="14"/>
                <w:lang w:val="ro-RO"/>
              </w:rPr>
              <w:t xml:space="preserve">378 </w:t>
            </w:r>
            <w:r w:rsidRPr="009C5F11">
              <w:rPr>
                <w:rFonts w:ascii="Times New Roman" w:eastAsia="Calibri" w:hAnsi="Times New Roman" w:cs="Times New Roman"/>
                <w:sz w:val="18"/>
                <w:szCs w:val="14"/>
                <w:lang w:val="ro-RO"/>
              </w:rPr>
              <w:t>de standarde e</w:t>
            </w:r>
            <w:r w:rsidR="00780B2E" w:rsidRPr="009C5F11">
              <w:rPr>
                <w:rFonts w:ascii="Times New Roman" w:eastAsia="Calibri" w:hAnsi="Times New Roman" w:cs="Times New Roman"/>
                <w:sz w:val="18"/>
                <w:szCs w:val="14"/>
                <w:lang w:val="ro-RO"/>
              </w:rPr>
              <w:t>uropen</w:t>
            </w:r>
            <w:r w:rsidRPr="009C5F11">
              <w:rPr>
                <w:rFonts w:ascii="Times New Roman" w:eastAsia="Calibri" w:hAnsi="Times New Roman" w:cs="Times New Roman"/>
                <w:sz w:val="18"/>
                <w:szCs w:val="14"/>
                <w:lang w:val="ro-RO"/>
              </w:rPr>
              <w:t xml:space="preserve">e în domeniul </w:t>
            </w:r>
            <w:r w:rsidR="001F5C51" w:rsidRPr="009C5F11">
              <w:rPr>
                <w:rFonts w:ascii="Times New Roman" w:eastAsia="Calibri" w:hAnsi="Times New Roman" w:cs="Times New Roman"/>
                <w:sz w:val="18"/>
                <w:szCs w:val="14"/>
                <w:lang w:val="ro-RO"/>
              </w:rPr>
              <w:t>eficienţei energetice</w:t>
            </w:r>
            <w:r w:rsidR="00321CD5" w:rsidRPr="009C5F11">
              <w:rPr>
                <w:rFonts w:ascii="Times New Roman" w:eastAsia="Calibri" w:hAnsi="Times New Roman" w:cs="Times New Roman"/>
                <w:sz w:val="18"/>
                <w:szCs w:val="14"/>
                <w:lang w:val="ro-RO"/>
              </w:rPr>
              <w:t xml:space="preserve"> şi </w:t>
            </w:r>
            <w:r w:rsidR="00610318" w:rsidRPr="009C5F11">
              <w:rPr>
                <w:rFonts w:ascii="Times New Roman" w:eastAsia="Calibri" w:hAnsi="Times New Roman" w:cs="Times New Roman"/>
                <w:sz w:val="18"/>
                <w:szCs w:val="14"/>
                <w:lang w:val="ro-RO"/>
              </w:rPr>
              <w:t>ESR</w:t>
            </w:r>
            <w:r w:rsidR="00780B2E" w:rsidRPr="009C5F11">
              <w:rPr>
                <w:rFonts w:ascii="Times New Roman" w:eastAsia="Calibri" w:hAnsi="Times New Roman" w:cs="Times New Roman"/>
                <w:sz w:val="18"/>
                <w:szCs w:val="14"/>
                <w:lang w:val="ro-RO"/>
              </w:rPr>
              <w:t>.</w:t>
            </w:r>
          </w:p>
          <w:p w14:paraId="40FA7553" w14:textId="77777777" w:rsidR="00780B2E" w:rsidRPr="009C5F11" w:rsidRDefault="00FA7B8A" w:rsidP="00C807F1">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Dezvoltarea c</w:t>
            </w:r>
            <w:r w:rsidR="00780B2E" w:rsidRPr="009C5F11">
              <w:rPr>
                <w:rFonts w:ascii="Times New Roman" w:eastAsia="Verdana" w:hAnsi="Times New Roman" w:cs="Times New Roman"/>
                <w:sz w:val="18"/>
                <w:szCs w:val="14"/>
                <w:lang w:val="ro-RO"/>
              </w:rPr>
              <w:t>apacit</w:t>
            </w:r>
            <w:r w:rsidRPr="009C5F11">
              <w:rPr>
                <w:rFonts w:ascii="Times New Roman" w:eastAsia="Verdana" w:hAnsi="Times New Roman" w:cs="Times New Roman"/>
                <w:sz w:val="18"/>
                <w:szCs w:val="14"/>
                <w:lang w:val="ro-RO"/>
              </w:rPr>
              <w:t xml:space="preserve">ăţii </w:t>
            </w:r>
            <w:r w:rsidR="00321CD5" w:rsidRPr="009C5F11">
              <w:rPr>
                <w:rFonts w:ascii="Times New Roman" w:eastAsia="Verdana" w:hAnsi="Times New Roman" w:cs="Times New Roman"/>
                <w:sz w:val="18"/>
                <w:szCs w:val="14"/>
                <w:lang w:val="ro-RO"/>
              </w:rPr>
              <w:t>Ministerul</w:t>
            </w:r>
            <w:r w:rsidRPr="009C5F11">
              <w:rPr>
                <w:rFonts w:ascii="Times New Roman" w:eastAsia="Verdana" w:hAnsi="Times New Roman" w:cs="Times New Roman"/>
                <w:sz w:val="18"/>
                <w:szCs w:val="14"/>
                <w:lang w:val="ro-RO"/>
              </w:rPr>
              <w:t>ui</w:t>
            </w:r>
            <w:r w:rsidR="00321CD5" w:rsidRPr="009C5F11">
              <w:rPr>
                <w:rFonts w:ascii="Times New Roman" w:eastAsia="Verdana" w:hAnsi="Times New Roman" w:cs="Times New Roman"/>
                <w:sz w:val="18"/>
                <w:szCs w:val="14"/>
                <w:lang w:val="ro-RO"/>
              </w:rPr>
              <w:t xml:space="preserve"> Economiei în </w:t>
            </w:r>
            <w:r w:rsidRPr="009C5F11">
              <w:rPr>
                <w:rFonts w:ascii="Times New Roman" w:eastAsia="Verdana" w:hAnsi="Times New Roman" w:cs="Times New Roman"/>
                <w:sz w:val="18"/>
                <w:szCs w:val="14"/>
                <w:lang w:val="ro-RO"/>
              </w:rPr>
              <w:t>domeniul</w:t>
            </w:r>
            <w:r w:rsidR="00780B2E" w:rsidRPr="009C5F11">
              <w:rPr>
                <w:rFonts w:ascii="Times New Roman" w:eastAsia="Verdana" w:hAnsi="Times New Roman" w:cs="Times New Roman"/>
                <w:sz w:val="18"/>
                <w:szCs w:val="14"/>
                <w:lang w:val="ro-RO"/>
              </w:rPr>
              <w:t xml:space="preserve"> </w:t>
            </w:r>
            <w:r w:rsidR="001F5C51" w:rsidRPr="009C5F11">
              <w:rPr>
                <w:rFonts w:ascii="Times New Roman" w:eastAsia="Verdana" w:hAnsi="Times New Roman" w:cs="Times New Roman"/>
                <w:sz w:val="18"/>
                <w:szCs w:val="14"/>
                <w:lang w:val="ro-RO"/>
              </w:rPr>
              <w:t>eficienţei energetice</w:t>
            </w:r>
            <w:r w:rsidR="00321CD5" w:rsidRPr="009C5F11">
              <w:rPr>
                <w:rFonts w:ascii="Times New Roman" w:eastAsia="Verdana" w:hAnsi="Times New Roman" w:cs="Times New Roman"/>
                <w:sz w:val="18"/>
                <w:szCs w:val="14"/>
                <w:lang w:val="ro-RO"/>
              </w:rPr>
              <w:t xml:space="preserve"> şi </w:t>
            </w:r>
            <w:r w:rsidRPr="009C5F11">
              <w:rPr>
                <w:rFonts w:ascii="Times New Roman" w:eastAsia="Verdana" w:hAnsi="Times New Roman" w:cs="Times New Roman"/>
                <w:sz w:val="18"/>
                <w:szCs w:val="14"/>
                <w:lang w:val="ro-RO"/>
              </w:rPr>
              <w:t>energiei regenerabile</w:t>
            </w:r>
            <w:r w:rsidR="00321CD5" w:rsidRPr="009C5F11">
              <w:rPr>
                <w:rFonts w:ascii="Times New Roman" w:eastAsia="Verdana" w:hAnsi="Times New Roman" w:cs="Times New Roman"/>
                <w:sz w:val="18"/>
                <w:szCs w:val="14"/>
                <w:lang w:val="ro-RO"/>
              </w:rPr>
              <w:t xml:space="preserve"> </w:t>
            </w:r>
            <w:r w:rsidR="00223DAC" w:rsidRPr="009C5F11">
              <w:rPr>
                <w:rFonts w:ascii="Times New Roman" w:eastAsia="Verdana" w:hAnsi="Times New Roman" w:cs="Times New Roman"/>
                <w:sz w:val="18"/>
                <w:szCs w:val="14"/>
                <w:lang w:val="ro-RO"/>
              </w:rPr>
              <w:t>în Republica Moldova</w:t>
            </w:r>
            <w:r w:rsidR="00780B2E"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bCs/>
                <w:sz w:val="18"/>
                <w:szCs w:val="14"/>
                <w:lang w:val="ro-RO"/>
              </w:rPr>
              <w:t>Suedia</w:t>
            </w:r>
            <w:r w:rsidR="00780B2E" w:rsidRPr="009C5F11">
              <w:rPr>
                <w:rFonts w:ascii="Times New Roman" w:eastAsia="Verdana" w:hAnsi="Times New Roman" w:cs="Times New Roman"/>
                <w:sz w:val="18"/>
                <w:szCs w:val="14"/>
                <w:lang w:val="ro-RO"/>
              </w:rPr>
              <w:t>), 01/07/2011-29/12/2015, grant -  2,425,500</w:t>
            </w:r>
            <w:r w:rsidR="0060148D" w:rsidRPr="009C5F11">
              <w:rPr>
                <w:rFonts w:ascii="Times New Roman" w:eastAsia="Verdana" w:hAnsi="Times New Roman" w:cs="Times New Roman"/>
                <w:sz w:val="18"/>
                <w:szCs w:val="14"/>
                <w:lang w:val="ro-RO"/>
              </w:rPr>
              <w:t xml:space="preserve"> euro.</w:t>
            </w:r>
          </w:p>
          <w:p w14:paraId="6373BD6D" w14:textId="77777777" w:rsidR="00780B2E" w:rsidRPr="009C5F11" w:rsidRDefault="00FA7B8A" w:rsidP="00C807F1">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Acest</w:t>
            </w:r>
            <w:r w:rsidR="00780B2E" w:rsidRPr="009C5F11">
              <w:rPr>
                <w:rFonts w:ascii="Times New Roman" w:eastAsia="Verdana" w:hAnsi="Times New Roman" w:cs="Times New Roman"/>
                <w:sz w:val="18"/>
                <w:szCs w:val="14"/>
                <w:lang w:val="ro-RO"/>
              </w:rPr>
              <w:t xml:space="preserve"> </w:t>
            </w:r>
            <w:r w:rsidR="00421FA7" w:rsidRPr="009C5F11">
              <w:rPr>
                <w:rFonts w:ascii="Times New Roman" w:eastAsia="Verdana" w:hAnsi="Times New Roman" w:cs="Times New Roman"/>
                <w:sz w:val="18"/>
                <w:szCs w:val="14"/>
                <w:lang w:val="ro-RO"/>
              </w:rPr>
              <w:t>proiect</w:t>
            </w:r>
            <w:r w:rsidR="00780B2E"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a acordat sprijin</w:t>
            </w:r>
            <w:r w:rsidR="00780B2E" w:rsidRPr="009C5F11">
              <w:rPr>
                <w:rFonts w:ascii="Times New Roman" w:eastAsia="Verdana" w:hAnsi="Times New Roman" w:cs="Times New Roman"/>
                <w:sz w:val="18"/>
                <w:szCs w:val="14"/>
                <w:lang w:val="ro-RO"/>
              </w:rPr>
              <w:t xml:space="preserve"> </w:t>
            </w:r>
            <w:r w:rsidR="00AA0566" w:rsidRPr="009C5F11">
              <w:rPr>
                <w:rFonts w:ascii="Times New Roman" w:eastAsia="Verdana" w:hAnsi="Times New Roman" w:cs="Times New Roman"/>
                <w:sz w:val="18"/>
                <w:szCs w:val="14"/>
                <w:lang w:val="ro-RO"/>
              </w:rPr>
              <w:t>FEE</w:t>
            </w:r>
            <w:r w:rsidR="00321CD5" w:rsidRPr="009C5F11">
              <w:rPr>
                <w:rFonts w:ascii="Times New Roman" w:eastAsia="Verdana" w:hAnsi="Times New Roman" w:cs="Times New Roman"/>
                <w:sz w:val="18"/>
                <w:szCs w:val="14"/>
                <w:lang w:val="ro-RO"/>
              </w:rPr>
              <w:t xml:space="preserve"> şi Ministerul</w:t>
            </w:r>
            <w:r w:rsidRPr="009C5F11">
              <w:rPr>
                <w:rFonts w:ascii="Times New Roman" w:eastAsia="Verdana" w:hAnsi="Times New Roman" w:cs="Times New Roman"/>
                <w:sz w:val="18"/>
                <w:szCs w:val="14"/>
                <w:lang w:val="ro-RO"/>
              </w:rPr>
              <w:t>ui</w:t>
            </w:r>
            <w:r w:rsidR="00321CD5" w:rsidRPr="009C5F11">
              <w:rPr>
                <w:rFonts w:ascii="Times New Roman" w:eastAsia="Verdana" w:hAnsi="Times New Roman" w:cs="Times New Roman"/>
                <w:sz w:val="18"/>
                <w:szCs w:val="14"/>
                <w:lang w:val="ro-RO"/>
              </w:rPr>
              <w:t xml:space="preserve"> Economiei în </w:t>
            </w:r>
            <w:r w:rsidR="00780B2E" w:rsidRPr="009C5F11">
              <w:rPr>
                <w:rFonts w:ascii="Times New Roman" w:eastAsia="Verdana" w:hAnsi="Times New Roman" w:cs="Times New Roman"/>
                <w:sz w:val="18"/>
                <w:szCs w:val="14"/>
                <w:lang w:val="ro-RO"/>
              </w:rPr>
              <w:t>armoni</w:t>
            </w:r>
            <w:r w:rsidRPr="009C5F11">
              <w:rPr>
                <w:rFonts w:ascii="Times New Roman" w:eastAsia="Verdana" w:hAnsi="Times New Roman" w:cs="Times New Roman"/>
                <w:sz w:val="18"/>
                <w:szCs w:val="14"/>
                <w:lang w:val="ro-RO"/>
              </w:rPr>
              <w:t>z</w:t>
            </w:r>
            <w:r w:rsidR="00780B2E" w:rsidRPr="009C5F11">
              <w:rPr>
                <w:rFonts w:ascii="Times New Roman" w:eastAsia="Verdana" w:hAnsi="Times New Roman" w:cs="Times New Roman"/>
                <w:sz w:val="18"/>
                <w:szCs w:val="14"/>
                <w:lang w:val="ro-RO"/>
              </w:rPr>
              <w:t>a</w:t>
            </w:r>
            <w:r w:rsidRPr="009C5F11">
              <w:rPr>
                <w:rFonts w:ascii="Times New Roman" w:eastAsia="Verdana" w:hAnsi="Times New Roman" w:cs="Times New Roman"/>
                <w:sz w:val="18"/>
                <w:szCs w:val="14"/>
                <w:lang w:val="ro-RO"/>
              </w:rPr>
              <w:t xml:space="preserve">rea legislaţiei privind </w:t>
            </w:r>
            <w:r w:rsidR="000C7BEC" w:rsidRPr="009C5F11">
              <w:rPr>
                <w:rFonts w:ascii="Times New Roman" w:eastAsia="Verdana" w:hAnsi="Times New Roman" w:cs="Times New Roman"/>
                <w:sz w:val="18"/>
                <w:szCs w:val="14"/>
                <w:lang w:val="ro-RO"/>
              </w:rPr>
              <w:t>eficienţ</w:t>
            </w:r>
            <w:r w:rsidRPr="009C5F11">
              <w:rPr>
                <w:rFonts w:ascii="Times New Roman" w:eastAsia="Verdana" w:hAnsi="Times New Roman" w:cs="Times New Roman"/>
                <w:sz w:val="18"/>
                <w:szCs w:val="14"/>
                <w:lang w:val="ro-RO"/>
              </w:rPr>
              <w:t>a</w:t>
            </w:r>
            <w:r w:rsidR="000C7BEC" w:rsidRPr="009C5F11">
              <w:rPr>
                <w:rFonts w:ascii="Times New Roman" w:eastAsia="Verdana" w:hAnsi="Times New Roman" w:cs="Times New Roman"/>
                <w:sz w:val="18"/>
                <w:szCs w:val="14"/>
                <w:lang w:val="ro-RO"/>
              </w:rPr>
              <w:t xml:space="preserve"> energetică</w:t>
            </w:r>
            <w:r w:rsidR="00321CD5" w:rsidRPr="009C5F11">
              <w:rPr>
                <w:rFonts w:ascii="Times New Roman" w:eastAsia="Verdana" w:hAnsi="Times New Roman" w:cs="Times New Roman"/>
                <w:sz w:val="18"/>
                <w:szCs w:val="14"/>
                <w:lang w:val="ro-RO"/>
              </w:rPr>
              <w:t xml:space="preserve"> şi </w:t>
            </w:r>
            <w:r w:rsidR="00610318" w:rsidRPr="009C5F11">
              <w:rPr>
                <w:rFonts w:ascii="Times New Roman" w:eastAsia="Verdana" w:hAnsi="Times New Roman" w:cs="Times New Roman"/>
                <w:sz w:val="18"/>
                <w:szCs w:val="14"/>
                <w:lang w:val="ro-RO"/>
              </w:rPr>
              <w:t>ESR</w:t>
            </w:r>
            <w:r w:rsidR="00780B2E"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cu</w:t>
            </w:r>
            <w:r w:rsidR="00780B2E" w:rsidRPr="009C5F11">
              <w:rPr>
                <w:rFonts w:ascii="Times New Roman" w:eastAsia="Verdana" w:hAnsi="Times New Roman" w:cs="Times New Roman"/>
                <w:sz w:val="18"/>
                <w:szCs w:val="14"/>
                <w:lang w:val="ro-RO"/>
              </w:rPr>
              <w:t xml:space="preserve"> acquis</w:t>
            </w:r>
            <w:r w:rsidRPr="009C5F11">
              <w:rPr>
                <w:rFonts w:ascii="Times New Roman" w:eastAsia="Verdana" w:hAnsi="Times New Roman" w:cs="Times New Roman"/>
                <w:sz w:val="18"/>
                <w:szCs w:val="14"/>
                <w:lang w:val="ro-RO"/>
              </w:rPr>
              <w:t>-ul</w:t>
            </w:r>
            <w:r w:rsidR="00780B2E" w:rsidRPr="009C5F11">
              <w:rPr>
                <w:rFonts w:ascii="Times New Roman" w:eastAsia="Verdana" w:hAnsi="Times New Roman" w:cs="Times New Roman"/>
                <w:sz w:val="18"/>
                <w:szCs w:val="14"/>
                <w:lang w:val="ro-RO"/>
              </w:rPr>
              <w:t xml:space="preserve"> comun</w:t>
            </w:r>
            <w:r w:rsidRPr="009C5F11">
              <w:rPr>
                <w:rFonts w:ascii="Times New Roman" w:eastAsia="Verdana" w:hAnsi="Times New Roman" w:cs="Times New Roman"/>
                <w:sz w:val="18"/>
                <w:szCs w:val="14"/>
                <w:lang w:val="ro-RO"/>
              </w:rPr>
              <w:t>itar</w:t>
            </w:r>
            <w:r w:rsidR="00780B2E" w:rsidRPr="009C5F11">
              <w:rPr>
                <w:rFonts w:ascii="Times New Roman" w:eastAsia="Verdana" w:hAnsi="Times New Roman" w:cs="Times New Roman"/>
                <w:sz w:val="18"/>
                <w:szCs w:val="14"/>
                <w:lang w:val="ro-RO"/>
              </w:rPr>
              <w:t xml:space="preserve">. </w:t>
            </w:r>
            <w:r w:rsidR="00B50FD8" w:rsidRPr="009C5F11">
              <w:rPr>
                <w:rFonts w:ascii="Times New Roman" w:eastAsia="Verdana" w:hAnsi="Times New Roman" w:cs="Times New Roman"/>
                <w:sz w:val="18"/>
                <w:szCs w:val="14"/>
                <w:lang w:val="ro-RO"/>
              </w:rPr>
              <w:t xml:space="preserve">Pe parcursul anului 2014 au fost oferite </w:t>
            </w:r>
            <w:r w:rsidR="00780B2E" w:rsidRPr="009C5F11">
              <w:rPr>
                <w:rFonts w:ascii="Times New Roman" w:eastAsia="Verdana" w:hAnsi="Times New Roman" w:cs="Times New Roman"/>
                <w:sz w:val="18"/>
                <w:szCs w:val="14"/>
                <w:lang w:val="ro-RO"/>
              </w:rPr>
              <w:t xml:space="preserve">3 module </w:t>
            </w:r>
            <w:r w:rsidR="00B50FD8" w:rsidRPr="009C5F11">
              <w:rPr>
                <w:rFonts w:ascii="Times New Roman" w:eastAsia="Verdana" w:hAnsi="Times New Roman" w:cs="Times New Roman"/>
                <w:sz w:val="18"/>
                <w:szCs w:val="14"/>
                <w:lang w:val="ro-RO"/>
              </w:rPr>
              <w:t xml:space="preserve">de instruire privind dezvoltarea capacităţii pentru angajaţii </w:t>
            </w:r>
            <w:r w:rsidR="00321CD5" w:rsidRPr="009C5F11">
              <w:rPr>
                <w:rFonts w:ascii="Times New Roman" w:eastAsia="Verdana" w:hAnsi="Times New Roman" w:cs="Times New Roman"/>
                <w:sz w:val="18"/>
                <w:szCs w:val="14"/>
                <w:lang w:val="ro-RO"/>
              </w:rPr>
              <w:t>Ministerul</w:t>
            </w:r>
            <w:r w:rsidR="00B50FD8" w:rsidRPr="009C5F11">
              <w:rPr>
                <w:rFonts w:ascii="Times New Roman" w:eastAsia="Verdana" w:hAnsi="Times New Roman" w:cs="Times New Roman"/>
                <w:sz w:val="18"/>
                <w:szCs w:val="14"/>
                <w:lang w:val="ro-RO"/>
              </w:rPr>
              <w:t>ui</w:t>
            </w:r>
            <w:r w:rsidR="00321CD5" w:rsidRPr="009C5F11">
              <w:rPr>
                <w:rFonts w:ascii="Times New Roman" w:eastAsia="Verdana" w:hAnsi="Times New Roman" w:cs="Times New Roman"/>
                <w:sz w:val="18"/>
                <w:szCs w:val="14"/>
                <w:lang w:val="ro-RO"/>
              </w:rPr>
              <w:t xml:space="preserve"> Economiei</w:t>
            </w:r>
            <w:r w:rsidR="00780B2E" w:rsidRPr="009C5F11">
              <w:rPr>
                <w:rFonts w:ascii="Times New Roman" w:eastAsia="Verdana" w:hAnsi="Times New Roman" w:cs="Times New Roman"/>
                <w:sz w:val="18"/>
                <w:szCs w:val="14"/>
                <w:lang w:val="ro-RO"/>
              </w:rPr>
              <w:t xml:space="preserve">, </w:t>
            </w:r>
            <w:r w:rsidR="00AA0566" w:rsidRPr="009C5F11">
              <w:rPr>
                <w:rFonts w:ascii="Times New Roman" w:eastAsia="Verdana" w:hAnsi="Times New Roman" w:cs="Times New Roman"/>
                <w:sz w:val="18"/>
                <w:szCs w:val="14"/>
                <w:lang w:val="ro-RO"/>
              </w:rPr>
              <w:t>AEE</w:t>
            </w:r>
            <w:r w:rsidR="00780B2E" w:rsidRPr="009C5F11">
              <w:rPr>
                <w:rFonts w:ascii="Times New Roman" w:eastAsia="Verdana" w:hAnsi="Times New Roman" w:cs="Times New Roman"/>
                <w:sz w:val="18"/>
                <w:szCs w:val="14"/>
                <w:lang w:val="ro-RO"/>
              </w:rPr>
              <w:t xml:space="preserve">, </w:t>
            </w:r>
            <w:r w:rsidR="00AA0566" w:rsidRPr="009C5F11">
              <w:rPr>
                <w:rFonts w:ascii="Times New Roman" w:eastAsia="Verdana" w:hAnsi="Times New Roman" w:cs="Times New Roman"/>
                <w:sz w:val="18"/>
                <w:szCs w:val="14"/>
                <w:lang w:val="ro-RO"/>
              </w:rPr>
              <w:t>FEE</w:t>
            </w:r>
            <w:r w:rsidR="00780B2E" w:rsidRPr="009C5F11">
              <w:rPr>
                <w:rFonts w:ascii="Times New Roman" w:eastAsia="Verdana" w:hAnsi="Times New Roman" w:cs="Times New Roman"/>
                <w:sz w:val="18"/>
                <w:szCs w:val="14"/>
                <w:lang w:val="ro-RO"/>
              </w:rPr>
              <w:t xml:space="preserve">, </w:t>
            </w:r>
            <w:r w:rsidR="00321CD5" w:rsidRPr="009C5F11">
              <w:rPr>
                <w:rFonts w:ascii="Times New Roman" w:eastAsia="Verdana" w:hAnsi="Times New Roman" w:cs="Times New Roman"/>
                <w:sz w:val="18"/>
                <w:szCs w:val="14"/>
                <w:lang w:val="ro-RO"/>
              </w:rPr>
              <w:t>Ministerul</w:t>
            </w:r>
            <w:r w:rsidR="00B50FD8" w:rsidRPr="009C5F11">
              <w:rPr>
                <w:rFonts w:ascii="Times New Roman" w:eastAsia="Verdana" w:hAnsi="Times New Roman" w:cs="Times New Roman"/>
                <w:sz w:val="18"/>
                <w:szCs w:val="14"/>
                <w:lang w:val="ro-RO"/>
              </w:rPr>
              <w:t>ui</w:t>
            </w:r>
            <w:r w:rsidR="00321CD5" w:rsidRPr="009C5F11">
              <w:rPr>
                <w:rFonts w:ascii="Times New Roman" w:eastAsia="Verdana" w:hAnsi="Times New Roman" w:cs="Times New Roman"/>
                <w:sz w:val="18"/>
                <w:szCs w:val="14"/>
                <w:lang w:val="ro-RO"/>
              </w:rPr>
              <w:t xml:space="preserve"> Dezvoltării Regionale şi Construcţiilor şi </w:t>
            </w:r>
            <w:r w:rsidR="0060148D" w:rsidRPr="009C5F11">
              <w:rPr>
                <w:rFonts w:ascii="Times New Roman" w:eastAsia="Verdana" w:hAnsi="Times New Roman" w:cs="Times New Roman"/>
                <w:sz w:val="18"/>
                <w:szCs w:val="14"/>
                <w:lang w:val="ro-RO"/>
              </w:rPr>
              <w:t xml:space="preserve">ai </w:t>
            </w:r>
            <w:r w:rsidR="00B50FD8" w:rsidRPr="009C5F11">
              <w:rPr>
                <w:rFonts w:ascii="Times New Roman" w:eastAsia="Verdana" w:hAnsi="Times New Roman" w:cs="Times New Roman"/>
                <w:sz w:val="18"/>
                <w:szCs w:val="14"/>
                <w:lang w:val="ro-RO"/>
              </w:rPr>
              <w:t>AN</w:t>
            </w:r>
            <w:r w:rsidR="00780B2E" w:rsidRPr="009C5F11">
              <w:rPr>
                <w:rFonts w:ascii="Times New Roman" w:eastAsia="Verdana" w:hAnsi="Times New Roman" w:cs="Times New Roman"/>
                <w:sz w:val="18"/>
                <w:szCs w:val="14"/>
                <w:lang w:val="ro-RO"/>
              </w:rPr>
              <w:t xml:space="preserve">RE. </w:t>
            </w:r>
            <w:r w:rsidR="00B50FD8" w:rsidRPr="009C5F11">
              <w:rPr>
                <w:rFonts w:ascii="Times New Roman" w:eastAsia="Verdana" w:hAnsi="Times New Roman" w:cs="Times New Roman"/>
                <w:sz w:val="18"/>
                <w:szCs w:val="14"/>
                <w:lang w:val="ro-RO"/>
              </w:rPr>
              <w:t xml:space="preserve">Concomitent, au fost organizate </w:t>
            </w:r>
            <w:r w:rsidR="00780B2E" w:rsidRPr="009C5F11">
              <w:rPr>
                <w:rFonts w:ascii="Times New Roman" w:eastAsia="Verdana" w:hAnsi="Times New Roman" w:cs="Times New Roman"/>
                <w:sz w:val="18"/>
                <w:szCs w:val="14"/>
                <w:lang w:val="ro-RO"/>
              </w:rPr>
              <w:t xml:space="preserve">3 </w:t>
            </w:r>
            <w:r w:rsidR="00916F33" w:rsidRPr="009C5F11">
              <w:rPr>
                <w:rFonts w:ascii="Times New Roman" w:eastAsia="Verdana" w:hAnsi="Times New Roman" w:cs="Times New Roman"/>
                <w:sz w:val="18"/>
                <w:szCs w:val="14"/>
                <w:lang w:val="ro-RO"/>
              </w:rPr>
              <w:t>vizite</w:t>
            </w:r>
            <w:r w:rsidR="00B50FD8" w:rsidRPr="009C5F11">
              <w:rPr>
                <w:rFonts w:ascii="Times New Roman" w:eastAsia="Verdana" w:hAnsi="Times New Roman" w:cs="Times New Roman"/>
                <w:sz w:val="18"/>
                <w:szCs w:val="14"/>
                <w:lang w:val="ro-RO"/>
              </w:rPr>
              <w:t xml:space="preserve"> de studiu în</w:t>
            </w:r>
            <w:r w:rsidR="00780B2E"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Suedia</w:t>
            </w:r>
            <w:r w:rsidR="00780B2E" w:rsidRPr="009C5F11">
              <w:rPr>
                <w:rFonts w:ascii="Times New Roman" w:eastAsia="Verdana" w:hAnsi="Times New Roman" w:cs="Times New Roman"/>
                <w:sz w:val="18"/>
                <w:szCs w:val="14"/>
                <w:lang w:val="ro-RO"/>
              </w:rPr>
              <w:t>, Spa</w:t>
            </w:r>
            <w:r w:rsidR="00B50FD8" w:rsidRPr="009C5F11">
              <w:rPr>
                <w:rFonts w:ascii="Times New Roman" w:eastAsia="Verdana" w:hAnsi="Times New Roman" w:cs="Times New Roman"/>
                <w:sz w:val="18"/>
                <w:szCs w:val="14"/>
                <w:lang w:val="ro-RO"/>
              </w:rPr>
              <w:t>nia</w:t>
            </w:r>
            <w:r w:rsidR="00321CD5" w:rsidRPr="009C5F11">
              <w:rPr>
                <w:rFonts w:ascii="Times New Roman" w:eastAsia="Verdana" w:hAnsi="Times New Roman" w:cs="Times New Roman"/>
                <w:sz w:val="18"/>
                <w:szCs w:val="14"/>
                <w:lang w:val="ro-RO"/>
              </w:rPr>
              <w:t xml:space="preserve"> şi </w:t>
            </w:r>
            <w:r w:rsidR="00780B2E" w:rsidRPr="009C5F11">
              <w:rPr>
                <w:rFonts w:ascii="Times New Roman" w:eastAsia="Verdana" w:hAnsi="Times New Roman" w:cs="Times New Roman"/>
                <w:sz w:val="18"/>
                <w:szCs w:val="14"/>
                <w:lang w:val="ro-RO"/>
              </w:rPr>
              <w:t>Ital</w:t>
            </w:r>
            <w:r w:rsidR="00B50FD8" w:rsidRPr="009C5F11">
              <w:rPr>
                <w:rFonts w:ascii="Times New Roman" w:eastAsia="Verdana" w:hAnsi="Times New Roman" w:cs="Times New Roman"/>
                <w:sz w:val="18"/>
                <w:szCs w:val="14"/>
                <w:lang w:val="ro-RO"/>
              </w:rPr>
              <w:t>ia</w:t>
            </w:r>
            <w:r w:rsidR="00780B2E" w:rsidRPr="009C5F11">
              <w:rPr>
                <w:rFonts w:ascii="Times New Roman" w:eastAsia="Verdana" w:hAnsi="Times New Roman" w:cs="Times New Roman"/>
                <w:sz w:val="18"/>
                <w:szCs w:val="14"/>
                <w:lang w:val="ro-RO"/>
              </w:rPr>
              <w:t xml:space="preserve"> </w:t>
            </w:r>
            <w:r w:rsidR="00B50FD8" w:rsidRPr="009C5F11">
              <w:rPr>
                <w:rFonts w:ascii="Times New Roman" w:eastAsia="Verdana" w:hAnsi="Times New Roman" w:cs="Times New Roman"/>
                <w:sz w:val="18"/>
                <w:szCs w:val="14"/>
                <w:lang w:val="ro-RO"/>
              </w:rPr>
              <w:t xml:space="preserve">cu participarea a </w:t>
            </w:r>
            <w:r w:rsidR="00780B2E" w:rsidRPr="009C5F11">
              <w:rPr>
                <w:rFonts w:ascii="Times New Roman" w:eastAsia="Verdana" w:hAnsi="Times New Roman" w:cs="Times New Roman"/>
                <w:sz w:val="18"/>
                <w:szCs w:val="14"/>
                <w:lang w:val="ro-RO"/>
              </w:rPr>
              <w:t xml:space="preserve">19 </w:t>
            </w:r>
            <w:r w:rsidR="00B50FD8" w:rsidRPr="009C5F11">
              <w:rPr>
                <w:rFonts w:ascii="Times New Roman" w:eastAsia="Verdana" w:hAnsi="Times New Roman" w:cs="Times New Roman"/>
                <w:sz w:val="18"/>
                <w:szCs w:val="14"/>
                <w:lang w:val="ro-RO"/>
              </w:rPr>
              <w:t xml:space="preserve">colaboratori </w:t>
            </w:r>
            <w:r w:rsidR="0060148D" w:rsidRPr="009C5F11">
              <w:rPr>
                <w:rFonts w:ascii="Times New Roman" w:eastAsia="Verdana" w:hAnsi="Times New Roman" w:cs="Times New Roman"/>
                <w:sz w:val="18"/>
                <w:szCs w:val="14"/>
                <w:lang w:val="ro-RO"/>
              </w:rPr>
              <w:t>ai</w:t>
            </w:r>
            <w:r w:rsidR="00B50FD8" w:rsidRPr="009C5F11">
              <w:rPr>
                <w:rFonts w:ascii="Times New Roman" w:eastAsia="Verdana" w:hAnsi="Times New Roman" w:cs="Times New Roman"/>
                <w:sz w:val="18"/>
                <w:szCs w:val="14"/>
                <w:lang w:val="ro-RO"/>
              </w:rPr>
              <w:t xml:space="preserve"> </w:t>
            </w:r>
            <w:r w:rsidR="00321CD5" w:rsidRPr="009C5F11">
              <w:rPr>
                <w:rFonts w:ascii="Times New Roman" w:eastAsia="Verdana" w:hAnsi="Times New Roman" w:cs="Times New Roman"/>
                <w:sz w:val="18"/>
                <w:szCs w:val="14"/>
                <w:lang w:val="ro-RO"/>
              </w:rPr>
              <w:t>Ministerul</w:t>
            </w:r>
            <w:r w:rsidR="0060148D" w:rsidRPr="009C5F11">
              <w:rPr>
                <w:rFonts w:ascii="Times New Roman" w:eastAsia="Verdana" w:hAnsi="Times New Roman" w:cs="Times New Roman"/>
                <w:sz w:val="18"/>
                <w:szCs w:val="14"/>
                <w:lang w:val="ro-RO"/>
              </w:rPr>
              <w:t>ui</w:t>
            </w:r>
            <w:r w:rsidR="00321CD5" w:rsidRPr="009C5F11">
              <w:rPr>
                <w:rFonts w:ascii="Times New Roman" w:eastAsia="Verdana" w:hAnsi="Times New Roman" w:cs="Times New Roman"/>
                <w:sz w:val="18"/>
                <w:szCs w:val="14"/>
                <w:lang w:val="ro-RO"/>
              </w:rPr>
              <w:t xml:space="preserve"> Economiei şi </w:t>
            </w:r>
            <w:r w:rsidR="00AA0566" w:rsidRPr="009C5F11">
              <w:rPr>
                <w:rFonts w:ascii="Times New Roman" w:eastAsia="Verdana" w:hAnsi="Times New Roman" w:cs="Times New Roman"/>
                <w:sz w:val="18"/>
                <w:szCs w:val="14"/>
                <w:lang w:val="ro-RO"/>
              </w:rPr>
              <w:t>AEE</w:t>
            </w:r>
            <w:r w:rsidR="00780B2E" w:rsidRPr="009C5F11">
              <w:rPr>
                <w:rFonts w:ascii="Times New Roman" w:eastAsia="Verdana" w:hAnsi="Times New Roman" w:cs="Times New Roman"/>
                <w:sz w:val="18"/>
                <w:szCs w:val="14"/>
                <w:lang w:val="ro-RO"/>
              </w:rPr>
              <w:t xml:space="preserve"> </w:t>
            </w:r>
            <w:r w:rsidR="00B50FD8" w:rsidRPr="009C5F11">
              <w:rPr>
                <w:rFonts w:ascii="Times New Roman" w:eastAsia="Verdana" w:hAnsi="Times New Roman" w:cs="Times New Roman"/>
                <w:sz w:val="18"/>
                <w:szCs w:val="14"/>
                <w:lang w:val="ro-RO"/>
              </w:rPr>
              <w:t>în scopul schimbului de experienţă</w:t>
            </w:r>
            <w:r w:rsidR="00780B2E" w:rsidRPr="009C5F11">
              <w:rPr>
                <w:rFonts w:ascii="Times New Roman" w:eastAsia="Verdana" w:hAnsi="Times New Roman" w:cs="Times New Roman"/>
                <w:sz w:val="18"/>
                <w:szCs w:val="14"/>
                <w:lang w:val="ro-RO"/>
              </w:rPr>
              <w:t>.</w:t>
            </w:r>
          </w:p>
          <w:p w14:paraId="6A36FB5A" w14:textId="77777777" w:rsidR="00780B2E" w:rsidRPr="009C5F11" w:rsidRDefault="0060148D" w:rsidP="00C807F1">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În aceeaşi perioadă peste</w:t>
            </w:r>
            <w:r w:rsidR="00B50FD8" w:rsidRPr="009C5F11">
              <w:rPr>
                <w:rFonts w:ascii="Times New Roman" w:eastAsia="Verdana" w:hAnsi="Times New Roman" w:cs="Times New Roman"/>
                <w:sz w:val="18"/>
                <w:szCs w:val="14"/>
                <w:lang w:val="ro-RO"/>
              </w:rPr>
              <w:t xml:space="preserve"> </w:t>
            </w:r>
            <w:r w:rsidR="00780B2E" w:rsidRPr="009C5F11">
              <w:rPr>
                <w:rFonts w:ascii="Times New Roman" w:eastAsia="Verdana" w:hAnsi="Times New Roman" w:cs="Times New Roman"/>
                <w:sz w:val="18"/>
                <w:szCs w:val="14"/>
                <w:lang w:val="ro-RO"/>
              </w:rPr>
              <w:t xml:space="preserve">200 </w:t>
            </w:r>
            <w:r w:rsidR="00B50FD8" w:rsidRPr="009C5F11">
              <w:rPr>
                <w:rFonts w:ascii="Times New Roman" w:eastAsia="Verdana" w:hAnsi="Times New Roman" w:cs="Times New Roman"/>
                <w:sz w:val="18"/>
                <w:szCs w:val="14"/>
                <w:lang w:val="ro-RO"/>
              </w:rPr>
              <w:t xml:space="preserve">de </w:t>
            </w:r>
            <w:r w:rsidR="00780B2E" w:rsidRPr="009C5F11">
              <w:rPr>
                <w:rFonts w:ascii="Times New Roman" w:eastAsia="Verdana" w:hAnsi="Times New Roman" w:cs="Times New Roman"/>
                <w:sz w:val="18"/>
                <w:szCs w:val="14"/>
                <w:lang w:val="ro-RO"/>
              </w:rPr>
              <w:t>consult</w:t>
            </w:r>
            <w:r w:rsidR="00B50FD8" w:rsidRPr="009C5F11">
              <w:rPr>
                <w:rFonts w:ascii="Times New Roman" w:eastAsia="Verdana" w:hAnsi="Times New Roman" w:cs="Times New Roman"/>
                <w:sz w:val="18"/>
                <w:szCs w:val="14"/>
                <w:lang w:val="ro-RO"/>
              </w:rPr>
              <w:t xml:space="preserve">ări au fost oferite de Serviciul Informaţii APL investitorilor, persoanelor fizice şi juridice interesate în proiecte de </w:t>
            </w:r>
            <w:r w:rsidR="000C7BEC" w:rsidRPr="009C5F11">
              <w:rPr>
                <w:rFonts w:ascii="Times New Roman" w:eastAsia="Verdana" w:hAnsi="Times New Roman" w:cs="Times New Roman"/>
                <w:sz w:val="18"/>
                <w:szCs w:val="14"/>
                <w:lang w:val="ro-RO"/>
              </w:rPr>
              <w:t>eficienţă energetică</w:t>
            </w:r>
            <w:r w:rsidR="00321CD5" w:rsidRPr="009C5F11">
              <w:rPr>
                <w:rFonts w:ascii="Times New Roman" w:eastAsia="Verdana" w:hAnsi="Times New Roman" w:cs="Times New Roman"/>
                <w:sz w:val="18"/>
                <w:szCs w:val="14"/>
                <w:lang w:val="ro-RO"/>
              </w:rPr>
              <w:t xml:space="preserve"> şi </w:t>
            </w:r>
            <w:r w:rsidR="00610318" w:rsidRPr="009C5F11">
              <w:rPr>
                <w:rFonts w:ascii="Times New Roman" w:eastAsia="Verdana" w:hAnsi="Times New Roman" w:cs="Times New Roman"/>
                <w:sz w:val="18"/>
                <w:szCs w:val="14"/>
                <w:lang w:val="ro-RO"/>
              </w:rPr>
              <w:t>ESR</w:t>
            </w:r>
            <w:r w:rsidR="00780B2E" w:rsidRPr="009C5F11">
              <w:rPr>
                <w:rFonts w:ascii="Times New Roman" w:eastAsia="Verdana" w:hAnsi="Times New Roman" w:cs="Times New Roman"/>
                <w:sz w:val="18"/>
                <w:szCs w:val="14"/>
                <w:lang w:val="ro-RO"/>
              </w:rPr>
              <w:t>.</w:t>
            </w:r>
          </w:p>
          <w:p w14:paraId="5A559618" w14:textId="77777777" w:rsidR="001A3909" w:rsidRPr="009C5F11" w:rsidRDefault="00780B2E" w:rsidP="00C807F1">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b/>
                <w:sz w:val="18"/>
                <w:szCs w:val="14"/>
                <w:lang w:val="ro-RO"/>
              </w:rPr>
              <w:t>2014</w:t>
            </w:r>
            <w:r w:rsidRPr="009C5F11">
              <w:rPr>
                <w:rFonts w:ascii="Times New Roman" w:eastAsia="Verdana" w:hAnsi="Times New Roman" w:cs="Times New Roman"/>
                <w:sz w:val="18"/>
                <w:szCs w:val="14"/>
                <w:lang w:val="ro-RO"/>
              </w:rPr>
              <w:t xml:space="preserve">: </w:t>
            </w:r>
            <w:r w:rsidR="001A3909" w:rsidRPr="009C5F11">
              <w:rPr>
                <w:rFonts w:ascii="Times New Roman" w:eastAsia="Verdana" w:hAnsi="Times New Roman" w:cs="Times New Roman"/>
                <w:sz w:val="18"/>
                <w:szCs w:val="14"/>
                <w:lang w:val="ro-RO"/>
              </w:rPr>
              <w:t xml:space="preserve">au fost organizate </w:t>
            </w:r>
            <w:r w:rsidRPr="009C5F11">
              <w:rPr>
                <w:rFonts w:ascii="Times New Roman" w:eastAsia="Verdana" w:hAnsi="Times New Roman" w:cs="Times New Roman"/>
                <w:sz w:val="18"/>
                <w:szCs w:val="14"/>
                <w:lang w:val="ro-RO"/>
              </w:rPr>
              <w:t>16 even</w:t>
            </w:r>
            <w:r w:rsidR="001A3909" w:rsidRPr="009C5F11">
              <w:rPr>
                <w:rFonts w:ascii="Times New Roman" w:eastAsia="Verdana" w:hAnsi="Times New Roman" w:cs="Times New Roman"/>
                <w:sz w:val="18"/>
                <w:szCs w:val="14"/>
                <w:lang w:val="ro-RO"/>
              </w:rPr>
              <w:t xml:space="preserve">imente pentru promovarea </w:t>
            </w:r>
            <w:r w:rsidR="001F5C51" w:rsidRPr="009C5F11">
              <w:rPr>
                <w:rFonts w:ascii="Times New Roman" w:eastAsia="Verdana" w:hAnsi="Times New Roman" w:cs="Times New Roman"/>
                <w:sz w:val="18"/>
                <w:szCs w:val="14"/>
                <w:lang w:val="ro-RO"/>
              </w:rPr>
              <w:t>eficienţei energetice</w:t>
            </w:r>
            <w:r w:rsidR="00321CD5" w:rsidRPr="009C5F11">
              <w:rPr>
                <w:rFonts w:ascii="Times New Roman" w:eastAsia="Verdana" w:hAnsi="Times New Roman" w:cs="Times New Roman"/>
                <w:sz w:val="18"/>
                <w:szCs w:val="14"/>
                <w:lang w:val="ro-RO"/>
              </w:rPr>
              <w:t xml:space="preserve"> şi </w:t>
            </w:r>
            <w:r w:rsidR="00610318" w:rsidRPr="009C5F11">
              <w:rPr>
                <w:rFonts w:ascii="Times New Roman" w:eastAsia="Verdana" w:hAnsi="Times New Roman" w:cs="Times New Roman"/>
                <w:sz w:val="18"/>
                <w:szCs w:val="14"/>
                <w:lang w:val="ro-RO"/>
              </w:rPr>
              <w:t>ESR</w:t>
            </w:r>
            <w:r w:rsidRPr="009C5F11">
              <w:rPr>
                <w:rFonts w:ascii="Times New Roman" w:eastAsia="Verdana" w:hAnsi="Times New Roman" w:cs="Times New Roman"/>
                <w:sz w:val="18"/>
                <w:szCs w:val="14"/>
                <w:lang w:val="ro-RO"/>
              </w:rPr>
              <w:t xml:space="preserve">, </w:t>
            </w:r>
            <w:r w:rsidR="001A3909" w:rsidRPr="009C5F11">
              <w:rPr>
                <w:rFonts w:ascii="Times New Roman" w:eastAsia="Verdana" w:hAnsi="Times New Roman" w:cs="Times New Roman"/>
                <w:sz w:val="18"/>
                <w:szCs w:val="14"/>
                <w:lang w:val="ro-RO"/>
              </w:rPr>
              <w:t>la care au participat circa</w:t>
            </w:r>
            <w:r w:rsidRPr="009C5F11">
              <w:rPr>
                <w:rFonts w:ascii="Times New Roman" w:eastAsia="Verdana" w:hAnsi="Times New Roman" w:cs="Times New Roman"/>
                <w:sz w:val="18"/>
                <w:szCs w:val="14"/>
                <w:lang w:val="ro-RO"/>
              </w:rPr>
              <w:t xml:space="preserve"> 1</w:t>
            </w:r>
            <w:r w:rsidR="00DE3287"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 xml:space="preserve">500 </w:t>
            </w:r>
            <w:r w:rsidR="001A3909" w:rsidRPr="009C5F11">
              <w:rPr>
                <w:rFonts w:ascii="Times New Roman" w:eastAsia="Verdana" w:hAnsi="Times New Roman" w:cs="Times New Roman"/>
                <w:sz w:val="18"/>
                <w:szCs w:val="14"/>
                <w:lang w:val="ro-RO"/>
              </w:rPr>
              <w:t>de persoane</w:t>
            </w:r>
            <w:r w:rsidRPr="009C5F11">
              <w:rPr>
                <w:rFonts w:ascii="Times New Roman" w:eastAsia="Verdana" w:hAnsi="Times New Roman" w:cs="Times New Roman"/>
                <w:sz w:val="18"/>
                <w:szCs w:val="14"/>
                <w:lang w:val="ro-RO"/>
              </w:rPr>
              <w:t xml:space="preserve">. </w:t>
            </w:r>
            <w:r w:rsidR="001A3909" w:rsidRPr="009C5F11">
              <w:rPr>
                <w:rFonts w:ascii="Times New Roman" w:eastAsia="Verdana" w:hAnsi="Times New Roman" w:cs="Times New Roman"/>
                <w:sz w:val="18"/>
                <w:szCs w:val="14"/>
                <w:lang w:val="ro-RO"/>
              </w:rPr>
              <w:t>Publicaţii</w:t>
            </w:r>
            <w:r w:rsidRPr="009C5F11">
              <w:rPr>
                <w:rFonts w:ascii="Times New Roman" w:eastAsia="Verdana" w:hAnsi="Times New Roman" w:cs="Times New Roman"/>
                <w:sz w:val="18"/>
                <w:szCs w:val="14"/>
                <w:lang w:val="ro-RO"/>
              </w:rPr>
              <w:t xml:space="preserve">: </w:t>
            </w:r>
            <w:r w:rsidR="001A3909" w:rsidRPr="009C5F11">
              <w:rPr>
                <w:rFonts w:ascii="Times New Roman" w:eastAsia="Verdana" w:hAnsi="Times New Roman" w:cs="Times New Roman"/>
                <w:sz w:val="18"/>
                <w:szCs w:val="14"/>
                <w:lang w:val="ro-RO"/>
              </w:rPr>
              <w:t xml:space="preserve">jurnalul </w:t>
            </w:r>
            <w:r w:rsidR="0060148D"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Moldova Eco</w:t>
            </w:r>
            <w:r w:rsidR="001A3909"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Energetic</w:t>
            </w:r>
            <w:r w:rsidR="001A3909" w:rsidRPr="009C5F11">
              <w:rPr>
                <w:rFonts w:ascii="Times New Roman" w:eastAsia="Verdana" w:hAnsi="Times New Roman" w:cs="Times New Roman"/>
                <w:sz w:val="18"/>
                <w:szCs w:val="14"/>
                <w:lang w:val="ro-RO"/>
              </w:rPr>
              <w:t>ă</w:t>
            </w:r>
            <w:r w:rsidRPr="009C5F11">
              <w:rPr>
                <w:rFonts w:ascii="Times New Roman" w:eastAsia="Verdana" w:hAnsi="Times New Roman" w:cs="Times New Roman"/>
                <w:sz w:val="18"/>
                <w:szCs w:val="14"/>
                <w:lang w:val="ro-RO"/>
              </w:rPr>
              <w:t xml:space="preserve"> 2013</w:t>
            </w:r>
            <w:r w:rsidR="0060148D"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 xml:space="preserve"> – 2</w:t>
            </w:r>
            <w:r w:rsidR="00DE3287"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 xml:space="preserve">840 </w:t>
            </w:r>
            <w:r w:rsidR="001A3909" w:rsidRPr="009C5F11">
              <w:rPr>
                <w:rFonts w:ascii="Times New Roman" w:eastAsia="Verdana" w:hAnsi="Times New Roman" w:cs="Times New Roman"/>
                <w:sz w:val="18"/>
                <w:szCs w:val="14"/>
                <w:lang w:val="ro-RO"/>
              </w:rPr>
              <w:t>exemplare</w:t>
            </w:r>
            <w:r w:rsidRPr="009C5F11">
              <w:rPr>
                <w:rFonts w:ascii="Times New Roman" w:eastAsia="Verdana" w:hAnsi="Times New Roman" w:cs="Times New Roman"/>
                <w:sz w:val="18"/>
                <w:szCs w:val="14"/>
                <w:lang w:val="ro-RO"/>
              </w:rPr>
              <w:t>,</w:t>
            </w:r>
            <w:r w:rsidR="00055095" w:rsidRPr="009C5F11">
              <w:rPr>
                <w:rFonts w:ascii="Times New Roman" w:eastAsia="Verdana" w:hAnsi="Times New Roman" w:cs="Times New Roman"/>
                <w:sz w:val="18"/>
                <w:szCs w:val="14"/>
                <w:lang w:val="ro-RO"/>
              </w:rPr>
              <w:t xml:space="preserve"> </w:t>
            </w:r>
            <w:r w:rsidR="001A3909" w:rsidRPr="009C5F11">
              <w:rPr>
                <w:rFonts w:ascii="Times New Roman" w:eastAsia="Verdana" w:hAnsi="Times New Roman" w:cs="Times New Roman"/>
                <w:sz w:val="18"/>
                <w:szCs w:val="14"/>
                <w:lang w:val="ro-RO"/>
              </w:rPr>
              <w:t xml:space="preserve">jurnalul </w:t>
            </w:r>
            <w:r w:rsidR="00052FA3"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Moldova Eco</w:t>
            </w:r>
            <w:r w:rsidR="001A3909"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Energetic</w:t>
            </w:r>
            <w:r w:rsidR="001A3909" w:rsidRPr="009C5F11">
              <w:rPr>
                <w:rFonts w:ascii="Times New Roman" w:eastAsia="Verdana" w:hAnsi="Times New Roman" w:cs="Times New Roman"/>
                <w:sz w:val="18"/>
                <w:szCs w:val="14"/>
                <w:lang w:val="ro-RO"/>
              </w:rPr>
              <w:t>ă</w:t>
            </w:r>
            <w:r w:rsidRPr="009C5F11">
              <w:rPr>
                <w:rFonts w:ascii="Times New Roman" w:eastAsia="Verdana" w:hAnsi="Times New Roman" w:cs="Times New Roman"/>
                <w:sz w:val="18"/>
                <w:szCs w:val="14"/>
                <w:lang w:val="ro-RO"/>
              </w:rPr>
              <w:t xml:space="preserve"> 2014</w:t>
            </w:r>
            <w:r w:rsidR="00052FA3"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 xml:space="preserve"> – 1</w:t>
            </w:r>
            <w:r w:rsidR="00DE3287"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600</w:t>
            </w:r>
            <w:r w:rsidR="001A3909" w:rsidRPr="009C5F11">
              <w:rPr>
                <w:rFonts w:ascii="Times New Roman" w:eastAsia="Verdana" w:hAnsi="Times New Roman" w:cs="Times New Roman"/>
                <w:sz w:val="18"/>
                <w:szCs w:val="14"/>
                <w:lang w:val="ro-RO"/>
              </w:rPr>
              <w:t xml:space="preserve"> exemplare </w:t>
            </w:r>
            <w:r w:rsidRPr="009C5F11">
              <w:rPr>
                <w:rFonts w:ascii="Times New Roman" w:eastAsia="Verdana" w:hAnsi="Times New Roman" w:cs="Times New Roman"/>
                <w:sz w:val="18"/>
                <w:szCs w:val="14"/>
                <w:lang w:val="ro-RO"/>
              </w:rPr>
              <w:t xml:space="preserve">, </w:t>
            </w:r>
            <w:r w:rsidR="001A3909" w:rsidRPr="009C5F11">
              <w:rPr>
                <w:rFonts w:ascii="Times New Roman" w:eastAsia="Verdana" w:hAnsi="Times New Roman" w:cs="Times New Roman"/>
                <w:sz w:val="18"/>
                <w:szCs w:val="14"/>
                <w:lang w:val="ro-RO"/>
              </w:rPr>
              <w:t>Ghid pentru evaluarea economică a proiectelor de e</w:t>
            </w:r>
            <w:r w:rsidR="000C7BEC" w:rsidRPr="009C5F11">
              <w:rPr>
                <w:rFonts w:ascii="Times New Roman" w:eastAsia="Verdana" w:hAnsi="Times New Roman" w:cs="Times New Roman"/>
                <w:sz w:val="18"/>
                <w:szCs w:val="14"/>
                <w:lang w:val="ro-RO"/>
              </w:rPr>
              <w:t>ficienţă energetică</w:t>
            </w:r>
            <w:r w:rsidR="00321CD5" w:rsidRPr="009C5F11">
              <w:rPr>
                <w:rFonts w:ascii="Times New Roman" w:eastAsia="Verdana" w:hAnsi="Times New Roman" w:cs="Times New Roman"/>
                <w:sz w:val="18"/>
                <w:szCs w:val="14"/>
                <w:lang w:val="ro-RO"/>
              </w:rPr>
              <w:t xml:space="preserve"> şi </w:t>
            </w:r>
            <w:r w:rsidR="00610318" w:rsidRPr="009C5F11">
              <w:rPr>
                <w:rFonts w:ascii="Times New Roman" w:eastAsia="Verdana" w:hAnsi="Times New Roman" w:cs="Times New Roman"/>
                <w:sz w:val="18"/>
                <w:szCs w:val="14"/>
                <w:lang w:val="ro-RO"/>
              </w:rPr>
              <w:t>ESR</w:t>
            </w:r>
            <w:r w:rsidRPr="009C5F11">
              <w:rPr>
                <w:rFonts w:ascii="Times New Roman" w:eastAsia="Verdana" w:hAnsi="Times New Roman" w:cs="Times New Roman"/>
                <w:sz w:val="18"/>
                <w:szCs w:val="14"/>
                <w:lang w:val="ro-RO"/>
              </w:rPr>
              <w:t xml:space="preserve"> – 500</w:t>
            </w:r>
            <w:r w:rsidR="001A3909" w:rsidRPr="009C5F11">
              <w:rPr>
                <w:rFonts w:ascii="Times New Roman" w:eastAsia="Verdana" w:hAnsi="Times New Roman" w:cs="Times New Roman"/>
                <w:sz w:val="18"/>
                <w:szCs w:val="14"/>
                <w:lang w:val="ro-RO"/>
              </w:rPr>
              <w:t xml:space="preserve"> exemplare </w:t>
            </w:r>
            <w:r w:rsidRPr="009C5F11">
              <w:rPr>
                <w:rFonts w:ascii="Times New Roman" w:eastAsia="Verdana" w:hAnsi="Times New Roman" w:cs="Times New Roman"/>
                <w:sz w:val="18"/>
                <w:szCs w:val="14"/>
                <w:lang w:val="ro-RO"/>
              </w:rPr>
              <w:t xml:space="preserve">, </w:t>
            </w:r>
            <w:r w:rsidR="001A3909" w:rsidRPr="009C5F11">
              <w:rPr>
                <w:rFonts w:ascii="Times New Roman" w:eastAsia="Verdana" w:hAnsi="Times New Roman" w:cs="Times New Roman"/>
                <w:sz w:val="18"/>
                <w:szCs w:val="14"/>
                <w:lang w:val="ro-RO"/>
              </w:rPr>
              <w:t xml:space="preserve">pliante </w:t>
            </w:r>
            <w:r w:rsidRPr="009C5F11">
              <w:rPr>
                <w:rFonts w:ascii="Times New Roman" w:eastAsia="Verdana" w:hAnsi="Times New Roman" w:cs="Times New Roman"/>
                <w:sz w:val="18"/>
                <w:szCs w:val="14"/>
                <w:lang w:val="ro-RO"/>
              </w:rPr>
              <w:t>promo</w:t>
            </w:r>
            <w:r w:rsidR="001A3909" w:rsidRPr="009C5F11">
              <w:rPr>
                <w:rFonts w:ascii="Times New Roman" w:eastAsia="Verdana" w:hAnsi="Times New Roman" w:cs="Times New Roman"/>
                <w:sz w:val="18"/>
                <w:szCs w:val="14"/>
                <w:lang w:val="ro-RO"/>
              </w:rPr>
              <w:t>ţ</w:t>
            </w:r>
            <w:r w:rsidRPr="009C5F11">
              <w:rPr>
                <w:rFonts w:ascii="Times New Roman" w:eastAsia="Verdana" w:hAnsi="Times New Roman" w:cs="Times New Roman"/>
                <w:sz w:val="18"/>
                <w:szCs w:val="14"/>
                <w:lang w:val="ro-RO"/>
              </w:rPr>
              <w:t>ional</w:t>
            </w:r>
            <w:r w:rsidR="001A3909" w:rsidRPr="009C5F11">
              <w:rPr>
                <w:rFonts w:ascii="Times New Roman" w:eastAsia="Verdana" w:hAnsi="Times New Roman" w:cs="Times New Roman"/>
                <w:sz w:val="18"/>
                <w:szCs w:val="14"/>
                <w:lang w:val="ro-RO"/>
              </w:rPr>
              <w:t>e</w:t>
            </w:r>
            <w:r w:rsidRPr="009C5F11">
              <w:rPr>
                <w:rFonts w:ascii="Times New Roman" w:eastAsia="Verdana" w:hAnsi="Times New Roman" w:cs="Times New Roman"/>
                <w:sz w:val="18"/>
                <w:szCs w:val="14"/>
                <w:lang w:val="ro-RO"/>
              </w:rPr>
              <w:t xml:space="preserve"> – 30</w:t>
            </w:r>
            <w:r w:rsidR="00DE3287"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000</w:t>
            </w:r>
            <w:r w:rsidR="001A3909" w:rsidRPr="009C5F11">
              <w:rPr>
                <w:rFonts w:ascii="Times New Roman" w:eastAsia="Verdana" w:hAnsi="Times New Roman" w:cs="Times New Roman"/>
                <w:sz w:val="18"/>
                <w:szCs w:val="14"/>
                <w:lang w:val="ro-RO"/>
              </w:rPr>
              <w:t xml:space="preserve"> exemplare</w:t>
            </w:r>
            <w:r w:rsidR="00321CD5" w:rsidRPr="009C5F11">
              <w:rPr>
                <w:rFonts w:ascii="Times New Roman" w:eastAsia="Verdana" w:hAnsi="Times New Roman" w:cs="Times New Roman"/>
                <w:sz w:val="18"/>
                <w:szCs w:val="14"/>
                <w:lang w:val="ro-RO"/>
              </w:rPr>
              <w:t xml:space="preserve"> şi </w:t>
            </w:r>
            <w:r w:rsidRPr="009C5F11">
              <w:rPr>
                <w:rFonts w:ascii="Times New Roman" w:eastAsia="Verdana" w:hAnsi="Times New Roman" w:cs="Times New Roman"/>
                <w:sz w:val="18"/>
                <w:szCs w:val="14"/>
                <w:lang w:val="ro-RO"/>
              </w:rPr>
              <w:t>A2+ poster</w:t>
            </w:r>
            <w:r w:rsidR="001A3909" w:rsidRPr="009C5F11">
              <w:rPr>
                <w:rFonts w:ascii="Times New Roman" w:eastAsia="Verdana" w:hAnsi="Times New Roman" w:cs="Times New Roman"/>
                <w:sz w:val="18"/>
                <w:szCs w:val="14"/>
                <w:lang w:val="ro-RO"/>
              </w:rPr>
              <w:t>e</w:t>
            </w:r>
            <w:r w:rsidRPr="009C5F11">
              <w:rPr>
                <w:rFonts w:ascii="Times New Roman" w:eastAsia="Verdana" w:hAnsi="Times New Roman" w:cs="Times New Roman"/>
                <w:sz w:val="18"/>
                <w:szCs w:val="14"/>
                <w:lang w:val="ro-RO"/>
              </w:rPr>
              <w:t xml:space="preserve"> – 800</w:t>
            </w:r>
            <w:r w:rsidR="001A3909" w:rsidRPr="009C5F11">
              <w:rPr>
                <w:rFonts w:ascii="Times New Roman" w:eastAsia="Verdana" w:hAnsi="Times New Roman" w:cs="Times New Roman"/>
                <w:sz w:val="18"/>
                <w:szCs w:val="14"/>
                <w:lang w:val="ro-RO"/>
              </w:rPr>
              <w:t xml:space="preserve"> exemplare pentru Proiectul Energie şi Biomasă în Moldova </w:t>
            </w:r>
            <w:r w:rsidR="00321CD5" w:rsidRPr="009C5F11">
              <w:rPr>
                <w:rFonts w:ascii="Times New Roman" w:eastAsia="Verdana" w:hAnsi="Times New Roman" w:cs="Times New Roman"/>
                <w:sz w:val="18"/>
                <w:szCs w:val="14"/>
                <w:lang w:val="ro-RO"/>
              </w:rPr>
              <w:t xml:space="preserve">şi </w:t>
            </w:r>
            <w:r w:rsidRPr="009C5F11">
              <w:rPr>
                <w:rFonts w:ascii="Times New Roman" w:eastAsia="Verdana" w:hAnsi="Times New Roman" w:cs="Times New Roman"/>
                <w:sz w:val="18"/>
                <w:szCs w:val="14"/>
                <w:lang w:val="ro-RO"/>
              </w:rPr>
              <w:t>Program</w:t>
            </w:r>
            <w:r w:rsidR="001A3909" w:rsidRPr="009C5F11">
              <w:rPr>
                <w:rFonts w:ascii="Times New Roman" w:eastAsia="Verdana" w:hAnsi="Times New Roman" w:cs="Times New Roman"/>
                <w:sz w:val="18"/>
                <w:szCs w:val="14"/>
                <w:lang w:val="ro-RO"/>
              </w:rPr>
              <w:t xml:space="preserve">ul de </w:t>
            </w:r>
            <w:r w:rsidR="00532A33" w:rsidRPr="009C5F11">
              <w:rPr>
                <w:rFonts w:ascii="Times New Roman" w:eastAsia="Verdana" w:hAnsi="Times New Roman" w:cs="Times New Roman"/>
                <w:sz w:val="18"/>
                <w:szCs w:val="14"/>
                <w:lang w:val="ro-RO"/>
              </w:rPr>
              <w:t>implementare</w:t>
            </w:r>
            <w:r w:rsidR="001A3909" w:rsidRPr="009C5F11">
              <w:rPr>
                <w:rFonts w:ascii="Times New Roman" w:eastAsia="Verdana" w:hAnsi="Times New Roman" w:cs="Times New Roman"/>
                <w:sz w:val="18"/>
                <w:szCs w:val="14"/>
                <w:lang w:val="ro-RO"/>
              </w:rPr>
              <w:t xml:space="preserve"> </w:t>
            </w:r>
            <w:r w:rsidR="00532A33" w:rsidRPr="009C5F11">
              <w:rPr>
                <w:rFonts w:ascii="Times New Roman" w:eastAsia="Verdana" w:hAnsi="Times New Roman" w:cs="Times New Roman"/>
                <w:sz w:val="18"/>
                <w:szCs w:val="14"/>
                <w:lang w:val="ro-RO"/>
              </w:rPr>
              <w:t>a</w:t>
            </w:r>
            <w:r w:rsidRPr="009C5F11">
              <w:rPr>
                <w:rFonts w:ascii="Times New Roman" w:eastAsia="Verdana" w:hAnsi="Times New Roman" w:cs="Times New Roman"/>
                <w:sz w:val="18"/>
                <w:szCs w:val="14"/>
                <w:lang w:val="ro-RO"/>
              </w:rPr>
              <w:t xml:space="preserve"> activit</w:t>
            </w:r>
            <w:r w:rsidR="001A3909" w:rsidRPr="009C5F11">
              <w:rPr>
                <w:rFonts w:ascii="Times New Roman" w:eastAsia="Verdana" w:hAnsi="Times New Roman" w:cs="Times New Roman"/>
                <w:sz w:val="18"/>
                <w:szCs w:val="14"/>
                <w:lang w:val="ro-RO"/>
              </w:rPr>
              <w:t>ăţilor</w:t>
            </w:r>
            <w:r w:rsidRPr="009C5F11">
              <w:rPr>
                <w:rFonts w:ascii="Times New Roman" w:eastAsia="Verdana" w:hAnsi="Times New Roman" w:cs="Times New Roman"/>
                <w:sz w:val="18"/>
                <w:szCs w:val="14"/>
                <w:lang w:val="ro-RO"/>
              </w:rPr>
              <w:t xml:space="preserve"> </w:t>
            </w:r>
            <w:r w:rsidR="00AA0566" w:rsidRPr="009C5F11">
              <w:rPr>
                <w:rFonts w:ascii="Times New Roman" w:eastAsia="Verdana" w:hAnsi="Times New Roman" w:cs="Times New Roman"/>
                <w:sz w:val="18"/>
                <w:szCs w:val="14"/>
                <w:lang w:val="ro-RO"/>
              </w:rPr>
              <w:t>AEE</w:t>
            </w:r>
            <w:r w:rsidRPr="009C5F11">
              <w:rPr>
                <w:rFonts w:ascii="Times New Roman" w:eastAsia="Verdana" w:hAnsi="Times New Roman" w:cs="Times New Roman"/>
                <w:sz w:val="18"/>
                <w:szCs w:val="14"/>
                <w:lang w:val="ro-RO"/>
              </w:rPr>
              <w:t xml:space="preserve">. </w:t>
            </w:r>
          </w:p>
          <w:p w14:paraId="206BEDDD" w14:textId="77777777" w:rsidR="00780B2E" w:rsidRPr="009C5F11" w:rsidRDefault="00780B2E" w:rsidP="001A390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b/>
                <w:sz w:val="18"/>
                <w:szCs w:val="14"/>
                <w:lang w:val="ro-RO"/>
              </w:rPr>
              <w:t>2013</w:t>
            </w:r>
            <w:r w:rsidRPr="009C5F11">
              <w:rPr>
                <w:rFonts w:ascii="Times New Roman" w:eastAsia="Verdana" w:hAnsi="Times New Roman" w:cs="Times New Roman"/>
                <w:sz w:val="18"/>
                <w:szCs w:val="14"/>
                <w:lang w:val="ro-RO"/>
              </w:rPr>
              <w:t xml:space="preserve">: </w:t>
            </w:r>
            <w:r w:rsidR="001A3909" w:rsidRPr="009C5F11">
              <w:rPr>
                <w:rFonts w:ascii="Times New Roman" w:eastAsia="Verdana" w:hAnsi="Times New Roman" w:cs="Times New Roman"/>
                <w:sz w:val="18"/>
                <w:szCs w:val="14"/>
                <w:lang w:val="ro-RO"/>
              </w:rPr>
              <w:t xml:space="preserve">au fost organizate </w:t>
            </w:r>
            <w:r w:rsidRPr="009C5F11">
              <w:rPr>
                <w:rFonts w:ascii="Times New Roman" w:eastAsia="Verdana" w:hAnsi="Times New Roman" w:cs="Times New Roman"/>
                <w:sz w:val="18"/>
                <w:szCs w:val="14"/>
                <w:lang w:val="ro-RO"/>
              </w:rPr>
              <w:t xml:space="preserve">24 </w:t>
            </w:r>
            <w:r w:rsidR="001A3909" w:rsidRPr="009C5F11">
              <w:rPr>
                <w:rFonts w:ascii="Times New Roman" w:eastAsia="Verdana" w:hAnsi="Times New Roman" w:cs="Times New Roman"/>
                <w:sz w:val="18"/>
                <w:szCs w:val="14"/>
                <w:lang w:val="ro-RO"/>
              </w:rPr>
              <w:t xml:space="preserve">de </w:t>
            </w:r>
            <w:r w:rsidRPr="009C5F11">
              <w:rPr>
                <w:rFonts w:ascii="Times New Roman" w:eastAsia="Verdana" w:hAnsi="Times New Roman" w:cs="Times New Roman"/>
                <w:sz w:val="18"/>
                <w:szCs w:val="14"/>
                <w:lang w:val="ro-RO"/>
              </w:rPr>
              <w:t>even</w:t>
            </w:r>
            <w:r w:rsidR="001A3909" w:rsidRPr="009C5F11">
              <w:rPr>
                <w:rFonts w:ascii="Times New Roman" w:eastAsia="Verdana" w:hAnsi="Times New Roman" w:cs="Times New Roman"/>
                <w:sz w:val="18"/>
                <w:szCs w:val="14"/>
                <w:lang w:val="ro-RO"/>
              </w:rPr>
              <w:t xml:space="preserve">imente </w:t>
            </w:r>
            <w:r w:rsidRPr="009C5F11">
              <w:rPr>
                <w:rFonts w:ascii="Times New Roman" w:eastAsia="Verdana" w:hAnsi="Times New Roman" w:cs="Times New Roman"/>
                <w:sz w:val="18"/>
                <w:szCs w:val="14"/>
                <w:lang w:val="ro-RO"/>
              </w:rPr>
              <w:t>(seminar</w:t>
            </w:r>
            <w:r w:rsidR="001A3909" w:rsidRPr="009C5F11">
              <w:rPr>
                <w:rFonts w:ascii="Times New Roman" w:eastAsia="Verdana" w:hAnsi="Times New Roman" w:cs="Times New Roman"/>
                <w:sz w:val="18"/>
                <w:szCs w:val="14"/>
                <w:lang w:val="ro-RO"/>
              </w:rPr>
              <w:t>e</w:t>
            </w:r>
            <w:r w:rsidRPr="009C5F11">
              <w:rPr>
                <w:rFonts w:ascii="Times New Roman" w:eastAsia="Verdana" w:hAnsi="Times New Roman" w:cs="Times New Roman"/>
                <w:sz w:val="18"/>
                <w:szCs w:val="14"/>
                <w:lang w:val="ro-RO"/>
              </w:rPr>
              <w:t>, confer</w:t>
            </w:r>
            <w:r w:rsidR="001A3909" w:rsidRPr="009C5F11">
              <w:rPr>
                <w:rFonts w:ascii="Times New Roman" w:eastAsia="Verdana" w:hAnsi="Times New Roman" w:cs="Times New Roman"/>
                <w:sz w:val="18"/>
                <w:szCs w:val="14"/>
                <w:lang w:val="ro-RO"/>
              </w:rPr>
              <w:t>inţe</w:t>
            </w:r>
            <w:r w:rsidRPr="009C5F11">
              <w:rPr>
                <w:rFonts w:ascii="Times New Roman" w:eastAsia="Verdana" w:hAnsi="Times New Roman" w:cs="Times New Roman"/>
                <w:sz w:val="18"/>
                <w:szCs w:val="14"/>
                <w:lang w:val="ro-RO"/>
              </w:rPr>
              <w:t xml:space="preserve">, </w:t>
            </w:r>
            <w:r w:rsidR="001A3909" w:rsidRPr="009C5F11">
              <w:rPr>
                <w:rFonts w:ascii="Times New Roman" w:eastAsia="Verdana" w:hAnsi="Times New Roman" w:cs="Times New Roman"/>
                <w:sz w:val="18"/>
                <w:szCs w:val="14"/>
                <w:lang w:val="ro-RO"/>
              </w:rPr>
              <w:t>mese rotunde</w:t>
            </w:r>
            <w:r w:rsidR="00321CD5" w:rsidRPr="009C5F11">
              <w:rPr>
                <w:rFonts w:ascii="Times New Roman" w:eastAsia="Verdana" w:hAnsi="Times New Roman" w:cs="Times New Roman"/>
                <w:sz w:val="18"/>
                <w:szCs w:val="14"/>
                <w:lang w:val="ro-RO"/>
              </w:rPr>
              <w:t xml:space="preserve"> şi </w:t>
            </w:r>
            <w:r w:rsidRPr="009C5F11">
              <w:rPr>
                <w:rFonts w:ascii="Times New Roman" w:eastAsia="Verdana" w:hAnsi="Times New Roman" w:cs="Times New Roman"/>
                <w:sz w:val="18"/>
                <w:szCs w:val="14"/>
                <w:lang w:val="ro-RO"/>
              </w:rPr>
              <w:t>ex</w:t>
            </w:r>
            <w:r w:rsidR="001A3909" w:rsidRPr="009C5F11">
              <w:rPr>
                <w:rFonts w:ascii="Times New Roman" w:eastAsia="Verdana" w:hAnsi="Times New Roman" w:cs="Times New Roman"/>
                <w:sz w:val="18"/>
                <w:szCs w:val="14"/>
                <w:lang w:val="ro-RO"/>
              </w:rPr>
              <w:t>poziţii</w:t>
            </w:r>
            <w:r w:rsidRPr="009C5F11">
              <w:rPr>
                <w:rFonts w:ascii="Times New Roman" w:eastAsia="Verdana" w:hAnsi="Times New Roman" w:cs="Times New Roman"/>
                <w:sz w:val="18"/>
                <w:szCs w:val="14"/>
                <w:lang w:val="ro-RO"/>
              </w:rPr>
              <w:t xml:space="preserve">) </w:t>
            </w:r>
            <w:r w:rsidR="001A3909" w:rsidRPr="009C5F11">
              <w:rPr>
                <w:rFonts w:ascii="Times New Roman" w:eastAsia="Verdana" w:hAnsi="Times New Roman" w:cs="Times New Roman"/>
                <w:sz w:val="18"/>
                <w:szCs w:val="14"/>
                <w:lang w:val="ro-RO"/>
              </w:rPr>
              <w:t>de promovare a</w:t>
            </w:r>
            <w:r w:rsidRPr="009C5F11">
              <w:rPr>
                <w:rFonts w:ascii="Times New Roman" w:eastAsia="Verdana" w:hAnsi="Times New Roman" w:cs="Times New Roman"/>
                <w:sz w:val="18"/>
                <w:szCs w:val="14"/>
                <w:lang w:val="ro-RO"/>
              </w:rPr>
              <w:t xml:space="preserve"> </w:t>
            </w:r>
            <w:r w:rsidR="001F5C51" w:rsidRPr="009C5F11">
              <w:rPr>
                <w:rFonts w:ascii="Times New Roman" w:eastAsia="Verdana" w:hAnsi="Times New Roman" w:cs="Times New Roman"/>
                <w:sz w:val="18"/>
                <w:szCs w:val="14"/>
                <w:lang w:val="ro-RO"/>
              </w:rPr>
              <w:t>eficienţei energetice</w:t>
            </w:r>
            <w:r w:rsidR="00321CD5" w:rsidRPr="009C5F11">
              <w:rPr>
                <w:rFonts w:ascii="Times New Roman" w:eastAsia="Verdana" w:hAnsi="Times New Roman" w:cs="Times New Roman"/>
                <w:sz w:val="18"/>
                <w:szCs w:val="14"/>
                <w:lang w:val="ro-RO"/>
              </w:rPr>
              <w:t xml:space="preserve"> şi </w:t>
            </w:r>
            <w:r w:rsidR="00610318" w:rsidRPr="009C5F11">
              <w:rPr>
                <w:rFonts w:ascii="Times New Roman" w:eastAsia="Verdana" w:hAnsi="Times New Roman" w:cs="Times New Roman"/>
                <w:sz w:val="18"/>
                <w:szCs w:val="14"/>
                <w:lang w:val="ro-RO"/>
              </w:rPr>
              <w:t>ESR</w:t>
            </w:r>
            <w:r w:rsidRPr="009C5F11">
              <w:rPr>
                <w:rFonts w:ascii="Times New Roman" w:eastAsia="Verdana" w:hAnsi="Times New Roman" w:cs="Times New Roman"/>
                <w:sz w:val="18"/>
                <w:szCs w:val="14"/>
                <w:lang w:val="ro-RO"/>
              </w:rPr>
              <w:t>.</w:t>
            </w:r>
          </w:p>
        </w:tc>
        <w:tc>
          <w:tcPr>
            <w:tcW w:w="585" w:type="pct"/>
            <w:gridSpan w:val="2"/>
            <w:shd w:val="clear" w:color="000000" w:fill="C5D9F1"/>
            <w:vAlign w:val="center"/>
          </w:tcPr>
          <w:p w14:paraId="6790F446"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r w:rsidR="00927CD9" w:rsidRPr="009C5F11">
              <w:rPr>
                <w:rFonts w:ascii="Times New Roman" w:eastAsia="Verdana" w:hAnsi="Times New Roman" w:cs="Times New Roman"/>
                <w:b/>
                <w:color w:val="000000"/>
                <w:sz w:val="18"/>
                <w:szCs w:val="14"/>
                <w:lang w:val="ro-RO"/>
              </w:rPr>
              <w:t xml:space="preserve"> conform planului</w:t>
            </w:r>
          </w:p>
        </w:tc>
      </w:tr>
      <w:tr w:rsidR="00780B2E" w:rsidRPr="009C5F11" w14:paraId="2723F176" w14:textId="77777777" w:rsidTr="00CD5222">
        <w:trPr>
          <w:trHeight w:val="300"/>
        </w:trPr>
        <w:tc>
          <w:tcPr>
            <w:tcW w:w="424" w:type="pct"/>
            <w:shd w:val="clear" w:color="000000" w:fill="C5D9F1"/>
            <w:noWrap/>
            <w:hideMark/>
          </w:tcPr>
          <w:p w14:paraId="4F5A5F18"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tc>
        <w:tc>
          <w:tcPr>
            <w:tcW w:w="935" w:type="pct"/>
            <w:shd w:val="clear" w:color="000000" w:fill="C5D9F1"/>
            <w:noWrap/>
            <w:vAlign w:val="bottom"/>
            <w:hideMark/>
          </w:tcPr>
          <w:p w14:paraId="58FEF329"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tc>
        <w:tc>
          <w:tcPr>
            <w:tcW w:w="321" w:type="pct"/>
            <w:shd w:val="clear" w:color="000000" w:fill="C5D9F1"/>
            <w:noWrap/>
            <w:vAlign w:val="bottom"/>
            <w:hideMark/>
          </w:tcPr>
          <w:p w14:paraId="47C344C2"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322" w:type="pct"/>
            <w:shd w:val="clear" w:color="000000" w:fill="C5D9F1"/>
            <w:vAlign w:val="bottom"/>
          </w:tcPr>
          <w:p w14:paraId="2931B0A7"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2413" w:type="pct"/>
            <w:gridSpan w:val="2"/>
            <w:shd w:val="clear" w:color="000000" w:fill="C5D9F1"/>
          </w:tcPr>
          <w:p w14:paraId="7252B8E7"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585" w:type="pct"/>
            <w:gridSpan w:val="2"/>
            <w:shd w:val="clear" w:color="000000" w:fill="C5D9F1"/>
          </w:tcPr>
          <w:p w14:paraId="6A8C65A2"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r>
      <w:tr w:rsidR="00780B2E" w:rsidRPr="009C5F11" w14:paraId="32612020" w14:textId="77777777" w:rsidTr="00CD5222">
        <w:trPr>
          <w:trHeight w:val="300"/>
        </w:trPr>
        <w:tc>
          <w:tcPr>
            <w:tcW w:w="424" w:type="pct"/>
            <w:shd w:val="clear" w:color="000000" w:fill="C5D9F1"/>
            <w:noWrap/>
            <w:vAlign w:val="center"/>
            <w:hideMark/>
          </w:tcPr>
          <w:p w14:paraId="28F30E24"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H4</w:t>
            </w:r>
          </w:p>
          <w:p w14:paraId="0F723F7E"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2CFA7208"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w:t>
            </w:r>
            <w:r w:rsidR="00CC5637"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112</w:t>
            </w:r>
            <w:r w:rsidR="00321CD5" w:rsidRPr="009C5F11">
              <w:rPr>
                <w:rFonts w:ascii="Times New Roman" w:eastAsia="Verdana" w:hAnsi="Times New Roman" w:cs="Times New Roman"/>
                <w:color w:val="000000"/>
                <w:sz w:val="18"/>
                <w:szCs w:val="14"/>
                <w:lang w:val="ro-RO"/>
              </w:rPr>
              <w:t xml:space="preserve"> </w:t>
            </w:r>
            <w:r w:rsidR="00CC5637" w:rsidRPr="009C5F11">
              <w:rPr>
                <w:rFonts w:ascii="Times New Roman" w:eastAsia="Verdana" w:hAnsi="Times New Roman" w:cs="Times New Roman"/>
                <w:color w:val="000000"/>
                <w:sz w:val="18"/>
                <w:szCs w:val="14"/>
                <w:lang w:val="ro-RO"/>
              </w:rPr>
              <w:t>din</w:t>
            </w:r>
            <w:r w:rsidR="00321CD5" w:rsidRPr="009C5F11">
              <w:rPr>
                <w:rFonts w:ascii="Times New Roman" w:eastAsia="Verdana" w:hAnsi="Times New Roman" w:cs="Times New Roman"/>
                <w:color w:val="000000"/>
                <w:sz w:val="18"/>
                <w:szCs w:val="14"/>
                <w:lang w:val="ro-RO"/>
              </w:rPr>
              <w:t xml:space="preserve"> </w:t>
            </w:r>
            <w:r w:rsidR="00872DC2" w:rsidRPr="009C5F11">
              <w:rPr>
                <w:rFonts w:ascii="Times New Roman" w:eastAsia="Verdana" w:hAnsi="Times New Roman" w:cs="Times New Roman"/>
                <w:color w:val="000000"/>
                <w:sz w:val="18"/>
                <w:szCs w:val="14"/>
                <w:lang w:val="ro-RO"/>
              </w:rPr>
              <w:lastRenderedPageBreak/>
              <w:t>PNAEE</w:t>
            </w:r>
          </w:p>
          <w:p w14:paraId="1EF56BA9"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2013-2015</w:t>
            </w:r>
          </w:p>
        </w:tc>
        <w:tc>
          <w:tcPr>
            <w:tcW w:w="935" w:type="pct"/>
            <w:shd w:val="clear" w:color="000000" w:fill="C5D9F1"/>
            <w:vAlign w:val="center"/>
            <w:hideMark/>
          </w:tcPr>
          <w:p w14:paraId="482FE233" w14:textId="77777777" w:rsidR="00780B2E" w:rsidRPr="009C5F11" w:rsidRDefault="00FD5F1C" w:rsidP="00F34AD6">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lastRenderedPageBreak/>
              <w:t>Promovarea</w:t>
            </w:r>
            <w:r w:rsidR="00780B2E" w:rsidRPr="009C5F11">
              <w:rPr>
                <w:rFonts w:ascii="Times New Roman" w:eastAsia="Verdana" w:hAnsi="Times New Roman" w:cs="Times New Roman"/>
                <w:color w:val="000000"/>
                <w:sz w:val="18"/>
                <w:szCs w:val="14"/>
                <w:lang w:val="ro-RO"/>
              </w:rPr>
              <w:t xml:space="preserve"> </w:t>
            </w:r>
            <w:r w:rsidR="00F34AD6" w:rsidRPr="009C5F11">
              <w:rPr>
                <w:rFonts w:ascii="Times New Roman" w:eastAsia="Verdana" w:hAnsi="Times New Roman" w:cs="Times New Roman"/>
                <w:color w:val="000000"/>
                <w:sz w:val="18"/>
                <w:szCs w:val="14"/>
                <w:lang w:val="ro-RO"/>
              </w:rPr>
              <w:t>societăţilor de servicii energetice</w:t>
            </w:r>
            <w:r w:rsidR="00780B2E" w:rsidRPr="009C5F11">
              <w:rPr>
                <w:rFonts w:ascii="Times New Roman" w:eastAsia="Verdana" w:hAnsi="Times New Roman" w:cs="Times New Roman"/>
                <w:color w:val="000000"/>
                <w:sz w:val="18"/>
                <w:szCs w:val="14"/>
                <w:lang w:val="ro-RO"/>
              </w:rPr>
              <w:t xml:space="preserve"> (ESC</w:t>
            </w:r>
            <w:r w:rsidR="00F34AD6" w:rsidRPr="009C5F11">
              <w:rPr>
                <w:rFonts w:ascii="Times New Roman" w:eastAsia="Verdana" w:hAnsi="Times New Roman" w:cs="Times New Roman"/>
                <w:color w:val="000000"/>
                <w:sz w:val="18"/>
                <w:szCs w:val="14"/>
                <w:lang w:val="ro-RO"/>
              </w:rPr>
              <w:t>O</w:t>
            </w:r>
            <w:r w:rsidR="00780B2E" w:rsidRPr="009C5F11">
              <w:rPr>
                <w:rFonts w:ascii="Times New Roman" w:eastAsia="Verdana" w:hAnsi="Times New Roman" w:cs="Times New Roman"/>
                <w:color w:val="000000"/>
                <w:sz w:val="18"/>
                <w:szCs w:val="14"/>
                <w:lang w:val="ro-RO"/>
              </w:rPr>
              <w:t>)</w:t>
            </w:r>
          </w:p>
        </w:tc>
        <w:tc>
          <w:tcPr>
            <w:tcW w:w="321" w:type="pct"/>
            <w:shd w:val="clear" w:color="000000" w:fill="C5D9F1"/>
            <w:noWrap/>
            <w:vAlign w:val="center"/>
            <w:hideMark/>
          </w:tcPr>
          <w:p w14:paraId="70059405"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w:t>
            </w:r>
          </w:p>
        </w:tc>
        <w:tc>
          <w:tcPr>
            <w:tcW w:w="322" w:type="pct"/>
            <w:shd w:val="clear" w:color="000000" w:fill="C5D9F1"/>
            <w:vAlign w:val="center"/>
          </w:tcPr>
          <w:p w14:paraId="210C6753"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w:t>
            </w:r>
          </w:p>
        </w:tc>
        <w:tc>
          <w:tcPr>
            <w:tcW w:w="2413" w:type="pct"/>
            <w:gridSpan w:val="2"/>
            <w:shd w:val="clear" w:color="000000" w:fill="C5D9F1"/>
          </w:tcPr>
          <w:p w14:paraId="73E49704" w14:textId="77777777" w:rsidR="00780B2E" w:rsidRPr="009C5F11" w:rsidRDefault="001A3909"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Primii paşi în implementare au fost realizaţi</w:t>
            </w:r>
          </w:p>
          <w:p w14:paraId="238279AD" w14:textId="77777777" w:rsidR="00780B2E" w:rsidRPr="009C5F11" w:rsidRDefault="00780B2E" w:rsidP="00C807F1">
            <w:pPr>
              <w:spacing w:after="0" w:line="240" w:lineRule="auto"/>
              <w:jc w:val="right"/>
              <w:rPr>
                <w:rFonts w:ascii="Times New Roman" w:eastAsia="Verdana" w:hAnsi="Times New Roman" w:cs="Times New Roman"/>
                <w:b/>
                <w:color w:val="000000"/>
                <w:sz w:val="18"/>
                <w:szCs w:val="14"/>
                <w:lang w:val="ro-RO"/>
              </w:rPr>
            </w:pPr>
          </w:p>
          <w:p w14:paraId="5F82BA30" w14:textId="77777777" w:rsidR="00780B2E" w:rsidRPr="009C5F11" w:rsidRDefault="00CD7240" w:rsidP="00CD7240">
            <w:pPr>
              <w:tabs>
                <w:tab w:val="left" w:pos="4972"/>
              </w:tabs>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Pe data de</w:t>
            </w:r>
            <w:r w:rsidR="00780B2E" w:rsidRPr="009C5F11">
              <w:rPr>
                <w:rFonts w:ascii="Times New Roman" w:eastAsia="Verdana" w:hAnsi="Times New Roman" w:cs="Times New Roman"/>
                <w:color w:val="000000"/>
                <w:sz w:val="18"/>
                <w:szCs w:val="14"/>
                <w:lang w:val="ro-RO"/>
              </w:rPr>
              <w:t xml:space="preserve"> 01.04.2015 </w:t>
            </w:r>
            <w:r w:rsidRPr="009C5F11">
              <w:rPr>
                <w:rFonts w:ascii="Times New Roman" w:eastAsia="Verdana" w:hAnsi="Times New Roman" w:cs="Times New Roman"/>
                <w:color w:val="000000"/>
                <w:sz w:val="18"/>
                <w:szCs w:val="14"/>
                <w:lang w:val="ro-RO"/>
              </w:rPr>
              <w:t>a fost lansat proiectul</w:t>
            </w:r>
            <w:r w:rsidR="00780B2E" w:rsidRPr="009C5F11">
              <w:rPr>
                <w:rFonts w:ascii="Times New Roman" w:eastAsia="Verdana" w:hAnsi="Times New Roman" w:cs="Times New Roman"/>
                <w:color w:val="000000"/>
                <w:sz w:val="18"/>
                <w:szCs w:val="14"/>
                <w:lang w:val="ro-RO"/>
              </w:rPr>
              <w:t xml:space="preserve"> “ESCO Moldova - </w:t>
            </w:r>
            <w:r w:rsidR="00AA45D2" w:rsidRPr="009C5F11">
              <w:rPr>
                <w:rFonts w:ascii="Times New Roman" w:eastAsia="Verdana" w:hAnsi="Times New Roman" w:cs="Times New Roman"/>
                <w:color w:val="000000"/>
                <w:sz w:val="18"/>
                <w:szCs w:val="14"/>
                <w:lang w:val="ro-RO"/>
              </w:rPr>
              <w:t xml:space="preserve">Transformarea pieței </w:t>
            </w:r>
            <w:r w:rsidR="00AA45D2" w:rsidRPr="009C5F11">
              <w:rPr>
                <w:rFonts w:ascii="Times New Roman" w:eastAsia="Verdana" w:hAnsi="Times New Roman" w:cs="Times New Roman"/>
                <w:color w:val="000000"/>
                <w:sz w:val="18"/>
                <w:szCs w:val="14"/>
                <w:lang w:val="ro-RO"/>
              </w:rPr>
              <w:lastRenderedPageBreak/>
              <w:t>pentru eficiența energetică urbană prin introducerea companiilor de servicii energetice</w:t>
            </w:r>
            <w:r w:rsidR="00780B2E" w:rsidRPr="009C5F11">
              <w:rPr>
                <w:rFonts w:ascii="Times New Roman" w:eastAsia="Verdana" w:hAnsi="Times New Roman" w:cs="Times New Roman"/>
                <w:color w:val="000000"/>
                <w:sz w:val="18"/>
                <w:szCs w:val="14"/>
                <w:lang w:val="ro-RO"/>
              </w:rPr>
              <w:t xml:space="preserve">”. </w:t>
            </w:r>
            <w:r w:rsidR="00421FA7" w:rsidRPr="009C5F11">
              <w:rPr>
                <w:rFonts w:ascii="Times New Roman" w:eastAsia="Verdana" w:hAnsi="Times New Roman" w:cs="Times New Roman"/>
                <w:color w:val="000000"/>
                <w:sz w:val="18"/>
                <w:szCs w:val="14"/>
                <w:lang w:val="ro-RO"/>
              </w:rPr>
              <w:t>P</w:t>
            </w:r>
            <w:r w:rsidRPr="009C5F11">
              <w:rPr>
                <w:rFonts w:ascii="Times New Roman" w:eastAsia="Verdana" w:hAnsi="Times New Roman" w:cs="Times New Roman"/>
                <w:color w:val="000000"/>
                <w:sz w:val="18"/>
                <w:szCs w:val="14"/>
                <w:lang w:val="ro-RO"/>
              </w:rPr>
              <w:t>artenerii p</w:t>
            </w:r>
            <w:r w:rsidR="00421FA7" w:rsidRPr="009C5F11">
              <w:rPr>
                <w:rFonts w:ascii="Times New Roman" w:eastAsia="Verdana" w:hAnsi="Times New Roman" w:cs="Times New Roman"/>
                <w:color w:val="000000"/>
                <w:sz w:val="18"/>
                <w:szCs w:val="14"/>
                <w:lang w:val="ro-RO"/>
              </w:rPr>
              <w:t>roiect</w:t>
            </w:r>
            <w:r w:rsidRPr="009C5F11">
              <w:rPr>
                <w:rFonts w:ascii="Times New Roman" w:eastAsia="Verdana" w:hAnsi="Times New Roman" w:cs="Times New Roman"/>
                <w:color w:val="000000"/>
                <w:sz w:val="18"/>
                <w:szCs w:val="14"/>
                <w:lang w:val="ro-RO"/>
              </w:rPr>
              <w:t>ului sunt</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Ministerul Mediului</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Ministerul Economiei</w:t>
            </w:r>
            <w:r w:rsidR="00780B2E" w:rsidRPr="009C5F11">
              <w:rPr>
                <w:rFonts w:ascii="Times New Roman" w:eastAsia="Verdana" w:hAnsi="Times New Roman" w:cs="Times New Roman"/>
                <w:color w:val="000000"/>
                <w:sz w:val="18"/>
                <w:szCs w:val="14"/>
                <w:lang w:val="ro-RO"/>
              </w:rPr>
              <w:t xml:space="preserve">, </w:t>
            </w:r>
            <w:r w:rsidR="00421FA7" w:rsidRPr="009C5F11">
              <w:rPr>
                <w:rFonts w:ascii="Times New Roman" w:eastAsia="Verdana" w:hAnsi="Times New Roman" w:cs="Times New Roman"/>
                <w:color w:val="000000"/>
                <w:sz w:val="18"/>
                <w:szCs w:val="14"/>
                <w:lang w:val="ro-RO"/>
              </w:rPr>
              <w:t>Primăria Chişinău</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Fondul pentru Eficienţă Energetică</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Agenţia pentru Eficienţă Energetică</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Ministerul Dezvoltării Regionale şi Construcţiilor</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Ministerul Finanţelor</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sectorul bancar</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sectorul privat</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Implementarea Proiectului este preconizată pe o perioadă de 4 ani, fiind finanţat de Fondul </w:t>
            </w:r>
            <w:r w:rsidR="00780B2E" w:rsidRPr="009C5F11">
              <w:rPr>
                <w:rFonts w:ascii="Times New Roman" w:eastAsia="Verdana" w:hAnsi="Times New Roman" w:cs="Times New Roman"/>
                <w:color w:val="000000"/>
                <w:sz w:val="18"/>
                <w:szCs w:val="14"/>
                <w:lang w:val="ro-RO"/>
              </w:rPr>
              <w:t xml:space="preserve">Global </w:t>
            </w:r>
            <w:r w:rsidRPr="009C5F11">
              <w:rPr>
                <w:rFonts w:ascii="Times New Roman" w:eastAsia="Verdana" w:hAnsi="Times New Roman" w:cs="Times New Roman"/>
                <w:color w:val="000000"/>
                <w:sz w:val="18"/>
                <w:szCs w:val="14"/>
                <w:lang w:val="ro-RO"/>
              </w:rPr>
              <w:t xml:space="preserve">de </w:t>
            </w:r>
            <w:r w:rsidR="00052FA3" w:rsidRPr="009C5F11">
              <w:rPr>
                <w:rFonts w:ascii="Times New Roman" w:eastAsia="Verdana" w:hAnsi="Times New Roman" w:cs="Times New Roman"/>
                <w:color w:val="000000"/>
                <w:sz w:val="18"/>
                <w:szCs w:val="14"/>
                <w:lang w:val="ro-RO"/>
              </w:rPr>
              <w:t>M</w:t>
            </w:r>
            <w:r w:rsidRPr="009C5F11">
              <w:rPr>
                <w:rFonts w:ascii="Times New Roman" w:eastAsia="Verdana" w:hAnsi="Times New Roman" w:cs="Times New Roman"/>
                <w:color w:val="000000"/>
                <w:sz w:val="18"/>
                <w:szCs w:val="14"/>
                <w:lang w:val="ro-RO"/>
              </w:rPr>
              <w:t>ediu</w:t>
            </w:r>
            <w:r w:rsidR="00780B2E" w:rsidRPr="009C5F11">
              <w:rPr>
                <w:rFonts w:ascii="Times New Roman" w:eastAsia="Verdana" w:hAnsi="Times New Roman" w:cs="Times New Roman"/>
                <w:color w:val="000000"/>
                <w:sz w:val="18"/>
                <w:szCs w:val="14"/>
                <w:lang w:val="ro-RO"/>
              </w:rPr>
              <w:t xml:space="preserve"> (GEF)</w:t>
            </w:r>
            <w:r w:rsidR="00052FA3" w:rsidRPr="009C5F11">
              <w:rPr>
                <w:rFonts w:ascii="Times New Roman" w:eastAsia="Verdana" w:hAnsi="Times New Roman" w:cs="Times New Roman"/>
                <w:color w:val="000000"/>
                <w:sz w:val="18"/>
                <w:szCs w:val="14"/>
                <w:lang w:val="ro-RO"/>
              </w:rPr>
              <w:t xml:space="preserve"> </w:t>
            </w:r>
            <w:r w:rsidR="00AA45D2" w:rsidRPr="009C5F11">
              <w:rPr>
                <w:rFonts w:ascii="Times New Roman" w:eastAsia="Verdana" w:hAnsi="Times New Roman" w:cs="Times New Roman"/>
                <w:color w:val="000000"/>
                <w:sz w:val="18"/>
                <w:szCs w:val="14"/>
                <w:lang w:val="ro-RO"/>
              </w:rPr>
              <w:t>şi cofinanţat şi implementat de</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PNUD</w:t>
            </w:r>
            <w:r w:rsidRPr="009C5F11">
              <w:rPr>
                <w:rFonts w:ascii="Times New Roman" w:eastAsia="Verdana" w:hAnsi="Times New Roman" w:cs="Times New Roman"/>
                <w:color w:val="000000"/>
                <w:sz w:val="18"/>
                <w:szCs w:val="14"/>
                <w:lang w:val="ro-RO"/>
              </w:rPr>
              <w:t xml:space="preserve">: Bugetul Proiectului însumează </w:t>
            </w:r>
            <w:r w:rsidR="00780B2E" w:rsidRPr="009C5F11">
              <w:rPr>
                <w:rFonts w:ascii="Times New Roman" w:eastAsia="Verdana" w:hAnsi="Times New Roman" w:cs="Times New Roman"/>
                <w:color w:val="000000"/>
                <w:sz w:val="18"/>
                <w:szCs w:val="14"/>
                <w:lang w:val="ro-RO"/>
              </w:rPr>
              <w:t>1,450,000</w:t>
            </w:r>
            <w:r w:rsidR="00052FA3" w:rsidRPr="009C5F11">
              <w:rPr>
                <w:rFonts w:ascii="Times New Roman" w:eastAsia="Verdana" w:hAnsi="Times New Roman" w:cs="Times New Roman"/>
                <w:color w:val="000000"/>
                <w:sz w:val="18"/>
                <w:szCs w:val="14"/>
                <w:lang w:val="ro-RO"/>
              </w:rPr>
              <w:t xml:space="preserve"> dolari SUA</w:t>
            </w:r>
            <w:r w:rsidR="00780B2E"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00780B2E" w:rsidRPr="009C5F11">
              <w:rPr>
                <w:rFonts w:ascii="Times New Roman" w:eastAsia="Verdana" w:hAnsi="Times New Roman" w:cs="Times New Roman"/>
                <w:color w:val="000000"/>
                <w:sz w:val="18"/>
                <w:szCs w:val="14"/>
                <w:lang w:val="ro-RO"/>
              </w:rPr>
              <w:t xml:space="preserve"> 1.3 </w:t>
            </w:r>
            <w:r w:rsidR="00421FA7" w:rsidRPr="009C5F11">
              <w:rPr>
                <w:rFonts w:ascii="Times New Roman" w:eastAsia="Verdana" w:hAnsi="Times New Roman" w:cs="Times New Roman"/>
                <w:color w:val="000000"/>
                <w:sz w:val="18"/>
                <w:szCs w:val="14"/>
                <w:lang w:val="ro-RO"/>
              </w:rPr>
              <w:t xml:space="preserve">milioane </w:t>
            </w:r>
            <w:r w:rsidR="00052FA3" w:rsidRPr="009C5F11">
              <w:rPr>
                <w:rFonts w:ascii="Times New Roman" w:eastAsia="Verdana" w:hAnsi="Times New Roman" w:cs="Times New Roman"/>
                <w:color w:val="000000"/>
                <w:sz w:val="18"/>
                <w:szCs w:val="14"/>
                <w:lang w:val="ro-RO"/>
              </w:rPr>
              <w:t xml:space="preserve">dolari SUA </w:t>
            </w:r>
            <w:r w:rsidR="00780B2E" w:rsidRPr="009C5F11">
              <w:rPr>
                <w:rFonts w:ascii="Times New Roman" w:eastAsia="Verdana" w:hAnsi="Times New Roman" w:cs="Times New Roman"/>
                <w:color w:val="000000"/>
                <w:sz w:val="18"/>
                <w:szCs w:val="14"/>
                <w:lang w:val="ro-RO"/>
              </w:rPr>
              <w:t>– GEF</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 xml:space="preserve">150 </w:t>
            </w:r>
            <w:r w:rsidR="00421FA7" w:rsidRPr="009C5F11">
              <w:rPr>
                <w:rFonts w:ascii="Times New Roman" w:eastAsia="Verdana" w:hAnsi="Times New Roman" w:cs="Times New Roman"/>
                <w:color w:val="000000"/>
                <w:sz w:val="18"/>
                <w:szCs w:val="14"/>
                <w:lang w:val="ro-RO"/>
              </w:rPr>
              <w:t>mii</w:t>
            </w:r>
            <w:r w:rsidR="00780B2E" w:rsidRPr="009C5F11">
              <w:rPr>
                <w:rFonts w:ascii="Times New Roman" w:eastAsia="Verdana" w:hAnsi="Times New Roman" w:cs="Times New Roman"/>
                <w:color w:val="000000"/>
                <w:sz w:val="18"/>
                <w:szCs w:val="14"/>
                <w:lang w:val="ro-RO"/>
              </w:rPr>
              <w:t xml:space="preserve"> </w:t>
            </w:r>
            <w:r w:rsidR="00052FA3" w:rsidRPr="009C5F11">
              <w:rPr>
                <w:rFonts w:ascii="Times New Roman" w:eastAsia="Verdana" w:hAnsi="Times New Roman" w:cs="Times New Roman"/>
                <w:color w:val="000000"/>
                <w:sz w:val="18"/>
                <w:szCs w:val="14"/>
                <w:lang w:val="ro-RO"/>
              </w:rPr>
              <w:t>dolari SUA –</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PNUD</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Proiectul</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w:t>
            </w:r>
            <w:r w:rsidR="00052FA3" w:rsidRPr="009C5F11">
              <w:rPr>
                <w:rFonts w:ascii="Times New Roman" w:eastAsia="Verdana" w:hAnsi="Times New Roman" w:cs="Times New Roman"/>
                <w:color w:val="000000"/>
                <w:sz w:val="18"/>
                <w:szCs w:val="14"/>
                <w:lang w:val="ro-RO"/>
              </w:rPr>
              <w:t>ş</w:t>
            </w:r>
            <w:r w:rsidRPr="009C5F11">
              <w:rPr>
                <w:rFonts w:ascii="Times New Roman" w:eastAsia="Verdana" w:hAnsi="Times New Roman" w:cs="Times New Roman"/>
                <w:color w:val="000000"/>
                <w:sz w:val="18"/>
                <w:szCs w:val="14"/>
                <w:lang w:val="ro-RO"/>
              </w:rPr>
              <w:t>i propune să creeze în Republica Moldova o piaţă ESCO funcţională, durabilă şi eficace prin</w:t>
            </w:r>
            <w:r w:rsidR="00780B2E" w:rsidRPr="009C5F11">
              <w:rPr>
                <w:rFonts w:ascii="Times New Roman" w:eastAsia="Verdana" w:hAnsi="Times New Roman" w:cs="Times New Roman"/>
                <w:color w:val="000000"/>
                <w:sz w:val="18"/>
                <w:szCs w:val="14"/>
                <w:lang w:val="ro-RO"/>
              </w:rPr>
              <w:t xml:space="preserve"> convert</w:t>
            </w:r>
            <w:r w:rsidRPr="009C5F11">
              <w:rPr>
                <w:rFonts w:ascii="Times New Roman" w:eastAsia="Verdana" w:hAnsi="Times New Roman" w:cs="Times New Roman"/>
                <w:color w:val="000000"/>
                <w:sz w:val="18"/>
                <w:szCs w:val="14"/>
                <w:lang w:val="ro-RO"/>
              </w:rPr>
              <w:t xml:space="preserve">irea companiilor ce prestează servicii energetice în societăţi de tip </w:t>
            </w:r>
            <w:r w:rsidR="00780B2E" w:rsidRPr="009C5F11">
              <w:rPr>
                <w:rFonts w:ascii="Times New Roman" w:eastAsia="Verdana" w:hAnsi="Times New Roman" w:cs="Times New Roman"/>
                <w:color w:val="000000"/>
                <w:sz w:val="18"/>
                <w:szCs w:val="14"/>
                <w:lang w:val="ro-RO"/>
              </w:rPr>
              <w:t>ESCO,</w:t>
            </w:r>
            <w:r w:rsidRPr="009C5F11">
              <w:rPr>
                <w:rFonts w:ascii="Times New Roman" w:eastAsia="Verdana" w:hAnsi="Times New Roman" w:cs="Times New Roman"/>
                <w:color w:val="000000"/>
                <w:sz w:val="18"/>
                <w:szCs w:val="14"/>
                <w:lang w:val="ro-RO"/>
              </w:rPr>
              <w:t xml:space="preserve">care să servească drept bază pentru intensificarea eforturilor de atenuare </w:t>
            </w:r>
            <w:r w:rsidR="00052FA3" w:rsidRPr="009C5F11">
              <w:rPr>
                <w:rFonts w:ascii="Times New Roman" w:eastAsia="Verdana" w:hAnsi="Times New Roman" w:cs="Times New Roman"/>
                <w:color w:val="000000"/>
                <w:sz w:val="18"/>
                <w:szCs w:val="14"/>
                <w:lang w:val="ro-RO"/>
              </w:rPr>
              <w:t>di</w:t>
            </w:r>
            <w:r w:rsidRPr="009C5F11">
              <w:rPr>
                <w:rFonts w:ascii="Times New Roman" w:eastAsia="Verdana" w:hAnsi="Times New Roman" w:cs="Times New Roman"/>
                <w:color w:val="000000"/>
                <w:sz w:val="18"/>
                <w:szCs w:val="14"/>
                <w:lang w:val="ro-RO"/>
              </w:rPr>
              <w:t xml:space="preserve">n sectorul </w:t>
            </w:r>
            <w:r w:rsidR="00052FA3" w:rsidRPr="009C5F11">
              <w:rPr>
                <w:rFonts w:ascii="Times New Roman" w:eastAsia="Verdana" w:hAnsi="Times New Roman" w:cs="Times New Roman"/>
                <w:color w:val="000000"/>
                <w:sz w:val="18"/>
                <w:szCs w:val="14"/>
                <w:lang w:val="ro-RO"/>
              </w:rPr>
              <w:t xml:space="preserve">tuturor </w:t>
            </w:r>
            <w:r w:rsidRPr="009C5F11">
              <w:rPr>
                <w:rFonts w:ascii="Times New Roman" w:eastAsia="Verdana" w:hAnsi="Times New Roman" w:cs="Times New Roman"/>
                <w:color w:val="000000"/>
                <w:sz w:val="18"/>
                <w:szCs w:val="14"/>
                <w:lang w:val="ro-RO"/>
              </w:rPr>
              <w:t xml:space="preserve">construcţiilor </w:t>
            </w:r>
            <w:r w:rsidR="00052FA3" w:rsidRPr="009C5F11">
              <w:rPr>
                <w:rFonts w:ascii="Times New Roman" w:eastAsia="Verdana" w:hAnsi="Times New Roman" w:cs="Times New Roman"/>
                <w:color w:val="000000"/>
                <w:sz w:val="18"/>
                <w:szCs w:val="14"/>
                <w:lang w:val="ro-RO"/>
              </w:rPr>
              <w:t xml:space="preserve">municipale </w:t>
            </w:r>
            <w:r w:rsidRPr="009C5F11">
              <w:rPr>
                <w:rFonts w:ascii="Times New Roman" w:eastAsia="Verdana" w:hAnsi="Times New Roman" w:cs="Times New Roman"/>
                <w:color w:val="000000"/>
                <w:sz w:val="18"/>
                <w:szCs w:val="14"/>
                <w:lang w:val="ro-RO"/>
              </w:rPr>
              <w:t>din</w:t>
            </w:r>
            <w:r w:rsidR="00223DAC" w:rsidRPr="009C5F11">
              <w:rPr>
                <w:rFonts w:ascii="Times New Roman" w:eastAsia="Verdana" w:hAnsi="Times New Roman" w:cs="Times New Roman"/>
                <w:color w:val="000000"/>
                <w:sz w:val="18"/>
                <w:szCs w:val="14"/>
                <w:lang w:val="ro-RO"/>
              </w:rPr>
              <w:t xml:space="preserve"> Republica Moldova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care să se soldeze cu reducerea emisiilor de </w:t>
            </w:r>
            <w:r w:rsidR="00780B2E" w:rsidRPr="009C5F11">
              <w:rPr>
                <w:rFonts w:ascii="Times New Roman" w:eastAsia="Verdana" w:hAnsi="Times New Roman" w:cs="Times New Roman"/>
                <w:color w:val="000000"/>
                <w:sz w:val="18"/>
                <w:szCs w:val="14"/>
                <w:lang w:val="ro-RO"/>
              </w:rPr>
              <w:t xml:space="preserve">CO2 </w:t>
            </w:r>
            <w:r w:rsidRPr="009C5F11">
              <w:rPr>
                <w:rFonts w:ascii="Times New Roman" w:eastAsia="Verdana" w:hAnsi="Times New Roman" w:cs="Times New Roman"/>
                <w:color w:val="000000"/>
                <w:sz w:val="18"/>
                <w:szCs w:val="14"/>
                <w:lang w:val="ro-RO"/>
              </w:rPr>
              <w:t>prin implementarea contractelor de performanţă energetică</w:t>
            </w:r>
            <w:r w:rsidR="00780B2E" w:rsidRPr="009C5F11">
              <w:rPr>
                <w:rFonts w:ascii="Times New Roman" w:eastAsia="Verdana" w:hAnsi="Times New Roman" w:cs="Times New Roman"/>
                <w:color w:val="000000"/>
                <w:sz w:val="18"/>
                <w:szCs w:val="14"/>
                <w:lang w:val="ro-RO"/>
              </w:rPr>
              <w:t>.</w:t>
            </w:r>
          </w:p>
          <w:p w14:paraId="352DA332" w14:textId="77777777" w:rsidR="00780B2E" w:rsidRPr="009C5F11" w:rsidRDefault="007643EC"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Misiunile de asistenţă tehnică realizate în </w:t>
            </w:r>
            <w:r w:rsidR="00780B2E" w:rsidRPr="009C5F11">
              <w:rPr>
                <w:rFonts w:ascii="Times New Roman" w:eastAsia="Verdana" w:hAnsi="Times New Roman" w:cs="Times New Roman"/>
                <w:color w:val="000000"/>
                <w:sz w:val="18"/>
                <w:szCs w:val="14"/>
                <w:lang w:val="ro-RO"/>
              </w:rPr>
              <w:t>R</w:t>
            </w:r>
            <w:r w:rsidRPr="009C5F11">
              <w:rPr>
                <w:rFonts w:ascii="Times New Roman" w:eastAsia="Verdana" w:hAnsi="Times New Roman" w:cs="Times New Roman"/>
                <w:color w:val="000000"/>
                <w:sz w:val="18"/>
                <w:szCs w:val="14"/>
                <w:lang w:val="ro-RO"/>
              </w:rPr>
              <w:t>epublica</w:t>
            </w:r>
            <w:r w:rsidR="00780B2E" w:rsidRPr="009C5F11">
              <w:rPr>
                <w:rFonts w:ascii="Times New Roman" w:eastAsia="Verdana" w:hAnsi="Times New Roman" w:cs="Times New Roman"/>
                <w:color w:val="000000"/>
                <w:sz w:val="18"/>
                <w:szCs w:val="14"/>
                <w:lang w:val="ro-RO"/>
              </w:rPr>
              <w:t xml:space="preserve"> Moldova </w:t>
            </w:r>
            <w:r w:rsidRPr="009C5F11">
              <w:rPr>
                <w:rFonts w:ascii="Times New Roman" w:eastAsia="Verdana" w:hAnsi="Times New Roman" w:cs="Times New Roman"/>
                <w:color w:val="000000"/>
                <w:sz w:val="18"/>
                <w:szCs w:val="14"/>
                <w:lang w:val="ro-RO"/>
              </w:rPr>
              <w:t xml:space="preserve">au contribuit la elaborarea unor </w:t>
            </w:r>
            <w:r w:rsidR="003826B8" w:rsidRPr="009C5F11">
              <w:rPr>
                <w:rFonts w:ascii="Times New Roman" w:eastAsia="Verdana" w:hAnsi="Times New Roman" w:cs="Times New Roman"/>
                <w:color w:val="000000"/>
                <w:sz w:val="18"/>
                <w:szCs w:val="14"/>
                <w:lang w:val="ro-RO"/>
              </w:rPr>
              <w:t>documente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importante armonizate cu cele mai bune practici europene, </w:t>
            </w:r>
            <w:r w:rsidR="003826B8" w:rsidRPr="009C5F11">
              <w:rPr>
                <w:rFonts w:ascii="Times New Roman" w:eastAsia="Verdana" w:hAnsi="Times New Roman" w:cs="Times New Roman"/>
                <w:color w:val="000000"/>
                <w:sz w:val="18"/>
                <w:szCs w:val="14"/>
                <w:lang w:val="ro-RO"/>
              </w:rPr>
              <w:t>cum ar fi</w:t>
            </w:r>
            <w:r w:rsidR="00780B2E" w:rsidRPr="009C5F11">
              <w:rPr>
                <w:rFonts w:ascii="Times New Roman" w:eastAsia="Verdana" w:hAnsi="Times New Roman" w:cs="Times New Roman"/>
                <w:color w:val="000000"/>
                <w:sz w:val="18"/>
                <w:szCs w:val="14"/>
                <w:lang w:val="ro-RO"/>
              </w:rPr>
              <w:t>:</w:t>
            </w:r>
          </w:p>
          <w:p w14:paraId="32DA9440" w14:textId="77777777" w:rsidR="00780B2E" w:rsidRPr="009C5F11" w:rsidRDefault="00055095"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modelul de CPE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pentru sectorul </w:t>
            </w:r>
            <w:r w:rsidR="00780B2E" w:rsidRPr="009C5F11">
              <w:rPr>
                <w:rFonts w:ascii="Times New Roman" w:eastAsia="Verdana" w:hAnsi="Times New Roman" w:cs="Times New Roman"/>
                <w:color w:val="000000"/>
                <w:sz w:val="18"/>
                <w:szCs w:val="14"/>
                <w:lang w:val="ro-RO"/>
              </w:rPr>
              <w:t xml:space="preserve">public, </w:t>
            </w:r>
          </w:p>
          <w:p w14:paraId="067621FC" w14:textId="77777777" w:rsidR="00780B2E" w:rsidRPr="009C5F11" w:rsidRDefault="00055095"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modelul de CPE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pentru</w:t>
            </w:r>
            <w:r w:rsidR="00780B2E" w:rsidRPr="009C5F11">
              <w:rPr>
                <w:rFonts w:ascii="Times New Roman" w:eastAsia="Verdana" w:hAnsi="Times New Roman" w:cs="Times New Roman"/>
                <w:color w:val="000000"/>
                <w:sz w:val="18"/>
                <w:szCs w:val="14"/>
                <w:lang w:val="ro-RO"/>
              </w:rPr>
              <w:t xml:space="preserve"> </w:t>
            </w:r>
            <w:r w:rsidR="00CD7240" w:rsidRPr="009C5F11">
              <w:rPr>
                <w:rFonts w:ascii="Times New Roman" w:eastAsia="Verdana" w:hAnsi="Times New Roman" w:cs="Times New Roman"/>
                <w:color w:val="000000"/>
                <w:sz w:val="18"/>
                <w:szCs w:val="14"/>
                <w:lang w:val="ro-RO"/>
              </w:rPr>
              <w:t>sectorul privat</w:t>
            </w:r>
            <w:r w:rsidR="00780B2E" w:rsidRPr="009C5F11">
              <w:rPr>
                <w:rFonts w:ascii="Times New Roman" w:eastAsia="Verdana" w:hAnsi="Times New Roman" w:cs="Times New Roman"/>
                <w:color w:val="000000"/>
                <w:sz w:val="18"/>
                <w:szCs w:val="14"/>
                <w:lang w:val="ro-RO"/>
              </w:rPr>
              <w:t>,</w:t>
            </w:r>
          </w:p>
          <w:p w14:paraId="7D028601" w14:textId="77777777" w:rsidR="00780B2E" w:rsidRPr="009C5F11" w:rsidRDefault="00055095"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m</w:t>
            </w:r>
            <w:r w:rsidR="00780B2E" w:rsidRPr="009C5F11">
              <w:rPr>
                <w:rFonts w:ascii="Times New Roman" w:eastAsia="Verdana" w:hAnsi="Times New Roman" w:cs="Times New Roman"/>
                <w:color w:val="000000"/>
                <w:sz w:val="18"/>
                <w:szCs w:val="14"/>
                <w:lang w:val="ro-RO"/>
              </w:rPr>
              <w:t>etodolog</w:t>
            </w:r>
            <w:r w:rsidRPr="009C5F11">
              <w:rPr>
                <w:rFonts w:ascii="Times New Roman" w:eastAsia="Verdana" w:hAnsi="Times New Roman" w:cs="Times New Roman"/>
                <w:color w:val="000000"/>
                <w:sz w:val="18"/>
                <w:szCs w:val="14"/>
                <w:lang w:val="ro-RO"/>
              </w:rPr>
              <w:t xml:space="preserve">ia pentru semnarea CPE în sectorul public pe baza celor mai bune practici </w:t>
            </w:r>
            <w:r w:rsidR="00780B2E"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 xml:space="preserve">evaluarea fezabilităţii </w:t>
            </w:r>
            <w:r w:rsidR="00780B2E" w:rsidRPr="009C5F11">
              <w:rPr>
                <w:rFonts w:ascii="Times New Roman" w:eastAsia="Verdana" w:hAnsi="Times New Roman" w:cs="Times New Roman"/>
                <w:color w:val="000000"/>
                <w:sz w:val="18"/>
                <w:szCs w:val="14"/>
                <w:lang w:val="ro-RO"/>
              </w:rPr>
              <w:t>economic</w:t>
            </w:r>
            <w:r w:rsidRPr="009C5F11">
              <w:rPr>
                <w:rFonts w:ascii="Times New Roman" w:eastAsia="Verdana" w:hAnsi="Times New Roman" w:cs="Times New Roman"/>
                <w:color w:val="000000"/>
                <w:sz w:val="18"/>
                <w:szCs w:val="14"/>
                <w:lang w:val="ro-RO"/>
              </w:rPr>
              <w:t>e</w:t>
            </w:r>
            <w:r w:rsidR="00780B2E" w:rsidRPr="009C5F11">
              <w:rPr>
                <w:rFonts w:ascii="Times New Roman" w:eastAsia="Verdana" w:hAnsi="Times New Roman" w:cs="Times New Roman"/>
                <w:color w:val="000000"/>
                <w:sz w:val="18"/>
                <w:szCs w:val="14"/>
                <w:lang w:val="ro-RO"/>
              </w:rPr>
              <w:t xml:space="preserve">, </w:t>
            </w:r>
            <w:r w:rsidR="008F7BD5" w:rsidRPr="009C5F11">
              <w:rPr>
                <w:rFonts w:ascii="Times New Roman" w:eastAsia="Verdana" w:hAnsi="Times New Roman" w:cs="Times New Roman"/>
                <w:color w:val="000000"/>
                <w:sz w:val="18"/>
                <w:szCs w:val="14"/>
                <w:lang w:val="ro-RO"/>
              </w:rPr>
              <w:t>distribu</w:t>
            </w:r>
            <w:r w:rsidRPr="009C5F11">
              <w:rPr>
                <w:rFonts w:ascii="Times New Roman" w:eastAsia="Verdana" w:hAnsi="Times New Roman" w:cs="Times New Roman"/>
                <w:color w:val="000000"/>
                <w:sz w:val="18"/>
                <w:szCs w:val="14"/>
                <w:lang w:val="ro-RO"/>
              </w:rPr>
              <w:t xml:space="preserve">irea </w:t>
            </w:r>
            <w:r w:rsidR="00916F33" w:rsidRPr="009C5F11">
              <w:rPr>
                <w:rFonts w:ascii="Times New Roman" w:eastAsia="Verdana" w:hAnsi="Times New Roman" w:cs="Times New Roman"/>
                <w:color w:val="000000"/>
                <w:sz w:val="18"/>
                <w:szCs w:val="14"/>
                <w:lang w:val="ro-RO"/>
              </w:rPr>
              <w:t>extra-beneficiilor</w:t>
            </w:r>
            <w:r w:rsidRPr="009C5F11">
              <w:rPr>
                <w:rFonts w:ascii="Times New Roman" w:eastAsia="Verdana" w:hAnsi="Times New Roman" w:cs="Times New Roman"/>
                <w:color w:val="000000"/>
                <w:sz w:val="18"/>
                <w:szCs w:val="14"/>
                <w:lang w:val="ro-RO"/>
              </w:rPr>
              <w:t xml:space="preserve"> proiectului </w:t>
            </w:r>
            <w:r w:rsidR="00401F29" w:rsidRPr="009C5F11">
              <w:rPr>
                <w:rFonts w:ascii="Times New Roman" w:eastAsia="Verdana" w:hAnsi="Times New Roman" w:cs="Times New Roman"/>
                <w:color w:val="000000"/>
                <w:sz w:val="18"/>
                <w:szCs w:val="14"/>
                <w:lang w:val="ro-RO"/>
              </w:rPr>
              <w:t>etc.</w:t>
            </w:r>
            <w:r w:rsidR="00780B2E" w:rsidRPr="009C5F11">
              <w:rPr>
                <w:rFonts w:ascii="Times New Roman" w:eastAsia="Verdana" w:hAnsi="Times New Roman" w:cs="Times New Roman"/>
                <w:color w:val="000000"/>
                <w:sz w:val="18"/>
                <w:szCs w:val="14"/>
                <w:lang w:val="ro-RO"/>
              </w:rPr>
              <w:t>),</w:t>
            </w:r>
          </w:p>
          <w:p w14:paraId="64DBBCD0" w14:textId="77777777" w:rsidR="00780B2E" w:rsidRPr="009C5F11" w:rsidRDefault="00055095"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orientări pentru </w:t>
            </w:r>
            <w:r w:rsidR="00780B2E" w:rsidRPr="009C5F11">
              <w:rPr>
                <w:rFonts w:ascii="Times New Roman" w:eastAsia="Verdana" w:hAnsi="Times New Roman" w:cs="Times New Roman"/>
                <w:color w:val="000000"/>
                <w:sz w:val="18"/>
                <w:szCs w:val="14"/>
                <w:lang w:val="ro-RO"/>
              </w:rPr>
              <w:t>elabora</w:t>
            </w:r>
            <w:r w:rsidRPr="009C5F11">
              <w:rPr>
                <w:rFonts w:ascii="Times New Roman" w:eastAsia="Verdana" w:hAnsi="Times New Roman" w:cs="Times New Roman"/>
                <w:color w:val="000000"/>
                <w:sz w:val="18"/>
                <w:szCs w:val="14"/>
                <w:lang w:val="ro-RO"/>
              </w:rPr>
              <w:t xml:space="preserve">rea termenilor de referinţă pentru semnarea CPE în sectorul </w:t>
            </w:r>
            <w:r w:rsidR="00780B2E" w:rsidRPr="009C5F11">
              <w:rPr>
                <w:rFonts w:ascii="Times New Roman" w:eastAsia="Verdana" w:hAnsi="Times New Roman" w:cs="Times New Roman"/>
                <w:color w:val="000000"/>
                <w:sz w:val="18"/>
                <w:szCs w:val="14"/>
                <w:lang w:val="ro-RO"/>
              </w:rPr>
              <w:t>public (</w:t>
            </w:r>
            <w:r w:rsidRPr="009C5F11">
              <w:rPr>
                <w:rFonts w:ascii="Times New Roman" w:eastAsia="Verdana" w:hAnsi="Times New Roman" w:cs="Times New Roman"/>
                <w:color w:val="000000"/>
                <w:sz w:val="18"/>
                <w:szCs w:val="14"/>
                <w:lang w:val="ro-RO"/>
              </w:rPr>
              <w:t>cerinţe tehnice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procedurile şi cerinţele de licitare</w:t>
            </w:r>
            <w:r w:rsidR="00401F29" w:rsidRPr="009C5F11">
              <w:rPr>
                <w:rFonts w:ascii="Times New Roman" w:eastAsia="Verdana" w:hAnsi="Times New Roman" w:cs="Times New Roman"/>
                <w:color w:val="000000"/>
                <w:sz w:val="18"/>
                <w:szCs w:val="14"/>
                <w:lang w:val="ro-RO"/>
              </w:rPr>
              <w:t xml:space="preserve"> etc.</w:t>
            </w:r>
            <w:r w:rsidR="00780B2E" w:rsidRPr="009C5F11">
              <w:rPr>
                <w:rFonts w:ascii="Times New Roman" w:eastAsia="Verdana" w:hAnsi="Times New Roman" w:cs="Times New Roman"/>
                <w:color w:val="000000"/>
                <w:sz w:val="18"/>
                <w:szCs w:val="14"/>
                <w:lang w:val="ro-RO"/>
              </w:rPr>
              <w:t>).</w:t>
            </w:r>
          </w:p>
        </w:tc>
        <w:tc>
          <w:tcPr>
            <w:tcW w:w="585" w:type="pct"/>
            <w:gridSpan w:val="2"/>
            <w:shd w:val="clear" w:color="000000" w:fill="C5D9F1"/>
            <w:vAlign w:val="center"/>
          </w:tcPr>
          <w:p w14:paraId="5CE7597E"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p>
        </w:tc>
      </w:tr>
      <w:tr w:rsidR="00780B2E" w:rsidRPr="009C5F11" w14:paraId="1533D05F" w14:textId="77777777" w:rsidTr="00CD5222">
        <w:trPr>
          <w:trHeight w:val="197"/>
        </w:trPr>
        <w:tc>
          <w:tcPr>
            <w:tcW w:w="424" w:type="pct"/>
            <w:shd w:val="clear" w:color="000000" w:fill="C5D9F1"/>
            <w:noWrap/>
            <w:hideMark/>
          </w:tcPr>
          <w:p w14:paraId="531A2DF0"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tc>
        <w:tc>
          <w:tcPr>
            <w:tcW w:w="935" w:type="pct"/>
            <w:shd w:val="clear" w:color="000000" w:fill="C5D9F1"/>
            <w:vAlign w:val="bottom"/>
            <w:hideMark/>
          </w:tcPr>
          <w:p w14:paraId="2E612083"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tc>
        <w:tc>
          <w:tcPr>
            <w:tcW w:w="321" w:type="pct"/>
            <w:shd w:val="clear" w:color="000000" w:fill="C5D9F1"/>
            <w:noWrap/>
            <w:vAlign w:val="bottom"/>
            <w:hideMark/>
          </w:tcPr>
          <w:p w14:paraId="5F2910A3"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322" w:type="pct"/>
            <w:shd w:val="clear" w:color="000000" w:fill="C5D9F1"/>
            <w:vAlign w:val="bottom"/>
          </w:tcPr>
          <w:p w14:paraId="45702F41"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2413" w:type="pct"/>
            <w:gridSpan w:val="2"/>
            <w:shd w:val="clear" w:color="000000" w:fill="C5D9F1"/>
          </w:tcPr>
          <w:p w14:paraId="7BD1BBFB"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585" w:type="pct"/>
            <w:gridSpan w:val="2"/>
            <w:shd w:val="clear" w:color="000000" w:fill="C5D9F1"/>
          </w:tcPr>
          <w:p w14:paraId="3825978D"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r>
      <w:tr w:rsidR="00780B2E" w:rsidRPr="009C5F11" w14:paraId="13BDC7DF" w14:textId="77777777" w:rsidTr="00CD5222">
        <w:trPr>
          <w:trHeight w:val="420"/>
        </w:trPr>
        <w:tc>
          <w:tcPr>
            <w:tcW w:w="424" w:type="pct"/>
            <w:shd w:val="clear" w:color="000000" w:fill="C5D9F1"/>
            <w:noWrap/>
            <w:vAlign w:val="center"/>
            <w:hideMark/>
          </w:tcPr>
          <w:p w14:paraId="7FCD7F4F"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H6</w:t>
            </w:r>
          </w:p>
          <w:p w14:paraId="0999FFC0"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73F51A93"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 113</w:t>
            </w:r>
            <w:r w:rsidR="00321CD5" w:rsidRPr="009C5F11">
              <w:rPr>
                <w:rFonts w:ascii="Times New Roman" w:eastAsia="Verdana" w:hAnsi="Times New Roman" w:cs="Times New Roman"/>
                <w:color w:val="000000"/>
                <w:sz w:val="18"/>
                <w:szCs w:val="14"/>
                <w:lang w:val="ro-RO"/>
              </w:rPr>
              <w:t xml:space="preserve"> </w:t>
            </w:r>
            <w:r w:rsidR="00052FA3" w:rsidRPr="009C5F11">
              <w:rPr>
                <w:rFonts w:ascii="Times New Roman" w:eastAsia="Verdana" w:hAnsi="Times New Roman" w:cs="Times New Roman"/>
                <w:color w:val="000000"/>
                <w:sz w:val="18"/>
                <w:szCs w:val="14"/>
                <w:lang w:val="ro-RO"/>
              </w:rPr>
              <w:t>di</w:t>
            </w:r>
            <w:r w:rsidR="00321CD5" w:rsidRPr="009C5F11">
              <w:rPr>
                <w:rFonts w:ascii="Times New Roman" w:eastAsia="Verdana" w:hAnsi="Times New Roman" w:cs="Times New Roman"/>
                <w:color w:val="000000"/>
                <w:sz w:val="18"/>
                <w:szCs w:val="14"/>
                <w:lang w:val="ro-RO"/>
              </w:rPr>
              <w:t xml:space="preserve">n </w:t>
            </w:r>
            <w:r w:rsidR="00872DC2" w:rsidRPr="009C5F11">
              <w:rPr>
                <w:rFonts w:ascii="Times New Roman" w:eastAsia="Verdana" w:hAnsi="Times New Roman" w:cs="Times New Roman"/>
                <w:color w:val="000000"/>
                <w:sz w:val="18"/>
                <w:szCs w:val="14"/>
                <w:lang w:val="ro-RO"/>
              </w:rPr>
              <w:t>PNAEE</w:t>
            </w:r>
          </w:p>
          <w:p w14:paraId="1D097197"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2013-2015</w:t>
            </w:r>
          </w:p>
        </w:tc>
        <w:tc>
          <w:tcPr>
            <w:tcW w:w="935" w:type="pct"/>
            <w:shd w:val="clear" w:color="000000" w:fill="C5D9F1"/>
            <w:vAlign w:val="center"/>
            <w:hideMark/>
          </w:tcPr>
          <w:p w14:paraId="0E576ED2" w14:textId="77777777" w:rsidR="00780B2E" w:rsidRPr="009C5F11" w:rsidRDefault="00BA07DC"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Etichetarea produselor cu impact energetic şi crearea cadrului privind proiectarea ecologică</w:t>
            </w:r>
          </w:p>
        </w:tc>
        <w:tc>
          <w:tcPr>
            <w:tcW w:w="321" w:type="pct"/>
            <w:shd w:val="clear" w:color="000000" w:fill="C5D9F1"/>
            <w:noWrap/>
            <w:vAlign w:val="center"/>
            <w:hideMark/>
          </w:tcPr>
          <w:p w14:paraId="4B433446"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w:t>
            </w:r>
          </w:p>
        </w:tc>
        <w:tc>
          <w:tcPr>
            <w:tcW w:w="322" w:type="pct"/>
            <w:shd w:val="clear" w:color="000000" w:fill="C5D9F1"/>
            <w:vAlign w:val="center"/>
          </w:tcPr>
          <w:p w14:paraId="6C392DEE" w14:textId="77777777" w:rsidR="00780B2E" w:rsidRPr="009C5F11" w:rsidRDefault="00780B2E" w:rsidP="00192725">
            <w:pPr>
              <w:spacing w:after="0" w:line="240" w:lineRule="auto"/>
              <w:jc w:val="center"/>
              <w:rPr>
                <w:rFonts w:ascii="Times New Roman" w:eastAsia="Verdana" w:hAnsi="Times New Roman" w:cs="Times New Roman"/>
                <w:b/>
                <w:bCs/>
                <w:color w:val="000000"/>
                <w:sz w:val="18"/>
                <w:szCs w:val="14"/>
                <w:lang w:val="ro-RO"/>
              </w:rPr>
            </w:pPr>
            <w:r w:rsidRPr="009C5F11">
              <w:rPr>
                <w:rFonts w:ascii="Times New Roman" w:eastAsia="Verdana" w:hAnsi="Times New Roman" w:cs="Times New Roman"/>
                <w:b/>
                <w:bCs/>
                <w:color w:val="000000"/>
                <w:sz w:val="18"/>
                <w:szCs w:val="14"/>
                <w:lang w:val="ro-RO"/>
              </w:rPr>
              <w:t>37.8</w:t>
            </w:r>
          </w:p>
        </w:tc>
        <w:tc>
          <w:tcPr>
            <w:tcW w:w="2413" w:type="pct"/>
            <w:gridSpan w:val="2"/>
            <w:shd w:val="clear" w:color="000000" w:fill="C5D9F1"/>
          </w:tcPr>
          <w:p w14:paraId="68A3EEC2"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parţial</w:t>
            </w:r>
          </w:p>
          <w:p w14:paraId="740B6682" w14:textId="77777777" w:rsidR="00780B2E" w:rsidRPr="009C5F11" w:rsidRDefault="00780B2E" w:rsidP="00C807F1">
            <w:pPr>
              <w:spacing w:after="0" w:line="240" w:lineRule="auto"/>
              <w:jc w:val="right"/>
              <w:rPr>
                <w:rFonts w:ascii="Times New Roman" w:eastAsia="Verdana" w:hAnsi="Times New Roman" w:cs="Times New Roman"/>
                <w:b/>
                <w:color w:val="000000"/>
                <w:sz w:val="18"/>
                <w:szCs w:val="14"/>
                <w:lang w:val="ro-RO"/>
              </w:rPr>
            </w:pPr>
          </w:p>
          <w:p w14:paraId="746887DA" w14:textId="77777777" w:rsidR="00780B2E" w:rsidRPr="009C5F11" w:rsidRDefault="00055095"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Legea </w:t>
            </w:r>
            <w:r w:rsidR="008B1CAD" w:rsidRPr="009C5F11">
              <w:rPr>
                <w:rFonts w:ascii="Times New Roman" w:eastAsia="Verdana" w:hAnsi="Times New Roman" w:cs="Times New Roman"/>
                <w:color w:val="000000"/>
                <w:sz w:val="18"/>
                <w:szCs w:val="14"/>
                <w:lang w:val="ro-RO"/>
              </w:rPr>
              <w:t xml:space="preserve">privind etichetare produselor cu impact </w:t>
            </w:r>
            <w:r w:rsidR="00916F33" w:rsidRPr="009C5F11">
              <w:rPr>
                <w:rFonts w:ascii="Times New Roman" w:eastAsia="Verdana" w:hAnsi="Times New Roman" w:cs="Times New Roman"/>
                <w:color w:val="000000"/>
                <w:sz w:val="18"/>
                <w:szCs w:val="14"/>
                <w:lang w:val="ro-RO"/>
              </w:rPr>
              <w:t>energetic</w:t>
            </w:r>
            <w:r w:rsidR="00780B2E" w:rsidRPr="009C5F11">
              <w:rPr>
                <w:rFonts w:ascii="Times New Roman" w:eastAsia="Verdana" w:hAnsi="Times New Roman" w:cs="Times New Roman"/>
                <w:color w:val="000000"/>
                <w:sz w:val="18"/>
                <w:szCs w:val="14"/>
                <w:lang w:val="ro-RO"/>
              </w:rPr>
              <w:t xml:space="preserve"> (</w:t>
            </w:r>
            <w:r w:rsidR="008B1CAD" w:rsidRPr="009C5F11">
              <w:rPr>
                <w:rFonts w:ascii="Times New Roman" w:eastAsia="Verdana" w:hAnsi="Times New Roman" w:cs="Times New Roman"/>
                <w:color w:val="000000"/>
                <w:sz w:val="18"/>
                <w:szCs w:val="14"/>
                <w:lang w:val="ro-RO"/>
              </w:rPr>
              <w:t xml:space="preserve">nr. 44 din </w:t>
            </w:r>
            <w:r w:rsidR="00780B2E" w:rsidRPr="009C5F11">
              <w:rPr>
                <w:rFonts w:ascii="Times New Roman" w:eastAsia="Verdana" w:hAnsi="Times New Roman" w:cs="Times New Roman"/>
                <w:color w:val="000000"/>
                <w:sz w:val="18"/>
                <w:szCs w:val="14"/>
                <w:lang w:val="ro-RO"/>
              </w:rPr>
              <w:t>27.03.2014,</w:t>
            </w:r>
            <w:r w:rsidR="004279B9" w:rsidRPr="009C5F11">
              <w:rPr>
                <w:rFonts w:ascii="Times New Roman" w:eastAsia="Times New Roman" w:hAnsi="Times New Roman" w:cs="Times New Roman"/>
                <w:color w:val="000000"/>
                <w:sz w:val="18"/>
                <w:szCs w:val="14"/>
                <w:lang w:val="ro-RO"/>
              </w:rPr>
              <w:t xml:space="preserve"> data </w:t>
            </w:r>
            <w:r w:rsidR="00916F33" w:rsidRPr="009C5F11">
              <w:rPr>
                <w:rFonts w:ascii="Times New Roman" w:eastAsia="Times New Roman" w:hAnsi="Times New Roman" w:cs="Times New Roman"/>
                <w:color w:val="000000"/>
                <w:sz w:val="18"/>
                <w:szCs w:val="14"/>
                <w:lang w:val="ro-RO"/>
              </w:rPr>
              <w:t>intrării</w:t>
            </w:r>
            <w:r w:rsidR="004279B9" w:rsidRPr="009C5F11">
              <w:rPr>
                <w:rFonts w:ascii="Times New Roman" w:eastAsia="Times New Roman" w:hAnsi="Times New Roman" w:cs="Times New Roman"/>
                <w:color w:val="000000"/>
                <w:sz w:val="18"/>
                <w:szCs w:val="14"/>
                <w:lang w:val="ro-RO"/>
              </w:rPr>
              <w:t xml:space="preserve"> in vigoare</w:t>
            </w:r>
            <w:r w:rsidR="008B1CAD" w:rsidRPr="009C5F11">
              <w:rPr>
                <w:rFonts w:ascii="Times New Roman" w:eastAsia="Times New Roman" w:hAnsi="Times New Roman" w:cs="Times New Roman"/>
                <w:color w:val="000000"/>
                <w:sz w:val="18"/>
                <w:szCs w:val="14"/>
                <w:lang w:val="ro-RO"/>
              </w:rPr>
              <w:t>:</w:t>
            </w:r>
            <w:r w:rsidR="004279B9"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 xml:space="preserve">25.10.2014), </w:t>
            </w:r>
            <w:r w:rsidR="004279B9" w:rsidRPr="009C5F11">
              <w:rPr>
                <w:rFonts w:ascii="Times New Roman" w:eastAsia="Verdana" w:hAnsi="Times New Roman" w:cs="Times New Roman"/>
                <w:color w:val="000000"/>
                <w:sz w:val="18"/>
                <w:szCs w:val="14"/>
                <w:lang w:val="ro-RO"/>
              </w:rPr>
              <w:t>şi</w:t>
            </w:r>
          </w:p>
          <w:p w14:paraId="6930B57F" w14:textId="77777777" w:rsidR="00780B2E" w:rsidRPr="009C5F11" w:rsidRDefault="00055095"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Legea </w:t>
            </w:r>
            <w:r w:rsidR="004279B9" w:rsidRPr="009C5F11">
              <w:rPr>
                <w:rFonts w:ascii="Times New Roman" w:eastAsia="Times New Roman" w:hAnsi="Times New Roman" w:cs="Times New Roman"/>
                <w:bCs/>
                <w:color w:val="000000"/>
                <w:sz w:val="18"/>
                <w:szCs w:val="14"/>
                <w:lang w:val="ro-RO"/>
              </w:rPr>
              <w:t>privind cerinţele în materie de proiectare ecologică aplicabile produselor cu impact energetic</w:t>
            </w:r>
            <w:r w:rsidR="004279B9"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w:t>
            </w:r>
            <w:r w:rsidR="004279B9" w:rsidRPr="009C5F11">
              <w:rPr>
                <w:rFonts w:ascii="Times New Roman" w:eastAsia="Verdana" w:hAnsi="Times New Roman" w:cs="Times New Roman"/>
                <w:color w:val="000000"/>
                <w:sz w:val="18"/>
                <w:szCs w:val="14"/>
                <w:lang w:val="ro-RO"/>
              </w:rPr>
              <w:t xml:space="preserve">nr. 151 din </w:t>
            </w:r>
            <w:r w:rsidR="00780B2E" w:rsidRPr="009C5F11">
              <w:rPr>
                <w:rFonts w:ascii="Times New Roman" w:eastAsia="Verdana" w:hAnsi="Times New Roman" w:cs="Times New Roman"/>
                <w:color w:val="000000"/>
                <w:sz w:val="18"/>
                <w:szCs w:val="14"/>
                <w:lang w:val="ro-RO"/>
              </w:rPr>
              <w:t>17.07.2014</w:t>
            </w:r>
            <w:r w:rsidR="004279B9" w:rsidRPr="009C5F11">
              <w:rPr>
                <w:rFonts w:ascii="Times New Roman" w:eastAsia="Verdana" w:hAnsi="Times New Roman" w:cs="Times New Roman"/>
                <w:color w:val="000000"/>
                <w:sz w:val="18"/>
                <w:szCs w:val="14"/>
                <w:lang w:val="ro-RO"/>
              </w:rPr>
              <w:t>;</w:t>
            </w:r>
            <w:r w:rsidR="004279B9" w:rsidRPr="009C5F11">
              <w:rPr>
                <w:rFonts w:ascii="Times New Roman" w:eastAsia="Times New Roman" w:hAnsi="Times New Roman" w:cs="Times New Roman"/>
                <w:color w:val="000000"/>
                <w:sz w:val="18"/>
                <w:szCs w:val="14"/>
                <w:lang w:val="ro-RO"/>
              </w:rPr>
              <w:t xml:space="preserve"> data </w:t>
            </w:r>
            <w:r w:rsidR="00916F33" w:rsidRPr="009C5F11">
              <w:rPr>
                <w:rFonts w:ascii="Times New Roman" w:eastAsia="Times New Roman" w:hAnsi="Times New Roman" w:cs="Times New Roman"/>
                <w:color w:val="000000"/>
                <w:sz w:val="18"/>
                <w:szCs w:val="14"/>
                <w:lang w:val="ro-RO"/>
              </w:rPr>
              <w:t>intrării</w:t>
            </w:r>
            <w:r w:rsidR="004279B9" w:rsidRPr="009C5F11">
              <w:rPr>
                <w:rFonts w:ascii="Times New Roman" w:eastAsia="Times New Roman" w:hAnsi="Times New Roman" w:cs="Times New Roman"/>
                <w:color w:val="000000"/>
                <w:sz w:val="18"/>
                <w:szCs w:val="14"/>
                <w:lang w:val="ro-RO"/>
              </w:rPr>
              <w:t xml:space="preserve"> in vigoare: 10.04.2015</w:t>
            </w:r>
            <w:r w:rsidR="00780B2E" w:rsidRPr="009C5F11">
              <w:rPr>
                <w:rFonts w:ascii="Times New Roman" w:eastAsia="Verdana" w:hAnsi="Times New Roman" w:cs="Times New Roman"/>
                <w:color w:val="000000"/>
                <w:sz w:val="18"/>
                <w:szCs w:val="14"/>
                <w:lang w:val="ro-RO"/>
              </w:rPr>
              <w:t>).</w:t>
            </w:r>
          </w:p>
          <w:p w14:paraId="0CAFBA5B"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p w14:paraId="4C8CFA24" w14:textId="77777777" w:rsidR="00780B2E" w:rsidRPr="009C5F11" w:rsidRDefault="000A4CC7"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Legea</w:t>
            </w:r>
            <w:r w:rsidR="00780B2E" w:rsidRPr="009C5F11">
              <w:rPr>
                <w:rFonts w:ascii="Times New Roman" w:eastAsia="Verdana" w:hAnsi="Times New Roman" w:cs="Times New Roman"/>
                <w:color w:val="000000"/>
                <w:sz w:val="18"/>
                <w:szCs w:val="14"/>
                <w:lang w:val="ro-RO"/>
              </w:rPr>
              <w:t xml:space="preserve"> </w:t>
            </w:r>
            <w:r w:rsidR="008B1CAD" w:rsidRPr="009C5F11">
              <w:rPr>
                <w:rFonts w:ascii="Times New Roman" w:eastAsia="Verdana" w:hAnsi="Times New Roman" w:cs="Times New Roman"/>
                <w:color w:val="000000"/>
                <w:sz w:val="18"/>
                <w:szCs w:val="14"/>
                <w:lang w:val="ro-RO"/>
              </w:rPr>
              <w:t xml:space="preserve">privind etichetare produselor cu impact </w:t>
            </w:r>
            <w:r w:rsidR="00916F33" w:rsidRPr="009C5F11">
              <w:rPr>
                <w:rFonts w:ascii="Times New Roman" w:eastAsia="Verdana" w:hAnsi="Times New Roman" w:cs="Times New Roman"/>
                <w:color w:val="000000"/>
                <w:sz w:val="18"/>
                <w:szCs w:val="14"/>
                <w:lang w:val="ro-RO"/>
              </w:rPr>
              <w:t>energetic</w:t>
            </w:r>
            <w:r w:rsidR="008B1CAD" w:rsidRPr="009C5F11">
              <w:rPr>
                <w:rFonts w:ascii="Times New Roman" w:eastAsia="Verdana" w:hAnsi="Times New Roman" w:cs="Times New Roman"/>
                <w:color w:val="000000"/>
                <w:sz w:val="18"/>
                <w:szCs w:val="14"/>
                <w:lang w:val="ro-RO"/>
              </w:rPr>
              <w:t xml:space="preserve"> transpune Directiva</w:t>
            </w:r>
            <w:r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2010/30</w:t>
            </w:r>
            <w:r w:rsidR="00730BB5" w:rsidRPr="009C5F11">
              <w:rPr>
                <w:rFonts w:ascii="Times New Roman" w:eastAsia="Verdana" w:hAnsi="Times New Roman" w:cs="Times New Roman"/>
                <w:color w:val="000000"/>
                <w:sz w:val="18"/>
                <w:szCs w:val="14"/>
                <w:lang w:val="ro-RO"/>
              </w:rPr>
              <w:t>/UE</w:t>
            </w:r>
            <w:r w:rsidR="00780B2E" w:rsidRPr="009C5F11">
              <w:rPr>
                <w:rFonts w:ascii="Times New Roman" w:eastAsia="Verdana" w:hAnsi="Times New Roman" w:cs="Times New Roman"/>
                <w:color w:val="000000"/>
                <w:sz w:val="18"/>
                <w:szCs w:val="14"/>
                <w:lang w:val="ro-RO"/>
              </w:rPr>
              <w:t xml:space="preserve"> </w:t>
            </w:r>
            <w:r w:rsidR="008B1CAD"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19.05.2010</w:t>
            </w:r>
            <w:r w:rsidR="008B1CAD" w:rsidRPr="009C5F11">
              <w:rPr>
                <w:rFonts w:ascii="Times New Roman" w:eastAsia="Times New Roman" w:hAnsi="Times New Roman" w:cs="Times New Roman"/>
                <w:bCs/>
                <w:color w:val="000000"/>
                <w:sz w:val="18"/>
                <w:szCs w:val="14"/>
                <w:lang w:val="ro-RO"/>
              </w:rPr>
              <w:t xml:space="preserve"> privind indicarea, prin etichetare și informații standard despre produs, a consumului de energie și de alte resurse al produselor cu impact energetic</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Legea</w:t>
            </w:r>
            <w:r w:rsidR="00780B2E" w:rsidRPr="009C5F11">
              <w:rPr>
                <w:rFonts w:ascii="Times New Roman" w:eastAsia="Verdana" w:hAnsi="Times New Roman" w:cs="Times New Roman"/>
                <w:color w:val="000000"/>
                <w:sz w:val="18"/>
                <w:szCs w:val="14"/>
                <w:lang w:val="ro-RO"/>
              </w:rPr>
              <w:t xml:space="preserve"> define</w:t>
            </w:r>
            <w:r w:rsidR="008B1CAD" w:rsidRPr="009C5F11">
              <w:rPr>
                <w:rFonts w:ascii="Times New Roman" w:eastAsia="Verdana" w:hAnsi="Times New Roman" w:cs="Times New Roman"/>
                <w:color w:val="000000"/>
                <w:sz w:val="18"/>
                <w:szCs w:val="14"/>
                <w:lang w:val="ro-RO"/>
              </w:rPr>
              <w:t xml:space="preserve">şte </w:t>
            </w:r>
            <w:r w:rsidR="004000CC" w:rsidRPr="009C5F11">
              <w:rPr>
                <w:rFonts w:ascii="Times New Roman" w:eastAsia="Verdana" w:hAnsi="Times New Roman" w:cs="Times New Roman"/>
                <w:color w:val="000000"/>
                <w:sz w:val="18"/>
                <w:szCs w:val="14"/>
                <w:lang w:val="ro-RO"/>
              </w:rPr>
              <w:t>dispoziţii generale pentru clasa, fişa şi eticheta de eficienţă energetică, cerinţele privind informaţiile cu impact energetic</w:t>
            </w:r>
            <w:r w:rsidR="00780B2E" w:rsidRPr="009C5F11">
              <w:rPr>
                <w:rFonts w:ascii="Times New Roman" w:eastAsia="Verdana" w:hAnsi="Times New Roman" w:cs="Times New Roman"/>
                <w:color w:val="000000"/>
                <w:sz w:val="18"/>
                <w:szCs w:val="14"/>
                <w:lang w:val="ro-RO"/>
              </w:rPr>
              <w:t xml:space="preserve">, </w:t>
            </w:r>
            <w:r w:rsidR="004000CC" w:rsidRPr="009C5F11">
              <w:rPr>
                <w:rFonts w:ascii="Times New Roman" w:eastAsia="Verdana" w:hAnsi="Times New Roman" w:cs="Times New Roman"/>
                <w:color w:val="000000"/>
                <w:sz w:val="18"/>
                <w:szCs w:val="14"/>
                <w:lang w:val="ro-RO"/>
              </w:rPr>
              <w:t>responsabilităţile</w:t>
            </w:r>
            <w:r w:rsidR="00780B2E" w:rsidRPr="009C5F11">
              <w:rPr>
                <w:rFonts w:ascii="Times New Roman" w:eastAsia="Verdana" w:hAnsi="Times New Roman" w:cs="Times New Roman"/>
                <w:color w:val="000000"/>
                <w:sz w:val="18"/>
                <w:szCs w:val="14"/>
                <w:lang w:val="ro-RO"/>
              </w:rPr>
              <w:t xml:space="preserve"> </w:t>
            </w:r>
            <w:r w:rsidR="004000CC" w:rsidRPr="009C5F11">
              <w:rPr>
                <w:rFonts w:ascii="Times New Roman" w:eastAsia="Verdana" w:hAnsi="Times New Roman" w:cs="Times New Roman"/>
                <w:color w:val="000000"/>
                <w:sz w:val="18"/>
                <w:szCs w:val="14"/>
                <w:lang w:val="ro-RO"/>
              </w:rPr>
              <w:t>operatorilor</w:t>
            </w:r>
            <w:r w:rsidR="00321CD5" w:rsidRPr="009C5F11">
              <w:rPr>
                <w:rFonts w:ascii="Times New Roman" w:eastAsia="Verdana" w:hAnsi="Times New Roman" w:cs="Times New Roman"/>
                <w:color w:val="000000"/>
                <w:sz w:val="18"/>
                <w:szCs w:val="14"/>
                <w:lang w:val="ro-RO"/>
              </w:rPr>
              <w:t xml:space="preserve"> şi </w:t>
            </w:r>
            <w:r w:rsidR="004000CC" w:rsidRPr="009C5F11">
              <w:rPr>
                <w:rFonts w:ascii="Times New Roman" w:eastAsia="Verdana" w:hAnsi="Times New Roman" w:cs="Times New Roman"/>
                <w:color w:val="000000"/>
                <w:sz w:val="18"/>
                <w:szCs w:val="14"/>
                <w:lang w:val="ro-RO"/>
              </w:rPr>
              <w:t>alte prevederi</w:t>
            </w:r>
            <w:r w:rsidR="00780B2E" w:rsidRPr="009C5F11">
              <w:rPr>
                <w:rFonts w:ascii="Times New Roman" w:eastAsia="Verdana" w:hAnsi="Times New Roman" w:cs="Times New Roman"/>
                <w:color w:val="000000"/>
                <w:sz w:val="18"/>
                <w:szCs w:val="14"/>
                <w:lang w:val="ro-RO"/>
              </w:rPr>
              <w:t xml:space="preserve">. </w:t>
            </w:r>
            <w:r w:rsidR="004000CC" w:rsidRPr="009C5F11">
              <w:rPr>
                <w:rFonts w:ascii="Times New Roman" w:eastAsia="Verdana" w:hAnsi="Times New Roman" w:cs="Times New Roman"/>
                <w:color w:val="000000"/>
                <w:sz w:val="18"/>
                <w:szCs w:val="14"/>
                <w:lang w:val="ro-RO"/>
              </w:rPr>
              <w:t>De asemenea, Legea</w:t>
            </w:r>
            <w:r w:rsidR="00780B2E" w:rsidRPr="009C5F11">
              <w:rPr>
                <w:rFonts w:ascii="Times New Roman" w:eastAsia="Verdana" w:hAnsi="Times New Roman" w:cs="Times New Roman"/>
                <w:color w:val="000000"/>
                <w:sz w:val="18"/>
                <w:szCs w:val="14"/>
                <w:lang w:val="ro-RO"/>
              </w:rPr>
              <w:t xml:space="preserve"> </w:t>
            </w:r>
            <w:r w:rsidR="004000CC" w:rsidRPr="009C5F11">
              <w:rPr>
                <w:rFonts w:ascii="Times New Roman" w:eastAsia="Verdana" w:hAnsi="Times New Roman" w:cs="Times New Roman"/>
                <w:color w:val="000000"/>
                <w:sz w:val="18"/>
                <w:szCs w:val="14"/>
                <w:lang w:val="ro-RO"/>
              </w:rPr>
              <w:t>defineşte</w:t>
            </w:r>
            <w:r w:rsidR="00780B2E" w:rsidRPr="009C5F11">
              <w:rPr>
                <w:rFonts w:ascii="Times New Roman" w:eastAsia="Verdana" w:hAnsi="Times New Roman" w:cs="Times New Roman"/>
                <w:color w:val="000000"/>
                <w:sz w:val="18"/>
                <w:szCs w:val="14"/>
                <w:lang w:val="ro-RO"/>
              </w:rPr>
              <w:t xml:space="preserve"> </w:t>
            </w:r>
            <w:r w:rsidR="004000CC" w:rsidRPr="009C5F11">
              <w:rPr>
                <w:rFonts w:ascii="Times New Roman" w:eastAsia="Verdana" w:hAnsi="Times New Roman" w:cs="Times New Roman"/>
                <w:color w:val="000000"/>
                <w:sz w:val="18"/>
                <w:szCs w:val="14"/>
                <w:lang w:val="ro-RO"/>
              </w:rPr>
              <w:t>responsabilităţile</w:t>
            </w:r>
            <w:r w:rsidR="00780B2E" w:rsidRPr="009C5F11">
              <w:rPr>
                <w:rFonts w:ascii="Times New Roman" w:eastAsia="Verdana" w:hAnsi="Times New Roman" w:cs="Times New Roman"/>
                <w:color w:val="000000"/>
                <w:sz w:val="18"/>
                <w:szCs w:val="14"/>
                <w:lang w:val="ro-RO"/>
              </w:rPr>
              <w:t xml:space="preserve"> </w:t>
            </w:r>
            <w:r w:rsidR="004000CC" w:rsidRPr="009C5F11">
              <w:rPr>
                <w:rFonts w:ascii="Times New Roman" w:eastAsia="Verdana" w:hAnsi="Times New Roman" w:cs="Times New Roman"/>
                <w:color w:val="000000"/>
                <w:sz w:val="18"/>
                <w:szCs w:val="14"/>
                <w:lang w:val="ro-RO"/>
              </w:rPr>
              <w:t>Ministerului Economiei</w:t>
            </w:r>
            <w:r w:rsidR="00780B2E" w:rsidRPr="009C5F11">
              <w:rPr>
                <w:rFonts w:ascii="Times New Roman" w:eastAsia="Verdana" w:hAnsi="Times New Roman" w:cs="Times New Roman"/>
                <w:color w:val="000000"/>
                <w:sz w:val="18"/>
                <w:szCs w:val="14"/>
                <w:lang w:val="ro-RO"/>
              </w:rPr>
              <w:t xml:space="preserve">, </w:t>
            </w:r>
            <w:r w:rsidR="00052FA3" w:rsidRPr="009C5F11">
              <w:rPr>
                <w:rFonts w:ascii="Times New Roman" w:eastAsia="Verdana" w:hAnsi="Times New Roman" w:cs="Times New Roman"/>
                <w:color w:val="000000"/>
                <w:sz w:val="18"/>
                <w:szCs w:val="14"/>
                <w:lang w:val="ro-RO"/>
              </w:rPr>
              <w:t xml:space="preserve">ale </w:t>
            </w:r>
            <w:r w:rsidR="00780B2E" w:rsidRPr="009C5F11">
              <w:rPr>
                <w:rFonts w:ascii="Times New Roman" w:eastAsia="Verdana" w:hAnsi="Times New Roman" w:cs="Times New Roman"/>
                <w:color w:val="000000"/>
                <w:sz w:val="18"/>
                <w:szCs w:val="14"/>
                <w:lang w:val="ro-RO"/>
              </w:rPr>
              <w:t>AEE</w:t>
            </w:r>
            <w:r w:rsidR="00321CD5" w:rsidRPr="009C5F11">
              <w:rPr>
                <w:rFonts w:ascii="Times New Roman" w:eastAsia="Verdana" w:hAnsi="Times New Roman" w:cs="Times New Roman"/>
                <w:color w:val="000000"/>
                <w:sz w:val="18"/>
                <w:szCs w:val="14"/>
                <w:lang w:val="ro-RO"/>
              </w:rPr>
              <w:t xml:space="preserve"> şi </w:t>
            </w:r>
            <w:r w:rsidR="004000CC" w:rsidRPr="009C5F11">
              <w:rPr>
                <w:rFonts w:ascii="Times New Roman" w:eastAsia="Verdana" w:hAnsi="Times New Roman" w:cs="Times New Roman"/>
                <w:color w:val="000000"/>
                <w:sz w:val="18"/>
                <w:szCs w:val="14"/>
                <w:lang w:val="ro-RO"/>
              </w:rPr>
              <w:t>ale Agenţiei pentru Protecţia Consumatorului</w:t>
            </w:r>
            <w:r w:rsidR="00780B2E" w:rsidRPr="009C5F11">
              <w:rPr>
                <w:rFonts w:ascii="Times New Roman" w:eastAsia="Verdana" w:hAnsi="Times New Roman" w:cs="Times New Roman"/>
                <w:color w:val="000000"/>
                <w:sz w:val="18"/>
                <w:szCs w:val="14"/>
                <w:lang w:val="ro-RO"/>
              </w:rPr>
              <w:t xml:space="preserve">. </w:t>
            </w:r>
            <w:r w:rsidR="00F10EAE" w:rsidRPr="009C5F11">
              <w:rPr>
                <w:rFonts w:ascii="Times New Roman" w:eastAsia="Verdana" w:hAnsi="Times New Roman" w:cs="Times New Roman"/>
                <w:color w:val="000000"/>
                <w:sz w:val="18"/>
                <w:szCs w:val="14"/>
                <w:lang w:val="ro-RO"/>
              </w:rPr>
              <w:t xml:space="preserve">Controlul asupra implementării Legii este </w:t>
            </w:r>
            <w:r w:rsidR="00052FA3" w:rsidRPr="009C5F11">
              <w:rPr>
                <w:rFonts w:ascii="Times New Roman" w:eastAsia="Verdana" w:hAnsi="Times New Roman" w:cs="Times New Roman"/>
                <w:color w:val="000000"/>
                <w:sz w:val="18"/>
                <w:szCs w:val="14"/>
                <w:lang w:val="ro-RO"/>
              </w:rPr>
              <w:t>pus în sarcina</w:t>
            </w:r>
            <w:r w:rsidR="004000CC" w:rsidRPr="009C5F11">
              <w:rPr>
                <w:rFonts w:ascii="Times New Roman" w:eastAsia="Verdana" w:hAnsi="Times New Roman" w:cs="Times New Roman"/>
                <w:color w:val="000000"/>
                <w:sz w:val="18"/>
                <w:szCs w:val="14"/>
                <w:lang w:val="ro-RO"/>
              </w:rPr>
              <w:t xml:space="preserve"> Agenţiei pentru Protecţia Consumatorului</w:t>
            </w:r>
            <w:r w:rsidR="00780B2E" w:rsidRPr="009C5F11">
              <w:rPr>
                <w:rFonts w:ascii="Times New Roman" w:eastAsia="Verdana" w:hAnsi="Times New Roman" w:cs="Times New Roman"/>
                <w:color w:val="000000"/>
                <w:sz w:val="18"/>
                <w:szCs w:val="14"/>
                <w:lang w:val="ro-RO"/>
              </w:rPr>
              <w:t>.</w:t>
            </w:r>
            <w:r w:rsidR="00055095" w:rsidRPr="009C5F11">
              <w:rPr>
                <w:rFonts w:ascii="Times New Roman" w:eastAsia="Verdana" w:hAnsi="Times New Roman" w:cs="Times New Roman"/>
                <w:color w:val="000000"/>
                <w:sz w:val="18"/>
                <w:szCs w:val="14"/>
                <w:lang w:val="ro-RO"/>
              </w:rPr>
              <w:t xml:space="preserve"> </w:t>
            </w:r>
          </w:p>
          <w:p w14:paraId="5765230C" w14:textId="77777777" w:rsidR="00780B2E" w:rsidRPr="009C5F11" w:rsidRDefault="00F10EA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Guvernul RM a adoptat 5 regulamente cu privire la cerinţele pentru </w:t>
            </w:r>
            <w:r w:rsidR="00AB1710" w:rsidRPr="009C5F11">
              <w:rPr>
                <w:rFonts w:ascii="Times New Roman" w:eastAsia="Verdana" w:hAnsi="Times New Roman" w:cs="Times New Roman"/>
                <w:color w:val="000000"/>
                <w:sz w:val="18"/>
                <w:szCs w:val="14"/>
                <w:lang w:val="ro-RO"/>
              </w:rPr>
              <w:t>etichetarea energetică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 produselor cu impact energetic</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(Hotărârea Guvernului</w:t>
            </w:r>
            <w:r w:rsidR="00780B2E" w:rsidRPr="009C5F11">
              <w:rPr>
                <w:rFonts w:ascii="Times New Roman" w:eastAsia="Verdana" w:hAnsi="Times New Roman" w:cs="Times New Roman"/>
                <w:color w:val="000000"/>
                <w:sz w:val="18"/>
                <w:szCs w:val="14"/>
                <w:lang w:val="ro-RO"/>
              </w:rPr>
              <w:t xml:space="preserve"> nr. 1003</w:t>
            </w:r>
            <w:r w:rsidRPr="009C5F11">
              <w:rPr>
                <w:rFonts w:ascii="Times New Roman" w:eastAsia="Verdana" w:hAnsi="Times New Roman" w:cs="Times New Roman"/>
                <w:color w:val="000000"/>
                <w:sz w:val="18"/>
                <w:szCs w:val="14"/>
                <w:lang w:val="ro-RO"/>
              </w:rPr>
              <w:t xml:space="preserve"> din 10.12.2014</w:t>
            </w:r>
            <w:r w:rsidR="00780B2E" w:rsidRPr="009C5F11">
              <w:rPr>
                <w:rFonts w:ascii="Times New Roman" w:eastAsia="Verdana" w:hAnsi="Times New Roman" w:cs="Times New Roman"/>
                <w:color w:val="000000"/>
                <w:sz w:val="18"/>
                <w:szCs w:val="14"/>
                <w:lang w:val="ro-RO"/>
              </w:rPr>
              <w:t>):</w:t>
            </w:r>
          </w:p>
          <w:p w14:paraId="5DFE79BF" w14:textId="77777777" w:rsidR="00780B2E" w:rsidRPr="009C5F11" w:rsidRDefault="00DA2514"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Style w:val="FontStyle14"/>
                <w:sz w:val="18"/>
                <w:szCs w:val="14"/>
                <w:lang w:val="ro-RO" w:eastAsia="ro-RO"/>
              </w:rPr>
              <w:t>Regulamentul cu privire la cerinţele de etichetare energetică a uscătoarelor de rufe de uz casnic cu tambur</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transpune Regulamentul delegat (UE) </w:t>
            </w:r>
            <w:r w:rsidR="00EE432D" w:rsidRPr="009C5F11">
              <w:rPr>
                <w:rFonts w:ascii="Times New Roman" w:eastAsia="Verdana" w:hAnsi="Times New Roman" w:cs="Times New Roman"/>
                <w:color w:val="000000"/>
                <w:sz w:val="18"/>
                <w:szCs w:val="14"/>
                <w:lang w:val="ro-RO"/>
              </w:rPr>
              <w:t xml:space="preserve">nr. 392/2012 </w:t>
            </w:r>
            <w:r w:rsidRPr="009C5F11">
              <w:rPr>
                <w:rFonts w:ascii="Times New Roman" w:eastAsia="Verdana" w:hAnsi="Times New Roman" w:cs="Times New Roman"/>
                <w:color w:val="000000"/>
                <w:sz w:val="18"/>
                <w:szCs w:val="14"/>
                <w:lang w:val="ro-RO"/>
              </w:rPr>
              <w:lastRenderedPageBreak/>
              <w:t>al Comisiei</w:t>
            </w:r>
            <w:r w:rsidR="00780B2E" w:rsidRPr="009C5F11">
              <w:rPr>
                <w:rFonts w:ascii="Times New Roman" w:eastAsia="Verdana" w:hAnsi="Times New Roman" w:cs="Times New Roman"/>
                <w:color w:val="000000"/>
                <w:sz w:val="18"/>
                <w:szCs w:val="14"/>
                <w:lang w:val="ro-RO"/>
              </w:rPr>
              <w:t xml:space="preserve"> </w:t>
            </w:r>
            <w:r w:rsidR="00EE432D"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01.03.2012 </w:t>
            </w:r>
            <w:r w:rsidR="001B3F1B" w:rsidRPr="009C5F11">
              <w:rPr>
                <w:rFonts w:ascii="Times New Roman" w:eastAsia="Verdana" w:hAnsi="Times New Roman" w:cs="Times New Roman"/>
                <w:color w:val="000000"/>
                <w:sz w:val="18"/>
                <w:szCs w:val="14"/>
                <w:lang w:val="ro-RO"/>
              </w:rPr>
              <w:t>de completare a Directivei</w:t>
            </w:r>
            <w:r w:rsidR="000A4CC7"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2010/30</w:t>
            </w:r>
            <w:r w:rsidR="00730BB5" w:rsidRPr="009C5F11">
              <w:rPr>
                <w:rFonts w:ascii="Times New Roman" w:eastAsia="Verdana" w:hAnsi="Times New Roman" w:cs="Times New Roman"/>
                <w:color w:val="000000"/>
                <w:sz w:val="18"/>
                <w:szCs w:val="14"/>
                <w:lang w:val="ro-RO"/>
              </w:rPr>
              <w:t>/UE</w:t>
            </w:r>
            <w:r w:rsidR="00780B2E" w:rsidRPr="009C5F11">
              <w:rPr>
                <w:rFonts w:ascii="Times New Roman" w:eastAsia="Verdana" w:hAnsi="Times New Roman" w:cs="Times New Roman"/>
                <w:color w:val="000000"/>
                <w:sz w:val="18"/>
                <w:szCs w:val="14"/>
                <w:lang w:val="ro-RO"/>
              </w:rPr>
              <w:t xml:space="preserve"> </w:t>
            </w:r>
            <w:r w:rsidR="001B3F1B" w:rsidRPr="009C5F11">
              <w:rPr>
                <w:rFonts w:ascii="Times New Roman" w:eastAsia="Verdana" w:hAnsi="Times New Roman" w:cs="Times New Roman"/>
                <w:color w:val="000000"/>
                <w:sz w:val="18"/>
                <w:szCs w:val="14"/>
                <w:lang w:val="ro-RO"/>
              </w:rPr>
              <w:t>cu privire la</w:t>
            </w:r>
            <w:r w:rsidR="00780B2E"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etichetarea energetică</w:t>
            </w:r>
            <w:r w:rsidR="00780B2E" w:rsidRPr="009C5F11">
              <w:rPr>
                <w:rFonts w:ascii="Times New Roman" w:eastAsia="Verdana" w:hAnsi="Times New Roman" w:cs="Times New Roman"/>
                <w:color w:val="000000"/>
                <w:sz w:val="18"/>
                <w:szCs w:val="14"/>
                <w:lang w:val="ro-RO"/>
              </w:rPr>
              <w:t xml:space="preserve"> </w:t>
            </w:r>
            <w:r w:rsidR="00D55D28" w:rsidRPr="009C5F11">
              <w:rPr>
                <w:rStyle w:val="FontStyle14"/>
                <w:sz w:val="18"/>
                <w:szCs w:val="14"/>
                <w:lang w:val="ro-RO" w:eastAsia="ro-RO"/>
              </w:rPr>
              <w:t>a uscătoarelor de rufe de uz casnic cu tambur</w:t>
            </w:r>
            <w:r w:rsidR="00780B2E" w:rsidRPr="009C5F11">
              <w:rPr>
                <w:rFonts w:ascii="Times New Roman" w:eastAsia="Verdana" w:hAnsi="Times New Roman" w:cs="Times New Roman"/>
                <w:color w:val="000000"/>
                <w:sz w:val="18"/>
                <w:szCs w:val="14"/>
                <w:lang w:val="ro-RO"/>
              </w:rPr>
              <w:t>;</w:t>
            </w:r>
          </w:p>
          <w:p w14:paraId="06916DEE" w14:textId="77777777" w:rsidR="00780B2E" w:rsidRPr="009C5F11" w:rsidRDefault="00DA2514"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Style w:val="FontStyle14"/>
                <w:sz w:val="18"/>
                <w:szCs w:val="14"/>
                <w:lang w:val="ro-RO" w:eastAsia="ro-RO"/>
              </w:rPr>
              <w:t>Regulamentul cu privire la cerinţele de etichetare energetică a aparatelor de climatizare</w:t>
            </w:r>
            <w:r w:rsidR="00780B2E" w:rsidRPr="009C5F11">
              <w:rPr>
                <w:rFonts w:ascii="Times New Roman" w:eastAsia="Verdana" w:hAnsi="Times New Roman" w:cs="Times New Roman"/>
                <w:color w:val="000000"/>
                <w:sz w:val="18"/>
                <w:szCs w:val="14"/>
                <w:lang w:val="ro-RO"/>
              </w:rPr>
              <w:t xml:space="preserve">: </w:t>
            </w:r>
            <w:r w:rsidR="00EE432D" w:rsidRPr="009C5F11">
              <w:rPr>
                <w:rFonts w:ascii="Times New Roman" w:eastAsia="Verdana" w:hAnsi="Times New Roman" w:cs="Times New Roman"/>
                <w:color w:val="000000"/>
                <w:sz w:val="18"/>
                <w:szCs w:val="14"/>
                <w:lang w:val="ro-RO"/>
              </w:rPr>
              <w:t xml:space="preserve">transpune </w:t>
            </w:r>
            <w:r w:rsidRPr="009C5F11">
              <w:rPr>
                <w:rFonts w:ascii="Times New Roman" w:eastAsia="Verdana" w:hAnsi="Times New Roman" w:cs="Times New Roman"/>
                <w:color w:val="000000"/>
                <w:sz w:val="18"/>
                <w:szCs w:val="14"/>
                <w:lang w:val="ro-RO"/>
              </w:rPr>
              <w:t xml:space="preserve">Regulamentul delegat (UE) </w:t>
            </w:r>
            <w:r w:rsidR="001B3F1B" w:rsidRPr="009C5F11">
              <w:rPr>
                <w:rFonts w:ascii="Times New Roman" w:eastAsia="Verdana" w:hAnsi="Times New Roman" w:cs="Times New Roman"/>
                <w:color w:val="000000"/>
                <w:sz w:val="18"/>
                <w:szCs w:val="14"/>
                <w:lang w:val="ro-RO"/>
              </w:rPr>
              <w:t xml:space="preserve">nr. 626/2011 </w:t>
            </w:r>
            <w:r w:rsidRPr="009C5F11">
              <w:rPr>
                <w:rFonts w:ascii="Times New Roman" w:eastAsia="Verdana" w:hAnsi="Times New Roman" w:cs="Times New Roman"/>
                <w:color w:val="000000"/>
                <w:sz w:val="18"/>
                <w:szCs w:val="14"/>
                <w:lang w:val="ro-RO"/>
              </w:rPr>
              <w:t>al Comisiei</w:t>
            </w:r>
            <w:r w:rsidR="00780B2E" w:rsidRPr="009C5F11">
              <w:rPr>
                <w:rFonts w:ascii="Times New Roman" w:eastAsia="Verdana" w:hAnsi="Times New Roman" w:cs="Times New Roman"/>
                <w:color w:val="000000"/>
                <w:sz w:val="18"/>
                <w:szCs w:val="14"/>
                <w:lang w:val="ro-RO"/>
              </w:rPr>
              <w:t xml:space="preserve"> </w:t>
            </w:r>
            <w:r w:rsidR="00055095"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04.05.2011 </w:t>
            </w:r>
            <w:r w:rsidR="001B3F1B" w:rsidRPr="009C5F11">
              <w:rPr>
                <w:rFonts w:ascii="Times New Roman" w:eastAsia="Verdana" w:hAnsi="Times New Roman" w:cs="Times New Roman"/>
                <w:color w:val="000000"/>
                <w:sz w:val="18"/>
                <w:szCs w:val="14"/>
                <w:lang w:val="ro-RO"/>
              </w:rPr>
              <w:t>de completare a Directivei</w:t>
            </w:r>
            <w:r w:rsidR="000A4CC7"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2010/30</w:t>
            </w:r>
            <w:r w:rsidR="00730BB5" w:rsidRPr="009C5F11">
              <w:rPr>
                <w:rFonts w:ascii="Times New Roman" w:eastAsia="Verdana" w:hAnsi="Times New Roman" w:cs="Times New Roman"/>
                <w:color w:val="000000"/>
                <w:sz w:val="18"/>
                <w:szCs w:val="14"/>
                <w:lang w:val="ro-RO"/>
              </w:rPr>
              <w:t>/UE</w:t>
            </w:r>
            <w:r w:rsidR="00780B2E" w:rsidRPr="009C5F11">
              <w:rPr>
                <w:rFonts w:ascii="Times New Roman" w:eastAsia="Verdana" w:hAnsi="Times New Roman" w:cs="Times New Roman"/>
                <w:color w:val="000000"/>
                <w:sz w:val="18"/>
                <w:szCs w:val="14"/>
                <w:lang w:val="ro-RO"/>
              </w:rPr>
              <w:t xml:space="preserve"> </w:t>
            </w:r>
            <w:r w:rsidR="001B3F1B" w:rsidRPr="009C5F11">
              <w:rPr>
                <w:rFonts w:ascii="Times New Roman" w:eastAsia="Verdana" w:hAnsi="Times New Roman" w:cs="Times New Roman"/>
                <w:color w:val="000000"/>
                <w:sz w:val="18"/>
                <w:szCs w:val="14"/>
                <w:lang w:val="ro-RO"/>
              </w:rPr>
              <w:t>cu privire la</w:t>
            </w:r>
            <w:r w:rsidR="00780B2E"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etichetarea energetică</w:t>
            </w:r>
            <w:r w:rsidR="00D55D28" w:rsidRPr="009C5F11">
              <w:rPr>
                <w:rStyle w:val="FontStyle14"/>
                <w:sz w:val="18"/>
                <w:szCs w:val="14"/>
                <w:lang w:val="ro-RO" w:eastAsia="ro-RO"/>
              </w:rPr>
              <w:t xml:space="preserve"> a aparatelor de climatizare</w:t>
            </w:r>
            <w:r w:rsidR="00780B2E" w:rsidRPr="009C5F11">
              <w:rPr>
                <w:rFonts w:ascii="Times New Roman" w:eastAsia="Verdana" w:hAnsi="Times New Roman" w:cs="Times New Roman"/>
                <w:color w:val="000000"/>
                <w:sz w:val="18"/>
                <w:szCs w:val="14"/>
                <w:lang w:val="ro-RO"/>
              </w:rPr>
              <w:t>;</w:t>
            </w:r>
          </w:p>
          <w:p w14:paraId="1432F943" w14:textId="77777777" w:rsidR="00780B2E" w:rsidRPr="009C5F11" w:rsidRDefault="00DA2514"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Style w:val="FontStyle14"/>
                <w:sz w:val="18"/>
                <w:szCs w:val="14"/>
                <w:lang w:val="ro-RO" w:eastAsia="ro-RO"/>
              </w:rPr>
              <w:t>Regulamentul cu privire la cerinţele de etichetare energetică a cuptoarelor şi hotelor de bucătărie de uz casnic</w:t>
            </w:r>
            <w:r w:rsidR="00780B2E" w:rsidRPr="009C5F11">
              <w:rPr>
                <w:rFonts w:ascii="Times New Roman" w:eastAsia="Verdana" w:hAnsi="Times New Roman" w:cs="Times New Roman"/>
                <w:color w:val="000000"/>
                <w:sz w:val="18"/>
                <w:szCs w:val="14"/>
                <w:lang w:val="ro-RO"/>
              </w:rPr>
              <w:t>:</w:t>
            </w:r>
            <w:r w:rsidR="00EE432D" w:rsidRPr="009C5F11">
              <w:rPr>
                <w:rFonts w:ascii="Times New Roman" w:eastAsia="Verdana" w:hAnsi="Times New Roman" w:cs="Times New Roman"/>
                <w:color w:val="000000"/>
                <w:sz w:val="18"/>
                <w:szCs w:val="14"/>
                <w:lang w:val="ro-RO"/>
              </w:rPr>
              <w:t xml:space="preserve"> transpune </w:t>
            </w:r>
            <w:r w:rsidRPr="009C5F11">
              <w:rPr>
                <w:rFonts w:ascii="Times New Roman" w:eastAsia="Verdana" w:hAnsi="Times New Roman" w:cs="Times New Roman"/>
                <w:color w:val="000000"/>
                <w:sz w:val="18"/>
                <w:szCs w:val="14"/>
                <w:lang w:val="ro-RO"/>
              </w:rPr>
              <w:t>Regulamentul delegat (UE)</w:t>
            </w:r>
            <w:r w:rsidR="001B3F1B" w:rsidRPr="009C5F11">
              <w:rPr>
                <w:rFonts w:ascii="Times New Roman" w:eastAsia="Verdana" w:hAnsi="Times New Roman" w:cs="Times New Roman"/>
                <w:color w:val="000000"/>
                <w:sz w:val="18"/>
                <w:szCs w:val="14"/>
                <w:lang w:val="ro-RO"/>
              </w:rPr>
              <w:t xml:space="preserve"> nr. 65/2014 </w:t>
            </w:r>
            <w:r w:rsidRPr="009C5F11">
              <w:rPr>
                <w:rFonts w:ascii="Times New Roman" w:eastAsia="Verdana" w:hAnsi="Times New Roman" w:cs="Times New Roman"/>
                <w:color w:val="000000"/>
                <w:sz w:val="18"/>
                <w:szCs w:val="14"/>
                <w:lang w:val="ro-RO"/>
              </w:rPr>
              <w:t>al Comisiei</w:t>
            </w:r>
            <w:r w:rsidR="00780B2E" w:rsidRPr="009C5F11">
              <w:rPr>
                <w:rFonts w:ascii="Times New Roman" w:eastAsia="Verdana" w:hAnsi="Times New Roman" w:cs="Times New Roman"/>
                <w:color w:val="000000"/>
                <w:sz w:val="18"/>
                <w:szCs w:val="14"/>
                <w:lang w:val="ro-RO"/>
              </w:rPr>
              <w:t xml:space="preserve"> </w:t>
            </w:r>
            <w:r w:rsidR="001B3F1B" w:rsidRPr="009C5F11">
              <w:rPr>
                <w:rFonts w:ascii="Times New Roman" w:eastAsia="Verdana" w:hAnsi="Times New Roman" w:cs="Times New Roman"/>
                <w:color w:val="000000"/>
                <w:sz w:val="18"/>
                <w:szCs w:val="14"/>
                <w:lang w:val="ro-RO"/>
              </w:rPr>
              <w:t xml:space="preserve">din </w:t>
            </w:r>
            <w:r w:rsidR="00780B2E" w:rsidRPr="009C5F11">
              <w:rPr>
                <w:rFonts w:ascii="Times New Roman" w:eastAsia="Verdana" w:hAnsi="Times New Roman" w:cs="Times New Roman"/>
                <w:color w:val="000000"/>
                <w:sz w:val="18"/>
                <w:szCs w:val="14"/>
                <w:lang w:val="ro-RO"/>
              </w:rPr>
              <w:t xml:space="preserve">01.10.2013 </w:t>
            </w:r>
            <w:r w:rsidR="001B3F1B" w:rsidRPr="009C5F11">
              <w:rPr>
                <w:rFonts w:ascii="Times New Roman" w:eastAsia="Verdana" w:hAnsi="Times New Roman" w:cs="Times New Roman"/>
                <w:color w:val="000000"/>
                <w:sz w:val="18"/>
                <w:szCs w:val="14"/>
                <w:lang w:val="ro-RO"/>
              </w:rPr>
              <w:t>de completare a Directivei</w:t>
            </w:r>
            <w:r w:rsidR="000A4CC7"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2010/30</w:t>
            </w:r>
            <w:r w:rsidR="00730BB5" w:rsidRPr="009C5F11">
              <w:rPr>
                <w:rFonts w:ascii="Times New Roman" w:eastAsia="Verdana" w:hAnsi="Times New Roman" w:cs="Times New Roman"/>
                <w:color w:val="000000"/>
                <w:sz w:val="18"/>
                <w:szCs w:val="14"/>
                <w:lang w:val="ro-RO"/>
              </w:rPr>
              <w:t>/UE</w:t>
            </w:r>
            <w:r w:rsidR="00780B2E" w:rsidRPr="009C5F11">
              <w:rPr>
                <w:rFonts w:ascii="Times New Roman" w:eastAsia="Verdana" w:hAnsi="Times New Roman" w:cs="Times New Roman"/>
                <w:color w:val="000000"/>
                <w:sz w:val="18"/>
                <w:szCs w:val="14"/>
                <w:lang w:val="ro-RO"/>
              </w:rPr>
              <w:t xml:space="preserve"> </w:t>
            </w:r>
            <w:r w:rsidR="001B3F1B" w:rsidRPr="009C5F11">
              <w:rPr>
                <w:rFonts w:ascii="Times New Roman" w:eastAsia="Verdana" w:hAnsi="Times New Roman" w:cs="Times New Roman"/>
                <w:color w:val="000000"/>
                <w:sz w:val="18"/>
                <w:szCs w:val="14"/>
                <w:lang w:val="ro-RO"/>
              </w:rPr>
              <w:t>cu privire la</w:t>
            </w:r>
            <w:r w:rsidR="00780B2E"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etichetarea energetică</w:t>
            </w:r>
            <w:r w:rsidR="00780B2E" w:rsidRPr="009C5F11">
              <w:rPr>
                <w:rFonts w:ascii="Times New Roman" w:eastAsia="Verdana" w:hAnsi="Times New Roman" w:cs="Times New Roman"/>
                <w:color w:val="000000"/>
                <w:sz w:val="18"/>
                <w:szCs w:val="14"/>
                <w:lang w:val="ro-RO"/>
              </w:rPr>
              <w:t xml:space="preserve"> </w:t>
            </w:r>
            <w:r w:rsidR="00D55D28" w:rsidRPr="009C5F11">
              <w:rPr>
                <w:rStyle w:val="FontStyle14"/>
                <w:sz w:val="18"/>
                <w:szCs w:val="14"/>
                <w:lang w:val="ro-RO" w:eastAsia="ro-RO"/>
              </w:rPr>
              <w:t>a cuptoarelor şi hotelor de bucătărie de uz casnic</w:t>
            </w:r>
            <w:r w:rsidR="00780B2E" w:rsidRPr="009C5F11">
              <w:rPr>
                <w:rFonts w:ascii="Times New Roman" w:eastAsia="Verdana" w:hAnsi="Times New Roman" w:cs="Times New Roman"/>
                <w:color w:val="000000"/>
                <w:sz w:val="18"/>
                <w:szCs w:val="14"/>
                <w:lang w:val="ro-RO"/>
              </w:rPr>
              <w:t>;</w:t>
            </w:r>
          </w:p>
          <w:p w14:paraId="029142DB" w14:textId="77777777" w:rsidR="00780B2E" w:rsidRPr="009C5F11" w:rsidRDefault="00DA2514"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Style w:val="FontStyle14"/>
                <w:sz w:val="18"/>
                <w:szCs w:val="14"/>
                <w:lang w:val="ro-RO" w:eastAsia="ro-RO"/>
              </w:rPr>
              <w:t>Regulamentul cu privire la cerinţele de etichetare energetică a lămpilor electrice şi a corpurilor de iluminat</w:t>
            </w:r>
            <w:r w:rsidR="00780B2E" w:rsidRPr="009C5F11">
              <w:rPr>
                <w:rFonts w:ascii="Times New Roman" w:eastAsia="Verdana" w:hAnsi="Times New Roman" w:cs="Times New Roman"/>
                <w:color w:val="000000"/>
                <w:sz w:val="18"/>
                <w:szCs w:val="14"/>
                <w:lang w:val="ro-RO"/>
              </w:rPr>
              <w:t>:</w:t>
            </w:r>
            <w:r w:rsidR="00EE432D" w:rsidRPr="009C5F11">
              <w:rPr>
                <w:rFonts w:ascii="Times New Roman" w:eastAsia="Verdana" w:hAnsi="Times New Roman" w:cs="Times New Roman"/>
                <w:color w:val="000000"/>
                <w:sz w:val="18"/>
                <w:szCs w:val="14"/>
                <w:lang w:val="ro-RO"/>
              </w:rPr>
              <w:t xml:space="preserve"> transpune </w:t>
            </w:r>
            <w:r w:rsidRPr="009C5F11">
              <w:rPr>
                <w:rFonts w:ascii="Times New Roman" w:eastAsia="Verdana" w:hAnsi="Times New Roman" w:cs="Times New Roman"/>
                <w:color w:val="000000"/>
                <w:sz w:val="18"/>
                <w:szCs w:val="14"/>
                <w:lang w:val="ro-RO"/>
              </w:rPr>
              <w:t>Regulamentul delegat (UE)</w:t>
            </w:r>
            <w:r w:rsidR="001B3F1B" w:rsidRPr="009C5F11">
              <w:rPr>
                <w:rFonts w:ascii="Times New Roman" w:eastAsia="Verdana" w:hAnsi="Times New Roman" w:cs="Times New Roman"/>
                <w:color w:val="000000"/>
                <w:sz w:val="18"/>
                <w:szCs w:val="14"/>
                <w:lang w:val="ro-RO"/>
              </w:rPr>
              <w:t xml:space="preserve"> nr. 874/2012 </w:t>
            </w:r>
            <w:r w:rsidRPr="009C5F11">
              <w:rPr>
                <w:rFonts w:ascii="Times New Roman" w:eastAsia="Verdana" w:hAnsi="Times New Roman" w:cs="Times New Roman"/>
                <w:color w:val="000000"/>
                <w:sz w:val="18"/>
                <w:szCs w:val="14"/>
                <w:lang w:val="ro-RO"/>
              </w:rPr>
              <w:t>al Comisiei</w:t>
            </w:r>
            <w:r w:rsidR="00780B2E" w:rsidRPr="009C5F11">
              <w:rPr>
                <w:rFonts w:ascii="Times New Roman" w:eastAsia="Verdana" w:hAnsi="Times New Roman" w:cs="Times New Roman"/>
                <w:color w:val="000000"/>
                <w:sz w:val="18"/>
                <w:szCs w:val="14"/>
                <w:lang w:val="ro-RO"/>
              </w:rPr>
              <w:t xml:space="preserve"> </w:t>
            </w:r>
            <w:r w:rsidR="001B3F1B"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12.07.2012 </w:t>
            </w:r>
            <w:r w:rsidR="001B3F1B" w:rsidRPr="009C5F11">
              <w:rPr>
                <w:rFonts w:ascii="Times New Roman" w:eastAsia="Verdana" w:hAnsi="Times New Roman" w:cs="Times New Roman"/>
                <w:color w:val="000000"/>
                <w:sz w:val="18"/>
                <w:szCs w:val="14"/>
                <w:lang w:val="ro-RO"/>
              </w:rPr>
              <w:t>de completare a Directivei</w:t>
            </w:r>
            <w:r w:rsidR="000A4CC7"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2010/30</w:t>
            </w:r>
            <w:r w:rsidR="00730BB5" w:rsidRPr="009C5F11">
              <w:rPr>
                <w:rFonts w:ascii="Times New Roman" w:eastAsia="Verdana" w:hAnsi="Times New Roman" w:cs="Times New Roman"/>
                <w:color w:val="000000"/>
                <w:sz w:val="18"/>
                <w:szCs w:val="14"/>
                <w:lang w:val="ro-RO"/>
              </w:rPr>
              <w:t>/UE</w:t>
            </w:r>
            <w:r w:rsidR="00780B2E" w:rsidRPr="009C5F11">
              <w:rPr>
                <w:rFonts w:ascii="Times New Roman" w:eastAsia="Verdana" w:hAnsi="Times New Roman" w:cs="Times New Roman"/>
                <w:color w:val="000000"/>
                <w:sz w:val="18"/>
                <w:szCs w:val="14"/>
                <w:lang w:val="ro-RO"/>
              </w:rPr>
              <w:t xml:space="preserve"> </w:t>
            </w:r>
            <w:r w:rsidR="001B3F1B" w:rsidRPr="009C5F11">
              <w:rPr>
                <w:rFonts w:ascii="Times New Roman" w:eastAsia="Verdana" w:hAnsi="Times New Roman" w:cs="Times New Roman"/>
                <w:color w:val="000000"/>
                <w:sz w:val="18"/>
                <w:szCs w:val="14"/>
                <w:lang w:val="ro-RO"/>
              </w:rPr>
              <w:t>cu privire la</w:t>
            </w:r>
            <w:r w:rsidR="00780B2E"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etichetarea energetică</w:t>
            </w:r>
            <w:r w:rsidR="00780B2E" w:rsidRPr="009C5F11">
              <w:rPr>
                <w:rFonts w:ascii="Times New Roman" w:eastAsia="Verdana" w:hAnsi="Times New Roman" w:cs="Times New Roman"/>
                <w:color w:val="000000"/>
                <w:sz w:val="18"/>
                <w:szCs w:val="14"/>
                <w:lang w:val="ro-RO"/>
              </w:rPr>
              <w:t xml:space="preserve"> </w:t>
            </w:r>
            <w:r w:rsidR="00D55D28" w:rsidRPr="009C5F11">
              <w:rPr>
                <w:rStyle w:val="FontStyle14"/>
                <w:sz w:val="18"/>
                <w:szCs w:val="14"/>
                <w:lang w:val="ro-RO" w:eastAsia="ro-RO"/>
              </w:rPr>
              <w:t>a lămpilor electrice şi a corpurilor de iluminat</w:t>
            </w:r>
            <w:r w:rsidR="00780B2E" w:rsidRPr="009C5F11">
              <w:rPr>
                <w:rFonts w:ascii="Times New Roman" w:eastAsia="Verdana" w:hAnsi="Times New Roman" w:cs="Times New Roman"/>
                <w:color w:val="000000"/>
                <w:sz w:val="18"/>
                <w:szCs w:val="14"/>
                <w:lang w:val="ro-RO"/>
              </w:rPr>
              <w:t>;</w:t>
            </w:r>
          </w:p>
          <w:p w14:paraId="19BE71ED" w14:textId="77777777" w:rsidR="00780B2E" w:rsidRPr="009C5F11" w:rsidRDefault="00DA2514"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Style w:val="FontStyle14"/>
                <w:sz w:val="18"/>
                <w:szCs w:val="14"/>
                <w:lang w:val="ro-RO" w:eastAsia="ro-RO"/>
              </w:rPr>
              <w:t>Regulamentul cu privire la cerinţele de etichetare energetică aplicabile maşinilor de spălat rufe de uz casnic</w:t>
            </w:r>
            <w:r w:rsidR="00780B2E" w:rsidRPr="009C5F11">
              <w:rPr>
                <w:rFonts w:ascii="Times New Roman" w:eastAsia="Verdana" w:hAnsi="Times New Roman" w:cs="Times New Roman"/>
                <w:color w:val="000000"/>
                <w:sz w:val="18"/>
                <w:szCs w:val="14"/>
                <w:lang w:val="ro-RO"/>
              </w:rPr>
              <w:t xml:space="preserve">: </w:t>
            </w:r>
            <w:r w:rsidR="00EE432D" w:rsidRPr="009C5F11">
              <w:rPr>
                <w:rFonts w:ascii="Times New Roman" w:eastAsia="Verdana" w:hAnsi="Times New Roman" w:cs="Times New Roman"/>
                <w:color w:val="000000"/>
                <w:sz w:val="18"/>
                <w:szCs w:val="14"/>
                <w:lang w:val="ro-RO"/>
              </w:rPr>
              <w:t xml:space="preserve">transpune </w:t>
            </w:r>
            <w:r w:rsidRPr="009C5F11">
              <w:rPr>
                <w:rFonts w:ascii="Times New Roman" w:eastAsia="Verdana" w:hAnsi="Times New Roman" w:cs="Times New Roman"/>
                <w:color w:val="000000"/>
                <w:sz w:val="18"/>
                <w:szCs w:val="14"/>
                <w:lang w:val="ro-RO"/>
              </w:rPr>
              <w:t>Regulamentul delegat (UE)</w:t>
            </w:r>
            <w:r w:rsidR="001B3F1B" w:rsidRPr="009C5F11">
              <w:rPr>
                <w:rFonts w:ascii="Times New Roman" w:eastAsia="Verdana" w:hAnsi="Times New Roman" w:cs="Times New Roman"/>
                <w:color w:val="000000"/>
                <w:sz w:val="18"/>
                <w:szCs w:val="14"/>
                <w:lang w:val="ro-RO"/>
              </w:rPr>
              <w:t xml:space="preserve"> nr. 1061/2010 </w:t>
            </w:r>
            <w:r w:rsidRPr="009C5F11">
              <w:rPr>
                <w:rFonts w:ascii="Times New Roman" w:eastAsia="Verdana" w:hAnsi="Times New Roman" w:cs="Times New Roman"/>
                <w:color w:val="000000"/>
                <w:sz w:val="18"/>
                <w:szCs w:val="14"/>
                <w:lang w:val="ro-RO"/>
              </w:rPr>
              <w:t>al Comisiei</w:t>
            </w:r>
            <w:r w:rsidR="00780B2E" w:rsidRPr="009C5F11">
              <w:rPr>
                <w:rFonts w:ascii="Times New Roman" w:eastAsia="Verdana" w:hAnsi="Times New Roman" w:cs="Times New Roman"/>
                <w:color w:val="000000"/>
                <w:sz w:val="18"/>
                <w:szCs w:val="14"/>
                <w:lang w:val="ro-RO"/>
              </w:rPr>
              <w:t xml:space="preserve"> </w:t>
            </w:r>
            <w:r w:rsidR="001B3F1B"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28.09.2010 </w:t>
            </w:r>
            <w:r w:rsidR="001B3F1B" w:rsidRPr="009C5F11">
              <w:rPr>
                <w:rFonts w:ascii="Times New Roman" w:eastAsia="Verdana" w:hAnsi="Times New Roman" w:cs="Times New Roman"/>
                <w:color w:val="000000"/>
                <w:sz w:val="18"/>
                <w:szCs w:val="14"/>
                <w:lang w:val="ro-RO"/>
              </w:rPr>
              <w:t>de completare a Directivei</w:t>
            </w:r>
            <w:r w:rsidR="000A4CC7"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2010/30</w:t>
            </w:r>
            <w:r w:rsidR="00730BB5" w:rsidRPr="009C5F11">
              <w:rPr>
                <w:rFonts w:ascii="Times New Roman" w:eastAsia="Verdana" w:hAnsi="Times New Roman" w:cs="Times New Roman"/>
                <w:color w:val="000000"/>
                <w:sz w:val="18"/>
                <w:szCs w:val="14"/>
                <w:lang w:val="ro-RO"/>
              </w:rPr>
              <w:t>/UE</w:t>
            </w:r>
            <w:r w:rsidR="00780B2E" w:rsidRPr="009C5F11">
              <w:rPr>
                <w:rFonts w:ascii="Times New Roman" w:eastAsia="Verdana" w:hAnsi="Times New Roman" w:cs="Times New Roman"/>
                <w:color w:val="000000"/>
                <w:sz w:val="18"/>
                <w:szCs w:val="14"/>
                <w:lang w:val="ro-RO"/>
              </w:rPr>
              <w:t xml:space="preserve"> </w:t>
            </w:r>
            <w:r w:rsidR="001B3F1B" w:rsidRPr="009C5F11">
              <w:rPr>
                <w:rFonts w:ascii="Times New Roman" w:eastAsia="Verdana" w:hAnsi="Times New Roman" w:cs="Times New Roman"/>
                <w:color w:val="000000"/>
                <w:sz w:val="18"/>
                <w:szCs w:val="14"/>
                <w:lang w:val="ro-RO"/>
              </w:rPr>
              <w:t>cu privire la</w:t>
            </w:r>
            <w:r w:rsidR="00780B2E"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etichetarea energetică</w:t>
            </w:r>
            <w:r w:rsidR="00D55D28" w:rsidRPr="009C5F11">
              <w:rPr>
                <w:rStyle w:val="FontStyle14"/>
                <w:sz w:val="18"/>
                <w:szCs w:val="14"/>
                <w:lang w:val="ro-RO" w:eastAsia="ro-RO"/>
              </w:rPr>
              <w:t xml:space="preserve"> aplicabilă maşinilor de spălat rufe de uz casnic</w:t>
            </w:r>
            <w:r w:rsidR="00D55D28"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w:t>
            </w:r>
          </w:p>
          <w:p w14:paraId="3A254494" w14:textId="77777777" w:rsidR="00780B2E" w:rsidRPr="009C5F11" w:rsidRDefault="00D55D28"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Aceste acte normative acoperă parţial angajamentele asumate faţă de Comunitatea Energetică, fiind armonizate cu angajamentele ce decurg din Acordul de Asociere </w:t>
            </w:r>
            <w:r w:rsidR="00421FA7" w:rsidRPr="009C5F11">
              <w:rPr>
                <w:rFonts w:ascii="Times New Roman" w:eastAsia="Verdana" w:hAnsi="Times New Roman" w:cs="Times New Roman"/>
                <w:color w:val="000000"/>
                <w:sz w:val="18"/>
                <w:szCs w:val="14"/>
                <w:lang w:val="ro-RO"/>
              </w:rPr>
              <w:t>UE</w:t>
            </w:r>
            <w:r w:rsidR="00780B2E"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 xml:space="preserve">Republica </w:t>
            </w:r>
            <w:r w:rsidR="00780B2E" w:rsidRPr="009C5F11">
              <w:rPr>
                <w:rFonts w:ascii="Times New Roman" w:eastAsia="Verdana" w:hAnsi="Times New Roman" w:cs="Times New Roman"/>
                <w:color w:val="000000"/>
                <w:sz w:val="18"/>
                <w:szCs w:val="14"/>
                <w:lang w:val="ro-RO"/>
              </w:rPr>
              <w:t>M</w:t>
            </w:r>
            <w:r w:rsidRPr="009C5F11">
              <w:rPr>
                <w:rFonts w:ascii="Times New Roman" w:eastAsia="Verdana" w:hAnsi="Times New Roman" w:cs="Times New Roman"/>
                <w:color w:val="000000"/>
                <w:sz w:val="18"/>
                <w:szCs w:val="14"/>
                <w:lang w:val="ro-RO"/>
              </w:rPr>
              <w:t>oldova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Procesul </w:t>
            </w:r>
            <w:r w:rsidR="00052FA3" w:rsidRPr="009C5F11">
              <w:rPr>
                <w:rFonts w:ascii="Times New Roman" w:eastAsia="Verdana" w:hAnsi="Times New Roman" w:cs="Times New Roman"/>
                <w:color w:val="000000"/>
                <w:sz w:val="18"/>
                <w:szCs w:val="14"/>
                <w:lang w:val="ro-RO"/>
              </w:rPr>
              <w:t>se derulează</w:t>
            </w:r>
            <w:r w:rsidRPr="009C5F11">
              <w:rPr>
                <w:rFonts w:ascii="Times New Roman" w:eastAsia="Verdana" w:hAnsi="Times New Roman" w:cs="Times New Roman"/>
                <w:color w:val="000000"/>
                <w:sz w:val="18"/>
                <w:szCs w:val="14"/>
                <w:lang w:val="ro-RO"/>
              </w:rPr>
              <w:t xml:space="preserve"> cu întârziere faţă de termenele-limită stabilite de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Comunitatea Energetică</w:t>
            </w:r>
            <w:r w:rsidR="00780B2E" w:rsidRPr="009C5F11">
              <w:rPr>
                <w:rFonts w:ascii="Times New Roman" w:eastAsia="Verdana" w:hAnsi="Times New Roman" w:cs="Times New Roman"/>
                <w:color w:val="000000"/>
                <w:sz w:val="18"/>
                <w:szCs w:val="14"/>
                <w:lang w:val="ro-RO"/>
              </w:rPr>
              <w:t>.</w:t>
            </w:r>
          </w:p>
          <w:p w14:paraId="42C4A414" w14:textId="77777777" w:rsidR="00780B2E" w:rsidRPr="009C5F11" w:rsidRDefault="00D55D28"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În trimestrul </w:t>
            </w:r>
            <w:r w:rsidR="001801B9" w:rsidRPr="009C5F11">
              <w:rPr>
                <w:rFonts w:ascii="Times New Roman" w:eastAsia="Verdana" w:hAnsi="Times New Roman" w:cs="Times New Roman"/>
                <w:color w:val="000000"/>
                <w:sz w:val="18"/>
                <w:szCs w:val="14"/>
                <w:lang w:val="ro-RO"/>
              </w:rPr>
              <w:t>II</w:t>
            </w:r>
            <w:r w:rsidR="00780B2E" w:rsidRPr="009C5F11">
              <w:rPr>
                <w:rFonts w:ascii="Times New Roman" w:eastAsia="Verdana" w:hAnsi="Times New Roman" w:cs="Times New Roman"/>
                <w:color w:val="000000"/>
                <w:sz w:val="18"/>
                <w:szCs w:val="14"/>
                <w:lang w:val="ro-RO"/>
              </w:rPr>
              <w:t xml:space="preserve"> 2015, </w:t>
            </w:r>
            <w:r w:rsidRPr="009C5F11">
              <w:rPr>
                <w:rFonts w:ascii="Times New Roman" w:eastAsia="Verdana" w:hAnsi="Times New Roman" w:cs="Times New Roman"/>
                <w:color w:val="000000"/>
                <w:sz w:val="18"/>
                <w:szCs w:val="14"/>
                <w:lang w:val="ro-RO"/>
              </w:rPr>
              <w:t>Ministerul</w:t>
            </w:r>
            <w:r w:rsidR="00321CD5" w:rsidRPr="009C5F11">
              <w:rPr>
                <w:rFonts w:ascii="Times New Roman" w:eastAsia="Verdana" w:hAnsi="Times New Roman" w:cs="Times New Roman"/>
                <w:color w:val="000000"/>
                <w:sz w:val="18"/>
                <w:szCs w:val="14"/>
                <w:lang w:val="ro-RO"/>
              </w:rPr>
              <w:t xml:space="preserve"> Economiei</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a redactat o hotărâre de guvern de modificare a </w:t>
            </w:r>
            <w:r w:rsidR="00076D31" w:rsidRPr="009C5F11">
              <w:rPr>
                <w:rFonts w:ascii="Times New Roman" w:eastAsia="Verdana" w:hAnsi="Times New Roman" w:cs="Times New Roman"/>
                <w:color w:val="000000"/>
                <w:sz w:val="18"/>
                <w:szCs w:val="14"/>
                <w:lang w:val="ro-RO"/>
              </w:rPr>
              <w:t>HG RM</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nr. </w:t>
            </w:r>
            <w:r w:rsidR="00780B2E" w:rsidRPr="009C5F11">
              <w:rPr>
                <w:rFonts w:ascii="Times New Roman" w:eastAsia="Verdana" w:hAnsi="Times New Roman" w:cs="Times New Roman"/>
                <w:color w:val="000000"/>
                <w:sz w:val="18"/>
                <w:szCs w:val="14"/>
                <w:lang w:val="ro-RO"/>
              </w:rPr>
              <w:t xml:space="preserve">1003 </w:t>
            </w:r>
            <w:r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10.12.2014 </w:t>
            </w:r>
            <w:r w:rsidRPr="009C5F11">
              <w:rPr>
                <w:rFonts w:ascii="Times New Roman" w:eastAsia="Verdana" w:hAnsi="Times New Roman" w:cs="Times New Roman"/>
                <w:color w:val="000000"/>
                <w:sz w:val="18"/>
                <w:szCs w:val="14"/>
                <w:lang w:val="ro-RO"/>
              </w:rPr>
              <w:t xml:space="preserve">prin care </w:t>
            </w:r>
            <w:r w:rsidR="00780B2E" w:rsidRPr="009C5F11">
              <w:rPr>
                <w:rFonts w:ascii="Times New Roman" w:eastAsia="Verdana" w:hAnsi="Times New Roman" w:cs="Times New Roman"/>
                <w:color w:val="000000"/>
                <w:sz w:val="18"/>
                <w:szCs w:val="14"/>
                <w:lang w:val="ro-RO"/>
              </w:rPr>
              <w:t>adopt</w:t>
            </w:r>
            <w:r w:rsidRPr="009C5F11">
              <w:rPr>
                <w:rFonts w:ascii="Times New Roman" w:eastAsia="Verdana" w:hAnsi="Times New Roman" w:cs="Times New Roman"/>
                <w:color w:val="000000"/>
                <w:sz w:val="18"/>
                <w:szCs w:val="14"/>
                <w:lang w:val="ro-RO"/>
              </w:rPr>
              <w:t>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suplimentar </w:t>
            </w:r>
            <w:r w:rsidR="00780B2E" w:rsidRPr="009C5F11">
              <w:rPr>
                <w:rFonts w:ascii="Times New Roman" w:eastAsia="Verdana" w:hAnsi="Times New Roman" w:cs="Times New Roman"/>
                <w:color w:val="000000"/>
                <w:sz w:val="18"/>
                <w:szCs w:val="14"/>
                <w:lang w:val="ro-RO"/>
              </w:rPr>
              <w:t>4 (</w:t>
            </w:r>
            <w:r w:rsidRPr="009C5F11">
              <w:rPr>
                <w:rFonts w:ascii="Times New Roman" w:eastAsia="Verdana" w:hAnsi="Times New Roman" w:cs="Times New Roman"/>
                <w:color w:val="000000"/>
                <w:sz w:val="18"/>
                <w:szCs w:val="14"/>
                <w:lang w:val="ro-RO"/>
              </w:rPr>
              <w:t>patru</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regulamente de implementare a </w:t>
            </w:r>
            <w:r w:rsidRPr="009C5F11">
              <w:rPr>
                <w:rStyle w:val="FontStyle14"/>
                <w:sz w:val="18"/>
                <w:szCs w:val="14"/>
                <w:lang w:val="ro-RO" w:eastAsia="ro-RO"/>
              </w:rPr>
              <w:t xml:space="preserve">cerinţelor de etichetare energetică </w:t>
            </w:r>
            <w:r w:rsidRPr="009C5F11">
              <w:rPr>
                <w:rFonts w:ascii="Times New Roman" w:eastAsia="Verdana" w:hAnsi="Times New Roman" w:cs="Times New Roman"/>
                <w:color w:val="000000"/>
                <w:sz w:val="18"/>
                <w:szCs w:val="14"/>
                <w:lang w:val="ro-RO"/>
              </w:rPr>
              <w:t>după cum urmează</w:t>
            </w:r>
            <w:r w:rsidR="00780B2E" w:rsidRPr="009C5F11">
              <w:rPr>
                <w:rFonts w:ascii="Times New Roman" w:eastAsia="Verdana" w:hAnsi="Times New Roman" w:cs="Times New Roman"/>
                <w:color w:val="000000"/>
                <w:sz w:val="18"/>
                <w:szCs w:val="14"/>
                <w:lang w:val="ro-RO"/>
              </w:rPr>
              <w:t>:</w:t>
            </w:r>
          </w:p>
          <w:p w14:paraId="0CD76398"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1. </w:t>
            </w:r>
            <w:r w:rsidR="00DA2514" w:rsidRPr="009C5F11">
              <w:rPr>
                <w:rFonts w:ascii="Times New Roman" w:eastAsia="Verdana" w:hAnsi="Times New Roman" w:cs="Times New Roman"/>
                <w:color w:val="000000"/>
                <w:sz w:val="18"/>
                <w:szCs w:val="14"/>
                <w:lang w:val="ro-RO"/>
              </w:rPr>
              <w:t>Regulamentul delegat (UE)</w:t>
            </w:r>
            <w:r w:rsidR="00D55D28" w:rsidRPr="009C5F11">
              <w:rPr>
                <w:rFonts w:ascii="Times New Roman" w:eastAsia="Verdana" w:hAnsi="Times New Roman" w:cs="Times New Roman"/>
                <w:color w:val="000000"/>
                <w:sz w:val="18"/>
                <w:szCs w:val="14"/>
                <w:lang w:val="ro-RO"/>
              </w:rPr>
              <w:t xml:space="preserve"> nr. 518/2014 </w:t>
            </w:r>
            <w:r w:rsidR="00DA2514" w:rsidRPr="009C5F11">
              <w:rPr>
                <w:rFonts w:ascii="Times New Roman" w:eastAsia="Verdana" w:hAnsi="Times New Roman" w:cs="Times New Roman"/>
                <w:color w:val="000000"/>
                <w:sz w:val="18"/>
                <w:szCs w:val="14"/>
                <w:lang w:val="ro-RO"/>
              </w:rPr>
              <w:t>al Comisiei</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din</w:t>
            </w:r>
            <w:r w:rsidRPr="009C5F11">
              <w:rPr>
                <w:rFonts w:ascii="Times New Roman" w:eastAsia="Verdana" w:hAnsi="Times New Roman" w:cs="Times New Roman"/>
                <w:color w:val="000000"/>
                <w:sz w:val="18"/>
                <w:szCs w:val="14"/>
                <w:lang w:val="ro-RO"/>
              </w:rPr>
              <w:t xml:space="preserve"> 05.03.2014 </w:t>
            </w:r>
            <w:r w:rsidR="00D55D28" w:rsidRPr="009C5F11">
              <w:rPr>
                <w:rFonts w:ascii="Times New Roman" w:eastAsia="Verdana" w:hAnsi="Times New Roman" w:cs="Times New Roman"/>
                <w:color w:val="000000"/>
                <w:sz w:val="18"/>
                <w:szCs w:val="14"/>
                <w:lang w:val="ro-RO"/>
              </w:rPr>
              <w:t>de modificare a</w:t>
            </w:r>
            <w:r w:rsidRPr="009C5F11">
              <w:rPr>
                <w:rFonts w:ascii="Times New Roman" w:eastAsia="Verdana" w:hAnsi="Times New Roman" w:cs="Times New Roman"/>
                <w:color w:val="000000"/>
                <w:sz w:val="18"/>
                <w:szCs w:val="14"/>
                <w:lang w:val="ro-RO"/>
              </w:rPr>
              <w:t xml:space="preserve"> </w:t>
            </w:r>
            <w:r w:rsidR="00916F33" w:rsidRPr="009C5F11">
              <w:rPr>
                <w:rFonts w:ascii="Times New Roman" w:eastAsia="Verdana" w:hAnsi="Times New Roman" w:cs="Times New Roman"/>
                <w:color w:val="000000"/>
                <w:sz w:val="18"/>
                <w:szCs w:val="14"/>
                <w:lang w:val="ro-RO"/>
              </w:rPr>
              <w:t>Regulamentelor</w:t>
            </w:r>
            <w:r w:rsidR="001801B9" w:rsidRPr="009C5F11">
              <w:rPr>
                <w:rFonts w:ascii="Times New Roman" w:eastAsia="Verdana" w:hAnsi="Times New Roman" w:cs="Times New Roman"/>
                <w:color w:val="000000"/>
                <w:sz w:val="18"/>
                <w:szCs w:val="14"/>
                <w:lang w:val="ro-RO"/>
              </w:rPr>
              <w:t xml:space="preserve"> delegate </w:t>
            </w:r>
            <w:r w:rsidRPr="009C5F11">
              <w:rPr>
                <w:rFonts w:ascii="Times New Roman" w:eastAsia="Verdana" w:hAnsi="Times New Roman" w:cs="Times New Roman"/>
                <w:color w:val="000000"/>
                <w:sz w:val="18"/>
                <w:szCs w:val="14"/>
                <w:lang w:val="ro-RO"/>
              </w:rPr>
              <w:t>(</w:t>
            </w:r>
            <w:r w:rsidR="00421FA7" w:rsidRPr="009C5F11">
              <w:rPr>
                <w:rFonts w:ascii="Times New Roman" w:eastAsia="Verdana" w:hAnsi="Times New Roman" w:cs="Times New Roman"/>
                <w:color w:val="000000"/>
                <w:sz w:val="18"/>
                <w:szCs w:val="14"/>
                <w:lang w:val="ro-RO"/>
              </w:rPr>
              <w:t>UE</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nr.</w:t>
            </w:r>
            <w:r w:rsidRPr="009C5F11">
              <w:rPr>
                <w:rFonts w:ascii="Times New Roman" w:eastAsia="Verdana" w:hAnsi="Times New Roman" w:cs="Times New Roman"/>
                <w:color w:val="000000"/>
                <w:sz w:val="18"/>
                <w:szCs w:val="14"/>
                <w:lang w:val="ro-RO"/>
              </w:rPr>
              <w:t xml:space="preserve"> 1059/2010, (</w:t>
            </w:r>
            <w:r w:rsidR="00421FA7" w:rsidRPr="009C5F11">
              <w:rPr>
                <w:rFonts w:ascii="Times New Roman" w:eastAsia="Verdana" w:hAnsi="Times New Roman" w:cs="Times New Roman"/>
                <w:color w:val="000000"/>
                <w:sz w:val="18"/>
                <w:szCs w:val="14"/>
                <w:lang w:val="ro-RO"/>
              </w:rPr>
              <w:t>UE</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nr.</w:t>
            </w:r>
            <w:r w:rsidRPr="009C5F11">
              <w:rPr>
                <w:rFonts w:ascii="Times New Roman" w:eastAsia="Verdana" w:hAnsi="Times New Roman" w:cs="Times New Roman"/>
                <w:color w:val="000000"/>
                <w:sz w:val="18"/>
                <w:szCs w:val="14"/>
                <w:lang w:val="ro-RO"/>
              </w:rPr>
              <w:t xml:space="preserve"> 1060/2010, (</w:t>
            </w:r>
            <w:r w:rsidR="00421FA7" w:rsidRPr="009C5F11">
              <w:rPr>
                <w:rFonts w:ascii="Times New Roman" w:eastAsia="Verdana" w:hAnsi="Times New Roman" w:cs="Times New Roman"/>
                <w:color w:val="000000"/>
                <w:sz w:val="18"/>
                <w:szCs w:val="14"/>
                <w:lang w:val="ro-RO"/>
              </w:rPr>
              <w:t>UE</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nr.</w:t>
            </w:r>
            <w:r w:rsidRPr="009C5F11">
              <w:rPr>
                <w:rFonts w:ascii="Times New Roman" w:eastAsia="Verdana" w:hAnsi="Times New Roman" w:cs="Times New Roman"/>
                <w:color w:val="000000"/>
                <w:sz w:val="18"/>
                <w:szCs w:val="14"/>
                <w:lang w:val="ro-RO"/>
              </w:rPr>
              <w:t xml:space="preserve"> 1061/2010, (</w:t>
            </w:r>
            <w:r w:rsidR="00421FA7" w:rsidRPr="009C5F11">
              <w:rPr>
                <w:rFonts w:ascii="Times New Roman" w:eastAsia="Verdana" w:hAnsi="Times New Roman" w:cs="Times New Roman"/>
                <w:color w:val="000000"/>
                <w:sz w:val="18"/>
                <w:szCs w:val="14"/>
                <w:lang w:val="ro-RO"/>
              </w:rPr>
              <w:t>UE</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nr.</w:t>
            </w:r>
            <w:r w:rsidRPr="009C5F11">
              <w:rPr>
                <w:rFonts w:ascii="Times New Roman" w:eastAsia="Verdana" w:hAnsi="Times New Roman" w:cs="Times New Roman"/>
                <w:color w:val="000000"/>
                <w:sz w:val="18"/>
                <w:szCs w:val="14"/>
                <w:lang w:val="ro-RO"/>
              </w:rPr>
              <w:t xml:space="preserve"> 1062/2010, (</w:t>
            </w:r>
            <w:r w:rsidR="00421FA7" w:rsidRPr="009C5F11">
              <w:rPr>
                <w:rFonts w:ascii="Times New Roman" w:eastAsia="Verdana" w:hAnsi="Times New Roman" w:cs="Times New Roman"/>
                <w:color w:val="000000"/>
                <w:sz w:val="18"/>
                <w:szCs w:val="14"/>
                <w:lang w:val="ro-RO"/>
              </w:rPr>
              <w:t>UE</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nr.</w:t>
            </w:r>
            <w:r w:rsidRPr="009C5F11">
              <w:rPr>
                <w:rFonts w:ascii="Times New Roman" w:eastAsia="Verdana" w:hAnsi="Times New Roman" w:cs="Times New Roman"/>
                <w:color w:val="000000"/>
                <w:sz w:val="18"/>
                <w:szCs w:val="14"/>
                <w:lang w:val="ro-RO"/>
              </w:rPr>
              <w:t xml:space="preserve"> 626/2011, (</w:t>
            </w:r>
            <w:r w:rsidR="00421FA7" w:rsidRPr="009C5F11">
              <w:rPr>
                <w:rFonts w:ascii="Times New Roman" w:eastAsia="Verdana" w:hAnsi="Times New Roman" w:cs="Times New Roman"/>
                <w:color w:val="000000"/>
                <w:sz w:val="18"/>
                <w:szCs w:val="14"/>
                <w:lang w:val="ro-RO"/>
              </w:rPr>
              <w:t>UE</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nr.</w:t>
            </w:r>
            <w:r w:rsidRPr="009C5F11">
              <w:rPr>
                <w:rFonts w:ascii="Times New Roman" w:eastAsia="Verdana" w:hAnsi="Times New Roman" w:cs="Times New Roman"/>
                <w:color w:val="000000"/>
                <w:sz w:val="18"/>
                <w:szCs w:val="14"/>
                <w:lang w:val="ro-RO"/>
              </w:rPr>
              <w:t xml:space="preserve"> 392/2012, (</w:t>
            </w:r>
            <w:r w:rsidR="00421FA7" w:rsidRPr="009C5F11">
              <w:rPr>
                <w:rFonts w:ascii="Times New Roman" w:eastAsia="Verdana" w:hAnsi="Times New Roman" w:cs="Times New Roman"/>
                <w:color w:val="000000"/>
                <w:sz w:val="18"/>
                <w:szCs w:val="14"/>
                <w:lang w:val="ro-RO"/>
              </w:rPr>
              <w:t>UE</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nr.</w:t>
            </w:r>
            <w:r w:rsidRPr="009C5F11">
              <w:rPr>
                <w:rFonts w:ascii="Times New Roman" w:eastAsia="Verdana" w:hAnsi="Times New Roman" w:cs="Times New Roman"/>
                <w:color w:val="000000"/>
                <w:sz w:val="18"/>
                <w:szCs w:val="14"/>
                <w:lang w:val="ro-RO"/>
              </w:rPr>
              <w:t xml:space="preserve"> 874/2012, (</w:t>
            </w:r>
            <w:r w:rsidR="00421FA7" w:rsidRPr="009C5F11">
              <w:rPr>
                <w:rFonts w:ascii="Times New Roman" w:eastAsia="Verdana" w:hAnsi="Times New Roman" w:cs="Times New Roman"/>
                <w:color w:val="000000"/>
                <w:sz w:val="18"/>
                <w:szCs w:val="14"/>
                <w:lang w:val="ro-RO"/>
              </w:rPr>
              <w:t>UE</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nr.</w:t>
            </w:r>
            <w:r w:rsidRPr="009C5F11">
              <w:rPr>
                <w:rFonts w:ascii="Times New Roman" w:eastAsia="Verdana" w:hAnsi="Times New Roman" w:cs="Times New Roman"/>
                <w:color w:val="000000"/>
                <w:sz w:val="18"/>
                <w:szCs w:val="14"/>
                <w:lang w:val="ro-RO"/>
              </w:rPr>
              <w:t xml:space="preserve"> 665/2013, (</w:t>
            </w:r>
            <w:r w:rsidR="00421FA7" w:rsidRPr="009C5F11">
              <w:rPr>
                <w:rFonts w:ascii="Times New Roman" w:eastAsia="Verdana" w:hAnsi="Times New Roman" w:cs="Times New Roman"/>
                <w:color w:val="000000"/>
                <w:sz w:val="18"/>
                <w:szCs w:val="14"/>
                <w:lang w:val="ro-RO"/>
              </w:rPr>
              <w:t>UE</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nr.</w:t>
            </w:r>
            <w:r w:rsidRPr="009C5F11">
              <w:rPr>
                <w:rFonts w:ascii="Times New Roman" w:eastAsia="Verdana" w:hAnsi="Times New Roman" w:cs="Times New Roman"/>
                <w:color w:val="000000"/>
                <w:sz w:val="18"/>
                <w:szCs w:val="14"/>
                <w:lang w:val="ro-RO"/>
              </w:rPr>
              <w:t xml:space="preserve"> 811/2013</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w:t>
            </w:r>
            <w:r w:rsidR="00421FA7" w:rsidRPr="009C5F11">
              <w:rPr>
                <w:rFonts w:ascii="Times New Roman" w:eastAsia="Verdana" w:hAnsi="Times New Roman" w:cs="Times New Roman"/>
                <w:color w:val="000000"/>
                <w:sz w:val="18"/>
                <w:szCs w:val="14"/>
                <w:lang w:val="ro-RO"/>
              </w:rPr>
              <w:t>UE</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nr.</w:t>
            </w:r>
            <w:r w:rsidRPr="009C5F11">
              <w:rPr>
                <w:rFonts w:ascii="Times New Roman" w:eastAsia="Verdana" w:hAnsi="Times New Roman" w:cs="Times New Roman"/>
                <w:color w:val="000000"/>
                <w:sz w:val="18"/>
                <w:szCs w:val="14"/>
                <w:lang w:val="ro-RO"/>
              </w:rPr>
              <w:t xml:space="preserve"> 812/2013</w:t>
            </w:r>
            <w:r w:rsidR="001801B9" w:rsidRPr="009C5F11">
              <w:rPr>
                <w:rFonts w:ascii="Times New Roman" w:eastAsia="Verdana" w:hAnsi="Times New Roman" w:cs="Times New Roman"/>
                <w:color w:val="000000"/>
                <w:sz w:val="18"/>
                <w:szCs w:val="14"/>
                <w:lang w:val="ro-RO"/>
              </w:rPr>
              <w:t xml:space="preserve"> ale Comisiei </w:t>
            </w:r>
            <w:r w:rsidR="00F60434" w:rsidRPr="009C5F11">
              <w:rPr>
                <w:rFonts w:ascii="Times New Roman" w:eastAsia="Verdana" w:hAnsi="Times New Roman" w:cs="Times New Roman"/>
                <w:color w:val="000000"/>
                <w:sz w:val="18"/>
                <w:szCs w:val="14"/>
                <w:lang w:val="ro-RO"/>
              </w:rPr>
              <w:t>în ceea ce priveşte</w:t>
            </w:r>
            <w:r w:rsidRPr="009C5F11">
              <w:rPr>
                <w:rFonts w:ascii="Times New Roman" w:eastAsia="Verdana" w:hAnsi="Times New Roman" w:cs="Times New Roman"/>
                <w:color w:val="000000"/>
                <w:sz w:val="18"/>
                <w:szCs w:val="14"/>
                <w:lang w:val="ro-RO"/>
              </w:rPr>
              <w:t xml:space="preserve"> </w:t>
            </w:r>
            <w:r w:rsidR="001801B9" w:rsidRPr="009C5F11">
              <w:rPr>
                <w:rFonts w:ascii="Times New Roman" w:eastAsia="Verdana" w:hAnsi="Times New Roman" w:cs="Times New Roman"/>
                <w:color w:val="000000"/>
                <w:sz w:val="18"/>
                <w:szCs w:val="14"/>
                <w:lang w:val="ro-RO"/>
              </w:rPr>
              <w:t>etichetarea</w:t>
            </w:r>
            <w:r w:rsidR="00F10EAE" w:rsidRPr="009C5F11">
              <w:rPr>
                <w:rFonts w:ascii="Times New Roman" w:eastAsia="Verdana" w:hAnsi="Times New Roman" w:cs="Times New Roman"/>
                <w:color w:val="000000"/>
                <w:sz w:val="18"/>
                <w:szCs w:val="14"/>
                <w:lang w:val="ro-RO"/>
              </w:rPr>
              <w:t xml:space="preserve"> produselor cu impact energetic</w:t>
            </w:r>
            <w:r w:rsidRPr="009C5F11">
              <w:rPr>
                <w:rFonts w:ascii="Times New Roman" w:eastAsia="Verdana" w:hAnsi="Times New Roman" w:cs="Times New Roman"/>
                <w:color w:val="000000"/>
                <w:sz w:val="18"/>
                <w:szCs w:val="14"/>
                <w:lang w:val="ro-RO"/>
              </w:rPr>
              <w:t xml:space="preserve"> </w:t>
            </w:r>
            <w:r w:rsidR="00F60434" w:rsidRPr="009C5F11">
              <w:rPr>
                <w:rFonts w:ascii="Times New Roman" w:eastAsia="Verdana" w:hAnsi="Times New Roman" w:cs="Times New Roman"/>
                <w:color w:val="000000"/>
                <w:sz w:val="18"/>
                <w:szCs w:val="14"/>
                <w:lang w:val="ro-RO"/>
              </w:rPr>
              <w:t>pe</w:t>
            </w:r>
            <w:r w:rsidRPr="009C5F11">
              <w:rPr>
                <w:rFonts w:ascii="Times New Roman" w:eastAsia="Verdana" w:hAnsi="Times New Roman" w:cs="Times New Roman"/>
                <w:color w:val="000000"/>
                <w:sz w:val="18"/>
                <w:szCs w:val="14"/>
                <w:lang w:val="ro-RO"/>
              </w:rPr>
              <w:t xml:space="preserve"> </w:t>
            </w:r>
            <w:r w:rsidR="00F60434" w:rsidRPr="009C5F11">
              <w:rPr>
                <w:rFonts w:ascii="Times New Roman" w:eastAsia="Verdana" w:hAnsi="Times New Roman" w:cs="Times New Roman"/>
                <w:color w:val="000000"/>
                <w:sz w:val="18"/>
                <w:szCs w:val="14"/>
                <w:lang w:val="ro-RO"/>
              </w:rPr>
              <w:t>I</w:t>
            </w:r>
            <w:r w:rsidRPr="009C5F11">
              <w:rPr>
                <w:rFonts w:ascii="Times New Roman" w:eastAsia="Verdana" w:hAnsi="Times New Roman" w:cs="Times New Roman"/>
                <w:color w:val="000000"/>
                <w:sz w:val="18"/>
                <w:szCs w:val="14"/>
                <w:lang w:val="ro-RO"/>
              </w:rPr>
              <w:t>nternet;</w:t>
            </w:r>
          </w:p>
          <w:p w14:paraId="3E1466E8"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2. </w:t>
            </w:r>
            <w:r w:rsidR="00DA2514" w:rsidRPr="009C5F11">
              <w:rPr>
                <w:rFonts w:ascii="Times New Roman" w:eastAsia="Verdana" w:hAnsi="Times New Roman" w:cs="Times New Roman"/>
                <w:color w:val="000000"/>
                <w:sz w:val="18"/>
                <w:szCs w:val="14"/>
                <w:lang w:val="ro-RO"/>
              </w:rPr>
              <w:t>Regulamentul delegat (UE)</w:t>
            </w:r>
            <w:r w:rsidR="00F60434" w:rsidRPr="009C5F11">
              <w:rPr>
                <w:rFonts w:ascii="Times New Roman" w:eastAsia="Verdana" w:hAnsi="Times New Roman" w:cs="Times New Roman"/>
                <w:color w:val="000000"/>
                <w:sz w:val="18"/>
                <w:szCs w:val="14"/>
                <w:lang w:val="ro-RO"/>
              </w:rPr>
              <w:t xml:space="preserve"> nr. 1059/2010 a</w:t>
            </w:r>
            <w:r w:rsidR="00DA2514" w:rsidRPr="009C5F11">
              <w:rPr>
                <w:rFonts w:ascii="Times New Roman" w:eastAsia="Verdana" w:hAnsi="Times New Roman" w:cs="Times New Roman"/>
                <w:color w:val="000000"/>
                <w:sz w:val="18"/>
                <w:szCs w:val="14"/>
                <w:lang w:val="ro-RO"/>
              </w:rPr>
              <w:t>l Comisiei</w:t>
            </w:r>
            <w:r w:rsidRPr="009C5F11">
              <w:rPr>
                <w:rFonts w:ascii="Times New Roman" w:eastAsia="Verdana" w:hAnsi="Times New Roman" w:cs="Times New Roman"/>
                <w:color w:val="000000"/>
                <w:sz w:val="18"/>
                <w:szCs w:val="14"/>
                <w:lang w:val="ro-RO"/>
              </w:rPr>
              <w:t xml:space="preserve"> </w:t>
            </w:r>
            <w:r w:rsidR="00F60434" w:rsidRPr="009C5F11">
              <w:rPr>
                <w:rFonts w:ascii="Times New Roman" w:eastAsia="Verdana" w:hAnsi="Times New Roman" w:cs="Times New Roman"/>
                <w:color w:val="000000"/>
                <w:sz w:val="18"/>
                <w:szCs w:val="14"/>
                <w:lang w:val="ro-RO"/>
              </w:rPr>
              <w:t>din</w:t>
            </w:r>
            <w:r w:rsidRPr="009C5F11">
              <w:rPr>
                <w:rFonts w:ascii="Times New Roman" w:eastAsia="Verdana" w:hAnsi="Times New Roman" w:cs="Times New Roman"/>
                <w:color w:val="000000"/>
                <w:sz w:val="18"/>
                <w:szCs w:val="14"/>
                <w:lang w:val="ro-RO"/>
              </w:rPr>
              <w:t xml:space="preserve"> 28 </w:t>
            </w:r>
            <w:r w:rsidR="000A4CC7" w:rsidRPr="009C5F11">
              <w:rPr>
                <w:rFonts w:ascii="Times New Roman" w:eastAsia="Verdana" w:hAnsi="Times New Roman" w:cs="Times New Roman"/>
                <w:color w:val="000000"/>
                <w:sz w:val="18"/>
                <w:szCs w:val="14"/>
                <w:lang w:val="ro-RO"/>
              </w:rPr>
              <w:t>septembrie</w:t>
            </w:r>
            <w:r w:rsidRPr="009C5F11">
              <w:rPr>
                <w:rFonts w:ascii="Times New Roman" w:eastAsia="Verdana" w:hAnsi="Times New Roman" w:cs="Times New Roman"/>
                <w:color w:val="000000"/>
                <w:sz w:val="18"/>
                <w:szCs w:val="14"/>
                <w:lang w:val="ro-RO"/>
              </w:rPr>
              <w:t xml:space="preserve"> 2010</w:t>
            </w:r>
            <w:r w:rsidR="00F60434" w:rsidRPr="009C5F11">
              <w:rPr>
                <w:rFonts w:ascii="Times New Roman" w:eastAsia="Verdana" w:hAnsi="Times New Roman" w:cs="Times New Roman"/>
                <w:color w:val="000000"/>
                <w:sz w:val="18"/>
                <w:szCs w:val="14"/>
                <w:lang w:val="ro-RO"/>
              </w:rPr>
              <w:t xml:space="preserve"> cu privire la</w:t>
            </w:r>
            <w:r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etichetarea energetică</w:t>
            </w:r>
            <w:r w:rsidRPr="009C5F11">
              <w:rPr>
                <w:rFonts w:ascii="Times New Roman" w:eastAsia="Verdana" w:hAnsi="Times New Roman" w:cs="Times New Roman"/>
                <w:color w:val="000000"/>
                <w:sz w:val="18"/>
                <w:szCs w:val="14"/>
                <w:lang w:val="ro-RO"/>
              </w:rPr>
              <w:t xml:space="preserve"> </w:t>
            </w:r>
            <w:r w:rsidR="00F60434" w:rsidRPr="009C5F11">
              <w:rPr>
                <w:rFonts w:ascii="Times New Roman" w:eastAsia="Verdana" w:hAnsi="Times New Roman" w:cs="Times New Roman"/>
                <w:color w:val="000000"/>
                <w:sz w:val="18"/>
                <w:szCs w:val="14"/>
                <w:lang w:val="ro-RO"/>
              </w:rPr>
              <w:t>aplicabilă mașinilor de spălat vase de uz casnic</w:t>
            </w:r>
            <w:r w:rsidRPr="009C5F11">
              <w:rPr>
                <w:rFonts w:ascii="Times New Roman" w:eastAsia="Verdana" w:hAnsi="Times New Roman" w:cs="Times New Roman"/>
                <w:color w:val="000000"/>
                <w:sz w:val="18"/>
                <w:szCs w:val="14"/>
                <w:lang w:val="ro-RO"/>
              </w:rPr>
              <w:t>;</w:t>
            </w:r>
          </w:p>
          <w:p w14:paraId="2FBC9DF6"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3. </w:t>
            </w:r>
            <w:r w:rsidR="00DA2514" w:rsidRPr="009C5F11">
              <w:rPr>
                <w:rFonts w:ascii="Times New Roman" w:eastAsia="Verdana" w:hAnsi="Times New Roman" w:cs="Times New Roman"/>
                <w:color w:val="000000"/>
                <w:sz w:val="18"/>
                <w:szCs w:val="14"/>
                <w:lang w:val="ro-RO"/>
              </w:rPr>
              <w:t>Regulamentul delegat (UE)</w:t>
            </w:r>
            <w:r w:rsidR="00F60434" w:rsidRPr="009C5F11">
              <w:rPr>
                <w:rFonts w:ascii="Times New Roman" w:eastAsia="Verdana" w:hAnsi="Times New Roman" w:cs="Times New Roman"/>
                <w:color w:val="000000"/>
                <w:sz w:val="18"/>
                <w:szCs w:val="14"/>
                <w:lang w:val="ro-RO"/>
              </w:rPr>
              <w:t xml:space="preserve"> nr. 1060/2010 </w:t>
            </w:r>
            <w:r w:rsidR="00DA2514" w:rsidRPr="009C5F11">
              <w:rPr>
                <w:rFonts w:ascii="Times New Roman" w:eastAsia="Verdana" w:hAnsi="Times New Roman" w:cs="Times New Roman"/>
                <w:color w:val="000000"/>
                <w:sz w:val="18"/>
                <w:szCs w:val="14"/>
                <w:lang w:val="ro-RO"/>
              </w:rPr>
              <w:t>al Comisiei</w:t>
            </w:r>
            <w:r w:rsidRPr="009C5F11">
              <w:rPr>
                <w:rFonts w:ascii="Times New Roman" w:eastAsia="Verdana" w:hAnsi="Times New Roman" w:cs="Times New Roman"/>
                <w:color w:val="000000"/>
                <w:sz w:val="18"/>
                <w:szCs w:val="14"/>
                <w:lang w:val="ro-RO"/>
              </w:rPr>
              <w:t xml:space="preserve"> </w:t>
            </w:r>
            <w:r w:rsidR="00F60434" w:rsidRPr="009C5F11">
              <w:rPr>
                <w:rFonts w:ascii="Times New Roman" w:eastAsia="Verdana" w:hAnsi="Times New Roman" w:cs="Times New Roman"/>
                <w:color w:val="000000"/>
                <w:sz w:val="18"/>
                <w:szCs w:val="14"/>
                <w:lang w:val="ro-RO"/>
              </w:rPr>
              <w:t>din</w:t>
            </w:r>
            <w:r w:rsidRPr="009C5F11">
              <w:rPr>
                <w:rFonts w:ascii="Times New Roman" w:eastAsia="Verdana" w:hAnsi="Times New Roman" w:cs="Times New Roman"/>
                <w:color w:val="000000"/>
                <w:sz w:val="18"/>
                <w:szCs w:val="14"/>
                <w:lang w:val="ro-RO"/>
              </w:rPr>
              <w:t xml:space="preserve"> 28 </w:t>
            </w:r>
            <w:r w:rsidR="000A4CC7" w:rsidRPr="009C5F11">
              <w:rPr>
                <w:rFonts w:ascii="Times New Roman" w:eastAsia="Verdana" w:hAnsi="Times New Roman" w:cs="Times New Roman"/>
                <w:color w:val="000000"/>
                <w:sz w:val="18"/>
                <w:szCs w:val="14"/>
                <w:lang w:val="ro-RO"/>
              </w:rPr>
              <w:t>septembrie</w:t>
            </w:r>
            <w:r w:rsidRPr="009C5F11">
              <w:rPr>
                <w:rFonts w:ascii="Times New Roman" w:eastAsia="Verdana" w:hAnsi="Times New Roman" w:cs="Times New Roman"/>
                <w:color w:val="000000"/>
                <w:sz w:val="18"/>
                <w:szCs w:val="14"/>
                <w:lang w:val="ro-RO"/>
              </w:rPr>
              <w:t xml:space="preserve"> 2010</w:t>
            </w:r>
            <w:r w:rsidR="00F60434" w:rsidRPr="009C5F11">
              <w:rPr>
                <w:rFonts w:ascii="Times New Roman" w:eastAsia="Verdana" w:hAnsi="Times New Roman" w:cs="Times New Roman"/>
                <w:color w:val="000000"/>
                <w:sz w:val="18"/>
                <w:szCs w:val="14"/>
                <w:lang w:val="ro-RO"/>
              </w:rPr>
              <w:t xml:space="preserve"> cu privire la </w:t>
            </w:r>
            <w:r w:rsidR="00AB1710" w:rsidRPr="009C5F11">
              <w:rPr>
                <w:rFonts w:ascii="Times New Roman" w:eastAsia="Verdana" w:hAnsi="Times New Roman" w:cs="Times New Roman"/>
                <w:color w:val="000000"/>
                <w:sz w:val="18"/>
                <w:szCs w:val="14"/>
                <w:lang w:val="ro-RO"/>
              </w:rPr>
              <w:t>etichetarea energetică</w:t>
            </w:r>
            <w:r w:rsidRPr="009C5F11">
              <w:rPr>
                <w:rFonts w:ascii="Times New Roman" w:eastAsia="Verdana" w:hAnsi="Times New Roman" w:cs="Times New Roman"/>
                <w:color w:val="000000"/>
                <w:sz w:val="18"/>
                <w:szCs w:val="14"/>
                <w:lang w:val="ro-RO"/>
              </w:rPr>
              <w:t xml:space="preserve"> </w:t>
            </w:r>
            <w:r w:rsidR="00F60434" w:rsidRPr="009C5F11">
              <w:rPr>
                <w:rFonts w:ascii="Times New Roman" w:eastAsia="Verdana" w:hAnsi="Times New Roman" w:cs="Times New Roman"/>
                <w:color w:val="000000"/>
                <w:sz w:val="18"/>
                <w:szCs w:val="14"/>
                <w:lang w:val="ro-RO"/>
              </w:rPr>
              <w:t>aparatelor frigorifice de uz casnic</w:t>
            </w:r>
            <w:r w:rsidRPr="009C5F11">
              <w:rPr>
                <w:rFonts w:ascii="Times New Roman" w:eastAsia="Verdana" w:hAnsi="Times New Roman" w:cs="Times New Roman"/>
                <w:color w:val="000000"/>
                <w:sz w:val="18"/>
                <w:szCs w:val="14"/>
                <w:lang w:val="ro-RO"/>
              </w:rPr>
              <w:t>;</w:t>
            </w:r>
          </w:p>
          <w:p w14:paraId="7204AB60"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4. </w:t>
            </w:r>
            <w:r w:rsidR="00DA2514" w:rsidRPr="009C5F11">
              <w:rPr>
                <w:rFonts w:ascii="Times New Roman" w:eastAsia="Verdana" w:hAnsi="Times New Roman" w:cs="Times New Roman"/>
                <w:color w:val="000000"/>
                <w:sz w:val="18"/>
                <w:szCs w:val="14"/>
                <w:lang w:val="ro-RO"/>
              </w:rPr>
              <w:t xml:space="preserve">Regulamentul delegat (UE) </w:t>
            </w:r>
            <w:r w:rsidR="00F60434" w:rsidRPr="009C5F11">
              <w:rPr>
                <w:rFonts w:ascii="Times New Roman" w:eastAsia="Verdana" w:hAnsi="Times New Roman" w:cs="Times New Roman"/>
                <w:color w:val="000000"/>
                <w:sz w:val="18"/>
                <w:szCs w:val="14"/>
                <w:lang w:val="ro-RO"/>
              </w:rPr>
              <w:t xml:space="preserve">nr. 1062/2010 </w:t>
            </w:r>
            <w:r w:rsidR="00DA2514" w:rsidRPr="009C5F11">
              <w:rPr>
                <w:rFonts w:ascii="Times New Roman" w:eastAsia="Verdana" w:hAnsi="Times New Roman" w:cs="Times New Roman"/>
                <w:color w:val="000000"/>
                <w:sz w:val="18"/>
                <w:szCs w:val="14"/>
                <w:lang w:val="ro-RO"/>
              </w:rPr>
              <w:t>al Comisiei</w:t>
            </w:r>
            <w:r w:rsidRPr="009C5F11">
              <w:rPr>
                <w:rFonts w:ascii="Times New Roman" w:eastAsia="Verdana" w:hAnsi="Times New Roman" w:cs="Times New Roman"/>
                <w:color w:val="000000"/>
                <w:sz w:val="18"/>
                <w:szCs w:val="14"/>
                <w:lang w:val="ro-RO"/>
              </w:rPr>
              <w:t xml:space="preserve"> </w:t>
            </w:r>
            <w:r w:rsidR="00F60434" w:rsidRPr="009C5F11">
              <w:rPr>
                <w:rFonts w:ascii="Times New Roman" w:eastAsia="Verdana" w:hAnsi="Times New Roman" w:cs="Times New Roman"/>
                <w:color w:val="000000"/>
                <w:sz w:val="18"/>
                <w:szCs w:val="14"/>
                <w:lang w:val="ro-RO"/>
              </w:rPr>
              <w:t>din</w:t>
            </w:r>
            <w:r w:rsidRPr="009C5F11">
              <w:rPr>
                <w:rFonts w:ascii="Times New Roman" w:eastAsia="Verdana" w:hAnsi="Times New Roman" w:cs="Times New Roman"/>
                <w:color w:val="000000"/>
                <w:sz w:val="18"/>
                <w:szCs w:val="14"/>
                <w:lang w:val="ro-RO"/>
              </w:rPr>
              <w:t xml:space="preserve"> 28 </w:t>
            </w:r>
            <w:r w:rsidR="000A4CC7" w:rsidRPr="009C5F11">
              <w:rPr>
                <w:rFonts w:ascii="Times New Roman" w:eastAsia="Verdana" w:hAnsi="Times New Roman" w:cs="Times New Roman"/>
                <w:color w:val="000000"/>
                <w:sz w:val="18"/>
                <w:szCs w:val="14"/>
                <w:lang w:val="ro-RO"/>
              </w:rPr>
              <w:t>septembrie</w:t>
            </w:r>
            <w:r w:rsidRPr="009C5F11">
              <w:rPr>
                <w:rFonts w:ascii="Times New Roman" w:eastAsia="Verdana" w:hAnsi="Times New Roman" w:cs="Times New Roman"/>
                <w:color w:val="000000"/>
                <w:sz w:val="18"/>
                <w:szCs w:val="14"/>
                <w:lang w:val="ro-RO"/>
              </w:rPr>
              <w:t xml:space="preserve"> 2010</w:t>
            </w:r>
            <w:r w:rsidR="00F60434" w:rsidRPr="009C5F11">
              <w:rPr>
                <w:rFonts w:ascii="Times New Roman" w:eastAsia="Verdana" w:hAnsi="Times New Roman" w:cs="Times New Roman"/>
                <w:color w:val="000000"/>
                <w:sz w:val="18"/>
                <w:szCs w:val="14"/>
                <w:lang w:val="ro-RO"/>
              </w:rPr>
              <w:t xml:space="preserve"> cu privire la </w:t>
            </w:r>
            <w:r w:rsidR="00AB1710" w:rsidRPr="009C5F11">
              <w:rPr>
                <w:rFonts w:ascii="Times New Roman" w:eastAsia="Verdana" w:hAnsi="Times New Roman" w:cs="Times New Roman"/>
                <w:color w:val="000000"/>
                <w:sz w:val="18"/>
                <w:szCs w:val="14"/>
                <w:lang w:val="ro-RO"/>
              </w:rPr>
              <w:t>etichetarea energetică</w:t>
            </w:r>
            <w:r w:rsidRPr="009C5F11">
              <w:rPr>
                <w:rFonts w:ascii="Times New Roman" w:eastAsia="Verdana" w:hAnsi="Times New Roman" w:cs="Times New Roman"/>
                <w:color w:val="000000"/>
                <w:sz w:val="18"/>
                <w:szCs w:val="14"/>
                <w:lang w:val="ro-RO"/>
              </w:rPr>
              <w:t xml:space="preserve"> </w:t>
            </w:r>
            <w:r w:rsidR="00F60434" w:rsidRPr="009C5F11">
              <w:rPr>
                <w:rFonts w:ascii="Times New Roman" w:eastAsia="Verdana" w:hAnsi="Times New Roman" w:cs="Times New Roman"/>
                <w:color w:val="000000"/>
                <w:sz w:val="18"/>
                <w:szCs w:val="14"/>
                <w:lang w:val="ro-RO"/>
              </w:rPr>
              <w:t>a televizoarelor.</w:t>
            </w:r>
          </w:p>
          <w:p w14:paraId="382F66E1" w14:textId="77777777" w:rsidR="00780B2E" w:rsidRPr="009C5F11" w:rsidRDefault="00F60434"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Totuşi, actele normative menţionate mai sus acoperă parţial angajamentele asumate faţă de </w:t>
            </w:r>
            <w:r w:rsidR="00D55D28" w:rsidRPr="009C5F11">
              <w:rPr>
                <w:rFonts w:ascii="Times New Roman" w:eastAsia="Verdana" w:hAnsi="Times New Roman" w:cs="Times New Roman"/>
                <w:color w:val="000000"/>
                <w:sz w:val="18"/>
                <w:szCs w:val="14"/>
                <w:lang w:val="ro-RO"/>
              </w:rPr>
              <w:t>Comunitatea Energetică</w:t>
            </w:r>
            <w:r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fiind armonizate cu angajamentele ce decurg din Acordul de Asociere UE-Republica Moldova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Actualmente, Proiectul </w:t>
            </w:r>
            <w:r w:rsidR="00076D31" w:rsidRPr="009C5F11">
              <w:rPr>
                <w:rFonts w:ascii="Times New Roman" w:eastAsia="Verdana" w:hAnsi="Times New Roman" w:cs="Times New Roman"/>
                <w:color w:val="000000"/>
                <w:sz w:val="18"/>
                <w:szCs w:val="14"/>
                <w:lang w:val="ro-RO"/>
              </w:rPr>
              <w:t>HG RM</w:t>
            </w:r>
            <w:r w:rsidR="00780B2E" w:rsidRPr="009C5F11">
              <w:rPr>
                <w:rFonts w:ascii="Times New Roman" w:eastAsia="Verdana" w:hAnsi="Times New Roman" w:cs="Times New Roman"/>
                <w:color w:val="000000"/>
                <w:sz w:val="18"/>
                <w:szCs w:val="14"/>
                <w:lang w:val="ro-RO"/>
              </w:rPr>
              <w:t xml:space="preserve"> </w:t>
            </w:r>
            <w:r w:rsidR="00052FA3" w:rsidRPr="009C5F11">
              <w:rPr>
                <w:rFonts w:ascii="Times New Roman" w:eastAsia="Verdana" w:hAnsi="Times New Roman" w:cs="Times New Roman"/>
                <w:color w:val="000000"/>
                <w:sz w:val="18"/>
                <w:szCs w:val="14"/>
                <w:lang w:val="ro-RO"/>
              </w:rPr>
              <w:t xml:space="preserve">menţionat mai sus </w:t>
            </w:r>
            <w:r w:rsidRPr="009C5F11">
              <w:rPr>
                <w:rFonts w:ascii="Times New Roman" w:eastAsia="Verdana" w:hAnsi="Times New Roman" w:cs="Times New Roman"/>
                <w:color w:val="000000"/>
                <w:sz w:val="18"/>
                <w:szCs w:val="14"/>
                <w:lang w:val="ro-RO"/>
              </w:rPr>
              <w:t>este supus procesului de coordonare</w:t>
            </w:r>
            <w:r w:rsidR="00780B2E" w:rsidRPr="009C5F11">
              <w:rPr>
                <w:rFonts w:ascii="Times New Roman" w:eastAsia="Verdana" w:hAnsi="Times New Roman" w:cs="Times New Roman"/>
                <w:color w:val="000000"/>
                <w:sz w:val="18"/>
                <w:szCs w:val="14"/>
                <w:lang w:val="ro-RO"/>
              </w:rPr>
              <w:t>.</w:t>
            </w:r>
          </w:p>
          <w:p w14:paraId="0D8A99E3" w14:textId="77777777" w:rsidR="00780B2E" w:rsidRPr="009C5F11" w:rsidRDefault="00F60434"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Legea privind cerinţele în materie de proiectare ecologică aplicabile produselor cu impact energetic</w:t>
            </w:r>
            <w:r w:rsidR="00780B2E" w:rsidRPr="009C5F11">
              <w:rPr>
                <w:rFonts w:ascii="Times New Roman" w:eastAsia="Verdana" w:hAnsi="Times New Roman" w:cs="Times New Roman"/>
                <w:color w:val="000000"/>
                <w:sz w:val="18"/>
                <w:szCs w:val="14"/>
                <w:lang w:val="ro-RO"/>
              </w:rPr>
              <w:t xml:space="preserve"> </w:t>
            </w:r>
            <w:r w:rsidR="006A4435" w:rsidRPr="009C5F11">
              <w:rPr>
                <w:rFonts w:ascii="Times New Roman" w:eastAsia="Verdana" w:hAnsi="Times New Roman" w:cs="Times New Roman"/>
                <w:color w:val="000000"/>
                <w:sz w:val="18"/>
                <w:szCs w:val="14"/>
                <w:lang w:val="ro-RO"/>
              </w:rPr>
              <w:t>(nr. 44 din 27.03.2014)</w:t>
            </w:r>
            <w:r w:rsidR="00780B2E"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îşi propune să transpună</w:t>
            </w:r>
            <w:r w:rsidR="00780B2E" w:rsidRPr="009C5F11">
              <w:rPr>
                <w:rFonts w:ascii="Times New Roman" w:eastAsia="Verdana" w:hAnsi="Times New Roman" w:cs="Times New Roman"/>
                <w:color w:val="000000"/>
                <w:sz w:val="18"/>
                <w:szCs w:val="14"/>
                <w:lang w:val="ro-RO"/>
              </w:rPr>
              <w:t xml:space="preserve"> </w:t>
            </w:r>
            <w:r w:rsidR="000A4CC7" w:rsidRPr="009C5F11">
              <w:rPr>
                <w:rFonts w:ascii="Times New Roman" w:eastAsia="Verdana" w:hAnsi="Times New Roman" w:cs="Times New Roman"/>
                <w:color w:val="000000"/>
                <w:sz w:val="18"/>
                <w:szCs w:val="14"/>
                <w:lang w:val="ro-RO"/>
              </w:rPr>
              <w:t xml:space="preserve">Directiva </w:t>
            </w:r>
            <w:r w:rsidR="00780B2E" w:rsidRPr="009C5F11">
              <w:rPr>
                <w:rFonts w:ascii="Times New Roman" w:eastAsia="Verdana" w:hAnsi="Times New Roman" w:cs="Times New Roman"/>
                <w:color w:val="000000"/>
                <w:sz w:val="18"/>
                <w:szCs w:val="14"/>
                <w:lang w:val="ro-RO"/>
              </w:rPr>
              <w:t>2009/125</w:t>
            </w:r>
            <w:r w:rsidR="000A4CC7" w:rsidRPr="009C5F11">
              <w:rPr>
                <w:rFonts w:ascii="Times New Roman" w:eastAsia="Verdana" w:hAnsi="Times New Roman" w:cs="Times New Roman"/>
                <w:color w:val="000000"/>
                <w:sz w:val="18"/>
                <w:szCs w:val="14"/>
                <w:lang w:val="ro-RO"/>
              </w:rPr>
              <w:t>/CE</w:t>
            </w:r>
            <w:r w:rsidR="00780B2E"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 xml:space="preserve">a </w:t>
            </w:r>
            <w:r w:rsidR="000126A5" w:rsidRPr="009C5F11">
              <w:rPr>
                <w:rFonts w:ascii="Times New Roman" w:eastAsia="Verdana" w:hAnsi="Times New Roman" w:cs="Times New Roman"/>
                <w:color w:val="000000"/>
                <w:sz w:val="18"/>
                <w:szCs w:val="14"/>
                <w:lang w:val="ro-RO"/>
              </w:rPr>
              <w:lastRenderedPageBreak/>
              <w:t>Parlamentului European</w:t>
            </w:r>
            <w:r w:rsidR="00321CD5" w:rsidRPr="009C5F11">
              <w:rPr>
                <w:rFonts w:ascii="Times New Roman" w:eastAsia="Verdana" w:hAnsi="Times New Roman" w:cs="Times New Roman"/>
                <w:color w:val="000000"/>
                <w:sz w:val="18"/>
                <w:szCs w:val="14"/>
                <w:lang w:val="ro-RO"/>
              </w:rPr>
              <w:t xml:space="preserve"> şi </w:t>
            </w:r>
            <w:r w:rsidR="000126A5" w:rsidRPr="009C5F11">
              <w:rPr>
                <w:rFonts w:ascii="Times New Roman" w:eastAsia="Verdana" w:hAnsi="Times New Roman" w:cs="Times New Roman"/>
                <w:color w:val="000000"/>
                <w:sz w:val="18"/>
                <w:szCs w:val="14"/>
                <w:lang w:val="ro-RO"/>
              </w:rPr>
              <w:t>a Consiliului</w:t>
            </w:r>
            <w:r w:rsidR="00780B2E"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21 </w:t>
            </w:r>
            <w:r w:rsidR="000A4CC7" w:rsidRPr="009C5F11">
              <w:rPr>
                <w:rFonts w:ascii="Times New Roman" w:eastAsia="Verdana" w:hAnsi="Times New Roman" w:cs="Times New Roman"/>
                <w:color w:val="000000"/>
                <w:sz w:val="18"/>
                <w:szCs w:val="14"/>
                <w:lang w:val="ro-RO"/>
              </w:rPr>
              <w:t>octombrie</w:t>
            </w:r>
            <w:r w:rsidR="00780B2E"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2009</w:t>
            </w:r>
            <w:r w:rsidR="000126A5" w:rsidRPr="009C5F11">
              <w:rPr>
                <w:rFonts w:ascii="Times New Roman" w:eastAsia="Verdana" w:hAnsi="Times New Roman" w:cs="Times New Roman"/>
                <w:bCs/>
                <w:color w:val="000000"/>
                <w:sz w:val="18"/>
                <w:szCs w:val="14"/>
                <w:lang w:val="ro-RO"/>
              </w:rPr>
              <w:t xml:space="preserve"> de instituire a unui cadru pentru stabilirea cerințelor în materie de proiectare ecologică aplicabile produselor cu impact energetic</w:t>
            </w:r>
            <w:r w:rsidR="00780B2E" w:rsidRPr="009C5F11">
              <w:rPr>
                <w:rFonts w:ascii="Times New Roman" w:eastAsia="Verdana" w:hAnsi="Times New Roman" w:cs="Times New Roman"/>
                <w:color w:val="000000"/>
                <w:sz w:val="18"/>
                <w:szCs w:val="14"/>
                <w:lang w:val="ro-RO"/>
              </w:rPr>
              <w:t xml:space="preserve">. </w:t>
            </w:r>
          </w:p>
          <w:p w14:paraId="193E4C45" w14:textId="77777777" w:rsidR="00780B2E" w:rsidRPr="009C5F11" w:rsidRDefault="000A4CC7"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Legea</w:t>
            </w:r>
            <w:r w:rsidR="00780B2E" w:rsidRPr="009C5F11">
              <w:rPr>
                <w:rFonts w:ascii="Times New Roman" w:eastAsia="Verdana" w:hAnsi="Times New Roman" w:cs="Times New Roman"/>
                <w:color w:val="000000"/>
                <w:sz w:val="18"/>
                <w:szCs w:val="14"/>
                <w:lang w:val="ro-RO"/>
              </w:rPr>
              <w:t xml:space="preserve"> </w:t>
            </w:r>
            <w:r w:rsidR="000C7BEC" w:rsidRPr="009C5F11">
              <w:rPr>
                <w:rFonts w:ascii="Times New Roman" w:eastAsia="Verdana" w:hAnsi="Times New Roman" w:cs="Times New Roman"/>
                <w:color w:val="000000"/>
                <w:sz w:val="18"/>
                <w:szCs w:val="14"/>
                <w:lang w:val="ro-RO"/>
              </w:rPr>
              <w:t>a intrat în vigoare la</w:t>
            </w:r>
            <w:r w:rsidR="00780B2E" w:rsidRPr="009C5F11">
              <w:rPr>
                <w:rFonts w:ascii="Times New Roman" w:eastAsia="Verdana" w:hAnsi="Times New Roman" w:cs="Times New Roman"/>
                <w:color w:val="000000"/>
                <w:sz w:val="18"/>
                <w:szCs w:val="14"/>
                <w:lang w:val="ro-RO"/>
              </w:rPr>
              <w:t xml:space="preserve"> 10.04.2015</w:t>
            </w:r>
            <w:r w:rsidR="00321CD5" w:rsidRPr="009C5F11">
              <w:rPr>
                <w:rFonts w:ascii="Times New Roman" w:eastAsia="Verdana" w:hAnsi="Times New Roman" w:cs="Times New Roman"/>
                <w:color w:val="000000"/>
                <w:sz w:val="18"/>
                <w:szCs w:val="14"/>
                <w:lang w:val="ro-RO"/>
              </w:rPr>
              <w:t xml:space="preserve"> şi </w:t>
            </w:r>
            <w:r w:rsidR="000126A5" w:rsidRPr="009C5F11">
              <w:rPr>
                <w:rFonts w:ascii="Times New Roman" w:eastAsia="Verdana" w:hAnsi="Times New Roman" w:cs="Times New Roman"/>
                <w:color w:val="000000"/>
                <w:sz w:val="18"/>
                <w:szCs w:val="14"/>
                <w:lang w:val="ro-RO"/>
              </w:rPr>
              <w:t>asigură baza pentru instituirea cadrului juridic</w:t>
            </w:r>
            <w:r w:rsidR="000126A5" w:rsidRPr="009C5F11">
              <w:rPr>
                <w:rFonts w:ascii="Times New Roman" w:eastAsia="Verdana" w:hAnsi="Times New Roman" w:cs="Times New Roman"/>
                <w:bCs/>
                <w:color w:val="000000"/>
                <w:sz w:val="18"/>
                <w:szCs w:val="14"/>
                <w:lang w:val="ro-RO"/>
              </w:rPr>
              <w:t xml:space="preserve"> în materie de proiectare ecologică aplicabil</w:t>
            </w:r>
            <w:r w:rsidR="008806C1" w:rsidRPr="009C5F11">
              <w:rPr>
                <w:rFonts w:ascii="Times New Roman" w:eastAsia="Verdana" w:hAnsi="Times New Roman" w:cs="Times New Roman"/>
                <w:bCs/>
                <w:color w:val="000000"/>
                <w:sz w:val="18"/>
                <w:szCs w:val="14"/>
                <w:lang w:val="ro-RO"/>
              </w:rPr>
              <w:t>ă</w:t>
            </w:r>
            <w:r w:rsidR="000126A5" w:rsidRPr="009C5F11">
              <w:rPr>
                <w:rFonts w:ascii="Times New Roman" w:eastAsia="Verdana" w:hAnsi="Times New Roman" w:cs="Times New Roman"/>
                <w:bCs/>
                <w:color w:val="000000"/>
                <w:sz w:val="18"/>
                <w:szCs w:val="14"/>
                <w:lang w:val="ro-RO"/>
              </w:rPr>
              <w:t xml:space="preserve"> produselor cu impact energetic</w:t>
            </w:r>
            <w:r w:rsidR="000126A5"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 xml:space="preserve">şi </w:t>
            </w:r>
            <w:r w:rsidR="004000CC" w:rsidRPr="009C5F11">
              <w:rPr>
                <w:rFonts w:ascii="Times New Roman" w:eastAsia="Verdana" w:hAnsi="Times New Roman" w:cs="Times New Roman"/>
                <w:color w:val="000000"/>
                <w:sz w:val="18"/>
                <w:szCs w:val="14"/>
                <w:lang w:val="ro-RO"/>
              </w:rPr>
              <w:t>defineşte</w:t>
            </w:r>
            <w:r w:rsidR="00780B2E"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cerinţele</w:t>
            </w:r>
            <w:r w:rsidR="00780B2E"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pentru</w:t>
            </w:r>
            <w:r w:rsidR="00780B2E" w:rsidRPr="009C5F11">
              <w:rPr>
                <w:rFonts w:ascii="Times New Roman" w:eastAsia="Verdana" w:hAnsi="Times New Roman" w:cs="Times New Roman"/>
                <w:color w:val="000000"/>
                <w:sz w:val="18"/>
                <w:szCs w:val="14"/>
                <w:lang w:val="ro-RO"/>
              </w:rPr>
              <w:t xml:space="preserve"> </w:t>
            </w:r>
            <w:r w:rsidR="00F10EAE" w:rsidRPr="009C5F11">
              <w:rPr>
                <w:rFonts w:ascii="Times New Roman" w:eastAsia="Verdana" w:hAnsi="Times New Roman" w:cs="Times New Roman"/>
                <w:color w:val="000000"/>
                <w:sz w:val="18"/>
                <w:szCs w:val="14"/>
                <w:lang w:val="ro-RO"/>
              </w:rPr>
              <w:t>produsele cu impact energetic</w:t>
            </w:r>
            <w:r w:rsidR="00780B2E"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scoase pe piaţă</w:t>
            </w:r>
            <w:r w:rsidR="00780B2E"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şi/sau</w:t>
            </w:r>
            <w:r w:rsidR="00780B2E"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puse în funcţiune</w:t>
            </w:r>
            <w:r w:rsidR="00780B2E" w:rsidRPr="009C5F11">
              <w:rPr>
                <w:rFonts w:ascii="Times New Roman" w:eastAsia="Verdana" w:hAnsi="Times New Roman" w:cs="Times New Roman"/>
                <w:color w:val="000000"/>
                <w:sz w:val="18"/>
                <w:szCs w:val="14"/>
                <w:lang w:val="ro-RO"/>
              </w:rPr>
              <w:t>, contribu</w:t>
            </w:r>
            <w:r w:rsidR="000126A5" w:rsidRPr="009C5F11">
              <w:rPr>
                <w:rFonts w:ascii="Times New Roman" w:eastAsia="Verdana" w:hAnsi="Times New Roman" w:cs="Times New Roman"/>
                <w:color w:val="000000"/>
                <w:sz w:val="18"/>
                <w:szCs w:val="14"/>
                <w:lang w:val="ro-RO"/>
              </w:rPr>
              <w:t>ind prin aceasta la dezvoltarea durabilă</w:t>
            </w:r>
            <w:r w:rsidR="00780B2E"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sporirea</w:t>
            </w:r>
            <w:r w:rsidR="00780B2E" w:rsidRPr="009C5F11">
              <w:rPr>
                <w:rFonts w:ascii="Times New Roman" w:eastAsia="Verdana" w:hAnsi="Times New Roman" w:cs="Times New Roman"/>
                <w:color w:val="000000"/>
                <w:sz w:val="18"/>
                <w:szCs w:val="14"/>
                <w:lang w:val="ro-RO"/>
              </w:rPr>
              <w:t xml:space="preserve"> </w:t>
            </w:r>
            <w:r w:rsidR="000C7BEC" w:rsidRPr="009C5F11">
              <w:rPr>
                <w:rFonts w:ascii="Times New Roman" w:eastAsia="Verdana" w:hAnsi="Times New Roman" w:cs="Times New Roman"/>
                <w:color w:val="000000"/>
                <w:sz w:val="18"/>
                <w:szCs w:val="14"/>
                <w:lang w:val="ro-RO"/>
              </w:rPr>
              <w:t>eficienţ</w:t>
            </w:r>
            <w:r w:rsidR="000126A5" w:rsidRPr="009C5F11">
              <w:rPr>
                <w:rFonts w:ascii="Times New Roman" w:eastAsia="Verdana" w:hAnsi="Times New Roman" w:cs="Times New Roman"/>
                <w:color w:val="000000"/>
                <w:sz w:val="18"/>
                <w:szCs w:val="14"/>
                <w:lang w:val="ro-RO"/>
              </w:rPr>
              <w:t>ei</w:t>
            </w:r>
            <w:r w:rsidR="000C7BEC" w:rsidRPr="009C5F11">
              <w:rPr>
                <w:rFonts w:ascii="Times New Roman" w:eastAsia="Verdana" w:hAnsi="Times New Roman" w:cs="Times New Roman"/>
                <w:color w:val="000000"/>
                <w:sz w:val="18"/>
                <w:szCs w:val="14"/>
                <w:lang w:val="ro-RO"/>
              </w:rPr>
              <w:t xml:space="preserve"> energetic</w:t>
            </w:r>
            <w:r w:rsidR="000126A5" w:rsidRPr="009C5F11">
              <w:rPr>
                <w:rFonts w:ascii="Times New Roman" w:eastAsia="Verdana" w:hAnsi="Times New Roman" w:cs="Times New Roman"/>
                <w:color w:val="000000"/>
                <w:sz w:val="18"/>
                <w:szCs w:val="14"/>
                <w:lang w:val="ro-RO"/>
              </w:rPr>
              <w:t>e</w:t>
            </w:r>
            <w:r w:rsidR="00321CD5" w:rsidRPr="009C5F11">
              <w:rPr>
                <w:rFonts w:ascii="Times New Roman" w:eastAsia="Verdana" w:hAnsi="Times New Roman" w:cs="Times New Roman"/>
                <w:color w:val="000000"/>
                <w:sz w:val="18"/>
                <w:szCs w:val="14"/>
                <w:lang w:val="ro-RO"/>
              </w:rPr>
              <w:t xml:space="preserve"> şi </w:t>
            </w:r>
            <w:r w:rsidR="000126A5" w:rsidRPr="009C5F11">
              <w:rPr>
                <w:rFonts w:ascii="Times New Roman" w:eastAsia="Verdana" w:hAnsi="Times New Roman" w:cs="Times New Roman"/>
                <w:color w:val="000000"/>
                <w:sz w:val="18"/>
                <w:szCs w:val="14"/>
                <w:lang w:val="ro-RO"/>
              </w:rPr>
              <w:t>protecţia mediului ambiant, îmbunătăţind concomitent securitatea energetică</w:t>
            </w:r>
            <w:r w:rsidR="00780B2E" w:rsidRPr="009C5F11">
              <w:rPr>
                <w:rFonts w:ascii="Times New Roman" w:eastAsia="Verdana" w:hAnsi="Times New Roman" w:cs="Times New Roman"/>
                <w:color w:val="000000"/>
                <w:sz w:val="18"/>
                <w:szCs w:val="14"/>
                <w:lang w:val="ro-RO"/>
              </w:rPr>
              <w:t xml:space="preserve">. </w:t>
            </w:r>
          </w:p>
          <w:p w14:paraId="0600AC64" w14:textId="77777777" w:rsidR="00780B2E" w:rsidRPr="009C5F11" w:rsidRDefault="00927CD9"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Potrivit</w:t>
            </w:r>
            <w:r w:rsidR="00780B2E" w:rsidRPr="009C5F11">
              <w:rPr>
                <w:rFonts w:ascii="Times New Roman" w:eastAsia="Verdana" w:hAnsi="Times New Roman" w:cs="Times New Roman"/>
                <w:color w:val="000000"/>
                <w:sz w:val="18"/>
                <w:szCs w:val="14"/>
                <w:lang w:val="ro-RO"/>
              </w:rPr>
              <w:t xml:space="preserve"> </w:t>
            </w:r>
            <w:r w:rsidR="003E7745" w:rsidRPr="009C5F11">
              <w:rPr>
                <w:rFonts w:ascii="Times New Roman" w:eastAsia="Verdana" w:hAnsi="Times New Roman" w:cs="Times New Roman"/>
                <w:color w:val="000000"/>
                <w:sz w:val="18"/>
                <w:szCs w:val="14"/>
                <w:lang w:val="ro-RO"/>
              </w:rPr>
              <w:t>acestei</w:t>
            </w:r>
            <w:r w:rsidR="00780B2E" w:rsidRPr="009C5F11">
              <w:rPr>
                <w:rFonts w:ascii="Times New Roman" w:eastAsia="Verdana" w:hAnsi="Times New Roman" w:cs="Times New Roman"/>
                <w:color w:val="000000"/>
                <w:sz w:val="18"/>
                <w:szCs w:val="14"/>
                <w:lang w:val="ro-RO"/>
              </w:rPr>
              <w:t xml:space="preserve"> </w:t>
            </w:r>
            <w:r w:rsidR="008806C1" w:rsidRPr="009C5F11">
              <w:rPr>
                <w:rFonts w:ascii="Times New Roman" w:eastAsia="Verdana" w:hAnsi="Times New Roman" w:cs="Times New Roman"/>
                <w:color w:val="000000"/>
                <w:sz w:val="18"/>
                <w:szCs w:val="14"/>
                <w:lang w:val="ro-RO"/>
              </w:rPr>
              <w:t>l</w:t>
            </w:r>
            <w:r w:rsidR="00055095" w:rsidRPr="009C5F11">
              <w:rPr>
                <w:rFonts w:ascii="Times New Roman" w:eastAsia="Verdana" w:hAnsi="Times New Roman" w:cs="Times New Roman"/>
                <w:color w:val="000000"/>
                <w:sz w:val="18"/>
                <w:szCs w:val="14"/>
                <w:lang w:val="ro-RO"/>
              </w:rPr>
              <w:t>eg</w:t>
            </w:r>
            <w:r w:rsidR="003E7745" w:rsidRPr="009C5F11">
              <w:rPr>
                <w:rFonts w:ascii="Times New Roman" w:eastAsia="Verdana" w:hAnsi="Times New Roman" w:cs="Times New Roman"/>
                <w:color w:val="000000"/>
                <w:sz w:val="18"/>
                <w:szCs w:val="14"/>
                <w:lang w:val="ro-RO"/>
              </w:rPr>
              <w:t>i</w:t>
            </w:r>
            <w:r w:rsidR="00780B2E" w:rsidRPr="009C5F11">
              <w:rPr>
                <w:rFonts w:ascii="Times New Roman" w:eastAsia="Verdana" w:hAnsi="Times New Roman" w:cs="Times New Roman"/>
                <w:color w:val="000000"/>
                <w:sz w:val="18"/>
                <w:szCs w:val="14"/>
                <w:lang w:val="ro-RO"/>
              </w:rPr>
              <w:t xml:space="preserve">, </w:t>
            </w:r>
            <w:r w:rsidR="003E7745" w:rsidRPr="009C5F11">
              <w:rPr>
                <w:rFonts w:ascii="Times New Roman" w:eastAsia="Verdana" w:hAnsi="Times New Roman" w:cs="Times New Roman"/>
                <w:color w:val="000000"/>
                <w:sz w:val="18"/>
                <w:szCs w:val="14"/>
                <w:lang w:val="ro-RO"/>
              </w:rPr>
              <w:t>în sarcina</w:t>
            </w:r>
            <w:r w:rsidR="004000CC" w:rsidRPr="009C5F11">
              <w:rPr>
                <w:rFonts w:ascii="Times New Roman" w:eastAsia="Verdana" w:hAnsi="Times New Roman" w:cs="Times New Roman"/>
                <w:color w:val="000000"/>
                <w:sz w:val="18"/>
                <w:szCs w:val="14"/>
                <w:lang w:val="ro-RO"/>
              </w:rPr>
              <w:t xml:space="preserve"> Agenţiei pentru Protecţia Consumatorului</w:t>
            </w:r>
            <w:r w:rsidR="00780B2E" w:rsidRPr="009C5F11">
              <w:rPr>
                <w:rFonts w:ascii="Times New Roman" w:eastAsia="Verdana" w:hAnsi="Times New Roman" w:cs="Times New Roman"/>
                <w:color w:val="000000"/>
                <w:sz w:val="18"/>
                <w:szCs w:val="14"/>
                <w:lang w:val="ro-RO"/>
              </w:rPr>
              <w:t xml:space="preserve"> </w:t>
            </w:r>
            <w:r w:rsidR="003E7745" w:rsidRPr="009C5F11">
              <w:rPr>
                <w:rFonts w:ascii="Times New Roman" w:eastAsia="Verdana" w:hAnsi="Times New Roman" w:cs="Times New Roman"/>
                <w:color w:val="000000"/>
                <w:sz w:val="18"/>
                <w:szCs w:val="14"/>
                <w:lang w:val="ro-RO"/>
              </w:rPr>
              <w:t>a fost pusă supravegherea conformităţii cu legislaţia privind cerinţele în materie de</w:t>
            </w:r>
            <w:r w:rsidR="003E7745" w:rsidRPr="009C5F11">
              <w:rPr>
                <w:rFonts w:ascii="Times New Roman" w:eastAsia="Times New Roman" w:hAnsi="Times New Roman" w:cs="Times New Roman"/>
                <w:bCs/>
                <w:color w:val="000000"/>
                <w:sz w:val="18"/>
                <w:szCs w:val="14"/>
                <w:lang w:val="ro-RO"/>
              </w:rPr>
              <w:t xml:space="preserve"> proiectare ecologică aplicabile produselor cu impact energetic</w:t>
            </w:r>
            <w:r w:rsidR="00780B2E" w:rsidRPr="009C5F11">
              <w:rPr>
                <w:rFonts w:ascii="Times New Roman" w:eastAsia="Verdana" w:hAnsi="Times New Roman" w:cs="Times New Roman"/>
                <w:color w:val="000000"/>
                <w:sz w:val="18"/>
                <w:szCs w:val="14"/>
                <w:lang w:val="ro-RO"/>
              </w:rPr>
              <w:t xml:space="preserve">. </w:t>
            </w:r>
            <w:r w:rsidR="00055095" w:rsidRPr="009C5F11">
              <w:rPr>
                <w:rFonts w:ascii="Times New Roman" w:eastAsia="Verdana" w:hAnsi="Times New Roman" w:cs="Times New Roman"/>
                <w:color w:val="000000"/>
                <w:sz w:val="18"/>
                <w:szCs w:val="14"/>
                <w:lang w:val="ro-RO"/>
              </w:rPr>
              <w:t xml:space="preserve">Legea </w:t>
            </w:r>
            <w:r w:rsidR="004000CC" w:rsidRPr="009C5F11">
              <w:rPr>
                <w:rFonts w:ascii="Times New Roman" w:eastAsia="Verdana" w:hAnsi="Times New Roman" w:cs="Times New Roman"/>
                <w:color w:val="000000"/>
                <w:sz w:val="18"/>
                <w:szCs w:val="14"/>
                <w:lang w:val="ro-RO"/>
              </w:rPr>
              <w:t>defineşte</w:t>
            </w:r>
            <w:r w:rsidR="00780B2E" w:rsidRPr="009C5F11">
              <w:rPr>
                <w:rFonts w:ascii="Times New Roman" w:eastAsia="Verdana" w:hAnsi="Times New Roman" w:cs="Times New Roman"/>
                <w:color w:val="000000"/>
                <w:sz w:val="18"/>
                <w:szCs w:val="14"/>
                <w:lang w:val="ro-RO"/>
              </w:rPr>
              <w:t xml:space="preserve"> </w:t>
            </w:r>
            <w:r w:rsidR="004000CC" w:rsidRPr="009C5F11">
              <w:rPr>
                <w:rFonts w:ascii="Times New Roman" w:eastAsia="Verdana" w:hAnsi="Times New Roman" w:cs="Times New Roman"/>
                <w:color w:val="000000"/>
                <w:sz w:val="18"/>
                <w:szCs w:val="14"/>
                <w:lang w:val="ro-RO"/>
              </w:rPr>
              <w:t>responsabilităţile</w:t>
            </w:r>
            <w:r w:rsidR="00780B2E" w:rsidRPr="009C5F11">
              <w:rPr>
                <w:rFonts w:ascii="Times New Roman" w:eastAsia="Verdana" w:hAnsi="Times New Roman" w:cs="Times New Roman"/>
                <w:color w:val="000000"/>
                <w:sz w:val="18"/>
                <w:szCs w:val="14"/>
                <w:lang w:val="ro-RO"/>
              </w:rPr>
              <w:t xml:space="preserve"> </w:t>
            </w:r>
            <w:r w:rsidR="00800247" w:rsidRPr="009C5F11">
              <w:rPr>
                <w:rFonts w:ascii="Times New Roman" w:eastAsia="Verdana" w:hAnsi="Times New Roman" w:cs="Times New Roman"/>
                <w:color w:val="000000"/>
                <w:sz w:val="18"/>
                <w:szCs w:val="14"/>
                <w:lang w:val="ro-RO"/>
              </w:rPr>
              <w:t>Guvernului</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Ministerul</w:t>
            </w:r>
            <w:r w:rsidR="00800247" w:rsidRPr="009C5F11">
              <w:rPr>
                <w:rFonts w:ascii="Times New Roman" w:eastAsia="Verdana" w:hAnsi="Times New Roman" w:cs="Times New Roman"/>
                <w:color w:val="000000"/>
                <w:sz w:val="18"/>
                <w:szCs w:val="14"/>
                <w:lang w:val="ro-RO"/>
              </w:rPr>
              <w:t>ui</w:t>
            </w:r>
            <w:r w:rsidR="00321CD5" w:rsidRPr="009C5F11">
              <w:rPr>
                <w:rFonts w:ascii="Times New Roman" w:eastAsia="Verdana" w:hAnsi="Times New Roman" w:cs="Times New Roman"/>
                <w:color w:val="000000"/>
                <w:sz w:val="18"/>
                <w:szCs w:val="14"/>
                <w:lang w:val="ro-RO"/>
              </w:rPr>
              <w:t xml:space="preserve"> Economiei</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Ministerul</w:t>
            </w:r>
            <w:r w:rsidR="00800247" w:rsidRPr="009C5F11">
              <w:rPr>
                <w:rFonts w:ascii="Times New Roman" w:eastAsia="Verdana" w:hAnsi="Times New Roman" w:cs="Times New Roman"/>
                <w:color w:val="000000"/>
                <w:sz w:val="18"/>
                <w:szCs w:val="14"/>
                <w:lang w:val="ro-RO"/>
              </w:rPr>
              <w:t>ui</w:t>
            </w:r>
            <w:r w:rsidR="00321CD5" w:rsidRPr="009C5F11">
              <w:rPr>
                <w:rFonts w:ascii="Times New Roman" w:eastAsia="Verdana" w:hAnsi="Times New Roman" w:cs="Times New Roman"/>
                <w:color w:val="000000"/>
                <w:sz w:val="18"/>
                <w:szCs w:val="14"/>
                <w:lang w:val="ro-RO"/>
              </w:rPr>
              <w:t xml:space="preserve"> Mediului şi </w:t>
            </w:r>
            <w:r w:rsidR="00800247" w:rsidRPr="009C5F11">
              <w:rPr>
                <w:rFonts w:ascii="Times New Roman" w:eastAsia="Verdana" w:hAnsi="Times New Roman" w:cs="Times New Roman"/>
                <w:color w:val="000000"/>
                <w:sz w:val="18"/>
                <w:szCs w:val="14"/>
                <w:lang w:val="ro-RO"/>
              </w:rPr>
              <w:t xml:space="preserve">ale </w:t>
            </w:r>
            <w:r w:rsidR="00AA0566" w:rsidRPr="009C5F11">
              <w:rPr>
                <w:rFonts w:ascii="Times New Roman" w:eastAsia="Verdana" w:hAnsi="Times New Roman" w:cs="Times New Roman"/>
                <w:color w:val="000000"/>
                <w:sz w:val="18"/>
                <w:szCs w:val="14"/>
                <w:lang w:val="ro-RO"/>
              </w:rPr>
              <w:t>AEE</w:t>
            </w:r>
            <w:r w:rsidR="00BA5A89" w:rsidRPr="009C5F11">
              <w:rPr>
                <w:rFonts w:ascii="Times New Roman" w:eastAsia="Verdana" w:hAnsi="Times New Roman" w:cs="Times New Roman"/>
                <w:color w:val="000000"/>
                <w:sz w:val="18"/>
                <w:szCs w:val="14"/>
                <w:lang w:val="ro-RO"/>
              </w:rPr>
              <w:t xml:space="preserve"> în domeniul vizat</w:t>
            </w:r>
            <w:r w:rsidR="00780B2E" w:rsidRPr="009C5F11">
              <w:rPr>
                <w:rFonts w:ascii="Times New Roman" w:eastAsia="Verdana" w:hAnsi="Times New Roman" w:cs="Times New Roman"/>
                <w:color w:val="000000"/>
                <w:sz w:val="18"/>
                <w:szCs w:val="14"/>
                <w:lang w:val="ro-RO"/>
              </w:rPr>
              <w:t xml:space="preserve">. </w:t>
            </w:r>
          </w:p>
          <w:p w14:paraId="62E22A14" w14:textId="77777777" w:rsidR="00780B2E" w:rsidRPr="009C5F11" w:rsidRDefault="003E7745"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În materie de</w:t>
            </w:r>
            <w:r w:rsidRPr="009C5F11">
              <w:rPr>
                <w:rFonts w:ascii="Times New Roman" w:eastAsia="Times New Roman" w:hAnsi="Times New Roman" w:cs="Times New Roman"/>
                <w:bCs/>
                <w:color w:val="000000"/>
                <w:sz w:val="18"/>
                <w:szCs w:val="14"/>
                <w:lang w:val="ro-RO"/>
              </w:rPr>
              <w:t xml:space="preserve"> proiectare ecologică</w:t>
            </w:r>
            <w:r w:rsidR="00780B2E" w:rsidRPr="009C5F11">
              <w:rPr>
                <w:rFonts w:ascii="Times New Roman" w:eastAsia="Verdana" w:hAnsi="Times New Roman" w:cs="Times New Roman"/>
                <w:color w:val="000000"/>
                <w:sz w:val="18"/>
                <w:szCs w:val="14"/>
                <w:lang w:val="ro-RO"/>
              </w:rPr>
              <w:t xml:space="preserve">, </w:t>
            </w:r>
            <w:r w:rsidR="00800247" w:rsidRPr="009C5F11">
              <w:rPr>
                <w:rFonts w:ascii="Times New Roman" w:eastAsia="Verdana" w:hAnsi="Times New Roman" w:cs="Times New Roman"/>
                <w:color w:val="000000"/>
                <w:sz w:val="18"/>
                <w:szCs w:val="14"/>
                <w:lang w:val="ro-RO"/>
              </w:rPr>
              <w:t>Guvernul</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urmează</w:t>
            </w:r>
            <w:r w:rsidR="00780B2E" w:rsidRPr="009C5F11">
              <w:rPr>
                <w:rFonts w:ascii="Times New Roman" w:eastAsia="Verdana" w:hAnsi="Times New Roman" w:cs="Times New Roman"/>
                <w:color w:val="000000"/>
                <w:sz w:val="18"/>
                <w:szCs w:val="14"/>
                <w:lang w:val="ro-RO"/>
              </w:rPr>
              <w:t>:</w:t>
            </w:r>
          </w:p>
          <w:p w14:paraId="1975327C" w14:textId="77777777" w:rsidR="00780B2E" w:rsidRPr="009C5F11" w:rsidRDefault="00BA5A89"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să asigure sprijin iniţiativelor care ajută </w:t>
            </w:r>
            <w:r w:rsidR="008806C1" w:rsidRPr="009C5F11">
              <w:rPr>
                <w:rFonts w:ascii="Times New Roman" w:eastAsia="Verdana" w:hAnsi="Times New Roman" w:cs="Times New Roman"/>
                <w:color w:val="000000"/>
                <w:sz w:val="18"/>
                <w:szCs w:val="14"/>
                <w:lang w:val="ro-RO"/>
              </w:rPr>
              <w:t>întreprinderile mici şi mijlocii (</w:t>
            </w:r>
            <w:r w:rsidRPr="009C5F11">
              <w:rPr>
                <w:rFonts w:ascii="Times New Roman" w:eastAsia="Verdana" w:hAnsi="Times New Roman" w:cs="Times New Roman"/>
                <w:color w:val="000000"/>
                <w:sz w:val="18"/>
                <w:szCs w:val="14"/>
                <w:lang w:val="ro-RO"/>
              </w:rPr>
              <w:t>IMM</w:t>
            </w:r>
            <w:r w:rsidR="008806C1"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 xml:space="preserve"> să integreze aspecte de mediu,</w:t>
            </w:r>
            <w:r w:rsidR="00780B2E"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de </w:t>
            </w:r>
            <w:r w:rsidR="000C7BEC" w:rsidRPr="009C5F11">
              <w:rPr>
                <w:rFonts w:ascii="Times New Roman" w:eastAsia="Verdana" w:hAnsi="Times New Roman" w:cs="Times New Roman"/>
                <w:color w:val="000000"/>
                <w:sz w:val="18"/>
                <w:szCs w:val="14"/>
                <w:lang w:val="ro-RO"/>
              </w:rPr>
              <w:t>eficienţă energetică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în procesul de proiectare a produselor lor</w:t>
            </w:r>
            <w:r w:rsidR="00780B2E" w:rsidRPr="009C5F11">
              <w:rPr>
                <w:rFonts w:ascii="Times New Roman" w:eastAsia="Verdana" w:hAnsi="Times New Roman" w:cs="Times New Roman"/>
                <w:color w:val="000000"/>
                <w:sz w:val="18"/>
                <w:szCs w:val="14"/>
                <w:lang w:val="ro-RO"/>
              </w:rPr>
              <w:t>,</w:t>
            </w:r>
          </w:p>
          <w:p w14:paraId="401E8422" w14:textId="77777777" w:rsidR="00780B2E" w:rsidRPr="009C5F11" w:rsidRDefault="00BA5A89"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să încurajeze IMM să adopte o abordare </w:t>
            </w:r>
            <w:r w:rsidR="00780B2E" w:rsidRPr="009C5F11">
              <w:rPr>
                <w:rFonts w:ascii="Times New Roman" w:eastAsia="Verdana" w:hAnsi="Times New Roman" w:cs="Times New Roman"/>
                <w:color w:val="000000"/>
                <w:sz w:val="18"/>
                <w:szCs w:val="14"/>
                <w:lang w:val="ro-RO"/>
              </w:rPr>
              <w:t>ecologic</w:t>
            </w:r>
            <w:r w:rsidRPr="009C5F11">
              <w:rPr>
                <w:rFonts w:ascii="Times New Roman" w:eastAsia="Verdana" w:hAnsi="Times New Roman" w:cs="Times New Roman"/>
                <w:color w:val="000000"/>
                <w:sz w:val="18"/>
                <w:szCs w:val="14"/>
                <w:lang w:val="ro-RO"/>
              </w:rPr>
              <w:t xml:space="preserve">ă în procesul de proiectare a produselor, adaptându-le noilor </w:t>
            </w:r>
            <w:r w:rsidR="000126A5" w:rsidRPr="009C5F11">
              <w:rPr>
                <w:rFonts w:ascii="Times New Roman" w:eastAsia="Verdana" w:hAnsi="Times New Roman" w:cs="Times New Roman"/>
                <w:color w:val="000000"/>
                <w:sz w:val="18"/>
                <w:szCs w:val="14"/>
                <w:lang w:val="ro-RO"/>
              </w:rPr>
              <w:t>cerinţe</w:t>
            </w:r>
            <w:r w:rsidR="00321CD5"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în materie de proiectare ecologică</w:t>
            </w:r>
            <w:r w:rsidRPr="009C5F11">
              <w:rPr>
                <w:rFonts w:ascii="Times New Roman" w:eastAsia="Verdana" w:hAnsi="Times New Roman" w:cs="Times New Roman"/>
                <w:color w:val="000000"/>
                <w:sz w:val="18"/>
                <w:szCs w:val="14"/>
                <w:lang w:val="ro-RO"/>
              </w:rPr>
              <w:t xml:space="preserve"> etc. </w:t>
            </w:r>
          </w:p>
          <w:p w14:paraId="6DBFD1F5" w14:textId="77777777" w:rsidR="00780B2E" w:rsidRPr="009C5F11" w:rsidRDefault="00BA5A89"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Ministerul</w:t>
            </w:r>
            <w:r w:rsidR="00321CD5" w:rsidRPr="009C5F11">
              <w:rPr>
                <w:rFonts w:ascii="Times New Roman" w:eastAsia="Verdana" w:hAnsi="Times New Roman" w:cs="Times New Roman"/>
                <w:color w:val="000000"/>
                <w:sz w:val="18"/>
                <w:szCs w:val="14"/>
                <w:lang w:val="ro-RO"/>
              </w:rPr>
              <w:t xml:space="preserve"> Mediului</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este responsabil cu</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elaborarea</w:t>
            </w:r>
            <w:r w:rsidR="00321CD5" w:rsidRPr="009C5F11">
              <w:rPr>
                <w:rFonts w:ascii="Times New Roman" w:eastAsia="Verdana" w:hAnsi="Times New Roman" w:cs="Times New Roman"/>
                <w:color w:val="000000"/>
                <w:sz w:val="18"/>
                <w:szCs w:val="14"/>
                <w:lang w:val="ro-RO"/>
              </w:rPr>
              <w:t xml:space="preserve"> şi </w:t>
            </w:r>
            <w:r w:rsidR="00532A33" w:rsidRPr="009C5F11">
              <w:rPr>
                <w:rFonts w:ascii="Times New Roman" w:eastAsia="Verdana" w:hAnsi="Times New Roman" w:cs="Times New Roman"/>
                <w:color w:val="000000"/>
                <w:sz w:val="18"/>
                <w:szCs w:val="14"/>
                <w:lang w:val="ro-RO"/>
              </w:rPr>
              <w:t>implementarea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cadrului legislativ şi normativ</w:t>
            </w:r>
            <w:r w:rsidR="00321CD5"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în materie de proiectare ecologică</w:t>
            </w:r>
            <w:r w:rsidR="00780B2E" w:rsidRPr="009C5F11">
              <w:rPr>
                <w:rFonts w:ascii="Times New Roman" w:eastAsia="Verdana" w:hAnsi="Times New Roman" w:cs="Times New Roman"/>
                <w:color w:val="000000"/>
                <w:sz w:val="18"/>
                <w:szCs w:val="14"/>
                <w:lang w:val="ro-RO"/>
              </w:rPr>
              <w:t>.</w:t>
            </w:r>
          </w:p>
        </w:tc>
        <w:tc>
          <w:tcPr>
            <w:tcW w:w="585" w:type="pct"/>
            <w:gridSpan w:val="2"/>
            <w:shd w:val="clear" w:color="000000" w:fill="C5D9F1"/>
            <w:vAlign w:val="center"/>
          </w:tcPr>
          <w:p w14:paraId="72E69A63"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p>
        </w:tc>
      </w:tr>
      <w:tr w:rsidR="00780B2E" w:rsidRPr="009C5F11" w14:paraId="5DDE9922" w14:textId="77777777" w:rsidTr="00CD5222">
        <w:trPr>
          <w:trHeight w:val="65"/>
        </w:trPr>
        <w:tc>
          <w:tcPr>
            <w:tcW w:w="424" w:type="pct"/>
            <w:tcBorders>
              <w:bottom w:val="single" w:sz="8" w:space="0" w:color="FFFFFF" w:themeColor="background1"/>
            </w:tcBorders>
            <w:shd w:val="clear" w:color="000000" w:fill="C5D9F1"/>
            <w:noWrap/>
            <w:hideMark/>
          </w:tcPr>
          <w:p w14:paraId="72A96BE2"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tc>
        <w:tc>
          <w:tcPr>
            <w:tcW w:w="935" w:type="pct"/>
            <w:tcBorders>
              <w:bottom w:val="single" w:sz="8" w:space="0" w:color="FFFFFF" w:themeColor="background1"/>
            </w:tcBorders>
            <w:shd w:val="clear" w:color="000000" w:fill="C5D9F1"/>
            <w:vAlign w:val="bottom"/>
            <w:hideMark/>
          </w:tcPr>
          <w:p w14:paraId="689CADF1"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tc>
        <w:tc>
          <w:tcPr>
            <w:tcW w:w="321" w:type="pct"/>
            <w:tcBorders>
              <w:bottom w:val="single" w:sz="8" w:space="0" w:color="FFFFFF" w:themeColor="background1"/>
            </w:tcBorders>
            <w:shd w:val="clear" w:color="000000" w:fill="C5D9F1"/>
            <w:noWrap/>
            <w:vAlign w:val="bottom"/>
            <w:hideMark/>
          </w:tcPr>
          <w:p w14:paraId="5DC9E5AB"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322" w:type="pct"/>
            <w:tcBorders>
              <w:bottom w:val="single" w:sz="8" w:space="0" w:color="FFFFFF" w:themeColor="background1"/>
            </w:tcBorders>
            <w:shd w:val="clear" w:color="000000" w:fill="C5D9F1"/>
            <w:vAlign w:val="bottom"/>
          </w:tcPr>
          <w:p w14:paraId="257CB946" w14:textId="77777777" w:rsidR="00780B2E" w:rsidRPr="009C5F11" w:rsidRDefault="00780B2E" w:rsidP="00C807F1">
            <w:pPr>
              <w:spacing w:after="0" w:line="240" w:lineRule="auto"/>
              <w:jc w:val="center"/>
              <w:rPr>
                <w:rFonts w:ascii="Times New Roman" w:eastAsia="Verdana" w:hAnsi="Times New Roman" w:cs="Times New Roman"/>
                <w:color w:val="000000"/>
                <w:sz w:val="18"/>
                <w:szCs w:val="14"/>
                <w:lang w:val="ro-RO"/>
              </w:rPr>
            </w:pPr>
          </w:p>
        </w:tc>
        <w:tc>
          <w:tcPr>
            <w:tcW w:w="2413" w:type="pct"/>
            <w:gridSpan w:val="2"/>
            <w:tcBorders>
              <w:bottom w:val="single" w:sz="8" w:space="0" w:color="FFFFFF" w:themeColor="background1"/>
            </w:tcBorders>
            <w:shd w:val="clear" w:color="000000" w:fill="C5D9F1"/>
          </w:tcPr>
          <w:p w14:paraId="3CDC7857"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585" w:type="pct"/>
            <w:gridSpan w:val="2"/>
            <w:tcBorders>
              <w:bottom w:val="single" w:sz="8" w:space="0" w:color="FFFFFF" w:themeColor="background1"/>
            </w:tcBorders>
            <w:shd w:val="clear" w:color="000000" w:fill="C5D9F1"/>
          </w:tcPr>
          <w:p w14:paraId="71016723"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r>
      <w:tr w:rsidR="00780B2E" w:rsidRPr="009C5F11" w14:paraId="4CD5ADBF" w14:textId="77777777" w:rsidTr="006549EB">
        <w:trPr>
          <w:trHeight w:val="300"/>
        </w:trPr>
        <w:tc>
          <w:tcPr>
            <w:tcW w:w="5000" w:type="pct"/>
            <w:gridSpan w:val="8"/>
            <w:tcBorders>
              <w:bottom w:val="single" w:sz="8" w:space="0" w:color="FFFFFF" w:themeColor="background1"/>
            </w:tcBorders>
            <w:shd w:val="clear" w:color="auto" w:fill="666666"/>
            <w:noWrap/>
            <w:hideMark/>
          </w:tcPr>
          <w:p w14:paraId="3FA58B16" w14:textId="77777777" w:rsidR="00780B2E" w:rsidRPr="009C5F11" w:rsidRDefault="007E1094" w:rsidP="008B486D">
            <w:pPr>
              <w:spacing w:after="0" w:line="240" w:lineRule="auto"/>
              <w:jc w:val="center"/>
              <w:rPr>
                <w:rFonts w:ascii="Times New Roman" w:eastAsia="Verdana" w:hAnsi="Times New Roman" w:cs="Times New Roman"/>
                <w:b/>
                <w:color w:val="FFFFFF"/>
                <w:sz w:val="18"/>
                <w:szCs w:val="14"/>
                <w:lang w:val="ro-RO"/>
              </w:rPr>
            </w:pPr>
            <w:r w:rsidRPr="009C5F11">
              <w:rPr>
                <w:rFonts w:ascii="Times New Roman" w:eastAsia="Verdana" w:hAnsi="Times New Roman" w:cs="Times New Roman"/>
                <w:b/>
                <w:color w:val="FFFFFF"/>
                <w:sz w:val="18"/>
                <w:szCs w:val="14"/>
                <w:lang w:val="ro-RO"/>
              </w:rPr>
              <w:t>Măsuri în sectorul</w:t>
            </w:r>
            <w:r w:rsidR="005E0A7B" w:rsidRPr="009C5F11">
              <w:rPr>
                <w:rFonts w:ascii="Times New Roman" w:eastAsia="Verdana" w:hAnsi="Times New Roman" w:cs="Times New Roman"/>
                <w:b/>
                <w:color w:val="FFFFFF"/>
                <w:sz w:val="18"/>
                <w:szCs w:val="14"/>
                <w:lang w:val="ro-RO"/>
              </w:rPr>
              <w:t xml:space="preserve"> de transformare a energiei</w:t>
            </w:r>
          </w:p>
        </w:tc>
      </w:tr>
      <w:tr w:rsidR="00780B2E" w:rsidRPr="009C5F11" w14:paraId="50E5CDC9" w14:textId="77777777" w:rsidTr="00CD5222">
        <w:trPr>
          <w:trHeight w:val="360"/>
        </w:trPr>
        <w:tc>
          <w:tcPr>
            <w:tcW w:w="424" w:type="pct"/>
            <w:shd w:val="clear" w:color="000000" w:fill="D9D9D9"/>
            <w:noWrap/>
            <w:vAlign w:val="center"/>
            <w:hideMark/>
          </w:tcPr>
          <w:p w14:paraId="3C7761A9"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E1</w:t>
            </w:r>
          </w:p>
          <w:p w14:paraId="4AEA721A"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1F2823E4"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 98</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shd w:val="clear" w:color="000000" w:fill="D9D9D9"/>
            <w:vAlign w:val="center"/>
            <w:hideMark/>
          </w:tcPr>
          <w:p w14:paraId="61F5B080" w14:textId="77777777" w:rsidR="00780B2E" w:rsidRPr="009C5F11" w:rsidRDefault="00210C2C" w:rsidP="00210C2C">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Programe proprii de e</w:t>
            </w:r>
            <w:r w:rsidR="00FD5F1C" w:rsidRPr="009C5F11">
              <w:rPr>
                <w:rFonts w:ascii="Times New Roman" w:eastAsia="Verdana" w:hAnsi="Times New Roman" w:cs="Times New Roman"/>
                <w:color w:val="000000"/>
                <w:sz w:val="18"/>
                <w:szCs w:val="14"/>
                <w:lang w:val="ro-RO"/>
              </w:rPr>
              <w:t>ficienţ</w:t>
            </w:r>
            <w:r w:rsidRPr="009C5F11">
              <w:rPr>
                <w:rFonts w:ascii="Times New Roman" w:eastAsia="Verdana" w:hAnsi="Times New Roman" w:cs="Times New Roman"/>
                <w:color w:val="000000"/>
                <w:sz w:val="18"/>
                <w:szCs w:val="14"/>
                <w:lang w:val="ro-RO"/>
              </w:rPr>
              <w:t>ă</w:t>
            </w:r>
            <w:r w:rsidR="00FD5F1C" w:rsidRPr="009C5F11">
              <w:rPr>
                <w:rFonts w:ascii="Times New Roman" w:eastAsia="Verdana" w:hAnsi="Times New Roman" w:cs="Times New Roman"/>
                <w:color w:val="000000"/>
                <w:sz w:val="18"/>
                <w:szCs w:val="14"/>
                <w:lang w:val="ro-RO"/>
              </w:rPr>
              <w:t xml:space="preserve"> energetică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ale operatorilor de</w:t>
            </w:r>
            <w:r w:rsidR="00780B2E" w:rsidRPr="009C5F11">
              <w:rPr>
                <w:rFonts w:ascii="Times New Roman" w:eastAsia="Verdana" w:hAnsi="Times New Roman" w:cs="Times New Roman"/>
                <w:color w:val="000000"/>
                <w:sz w:val="18"/>
                <w:szCs w:val="14"/>
                <w:lang w:val="ro-RO"/>
              </w:rPr>
              <w:t xml:space="preserve"> </w:t>
            </w:r>
            <w:r w:rsidR="008F7BD5" w:rsidRPr="009C5F11">
              <w:rPr>
                <w:rFonts w:ascii="Times New Roman" w:eastAsia="Verdana" w:hAnsi="Times New Roman" w:cs="Times New Roman"/>
                <w:color w:val="000000"/>
                <w:sz w:val="18"/>
                <w:szCs w:val="14"/>
                <w:lang w:val="ro-RO"/>
              </w:rPr>
              <w:t>transport</w:t>
            </w:r>
            <w:r w:rsidR="00780B2E" w:rsidRPr="009C5F11">
              <w:rPr>
                <w:rFonts w:ascii="Times New Roman" w:eastAsia="Verdana" w:hAnsi="Times New Roman" w:cs="Times New Roman"/>
                <w:color w:val="000000"/>
                <w:sz w:val="18"/>
                <w:szCs w:val="14"/>
                <w:lang w:val="ro-RO"/>
              </w:rPr>
              <w:t>/</w:t>
            </w:r>
            <w:r w:rsidR="008F7BD5" w:rsidRPr="009C5F11">
              <w:rPr>
                <w:rFonts w:ascii="Times New Roman" w:eastAsia="Verdana" w:hAnsi="Times New Roman" w:cs="Times New Roman"/>
                <w:color w:val="000000"/>
                <w:sz w:val="18"/>
                <w:szCs w:val="14"/>
                <w:lang w:val="ro-RO"/>
              </w:rPr>
              <w:t>distribuţie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 energiei electrice</w:t>
            </w:r>
          </w:p>
        </w:tc>
        <w:tc>
          <w:tcPr>
            <w:tcW w:w="321" w:type="pct"/>
            <w:shd w:val="clear" w:color="000000" w:fill="D9D9D9"/>
            <w:noWrap/>
            <w:vAlign w:val="center"/>
            <w:hideMark/>
          </w:tcPr>
          <w:p w14:paraId="29811410" w14:textId="77777777" w:rsidR="00780B2E" w:rsidRPr="009C5F11" w:rsidRDefault="00E33EBD"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10.6</w:t>
            </w:r>
          </w:p>
        </w:tc>
        <w:tc>
          <w:tcPr>
            <w:tcW w:w="322" w:type="pct"/>
            <w:shd w:val="clear" w:color="000000" w:fill="D9D9D9"/>
            <w:vAlign w:val="center"/>
          </w:tcPr>
          <w:p w14:paraId="57EB836D"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12.76</w:t>
            </w:r>
          </w:p>
        </w:tc>
        <w:tc>
          <w:tcPr>
            <w:tcW w:w="2381" w:type="pct"/>
            <w:shd w:val="clear" w:color="000000" w:fill="D9D9D9"/>
          </w:tcPr>
          <w:p w14:paraId="011DCFBB"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conform planului</w:t>
            </w:r>
          </w:p>
          <w:p w14:paraId="6FB6F852"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p w14:paraId="59615541" w14:textId="77777777" w:rsidR="00780B2E" w:rsidRPr="009C5F11" w:rsidRDefault="00BA5A89" w:rsidP="00C807F1">
            <w:pPr>
              <w:spacing w:after="0" w:line="240" w:lineRule="auto"/>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La situaţia actuală</w:t>
            </w:r>
            <w:r w:rsidR="00780B2E"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 xml:space="preserve">nivelul mediu al consumului tehnologic şi al pierderilor în reţeaua de transport al energiei electrice aprobat de </w:t>
            </w:r>
            <w:r w:rsidR="00780B2E" w:rsidRPr="009C5F11">
              <w:rPr>
                <w:rFonts w:ascii="Times New Roman" w:eastAsia="Verdana" w:hAnsi="Times New Roman" w:cs="Times New Roman"/>
                <w:sz w:val="18"/>
                <w:szCs w:val="14"/>
                <w:lang w:val="ro-RO"/>
              </w:rPr>
              <w:t>ANRE</w:t>
            </w:r>
            <w:r w:rsidRPr="009C5F11">
              <w:rPr>
                <w:rFonts w:ascii="Times New Roman" w:eastAsia="Verdana" w:hAnsi="Times New Roman" w:cs="Times New Roman"/>
                <w:sz w:val="18"/>
                <w:szCs w:val="14"/>
                <w:lang w:val="ro-RO"/>
              </w:rPr>
              <w:t xml:space="preserve"> este de </w:t>
            </w:r>
            <w:r w:rsidR="00780B2E" w:rsidRPr="009C5F11">
              <w:rPr>
                <w:rFonts w:ascii="Times New Roman" w:eastAsia="Verdana" w:hAnsi="Times New Roman" w:cs="Times New Roman"/>
                <w:sz w:val="18"/>
                <w:szCs w:val="14"/>
                <w:lang w:val="ro-RO"/>
              </w:rPr>
              <w:t>3.0%</w:t>
            </w:r>
            <w:r w:rsidRPr="009C5F11">
              <w:rPr>
                <w:rFonts w:ascii="Times New Roman" w:eastAsia="Verdana" w:hAnsi="Times New Roman" w:cs="Times New Roman"/>
                <w:sz w:val="18"/>
                <w:szCs w:val="14"/>
                <w:lang w:val="ro-RO"/>
              </w:rPr>
              <w:t>.</w:t>
            </w:r>
          </w:p>
          <w:p w14:paraId="0610808C" w14:textId="77777777" w:rsidR="00780B2E" w:rsidRPr="009C5F11" w:rsidRDefault="00927CD9"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Potrivit</w:t>
            </w:r>
            <w:r w:rsidR="00780B2E" w:rsidRPr="009C5F11">
              <w:rPr>
                <w:rFonts w:ascii="Times New Roman" w:eastAsia="Verdana" w:hAnsi="Times New Roman" w:cs="Times New Roman"/>
                <w:color w:val="000000"/>
                <w:sz w:val="18"/>
                <w:szCs w:val="14"/>
                <w:lang w:val="ro-RO"/>
              </w:rPr>
              <w:t xml:space="preserve"> </w:t>
            </w:r>
            <w:r w:rsidR="00BA5A89" w:rsidRPr="009C5F11">
              <w:rPr>
                <w:rFonts w:ascii="Times New Roman" w:eastAsia="Verdana" w:hAnsi="Times New Roman" w:cs="Times New Roman"/>
                <w:color w:val="000000"/>
                <w:sz w:val="18"/>
                <w:szCs w:val="14"/>
                <w:lang w:val="ro-RO"/>
              </w:rPr>
              <w:t>informaţiilor publice furnizate de</w:t>
            </w:r>
            <w:r w:rsidR="00780B2E" w:rsidRPr="009C5F11">
              <w:rPr>
                <w:rFonts w:ascii="Times New Roman" w:eastAsia="Verdana" w:hAnsi="Times New Roman" w:cs="Times New Roman"/>
                <w:color w:val="000000"/>
                <w:sz w:val="18"/>
                <w:szCs w:val="14"/>
                <w:lang w:val="ro-RO"/>
              </w:rPr>
              <w:t xml:space="preserve"> </w:t>
            </w:r>
            <w:r w:rsidR="00BA5A89"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Moldelectrica</w:t>
            </w:r>
            <w:r w:rsidR="00BA5A89"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 </w:t>
            </w:r>
            <w:r w:rsidR="00BA5A89" w:rsidRPr="009C5F11">
              <w:rPr>
                <w:rFonts w:ascii="Times New Roman" w:eastAsia="Verdana" w:hAnsi="Times New Roman" w:cs="Times New Roman"/>
                <w:color w:val="000000"/>
                <w:sz w:val="18"/>
                <w:szCs w:val="14"/>
                <w:lang w:val="ro-RO"/>
              </w:rPr>
              <w:t>în</w:t>
            </w:r>
            <w:r w:rsidR="00780B2E" w:rsidRPr="009C5F11">
              <w:rPr>
                <w:rFonts w:ascii="Times New Roman" w:eastAsia="Verdana" w:hAnsi="Times New Roman" w:cs="Times New Roman"/>
                <w:color w:val="000000"/>
                <w:sz w:val="18"/>
                <w:szCs w:val="14"/>
                <w:lang w:val="ro-RO"/>
              </w:rPr>
              <w:t xml:space="preserve"> 2013 </w:t>
            </w:r>
            <w:r w:rsidR="00BA5A89" w:rsidRPr="009C5F11">
              <w:rPr>
                <w:rFonts w:ascii="Times New Roman" w:eastAsia="Verdana" w:hAnsi="Times New Roman" w:cs="Times New Roman"/>
                <w:color w:val="000000"/>
                <w:sz w:val="18"/>
                <w:szCs w:val="14"/>
                <w:lang w:val="ro-RO"/>
              </w:rPr>
              <w:t>consumul tehnologic</w:t>
            </w:r>
            <w:r w:rsidR="00321CD5" w:rsidRPr="009C5F11">
              <w:rPr>
                <w:rFonts w:ascii="Times New Roman" w:eastAsia="Verdana" w:hAnsi="Times New Roman" w:cs="Times New Roman"/>
                <w:color w:val="000000"/>
                <w:sz w:val="18"/>
                <w:szCs w:val="14"/>
                <w:lang w:val="ro-RO"/>
              </w:rPr>
              <w:t xml:space="preserve"> şi </w:t>
            </w:r>
            <w:r w:rsidR="00BA5A89" w:rsidRPr="009C5F11">
              <w:rPr>
                <w:rFonts w:ascii="Times New Roman" w:eastAsia="Verdana" w:hAnsi="Times New Roman" w:cs="Times New Roman"/>
                <w:color w:val="000000"/>
                <w:sz w:val="18"/>
                <w:szCs w:val="14"/>
                <w:lang w:val="ro-RO"/>
              </w:rPr>
              <w:t>pierderile</w:t>
            </w:r>
            <w:r w:rsidR="00780B2E" w:rsidRPr="009C5F11">
              <w:rPr>
                <w:rFonts w:ascii="Times New Roman" w:eastAsia="Verdana" w:hAnsi="Times New Roman" w:cs="Times New Roman"/>
                <w:color w:val="000000"/>
                <w:sz w:val="18"/>
                <w:szCs w:val="14"/>
                <w:lang w:val="ro-RO"/>
              </w:rPr>
              <w:t xml:space="preserve"> </w:t>
            </w:r>
            <w:r w:rsidR="00BA5A89" w:rsidRPr="009C5F11">
              <w:rPr>
                <w:rFonts w:ascii="Times New Roman" w:eastAsia="Verdana" w:hAnsi="Times New Roman" w:cs="Times New Roman"/>
                <w:color w:val="000000"/>
                <w:sz w:val="18"/>
                <w:szCs w:val="14"/>
                <w:lang w:val="ro-RO"/>
              </w:rPr>
              <w:t>au constituit</w:t>
            </w:r>
            <w:r w:rsidR="00780B2E" w:rsidRPr="009C5F11">
              <w:rPr>
                <w:rFonts w:ascii="Times New Roman" w:eastAsia="Verdana" w:hAnsi="Times New Roman" w:cs="Times New Roman"/>
                <w:color w:val="000000"/>
                <w:sz w:val="18"/>
                <w:szCs w:val="14"/>
                <w:lang w:val="ro-RO"/>
              </w:rPr>
              <w:t xml:space="preserve"> 2.79%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w:t>
            </w:r>
            <w:r w:rsidR="00780B2E" w:rsidRPr="009C5F11">
              <w:rPr>
                <w:rFonts w:ascii="Times New Roman" w:eastAsia="Verdana" w:hAnsi="Times New Roman" w:cs="Times New Roman"/>
                <w:color w:val="000000"/>
                <w:sz w:val="18"/>
                <w:szCs w:val="14"/>
                <w:lang w:val="ro-RO"/>
              </w:rPr>
              <w:t>), 3.17%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2.66%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III</w:t>
            </w:r>
            <w:r w:rsidR="00780B2E" w:rsidRPr="009C5F11">
              <w:rPr>
                <w:rFonts w:ascii="Times New Roman" w:eastAsia="Verdana" w:hAnsi="Times New Roman" w:cs="Times New Roman"/>
                <w:color w:val="000000"/>
                <w:sz w:val="18"/>
                <w:szCs w:val="14"/>
                <w:lang w:val="ro-RO"/>
              </w:rPr>
              <w:t>).</w:t>
            </w:r>
          </w:p>
          <w:p w14:paraId="42203DD8" w14:textId="77777777" w:rsidR="00780B2E" w:rsidRPr="009C5F11" w:rsidRDefault="00BA5A89"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w:t>
            </w:r>
            <w:r w:rsidR="00780B2E" w:rsidRPr="009C5F11">
              <w:rPr>
                <w:rFonts w:ascii="Times New Roman" w:eastAsia="Verdana" w:hAnsi="Times New Roman" w:cs="Times New Roman"/>
                <w:color w:val="000000"/>
                <w:sz w:val="18"/>
                <w:szCs w:val="14"/>
                <w:lang w:val="ro-RO"/>
              </w:rPr>
              <w:t xml:space="preserve">n </w:t>
            </w:r>
            <w:r w:rsidR="00D46157" w:rsidRPr="009C5F11">
              <w:rPr>
                <w:rFonts w:ascii="Times New Roman" w:eastAsia="Verdana" w:hAnsi="Times New Roman" w:cs="Times New Roman"/>
                <w:color w:val="000000"/>
                <w:sz w:val="18"/>
                <w:szCs w:val="14"/>
                <w:lang w:val="ro-RO"/>
              </w:rPr>
              <w:t xml:space="preserve">anul </w:t>
            </w:r>
            <w:r w:rsidR="00780B2E" w:rsidRPr="009C5F11">
              <w:rPr>
                <w:rFonts w:ascii="Times New Roman" w:eastAsia="Verdana" w:hAnsi="Times New Roman" w:cs="Times New Roman"/>
                <w:color w:val="000000"/>
                <w:sz w:val="18"/>
                <w:szCs w:val="14"/>
                <w:lang w:val="ro-RO"/>
              </w:rPr>
              <w:t xml:space="preserve">2012 </w:t>
            </w:r>
            <w:r w:rsidRPr="009C5F11">
              <w:rPr>
                <w:rFonts w:ascii="Times New Roman" w:eastAsia="Verdana" w:hAnsi="Times New Roman" w:cs="Times New Roman"/>
                <w:color w:val="000000"/>
                <w:sz w:val="18"/>
                <w:szCs w:val="14"/>
                <w:lang w:val="ro-RO"/>
              </w:rPr>
              <w:t xml:space="preserve">a fost lansat </w:t>
            </w:r>
            <w:r w:rsidR="00CD7240" w:rsidRPr="009C5F11">
              <w:rPr>
                <w:rFonts w:ascii="Times New Roman" w:eastAsia="Verdana" w:hAnsi="Times New Roman" w:cs="Times New Roman"/>
                <w:color w:val="000000"/>
                <w:sz w:val="18"/>
                <w:szCs w:val="14"/>
                <w:lang w:val="ro-RO"/>
              </w:rPr>
              <w:t>proiectul</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de reabilitare a reţelei de transport din Republica Moldova</w:t>
            </w:r>
            <w:r w:rsidR="00780B2E" w:rsidRPr="009C5F11">
              <w:rPr>
                <w:rFonts w:ascii="Times New Roman" w:eastAsia="Verdana" w:hAnsi="Times New Roman" w:cs="Times New Roman"/>
                <w:color w:val="000000"/>
                <w:sz w:val="18"/>
                <w:szCs w:val="14"/>
                <w:lang w:val="ro-RO"/>
              </w:rPr>
              <w:t xml:space="preserve">. </w:t>
            </w:r>
            <w:r w:rsidR="00CD7240" w:rsidRPr="009C5F11">
              <w:rPr>
                <w:rFonts w:ascii="Times New Roman" w:eastAsia="Verdana" w:hAnsi="Times New Roman" w:cs="Times New Roman"/>
                <w:color w:val="000000"/>
                <w:sz w:val="18"/>
                <w:szCs w:val="14"/>
                <w:lang w:val="ro-RO"/>
              </w:rPr>
              <w:t>Proiectul</w:t>
            </w:r>
            <w:r w:rsidR="00780B2E" w:rsidRPr="009C5F11">
              <w:rPr>
                <w:rFonts w:ascii="Times New Roman" w:eastAsia="Verdana" w:hAnsi="Times New Roman" w:cs="Times New Roman"/>
                <w:color w:val="000000"/>
                <w:sz w:val="18"/>
                <w:szCs w:val="14"/>
                <w:lang w:val="ro-RO"/>
              </w:rPr>
              <w:t xml:space="preserve"> include </w:t>
            </w:r>
            <w:r w:rsidRPr="009C5F11">
              <w:rPr>
                <w:rFonts w:ascii="Times New Roman" w:eastAsia="Verdana" w:hAnsi="Times New Roman" w:cs="Times New Roman"/>
                <w:color w:val="000000"/>
                <w:sz w:val="18"/>
                <w:szCs w:val="14"/>
                <w:lang w:val="ro-RO"/>
              </w:rPr>
              <w:t>proiectarea</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moderni</w:t>
            </w:r>
            <w:r w:rsidRPr="009C5F11">
              <w:rPr>
                <w:rFonts w:ascii="Times New Roman" w:eastAsia="Verdana" w:hAnsi="Times New Roman" w:cs="Times New Roman"/>
                <w:color w:val="000000"/>
                <w:sz w:val="18"/>
                <w:szCs w:val="14"/>
                <w:lang w:val="ro-RO"/>
              </w:rPr>
              <w:t>zarea unui număr de substaţii şi linii de transport</w:t>
            </w:r>
            <w:r w:rsidR="00780B2E" w:rsidRPr="009C5F11">
              <w:rPr>
                <w:rFonts w:ascii="Times New Roman" w:eastAsia="Verdana" w:hAnsi="Times New Roman" w:cs="Times New Roman"/>
                <w:color w:val="000000"/>
                <w:sz w:val="18"/>
                <w:szCs w:val="14"/>
                <w:lang w:val="ro-RO"/>
              </w:rPr>
              <w:t xml:space="preserve">. </w:t>
            </w:r>
            <w:r w:rsidR="0072142A" w:rsidRPr="009C5F11">
              <w:rPr>
                <w:rFonts w:ascii="Times New Roman" w:eastAsia="Verdana" w:hAnsi="Times New Roman" w:cs="Times New Roman"/>
                <w:color w:val="000000"/>
                <w:sz w:val="18"/>
                <w:szCs w:val="14"/>
                <w:lang w:val="ro-RO"/>
              </w:rPr>
              <w:t>R</w:t>
            </w:r>
            <w:r w:rsidR="00780B2E" w:rsidRPr="009C5F11">
              <w:rPr>
                <w:rFonts w:ascii="Times New Roman" w:eastAsia="Verdana" w:hAnsi="Times New Roman" w:cs="Times New Roman"/>
                <w:color w:val="000000"/>
                <w:sz w:val="18"/>
                <w:szCs w:val="14"/>
                <w:lang w:val="ro-RO"/>
              </w:rPr>
              <w:t>eabilita</w:t>
            </w:r>
            <w:r w:rsidR="0072142A" w:rsidRPr="009C5F11">
              <w:rPr>
                <w:rFonts w:ascii="Times New Roman" w:eastAsia="Verdana" w:hAnsi="Times New Roman" w:cs="Times New Roman"/>
                <w:color w:val="000000"/>
                <w:sz w:val="18"/>
                <w:szCs w:val="14"/>
                <w:lang w:val="ro-RO"/>
              </w:rPr>
              <w:t>rea va îmbunătăţi</w:t>
            </w:r>
            <w:r w:rsidR="00780B2E" w:rsidRPr="009C5F11">
              <w:rPr>
                <w:rFonts w:ascii="Times New Roman" w:eastAsia="Verdana" w:hAnsi="Times New Roman" w:cs="Times New Roman"/>
                <w:color w:val="000000"/>
                <w:sz w:val="18"/>
                <w:szCs w:val="14"/>
                <w:lang w:val="ro-RO"/>
              </w:rPr>
              <w:t xml:space="preserve"> </w:t>
            </w:r>
            <w:r w:rsidR="000C7BEC" w:rsidRPr="009C5F11">
              <w:rPr>
                <w:rFonts w:ascii="Times New Roman" w:eastAsia="Verdana" w:hAnsi="Times New Roman" w:cs="Times New Roman"/>
                <w:color w:val="000000"/>
                <w:sz w:val="18"/>
                <w:szCs w:val="14"/>
                <w:lang w:val="ro-RO"/>
              </w:rPr>
              <w:t>eficie</w:t>
            </w:r>
            <w:r w:rsidR="0072142A" w:rsidRPr="009C5F11">
              <w:rPr>
                <w:rFonts w:ascii="Times New Roman" w:eastAsia="Verdana" w:hAnsi="Times New Roman" w:cs="Times New Roman"/>
                <w:color w:val="000000"/>
                <w:sz w:val="18"/>
                <w:szCs w:val="14"/>
                <w:lang w:val="ro-RO"/>
              </w:rPr>
              <w:t>nţa</w:t>
            </w:r>
            <w:r w:rsidR="000C7BEC" w:rsidRPr="009C5F11">
              <w:rPr>
                <w:rFonts w:ascii="Times New Roman" w:eastAsia="Verdana" w:hAnsi="Times New Roman" w:cs="Times New Roman"/>
                <w:color w:val="000000"/>
                <w:sz w:val="18"/>
                <w:szCs w:val="14"/>
                <w:lang w:val="ro-RO"/>
              </w:rPr>
              <w:t xml:space="preserve"> energetică</w:t>
            </w:r>
            <w:r w:rsidR="00780B2E" w:rsidRPr="009C5F11">
              <w:rPr>
                <w:rFonts w:ascii="Times New Roman" w:eastAsia="Verdana" w:hAnsi="Times New Roman" w:cs="Times New Roman"/>
                <w:color w:val="000000"/>
                <w:sz w:val="18"/>
                <w:szCs w:val="14"/>
                <w:lang w:val="ro-RO"/>
              </w:rPr>
              <w:t xml:space="preserve"> </w:t>
            </w:r>
            <w:r w:rsidR="0072142A" w:rsidRPr="009C5F11">
              <w:rPr>
                <w:rFonts w:ascii="Times New Roman" w:eastAsia="Verdana" w:hAnsi="Times New Roman" w:cs="Times New Roman"/>
                <w:color w:val="000000"/>
                <w:sz w:val="18"/>
                <w:szCs w:val="14"/>
                <w:lang w:val="ro-RO"/>
              </w:rPr>
              <w:t>a reţelei</w:t>
            </w:r>
            <w:r w:rsidR="00780B2E" w:rsidRPr="009C5F11">
              <w:rPr>
                <w:rFonts w:ascii="Times New Roman" w:eastAsia="Verdana" w:hAnsi="Times New Roman" w:cs="Times New Roman"/>
                <w:color w:val="000000"/>
                <w:sz w:val="18"/>
                <w:szCs w:val="14"/>
                <w:lang w:val="ro-RO"/>
              </w:rPr>
              <w:t xml:space="preserve"> </w:t>
            </w:r>
            <w:r w:rsidR="0072142A"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Moldelectrica</w:t>
            </w:r>
            <w:r w:rsidR="0072142A"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 </w:t>
            </w:r>
            <w:r w:rsidR="0072142A" w:rsidRPr="009C5F11">
              <w:rPr>
                <w:rFonts w:ascii="Times New Roman" w:eastAsia="Verdana" w:hAnsi="Times New Roman" w:cs="Times New Roman"/>
                <w:color w:val="000000"/>
                <w:sz w:val="18"/>
                <w:szCs w:val="14"/>
                <w:lang w:val="ro-RO"/>
              </w:rPr>
              <w:t>va consolida stabilitatea furnizării energiei electrice</w:t>
            </w:r>
            <w:r w:rsidR="00321CD5" w:rsidRPr="009C5F11">
              <w:rPr>
                <w:rFonts w:ascii="Times New Roman" w:eastAsia="Verdana" w:hAnsi="Times New Roman" w:cs="Times New Roman"/>
                <w:color w:val="000000"/>
                <w:sz w:val="18"/>
                <w:szCs w:val="14"/>
                <w:lang w:val="ro-RO"/>
              </w:rPr>
              <w:t xml:space="preserve"> şi </w:t>
            </w:r>
            <w:r w:rsidR="0072142A" w:rsidRPr="009C5F11">
              <w:rPr>
                <w:rFonts w:ascii="Times New Roman" w:eastAsia="Verdana" w:hAnsi="Times New Roman" w:cs="Times New Roman"/>
                <w:color w:val="000000"/>
                <w:sz w:val="18"/>
                <w:szCs w:val="14"/>
                <w:lang w:val="ro-RO"/>
              </w:rPr>
              <w:t xml:space="preserve">va îmbunătăţi funcţionarea operatorului de transport </w:t>
            </w:r>
            <w:r w:rsidR="00780B2E" w:rsidRPr="009C5F11">
              <w:rPr>
                <w:rFonts w:ascii="Times New Roman" w:eastAsia="Verdana" w:hAnsi="Times New Roman" w:cs="Times New Roman"/>
                <w:color w:val="000000"/>
                <w:sz w:val="18"/>
                <w:szCs w:val="14"/>
                <w:lang w:val="ro-RO"/>
              </w:rPr>
              <w:t xml:space="preserve">“Moldelectrica”, </w:t>
            </w:r>
            <w:r w:rsidR="0072142A" w:rsidRPr="009C5F11">
              <w:rPr>
                <w:rFonts w:ascii="Times New Roman" w:eastAsia="Verdana" w:hAnsi="Times New Roman" w:cs="Times New Roman"/>
                <w:color w:val="000000"/>
                <w:sz w:val="18"/>
                <w:szCs w:val="14"/>
                <w:lang w:val="ro-RO"/>
              </w:rPr>
              <w:t>ceea ce reprezintă o condiţie obligatorie pentru integrarea Republicii în reţeaua e</w:t>
            </w:r>
            <w:r w:rsidR="00780B2E" w:rsidRPr="009C5F11">
              <w:rPr>
                <w:rFonts w:ascii="Times New Roman" w:eastAsia="Verdana" w:hAnsi="Times New Roman" w:cs="Times New Roman"/>
                <w:color w:val="000000"/>
                <w:sz w:val="18"/>
                <w:szCs w:val="14"/>
                <w:lang w:val="ro-RO"/>
              </w:rPr>
              <w:t>uropean</w:t>
            </w:r>
            <w:r w:rsidR="0072142A" w:rsidRPr="009C5F11">
              <w:rPr>
                <w:rFonts w:ascii="Times New Roman" w:eastAsia="Verdana" w:hAnsi="Times New Roman" w:cs="Times New Roman"/>
                <w:color w:val="000000"/>
                <w:sz w:val="18"/>
                <w:szCs w:val="14"/>
                <w:lang w:val="ro-RO"/>
              </w:rPr>
              <w:t>ă</w:t>
            </w:r>
            <w:r w:rsidR="00780B2E" w:rsidRPr="009C5F11">
              <w:rPr>
                <w:rFonts w:ascii="Times New Roman" w:eastAsia="Verdana" w:hAnsi="Times New Roman" w:cs="Times New Roman"/>
                <w:color w:val="000000"/>
                <w:sz w:val="18"/>
                <w:szCs w:val="14"/>
                <w:lang w:val="ro-RO"/>
              </w:rPr>
              <w:t xml:space="preserve"> </w:t>
            </w:r>
            <w:r w:rsidR="0072142A" w:rsidRPr="009C5F11">
              <w:rPr>
                <w:rFonts w:ascii="Times New Roman" w:eastAsia="Verdana" w:hAnsi="Times New Roman" w:cs="Times New Roman"/>
                <w:color w:val="000000"/>
                <w:sz w:val="18"/>
                <w:szCs w:val="14"/>
                <w:lang w:val="ro-RO"/>
              </w:rPr>
              <w:t xml:space="preserve">de </w:t>
            </w:r>
            <w:r w:rsidR="008F7BD5" w:rsidRPr="009C5F11">
              <w:rPr>
                <w:rFonts w:ascii="Times New Roman" w:eastAsia="Verdana" w:hAnsi="Times New Roman" w:cs="Times New Roman"/>
                <w:color w:val="000000"/>
                <w:sz w:val="18"/>
                <w:szCs w:val="14"/>
                <w:lang w:val="ro-RO"/>
              </w:rPr>
              <w:t>transport</w:t>
            </w:r>
            <w:r w:rsidR="00780B2E" w:rsidRPr="009C5F11">
              <w:rPr>
                <w:rFonts w:ascii="Times New Roman" w:eastAsia="Verdana" w:hAnsi="Times New Roman" w:cs="Times New Roman"/>
                <w:color w:val="000000"/>
                <w:sz w:val="18"/>
                <w:szCs w:val="14"/>
                <w:lang w:val="ro-RO"/>
              </w:rPr>
              <w:t xml:space="preserve"> ENTSO-E. </w:t>
            </w:r>
            <w:r w:rsidR="00916F33" w:rsidRPr="009C5F11">
              <w:rPr>
                <w:rFonts w:ascii="Times New Roman" w:eastAsia="Verdana" w:hAnsi="Times New Roman" w:cs="Times New Roman"/>
                <w:color w:val="000000"/>
                <w:sz w:val="18"/>
                <w:szCs w:val="14"/>
                <w:lang w:val="ro-RO"/>
              </w:rPr>
              <w:t>Proiectul este finanţat prin intermediul unor împrumuturi preferenţiale acordate de BERD (15.5 milioane de euro) şi BEI (17 milioane de euro) pentru perioada 26.06.2012-26.06.2019 şi a unui grant oferit de NIF (8 milioane de euro) pentru perioada 01.04.2013-01.11.2019.</w:t>
            </w:r>
          </w:p>
          <w:p w14:paraId="69F17024" w14:textId="77777777" w:rsidR="00780B2E" w:rsidRPr="009C5F11" w:rsidRDefault="00927CD9"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Potrivit</w:t>
            </w:r>
            <w:r w:rsidR="00780B2E" w:rsidRPr="009C5F11">
              <w:rPr>
                <w:rFonts w:ascii="Times New Roman" w:eastAsia="Verdana" w:hAnsi="Times New Roman" w:cs="Times New Roman"/>
                <w:color w:val="000000"/>
                <w:sz w:val="18"/>
                <w:szCs w:val="14"/>
                <w:lang w:val="ro-RO"/>
              </w:rPr>
              <w:t xml:space="preserve"> </w:t>
            </w:r>
            <w:r w:rsidR="0072142A" w:rsidRPr="009C5F11">
              <w:rPr>
                <w:rFonts w:ascii="Times New Roman" w:eastAsia="Verdana" w:hAnsi="Times New Roman" w:cs="Times New Roman"/>
                <w:color w:val="000000"/>
                <w:sz w:val="18"/>
                <w:szCs w:val="14"/>
                <w:lang w:val="ro-RO"/>
              </w:rPr>
              <w:t>informaţiilor furnizate de operatorul de transport şi de sistem</w:t>
            </w:r>
            <w:r w:rsidR="00780B2E" w:rsidRPr="009C5F11">
              <w:rPr>
                <w:rFonts w:ascii="Times New Roman" w:eastAsia="Verdana" w:hAnsi="Times New Roman" w:cs="Times New Roman"/>
                <w:color w:val="000000"/>
                <w:sz w:val="18"/>
                <w:szCs w:val="14"/>
                <w:lang w:val="ro-RO"/>
              </w:rPr>
              <w:t xml:space="preserve"> </w:t>
            </w:r>
            <w:r w:rsidR="0072142A" w:rsidRPr="009C5F11">
              <w:rPr>
                <w:rFonts w:ascii="Times New Roman" w:eastAsia="Verdana" w:hAnsi="Times New Roman" w:cs="Times New Roman"/>
                <w:color w:val="000000"/>
                <w:sz w:val="18"/>
                <w:szCs w:val="14"/>
                <w:lang w:val="ro-RO"/>
              </w:rPr>
              <w:t xml:space="preserve">la situaţia din </w:t>
            </w:r>
            <w:r w:rsidR="00780B2E" w:rsidRPr="009C5F11">
              <w:rPr>
                <w:rFonts w:ascii="Times New Roman" w:eastAsia="Verdana" w:hAnsi="Times New Roman" w:cs="Times New Roman"/>
                <w:color w:val="000000"/>
                <w:sz w:val="18"/>
                <w:szCs w:val="14"/>
                <w:lang w:val="ro-RO"/>
              </w:rPr>
              <w:t>05.02.2016:</w:t>
            </w:r>
          </w:p>
          <w:p w14:paraId="6E680BC3" w14:textId="77777777" w:rsidR="00780B2E" w:rsidRPr="009C5F11" w:rsidRDefault="001D6122" w:rsidP="00334F3B">
            <w:pPr>
              <w:numPr>
                <w:ilvl w:val="0"/>
                <w:numId w:val="46"/>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elaborarea</w:t>
            </w:r>
            <w:r w:rsidR="00321CD5" w:rsidRPr="009C5F11">
              <w:rPr>
                <w:rFonts w:ascii="Times New Roman" w:eastAsia="Verdana" w:hAnsi="Times New Roman" w:cs="Times New Roman"/>
                <w:color w:val="000000"/>
                <w:sz w:val="18"/>
                <w:szCs w:val="14"/>
                <w:lang w:val="ro-RO"/>
              </w:rPr>
              <w:t xml:space="preserve"> şi </w:t>
            </w:r>
            <w:r w:rsidR="00532A33" w:rsidRPr="009C5F11">
              <w:rPr>
                <w:rFonts w:ascii="Times New Roman" w:eastAsia="Verdana" w:hAnsi="Times New Roman" w:cs="Times New Roman"/>
                <w:color w:val="000000"/>
                <w:sz w:val="18"/>
                <w:szCs w:val="14"/>
                <w:lang w:val="ro-RO"/>
              </w:rPr>
              <w:t>implementarea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codurilor pentru reţelele de tensiune înaltă</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în derulare</w:t>
            </w:r>
            <w:r w:rsidR="00780B2E" w:rsidRPr="009C5F11">
              <w:rPr>
                <w:rFonts w:ascii="Times New Roman" w:eastAsia="Verdana" w:hAnsi="Times New Roman" w:cs="Times New Roman"/>
                <w:color w:val="000000"/>
                <w:sz w:val="18"/>
                <w:szCs w:val="14"/>
                <w:lang w:val="ro-RO"/>
              </w:rPr>
              <w:t>;</w:t>
            </w:r>
          </w:p>
          <w:p w14:paraId="28982D41" w14:textId="77777777" w:rsidR="00780B2E" w:rsidRPr="009C5F11" w:rsidRDefault="001D6122" w:rsidP="00334F3B">
            <w:pPr>
              <w:numPr>
                <w:ilvl w:val="0"/>
                <w:numId w:val="46"/>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lastRenderedPageBreak/>
              <w:t>elaborarea</w:t>
            </w:r>
            <w:r w:rsidR="00321CD5" w:rsidRPr="009C5F11">
              <w:rPr>
                <w:rFonts w:ascii="Times New Roman" w:eastAsia="Verdana" w:hAnsi="Times New Roman" w:cs="Times New Roman"/>
                <w:color w:val="000000"/>
                <w:sz w:val="18"/>
                <w:szCs w:val="14"/>
                <w:lang w:val="ro-RO"/>
              </w:rPr>
              <w:t xml:space="preserve"> şi </w:t>
            </w:r>
            <w:r w:rsidR="00532A33" w:rsidRPr="009C5F11">
              <w:rPr>
                <w:rFonts w:ascii="Times New Roman" w:eastAsia="Verdana" w:hAnsi="Times New Roman" w:cs="Times New Roman"/>
                <w:color w:val="000000"/>
                <w:sz w:val="18"/>
                <w:szCs w:val="14"/>
                <w:lang w:val="ro-RO"/>
              </w:rPr>
              <w:t>implementarea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sistemului de monitorizare a reţelelor electrice la nivel naţional</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realizat</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în </w:t>
            </w:r>
            <w:r w:rsidR="00780B2E" w:rsidRPr="009C5F11">
              <w:rPr>
                <w:rFonts w:ascii="Times New Roman" w:eastAsia="Verdana" w:hAnsi="Times New Roman" w:cs="Times New Roman"/>
                <w:color w:val="000000"/>
                <w:sz w:val="18"/>
                <w:szCs w:val="14"/>
                <w:lang w:val="ro-RO"/>
              </w:rPr>
              <w:t xml:space="preserve">2013, Moldelectrica </w:t>
            </w:r>
            <w:r w:rsidRPr="009C5F11">
              <w:rPr>
                <w:rFonts w:ascii="Times New Roman" w:eastAsia="Verdana" w:hAnsi="Times New Roman" w:cs="Times New Roman"/>
                <w:color w:val="000000"/>
                <w:sz w:val="18"/>
                <w:szCs w:val="14"/>
                <w:lang w:val="ro-RO"/>
              </w:rPr>
              <w:t xml:space="preserve">a </w:t>
            </w:r>
            <w:r w:rsidR="00780B2E" w:rsidRPr="009C5F11">
              <w:rPr>
                <w:rFonts w:ascii="Times New Roman" w:eastAsia="Verdana" w:hAnsi="Times New Roman" w:cs="Times New Roman"/>
                <w:color w:val="000000"/>
                <w:sz w:val="18"/>
                <w:szCs w:val="14"/>
                <w:lang w:val="ro-RO"/>
              </w:rPr>
              <w:t>implement</w:t>
            </w:r>
            <w:r w:rsidRPr="009C5F11">
              <w:rPr>
                <w:rFonts w:ascii="Times New Roman" w:eastAsia="Verdana" w:hAnsi="Times New Roman" w:cs="Times New Roman"/>
                <w:color w:val="000000"/>
                <w:sz w:val="18"/>
                <w:szCs w:val="14"/>
                <w:lang w:val="ro-RO"/>
              </w:rPr>
              <w:t>at</w:t>
            </w:r>
            <w:r w:rsidR="00780B2E" w:rsidRPr="009C5F11">
              <w:rPr>
                <w:rFonts w:ascii="Times New Roman" w:eastAsia="Verdana" w:hAnsi="Times New Roman" w:cs="Times New Roman"/>
                <w:color w:val="000000"/>
                <w:sz w:val="18"/>
                <w:szCs w:val="14"/>
                <w:lang w:val="ro-RO"/>
              </w:rPr>
              <w:t xml:space="preserve"> SCADA</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sistemul automatizat de monitorizare a energiei electrice</w:t>
            </w:r>
            <w:r w:rsidR="00780B2E" w:rsidRPr="009C5F11">
              <w:rPr>
                <w:rFonts w:ascii="Times New Roman" w:eastAsia="Verdana" w:hAnsi="Times New Roman" w:cs="Times New Roman"/>
                <w:color w:val="000000"/>
                <w:sz w:val="18"/>
                <w:szCs w:val="14"/>
                <w:lang w:val="ro-RO"/>
              </w:rPr>
              <w:t xml:space="preserve"> (SAMEE) </w:t>
            </w:r>
            <w:r w:rsidRPr="009C5F11">
              <w:rPr>
                <w:rFonts w:ascii="Times New Roman" w:eastAsia="Verdana" w:hAnsi="Times New Roman" w:cs="Times New Roman"/>
                <w:color w:val="000000"/>
                <w:sz w:val="18"/>
                <w:szCs w:val="14"/>
                <w:lang w:val="ro-RO"/>
              </w:rPr>
              <w:t xml:space="preserve">în cadrul Proiectului energetic </w:t>
            </w:r>
            <w:r w:rsidR="00780B2E" w:rsidRPr="009C5F11">
              <w:rPr>
                <w:rFonts w:ascii="Times New Roman" w:eastAsia="Verdana" w:hAnsi="Times New Roman" w:cs="Times New Roman"/>
                <w:color w:val="000000"/>
                <w:sz w:val="18"/>
                <w:szCs w:val="14"/>
                <w:lang w:val="ro-RO"/>
              </w:rPr>
              <w:t>II;</w:t>
            </w:r>
          </w:p>
          <w:p w14:paraId="710CE25D" w14:textId="77777777" w:rsidR="00780B2E" w:rsidRPr="009C5F11" w:rsidRDefault="001D6122" w:rsidP="00334F3B">
            <w:pPr>
              <w:numPr>
                <w:ilvl w:val="0"/>
                <w:numId w:val="46"/>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elaborarea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unui </w:t>
            </w:r>
            <w:r w:rsidR="00780B2E" w:rsidRPr="009C5F11">
              <w:rPr>
                <w:rFonts w:ascii="Times New Roman" w:eastAsia="Verdana" w:hAnsi="Times New Roman" w:cs="Times New Roman"/>
                <w:color w:val="000000"/>
                <w:sz w:val="18"/>
                <w:szCs w:val="14"/>
                <w:lang w:val="ro-RO"/>
              </w:rPr>
              <w:t>program</w:t>
            </w:r>
            <w:r w:rsidRPr="009C5F11">
              <w:rPr>
                <w:rFonts w:ascii="Times New Roman" w:eastAsia="Verdana" w:hAnsi="Times New Roman" w:cs="Times New Roman"/>
                <w:color w:val="000000"/>
                <w:sz w:val="18"/>
                <w:szCs w:val="14"/>
                <w:lang w:val="ro-RO"/>
              </w:rPr>
              <w:t xml:space="preserve"> de dezvoltare a </w:t>
            </w:r>
            <w:r w:rsidR="00916F33" w:rsidRPr="009C5F11">
              <w:rPr>
                <w:rFonts w:ascii="Times New Roman" w:eastAsia="Verdana" w:hAnsi="Times New Roman" w:cs="Times New Roman"/>
                <w:color w:val="000000"/>
                <w:sz w:val="18"/>
                <w:szCs w:val="14"/>
                <w:lang w:val="ro-RO"/>
              </w:rPr>
              <w:t>sistemului</w:t>
            </w:r>
            <w:r w:rsidRPr="009C5F11">
              <w:rPr>
                <w:rFonts w:ascii="Times New Roman" w:eastAsia="Verdana" w:hAnsi="Times New Roman" w:cs="Times New Roman"/>
                <w:color w:val="000000"/>
                <w:sz w:val="18"/>
                <w:szCs w:val="14"/>
                <w:lang w:val="ro-RO"/>
              </w:rPr>
              <w:t xml:space="preserve"> de</w:t>
            </w:r>
            <w:r w:rsidR="00780B2E" w:rsidRPr="009C5F11">
              <w:rPr>
                <w:rFonts w:ascii="Times New Roman" w:eastAsia="Verdana" w:hAnsi="Times New Roman" w:cs="Times New Roman"/>
                <w:color w:val="000000"/>
                <w:sz w:val="18"/>
                <w:szCs w:val="14"/>
                <w:lang w:val="ro-RO"/>
              </w:rPr>
              <w:t xml:space="preserve"> </w:t>
            </w:r>
            <w:r w:rsidR="008F7BD5" w:rsidRPr="009C5F11">
              <w:rPr>
                <w:rFonts w:ascii="Times New Roman" w:eastAsia="Verdana" w:hAnsi="Times New Roman" w:cs="Times New Roman"/>
                <w:color w:val="000000"/>
                <w:sz w:val="18"/>
                <w:szCs w:val="14"/>
                <w:lang w:val="ro-RO"/>
              </w:rPr>
              <w:t>transport</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w:t>
            </w:r>
            <w:r w:rsidR="00D46157" w:rsidRPr="009C5F11">
              <w:rPr>
                <w:rFonts w:ascii="Times New Roman" w:eastAsia="Verdana" w:hAnsi="Times New Roman" w:cs="Times New Roman"/>
                <w:color w:val="000000"/>
                <w:sz w:val="18"/>
                <w:szCs w:val="14"/>
                <w:lang w:val="ro-RO"/>
              </w:rPr>
              <w:t>l</w:t>
            </w:r>
            <w:r w:rsidRPr="009C5F11">
              <w:rPr>
                <w:rFonts w:ascii="Times New Roman" w:eastAsia="Verdana" w:hAnsi="Times New Roman" w:cs="Times New Roman"/>
                <w:color w:val="000000"/>
                <w:sz w:val="18"/>
                <w:szCs w:val="14"/>
                <w:lang w:val="ro-RO"/>
              </w:rPr>
              <w:t xml:space="preserve"> energiei electrice</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în </w:t>
            </w:r>
            <w:r w:rsidRPr="009C5F11">
              <w:rPr>
                <w:rFonts w:ascii="Times New Roman" w:eastAsia="Verdana" w:hAnsi="Times New Roman" w:cs="Times New Roman"/>
                <w:color w:val="000000"/>
                <w:sz w:val="18"/>
                <w:szCs w:val="14"/>
                <w:lang w:val="ro-RO"/>
              </w:rPr>
              <w:t>derulare</w:t>
            </w:r>
            <w:r w:rsidR="00780B2E" w:rsidRPr="009C5F11">
              <w:rPr>
                <w:rFonts w:ascii="Times New Roman" w:eastAsia="Verdana" w:hAnsi="Times New Roman" w:cs="Times New Roman"/>
                <w:color w:val="000000"/>
                <w:sz w:val="18"/>
                <w:szCs w:val="14"/>
                <w:lang w:val="ro-RO"/>
              </w:rPr>
              <w:t>;</w:t>
            </w:r>
          </w:p>
          <w:p w14:paraId="1654FC21" w14:textId="77777777" w:rsidR="00780B2E" w:rsidRPr="009C5F11" w:rsidRDefault="001D6122" w:rsidP="00334F3B">
            <w:pPr>
              <w:numPr>
                <w:ilvl w:val="0"/>
                <w:numId w:val="46"/>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elaborarea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unui program </w:t>
            </w:r>
            <w:r w:rsidR="00916F33" w:rsidRPr="009C5F11">
              <w:rPr>
                <w:rFonts w:ascii="Times New Roman" w:eastAsia="Verdana" w:hAnsi="Times New Roman" w:cs="Times New Roman"/>
                <w:color w:val="000000"/>
                <w:sz w:val="18"/>
                <w:szCs w:val="14"/>
                <w:lang w:val="ro-RO"/>
              </w:rPr>
              <w:t>propriu</w:t>
            </w:r>
            <w:r w:rsidRPr="009C5F11">
              <w:rPr>
                <w:rFonts w:ascii="Times New Roman" w:eastAsia="Verdana" w:hAnsi="Times New Roman" w:cs="Times New Roman"/>
                <w:color w:val="000000"/>
                <w:sz w:val="18"/>
                <w:szCs w:val="14"/>
                <w:lang w:val="ro-RO"/>
              </w:rPr>
              <w:t xml:space="preserve"> de</w:t>
            </w:r>
            <w:r w:rsidR="00780B2E" w:rsidRPr="009C5F11">
              <w:rPr>
                <w:rFonts w:ascii="Times New Roman" w:eastAsia="Verdana" w:hAnsi="Times New Roman" w:cs="Times New Roman"/>
                <w:color w:val="000000"/>
                <w:sz w:val="18"/>
                <w:szCs w:val="14"/>
                <w:lang w:val="ro-RO"/>
              </w:rPr>
              <w:t xml:space="preserve"> </w:t>
            </w:r>
            <w:r w:rsidR="000C7BEC" w:rsidRPr="009C5F11">
              <w:rPr>
                <w:rFonts w:ascii="Times New Roman" w:eastAsia="Verdana" w:hAnsi="Times New Roman" w:cs="Times New Roman"/>
                <w:color w:val="000000"/>
                <w:sz w:val="18"/>
                <w:szCs w:val="14"/>
                <w:lang w:val="ro-RO"/>
              </w:rPr>
              <w:t>eficienţă energetică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realizat parţial</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în perioada</w:t>
            </w:r>
            <w:r w:rsidR="00780B2E" w:rsidRPr="009C5F11">
              <w:rPr>
                <w:rFonts w:ascii="Times New Roman" w:eastAsia="Verdana" w:hAnsi="Times New Roman" w:cs="Times New Roman"/>
                <w:color w:val="000000"/>
                <w:sz w:val="18"/>
                <w:szCs w:val="14"/>
                <w:lang w:val="ro-RO"/>
              </w:rPr>
              <w:t xml:space="preserve"> 2014-2015 </w:t>
            </w:r>
            <w:r w:rsidR="00D46157" w:rsidRPr="009C5F11">
              <w:rPr>
                <w:rFonts w:ascii="Times New Roman" w:eastAsia="Verdana" w:hAnsi="Times New Roman" w:cs="Times New Roman"/>
                <w:color w:val="000000"/>
                <w:sz w:val="18"/>
                <w:szCs w:val="14"/>
                <w:lang w:val="ro-RO"/>
              </w:rPr>
              <w:t>două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din cele</w:t>
            </w:r>
            <w:r w:rsidR="00780B2E" w:rsidRPr="009C5F11">
              <w:rPr>
                <w:rFonts w:ascii="Times New Roman" w:eastAsia="Verdana" w:hAnsi="Times New Roman" w:cs="Times New Roman"/>
                <w:color w:val="000000"/>
                <w:sz w:val="18"/>
                <w:szCs w:val="14"/>
                <w:lang w:val="ro-RO"/>
              </w:rPr>
              <w:t xml:space="preserve"> 4 </w:t>
            </w:r>
            <w:r w:rsidRPr="009C5F11">
              <w:rPr>
                <w:rFonts w:ascii="Times New Roman" w:eastAsia="Verdana" w:hAnsi="Times New Roman" w:cs="Times New Roman"/>
                <w:color w:val="000000"/>
                <w:sz w:val="18"/>
                <w:szCs w:val="14"/>
                <w:lang w:val="ro-RO"/>
              </w:rPr>
              <w:t>filiale au elaborat şi aprobat programe de eficienţă energetică</w:t>
            </w:r>
            <w:r w:rsidR="00780B2E" w:rsidRPr="009C5F11">
              <w:rPr>
                <w:rFonts w:ascii="Times New Roman" w:eastAsia="Verdana" w:hAnsi="Times New Roman" w:cs="Times New Roman"/>
                <w:color w:val="000000"/>
                <w:sz w:val="18"/>
                <w:szCs w:val="14"/>
                <w:lang w:val="ro-RO"/>
              </w:rPr>
              <w:t xml:space="preserve">. </w:t>
            </w:r>
          </w:p>
          <w:p w14:paraId="555938A8" w14:textId="77777777" w:rsidR="00780B2E" w:rsidRPr="009C5F11" w:rsidRDefault="008E0271"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În plus</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pe parcursul anilor</w:t>
            </w:r>
            <w:r w:rsidR="00780B2E" w:rsidRPr="009C5F11">
              <w:rPr>
                <w:rFonts w:ascii="Times New Roman" w:eastAsia="Verdana" w:hAnsi="Times New Roman" w:cs="Times New Roman"/>
                <w:color w:val="000000"/>
                <w:sz w:val="18"/>
                <w:szCs w:val="14"/>
                <w:lang w:val="ro-RO"/>
              </w:rPr>
              <w:t xml:space="preserve"> 2012-2015, 4 (</w:t>
            </w:r>
            <w:r w:rsidRPr="009C5F11">
              <w:rPr>
                <w:rFonts w:ascii="Times New Roman" w:eastAsia="Verdana" w:hAnsi="Times New Roman" w:cs="Times New Roman"/>
                <w:color w:val="000000"/>
                <w:sz w:val="18"/>
                <w:szCs w:val="14"/>
                <w:lang w:val="ro-RO"/>
              </w:rPr>
              <w:t>patru</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filiale ale</w:t>
            </w:r>
            <w:r w:rsidR="00780B2E" w:rsidRPr="009C5F11">
              <w:rPr>
                <w:rFonts w:ascii="Times New Roman" w:eastAsia="Verdana" w:hAnsi="Times New Roman" w:cs="Times New Roman"/>
                <w:color w:val="000000"/>
                <w:sz w:val="18"/>
                <w:szCs w:val="14"/>
                <w:lang w:val="ro-RO"/>
              </w:rPr>
              <w:t xml:space="preserve"> Moldelectrica </w:t>
            </w:r>
            <w:r w:rsidRPr="009C5F11">
              <w:rPr>
                <w:rFonts w:ascii="Times New Roman" w:eastAsia="Verdana" w:hAnsi="Times New Roman" w:cs="Times New Roman"/>
                <w:color w:val="000000"/>
                <w:sz w:val="18"/>
                <w:szCs w:val="14"/>
                <w:lang w:val="ro-RO"/>
              </w:rPr>
              <w:t>au aplicat măsuri de</w:t>
            </w:r>
            <w:r w:rsidR="00780B2E" w:rsidRPr="009C5F11">
              <w:rPr>
                <w:rFonts w:ascii="Times New Roman" w:eastAsia="Verdana" w:hAnsi="Times New Roman" w:cs="Times New Roman"/>
                <w:color w:val="000000"/>
                <w:sz w:val="18"/>
                <w:szCs w:val="14"/>
                <w:lang w:val="ro-RO"/>
              </w:rPr>
              <w:t xml:space="preserve"> </w:t>
            </w:r>
            <w:r w:rsidR="000C7BEC" w:rsidRPr="009C5F11">
              <w:rPr>
                <w:rFonts w:ascii="Times New Roman" w:eastAsia="Verdana" w:hAnsi="Times New Roman" w:cs="Times New Roman"/>
                <w:color w:val="000000"/>
                <w:sz w:val="18"/>
                <w:szCs w:val="14"/>
                <w:lang w:val="ro-RO"/>
              </w:rPr>
              <w:t>eficienţă energetică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înlocuirea ferestrelor</w:t>
            </w:r>
            <w:r w:rsidR="00780B2E" w:rsidRPr="009C5F11">
              <w:rPr>
                <w:rFonts w:ascii="Times New Roman" w:eastAsia="Verdana" w:hAnsi="Times New Roman" w:cs="Times New Roman"/>
                <w:color w:val="000000"/>
                <w:sz w:val="18"/>
                <w:szCs w:val="14"/>
                <w:lang w:val="ro-RO"/>
              </w:rPr>
              <w:t xml:space="preserve">, </w:t>
            </w:r>
            <w:r w:rsidR="00D46157" w:rsidRPr="009C5F11">
              <w:rPr>
                <w:rFonts w:ascii="Times New Roman" w:eastAsia="Verdana" w:hAnsi="Times New Roman" w:cs="Times New Roman"/>
                <w:color w:val="000000"/>
                <w:sz w:val="18"/>
                <w:szCs w:val="14"/>
                <w:lang w:val="ro-RO"/>
              </w:rPr>
              <w:t xml:space="preserve">lucrări în valoare de </w:t>
            </w:r>
            <w:r w:rsidR="00780B2E" w:rsidRPr="009C5F11">
              <w:rPr>
                <w:rFonts w:ascii="Times New Roman" w:eastAsia="Verdana" w:hAnsi="Times New Roman" w:cs="Times New Roman"/>
                <w:color w:val="000000"/>
                <w:sz w:val="18"/>
                <w:szCs w:val="14"/>
                <w:lang w:val="ro-RO"/>
              </w:rPr>
              <w:t xml:space="preserve">206 </w:t>
            </w:r>
            <w:r w:rsidR="00AA0566" w:rsidRPr="009C5F11">
              <w:rPr>
                <w:rFonts w:ascii="Times New Roman" w:eastAsia="Verdana" w:hAnsi="Times New Roman" w:cs="Times New Roman"/>
                <w:color w:val="000000"/>
                <w:sz w:val="18"/>
                <w:szCs w:val="14"/>
                <w:lang w:val="ro-RO"/>
              </w:rPr>
              <w:t xml:space="preserve">mii </w:t>
            </w:r>
            <w:r w:rsidRPr="009C5F11">
              <w:rPr>
                <w:rFonts w:ascii="Times New Roman" w:eastAsia="Verdana" w:hAnsi="Times New Roman" w:cs="Times New Roman"/>
                <w:color w:val="000000"/>
                <w:sz w:val="18"/>
                <w:szCs w:val="14"/>
                <w:lang w:val="ro-RO"/>
              </w:rPr>
              <w:t xml:space="preserve">de </w:t>
            </w:r>
            <w:r w:rsidR="00AA0566" w:rsidRPr="009C5F11">
              <w:rPr>
                <w:rFonts w:ascii="Times New Roman" w:eastAsia="Verdana" w:hAnsi="Times New Roman" w:cs="Times New Roman"/>
                <w:color w:val="000000"/>
                <w:sz w:val="18"/>
                <w:szCs w:val="14"/>
                <w:lang w:val="ro-RO"/>
              </w:rPr>
              <w:t>lei</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în vederea sporirii performanţei energetice a clădirilor administrative ale Companiei</w:t>
            </w:r>
            <w:r w:rsidR="00780B2E" w:rsidRPr="009C5F11">
              <w:rPr>
                <w:rFonts w:ascii="Times New Roman" w:eastAsia="Verdana" w:hAnsi="Times New Roman" w:cs="Times New Roman"/>
                <w:color w:val="000000"/>
                <w:sz w:val="18"/>
                <w:szCs w:val="14"/>
                <w:lang w:val="ro-RO"/>
              </w:rPr>
              <w:t>.</w:t>
            </w:r>
          </w:p>
          <w:p w14:paraId="5ADF677C" w14:textId="77777777" w:rsidR="00780B2E" w:rsidRPr="009C5F11" w:rsidRDefault="008E0271"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În ceea ce priveşte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pierderile de energie electrică</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în reţelele de distribuţie</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potrivit informaţiilor incluse în acest document</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aceste</w:t>
            </w:r>
            <w:r w:rsidR="00780B2E" w:rsidRPr="009C5F11">
              <w:rPr>
                <w:rFonts w:ascii="Times New Roman" w:eastAsia="Verdana" w:hAnsi="Times New Roman" w:cs="Times New Roman"/>
                <w:color w:val="000000"/>
                <w:sz w:val="18"/>
                <w:szCs w:val="14"/>
                <w:lang w:val="ro-RO"/>
              </w:rPr>
              <w:t xml:space="preserve"> </w:t>
            </w:r>
            <w:r w:rsidR="00BA5A89" w:rsidRPr="009C5F11">
              <w:rPr>
                <w:rFonts w:ascii="Times New Roman" w:eastAsia="Verdana" w:hAnsi="Times New Roman" w:cs="Times New Roman"/>
                <w:color w:val="000000"/>
                <w:sz w:val="18"/>
                <w:szCs w:val="14"/>
                <w:lang w:val="ro-RO"/>
              </w:rPr>
              <w:t>pierderi</w:t>
            </w:r>
            <w:r w:rsidRPr="009C5F11">
              <w:rPr>
                <w:rFonts w:ascii="Times New Roman" w:eastAsia="Verdana" w:hAnsi="Times New Roman" w:cs="Times New Roman"/>
                <w:color w:val="000000"/>
                <w:sz w:val="18"/>
                <w:szCs w:val="14"/>
                <w:lang w:val="ro-RO"/>
              </w:rPr>
              <w:t xml:space="preserve"> sunt reduse treptat, în </w:t>
            </w:r>
            <w:r w:rsidR="00780B2E" w:rsidRPr="009C5F11">
              <w:rPr>
                <w:rFonts w:ascii="Times New Roman" w:eastAsia="Verdana" w:hAnsi="Times New Roman" w:cs="Times New Roman"/>
                <w:color w:val="000000"/>
                <w:sz w:val="18"/>
                <w:szCs w:val="14"/>
                <w:lang w:val="ro-RO"/>
              </w:rPr>
              <w:t xml:space="preserve">2014 </w:t>
            </w:r>
            <w:r w:rsidRPr="009C5F11">
              <w:rPr>
                <w:rFonts w:ascii="Times New Roman" w:eastAsia="Verdana" w:hAnsi="Times New Roman" w:cs="Times New Roman"/>
                <w:color w:val="000000"/>
                <w:sz w:val="18"/>
                <w:szCs w:val="14"/>
                <w:lang w:val="ro-RO"/>
              </w:rPr>
              <w:t xml:space="preserve">nivelul lor fiind de </w:t>
            </w:r>
            <w:r w:rsidR="00780B2E" w:rsidRPr="009C5F11">
              <w:rPr>
                <w:rFonts w:ascii="Times New Roman" w:eastAsia="Verdana" w:hAnsi="Times New Roman" w:cs="Times New Roman"/>
                <w:color w:val="000000"/>
                <w:sz w:val="18"/>
                <w:szCs w:val="14"/>
                <w:lang w:val="ro-RO"/>
              </w:rPr>
              <w:t xml:space="preserve">9.2 - 11.58% </w:t>
            </w:r>
            <w:r w:rsidRPr="009C5F11">
              <w:rPr>
                <w:rFonts w:ascii="Times New Roman" w:eastAsia="Verdana" w:hAnsi="Times New Roman" w:cs="Times New Roman"/>
                <w:color w:val="000000"/>
                <w:sz w:val="18"/>
                <w:szCs w:val="14"/>
                <w:lang w:val="ro-RO"/>
              </w:rPr>
              <w:t>din volumul de energie electrică furnizat reţelelor de distribuţie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Consumatori</w:t>
            </w:r>
            <w:r w:rsidR="00D46157" w:rsidRPr="009C5F11">
              <w:rPr>
                <w:rFonts w:ascii="Times New Roman" w:eastAsia="Verdana" w:hAnsi="Times New Roman" w:cs="Times New Roman"/>
                <w:color w:val="000000"/>
                <w:sz w:val="18"/>
                <w:szCs w:val="14"/>
                <w:lang w:val="ro-RO"/>
              </w:rPr>
              <w:t>lo</w:t>
            </w:r>
            <w:r w:rsidR="002C7A1A" w:rsidRPr="009C5F11">
              <w:rPr>
                <w:rFonts w:ascii="Times New Roman" w:eastAsia="Verdana" w:hAnsi="Times New Roman" w:cs="Times New Roman"/>
                <w:color w:val="000000"/>
                <w:sz w:val="18"/>
                <w:szCs w:val="14"/>
                <w:lang w:val="ro-RO"/>
              </w:rPr>
              <w:t>r</w:t>
            </w:r>
            <w:r w:rsidRPr="009C5F11">
              <w:rPr>
                <w:rFonts w:ascii="Times New Roman" w:eastAsia="Verdana" w:hAnsi="Times New Roman" w:cs="Times New Roman"/>
                <w:color w:val="000000"/>
                <w:sz w:val="18"/>
                <w:szCs w:val="14"/>
                <w:lang w:val="ro-RO"/>
              </w:rPr>
              <w:t xml:space="preserve"> finali </w:t>
            </w:r>
            <w:r w:rsidR="00D46157" w:rsidRPr="009C5F11">
              <w:rPr>
                <w:rFonts w:ascii="Times New Roman" w:eastAsia="Verdana" w:hAnsi="Times New Roman" w:cs="Times New Roman"/>
                <w:color w:val="000000"/>
                <w:sz w:val="18"/>
                <w:szCs w:val="14"/>
                <w:lang w:val="ro-RO"/>
              </w:rPr>
              <w:t>le-au fost furnizate</w:t>
            </w:r>
            <w:r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3.55TWh</w:t>
            </w:r>
            <w:r w:rsidR="00321CD5" w:rsidRPr="009C5F11">
              <w:rPr>
                <w:rFonts w:ascii="Times New Roman" w:eastAsia="Verdana" w:hAnsi="Times New Roman" w:cs="Times New Roman"/>
                <w:color w:val="000000"/>
                <w:sz w:val="18"/>
                <w:szCs w:val="14"/>
                <w:lang w:val="ro-RO"/>
              </w:rPr>
              <w:t xml:space="preserve"> în </w:t>
            </w:r>
            <w:r w:rsidR="00780B2E" w:rsidRPr="009C5F11">
              <w:rPr>
                <w:rFonts w:ascii="Times New Roman" w:eastAsia="Verdana" w:hAnsi="Times New Roman" w:cs="Times New Roman"/>
                <w:color w:val="000000"/>
                <w:sz w:val="18"/>
                <w:szCs w:val="14"/>
                <w:lang w:val="ro-RO"/>
              </w:rPr>
              <w:t>2014.</w:t>
            </w:r>
          </w:p>
          <w:p w14:paraId="4791F3D0" w14:textId="77777777" w:rsidR="00780B2E" w:rsidRPr="009C5F11" w:rsidRDefault="008E0271"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Pierderile de energie electrică</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la operatorul de distribuţie şi de sistem</w:t>
            </w:r>
            <w:r w:rsidR="00780B2E" w:rsidRPr="009C5F11">
              <w:rPr>
                <w:rFonts w:ascii="Times New Roman" w:eastAsia="Verdana" w:hAnsi="Times New Roman" w:cs="Times New Roman"/>
                <w:color w:val="000000"/>
                <w:sz w:val="18"/>
                <w:szCs w:val="14"/>
                <w:lang w:val="ro-RO"/>
              </w:rPr>
              <w:t xml:space="preserve"> RED-</w:t>
            </w:r>
            <w:r w:rsidR="00800247" w:rsidRPr="009C5F11">
              <w:rPr>
                <w:rFonts w:ascii="Times New Roman" w:eastAsia="Verdana" w:hAnsi="Times New Roman" w:cs="Times New Roman"/>
                <w:color w:val="000000"/>
                <w:sz w:val="18"/>
                <w:szCs w:val="14"/>
                <w:lang w:val="ro-RO"/>
              </w:rPr>
              <w:t>Nord</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în perioada</w:t>
            </w:r>
            <w:r w:rsidR="00780B2E" w:rsidRPr="009C5F11">
              <w:rPr>
                <w:rFonts w:ascii="Times New Roman" w:eastAsia="Verdana" w:hAnsi="Times New Roman" w:cs="Times New Roman"/>
                <w:color w:val="000000"/>
                <w:sz w:val="18"/>
                <w:szCs w:val="14"/>
                <w:lang w:val="ro-RO"/>
              </w:rPr>
              <w:t xml:space="preserve"> 2013-2015 </w:t>
            </w:r>
            <w:r w:rsidRPr="009C5F11">
              <w:rPr>
                <w:rFonts w:ascii="Times New Roman" w:eastAsia="Verdana" w:hAnsi="Times New Roman" w:cs="Times New Roman"/>
                <w:color w:val="000000"/>
                <w:sz w:val="18"/>
                <w:szCs w:val="14"/>
                <w:lang w:val="ro-RO"/>
              </w:rPr>
              <w:t>au fost după cum urmează</w:t>
            </w:r>
            <w:r w:rsidR="00780B2E" w:rsidRPr="009C5F11">
              <w:rPr>
                <w:rFonts w:ascii="Times New Roman" w:eastAsia="Verdana" w:hAnsi="Times New Roman" w:cs="Times New Roman"/>
                <w:color w:val="000000"/>
                <w:sz w:val="18"/>
                <w:szCs w:val="14"/>
                <w:lang w:val="ro-RO"/>
              </w:rPr>
              <w:t>: 2013: 9.09%, 2014: 8.98%, 2015: 9.08%.</w:t>
            </w:r>
          </w:p>
          <w:p w14:paraId="45433E64"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RED </w:t>
            </w:r>
            <w:r w:rsidR="00D46157" w:rsidRPr="009C5F11">
              <w:rPr>
                <w:rFonts w:ascii="Times New Roman" w:eastAsia="Verdana" w:hAnsi="Times New Roman" w:cs="Times New Roman"/>
                <w:color w:val="000000"/>
                <w:sz w:val="18"/>
                <w:szCs w:val="14"/>
                <w:lang w:val="ro-RO"/>
              </w:rPr>
              <w:t>Union Fenosa (</w:t>
            </w:r>
            <w:r w:rsidRPr="009C5F11">
              <w:rPr>
                <w:rFonts w:ascii="Times New Roman" w:eastAsia="Verdana" w:hAnsi="Times New Roman" w:cs="Times New Roman"/>
                <w:color w:val="000000"/>
                <w:sz w:val="18"/>
                <w:szCs w:val="14"/>
                <w:lang w:val="ro-RO"/>
              </w:rPr>
              <w:t>UF</w:t>
            </w:r>
            <w:r w:rsidR="00D46157"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 xml:space="preserve"> </w:t>
            </w:r>
            <w:r w:rsidR="00334DD0" w:rsidRPr="009C5F11">
              <w:rPr>
                <w:rFonts w:ascii="Times New Roman" w:eastAsia="Verdana" w:hAnsi="Times New Roman" w:cs="Times New Roman"/>
                <w:color w:val="000000"/>
                <w:sz w:val="18"/>
                <w:szCs w:val="14"/>
                <w:lang w:val="ro-RO"/>
              </w:rPr>
              <w:t xml:space="preserve">a elaborat un plan investiţional pentru anul </w:t>
            </w:r>
            <w:r w:rsidRPr="009C5F11">
              <w:rPr>
                <w:rFonts w:ascii="Times New Roman" w:eastAsia="Verdana" w:hAnsi="Times New Roman" w:cs="Times New Roman"/>
                <w:color w:val="000000"/>
                <w:sz w:val="18"/>
                <w:szCs w:val="14"/>
                <w:lang w:val="ro-RO"/>
              </w:rPr>
              <w:t>2015</w:t>
            </w:r>
            <w:r w:rsidR="00334DD0" w:rsidRPr="009C5F11">
              <w:rPr>
                <w:rFonts w:ascii="Times New Roman" w:eastAsia="Verdana" w:hAnsi="Times New Roman" w:cs="Times New Roman"/>
                <w:color w:val="000000"/>
                <w:sz w:val="18"/>
                <w:szCs w:val="14"/>
                <w:lang w:val="ro-RO"/>
              </w:rPr>
              <w:t xml:space="preserve"> în valoare de </w:t>
            </w:r>
            <w:r w:rsidRPr="009C5F11">
              <w:rPr>
                <w:rFonts w:ascii="Times New Roman" w:eastAsia="Verdana" w:hAnsi="Times New Roman" w:cs="Times New Roman"/>
                <w:color w:val="000000"/>
                <w:sz w:val="18"/>
                <w:szCs w:val="14"/>
                <w:lang w:val="ro-RO"/>
              </w:rPr>
              <w:t xml:space="preserve">209.8 </w:t>
            </w:r>
            <w:r w:rsidR="00421FA7" w:rsidRPr="009C5F11">
              <w:rPr>
                <w:rFonts w:ascii="Times New Roman" w:eastAsia="Verdana" w:hAnsi="Times New Roman" w:cs="Times New Roman"/>
                <w:color w:val="000000"/>
                <w:sz w:val="18"/>
                <w:szCs w:val="14"/>
                <w:lang w:val="ro-RO"/>
              </w:rPr>
              <w:t xml:space="preserve">milioane </w:t>
            </w:r>
            <w:r w:rsidRPr="009C5F11">
              <w:rPr>
                <w:rFonts w:ascii="Times New Roman" w:eastAsia="Verdana" w:hAnsi="Times New Roman" w:cs="Times New Roman"/>
                <w:color w:val="000000"/>
                <w:sz w:val="18"/>
                <w:szCs w:val="14"/>
                <w:lang w:val="ro-RO"/>
              </w:rPr>
              <w:t xml:space="preserve">lei (10 </w:t>
            </w:r>
            <w:r w:rsidR="00800247" w:rsidRPr="009C5F11">
              <w:rPr>
                <w:rFonts w:ascii="Times New Roman" w:eastAsia="Verdana" w:hAnsi="Times New Roman" w:cs="Times New Roman"/>
                <w:color w:val="000000"/>
                <w:sz w:val="18"/>
                <w:szCs w:val="14"/>
                <w:lang w:val="ro-RO"/>
              </w:rPr>
              <w:t>milioane</w:t>
            </w:r>
            <w:r w:rsidR="00334DD0" w:rsidRPr="009C5F11">
              <w:rPr>
                <w:rFonts w:ascii="Times New Roman" w:eastAsia="Verdana" w:hAnsi="Times New Roman" w:cs="Times New Roman"/>
                <w:color w:val="000000"/>
                <w:sz w:val="18"/>
                <w:szCs w:val="14"/>
                <w:lang w:val="ro-RO"/>
              </w:rPr>
              <w:t xml:space="preserve"> euro</w:t>
            </w:r>
            <w:r w:rsidRPr="009C5F11">
              <w:rPr>
                <w:rFonts w:ascii="Times New Roman" w:eastAsia="Verdana" w:hAnsi="Times New Roman" w:cs="Times New Roman"/>
                <w:color w:val="000000"/>
                <w:sz w:val="18"/>
                <w:szCs w:val="14"/>
                <w:lang w:val="ro-RO"/>
              </w:rPr>
              <w:t xml:space="preserve">), </w:t>
            </w:r>
            <w:r w:rsidR="00334DD0" w:rsidRPr="009C5F11">
              <w:rPr>
                <w:rFonts w:ascii="Times New Roman" w:eastAsia="Verdana" w:hAnsi="Times New Roman" w:cs="Times New Roman"/>
                <w:color w:val="000000"/>
                <w:sz w:val="18"/>
                <w:szCs w:val="14"/>
                <w:lang w:val="ro-RO"/>
              </w:rPr>
              <w:t xml:space="preserve">care a fost aprobat de </w:t>
            </w:r>
            <w:r w:rsidRPr="009C5F11">
              <w:rPr>
                <w:rFonts w:ascii="Times New Roman" w:eastAsia="Verdana" w:hAnsi="Times New Roman" w:cs="Times New Roman"/>
                <w:color w:val="000000"/>
                <w:sz w:val="18"/>
                <w:szCs w:val="14"/>
                <w:lang w:val="ro-RO"/>
              </w:rPr>
              <w:t xml:space="preserve">ANRE </w:t>
            </w:r>
            <w:r w:rsidR="00334DD0" w:rsidRPr="009C5F11">
              <w:rPr>
                <w:rFonts w:ascii="Times New Roman" w:eastAsia="Verdana" w:hAnsi="Times New Roman" w:cs="Times New Roman"/>
                <w:color w:val="000000"/>
                <w:sz w:val="18"/>
                <w:szCs w:val="14"/>
                <w:lang w:val="ro-RO"/>
              </w:rPr>
              <w:t>la</w:t>
            </w:r>
            <w:r w:rsidRPr="009C5F11">
              <w:rPr>
                <w:rFonts w:ascii="Times New Roman" w:eastAsia="Verdana" w:hAnsi="Times New Roman" w:cs="Times New Roman"/>
                <w:color w:val="000000"/>
                <w:sz w:val="18"/>
                <w:szCs w:val="14"/>
                <w:lang w:val="ro-RO"/>
              </w:rPr>
              <w:t xml:space="preserve"> 10.09.2015</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 xml:space="preserve">include: 158.8 </w:t>
            </w:r>
            <w:r w:rsidR="00421FA7" w:rsidRPr="009C5F11">
              <w:rPr>
                <w:rFonts w:ascii="Times New Roman" w:eastAsia="Verdana" w:hAnsi="Times New Roman" w:cs="Times New Roman"/>
                <w:color w:val="000000"/>
                <w:sz w:val="18"/>
                <w:szCs w:val="14"/>
                <w:lang w:val="ro-RO"/>
              </w:rPr>
              <w:t xml:space="preserve">milioane </w:t>
            </w:r>
            <w:r w:rsidRPr="009C5F11">
              <w:rPr>
                <w:rFonts w:ascii="Times New Roman" w:eastAsia="Verdana" w:hAnsi="Times New Roman" w:cs="Times New Roman"/>
                <w:color w:val="000000"/>
                <w:sz w:val="18"/>
                <w:szCs w:val="14"/>
                <w:lang w:val="ro-RO"/>
              </w:rPr>
              <w:t>lei (7.6</w:t>
            </w:r>
            <w:r w:rsidR="00334DD0" w:rsidRPr="009C5F11">
              <w:rPr>
                <w:rFonts w:ascii="Times New Roman" w:eastAsia="Verdana" w:hAnsi="Times New Roman" w:cs="Times New Roman"/>
                <w:color w:val="000000"/>
                <w:sz w:val="18"/>
                <w:szCs w:val="14"/>
                <w:lang w:val="ro-RO"/>
              </w:rPr>
              <w:t xml:space="preserve"> </w:t>
            </w:r>
            <w:r w:rsidR="00800247" w:rsidRPr="009C5F11">
              <w:rPr>
                <w:rFonts w:ascii="Times New Roman" w:eastAsia="Verdana" w:hAnsi="Times New Roman" w:cs="Times New Roman"/>
                <w:color w:val="000000"/>
                <w:sz w:val="18"/>
                <w:szCs w:val="14"/>
                <w:lang w:val="ro-RO"/>
              </w:rPr>
              <w:t>milioane</w:t>
            </w:r>
            <w:r w:rsidR="00334DD0" w:rsidRPr="009C5F11">
              <w:rPr>
                <w:rFonts w:ascii="Times New Roman" w:eastAsia="Verdana" w:hAnsi="Times New Roman" w:cs="Times New Roman"/>
                <w:color w:val="000000"/>
                <w:sz w:val="18"/>
                <w:szCs w:val="14"/>
                <w:lang w:val="ro-RO"/>
              </w:rPr>
              <w:t xml:space="preserve"> euro</w:t>
            </w:r>
            <w:r w:rsidRPr="009C5F11">
              <w:rPr>
                <w:rFonts w:ascii="Times New Roman" w:eastAsia="Verdana" w:hAnsi="Times New Roman" w:cs="Times New Roman"/>
                <w:color w:val="000000"/>
                <w:sz w:val="18"/>
                <w:szCs w:val="14"/>
                <w:lang w:val="ro-RO"/>
              </w:rPr>
              <w:t>) invest</w:t>
            </w:r>
            <w:r w:rsidR="00334DD0" w:rsidRPr="009C5F11">
              <w:rPr>
                <w:rFonts w:ascii="Times New Roman" w:eastAsia="Verdana" w:hAnsi="Times New Roman" w:cs="Times New Roman"/>
                <w:color w:val="000000"/>
                <w:sz w:val="18"/>
                <w:szCs w:val="14"/>
                <w:lang w:val="ro-RO"/>
              </w:rPr>
              <w:t>iţii</w:t>
            </w:r>
            <w:r w:rsidR="00321CD5" w:rsidRPr="009C5F11">
              <w:rPr>
                <w:rFonts w:ascii="Times New Roman" w:eastAsia="Verdana" w:hAnsi="Times New Roman" w:cs="Times New Roman"/>
                <w:color w:val="000000"/>
                <w:sz w:val="18"/>
                <w:szCs w:val="14"/>
                <w:lang w:val="ro-RO"/>
              </w:rPr>
              <w:t xml:space="preserve"> </w:t>
            </w:r>
            <w:r w:rsidR="00334DD0" w:rsidRPr="009C5F11">
              <w:rPr>
                <w:rFonts w:ascii="Times New Roman" w:eastAsia="Verdana" w:hAnsi="Times New Roman" w:cs="Times New Roman"/>
                <w:color w:val="000000"/>
                <w:sz w:val="18"/>
                <w:szCs w:val="14"/>
                <w:lang w:val="ro-RO"/>
              </w:rPr>
              <w:t>pentru</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reconstruc</w:t>
            </w:r>
            <w:r w:rsidR="00334DD0" w:rsidRPr="009C5F11">
              <w:rPr>
                <w:rFonts w:ascii="Times New Roman" w:eastAsia="Verdana" w:hAnsi="Times New Roman" w:cs="Times New Roman"/>
                <w:color w:val="000000"/>
                <w:sz w:val="18"/>
                <w:szCs w:val="14"/>
                <w:lang w:val="ro-RO"/>
              </w:rPr>
              <w:t>ţia</w:t>
            </w:r>
            <w:r w:rsidRPr="009C5F11">
              <w:rPr>
                <w:rFonts w:ascii="Times New Roman" w:eastAsia="Verdana" w:hAnsi="Times New Roman" w:cs="Times New Roman"/>
                <w:color w:val="000000"/>
                <w:sz w:val="18"/>
                <w:szCs w:val="14"/>
                <w:lang w:val="ro-RO"/>
              </w:rPr>
              <w:t>, renova</w:t>
            </w:r>
            <w:r w:rsidR="00334DD0" w:rsidRPr="009C5F11">
              <w:rPr>
                <w:rFonts w:ascii="Times New Roman" w:eastAsia="Verdana" w:hAnsi="Times New Roman" w:cs="Times New Roman"/>
                <w:color w:val="000000"/>
                <w:sz w:val="18"/>
                <w:szCs w:val="14"/>
                <w:lang w:val="ro-RO"/>
              </w:rPr>
              <w:t>rea</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reabilita</w:t>
            </w:r>
            <w:r w:rsidR="00334DD0" w:rsidRPr="009C5F11">
              <w:rPr>
                <w:rFonts w:ascii="Times New Roman" w:eastAsia="Verdana" w:hAnsi="Times New Roman" w:cs="Times New Roman"/>
                <w:color w:val="000000"/>
                <w:sz w:val="18"/>
                <w:szCs w:val="14"/>
                <w:lang w:val="ro-RO"/>
              </w:rPr>
              <w:t>rea reţelelor electrice</w:t>
            </w:r>
            <w:r w:rsidRPr="009C5F11">
              <w:rPr>
                <w:rFonts w:ascii="Times New Roman" w:eastAsia="Verdana" w:hAnsi="Times New Roman" w:cs="Times New Roman"/>
                <w:color w:val="000000"/>
                <w:sz w:val="18"/>
                <w:szCs w:val="14"/>
                <w:lang w:val="ro-RO"/>
              </w:rPr>
              <w:t xml:space="preserve">, 45.6 </w:t>
            </w:r>
            <w:r w:rsidR="00421FA7" w:rsidRPr="009C5F11">
              <w:rPr>
                <w:rFonts w:ascii="Times New Roman" w:eastAsia="Verdana" w:hAnsi="Times New Roman" w:cs="Times New Roman"/>
                <w:color w:val="000000"/>
                <w:sz w:val="18"/>
                <w:szCs w:val="14"/>
                <w:lang w:val="ro-RO"/>
              </w:rPr>
              <w:t xml:space="preserve">milioane </w:t>
            </w:r>
            <w:r w:rsidRPr="009C5F11">
              <w:rPr>
                <w:rFonts w:ascii="Times New Roman" w:eastAsia="Verdana" w:hAnsi="Times New Roman" w:cs="Times New Roman"/>
                <w:color w:val="000000"/>
                <w:sz w:val="18"/>
                <w:szCs w:val="14"/>
                <w:lang w:val="ro-RO"/>
              </w:rPr>
              <w:t>lei (2.2.</w:t>
            </w:r>
            <w:r w:rsidR="00334DD0" w:rsidRPr="009C5F11">
              <w:rPr>
                <w:rFonts w:ascii="Times New Roman" w:eastAsia="Verdana" w:hAnsi="Times New Roman" w:cs="Times New Roman"/>
                <w:color w:val="000000"/>
                <w:sz w:val="18"/>
                <w:szCs w:val="14"/>
                <w:lang w:val="ro-RO"/>
              </w:rPr>
              <w:t xml:space="preserve"> </w:t>
            </w:r>
            <w:r w:rsidR="00800247" w:rsidRPr="009C5F11">
              <w:rPr>
                <w:rFonts w:ascii="Times New Roman" w:eastAsia="Verdana" w:hAnsi="Times New Roman" w:cs="Times New Roman"/>
                <w:color w:val="000000"/>
                <w:sz w:val="18"/>
                <w:szCs w:val="14"/>
                <w:lang w:val="ro-RO"/>
              </w:rPr>
              <w:t>milioane</w:t>
            </w:r>
            <w:r w:rsidR="00334DD0" w:rsidRPr="009C5F11">
              <w:rPr>
                <w:rFonts w:ascii="Times New Roman" w:eastAsia="Verdana" w:hAnsi="Times New Roman" w:cs="Times New Roman"/>
                <w:color w:val="000000"/>
                <w:sz w:val="18"/>
                <w:szCs w:val="14"/>
                <w:lang w:val="ro-RO"/>
              </w:rPr>
              <w:t xml:space="preserve"> euro</w:t>
            </w:r>
            <w:r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w:t>
            </w:r>
            <w:r w:rsidR="00334DD0" w:rsidRPr="009C5F11">
              <w:rPr>
                <w:rFonts w:ascii="Times New Roman" w:eastAsia="Verdana" w:hAnsi="Times New Roman" w:cs="Times New Roman"/>
                <w:color w:val="000000"/>
                <w:sz w:val="18"/>
                <w:szCs w:val="14"/>
                <w:lang w:val="ro-RO"/>
              </w:rPr>
              <w:t xml:space="preserve">pentru reconstrucţia, renovarea şi reabilitarea staţiilor de transformare a energiei şi a punctelor de </w:t>
            </w:r>
            <w:r w:rsidR="008F7BD5" w:rsidRPr="009C5F11">
              <w:rPr>
                <w:rFonts w:ascii="Times New Roman" w:eastAsia="Verdana" w:hAnsi="Times New Roman" w:cs="Times New Roman"/>
                <w:color w:val="000000"/>
                <w:sz w:val="18"/>
                <w:szCs w:val="14"/>
                <w:lang w:val="ro-RO"/>
              </w:rPr>
              <w:t>distribuţie</w:t>
            </w:r>
            <w:r w:rsidR="00D46157"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 xml:space="preserve"> 5.3 </w:t>
            </w:r>
            <w:r w:rsidR="00421FA7" w:rsidRPr="009C5F11">
              <w:rPr>
                <w:rFonts w:ascii="Times New Roman" w:eastAsia="Verdana" w:hAnsi="Times New Roman" w:cs="Times New Roman"/>
                <w:color w:val="000000"/>
                <w:sz w:val="18"/>
                <w:szCs w:val="14"/>
                <w:lang w:val="ro-RO"/>
              </w:rPr>
              <w:t xml:space="preserve">milioane </w:t>
            </w:r>
            <w:r w:rsidRPr="009C5F11">
              <w:rPr>
                <w:rFonts w:ascii="Times New Roman" w:eastAsia="Verdana" w:hAnsi="Times New Roman" w:cs="Times New Roman"/>
                <w:color w:val="000000"/>
                <w:sz w:val="18"/>
                <w:szCs w:val="14"/>
                <w:lang w:val="ro-RO"/>
              </w:rPr>
              <w:t>lei (0.3</w:t>
            </w:r>
            <w:r w:rsidR="00800247" w:rsidRPr="009C5F11">
              <w:rPr>
                <w:rFonts w:ascii="Times New Roman" w:eastAsia="Verdana" w:hAnsi="Times New Roman" w:cs="Times New Roman"/>
                <w:color w:val="000000"/>
                <w:sz w:val="18"/>
                <w:szCs w:val="14"/>
                <w:lang w:val="ro-RO"/>
              </w:rPr>
              <w:t>milioane</w:t>
            </w:r>
            <w:r w:rsidR="00334DD0" w:rsidRPr="009C5F11">
              <w:rPr>
                <w:rFonts w:ascii="Times New Roman" w:eastAsia="Verdana" w:hAnsi="Times New Roman" w:cs="Times New Roman"/>
                <w:color w:val="000000"/>
                <w:sz w:val="18"/>
                <w:szCs w:val="14"/>
                <w:lang w:val="ro-RO"/>
              </w:rPr>
              <w:t xml:space="preserve"> euro</w:t>
            </w:r>
            <w:r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w:t>
            </w:r>
            <w:r w:rsidR="00334DD0" w:rsidRPr="009C5F11">
              <w:rPr>
                <w:rFonts w:ascii="Times New Roman" w:eastAsia="Verdana" w:hAnsi="Times New Roman" w:cs="Times New Roman"/>
                <w:color w:val="000000"/>
                <w:sz w:val="18"/>
                <w:szCs w:val="14"/>
                <w:lang w:val="ro-RO"/>
              </w:rPr>
              <w:t>pentru reconstrucţia, renovarea şi reabilitarea reţelelor electrice din clădiri</w:t>
            </w:r>
            <w:r w:rsidRPr="009C5F11">
              <w:rPr>
                <w:rFonts w:ascii="Times New Roman" w:eastAsia="Verdana" w:hAnsi="Times New Roman" w:cs="Times New Roman"/>
                <w:color w:val="000000"/>
                <w:sz w:val="18"/>
                <w:szCs w:val="14"/>
                <w:lang w:val="ro-RO"/>
              </w:rPr>
              <w:t xml:space="preserve">. </w:t>
            </w:r>
            <w:r w:rsidR="008E0271" w:rsidRPr="009C5F11">
              <w:rPr>
                <w:rFonts w:ascii="Times New Roman" w:eastAsia="Verdana" w:hAnsi="Times New Roman" w:cs="Times New Roman"/>
                <w:color w:val="000000"/>
                <w:sz w:val="18"/>
                <w:szCs w:val="14"/>
                <w:lang w:val="ro-RO"/>
              </w:rPr>
              <w:t>Potrivit informaţiilor disponibile la</w:t>
            </w:r>
            <w:r w:rsidRPr="009C5F11">
              <w:rPr>
                <w:rFonts w:ascii="Times New Roman" w:eastAsia="Verdana" w:hAnsi="Times New Roman" w:cs="Times New Roman"/>
                <w:color w:val="000000"/>
                <w:sz w:val="18"/>
                <w:szCs w:val="14"/>
                <w:lang w:val="ro-RO"/>
              </w:rPr>
              <w:t xml:space="preserve"> 10.02.2016,</w:t>
            </w:r>
            <w:r w:rsidR="00321CD5" w:rsidRPr="009C5F11">
              <w:rPr>
                <w:rFonts w:ascii="Times New Roman" w:eastAsia="Verdana" w:hAnsi="Times New Roman" w:cs="Times New Roman"/>
                <w:color w:val="000000"/>
                <w:sz w:val="18"/>
                <w:szCs w:val="14"/>
                <w:lang w:val="ro-RO"/>
              </w:rPr>
              <w:t xml:space="preserve"> în </w:t>
            </w:r>
            <w:r w:rsidRPr="009C5F11">
              <w:rPr>
                <w:rFonts w:ascii="Times New Roman" w:eastAsia="Verdana" w:hAnsi="Times New Roman" w:cs="Times New Roman"/>
                <w:color w:val="000000"/>
                <w:sz w:val="18"/>
                <w:szCs w:val="14"/>
                <w:lang w:val="ro-RO"/>
              </w:rPr>
              <w:t xml:space="preserve">2015 </w:t>
            </w:r>
            <w:r w:rsidR="00BA5A89" w:rsidRPr="009C5F11">
              <w:rPr>
                <w:rFonts w:ascii="Times New Roman" w:eastAsia="Verdana" w:hAnsi="Times New Roman" w:cs="Times New Roman"/>
                <w:color w:val="000000"/>
                <w:sz w:val="18"/>
                <w:szCs w:val="14"/>
                <w:lang w:val="ro-RO"/>
              </w:rPr>
              <w:t>consumul tehnologic</w:t>
            </w:r>
            <w:r w:rsidR="00321CD5" w:rsidRPr="009C5F11">
              <w:rPr>
                <w:rFonts w:ascii="Times New Roman" w:eastAsia="Verdana" w:hAnsi="Times New Roman" w:cs="Times New Roman"/>
                <w:color w:val="000000"/>
                <w:sz w:val="18"/>
                <w:szCs w:val="14"/>
                <w:lang w:val="ro-RO"/>
              </w:rPr>
              <w:t xml:space="preserve"> şi </w:t>
            </w:r>
            <w:r w:rsidR="00BA5A89" w:rsidRPr="009C5F11">
              <w:rPr>
                <w:rFonts w:ascii="Times New Roman" w:eastAsia="Verdana" w:hAnsi="Times New Roman" w:cs="Times New Roman"/>
                <w:color w:val="000000"/>
                <w:sz w:val="18"/>
                <w:szCs w:val="14"/>
                <w:lang w:val="ro-RO"/>
              </w:rPr>
              <w:t>pierderile</w:t>
            </w:r>
            <w:r w:rsidRPr="009C5F11">
              <w:rPr>
                <w:rFonts w:ascii="Times New Roman" w:eastAsia="Verdana" w:hAnsi="Times New Roman" w:cs="Times New Roman"/>
                <w:color w:val="000000"/>
                <w:sz w:val="18"/>
                <w:szCs w:val="14"/>
                <w:lang w:val="ro-RO"/>
              </w:rPr>
              <w:t xml:space="preserve"> </w:t>
            </w:r>
            <w:r w:rsidR="00334DD0" w:rsidRPr="009C5F11">
              <w:rPr>
                <w:rFonts w:ascii="Times New Roman" w:eastAsia="Verdana" w:hAnsi="Times New Roman" w:cs="Times New Roman"/>
                <w:color w:val="000000"/>
                <w:sz w:val="18"/>
                <w:szCs w:val="14"/>
                <w:lang w:val="ro-RO"/>
              </w:rPr>
              <w:t>de energie electrică</w:t>
            </w:r>
            <w:r w:rsidR="00321CD5" w:rsidRPr="009C5F11">
              <w:rPr>
                <w:rFonts w:ascii="Times New Roman" w:eastAsia="Verdana" w:hAnsi="Times New Roman" w:cs="Times New Roman"/>
                <w:color w:val="000000"/>
                <w:sz w:val="18"/>
                <w:szCs w:val="14"/>
                <w:lang w:val="ro-RO"/>
              </w:rPr>
              <w:t xml:space="preserve"> </w:t>
            </w:r>
            <w:r w:rsidR="001D6122" w:rsidRPr="009C5F11">
              <w:rPr>
                <w:rFonts w:ascii="Times New Roman" w:eastAsia="Verdana" w:hAnsi="Times New Roman" w:cs="Times New Roman"/>
                <w:color w:val="000000"/>
                <w:sz w:val="18"/>
                <w:szCs w:val="14"/>
                <w:lang w:val="ro-RO"/>
              </w:rPr>
              <w:t>în reţeaua de distribuţie a</w:t>
            </w:r>
            <w:r w:rsidRPr="009C5F11">
              <w:rPr>
                <w:rFonts w:ascii="Times New Roman" w:eastAsia="Verdana" w:hAnsi="Times New Roman" w:cs="Times New Roman"/>
                <w:color w:val="000000"/>
                <w:sz w:val="18"/>
                <w:szCs w:val="14"/>
                <w:lang w:val="ro-RO"/>
              </w:rPr>
              <w:t xml:space="preserve"> RED UF </w:t>
            </w:r>
            <w:r w:rsidR="00334DD0" w:rsidRPr="009C5F11">
              <w:rPr>
                <w:rFonts w:ascii="Times New Roman" w:eastAsia="Verdana" w:hAnsi="Times New Roman" w:cs="Times New Roman"/>
                <w:color w:val="000000"/>
                <w:sz w:val="18"/>
                <w:szCs w:val="14"/>
                <w:lang w:val="ro-RO"/>
              </w:rPr>
              <w:t>au constituit</w:t>
            </w:r>
            <w:r w:rsidRPr="009C5F11">
              <w:rPr>
                <w:rFonts w:ascii="Times New Roman" w:eastAsia="Verdana" w:hAnsi="Times New Roman" w:cs="Times New Roman"/>
                <w:color w:val="000000"/>
                <w:sz w:val="18"/>
                <w:szCs w:val="14"/>
                <w:lang w:val="ro-RO"/>
              </w:rPr>
              <w:t>: 3.71%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w:t>
            </w:r>
            <w:r w:rsidRPr="009C5F11">
              <w:rPr>
                <w:rFonts w:ascii="Times New Roman" w:eastAsia="Verdana" w:hAnsi="Times New Roman" w:cs="Times New Roman"/>
                <w:color w:val="000000"/>
                <w:sz w:val="18"/>
                <w:szCs w:val="14"/>
                <w:lang w:val="ro-RO"/>
              </w:rPr>
              <w:t>), 6.19%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w:t>
            </w:r>
            <w:r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8.41(</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III</w:t>
            </w:r>
            <w:r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Pr="009C5F11">
              <w:rPr>
                <w:rFonts w:ascii="Times New Roman" w:eastAsia="Verdana" w:hAnsi="Times New Roman" w:cs="Times New Roman"/>
                <w:color w:val="000000"/>
                <w:sz w:val="18"/>
                <w:szCs w:val="14"/>
                <w:lang w:val="ro-RO"/>
              </w:rPr>
              <w:t xml:space="preserve"> 110-35kV: 0.54%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w:t>
            </w:r>
            <w:r w:rsidRPr="009C5F11">
              <w:rPr>
                <w:rFonts w:ascii="Times New Roman" w:eastAsia="Verdana" w:hAnsi="Times New Roman" w:cs="Times New Roman"/>
                <w:color w:val="000000"/>
                <w:sz w:val="18"/>
                <w:szCs w:val="14"/>
                <w:lang w:val="ro-RO"/>
              </w:rPr>
              <w:t>), 0.38%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w:t>
            </w:r>
            <w:r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0.42%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III</w:t>
            </w:r>
            <w:r w:rsidRPr="009C5F11">
              <w:rPr>
                <w:rFonts w:ascii="Times New Roman" w:eastAsia="Verdana" w:hAnsi="Times New Roman" w:cs="Times New Roman"/>
                <w:color w:val="000000"/>
                <w:sz w:val="18"/>
                <w:szCs w:val="14"/>
                <w:lang w:val="ro-RO"/>
              </w:rPr>
              <w:t>); 6-10kV: 0.44%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w:t>
            </w:r>
            <w:r w:rsidRPr="009C5F11">
              <w:rPr>
                <w:rFonts w:ascii="Times New Roman" w:eastAsia="Verdana" w:hAnsi="Times New Roman" w:cs="Times New Roman"/>
                <w:color w:val="000000"/>
                <w:sz w:val="18"/>
                <w:szCs w:val="14"/>
                <w:lang w:val="ro-RO"/>
              </w:rPr>
              <w:t>), 1.17%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w:t>
            </w:r>
            <w:r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1.85%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III</w:t>
            </w:r>
            <w:r w:rsidRPr="009C5F11">
              <w:rPr>
                <w:rFonts w:ascii="Times New Roman" w:eastAsia="Verdana" w:hAnsi="Times New Roman" w:cs="Times New Roman"/>
                <w:color w:val="000000"/>
                <w:sz w:val="18"/>
                <w:szCs w:val="14"/>
                <w:lang w:val="ro-RO"/>
              </w:rPr>
              <w:t>); 0.4kV: 2.74%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w:t>
            </w:r>
            <w:r w:rsidRPr="009C5F11">
              <w:rPr>
                <w:rFonts w:ascii="Times New Roman" w:eastAsia="Verdana" w:hAnsi="Times New Roman" w:cs="Times New Roman"/>
                <w:color w:val="000000"/>
                <w:sz w:val="18"/>
                <w:szCs w:val="14"/>
                <w:lang w:val="ro-RO"/>
              </w:rPr>
              <w:t>), 4.64%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w:t>
            </w:r>
            <w:r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6.15%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III</w:t>
            </w:r>
            <w:r w:rsidRPr="009C5F11">
              <w:rPr>
                <w:rFonts w:ascii="Times New Roman" w:eastAsia="Verdana" w:hAnsi="Times New Roman" w:cs="Times New Roman"/>
                <w:color w:val="000000"/>
                <w:sz w:val="18"/>
                <w:szCs w:val="14"/>
                <w:lang w:val="ro-RO"/>
              </w:rPr>
              <w:t xml:space="preserve">). </w:t>
            </w:r>
          </w:p>
          <w:p w14:paraId="3FBD5546" w14:textId="77777777" w:rsidR="00780B2E" w:rsidRPr="009C5F11" w:rsidRDefault="00334DD0"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Şi </w:t>
            </w:r>
            <w:r w:rsidR="00780B2E" w:rsidRPr="009C5F11">
              <w:rPr>
                <w:rFonts w:ascii="Times New Roman" w:eastAsia="Verdana" w:hAnsi="Times New Roman" w:cs="Times New Roman"/>
                <w:color w:val="000000"/>
                <w:sz w:val="18"/>
                <w:szCs w:val="14"/>
                <w:lang w:val="ro-RO"/>
              </w:rPr>
              <w:t>RED-</w:t>
            </w:r>
            <w:r w:rsidR="00800247" w:rsidRPr="009C5F11">
              <w:rPr>
                <w:rFonts w:ascii="Times New Roman" w:eastAsia="Verdana" w:hAnsi="Times New Roman" w:cs="Times New Roman"/>
                <w:color w:val="000000"/>
                <w:sz w:val="18"/>
                <w:szCs w:val="14"/>
                <w:lang w:val="ro-RO"/>
              </w:rPr>
              <w:t>Nord</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 elaborat un</w:t>
            </w:r>
            <w:r w:rsidR="00780B2E" w:rsidRPr="009C5F11">
              <w:rPr>
                <w:rFonts w:ascii="Times New Roman" w:eastAsia="Verdana" w:hAnsi="Times New Roman" w:cs="Times New Roman"/>
                <w:color w:val="000000"/>
                <w:sz w:val="18"/>
                <w:szCs w:val="14"/>
                <w:lang w:val="ro-RO"/>
              </w:rPr>
              <w:t xml:space="preserve"> plan </w:t>
            </w:r>
            <w:r w:rsidRPr="009C5F11">
              <w:rPr>
                <w:rFonts w:ascii="Times New Roman" w:eastAsia="Verdana" w:hAnsi="Times New Roman" w:cs="Times New Roman"/>
                <w:color w:val="000000"/>
                <w:sz w:val="18"/>
                <w:szCs w:val="14"/>
                <w:lang w:val="ro-RO"/>
              </w:rPr>
              <w:t>de investiţii pentru anul</w:t>
            </w:r>
            <w:r w:rsidR="00780B2E" w:rsidRPr="009C5F11">
              <w:rPr>
                <w:rFonts w:ascii="Times New Roman" w:eastAsia="Verdana" w:hAnsi="Times New Roman" w:cs="Times New Roman"/>
                <w:color w:val="000000"/>
                <w:sz w:val="18"/>
                <w:szCs w:val="14"/>
                <w:lang w:val="ro-RO"/>
              </w:rPr>
              <w:t xml:space="preserve"> 2015, </w:t>
            </w:r>
            <w:r w:rsidRPr="009C5F11">
              <w:rPr>
                <w:rFonts w:ascii="Times New Roman" w:eastAsia="Verdana" w:hAnsi="Times New Roman" w:cs="Times New Roman"/>
                <w:color w:val="000000"/>
                <w:sz w:val="18"/>
                <w:szCs w:val="14"/>
                <w:lang w:val="ro-RO"/>
              </w:rPr>
              <w:t>aprobat de</w:t>
            </w:r>
            <w:r w:rsidR="00780B2E" w:rsidRPr="009C5F11">
              <w:rPr>
                <w:rFonts w:ascii="Times New Roman" w:eastAsia="Verdana" w:hAnsi="Times New Roman" w:cs="Times New Roman"/>
                <w:color w:val="000000"/>
                <w:sz w:val="18"/>
                <w:szCs w:val="14"/>
                <w:lang w:val="ro-RO"/>
              </w:rPr>
              <w:t xml:space="preserve"> ANRE </w:t>
            </w:r>
            <w:r w:rsidR="00916F33" w:rsidRPr="009C5F11">
              <w:rPr>
                <w:rFonts w:ascii="Times New Roman" w:eastAsia="Verdana" w:hAnsi="Times New Roman" w:cs="Times New Roman"/>
                <w:color w:val="000000"/>
                <w:sz w:val="18"/>
                <w:szCs w:val="14"/>
                <w:lang w:val="ro-RO"/>
              </w:rPr>
              <w:t>la</w:t>
            </w:r>
            <w:r w:rsidR="00780B2E" w:rsidRPr="009C5F11">
              <w:rPr>
                <w:rFonts w:ascii="Times New Roman" w:eastAsia="Verdana" w:hAnsi="Times New Roman" w:cs="Times New Roman"/>
                <w:color w:val="000000"/>
                <w:sz w:val="18"/>
                <w:szCs w:val="14"/>
                <w:lang w:val="ro-RO"/>
              </w:rPr>
              <w:t xml:space="preserve"> 02.03.2015.</w:t>
            </w:r>
            <w:r w:rsidR="00055095" w:rsidRPr="009C5F11">
              <w:rPr>
                <w:rFonts w:ascii="Times New Roman" w:eastAsia="Verdana" w:hAnsi="Times New Roman" w:cs="Times New Roman"/>
                <w:color w:val="000000"/>
                <w:sz w:val="18"/>
                <w:szCs w:val="14"/>
                <w:lang w:val="ro-RO"/>
              </w:rPr>
              <w:t xml:space="preserve"> </w:t>
            </w:r>
            <w:r w:rsidR="00916F33" w:rsidRPr="009C5F11">
              <w:rPr>
                <w:rFonts w:ascii="Times New Roman" w:eastAsia="Verdana" w:hAnsi="Times New Roman" w:cs="Times New Roman"/>
                <w:color w:val="000000"/>
                <w:sz w:val="18"/>
                <w:szCs w:val="14"/>
                <w:lang w:val="ro-RO"/>
              </w:rPr>
              <w:t>P</w:t>
            </w:r>
            <w:r w:rsidR="00780B2E" w:rsidRPr="009C5F11">
              <w:rPr>
                <w:rFonts w:ascii="Times New Roman" w:eastAsia="Verdana" w:hAnsi="Times New Roman" w:cs="Times New Roman"/>
                <w:color w:val="000000"/>
                <w:sz w:val="18"/>
                <w:szCs w:val="14"/>
                <w:lang w:val="ro-RO"/>
              </w:rPr>
              <w:t>lan</w:t>
            </w:r>
            <w:r w:rsidR="00916F33" w:rsidRPr="009C5F11">
              <w:rPr>
                <w:rFonts w:ascii="Times New Roman" w:eastAsia="Verdana" w:hAnsi="Times New Roman" w:cs="Times New Roman"/>
                <w:color w:val="000000"/>
                <w:sz w:val="18"/>
                <w:szCs w:val="14"/>
                <w:lang w:val="ro-RO"/>
              </w:rPr>
              <w:t>ul include un deviz în valoare de</w:t>
            </w:r>
            <w:r w:rsidR="00780B2E" w:rsidRPr="009C5F11">
              <w:rPr>
                <w:rFonts w:ascii="Times New Roman" w:eastAsia="Verdana" w:hAnsi="Times New Roman" w:cs="Times New Roman"/>
                <w:color w:val="000000"/>
                <w:sz w:val="18"/>
                <w:szCs w:val="14"/>
                <w:lang w:val="ro-RO"/>
              </w:rPr>
              <w:t xml:space="preserve"> 79.6 </w:t>
            </w:r>
            <w:r w:rsidR="00421FA7" w:rsidRPr="009C5F11">
              <w:rPr>
                <w:rFonts w:ascii="Times New Roman" w:eastAsia="Verdana" w:hAnsi="Times New Roman" w:cs="Times New Roman"/>
                <w:color w:val="000000"/>
                <w:sz w:val="18"/>
                <w:szCs w:val="14"/>
                <w:lang w:val="ro-RO"/>
              </w:rPr>
              <w:t xml:space="preserve">milioane </w:t>
            </w:r>
            <w:r w:rsidR="00780B2E" w:rsidRPr="009C5F11">
              <w:rPr>
                <w:rFonts w:ascii="Times New Roman" w:eastAsia="Verdana" w:hAnsi="Times New Roman" w:cs="Times New Roman"/>
                <w:color w:val="000000"/>
                <w:sz w:val="18"/>
                <w:szCs w:val="14"/>
                <w:lang w:val="ro-RO"/>
              </w:rPr>
              <w:t xml:space="preserve">lei (3.8 </w:t>
            </w:r>
            <w:r w:rsidR="00800247" w:rsidRPr="009C5F11">
              <w:rPr>
                <w:rFonts w:ascii="Times New Roman" w:eastAsia="Verdana" w:hAnsi="Times New Roman" w:cs="Times New Roman"/>
                <w:color w:val="000000"/>
                <w:sz w:val="18"/>
                <w:szCs w:val="14"/>
                <w:lang w:val="ro-RO"/>
              </w:rPr>
              <w:t>milioane</w:t>
            </w:r>
            <w:r w:rsidRPr="009C5F11">
              <w:rPr>
                <w:rFonts w:ascii="Times New Roman" w:eastAsia="Verdana" w:hAnsi="Times New Roman" w:cs="Times New Roman"/>
                <w:color w:val="000000"/>
                <w:sz w:val="18"/>
                <w:szCs w:val="14"/>
                <w:lang w:val="ro-RO"/>
              </w:rPr>
              <w:t xml:space="preserve"> euro</w:t>
            </w:r>
            <w:r w:rsidR="00780B2E"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00780B2E" w:rsidRPr="009C5F11">
              <w:rPr>
                <w:rFonts w:ascii="Times New Roman" w:eastAsia="Verdana" w:hAnsi="Times New Roman" w:cs="Times New Roman"/>
                <w:color w:val="000000"/>
                <w:sz w:val="18"/>
                <w:szCs w:val="14"/>
                <w:lang w:val="ro-RO"/>
              </w:rPr>
              <w:t xml:space="preserve"> 60.5 </w:t>
            </w:r>
            <w:r w:rsidR="00421FA7" w:rsidRPr="009C5F11">
              <w:rPr>
                <w:rFonts w:ascii="Times New Roman" w:eastAsia="Verdana" w:hAnsi="Times New Roman" w:cs="Times New Roman"/>
                <w:color w:val="000000"/>
                <w:sz w:val="18"/>
                <w:szCs w:val="14"/>
                <w:lang w:val="ro-RO"/>
              </w:rPr>
              <w:t xml:space="preserve">milioane </w:t>
            </w:r>
            <w:r w:rsidRPr="009C5F11">
              <w:rPr>
                <w:rFonts w:ascii="Times New Roman" w:eastAsia="Verdana" w:hAnsi="Times New Roman" w:cs="Times New Roman"/>
                <w:color w:val="000000"/>
                <w:sz w:val="18"/>
                <w:szCs w:val="14"/>
                <w:lang w:val="ro-RO"/>
              </w:rPr>
              <w:t>lei (</w:t>
            </w:r>
            <w:r w:rsidR="00780B2E" w:rsidRPr="009C5F11">
              <w:rPr>
                <w:rFonts w:ascii="Times New Roman" w:eastAsia="Verdana" w:hAnsi="Times New Roman" w:cs="Times New Roman"/>
                <w:color w:val="000000"/>
                <w:sz w:val="18"/>
                <w:szCs w:val="14"/>
                <w:lang w:val="ro-RO"/>
              </w:rPr>
              <w:t>2.9</w:t>
            </w:r>
            <w:r w:rsidRPr="009C5F11">
              <w:rPr>
                <w:rFonts w:ascii="Times New Roman" w:eastAsia="Verdana" w:hAnsi="Times New Roman" w:cs="Times New Roman"/>
                <w:color w:val="000000"/>
                <w:sz w:val="18"/>
                <w:szCs w:val="14"/>
                <w:lang w:val="ro-RO"/>
              </w:rPr>
              <w:t xml:space="preserve"> </w:t>
            </w:r>
            <w:r w:rsidR="00800247" w:rsidRPr="009C5F11">
              <w:rPr>
                <w:rFonts w:ascii="Times New Roman" w:eastAsia="Verdana" w:hAnsi="Times New Roman" w:cs="Times New Roman"/>
                <w:color w:val="000000"/>
                <w:sz w:val="18"/>
                <w:szCs w:val="14"/>
                <w:lang w:val="ro-RO"/>
              </w:rPr>
              <w:t>milioane</w:t>
            </w:r>
            <w:r w:rsidRPr="009C5F11">
              <w:rPr>
                <w:rFonts w:ascii="Times New Roman" w:eastAsia="Verdana" w:hAnsi="Times New Roman" w:cs="Times New Roman"/>
                <w:color w:val="000000"/>
                <w:sz w:val="18"/>
                <w:szCs w:val="14"/>
                <w:lang w:val="ro-RO"/>
              </w:rPr>
              <w:t xml:space="preserve"> euro</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pentru</w:t>
            </w:r>
            <w:r w:rsidR="00321CD5" w:rsidRPr="009C5F11">
              <w:rPr>
                <w:rFonts w:ascii="Times New Roman" w:eastAsia="Verdana" w:hAnsi="Times New Roman" w:cs="Times New Roman"/>
                <w:color w:val="000000"/>
                <w:sz w:val="18"/>
                <w:szCs w:val="14"/>
                <w:lang w:val="ro-RO"/>
              </w:rPr>
              <w:t xml:space="preserve"> </w:t>
            </w:r>
            <w:r w:rsidR="008E0271" w:rsidRPr="009C5F11">
              <w:rPr>
                <w:rFonts w:ascii="Times New Roman" w:eastAsia="Verdana" w:hAnsi="Times New Roman" w:cs="Times New Roman"/>
                <w:color w:val="000000"/>
                <w:sz w:val="18"/>
                <w:szCs w:val="14"/>
                <w:lang w:val="ro-RO"/>
              </w:rPr>
              <w:t>reţelele de distribuţie</w:t>
            </w:r>
            <w:r w:rsidR="00780B2E" w:rsidRPr="009C5F11">
              <w:rPr>
                <w:rFonts w:ascii="Times New Roman" w:eastAsia="Verdana" w:hAnsi="Times New Roman" w:cs="Times New Roman"/>
                <w:color w:val="000000"/>
                <w:sz w:val="18"/>
                <w:szCs w:val="14"/>
                <w:lang w:val="ro-RO"/>
              </w:rPr>
              <w:t xml:space="preserve">, 4.5 </w:t>
            </w:r>
            <w:r w:rsidR="00421FA7" w:rsidRPr="009C5F11">
              <w:rPr>
                <w:rFonts w:ascii="Times New Roman" w:eastAsia="Verdana" w:hAnsi="Times New Roman" w:cs="Times New Roman"/>
                <w:color w:val="000000"/>
                <w:sz w:val="18"/>
                <w:szCs w:val="14"/>
                <w:lang w:val="ro-RO"/>
              </w:rPr>
              <w:t xml:space="preserve">milioane </w:t>
            </w:r>
            <w:r w:rsidR="00780B2E" w:rsidRPr="009C5F11">
              <w:rPr>
                <w:rFonts w:ascii="Times New Roman" w:eastAsia="Verdana" w:hAnsi="Times New Roman" w:cs="Times New Roman"/>
                <w:color w:val="000000"/>
                <w:sz w:val="18"/>
                <w:szCs w:val="14"/>
                <w:lang w:val="ro-RO"/>
              </w:rPr>
              <w:t xml:space="preserve">lei (0.2 </w:t>
            </w:r>
            <w:r w:rsidR="00800247" w:rsidRPr="009C5F11">
              <w:rPr>
                <w:rFonts w:ascii="Times New Roman" w:eastAsia="Verdana" w:hAnsi="Times New Roman" w:cs="Times New Roman"/>
                <w:color w:val="000000"/>
                <w:sz w:val="18"/>
                <w:szCs w:val="14"/>
                <w:lang w:val="ro-RO"/>
              </w:rPr>
              <w:t>milioane</w:t>
            </w:r>
            <w:r w:rsidRPr="009C5F11">
              <w:rPr>
                <w:rFonts w:ascii="Times New Roman" w:eastAsia="Verdana" w:hAnsi="Times New Roman" w:cs="Times New Roman"/>
                <w:color w:val="000000"/>
                <w:sz w:val="18"/>
                <w:szCs w:val="14"/>
                <w:lang w:val="ro-RO"/>
              </w:rPr>
              <w:t xml:space="preserve"> euro</w:t>
            </w:r>
            <w:r w:rsidR="00780B2E"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 xml:space="preserve"> pentru contorizare </w:t>
            </w:r>
            <w:r w:rsidR="00780B2E" w:rsidRPr="009C5F11">
              <w:rPr>
                <w:rFonts w:ascii="Times New Roman" w:eastAsia="Verdana" w:hAnsi="Times New Roman" w:cs="Times New Roman"/>
                <w:color w:val="000000"/>
                <w:sz w:val="18"/>
                <w:szCs w:val="14"/>
                <w:lang w:val="ro-RO"/>
              </w:rPr>
              <w:t xml:space="preserve">, 1.6 </w:t>
            </w:r>
            <w:r w:rsidR="00421FA7" w:rsidRPr="009C5F11">
              <w:rPr>
                <w:rFonts w:ascii="Times New Roman" w:eastAsia="Verdana" w:hAnsi="Times New Roman" w:cs="Times New Roman"/>
                <w:color w:val="000000"/>
                <w:sz w:val="18"/>
                <w:szCs w:val="14"/>
                <w:lang w:val="ro-RO"/>
              </w:rPr>
              <w:t xml:space="preserve">milioane </w:t>
            </w:r>
            <w:r w:rsidR="00780B2E" w:rsidRPr="009C5F11">
              <w:rPr>
                <w:rFonts w:ascii="Times New Roman" w:eastAsia="Verdana" w:hAnsi="Times New Roman" w:cs="Times New Roman"/>
                <w:color w:val="000000"/>
                <w:sz w:val="18"/>
                <w:szCs w:val="14"/>
                <w:lang w:val="ro-RO"/>
              </w:rPr>
              <w:t>lei (0.1</w:t>
            </w:r>
            <w:r w:rsidR="00800247" w:rsidRPr="009C5F11">
              <w:rPr>
                <w:rFonts w:ascii="Times New Roman" w:eastAsia="Verdana" w:hAnsi="Times New Roman" w:cs="Times New Roman"/>
                <w:color w:val="000000"/>
                <w:sz w:val="18"/>
                <w:szCs w:val="14"/>
                <w:lang w:val="ro-RO"/>
              </w:rPr>
              <w:t xml:space="preserve"> milioane</w:t>
            </w:r>
            <w:r w:rsidRPr="009C5F11">
              <w:rPr>
                <w:rFonts w:ascii="Times New Roman" w:eastAsia="Verdana" w:hAnsi="Times New Roman" w:cs="Times New Roman"/>
                <w:color w:val="000000"/>
                <w:sz w:val="18"/>
                <w:szCs w:val="14"/>
                <w:lang w:val="ro-RO"/>
              </w:rPr>
              <w:t xml:space="preserve"> euro</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pentru monitorizarea datelor </w:t>
            </w:r>
            <w:r w:rsidR="008E0271" w:rsidRPr="009C5F11">
              <w:rPr>
                <w:rFonts w:ascii="Times New Roman" w:eastAsia="Verdana" w:hAnsi="Times New Roman" w:cs="Times New Roman"/>
                <w:color w:val="000000"/>
                <w:sz w:val="18"/>
                <w:szCs w:val="14"/>
                <w:lang w:val="ro-RO"/>
              </w:rPr>
              <w:t>etc.</w:t>
            </w:r>
          </w:p>
          <w:p w14:paraId="5D7D3B30" w14:textId="77777777" w:rsidR="00780B2E" w:rsidRPr="009C5F11" w:rsidRDefault="00334DD0" w:rsidP="00334DD0">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Planul de investiţii pentru anul </w:t>
            </w:r>
            <w:r w:rsidR="00780B2E" w:rsidRPr="009C5F11">
              <w:rPr>
                <w:rFonts w:ascii="Times New Roman" w:eastAsia="Verdana" w:hAnsi="Times New Roman" w:cs="Times New Roman"/>
                <w:color w:val="000000"/>
                <w:sz w:val="18"/>
                <w:szCs w:val="14"/>
                <w:lang w:val="ro-RO"/>
              </w:rPr>
              <w:t xml:space="preserve">2015 </w:t>
            </w:r>
            <w:r w:rsidRPr="009C5F11">
              <w:rPr>
                <w:rFonts w:ascii="Times New Roman" w:eastAsia="Verdana" w:hAnsi="Times New Roman" w:cs="Times New Roman"/>
                <w:color w:val="000000"/>
                <w:sz w:val="18"/>
                <w:szCs w:val="14"/>
                <w:lang w:val="ro-RO"/>
              </w:rPr>
              <w:t>al</w:t>
            </w:r>
            <w:r w:rsidR="00780B2E" w:rsidRPr="009C5F11">
              <w:rPr>
                <w:rFonts w:ascii="Times New Roman" w:eastAsia="Verdana" w:hAnsi="Times New Roman" w:cs="Times New Roman"/>
                <w:color w:val="000000"/>
                <w:sz w:val="18"/>
                <w:szCs w:val="14"/>
                <w:lang w:val="ro-RO"/>
              </w:rPr>
              <w:t xml:space="preserve"> RED-</w:t>
            </w:r>
            <w:r w:rsidR="00800247" w:rsidRPr="009C5F11">
              <w:rPr>
                <w:rFonts w:ascii="Times New Roman" w:eastAsia="Verdana" w:hAnsi="Times New Roman" w:cs="Times New Roman"/>
                <w:color w:val="000000"/>
                <w:sz w:val="18"/>
                <w:szCs w:val="14"/>
                <w:lang w:val="ro-RO"/>
              </w:rPr>
              <w:t>Nord</w:t>
            </w:r>
            <w:r w:rsidR="00780B2E" w:rsidRPr="009C5F11">
              <w:rPr>
                <w:rFonts w:ascii="Times New Roman" w:eastAsia="Verdana" w:hAnsi="Times New Roman" w:cs="Times New Roman"/>
                <w:color w:val="000000"/>
                <w:sz w:val="18"/>
                <w:szCs w:val="14"/>
                <w:lang w:val="ro-RO"/>
              </w:rPr>
              <w:t>-Ve</w:t>
            </w:r>
            <w:r w:rsidR="00DE3287" w:rsidRPr="009C5F11">
              <w:rPr>
                <w:rFonts w:ascii="Times New Roman" w:eastAsia="Verdana" w:hAnsi="Times New Roman" w:cs="Times New Roman"/>
                <w:color w:val="000000"/>
                <w:sz w:val="18"/>
                <w:szCs w:val="14"/>
                <w:lang w:val="ro-RO"/>
              </w:rPr>
              <w:t xml:space="preserve">st </w:t>
            </w:r>
            <w:r w:rsidRPr="009C5F11">
              <w:rPr>
                <w:rFonts w:ascii="Times New Roman" w:eastAsia="Verdana" w:hAnsi="Times New Roman" w:cs="Times New Roman"/>
                <w:color w:val="000000"/>
                <w:sz w:val="18"/>
                <w:szCs w:val="14"/>
                <w:lang w:val="ro-RO"/>
              </w:rPr>
              <w:t>este în valoare de</w:t>
            </w:r>
            <w:r w:rsidR="00DE3287" w:rsidRPr="009C5F11">
              <w:rPr>
                <w:rFonts w:ascii="Times New Roman" w:eastAsia="Verdana" w:hAnsi="Times New Roman" w:cs="Times New Roman"/>
                <w:color w:val="000000"/>
                <w:sz w:val="18"/>
                <w:szCs w:val="14"/>
                <w:lang w:val="ro-RO"/>
              </w:rPr>
              <w:t xml:space="preserve"> 52.6 </w:t>
            </w:r>
            <w:r w:rsidR="00421FA7" w:rsidRPr="009C5F11">
              <w:rPr>
                <w:rFonts w:ascii="Times New Roman" w:eastAsia="Verdana" w:hAnsi="Times New Roman" w:cs="Times New Roman"/>
                <w:color w:val="000000"/>
                <w:sz w:val="18"/>
                <w:szCs w:val="14"/>
                <w:lang w:val="ro-RO"/>
              </w:rPr>
              <w:t xml:space="preserve">milioane </w:t>
            </w:r>
            <w:r w:rsidR="00DE3287" w:rsidRPr="009C5F11">
              <w:rPr>
                <w:rFonts w:ascii="Times New Roman" w:eastAsia="Verdana" w:hAnsi="Times New Roman" w:cs="Times New Roman"/>
                <w:color w:val="000000"/>
                <w:sz w:val="18"/>
                <w:szCs w:val="14"/>
                <w:lang w:val="ro-RO"/>
              </w:rPr>
              <w:t>lei (2.5</w:t>
            </w:r>
            <w:r w:rsidRPr="009C5F11">
              <w:rPr>
                <w:rFonts w:ascii="Times New Roman" w:eastAsia="Verdana" w:hAnsi="Times New Roman" w:cs="Times New Roman"/>
                <w:color w:val="000000"/>
                <w:sz w:val="18"/>
                <w:szCs w:val="14"/>
                <w:lang w:val="ro-RO"/>
              </w:rPr>
              <w:t xml:space="preserve"> </w:t>
            </w:r>
            <w:r w:rsidR="00800247" w:rsidRPr="009C5F11">
              <w:rPr>
                <w:rFonts w:ascii="Times New Roman" w:eastAsia="Verdana" w:hAnsi="Times New Roman" w:cs="Times New Roman"/>
                <w:color w:val="000000"/>
                <w:sz w:val="18"/>
                <w:szCs w:val="14"/>
                <w:lang w:val="ro-RO"/>
              </w:rPr>
              <w:t>milioane</w:t>
            </w:r>
            <w:r w:rsidRPr="009C5F11">
              <w:rPr>
                <w:rFonts w:ascii="Times New Roman" w:eastAsia="Verdana" w:hAnsi="Times New Roman" w:cs="Times New Roman"/>
                <w:color w:val="000000"/>
                <w:sz w:val="18"/>
                <w:szCs w:val="14"/>
                <w:lang w:val="ro-RO"/>
              </w:rPr>
              <w:t xml:space="preserve"> euro</w:t>
            </w:r>
            <w:r w:rsidR="00DE3287"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00780B2E" w:rsidRPr="009C5F11">
              <w:rPr>
                <w:rFonts w:ascii="Times New Roman" w:eastAsia="Verdana" w:hAnsi="Times New Roman" w:cs="Times New Roman"/>
                <w:color w:val="000000"/>
                <w:sz w:val="18"/>
                <w:szCs w:val="14"/>
                <w:lang w:val="ro-RO"/>
              </w:rPr>
              <w:t xml:space="preserve"> 38.1 </w:t>
            </w:r>
            <w:r w:rsidR="00421FA7" w:rsidRPr="009C5F11">
              <w:rPr>
                <w:rFonts w:ascii="Times New Roman" w:eastAsia="Verdana" w:hAnsi="Times New Roman" w:cs="Times New Roman"/>
                <w:color w:val="000000"/>
                <w:sz w:val="18"/>
                <w:szCs w:val="14"/>
                <w:lang w:val="ro-RO"/>
              </w:rPr>
              <w:t xml:space="preserve">milioane </w:t>
            </w:r>
            <w:r w:rsidRPr="009C5F11">
              <w:rPr>
                <w:rFonts w:ascii="Times New Roman" w:eastAsia="Verdana" w:hAnsi="Times New Roman" w:cs="Times New Roman"/>
                <w:color w:val="000000"/>
                <w:sz w:val="18"/>
                <w:szCs w:val="14"/>
                <w:lang w:val="ro-RO"/>
              </w:rPr>
              <w:t>lei (</w:t>
            </w:r>
            <w:r w:rsidR="00780B2E" w:rsidRPr="009C5F11">
              <w:rPr>
                <w:rFonts w:ascii="Times New Roman" w:eastAsia="Verdana" w:hAnsi="Times New Roman" w:cs="Times New Roman"/>
                <w:color w:val="000000"/>
                <w:sz w:val="18"/>
                <w:szCs w:val="14"/>
                <w:lang w:val="ro-RO"/>
              </w:rPr>
              <w:t>1.8</w:t>
            </w:r>
            <w:r w:rsidR="00800247" w:rsidRPr="009C5F11">
              <w:rPr>
                <w:rFonts w:ascii="Times New Roman" w:eastAsia="Verdana" w:hAnsi="Times New Roman" w:cs="Times New Roman"/>
                <w:color w:val="000000"/>
                <w:sz w:val="18"/>
                <w:szCs w:val="14"/>
                <w:lang w:val="ro-RO"/>
              </w:rPr>
              <w:t xml:space="preserve"> milioane</w:t>
            </w:r>
            <w:r w:rsidRPr="009C5F11">
              <w:rPr>
                <w:rFonts w:ascii="Times New Roman" w:eastAsia="Verdana" w:hAnsi="Times New Roman" w:cs="Times New Roman"/>
                <w:color w:val="000000"/>
                <w:sz w:val="18"/>
                <w:szCs w:val="14"/>
                <w:lang w:val="ro-RO"/>
              </w:rPr>
              <w:t xml:space="preserve"> euro</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pentru</w:t>
            </w:r>
            <w:r w:rsidR="00321CD5" w:rsidRPr="009C5F11">
              <w:rPr>
                <w:rFonts w:ascii="Times New Roman" w:eastAsia="Verdana" w:hAnsi="Times New Roman" w:cs="Times New Roman"/>
                <w:color w:val="000000"/>
                <w:sz w:val="18"/>
                <w:szCs w:val="14"/>
                <w:lang w:val="ro-RO"/>
              </w:rPr>
              <w:t xml:space="preserve"> </w:t>
            </w:r>
            <w:r w:rsidR="008E0271" w:rsidRPr="009C5F11">
              <w:rPr>
                <w:rFonts w:ascii="Times New Roman" w:eastAsia="Verdana" w:hAnsi="Times New Roman" w:cs="Times New Roman"/>
                <w:color w:val="000000"/>
                <w:sz w:val="18"/>
                <w:szCs w:val="14"/>
                <w:lang w:val="ro-RO"/>
              </w:rPr>
              <w:t>reţelele de distribuţie</w:t>
            </w:r>
            <w:r w:rsidR="00780B2E" w:rsidRPr="009C5F11">
              <w:rPr>
                <w:rFonts w:ascii="Times New Roman" w:eastAsia="Verdana" w:hAnsi="Times New Roman" w:cs="Times New Roman"/>
                <w:color w:val="000000"/>
                <w:sz w:val="18"/>
                <w:szCs w:val="14"/>
                <w:lang w:val="ro-RO"/>
              </w:rPr>
              <w:t xml:space="preserve">, 1.05 </w:t>
            </w:r>
            <w:r w:rsidR="00421FA7" w:rsidRPr="009C5F11">
              <w:rPr>
                <w:rFonts w:ascii="Times New Roman" w:eastAsia="Verdana" w:hAnsi="Times New Roman" w:cs="Times New Roman"/>
                <w:color w:val="000000"/>
                <w:sz w:val="18"/>
                <w:szCs w:val="14"/>
                <w:lang w:val="ro-RO"/>
              </w:rPr>
              <w:t xml:space="preserve">milioane </w:t>
            </w:r>
            <w:r w:rsidR="00780B2E" w:rsidRPr="009C5F11">
              <w:rPr>
                <w:rFonts w:ascii="Times New Roman" w:eastAsia="Verdana" w:hAnsi="Times New Roman" w:cs="Times New Roman"/>
                <w:color w:val="000000"/>
                <w:sz w:val="18"/>
                <w:szCs w:val="14"/>
                <w:lang w:val="ro-RO"/>
              </w:rPr>
              <w:t>lei (0.1</w:t>
            </w:r>
            <w:r w:rsidRPr="009C5F11">
              <w:rPr>
                <w:rFonts w:ascii="Times New Roman" w:eastAsia="Verdana" w:hAnsi="Times New Roman" w:cs="Times New Roman"/>
                <w:color w:val="000000"/>
                <w:sz w:val="18"/>
                <w:szCs w:val="14"/>
                <w:lang w:val="ro-RO"/>
              </w:rPr>
              <w:t xml:space="preserve"> </w:t>
            </w:r>
            <w:r w:rsidR="00800247" w:rsidRPr="009C5F11">
              <w:rPr>
                <w:rFonts w:ascii="Times New Roman" w:eastAsia="Verdana" w:hAnsi="Times New Roman" w:cs="Times New Roman"/>
                <w:color w:val="000000"/>
                <w:sz w:val="18"/>
                <w:szCs w:val="14"/>
                <w:lang w:val="ro-RO"/>
              </w:rPr>
              <w:t>milioane</w:t>
            </w:r>
            <w:r w:rsidRPr="009C5F11">
              <w:rPr>
                <w:rFonts w:ascii="Times New Roman" w:eastAsia="Verdana" w:hAnsi="Times New Roman" w:cs="Times New Roman"/>
                <w:color w:val="000000"/>
                <w:sz w:val="18"/>
                <w:szCs w:val="14"/>
                <w:lang w:val="ro-RO"/>
              </w:rPr>
              <w:t xml:space="preserve"> euro</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pentru contorizare</w:t>
            </w:r>
            <w:r w:rsidR="00780B2E" w:rsidRPr="009C5F11">
              <w:rPr>
                <w:rFonts w:ascii="Times New Roman" w:eastAsia="Verdana" w:hAnsi="Times New Roman" w:cs="Times New Roman"/>
                <w:color w:val="000000"/>
                <w:sz w:val="18"/>
                <w:szCs w:val="14"/>
                <w:lang w:val="ro-RO"/>
              </w:rPr>
              <w:t xml:space="preserve">, 6.9 </w:t>
            </w:r>
            <w:r w:rsidR="00421FA7" w:rsidRPr="009C5F11">
              <w:rPr>
                <w:rFonts w:ascii="Times New Roman" w:eastAsia="Verdana" w:hAnsi="Times New Roman" w:cs="Times New Roman"/>
                <w:color w:val="000000"/>
                <w:sz w:val="18"/>
                <w:szCs w:val="14"/>
                <w:lang w:val="ro-RO"/>
              </w:rPr>
              <w:t xml:space="preserve">milioane </w:t>
            </w:r>
            <w:r w:rsidRPr="009C5F11">
              <w:rPr>
                <w:rFonts w:ascii="Times New Roman" w:eastAsia="Verdana" w:hAnsi="Times New Roman" w:cs="Times New Roman"/>
                <w:color w:val="000000"/>
                <w:sz w:val="18"/>
                <w:szCs w:val="14"/>
                <w:lang w:val="ro-RO"/>
              </w:rPr>
              <w:t>lei (</w:t>
            </w:r>
            <w:r w:rsidR="00780B2E" w:rsidRPr="009C5F11">
              <w:rPr>
                <w:rFonts w:ascii="Times New Roman" w:eastAsia="Verdana" w:hAnsi="Times New Roman" w:cs="Times New Roman"/>
                <w:color w:val="000000"/>
                <w:sz w:val="18"/>
                <w:szCs w:val="14"/>
                <w:lang w:val="ro-RO"/>
              </w:rPr>
              <w:t>0.3</w:t>
            </w:r>
            <w:r w:rsidR="00800247" w:rsidRPr="009C5F11">
              <w:rPr>
                <w:rFonts w:ascii="Times New Roman" w:eastAsia="Verdana" w:hAnsi="Times New Roman" w:cs="Times New Roman"/>
                <w:color w:val="000000"/>
                <w:sz w:val="18"/>
                <w:szCs w:val="14"/>
                <w:lang w:val="ro-RO"/>
              </w:rPr>
              <w:t xml:space="preserve"> milioane</w:t>
            </w:r>
            <w:r w:rsidRPr="009C5F11">
              <w:rPr>
                <w:rFonts w:ascii="Times New Roman" w:eastAsia="Verdana" w:hAnsi="Times New Roman" w:cs="Times New Roman"/>
                <w:color w:val="000000"/>
                <w:sz w:val="18"/>
                <w:szCs w:val="14"/>
                <w:lang w:val="ro-RO"/>
              </w:rPr>
              <w:t xml:space="preserve"> euro</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pentru monitorizarea datelor</w:t>
            </w:r>
            <w:r w:rsidR="008E0271"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etc.</w:t>
            </w:r>
          </w:p>
        </w:tc>
        <w:tc>
          <w:tcPr>
            <w:tcW w:w="617" w:type="pct"/>
            <w:gridSpan w:val="3"/>
            <w:shd w:val="clear" w:color="000000" w:fill="D9D9D9"/>
            <w:vAlign w:val="center"/>
          </w:tcPr>
          <w:p w14:paraId="28549BB2"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r w:rsidR="00927CD9" w:rsidRPr="009C5F11">
              <w:rPr>
                <w:rFonts w:ascii="Times New Roman" w:eastAsia="Verdana" w:hAnsi="Times New Roman" w:cs="Times New Roman"/>
                <w:b/>
                <w:color w:val="000000"/>
                <w:sz w:val="18"/>
                <w:szCs w:val="14"/>
                <w:lang w:val="ro-RO"/>
              </w:rPr>
              <w:t xml:space="preserve"> conform planului</w:t>
            </w:r>
          </w:p>
        </w:tc>
      </w:tr>
      <w:tr w:rsidR="00780B2E" w:rsidRPr="009C5F11" w14:paraId="232B541E" w14:textId="77777777" w:rsidTr="00CD5222">
        <w:trPr>
          <w:trHeight w:val="65"/>
        </w:trPr>
        <w:tc>
          <w:tcPr>
            <w:tcW w:w="424" w:type="pct"/>
            <w:shd w:val="clear" w:color="000000" w:fill="D9D9D9"/>
            <w:noWrap/>
            <w:hideMark/>
          </w:tcPr>
          <w:p w14:paraId="1B1474DC"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tc>
        <w:tc>
          <w:tcPr>
            <w:tcW w:w="935" w:type="pct"/>
            <w:shd w:val="clear" w:color="000000" w:fill="D9D9D9"/>
            <w:vAlign w:val="bottom"/>
            <w:hideMark/>
          </w:tcPr>
          <w:p w14:paraId="7AD3D16B"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tc>
        <w:tc>
          <w:tcPr>
            <w:tcW w:w="321" w:type="pct"/>
            <w:shd w:val="clear" w:color="000000" w:fill="D9D9D9"/>
            <w:noWrap/>
            <w:vAlign w:val="bottom"/>
            <w:hideMark/>
          </w:tcPr>
          <w:p w14:paraId="2B15EA3D"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w:t>
            </w:r>
          </w:p>
        </w:tc>
        <w:tc>
          <w:tcPr>
            <w:tcW w:w="322" w:type="pct"/>
            <w:shd w:val="clear" w:color="000000" w:fill="D9D9D9"/>
            <w:vAlign w:val="bottom"/>
          </w:tcPr>
          <w:p w14:paraId="02C7DD16"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w:t>
            </w:r>
          </w:p>
        </w:tc>
        <w:tc>
          <w:tcPr>
            <w:tcW w:w="2381" w:type="pct"/>
            <w:shd w:val="clear" w:color="000000" w:fill="D9D9D9"/>
          </w:tcPr>
          <w:p w14:paraId="48794DF0"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c>
          <w:tcPr>
            <w:tcW w:w="617" w:type="pct"/>
            <w:gridSpan w:val="3"/>
            <w:shd w:val="clear" w:color="000000" w:fill="D9D9D9"/>
          </w:tcPr>
          <w:p w14:paraId="70AFCBD3"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tc>
      </w:tr>
      <w:tr w:rsidR="00780B2E" w:rsidRPr="009C5F11" w14:paraId="6C1E4F2B" w14:textId="77777777" w:rsidTr="00CD5222">
        <w:trPr>
          <w:trHeight w:val="560"/>
        </w:trPr>
        <w:tc>
          <w:tcPr>
            <w:tcW w:w="424" w:type="pct"/>
            <w:shd w:val="clear" w:color="000000" w:fill="D9D9D9"/>
            <w:noWrap/>
            <w:vAlign w:val="center"/>
            <w:hideMark/>
          </w:tcPr>
          <w:p w14:paraId="5046BD1E"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lastRenderedPageBreak/>
              <w:t>E3</w:t>
            </w:r>
          </w:p>
          <w:p w14:paraId="44D206E8"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485FD869"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Art.99</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shd w:val="clear" w:color="000000" w:fill="D9D9D9"/>
            <w:vAlign w:val="center"/>
            <w:hideMark/>
          </w:tcPr>
          <w:p w14:paraId="1FFDFDBA" w14:textId="77777777" w:rsidR="00780B2E" w:rsidRPr="009C5F11" w:rsidRDefault="00210C2C" w:rsidP="00210C2C">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Îmbunătăţirea contorizării şi facturării consumului de gaze naturale odată cu punerea în aplicare a tehnologiilor moderne</w:t>
            </w:r>
            <w:r w:rsidR="00780B2E" w:rsidRPr="009C5F11">
              <w:rPr>
                <w:rFonts w:ascii="Times New Roman" w:eastAsia="Verdana" w:hAnsi="Times New Roman" w:cs="Times New Roman"/>
                <w:color w:val="000000"/>
                <w:sz w:val="18"/>
                <w:szCs w:val="14"/>
                <w:lang w:val="ro-RO"/>
              </w:rPr>
              <w:t>.</w:t>
            </w:r>
          </w:p>
        </w:tc>
        <w:tc>
          <w:tcPr>
            <w:tcW w:w="321" w:type="pct"/>
            <w:shd w:val="clear" w:color="000000" w:fill="D9D9D9"/>
            <w:noWrap/>
            <w:vAlign w:val="center"/>
            <w:hideMark/>
          </w:tcPr>
          <w:p w14:paraId="6DFB8A48" w14:textId="77777777" w:rsidR="00780B2E" w:rsidRPr="009C5F11" w:rsidRDefault="000D2EDD"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N/A</w:t>
            </w:r>
          </w:p>
        </w:tc>
        <w:tc>
          <w:tcPr>
            <w:tcW w:w="322" w:type="pct"/>
            <w:shd w:val="clear" w:color="000000" w:fill="D9D9D9"/>
            <w:vAlign w:val="center"/>
          </w:tcPr>
          <w:p w14:paraId="65F4D175" w14:textId="77777777" w:rsidR="00780B2E" w:rsidRPr="009C5F11" w:rsidRDefault="000D2EDD"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N/A</w:t>
            </w:r>
          </w:p>
        </w:tc>
        <w:tc>
          <w:tcPr>
            <w:tcW w:w="2381" w:type="pct"/>
            <w:shd w:val="clear" w:color="000000" w:fill="D9D9D9"/>
          </w:tcPr>
          <w:p w14:paraId="7C146585"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conform planului</w:t>
            </w:r>
          </w:p>
          <w:p w14:paraId="35878E5C"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p w14:paraId="2C6D40C1" w14:textId="77777777" w:rsidR="00780B2E" w:rsidRPr="009C5F11" w:rsidRDefault="00334DD0"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În </w:t>
            </w:r>
            <w:r w:rsidR="00780B2E" w:rsidRPr="009C5F11">
              <w:rPr>
                <w:rFonts w:ascii="Times New Roman" w:eastAsia="Verdana" w:hAnsi="Times New Roman" w:cs="Times New Roman"/>
                <w:color w:val="000000"/>
                <w:sz w:val="18"/>
                <w:szCs w:val="14"/>
                <w:lang w:val="ro-RO"/>
              </w:rPr>
              <w:t xml:space="preserve">2013, </w:t>
            </w:r>
            <w:r w:rsidR="00351FF8" w:rsidRPr="009C5F11">
              <w:rPr>
                <w:rFonts w:ascii="Times New Roman" w:eastAsia="Verdana" w:hAnsi="Times New Roman" w:cs="Times New Roman"/>
                <w:color w:val="000000"/>
                <w:sz w:val="18"/>
                <w:szCs w:val="14"/>
                <w:lang w:val="ro-RO"/>
              </w:rPr>
              <w:t>S.A. “</w:t>
            </w:r>
            <w:r w:rsidR="00401943" w:rsidRPr="009C5F11">
              <w:rPr>
                <w:rFonts w:ascii="Times New Roman" w:eastAsia="Verdana" w:hAnsi="Times New Roman" w:cs="Times New Roman"/>
                <w:color w:val="000000"/>
                <w:sz w:val="18"/>
                <w:szCs w:val="14"/>
                <w:lang w:val="ro-RO"/>
              </w:rPr>
              <w:t>Moldovagaz</w:t>
            </w:r>
            <w:r w:rsidR="00351FF8" w:rsidRPr="009C5F11">
              <w:rPr>
                <w:rFonts w:ascii="Times New Roman" w:eastAsia="Verdana" w:hAnsi="Times New Roman" w:cs="Times New Roman"/>
                <w:color w:val="000000"/>
                <w:sz w:val="18"/>
                <w:szCs w:val="14"/>
                <w:lang w:val="ro-RO"/>
              </w:rPr>
              <w:t xml:space="preserve">” </w:t>
            </w:r>
            <w:r w:rsidR="0067703A" w:rsidRPr="009C5F11">
              <w:rPr>
                <w:rFonts w:ascii="Times New Roman" w:eastAsia="Verdana" w:hAnsi="Times New Roman" w:cs="Times New Roman"/>
                <w:color w:val="000000"/>
                <w:sz w:val="18"/>
                <w:szCs w:val="14"/>
                <w:lang w:val="ro-RO"/>
              </w:rPr>
              <w:t xml:space="preserve">a instalat </w:t>
            </w:r>
            <w:r w:rsidR="00780B2E" w:rsidRPr="009C5F11">
              <w:rPr>
                <w:rFonts w:ascii="Times New Roman" w:eastAsia="Verdana" w:hAnsi="Times New Roman" w:cs="Times New Roman"/>
                <w:color w:val="000000"/>
                <w:sz w:val="18"/>
                <w:szCs w:val="14"/>
                <w:lang w:val="ro-RO"/>
              </w:rPr>
              <w:t>16</w:t>
            </w:r>
            <w:r w:rsidR="00DD550F"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953 </w:t>
            </w:r>
            <w:r w:rsidR="00351FF8" w:rsidRPr="009C5F11">
              <w:rPr>
                <w:rFonts w:ascii="Times New Roman" w:eastAsia="Verdana" w:hAnsi="Times New Roman" w:cs="Times New Roman"/>
                <w:color w:val="000000"/>
                <w:sz w:val="18"/>
                <w:szCs w:val="14"/>
                <w:lang w:val="ro-RO"/>
              </w:rPr>
              <w:t>contoare consumatori</w:t>
            </w:r>
            <w:r w:rsidR="00D46157" w:rsidRPr="009C5F11">
              <w:rPr>
                <w:rFonts w:ascii="Times New Roman" w:eastAsia="Verdana" w:hAnsi="Times New Roman" w:cs="Times New Roman"/>
                <w:color w:val="000000"/>
                <w:sz w:val="18"/>
                <w:szCs w:val="14"/>
                <w:lang w:val="ro-RO"/>
              </w:rPr>
              <w:t>lor</w:t>
            </w:r>
            <w:r w:rsidR="00351FF8" w:rsidRPr="009C5F11">
              <w:rPr>
                <w:rFonts w:ascii="Times New Roman" w:eastAsia="Verdana" w:hAnsi="Times New Roman" w:cs="Times New Roman"/>
                <w:color w:val="000000"/>
                <w:sz w:val="18"/>
                <w:szCs w:val="14"/>
                <w:lang w:val="ro-RO"/>
              </w:rPr>
              <w:t xml:space="preserve"> din gospodăriile casnice, din care </w:t>
            </w:r>
            <w:r w:rsidR="00780B2E" w:rsidRPr="009C5F11">
              <w:rPr>
                <w:rFonts w:ascii="Times New Roman" w:eastAsia="Verdana" w:hAnsi="Times New Roman" w:cs="Times New Roman"/>
                <w:color w:val="000000"/>
                <w:sz w:val="18"/>
                <w:szCs w:val="14"/>
                <w:lang w:val="ro-RO"/>
              </w:rPr>
              <w:t>3</w:t>
            </w:r>
            <w:r w:rsidR="00DD550F"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241 –</w:t>
            </w:r>
            <w:r w:rsidR="00351FF8" w:rsidRPr="009C5F11">
              <w:rPr>
                <w:rFonts w:ascii="Times New Roman" w:eastAsia="Verdana" w:hAnsi="Times New Roman" w:cs="Times New Roman"/>
                <w:color w:val="000000"/>
                <w:sz w:val="18"/>
                <w:szCs w:val="14"/>
                <w:lang w:val="ro-RO"/>
              </w:rPr>
              <w:t>consumatori</w:t>
            </w:r>
            <w:r w:rsidR="00D46157" w:rsidRPr="009C5F11">
              <w:rPr>
                <w:rFonts w:ascii="Times New Roman" w:eastAsia="Verdana" w:hAnsi="Times New Roman" w:cs="Times New Roman"/>
                <w:color w:val="000000"/>
                <w:sz w:val="18"/>
                <w:szCs w:val="14"/>
                <w:lang w:val="ro-RO"/>
              </w:rPr>
              <w:t>lor</w:t>
            </w:r>
            <w:r w:rsidR="00351FF8" w:rsidRPr="009C5F11">
              <w:rPr>
                <w:rFonts w:ascii="Times New Roman" w:eastAsia="Verdana" w:hAnsi="Times New Roman" w:cs="Times New Roman"/>
                <w:color w:val="000000"/>
                <w:sz w:val="18"/>
                <w:szCs w:val="14"/>
                <w:lang w:val="ro-RO"/>
              </w:rPr>
              <w:t xml:space="preserve"> deja existenţi</w:t>
            </w:r>
            <w:r w:rsidR="00DD550F" w:rsidRPr="009C5F11">
              <w:rPr>
                <w:rFonts w:ascii="Times New Roman" w:eastAsia="Verdana" w:hAnsi="Times New Roman" w:cs="Times New Roman"/>
                <w:color w:val="000000"/>
                <w:sz w:val="18"/>
                <w:szCs w:val="14"/>
                <w:lang w:val="ro-RO"/>
              </w:rPr>
              <w:t xml:space="preserve">. </w:t>
            </w:r>
            <w:r w:rsidR="00351FF8" w:rsidRPr="009C5F11">
              <w:rPr>
                <w:rFonts w:ascii="Times New Roman" w:eastAsia="Verdana" w:hAnsi="Times New Roman" w:cs="Times New Roman"/>
                <w:color w:val="000000"/>
                <w:sz w:val="18"/>
                <w:szCs w:val="14"/>
                <w:lang w:val="ro-RO"/>
              </w:rPr>
              <w:t xml:space="preserve">În acest mod, </w:t>
            </w:r>
            <w:r w:rsidR="00DD550F" w:rsidRPr="009C5F11">
              <w:rPr>
                <w:rFonts w:ascii="Times New Roman" w:eastAsia="Verdana" w:hAnsi="Times New Roman" w:cs="Times New Roman"/>
                <w:color w:val="000000"/>
                <w:sz w:val="18"/>
                <w:szCs w:val="14"/>
                <w:lang w:val="ro-RO"/>
              </w:rPr>
              <w:t>93.</w:t>
            </w:r>
            <w:r w:rsidR="00780B2E" w:rsidRPr="009C5F11">
              <w:rPr>
                <w:rFonts w:ascii="Times New Roman" w:eastAsia="Verdana" w:hAnsi="Times New Roman" w:cs="Times New Roman"/>
                <w:color w:val="000000"/>
                <w:sz w:val="18"/>
                <w:szCs w:val="14"/>
                <w:lang w:val="ro-RO"/>
              </w:rPr>
              <w:t xml:space="preserve">8% </w:t>
            </w:r>
            <w:r w:rsidR="00351FF8" w:rsidRPr="009C5F11">
              <w:rPr>
                <w:rFonts w:ascii="Times New Roman" w:eastAsia="Verdana" w:hAnsi="Times New Roman" w:cs="Times New Roman"/>
                <w:color w:val="000000"/>
                <w:sz w:val="18"/>
                <w:szCs w:val="14"/>
                <w:lang w:val="ro-RO"/>
              </w:rPr>
              <w:t>din</w:t>
            </w:r>
            <w:r w:rsidR="00D46157" w:rsidRPr="009C5F11">
              <w:rPr>
                <w:rFonts w:ascii="Times New Roman" w:eastAsia="Verdana" w:hAnsi="Times New Roman" w:cs="Times New Roman"/>
                <w:color w:val="000000"/>
                <w:sz w:val="18"/>
                <w:szCs w:val="14"/>
                <w:lang w:val="ro-RO"/>
              </w:rPr>
              <w:t>tre</w:t>
            </w:r>
            <w:r w:rsidR="00351FF8" w:rsidRPr="009C5F11">
              <w:rPr>
                <w:rFonts w:ascii="Times New Roman" w:eastAsia="Verdana" w:hAnsi="Times New Roman" w:cs="Times New Roman"/>
                <w:color w:val="000000"/>
                <w:sz w:val="18"/>
                <w:szCs w:val="14"/>
                <w:lang w:val="ro-RO"/>
              </w:rPr>
              <w:t xml:space="preserve"> consumatorii gospodăriilor casnice sunt contorizaţi</w:t>
            </w:r>
            <w:r w:rsidR="00780B2E" w:rsidRPr="009C5F11">
              <w:rPr>
                <w:rFonts w:ascii="Times New Roman" w:eastAsia="Verdana" w:hAnsi="Times New Roman" w:cs="Times New Roman"/>
                <w:color w:val="000000"/>
                <w:sz w:val="18"/>
                <w:szCs w:val="14"/>
                <w:lang w:val="ro-RO"/>
              </w:rPr>
              <w:t xml:space="preserve">. </w:t>
            </w:r>
            <w:r w:rsidR="00351FF8" w:rsidRPr="009C5F11">
              <w:rPr>
                <w:rFonts w:ascii="Times New Roman" w:eastAsia="Verdana" w:hAnsi="Times New Roman" w:cs="Times New Roman"/>
                <w:color w:val="000000"/>
                <w:sz w:val="18"/>
                <w:szCs w:val="14"/>
                <w:lang w:val="ro-RO"/>
              </w:rPr>
              <w:t xml:space="preserve">În vederea asigurării contorizării integrale </w:t>
            </w:r>
            <w:r w:rsidR="00D46157" w:rsidRPr="009C5F11">
              <w:rPr>
                <w:rFonts w:ascii="Times New Roman" w:eastAsia="Verdana" w:hAnsi="Times New Roman" w:cs="Times New Roman"/>
                <w:color w:val="000000"/>
                <w:sz w:val="18"/>
                <w:szCs w:val="14"/>
                <w:lang w:val="ro-RO"/>
              </w:rPr>
              <w:t xml:space="preserve">a </w:t>
            </w:r>
            <w:r w:rsidR="00351FF8" w:rsidRPr="009C5F11">
              <w:rPr>
                <w:rFonts w:ascii="Times New Roman" w:eastAsia="Verdana" w:hAnsi="Times New Roman" w:cs="Times New Roman"/>
                <w:color w:val="000000"/>
                <w:sz w:val="18"/>
                <w:szCs w:val="14"/>
                <w:lang w:val="ro-RO"/>
              </w:rPr>
              <w:t>consumul</w:t>
            </w:r>
            <w:r w:rsidR="00D46157" w:rsidRPr="009C5F11">
              <w:rPr>
                <w:rFonts w:ascii="Times New Roman" w:eastAsia="Verdana" w:hAnsi="Times New Roman" w:cs="Times New Roman"/>
                <w:color w:val="000000"/>
                <w:sz w:val="18"/>
                <w:szCs w:val="14"/>
                <w:lang w:val="ro-RO"/>
              </w:rPr>
              <w:t>ui</w:t>
            </w:r>
            <w:r w:rsidR="00351FF8" w:rsidRPr="009C5F11">
              <w:rPr>
                <w:rFonts w:ascii="Times New Roman" w:eastAsia="Verdana" w:hAnsi="Times New Roman" w:cs="Times New Roman"/>
                <w:color w:val="000000"/>
                <w:sz w:val="18"/>
                <w:szCs w:val="14"/>
                <w:lang w:val="ro-RO"/>
              </w:rPr>
              <w:t xml:space="preserve"> de gaze naturale</w:t>
            </w:r>
            <w:r w:rsidR="00D46157" w:rsidRPr="009C5F11">
              <w:rPr>
                <w:rFonts w:ascii="Times New Roman" w:eastAsia="Verdana" w:hAnsi="Times New Roman" w:cs="Times New Roman"/>
                <w:color w:val="000000"/>
                <w:sz w:val="18"/>
                <w:szCs w:val="14"/>
                <w:lang w:val="ro-RO"/>
              </w:rPr>
              <w:t xml:space="preserve"> de către gospodăriile casnice</w:t>
            </w:r>
            <w:r w:rsidR="00351FF8" w:rsidRPr="009C5F11">
              <w:rPr>
                <w:rFonts w:ascii="Times New Roman" w:eastAsia="Verdana" w:hAnsi="Times New Roman" w:cs="Times New Roman"/>
                <w:color w:val="000000"/>
                <w:sz w:val="18"/>
                <w:szCs w:val="14"/>
                <w:lang w:val="ro-RO"/>
              </w:rPr>
              <w:t xml:space="preserve">, conform estimărilor Operatorului, mai este nevoie de instalarea a circa </w:t>
            </w:r>
            <w:r w:rsidR="00780B2E" w:rsidRPr="009C5F11">
              <w:rPr>
                <w:rFonts w:ascii="Times New Roman" w:eastAsia="Verdana" w:hAnsi="Times New Roman" w:cs="Times New Roman"/>
                <w:color w:val="000000"/>
                <w:sz w:val="18"/>
                <w:szCs w:val="14"/>
                <w:lang w:val="ro-RO"/>
              </w:rPr>
              <w:t>40</w:t>
            </w:r>
            <w:r w:rsidR="00DD550F"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000 </w:t>
            </w:r>
            <w:r w:rsidR="00351FF8" w:rsidRPr="009C5F11">
              <w:rPr>
                <w:rFonts w:ascii="Times New Roman" w:eastAsia="Verdana" w:hAnsi="Times New Roman" w:cs="Times New Roman"/>
                <w:color w:val="000000"/>
                <w:sz w:val="18"/>
                <w:szCs w:val="14"/>
                <w:lang w:val="ro-RO"/>
              </w:rPr>
              <w:t>de contoare</w:t>
            </w:r>
            <w:r w:rsidR="00780B2E"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00780B2E" w:rsidRPr="009C5F11">
              <w:rPr>
                <w:rFonts w:ascii="Times New Roman" w:eastAsia="Verdana" w:hAnsi="Times New Roman" w:cs="Times New Roman"/>
                <w:color w:val="000000"/>
                <w:sz w:val="18"/>
                <w:szCs w:val="14"/>
                <w:lang w:val="ro-RO"/>
              </w:rPr>
              <w:t xml:space="preserve"> 35</w:t>
            </w:r>
            <w:r w:rsidR="00DD550F"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000</w:t>
            </w:r>
            <w:r w:rsidR="00321CD5" w:rsidRPr="009C5F11">
              <w:rPr>
                <w:rFonts w:ascii="Times New Roman" w:eastAsia="Verdana" w:hAnsi="Times New Roman" w:cs="Times New Roman"/>
                <w:color w:val="000000"/>
                <w:sz w:val="18"/>
                <w:szCs w:val="14"/>
                <w:lang w:val="ro-RO"/>
              </w:rPr>
              <w:t xml:space="preserve"> în </w:t>
            </w:r>
            <w:r w:rsidR="00780B2E" w:rsidRPr="009C5F11">
              <w:rPr>
                <w:rFonts w:ascii="Times New Roman" w:eastAsia="Verdana" w:hAnsi="Times New Roman" w:cs="Times New Roman"/>
                <w:color w:val="000000"/>
                <w:sz w:val="18"/>
                <w:szCs w:val="14"/>
                <w:lang w:val="ro-RO"/>
              </w:rPr>
              <w:t xml:space="preserve">mun. </w:t>
            </w:r>
            <w:r w:rsidR="00AA0566" w:rsidRPr="009C5F11">
              <w:rPr>
                <w:rFonts w:ascii="Times New Roman" w:eastAsia="Verdana" w:hAnsi="Times New Roman" w:cs="Times New Roman"/>
                <w:color w:val="000000"/>
                <w:sz w:val="18"/>
                <w:szCs w:val="14"/>
                <w:lang w:val="ro-RO"/>
              </w:rPr>
              <w:t>Chişinău</w:t>
            </w:r>
            <w:r w:rsidR="00780B2E" w:rsidRPr="009C5F11">
              <w:rPr>
                <w:rFonts w:ascii="Times New Roman" w:eastAsia="Verdana" w:hAnsi="Times New Roman" w:cs="Times New Roman"/>
                <w:color w:val="000000"/>
                <w:sz w:val="18"/>
                <w:szCs w:val="14"/>
                <w:lang w:val="ro-RO"/>
              </w:rPr>
              <w:t xml:space="preserve">. </w:t>
            </w:r>
            <w:r w:rsidR="00351FF8" w:rsidRPr="009C5F11">
              <w:rPr>
                <w:rFonts w:ascii="Times New Roman" w:eastAsia="Verdana" w:hAnsi="Times New Roman" w:cs="Times New Roman"/>
                <w:color w:val="000000"/>
                <w:sz w:val="18"/>
                <w:szCs w:val="14"/>
                <w:lang w:val="ro-RO"/>
              </w:rPr>
              <w:t>La situaţia din</w:t>
            </w:r>
            <w:r w:rsidR="00780B2E" w:rsidRPr="009C5F11">
              <w:rPr>
                <w:rFonts w:ascii="Times New Roman" w:eastAsia="Verdana" w:hAnsi="Times New Roman" w:cs="Times New Roman"/>
                <w:color w:val="000000"/>
                <w:sz w:val="18"/>
                <w:szCs w:val="14"/>
                <w:lang w:val="ro-RO"/>
              </w:rPr>
              <w:t xml:space="preserve"> 01.01.2016, </w:t>
            </w:r>
            <w:r w:rsidR="001D6122" w:rsidRPr="009C5F11">
              <w:rPr>
                <w:rFonts w:ascii="Times New Roman" w:eastAsia="Verdana" w:hAnsi="Times New Roman" w:cs="Times New Roman"/>
                <w:color w:val="000000"/>
                <w:sz w:val="18"/>
                <w:szCs w:val="14"/>
                <w:lang w:val="ro-RO"/>
              </w:rPr>
              <w:t>contorizarea</w:t>
            </w:r>
            <w:r w:rsidR="00D46157" w:rsidRPr="009C5F11">
              <w:rPr>
                <w:rFonts w:ascii="Times New Roman" w:eastAsia="Verdana" w:hAnsi="Times New Roman" w:cs="Times New Roman"/>
                <w:color w:val="000000"/>
                <w:sz w:val="18"/>
                <w:szCs w:val="14"/>
                <w:lang w:val="ro-RO"/>
              </w:rPr>
              <w:t xml:space="preserve"> consumului de gaze naturale de către gospodăriile casnice</w:t>
            </w:r>
            <w:r w:rsidR="00780B2E" w:rsidRPr="009C5F11">
              <w:rPr>
                <w:rFonts w:ascii="Times New Roman" w:eastAsia="Verdana" w:hAnsi="Times New Roman" w:cs="Times New Roman"/>
                <w:color w:val="000000"/>
                <w:sz w:val="18"/>
                <w:szCs w:val="14"/>
                <w:lang w:val="ro-RO"/>
              </w:rPr>
              <w:t xml:space="preserve"> </w:t>
            </w:r>
            <w:r w:rsidR="00351FF8" w:rsidRPr="009C5F11">
              <w:rPr>
                <w:rFonts w:ascii="Times New Roman" w:eastAsia="Verdana" w:hAnsi="Times New Roman" w:cs="Times New Roman"/>
                <w:color w:val="000000"/>
                <w:sz w:val="18"/>
                <w:szCs w:val="14"/>
                <w:lang w:val="ro-RO"/>
              </w:rPr>
              <w:t>a constituit</w:t>
            </w:r>
            <w:r w:rsidR="00780B2E" w:rsidRPr="009C5F11">
              <w:rPr>
                <w:rFonts w:ascii="Times New Roman" w:eastAsia="Verdana" w:hAnsi="Times New Roman" w:cs="Times New Roman"/>
                <w:color w:val="000000"/>
                <w:sz w:val="18"/>
                <w:szCs w:val="14"/>
                <w:lang w:val="ro-RO"/>
              </w:rPr>
              <w:t xml:space="preserve"> 94.4%. </w:t>
            </w:r>
            <w:r w:rsidR="00351FF8" w:rsidRPr="009C5F11">
              <w:rPr>
                <w:rFonts w:ascii="Times New Roman" w:eastAsia="Verdana" w:hAnsi="Times New Roman" w:cs="Times New Roman"/>
                <w:color w:val="000000"/>
                <w:sz w:val="18"/>
                <w:szCs w:val="14"/>
                <w:lang w:val="ro-RO"/>
              </w:rPr>
              <w:t>De menţionat faptul că până în luna februarie 2016</w:t>
            </w:r>
            <w:r w:rsidR="00DD550F" w:rsidRPr="009C5F11">
              <w:rPr>
                <w:rFonts w:ascii="Times New Roman" w:eastAsia="Verdana" w:hAnsi="Times New Roman" w:cs="Times New Roman"/>
                <w:color w:val="000000"/>
                <w:sz w:val="18"/>
                <w:szCs w:val="14"/>
                <w:lang w:val="ro-RO"/>
              </w:rPr>
              <w:t>, 23,</w:t>
            </w:r>
            <w:r w:rsidR="00780B2E" w:rsidRPr="009C5F11">
              <w:rPr>
                <w:rFonts w:ascii="Times New Roman" w:eastAsia="Verdana" w:hAnsi="Times New Roman" w:cs="Times New Roman"/>
                <w:color w:val="000000"/>
                <w:sz w:val="18"/>
                <w:szCs w:val="14"/>
                <w:lang w:val="ro-RO"/>
              </w:rPr>
              <w:t>88</w:t>
            </w:r>
            <w:r w:rsidR="00DD550F" w:rsidRPr="009C5F11">
              <w:rPr>
                <w:rFonts w:ascii="Times New Roman" w:eastAsia="Verdana" w:hAnsi="Times New Roman" w:cs="Times New Roman"/>
                <w:color w:val="000000"/>
                <w:sz w:val="18"/>
                <w:szCs w:val="14"/>
                <w:lang w:val="ro-RO"/>
              </w:rPr>
              <w:t xml:space="preserve">0 </w:t>
            </w:r>
            <w:r w:rsidR="00351FF8" w:rsidRPr="009C5F11">
              <w:rPr>
                <w:rFonts w:ascii="Times New Roman" w:eastAsia="Verdana" w:hAnsi="Times New Roman" w:cs="Times New Roman"/>
                <w:color w:val="000000"/>
                <w:sz w:val="18"/>
                <w:szCs w:val="14"/>
                <w:lang w:val="ro-RO"/>
              </w:rPr>
              <w:t>de contoare vechi</w:t>
            </w:r>
            <w:r w:rsidR="00321CD5" w:rsidRPr="009C5F11">
              <w:rPr>
                <w:rFonts w:ascii="Times New Roman" w:eastAsia="Verdana" w:hAnsi="Times New Roman" w:cs="Times New Roman"/>
                <w:color w:val="000000"/>
                <w:sz w:val="18"/>
                <w:szCs w:val="14"/>
                <w:lang w:val="ro-RO"/>
              </w:rPr>
              <w:t xml:space="preserve"> sau </w:t>
            </w:r>
            <w:r w:rsidR="00351FF8" w:rsidRPr="009C5F11">
              <w:rPr>
                <w:rFonts w:ascii="Times New Roman" w:eastAsia="Verdana" w:hAnsi="Times New Roman" w:cs="Times New Roman"/>
                <w:color w:val="000000"/>
                <w:sz w:val="18"/>
                <w:szCs w:val="14"/>
                <w:lang w:val="ro-RO"/>
              </w:rPr>
              <w:t xml:space="preserve">circa </w:t>
            </w:r>
            <w:r w:rsidR="00DD550F" w:rsidRPr="009C5F11">
              <w:rPr>
                <w:rFonts w:ascii="Times New Roman" w:eastAsia="Verdana" w:hAnsi="Times New Roman" w:cs="Times New Roman"/>
                <w:color w:val="000000"/>
                <w:sz w:val="18"/>
                <w:szCs w:val="14"/>
                <w:lang w:val="ro-RO"/>
              </w:rPr>
              <w:t>3.</w:t>
            </w:r>
            <w:r w:rsidR="00780B2E" w:rsidRPr="009C5F11">
              <w:rPr>
                <w:rFonts w:ascii="Times New Roman" w:eastAsia="Verdana" w:hAnsi="Times New Roman" w:cs="Times New Roman"/>
                <w:color w:val="000000"/>
                <w:sz w:val="18"/>
                <w:szCs w:val="14"/>
                <w:lang w:val="ro-RO"/>
              </w:rPr>
              <w:t xml:space="preserve">8% </w:t>
            </w:r>
            <w:r w:rsidR="002E42BE" w:rsidRPr="009C5F11">
              <w:rPr>
                <w:rFonts w:ascii="Times New Roman" w:eastAsia="Verdana" w:hAnsi="Times New Roman" w:cs="Times New Roman"/>
                <w:color w:val="000000"/>
                <w:sz w:val="18"/>
                <w:szCs w:val="14"/>
                <w:lang w:val="ro-RO"/>
              </w:rPr>
              <w:t>din numărul total</w:t>
            </w:r>
            <w:r w:rsidR="00351FF8" w:rsidRPr="009C5F11">
              <w:rPr>
                <w:rFonts w:ascii="Times New Roman" w:eastAsia="Verdana" w:hAnsi="Times New Roman" w:cs="Times New Roman"/>
                <w:color w:val="000000"/>
                <w:sz w:val="18"/>
                <w:szCs w:val="14"/>
                <w:lang w:val="ro-RO"/>
              </w:rPr>
              <w:t xml:space="preserve"> de contoare</w:t>
            </w:r>
            <w:r w:rsidR="00780B2E" w:rsidRPr="009C5F11">
              <w:rPr>
                <w:rFonts w:ascii="Times New Roman" w:eastAsia="Verdana" w:hAnsi="Times New Roman" w:cs="Times New Roman"/>
                <w:color w:val="000000"/>
                <w:sz w:val="18"/>
                <w:szCs w:val="14"/>
                <w:lang w:val="ro-RO"/>
              </w:rPr>
              <w:t xml:space="preserve">, </w:t>
            </w:r>
            <w:r w:rsidR="00351FF8" w:rsidRPr="009C5F11">
              <w:rPr>
                <w:rFonts w:ascii="Times New Roman" w:eastAsia="Verdana" w:hAnsi="Times New Roman" w:cs="Times New Roman"/>
                <w:color w:val="000000"/>
                <w:sz w:val="18"/>
                <w:szCs w:val="14"/>
                <w:lang w:val="ro-RO"/>
              </w:rPr>
              <w:t xml:space="preserve">au fost </w:t>
            </w:r>
            <w:r w:rsidR="00401943" w:rsidRPr="009C5F11">
              <w:rPr>
                <w:rFonts w:ascii="Times New Roman" w:eastAsia="Verdana" w:hAnsi="Times New Roman" w:cs="Times New Roman"/>
                <w:color w:val="000000"/>
                <w:sz w:val="18"/>
                <w:szCs w:val="14"/>
                <w:lang w:val="ro-RO"/>
              </w:rPr>
              <w:t>înlocuite</w:t>
            </w:r>
            <w:r w:rsidR="00351FF8" w:rsidRPr="009C5F11">
              <w:rPr>
                <w:rFonts w:ascii="Times New Roman" w:eastAsia="Verdana" w:hAnsi="Times New Roman" w:cs="Times New Roman"/>
                <w:color w:val="000000"/>
                <w:sz w:val="18"/>
                <w:szCs w:val="14"/>
                <w:lang w:val="ro-RO"/>
              </w:rPr>
              <w:t xml:space="preserve"> cu dispozitive noi şi moderne. </w:t>
            </w:r>
          </w:p>
          <w:p w14:paraId="765A0413" w14:textId="77777777" w:rsidR="00780B2E" w:rsidRPr="009C5F11" w:rsidRDefault="00334DD0"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În </w:t>
            </w:r>
            <w:r w:rsidR="00780B2E" w:rsidRPr="009C5F11">
              <w:rPr>
                <w:rFonts w:ascii="Times New Roman" w:eastAsia="Verdana" w:hAnsi="Times New Roman" w:cs="Times New Roman"/>
                <w:color w:val="000000"/>
                <w:sz w:val="18"/>
                <w:szCs w:val="14"/>
                <w:lang w:val="ro-RO"/>
              </w:rPr>
              <w:t xml:space="preserve">2014, </w:t>
            </w:r>
            <w:r w:rsidR="00351FF8" w:rsidRPr="009C5F11">
              <w:rPr>
                <w:rFonts w:ascii="Times New Roman" w:eastAsia="Verdana" w:hAnsi="Times New Roman" w:cs="Times New Roman"/>
                <w:color w:val="000000"/>
                <w:sz w:val="18"/>
                <w:szCs w:val="14"/>
                <w:lang w:val="ro-RO"/>
              </w:rPr>
              <w:t>“</w:t>
            </w:r>
            <w:r w:rsidR="00401943" w:rsidRPr="009C5F11">
              <w:rPr>
                <w:rFonts w:ascii="Times New Roman" w:eastAsia="Verdana" w:hAnsi="Times New Roman" w:cs="Times New Roman"/>
                <w:color w:val="000000"/>
                <w:sz w:val="18"/>
                <w:szCs w:val="14"/>
                <w:lang w:val="ro-RO"/>
              </w:rPr>
              <w:t>Moldovagaz</w:t>
            </w:r>
            <w:r w:rsidR="00351FF8"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 </w:t>
            </w:r>
            <w:r w:rsidR="00351FF8" w:rsidRPr="009C5F11">
              <w:rPr>
                <w:rFonts w:ascii="Times New Roman" w:eastAsia="Verdana" w:hAnsi="Times New Roman" w:cs="Times New Roman"/>
                <w:color w:val="000000"/>
                <w:sz w:val="18"/>
                <w:szCs w:val="14"/>
                <w:lang w:val="ro-RO"/>
              </w:rPr>
              <w:t>a lansat un studiu</w:t>
            </w:r>
            <w:r w:rsidR="00055095" w:rsidRPr="009C5F11">
              <w:rPr>
                <w:rFonts w:ascii="Times New Roman" w:eastAsia="Verdana" w:hAnsi="Times New Roman" w:cs="Times New Roman"/>
                <w:color w:val="000000"/>
                <w:sz w:val="18"/>
                <w:szCs w:val="14"/>
                <w:lang w:val="ro-RO"/>
              </w:rPr>
              <w:t xml:space="preserve"> </w:t>
            </w:r>
            <w:r w:rsidR="00351FF8" w:rsidRPr="009C5F11">
              <w:rPr>
                <w:rFonts w:ascii="Times New Roman" w:eastAsia="Verdana" w:hAnsi="Times New Roman" w:cs="Times New Roman"/>
                <w:color w:val="000000"/>
                <w:sz w:val="18"/>
                <w:szCs w:val="14"/>
                <w:lang w:val="ro-RO"/>
              </w:rPr>
              <w:t xml:space="preserve">de testare a contoarelor inteligente pentru consumatorii </w:t>
            </w:r>
            <w:r w:rsidR="00401943" w:rsidRPr="009C5F11">
              <w:rPr>
                <w:rFonts w:ascii="Times New Roman" w:eastAsia="Verdana" w:hAnsi="Times New Roman" w:cs="Times New Roman"/>
                <w:color w:val="000000"/>
                <w:sz w:val="18"/>
                <w:szCs w:val="14"/>
                <w:lang w:val="ro-RO"/>
              </w:rPr>
              <w:t>casnici</w:t>
            </w:r>
            <w:r w:rsidR="00780B2E" w:rsidRPr="009C5F11">
              <w:rPr>
                <w:rFonts w:ascii="Times New Roman" w:eastAsia="Verdana" w:hAnsi="Times New Roman" w:cs="Times New Roman"/>
                <w:color w:val="000000"/>
                <w:sz w:val="18"/>
                <w:szCs w:val="14"/>
                <w:lang w:val="ro-RO"/>
              </w:rPr>
              <w:t xml:space="preserve">. </w:t>
            </w:r>
            <w:r w:rsidR="00351FF8" w:rsidRPr="009C5F11">
              <w:rPr>
                <w:rFonts w:ascii="Times New Roman" w:eastAsia="Verdana" w:hAnsi="Times New Roman" w:cs="Times New Roman"/>
                <w:color w:val="000000"/>
                <w:sz w:val="18"/>
                <w:szCs w:val="14"/>
                <w:lang w:val="ro-RO"/>
              </w:rPr>
              <w:t xml:space="preserve">La situaţia din </w:t>
            </w:r>
            <w:r w:rsidR="00780B2E" w:rsidRPr="009C5F11">
              <w:rPr>
                <w:rFonts w:ascii="Times New Roman" w:eastAsia="Verdana" w:hAnsi="Times New Roman" w:cs="Times New Roman"/>
                <w:color w:val="000000"/>
                <w:sz w:val="18"/>
                <w:szCs w:val="14"/>
                <w:lang w:val="ro-RO"/>
              </w:rPr>
              <w:t xml:space="preserve">02/2016, </w:t>
            </w:r>
            <w:r w:rsidR="00351FF8" w:rsidRPr="009C5F11">
              <w:rPr>
                <w:rFonts w:ascii="Times New Roman" w:eastAsia="Verdana" w:hAnsi="Times New Roman" w:cs="Times New Roman"/>
                <w:color w:val="000000"/>
                <w:sz w:val="18"/>
                <w:szCs w:val="14"/>
                <w:lang w:val="ro-RO"/>
              </w:rPr>
              <w:t xml:space="preserve">au fost achiziţionate </w:t>
            </w:r>
            <w:r w:rsidR="00D46157" w:rsidRPr="009C5F11">
              <w:rPr>
                <w:rFonts w:ascii="Times New Roman" w:eastAsia="Verdana" w:hAnsi="Times New Roman" w:cs="Times New Roman"/>
                <w:color w:val="000000"/>
                <w:sz w:val="18"/>
                <w:szCs w:val="14"/>
                <w:lang w:val="ro-RO"/>
              </w:rPr>
              <w:t xml:space="preserve">30 de astfel de contoare </w:t>
            </w:r>
            <w:r w:rsidR="00351FF8" w:rsidRPr="009C5F11">
              <w:rPr>
                <w:rFonts w:ascii="Times New Roman" w:eastAsia="Verdana" w:hAnsi="Times New Roman" w:cs="Times New Roman"/>
                <w:color w:val="000000"/>
                <w:sz w:val="18"/>
                <w:szCs w:val="14"/>
                <w:lang w:val="ro-RO"/>
              </w:rPr>
              <w:t>în cadrul proiectelor experenţiale/pilot</w:t>
            </w:r>
            <w:r w:rsidR="00321CD5" w:rsidRPr="009C5F11">
              <w:rPr>
                <w:rFonts w:ascii="Times New Roman" w:eastAsia="Verdana" w:hAnsi="Times New Roman" w:cs="Times New Roman"/>
                <w:color w:val="000000"/>
                <w:sz w:val="18"/>
                <w:szCs w:val="14"/>
                <w:lang w:val="ro-RO"/>
              </w:rPr>
              <w:t xml:space="preserve"> şi </w:t>
            </w:r>
            <w:r w:rsidR="00351FF8" w:rsidRPr="009C5F11">
              <w:rPr>
                <w:rFonts w:ascii="Times New Roman" w:eastAsia="Verdana" w:hAnsi="Times New Roman" w:cs="Times New Roman"/>
                <w:color w:val="000000"/>
                <w:sz w:val="18"/>
                <w:szCs w:val="14"/>
                <w:lang w:val="ro-RO"/>
              </w:rPr>
              <w:t xml:space="preserve">urmează să fie instalate în decursul anului curent. </w:t>
            </w:r>
          </w:p>
          <w:p w14:paraId="765B568B" w14:textId="77777777" w:rsidR="00780B2E" w:rsidRPr="009C5F11" w:rsidRDefault="00351FF8"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Deşi</w:t>
            </w:r>
            <w:r w:rsidR="00780B2E" w:rsidRPr="009C5F11">
              <w:rPr>
                <w:rFonts w:ascii="Times New Roman" w:eastAsia="Verdana" w:hAnsi="Times New Roman" w:cs="Times New Roman"/>
                <w:color w:val="000000"/>
                <w:sz w:val="18"/>
                <w:szCs w:val="14"/>
                <w:lang w:val="ro-RO"/>
              </w:rPr>
              <w:t xml:space="preserve"> </w:t>
            </w:r>
            <w:r w:rsidR="00C2356A" w:rsidRPr="009C5F11">
              <w:rPr>
                <w:rFonts w:ascii="Times New Roman" w:eastAsia="Verdana" w:hAnsi="Times New Roman" w:cs="Times New Roman"/>
                <w:color w:val="000000"/>
                <w:sz w:val="18"/>
                <w:szCs w:val="14"/>
                <w:lang w:val="ro-RO"/>
              </w:rPr>
              <w:t>în perioada 2012-2015 “</w:t>
            </w:r>
            <w:r w:rsidR="00401943" w:rsidRPr="009C5F11">
              <w:rPr>
                <w:rFonts w:ascii="Times New Roman" w:eastAsia="Verdana" w:hAnsi="Times New Roman" w:cs="Times New Roman"/>
                <w:color w:val="000000"/>
                <w:sz w:val="18"/>
                <w:szCs w:val="14"/>
                <w:lang w:val="ro-RO"/>
              </w:rPr>
              <w:t>Moldovagaz</w:t>
            </w:r>
            <w:r w:rsidR="00C2356A" w:rsidRPr="009C5F11">
              <w:rPr>
                <w:rFonts w:ascii="Times New Roman" w:eastAsia="Verdana" w:hAnsi="Times New Roman" w:cs="Times New Roman"/>
                <w:color w:val="000000"/>
                <w:sz w:val="18"/>
                <w:szCs w:val="14"/>
                <w:lang w:val="ro-RO"/>
              </w:rPr>
              <w:t>” a oferit numeroase contoare consumatorilor</w:t>
            </w:r>
            <w:r w:rsidR="00780B2E" w:rsidRPr="009C5F11">
              <w:rPr>
                <w:rFonts w:ascii="Times New Roman" w:eastAsia="Verdana" w:hAnsi="Times New Roman" w:cs="Times New Roman"/>
                <w:color w:val="000000"/>
                <w:sz w:val="18"/>
                <w:szCs w:val="14"/>
                <w:lang w:val="ro-RO"/>
              </w:rPr>
              <w:t xml:space="preserve">, </w:t>
            </w:r>
            <w:r w:rsidR="00C2356A" w:rsidRPr="009C5F11">
              <w:rPr>
                <w:rFonts w:ascii="Times New Roman" w:eastAsia="Verdana" w:hAnsi="Times New Roman" w:cs="Times New Roman"/>
                <w:color w:val="000000"/>
                <w:sz w:val="18"/>
                <w:szCs w:val="14"/>
                <w:lang w:val="ro-RO"/>
              </w:rPr>
              <w:t xml:space="preserve">deocamdată nu sunt disponibile informaţii cu privire la existenţa unui plan în </w:t>
            </w:r>
            <w:r w:rsidR="00401943" w:rsidRPr="009C5F11">
              <w:rPr>
                <w:rFonts w:ascii="Times New Roman" w:eastAsia="Verdana" w:hAnsi="Times New Roman" w:cs="Times New Roman"/>
                <w:color w:val="000000"/>
                <w:sz w:val="18"/>
                <w:szCs w:val="14"/>
                <w:lang w:val="ro-RO"/>
              </w:rPr>
              <w:t>acest</w:t>
            </w:r>
            <w:r w:rsidR="00C2356A" w:rsidRPr="009C5F11">
              <w:rPr>
                <w:rFonts w:ascii="Times New Roman" w:eastAsia="Verdana" w:hAnsi="Times New Roman" w:cs="Times New Roman"/>
                <w:color w:val="000000"/>
                <w:sz w:val="18"/>
                <w:szCs w:val="14"/>
                <w:lang w:val="ro-RO"/>
              </w:rPr>
              <w:t xml:space="preserve"> sens şi la starea de </w:t>
            </w:r>
            <w:r w:rsidR="00532A33" w:rsidRPr="009C5F11">
              <w:rPr>
                <w:rFonts w:ascii="Times New Roman" w:eastAsia="Verdana" w:hAnsi="Times New Roman" w:cs="Times New Roman"/>
                <w:color w:val="000000"/>
                <w:sz w:val="18"/>
                <w:szCs w:val="14"/>
                <w:lang w:val="ro-RO"/>
              </w:rPr>
              <w:t>implementare</w:t>
            </w:r>
            <w:r w:rsidR="00C2356A" w:rsidRPr="009C5F11">
              <w:rPr>
                <w:rFonts w:ascii="Times New Roman" w:eastAsia="Verdana" w:hAnsi="Times New Roman" w:cs="Times New Roman"/>
                <w:color w:val="000000"/>
                <w:sz w:val="18"/>
                <w:szCs w:val="14"/>
                <w:lang w:val="ro-RO"/>
              </w:rPr>
              <w:t xml:space="preserve"> </w:t>
            </w:r>
            <w:r w:rsidR="00532A33" w:rsidRPr="009C5F11">
              <w:rPr>
                <w:rFonts w:ascii="Times New Roman" w:eastAsia="Verdana" w:hAnsi="Times New Roman" w:cs="Times New Roman"/>
                <w:color w:val="000000"/>
                <w:sz w:val="18"/>
                <w:szCs w:val="14"/>
                <w:lang w:val="ro-RO"/>
              </w:rPr>
              <w:t>a</w:t>
            </w:r>
            <w:r w:rsidR="00C2356A" w:rsidRPr="009C5F11">
              <w:rPr>
                <w:rFonts w:ascii="Times New Roman" w:eastAsia="Verdana" w:hAnsi="Times New Roman" w:cs="Times New Roman"/>
                <w:color w:val="000000"/>
                <w:sz w:val="18"/>
                <w:szCs w:val="14"/>
                <w:lang w:val="ro-RO"/>
              </w:rPr>
              <w:t xml:space="preserve"> acestuia</w:t>
            </w:r>
            <w:r w:rsidR="00780B2E" w:rsidRPr="009C5F11">
              <w:rPr>
                <w:rFonts w:ascii="Times New Roman" w:eastAsia="Verdana" w:hAnsi="Times New Roman" w:cs="Times New Roman"/>
                <w:color w:val="000000"/>
                <w:sz w:val="18"/>
                <w:szCs w:val="14"/>
                <w:lang w:val="ro-RO"/>
              </w:rPr>
              <w:t xml:space="preserve">. </w:t>
            </w:r>
          </w:p>
          <w:p w14:paraId="29140643" w14:textId="77777777" w:rsidR="00780B2E" w:rsidRPr="009C5F11" w:rsidRDefault="00C2356A"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La situaţia din</w:t>
            </w:r>
            <w:r w:rsidR="00780B2E" w:rsidRPr="009C5F11">
              <w:rPr>
                <w:rFonts w:ascii="Times New Roman" w:eastAsia="Verdana" w:hAnsi="Times New Roman" w:cs="Times New Roman"/>
                <w:color w:val="000000"/>
                <w:sz w:val="18"/>
                <w:szCs w:val="14"/>
                <w:lang w:val="ro-RO"/>
              </w:rPr>
              <w:t xml:space="preserve"> 02</w:t>
            </w:r>
            <w:r w:rsidR="00C80B2C" w:rsidRPr="009C5F11">
              <w:rPr>
                <w:rFonts w:ascii="Times New Roman" w:eastAsia="Verdana" w:hAnsi="Times New Roman" w:cs="Times New Roman"/>
                <w:color w:val="000000"/>
                <w:sz w:val="18"/>
                <w:szCs w:val="14"/>
                <w:lang w:val="ro-RO"/>
              </w:rPr>
              <w:t xml:space="preserve">/2016, </w:t>
            </w:r>
            <w:r w:rsidR="001D6122" w:rsidRPr="009C5F11">
              <w:rPr>
                <w:rFonts w:ascii="Times New Roman" w:eastAsia="Verdana" w:hAnsi="Times New Roman" w:cs="Times New Roman"/>
                <w:color w:val="000000"/>
                <w:sz w:val="18"/>
                <w:szCs w:val="14"/>
                <w:lang w:val="ro-RO"/>
              </w:rPr>
              <w:t>“</w:t>
            </w:r>
            <w:r w:rsidR="00401943" w:rsidRPr="009C5F11">
              <w:rPr>
                <w:rFonts w:ascii="Times New Roman" w:eastAsia="Verdana" w:hAnsi="Times New Roman" w:cs="Times New Roman"/>
                <w:color w:val="000000"/>
                <w:sz w:val="18"/>
                <w:szCs w:val="14"/>
                <w:lang w:val="ro-RO"/>
              </w:rPr>
              <w:t>Moldovagaz</w:t>
            </w:r>
            <w:r w:rsidR="001D6122" w:rsidRPr="009C5F11">
              <w:rPr>
                <w:rFonts w:ascii="Times New Roman" w:eastAsia="Verdana" w:hAnsi="Times New Roman" w:cs="Times New Roman"/>
                <w:color w:val="000000"/>
                <w:sz w:val="18"/>
                <w:szCs w:val="14"/>
                <w:lang w:val="ro-RO"/>
              </w:rPr>
              <w:t>”</w:t>
            </w:r>
            <w:r w:rsidR="00C80B2C"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exploata</w:t>
            </w:r>
            <w:r w:rsidR="00C80B2C" w:rsidRPr="009C5F11">
              <w:rPr>
                <w:rFonts w:ascii="Times New Roman" w:eastAsia="Verdana" w:hAnsi="Times New Roman" w:cs="Times New Roman"/>
                <w:color w:val="000000"/>
                <w:sz w:val="18"/>
                <w:szCs w:val="14"/>
                <w:lang w:val="ro-RO"/>
              </w:rPr>
              <w:t xml:space="preserve"> 19,</w:t>
            </w:r>
            <w:r w:rsidR="00780B2E" w:rsidRPr="009C5F11">
              <w:rPr>
                <w:rFonts w:ascii="Times New Roman" w:eastAsia="Verdana" w:hAnsi="Times New Roman" w:cs="Times New Roman"/>
                <w:color w:val="000000"/>
                <w:sz w:val="18"/>
                <w:szCs w:val="14"/>
                <w:lang w:val="ro-RO"/>
              </w:rPr>
              <w:t>240 unit</w:t>
            </w:r>
            <w:r w:rsidRPr="009C5F11">
              <w:rPr>
                <w:rFonts w:ascii="Times New Roman" w:eastAsia="Verdana" w:hAnsi="Times New Roman" w:cs="Times New Roman"/>
                <w:color w:val="000000"/>
                <w:sz w:val="18"/>
                <w:szCs w:val="14"/>
                <w:lang w:val="ro-RO"/>
              </w:rPr>
              <w:t xml:space="preserve">ăţi de module </w:t>
            </w:r>
            <w:r w:rsidR="00780B2E" w:rsidRPr="009C5F11">
              <w:rPr>
                <w:rFonts w:ascii="Times New Roman" w:eastAsia="Verdana" w:hAnsi="Times New Roman" w:cs="Times New Roman"/>
                <w:color w:val="000000"/>
                <w:sz w:val="18"/>
                <w:szCs w:val="14"/>
                <w:lang w:val="ro-RO"/>
              </w:rPr>
              <w:t xml:space="preserve">radio </w:t>
            </w:r>
            <w:r w:rsidRPr="009C5F11">
              <w:rPr>
                <w:rFonts w:ascii="Times New Roman" w:eastAsia="Verdana" w:hAnsi="Times New Roman" w:cs="Times New Roman"/>
                <w:color w:val="000000"/>
                <w:sz w:val="18"/>
                <w:szCs w:val="14"/>
                <w:lang w:val="ro-RO"/>
              </w:rPr>
              <w:t>pentru contoarele de gaze</w:t>
            </w:r>
            <w:r w:rsidR="00780B2E" w:rsidRPr="009C5F11">
              <w:rPr>
                <w:rFonts w:ascii="Times New Roman" w:eastAsia="Verdana" w:hAnsi="Times New Roman" w:cs="Times New Roman"/>
                <w:color w:val="000000"/>
                <w:sz w:val="18"/>
                <w:szCs w:val="14"/>
                <w:lang w:val="ro-RO"/>
              </w:rPr>
              <w:t>.</w:t>
            </w:r>
          </w:p>
          <w:p w14:paraId="0041043F" w14:textId="77777777" w:rsidR="00780B2E" w:rsidRPr="009C5F11" w:rsidRDefault="00C2356A"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În</w:t>
            </w:r>
            <w:r w:rsidR="00780B2E" w:rsidRPr="009C5F11">
              <w:rPr>
                <w:rFonts w:ascii="Times New Roman" w:eastAsia="Verdana" w:hAnsi="Times New Roman" w:cs="Times New Roman"/>
                <w:color w:val="000000"/>
                <w:sz w:val="18"/>
                <w:szCs w:val="14"/>
                <w:lang w:val="ro-RO"/>
              </w:rPr>
              <w:t xml:space="preserve"> 2015, </w:t>
            </w:r>
            <w:r w:rsidR="001D6122" w:rsidRPr="009C5F11">
              <w:rPr>
                <w:rFonts w:ascii="Times New Roman" w:eastAsia="Verdana" w:hAnsi="Times New Roman" w:cs="Times New Roman"/>
                <w:color w:val="000000"/>
                <w:sz w:val="18"/>
                <w:szCs w:val="14"/>
                <w:lang w:val="ro-RO"/>
              </w:rPr>
              <w:t>“</w:t>
            </w:r>
            <w:r w:rsidR="00401943" w:rsidRPr="009C5F11">
              <w:rPr>
                <w:rFonts w:ascii="Times New Roman" w:eastAsia="Verdana" w:hAnsi="Times New Roman" w:cs="Times New Roman"/>
                <w:color w:val="000000"/>
                <w:sz w:val="18"/>
                <w:szCs w:val="14"/>
                <w:lang w:val="ro-RO"/>
              </w:rPr>
              <w:t>Moldovagaz</w:t>
            </w:r>
            <w:r w:rsidR="001D6122"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 efectuat lucrări de reabilitare</w:t>
            </w:r>
            <w:r w:rsidR="00321CD5" w:rsidRPr="009C5F11">
              <w:rPr>
                <w:rFonts w:ascii="Times New Roman" w:eastAsia="Verdana" w:hAnsi="Times New Roman" w:cs="Times New Roman"/>
                <w:color w:val="000000"/>
                <w:sz w:val="18"/>
                <w:szCs w:val="14"/>
                <w:lang w:val="ro-RO"/>
              </w:rPr>
              <w:t xml:space="preserve"> şi</w:t>
            </w:r>
            <w:r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în </w:t>
            </w:r>
            <w:r w:rsidRPr="009C5F11">
              <w:rPr>
                <w:rFonts w:ascii="Times New Roman" w:eastAsia="Verdana" w:hAnsi="Times New Roman" w:cs="Times New Roman"/>
                <w:color w:val="000000"/>
                <w:sz w:val="18"/>
                <w:szCs w:val="14"/>
                <w:lang w:val="ro-RO"/>
              </w:rPr>
              <w:t xml:space="preserve">unele cazuri, lucrări de înlocuire a unor segmente ale </w:t>
            </w:r>
            <w:r w:rsidR="00401943" w:rsidRPr="009C5F11">
              <w:rPr>
                <w:rFonts w:ascii="Times New Roman" w:eastAsia="Verdana" w:hAnsi="Times New Roman" w:cs="Times New Roman"/>
                <w:color w:val="000000"/>
                <w:sz w:val="18"/>
                <w:szCs w:val="14"/>
                <w:lang w:val="ro-RO"/>
              </w:rPr>
              <w:t>conductei</w:t>
            </w:r>
            <w:r w:rsidRPr="009C5F11">
              <w:rPr>
                <w:rFonts w:ascii="Times New Roman" w:eastAsia="Verdana" w:hAnsi="Times New Roman" w:cs="Times New Roman"/>
                <w:color w:val="000000"/>
                <w:sz w:val="18"/>
                <w:szCs w:val="14"/>
                <w:lang w:val="ro-RO"/>
              </w:rPr>
              <w:t xml:space="preserve"> de gaze naturale pe o lungime de </w:t>
            </w:r>
            <w:r w:rsidR="00780B2E" w:rsidRPr="009C5F11">
              <w:rPr>
                <w:rFonts w:ascii="Times New Roman" w:eastAsia="Verdana" w:hAnsi="Times New Roman" w:cs="Times New Roman"/>
                <w:color w:val="000000"/>
                <w:sz w:val="18"/>
                <w:szCs w:val="14"/>
                <w:lang w:val="ro-RO"/>
              </w:rPr>
              <w:t>12.7 km</w:t>
            </w:r>
            <w:r w:rsidR="00321CD5" w:rsidRPr="009C5F11">
              <w:rPr>
                <w:rFonts w:ascii="Times New Roman" w:eastAsia="Verdana" w:hAnsi="Times New Roman" w:cs="Times New Roman"/>
                <w:color w:val="000000"/>
                <w:sz w:val="18"/>
                <w:szCs w:val="14"/>
                <w:lang w:val="ro-RO"/>
              </w:rPr>
              <w:t xml:space="preserve"> în </w:t>
            </w:r>
            <w:r w:rsidR="00780B2E" w:rsidRPr="009C5F11">
              <w:rPr>
                <w:rFonts w:ascii="Times New Roman" w:eastAsia="Verdana" w:hAnsi="Times New Roman" w:cs="Times New Roman"/>
                <w:color w:val="000000"/>
                <w:sz w:val="18"/>
                <w:szCs w:val="14"/>
                <w:lang w:val="ro-RO"/>
              </w:rPr>
              <w:t xml:space="preserve">total, </w:t>
            </w:r>
            <w:r w:rsidR="00AB1710" w:rsidRPr="009C5F11">
              <w:rPr>
                <w:rFonts w:ascii="Times New Roman" w:eastAsia="Verdana" w:hAnsi="Times New Roman" w:cs="Times New Roman"/>
                <w:color w:val="000000"/>
                <w:sz w:val="18"/>
                <w:szCs w:val="14"/>
                <w:lang w:val="ro-RO"/>
              </w:rPr>
              <w:t>inclusiv</w:t>
            </w:r>
            <w:r w:rsidR="00780B2E" w:rsidRPr="009C5F11">
              <w:rPr>
                <w:rFonts w:ascii="Times New Roman" w:eastAsia="Verdana" w:hAnsi="Times New Roman" w:cs="Times New Roman"/>
                <w:color w:val="000000"/>
                <w:sz w:val="18"/>
                <w:szCs w:val="14"/>
                <w:lang w:val="ro-RO"/>
              </w:rPr>
              <w:t xml:space="preserve"> 8.3 km </w:t>
            </w:r>
            <w:r w:rsidRPr="009C5F11">
              <w:rPr>
                <w:rFonts w:ascii="Times New Roman" w:eastAsia="Verdana" w:hAnsi="Times New Roman" w:cs="Times New Roman"/>
                <w:color w:val="000000"/>
                <w:sz w:val="18"/>
                <w:szCs w:val="14"/>
                <w:lang w:val="ro-RO"/>
              </w:rPr>
              <w:t>din reţelele de</w:t>
            </w:r>
            <w:r w:rsidR="00780B2E" w:rsidRPr="009C5F11">
              <w:rPr>
                <w:rFonts w:ascii="Times New Roman" w:eastAsia="Verdana" w:hAnsi="Times New Roman" w:cs="Times New Roman"/>
                <w:color w:val="000000"/>
                <w:sz w:val="18"/>
                <w:szCs w:val="14"/>
                <w:lang w:val="ro-RO"/>
              </w:rPr>
              <w:t xml:space="preserve"> </w:t>
            </w:r>
            <w:r w:rsidR="008F7BD5" w:rsidRPr="009C5F11">
              <w:rPr>
                <w:rFonts w:ascii="Times New Roman" w:eastAsia="Verdana" w:hAnsi="Times New Roman" w:cs="Times New Roman"/>
                <w:color w:val="000000"/>
                <w:sz w:val="18"/>
                <w:szCs w:val="14"/>
                <w:lang w:val="ro-RO"/>
              </w:rPr>
              <w:t>distribuţie</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 xml:space="preserve">şi </w:t>
            </w:r>
            <w:r w:rsidR="00780B2E" w:rsidRPr="009C5F11">
              <w:rPr>
                <w:rFonts w:ascii="Times New Roman" w:eastAsia="Verdana" w:hAnsi="Times New Roman" w:cs="Times New Roman"/>
                <w:color w:val="000000"/>
                <w:sz w:val="18"/>
                <w:szCs w:val="14"/>
                <w:lang w:val="ro-RO"/>
              </w:rPr>
              <w:t xml:space="preserve">4.4 km </w:t>
            </w:r>
            <w:r w:rsidRPr="009C5F11">
              <w:rPr>
                <w:rFonts w:ascii="Times New Roman" w:eastAsia="Verdana" w:hAnsi="Times New Roman" w:cs="Times New Roman"/>
                <w:color w:val="000000"/>
                <w:sz w:val="18"/>
                <w:szCs w:val="14"/>
                <w:lang w:val="ro-RO"/>
              </w:rPr>
              <w:t xml:space="preserve">din reţelele de </w:t>
            </w:r>
            <w:r w:rsidR="00780B2E" w:rsidRPr="009C5F11">
              <w:rPr>
                <w:rFonts w:ascii="Times New Roman" w:eastAsia="Verdana" w:hAnsi="Times New Roman" w:cs="Times New Roman"/>
                <w:color w:val="000000"/>
                <w:sz w:val="18"/>
                <w:szCs w:val="14"/>
                <w:lang w:val="ro-RO"/>
              </w:rPr>
              <w:t>transport</w:t>
            </w:r>
            <w:r w:rsidRPr="009C5F11">
              <w:rPr>
                <w:rFonts w:ascii="Times New Roman" w:eastAsia="Verdana" w:hAnsi="Times New Roman" w:cs="Times New Roman"/>
                <w:color w:val="000000"/>
                <w:sz w:val="18"/>
                <w:szCs w:val="14"/>
                <w:lang w:val="ro-RO"/>
              </w:rPr>
              <w:t xml:space="preserve"> a gazelor naturale</w:t>
            </w:r>
            <w:r w:rsidR="00780B2E" w:rsidRPr="009C5F11">
              <w:rPr>
                <w:rFonts w:ascii="Times New Roman" w:eastAsia="Verdana" w:hAnsi="Times New Roman" w:cs="Times New Roman"/>
                <w:color w:val="000000"/>
                <w:sz w:val="18"/>
                <w:szCs w:val="14"/>
                <w:lang w:val="ro-RO"/>
              </w:rPr>
              <w:t>.</w:t>
            </w:r>
          </w:p>
          <w:p w14:paraId="594C9870" w14:textId="77777777" w:rsidR="00780B2E" w:rsidRPr="009C5F11" w:rsidRDefault="001D6122" w:rsidP="00CB5B25">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La situaţia din</w:t>
            </w:r>
            <w:r w:rsidR="00780B2E" w:rsidRPr="009C5F11">
              <w:rPr>
                <w:rFonts w:ascii="Times New Roman" w:eastAsia="Verdana" w:hAnsi="Times New Roman" w:cs="Times New Roman"/>
                <w:color w:val="000000"/>
                <w:sz w:val="18"/>
                <w:szCs w:val="14"/>
                <w:lang w:val="ro-RO"/>
              </w:rPr>
              <w:t xml:space="preserve"> 01.01.2016, </w:t>
            </w:r>
            <w:r w:rsidRPr="009C5F11">
              <w:rPr>
                <w:rFonts w:ascii="Times New Roman" w:eastAsia="Verdana" w:hAnsi="Times New Roman" w:cs="Times New Roman"/>
                <w:color w:val="000000"/>
                <w:sz w:val="18"/>
                <w:szCs w:val="14"/>
                <w:lang w:val="ro-RO"/>
              </w:rPr>
              <w:t>contorizarea</w:t>
            </w:r>
            <w:r w:rsidR="00CB5B25" w:rsidRPr="009C5F11">
              <w:rPr>
                <w:rFonts w:ascii="Times New Roman" w:eastAsia="Verdana" w:hAnsi="Times New Roman" w:cs="Times New Roman"/>
                <w:color w:val="000000"/>
                <w:sz w:val="18"/>
                <w:szCs w:val="14"/>
                <w:lang w:val="ro-RO"/>
              </w:rPr>
              <w:t xml:space="preserve"> consumului de gaze naturale de către gospodăriile casnice </w:t>
            </w:r>
            <w:r w:rsidRPr="009C5F11">
              <w:rPr>
                <w:rFonts w:ascii="Times New Roman" w:eastAsia="Verdana" w:hAnsi="Times New Roman" w:cs="Times New Roman"/>
                <w:color w:val="000000"/>
                <w:sz w:val="18"/>
                <w:szCs w:val="14"/>
                <w:lang w:val="ro-RO"/>
              </w:rPr>
              <w:t>a constituit</w:t>
            </w:r>
            <w:r w:rsidR="00780B2E" w:rsidRPr="009C5F11">
              <w:rPr>
                <w:rFonts w:ascii="Times New Roman" w:eastAsia="Verdana" w:hAnsi="Times New Roman" w:cs="Times New Roman"/>
                <w:color w:val="000000"/>
                <w:sz w:val="18"/>
                <w:szCs w:val="14"/>
                <w:lang w:val="ro-RO"/>
              </w:rPr>
              <w:t xml:space="preserve"> 94.4%.</w:t>
            </w:r>
          </w:p>
        </w:tc>
        <w:tc>
          <w:tcPr>
            <w:tcW w:w="617" w:type="pct"/>
            <w:gridSpan w:val="3"/>
            <w:shd w:val="clear" w:color="000000" w:fill="D9D9D9"/>
            <w:vAlign w:val="center"/>
          </w:tcPr>
          <w:p w14:paraId="6A80D954" w14:textId="77777777" w:rsidR="00780B2E" w:rsidRPr="009C5F11" w:rsidRDefault="002E42BE"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Redenumite şi ajustate</w:t>
            </w:r>
            <w:r w:rsidR="00780B2E" w:rsidRPr="009C5F11">
              <w:rPr>
                <w:rFonts w:ascii="Times New Roman" w:eastAsia="Verdana" w:hAnsi="Times New Roman" w:cs="Times New Roman"/>
                <w:b/>
                <w:color w:val="000000"/>
                <w:sz w:val="18"/>
                <w:szCs w:val="14"/>
                <w:lang w:val="ro-RO"/>
              </w:rPr>
              <w:t xml:space="preserve">, </w:t>
            </w:r>
            <w:r w:rsidRPr="009C5F11">
              <w:rPr>
                <w:rFonts w:ascii="Times New Roman" w:eastAsia="Verdana" w:hAnsi="Times New Roman" w:cs="Times New Roman"/>
                <w:b/>
                <w:color w:val="000000"/>
                <w:sz w:val="18"/>
                <w:szCs w:val="14"/>
                <w:lang w:val="ro-RO"/>
              </w:rPr>
              <w:t>implementarea continuă</w:t>
            </w:r>
          </w:p>
        </w:tc>
      </w:tr>
      <w:tr w:rsidR="00D15B96" w:rsidRPr="009C5F11" w14:paraId="5A45EFF4" w14:textId="77777777" w:rsidTr="00CD5222">
        <w:trPr>
          <w:trHeight w:val="300"/>
        </w:trPr>
        <w:tc>
          <w:tcPr>
            <w:tcW w:w="424" w:type="pct"/>
            <w:shd w:val="clear" w:color="000000" w:fill="D9D9D9"/>
            <w:noWrap/>
            <w:vAlign w:val="center"/>
          </w:tcPr>
          <w:p w14:paraId="43E74155"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935" w:type="pct"/>
            <w:shd w:val="clear" w:color="000000" w:fill="D9D9D9"/>
            <w:vAlign w:val="center"/>
          </w:tcPr>
          <w:p w14:paraId="19C2440E" w14:textId="77777777" w:rsidR="00D15B96" w:rsidRPr="009C5F11" w:rsidRDefault="00D15B96" w:rsidP="00210C2C">
            <w:pPr>
              <w:spacing w:after="0" w:line="240" w:lineRule="auto"/>
              <w:jc w:val="center"/>
              <w:rPr>
                <w:rFonts w:ascii="Times New Roman" w:eastAsia="Verdana" w:hAnsi="Times New Roman" w:cs="Times New Roman"/>
                <w:color w:val="000000"/>
                <w:sz w:val="18"/>
                <w:szCs w:val="14"/>
                <w:lang w:val="ro-RO"/>
              </w:rPr>
            </w:pPr>
          </w:p>
        </w:tc>
        <w:tc>
          <w:tcPr>
            <w:tcW w:w="321" w:type="pct"/>
            <w:shd w:val="clear" w:color="000000" w:fill="D9D9D9"/>
            <w:noWrap/>
            <w:vAlign w:val="center"/>
          </w:tcPr>
          <w:p w14:paraId="4CB98F52"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322" w:type="pct"/>
            <w:shd w:val="clear" w:color="000000" w:fill="D9D9D9"/>
            <w:vAlign w:val="center"/>
          </w:tcPr>
          <w:p w14:paraId="05BC2C83" w14:textId="77777777" w:rsidR="00D15B96" w:rsidRPr="009C5F11" w:rsidRDefault="00D15B96" w:rsidP="003B4092">
            <w:pPr>
              <w:spacing w:after="0" w:line="240" w:lineRule="auto"/>
              <w:jc w:val="center"/>
              <w:rPr>
                <w:rFonts w:ascii="Times New Roman" w:eastAsia="Verdana" w:hAnsi="Times New Roman" w:cs="Times New Roman"/>
                <w:color w:val="000000"/>
                <w:sz w:val="18"/>
                <w:szCs w:val="14"/>
                <w:lang w:val="ro-RO"/>
              </w:rPr>
            </w:pPr>
          </w:p>
        </w:tc>
        <w:tc>
          <w:tcPr>
            <w:tcW w:w="2381" w:type="pct"/>
            <w:shd w:val="clear" w:color="000000" w:fill="D9D9D9"/>
          </w:tcPr>
          <w:p w14:paraId="1F044A66" w14:textId="77777777" w:rsidR="00D15B96" w:rsidRPr="009C5F11" w:rsidRDefault="00D15B96" w:rsidP="00C807F1">
            <w:pPr>
              <w:spacing w:after="0" w:line="240" w:lineRule="auto"/>
              <w:jc w:val="right"/>
              <w:rPr>
                <w:rFonts w:ascii="Times New Roman" w:eastAsia="Verdana" w:hAnsi="Times New Roman" w:cs="Times New Roman"/>
                <w:b/>
                <w:color w:val="000000"/>
                <w:sz w:val="18"/>
                <w:szCs w:val="14"/>
                <w:lang w:val="ro-RO"/>
              </w:rPr>
            </w:pPr>
          </w:p>
        </w:tc>
        <w:tc>
          <w:tcPr>
            <w:tcW w:w="617" w:type="pct"/>
            <w:gridSpan w:val="3"/>
            <w:shd w:val="clear" w:color="000000" w:fill="D9D9D9"/>
            <w:vAlign w:val="center"/>
          </w:tcPr>
          <w:p w14:paraId="02A6F65D" w14:textId="77777777" w:rsidR="00D15B96" w:rsidRPr="009C5F11" w:rsidRDefault="00D15B96" w:rsidP="00192725">
            <w:pPr>
              <w:spacing w:after="0" w:line="240" w:lineRule="auto"/>
              <w:jc w:val="center"/>
              <w:rPr>
                <w:rFonts w:ascii="Times New Roman" w:eastAsia="Verdana" w:hAnsi="Times New Roman" w:cs="Times New Roman"/>
                <w:b/>
                <w:color w:val="000000"/>
                <w:sz w:val="18"/>
                <w:szCs w:val="14"/>
                <w:lang w:val="ro-RO"/>
              </w:rPr>
            </w:pPr>
          </w:p>
        </w:tc>
      </w:tr>
      <w:tr w:rsidR="00780B2E" w:rsidRPr="009C5F11" w14:paraId="63F8AA86" w14:textId="77777777" w:rsidTr="00CD5222">
        <w:trPr>
          <w:trHeight w:val="300"/>
        </w:trPr>
        <w:tc>
          <w:tcPr>
            <w:tcW w:w="424" w:type="pct"/>
            <w:shd w:val="clear" w:color="000000" w:fill="D9D9D9"/>
            <w:noWrap/>
            <w:vAlign w:val="center"/>
            <w:hideMark/>
          </w:tcPr>
          <w:p w14:paraId="61D014C9"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E4</w:t>
            </w:r>
          </w:p>
          <w:p w14:paraId="06BA6014"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370498D0"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Art.100</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shd w:val="clear" w:color="000000" w:fill="D9D9D9"/>
            <w:vAlign w:val="center"/>
            <w:hideMark/>
          </w:tcPr>
          <w:p w14:paraId="46672A38" w14:textId="77777777" w:rsidR="00780B2E" w:rsidRPr="009C5F11" w:rsidRDefault="00401943" w:rsidP="00210C2C">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Instituirea</w:t>
            </w:r>
            <w:r w:rsidR="00210C2C" w:rsidRPr="009C5F11">
              <w:rPr>
                <w:rFonts w:ascii="Times New Roman" w:eastAsia="Verdana" w:hAnsi="Times New Roman" w:cs="Times New Roman"/>
                <w:color w:val="000000"/>
                <w:sz w:val="18"/>
                <w:szCs w:val="14"/>
                <w:lang w:val="ro-RO"/>
              </w:rPr>
              <w:t xml:space="preserve"> cadrului </w:t>
            </w:r>
            <w:r w:rsidR="00780B2E" w:rsidRPr="009C5F11">
              <w:rPr>
                <w:rFonts w:ascii="Times New Roman" w:eastAsia="Verdana" w:hAnsi="Times New Roman" w:cs="Times New Roman"/>
                <w:color w:val="000000"/>
                <w:sz w:val="18"/>
                <w:szCs w:val="14"/>
                <w:lang w:val="ro-RO"/>
              </w:rPr>
              <w:t>normativ</w:t>
            </w:r>
            <w:r w:rsidR="00321CD5" w:rsidRPr="009C5F11">
              <w:rPr>
                <w:rFonts w:ascii="Times New Roman" w:eastAsia="Verdana" w:hAnsi="Times New Roman" w:cs="Times New Roman"/>
                <w:color w:val="000000"/>
                <w:sz w:val="18"/>
                <w:szCs w:val="14"/>
                <w:lang w:val="ro-RO"/>
              </w:rPr>
              <w:t xml:space="preserve"> şi </w:t>
            </w:r>
            <w:r w:rsidR="00210C2C" w:rsidRPr="009C5F11">
              <w:rPr>
                <w:rFonts w:ascii="Times New Roman" w:eastAsia="Verdana" w:hAnsi="Times New Roman" w:cs="Times New Roman"/>
                <w:color w:val="000000"/>
                <w:sz w:val="18"/>
                <w:szCs w:val="14"/>
                <w:lang w:val="ro-RO"/>
              </w:rPr>
              <w:t>a sistemului de monitorizare</w:t>
            </w:r>
            <w:r w:rsidR="00780B2E"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 xml:space="preserve">pentru </w:t>
            </w:r>
            <w:r w:rsidR="00503694" w:rsidRPr="009C5F11">
              <w:rPr>
                <w:rFonts w:ascii="Times New Roman" w:eastAsia="Verdana" w:hAnsi="Times New Roman" w:cs="Times New Roman"/>
                <w:color w:val="000000"/>
                <w:sz w:val="18"/>
                <w:szCs w:val="14"/>
                <w:lang w:val="ro-RO"/>
              </w:rPr>
              <w:t>sectorul termoenergetic</w:t>
            </w:r>
            <w:r w:rsidR="00210C2C" w:rsidRPr="009C5F11">
              <w:rPr>
                <w:rFonts w:ascii="Times New Roman" w:eastAsia="Verdana" w:hAnsi="Times New Roman" w:cs="Times New Roman"/>
                <w:color w:val="000000"/>
                <w:sz w:val="18"/>
                <w:szCs w:val="14"/>
                <w:lang w:val="ro-RO"/>
              </w:rPr>
              <w:t>.</w:t>
            </w:r>
          </w:p>
        </w:tc>
        <w:tc>
          <w:tcPr>
            <w:tcW w:w="321" w:type="pct"/>
            <w:shd w:val="clear" w:color="000000" w:fill="D9D9D9"/>
            <w:noWrap/>
            <w:vAlign w:val="center"/>
            <w:hideMark/>
          </w:tcPr>
          <w:p w14:paraId="7ECB8B32"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tc>
        <w:tc>
          <w:tcPr>
            <w:tcW w:w="322" w:type="pct"/>
            <w:shd w:val="clear" w:color="000000" w:fill="D9D9D9"/>
            <w:vAlign w:val="center"/>
          </w:tcPr>
          <w:p w14:paraId="61A7E9BC" w14:textId="77777777" w:rsidR="00780B2E" w:rsidRPr="009C5F11" w:rsidRDefault="003B4092" w:rsidP="003B4092">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26.36</w:t>
            </w:r>
          </w:p>
        </w:tc>
        <w:tc>
          <w:tcPr>
            <w:tcW w:w="2381" w:type="pct"/>
            <w:shd w:val="clear" w:color="000000" w:fill="D9D9D9"/>
          </w:tcPr>
          <w:p w14:paraId="01BEB2C8"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parţial</w:t>
            </w:r>
          </w:p>
          <w:p w14:paraId="0BDD6233" w14:textId="77777777" w:rsidR="00780B2E" w:rsidRPr="009C5F11" w:rsidRDefault="00780B2E" w:rsidP="00C807F1">
            <w:pPr>
              <w:spacing w:after="0" w:line="240" w:lineRule="auto"/>
              <w:jc w:val="right"/>
              <w:rPr>
                <w:rFonts w:ascii="Times New Roman" w:eastAsia="Verdana" w:hAnsi="Times New Roman" w:cs="Times New Roman"/>
                <w:b/>
                <w:color w:val="000000"/>
                <w:sz w:val="18"/>
                <w:szCs w:val="14"/>
                <w:lang w:val="ro-RO"/>
              </w:rPr>
            </w:pPr>
          </w:p>
          <w:p w14:paraId="470CF334" w14:textId="77777777" w:rsidR="00780B2E" w:rsidRPr="009C5F11" w:rsidRDefault="00C2356A"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Această măsură rezultă din</w:t>
            </w:r>
            <w:r w:rsidR="00780B2E" w:rsidRPr="009C5F11">
              <w:rPr>
                <w:rFonts w:ascii="Times New Roman" w:eastAsia="Verdana" w:hAnsi="Times New Roman" w:cs="Times New Roman"/>
                <w:color w:val="000000"/>
                <w:sz w:val="18"/>
                <w:szCs w:val="14"/>
                <w:lang w:val="ro-RO"/>
              </w:rPr>
              <w:t xml:space="preserve">: </w:t>
            </w:r>
          </w:p>
          <w:p w14:paraId="56DAF6F5"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 </w:t>
            </w:r>
            <w:r w:rsidR="00076D31" w:rsidRPr="009C5F11">
              <w:rPr>
                <w:rFonts w:ascii="Times New Roman" w:eastAsia="Verdana" w:hAnsi="Times New Roman" w:cs="Times New Roman"/>
                <w:color w:val="000000"/>
                <w:sz w:val="18"/>
                <w:szCs w:val="14"/>
                <w:lang w:val="ro-RO"/>
              </w:rPr>
              <w:t>HG RM nr. 983 of 22.12.2011</w:t>
            </w:r>
            <w:r w:rsidR="00076D31" w:rsidRPr="009C5F11">
              <w:rPr>
                <w:rFonts w:ascii="Times New Roman" w:eastAsia="Times New Roman" w:hAnsi="Times New Roman" w:cs="Times New Roman"/>
                <w:bCs/>
                <w:color w:val="000000"/>
                <w:sz w:val="18"/>
                <w:szCs w:val="14"/>
                <w:lang w:val="ro-RO"/>
              </w:rPr>
              <w:t xml:space="preserve"> cu privire la restructurarea corporativă, instituţională şi financiară a sistemului centralizat de alimentare cu energie termică din mun. Chişinău</w:t>
            </w:r>
            <w:r w:rsidRPr="009C5F11">
              <w:rPr>
                <w:rFonts w:ascii="Times New Roman" w:eastAsia="Verdana" w:hAnsi="Times New Roman" w:cs="Times New Roman"/>
                <w:color w:val="000000"/>
                <w:sz w:val="18"/>
                <w:szCs w:val="14"/>
                <w:lang w:val="ro-RO"/>
              </w:rPr>
              <w:t xml:space="preserve">. </w:t>
            </w:r>
            <w:r w:rsidR="00417947" w:rsidRPr="009C5F11">
              <w:rPr>
                <w:rFonts w:ascii="Times New Roman" w:eastAsia="Verdana" w:hAnsi="Times New Roman" w:cs="Times New Roman"/>
                <w:color w:val="000000"/>
                <w:sz w:val="18"/>
                <w:szCs w:val="14"/>
                <w:lang w:val="ro-RO"/>
              </w:rPr>
              <w:t xml:space="preserve">În prezent nu există informaţii despre rezultatele </w:t>
            </w:r>
            <w:r w:rsidR="00CB5B25" w:rsidRPr="009C5F11">
              <w:rPr>
                <w:rFonts w:ascii="Times New Roman" w:eastAsia="Verdana" w:hAnsi="Times New Roman" w:cs="Times New Roman"/>
                <w:color w:val="000000"/>
                <w:sz w:val="18"/>
                <w:szCs w:val="14"/>
                <w:lang w:val="ro-RO"/>
              </w:rPr>
              <w:t>atinse</w:t>
            </w:r>
            <w:r w:rsidR="00417947" w:rsidRPr="009C5F11">
              <w:rPr>
                <w:rFonts w:ascii="Times New Roman" w:eastAsia="Verdana" w:hAnsi="Times New Roman" w:cs="Times New Roman"/>
                <w:color w:val="000000"/>
                <w:sz w:val="18"/>
                <w:szCs w:val="14"/>
                <w:lang w:val="ro-RO"/>
              </w:rPr>
              <w:t xml:space="preserve">, în afară de fuziunea </w:t>
            </w:r>
            <w:r w:rsidR="001D6122" w:rsidRPr="009C5F11">
              <w:rPr>
                <w:rFonts w:ascii="Times New Roman" w:eastAsia="Verdana" w:hAnsi="Times New Roman" w:cs="Times New Roman"/>
                <w:color w:val="000000"/>
                <w:sz w:val="18"/>
                <w:szCs w:val="14"/>
                <w:lang w:val="ro-RO"/>
              </w:rPr>
              <w:t>CET</w:t>
            </w:r>
            <w:r w:rsidRPr="009C5F11">
              <w:rPr>
                <w:rFonts w:ascii="Times New Roman" w:eastAsia="Verdana" w:hAnsi="Times New Roman" w:cs="Times New Roman"/>
                <w:color w:val="000000"/>
                <w:sz w:val="18"/>
                <w:szCs w:val="14"/>
                <w:lang w:val="ro-RO"/>
              </w:rPr>
              <w:t xml:space="preserve">-2, </w:t>
            </w:r>
            <w:r w:rsidR="001D6122" w:rsidRPr="009C5F11">
              <w:rPr>
                <w:rFonts w:ascii="Times New Roman" w:eastAsia="Verdana" w:hAnsi="Times New Roman" w:cs="Times New Roman"/>
                <w:color w:val="000000"/>
                <w:sz w:val="18"/>
                <w:szCs w:val="14"/>
                <w:lang w:val="ro-RO"/>
              </w:rPr>
              <w:t>CET</w:t>
            </w:r>
            <w:r w:rsidRPr="009C5F11">
              <w:rPr>
                <w:rFonts w:ascii="Times New Roman" w:eastAsia="Verdana" w:hAnsi="Times New Roman" w:cs="Times New Roman"/>
                <w:color w:val="000000"/>
                <w:sz w:val="18"/>
                <w:szCs w:val="14"/>
                <w:lang w:val="ro-RO"/>
              </w:rPr>
              <w:t>-1</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Termocom</w:t>
            </w:r>
            <w:r w:rsidR="00971EBF" w:rsidRPr="009C5F11">
              <w:rPr>
                <w:rFonts w:ascii="Times New Roman" w:eastAsia="Verdana" w:hAnsi="Times New Roman" w:cs="Times New Roman"/>
                <w:color w:val="000000"/>
                <w:sz w:val="18"/>
                <w:szCs w:val="14"/>
                <w:lang w:val="ro-RO"/>
              </w:rPr>
              <w:t xml:space="preserve"> realizată în 2014</w:t>
            </w:r>
            <w:r w:rsidRPr="009C5F11">
              <w:rPr>
                <w:rFonts w:ascii="Times New Roman" w:eastAsia="Verdana" w:hAnsi="Times New Roman" w:cs="Times New Roman"/>
                <w:color w:val="000000"/>
                <w:sz w:val="18"/>
                <w:szCs w:val="14"/>
                <w:lang w:val="ro-RO"/>
              </w:rPr>
              <w:t>.</w:t>
            </w:r>
          </w:p>
          <w:p w14:paraId="29410732" w14:textId="77777777" w:rsidR="00780B2E" w:rsidRPr="009C5F11" w:rsidRDefault="00AA06F7"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Crearea unei baze de date şi a unui atlas care să indice potenţialul de generare a energiei termice</w:t>
            </w:r>
            <w:r w:rsidR="00780B2E" w:rsidRPr="009C5F11">
              <w:rPr>
                <w:rFonts w:ascii="Times New Roman" w:eastAsia="Verdana" w:hAnsi="Times New Roman" w:cs="Times New Roman"/>
                <w:color w:val="000000"/>
                <w:sz w:val="18"/>
                <w:szCs w:val="14"/>
                <w:lang w:val="ro-RO"/>
              </w:rPr>
              <w:t>,</w:t>
            </w:r>
            <w:r w:rsidR="00055095"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0005509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din surse regenerabil</w:t>
            </w:r>
            <w:r w:rsidR="00CB5B25" w:rsidRPr="009C5F11">
              <w:rPr>
                <w:rFonts w:ascii="Times New Roman" w:eastAsia="Verdana" w:hAnsi="Times New Roman" w:cs="Times New Roman"/>
                <w:color w:val="000000"/>
                <w:sz w:val="18"/>
                <w:szCs w:val="14"/>
                <w:lang w:val="ro-RO"/>
              </w:rPr>
              <w:t>e de energie</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capacităţile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ce urmează a fi instalate în</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teritorii</w:t>
            </w:r>
            <w:r w:rsidR="0005509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se află în </w:t>
            </w:r>
            <w:r w:rsidR="00780B2E" w:rsidRPr="009C5F11">
              <w:rPr>
                <w:rFonts w:ascii="Times New Roman" w:eastAsia="Verdana" w:hAnsi="Times New Roman" w:cs="Times New Roman"/>
                <w:color w:val="000000"/>
                <w:sz w:val="18"/>
                <w:szCs w:val="14"/>
                <w:lang w:val="ro-RO"/>
              </w:rPr>
              <w:t>proces</w:t>
            </w:r>
            <w:r w:rsidRPr="009C5F11">
              <w:rPr>
                <w:rFonts w:ascii="Times New Roman" w:eastAsia="Verdana" w:hAnsi="Times New Roman" w:cs="Times New Roman"/>
                <w:color w:val="000000"/>
                <w:sz w:val="18"/>
                <w:szCs w:val="14"/>
                <w:lang w:val="ro-RO"/>
              </w:rPr>
              <w:t xml:space="preserve"> de</w:t>
            </w:r>
            <w:r w:rsidR="00780B2E" w:rsidRPr="009C5F11">
              <w:rPr>
                <w:rFonts w:ascii="Times New Roman" w:eastAsia="Verdana" w:hAnsi="Times New Roman" w:cs="Times New Roman"/>
                <w:color w:val="000000"/>
                <w:sz w:val="18"/>
                <w:szCs w:val="14"/>
                <w:lang w:val="ro-RO"/>
              </w:rPr>
              <w:t xml:space="preserve"> coord</w:t>
            </w:r>
            <w:r w:rsidRPr="009C5F11">
              <w:rPr>
                <w:rFonts w:ascii="Times New Roman" w:eastAsia="Verdana" w:hAnsi="Times New Roman" w:cs="Times New Roman"/>
                <w:color w:val="000000"/>
                <w:sz w:val="18"/>
                <w:szCs w:val="14"/>
                <w:lang w:val="ro-RO"/>
              </w:rPr>
              <w:t>o</w:t>
            </w:r>
            <w:r w:rsidR="00780B2E" w:rsidRPr="009C5F11">
              <w:rPr>
                <w:rFonts w:ascii="Times New Roman" w:eastAsia="Verdana" w:hAnsi="Times New Roman" w:cs="Times New Roman"/>
                <w:color w:val="000000"/>
                <w:sz w:val="18"/>
                <w:szCs w:val="14"/>
                <w:lang w:val="ro-RO"/>
              </w:rPr>
              <w:t>na</w:t>
            </w:r>
            <w:r w:rsidRPr="009C5F11">
              <w:rPr>
                <w:rFonts w:ascii="Times New Roman" w:eastAsia="Verdana" w:hAnsi="Times New Roman" w:cs="Times New Roman"/>
                <w:color w:val="000000"/>
                <w:sz w:val="18"/>
                <w:szCs w:val="14"/>
                <w:lang w:val="ro-RO"/>
              </w:rPr>
              <w:t>re.</w:t>
            </w:r>
          </w:p>
          <w:p w14:paraId="3EBDDC1C" w14:textId="77777777" w:rsidR="00780B2E" w:rsidRPr="009C5F11" w:rsidRDefault="00AA06F7"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A fost adoptată </w:t>
            </w:r>
            <w:r w:rsidR="000A4CC7" w:rsidRPr="009C5F11">
              <w:rPr>
                <w:rFonts w:ascii="Times New Roman" w:eastAsia="Verdana" w:hAnsi="Times New Roman" w:cs="Times New Roman"/>
                <w:color w:val="000000"/>
                <w:sz w:val="18"/>
                <w:szCs w:val="14"/>
                <w:lang w:val="ro-RO"/>
              </w:rPr>
              <w:t>Legea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Times New Roman" w:hAnsi="Times New Roman" w:cs="Times New Roman"/>
                <w:bCs/>
                <w:color w:val="000000"/>
                <w:sz w:val="18"/>
                <w:szCs w:val="14"/>
                <w:lang w:val="ro-RO"/>
              </w:rPr>
              <w:t>cu privire la energia termică şi promovarea cogenerării</w:t>
            </w:r>
            <w:r w:rsidRPr="009C5F11">
              <w:rPr>
                <w:rFonts w:ascii="Times New Roman" w:eastAsia="Verdana" w:hAnsi="Times New Roman" w:cs="Times New Roman"/>
                <w:color w:val="000000"/>
                <w:sz w:val="18"/>
                <w:szCs w:val="14"/>
                <w:lang w:val="ro-RO"/>
              </w:rPr>
              <w:t xml:space="preserve"> (nr.</w:t>
            </w:r>
            <w:r w:rsidR="00780B2E" w:rsidRPr="009C5F11">
              <w:rPr>
                <w:rFonts w:ascii="Times New Roman" w:eastAsia="Verdana" w:hAnsi="Times New Roman" w:cs="Times New Roman"/>
                <w:color w:val="000000"/>
                <w:sz w:val="18"/>
                <w:szCs w:val="14"/>
                <w:lang w:val="ro-RO"/>
              </w:rPr>
              <w:t xml:space="preserve"> 92 </w:t>
            </w:r>
            <w:r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29.05.2014</w:t>
            </w:r>
            <w:r w:rsidRPr="009C5F11">
              <w:rPr>
                <w:rFonts w:ascii="Times New Roman" w:eastAsia="Verdana" w:hAnsi="Times New Roman" w:cs="Times New Roman"/>
                <w:color w:val="000000"/>
                <w:sz w:val="18"/>
                <w:szCs w:val="14"/>
                <w:lang w:val="ro-RO"/>
              </w:rPr>
              <w:t>).</w:t>
            </w:r>
          </w:p>
          <w:p w14:paraId="14B1FAF0" w14:textId="77777777" w:rsidR="00780B2E" w:rsidRPr="009C5F11" w:rsidRDefault="00AA06F7"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Proiectul Hotărârii</w:t>
            </w:r>
            <w:r w:rsidR="00927CD9" w:rsidRPr="009C5F11">
              <w:rPr>
                <w:rFonts w:ascii="Times New Roman" w:eastAsia="Verdana" w:hAnsi="Times New Roman" w:cs="Times New Roman"/>
                <w:color w:val="000000"/>
                <w:sz w:val="18"/>
                <w:szCs w:val="14"/>
                <w:lang w:val="ro-RO"/>
              </w:rPr>
              <w:t xml:space="preserve"> Guvernului RM</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cu privire la valorile de referință</w:t>
            </w:r>
            <w:r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color w:val="000000"/>
                <w:sz w:val="18"/>
                <w:szCs w:val="14"/>
                <w:lang w:val="ro-RO"/>
              </w:rPr>
              <w:t xml:space="preserve">armonizate ale randamentului pentru producția separată de energie electrică și energie termică a fost prezentat </w:t>
            </w:r>
            <w:r w:rsidR="00800247" w:rsidRPr="009C5F11">
              <w:rPr>
                <w:rFonts w:ascii="Times New Roman" w:eastAsia="Verdana" w:hAnsi="Times New Roman" w:cs="Times New Roman"/>
                <w:color w:val="000000"/>
                <w:sz w:val="18"/>
                <w:szCs w:val="14"/>
                <w:lang w:val="ro-RO"/>
              </w:rPr>
              <w:t>Guvernul</w:t>
            </w:r>
            <w:r w:rsidRPr="009C5F11">
              <w:rPr>
                <w:rFonts w:ascii="Times New Roman" w:eastAsia="Verdana" w:hAnsi="Times New Roman" w:cs="Times New Roman"/>
                <w:color w:val="000000"/>
                <w:sz w:val="18"/>
                <w:szCs w:val="14"/>
                <w:lang w:val="ro-RO"/>
              </w:rPr>
              <w:t>ui spre aprobare.</w:t>
            </w:r>
          </w:p>
          <w:p w14:paraId="0AF477B9" w14:textId="77777777" w:rsidR="00780B2E" w:rsidRPr="009C5F11" w:rsidRDefault="00E40DAA"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lastRenderedPageBreak/>
              <w:t>Deocamdată, n</w:t>
            </w:r>
            <w:r w:rsidR="00AA06F7" w:rsidRPr="009C5F11">
              <w:rPr>
                <w:rFonts w:ascii="Times New Roman" w:eastAsia="Verdana" w:hAnsi="Times New Roman" w:cs="Times New Roman"/>
                <w:color w:val="000000"/>
                <w:sz w:val="18"/>
                <w:szCs w:val="14"/>
                <w:lang w:val="ro-RO"/>
              </w:rPr>
              <w:t>u există informaţii</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despre actualizarea Concepţiei privind renovarea sistemului</w:t>
            </w:r>
            <w:r w:rsidR="00780B2E" w:rsidRPr="009C5F11">
              <w:rPr>
                <w:rFonts w:ascii="Times New Roman" w:eastAsia="Verdana" w:hAnsi="Times New Roman" w:cs="Times New Roman"/>
                <w:color w:val="000000"/>
                <w:sz w:val="18"/>
                <w:szCs w:val="14"/>
                <w:lang w:val="ro-RO"/>
              </w:rPr>
              <w:t xml:space="preserve"> republican </w:t>
            </w:r>
            <w:r w:rsidRPr="009C5F11">
              <w:rPr>
                <w:rFonts w:ascii="Times New Roman" w:eastAsia="Verdana" w:hAnsi="Times New Roman" w:cs="Times New Roman"/>
                <w:color w:val="000000"/>
                <w:sz w:val="18"/>
                <w:szCs w:val="14"/>
                <w:lang w:val="ro-RO"/>
              </w:rPr>
              <w:t>de furnizare a energiei termice.</w:t>
            </w:r>
          </w:p>
          <w:p w14:paraId="5FA19FF7" w14:textId="77777777" w:rsidR="00780B2E" w:rsidRPr="009C5F11" w:rsidRDefault="00AA06F7"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Nu </w:t>
            </w:r>
            <w:r w:rsidR="00617F01" w:rsidRPr="009C5F11">
              <w:rPr>
                <w:rFonts w:ascii="Times New Roman" w:eastAsia="Verdana" w:hAnsi="Times New Roman" w:cs="Times New Roman"/>
                <w:color w:val="000000"/>
                <w:sz w:val="18"/>
                <w:szCs w:val="14"/>
                <w:lang w:val="ro-RO"/>
              </w:rPr>
              <w:t>sunt disponibile</w:t>
            </w:r>
            <w:r w:rsidRPr="009C5F11">
              <w:rPr>
                <w:rFonts w:ascii="Times New Roman" w:eastAsia="Verdana" w:hAnsi="Times New Roman" w:cs="Times New Roman"/>
                <w:color w:val="000000"/>
                <w:sz w:val="18"/>
                <w:szCs w:val="14"/>
                <w:lang w:val="ro-RO"/>
              </w:rPr>
              <w:t xml:space="preserve"> informaţii</w:t>
            </w:r>
            <w:r w:rsidR="00780B2E" w:rsidRPr="009C5F11">
              <w:rPr>
                <w:rFonts w:ascii="Times New Roman" w:eastAsia="Verdana" w:hAnsi="Times New Roman" w:cs="Times New Roman"/>
                <w:color w:val="000000"/>
                <w:sz w:val="18"/>
                <w:szCs w:val="14"/>
                <w:lang w:val="ro-RO"/>
              </w:rPr>
              <w:t xml:space="preserve"> </w:t>
            </w:r>
            <w:r w:rsidR="00617F01" w:rsidRPr="009C5F11">
              <w:rPr>
                <w:rFonts w:ascii="Times New Roman" w:eastAsia="Verdana" w:hAnsi="Times New Roman" w:cs="Times New Roman"/>
                <w:color w:val="000000"/>
                <w:sz w:val="18"/>
                <w:szCs w:val="14"/>
                <w:lang w:val="ro-RO"/>
              </w:rPr>
              <w:t>nici despre elaborarea unei baze de date pentru monitorizarea consumului de energie termică şi estimarea volumului de investiţii necesar sectorului de încălzire</w:t>
            </w:r>
            <w:r w:rsidR="00780B2E" w:rsidRPr="009C5F11">
              <w:rPr>
                <w:rFonts w:ascii="Times New Roman" w:eastAsia="Verdana" w:hAnsi="Times New Roman" w:cs="Times New Roman"/>
                <w:color w:val="000000"/>
                <w:sz w:val="18"/>
                <w:szCs w:val="14"/>
                <w:lang w:val="ro-RO"/>
              </w:rPr>
              <w:t>;</w:t>
            </w:r>
          </w:p>
          <w:p w14:paraId="5682A391" w14:textId="77777777" w:rsidR="00780B2E" w:rsidRPr="009C5F11" w:rsidRDefault="00617F01"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Se planifică elaborarea sistemelor de sprijin pentru energia produsă </w:t>
            </w:r>
            <w:r w:rsidR="00321CD5" w:rsidRPr="009C5F11">
              <w:rPr>
                <w:rFonts w:ascii="Times New Roman" w:eastAsia="Verdana" w:hAnsi="Times New Roman" w:cs="Times New Roman"/>
                <w:color w:val="000000"/>
                <w:sz w:val="18"/>
                <w:szCs w:val="14"/>
                <w:lang w:val="ro-RO"/>
              </w:rPr>
              <w:t xml:space="preserve">în </w:t>
            </w:r>
            <w:r w:rsidR="00CB5B25" w:rsidRPr="009C5F11">
              <w:rPr>
                <w:rFonts w:ascii="Times New Roman" w:eastAsia="Verdana" w:hAnsi="Times New Roman" w:cs="Times New Roman"/>
                <w:color w:val="000000"/>
                <w:sz w:val="18"/>
                <w:szCs w:val="14"/>
                <w:lang w:val="ro-RO"/>
              </w:rPr>
              <w:t xml:space="preserve">regim de </w:t>
            </w:r>
            <w:r w:rsidR="00780B2E" w:rsidRPr="009C5F11">
              <w:rPr>
                <w:rFonts w:ascii="Times New Roman" w:eastAsia="Verdana" w:hAnsi="Times New Roman" w:cs="Times New Roman"/>
                <w:color w:val="000000"/>
                <w:sz w:val="18"/>
                <w:szCs w:val="14"/>
                <w:lang w:val="ro-RO"/>
              </w:rPr>
              <w:t>cogenera</w:t>
            </w:r>
            <w:r w:rsidRPr="009C5F11">
              <w:rPr>
                <w:rFonts w:ascii="Times New Roman" w:eastAsia="Verdana" w:hAnsi="Times New Roman" w:cs="Times New Roman"/>
                <w:color w:val="000000"/>
                <w:sz w:val="18"/>
                <w:szCs w:val="14"/>
                <w:lang w:val="ro-RO"/>
              </w:rPr>
              <w:t xml:space="preserve">re </w:t>
            </w:r>
            <w:r w:rsidR="00321CD5" w:rsidRPr="009C5F11">
              <w:rPr>
                <w:rFonts w:ascii="Times New Roman" w:eastAsia="Verdana" w:hAnsi="Times New Roman" w:cs="Times New Roman"/>
                <w:color w:val="000000"/>
                <w:sz w:val="18"/>
                <w:szCs w:val="14"/>
                <w:lang w:val="ro-RO"/>
              </w:rPr>
              <w:t xml:space="preserve">în </w:t>
            </w:r>
            <w:r w:rsidR="008E0271" w:rsidRPr="009C5F11">
              <w:rPr>
                <w:rFonts w:ascii="Times New Roman" w:eastAsia="Verdana" w:hAnsi="Times New Roman" w:cs="Times New Roman"/>
                <w:color w:val="000000"/>
                <w:sz w:val="18"/>
                <w:szCs w:val="14"/>
                <w:lang w:val="ro-RO"/>
              </w:rPr>
              <w:t xml:space="preserve">trimestrul </w:t>
            </w:r>
            <w:r w:rsidR="00800247" w:rsidRPr="009C5F11">
              <w:rPr>
                <w:rFonts w:ascii="Times New Roman" w:eastAsia="Verdana" w:hAnsi="Times New Roman" w:cs="Times New Roman"/>
                <w:color w:val="000000"/>
                <w:sz w:val="18"/>
                <w:szCs w:val="14"/>
                <w:lang w:val="ro-RO"/>
              </w:rPr>
              <w:t>III</w:t>
            </w:r>
            <w:r w:rsidR="00780B2E" w:rsidRPr="009C5F11">
              <w:rPr>
                <w:rFonts w:ascii="Times New Roman" w:eastAsia="Verdana" w:hAnsi="Times New Roman" w:cs="Times New Roman"/>
                <w:color w:val="000000"/>
                <w:sz w:val="18"/>
                <w:szCs w:val="14"/>
                <w:lang w:val="ro-RO"/>
              </w:rPr>
              <w:t xml:space="preserve"> 2016</w:t>
            </w:r>
            <w:r w:rsidRPr="009C5F11">
              <w:rPr>
                <w:rFonts w:ascii="Times New Roman" w:eastAsia="Verdana" w:hAnsi="Times New Roman" w:cs="Times New Roman"/>
                <w:color w:val="000000"/>
                <w:sz w:val="18"/>
                <w:szCs w:val="14"/>
                <w:lang w:val="ro-RO"/>
              </w:rPr>
              <w:t>.</w:t>
            </w:r>
          </w:p>
          <w:p w14:paraId="6CC9CD89" w14:textId="77777777" w:rsidR="00780B2E" w:rsidRPr="009C5F11" w:rsidRDefault="001D6122"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CET</w:t>
            </w:r>
            <w:r w:rsidR="00780B2E" w:rsidRPr="009C5F11">
              <w:rPr>
                <w:rFonts w:ascii="Times New Roman" w:eastAsia="Verdana" w:hAnsi="Times New Roman" w:cs="Times New Roman"/>
                <w:color w:val="000000"/>
                <w:sz w:val="18"/>
                <w:szCs w:val="14"/>
                <w:lang w:val="ro-RO"/>
              </w:rPr>
              <w:t xml:space="preserve">-2: </w:t>
            </w:r>
            <w:r w:rsidR="00360BED" w:rsidRPr="009C5F11">
              <w:rPr>
                <w:rFonts w:ascii="Times New Roman" w:eastAsia="Verdana" w:hAnsi="Times New Roman" w:cs="Times New Roman"/>
                <w:color w:val="000000"/>
                <w:sz w:val="18"/>
                <w:szCs w:val="14"/>
                <w:lang w:val="ro-RO"/>
              </w:rPr>
              <w:t>Pe parcursul anului</w:t>
            </w:r>
            <w:r w:rsidR="00780B2E" w:rsidRPr="009C5F11">
              <w:rPr>
                <w:rFonts w:ascii="Times New Roman" w:eastAsia="Verdana" w:hAnsi="Times New Roman" w:cs="Times New Roman"/>
                <w:color w:val="000000"/>
                <w:sz w:val="18"/>
                <w:szCs w:val="14"/>
                <w:lang w:val="ro-RO"/>
              </w:rPr>
              <w:t xml:space="preserve"> 2013-2014, </w:t>
            </w:r>
            <w:r w:rsidR="00CA337B" w:rsidRPr="009C5F11">
              <w:rPr>
                <w:rFonts w:ascii="Times New Roman" w:eastAsia="Verdana" w:hAnsi="Times New Roman" w:cs="Times New Roman"/>
                <w:color w:val="000000"/>
                <w:sz w:val="18"/>
                <w:szCs w:val="14"/>
                <w:lang w:val="ro-RO"/>
              </w:rPr>
              <w:t>a fost pus în aplicare sistemul de gestionare a energiei</w:t>
            </w:r>
            <w:r w:rsidR="00780B2E" w:rsidRPr="009C5F11">
              <w:rPr>
                <w:rFonts w:ascii="Times New Roman" w:eastAsia="Verdana" w:hAnsi="Times New Roman" w:cs="Times New Roman"/>
                <w:color w:val="000000"/>
                <w:sz w:val="18"/>
                <w:szCs w:val="14"/>
                <w:lang w:val="ro-RO"/>
              </w:rPr>
              <w:t xml:space="preserve"> ba</w:t>
            </w:r>
            <w:r w:rsidR="00CA337B" w:rsidRPr="009C5F11">
              <w:rPr>
                <w:rFonts w:ascii="Times New Roman" w:eastAsia="Verdana" w:hAnsi="Times New Roman" w:cs="Times New Roman"/>
                <w:color w:val="000000"/>
                <w:sz w:val="18"/>
                <w:szCs w:val="14"/>
                <w:lang w:val="ro-RO"/>
              </w:rPr>
              <w:t xml:space="preserve">zat pe </w:t>
            </w:r>
            <w:r w:rsidR="00780B2E" w:rsidRPr="009C5F11">
              <w:rPr>
                <w:rFonts w:ascii="Times New Roman" w:eastAsia="Verdana" w:hAnsi="Times New Roman" w:cs="Times New Roman"/>
                <w:color w:val="000000"/>
                <w:sz w:val="18"/>
                <w:szCs w:val="14"/>
                <w:lang w:val="ro-RO"/>
              </w:rPr>
              <w:t xml:space="preserve">standard ISO-50001. </w:t>
            </w:r>
            <w:r w:rsidR="00360BED" w:rsidRPr="009C5F11">
              <w:rPr>
                <w:rFonts w:ascii="Times New Roman" w:eastAsia="Verdana" w:hAnsi="Times New Roman" w:cs="Times New Roman"/>
                <w:color w:val="000000"/>
                <w:sz w:val="18"/>
                <w:szCs w:val="14"/>
                <w:lang w:val="ro-RO"/>
              </w:rPr>
              <w:t>Pe parcursul anului</w:t>
            </w:r>
            <w:r w:rsidR="00780B2E" w:rsidRPr="009C5F11">
              <w:rPr>
                <w:rFonts w:ascii="Times New Roman" w:eastAsia="Verdana" w:hAnsi="Times New Roman" w:cs="Times New Roman"/>
                <w:color w:val="000000"/>
                <w:sz w:val="18"/>
                <w:szCs w:val="14"/>
                <w:lang w:val="ro-RO"/>
              </w:rPr>
              <w:t xml:space="preserve"> 2013-2015, </w:t>
            </w:r>
            <w:r w:rsidR="00CA337B" w:rsidRPr="009C5F11">
              <w:rPr>
                <w:rFonts w:ascii="Times New Roman" w:eastAsia="Verdana" w:hAnsi="Times New Roman" w:cs="Times New Roman"/>
                <w:color w:val="000000"/>
                <w:sz w:val="18"/>
                <w:szCs w:val="14"/>
                <w:lang w:val="ro-RO"/>
              </w:rPr>
              <w:t xml:space="preserve">acest producător major de energie termică şi energie electrică din </w:t>
            </w:r>
            <w:r w:rsidR="00223DAC" w:rsidRPr="009C5F11">
              <w:rPr>
                <w:rFonts w:ascii="Times New Roman" w:eastAsia="Verdana" w:hAnsi="Times New Roman" w:cs="Times New Roman"/>
                <w:color w:val="000000"/>
                <w:sz w:val="18"/>
                <w:szCs w:val="14"/>
                <w:lang w:val="ro-RO"/>
              </w:rPr>
              <w:t>Republica Moldova</w:t>
            </w:r>
            <w:r w:rsidR="00CA337B" w:rsidRPr="009C5F11">
              <w:rPr>
                <w:rFonts w:ascii="Times New Roman" w:eastAsia="Verdana" w:hAnsi="Times New Roman" w:cs="Times New Roman"/>
                <w:color w:val="000000"/>
                <w:sz w:val="18"/>
                <w:szCs w:val="14"/>
                <w:lang w:val="ro-RO"/>
              </w:rPr>
              <w:t xml:space="preserve"> a</w:t>
            </w:r>
            <w:r w:rsidR="00780B2E" w:rsidRPr="009C5F11">
              <w:rPr>
                <w:rFonts w:ascii="Times New Roman" w:eastAsia="Verdana" w:hAnsi="Times New Roman" w:cs="Times New Roman"/>
                <w:color w:val="000000"/>
                <w:sz w:val="18"/>
                <w:szCs w:val="14"/>
                <w:lang w:val="ro-RO"/>
              </w:rPr>
              <w:t xml:space="preserve"> implement</w:t>
            </w:r>
            <w:r w:rsidR="00CA337B" w:rsidRPr="009C5F11">
              <w:rPr>
                <w:rFonts w:ascii="Times New Roman" w:eastAsia="Verdana" w:hAnsi="Times New Roman" w:cs="Times New Roman"/>
                <w:color w:val="000000"/>
                <w:sz w:val="18"/>
                <w:szCs w:val="14"/>
                <w:lang w:val="ro-RO"/>
              </w:rPr>
              <w:t xml:space="preserve">at un sistem </w:t>
            </w:r>
            <w:r w:rsidR="00780B2E" w:rsidRPr="009C5F11">
              <w:rPr>
                <w:rFonts w:ascii="Times New Roman" w:eastAsia="Verdana" w:hAnsi="Times New Roman" w:cs="Times New Roman"/>
                <w:color w:val="000000"/>
                <w:sz w:val="18"/>
                <w:szCs w:val="14"/>
                <w:lang w:val="ro-RO"/>
              </w:rPr>
              <w:t>automat</w:t>
            </w:r>
            <w:r w:rsidR="00CA337B" w:rsidRPr="009C5F11">
              <w:rPr>
                <w:rFonts w:ascii="Times New Roman" w:eastAsia="Verdana" w:hAnsi="Times New Roman" w:cs="Times New Roman"/>
                <w:color w:val="000000"/>
                <w:sz w:val="18"/>
                <w:szCs w:val="14"/>
                <w:lang w:val="ro-RO"/>
              </w:rPr>
              <w:t>izat</w:t>
            </w:r>
            <w:r w:rsidR="00780B2E" w:rsidRPr="009C5F11">
              <w:rPr>
                <w:rFonts w:ascii="Times New Roman" w:eastAsia="Verdana" w:hAnsi="Times New Roman" w:cs="Times New Roman"/>
                <w:color w:val="000000"/>
                <w:sz w:val="18"/>
                <w:szCs w:val="14"/>
                <w:lang w:val="ro-RO"/>
              </w:rPr>
              <w:t xml:space="preserve"> </w:t>
            </w:r>
            <w:r w:rsidR="00CA337B" w:rsidRPr="009C5F11">
              <w:rPr>
                <w:rFonts w:ascii="Times New Roman" w:eastAsia="Verdana" w:hAnsi="Times New Roman" w:cs="Times New Roman"/>
                <w:color w:val="000000"/>
                <w:sz w:val="18"/>
                <w:szCs w:val="14"/>
                <w:lang w:val="ro-RO"/>
              </w:rPr>
              <w:t xml:space="preserve">de </w:t>
            </w:r>
            <w:r w:rsidR="00780B2E" w:rsidRPr="009C5F11">
              <w:rPr>
                <w:rFonts w:ascii="Times New Roman" w:eastAsia="Verdana" w:hAnsi="Times New Roman" w:cs="Times New Roman"/>
                <w:color w:val="000000"/>
                <w:sz w:val="18"/>
                <w:szCs w:val="14"/>
                <w:lang w:val="ro-RO"/>
              </w:rPr>
              <w:t>monitori</w:t>
            </w:r>
            <w:r w:rsidR="00CA337B" w:rsidRPr="009C5F11">
              <w:rPr>
                <w:rFonts w:ascii="Times New Roman" w:eastAsia="Verdana" w:hAnsi="Times New Roman" w:cs="Times New Roman"/>
                <w:color w:val="000000"/>
                <w:sz w:val="18"/>
                <w:szCs w:val="14"/>
                <w:lang w:val="ro-RO"/>
              </w:rPr>
              <w:t>zare</w:t>
            </w:r>
            <w:r w:rsidR="001E3482" w:rsidRPr="009C5F11">
              <w:rPr>
                <w:rFonts w:ascii="Times New Roman" w:eastAsia="Verdana" w:hAnsi="Times New Roman" w:cs="Times New Roman"/>
                <w:color w:val="000000"/>
                <w:sz w:val="18"/>
                <w:szCs w:val="14"/>
                <w:lang w:val="ro-RO"/>
              </w:rPr>
              <w:t xml:space="preserve"> pentru parametrii te</w:t>
            </w:r>
            <w:r w:rsidR="00780B2E" w:rsidRPr="009C5F11">
              <w:rPr>
                <w:rFonts w:ascii="Times New Roman" w:eastAsia="Verdana" w:hAnsi="Times New Roman" w:cs="Times New Roman"/>
                <w:color w:val="000000"/>
                <w:sz w:val="18"/>
                <w:szCs w:val="14"/>
                <w:lang w:val="ro-RO"/>
              </w:rPr>
              <w:t>hnologic</w:t>
            </w:r>
            <w:r w:rsidR="001E3482" w:rsidRPr="009C5F11">
              <w:rPr>
                <w:rFonts w:ascii="Times New Roman" w:eastAsia="Verdana" w:hAnsi="Times New Roman" w:cs="Times New Roman"/>
                <w:color w:val="000000"/>
                <w:sz w:val="18"/>
                <w:szCs w:val="14"/>
                <w:lang w:val="ro-RO"/>
              </w:rPr>
              <w:t>i</w:t>
            </w:r>
            <w:r w:rsidR="00321CD5" w:rsidRPr="009C5F11">
              <w:rPr>
                <w:rFonts w:ascii="Times New Roman" w:eastAsia="Verdana" w:hAnsi="Times New Roman" w:cs="Times New Roman"/>
                <w:color w:val="000000"/>
                <w:sz w:val="18"/>
                <w:szCs w:val="14"/>
                <w:lang w:val="ro-RO"/>
              </w:rPr>
              <w:t xml:space="preserve"> şi </w:t>
            </w:r>
            <w:r w:rsidR="001E3482" w:rsidRPr="009C5F11">
              <w:rPr>
                <w:rFonts w:ascii="Times New Roman" w:eastAsia="Verdana" w:hAnsi="Times New Roman" w:cs="Times New Roman"/>
                <w:color w:val="000000"/>
                <w:sz w:val="18"/>
                <w:szCs w:val="14"/>
                <w:lang w:val="ro-RO"/>
              </w:rPr>
              <w:t>pentru</w:t>
            </w:r>
            <w:r w:rsidR="00780B2E" w:rsidRPr="009C5F11">
              <w:rPr>
                <w:rFonts w:ascii="Times New Roman" w:eastAsia="Verdana" w:hAnsi="Times New Roman" w:cs="Times New Roman"/>
                <w:color w:val="000000"/>
                <w:sz w:val="18"/>
                <w:szCs w:val="14"/>
                <w:lang w:val="ro-RO"/>
              </w:rPr>
              <w:t xml:space="preserve"> </w:t>
            </w:r>
            <w:r w:rsidR="001E3482" w:rsidRPr="009C5F11">
              <w:rPr>
                <w:rFonts w:ascii="Times New Roman" w:eastAsia="Verdana" w:hAnsi="Times New Roman" w:cs="Times New Roman"/>
                <w:color w:val="000000"/>
                <w:sz w:val="18"/>
                <w:szCs w:val="14"/>
                <w:lang w:val="ro-RO"/>
              </w:rPr>
              <w:t>energie</w:t>
            </w:r>
            <w:r w:rsidR="00780B2E" w:rsidRPr="009C5F11">
              <w:rPr>
                <w:rFonts w:ascii="Times New Roman" w:eastAsia="Verdana" w:hAnsi="Times New Roman" w:cs="Times New Roman"/>
                <w:color w:val="000000"/>
                <w:sz w:val="18"/>
                <w:szCs w:val="14"/>
                <w:lang w:val="ro-RO"/>
              </w:rPr>
              <w:t xml:space="preserve">. </w:t>
            </w:r>
          </w:p>
          <w:p w14:paraId="14DEF523" w14:textId="77777777" w:rsidR="00780B2E" w:rsidRPr="009C5F11" w:rsidRDefault="00360BED" w:rsidP="001E3482">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Pe parcursul anului</w:t>
            </w:r>
            <w:r w:rsidR="00780B2E" w:rsidRPr="009C5F11">
              <w:rPr>
                <w:rFonts w:ascii="Times New Roman" w:eastAsia="Verdana" w:hAnsi="Times New Roman" w:cs="Times New Roman"/>
                <w:color w:val="000000"/>
                <w:sz w:val="18"/>
                <w:szCs w:val="14"/>
                <w:lang w:val="ro-RO"/>
              </w:rPr>
              <w:t xml:space="preserve"> 2013, </w:t>
            </w:r>
            <w:r w:rsidR="001E3482" w:rsidRPr="009C5F11">
              <w:rPr>
                <w:rFonts w:ascii="Times New Roman" w:eastAsia="Verdana" w:hAnsi="Times New Roman" w:cs="Times New Roman"/>
                <w:color w:val="000000"/>
                <w:sz w:val="18"/>
                <w:szCs w:val="14"/>
                <w:lang w:val="ro-RO"/>
              </w:rPr>
              <w:t>a</w:t>
            </w:r>
            <w:r w:rsidR="00CB5B25" w:rsidRPr="009C5F11">
              <w:rPr>
                <w:rFonts w:ascii="Times New Roman" w:eastAsia="Verdana" w:hAnsi="Times New Roman" w:cs="Times New Roman"/>
                <w:color w:val="000000"/>
                <w:sz w:val="18"/>
                <w:szCs w:val="14"/>
                <w:lang w:val="ro-RO"/>
              </w:rPr>
              <w:t>u</w:t>
            </w:r>
            <w:r w:rsidR="001E3482" w:rsidRPr="009C5F11">
              <w:rPr>
                <w:rFonts w:ascii="Times New Roman" w:eastAsia="Verdana" w:hAnsi="Times New Roman" w:cs="Times New Roman"/>
                <w:color w:val="000000"/>
                <w:sz w:val="18"/>
                <w:szCs w:val="14"/>
                <w:lang w:val="ro-RO"/>
              </w:rPr>
              <w:t xml:space="preserve"> fost efectuate lucrări de izolare a ţevilor prin aplicarea unor straturi de vopsea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Pe parcursul anului</w:t>
            </w:r>
            <w:r w:rsidR="00780B2E" w:rsidRPr="009C5F11">
              <w:rPr>
                <w:rFonts w:ascii="Times New Roman" w:eastAsia="Verdana" w:hAnsi="Times New Roman" w:cs="Times New Roman"/>
                <w:color w:val="000000"/>
                <w:sz w:val="18"/>
                <w:szCs w:val="14"/>
                <w:lang w:val="ro-RO"/>
              </w:rPr>
              <w:t xml:space="preserve"> 2013-2015 </w:t>
            </w:r>
            <w:r w:rsidR="001E3482" w:rsidRPr="009C5F11">
              <w:rPr>
                <w:rFonts w:ascii="Times New Roman" w:eastAsia="Verdana" w:hAnsi="Times New Roman" w:cs="Times New Roman"/>
                <w:color w:val="000000"/>
                <w:sz w:val="18"/>
                <w:szCs w:val="14"/>
                <w:lang w:val="ro-RO"/>
              </w:rPr>
              <w:t xml:space="preserve">a fost schimbată izolarea termică a </w:t>
            </w:r>
            <w:r w:rsidR="00780B2E" w:rsidRPr="009C5F11">
              <w:rPr>
                <w:rFonts w:ascii="Times New Roman" w:eastAsia="Verdana" w:hAnsi="Times New Roman" w:cs="Times New Roman"/>
                <w:color w:val="000000"/>
                <w:sz w:val="18"/>
                <w:szCs w:val="14"/>
                <w:lang w:val="ro-RO"/>
              </w:rPr>
              <w:t>agregatelor de cazane, turbine</w:t>
            </w:r>
            <w:r w:rsidR="001E3482" w:rsidRPr="009C5F11">
              <w:rPr>
                <w:rFonts w:ascii="Times New Roman" w:eastAsia="Verdana" w:hAnsi="Times New Roman" w:cs="Times New Roman"/>
                <w:color w:val="000000"/>
                <w:sz w:val="18"/>
                <w:szCs w:val="14"/>
                <w:lang w:val="ro-RO"/>
              </w:rPr>
              <w:t>lor de aburi</w:t>
            </w:r>
            <w:r w:rsidR="00780B2E" w:rsidRPr="009C5F11">
              <w:rPr>
                <w:rFonts w:ascii="Times New Roman" w:eastAsia="Verdana" w:hAnsi="Times New Roman" w:cs="Times New Roman"/>
                <w:color w:val="000000"/>
                <w:sz w:val="18"/>
                <w:szCs w:val="14"/>
                <w:lang w:val="ro-RO"/>
              </w:rPr>
              <w:t xml:space="preserve">, </w:t>
            </w:r>
            <w:r w:rsidR="00CB5B25" w:rsidRPr="009C5F11">
              <w:rPr>
                <w:rFonts w:ascii="Times New Roman" w:eastAsia="Verdana" w:hAnsi="Times New Roman" w:cs="Times New Roman"/>
                <w:color w:val="000000"/>
                <w:sz w:val="18"/>
                <w:szCs w:val="14"/>
                <w:lang w:val="ro-RO"/>
              </w:rPr>
              <w:t xml:space="preserve">pe </w:t>
            </w:r>
            <w:r w:rsidR="00780B2E" w:rsidRPr="009C5F11">
              <w:rPr>
                <w:rFonts w:ascii="Times New Roman" w:eastAsia="Verdana" w:hAnsi="Times New Roman" w:cs="Times New Roman"/>
                <w:color w:val="000000"/>
                <w:sz w:val="18"/>
                <w:szCs w:val="14"/>
                <w:lang w:val="ro-RO"/>
              </w:rPr>
              <w:t xml:space="preserve">250m </w:t>
            </w:r>
            <w:r w:rsidR="001E3482" w:rsidRPr="009C5F11">
              <w:rPr>
                <w:rFonts w:ascii="Times New Roman" w:eastAsia="Verdana" w:hAnsi="Times New Roman" w:cs="Times New Roman"/>
                <w:color w:val="000000"/>
                <w:sz w:val="18"/>
                <w:szCs w:val="14"/>
                <w:lang w:val="ro-RO"/>
              </w:rPr>
              <w:t>de ţevi pentru alimentarea cu apă</w:t>
            </w:r>
            <w:r w:rsidR="00321CD5" w:rsidRPr="009C5F11">
              <w:rPr>
                <w:rFonts w:ascii="Times New Roman" w:eastAsia="Verdana" w:hAnsi="Times New Roman" w:cs="Times New Roman"/>
                <w:color w:val="000000"/>
                <w:sz w:val="18"/>
                <w:szCs w:val="14"/>
                <w:lang w:val="ro-RO"/>
              </w:rPr>
              <w:t xml:space="preserve"> şi </w:t>
            </w:r>
            <w:r w:rsidR="001E3482" w:rsidRPr="009C5F11">
              <w:rPr>
                <w:rFonts w:ascii="Times New Roman" w:eastAsia="Verdana" w:hAnsi="Times New Roman" w:cs="Times New Roman"/>
                <w:color w:val="000000"/>
                <w:sz w:val="18"/>
                <w:szCs w:val="14"/>
                <w:lang w:val="ro-RO"/>
              </w:rPr>
              <w:t>circa</w:t>
            </w:r>
            <w:r w:rsidR="00780B2E" w:rsidRPr="009C5F11">
              <w:rPr>
                <w:rFonts w:ascii="Times New Roman" w:eastAsia="Verdana" w:hAnsi="Times New Roman" w:cs="Times New Roman"/>
                <w:color w:val="000000"/>
                <w:sz w:val="18"/>
                <w:szCs w:val="14"/>
                <w:lang w:val="ro-RO"/>
              </w:rPr>
              <w:t xml:space="preserve"> 300m </w:t>
            </w:r>
            <w:r w:rsidR="001E3482" w:rsidRPr="009C5F11">
              <w:rPr>
                <w:rFonts w:ascii="Times New Roman" w:eastAsia="Verdana" w:hAnsi="Times New Roman" w:cs="Times New Roman"/>
                <w:color w:val="000000"/>
                <w:sz w:val="18"/>
                <w:szCs w:val="14"/>
                <w:lang w:val="ro-RO"/>
              </w:rPr>
              <w:t xml:space="preserve">de </w:t>
            </w:r>
            <w:r w:rsidR="00780B2E" w:rsidRPr="009C5F11">
              <w:rPr>
                <w:rFonts w:ascii="Times New Roman" w:eastAsia="Verdana" w:hAnsi="Times New Roman" w:cs="Times New Roman"/>
                <w:color w:val="000000"/>
                <w:sz w:val="18"/>
                <w:szCs w:val="14"/>
                <w:lang w:val="ro-RO"/>
              </w:rPr>
              <w:t>conductă de abur a grupurilor energetice.</w:t>
            </w:r>
          </w:p>
        </w:tc>
        <w:tc>
          <w:tcPr>
            <w:tcW w:w="617" w:type="pct"/>
            <w:gridSpan w:val="3"/>
            <w:shd w:val="clear" w:color="000000" w:fill="D9D9D9"/>
            <w:vAlign w:val="center"/>
          </w:tcPr>
          <w:p w14:paraId="486EF6A3"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p>
        </w:tc>
      </w:tr>
      <w:tr w:rsidR="00D15B96" w:rsidRPr="009C5F11" w14:paraId="6F1F58FA" w14:textId="77777777" w:rsidTr="00CD5222">
        <w:trPr>
          <w:trHeight w:val="300"/>
        </w:trPr>
        <w:tc>
          <w:tcPr>
            <w:tcW w:w="424" w:type="pct"/>
            <w:shd w:val="clear" w:color="000000" w:fill="D9D9D9"/>
            <w:noWrap/>
            <w:vAlign w:val="center"/>
          </w:tcPr>
          <w:p w14:paraId="24DADB00"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935" w:type="pct"/>
            <w:shd w:val="clear" w:color="000000" w:fill="D9D9D9"/>
            <w:vAlign w:val="center"/>
          </w:tcPr>
          <w:p w14:paraId="7B10543B" w14:textId="77777777" w:rsidR="00D15B96" w:rsidRPr="009C5F11" w:rsidRDefault="00D15B96" w:rsidP="00210C2C">
            <w:pPr>
              <w:spacing w:after="0" w:line="240" w:lineRule="auto"/>
              <w:jc w:val="center"/>
              <w:rPr>
                <w:rFonts w:ascii="Times New Roman" w:eastAsia="Verdana" w:hAnsi="Times New Roman" w:cs="Times New Roman"/>
                <w:color w:val="000000"/>
                <w:sz w:val="18"/>
                <w:szCs w:val="14"/>
                <w:lang w:val="ro-RO"/>
              </w:rPr>
            </w:pPr>
          </w:p>
        </w:tc>
        <w:tc>
          <w:tcPr>
            <w:tcW w:w="321" w:type="pct"/>
            <w:shd w:val="clear" w:color="000000" w:fill="D9D9D9"/>
            <w:noWrap/>
            <w:vAlign w:val="center"/>
          </w:tcPr>
          <w:p w14:paraId="3C7C5558"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322" w:type="pct"/>
            <w:shd w:val="clear" w:color="000000" w:fill="D9D9D9"/>
            <w:vAlign w:val="center"/>
          </w:tcPr>
          <w:p w14:paraId="08E2D8D4"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2381" w:type="pct"/>
            <w:shd w:val="clear" w:color="000000" w:fill="D9D9D9"/>
          </w:tcPr>
          <w:p w14:paraId="01A4F7EA" w14:textId="77777777" w:rsidR="00D15B96" w:rsidRPr="009C5F11" w:rsidRDefault="00D15B96" w:rsidP="00C807F1">
            <w:pPr>
              <w:spacing w:after="0" w:line="240" w:lineRule="auto"/>
              <w:jc w:val="right"/>
              <w:rPr>
                <w:rFonts w:ascii="Times New Roman" w:eastAsia="Verdana" w:hAnsi="Times New Roman" w:cs="Times New Roman"/>
                <w:b/>
                <w:color w:val="000000"/>
                <w:sz w:val="18"/>
                <w:szCs w:val="14"/>
                <w:lang w:val="ro-RO"/>
              </w:rPr>
            </w:pPr>
          </w:p>
        </w:tc>
        <w:tc>
          <w:tcPr>
            <w:tcW w:w="617" w:type="pct"/>
            <w:gridSpan w:val="3"/>
            <w:shd w:val="clear" w:color="000000" w:fill="D9D9D9"/>
            <w:vAlign w:val="center"/>
          </w:tcPr>
          <w:p w14:paraId="30C776A5" w14:textId="77777777" w:rsidR="00D15B96" w:rsidRPr="009C5F11" w:rsidRDefault="00D15B96" w:rsidP="00192725">
            <w:pPr>
              <w:spacing w:after="0" w:line="240" w:lineRule="auto"/>
              <w:jc w:val="center"/>
              <w:rPr>
                <w:rFonts w:ascii="Times New Roman" w:eastAsia="Verdana" w:hAnsi="Times New Roman" w:cs="Times New Roman"/>
                <w:b/>
                <w:color w:val="000000"/>
                <w:sz w:val="18"/>
                <w:szCs w:val="14"/>
                <w:lang w:val="ro-RO"/>
              </w:rPr>
            </w:pPr>
          </w:p>
        </w:tc>
      </w:tr>
      <w:tr w:rsidR="00780B2E" w:rsidRPr="009C5F11" w14:paraId="04AF0838" w14:textId="77777777" w:rsidTr="00CD5222">
        <w:trPr>
          <w:trHeight w:val="300"/>
        </w:trPr>
        <w:tc>
          <w:tcPr>
            <w:tcW w:w="424" w:type="pct"/>
            <w:shd w:val="clear" w:color="000000" w:fill="D9D9D9"/>
            <w:noWrap/>
            <w:vAlign w:val="center"/>
            <w:hideMark/>
          </w:tcPr>
          <w:p w14:paraId="55B2B251"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E5</w:t>
            </w:r>
          </w:p>
          <w:p w14:paraId="436FACE2"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2E4843AD"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Art.101</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shd w:val="clear" w:color="000000" w:fill="D9D9D9"/>
            <w:vAlign w:val="center"/>
            <w:hideMark/>
          </w:tcPr>
          <w:p w14:paraId="25591B11" w14:textId="77777777" w:rsidR="00780B2E" w:rsidRPr="009C5F11" w:rsidRDefault="00210C2C" w:rsidP="00210C2C">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Programe proprii de</w:t>
            </w:r>
            <w:r w:rsidR="00780B2E" w:rsidRPr="009C5F11">
              <w:rPr>
                <w:rFonts w:ascii="Times New Roman" w:eastAsia="Verdana" w:hAnsi="Times New Roman" w:cs="Times New Roman"/>
                <w:color w:val="000000"/>
                <w:sz w:val="18"/>
                <w:szCs w:val="14"/>
                <w:lang w:val="ro-RO"/>
              </w:rPr>
              <w:t xml:space="preserve"> </w:t>
            </w:r>
            <w:r w:rsidR="000C7BEC" w:rsidRPr="009C5F11">
              <w:rPr>
                <w:rFonts w:ascii="Times New Roman" w:eastAsia="Verdana" w:hAnsi="Times New Roman" w:cs="Times New Roman"/>
                <w:color w:val="000000"/>
                <w:sz w:val="18"/>
                <w:szCs w:val="14"/>
                <w:lang w:val="ro-RO"/>
              </w:rPr>
              <w:t>eficienţă energetică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ale </w:t>
            </w:r>
            <w:r w:rsidR="00503694" w:rsidRPr="009C5F11">
              <w:rPr>
                <w:rFonts w:ascii="Times New Roman" w:eastAsia="Verdana" w:hAnsi="Times New Roman" w:cs="Times New Roman"/>
                <w:color w:val="000000"/>
                <w:sz w:val="18"/>
                <w:szCs w:val="14"/>
                <w:lang w:val="ro-RO"/>
              </w:rPr>
              <w:t>sectorul termoenergetic</w:t>
            </w:r>
            <w:r w:rsidR="00780B2E" w:rsidRPr="009C5F11">
              <w:rPr>
                <w:rFonts w:ascii="Times New Roman" w:eastAsia="Verdana" w:hAnsi="Times New Roman" w:cs="Times New Roman"/>
                <w:color w:val="000000"/>
                <w:sz w:val="18"/>
                <w:szCs w:val="14"/>
                <w:lang w:val="ro-RO"/>
              </w:rPr>
              <w:t>.</w:t>
            </w:r>
          </w:p>
        </w:tc>
        <w:tc>
          <w:tcPr>
            <w:tcW w:w="321" w:type="pct"/>
            <w:shd w:val="clear" w:color="000000" w:fill="D9D9D9"/>
            <w:noWrap/>
            <w:vAlign w:val="center"/>
            <w:hideMark/>
          </w:tcPr>
          <w:p w14:paraId="66701F22"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3.14</w:t>
            </w:r>
          </w:p>
        </w:tc>
        <w:tc>
          <w:tcPr>
            <w:tcW w:w="322" w:type="pct"/>
            <w:shd w:val="clear" w:color="000000" w:fill="D9D9D9"/>
            <w:vAlign w:val="center"/>
          </w:tcPr>
          <w:p w14:paraId="766751E3"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19.35</w:t>
            </w:r>
          </w:p>
          <w:p w14:paraId="74BD58F0" w14:textId="77777777" w:rsidR="003B4092" w:rsidRPr="009C5F11" w:rsidRDefault="00210C2C" w:rsidP="00210C2C">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unde</w:t>
            </w:r>
            <w:r w:rsidR="003B4092" w:rsidRPr="009C5F11">
              <w:rPr>
                <w:rFonts w:ascii="Times New Roman" w:eastAsia="Verdana" w:hAnsi="Times New Roman" w:cs="Times New Roman"/>
                <w:color w:val="000000"/>
                <w:sz w:val="18"/>
                <w:szCs w:val="14"/>
                <w:lang w:val="ro-RO"/>
              </w:rPr>
              <w:t xml:space="preserve"> (8.45 </w:t>
            </w:r>
            <w:r w:rsidR="00401943" w:rsidRPr="009C5F11">
              <w:rPr>
                <w:rFonts w:ascii="Times New Roman" w:eastAsia="Verdana" w:hAnsi="Times New Roman" w:cs="Times New Roman"/>
                <w:color w:val="000000"/>
                <w:sz w:val="18"/>
                <w:szCs w:val="14"/>
                <w:lang w:val="ro-RO"/>
              </w:rPr>
              <w:t>conform</w:t>
            </w:r>
            <w:r w:rsidR="003B4092" w:rsidRPr="009C5F11">
              <w:rPr>
                <w:rFonts w:ascii="Times New Roman" w:eastAsia="Verdana" w:hAnsi="Times New Roman" w:cs="Times New Roman"/>
                <w:color w:val="000000"/>
                <w:sz w:val="18"/>
                <w:szCs w:val="14"/>
                <w:lang w:val="ro-RO"/>
              </w:rPr>
              <w:t xml:space="preserve"> </w:t>
            </w:r>
            <w:r w:rsidR="00871B4E" w:rsidRPr="009C5F11">
              <w:rPr>
                <w:rFonts w:ascii="Times New Roman" w:eastAsia="Verdana" w:hAnsi="Times New Roman" w:cs="Times New Roman"/>
                <w:color w:val="000000"/>
                <w:sz w:val="18"/>
                <w:szCs w:val="14"/>
                <w:lang w:val="ro-RO"/>
              </w:rPr>
              <w:t>DSE</w:t>
            </w:r>
            <w:r w:rsidR="003B4092" w:rsidRPr="009C5F11">
              <w:rPr>
                <w:rFonts w:ascii="Times New Roman" w:eastAsia="Verdana" w:hAnsi="Times New Roman" w:cs="Times New Roman"/>
                <w:color w:val="000000"/>
                <w:sz w:val="18"/>
                <w:szCs w:val="14"/>
                <w:lang w:val="ro-RO"/>
              </w:rPr>
              <w:t>)</w:t>
            </w:r>
          </w:p>
        </w:tc>
        <w:tc>
          <w:tcPr>
            <w:tcW w:w="2381" w:type="pct"/>
            <w:shd w:val="clear" w:color="000000" w:fill="D9D9D9"/>
          </w:tcPr>
          <w:p w14:paraId="1F09E98C"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parţial</w:t>
            </w:r>
            <w:r w:rsidR="001E3482" w:rsidRPr="009C5F11">
              <w:rPr>
                <w:rFonts w:ascii="Times New Roman" w:eastAsia="Verdana" w:hAnsi="Times New Roman" w:cs="Times New Roman"/>
                <w:b/>
                <w:color w:val="000000"/>
                <w:sz w:val="18"/>
                <w:szCs w:val="14"/>
                <w:lang w:val="ro-RO"/>
              </w:rPr>
              <w:t>ă</w:t>
            </w:r>
          </w:p>
          <w:p w14:paraId="5A516B29" w14:textId="77777777" w:rsidR="00780B2E" w:rsidRPr="009C5F11" w:rsidRDefault="00780B2E" w:rsidP="00C807F1">
            <w:pPr>
              <w:spacing w:after="0" w:line="240" w:lineRule="auto"/>
              <w:jc w:val="right"/>
              <w:rPr>
                <w:rFonts w:ascii="Times New Roman" w:eastAsia="Verdana" w:hAnsi="Times New Roman" w:cs="Times New Roman"/>
                <w:b/>
                <w:color w:val="000000"/>
                <w:sz w:val="18"/>
                <w:szCs w:val="14"/>
                <w:lang w:val="ro-RO"/>
              </w:rPr>
            </w:pPr>
          </w:p>
          <w:p w14:paraId="0088F2CB" w14:textId="77777777" w:rsidR="00780B2E" w:rsidRPr="009C5F11" w:rsidRDefault="00417947"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Această măsură rezultă din</w:t>
            </w:r>
            <w:r w:rsidR="00780B2E" w:rsidRPr="009C5F11">
              <w:rPr>
                <w:rFonts w:ascii="Times New Roman" w:eastAsia="Verdana" w:hAnsi="Times New Roman" w:cs="Times New Roman"/>
                <w:color w:val="000000"/>
                <w:sz w:val="18"/>
                <w:szCs w:val="14"/>
                <w:lang w:val="ro-RO"/>
              </w:rPr>
              <w:t xml:space="preserve">: </w:t>
            </w:r>
          </w:p>
          <w:p w14:paraId="20D702A1"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 </w:t>
            </w:r>
            <w:r w:rsidR="00076D31" w:rsidRPr="009C5F11">
              <w:rPr>
                <w:rFonts w:ascii="Times New Roman" w:eastAsia="Verdana" w:hAnsi="Times New Roman" w:cs="Times New Roman"/>
                <w:color w:val="000000"/>
                <w:sz w:val="18"/>
                <w:szCs w:val="14"/>
                <w:lang w:val="ro-RO"/>
              </w:rPr>
              <w:t>HG RM</w:t>
            </w:r>
            <w:r w:rsidRPr="009C5F11">
              <w:rPr>
                <w:rFonts w:ascii="Times New Roman" w:eastAsia="Verdana" w:hAnsi="Times New Roman" w:cs="Times New Roman"/>
                <w:color w:val="000000"/>
                <w:sz w:val="18"/>
                <w:szCs w:val="14"/>
                <w:lang w:val="ro-RO"/>
              </w:rPr>
              <w:t xml:space="preserve"> nr. 983 of 22.12.2011</w:t>
            </w:r>
            <w:r w:rsidR="001E3482" w:rsidRPr="009C5F11">
              <w:rPr>
                <w:rFonts w:ascii="Times New Roman" w:eastAsia="Times New Roman" w:hAnsi="Times New Roman" w:cs="Times New Roman"/>
                <w:bCs/>
                <w:color w:val="000000"/>
                <w:sz w:val="18"/>
                <w:szCs w:val="14"/>
                <w:lang w:val="ro-RO"/>
              </w:rPr>
              <w:t xml:space="preserve"> cu privire la restructurarea corporativă, instituţională şi financiară a sistemului centralizat de alimentare cu energie termică din mun. Chişinău</w:t>
            </w:r>
            <w:r w:rsidRPr="009C5F11">
              <w:rPr>
                <w:rFonts w:ascii="Times New Roman" w:eastAsia="Verdana" w:hAnsi="Times New Roman" w:cs="Times New Roman"/>
                <w:color w:val="000000"/>
                <w:sz w:val="18"/>
                <w:szCs w:val="14"/>
                <w:lang w:val="ro-RO"/>
              </w:rPr>
              <w:t xml:space="preserve">, </w:t>
            </w:r>
            <w:r w:rsidR="001E3482" w:rsidRPr="009C5F11">
              <w:rPr>
                <w:rFonts w:ascii="Times New Roman" w:eastAsia="Verdana" w:hAnsi="Times New Roman" w:cs="Times New Roman"/>
                <w:color w:val="000000"/>
                <w:sz w:val="18"/>
                <w:szCs w:val="14"/>
                <w:lang w:val="ro-RO"/>
              </w:rPr>
              <w:t>şi</w:t>
            </w:r>
          </w:p>
          <w:p w14:paraId="738CACC2"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 </w:t>
            </w:r>
            <w:r w:rsidR="001E3482" w:rsidRPr="009C5F11">
              <w:rPr>
                <w:rFonts w:ascii="Times New Roman" w:eastAsia="Verdana" w:hAnsi="Times New Roman" w:cs="Times New Roman"/>
                <w:color w:val="000000"/>
                <w:sz w:val="18"/>
                <w:szCs w:val="14"/>
                <w:lang w:val="ro-RO"/>
              </w:rPr>
              <w:t>Strategia</w:t>
            </w:r>
            <w:r w:rsidRPr="009C5F11">
              <w:rPr>
                <w:rFonts w:ascii="Times New Roman" w:eastAsia="Verdana" w:hAnsi="Times New Roman" w:cs="Times New Roman"/>
                <w:color w:val="000000"/>
                <w:sz w:val="18"/>
                <w:szCs w:val="14"/>
                <w:lang w:val="ro-RO"/>
              </w:rPr>
              <w:t xml:space="preserve"> </w:t>
            </w:r>
            <w:r w:rsidR="001E3482" w:rsidRPr="009C5F11">
              <w:rPr>
                <w:rFonts w:ascii="Times New Roman" w:eastAsia="Verdana" w:hAnsi="Times New Roman" w:cs="Times New Roman"/>
                <w:color w:val="000000"/>
                <w:sz w:val="18"/>
                <w:szCs w:val="14"/>
                <w:lang w:val="ro-RO"/>
              </w:rPr>
              <w:t>cu privire la</w:t>
            </w:r>
            <w:r w:rsidRPr="009C5F11">
              <w:rPr>
                <w:rFonts w:ascii="Times New Roman" w:eastAsia="Verdana" w:hAnsi="Times New Roman" w:cs="Times New Roman"/>
                <w:color w:val="000000"/>
                <w:sz w:val="18"/>
                <w:szCs w:val="14"/>
                <w:lang w:val="ro-RO"/>
              </w:rPr>
              <w:t xml:space="preserve"> </w:t>
            </w:r>
            <w:r w:rsidR="000C7BEC" w:rsidRPr="009C5F11">
              <w:rPr>
                <w:rFonts w:ascii="Times New Roman" w:eastAsia="Verdana" w:hAnsi="Times New Roman" w:cs="Times New Roman"/>
                <w:color w:val="000000"/>
                <w:sz w:val="18"/>
                <w:szCs w:val="14"/>
                <w:lang w:val="ro-RO"/>
              </w:rPr>
              <w:t>eficienţ</w:t>
            </w:r>
            <w:r w:rsidR="001E3482" w:rsidRPr="009C5F11">
              <w:rPr>
                <w:rFonts w:ascii="Times New Roman" w:eastAsia="Verdana" w:hAnsi="Times New Roman" w:cs="Times New Roman"/>
                <w:color w:val="000000"/>
                <w:sz w:val="18"/>
                <w:szCs w:val="14"/>
                <w:lang w:val="ro-RO"/>
              </w:rPr>
              <w:t>a</w:t>
            </w:r>
            <w:r w:rsidR="000C7BEC" w:rsidRPr="009C5F11">
              <w:rPr>
                <w:rFonts w:ascii="Times New Roman" w:eastAsia="Verdana" w:hAnsi="Times New Roman" w:cs="Times New Roman"/>
                <w:color w:val="000000"/>
                <w:sz w:val="18"/>
                <w:szCs w:val="14"/>
                <w:lang w:val="ro-RO"/>
              </w:rPr>
              <w:t xml:space="preserve"> energetic</w:t>
            </w:r>
            <w:r w:rsidR="001E3482" w:rsidRPr="009C5F11">
              <w:rPr>
                <w:rFonts w:ascii="Times New Roman" w:eastAsia="Verdana" w:hAnsi="Times New Roman" w:cs="Times New Roman"/>
                <w:color w:val="000000"/>
                <w:sz w:val="18"/>
                <w:szCs w:val="14"/>
                <w:lang w:val="ro-RO"/>
              </w:rPr>
              <w:t>ă</w:t>
            </w:r>
            <w:r w:rsidRPr="009C5F11">
              <w:rPr>
                <w:rFonts w:ascii="Times New Roman" w:eastAsia="Verdana" w:hAnsi="Times New Roman" w:cs="Times New Roman"/>
                <w:color w:val="000000"/>
                <w:sz w:val="18"/>
                <w:szCs w:val="14"/>
                <w:lang w:val="ro-RO"/>
              </w:rPr>
              <w:t xml:space="preserve"> </w:t>
            </w:r>
            <w:r w:rsidR="001E3482" w:rsidRPr="009C5F11">
              <w:rPr>
                <w:rFonts w:ascii="Times New Roman" w:eastAsia="Verdana" w:hAnsi="Times New Roman" w:cs="Times New Roman"/>
                <w:color w:val="000000"/>
                <w:sz w:val="18"/>
                <w:szCs w:val="14"/>
                <w:lang w:val="ro-RO"/>
              </w:rPr>
              <w:t>a</w:t>
            </w:r>
            <w:r w:rsidRPr="009C5F11">
              <w:rPr>
                <w:rFonts w:ascii="Times New Roman" w:eastAsia="Verdana" w:hAnsi="Times New Roman" w:cs="Times New Roman"/>
                <w:color w:val="000000"/>
                <w:sz w:val="18"/>
                <w:szCs w:val="14"/>
                <w:lang w:val="ro-RO"/>
              </w:rPr>
              <w:t xml:space="preserve"> “Termocom” </w:t>
            </w:r>
            <w:r w:rsidR="001E3482" w:rsidRPr="009C5F11">
              <w:rPr>
                <w:rFonts w:ascii="Times New Roman" w:eastAsia="Verdana" w:hAnsi="Times New Roman" w:cs="Times New Roman"/>
                <w:color w:val="000000"/>
                <w:sz w:val="18"/>
                <w:szCs w:val="14"/>
                <w:lang w:val="ro-RO"/>
              </w:rPr>
              <w:t>pe anii</w:t>
            </w:r>
            <w:r w:rsidRPr="009C5F11">
              <w:rPr>
                <w:rFonts w:ascii="Times New Roman" w:eastAsia="Verdana" w:hAnsi="Times New Roman" w:cs="Times New Roman"/>
                <w:color w:val="000000"/>
                <w:sz w:val="18"/>
                <w:szCs w:val="14"/>
                <w:lang w:val="ro-RO"/>
              </w:rPr>
              <w:t xml:space="preserve"> 2012-2020.</w:t>
            </w:r>
          </w:p>
          <w:p w14:paraId="76CC84BF" w14:textId="77777777" w:rsidR="00780B2E" w:rsidRPr="009C5F11" w:rsidRDefault="00334DD0"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În </w:t>
            </w:r>
            <w:r w:rsidR="001E3482" w:rsidRPr="009C5F11">
              <w:rPr>
                <w:rFonts w:ascii="Times New Roman" w:eastAsia="Verdana" w:hAnsi="Times New Roman" w:cs="Times New Roman"/>
                <w:color w:val="000000"/>
                <w:sz w:val="18"/>
                <w:szCs w:val="14"/>
                <w:lang w:val="ro-RO"/>
              </w:rPr>
              <w:t>cel mai recent raport al</w:t>
            </w:r>
            <w:r w:rsidR="00780B2E" w:rsidRPr="009C5F11">
              <w:rPr>
                <w:rFonts w:ascii="Times New Roman" w:eastAsia="Verdana" w:hAnsi="Times New Roman" w:cs="Times New Roman"/>
                <w:color w:val="000000"/>
                <w:sz w:val="18"/>
                <w:szCs w:val="14"/>
                <w:lang w:val="ro-RO"/>
              </w:rPr>
              <w:t xml:space="preserve"> </w:t>
            </w:r>
            <w:r w:rsidR="00AA0566" w:rsidRPr="009C5F11">
              <w:rPr>
                <w:rFonts w:ascii="Times New Roman" w:eastAsia="Verdana" w:hAnsi="Times New Roman" w:cs="Times New Roman"/>
                <w:color w:val="000000"/>
                <w:sz w:val="18"/>
                <w:szCs w:val="14"/>
                <w:lang w:val="ro-RO"/>
              </w:rPr>
              <w:t>AEE</w:t>
            </w:r>
            <w:r w:rsidR="00780B2E" w:rsidRPr="009C5F11">
              <w:rPr>
                <w:rFonts w:ascii="Times New Roman" w:eastAsia="Verdana" w:hAnsi="Times New Roman" w:cs="Times New Roman"/>
                <w:color w:val="000000"/>
                <w:sz w:val="18"/>
                <w:szCs w:val="14"/>
                <w:lang w:val="ro-RO"/>
              </w:rPr>
              <w:t xml:space="preserve"> </w:t>
            </w:r>
            <w:r w:rsidR="001E3482" w:rsidRPr="009C5F11">
              <w:rPr>
                <w:rFonts w:ascii="Times New Roman" w:eastAsia="Verdana" w:hAnsi="Times New Roman" w:cs="Times New Roman"/>
                <w:color w:val="000000"/>
                <w:sz w:val="18"/>
                <w:szCs w:val="14"/>
                <w:lang w:val="ro-RO"/>
              </w:rPr>
              <w:t xml:space="preserve">în ceea ce priveşte realizarea </w:t>
            </w:r>
            <w:r w:rsidR="00D4035F" w:rsidRPr="009C5F11">
              <w:rPr>
                <w:rFonts w:ascii="Times New Roman" w:eastAsia="Verdana" w:hAnsi="Times New Roman" w:cs="Times New Roman"/>
                <w:color w:val="000000"/>
                <w:sz w:val="18"/>
                <w:szCs w:val="14"/>
                <w:lang w:val="ro-RO"/>
              </w:rPr>
              <w:t>PNAEE</w:t>
            </w:r>
            <w:r w:rsidR="00780B2E" w:rsidRPr="009C5F11">
              <w:rPr>
                <w:rFonts w:ascii="Times New Roman" w:eastAsia="Verdana" w:hAnsi="Times New Roman" w:cs="Times New Roman"/>
                <w:color w:val="000000"/>
                <w:sz w:val="18"/>
                <w:szCs w:val="14"/>
                <w:lang w:val="ro-RO"/>
              </w:rPr>
              <w:t xml:space="preserve"> 2013-2015</w:t>
            </w:r>
            <w:r w:rsidR="001E3482" w:rsidRPr="009C5F11">
              <w:rPr>
                <w:rFonts w:ascii="Times New Roman" w:eastAsia="Verdana" w:hAnsi="Times New Roman" w:cs="Times New Roman"/>
                <w:color w:val="000000"/>
                <w:sz w:val="18"/>
                <w:szCs w:val="14"/>
                <w:lang w:val="ro-RO"/>
              </w:rPr>
              <w:t xml:space="preserve"> se in</w:t>
            </w:r>
            <w:r w:rsidR="00856818" w:rsidRPr="009C5F11">
              <w:rPr>
                <w:rFonts w:ascii="Times New Roman" w:eastAsia="Verdana" w:hAnsi="Times New Roman" w:cs="Times New Roman"/>
                <w:color w:val="000000"/>
                <w:sz w:val="18"/>
                <w:szCs w:val="14"/>
                <w:lang w:val="ro-RO"/>
              </w:rPr>
              <w:t xml:space="preserve">dică faptul că la </w:t>
            </w:r>
            <w:r w:rsidR="00780B2E" w:rsidRPr="009C5F11">
              <w:rPr>
                <w:rFonts w:ascii="Times New Roman" w:eastAsia="Verdana" w:hAnsi="Times New Roman" w:cs="Times New Roman"/>
                <w:color w:val="000000"/>
                <w:sz w:val="18"/>
                <w:szCs w:val="14"/>
                <w:lang w:val="ro-RO"/>
              </w:rPr>
              <w:t xml:space="preserve">Glodeni </w:t>
            </w:r>
            <w:r w:rsidR="00856818" w:rsidRPr="009C5F11">
              <w:rPr>
                <w:rFonts w:ascii="Times New Roman" w:eastAsia="Verdana" w:hAnsi="Times New Roman" w:cs="Times New Roman"/>
                <w:color w:val="000000"/>
                <w:sz w:val="18"/>
                <w:szCs w:val="14"/>
                <w:lang w:val="ro-RO"/>
              </w:rPr>
              <w:t>au fost analizate unele ac</w:t>
            </w:r>
            <w:r w:rsidR="00FE56F2" w:rsidRPr="009C5F11">
              <w:rPr>
                <w:rFonts w:ascii="Times New Roman" w:eastAsia="Verdana" w:hAnsi="Times New Roman" w:cs="Times New Roman"/>
                <w:color w:val="000000"/>
                <w:sz w:val="18"/>
                <w:szCs w:val="14"/>
                <w:lang w:val="ro-RO"/>
              </w:rPr>
              <w:t>tivităţi</w:t>
            </w:r>
            <w:r w:rsidR="00856818" w:rsidRPr="009C5F11">
              <w:rPr>
                <w:rFonts w:ascii="Times New Roman" w:eastAsia="Verdana" w:hAnsi="Times New Roman" w:cs="Times New Roman"/>
                <w:color w:val="000000"/>
                <w:sz w:val="18"/>
                <w:szCs w:val="14"/>
                <w:lang w:val="ro-RO"/>
              </w:rPr>
              <w:t xml:space="preserve"> de </w:t>
            </w:r>
            <w:r w:rsidR="000C7BEC" w:rsidRPr="009C5F11">
              <w:rPr>
                <w:rFonts w:ascii="Times New Roman" w:eastAsia="Verdana" w:hAnsi="Times New Roman" w:cs="Times New Roman"/>
                <w:color w:val="000000"/>
                <w:sz w:val="18"/>
                <w:szCs w:val="14"/>
                <w:lang w:val="ro-RO"/>
              </w:rPr>
              <w:t>eficienţă energetică</w:t>
            </w:r>
            <w:r w:rsidR="00780B2E" w:rsidRPr="009C5F11">
              <w:rPr>
                <w:rFonts w:ascii="Times New Roman" w:eastAsia="Verdana" w:hAnsi="Times New Roman" w:cs="Times New Roman"/>
                <w:color w:val="000000"/>
                <w:sz w:val="18"/>
                <w:szCs w:val="14"/>
                <w:lang w:val="ro-RO"/>
              </w:rPr>
              <w:t xml:space="preserve"> </w:t>
            </w:r>
            <w:r w:rsidR="00856818" w:rsidRPr="009C5F11">
              <w:rPr>
                <w:rFonts w:ascii="Times New Roman" w:eastAsia="Verdana" w:hAnsi="Times New Roman" w:cs="Times New Roman"/>
                <w:color w:val="000000"/>
                <w:sz w:val="18"/>
                <w:szCs w:val="14"/>
                <w:lang w:val="ro-RO"/>
              </w:rPr>
              <w:t>pentru sectorul de furnizare a energiei termice, incluse</w:t>
            </w:r>
            <w:r w:rsidR="00321CD5" w:rsidRPr="009C5F11">
              <w:rPr>
                <w:rFonts w:ascii="Times New Roman" w:eastAsia="Verdana" w:hAnsi="Times New Roman" w:cs="Times New Roman"/>
                <w:color w:val="000000"/>
                <w:sz w:val="18"/>
                <w:szCs w:val="14"/>
                <w:lang w:val="ro-RO"/>
              </w:rPr>
              <w:t xml:space="preserve"> în </w:t>
            </w:r>
            <w:r w:rsidR="00856818" w:rsidRPr="009C5F11">
              <w:rPr>
                <w:rFonts w:ascii="Times New Roman" w:eastAsia="Verdana" w:hAnsi="Times New Roman" w:cs="Times New Roman"/>
                <w:color w:val="000000"/>
                <w:sz w:val="18"/>
                <w:szCs w:val="14"/>
                <w:lang w:val="ro-RO"/>
              </w:rPr>
              <w:t xml:space="preserve">PLEE </w:t>
            </w:r>
            <w:r w:rsidR="00321CD5" w:rsidRPr="009C5F11">
              <w:rPr>
                <w:rFonts w:ascii="Times New Roman" w:eastAsia="Verdana" w:hAnsi="Times New Roman" w:cs="Times New Roman"/>
                <w:color w:val="000000"/>
                <w:sz w:val="18"/>
                <w:szCs w:val="14"/>
                <w:lang w:val="ro-RO"/>
              </w:rPr>
              <w:t xml:space="preserve">în </w:t>
            </w:r>
            <w:r w:rsidR="00780B2E" w:rsidRPr="009C5F11">
              <w:rPr>
                <w:rFonts w:ascii="Times New Roman" w:eastAsia="Verdana" w:hAnsi="Times New Roman" w:cs="Times New Roman"/>
                <w:color w:val="000000"/>
                <w:sz w:val="18"/>
                <w:szCs w:val="14"/>
                <w:lang w:val="ro-RO"/>
              </w:rPr>
              <w:t xml:space="preserve">2013, </w:t>
            </w:r>
            <w:r w:rsidR="00856818" w:rsidRPr="009C5F11">
              <w:rPr>
                <w:rFonts w:ascii="Times New Roman" w:eastAsia="Verdana" w:hAnsi="Times New Roman" w:cs="Times New Roman"/>
                <w:color w:val="000000"/>
                <w:sz w:val="18"/>
                <w:szCs w:val="14"/>
                <w:lang w:val="ro-RO"/>
              </w:rPr>
              <w:t xml:space="preserve">însă conţinutul </w:t>
            </w:r>
            <w:r w:rsidR="00780B2E" w:rsidRPr="009C5F11">
              <w:rPr>
                <w:rFonts w:ascii="Times New Roman" w:eastAsia="Verdana" w:hAnsi="Times New Roman" w:cs="Times New Roman"/>
                <w:color w:val="000000"/>
                <w:sz w:val="18"/>
                <w:szCs w:val="14"/>
                <w:lang w:val="ro-RO"/>
              </w:rPr>
              <w:t>Program</w:t>
            </w:r>
            <w:r w:rsidR="00856818" w:rsidRPr="009C5F11">
              <w:rPr>
                <w:rFonts w:ascii="Times New Roman" w:eastAsia="Verdana" w:hAnsi="Times New Roman" w:cs="Times New Roman"/>
                <w:color w:val="000000"/>
                <w:sz w:val="18"/>
                <w:szCs w:val="14"/>
                <w:lang w:val="ro-RO"/>
              </w:rPr>
              <w:t>ului nu este disponibil</w:t>
            </w:r>
            <w:r w:rsidR="00780B2E" w:rsidRPr="009C5F11">
              <w:rPr>
                <w:rFonts w:ascii="Times New Roman" w:eastAsia="Verdana" w:hAnsi="Times New Roman" w:cs="Times New Roman"/>
                <w:color w:val="000000"/>
                <w:sz w:val="18"/>
                <w:szCs w:val="14"/>
                <w:lang w:val="ro-RO"/>
              </w:rPr>
              <w:t>.</w:t>
            </w:r>
            <w:r w:rsidR="00055095" w:rsidRPr="009C5F11">
              <w:rPr>
                <w:rFonts w:ascii="Times New Roman" w:eastAsia="Verdana" w:hAnsi="Times New Roman" w:cs="Times New Roman"/>
                <w:color w:val="000000"/>
                <w:sz w:val="18"/>
                <w:szCs w:val="14"/>
                <w:lang w:val="ro-RO"/>
              </w:rPr>
              <w:t xml:space="preserve"> </w:t>
            </w:r>
          </w:p>
          <w:p w14:paraId="1F0D9C22" w14:textId="77777777" w:rsidR="00780B2E" w:rsidRPr="009C5F11" w:rsidRDefault="00FE56F2"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La Bălţi, în cadrul s</w:t>
            </w:r>
            <w:r w:rsidR="00856818" w:rsidRPr="009C5F11">
              <w:rPr>
                <w:rFonts w:ascii="Times New Roman" w:eastAsia="Verdana" w:hAnsi="Times New Roman" w:cs="Times New Roman"/>
                <w:color w:val="000000"/>
                <w:sz w:val="18"/>
                <w:szCs w:val="14"/>
                <w:lang w:val="ro-RO"/>
              </w:rPr>
              <w:t>istemul</w:t>
            </w:r>
            <w:r w:rsidRPr="009C5F11">
              <w:rPr>
                <w:rFonts w:ascii="Times New Roman" w:eastAsia="Verdana" w:hAnsi="Times New Roman" w:cs="Times New Roman"/>
                <w:color w:val="000000"/>
                <w:sz w:val="18"/>
                <w:szCs w:val="14"/>
                <w:lang w:val="ro-RO"/>
              </w:rPr>
              <w:t>ui</w:t>
            </w:r>
            <w:r w:rsidR="00856818" w:rsidRPr="009C5F11">
              <w:rPr>
                <w:rFonts w:ascii="Times New Roman" w:eastAsia="Verdana" w:hAnsi="Times New Roman" w:cs="Times New Roman"/>
                <w:color w:val="000000"/>
                <w:sz w:val="18"/>
                <w:szCs w:val="14"/>
                <w:lang w:val="ro-RO"/>
              </w:rPr>
              <w:t xml:space="preserve"> centralizat de încălzire a</w:t>
            </w:r>
            <w:r w:rsidRPr="009C5F11">
              <w:rPr>
                <w:rFonts w:ascii="Times New Roman" w:eastAsia="Verdana" w:hAnsi="Times New Roman" w:cs="Times New Roman"/>
                <w:color w:val="000000"/>
                <w:sz w:val="18"/>
                <w:szCs w:val="14"/>
                <w:lang w:val="ro-RO"/>
              </w:rPr>
              <w:t>u fost</w:t>
            </w:r>
            <w:r w:rsidR="00856818" w:rsidRPr="009C5F11">
              <w:rPr>
                <w:rFonts w:ascii="Times New Roman" w:eastAsia="Verdana" w:hAnsi="Times New Roman" w:cs="Times New Roman"/>
                <w:color w:val="000000"/>
                <w:sz w:val="18"/>
                <w:szCs w:val="14"/>
                <w:lang w:val="ro-RO"/>
              </w:rPr>
              <w:t xml:space="preserve"> realizat</w:t>
            </w:r>
            <w:r w:rsidRPr="009C5F11">
              <w:rPr>
                <w:rFonts w:ascii="Times New Roman" w:eastAsia="Verdana" w:hAnsi="Times New Roman" w:cs="Times New Roman"/>
                <w:color w:val="000000"/>
                <w:sz w:val="18"/>
                <w:szCs w:val="14"/>
                <w:lang w:val="ro-RO"/>
              </w:rPr>
              <w:t>e</w:t>
            </w:r>
            <w:r w:rsidR="00856818" w:rsidRPr="009C5F11">
              <w:rPr>
                <w:rFonts w:ascii="Times New Roman" w:eastAsia="Verdana" w:hAnsi="Times New Roman" w:cs="Times New Roman"/>
                <w:color w:val="000000"/>
                <w:sz w:val="18"/>
                <w:szCs w:val="14"/>
                <w:lang w:val="ro-RO"/>
              </w:rPr>
              <w:t xml:space="preserve"> o serie de măsuri </w:t>
            </w:r>
            <w:r w:rsidR="00780B2E" w:rsidRPr="009C5F11">
              <w:rPr>
                <w:rFonts w:ascii="Times New Roman" w:eastAsia="Verdana" w:hAnsi="Times New Roman" w:cs="Times New Roman"/>
                <w:color w:val="000000"/>
                <w:sz w:val="18"/>
                <w:szCs w:val="14"/>
                <w:lang w:val="ro-RO"/>
              </w:rPr>
              <w:t>major</w:t>
            </w:r>
            <w:r w:rsidR="00856818" w:rsidRPr="009C5F11">
              <w:rPr>
                <w:rFonts w:ascii="Times New Roman" w:eastAsia="Verdana" w:hAnsi="Times New Roman" w:cs="Times New Roman"/>
                <w:color w:val="000000"/>
                <w:sz w:val="18"/>
                <w:szCs w:val="14"/>
                <w:lang w:val="ro-RO"/>
              </w:rPr>
              <w:t>e de</w:t>
            </w:r>
            <w:r w:rsidR="00780B2E" w:rsidRPr="009C5F11">
              <w:rPr>
                <w:rFonts w:ascii="Times New Roman" w:eastAsia="Verdana" w:hAnsi="Times New Roman" w:cs="Times New Roman"/>
                <w:color w:val="000000"/>
                <w:sz w:val="18"/>
                <w:szCs w:val="14"/>
                <w:lang w:val="ro-RO"/>
              </w:rPr>
              <w:t xml:space="preserve"> </w:t>
            </w:r>
            <w:r w:rsidR="000C7BEC" w:rsidRPr="009C5F11">
              <w:rPr>
                <w:rFonts w:ascii="Times New Roman" w:eastAsia="Verdana" w:hAnsi="Times New Roman" w:cs="Times New Roman"/>
                <w:color w:val="000000"/>
                <w:sz w:val="18"/>
                <w:szCs w:val="14"/>
                <w:lang w:val="ro-RO"/>
              </w:rPr>
              <w:t>eficienţă energetică</w:t>
            </w:r>
            <w:r w:rsidR="00780B2E" w:rsidRPr="009C5F11">
              <w:rPr>
                <w:rFonts w:ascii="Times New Roman" w:eastAsia="Verdana" w:hAnsi="Times New Roman" w:cs="Times New Roman"/>
                <w:color w:val="000000"/>
                <w:sz w:val="18"/>
                <w:szCs w:val="14"/>
                <w:lang w:val="ro-RO"/>
              </w:rPr>
              <w:t xml:space="preserve">, </w:t>
            </w:r>
            <w:r w:rsidR="00856818" w:rsidRPr="009C5F11">
              <w:rPr>
                <w:rFonts w:ascii="Times New Roman" w:eastAsia="Verdana" w:hAnsi="Times New Roman" w:cs="Times New Roman"/>
                <w:color w:val="000000"/>
                <w:sz w:val="18"/>
                <w:szCs w:val="14"/>
                <w:lang w:val="ro-RO"/>
              </w:rPr>
              <w:t xml:space="preserve">care nu au fost </w:t>
            </w:r>
            <w:r w:rsidR="00780B2E" w:rsidRPr="009C5F11">
              <w:rPr>
                <w:rFonts w:ascii="Times New Roman" w:eastAsia="Verdana" w:hAnsi="Times New Roman" w:cs="Times New Roman"/>
                <w:color w:val="000000"/>
                <w:sz w:val="18"/>
                <w:szCs w:val="14"/>
                <w:lang w:val="ro-RO"/>
              </w:rPr>
              <w:t>inclu</w:t>
            </w:r>
            <w:r w:rsidR="00856818" w:rsidRPr="009C5F11">
              <w:rPr>
                <w:rFonts w:ascii="Times New Roman" w:eastAsia="Verdana" w:hAnsi="Times New Roman" w:cs="Times New Roman"/>
                <w:color w:val="000000"/>
                <w:sz w:val="18"/>
                <w:szCs w:val="14"/>
                <w:lang w:val="ro-RO"/>
              </w:rPr>
              <w:t>se</w:t>
            </w:r>
            <w:r w:rsidR="00321CD5" w:rsidRPr="009C5F11">
              <w:rPr>
                <w:rFonts w:ascii="Times New Roman" w:eastAsia="Verdana" w:hAnsi="Times New Roman" w:cs="Times New Roman"/>
                <w:color w:val="000000"/>
                <w:sz w:val="18"/>
                <w:szCs w:val="14"/>
                <w:lang w:val="ro-RO"/>
              </w:rPr>
              <w:t xml:space="preserve"> în </w:t>
            </w:r>
            <w:r w:rsidR="00D4035F" w:rsidRPr="009C5F11">
              <w:rPr>
                <w:rFonts w:ascii="Times New Roman" w:eastAsia="Verdana" w:hAnsi="Times New Roman" w:cs="Times New Roman"/>
                <w:color w:val="000000"/>
                <w:sz w:val="18"/>
                <w:szCs w:val="14"/>
                <w:lang w:val="ro-RO"/>
              </w:rPr>
              <w:t>PNAEE</w:t>
            </w:r>
            <w:r w:rsidR="00780B2E" w:rsidRPr="009C5F11">
              <w:rPr>
                <w:rFonts w:ascii="Times New Roman" w:eastAsia="Verdana" w:hAnsi="Times New Roman" w:cs="Times New Roman"/>
                <w:color w:val="000000"/>
                <w:sz w:val="18"/>
                <w:szCs w:val="14"/>
                <w:lang w:val="ro-RO"/>
              </w:rPr>
              <w:t xml:space="preserve"> 2013-2105. </w:t>
            </w:r>
            <w:r w:rsidR="00856818" w:rsidRPr="009C5F11">
              <w:rPr>
                <w:rFonts w:ascii="Times New Roman" w:eastAsia="Verdana" w:hAnsi="Times New Roman" w:cs="Times New Roman"/>
                <w:color w:val="000000"/>
                <w:sz w:val="18"/>
                <w:szCs w:val="14"/>
                <w:lang w:val="ro-RO"/>
              </w:rPr>
              <w:t>De asemenea</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în </w:t>
            </w:r>
            <w:r w:rsidR="00D77687" w:rsidRPr="009C5F11">
              <w:rPr>
                <w:rFonts w:ascii="Times New Roman" w:eastAsia="Verdana" w:hAnsi="Times New Roman" w:cs="Times New Roman"/>
                <w:color w:val="000000"/>
                <w:sz w:val="18"/>
                <w:szCs w:val="14"/>
                <w:lang w:val="ro-RO"/>
              </w:rPr>
              <w:t xml:space="preserve">rapoartele </w:t>
            </w:r>
            <w:r w:rsidR="00780B2E" w:rsidRPr="009C5F11">
              <w:rPr>
                <w:rFonts w:ascii="Times New Roman" w:eastAsia="Verdana" w:hAnsi="Times New Roman" w:cs="Times New Roman"/>
                <w:color w:val="000000"/>
                <w:sz w:val="18"/>
                <w:szCs w:val="14"/>
                <w:lang w:val="ro-RO"/>
              </w:rPr>
              <w:t xml:space="preserve">AEE </w:t>
            </w:r>
            <w:r w:rsidR="00D77687" w:rsidRPr="009C5F11">
              <w:rPr>
                <w:rFonts w:ascii="Times New Roman" w:eastAsia="Verdana" w:hAnsi="Times New Roman" w:cs="Times New Roman"/>
                <w:color w:val="000000"/>
                <w:sz w:val="18"/>
                <w:szCs w:val="14"/>
                <w:lang w:val="ro-RO"/>
              </w:rPr>
              <w:t>este menţionat că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m</w:t>
            </w:r>
            <w:r w:rsidR="00D77687" w:rsidRPr="009C5F11">
              <w:rPr>
                <w:rFonts w:ascii="Times New Roman" w:eastAsia="Verdana" w:hAnsi="Times New Roman" w:cs="Times New Roman"/>
                <w:color w:val="000000"/>
                <w:sz w:val="18"/>
                <w:szCs w:val="14"/>
                <w:lang w:val="ro-RO"/>
              </w:rPr>
              <w:t xml:space="preserve">un. </w:t>
            </w:r>
            <w:r w:rsidR="00210C2C" w:rsidRPr="009C5F11">
              <w:rPr>
                <w:rFonts w:ascii="Times New Roman" w:eastAsia="Verdana" w:hAnsi="Times New Roman" w:cs="Times New Roman"/>
                <w:color w:val="000000"/>
                <w:sz w:val="18"/>
                <w:szCs w:val="14"/>
                <w:lang w:val="ro-RO"/>
              </w:rPr>
              <w:t>Bălţi</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 inclus</w:t>
            </w:r>
            <w:r w:rsidR="00780B2E"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măsuri de eficienţă energetică</w:t>
            </w:r>
            <w:r w:rsidR="00321CD5" w:rsidRPr="009C5F11">
              <w:rPr>
                <w:rFonts w:ascii="Times New Roman" w:eastAsia="Verdana" w:hAnsi="Times New Roman" w:cs="Times New Roman"/>
                <w:color w:val="000000"/>
                <w:sz w:val="18"/>
                <w:szCs w:val="14"/>
                <w:lang w:val="ro-RO"/>
              </w:rPr>
              <w:t xml:space="preserve"> în </w:t>
            </w:r>
            <w:r w:rsidR="00D77687" w:rsidRPr="009C5F11">
              <w:rPr>
                <w:rFonts w:ascii="Times New Roman" w:eastAsia="Verdana" w:hAnsi="Times New Roman" w:cs="Times New Roman"/>
                <w:color w:val="000000"/>
                <w:sz w:val="18"/>
                <w:szCs w:val="14"/>
                <w:lang w:val="ro-RO"/>
              </w:rPr>
              <w:t>PLEE</w:t>
            </w:r>
            <w:r w:rsidR="00780B2E" w:rsidRPr="009C5F11">
              <w:rPr>
                <w:rFonts w:ascii="Times New Roman" w:eastAsia="Verdana" w:hAnsi="Times New Roman" w:cs="Times New Roman"/>
                <w:color w:val="000000"/>
                <w:sz w:val="18"/>
                <w:szCs w:val="14"/>
                <w:lang w:val="ro-RO"/>
              </w:rPr>
              <w:t xml:space="preserve"> 2014, </w:t>
            </w:r>
            <w:r w:rsidR="00D77687" w:rsidRPr="009C5F11">
              <w:rPr>
                <w:rFonts w:ascii="Times New Roman" w:eastAsia="Verdana" w:hAnsi="Times New Roman" w:cs="Times New Roman"/>
                <w:color w:val="000000"/>
                <w:sz w:val="18"/>
                <w:szCs w:val="14"/>
                <w:lang w:val="ro-RO"/>
              </w:rPr>
              <w:t xml:space="preserve">însă acest </w:t>
            </w:r>
            <w:r w:rsidR="00780B2E" w:rsidRPr="009C5F11">
              <w:rPr>
                <w:rFonts w:ascii="Times New Roman" w:eastAsia="Verdana" w:hAnsi="Times New Roman" w:cs="Times New Roman"/>
                <w:color w:val="000000"/>
                <w:sz w:val="18"/>
                <w:szCs w:val="14"/>
                <w:lang w:val="ro-RO"/>
              </w:rPr>
              <w:t xml:space="preserve">Program </w:t>
            </w:r>
            <w:r w:rsidR="00D77687" w:rsidRPr="009C5F11">
              <w:rPr>
                <w:rFonts w:ascii="Times New Roman" w:eastAsia="Verdana" w:hAnsi="Times New Roman" w:cs="Times New Roman"/>
                <w:color w:val="000000"/>
                <w:sz w:val="18"/>
                <w:szCs w:val="14"/>
                <w:lang w:val="ro-RO"/>
              </w:rPr>
              <w:t>nu este disponibil</w:t>
            </w:r>
            <w:r w:rsidR="00780B2E" w:rsidRPr="009C5F11">
              <w:rPr>
                <w:rFonts w:ascii="Times New Roman" w:eastAsia="Verdana" w:hAnsi="Times New Roman" w:cs="Times New Roman"/>
                <w:color w:val="000000"/>
                <w:sz w:val="18"/>
                <w:szCs w:val="14"/>
                <w:lang w:val="ro-RO"/>
              </w:rPr>
              <w:t>.</w:t>
            </w:r>
          </w:p>
          <w:p w14:paraId="682B8ADB" w14:textId="77777777" w:rsidR="00780B2E" w:rsidRPr="009C5F11" w:rsidRDefault="00401943"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În cel</w:t>
            </w:r>
            <w:r w:rsidR="00D77687" w:rsidRPr="009C5F11">
              <w:rPr>
                <w:rFonts w:ascii="Times New Roman" w:eastAsia="Verdana" w:hAnsi="Times New Roman" w:cs="Times New Roman"/>
                <w:color w:val="000000"/>
                <w:sz w:val="18"/>
                <w:szCs w:val="14"/>
                <w:lang w:val="ro-RO"/>
              </w:rPr>
              <w:t xml:space="preserve"> mai recent raport al</w:t>
            </w:r>
            <w:r w:rsidR="00780B2E" w:rsidRPr="009C5F11">
              <w:rPr>
                <w:rFonts w:ascii="Times New Roman" w:eastAsia="Verdana" w:hAnsi="Times New Roman" w:cs="Times New Roman"/>
                <w:color w:val="000000"/>
                <w:sz w:val="18"/>
                <w:szCs w:val="14"/>
                <w:lang w:val="ro-RO"/>
              </w:rPr>
              <w:t xml:space="preserve"> AEE </w:t>
            </w:r>
            <w:r w:rsidR="00603237" w:rsidRPr="009C5F11">
              <w:rPr>
                <w:rFonts w:ascii="Times New Roman" w:eastAsia="Verdana" w:hAnsi="Times New Roman" w:cs="Times New Roman"/>
                <w:color w:val="000000"/>
                <w:sz w:val="18"/>
                <w:szCs w:val="14"/>
                <w:lang w:val="ro-RO"/>
              </w:rPr>
              <w:t xml:space="preserve">se </w:t>
            </w:r>
            <w:r w:rsidR="00FE56F2" w:rsidRPr="009C5F11">
              <w:rPr>
                <w:rFonts w:ascii="Times New Roman" w:eastAsia="Verdana" w:hAnsi="Times New Roman" w:cs="Times New Roman"/>
                <w:color w:val="000000"/>
                <w:sz w:val="18"/>
                <w:szCs w:val="14"/>
                <w:lang w:val="ro-RO"/>
              </w:rPr>
              <w:t>menţionează</w:t>
            </w:r>
            <w:r w:rsidR="00D77687" w:rsidRPr="009C5F11">
              <w:rPr>
                <w:rFonts w:ascii="Times New Roman" w:eastAsia="Verdana" w:hAnsi="Times New Roman" w:cs="Times New Roman"/>
                <w:color w:val="000000"/>
                <w:sz w:val="18"/>
                <w:szCs w:val="14"/>
                <w:lang w:val="ro-RO"/>
              </w:rPr>
              <w:t xml:space="preserve"> că</w:t>
            </w:r>
            <w:r w:rsidR="00780B2E" w:rsidRPr="009C5F11">
              <w:rPr>
                <w:rFonts w:ascii="Times New Roman" w:eastAsia="Verdana" w:hAnsi="Times New Roman" w:cs="Times New Roman"/>
                <w:color w:val="000000"/>
                <w:sz w:val="18"/>
                <w:szCs w:val="14"/>
                <w:lang w:val="ro-RO"/>
              </w:rPr>
              <w:t xml:space="preserve"> Termocom </w:t>
            </w:r>
            <w:r w:rsidR="00D77687" w:rsidRPr="009C5F11">
              <w:rPr>
                <w:rFonts w:ascii="Times New Roman" w:eastAsia="Verdana" w:hAnsi="Times New Roman" w:cs="Times New Roman"/>
                <w:color w:val="000000"/>
                <w:sz w:val="18"/>
                <w:szCs w:val="14"/>
                <w:lang w:val="ro-RO"/>
              </w:rPr>
              <w:t>a întreprins următoarele</w:t>
            </w:r>
            <w:r w:rsidR="00780B2E"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activităţi</w:t>
            </w:r>
            <w:r w:rsidR="00780B2E" w:rsidRPr="009C5F11">
              <w:rPr>
                <w:rFonts w:ascii="Times New Roman" w:eastAsia="Verdana" w:hAnsi="Times New Roman" w:cs="Times New Roman"/>
                <w:color w:val="000000"/>
                <w:sz w:val="18"/>
                <w:szCs w:val="14"/>
                <w:lang w:val="ro-RO"/>
              </w:rPr>
              <w:t>:</w:t>
            </w:r>
          </w:p>
          <w:p w14:paraId="697AF0D6"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modernizarea</w:t>
            </w:r>
            <w:r w:rsidR="00321CD5" w:rsidRPr="009C5F11">
              <w:rPr>
                <w:rFonts w:ascii="Times New Roman" w:eastAsia="Verdana" w:hAnsi="Times New Roman" w:cs="Times New Roman"/>
                <w:color w:val="000000"/>
                <w:sz w:val="18"/>
                <w:szCs w:val="14"/>
                <w:lang w:val="ro-RO"/>
              </w:rPr>
              <w:t xml:space="preserve"> şi </w:t>
            </w:r>
            <w:r w:rsidR="00603237" w:rsidRPr="009C5F11">
              <w:rPr>
                <w:rFonts w:ascii="Times New Roman" w:eastAsia="Verdana" w:hAnsi="Times New Roman" w:cs="Times New Roman"/>
                <w:color w:val="000000"/>
                <w:sz w:val="18"/>
                <w:szCs w:val="14"/>
                <w:lang w:val="ro-RO"/>
              </w:rPr>
              <w:t>reconstrucţia</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reţelelor de transport şi distribuţie a energiei termice</w:t>
            </w:r>
            <w:r w:rsidRPr="009C5F11">
              <w:rPr>
                <w:rFonts w:ascii="Times New Roman" w:eastAsia="Verdana" w:hAnsi="Times New Roman" w:cs="Times New Roman"/>
                <w:color w:val="000000"/>
                <w:sz w:val="18"/>
                <w:szCs w:val="14"/>
                <w:lang w:val="ro-RO"/>
              </w:rPr>
              <w:t xml:space="preserve">: 10.61 km </w:t>
            </w:r>
            <w:r w:rsidR="00603237" w:rsidRPr="009C5F11">
              <w:rPr>
                <w:rFonts w:ascii="Times New Roman" w:eastAsia="Verdana" w:hAnsi="Times New Roman" w:cs="Times New Roman"/>
                <w:color w:val="000000"/>
                <w:sz w:val="18"/>
                <w:szCs w:val="14"/>
                <w:lang w:val="ro-RO"/>
              </w:rPr>
              <w:t>din</w:t>
            </w:r>
            <w:r w:rsidRPr="009C5F11">
              <w:rPr>
                <w:rFonts w:ascii="Times New Roman" w:eastAsia="Verdana" w:hAnsi="Times New Roman" w:cs="Times New Roman"/>
                <w:color w:val="000000"/>
                <w:sz w:val="18"/>
                <w:szCs w:val="14"/>
                <w:lang w:val="ro-RO"/>
              </w:rPr>
              <w:t xml:space="preserve"> 69 km (207 km </w:t>
            </w:r>
            <w:r w:rsidR="00603237" w:rsidRPr="009C5F11">
              <w:rPr>
                <w:rFonts w:ascii="Times New Roman" w:eastAsia="Verdana" w:hAnsi="Times New Roman" w:cs="Times New Roman"/>
                <w:color w:val="000000"/>
                <w:sz w:val="18"/>
                <w:szCs w:val="14"/>
                <w:lang w:val="ro-RO"/>
              </w:rPr>
              <w:t>până în</w:t>
            </w:r>
            <w:r w:rsidRPr="009C5F11">
              <w:rPr>
                <w:rFonts w:ascii="Times New Roman" w:eastAsia="Verdana" w:hAnsi="Times New Roman" w:cs="Times New Roman"/>
                <w:color w:val="000000"/>
                <w:sz w:val="18"/>
                <w:szCs w:val="14"/>
                <w:lang w:val="ro-RO"/>
              </w:rPr>
              <w:t xml:space="preserve"> 2020); </w:t>
            </w:r>
            <w:r w:rsidR="00603237" w:rsidRPr="009C5F11">
              <w:rPr>
                <w:rFonts w:ascii="Times New Roman" w:eastAsia="Verdana" w:hAnsi="Times New Roman" w:cs="Times New Roman"/>
                <w:color w:val="000000"/>
                <w:sz w:val="18"/>
                <w:szCs w:val="14"/>
                <w:lang w:val="ro-RO"/>
              </w:rPr>
              <w:t>în</w:t>
            </w:r>
            <w:r w:rsidRPr="009C5F11">
              <w:rPr>
                <w:rFonts w:ascii="Times New Roman" w:eastAsia="Verdana" w:hAnsi="Times New Roman" w:cs="Times New Roman"/>
                <w:color w:val="000000"/>
                <w:sz w:val="18"/>
                <w:szCs w:val="14"/>
                <w:lang w:val="ro-RO"/>
              </w:rPr>
              <w:t xml:space="preserve"> 2015: 3.74 km; </w:t>
            </w:r>
          </w:p>
          <w:p w14:paraId="2C76368F"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modernizarea</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reţelelor centralizate de energie termică</w:t>
            </w:r>
            <w:r w:rsidRPr="009C5F11">
              <w:rPr>
                <w:rFonts w:ascii="Times New Roman" w:eastAsia="Verdana" w:hAnsi="Times New Roman" w:cs="Times New Roman"/>
                <w:color w:val="000000"/>
                <w:sz w:val="18"/>
                <w:szCs w:val="14"/>
                <w:lang w:val="ro-RO"/>
              </w:rPr>
              <w:t xml:space="preserve">: 12.55 km </w:t>
            </w:r>
            <w:r w:rsidR="00210C2C" w:rsidRPr="009C5F11">
              <w:rPr>
                <w:rFonts w:ascii="Times New Roman" w:eastAsia="Verdana" w:hAnsi="Times New Roman" w:cs="Times New Roman"/>
                <w:color w:val="000000"/>
                <w:sz w:val="18"/>
                <w:szCs w:val="14"/>
                <w:lang w:val="ro-RO"/>
              </w:rPr>
              <w:t>din cei</w:t>
            </w:r>
            <w:r w:rsidRPr="009C5F11">
              <w:rPr>
                <w:rFonts w:ascii="Times New Roman" w:eastAsia="Verdana" w:hAnsi="Times New Roman" w:cs="Times New Roman"/>
                <w:color w:val="000000"/>
                <w:sz w:val="18"/>
                <w:szCs w:val="14"/>
                <w:lang w:val="ro-RO"/>
              </w:rPr>
              <w:t xml:space="preserve"> 261 km (811 km </w:t>
            </w:r>
            <w:r w:rsidR="00210C2C" w:rsidRPr="009C5F11">
              <w:rPr>
                <w:rFonts w:ascii="Times New Roman" w:eastAsia="Verdana" w:hAnsi="Times New Roman" w:cs="Times New Roman"/>
                <w:color w:val="000000"/>
                <w:sz w:val="18"/>
                <w:szCs w:val="14"/>
                <w:lang w:val="ro-RO"/>
              </w:rPr>
              <w:t>până în</w:t>
            </w:r>
            <w:r w:rsidRPr="009C5F11">
              <w:rPr>
                <w:rFonts w:ascii="Times New Roman" w:eastAsia="Verdana" w:hAnsi="Times New Roman" w:cs="Times New Roman"/>
                <w:color w:val="000000"/>
                <w:sz w:val="18"/>
                <w:szCs w:val="14"/>
                <w:lang w:val="ro-RO"/>
              </w:rPr>
              <w:t xml:space="preserve"> 2020); </w:t>
            </w:r>
            <w:r w:rsidR="00210C2C" w:rsidRPr="009C5F11">
              <w:rPr>
                <w:rFonts w:ascii="Times New Roman" w:eastAsia="Verdana" w:hAnsi="Times New Roman" w:cs="Times New Roman"/>
                <w:color w:val="000000"/>
                <w:sz w:val="18"/>
                <w:szCs w:val="14"/>
                <w:lang w:val="ro-RO"/>
              </w:rPr>
              <w:t>în</w:t>
            </w:r>
            <w:r w:rsidRPr="009C5F11">
              <w:rPr>
                <w:rFonts w:ascii="Times New Roman" w:eastAsia="Verdana" w:hAnsi="Times New Roman" w:cs="Times New Roman"/>
                <w:color w:val="000000"/>
                <w:sz w:val="18"/>
                <w:szCs w:val="14"/>
                <w:lang w:val="ro-RO"/>
              </w:rPr>
              <w:t xml:space="preserve"> 2015: 7.78 km;</w:t>
            </w:r>
          </w:p>
          <w:p w14:paraId="4E17C63E"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înlocuirea</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izolaţiei termice a</w:t>
            </w:r>
            <w:r w:rsidR="00DD550F"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reţelelor subterane de energie termică</w:t>
            </w:r>
            <w:r w:rsidR="00DD550F" w:rsidRPr="009C5F11">
              <w:rPr>
                <w:rFonts w:ascii="Times New Roman" w:eastAsia="Verdana" w:hAnsi="Times New Roman" w:cs="Times New Roman"/>
                <w:color w:val="000000"/>
                <w:sz w:val="18"/>
                <w:szCs w:val="14"/>
                <w:lang w:val="ro-RO"/>
              </w:rPr>
              <w:t>: 12.</w:t>
            </w:r>
            <w:r w:rsidRPr="009C5F11">
              <w:rPr>
                <w:rFonts w:ascii="Times New Roman" w:eastAsia="Verdana" w:hAnsi="Times New Roman" w:cs="Times New Roman"/>
                <w:color w:val="000000"/>
                <w:sz w:val="18"/>
                <w:szCs w:val="14"/>
                <w:lang w:val="ro-RO"/>
              </w:rPr>
              <w:t xml:space="preserve">93 km </w:t>
            </w:r>
            <w:r w:rsidR="00603237" w:rsidRPr="009C5F11">
              <w:rPr>
                <w:rFonts w:ascii="Times New Roman" w:eastAsia="Verdana" w:hAnsi="Times New Roman" w:cs="Times New Roman"/>
                <w:color w:val="000000"/>
                <w:sz w:val="18"/>
                <w:szCs w:val="14"/>
                <w:lang w:val="ro-RO"/>
              </w:rPr>
              <w:t>din</w:t>
            </w:r>
            <w:r w:rsidRPr="009C5F11">
              <w:rPr>
                <w:rFonts w:ascii="Times New Roman" w:eastAsia="Verdana" w:hAnsi="Times New Roman" w:cs="Times New Roman"/>
                <w:color w:val="000000"/>
                <w:sz w:val="18"/>
                <w:szCs w:val="14"/>
                <w:lang w:val="ro-RO"/>
              </w:rPr>
              <w:t xml:space="preserve"> 18 km (39 km </w:t>
            </w:r>
            <w:r w:rsidR="00603237" w:rsidRPr="009C5F11">
              <w:rPr>
                <w:rFonts w:ascii="Times New Roman" w:eastAsia="Verdana" w:hAnsi="Times New Roman" w:cs="Times New Roman"/>
                <w:color w:val="000000"/>
                <w:sz w:val="18"/>
                <w:szCs w:val="14"/>
                <w:lang w:val="ro-RO"/>
              </w:rPr>
              <w:t>până în 2020</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pe parcursul anului</w:t>
            </w:r>
            <w:r w:rsidRPr="009C5F11">
              <w:rPr>
                <w:rFonts w:ascii="Times New Roman" w:eastAsia="Verdana" w:hAnsi="Times New Roman" w:cs="Times New Roman"/>
                <w:color w:val="000000"/>
                <w:sz w:val="18"/>
                <w:szCs w:val="14"/>
                <w:lang w:val="ro-RO"/>
              </w:rPr>
              <w:t xml:space="preserve"> 2015: 6.3 km;</w:t>
            </w:r>
          </w:p>
          <w:p w14:paraId="011D1E81"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instalarea</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 xml:space="preserve">robinetelor cu sferă pe reţelele de </w:t>
            </w:r>
            <w:r w:rsidRPr="009C5F11">
              <w:rPr>
                <w:rFonts w:ascii="Times New Roman" w:eastAsia="Verdana" w:hAnsi="Times New Roman" w:cs="Times New Roman"/>
                <w:color w:val="000000"/>
                <w:sz w:val="18"/>
                <w:szCs w:val="14"/>
                <w:lang w:val="ro-RO"/>
              </w:rPr>
              <w:t>transport</w:t>
            </w:r>
            <w:r w:rsidR="00603237" w:rsidRPr="009C5F11">
              <w:rPr>
                <w:rFonts w:ascii="Times New Roman" w:eastAsia="Verdana" w:hAnsi="Times New Roman" w:cs="Times New Roman"/>
                <w:color w:val="000000"/>
                <w:sz w:val="18"/>
                <w:szCs w:val="14"/>
                <w:lang w:val="ro-RO"/>
              </w:rPr>
              <w:t xml:space="preserve"> al energiei termice</w:t>
            </w:r>
            <w:r w:rsidR="00321CD5" w:rsidRPr="009C5F11">
              <w:rPr>
                <w:rFonts w:ascii="Times New Roman" w:eastAsia="Verdana" w:hAnsi="Times New Roman" w:cs="Times New Roman"/>
                <w:color w:val="000000"/>
                <w:sz w:val="18"/>
                <w:szCs w:val="14"/>
                <w:lang w:val="ro-RO"/>
              </w:rPr>
              <w:t xml:space="preserve"> şi </w:t>
            </w:r>
            <w:r w:rsidR="00603237" w:rsidRPr="009C5F11">
              <w:rPr>
                <w:rFonts w:ascii="Times New Roman" w:eastAsia="Verdana" w:hAnsi="Times New Roman" w:cs="Times New Roman"/>
                <w:color w:val="000000"/>
                <w:sz w:val="18"/>
                <w:szCs w:val="14"/>
                <w:lang w:val="ro-RO"/>
              </w:rPr>
              <w:t>în raioane</w:t>
            </w:r>
            <w:r w:rsidRPr="009C5F11">
              <w:rPr>
                <w:rFonts w:ascii="Times New Roman" w:eastAsia="Verdana" w:hAnsi="Times New Roman" w:cs="Times New Roman"/>
                <w:color w:val="000000"/>
                <w:sz w:val="18"/>
                <w:szCs w:val="14"/>
                <w:lang w:val="ro-RO"/>
              </w:rPr>
              <w:t>: 2</w:t>
            </w:r>
            <w:r w:rsidR="00DD550F"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 xml:space="preserve">476 </w:t>
            </w:r>
            <w:r w:rsidR="00D77687" w:rsidRPr="009C5F11">
              <w:rPr>
                <w:rFonts w:ascii="Times New Roman" w:eastAsia="Verdana" w:hAnsi="Times New Roman" w:cs="Times New Roman"/>
                <w:color w:val="000000"/>
                <w:sz w:val="18"/>
                <w:szCs w:val="14"/>
                <w:lang w:val="ro-RO"/>
              </w:rPr>
              <w:t>unităţi</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pe parcursul anului</w:t>
            </w:r>
            <w:r w:rsidRPr="009C5F11">
              <w:rPr>
                <w:rFonts w:ascii="Times New Roman" w:eastAsia="Verdana" w:hAnsi="Times New Roman" w:cs="Times New Roman"/>
                <w:color w:val="000000"/>
                <w:sz w:val="18"/>
                <w:szCs w:val="14"/>
                <w:lang w:val="ro-RO"/>
              </w:rPr>
              <w:t xml:space="preserve"> 2015: 678 </w:t>
            </w:r>
            <w:r w:rsidR="00D77687" w:rsidRPr="009C5F11">
              <w:rPr>
                <w:rFonts w:ascii="Times New Roman" w:eastAsia="Verdana" w:hAnsi="Times New Roman" w:cs="Times New Roman"/>
                <w:color w:val="000000"/>
                <w:sz w:val="18"/>
                <w:szCs w:val="14"/>
                <w:lang w:val="ro-RO"/>
              </w:rPr>
              <w:t>unităţi</w:t>
            </w:r>
            <w:r w:rsidRPr="009C5F11">
              <w:rPr>
                <w:rFonts w:ascii="Times New Roman" w:eastAsia="Verdana" w:hAnsi="Times New Roman" w:cs="Times New Roman"/>
                <w:color w:val="000000"/>
                <w:sz w:val="18"/>
                <w:szCs w:val="14"/>
                <w:lang w:val="ro-RO"/>
              </w:rPr>
              <w:t>;</w:t>
            </w:r>
          </w:p>
          <w:p w14:paraId="5527F681"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instalarea</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punctelor termice</w:t>
            </w:r>
            <w:r w:rsidRPr="009C5F11">
              <w:rPr>
                <w:rFonts w:ascii="Times New Roman" w:eastAsia="Verdana" w:hAnsi="Times New Roman" w:cs="Times New Roman"/>
                <w:color w:val="000000"/>
                <w:sz w:val="18"/>
                <w:szCs w:val="14"/>
                <w:lang w:val="ro-RO"/>
              </w:rPr>
              <w:t xml:space="preserve"> individual</w:t>
            </w:r>
            <w:r w:rsidR="00603237" w:rsidRPr="009C5F11">
              <w:rPr>
                <w:rFonts w:ascii="Times New Roman" w:eastAsia="Verdana" w:hAnsi="Times New Roman" w:cs="Times New Roman"/>
                <w:color w:val="000000"/>
                <w:sz w:val="18"/>
                <w:szCs w:val="14"/>
                <w:lang w:val="ro-RO"/>
              </w:rPr>
              <w:t>e</w:t>
            </w:r>
            <w:r w:rsidRPr="009C5F11">
              <w:rPr>
                <w:rFonts w:ascii="Times New Roman" w:eastAsia="Verdana" w:hAnsi="Times New Roman" w:cs="Times New Roman"/>
                <w:color w:val="000000"/>
                <w:sz w:val="18"/>
                <w:szCs w:val="14"/>
                <w:lang w:val="ro-RO"/>
              </w:rPr>
              <w:t xml:space="preserve">: 10 </w:t>
            </w:r>
            <w:r w:rsidR="00D77687" w:rsidRPr="009C5F11">
              <w:rPr>
                <w:rFonts w:ascii="Times New Roman" w:eastAsia="Verdana" w:hAnsi="Times New Roman" w:cs="Times New Roman"/>
                <w:color w:val="000000"/>
                <w:sz w:val="18"/>
                <w:szCs w:val="14"/>
                <w:lang w:val="ro-RO"/>
              </w:rPr>
              <w:t>unităţi</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din</w:t>
            </w:r>
            <w:r w:rsidRPr="009C5F11">
              <w:rPr>
                <w:rFonts w:ascii="Times New Roman" w:eastAsia="Verdana" w:hAnsi="Times New Roman" w:cs="Times New Roman"/>
                <w:color w:val="000000"/>
                <w:sz w:val="18"/>
                <w:szCs w:val="14"/>
                <w:lang w:val="ro-RO"/>
              </w:rPr>
              <w:t xml:space="preserve"> 1</w:t>
            </w:r>
            <w:r w:rsidR="00DD550F"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643 (4</w:t>
            </w:r>
            <w:r w:rsidR="00DD550F"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 xml:space="preserve">928 </w:t>
            </w:r>
            <w:r w:rsidR="00603237" w:rsidRPr="009C5F11">
              <w:rPr>
                <w:rFonts w:ascii="Times New Roman" w:eastAsia="Verdana" w:hAnsi="Times New Roman" w:cs="Times New Roman"/>
                <w:color w:val="000000"/>
                <w:sz w:val="18"/>
                <w:szCs w:val="14"/>
                <w:lang w:val="ro-RO"/>
              </w:rPr>
              <w:t>până în 2020</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pe parcursul anului</w:t>
            </w:r>
            <w:r w:rsidRPr="009C5F11">
              <w:rPr>
                <w:rFonts w:ascii="Times New Roman" w:eastAsia="Verdana" w:hAnsi="Times New Roman" w:cs="Times New Roman"/>
                <w:color w:val="000000"/>
                <w:sz w:val="18"/>
                <w:szCs w:val="14"/>
                <w:lang w:val="ro-RO"/>
              </w:rPr>
              <w:t xml:space="preserve"> 2015: 0 </w:t>
            </w:r>
            <w:r w:rsidR="00D77687" w:rsidRPr="009C5F11">
              <w:rPr>
                <w:rFonts w:ascii="Times New Roman" w:eastAsia="Verdana" w:hAnsi="Times New Roman" w:cs="Times New Roman"/>
                <w:color w:val="000000"/>
                <w:sz w:val="18"/>
                <w:szCs w:val="14"/>
                <w:lang w:val="ro-RO"/>
              </w:rPr>
              <w:t>unităţi</w:t>
            </w:r>
            <w:r w:rsidRPr="009C5F11">
              <w:rPr>
                <w:rFonts w:ascii="Times New Roman" w:eastAsia="Verdana" w:hAnsi="Times New Roman" w:cs="Times New Roman"/>
                <w:color w:val="000000"/>
                <w:sz w:val="18"/>
                <w:szCs w:val="14"/>
                <w:lang w:val="ro-RO"/>
              </w:rPr>
              <w:t>;</w:t>
            </w:r>
          </w:p>
          <w:p w14:paraId="7928A32E"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lastRenderedPageBreak/>
              <w:t xml:space="preserve">- </w:t>
            </w:r>
            <w:r w:rsidR="00D77687" w:rsidRPr="009C5F11">
              <w:rPr>
                <w:rFonts w:ascii="Times New Roman" w:eastAsia="Verdana" w:hAnsi="Times New Roman" w:cs="Times New Roman"/>
                <w:color w:val="000000"/>
                <w:sz w:val="18"/>
                <w:szCs w:val="14"/>
                <w:lang w:val="ro-RO"/>
              </w:rPr>
              <w:t>modernizarea</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echipamentului electric</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de</w:t>
            </w:r>
            <w:r w:rsidRPr="009C5F11">
              <w:rPr>
                <w:rFonts w:ascii="Times New Roman" w:eastAsia="Verdana" w:hAnsi="Times New Roman" w:cs="Times New Roman"/>
                <w:color w:val="000000"/>
                <w:sz w:val="18"/>
                <w:szCs w:val="14"/>
                <w:lang w:val="ro-RO"/>
              </w:rPr>
              <w:t xml:space="preserve"> 6kV </w:t>
            </w:r>
            <w:r w:rsidR="00603237" w:rsidRPr="009C5F11">
              <w:rPr>
                <w:rFonts w:ascii="Times New Roman" w:eastAsia="Verdana" w:hAnsi="Times New Roman" w:cs="Times New Roman"/>
                <w:color w:val="000000"/>
                <w:sz w:val="18"/>
                <w:szCs w:val="14"/>
                <w:lang w:val="ro-RO"/>
              </w:rPr>
              <w:t>la</w:t>
            </w:r>
            <w:r w:rsidRPr="009C5F11">
              <w:rPr>
                <w:rFonts w:ascii="Times New Roman" w:eastAsia="Verdana" w:hAnsi="Times New Roman" w:cs="Times New Roman"/>
                <w:color w:val="000000"/>
                <w:sz w:val="18"/>
                <w:szCs w:val="14"/>
                <w:lang w:val="ro-RO"/>
              </w:rPr>
              <w:t xml:space="preserve"> SP12; </w:t>
            </w:r>
            <w:r w:rsidR="00603237" w:rsidRPr="009C5F11">
              <w:rPr>
                <w:rFonts w:ascii="Times New Roman" w:eastAsia="Verdana" w:hAnsi="Times New Roman" w:cs="Times New Roman"/>
                <w:color w:val="000000"/>
                <w:sz w:val="18"/>
                <w:szCs w:val="14"/>
                <w:lang w:val="ro-RO"/>
              </w:rPr>
              <w:t>pe parcursul anului</w:t>
            </w:r>
            <w:r w:rsidRPr="009C5F11">
              <w:rPr>
                <w:rFonts w:ascii="Times New Roman" w:eastAsia="Verdana" w:hAnsi="Times New Roman" w:cs="Times New Roman"/>
                <w:color w:val="000000"/>
                <w:sz w:val="18"/>
                <w:szCs w:val="14"/>
                <w:lang w:val="ro-RO"/>
              </w:rPr>
              <w:t xml:space="preserve"> 2015: </w:t>
            </w:r>
            <w:r w:rsidR="00603237" w:rsidRPr="009C5F11">
              <w:rPr>
                <w:rFonts w:ascii="Times New Roman" w:eastAsia="Verdana" w:hAnsi="Times New Roman" w:cs="Times New Roman"/>
                <w:color w:val="000000"/>
                <w:sz w:val="18"/>
                <w:szCs w:val="14"/>
                <w:lang w:val="ro-RO"/>
              </w:rPr>
              <w:t>convertizorul de frecvenţă la</w:t>
            </w:r>
            <w:r w:rsidRPr="009C5F11">
              <w:rPr>
                <w:rFonts w:ascii="Times New Roman" w:eastAsia="Verdana" w:hAnsi="Times New Roman" w:cs="Times New Roman"/>
                <w:color w:val="000000"/>
                <w:sz w:val="18"/>
                <w:szCs w:val="14"/>
                <w:lang w:val="ro-RO"/>
              </w:rPr>
              <w:t xml:space="preserve"> SP-18</w:t>
            </w:r>
            <w:r w:rsidR="00321CD5" w:rsidRPr="009C5F11">
              <w:rPr>
                <w:rFonts w:ascii="Times New Roman" w:eastAsia="Verdana" w:hAnsi="Times New Roman" w:cs="Times New Roman"/>
                <w:color w:val="000000"/>
                <w:sz w:val="18"/>
                <w:szCs w:val="14"/>
                <w:lang w:val="ro-RO"/>
              </w:rPr>
              <w:t xml:space="preserve"> şi </w:t>
            </w:r>
            <w:r w:rsidR="00603237" w:rsidRPr="009C5F11">
              <w:rPr>
                <w:rFonts w:ascii="Times New Roman" w:eastAsia="Verdana" w:hAnsi="Times New Roman" w:cs="Times New Roman"/>
                <w:color w:val="000000"/>
                <w:sz w:val="18"/>
                <w:szCs w:val="14"/>
                <w:lang w:val="ro-RO"/>
              </w:rPr>
              <w:t>la</w:t>
            </w:r>
            <w:r w:rsidRPr="009C5F11">
              <w:rPr>
                <w:rFonts w:ascii="Times New Roman" w:eastAsia="Verdana" w:hAnsi="Times New Roman" w:cs="Times New Roman"/>
                <w:color w:val="000000"/>
                <w:sz w:val="18"/>
                <w:szCs w:val="14"/>
                <w:lang w:val="ro-RO"/>
              </w:rPr>
              <w:t xml:space="preserve"> 27 DTP (</w:t>
            </w:r>
            <w:r w:rsidR="00603237" w:rsidRPr="009C5F11">
              <w:rPr>
                <w:rFonts w:ascii="Times New Roman" w:eastAsia="Verdana" w:hAnsi="Times New Roman" w:cs="Times New Roman"/>
                <w:color w:val="000000"/>
                <w:sz w:val="18"/>
                <w:szCs w:val="14"/>
                <w:lang w:val="ro-RO"/>
              </w:rPr>
              <w:t>punctul termic centralizat</w:t>
            </w:r>
            <w:r w:rsidRPr="009C5F11">
              <w:rPr>
                <w:rFonts w:ascii="Times New Roman" w:eastAsia="Verdana" w:hAnsi="Times New Roman" w:cs="Times New Roman"/>
                <w:color w:val="000000"/>
                <w:sz w:val="18"/>
                <w:szCs w:val="14"/>
                <w:lang w:val="ro-RO"/>
              </w:rPr>
              <w:t>);</w:t>
            </w:r>
          </w:p>
          <w:p w14:paraId="27090BBB"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reconstrucţia</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cablurilor electrice de înaltă tensiune la staţia termică din</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Durle</w:t>
            </w:r>
            <w:r w:rsidR="00CF6B2C" w:rsidRPr="009C5F11">
              <w:rPr>
                <w:rFonts w:ascii="Times New Roman" w:eastAsia="Verdana" w:hAnsi="Times New Roman" w:cs="Times New Roman"/>
                <w:color w:val="000000"/>
                <w:sz w:val="18"/>
                <w:szCs w:val="14"/>
                <w:lang w:val="ro-RO"/>
              </w:rPr>
              <w:t>ş</w:t>
            </w:r>
            <w:r w:rsidRPr="009C5F11">
              <w:rPr>
                <w:rFonts w:ascii="Times New Roman" w:eastAsia="Verdana" w:hAnsi="Times New Roman" w:cs="Times New Roman"/>
                <w:color w:val="000000"/>
                <w:sz w:val="18"/>
                <w:szCs w:val="14"/>
                <w:lang w:val="ro-RO"/>
              </w:rPr>
              <w:t xml:space="preserve">ti; </w:t>
            </w:r>
          </w:p>
          <w:p w14:paraId="2113CDB1"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instalarea</w:t>
            </w:r>
            <w:r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convertizoarelor de frecvenţă la pompele de reţea la staţiile termice din</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Bubuieci, St</w:t>
            </w:r>
            <w:r w:rsidR="00CF6B2C" w:rsidRPr="009C5F11">
              <w:rPr>
                <w:rFonts w:ascii="Times New Roman" w:eastAsia="Verdana" w:hAnsi="Times New Roman" w:cs="Times New Roman"/>
                <w:color w:val="000000"/>
                <w:sz w:val="18"/>
                <w:szCs w:val="14"/>
                <w:lang w:val="ro-RO"/>
              </w:rPr>
              <w:t>ă</w:t>
            </w:r>
            <w:r w:rsidRPr="009C5F11">
              <w:rPr>
                <w:rFonts w:ascii="Times New Roman" w:eastAsia="Verdana" w:hAnsi="Times New Roman" w:cs="Times New Roman"/>
                <w:color w:val="000000"/>
                <w:sz w:val="18"/>
                <w:szCs w:val="14"/>
                <w:lang w:val="ro-RO"/>
              </w:rPr>
              <w:t xml:space="preserve">uceni, </w:t>
            </w:r>
            <w:r w:rsidR="00401943" w:rsidRPr="009C5F11">
              <w:rPr>
                <w:rFonts w:ascii="Times New Roman" w:eastAsia="Verdana" w:hAnsi="Times New Roman" w:cs="Times New Roman"/>
                <w:color w:val="000000"/>
                <w:sz w:val="18"/>
                <w:szCs w:val="14"/>
                <w:lang w:val="ro-RO"/>
              </w:rPr>
              <w:t>Ciorescu</w:t>
            </w:r>
            <w:r w:rsidRPr="009C5F11">
              <w:rPr>
                <w:rFonts w:ascii="Times New Roman" w:eastAsia="Verdana" w:hAnsi="Times New Roman" w:cs="Times New Roman"/>
                <w:color w:val="000000"/>
                <w:sz w:val="18"/>
                <w:szCs w:val="14"/>
                <w:lang w:val="ro-RO"/>
              </w:rPr>
              <w:t>, Gr</w:t>
            </w:r>
            <w:r w:rsidR="00CF6B2C" w:rsidRPr="009C5F11">
              <w:rPr>
                <w:rFonts w:ascii="Times New Roman" w:eastAsia="Verdana" w:hAnsi="Times New Roman" w:cs="Times New Roman"/>
                <w:color w:val="000000"/>
                <w:sz w:val="18"/>
                <w:szCs w:val="14"/>
                <w:lang w:val="ro-RO"/>
              </w:rPr>
              <w:t>ă</w:t>
            </w:r>
            <w:r w:rsidRPr="009C5F11">
              <w:rPr>
                <w:rFonts w:ascii="Times New Roman" w:eastAsia="Verdana" w:hAnsi="Times New Roman" w:cs="Times New Roman"/>
                <w:color w:val="000000"/>
                <w:sz w:val="18"/>
                <w:szCs w:val="14"/>
                <w:lang w:val="ro-RO"/>
              </w:rPr>
              <w:t>tie</w:t>
            </w:r>
            <w:r w:rsidR="00CF6B2C" w:rsidRPr="009C5F11">
              <w:rPr>
                <w:rFonts w:ascii="Times New Roman" w:eastAsia="Verdana" w:hAnsi="Times New Roman" w:cs="Times New Roman"/>
                <w:color w:val="000000"/>
                <w:sz w:val="18"/>
                <w:szCs w:val="14"/>
                <w:lang w:val="ro-RO"/>
              </w:rPr>
              <w:t>ş</w:t>
            </w:r>
            <w:r w:rsidRPr="009C5F11">
              <w:rPr>
                <w:rFonts w:ascii="Times New Roman" w:eastAsia="Verdana" w:hAnsi="Times New Roman" w:cs="Times New Roman"/>
                <w:color w:val="000000"/>
                <w:sz w:val="18"/>
                <w:szCs w:val="14"/>
                <w:lang w:val="ro-RO"/>
              </w:rPr>
              <w:t>ti, Durle</w:t>
            </w:r>
            <w:r w:rsidR="00CF6B2C" w:rsidRPr="009C5F11">
              <w:rPr>
                <w:rFonts w:ascii="Times New Roman" w:eastAsia="Verdana" w:hAnsi="Times New Roman" w:cs="Times New Roman"/>
                <w:color w:val="000000"/>
                <w:sz w:val="18"/>
                <w:szCs w:val="14"/>
                <w:lang w:val="ro-RO"/>
              </w:rPr>
              <w:t>ş</w:t>
            </w:r>
            <w:r w:rsidRPr="009C5F11">
              <w:rPr>
                <w:rFonts w:ascii="Times New Roman" w:eastAsia="Verdana" w:hAnsi="Times New Roman" w:cs="Times New Roman"/>
                <w:color w:val="000000"/>
                <w:sz w:val="18"/>
                <w:szCs w:val="14"/>
                <w:lang w:val="ro-RO"/>
              </w:rPr>
              <w:t>ti</w:t>
            </w:r>
            <w:r w:rsidR="00603237" w:rsidRPr="009C5F11">
              <w:rPr>
                <w:rFonts w:ascii="Times New Roman" w:eastAsia="Verdana" w:hAnsi="Times New Roman" w:cs="Times New Roman"/>
                <w:color w:val="000000"/>
                <w:sz w:val="18"/>
                <w:szCs w:val="14"/>
                <w:lang w:val="ro-RO"/>
              </w:rPr>
              <w:t>.</w:t>
            </w:r>
          </w:p>
          <w:p w14:paraId="0FC6C117" w14:textId="77777777" w:rsidR="00780B2E" w:rsidRPr="009C5F11" w:rsidRDefault="00603237"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ANRE a adoptat Metodologia de calcul</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al valorilor normative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pentru</w:t>
            </w:r>
            <w:r w:rsidR="00780B2E"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pierderile de energie termică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la</w:t>
            </w:r>
            <w:r w:rsidR="00780B2E" w:rsidRPr="009C5F11">
              <w:rPr>
                <w:rFonts w:ascii="Times New Roman" w:eastAsia="Verdana" w:hAnsi="Times New Roman" w:cs="Times New Roman"/>
                <w:color w:val="000000"/>
                <w:sz w:val="18"/>
                <w:szCs w:val="14"/>
                <w:lang w:val="ro-RO"/>
              </w:rPr>
              <w:t xml:space="preserve"> 18.12.2014</w:t>
            </w:r>
            <w:r w:rsidRPr="009C5F11">
              <w:rPr>
                <w:rFonts w:ascii="Times New Roman" w:eastAsia="Verdana" w:hAnsi="Times New Roman" w:cs="Times New Roman"/>
                <w:color w:val="000000"/>
                <w:sz w:val="18"/>
                <w:szCs w:val="14"/>
                <w:lang w:val="ro-RO"/>
              </w:rPr>
              <w:t>.</w:t>
            </w:r>
          </w:p>
          <w:p w14:paraId="56EA5543" w14:textId="77777777" w:rsidR="00780B2E" w:rsidRPr="009C5F11" w:rsidRDefault="00D4035F" w:rsidP="00FE56F2">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Pierderile</w:t>
            </w:r>
            <w:r w:rsidR="00321CD5"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 xml:space="preserve">din sistemele centralizate de livrare a agentului termic s-au redus cu </w:t>
            </w:r>
            <w:r w:rsidR="00780B2E" w:rsidRPr="009C5F11">
              <w:rPr>
                <w:rFonts w:ascii="Times New Roman" w:eastAsia="Verdana" w:hAnsi="Times New Roman" w:cs="Times New Roman"/>
                <w:color w:val="000000"/>
                <w:sz w:val="18"/>
                <w:szCs w:val="14"/>
                <w:lang w:val="ro-RO"/>
              </w:rPr>
              <w:t>21,400</w:t>
            </w:r>
            <w:r w:rsidR="00E62603"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Gcal</w:t>
            </w:r>
            <w:r w:rsidR="00321CD5" w:rsidRPr="009C5F11">
              <w:rPr>
                <w:rFonts w:ascii="Times New Roman" w:eastAsia="Verdana" w:hAnsi="Times New Roman" w:cs="Times New Roman"/>
                <w:color w:val="000000"/>
                <w:sz w:val="18"/>
                <w:szCs w:val="14"/>
                <w:lang w:val="ro-RO"/>
              </w:rPr>
              <w:t xml:space="preserve"> sau </w:t>
            </w:r>
            <w:r w:rsidR="00603237" w:rsidRPr="009C5F11">
              <w:rPr>
                <w:rFonts w:ascii="Times New Roman" w:eastAsia="Verdana" w:hAnsi="Times New Roman" w:cs="Times New Roman"/>
                <w:color w:val="000000"/>
                <w:sz w:val="18"/>
                <w:szCs w:val="14"/>
                <w:lang w:val="ro-RO"/>
              </w:rPr>
              <w:t>cu circa</w:t>
            </w:r>
            <w:r w:rsidR="00780B2E" w:rsidRPr="009C5F11">
              <w:rPr>
                <w:rFonts w:ascii="Times New Roman" w:eastAsia="Verdana" w:hAnsi="Times New Roman" w:cs="Times New Roman"/>
                <w:color w:val="000000"/>
                <w:sz w:val="18"/>
                <w:szCs w:val="14"/>
                <w:lang w:val="ro-RO"/>
              </w:rPr>
              <w:t xml:space="preserve"> 2.1 </w:t>
            </w:r>
            <w:r w:rsidR="00D77687" w:rsidRPr="009C5F11">
              <w:rPr>
                <w:rFonts w:ascii="Times New Roman" w:eastAsia="Verdana" w:hAnsi="Times New Roman" w:cs="Times New Roman"/>
                <w:color w:val="000000"/>
                <w:sz w:val="18"/>
                <w:szCs w:val="14"/>
                <w:lang w:val="ro-RO"/>
              </w:rPr>
              <w:t>tep</w:t>
            </w:r>
            <w:r w:rsidR="00603237"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 xml:space="preserve">în </w:t>
            </w:r>
            <w:r w:rsidR="00780B2E" w:rsidRPr="009C5F11">
              <w:rPr>
                <w:rFonts w:ascii="Times New Roman" w:eastAsia="Verdana" w:hAnsi="Times New Roman" w:cs="Times New Roman"/>
                <w:color w:val="000000"/>
                <w:sz w:val="18"/>
                <w:szCs w:val="14"/>
                <w:lang w:val="ro-RO"/>
              </w:rPr>
              <w:t xml:space="preserve">mun. </w:t>
            </w:r>
            <w:r w:rsidR="00AA0566" w:rsidRPr="009C5F11">
              <w:rPr>
                <w:rFonts w:ascii="Times New Roman" w:eastAsia="Verdana" w:hAnsi="Times New Roman" w:cs="Times New Roman"/>
                <w:color w:val="000000"/>
                <w:sz w:val="18"/>
                <w:szCs w:val="14"/>
                <w:lang w:val="ro-RO"/>
              </w:rPr>
              <w:t>Chişinău</w:t>
            </w:r>
            <w:r w:rsidR="00780B2E" w:rsidRPr="009C5F11">
              <w:rPr>
                <w:rFonts w:ascii="Times New Roman" w:eastAsia="Verdana" w:hAnsi="Times New Roman" w:cs="Times New Roman"/>
                <w:color w:val="000000"/>
                <w:sz w:val="18"/>
                <w:szCs w:val="14"/>
                <w:lang w:val="ro-RO"/>
              </w:rPr>
              <w:t xml:space="preserve">: </w:t>
            </w:r>
            <w:r w:rsidR="00BA5A89" w:rsidRPr="009C5F11">
              <w:rPr>
                <w:rFonts w:ascii="Times New Roman" w:eastAsia="Verdana" w:hAnsi="Times New Roman" w:cs="Times New Roman"/>
                <w:color w:val="000000"/>
                <w:sz w:val="18"/>
                <w:szCs w:val="14"/>
                <w:lang w:val="ro-RO"/>
              </w:rPr>
              <w:t>pierderile</w:t>
            </w:r>
            <w:r w:rsidR="00603237" w:rsidRPr="009C5F11">
              <w:rPr>
                <w:rFonts w:ascii="Times New Roman" w:eastAsia="Verdana" w:hAnsi="Times New Roman" w:cs="Times New Roman"/>
                <w:color w:val="000000"/>
                <w:sz w:val="18"/>
                <w:szCs w:val="14"/>
                <w:lang w:val="ro-RO"/>
              </w:rPr>
              <w:t xml:space="preserve"> Termocom s-au redus cu circa</w:t>
            </w:r>
            <w:r w:rsidR="00780B2E" w:rsidRPr="009C5F11">
              <w:rPr>
                <w:rFonts w:ascii="Times New Roman" w:eastAsia="Verdana" w:hAnsi="Times New Roman" w:cs="Times New Roman"/>
                <w:color w:val="000000"/>
                <w:sz w:val="18"/>
                <w:szCs w:val="14"/>
                <w:lang w:val="ro-RO"/>
              </w:rPr>
              <w:t xml:space="preserve"> 0.83 </w:t>
            </w:r>
            <w:r w:rsidR="00D77687" w:rsidRPr="009C5F11">
              <w:rPr>
                <w:rFonts w:ascii="Times New Roman" w:eastAsia="Verdana" w:hAnsi="Times New Roman" w:cs="Times New Roman"/>
                <w:color w:val="000000"/>
                <w:sz w:val="18"/>
                <w:szCs w:val="14"/>
                <w:lang w:val="ro-RO"/>
              </w:rPr>
              <w:t>tep</w:t>
            </w:r>
            <w:r w:rsidR="00603237" w:rsidRPr="009C5F11">
              <w:rPr>
                <w:rFonts w:ascii="Times New Roman" w:eastAsia="Verdana" w:hAnsi="Times New Roman" w:cs="Times New Roman"/>
                <w:color w:val="000000"/>
                <w:sz w:val="18"/>
                <w:szCs w:val="14"/>
                <w:lang w:val="ro-RO"/>
              </w:rPr>
              <w:t>, iar pierderile comune</w:t>
            </w:r>
            <w:r w:rsidR="00321CD5"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Termocom</w:t>
            </w:r>
            <w:r w:rsidR="00321CD5" w:rsidRPr="009C5F11">
              <w:rPr>
                <w:rFonts w:ascii="Times New Roman" w:eastAsia="Verdana" w:hAnsi="Times New Roman" w:cs="Times New Roman"/>
                <w:color w:val="000000"/>
                <w:sz w:val="18"/>
                <w:szCs w:val="14"/>
                <w:lang w:val="ro-RO"/>
              </w:rPr>
              <w:t xml:space="preserve"> şi </w:t>
            </w:r>
            <w:r w:rsidR="00603237" w:rsidRPr="009C5F11">
              <w:rPr>
                <w:rFonts w:ascii="Times New Roman" w:eastAsia="Verdana" w:hAnsi="Times New Roman" w:cs="Times New Roman"/>
                <w:color w:val="000000"/>
                <w:sz w:val="18"/>
                <w:szCs w:val="14"/>
                <w:lang w:val="ro-RO"/>
              </w:rPr>
              <w:t>Ap</w:t>
            </w:r>
            <w:r w:rsidR="00FE56F2" w:rsidRPr="009C5F11">
              <w:rPr>
                <w:rFonts w:ascii="Times New Roman" w:eastAsia="Verdana" w:hAnsi="Times New Roman" w:cs="Times New Roman"/>
                <w:color w:val="000000"/>
                <w:sz w:val="18"/>
                <w:szCs w:val="14"/>
                <w:lang w:val="ro-RO"/>
              </w:rPr>
              <w:t>ă</w:t>
            </w:r>
            <w:r w:rsidR="00603237" w:rsidRPr="009C5F11">
              <w:rPr>
                <w:rFonts w:ascii="Times New Roman" w:eastAsia="Verdana" w:hAnsi="Times New Roman" w:cs="Times New Roman"/>
                <w:color w:val="000000"/>
                <w:sz w:val="18"/>
                <w:szCs w:val="14"/>
                <w:lang w:val="ro-RO"/>
              </w:rPr>
              <w:t>-canal</w:t>
            </w:r>
            <w:r w:rsidR="00780B2E" w:rsidRPr="009C5F11">
              <w:rPr>
                <w:rFonts w:ascii="Times New Roman" w:eastAsia="Verdana" w:hAnsi="Times New Roman" w:cs="Times New Roman"/>
                <w:color w:val="000000"/>
                <w:sz w:val="18"/>
                <w:szCs w:val="14"/>
                <w:lang w:val="ro-RO"/>
              </w:rPr>
              <w:t xml:space="preserve"> – </w:t>
            </w:r>
            <w:r w:rsidR="00603237" w:rsidRPr="009C5F11">
              <w:rPr>
                <w:rFonts w:ascii="Times New Roman" w:eastAsia="Verdana" w:hAnsi="Times New Roman" w:cs="Times New Roman"/>
                <w:color w:val="000000"/>
                <w:sz w:val="18"/>
                <w:szCs w:val="14"/>
                <w:lang w:val="ro-RO"/>
              </w:rPr>
              <w:t xml:space="preserve">cu </w:t>
            </w:r>
            <w:r w:rsidR="00780B2E" w:rsidRPr="009C5F11">
              <w:rPr>
                <w:rFonts w:ascii="Times New Roman" w:eastAsia="Verdana" w:hAnsi="Times New Roman" w:cs="Times New Roman"/>
                <w:color w:val="000000"/>
                <w:sz w:val="18"/>
                <w:szCs w:val="14"/>
                <w:lang w:val="ro-RO"/>
              </w:rPr>
              <w:t xml:space="preserve">0.91 </w:t>
            </w:r>
            <w:r w:rsidR="00D77687" w:rsidRPr="009C5F11">
              <w:rPr>
                <w:rFonts w:ascii="Times New Roman" w:eastAsia="Verdana" w:hAnsi="Times New Roman" w:cs="Times New Roman"/>
                <w:color w:val="000000"/>
                <w:sz w:val="18"/>
                <w:szCs w:val="14"/>
                <w:lang w:val="ro-RO"/>
              </w:rPr>
              <w:t>tep.</w:t>
            </w:r>
          </w:p>
        </w:tc>
        <w:tc>
          <w:tcPr>
            <w:tcW w:w="617" w:type="pct"/>
            <w:gridSpan w:val="3"/>
            <w:shd w:val="clear" w:color="000000" w:fill="D9D9D9"/>
            <w:vAlign w:val="center"/>
          </w:tcPr>
          <w:p w14:paraId="76D5D73C"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p>
        </w:tc>
      </w:tr>
      <w:tr w:rsidR="00780B2E" w:rsidRPr="009C5F11" w14:paraId="722A663C" w14:textId="77777777" w:rsidTr="0008402D">
        <w:trPr>
          <w:trHeight w:val="300"/>
        </w:trPr>
        <w:tc>
          <w:tcPr>
            <w:tcW w:w="5000" w:type="pct"/>
            <w:gridSpan w:val="8"/>
            <w:shd w:val="clear" w:color="auto" w:fill="3E5DEA"/>
            <w:noWrap/>
            <w:hideMark/>
          </w:tcPr>
          <w:p w14:paraId="49DB03B7" w14:textId="77777777" w:rsidR="00780B2E" w:rsidRPr="009C5F11" w:rsidRDefault="007E1094" w:rsidP="008B486D">
            <w:pPr>
              <w:spacing w:after="0" w:line="240" w:lineRule="auto"/>
              <w:jc w:val="center"/>
              <w:rPr>
                <w:rFonts w:ascii="Times New Roman" w:eastAsia="Verdana" w:hAnsi="Times New Roman" w:cs="Times New Roman"/>
                <w:b/>
                <w:color w:val="FFFFFF"/>
                <w:sz w:val="18"/>
                <w:szCs w:val="14"/>
                <w:lang w:val="ro-RO"/>
              </w:rPr>
            </w:pPr>
            <w:r w:rsidRPr="009C5F11">
              <w:rPr>
                <w:rFonts w:ascii="Times New Roman" w:eastAsia="Verdana" w:hAnsi="Times New Roman" w:cs="Times New Roman"/>
                <w:b/>
                <w:color w:val="FFFFFF"/>
                <w:sz w:val="18"/>
                <w:szCs w:val="14"/>
                <w:lang w:val="ro-RO"/>
              </w:rPr>
              <w:lastRenderedPageBreak/>
              <w:t>Măsuri în sectorul</w:t>
            </w:r>
            <w:r w:rsidR="00D4035F" w:rsidRPr="009C5F11">
              <w:rPr>
                <w:rFonts w:ascii="Times New Roman" w:eastAsia="Verdana" w:hAnsi="Times New Roman" w:cs="Times New Roman"/>
                <w:b/>
                <w:color w:val="FFFFFF"/>
                <w:sz w:val="18"/>
                <w:szCs w:val="14"/>
                <w:lang w:val="ro-RO"/>
              </w:rPr>
              <w:t xml:space="preserve"> construcţiilor</w:t>
            </w:r>
          </w:p>
        </w:tc>
      </w:tr>
      <w:tr w:rsidR="00780B2E" w:rsidRPr="009C5F11" w14:paraId="37F79F53" w14:textId="77777777" w:rsidTr="00CD5222">
        <w:trPr>
          <w:trHeight w:val="300"/>
        </w:trPr>
        <w:tc>
          <w:tcPr>
            <w:tcW w:w="424" w:type="pct"/>
            <w:shd w:val="clear" w:color="000000" w:fill="C5D9F1"/>
            <w:noWrap/>
            <w:vAlign w:val="center"/>
            <w:hideMark/>
          </w:tcPr>
          <w:p w14:paraId="5FA0F512"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B1</w:t>
            </w:r>
          </w:p>
          <w:p w14:paraId="3CE69552"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74FB4633"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Art.105</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shd w:val="clear" w:color="000000" w:fill="C5D9F1"/>
            <w:vAlign w:val="center"/>
            <w:hideMark/>
          </w:tcPr>
          <w:p w14:paraId="66C10371" w14:textId="77777777" w:rsidR="00780B2E" w:rsidRPr="009C5F11" w:rsidRDefault="002B232C"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Elaborarea cadrului legal cu privire la</w:t>
            </w:r>
            <w:r w:rsidR="00D160E1" w:rsidRPr="009C5F11">
              <w:rPr>
                <w:rFonts w:ascii="Times New Roman" w:eastAsia="Verdana" w:hAnsi="Times New Roman" w:cs="Times New Roman"/>
                <w:color w:val="000000"/>
                <w:sz w:val="18"/>
                <w:szCs w:val="14"/>
                <w:lang w:val="ro-RO"/>
              </w:rPr>
              <w:t xml:space="preserve"> performanţa energetică a clădirilor</w:t>
            </w:r>
          </w:p>
        </w:tc>
        <w:tc>
          <w:tcPr>
            <w:tcW w:w="321" w:type="pct"/>
            <w:shd w:val="clear" w:color="000000" w:fill="C5D9F1"/>
            <w:noWrap/>
            <w:vAlign w:val="center"/>
            <w:hideMark/>
          </w:tcPr>
          <w:p w14:paraId="15ADFC11"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w:t>
            </w:r>
          </w:p>
        </w:tc>
        <w:tc>
          <w:tcPr>
            <w:tcW w:w="322" w:type="pct"/>
            <w:shd w:val="clear" w:color="000000" w:fill="C5D9F1"/>
            <w:vAlign w:val="center"/>
          </w:tcPr>
          <w:p w14:paraId="4EABCEDF"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w:t>
            </w:r>
          </w:p>
        </w:tc>
        <w:tc>
          <w:tcPr>
            <w:tcW w:w="2381" w:type="pct"/>
            <w:shd w:val="clear" w:color="000000" w:fill="C5D9F1"/>
          </w:tcPr>
          <w:p w14:paraId="302C31C8"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parţial</w:t>
            </w:r>
          </w:p>
          <w:p w14:paraId="2A7E874C"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p w14:paraId="53192694" w14:textId="77777777" w:rsidR="00780B2E" w:rsidRPr="009C5F11" w:rsidRDefault="00201D7F"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A fost adoptată </w:t>
            </w:r>
            <w:r w:rsidR="000A4CC7" w:rsidRPr="009C5F11">
              <w:rPr>
                <w:rFonts w:ascii="Times New Roman" w:eastAsia="Verdana" w:hAnsi="Times New Roman" w:cs="Times New Roman"/>
                <w:color w:val="000000"/>
                <w:sz w:val="18"/>
                <w:szCs w:val="14"/>
                <w:lang w:val="ro-RO"/>
              </w:rPr>
              <w:t>Legea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privind performanţa energetică a clădirilor</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(nr. 128 din </w:t>
            </w:r>
            <w:r w:rsidR="00780B2E" w:rsidRPr="009C5F11">
              <w:rPr>
                <w:rFonts w:ascii="Times New Roman" w:eastAsia="Verdana" w:hAnsi="Times New Roman" w:cs="Times New Roman"/>
                <w:color w:val="000000"/>
                <w:sz w:val="18"/>
                <w:szCs w:val="14"/>
                <w:lang w:val="ro-RO"/>
              </w:rPr>
              <w:t>11.07.2014</w:t>
            </w:r>
            <w:r w:rsidRPr="009C5F11">
              <w:rPr>
                <w:rFonts w:ascii="Times New Roman" w:eastAsia="Verdana" w:hAnsi="Times New Roman" w:cs="Times New Roman"/>
                <w:color w:val="000000"/>
                <w:sz w:val="18"/>
                <w:szCs w:val="14"/>
                <w:lang w:val="ro-RO"/>
              </w:rPr>
              <w:t>); data intrării în</w:t>
            </w:r>
            <w:r w:rsidR="000C7BEC" w:rsidRPr="009C5F11">
              <w:rPr>
                <w:rFonts w:ascii="Times New Roman" w:eastAsia="Verdana" w:hAnsi="Times New Roman" w:cs="Times New Roman"/>
                <w:color w:val="000000"/>
                <w:sz w:val="18"/>
                <w:szCs w:val="14"/>
                <w:lang w:val="ro-RO"/>
              </w:rPr>
              <w:t xml:space="preserve"> vigoare</w:t>
            </w:r>
            <w:r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 01.01.2015;</w:t>
            </w:r>
          </w:p>
          <w:p w14:paraId="06E9EFE9" w14:textId="77777777" w:rsidR="00780B2E" w:rsidRPr="009C5F11" w:rsidRDefault="000A4CC7"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Legea</w:t>
            </w:r>
            <w:r w:rsidR="00780B2E" w:rsidRPr="009C5F11">
              <w:rPr>
                <w:rFonts w:ascii="Times New Roman" w:eastAsia="Verdana" w:hAnsi="Times New Roman" w:cs="Times New Roman"/>
                <w:color w:val="000000"/>
                <w:sz w:val="18"/>
                <w:szCs w:val="14"/>
                <w:lang w:val="ro-RO"/>
              </w:rPr>
              <w:t xml:space="preserve"> nr. 75 </w:t>
            </w:r>
            <w:r w:rsidR="000C7BEC" w:rsidRPr="009C5F11">
              <w:rPr>
                <w:rFonts w:ascii="Times New Roman" w:eastAsia="Verdana" w:hAnsi="Times New Roman" w:cs="Times New Roman"/>
                <w:color w:val="000000"/>
                <w:sz w:val="18"/>
                <w:szCs w:val="14"/>
                <w:lang w:val="ro-RO"/>
              </w:rPr>
              <w:t>privind</w:t>
            </w:r>
            <w:r w:rsidR="00780B2E" w:rsidRPr="009C5F11">
              <w:rPr>
                <w:rFonts w:ascii="Times New Roman" w:eastAsia="Verdana" w:hAnsi="Times New Roman" w:cs="Times New Roman"/>
                <w:sz w:val="18"/>
                <w:szCs w:val="14"/>
                <w:lang w:val="ro-RO"/>
              </w:rPr>
              <w:t xml:space="preserve"> </w:t>
            </w:r>
            <w:r w:rsidR="004424A0" w:rsidRPr="009C5F11">
              <w:rPr>
                <w:rFonts w:ascii="Times New Roman" w:eastAsia="Verdana" w:hAnsi="Times New Roman" w:cs="Times New Roman"/>
                <w:color w:val="000000"/>
                <w:sz w:val="18"/>
                <w:szCs w:val="14"/>
                <w:lang w:val="ro-RO"/>
              </w:rPr>
              <w:t>MoREEFF</w:t>
            </w:r>
            <w:r w:rsidR="00780B2E"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a fost pusă în aplicare</w:t>
            </w:r>
            <w:r w:rsidR="00321CD5" w:rsidRPr="009C5F11">
              <w:rPr>
                <w:rFonts w:ascii="Times New Roman" w:eastAsia="Verdana" w:hAnsi="Times New Roman" w:cs="Times New Roman"/>
                <w:color w:val="000000"/>
                <w:sz w:val="18"/>
                <w:szCs w:val="14"/>
                <w:lang w:val="ro-RO"/>
              </w:rPr>
              <w:t xml:space="preserve"> în </w:t>
            </w:r>
            <w:r w:rsidR="00DD550F" w:rsidRPr="009C5F11">
              <w:rPr>
                <w:rFonts w:ascii="Times New Roman" w:eastAsia="Verdana" w:hAnsi="Times New Roman" w:cs="Times New Roman"/>
                <w:color w:val="000000"/>
                <w:sz w:val="18"/>
                <w:szCs w:val="14"/>
                <w:lang w:val="ro-RO"/>
              </w:rPr>
              <w:t xml:space="preserve">2012 </w:t>
            </w:r>
            <w:r w:rsidR="004424A0" w:rsidRPr="009C5F11">
              <w:rPr>
                <w:rFonts w:ascii="Times New Roman" w:eastAsia="Verdana" w:hAnsi="Times New Roman" w:cs="Times New Roman"/>
                <w:color w:val="000000"/>
                <w:sz w:val="18"/>
                <w:szCs w:val="14"/>
                <w:lang w:val="ro-RO"/>
              </w:rPr>
              <w:t>şi</w:t>
            </w:r>
            <w:r w:rsidR="00DD550F"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la situaţia din</w:t>
            </w:r>
            <w:r w:rsidR="00DD550F"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 xml:space="preserve">9 </w:t>
            </w:r>
            <w:r w:rsidRPr="009C5F11">
              <w:rPr>
                <w:rFonts w:ascii="Times New Roman" w:eastAsia="Verdana" w:hAnsi="Times New Roman" w:cs="Times New Roman"/>
                <w:color w:val="000000"/>
                <w:sz w:val="18"/>
                <w:szCs w:val="14"/>
                <w:lang w:val="ro-RO"/>
              </w:rPr>
              <w:t>februarie</w:t>
            </w:r>
            <w:r w:rsidR="00780B2E" w:rsidRPr="009C5F11">
              <w:rPr>
                <w:rFonts w:ascii="Times New Roman" w:eastAsia="Verdana" w:hAnsi="Times New Roman" w:cs="Times New Roman"/>
                <w:color w:val="000000"/>
                <w:sz w:val="18"/>
                <w:szCs w:val="14"/>
                <w:lang w:val="ro-RO"/>
              </w:rPr>
              <w:t xml:space="preserve"> 2016, </w:t>
            </w:r>
            <w:r w:rsidR="004424A0" w:rsidRPr="009C5F11">
              <w:rPr>
                <w:rFonts w:ascii="Times New Roman" w:eastAsia="Verdana" w:hAnsi="Times New Roman" w:cs="Times New Roman"/>
                <w:color w:val="000000"/>
                <w:sz w:val="18"/>
                <w:szCs w:val="14"/>
                <w:lang w:val="ro-RO"/>
              </w:rPr>
              <w:t>a realizat economii de energie în sumă de</w:t>
            </w:r>
            <w:r w:rsidR="00780B2E" w:rsidRPr="009C5F11">
              <w:rPr>
                <w:rFonts w:ascii="Times New Roman" w:eastAsia="Verdana" w:hAnsi="Times New Roman" w:cs="Times New Roman"/>
                <w:color w:val="000000"/>
                <w:sz w:val="18"/>
                <w:szCs w:val="14"/>
                <w:lang w:val="ro-RO"/>
              </w:rPr>
              <w:t xml:space="preserve"> 13</w:t>
            </w:r>
            <w:r w:rsidR="00DD550F"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715 MWh/</w:t>
            </w:r>
            <w:r w:rsidR="004424A0" w:rsidRPr="009C5F11">
              <w:rPr>
                <w:rFonts w:ascii="Times New Roman" w:eastAsia="Verdana" w:hAnsi="Times New Roman" w:cs="Times New Roman"/>
                <w:color w:val="000000"/>
                <w:sz w:val="18"/>
                <w:szCs w:val="14"/>
                <w:lang w:val="ro-RO"/>
              </w:rPr>
              <w:t>an</w:t>
            </w:r>
            <w:r w:rsidR="00321CD5" w:rsidRPr="009C5F11">
              <w:rPr>
                <w:rFonts w:ascii="Times New Roman" w:eastAsia="Verdana" w:hAnsi="Times New Roman" w:cs="Times New Roman"/>
                <w:color w:val="000000"/>
                <w:sz w:val="18"/>
                <w:szCs w:val="14"/>
                <w:lang w:val="ro-RO"/>
              </w:rPr>
              <w:t xml:space="preserve"> sau </w:t>
            </w:r>
            <w:r w:rsidR="00780B2E" w:rsidRPr="009C5F11">
              <w:rPr>
                <w:rFonts w:ascii="Times New Roman" w:eastAsia="Verdana" w:hAnsi="Times New Roman" w:cs="Times New Roman"/>
                <w:color w:val="000000"/>
                <w:sz w:val="18"/>
                <w:szCs w:val="14"/>
                <w:lang w:val="ro-RO"/>
              </w:rPr>
              <w:t xml:space="preserve">1.18 </w:t>
            </w:r>
            <w:r w:rsidR="00E52940" w:rsidRPr="009C5F11">
              <w:rPr>
                <w:rFonts w:ascii="Times New Roman" w:eastAsia="Verdana" w:hAnsi="Times New Roman" w:cs="Times New Roman"/>
                <w:color w:val="000000"/>
                <w:sz w:val="18"/>
                <w:szCs w:val="14"/>
                <w:lang w:val="ro-RO"/>
              </w:rPr>
              <w:t>ktep</w:t>
            </w:r>
            <w:r w:rsidR="00780B2E" w:rsidRPr="009C5F11">
              <w:rPr>
                <w:rFonts w:ascii="Times New Roman" w:eastAsia="Verdana" w:hAnsi="Times New Roman" w:cs="Times New Roman"/>
                <w:color w:val="000000"/>
                <w:sz w:val="18"/>
                <w:szCs w:val="14"/>
                <w:lang w:val="ro-RO"/>
              </w:rPr>
              <w:t>/</w:t>
            </w:r>
            <w:r w:rsidR="004424A0" w:rsidRPr="009C5F11">
              <w:rPr>
                <w:rFonts w:ascii="Times New Roman" w:eastAsia="Verdana" w:hAnsi="Times New Roman" w:cs="Times New Roman"/>
                <w:color w:val="000000"/>
                <w:sz w:val="18"/>
                <w:szCs w:val="14"/>
                <w:lang w:val="ro-RO"/>
              </w:rPr>
              <w:t>an</w:t>
            </w:r>
            <w:r w:rsidR="00780B2E"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La data indicată</w:t>
            </w:r>
            <w:r w:rsidR="00780B2E"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Programul</w:t>
            </w:r>
            <w:r w:rsidR="00780B2E"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MoREEFF</w:t>
            </w:r>
            <w:r w:rsidR="00780B2E"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 xml:space="preserve">contractase 1,719 împrumuturi de </w:t>
            </w:r>
            <w:r w:rsidR="000C7BEC" w:rsidRPr="009C5F11">
              <w:rPr>
                <w:rFonts w:ascii="Times New Roman" w:eastAsia="Verdana" w:hAnsi="Times New Roman" w:cs="Times New Roman"/>
                <w:color w:val="000000"/>
                <w:sz w:val="18"/>
                <w:szCs w:val="14"/>
                <w:lang w:val="ro-RO"/>
              </w:rPr>
              <w:t>eficienţă energetică</w:t>
            </w:r>
            <w:r w:rsidR="00780B2E"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în sumă de</w:t>
            </w:r>
            <w:r w:rsidR="00780B2E" w:rsidRPr="009C5F11">
              <w:rPr>
                <w:rFonts w:ascii="Times New Roman" w:eastAsia="Verdana" w:hAnsi="Times New Roman" w:cs="Times New Roman"/>
                <w:color w:val="000000"/>
                <w:sz w:val="18"/>
                <w:szCs w:val="14"/>
                <w:lang w:val="ro-RO"/>
              </w:rPr>
              <w:t xml:space="preserve"> 6</w:t>
            </w:r>
            <w:r w:rsidR="00DD550F"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255</w:t>
            </w:r>
            <w:r w:rsidR="00DD550F"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703 </w:t>
            </w:r>
            <w:r w:rsidR="00FE56F2" w:rsidRPr="009C5F11">
              <w:rPr>
                <w:rFonts w:ascii="Times New Roman" w:eastAsia="Verdana" w:hAnsi="Times New Roman" w:cs="Times New Roman"/>
                <w:color w:val="000000"/>
                <w:sz w:val="18"/>
                <w:szCs w:val="14"/>
                <w:lang w:val="ro-RO"/>
              </w:rPr>
              <w:t>e</w:t>
            </w:r>
            <w:r w:rsidR="00780B2E" w:rsidRPr="009C5F11">
              <w:rPr>
                <w:rFonts w:ascii="Times New Roman" w:eastAsia="Verdana" w:hAnsi="Times New Roman" w:cs="Times New Roman"/>
                <w:color w:val="000000"/>
                <w:sz w:val="18"/>
                <w:szCs w:val="14"/>
                <w:lang w:val="ro-RO"/>
              </w:rPr>
              <w:t>uro</w:t>
            </w:r>
            <w:r w:rsidR="00321CD5" w:rsidRPr="009C5F11">
              <w:rPr>
                <w:rFonts w:ascii="Times New Roman" w:eastAsia="Verdana" w:hAnsi="Times New Roman" w:cs="Times New Roman"/>
                <w:color w:val="000000"/>
                <w:sz w:val="18"/>
                <w:szCs w:val="14"/>
                <w:lang w:val="ro-RO"/>
              </w:rPr>
              <w:t xml:space="preserve"> şi </w:t>
            </w:r>
            <w:r w:rsidR="004424A0" w:rsidRPr="009C5F11">
              <w:rPr>
                <w:rFonts w:ascii="Times New Roman" w:eastAsia="Verdana" w:hAnsi="Times New Roman" w:cs="Times New Roman"/>
                <w:color w:val="000000"/>
                <w:sz w:val="18"/>
                <w:szCs w:val="14"/>
                <w:lang w:val="ro-RO"/>
              </w:rPr>
              <w:t xml:space="preserve">granturi de stimulare în sumă de </w:t>
            </w:r>
            <w:r w:rsidR="00780B2E" w:rsidRPr="009C5F11">
              <w:rPr>
                <w:rFonts w:ascii="Times New Roman" w:eastAsia="Verdana" w:hAnsi="Times New Roman" w:cs="Times New Roman"/>
                <w:color w:val="000000"/>
                <w:sz w:val="18"/>
                <w:szCs w:val="14"/>
                <w:lang w:val="ro-RO"/>
              </w:rPr>
              <w:t>1</w:t>
            </w:r>
            <w:r w:rsidR="00DD550F"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767</w:t>
            </w:r>
            <w:r w:rsidR="00DD550F"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411 </w:t>
            </w:r>
            <w:r w:rsidR="00FE56F2" w:rsidRPr="009C5F11">
              <w:rPr>
                <w:rFonts w:ascii="Times New Roman" w:eastAsia="Verdana" w:hAnsi="Times New Roman" w:cs="Times New Roman"/>
                <w:color w:val="000000"/>
                <w:sz w:val="18"/>
                <w:szCs w:val="14"/>
                <w:lang w:val="ro-RO"/>
              </w:rPr>
              <w:t>e</w:t>
            </w:r>
            <w:r w:rsidR="00780B2E" w:rsidRPr="009C5F11">
              <w:rPr>
                <w:rFonts w:ascii="Times New Roman" w:eastAsia="Verdana" w:hAnsi="Times New Roman" w:cs="Times New Roman"/>
                <w:color w:val="000000"/>
                <w:sz w:val="18"/>
                <w:szCs w:val="14"/>
                <w:lang w:val="ro-RO"/>
              </w:rPr>
              <w:t xml:space="preserve">uro. </w:t>
            </w:r>
            <w:r w:rsidR="004424A0" w:rsidRPr="009C5F11">
              <w:rPr>
                <w:rFonts w:ascii="Times New Roman" w:eastAsia="Verdana" w:hAnsi="Times New Roman" w:cs="Times New Roman"/>
                <w:color w:val="000000"/>
                <w:sz w:val="18"/>
                <w:szCs w:val="14"/>
                <w:lang w:val="ro-RO"/>
              </w:rPr>
              <w:t>Raportul împrumuturi</w:t>
            </w:r>
            <w:r w:rsidR="00780B2E" w:rsidRPr="009C5F11">
              <w:rPr>
                <w:rFonts w:ascii="Times New Roman" w:eastAsia="Verdana" w:hAnsi="Times New Roman" w:cs="Times New Roman"/>
                <w:color w:val="000000"/>
                <w:sz w:val="18"/>
                <w:szCs w:val="14"/>
                <w:lang w:val="ro-RO"/>
              </w:rPr>
              <w:t>/</w:t>
            </w:r>
            <w:r w:rsidR="004424A0" w:rsidRPr="009C5F11">
              <w:rPr>
                <w:rFonts w:ascii="Times New Roman" w:eastAsia="Verdana" w:hAnsi="Times New Roman" w:cs="Times New Roman"/>
                <w:color w:val="000000"/>
                <w:sz w:val="18"/>
                <w:szCs w:val="14"/>
                <w:lang w:val="ro-RO"/>
              </w:rPr>
              <w:t>economii de energie</w:t>
            </w:r>
            <w:r w:rsidR="00DD550F" w:rsidRPr="009C5F11">
              <w:rPr>
                <w:rFonts w:ascii="Times New Roman" w:eastAsia="Verdana" w:hAnsi="Times New Roman" w:cs="Times New Roman"/>
                <w:color w:val="000000"/>
                <w:sz w:val="18"/>
                <w:szCs w:val="14"/>
                <w:lang w:val="ro-RO"/>
              </w:rPr>
              <w:t xml:space="preserve"> </w:t>
            </w:r>
            <w:r w:rsidR="00401943" w:rsidRPr="009C5F11">
              <w:rPr>
                <w:rFonts w:ascii="Times New Roman" w:eastAsia="Verdana" w:hAnsi="Times New Roman" w:cs="Times New Roman"/>
                <w:color w:val="000000"/>
                <w:sz w:val="18"/>
                <w:szCs w:val="14"/>
                <w:lang w:val="ro-RO"/>
              </w:rPr>
              <w:t>constituie</w:t>
            </w:r>
            <w:r w:rsidR="00DD550F" w:rsidRPr="009C5F11">
              <w:rPr>
                <w:rFonts w:ascii="Times New Roman" w:eastAsia="Verdana" w:hAnsi="Times New Roman" w:cs="Times New Roman"/>
                <w:color w:val="000000"/>
                <w:sz w:val="18"/>
                <w:szCs w:val="14"/>
                <w:lang w:val="ro-RO"/>
              </w:rPr>
              <w:t xml:space="preserve"> 5.3 euro per 1 </w:t>
            </w:r>
            <w:r w:rsidR="00E52940" w:rsidRPr="009C5F11">
              <w:rPr>
                <w:rFonts w:ascii="Times New Roman" w:eastAsia="Verdana" w:hAnsi="Times New Roman" w:cs="Times New Roman"/>
                <w:color w:val="000000"/>
                <w:sz w:val="18"/>
                <w:szCs w:val="14"/>
                <w:lang w:val="ro-RO"/>
              </w:rPr>
              <w:t>ktep</w:t>
            </w:r>
            <w:r w:rsidR="00780B2E" w:rsidRPr="009C5F11">
              <w:rPr>
                <w:rFonts w:ascii="Times New Roman" w:eastAsia="Verdana" w:hAnsi="Times New Roman" w:cs="Times New Roman"/>
                <w:color w:val="000000"/>
                <w:sz w:val="18"/>
                <w:szCs w:val="14"/>
                <w:lang w:val="ro-RO"/>
              </w:rPr>
              <w:t>.</w:t>
            </w:r>
          </w:p>
          <w:p w14:paraId="57A55F96" w14:textId="77777777" w:rsidR="00780B2E" w:rsidRPr="009C5F11" w:rsidRDefault="00927CD9"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Potrivit</w:t>
            </w:r>
            <w:r w:rsidR="00780B2E" w:rsidRPr="009C5F11">
              <w:rPr>
                <w:rFonts w:ascii="Times New Roman" w:eastAsia="Verdana" w:hAnsi="Times New Roman" w:cs="Times New Roman"/>
                <w:color w:val="000000"/>
                <w:sz w:val="18"/>
                <w:szCs w:val="14"/>
                <w:lang w:val="ro-RO"/>
              </w:rPr>
              <w:t xml:space="preserve"> </w:t>
            </w:r>
            <w:r w:rsidR="00D4035F" w:rsidRPr="009C5F11">
              <w:rPr>
                <w:rFonts w:ascii="Times New Roman" w:eastAsia="Verdana" w:hAnsi="Times New Roman" w:cs="Times New Roman"/>
                <w:color w:val="000000"/>
                <w:sz w:val="18"/>
                <w:szCs w:val="14"/>
                <w:lang w:val="ro-RO"/>
              </w:rPr>
              <w:t>raportului</w:t>
            </w:r>
            <w:r w:rsidR="00780B2E" w:rsidRPr="009C5F11">
              <w:rPr>
                <w:rFonts w:ascii="Times New Roman" w:eastAsia="Verdana" w:hAnsi="Times New Roman" w:cs="Times New Roman"/>
                <w:color w:val="000000"/>
                <w:sz w:val="18"/>
                <w:szCs w:val="14"/>
                <w:lang w:val="ro-RO"/>
              </w:rPr>
              <w:t xml:space="preserve"> </w:t>
            </w:r>
            <w:r w:rsidR="00AA0566" w:rsidRPr="009C5F11">
              <w:rPr>
                <w:rFonts w:ascii="Times New Roman" w:eastAsia="Verdana" w:hAnsi="Times New Roman" w:cs="Times New Roman"/>
                <w:color w:val="000000"/>
                <w:sz w:val="18"/>
                <w:szCs w:val="14"/>
                <w:lang w:val="ro-RO"/>
              </w:rPr>
              <w:t>AEE</w:t>
            </w:r>
            <w:r w:rsidR="00780B2E" w:rsidRPr="009C5F11">
              <w:rPr>
                <w:rFonts w:ascii="Times New Roman" w:eastAsia="Verdana" w:hAnsi="Times New Roman" w:cs="Times New Roman"/>
                <w:color w:val="000000"/>
                <w:sz w:val="18"/>
                <w:szCs w:val="14"/>
                <w:lang w:val="ro-RO"/>
              </w:rPr>
              <w:t xml:space="preserve"> (</w:t>
            </w:r>
            <w:r w:rsidR="00AA0566" w:rsidRPr="009C5F11">
              <w:rPr>
                <w:rFonts w:ascii="Times New Roman" w:eastAsia="Verdana" w:hAnsi="Times New Roman" w:cs="Times New Roman"/>
                <w:color w:val="000000"/>
                <w:sz w:val="18"/>
                <w:szCs w:val="14"/>
                <w:lang w:val="ro-RO"/>
              </w:rPr>
              <w:t>MDRC</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în </w:t>
            </w:r>
            <w:r w:rsidR="00780B2E" w:rsidRPr="009C5F11">
              <w:rPr>
                <w:rFonts w:ascii="Times New Roman" w:eastAsia="Verdana" w:hAnsi="Times New Roman" w:cs="Times New Roman"/>
                <w:color w:val="000000"/>
                <w:sz w:val="18"/>
                <w:szCs w:val="14"/>
                <w:lang w:val="ro-RO"/>
              </w:rPr>
              <w:t xml:space="preserve">2013, </w:t>
            </w:r>
            <w:r w:rsidR="004424A0" w:rsidRPr="009C5F11">
              <w:rPr>
                <w:rFonts w:ascii="Times New Roman" w:eastAsia="Verdana" w:hAnsi="Times New Roman" w:cs="Times New Roman"/>
                <w:color w:val="000000"/>
                <w:sz w:val="18"/>
                <w:szCs w:val="14"/>
                <w:lang w:val="ro-RO"/>
              </w:rPr>
              <w:t xml:space="preserve">au fost adoptate peste </w:t>
            </w:r>
            <w:r w:rsidR="00780B2E" w:rsidRPr="009C5F11">
              <w:rPr>
                <w:rFonts w:ascii="Times New Roman" w:eastAsia="Verdana" w:hAnsi="Times New Roman" w:cs="Times New Roman"/>
                <w:color w:val="000000"/>
                <w:sz w:val="18"/>
                <w:szCs w:val="14"/>
                <w:lang w:val="ro-RO"/>
              </w:rPr>
              <w:t>100 standard</w:t>
            </w:r>
            <w:r w:rsidR="004424A0" w:rsidRPr="009C5F11">
              <w:rPr>
                <w:rFonts w:ascii="Times New Roman" w:eastAsia="Verdana" w:hAnsi="Times New Roman" w:cs="Times New Roman"/>
                <w:color w:val="000000"/>
                <w:sz w:val="18"/>
                <w:szCs w:val="14"/>
                <w:lang w:val="ro-RO"/>
              </w:rPr>
              <w:t>e UE</w:t>
            </w:r>
            <w:r w:rsidR="00321CD5" w:rsidRPr="009C5F11">
              <w:rPr>
                <w:rFonts w:ascii="Times New Roman" w:eastAsia="Verdana" w:hAnsi="Times New Roman" w:cs="Times New Roman"/>
                <w:color w:val="000000"/>
                <w:sz w:val="18"/>
                <w:szCs w:val="14"/>
                <w:lang w:val="ro-RO"/>
              </w:rPr>
              <w:t xml:space="preserve"> în </w:t>
            </w:r>
            <w:r w:rsidR="004424A0" w:rsidRPr="009C5F11">
              <w:rPr>
                <w:rFonts w:ascii="Times New Roman" w:eastAsia="Verdana" w:hAnsi="Times New Roman" w:cs="Times New Roman"/>
                <w:color w:val="000000"/>
                <w:sz w:val="18"/>
                <w:szCs w:val="14"/>
                <w:lang w:val="ro-RO"/>
              </w:rPr>
              <w:t>domeniul performanţei energetice a clădirilor</w:t>
            </w:r>
            <w:r w:rsidR="00780B2E" w:rsidRPr="009C5F11">
              <w:rPr>
                <w:rFonts w:ascii="Times New Roman" w:eastAsia="Verdana" w:hAnsi="Times New Roman" w:cs="Times New Roman"/>
                <w:color w:val="000000"/>
                <w:sz w:val="18"/>
                <w:szCs w:val="14"/>
                <w:lang w:val="ro-RO"/>
              </w:rPr>
              <w:t xml:space="preserve">. </w:t>
            </w:r>
            <w:r w:rsidR="00055095" w:rsidRPr="009C5F11">
              <w:rPr>
                <w:rFonts w:ascii="Times New Roman" w:eastAsia="Verdana" w:hAnsi="Times New Roman" w:cs="Times New Roman"/>
                <w:color w:val="000000"/>
                <w:sz w:val="18"/>
                <w:szCs w:val="14"/>
                <w:lang w:val="ro-RO"/>
              </w:rPr>
              <w:t xml:space="preserve">Legea </w:t>
            </w:r>
            <w:r w:rsidR="004424A0" w:rsidRPr="009C5F11">
              <w:rPr>
                <w:rFonts w:ascii="Times New Roman" w:eastAsia="Verdana" w:hAnsi="Times New Roman" w:cs="Times New Roman"/>
                <w:color w:val="000000"/>
                <w:sz w:val="18"/>
                <w:szCs w:val="14"/>
                <w:lang w:val="ro-RO"/>
              </w:rPr>
              <w:t>nr. 75 cu privire la locuinţe a fost</w:t>
            </w:r>
            <w:r w:rsidR="00780B2E" w:rsidRPr="009C5F11">
              <w:rPr>
                <w:rFonts w:ascii="Times New Roman" w:eastAsia="Verdana" w:hAnsi="Times New Roman" w:cs="Times New Roman"/>
                <w:color w:val="000000"/>
                <w:sz w:val="18"/>
                <w:szCs w:val="14"/>
                <w:lang w:val="ro-RO"/>
              </w:rPr>
              <w:t xml:space="preserve"> adopt</w:t>
            </w:r>
            <w:r w:rsidR="004424A0" w:rsidRPr="009C5F11">
              <w:rPr>
                <w:rFonts w:ascii="Times New Roman" w:eastAsia="Verdana" w:hAnsi="Times New Roman" w:cs="Times New Roman"/>
                <w:color w:val="000000"/>
                <w:sz w:val="18"/>
                <w:szCs w:val="14"/>
                <w:lang w:val="ro-RO"/>
              </w:rPr>
              <w:t>ată</w:t>
            </w:r>
            <w:r w:rsidR="00780B2E"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la</w:t>
            </w:r>
            <w:r w:rsidR="00780B2E" w:rsidRPr="009C5F11">
              <w:rPr>
                <w:rFonts w:ascii="Times New Roman" w:eastAsia="Verdana" w:hAnsi="Times New Roman" w:cs="Times New Roman"/>
                <w:color w:val="000000"/>
                <w:sz w:val="18"/>
                <w:szCs w:val="14"/>
                <w:lang w:val="ro-RO"/>
              </w:rPr>
              <w:t xml:space="preserve"> 30.04.2015</w:t>
            </w:r>
            <w:r w:rsidR="00321CD5" w:rsidRPr="009C5F11">
              <w:rPr>
                <w:rFonts w:ascii="Times New Roman" w:eastAsia="Verdana" w:hAnsi="Times New Roman" w:cs="Times New Roman"/>
                <w:color w:val="000000"/>
                <w:sz w:val="18"/>
                <w:szCs w:val="14"/>
                <w:lang w:val="ro-RO"/>
              </w:rPr>
              <w:t xml:space="preserve"> şi </w:t>
            </w:r>
            <w:r w:rsidR="000C7BEC" w:rsidRPr="009C5F11">
              <w:rPr>
                <w:rFonts w:ascii="Times New Roman" w:eastAsia="Verdana" w:hAnsi="Times New Roman" w:cs="Times New Roman"/>
                <w:color w:val="000000"/>
                <w:sz w:val="18"/>
                <w:szCs w:val="14"/>
                <w:lang w:val="ro-RO"/>
              </w:rPr>
              <w:t>a intrat în vigoare la</w:t>
            </w:r>
            <w:r w:rsidR="00780B2E" w:rsidRPr="009C5F11">
              <w:rPr>
                <w:rFonts w:ascii="Times New Roman" w:eastAsia="Verdana" w:hAnsi="Times New Roman" w:cs="Times New Roman"/>
                <w:color w:val="000000"/>
                <w:sz w:val="18"/>
                <w:szCs w:val="14"/>
                <w:lang w:val="ro-RO"/>
              </w:rPr>
              <w:t xml:space="preserve"> 29.11.2015</w:t>
            </w:r>
            <w:r w:rsidR="004424A0" w:rsidRPr="009C5F11">
              <w:rPr>
                <w:rFonts w:ascii="Times New Roman" w:eastAsia="Verdana" w:hAnsi="Times New Roman" w:cs="Times New Roman"/>
                <w:color w:val="000000"/>
                <w:sz w:val="18"/>
                <w:szCs w:val="14"/>
                <w:lang w:val="ro-RO"/>
              </w:rPr>
              <w:t>.</w:t>
            </w:r>
          </w:p>
          <w:p w14:paraId="7E50E231" w14:textId="77777777" w:rsidR="00780B2E" w:rsidRPr="009C5F11" w:rsidRDefault="00927CD9"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Hotărârea Guvernului RM</w:t>
            </w:r>
            <w:r w:rsidR="00780B2E" w:rsidRPr="009C5F11">
              <w:rPr>
                <w:rFonts w:ascii="Times New Roman" w:eastAsia="Verdana" w:hAnsi="Times New Roman" w:cs="Times New Roman"/>
                <w:color w:val="000000"/>
                <w:sz w:val="18"/>
                <w:szCs w:val="14"/>
                <w:lang w:val="ro-RO"/>
              </w:rPr>
              <w:t xml:space="preserve"> nr. 933 </w:t>
            </w:r>
            <w:r w:rsidR="00D4035F" w:rsidRPr="009C5F11">
              <w:rPr>
                <w:rFonts w:ascii="Times New Roman" w:eastAsia="Verdana" w:hAnsi="Times New Roman" w:cs="Times New Roman"/>
                <w:color w:val="000000"/>
                <w:sz w:val="18"/>
                <w:szCs w:val="14"/>
                <w:lang w:val="ro-RO"/>
              </w:rPr>
              <w:t xml:space="preserve">din </w:t>
            </w:r>
            <w:r w:rsidR="00780B2E" w:rsidRPr="009C5F11">
              <w:rPr>
                <w:rFonts w:ascii="Times New Roman" w:eastAsia="Verdana" w:hAnsi="Times New Roman" w:cs="Times New Roman"/>
                <w:color w:val="000000"/>
                <w:sz w:val="18"/>
                <w:szCs w:val="14"/>
                <w:lang w:val="ro-RO"/>
              </w:rPr>
              <w:t xml:space="preserve">12.11.2014 </w:t>
            </w:r>
            <w:r w:rsidR="004424A0" w:rsidRPr="009C5F11">
              <w:rPr>
                <w:rFonts w:ascii="Times New Roman" w:eastAsia="Verdana" w:hAnsi="Times New Roman" w:cs="Times New Roman"/>
                <w:color w:val="000000"/>
                <w:sz w:val="18"/>
                <w:szCs w:val="14"/>
                <w:lang w:val="ro-RO"/>
              </w:rPr>
              <w:t>a adoptat</w:t>
            </w:r>
            <w:r w:rsidR="00780B2E"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Planul de acţiune</w:t>
            </w:r>
            <w:r w:rsidR="00780B2E"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pentru anii 2014-2020</w:t>
            </w:r>
            <w:r w:rsidR="00780B2E" w:rsidRPr="009C5F11">
              <w:rPr>
                <w:rFonts w:ascii="Times New Roman" w:eastAsia="Verdana" w:hAnsi="Times New Roman" w:cs="Times New Roman"/>
                <w:color w:val="000000"/>
                <w:sz w:val="18"/>
                <w:szCs w:val="14"/>
                <w:lang w:val="ro-RO"/>
              </w:rPr>
              <w:t xml:space="preserve"> </w:t>
            </w:r>
            <w:r w:rsidR="00016A4B" w:rsidRPr="009C5F11">
              <w:rPr>
                <w:rFonts w:ascii="Times New Roman" w:eastAsia="Times New Roman" w:hAnsi="Times New Roman" w:cs="Times New Roman"/>
                <w:bCs/>
                <w:color w:val="000000"/>
                <w:sz w:val="18"/>
                <w:szCs w:val="14"/>
                <w:lang w:val="ro-RO"/>
              </w:rPr>
              <w:t>cu privire la armonizarea reglementărilor tehnice şi a standardelor naţionale în domeniul construcţiilor cu legislaţia şi standardele europene</w:t>
            </w:r>
            <w:r w:rsidR="00780B2E" w:rsidRPr="009C5F11">
              <w:rPr>
                <w:rFonts w:ascii="Times New Roman" w:eastAsia="Verdana" w:hAnsi="Times New Roman" w:cs="Times New Roman"/>
                <w:color w:val="000000"/>
                <w:sz w:val="18"/>
                <w:szCs w:val="14"/>
                <w:lang w:val="ro-RO"/>
              </w:rPr>
              <w:t xml:space="preserve">. </w:t>
            </w:r>
            <w:r w:rsidR="00016A4B" w:rsidRPr="009C5F11">
              <w:rPr>
                <w:rFonts w:ascii="Times New Roman" w:eastAsia="Verdana" w:hAnsi="Times New Roman" w:cs="Times New Roman"/>
                <w:color w:val="000000"/>
                <w:sz w:val="18"/>
                <w:szCs w:val="14"/>
                <w:lang w:val="ro-RO"/>
              </w:rPr>
              <w:t>Autorităţile naţionale</w:t>
            </w:r>
            <w:r w:rsidR="00780B2E" w:rsidRPr="009C5F11">
              <w:rPr>
                <w:rFonts w:ascii="Times New Roman" w:eastAsia="Verdana" w:hAnsi="Times New Roman" w:cs="Times New Roman"/>
                <w:color w:val="000000"/>
                <w:sz w:val="18"/>
                <w:szCs w:val="14"/>
                <w:lang w:val="ro-RO"/>
              </w:rPr>
              <w:t xml:space="preserve"> </w:t>
            </w:r>
            <w:r w:rsidR="00401943" w:rsidRPr="009C5F11">
              <w:rPr>
                <w:rFonts w:ascii="Times New Roman" w:eastAsia="Verdana" w:hAnsi="Times New Roman" w:cs="Times New Roman"/>
                <w:color w:val="000000"/>
                <w:sz w:val="18"/>
                <w:szCs w:val="14"/>
                <w:lang w:val="ro-RO"/>
              </w:rPr>
              <w:t>responsabile</w:t>
            </w:r>
            <w:r w:rsidR="00780B2E" w:rsidRPr="009C5F11">
              <w:rPr>
                <w:rFonts w:ascii="Times New Roman" w:eastAsia="Verdana" w:hAnsi="Times New Roman" w:cs="Times New Roman"/>
                <w:color w:val="000000"/>
                <w:sz w:val="18"/>
                <w:szCs w:val="14"/>
                <w:lang w:val="ro-RO"/>
              </w:rPr>
              <w:t xml:space="preserve"> </w:t>
            </w:r>
            <w:r w:rsidR="00016A4B" w:rsidRPr="009C5F11">
              <w:rPr>
                <w:rFonts w:ascii="Times New Roman" w:eastAsia="Verdana" w:hAnsi="Times New Roman" w:cs="Times New Roman"/>
                <w:color w:val="000000"/>
                <w:sz w:val="18"/>
                <w:szCs w:val="14"/>
                <w:lang w:val="ro-RO"/>
              </w:rPr>
              <w:t>pentru</w:t>
            </w:r>
            <w:r w:rsidR="00780B2E" w:rsidRPr="009C5F11">
              <w:rPr>
                <w:rFonts w:ascii="Times New Roman" w:eastAsia="Verdana" w:hAnsi="Times New Roman" w:cs="Times New Roman"/>
                <w:color w:val="000000"/>
                <w:sz w:val="18"/>
                <w:szCs w:val="14"/>
                <w:lang w:val="ro-RO"/>
              </w:rPr>
              <w:t xml:space="preserve"> </w:t>
            </w:r>
            <w:r w:rsidR="00532A33" w:rsidRPr="009C5F11">
              <w:rPr>
                <w:rFonts w:ascii="Times New Roman" w:eastAsia="Verdana" w:hAnsi="Times New Roman" w:cs="Times New Roman"/>
                <w:color w:val="000000"/>
                <w:sz w:val="18"/>
                <w:szCs w:val="14"/>
                <w:lang w:val="ro-RO"/>
              </w:rPr>
              <w:t>implementarea</w:t>
            </w:r>
            <w:r w:rsidR="00780B2E" w:rsidRPr="009C5F11">
              <w:rPr>
                <w:rFonts w:ascii="Times New Roman" w:eastAsia="Verdana" w:hAnsi="Times New Roman" w:cs="Times New Roman"/>
                <w:color w:val="000000"/>
                <w:sz w:val="18"/>
                <w:szCs w:val="14"/>
                <w:lang w:val="ro-RO"/>
              </w:rPr>
              <w:t xml:space="preserve"> </w:t>
            </w:r>
            <w:r w:rsidR="00016A4B" w:rsidRPr="009C5F11">
              <w:rPr>
                <w:rFonts w:ascii="Times New Roman" w:eastAsia="Verdana" w:hAnsi="Times New Roman" w:cs="Times New Roman"/>
                <w:color w:val="000000"/>
                <w:sz w:val="18"/>
                <w:szCs w:val="14"/>
                <w:lang w:val="ro-RO"/>
              </w:rPr>
              <w:t>acestui</w:t>
            </w:r>
            <w:r w:rsidR="00780B2E" w:rsidRPr="009C5F11">
              <w:rPr>
                <w:rFonts w:ascii="Times New Roman" w:eastAsia="Verdana" w:hAnsi="Times New Roman" w:cs="Times New Roman"/>
                <w:color w:val="000000"/>
                <w:sz w:val="18"/>
                <w:szCs w:val="14"/>
                <w:lang w:val="ro-RO"/>
              </w:rPr>
              <w:t xml:space="preserve"> Plan </w:t>
            </w:r>
            <w:r w:rsidR="00016A4B" w:rsidRPr="009C5F11">
              <w:rPr>
                <w:rFonts w:ascii="Times New Roman" w:eastAsia="Verdana" w:hAnsi="Times New Roman" w:cs="Times New Roman"/>
                <w:color w:val="000000"/>
                <w:sz w:val="18"/>
                <w:szCs w:val="14"/>
                <w:lang w:val="ro-RO"/>
              </w:rPr>
              <w:t>sunt</w:t>
            </w:r>
            <w:r w:rsidR="00780B2E" w:rsidRPr="009C5F11">
              <w:rPr>
                <w:rFonts w:ascii="Times New Roman" w:eastAsia="Verdana" w:hAnsi="Times New Roman" w:cs="Times New Roman"/>
                <w:color w:val="000000"/>
                <w:sz w:val="18"/>
                <w:szCs w:val="14"/>
                <w:lang w:val="ro-RO"/>
              </w:rPr>
              <w:t xml:space="preserve"> </w:t>
            </w:r>
            <w:r w:rsidR="00AA0566" w:rsidRPr="009C5F11">
              <w:rPr>
                <w:rFonts w:ascii="Times New Roman" w:eastAsia="Verdana" w:hAnsi="Times New Roman" w:cs="Times New Roman"/>
                <w:color w:val="000000"/>
                <w:sz w:val="18"/>
                <w:szCs w:val="14"/>
                <w:lang w:val="ro-RO"/>
              </w:rPr>
              <w:t>MDRC</w:t>
            </w:r>
            <w:r w:rsidR="00780B2E" w:rsidRPr="009C5F11">
              <w:rPr>
                <w:rFonts w:ascii="Times New Roman" w:eastAsia="Verdana" w:hAnsi="Times New Roman" w:cs="Times New Roman"/>
                <w:color w:val="000000"/>
                <w:sz w:val="18"/>
                <w:szCs w:val="14"/>
                <w:lang w:val="ro-RO"/>
              </w:rPr>
              <w:t xml:space="preserve">, </w:t>
            </w:r>
            <w:r w:rsidR="00321CD5" w:rsidRPr="009C5F11">
              <w:rPr>
                <w:rFonts w:ascii="Times New Roman" w:eastAsia="Verdana" w:hAnsi="Times New Roman" w:cs="Times New Roman"/>
                <w:color w:val="000000"/>
                <w:sz w:val="18"/>
                <w:szCs w:val="14"/>
                <w:lang w:val="ro-RO"/>
              </w:rPr>
              <w:t>Ministerul Economiei</w:t>
            </w:r>
            <w:r w:rsidR="00780B2E" w:rsidRPr="009C5F11">
              <w:rPr>
                <w:rFonts w:ascii="Times New Roman" w:eastAsia="Verdana" w:hAnsi="Times New Roman" w:cs="Times New Roman"/>
                <w:color w:val="000000"/>
                <w:sz w:val="18"/>
                <w:szCs w:val="14"/>
                <w:lang w:val="ro-RO"/>
              </w:rPr>
              <w:t xml:space="preserve">, </w:t>
            </w:r>
            <w:r w:rsidR="00016A4B" w:rsidRPr="009C5F11">
              <w:rPr>
                <w:rFonts w:ascii="Times New Roman" w:eastAsia="Verdana" w:hAnsi="Times New Roman" w:cs="Times New Roman"/>
                <w:color w:val="000000"/>
                <w:sz w:val="18"/>
                <w:szCs w:val="14"/>
                <w:lang w:val="ro-RO"/>
              </w:rPr>
              <w:t>alte entităţi de reglementare</w:t>
            </w:r>
            <w:r w:rsidR="00780B2E" w:rsidRPr="009C5F11">
              <w:rPr>
                <w:rFonts w:ascii="Times New Roman" w:eastAsia="Verdana" w:hAnsi="Times New Roman" w:cs="Times New Roman"/>
                <w:color w:val="000000"/>
                <w:sz w:val="18"/>
                <w:szCs w:val="14"/>
                <w:lang w:val="ro-RO"/>
              </w:rPr>
              <w:t>. R</w:t>
            </w:r>
            <w:r w:rsidR="00016A4B" w:rsidRPr="009C5F11">
              <w:rPr>
                <w:rFonts w:ascii="Times New Roman" w:eastAsia="Verdana" w:hAnsi="Times New Roman" w:cs="Times New Roman"/>
                <w:color w:val="000000"/>
                <w:sz w:val="18"/>
                <w:szCs w:val="14"/>
                <w:lang w:val="ro-RO"/>
              </w:rPr>
              <w:t>a</w:t>
            </w:r>
            <w:r w:rsidR="00780B2E" w:rsidRPr="009C5F11">
              <w:rPr>
                <w:rFonts w:ascii="Times New Roman" w:eastAsia="Verdana" w:hAnsi="Times New Roman" w:cs="Times New Roman"/>
                <w:color w:val="000000"/>
                <w:sz w:val="18"/>
                <w:szCs w:val="14"/>
                <w:lang w:val="ro-RO"/>
              </w:rPr>
              <w:t>port</w:t>
            </w:r>
            <w:r w:rsidR="00016A4B" w:rsidRPr="009C5F11">
              <w:rPr>
                <w:rFonts w:ascii="Times New Roman" w:eastAsia="Verdana" w:hAnsi="Times New Roman" w:cs="Times New Roman"/>
                <w:color w:val="000000"/>
                <w:sz w:val="18"/>
                <w:szCs w:val="14"/>
                <w:lang w:val="ro-RO"/>
              </w:rPr>
              <w:t xml:space="preserve">area cu privire la </w:t>
            </w:r>
            <w:r w:rsidR="00532A33" w:rsidRPr="009C5F11">
              <w:rPr>
                <w:rFonts w:ascii="Times New Roman" w:eastAsia="Verdana" w:hAnsi="Times New Roman" w:cs="Times New Roman"/>
                <w:color w:val="000000"/>
                <w:sz w:val="18"/>
                <w:szCs w:val="14"/>
                <w:lang w:val="ro-RO"/>
              </w:rPr>
              <w:t>implementarea</w:t>
            </w:r>
            <w:r w:rsidR="00780B2E" w:rsidRPr="009C5F11">
              <w:rPr>
                <w:rFonts w:ascii="Times New Roman" w:eastAsia="Verdana" w:hAnsi="Times New Roman" w:cs="Times New Roman"/>
                <w:color w:val="000000"/>
                <w:sz w:val="18"/>
                <w:szCs w:val="14"/>
                <w:lang w:val="ro-RO"/>
              </w:rPr>
              <w:t xml:space="preserve"> Plan</w:t>
            </w:r>
            <w:r w:rsidR="00016A4B" w:rsidRPr="009C5F11">
              <w:rPr>
                <w:rFonts w:ascii="Times New Roman" w:eastAsia="Verdana" w:hAnsi="Times New Roman" w:cs="Times New Roman"/>
                <w:color w:val="000000"/>
                <w:sz w:val="18"/>
                <w:szCs w:val="14"/>
                <w:lang w:val="ro-RO"/>
              </w:rPr>
              <w:t>ului se face de 2 ori pe an</w:t>
            </w:r>
            <w:r w:rsidR="00780B2E" w:rsidRPr="009C5F11">
              <w:rPr>
                <w:rFonts w:ascii="Times New Roman" w:eastAsia="Verdana" w:hAnsi="Times New Roman" w:cs="Times New Roman"/>
                <w:color w:val="000000"/>
                <w:sz w:val="18"/>
                <w:szCs w:val="14"/>
                <w:lang w:val="ro-RO"/>
              </w:rPr>
              <w:t>.</w:t>
            </w:r>
          </w:p>
          <w:p w14:paraId="000276CD" w14:textId="77777777" w:rsidR="00780B2E" w:rsidRPr="009C5F11" w:rsidRDefault="00016A4B"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Acest</w:t>
            </w:r>
            <w:r w:rsidR="00780B2E" w:rsidRPr="009C5F11">
              <w:rPr>
                <w:rFonts w:ascii="Times New Roman" w:eastAsia="Verdana" w:hAnsi="Times New Roman" w:cs="Times New Roman"/>
                <w:color w:val="000000"/>
                <w:sz w:val="18"/>
                <w:szCs w:val="14"/>
                <w:lang w:val="ro-RO"/>
              </w:rPr>
              <w:t xml:space="preserve"> Plan </w:t>
            </w:r>
            <w:r w:rsidR="004000CC" w:rsidRPr="009C5F11">
              <w:rPr>
                <w:rFonts w:ascii="Times New Roman" w:eastAsia="Verdana" w:hAnsi="Times New Roman" w:cs="Times New Roman"/>
                <w:color w:val="000000"/>
                <w:sz w:val="18"/>
                <w:szCs w:val="14"/>
                <w:lang w:val="ro-RO"/>
              </w:rPr>
              <w:t>defineşte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principalele</w:t>
            </w:r>
            <w:r w:rsidR="002D17B6"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obiective</w:t>
            </w:r>
            <w:r w:rsidR="00321CD5" w:rsidRPr="009C5F11">
              <w:rPr>
                <w:rFonts w:ascii="Times New Roman" w:eastAsia="Verdana" w:hAnsi="Times New Roman" w:cs="Times New Roman"/>
                <w:color w:val="000000"/>
                <w:sz w:val="18"/>
                <w:szCs w:val="14"/>
                <w:lang w:val="ro-RO"/>
              </w:rPr>
              <w:t xml:space="preserve"> şi </w:t>
            </w:r>
            <w:r w:rsidR="008F7BD5" w:rsidRPr="009C5F11">
              <w:rPr>
                <w:rFonts w:ascii="Times New Roman" w:eastAsia="Verdana" w:hAnsi="Times New Roman" w:cs="Times New Roman"/>
                <w:color w:val="000000"/>
                <w:sz w:val="18"/>
                <w:szCs w:val="14"/>
                <w:lang w:val="ro-RO"/>
              </w:rPr>
              <w:t>acţiuni</w:t>
            </w:r>
            <w:r w:rsidR="002D17B6"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termenele-limită</w:t>
            </w:r>
            <w:r w:rsidR="00780B2E" w:rsidRPr="009C5F11">
              <w:rPr>
                <w:rFonts w:ascii="Times New Roman" w:eastAsia="Verdana" w:hAnsi="Times New Roman" w:cs="Times New Roman"/>
                <w:color w:val="000000"/>
                <w:sz w:val="18"/>
                <w:szCs w:val="14"/>
                <w:lang w:val="ro-RO"/>
              </w:rPr>
              <w:t xml:space="preserve">, </w:t>
            </w:r>
            <w:r w:rsidR="004000CC" w:rsidRPr="009C5F11">
              <w:rPr>
                <w:rFonts w:ascii="Times New Roman" w:eastAsia="Verdana" w:hAnsi="Times New Roman" w:cs="Times New Roman"/>
                <w:color w:val="000000"/>
                <w:sz w:val="18"/>
                <w:szCs w:val="14"/>
                <w:lang w:val="ro-RO"/>
              </w:rPr>
              <w:t>responsabilităţile</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rezultatele scontate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Planul</w:t>
            </w:r>
            <w:r w:rsidR="00780B2E" w:rsidRPr="009C5F11">
              <w:rPr>
                <w:rFonts w:ascii="Times New Roman" w:eastAsia="Verdana" w:hAnsi="Times New Roman" w:cs="Times New Roman"/>
                <w:color w:val="000000"/>
                <w:sz w:val="18"/>
                <w:szCs w:val="14"/>
                <w:lang w:val="ro-RO"/>
              </w:rPr>
              <w:t xml:space="preserve"> include, </w:t>
            </w:r>
            <w:r w:rsidRPr="009C5F11">
              <w:rPr>
                <w:rFonts w:ascii="Times New Roman" w:eastAsia="Verdana" w:hAnsi="Times New Roman" w:cs="Times New Roman"/>
                <w:color w:val="000000"/>
                <w:sz w:val="18"/>
                <w:szCs w:val="14"/>
                <w:lang w:val="ro-RO"/>
              </w:rPr>
              <w:t>printre altele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următoarele</w:t>
            </w:r>
            <w:r w:rsidR="00780B2E" w:rsidRPr="009C5F11">
              <w:rPr>
                <w:rFonts w:ascii="Times New Roman" w:eastAsia="Verdana" w:hAnsi="Times New Roman" w:cs="Times New Roman"/>
                <w:color w:val="000000"/>
                <w:sz w:val="18"/>
                <w:szCs w:val="14"/>
                <w:lang w:val="ro-RO"/>
              </w:rPr>
              <w:t>:</w:t>
            </w:r>
          </w:p>
          <w:p w14:paraId="799459D4" w14:textId="77777777" w:rsidR="00780B2E" w:rsidRPr="009C5F11" w:rsidRDefault="00016A4B"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armonizarea legislației naționale şi a standardelor în domeniul construcțiilor cu legislaţia şi standardele europene</w:t>
            </w:r>
            <w:r w:rsidR="00780B2E" w:rsidRPr="009C5F11">
              <w:rPr>
                <w:rFonts w:ascii="Times New Roman" w:eastAsia="Verdana" w:hAnsi="Times New Roman" w:cs="Times New Roman"/>
                <w:color w:val="000000"/>
                <w:sz w:val="18"/>
                <w:szCs w:val="14"/>
                <w:lang w:val="ro-RO"/>
              </w:rPr>
              <w:t>:</w:t>
            </w:r>
          </w:p>
          <w:p w14:paraId="4B472588" w14:textId="77777777" w:rsidR="00780B2E" w:rsidRPr="009C5F11" w:rsidRDefault="00895D83" w:rsidP="00334F3B">
            <w:pPr>
              <w:numPr>
                <w:ilvl w:val="0"/>
                <w:numId w:val="56"/>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 xml:space="preserve">elaborarea foilor de parcurs pentru </w:t>
            </w:r>
            <w:r w:rsidR="00FE56F2" w:rsidRPr="009C5F11">
              <w:rPr>
                <w:rFonts w:ascii="Times New Roman" w:hAnsi="Times New Roman" w:cs="Times New Roman"/>
                <w:sz w:val="18"/>
                <w:szCs w:val="14"/>
                <w:lang w:val="ro-RO"/>
              </w:rPr>
              <w:t>transpunerea</w:t>
            </w:r>
            <w:r w:rsidRPr="009C5F11">
              <w:rPr>
                <w:rFonts w:ascii="Times New Roman" w:hAnsi="Times New Roman" w:cs="Times New Roman"/>
                <w:sz w:val="18"/>
                <w:szCs w:val="14"/>
                <w:lang w:val="ro-RO"/>
              </w:rPr>
              <w:t xml:space="preserve"> în legislaţia naţională a Regulamentului (UE) nr. 305/2011 al Parlamentului European şi al Consiliului din 9 martie 2011 de stabilire a unor condiţii armonizate pentru comercializarea produselor pentru construcţii </w:t>
            </w:r>
            <w:r w:rsidR="00780B2E" w:rsidRPr="009C5F11">
              <w:rPr>
                <w:rFonts w:ascii="Times New Roman" w:eastAsia="Verdana" w:hAnsi="Times New Roman" w:cs="Times New Roman"/>
                <w:color w:val="000000"/>
                <w:sz w:val="18"/>
                <w:szCs w:val="14"/>
                <w:lang w:val="ro-RO"/>
              </w:rPr>
              <w:t>(2016),</w:t>
            </w:r>
          </w:p>
          <w:p w14:paraId="0377C26E" w14:textId="77777777" w:rsidR="00780B2E" w:rsidRPr="009C5F11" w:rsidRDefault="00895D83" w:rsidP="00334F3B">
            <w:pPr>
              <w:numPr>
                <w:ilvl w:val="0"/>
                <w:numId w:val="56"/>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elaborarea Codului urbanismului și construcțiilor</w:t>
            </w:r>
            <w:r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(2014),</w:t>
            </w:r>
          </w:p>
          <w:p w14:paraId="246A9848" w14:textId="77777777" w:rsidR="00780B2E" w:rsidRPr="009C5F11" w:rsidRDefault="00FE56F2" w:rsidP="00334F3B">
            <w:pPr>
              <w:numPr>
                <w:ilvl w:val="0"/>
                <w:numId w:val="56"/>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transpunerea</w:t>
            </w:r>
            <w:r w:rsidR="00895D83" w:rsidRPr="009C5F11">
              <w:rPr>
                <w:rFonts w:ascii="Times New Roman" w:hAnsi="Times New Roman" w:cs="Times New Roman"/>
                <w:sz w:val="18"/>
                <w:szCs w:val="14"/>
                <w:lang w:val="ro-RO"/>
              </w:rPr>
              <w:t xml:space="preserve"> în legislaţia naţională a actelor Uniunii Europene din domeniul construcţiilor </w:t>
            </w:r>
            <w:r w:rsidR="00780B2E" w:rsidRPr="009C5F11">
              <w:rPr>
                <w:rFonts w:ascii="Times New Roman" w:eastAsia="Verdana" w:hAnsi="Times New Roman" w:cs="Times New Roman"/>
                <w:color w:val="000000"/>
                <w:sz w:val="18"/>
                <w:szCs w:val="14"/>
                <w:lang w:val="ro-RO"/>
              </w:rPr>
              <w:t>(2018),</w:t>
            </w:r>
          </w:p>
          <w:p w14:paraId="2860BCFA" w14:textId="77777777" w:rsidR="00780B2E" w:rsidRPr="009C5F11" w:rsidRDefault="00B7349C" w:rsidP="00334F3B">
            <w:pPr>
              <w:numPr>
                <w:ilvl w:val="0"/>
                <w:numId w:val="56"/>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 xml:space="preserve">elaborarea foilor de parcurs pentru adoptarea și implementarea standardelor </w:t>
            </w:r>
            <w:r w:rsidRPr="009C5F11">
              <w:rPr>
                <w:rFonts w:ascii="Times New Roman" w:hAnsi="Times New Roman" w:cs="Times New Roman"/>
                <w:sz w:val="18"/>
                <w:szCs w:val="14"/>
                <w:lang w:val="ro-RO"/>
              </w:rPr>
              <w:lastRenderedPageBreak/>
              <w:t xml:space="preserve">europene în domenii specifice (Eurocoduri – standarde europene pentru proiectarea structurilor; performanța energetică a clădirilor; securitatea și sănătatea pe șantiere etc.) </w:t>
            </w:r>
            <w:r w:rsidR="00780B2E" w:rsidRPr="009C5F11">
              <w:rPr>
                <w:rFonts w:ascii="Times New Roman" w:eastAsia="Verdana" w:hAnsi="Times New Roman" w:cs="Times New Roman"/>
                <w:color w:val="000000"/>
                <w:sz w:val="18"/>
                <w:szCs w:val="14"/>
                <w:lang w:val="ro-RO"/>
              </w:rPr>
              <w:t xml:space="preserve">(2015). </w:t>
            </w:r>
            <w:r w:rsidRPr="009C5F11">
              <w:rPr>
                <w:rFonts w:ascii="Times New Roman" w:eastAsia="Verdana" w:hAnsi="Times New Roman" w:cs="Times New Roman"/>
                <w:color w:val="000000"/>
                <w:sz w:val="18"/>
                <w:szCs w:val="14"/>
                <w:lang w:val="ro-RO"/>
              </w:rPr>
              <w:t>I</w:t>
            </w:r>
            <w:r w:rsidR="00532A33" w:rsidRPr="009C5F11">
              <w:rPr>
                <w:rFonts w:ascii="Times New Roman" w:eastAsia="Verdana" w:hAnsi="Times New Roman" w:cs="Times New Roman"/>
                <w:color w:val="000000"/>
                <w:sz w:val="18"/>
                <w:szCs w:val="14"/>
                <w:lang w:val="ro-RO"/>
              </w:rPr>
              <w:t>mplementarea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acestor foi de parcurs</w:t>
            </w:r>
            <w:r w:rsidR="00780B2E" w:rsidRPr="009C5F11">
              <w:rPr>
                <w:rFonts w:ascii="Times New Roman" w:eastAsia="Verdana" w:hAnsi="Times New Roman" w:cs="Times New Roman"/>
                <w:color w:val="000000"/>
                <w:sz w:val="18"/>
                <w:szCs w:val="14"/>
                <w:lang w:val="ro-RO"/>
              </w:rPr>
              <w:t xml:space="preserve"> (2016),</w:t>
            </w:r>
          </w:p>
          <w:p w14:paraId="223E8CDA" w14:textId="77777777" w:rsidR="00780B2E" w:rsidRPr="009C5F11" w:rsidRDefault="00B7349C" w:rsidP="00334F3B">
            <w:pPr>
              <w:numPr>
                <w:ilvl w:val="0"/>
                <w:numId w:val="56"/>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 xml:space="preserve">colaborarea cu </w:t>
            </w:r>
            <w:r w:rsidRPr="009C5F11">
              <w:rPr>
                <w:rFonts w:ascii="Times New Roman" w:hAnsi="Times New Roman" w:cs="Times New Roman"/>
                <w:bCs/>
                <w:sz w:val="18"/>
                <w:szCs w:val="14"/>
                <w:lang w:val="ro-RO"/>
              </w:rPr>
              <w:t xml:space="preserve">Institutul Naţional de Standardizare în scopul adoptării </w:t>
            </w:r>
            <w:r w:rsidRPr="009C5F11">
              <w:rPr>
                <w:rFonts w:ascii="Times New Roman" w:hAnsi="Times New Roman" w:cs="Times New Roman"/>
                <w:sz w:val="18"/>
                <w:szCs w:val="14"/>
                <w:lang w:val="ro-RO"/>
              </w:rPr>
              <w:t>standardelor europene în domeniul construcţiilor în calitate de standarde moldovene</w:t>
            </w:r>
            <w:r w:rsidR="00780B2E" w:rsidRPr="009C5F11">
              <w:rPr>
                <w:rFonts w:ascii="Times New Roman" w:eastAsia="Verdana" w:hAnsi="Times New Roman" w:cs="Times New Roman"/>
                <w:color w:val="000000"/>
                <w:sz w:val="18"/>
                <w:szCs w:val="14"/>
                <w:lang w:val="ro-RO"/>
              </w:rPr>
              <w:t xml:space="preserve">. 100% </w:t>
            </w:r>
            <w:r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standardele UE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urmează să fie adoptate până în anul</w:t>
            </w:r>
            <w:r w:rsidR="00780B2E" w:rsidRPr="009C5F11">
              <w:rPr>
                <w:rFonts w:ascii="Times New Roman" w:eastAsia="Verdana" w:hAnsi="Times New Roman" w:cs="Times New Roman"/>
                <w:color w:val="000000"/>
                <w:sz w:val="18"/>
                <w:szCs w:val="14"/>
                <w:lang w:val="ro-RO"/>
              </w:rPr>
              <w:t xml:space="preserve"> 2018,</w:t>
            </w:r>
          </w:p>
          <w:p w14:paraId="54AE4C5A" w14:textId="77777777" w:rsidR="00780B2E" w:rsidRPr="009C5F11" w:rsidRDefault="00B7349C" w:rsidP="00334F3B">
            <w:pPr>
              <w:numPr>
                <w:ilvl w:val="0"/>
                <w:numId w:val="56"/>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 xml:space="preserve">colaborarea cu </w:t>
            </w:r>
            <w:r w:rsidRPr="009C5F11">
              <w:rPr>
                <w:rFonts w:ascii="Times New Roman" w:hAnsi="Times New Roman" w:cs="Times New Roman"/>
                <w:bCs/>
                <w:sz w:val="18"/>
                <w:szCs w:val="14"/>
                <w:lang w:val="ro-RO"/>
              </w:rPr>
              <w:t>Institutul Naţional de Standardizare în scopul î</w:t>
            </w:r>
            <w:r w:rsidRPr="009C5F11">
              <w:rPr>
                <w:rFonts w:ascii="Times New Roman" w:hAnsi="Times New Roman" w:cs="Times New Roman"/>
                <w:sz w:val="18"/>
                <w:szCs w:val="14"/>
                <w:lang w:val="ro-RO"/>
              </w:rPr>
              <w:t>nlocuirii tuturor standardelor naționale GOST în vigoare cu standardele europene identice sau similare</w:t>
            </w:r>
            <w:r w:rsidR="00780B2E" w:rsidRPr="009C5F11">
              <w:rPr>
                <w:rFonts w:ascii="Times New Roman" w:eastAsia="Verdana" w:hAnsi="Times New Roman" w:cs="Times New Roman"/>
                <w:color w:val="000000"/>
                <w:sz w:val="18"/>
                <w:szCs w:val="14"/>
                <w:lang w:val="ro-RO"/>
              </w:rPr>
              <w:t xml:space="preserve">. 100% </w:t>
            </w:r>
            <w:r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w:t>
            </w:r>
            <w:r w:rsidR="00401943" w:rsidRPr="009C5F11">
              <w:rPr>
                <w:rFonts w:ascii="Times New Roman" w:eastAsia="Verdana" w:hAnsi="Times New Roman" w:cs="Times New Roman"/>
                <w:color w:val="000000"/>
                <w:sz w:val="18"/>
                <w:szCs w:val="14"/>
                <w:lang w:val="ro-RO"/>
              </w:rPr>
              <w:t>Gost-uri</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vor fi înlocuite</w:t>
            </w:r>
            <w:r w:rsidR="00780B2E" w:rsidRPr="009C5F11">
              <w:rPr>
                <w:rFonts w:ascii="Times New Roman" w:eastAsia="Verdana" w:hAnsi="Times New Roman" w:cs="Times New Roman"/>
                <w:color w:val="000000"/>
                <w:sz w:val="18"/>
                <w:szCs w:val="14"/>
                <w:lang w:val="ro-RO"/>
              </w:rPr>
              <w:t xml:space="preserve"> </w:t>
            </w:r>
            <w:r w:rsidR="00603237" w:rsidRPr="009C5F11">
              <w:rPr>
                <w:rFonts w:ascii="Times New Roman" w:eastAsia="Verdana" w:hAnsi="Times New Roman" w:cs="Times New Roman"/>
                <w:color w:val="000000"/>
                <w:sz w:val="18"/>
                <w:szCs w:val="14"/>
                <w:lang w:val="ro-RO"/>
              </w:rPr>
              <w:t>până în 2020</w:t>
            </w:r>
            <w:r w:rsidR="00780B2E" w:rsidRPr="009C5F11">
              <w:rPr>
                <w:rFonts w:ascii="Times New Roman" w:eastAsia="Verdana" w:hAnsi="Times New Roman" w:cs="Times New Roman"/>
                <w:color w:val="000000"/>
                <w:sz w:val="18"/>
                <w:szCs w:val="14"/>
                <w:lang w:val="ro-RO"/>
              </w:rPr>
              <w:t>,</w:t>
            </w:r>
          </w:p>
          <w:p w14:paraId="3DB40BA3" w14:textId="77777777" w:rsidR="00780B2E" w:rsidRPr="009C5F11" w:rsidRDefault="00B7349C" w:rsidP="00334F3B">
            <w:pPr>
              <w:numPr>
                <w:ilvl w:val="0"/>
                <w:numId w:val="56"/>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întocmirea unui program multianual de elaborare/ revizuire a reglementărilor tehnice în construcţii şi de armonizare a acestora cu standardele europene</w:t>
            </w:r>
            <w:r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 xml:space="preserve">(2015). </w:t>
            </w:r>
            <w:r w:rsidR="00532A33" w:rsidRPr="009C5F11">
              <w:rPr>
                <w:rFonts w:ascii="Times New Roman" w:eastAsia="Verdana" w:hAnsi="Times New Roman" w:cs="Times New Roman"/>
                <w:color w:val="000000"/>
                <w:sz w:val="18"/>
                <w:szCs w:val="14"/>
                <w:lang w:val="ro-RO"/>
              </w:rPr>
              <w:t>Implementarea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acestui Program până în anul</w:t>
            </w:r>
            <w:r w:rsidR="00780B2E" w:rsidRPr="009C5F11">
              <w:rPr>
                <w:rFonts w:ascii="Times New Roman" w:eastAsia="Verdana" w:hAnsi="Times New Roman" w:cs="Times New Roman"/>
                <w:color w:val="000000"/>
                <w:sz w:val="18"/>
                <w:szCs w:val="14"/>
                <w:lang w:val="ro-RO"/>
              </w:rPr>
              <w:t xml:space="preserve"> 2018,</w:t>
            </w:r>
          </w:p>
          <w:p w14:paraId="3F2F381E" w14:textId="77777777" w:rsidR="00780B2E" w:rsidRPr="009C5F11" w:rsidRDefault="00B7349C" w:rsidP="00334F3B">
            <w:pPr>
              <w:numPr>
                <w:ilvl w:val="0"/>
                <w:numId w:val="57"/>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bCs/>
                <w:sz w:val="18"/>
                <w:szCs w:val="14"/>
                <w:lang w:val="ro-RO"/>
              </w:rPr>
              <w:t>alinierea abordării în domeniul reglementării tehnice a construcțiilor la tendințele mondiale</w:t>
            </w:r>
            <w:r w:rsidR="00780B2E" w:rsidRPr="009C5F11">
              <w:rPr>
                <w:rFonts w:ascii="Times New Roman" w:eastAsia="Verdana" w:hAnsi="Times New Roman" w:cs="Times New Roman"/>
                <w:color w:val="000000"/>
                <w:sz w:val="18"/>
                <w:szCs w:val="14"/>
                <w:lang w:val="ro-RO"/>
              </w:rPr>
              <w:t>:</w:t>
            </w:r>
          </w:p>
          <w:p w14:paraId="1188B0D1" w14:textId="77777777" w:rsidR="00780B2E" w:rsidRPr="009C5F11" w:rsidRDefault="00B7349C" w:rsidP="00334F3B">
            <w:pPr>
              <w:numPr>
                <w:ilvl w:val="0"/>
                <w:numId w:val="58"/>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bCs/>
                <w:sz w:val="18"/>
                <w:szCs w:val="14"/>
                <w:lang w:val="ro-RO"/>
              </w:rPr>
              <w:t>elaborarea Conceptului sistemului național de reglementare tehnică a construcțiilor în conformitate cu cele mai bune practici internaționale</w:t>
            </w:r>
            <w:r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(2015),</w:t>
            </w:r>
          </w:p>
          <w:p w14:paraId="43F3F434" w14:textId="77777777" w:rsidR="00780B2E" w:rsidRPr="009C5F11" w:rsidRDefault="00B7349C" w:rsidP="00334F3B">
            <w:pPr>
              <w:numPr>
                <w:ilvl w:val="0"/>
                <w:numId w:val="58"/>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elaborarea unui ghid privind abordarea bazată pe performanţă în reglementările tehnice din domeniul construcţiilor</w:t>
            </w:r>
            <w:r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(2015),</w:t>
            </w:r>
          </w:p>
          <w:p w14:paraId="00EC442A" w14:textId="77777777" w:rsidR="00780B2E" w:rsidRPr="009C5F11" w:rsidRDefault="00B7349C" w:rsidP="00334F3B">
            <w:pPr>
              <w:numPr>
                <w:ilvl w:val="0"/>
                <w:numId w:val="58"/>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bCs/>
                <w:sz w:val="18"/>
                <w:szCs w:val="14"/>
                <w:lang w:val="ro-RO"/>
              </w:rPr>
              <w:t>perfecționarea metodologiei de elaborare a reglementărilor tehnice în construcții</w:t>
            </w:r>
            <w:r w:rsidR="00780B2E" w:rsidRPr="009C5F11">
              <w:rPr>
                <w:rFonts w:ascii="Times New Roman" w:eastAsia="Verdana" w:hAnsi="Times New Roman" w:cs="Times New Roman"/>
                <w:color w:val="000000"/>
                <w:sz w:val="18"/>
                <w:szCs w:val="14"/>
                <w:lang w:val="ro-RO"/>
              </w:rPr>
              <w:t>,</w:t>
            </w:r>
          </w:p>
          <w:p w14:paraId="02FFA780" w14:textId="77777777" w:rsidR="00780B2E" w:rsidRPr="009C5F11" w:rsidRDefault="00B7349C" w:rsidP="00334F3B">
            <w:pPr>
              <w:numPr>
                <w:ilvl w:val="0"/>
                <w:numId w:val="59"/>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bCs/>
                <w:sz w:val="18"/>
                <w:szCs w:val="14"/>
                <w:lang w:val="ro-RO"/>
              </w:rPr>
              <w:t>consolidarea cadrului instituțional în domeniul reglementării tehnice a construcțiilor</w:t>
            </w:r>
            <w:r w:rsidR="00780B2E" w:rsidRPr="009C5F11">
              <w:rPr>
                <w:rFonts w:ascii="Times New Roman" w:eastAsia="Verdana" w:hAnsi="Times New Roman" w:cs="Times New Roman"/>
                <w:color w:val="000000"/>
                <w:sz w:val="18"/>
                <w:szCs w:val="14"/>
                <w:lang w:val="ro-RO"/>
              </w:rPr>
              <w:t>:</w:t>
            </w:r>
          </w:p>
          <w:p w14:paraId="24C97B5F" w14:textId="77777777" w:rsidR="00780B2E" w:rsidRPr="009C5F11" w:rsidRDefault="00B7349C" w:rsidP="00334F3B">
            <w:pPr>
              <w:numPr>
                <w:ilvl w:val="0"/>
                <w:numId w:val="60"/>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eastAsia="ru-RU"/>
              </w:rPr>
              <w:t xml:space="preserve">iniţierea colaborării cu autoritățile din domeniul construcțiilor din ţările UE în scopul preluării experienței privind reglementarea tehnică și implementarea standardelor europene în domeniul construcțiilor </w:t>
            </w:r>
            <w:r w:rsidR="00780B2E" w:rsidRPr="009C5F11">
              <w:rPr>
                <w:rFonts w:ascii="Times New Roman" w:eastAsia="Verdana" w:hAnsi="Times New Roman" w:cs="Times New Roman"/>
                <w:color w:val="000000"/>
                <w:sz w:val="18"/>
                <w:szCs w:val="14"/>
                <w:lang w:val="ro-RO"/>
              </w:rPr>
              <w:t>(2015),</w:t>
            </w:r>
          </w:p>
          <w:p w14:paraId="608EAE62" w14:textId="77777777" w:rsidR="00780B2E" w:rsidRPr="009C5F11" w:rsidRDefault="00401943" w:rsidP="00334F3B">
            <w:pPr>
              <w:numPr>
                <w:ilvl w:val="0"/>
                <w:numId w:val="60"/>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 xml:space="preserve">aderarea Ministerului Dezvoltării Regionale și Construcțiilor la Comitetul de colaborare inter-jurisdicţională în domeniul reglementării (Inter-Jurisdictional Regulatory Collaboration Committee – IRCC), precum şi la Consorţiul european pentru control în construcţii (Consortium of European Building Control – CEBC) </w:t>
            </w:r>
            <w:r w:rsidRPr="009C5F11">
              <w:rPr>
                <w:rFonts w:ascii="Times New Roman" w:eastAsia="Verdana" w:hAnsi="Times New Roman" w:cs="Times New Roman"/>
                <w:color w:val="000000"/>
                <w:sz w:val="18"/>
                <w:szCs w:val="14"/>
                <w:lang w:val="ro-RO"/>
              </w:rPr>
              <w:t>(2015),</w:t>
            </w:r>
          </w:p>
          <w:p w14:paraId="5CC4C000" w14:textId="77777777" w:rsidR="00780B2E" w:rsidRPr="009C5F11" w:rsidRDefault="00540739" w:rsidP="00334F3B">
            <w:pPr>
              <w:numPr>
                <w:ilvl w:val="0"/>
                <w:numId w:val="61"/>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bCs/>
                <w:sz w:val="18"/>
                <w:szCs w:val="14"/>
                <w:lang w:val="ro-RO"/>
              </w:rPr>
              <w:t>dezvoltarea instrumentelor şi a infrastructurii de evaluare a conformității în domeniul construcțiilor</w:t>
            </w:r>
            <w:r w:rsidR="00780B2E" w:rsidRPr="009C5F11">
              <w:rPr>
                <w:rFonts w:ascii="Times New Roman" w:eastAsia="Verdana" w:hAnsi="Times New Roman" w:cs="Times New Roman"/>
                <w:color w:val="000000"/>
                <w:sz w:val="18"/>
                <w:szCs w:val="14"/>
                <w:lang w:val="ro-RO"/>
              </w:rPr>
              <w:t>,</w:t>
            </w:r>
          </w:p>
          <w:p w14:paraId="0306B2CB" w14:textId="77777777" w:rsidR="00780B2E" w:rsidRPr="009C5F11" w:rsidRDefault="00540739" w:rsidP="00334F3B">
            <w:pPr>
              <w:numPr>
                <w:ilvl w:val="0"/>
                <w:numId w:val="61"/>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bCs/>
                <w:sz w:val="18"/>
                <w:szCs w:val="14"/>
                <w:lang w:val="ro-RO"/>
              </w:rPr>
              <w:t>dezvoltarea resurselor umane în domeniul reglementării tehnice a construcțiilor</w:t>
            </w:r>
            <w:r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w:t>
            </w:r>
          </w:p>
          <w:p w14:paraId="3305D3B7" w14:textId="77777777" w:rsidR="00780B2E" w:rsidRPr="009C5F11" w:rsidRDefault="00540739" w:rsidP="00334F3B">
            <w:pPr>
              <w:numPr>
                <w:ilvl w:val="0"/>
                <w:numId w:val="61"/>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bCs/>
                <w:sz w:val="18"/>
                <w:szCs w:val="14"/>
                <w:lang w:val="ro-RO"/>
              </w:rPr>
              <w:t>sporirea gradului de informare și a transparenței în domeniul reglementării tehnice a construcțiilor</w:t>
            </w:r>
            <w:r w:rsidRPr="009C5F11">
              <w:rPr>
                <w:rFonts w:ascii="Times New Roman" w:eastAsia="Verdana" w:hAnsi="Times New Roman" w:cs="Times New Roman"/>
                <w:color w:val="000000"/>
                <w:sz w:val="18"/>
                <w:szCs w:val="14"/>
                <w:lang w:val="ro-RO"/>
              </w:rPr>
              <w:t xml:space="preserve"> </w:t>
            </w:r>
            <w:r w:rsidR="00334DD0" w:rsidRPr="009C5F11">
              <w:rPr>
                <w:rFonts w:ascii="Times New Roman" w:eastAsia="Verdana" w:hAnsi="Times New Roman" w:cs="Times New Roman"/>
                <w:color w:val="000000"/>
                <w:sz w:val="18"/>
                <w:szCs w:val="14"/>
                <w:lang w:val="ro-RO"/>
              </w:rPr>
              <w:t>etc.</w:t>
            </w:r>
          </w:p>
        </w:tc>
        <w:tc>
          <w:tcPr>
            <w:tcW w:w="617" w:type="pct"/>
            <w:gridSpan w:val="3"/>
            <w:shd w:val="clear" w:color="000000" w:fill="C5D9F1"/>
            <w:vAlign w:val="center"/>
          </w:tcPr>
          <w:p w14:paraId="0197CF48"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p>
        </w:tc>
      </w:tr>
      <w:tr w:rsidR="00D15B96" w:rsidRPr="009C5F11" w14:paraId="7AB00AE9" w14:textId="77777777" w:rsidTr="00CD5222">
        <w:trPr>
          <w:trHeight w:val="300"/>
        </w:trPr>
        <w:tc>
          <w:tcPr>
            <w:tcW w:w="424" w:type="pct"/>
            <w:shd w:val="clear" w:color="000000" w:fill="C5D9F1"/>
            <w:noWrap/>
            <w:vAlign w:val="center"/>
          </w:tcPr>
          <w:p w14:paraId="15CD5F84"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935" w:type="pct"/>
            <w:shd w:val="clear" w:color="000000" w:fill="C5D9F1"/>
            <w:noWrap/>
            <w:vAlign w:val="center"/>
          </w:tcPr>
          <w:p w14:paraId="02D60387"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321" w:type="pct"/>
            <w:shd w:val="clear" w:color="000000" w:fill="C5D9F1"/>
            <w:noWrap/>
            <w:vAlign w:val="center"/>
          </w:tcPr>
          <w:p w14:paraId="67520AD6"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322" w:type="pct"/>
            <w:shd w:val="clear" w:color="000000" w:fill="C5D9F1"/>
            <w:vAlign w:val="center"/>
          </w:tcPr>
          <w:p w14:paraId="5176A7CF"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2381" w:type="pct"/>
            <w:shd w:val="clear" w:color="000000" w:fill="C5D9F1"/>
          </w:tcPr>
          <w:p w14:paraId="5010888A" w14:textId="77777777" w:rsidR="00D15B96" w:rsidRPr="009C5F11" w:rsidRDefault="00D15B96" w:rsidP="00C807F1">
            <w:pPr>
              <w:spacing w:after="0" w:line="240" w:lineRule="auto"/>
              <w:jc w:val="right"/>
              <w:rPr>
                <w:rFonts w:ascii="Times New Roman" w:eastAsia="Verdana" w:hAnsi="Times New Roman" w:cs="Times New Roman"/>
                <w:b/>
                <w:color w:val="000000"/>
                <w:sz w:val="18"/>
                <w:szCs w:val="14"/>
                <w:lang w:val="ro-RO"/>
              </w:rPr>
            </w:pPr>
          </w:p>
        </w:tc>
        <w:tc>
          <w:tcPr>
            <w:tcW w:w="617" w:type="pct"/>
            <w:gridSpan w:val="3"/>
            <w:shd w:val="clear" w:color="000000" w:fill="C5D9F1"/>
            <w:vAlign w:val="center"/>
          </w:tcPr>
          <w:p w14:paraId="2552F5E5" w14:textId="77777777" w:rsidR="00D15B96" w:rsidRPr="009C5F11" w:rsidRDefault="00D15B96" w:rsidP="00192725">
            <w:pPr>
              <w:spacing w:after="0" w:line="240" w:lineRule="auto"/>
              <w:jc w:val="center"/>
              <w:rPr>
                <w:rFonts w:ascii="Times New Roman" w:eastAsia="Verdana" w:hAnsi="Times New Roman" w:cs="Times New Roman"/>
                <w:b/>
                <w:color w:val="000000"/>
                <w:sz w:val="18"/>
                <w:szCs w:val="14"/>
                <w:lang w:val="ro-RO"/>
              </w:rPr>
            </w:pPr>
          </w:p>
        </w:tc>
      </w:tr>
      <w:tr w:rsidR="00780B2E" w:rsidRPr="009C5F11" w14:paraId="7C6C5536" w14:textId="77777777" w:rsidTr="00CD5222">
        <w:trPr>
          <w:trHeight w:val="300"/>
        </w:trPr>
        <w:tc>
          <w:tcPr>
            <w:tcW w:w="424" w:type="pct"/>
            <w:shd w:val="clear" w:color="000000" w:fill="C5D9F1"/>
            <w:noWrap/>
            <w:vAlign w:val="center"/>
            <w:hideMark/>
          </w:tcPr>
          <w:p w14:paraId="31A80666"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B2</w:t>
            </w:r>
          </w:p>
          <w:p w14:paraId="160A54CB"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2563AC24"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 106</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 xml:space="preserve">din PNAEE </w:t>
            </w:r>
            <w:r w:rsidR="00210C2C" w:rsidRPr="009C5F11">
              <w:rPr>
                <w:rFonts w:ascii="Times New Roman" w:eastAsia="Verdana" w:hAnsi="Times New Roman" w:cs="Times New Roman"/>
                <w:color w:val="000000"/>
                <w:sz w:val="18"/>
                <w:szCs w:val="14"/>
                <w:lang w:val="ro-RO"/>
              </w:rPr>
              <w:lastRenderedPageBreak/>
              <w:t>2013-2015</w:t>
            </w:r>
          </w:p>
        </w:tc>
        <w:tc>
          <w:tcPr>
            <w:tcW w:w="935" w:type="pct"/>
            <w:shd w:val="clear" w:color="000000" w:fill="C5D9F1"/>
            <w:noWrap/>
            <w:vAlign w:val="center"/>
            <w:hideMark/>
          </w:tcPr>
          <w:p w14:paraId="7BCFA3FC" w14:textId="77777777" w:rsidR="00780B2E" w:rsidRPr="009C5F11" w:rsidRDefault="00D160E1"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lastRenderedPageBreak/>
              <w:t>Promovarea clădirilor al căror consum de energie este aproape egal cu zero</w:t>
            </w:r>
          </w:p>
        </w:tc>
        <w:tc>
          <w:tcPr>
            <w:tcW w:w="321" w:type="pct"/>
            <w:shd w:val="clear" w:color="000000" w:fill="C5D9F1"/>
            <w:noWrap/>
            <w:vAlign w:val="center"/>
            <w:hideMark/>
          </w:tcPr>
          <w:p w14:paraId="67D3029D"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w:t>
            </w:r>
          </w:p>
        </w:tc>
        <w:tc>
          <w:tcPr>
            <w:tcW w:w="322" w:type="pct"/>
            <w:shd w:val="clear" w:color="000000" w:fill="C5D9F1"/>
            <w:vAlign w:val="center"/>
          </w:tcPr>
          <w:p w14:paraId="25183BD8"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w:t>
            </w:r>
          </w:p>
        </w:tc>
        <w:tc>
          <w:tcPr>
            <w:tcW w:w="2381" w:type="pct"/>
            <w:shd w:val="clear" w:color="000000" w:fill="C5D9F1"/>
          </w:tcPr>
          <w:p w14:paraId="2DBC9C25" w14:textId="77777777" w:rsidR="00780B2E" w:rsidRPr="009C5F11" w:rsidRDefault="001A3909"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Primii paşi în implementare au fost realizaţi</w:t>
            </w:r>
          </w:p>
          <w:p w14:paraId="37BF06A4"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p w14:paraId="366E9B31" w14:textId="77777777" w:rsidR="00780B2E" w:rsidRPr="009C5F11" w:rsidRDefault="001B1A25" w:rsidP="001B1A25">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În conformitate cu</w:t>
            </w:r>
            <w:r w:rsidR="00780B2E" w:rsidRPr="009C5F11">
              <w:rPr>
                <w:rFonts w:ascii="Times New Roman" w:eastAsia="Verdana" w:hAnsi="Times New Roman" w:cs="Times New Roman"/>
                <w:color w:val="000000"/>
                <w:sz w:val="18"/>
                <w:szCs w:val="14"/>
                <w:lang w:val="ro-RO"/>
              </w:rPr>
              <w:t xml:space="preserve"> </w:t>
            </w:r>
            <w:r w:rsidR="00927CD9" w:rsidRPr="009C5F11">
              <w:rPr>
                <w:rFonts w:ascii="Times New Roman" w:eastAsia="Verdana" w:hAnsi="Times New Roman" w:cs="Times New Roman"/>
                <w:color w:val="000000"/>
                <w:sz w:val="18"/>
                <w:szCs w:val="14"/>
                <w:lang w:val="ro-RO"/>
              </w:rPr>
              <w:t>Legea nr.</w:t>
            </w:r>
            <w:r w:rsidR="00780B2E" w:rsidRPr="009C5F11">
              <w:rPr>
                <w:rFonts w:ascii="Times New Roman" w:eastAsia="Verdana" w:hAnsi="Times New Roman" w:cs="Times New Roman"/>
                <w:color w:val="000000"/>
                <w:sz w:val="18"/>
                <w:szCs w:val="14"/>
                <w:lang w:val="ro-RO"/>
              </w:rPr>
              <w:t xml:space="preserve"> 128 </w:t>
            </w:r>
            <w:r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11.07.2014 </w:t>
            </w:r>
            <w:r w:rsidR="00201D7F" w:rsidRPr="009C5F11">
              <w:rPr>
                <w:rFonts w:ascii="Times New Roman" w:eastAsia="Verdana" w:hAnsi="Times New Roman" w:cs="Times New Roman"/>
                <w:color w:val="000000"/>
                <w:sz w:val="18"/>
                <w:szCs w:val="14"/>
                <w:lang w:val="ro-RO"/>
              </w:rPr>
              <w:t>privind performanţa energetică a clădirilor</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w:t>
            </w:r>
            <w:r w:rsidRPr="009C5F11">
              <w:rPr>
                <w:rFonts w:ascii="Times New Roman" w:eastAsia="Times New Roman" w:hAnsi="Times New Roman" w:cs="Times New Roman"/>
                <w:color w:val="000000"/>
                <w:sz w:val="18"/>
                <w:szCs w:val="14"/>
                <w:lang w:val="ro-RO"/>
              </w:rPr>
              <w:t xml:space="preserve"> după 30 iunie 2019, clădirile publice noi trebuie să fie clădiri al căror </w:t>
            </w:r>
            <w:r w:rsidRPr="009C5F11">
              <w:rPr>
                <w:rFonts w:ascii="Times New Roman" w:eastAsia="Times New Roman" w:hAnsi="Times New Roman" w:cs="Times New Roman"/>
                <w:color w:val="000000"/>
                <w:sz w:val="18"/>
                <w:szCs w:val="14"/>
                <w:lang w:val="ro-RO"/>
              </w:rPr>
              <w:lastRenderedPageBreak/>
              <w:t>consum de energie este aproape egal cu zero</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Times New Roman" w:hAnsi="Times New Roman" w:cs="Times New Roman"/>
                <w:color w:val="000000"/>
                <w:sz w:val="18"/>
                <w:szCs w:val="14"/>
                <w:lang w:val="ro-RO"/>
              </w:rPr>
              <w:t>după 30 iunie 2021, toate clădirile noi trebuie să fie clădiri al căror consum de energie este aproape egal cu zero</w:t>
            </w:r>
            <w:r w:rsidR="00780B2E"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 (art. 15(1)-(2))</w:t>
            </w:r>
          </w:p>
        </w:tc>
        <w:tc>
          <w:tcPr>
            <w:tcW w:w="617" w:type="pct"/>
            <w:gridSpan w:val="3"/>
            <w:shd w:val="clear" w:color="000000" w:fill="C5D9F1"/>
            <w:vAlign w:val="center"/>
          </w:tcPr>
          <w:p w14:paraId="4C4489EE"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p>
        </w:tc>
      </w:tr>
      <w:tr w:rsidR="00D15B96" w:rsidRPr="009C5F11" w14:paraId="11D5F876" w14:textId="77777777" w:rsidTr="00CD5222">
        <w:trPr>
          <w:trHeight w:val="300"/>
        </w:trPr>
        <w:tc>
          <w:tcPr>
            <w:tcW w:w="424" w:type="pct"/>
            <w:tcBorders>
              <w:bottom w:val="single" w:sz="8" w:space="0" w:color="FFFFFF" w:themeColor="background1"/>
            </w:tcBorders>
            <w:shd w:val="clear" w:color="000000" w:fill="C5D9F1"/>
            <w:noWrap/>
            <w:vAlign w:val="center"/>
          </w:tcPr>
          <w:p w14:paraId="7AE9B20C"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935" w:type="pct"/>
            <w:tcBorders>
              <w:bottom w:val="single" w:sz="8" w:space="0" w:color="FFFFFF" w:themeColor="background1"/>
            </w:tcBorders>
            <w:shd w:val="clear" w:color="000000" w:fill="C5D9F1"/>
            <w:noWrap/>
            <w:vAlign w:val="center"/>
          </w:tcPr>
          <w:p w14:paraId="726072D0"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321" w:type="pct"/>
            <w:tcBorders>
              <w:bottom w:val="single" w:sz="8" w:space="0" w:color="FFFFFF" w:themeColor="background1"/>
            </w:tcBorders>
            <w:shd w:val="clear" w:color="000000" w:fill="C5D9F1"/>
            <w:noWrap/>
            <w:vAlign w:val="center"/>
          </w:tcPr>
          <w:p w14:paraId="79218A86"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322" w:type="pct"/>
            <w:tcBorders>
              <w:bottom w:val="single" w:sz="8" w:space="0" w:color="FFFFFF" w:themeColor="background1"/>
            </w:tcBorders>
            <w:shd w:val="clear" w:color="000000" w:fill="C5D9F1"/>
            <w:vAlign w:val="center"/>
          </w:tcPr>
          <w:p w14:paraId="16CC255A" w14:textId="77777777" w:rsidR="00D15B96" w:rsidRPr="009C5F11" w:rsidRDefault="00D15B96" w:rsidP="00192725">
            <w:pPr>
              <w:spacing w:after="0" w:line="240" w:lineRule="auto"/>
              <w:jc w:val="center"/>
              <w:rPr>
                <w:rFonts w:ascii="Times New Roman" w:eastAsia="Verdana" w:hAnsi="Times New Roman" w:cs="Times New Roman"/>
                <w:b/>
                <w:bCs/>
                <w:color w:val="000000"/>
                <w:sz w:val="18"/>
                <w:szCs w:val="14"/>
                <w:lang w:val="ro-RO"/>
              </w:rPr>
            </w:pPr>
          </w:p>
        </w:tc>
        <w:tc>
          <w:tcPr>
            <w:tcW w:w="2381" w:type="pct"/>
            <w:tcBorders>
              <w:bottom w:val="single" w:sz="8" w:space="0" w:color="FFFFFF" w:themeColor="background1"/>
            </w:tcBorders>
            <w:shd w:val="clear" w:color="000000" w:fill="C5D9F1"/>
          </w:tcPr>
          <w:p w14:paraId="30C1AC1D" w14:textId="77777777" w:rsidR="00D15B96" w:rsidRPr="009C5F11" w:rsidRDefault="00D15B96" w:rsidP="00C807F1">
            <w:pPr>
              <w:spacing w:after="0" w:line="240" w:lineRule="auto"/>
              <w:jc w:val="right"/>
              <w:rPr>
                <w:rFonts w:ascii="Times New Roman" w:eastAsia="Verdana" w:hAnsi="Times New Roman" w:cs="Times New Roman"/>
                <w:b/>
                <w:color w:val="000000"/>
                <w:sz w:val="18"/>
                <w:szCs w:val="14"/>
                <w:lang w:val="ro-RO"/>
              </w:rPr>
            </w:pPr>
          </w:p>
        </w:tc>
        <w:tc>
          <w:tcPr>
            <w:tcW w:w="617" w:type="pct"/>
            <w:gridSpan w:val="3"/>
            <w:tcBorders>
              <w:bottom w:val="single" w:sz="8" w:space="0" w:color="FFFFFF" w:themeColor="background1"/>
            </w:tcBorders>
            <w:shd w:val="clear" w:color="000000" w:fill="C5D9F1"/>
            <w:vAlign w:val="center"/>
          </w:tcPr>
          <w:p w14:paraId="10F493C7" w14:textId="77777777" w:rsidR="00D15B96" w:rsidRPr="009C5F11" w:rsidRDefault="00D15B96" w:rsidP="00192725">
            <w:pPr>
              <w:spacing w:after="0" w:line="240" w:lineRule="auto"/>
              <w:jc w:val="center"/>
              <w:rPr>
                <w:rFonts w:ascii="Times New Roman" w:eastAsia="Verdana" w:hAnsi="Times New Roman" w:cs="Times New Roman"/>
                <w:b/>
                <w:color w:val="000000"/>
                <w:sz w:val="18"/>
                <w:szCs w:val="14"/>
                <w:lang w:val="ro-RO"/>
              </w:rPr>
            </w:pPr>
          </w:p>
        </w:tc>
      </w:tr>
      <w:tr w:rsidR="00780B2E" w:rsidRPr="009C5F11" w14:paraId="7F998394" w14:textId="77777777" w:rsidTr="00CD5222">
        <w:trPr>
          <w:trHeight w:val="300"/>
        </w:trPr>
        <w:tc>
          <w:tcPr>
            <w:tcW w:w="424" w:type="pct"/>
            <w:tcBorders>
              <w:bottom w:val="single" w:sz="8" w:space="0" w:color="FFFFFF" w:themeColor="background1"/>
            </w:tcBorders>
            <w:shd w:val="clear" w:color="000000" w:fill="C5D9F1"/>
            <w:noWrap/>
            <w:vAlign w:val="center"/>
            <w:hideMark/>
          </w:tcPr>
          <w:p w14:paraId="630DEC14"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B3</w:t>
            </w:r>
          </w:p>
          <w:p w14:paraId="2826B806"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Art.105</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tcBorders>
              <w:bottom w:val="single" w:sz="8" w:space="0" w:color="FFFFFF" w:themeColor="background1"/>
            </w:tcBorders>
            <w:shd w:val="clear" w:color="000000" w:fill="C5D9F1"/>
            <w:noWrap/>
            <w:vAlign w:val="center"/>
            <w:hideMark/>
          </w:tcPr>
          <w:p w14:paraId="706E8236" w14:textId="77777777" w:rsidR="00780B2E" w:rsidRPr="009C5F11" w:rsidRDefault="00D160E1"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Măsuri de îmbunătăţire a eficienţei energetice în blocurile rezidenţiale</w:t>
            </w:r>
          </w:p>
        </w:tc>
        <w:tc>
          <w:tcPr>
            <w:tcW w:w="321" w:type="pct"/>
            <w:tcBorders>
              <w:bottom w:val="single" w:sz="8" w:space="0" w:color="FFFFFF" w:themeColor="background1"/>
            </w:tcBorders>
            <w:shd w:val="clear" w:color="000000" w:fill="C5D9F1"/>
            <w:noWrap/>
            <w:vAlign w:val="center"/>
            <w:hideMark/>
          </w:tcPr>
          <w:p w14:paraId="5A864F1F"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1.18</w:t>
            </w:r>
          </w:p>
        </w:tc>
        <w:tc>
          <w:tcPr>
            <w:tcW w:w="322" w:type="pct"/>
            <w:tcBorders>
              <w:bottom w:val="single" w:sz="8" w:space="0" w:color="FFFFFF" w:themeColor="background1"/>
            </w:tcBorders>
            <w:shd w:val="clear" w:color="000000" w:fill="C5D9F1"/>
            <w:vAlign w:val="center"/>
          </w:tcPr>
          <w:p w14:paraId="6D963BB0" w14:textId="77777777" w:rsidR="00780B2E" w:rsidRPr="009C5F11" w:rsidRDefault="00780B2E" w:rsidP="00192725">
            <w:pPr>
              <w:spacing w:after="0" w:line="240" w:lineRule="auto"/>
              <w:jc w:val="center"/>
              <w:rPr>
                <w:rFonts w:ascii="Times New Roman" w:eastAsia="Verdana" w:hAnsi="Times New Roman" w:cs="Times New Roman"/>
                <w:b/>
                <w:bCs/>
                <w:color w:val="000000"/>
                <w:sz w:val="18"/>
                <w:szCs w:val="14"/>
                <w:lang w:val="ro-RO"/>
              </w:rPr>
            </w:pPr>
            <w:r w:rsidRPr="009C5F11">
              <w:rPr>
                <w:rFonts w:ascii="Times New Roman" w:eastAsia="Verdana" w:hAnsi="Times New Roman" w:cs="Times New Roman"/>
                <w:b/>
                <w:bCs/>
                <w:color w:val="000000"/>
                <w:sz w:val="18"/>
                <w:szCs w:val="14"/>
                <w:lang w:val="ro-RO"/>
              </w:rPr>
              <w:t>31</w:t>
            </w:r>
          </w:p>
        </w:tc>
        <w:tc>
          <w:tcPr>
            <w:tcW w:w="2381" w:type="pct"/>
            <w:tcBorders>
              <w:bottom w:val="single" w:sz="8" w:space="0" w:color="FFFFFF" w:themeColor="background1"/>
            </w:tcBorders>
            <w:shd w:val="clear" w:color="000000" w:fill="C5D9F1"/>
          </w:tcPr>
          <w:p w14:paraId="377CD090"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parţial</w:t>
            </w:r>
          </w:p>
          <w:p w14:paraId="4A5A0771" w14:textId="77777777" w:rsidR="00780B2E" w:rsidRPr="009C5F11" w:rsidRDefault="00780B2E" w:rsidP="00C807F1">
            <w:pPr>
              <w:spacing w:after="0" w:line="240" w:lineRule="auto"/>
              <w:jc w:val="right"/>
              <w:rPr>
                <w:rFonts w:ascii="Times New Roman" w:eastAsia="Verdana" w:hAnsi="Times New Roman" w:cs="Times New Roman"/>
                <w:b/>
                <w:color w:val="000000"/>
                <w:sz w:val="18"/>
                <w:szCs w:val="14"/>
                <w:lang w:val="ro-RO"/>
              </w:rPr>
            </w:pPr>
          </w:p>
          <w:p w14:paraId="7ADC5FCD" w14:textId="77777777" w:rsidR="00780B2E" w:rsidRPr="009C5F11" w:rsidRDefault="001B1A25" w:rsidP="001B1A25">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Măsura rezultă din divizarea unei </w:t>
            </w:r>
            <w:r w:rsidR="008F06C4" w:rsidRPr="009C5F11">
              <w:rPr>
                <w:rFonts w:ascii="Times New Roman" w:eastAsia="Verdana" w:hAnsi="Times New Roman" w:cs="Times New Roman"/>
                <w:color w:val="000000"/>
                <w:sz w:val="18"/>
                <w:szCs w:val="14"/>
                <w:lang w:val="ro-RO"/>
              </w:rPr>
              <w:t>măsur</w:t>
            </w:r>
            <w:r w:rsidRPr="009C5F11">
              <w:rPr>
                <w:rFonts w:ascii="Times New Roman" w:eastAsia="Verdana" w:hAnsi="Times New Roman" w:cs="Times New Roman"/>
                <w:color w:val="000000"/>
                <w:sz w:val="18"/>
                <w:szCs w:val="14"/>
                <w:lang w:val="ro-RO"/>
              </w:rPr>
              <w:t>i</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r w:rsidR="00321CD5" w:rsidRPr="009C5F11">
              <w:rPr>
                <w:rFonts w:ascii="Times New Roman" w:eastAsia="Verdana" w:hAnsi="Times New Roman" w:cs="Times New Roman"/>
                <w:color w:val="000000"/>
                <w:sz w:val="18"/>
                <w:szCs w:val="14"/>
                <w:lang w:val="ro-RO"/>
              </w:rPr>
              <w:t xml:space="preserve"> în </w:t>
            </w:r>
            <w:r w:rsidRPr="009C5F11">
              <w:rPr>
                <w:rFonts w:ascii="Times New Roman" w:eastAsia="Verdana" w:hAnsi="Times New Roman" w:cs="Times New Roman"/>
                <w:color w:val="000000"/>
                <w:sz w:val="18"/>
                <w:szCs w:val="14"/>
                <w:lang w:val="ro-RO"/>
              </w:rPr>
              <w:t>2</w:t>
            </w:r>
            <w:r w:rsidR="00780B2E" w:rsidRPr="009C5F11">
              <w:rPr>
                <w:rFonts w:ascii="Times New Roman" w:eastAsia="Verdana" w:hAnsi="Times New Roman" w:cs="Times New Roman"/>
                <w:color w:val="000000"/>
                <w:sz w:val="18"/>
                <w:szCs w:val="14"/>
                <w:lang w:val="ro-RO"/>
              </w:rPr>
              <w:t>: B1</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B3.</w:t>
            </w:r>
          </w:p>
        </w:tc>
        <w:tc>
          <w:tcPr>
            <w:tcW w:w="617" w:type="pct"/>
            <w:gridSpan w:val="3"/>
            <w:tcBorders>
              <w:bottom w:val="single" w:sz="8" w:space="0" w:color="FFFFFF" w:themeColor="background1"/>
            </w:tcBorders>
            <w:shd w:val="clear" w:color="000000" w:fill="C5D9F1"/>
            <w:vAlign w:val="center"/>
          </w:tcPr>
          <w:p w14:paraId="73542EEF"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Implementarea continuă</w:t>
            </w:r>
          </w:p>
        </w:tc>
      </w:tr>
      <w:tr w:rsidR="00780B2E" w:rsidRPr="009C5F11" w14:paraId="6EA49558" w14:textId="77777777" w:rsidTr="006549EB">
        <w:trPr>
          <w:trHeight w:val="300"/>
        </w:trPr>
        <w:tc>
          <w:tcPr>
            <w:tcW w:w="5000" w:type="pct"/>
            <w:gridSpan w:val="8"/>
            <w:tcBorders>
              <w:bottom w:val="single" w:sz="8" w:space="0" w:color="FFFFFF" w:themeColor="background1"/>
            </w:tcBorders>
            <w:shd w:val="clear" w:color="auto" w:fill="666666"/>
            <w:noWrap/>
            <w:hideMark/>
          </w:tcPr>
          <w:p w14:paraId="3F59AF3D" w14:textId="77777777" w:rsidR="00780B2E" w:rsidRPr="009C5F11" w:rsidRDefault="007E1094" w:rsidP="001B1A25">
            <w:pPr>
              <w:spacing w:after="0" w:line="240" w:lineRule="auto"/>
              <w:jc w:val="center"/>
              <w:rPr>
                <w:rFonts w:ascii="Times New Roman" w:eastAsia="Verdana" w:hAnsi="Times New Roman" w:cs="Times New Roman"/>
                <w:b/>
                <w:color w:val="FFFFFF"/>
                <w:sz w:val="18"/>
                <w:szCs w:val="14"/>
                <w:lang w:val="ro-RO"/>
              </w:rPr>
            </w:pPr>
            <w:r w:rsidRPr="009C5F11">
              <w:rPr>
                <w:rFonts w:ascii="Times New Roman" w:eastAsia="Verdana" w:hAnsi="Times New Roman" w:cs="Times New Roman"/>
                <w:b/>
                <w:color w:val="FFFFFF"/>
                <w:sz w:val="18"/>
                <w:szCs w:val="14"/>
                <w:lang w:val="ro-RO"/>
              </w:rPr>
              <w:t>Măsuri în sectorul</w:t>
            </w:r>
            <w:r w:rsidR="00780B2E" w:rsidRPr="009C5F11">
              <w:rPr>
                <w:rFonts w:ascii="Times New Roman" w:eastAsia="Verdana" w:hAnsi="Times New Roman" w:cs="Times New Roman"/>
                <w:b/>
                <w:color w:val="FFFFFF"/>
                <w:sz w:val="18"/>
                <w:szCs w:val="14"/>
                <w:lang w:val="ro-RO"/>
              </w:rPr>
              <w:t xml:space="preserve"> industrial </w:t>
            </w:r>
          </w:p>
        </w:tc>
      </w:tr>
      <w:tr w:rsidR="00780B2E" w:rsidRPr="009C5F11" w14:paraId="260819C5" w14:textId="77777777" w:rsidTr="00CD5222">
        <w:trPr>
          <w:trHeight w:val="300"/>
        </w:trPr>
        <w:tc>
          <w:tcPr>
            <w:tcW w:w="424" w:type="pct"/>
            <w:shd w:val="clear" w:color="000000" w:fill="D9D9D9"/>
            <w:noWrap/>
            <w:vAlign w:val="center"/>
            <w:hideMark/>
          </w:tcPr>
          <w:p w14:paraId="3B02372C"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I1</w:t>
            </w:r>
          </w:p>
          <w:p w14:paraId="5F0B6388"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52F63C5C"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Art.102</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shd w:val="clear" w:color="000000" w:fill="D9D9D9"/>
            <w:noWrap/>
            <w:vAlign w:val="center"/>
            <w:hideMark/>
          </w:tcPr>
          <w:p w14:paraId="4B767B19" w14:textId="77777777" w:rsidR="00780B2E" w:rsidRPr="009C5F11" w:rsidRDefault="00B26897" w:rsidP="00210C2C">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Modernizarea şi renovarea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sectorului industrial</w:t>
            </w:r>
            <w:r w:rsidR="00780B2E"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folosind stimulente financiare</w:t>
            </w:r>
          </w:p>
        </w:tc>
        <w:tc>
          <w:tcPr>
            <w:tcW w:w="321" w:type="pct"/>
            <w:shd w:val="clear" w:color="000000" w:fill="D9D9D9"/>
            <w:noWrap/>
            <w:vAlign w:val="center"/>
            <w:hideMark/>
          </w:tcPr>
          <w:p w14:paraId="1B5D5A95" w14:textId="77777777" w:rsidR="00780B2E" w:rsidRPr="009C5F11" w:rsidRDefault="00780B2E" w:rsidP="003D3C21">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8.90</w:t>
            </w:r>
          </w:p>
        </w:tc>
        <w:tc>
          <w:tcPr>
            <w:tcW w:w="322" w:type="pct"/>
            <w:shd w:val="clear" w:color="000000" w:fill="D9D9D9"/>
            <w:vAlign w:val="center"/>
          </w:tcPr>
          <w:p w14:paraId="6768BA34" w14:textId="77777777" w:rsidR="00780B2E" w:rsidRPr="009C5F11" w:rsidRDefault="00780B2E" w:rsidP="003D3C21">
            <w:pPr>
              <w:spacing w:after="0" w:line="240" w:lineRule="auto"/>
              <w:jc w:val="center"/>
              <w:rPr>
                <w:rFonts w:ascii="Times New Roman" w:eastAsia="Verdana" w:hAnsi="Times New Roman" w:cs="Times New Roman"/>
                <w:b/>
                <w:bCs/>
                <w:color w:val="000000"/>
                <w:sz w:val="18"/>
                <w:szCs w:val="14"/>
                <w:lang w:val="ro-RO"/>
              </w:rPr>
            </w:pPr>
            <w:r w:rsidRPr="009C5F11">
              <w:rPr>
                <w:rFonts w:ascii="Times New Roman" w:eastAsia="Verdana" w:hAnsi="Times New Roman" w:cs="Times New Roman"/>
                <w:b/>
                <w:bCs/>
                <w:color w:val="000000"/>
                <w:sz w:val="18"/>
                <w:szCs w:val="14"/>
                <w:lang w:val="ro-RO"/>
              </w:rPr>
              <w:t>12.90</w:t>
            </w:r>
          </w:p>
        </w:tc>
        <w:tc>
          <w:tcPr>
            <w:tcW w:w="2381" w:type="pct"/>
            <w:shd w:val="clear" w:color="000000" w:fill="D9D9D9"/>
          </w:tcPr>
          <w:p w14:paraId="37BC3FF2"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conform planului</w:t>
            </w:r>
          </w:p>
          <w:p w14:paraId="4BEE05B3"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p w14:paraId="055D7541" w14:textId="77777777" w:rsidR="00780B2E" w:rsidRPr="009C5F11" w:rsidRDefault="00CF0104"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Deja există numeroase </w:t>
            </w:r>
            <w:r w:rsidR="00780B2E" w:rsidRPr="009C5F11">
              <w:rPr>
                <w:rFonts w:ascii="Times New Roman" w:eastAsia="Verdana" w:hAnsi="Times New Roman" w:cs="Times New Roman"/>
                <w:color w:val="000000"/>
                <w:sz w:val="18"/>
                <w:szCs w:val="14"/>
                <w:lang w:val="ro-RO"/>
              </w:rPr>
              <w:t>compani</w:t>
            </w:r>
            <w:r w:rsidRPr="009C5F11">
              <w:rPr>
                <w:rFonts w:ascii="Times New Roman" w:eastAsia="Verdana" w:hAnsi="Times New Roman" w:cs="Times New Roman"/>
                <w:color w:val="000000"/>
                <w:sz w:val="18"/>
                <w:szCs w:val="14"/>
                <w:lang w:val="ro-RO"/>
              </w:rPr>
              <w:t>i</w:t>
            </w:r>
            <w:r w:rsidR="00780B2E" w:rsidRPr="009C5F11">
              <w:rPr>
                <w:rFonts w:ascii="Times New Roman" w:eastAsia="Verdana" w:hAnsi="Times New Roman" w:cs="Times New Roman"/>
                <w:color w:val="000000"/>
                <w:sz w:val="18"/>
                <w:szCs w:val="14"/>
                <w:lang w:val="ro-RO"/>
              </w:rPr>
              <w:t>/</w:t>
            </w:r>
            <w:r w:rsidR="00E10BE5" w:rsidRPr="009C5F11">
              <w:rPr>
                <w:rFonts w:ascii="Times New Roman" w:eastAsia="Verdana" w:hAnsi="Times New Roman" w:cs="Times New Roman"/>
                <w:color w:val="000000"/>
                <w:sz w:val="18"/>
                <w:szCs w:val="14"/>
                <w:lang w:val="ro-RO"/>
              </w:rPr>
              <w:t>proiecte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care derulează procese tehnologice moderne avansate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care au fost puse în funcţiune </w:t>
            </w:r>
            <w:r w:rsidR="00603237" w:rsidRPr="009C5F11">
              <w:rPr>
                <w:rFonts w:ascii="Times New Roman" w:eastAsia="Verdana" w:hAnsi="Times New Roman" w:cs="Times New Roman"/>
                <w:color w:val="000000"/>
                <w:sz w:val="18"/>
                <w:szCs w:val="14"/>
                <w:lang w:val="ro-RO"/>
              </w:rPr>
              <w:t>pe parcursul an</w:t>
            </w:r>
            <w:r w:rsidRPr="009C5F11">
              <w:rPr>
                <w:rFonts w:ascii="Times New Roman" w:eastAsia="Verdana" w:hAnsi="Times New Roman" w:cs="Times New Roman"/>
                <w:color w:val="000000"/>
                <w:sz w:val="18"/>
                <w:szCs w:val="14"/>
                <w:lang w:val="ro-RO"/>
              </w:rPr>
              <w:t>ilor</w:t>
            </w:r>
            <w:r w:rsidR="00780B2E" w:rsidRPr="009C5F11">
              <w:rPr>
                <w:rFonts w:ascii="Times New Roman" w:eastAsia="Verdana" w:hAnsi="Times New Roman" w:cs="Times New Roman"/>
                <w:color w:val="000000"/>
                <w:sz w:val="18"/>
                <w:szCs w:val="14"/>
                <w:lang w:val="ro-RO"/>
              </w:rPr>
              <w:t xml:space="preserve"> 2013-2015</w:t>
            </w:r>
            <w:r w:rsidRPr="009C5F11">
              <w:rPr>
                <w:rFonts w:ascii="Times New Roman" w:eastAsia="Verdana" w:hAnsi="Times New Roman" w:cs="Times New Roman"/>
                <w:color w:val="000000"/>
                <w:sz w:val="18"/>
                <w:szCs w:val="14"/>
                <w:lang w:val="ro-RO"/>
              </w:rPr>
              <w:t>.</w:t>
            </w:r>
          </w:p>
          <w:p w14:paraId="6D67EE31" w14:textId="77777777" w:rsidR="00780B2E" w:rsidRPr="009C5F11" w:rsidRDefault="00CF0104" w:rsidP="000E162D">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bCs/>
                <w:color w:val="000000"/>
                <w:sz w:val="18"/>
                <w:szCs w:val="14"/>
                <w:lang w:val="ro-RO"/>
              </w:rPr>
              <w:t xml:space="preserve">Linia de </w:t>
            </w:r>
            <w:r w:rsidR="000E162D" w:rsidRPr="009C5F11">
              <w:rPr>
                <w:rFonts w:ascii="Times New Roman" w:eastAsia="Verdana" w:hAnsi="Times New Roman" w:cs="Times New Roman"/>
                <w:bCs/>
                <w:color w:val="000000"/>
                <w:sz w:val="18"/>
                <w:szCs w:val="14"/>
                <w:lang w:val="ro-RO"/>
              </w:rPr>
              <w:t>f</w:t>
            </w:r>
            <w:r w:rsidRPr="009C5F11">
              <w:rPr>
                <w:rFonts w:ascii="Times New Roman" w:eastAsia="Verdana" w:hAnsi="Times New Roman" w:cs="Times New Roman"/>
                <w:bCs/>
                <w:color w:val="000000"/>
                <w:sz w:val="18"/>
                <w:szCs w:val="14"/>
                <w:lang w:val="ro-RO"/>
              </w:rPr>
              <w:t xml:space="preserve">inanţare pentru </w:t>
            </w:r>
            <w:r w:rsidR="000E162D" w:rsidRPr="009C5F11">
              <w:rPr>
                <w:rFonts w:ascii="Times New Roman" w:eastAsia="Verdana" w:hAnsi="Times New Roman" w:cs="Times New Roman"/>
                <w:bCs/>
                <w:color w:val="000000"/>
                <w:sz w:val="18"/>
                <w:szCs w:val="14"/>
                <w:lang w:val="ro-RO"/>
              </w:rPr>
              <w:t>e</w:t>
            </w:r>
            <w:r w:rsidRPr="009C5F11">
              <w:rPr>
                <w:rFonts w:ascii="Times New Roman" w:eastAsia="Verdana" w:hAnsi="Times New Roman" w:cs="Times New Roman"/>
                <w:bCs/>
                <w:color w:val="000000"/>
                <w:sz w:val="18"/>
                <w:szCs w:val="14"/>
                <w:lang w:val="ro-RO"/>
              </w:rPr>
              <w:t xml:space="preserve">ficienţa </w:t>
            </w:r>
            <w:r w:rsidR="000E162D" w:rsidRPr="009C5F11">
              <w:rPr>
                <w:rFonts w:ascii="Times New Roman" w:eastAsia="Verdana" w:hAnsi="Times New Roman" w:cs="Times New Roman"/>
                <w:bCs/>
                <w:color w:val="000000"/>
                <w:sz w:val="18"/>
                <w:szCs w:val="14"/>
                <w:lang w:val="ro-RO"/>
              </w:rPr>
              <w:t>e</w:t>
            </w:r>
            <w:r w:rsidRPr="009C5F11">
              <w:rPr>
                <w:rFonts w:ascii="Times New Roman" w:eastAsia="Verdana" w:hAnsi="Times New Roman" w:cs="Times New Roman"/>
                <w:bCs/>
                <w:color w:val="000000"/>
                <w:sz w:val="18"/>
                <w:szCs w:val="14"/>
                <w:lang w:val="ro-RO"/>
              </w:rPr>
              <w:t>nergetică în Moldova (MoSEFF) a fost lansată în</w:t>
            </w:r>
            <w:r w:rsidR="00321CD5" w:rsidRPr="009C5F11">
              <w:rPr>
                <w:rFonts w:ascii="Times New Roman" w:eastAsia="Verdana" w:hAnsi="Times New Roman" w:cs="Times New Roman"/>
                <w:color w:val="000000"/>
                <w:sz w:val="18"/>
                <w:szCs w:val="14"/>
                <w:lang w:val="ro-RO"/>
              </w:rPr>
              <w:t xml:space="preserve"> </w:t>
            </w:r>
            <w:r w:rsidR="000A4CC7" w:rsidRPr="009C5F11">
              <w:rPr>
                <w:rFonts w:ascii="Times New Roman" w:eastAsia="Verdana" w:hAnsi="Times New Roman" w:cs="Times New Roman"/>
                <w:color w:val="000000"/>
                <w:sz w:val="18"/>
                <w:szCs w:val="14"/>
                <w:lang w:val="ro-RO"/>
              </w:rPr>
              <w:t>februarie</w:t>
            </w:r>
            <w:r w:rsidR="00780B2E" w:rsidRPr="009C5F11">
              <w:rPr>
                <w:rFonts w:ascii="Times New Roman" w:eastAsia="Verdana" w:hAnsi="Times New Roman" w:cs="Times New Roman"/>
                <w:color w:val="000000"/>
                <w:sz w:val="18"/>
                <w:szCs w:val="14"/>
                <w:lang w:val="ro-RO"/>
              </w:rPr>
              <w:t xml:space="preserve"> 2010</w:t>
            </w:r>
            <w:r w:rsidRPr="009C5F11">
              <w:rPr>
                <w:rFonts w:ascii="Times New Roman" w:eastAsia="Verdana" w:hAnsi="Times New Roman" w:cs="Times New Roman"/>
                <w:color w:val="000000"/>
                <w:sz w:val="18"/>
                <w:szCs w:val="14"/>
                <w:lang w:val="ro-RO"/>
              </w:rPr>
              <w:t xml:space="preserve">, prima etapă a proiectului (MoSEFF-I) fiind încheiată </w:t>
            </w:r>
            <w:r w:rsidR="00321CD5" w:rsidRPr="009C5F11">
              <w:rPr>
                <w:rFonts w:ascii="Times New Roman" w:eastAsia="Verdana" w:hAnsi="Times New Roman" w:cs="Times New Roman"/>
                <w:color w:val="000000"/>
                <w:sz w:val="18"/>
                <w:szCs w:val="14"/>
                <w:lang w:val="ro-RO"/>
              </w:rPr>
              <w:t xml:space="preserve">în </w:t>
            </w:r>
            <w:r w:rsidR="000A4CC7" w:rsidRPr="009C5F11">
              <w:rPr>
                <w:rFonts w:ascii="Times New Roman" w:eastAsia="Verdana" w:hAnsi="Times New Roman" w:cs="Times New Roman"/>
                <w:color w:val="000000"/>
                <w:sz w:val="18"/>
                <w:szCs w:val="14"/>
                <w:lang w:val="ro-RO"/>
              </w:rPr>
              <w:t>decembrie</w:t>
            </w:r>
            <w:r w:rsidR="00780B2E" w:rsidRPr="009C5F11">
              <w:rPr>
                <w:rFonts w:ascii="Times New Roman" w:eastAsia="Verdana" w:hAnsi="Times New Roman" w:cs="Times New Roman"/>
                <w:color w:val="000000"/>
                <w:sz w:val="18"/>
                <w:szCs w:val="14"/>
                <w:lang w:val="ro-RO"/>
              </w:rPr>
              <w:t xml:space="preserve"> 2012. </w:t>
            </w:r>
            <w:r w:rsidRPr="009C5F11">
              <w:rPr>
                <w:rFonts w:ascii="Times New Roman" w:eastAsia="Verdana" w:hAnsi="Times New Roman" w:cs="Times New Roman"/>
                <w:color w:val="000000"/>
                <w:sz w:val="18"/>
                <w:szCs w:val="14"/>
                <w:lang w:val="ro-RO"/>
              </w:rPr>
              <w:t xml:space="preserve">Liniile de credit </w:t>
            </w:r>
            <w:r w:rsidR="00780B2E" w:rsidRPr="009C5F11">
              <w:rPr>
                <w:rFonts w:ascii="Times New Roman" w:eastAsia="Verdana" w:hAnsi="Times New Roman" w:cs="Times New Roman"/>
                <w:color w:val="000000"/>
                <w:sz w:val="18"/>
                <w:szCs w:val="14"/>
                <w:lang w:val="ro-RO"/>
              </w:rPr>
              <w:t>MoSEFF-I</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 xml:space="preserve">MoSEFF-II </w:t>
            </w:r>
            <w:r w:rsidR="000E162D" w:rsidRPr="009C5F11">
              <w:rPr>
                <w:rFonts w:ascii="Times New Roman" w:eastAsia="Verdana" w:hAnsi="Times New Roman" w:cs="Times New Roman"/>
                <w:color w:val="000000"/>
                <w:sz w:val="18"/>
                <w:szCs w:val="14"/>
                <w:lang w:val="ro-RO"/>
              </w:rPr>
              <w:t>gestionate de</w:t>
            </w:r>
            <w:r w:rsidR="00780B2E" w:rsidRPr="009C5F11">
              <w:rPr>
                <w:rFonts w:ascii="Times New Roman" w:eastAsia="Verdana" w:hAnsi="Times New Roman" w:cs="Times New Roman"/>
                <w:color w:val="000000"/>
                <w:sz w:val="18"/>
                <w:szCs w:val="14"/>
                <w:lang w:val="ro-RO"/>
              </w:rPr>
              <w:t xml:space="preserve"> </w:t>
            </w:r>
            <w:r w:rsidR="00AA0566" w:rsidRPr="009C5F11">
              <w:rPr>
                <w:rFonts w:ascii="Times New Roman" w:eastAsia="Verdana" w:hAnsi="Times New Roman" w:cs="Times New Roman"/>
                <w:color w:val="000000"/>
                <w:sz w:val="18"/>
                <w:szCs w:val="14"/>
                <w:lang w:val="ro-RO"/>
              </w:rPr>
              <w:t>BERD</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însumează </w:t>
            </w:r>
            <w:r w:rsidR="00780B2E" w:rsidRPr="009C5F11">
              <w:rPr>
                <w:rFonts w:ascii="Times New Roman" w:eastAsia="Verdana" w:hAnsi="Times New Roman" w:cs="Times New Roman"/>
                <w:color w:val="000000"/>
                <w:sz w:val="18"/>
                <w:szCs w:val="14"/>
                <w:lang w:val="ro-RO"/>
              </w:rPr>
              <w:t xml:space="preserve">42 </w:t>
            </w:r>
            <w:r w:rsidRPr="009C5F11">
              <w:rPr>
                <w:rFonts w:ascii="Times New Roman" w:eastAsia="Verdana" w:hAnsi="Times New Roman" w:cs="Times New Roman"/>
                <w:color w:val="000000"/>
                <w:sz w:val="18"/>
                <w:szCs w:val="14"/>
                <w:lang w:val="ro-RO"/>
              </w:rPr>
              <w:t>milioane de euro</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Proiectul MoSEFF oferă asistenţă tehnică gratuită </w:t>
            </w:r>
            <w:r w:rsidR="00321CD5" w:rsidRPr="009C5F11">
              <w:rPr>
                <w:rFonts w:ascii="Times New Roman" w:eastAsia="Verdana" w:hAnsi="Times New Roman" w:cs="Times New Roman"/>
                <w:color w:val="000000"/>
                <w:sz w:val="18"/>
                <w:szCs w:val="14"/>
                <w:lang w:val="ro-RO"/>
              </w:rPr>
              <w:t xml:space="preserve">şi </w:t>
            </w:r>
            <w:r w:rsidRPr="009C5F11">
              <w:rPr>
                <w:rFonts w:ascii="Times New Roman" w:eastAsia="Verdana" w:hAnsi="Times New Roman" w:cs="Times New Roman"/>
                <w:color w:val="000000"/>
                <w:sz w:val="18"/>
                <w:szCs w:val="14"/>
                <w:lang w:val="ro-RO"/>
              </w:rPr>
              <w:t>o</w:t>
            </w:r>
            <w:r w:rsidR="00780B2E" w:rsidRPr="009C5F11">
              <w:rPr>
                <w:rFonts w:ascii="Times New Roman" w:eastAsia="Verdana" w:hAnsi="Times New Roman" w:cs="Times New Roman"/>
                <w:color w:val="000000"/>
                <w:sz w:val="18"/>
                <w:szCs w:val="14"/>
                <w:lang w:val="ro-RO"/>
              </w:rPr>
              <w:t xml:space="preserve"> component</w:t>
            </w:r>
            <w:r w:rsidRPr="009C5F11">
              <w:rPr>
                <w:rFonts w:ascii="Times New Roman" w:eastAsia="Verdana" w:hAnsi="Times New Roman" w:cs="Times New Roman"/>
                <w:color w:val="000000"/>
                <w:sz w:val="18"/>
                <w:szCs w:val="14"/>
                <w:lang w:val="ro-RO"/>
              </w:rPr>
              <w:t>ă de grant în valoare de</w:t>
            </w:r>
            <w:r w:rsidR="00780B2E" w:rsidRPr="009C5F11">
              <w:rPr>
                <w:rFonts w:ascii="Times New Roman" w:eastAsia="Verdana" w:hAnsi="Times New Roman" w:cs="Times New Roman"/>
                <w:color w:val="000000"/>
                <w:sz w:val="18"/>
                <w:szCs w:val="14"/>
                <w:lang w:val="ro-RO"/>
              </w:rPr>
              <w:t xml:space="preserve"> 5-20% </w:t>
            </w:r>
            <w:r w:rsidRPr="009C5F11">
              <w:rPr>
                <w:rFonts w:ascii="Times New Roman" w:eastAsia="Verdana" w:hAnsi="Times New Roman" w:cs="Times New Roman"/>
                <w:color w:val="000000"/>
                <w:sz w:val="18"/>
                <w:szCs w:val="14"/>
                <w:lang w:val="ro-RO"/>
              </w:rPr>
              <w:t>din suma împrumutului</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Finanţarea granturilor şi asistenţa tehnică în cadrul proiectului sunt asigurate de Uniunea Europeană şi</w:t>
            </w:r>
            <w:r w:rsidR="00321CD5"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 xml:space="preserve">INOGATE. </w:t>
            </w:r>
            <w:r w:rsidRPr="009C5F11">
              <w:rPr>
                <w:rFonts w:ascii="Times New Roman" w:eastAsia="Verdana" w:hAnsi="Times New Roman" w:cs="Times New Roman"/>
                <w:color w:val="000000"/>
                <w:sz w:val="18"/>
                <w:szCs w:val="14"/>
                <w:lang w:val="ro-RO"/>
              </w:rPr>
              <w:t xml:space="preserve">Contribuţia </w:t>
            </w:r>
            <w:r w:rsidR="00780B2E" w:rsidRPr="009C5F11">
              <w:rPr>
                <w:rFonts w:ascii="Times New Roman" w:eastAsia="Verdana" w:hAnsi="Times New Roman" w:cs="Times New Roman"/>
                <w:color w:val="000000"/>
                <w:sz w:val="18"/>
                <w:szCs w:val="14"/>
                <w:lang w:val="ro-RO"/>
              </w:rPr>
              <w:t xml:space="preserve">INOGATE </w:t>
            </w:r>
            <w:r w:rsidR="00ED79C9" w:rsidRPr="009C5F11">
              <w:rPr>
                <w:rFonts w:ascii="Times New Roman" w:eastAsia="Verdana" w:hAnsi="Times New Roman" w:cs="Times New Roman"/>
                <w:color w:val="000000"/>
                <w:sz w:val="18"/>
                <w:szCs w:val="14"/>
                <w:lang w:val="ro-RO"/>
              </w:rPr>
              <w:t>în sumă de</w:t>
            </w:r>
            <w:r w:rsidR="00780B2E" w:rsidRPr="009C5F11">
              <w:rPr>
                <w:rFonts w:ascii="Times New Roman" w:eastAsia="Verdana" w:hAnsi="Times New Roman" w:cs="Times New Roman"/>
                <w:color w:val="000000"/>
                <w:sz w:val="18"/>
                <w:szCs w:val="14"/>
                <w:lang w:val="ro-RO"/>
              </w:rPr>
              <w:t xml:space="preserve"> 6.06 </w:t>
            </w:r>
            <w:r w:rsidRPr="009C5F11">
              <w:rPr>
                <w:rFonts w:ascii="Times New Roman" w:eastAsia="Verdana" w:hAnsi="Times New Roman" w:cs="Times New Roman"/>
                <w:color w:val="000000"/>
                <w:sz w:val="18"/>
                <w:szCs w:val="14"/>
                <w:lang w:val="ro-RO"/>
              </w:rPr>
              <w:t>milioane</w:t>
            </w:r>
            <w:r w:rsidR="00780B2E" w:rsidRPr="009C5F11">
              <w:rPr>
                <w:rFonts w:ascii="Times New Roman" w:eastAsia="Verdana" w:hAnsi="Times New Roman" w:cs="Times New Roman"/>
                <w:color w:val="000000"/>
                <w:sz w:val="18"/>
                <w:szCs w:val="14"/>
                <w:lang w:val="ro-RO"/>
              </w:rPr>
              <w:t xml:space="preserve"> </w:t>
            </w:r>
            <w:r w:rsidR="00ED79C9" w:rsidRPr="009C5F11">
              <w:rPr>
                <w:rFonts w:ascii="Times New Roman" w:eastAsia="Verdana" w:hAnsi="Times New Roman" w:cs="Times New Roman"/>
                <w:color w:val="000000"/>
                <w:sz w:val="18"/>
                <w:szCs w:val="14"/>
                <w:lang w:val="ro-RO"/>
              </w:rPr>
              <w:t xml:space="preserve">de euro a fost acordată sub formă de </w:t>
            </w:r>
            <w:r w:rsidR="00780B2E" w:rsidRPr="009C5F11">
              <w:rPr>
                <w:rFonts w:ascii="Times New Roman" w:eastAsia="Verdana" w:hAnsi="Times New Roman" w:cs="Times New Roman"/>
                <w:color w:val="000000"/>
                <w:sz w:val="18"/>
                <w:szCs w:val="14"/>
                <w:lang w:val="ro-RO"/>
              </w:rPr>
              <w:t>grant</w:t>
            </w:r>
            <w:r w:rsidR="00ED79C9" w:rsidRPr="009C5F11">
              <w:rPr>
                <w:rFonts w:ascii="Times New Roman" w:eastAsia="Verdana" w:hAnsi="Times New Roman" w:cs="Times New Roman"/>
                <w:color w:val="000000"/>
                <w:sz w:val="18"/>
                <w:szCs w:val="14"/>
                <w:lang w:val="ro-RO"/>
              </w:rPr>
              <w:t>uri</w:t>
            </w:r>
            <w:r w:rsidR="00780B2E" w:rsidRPr="009C5F11">
              <w:rPr>
                <w:rFonts w:ascii="Times New Roman" w:eastAsia="Verdana" w:hAnsi="Times New Roman" w:cs="Times New Roman"/>
                <w:color w:val="000000"/>
                <w:sz w:val="18"/>
                <w:szCs w:val="14"/>
                <w:lang w:val="ro-RO"/>
              </w:rPr>
              <w:t xml:space="preserve"> </w:t>
            </w:r>
            <w:r w:rsidR="00ED79C9" w:rsidRPr="009C5F11">
              <w:rPr>
                <w:rFonts w:ascii="Times New Roman" w:eastAsia="Verdana" w:hAnsi="Times New Roman" w:cs="Times New Roman"/>
                <w:color w:val="000000"/>
                <w:sz w:val="18"/>
                <w:szCs w:val="14"/>
                <w:lang w:val="ro-RO"/>
              </w:rPr>
              <w:t>în vederea susţinerii proiectelor finanţate în cadrul facilităţi</w:t>
            </w:r>
            <w:r w:rsidR="000E162D" w:rsidRPr="009C5F11">
              <w:rPr>
                <w:rFonts w:ascii="Times New Roman" w:eastAsia="Verdana" w:hAnsi="Times New Roman" w:cs="Times New Roman"/>
                <w:color w:val="000000"/>
                <w:sz w:val="18"/>
                <w:szCs w:val="14"/>
                <w:lang w:val="ro-RO"/>
              </w:rPr>
              <w:t>i vizate</w:t>
            </w:r>
            <w:r w:rsidR="00780B2E" w:rsidRPr="009C5F11">
              <w:rPr>
                <w:rFonts w:ascii="Times New Roman" w:eastAsia="Verdana" w:hAnsi="Times New Roman" w:cs="Times New Roman"/>
                <w:color w:val="000000"/>
                <w:sz w:val="18"/>
                <w:szCs w:val="14"/>
                <w:lang w:val="ro-RO"/>
              </w:rPr>
              <w:t xml:space="preserve">. </w:t>
            </w:r>
            <w:r w:rsidR="00ED79C9" w:rsidRPr="009C5F11">
              <w:rPr>
                <w:rFonts w:ascii="Times New Roman" w:eastAsia="Verdana" w:hAnsi="Times New Roman" w:cs="Times New Roman"/>
                <w:color w:val="000000"/>
                <w:sz w:val="18"/>
                <w:szCs w:val="14"/>
                <w:lang w:val="ro-RO"/>
              </w:rPr>
              <w:t xml:space="preserve">Aceste mijloace au făcut parte din proiectul </w:t>
            </w:r>
            <w:r w:rsidR="00780B2E" w:rsidRPr="009C5F11">
              <w:rPr>
                <w:rFonts w:ascii="Times New Roman" w:eastAsia="Verdana" w:hAnsi="Times New Roman" w:cs="Times New Roman"/>
                <w:color w:val="000000"/>
                <w:sz w:val="18"/>
                <w:szCs w:val="14"/>
                <w:lang w:val="ro-RO"/>
              </w:rPr>
              <w:t>“Identifica</w:t>
            </w:r>
            <w:r w:rsidR="00ED79C9" w:rsidRPr="009C5F11">
              <w:rPr>
                <w:rFonts w:ascii="Times New Roman" w:eastAsia="Verdana" w:hAnsi="Times New Roman" w:cs="Times New Roman"/>
                <w:color w:val="000000"/>
                <w:sz w:val="18"/>
                <w:szCs w:val="14"/>
                <w:lang w:val="ro-RO"/>
              </w:rPr>
              <w:t>rea</w:t>
            </w:r>
            <w:r w:rsidR="00321CD5" w:rsidRPr="009C5F11">
              <w:rPr>
                <w:rFonts w:ascii="Times New Roman" w:eastAsia="Verdana" w:hAnsi="Times New Roman" w:cs="Times New Roman"/>
                <w:color w:val="000000"/>
                <w:sz w:val="18"/>
                <w:szCs w:val="14"/>
                <w:lang w:val="ro-RO"/>
              </w:rPr>
              <w:t xml:space="preserve"> şi </w:t>
            </w:r>
            <w:r w:rsidR="00ED79C9" w:rsidRPr="009C5F11">
              <w:rPr>
                <w:rFonts w:ascii="Times New Roman" w:eastAsia="Verdana" w:hAnsi="Times New Roman" w:cs="Times New Roman"/>
                <w:color w:val="000000"/>
                <w:sz w:val="18"/>
                <w:szCs w:val="14"/>
                <w:lang w:val="ro-RO"/>
              </w:rPr>
              <w:t>p</w:t>
            </w:r>
            <w:r w:rsidR="00FD5F1C" w:rsidRPr="009C5F11">
              <w:rPr>
                <w:rFonts w:ascii="Times New Roman" w:eastAsia="Verdana" w:hAnsi="Times New Roman" w:cs="Times New Roman"/>
                <w:color w:val="000000"/>
                <w:sz w:val="18"/>
                <w:szCs w:val="14"/>
                <w:lang w:val="ro-RO"/>
              </w:rPr>
              <w:t>romovarea</w:t>
            </w:r>
            <w:r w:rsidR="00780B2E" w:rsidRPr="009C5F11">
              <w:rPr>
                <w:rFonts w:ascii="Times New Roman" w:eastAsia="Verdana" w:hAnsi="Times New Roman" w:cs="Times New Roman"/>
                <w:color w:val="000000"/>
                <w:sz w:val="18"/>
                <w:szCs w:val="14"/>
                <w:lang w:val="ro-RO"/>
              </w:rPr>
              <w:t xml:space="preserve"> </w:t>
            </w:r>
            <w:r w:rsidR="00ED79C9" w:rsidRPr="009C5F11">
              <w:rPr>
                <w:rFonts w:ascii="Times New Roman" w:eastAsia="Verdana" w:hAnsi="Times New Roman" w:cs="Times New Roman"/>
                <w:color w:val="000000"/>
                <w:sz w:val="18"/>
                <w:szCs w:val="14"/>
                <w:lang w:val="ro-RO"/>
              </w:rPr>
              <w:t>investiţiilor în domeniul eficienţei energetice</w:t>
            </w:r>
            <w:r w:rsidR="00780B2E" w:rsidRPr="009C5F11">
              <w:rPr>
                <w:rFonts w:ascii="Times New Roman" w:eastAsia="Verdana" w:hAnsi="Times New Roman" w:cs="Times New Roman"/>
                <w:color w:val="000000"/>
                <w:sz w:val="18"/>
                <w:szCs w:val="14"/>
                <w:lang w:val="ro-RO"/>
              </w:rPr>
              <w:t xml:space="preserve">” </w:t>
            </w:r>
            <w:r w:rsidR="00ED79C9" w:rsidRPr="009C5F11">
              <w:rPr>
                <w:rFonts w:ascii="Times New Roman" w:eastAsia="Verdana" w:hAnsi="Times New Roman" w:cs="Times New Roman"/>
                <w:color w:val="000000"/>
                <w:sz w:val="18"/>
                <w:szCs w:val="14"/>
                <w:lang w:val="ro-RO"/>
              </w:rPr>
              <w:t xml:space="preserve">derulat în perioada </w:t>
            </w:r>
            <w:r w:rsidR="00780B2E" w:rsidRPr="009C5F11">
              <w:rPr>
                <w:rFonts w:ascii="Times New Roman" w:eastAsia="Verdana" w:hAnsi="Times New Roman" w:cs="Times New Roman"/>
                <w:color w:val="000000"/>
                <w:sz w:val="18"/>
                <w:szCs w:val="14"/>
                <w:lang w:val="ro-RO"/>
              </w:rPr>
              <w:t>01.12.2008</w:t>
            </w:r>
            <w:r w:rsidR="00ED79C9" w:rsidRPr="009C5F11">
              <w:rPr>
                <w:rFonts w:ascii="Times New Roman" w:eastAsia="Verdana" w:hAnsi="Times New Roman" w:cs="Times New Roman"/>
                <w:color w:val="000000"/>
                <w:sz w:val="18"/>
                <w:szCs w:val="14"/>
                <w:lang w:val="ro-RO"/>
              </w:rPr>
              <w:t xml:space="preserve"> – </w:t>
            </w:r>
            <w:r w:rsidR="00780B2E" w:rsidRPr="009C5F11">
              <w:rPr>
                <w:rFonts w:ascii="Times New Roman" w:eastAsia="Verdana" w:hAnsi="Times New Roman" w:cs="Times New Roman"/>
                <w:color w:val="000000"/>
                <w:sz w:val="18"/>
                <w:szCs w:val="14"/>
                <w:lang w:val="ro-RO"/>
              </w:rPr>
              <w:t>31.12.2012</w:t>
            </w:r>
            <w:r w:rsidR="00ED79C9" w:rsidRPr="009C5F11">
              <w:rPr>
                <w:rFonts w:ascii="Times New Roman" w:eastAsia="Verdana" w:hAnsi="Times New Roman" w:cs="Times New Roman"/>
                <w:color w:val="000000"/>
                <w:sz w:val="18"/>
                <w:szCs w:val="14"/>
                <w:lang w:val="ro-RO"/>
              </w:rPr>
              <w:t xml:space="preserve"> şi finanţat de UE. </w:t>
            </w:r>
            <w:r w:rsidR="00780B2E" w:rsidRPr="009C5F11">
              <w:rPr>
                <w:rFonts w:ascii="Times New Roman" w:eastAsia="Verdana" w:hAnsi="Times New Roman" w:cs="Times New Roman"/>
                <w:color w:val="000000"/>
                <w:sz w:val="18"/>
                <w:szCs w:val="14"/>
                <w:lang w:val="ro-RO"/>
              </w:rPr>
              <w:t xml:space="preserve">MoSEFF </w:t>
            </w:r>
            <w:r w:rsidR="00ED79C9" w:rsidRPr="009C5F11">
              <w:rPr>
                <w:rFonts w:ascii="Times New Roman" w:eastAsia="Verdana" w:hAnsi="Times New Roman" w:cs="Times New Roman"/>
                <w:color w:val="000000"/>
                <w:sz w:val="18"/>
                <w:szCs w:val="14"/>
                <w:lang w:val="ro-RO"/>
              </w:rPr>
              <w:t>oferă finanţare prin intermediul băncilor partenere din Republica Moldova</w:t>
            </w:r>
            <w:r w:rsidR="00780B2E" w:rsidRPr="009C5F11">
              <w:rPr>
                <w:rFonts w:ascii="Times New Roman" w:eastAsia="Verdana" w:hAnsi="Times New Roman" w:cs="Times New Roman"/>
                <w:color w:val="000000"/>
                <w:sz w:val="18"/>
                <w:szCs w:val="14"/>
                <w:lang w:val="ro-RO"/>
              </w:rPr>
              <w:t xml:space="preserve">. </w:t>
            </w:r>
            <w:r w:rsidR="00ED79C9" w:rsidRPr="009C5F11">
              <w:rPr>
                <w:rFonts w:ascii="Times New Roman" w:eastAsia="Verdana" w:hAnsi="Times New Roman" w:cs="Times New Roman"/>
                <w:color w:val="000000"/>
                <w:sz w:val="18"/>
                <w:szCs w:val="14"/>
                <w:lang w:val="ro-RO"/>
              </w:rPr>
              <w:t>Proiectul sprijină efectuarea investiţiilor de către companii</w:t>
            </w:r>
            <w:r w:rsidR="00780B2E" w:rsidRPr="009C5F11">
              <w:rPr>
                <w:rFonts w:ascii="Times New Roman" w:eastAsia="Verdana" w:hAnsi="Times New Roman" w:cs="Times New Roman"/>
                <w:color w:val="000000"/>
                <w:sz w:val="18"/>
                <w:szCs w:val="14"/>
                <w:lang w:val="ro-RO"/>
              </w:rPr>
              <w:t xml:space="preserve">, </w:t>
            </w:r>
            <w:r w:rsidR="00ED79C9" w:rsidRPr="009C5F11">
              <w:rPr>
                <w:rFonts w:ascii="Times New Roman" w:eastAsia="Verdana" w:hAnsi="Times New Roman" w:cs="Times New Roman"/>
                <w:color w:val="000000"/>
                <w:sz w:val="18"/>
                <w:szCs w:val="14"/>
                <w:lang w:val="ro-RO"/>
              </w:rPr>
              <w:t xml:space="preserve">în special, </w:t>
            </w:r>
            <w:r w:rsidR="000E162D" w:rsidRPr="009C5F11">
              <w:rPr>
                <w:rFonts w:ascii="Times New Roman" w:eastAsia="Verdana" w:hAnsi="Times New Roman" w:cs="Times New Roman"/>
                <w:color w:val="000000"/>
                <w:sz w:val="18"/>
                <w:szCs w:val="14"/>
                <w:lang w:val="ro-RO"/>
              </w:rPr>
              <w:t>de</w:t>
            </w:r>
            <w:r w:rsidR="00ED79C9" w:rsidRPr="009C5F11">
              <w:rPr>
                <w:rFonts w:ascii="Times New Roman" w:eastAsia="Verdana" w:hAnsi="Times New Roman" w:cs="Times New Roman"/>
                <w:color w:val="000000"/>
                <w:sz w:val="18"/>
                <w:szCs w:val="14"/>
                <w:lang w:val="ro-RO"/>
              </w:rPr>
              <w:t xml:space="preserve"> </w:t>
            </w:r>
            <w:r w:rsidR="001B3DCF" w:rsidRPr="009C5F11">
              <w:rPr>
                <w:rFonts w:ascii="Times New Roman" w:eastAsia="Verdana" w:hAnsi="Times New Roman" w:cs="Times New Roman"/>
                <w:color w:val="000000"/>
                <w:sz w:val="18"/>
                <w:szCs w:val="14"/>
                <w:lang w:val="ro-RO"/>
              </w:rPr>
              <w:t>IMM</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în </w:t>
            </w:r>
            <w:r w:rsidR="00ED79C9" w:rsidRPr="009C5F11">
              <w:rPr>
                <w:rFonts w:ascii="Times New Roman" w:eastAsia="Verdana" w:hAnsi="Times New Roman" w:cs="Times New Roman"/>
                <w:color w:val="000000"/>
                <w:sz w:val="18"/>
                <w:szCs w:val="14"/>
                <w:lang w:val="ro-RO"/>
              </w:rPr>
              <w:t xml:space="preserve">domeniul </w:t>
            </w:r>
            <w:r w:rsidR="000C7BEC" w:rsidRPr="009C5F11">
              <w:rPr>
                <w:rFonts w:ascii="Times New Roman" w:eastAsia="Verdana" w:hAnsi="Times New Roman" w:cs="Times New Roman"/>
                <w:color w:val="000000"/>
                <w:sz w:val="18"/>
                <w:szCs w:val="14"/>
                <w:lang w:val="ro-RO"/>
              </w:rPr>
              <w:t>eficienţ</w:t>
            </w:r>
            <w:r w:rsidR="00ED79C9" w:rsidRPr="009C5F11">
              <w:rPr>
                <w:rFonts w:ascii="Times New Roman" w:eastAsia="Verdana" w:hAnsi="Times New Roman" w:cs="Times New Roman"/>
                <w:color w:val="000000"/>
                <w:sz w:val="18"/>
                <w:szCs w:val="14"/>
                <w:lang w:val="ro-RO"/>
              </w:rPr>
              <w:t>ei</w:t>
            </w:r>
            <w:r w:rsidR="000C7BEC" w:rsidRPr="009C5F11">
              <w:rPr>
                <w:rFonts w:ascii="Times New Roman" w:eastAsia="Verdana" w:hAnsi="Times New Roman" w:cs="Times New Roman"/>
                <w:color w:val="000000"/>
                <w:sz w:val="18"/>
                <w:szCs w:val="14"/>
                <w:lang w:val="ro-RO"/>
              </w:rPr>
              <w:t xml:space="preserve"> energetic</w:t>
            </w:r>
            <w:r w:rsidR="00ED79C9" w:rsidRPr="009C5F11">
              <w:rPr>
                <w:rFonts w:ascii="Times New Roman" w:eastAsia="Verdana" w:hAnsi="Times New Roman" w:cs="Times New Roman"/>
                <w:color w:val="000000"/>
                <w:sz w:val="18"/>
                <w:szCs w:val="14"/>
                <w:lang w:val="ro-RO"/>
              </w:rPr>
              <w:t>e</w:t>
            </w:r>
            <w:r w:rsidR="00321CD5" w:rsidRPr="009C5F11">
              <w:rPr>
                <w:rFonts w:ascii="Times New Roman" w:eastAsia="Verdana" w:hAnsi="Times New Roman" w:cs="Times New Roman"/>
                <w:color w:val="000000"/>
                <w:sz w:val="18"/>
                <w:szCs w:val="14"/>
                <w:lang w:val="ro-RO"/>
              </w:rPr>
              <w:t xml:space="preserve"> şi </w:t>
            </w:r>
            <w:r w:rsidR="00ED79C9" w:rsidRPr="009C5F11">
              <w:rPr>
                <w:rFonts w:ascii="Times New Roman" w:eastAsia="Verdana" w:hAnsi="Times New Roman" w:cs="Times New Roman"/>
                <w:color w:val="000000"/>
                <w:sz w:val="18"/>
                <w:szCs w:val="14"/>
                <w:lang w:val="ro-RO"/>
              </w:rPr>
              <w:t xml:space="preserve">tehnologiilor </w:t>
            </w:r>
            <w:r w:rsidR="00FA7B8A" w:rsidRPr="009C5F11">
              <w:rPr>
                <w:rFonts w:ascii="Times New Roman" w:eastAsia="Verdana" w:hAnsi="Times New Roman" w:cs="Times New Roman"/>
                <w:color w:val="000000"/>
                <w:sz w:val="18"/>
                <w:szCs w:val="14"/>
                <w:lang w:val="ro-RO"/>
              </w:rPr>
              <w:t>energiei regenerabile</w:t>
            </w:r>
            <w:r w:rsidR="00780B2E" w:rsidRPr="009C5F11">
              <w:rPr>
                <w:rFonts w:ascii="Times New Roman" w:eastAsia="Verdana" w:hAnsi="Times New Roman" w:cs="Times New Roman"/>
                <w:color w:val="000000"/>
                <w:sz w:val="18"/>
                <w:szCs w:val="14"/>
                <w:lang w:val="ro-RO"/>
              </w:rPr>
              <w:t xml:space="preserve"> </w:t>
            </w:r>
            <w:r w:rsidR="00ED79C9" w:rsidRPr="009C5F11">
              <w:rPr>
                <w:rFonts w:ascii="Times New Roman" w:eastAsia="Verdana" w:hAnsi="Times New Roman" w:cs="Times New Roman"/>
                <w:color w:val="000000"/>
                <w:sz w:val="18"/>
                <w:szCs w:val="14"/>
                <w:lang w:val="ro-RO"/>
              </w:rPr>
              <w:t xml:space="preserve">care îşi propun să reducă dependenţa energetică şi să sporească securitatea de furnizare a energiei în </w:t>
            </w:r>
            <w:r w:rsidR="000E162D" w:rsidRPr="009C5F11">
              <w:rPr>
                <w:rFonts w:ascii="Times New Roman" w:eastAsia="Verdana" w:hAnsi="Times New Roman" w:cs="Times New Roman"/>
                <w:color w:val="000000"/>
                <w:sz w:val="18"/>
                <w:szCs w:val="14"/>
                <w:lang w:val="ro-RO"/>
              </w:rPr>
              <w:t>Republica Moldova</w:t>
            </w:r>
            <w:r w:rsidR="00ED79C9" w:rsidRPr="009C5F11">
              <w:rPr>
                <w:rFonts w:ascii="Times New Roman" w:eastAsia="Verdana" w:hAnsi="Times New Roman" w:cs="Times New Roman"/>
                <w:color w:val="000000"/>
                <w:sz w:val="18"/>
                <w:szCs w:val="14"/>
                <w:lang w:val="ro-RO"/>
              </w:rPr>
              <w:t xml:space="preserve">. </w:t>
            </w:r>
          </w:p>
        </w:tc>
        <w:tc>
          <w:tcPr>
            <w:tcW w:w="617" w:type="pct"/>
            <w:gridSpan w:val="3"/>
            <w:shd w:val="clear" w:color="000000" w:fill="D9D9D9"/>
            <w:vAlign w:val="center"/>
          </w:tcPr>
          <w:p w14:paraId="4729B4C1"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Implementarea continuă</w:t>
            </w:r>
            <w:r w:rsidR="00927CD9" w:rsidRPr="009C5F11">
              <w:rPr>
                <w:rFonts w:ascii="Times New Roman" w:eastAsia="Verdana" w:hAnsi="Times New Roman" w:cs="Times New Roman"/>
                <w:b/>
                <w:color w:val="000000"/>
                <w:sz w:val="18"/>
                <w:szCs w:val="14"/>
                <w:lang w:val="ro-RO"/>
              </w:rPr>
              <w:t xml:space="preserve"> conform planului</w:t>
            </w:r>
          </w:p>
        </w:tc>
      </w:tr>
      <w:tr w:rsidR="00D15B96" w:rsidRPr="009C5F11" w14:paraId="654151FE" w14:textId="77777777" w:rsidTr="00CD5222">
        <w:trPr>
          <w:trHeight w:val="300"/>
        </w:trPr>
        <w:tc>
          <w:tcPr>
            <w:tcW w:w="424" w:type="pct"/>
            <w:shd w:val="clear" w:color="000000" w:fill="D9D9D9"/>
            <w:noWrap/>
            <w:vAlign w:val="center"/>
          </w:tcPr>
          <w:p w14:paraId="019AC493"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935" w:type="pct"/>
            <w:shd w:val="clear" w:color="000000" w:fill="D9D9D9"/>
            <w:noWrap/>
            <w:vAlign w:val="center"/>
          </w:tcPr>
          <w:p w14:paraId="2973ECC8" w14:textId="77777777" w:rsidR="00D15B96" w:rsidRPr="009C5F11" w:rsidRDefault="00D15B96" w:rsidP="003D3C21">
            <w:pPr>
              <w:spacing w:after="0" w:line="240" w:lineRule="auto"/>
              <w:jc w:val="center"/>
              <w:rPr>
                <w:rFonts w:ascii="Times New Roman" w:eastAsia="Verdana" w:hAnsi="Times New Roman" w:cs="Times New Roman"/>
                <w:color w:val="000000"/>
                <w:sz w:val="18"/>
                <w:szCs w:val="14"/>
                <w:lang w:val="ro-RO"/>
              </w:rPr>
            </w:pPr>
          </w:p>
        </w:tc>
        <w:tc>
          <w:tcPr>
            <w:tcW w:w="321" w:type="pct"/>
            <w:shd w:val="clear" w:color="000000" w:fill="D9D9D9"/>
            <w:noWrap/>
            <w:vAlign w:val="center"/>
          </w:tcPr>
          <w:p w14:paraId="5F4F8308" w14:textId="77777777" w:rsidR="00D15B96" w:rsidRPr="009C5F11" w:rsidRDefault="00D15B96" w:rsidP="003D3C21">
            <w:pPr>
              <w:spacing w:after="0" w:line="240" w:lineRule="auto"/>
              <w:jc w:val="center"/>
              <w:rPr>
                <w:rFonts w:ascii="Times New Roman" w:eastAsia="Verdana" w:hAnsi="Times New Roman" w:cs="Times New Roman"/>
                <w:color w:val="000000"/>
                <w:sz w:val="18"/>
                <w:szCs w:val="14"/>
                <w:lang w:val="ro-RO"/>
              </w:rPr>
            </w:pPr>
          </w:p>
        </w:tc>
        <w:tc>
          <w:tcPr>
            <w:tcW w:w="322" w:type="pct"/>
            <w:shd w:val="clear" w:color="000000" w:fill="D9D9D9"/>
            <w:vAlign w:val="center"/>
          </w:tcPr>
          <w:p w14:paraId="0862AF1A" w14:textId="77777777" w:rsidR="00D15B96" w:rsidRPr="009C5F11" w:rsidRDefault="00D15B96" w:rsidP="003D3C21">
            <w:pPr>
              <w:spacing w:after="0" w:line="240" w:lineRule="auto"/>
              <w:jc w:val="center"/>
              <w:rPr>
                <w:rFonts w:ascii="Times New Roman" w:eastAsia="Verdana" w:hAnsi="Times New Roman" w:cs="Times New Roman"/>
                <w:b/>
                <w:bCs/>
                <w:color w:val="000000"/>
                <w:sz w:val="18"/>
                <w:szCs w:val="14"/>
                <w:lang w:val="ro-RO"/>
              </w:rPr>
            </w:pPr>
          </w:p>
        </w:tc>
        <w:tc>
          <w:tcPr>
            <w:tcW w:w="2381" w:type="pct"/>
            <w:shd w:val="clear" w:color="000000" w:fill="D9D9D9"/>
          </w:tcPr>
          <w:p w14:paraId="4CE42481" w14:textId="77777777" w:rsidR="00D15B96" w:rsidRPr="009C5F11" w:rsidRDefault="00D15B96" w:rsidP="00C807F1">
            <w:pPr>
              <w:spacing w:after="0" w:line="240" w:lineRule="auto"/>
              <w:jc w:val="right"/>
              <w:rPr>
                <w:rFonts w:ascii="Times New Roman" w:eastAsia="Verdana" w:hAnsi="Times New Roman" w:cs="Times New Roman"/>
                <w:b/>
                <w:color w:val="000000"/>
                <w:sz w:val="18"/>
                <w:szCs w:val="14"/>
                <w:lang w:val="ro-RO"/>
              </w:rPr>
            </w:pPr>
          </w:p>
        </w:tc>
        <w:tc>
          <w:tcPr>
            <w:tcW w:w="617" w:type="pct"/>
            <w:gridSpan w:val="3"/>
            <w:shd w:val="clear" w:color="000000" w:fill="D9D9D9"/>
            <w:vAlign w:val="center"/>
          </w:tcPr>
          <w:p w14:paraId="67593B35" w14:textId="77777777" w:rsidR="00D15B96" w:rsidRPr="009C5F11" w:rsidRDefault="00D15B96" w:rsidP="00192725">
            <w:pPr>
              <w:spacing w:after="0" w:line="240" w:lineRule="auto"/>
              <w:jc w:val="center"/>
              <w:rPr>
                <w:rFonts w:ascii="Times New Roman" w:eastAsia="Verdana" w:hAnsi="Times New Roman" w:cs="Times New Roman"/>
                <w:b/>
                <w:color w:val="000000"/>
                <w:sz w:val="18"/>
                <w:szCs w:val="14"/>
                <w:lang w:val="ro-RO"/>
              </w:rPr>
            </w:pPr>
          </w:p>
        </w:tc>
      </w:tr>
      <w:tr w:rsidR="00780B2E" w:rsidRPr="009C5F11" w14:paraId="701B964B" w14:textId="77777777" w:rsidTr="00CD5222">
        <w:trPr>
          <w:trHeight w:val="300"/>
        </w:trPr>
        <w:tc>
          <w:tcPr>
            <w:tcW w:w="424" w:type="pct"/>
            <w:shd w:val="clear" w:color="000000" w:fill="D9D9D9"/>
            <w:noWrap/>
            <w:vAlign w:val="center"/>
            <w:hideMark/>
          </w:tcPr>
          <w:p w14:paraId="1FD16340"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I2</w:t>
            </w:r>
          </w:p>
          <w:p w14:paraId="3ED94912"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30D50192"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Art.103</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shd w:val="clear" w:color="000000" w:fill="D9D9D9"/>
            <w:noWrap/>
            <w:vAlign w:val="center"/>
            <w:hideMark/>
          </w:tcPr>
          <w:p w14:paraId="76AA0332" w14:textId="77777777" w:rsidR="00780B2E" w:rsidRPr="009C5F11" w:rsidRDefault="00B26897" w:rsidP="003D3C21">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Introducerea managementului energetic şi a celor mai bune practici în</w:t>
            </w:r>
            <w:r w:rsidR="00286A0B" w:rsidRPr="009C5F11">
              <w:rPr>
                <w:rFonts w:ascii="Times New Roman" w:eastAsia="Verdana" w:hAnsi="Times New Roman" w:cs="Times New Roman"/>
                <w:color w:val="000000"/>
                <w:sz w:val="18"/>
                <w:szCs w:val="14"/>
                <w:lang w:val="ro-RO"/>
              </w:rPr>
              <w:t xml:space="preserve"> sectorul</w:t>
            </w:r>
            <w:r w:rsidRPr="009C5F11">
              <w:rPr>
                <w:rFonts w:ascii="Times New Roman" w:eastAsia="Verdana" w:hAnsi="Times New Roman" w:cs="Times New Roman"/>
                <w:color w:val="000000"/>
                <w:sz w:val="18"/>
                <w:szCs w:val="14"/>
                <w:lang w:val="ro-RO"/>
              </w:rPr>
              <w:t xml:space="preserve"> industrie</w:t>
            </w:r>
            <w:r w:rsidR="00286A0B" w:rsidRPr="009C5F11">
              <w:rPr>
                <w:rFonts w:ascii="Times New Roman" w:eastAsia="Verdana" w:hAnsi="Times New Roman" w:cs="Times New Roman"/>
                <w:color w:val="000000"/>
                <w:sz w:val="18"/>
                <w:szCs w:val="14"/>
                <w:lang w:val="ro-RO"/>
              </w:rPr>
              <w:t>i</w:t>
            </w:r>
          </w:p>
        </w:tc>
        <w:tc>
          <w:tcPr>
            <w:tcW w:w="321" w:type="pct"/>
            <w:shd w:val="clear" w:color="000000" w:fill="D9D9D9"/>
            <w:noWrap/>
            <w:vAlign w:val="center"/>
            <w:hideMark/>
          </w:tcPr>
          <w:p w14:paraId="7349881A" w14:textId="77777777" w:rsidR="00780B2E" w:rsidRPr="009C5F11" w:rsidRDefault="00780B2E" w:rsidP="003D3C21">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1.15</w:t>
            </w:r>
          </w:p>
        </w:tc>
        <w:tc>
          <w:tcPr>
            <w:tcW w:w="322" w:type="pct"/>
            <w:shd w:val="clear" w:color="000000" w:fill="D9D9D9"/>
            <w:vAlign w:val="center"/>
          </w:tcPr>
          <w:p w14:paraId="66F73FDC" w14:textId="77777777" w:rsidR="00780B2E" w:rsidRPr="009C5F11" w:rsidRDefault="00780B2E" w:rsidP="003D3C21">
            <w:pPr>
              <w:spacing w:after="0" w:line="240" w:lineRule="auto"/>
              <w:jc w:val="center"/>
              <w:rPr>
                <w:rFonts w:ascii="Times New Roman" w:eastAsia="Verdana" w:hAnsi="Times New Roman" w:cs="Times New Roman"/>
                <w:b/>
                <w:bCs/>
                <w:color w:val="000000"/>
                <w:sz w:val="18"/>
                <w:szCs w:val="14"/>
                <w:lang w:val="ro-RO"/>
              </w:rPr>
            </w:pPr>
            <w:r w:rsidRPr="009C5F11">
              <w:rPr>
                <w:rFonts w:ascii="Times New Roman" w:eastAsia="Verdana" w:hAnsi="Times New Roman" w:cs="Times New Roman"/>
                <w:b/>
                <w:bCs/>
                <w:color w:val="000000"/>
                <w:sz w:val="18"/>
                <w:szCs w:val="14"/>
                <w:lang w:val="ro-RO"/>
              </w:rPr>
              <w:t>2.3</w:t>
            </w:r>
          </w:p>
        </w:tc>
        <w:tc>
          <w:tcPr>
            <w:tcW w:w="2381" w:type="pct"/>
            <w:shd w:val="clear" w:color="000000" w:fill="D9D9D9"/>
          </w:tcPr>
          <w:p w14:paraId="3659C2D9" w14:textId="77777777" w:rsidR="00780B2E" w:rsidRPr="009C5F11" w:rsidRDefault="001A3909"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Primii paşi în implementare au fost realizaţi</w:t>
            </w:r>
          </w:p>
          <w:p w14:paraId="2C94D633" w14:textId="77777777" w:rsidR="00780B2E" w:rsidRPr="009C5F11" w:rsidRDefault="00780B2E" w:rsidP="00C807F1">
            <w:pPr>
              <w:spacing w:after="0" w:line="240" w:lineRule="auto"/>
              <w:jc w:val="right"/>
              <w:rPr>
                <w:rFonts w:ascii="Times New Roman" w:eastAsia="Verdana" w:hAnsi="Times New Roman" w:cs="Times New Roman"/>
                <w:color w:val="000000"/>
                <w:sz w:val="18"/>
                <w:szCs w:val="14"/>
                <w:lang w:val="ro-RO"/>
              </w:rPr>
            </w:pPr>
          </w:p>
          <w:p w14:paraId="64EA346C" w14:textId="77777777" w:rsidR="00780B2E" w:rsidRPr="009C5F11" w:rsidRDefault="00532A33"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Implementarea</w:t>
            </w:r>
            <w:r w:rsidR="00780B2E" w:rsidRPr="009C5F11">
              <w:rPr>
                <w:rFonts w:ascii="Times New Roman" w:eastAsia="Verdana" w:hAnsi="Times New Roman" w:cs="Times New Roman"/>
                <w:color w:val="000000"/>
                <w:sz w:val="18"/>
                <w:szCs w:val="14"/>
                <w:lang w:val="ro-RO"/>
              </w:rPr>
              <w:t xml:space="preserve"> </w:t>
            </w:r>
            <w:r w:rsidR="00286A0B" w:rsidRPr="009C5F11">
              <w:rPr>
                <w:rFonts w:ascii="Times New Roman" w:eastAsia="Verdana" w:hAnsi="Times New Roman" w:cs="Times New Roman"/>
                <w:color w:val="000000"/>
                <w:sz w:val="18"/>
                <w:szCs w:val="14"/>
                <w:lang w:val="ro-RO"/>
              </w:rPr>
              <w:t>sistemului de management energetic</w:t>
            </w:r>
            <w:r w:rsidR="00A36740" w:rsidRPr="009C5F11">
              <w:rPr>
                <w:rFonts w:ascii="Times New Roman" w:eastAsia="Verdana" w:hAnsi="Times New Roman" w:cs="Times New Roman"/>
                <w:color w:val="000000"/>
                <w:sz w:val="18"/>
                <w:szCs w:val="14"/>
                <w:lang w:val="ro-RO"/>
              </w:rPr>
              <w:t xml:space="preserve"> (</w:t>
            </w:r>
            <w:r w:rsidR="00286A0B" w:rsidRPr="009C5F11">
              <w:rPr>
                <w:rFonts w:ascii="Times New Roman" w:eastAsia="Verdana" w:hAnsi="Times New Roman" w:cs="Times New Roman"/>
                <w:color w:val="000000"/>
                <w:sz w:val="18"/>
                <w:szCs w:val="14"/>
                <w:lang w:val="ro-RO"/>
              </w:rPr>
              <w:t>SME</w:t>
            </w:r>
            <w:r w:rsidR="00A36740" w:rsidRPr="009C5F11">
              <w:rPr>
                <w:rFonts w:ascii="Times New Roman" w:eastAsia="Verdana" w:hAnsi="Times New Roman" w:cs="Times New Roman"/>
                <w:color w:val="000000"/>
                <w:sz w:val="18"/>
                <w:szCs w:val="14"/>
                <w:lang w:val="ro-RO"/>
              </w:rPr>
              <w:t xml:space="preserve">, </w:t>
            </w:r>
            <w:r w:rsidR="00A36740" w:rsidRPr="009C5F11">
              <w:rPr>
                <w:rFonts w:ascii="Times New Roman" w:eastAsia="Verdana" w:hAnsi="Times New Roman" w:cs="Times New Roman"/>
                <w:i/>
                <w:color w:val="000000"/>
                <w:sz w:val="18"/>
                <w:szCs w:val="14"/>
                <w:lang w:val="ro-RO"/>
              </w:rPr>
              <w:t xml:space="preserve">eng. </w:t>
            </w:r>
            <w:r w:rsidR="000E162D" w:rsidRPr="009C5F11">
              <w:rPr>
                <w:rFonts w:ascii="Times New Roman" w:eastAsia="Verdana" w:hAnsi="Times New Roman" w:cs="Times New Roman"/>
                <w:i/>
                <w:color w:val="000000"/>
                <w:sz w:val="18"/>
                <w:szCs w:val="14"/>
                <w:lang w:val="ro-RO"/>
              </w:rPr>
              <w:t>– Energy M</w:t>
            </w:r>
            <w:r w:rsidR="007E1094" w:rsidRPr="009C5F11">
              <w:rPr>
                <w:rFonts w:ascii="Times New Roman" w:eastAsia="Verdana" w:hAnsi="Times New Roman" w:cs="Times New Roman"/>
                <w:i/>
                <w:color w:val="000000"/>
                <w:sz w:val="18"/>
                <w:szCs w:val="14"/>
                <w:lang w:val="ro-RO"/>
              </w:rPr>
              <w:t xml:space="preserve">anagement </w:t>
            </w:r>
            <w:r w:rsidR="000E162D" w:rsidRPr="009C5F11">
              <w:rPr>
                <w:rFonts w:ascii="Times New Roman" w:eastAsia="Verdana" w:hAnsi="Times New Roman" w:cs="Times New Roman"/>
                <w:i/>
                <w:color w:val="000000"/>
                <w:sz w:val="18"/>
                <w:szCs w:val="14"/>
                <w:lang w:val="ro-RO"/>
              </w:rPr>
              <w:t>System)</w:t>
            </w:r>
            <w:r w:rsidR="007E1094" w:rsidRPr="009C5F11">
              <w:rPr>
                <w:rFonts w:ascii="Times New Roman" w:eastAsia="Verdana" w:hAnsi="Times New Roman" w:cs="Times New Roman"/>
                <w:color w:val="000000"/>
                <w:sz w:val="18"/>
                <w:szCs w:val="14"/>
                <w:lang w:val="ro-RO"/>
              </w:rPr>
              <w:t xml:space="preserve"> şi distribuirea rezultatelor obţinute s-a soldat cu creşterea investiţiilor în domeniul eficienţei energetice în industrie, fortificarea rentabilității acestor proiecte, printre beneficiari numărându-se şi alte sectoare ale economiei naţionale. </w:t>
            </w:r>
            <w:r w:rsidRPr="009C5F11">
              <w:rPr>
                <w:rFonts w:ascii="Times New Roman" w:eastAsia="Verdana" w:hAnsi="Times New Roman" w:cs="Times New Roman"/>
                <w:color w:val="000000"/>
                <w:sz w:val="18"/>
                <w:szCs w:val="14"/>
                <w:lang w:val="ro-RO"/>
              </w:rPr>
              <w:t>Implementarea</w:t>
            </w:r>
            <w:r w:rsidR="00780B2E" w:rsidRPr="009C5F11">
              <w:rPr>
                <w:rFonts w:ascii="Times New Roman" w:eastAsia="Verdana" w:hAnsi="Times New Roman" w:cs="Times New Roman"/>
                <w:color w:val="000000"/>
                <w:sz w:val="18"/>
                <w:szCs w:val="14"/>
                <w:lang w:val="ro-RO"/>
              </w:rPr>
              <w:t xml:space="preserve"> </w:t>
            </w:r>
            <w:r w:rsidR="00286A0B" w:rsidRPr="009C5F11">
              <w:rPr>
                <w:rFonts w:ascii="Times New Roman" w:eastAsia="Verdana" w:hAnsi="Times New Roman" w:cs="Times New Roman"/>
                <w:color w:val="000000"/>
                <w:sz w:val="18"/>
                <w:szCs w:val="14"/>
                <w:lang w:val="ro-RO"/>
              </w:rPr>
              <w:t>SME</w:t>
            </w:r>
            <w:r w:rsidR="00130C5D" w:rsidRPr="009C5F11">
              <w:rPr>
                <w:rFonts w:ascii="Times New Roman" w:eastAsia="Verdana" w:hAnsi="Times New Roman" w:cs="Times New Roman"/>
                <w:color w:val="000000"/>
                <w:sz w:val="18"/>
                <w:szCs w:val="14"/>
                <w:lang w:val="ro-RO"/>
              </w:rPr>
              <w:t xml:space="preserve"> a permis să fie îmbunătăţită colectarea datelor</w:t>
            </w:r>
            <w:r w:rsidR="00780B2E"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monitorizare</w:t>
            </w:r>
            <w:r w:rsidR="00286A0B" w:rsidRPr="009C5F11">
              <w:rPr>
                <w:rFonts w:ascii="Times New Roman" w:eastAsia="Verdana" w:hAnsi="Times New Roman" w:cs="Times New Roman"/>
                <w:color w:val="000000"/>
                <w:sz w:val="18"/>
                <w:szCs w:val="14"/>
                <w:lang w:val="ro-RO"/>
              </w:rPr>
              <w:t>a</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anal</w:t>
            </w:r>
            <w:r w:rsidR="00130C5D" w:rsidRPr="009C5F11">
              <w:rPr>
                <w:rFonts w:ascii="Times New Roman" w:eastAsia="Verdana" w:hAnsi="Times New Roman" w:cs="Times New Roman"/>
                <w:color w:val="000000"/>
                <w:sz w:val="18"/>
                <w:szCs w:val="14"/>
                <w:lang w:val="ro-RO"/>
              </w:rPr>
              <w:t>izarea</w:t>
            </w:r>
            <w:r w:rsidR="00780B2E"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activităţi</w:t>
            </w:r>
            <w:r w:rsidR="00130C5D" w:rsidRPr="009C5F11">
              <w:rPr>
                <w:rFonts w:ascii="Times New Roman" w:eastAsia="Verdana" w:hAnsi="Times New Roman" w:cs="Times New Roman"/>
                <w:color w:val="000000"/>
                <w:sz w:val="18"/>
                <w:szCs w:val="14"/>
                <w:lang w:val="ro-RO"/>
              </w:rPr>
              <w:t>lor</w:t>
            </w:r>
            <w:r w:rsidR="00780B2E" w:rsidRPr="009C5F11">
              <w:rPr>
                <w:rFonts w:ascii="Times New Roman" w:eastAsia="Verdana" w:hAnsi="Times New Roman" w:cs="Times New Roman"/>
                <w:color w:val="000000"/>
                <w:sz w:val="18"/>
                <w:szCs w:val="14"/>
                <w:lang w:val="ro-RO"/>
              </w:rPr>
              <w:t xml:space="preserve"> n</w:t>
            </w:r>
            <w:r w:rsidR="00130C5D" w:rsidRPr="009C5F11">
              <w:rPr>
                <w:rFonts w:ascii="Times New Roman" w:eastAsia="Verdana" w:hAnsi="Times New Roman" w:cs="Times New Roman"/>
                <w:color w:val="000000"/>
                <w:sz w:val="18"/>
                <w:szCs w:val="14"/>
                <w:lang w:val="ro-RO"/>
              </w:rPr>
              <w:t>u doar în cadrul companiei, dar şi la nivel sectorial şi naţional</w:t>
            </w:r>
            <w:r w:rsidR="00780B2E" w:rsidRPr="009C5F11">
              <w:rPr>
                <w:rFonts w:ascii="Times New Roman" w:eastAsia="Verdana" w:hAnsi="Times New Roman" w:cs="Times New Roman"/>
                <w:color w:val="000000"/>
                <w:sz w:val="18"/>
                <w:szCs w:val="14"/>
                <w:lang w:val="ro-RO"/>
              </w:rPr>
              <w:t>.</w:t>
            </w:r>
          </w:p>
          <w:p w14:paraId="07EA0188"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p>
          <w:p w14:paraId="37498045" w14:textId="77777777" w:rsidR="00780B2E" w:rsidRPr="009C5F11" w:rsidRDefault="001B3DCF"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La situaţia din</w:t>
            </w:r>
            <w:r w:rsidR="00780B2E" w:rsidRPr="009C5F11">
              <w:rPr>
                <w:rFonts w:ascii="Times New Roman" w:eastAsia="Verdana" w:hAnsi="Times New Roman" w:cs="Times New Roman"/>
                <w:color w:val="000000"/>
                <w:sz w:val="18"/>
                <w:szCs w:val="14"/>
                <w:lang w:val="ro-RO"/>
              </w:rPr>
              <w:t xml:space="preserve"> 17.02.2016, Termoelectrica </w:t>
            </w:r>
            <w:r w:rsidRPr="009C5F11">
              <w:rPr>
                <w:rFonts w:ascii="Times New Roman" w:eastAsia="Verdana" w:hAnsi="Times New Roman" w:cs="Times New Roman"/>
                <w:color w:val="000000"/>
                <w:sz w:val="18"/>
                <w:szCs w:val="14"/>
                <w:lang w:val="ro-RO"/>
              </w:rPr>
              <w:t>a dezvoltat</w:t>
            </w:r>
            <w:r w:rsidR="00780B2E" w:rsidRPr="009C5F11">
              <w:rPr>
                <w:rFonts w:ascii="Times New Roman" w:eastAsia="Verdana" w:hAnsi="Times New Roman" w:cs="Times New Roman"/>
                <w:color w:val="000000"/>
                <w:sz w:val="18"/>
                <w:szCs w:val="14"/>
                <w:lang w:val="ro-RO"/>
              </w:rPr>
              <w:t xml:space="preserve"> </w:t>
            </w:r>
            <w:r w:rsidR="000E162D" w:rsidRPr="009C5F11">
              <w:rPr>
                <w:rFonts w:ascii="Times New Roman" w:eastAsia="Verdana" w:hAnsi="Times New Roman" w:cs="Times New Roman"/>
                <w:color w:val="000000"/>
                <w:sz w:val="18"/>
                <w:szCs w:val="14"/>
                <w:lang w:val="ro-RO"/>
              </w:rPr>
              <w:t xml:space="preserve">şi implementat </w:t>
            </w:r>
            <w:r w:rsidR="00ED79C9" w:rsidRPr="009C5F11">
              <w:rPr>
                <w:rFonts w:ascii="Times New Roman" w:eastAsia="Verdana" w:hAnsi="Times New Roman" w:cs="Times New Roman"/>
                <w:color w:val="000000"/>
                <w:sz w:val="18"/>
                <w:szCs w:val="14"/>
                <w:lang w:val="ro-RO"/>
              </w:rPr>
              <w:t xml:space="preserve">un </w:t>
            </w:r>
            <w:r w:rsidRPr="009C5F11">
              <w:rPr>
                <w:rFonts w:ascii="Times New Roman" w:eastAsia="Verdana" w:hAnsi="Times New Roman" w:cs="Times New Roman"/>
                <w:color w:val="000000"/>
                <w:sz w:val="18"/>
                <w:szCs w:val="14"/>
                <w:lang w:val="ro-RO"/>
              </w:rPr>
              <w:t>sistem automatizat de monitorizare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 furnizării energiei termice</w:t>
            </w:r>
            <w:r w:rsidR="00780B2E" w:rsidRPr="009C5F11">
              <w:rPr>
                <w:rFonts w:ascii="Times New Roman" w:eastAsia="Verdana" w:hAnsi="Times New Roman" w:cs="Times New Roman"/>
                <w:color w:val="000000"/>
                <w:sz w:val="18"/>
                <w:szCs w:val="14"/>
                <w:lang w:val="ro-RO"/>
              </w:rPr>
              <w:t>, paramet</w:t>
            </w:r>
            <w:r w:rsidR="00286A0B" w:rsidRPr="009C5F11">
              <w:rPr>
                <w:rFonts w:ascii="Times New Roman" w:eastAsia="Verdana" w:hAnsi="Times New Roman" w:cs="Times New Roman"/>
                <w:color w:val="000000"/>
                <w:sz w:val="18"/>
                <w:szCs w:val="14"/>
                <w:lang w:val="ro-RO"/>
              </w:rPr>
              <w:t xml:space="preserve">rilor </w:t>
            </w:r>
            <w:r w:rsidR="007E1094" w:rsidRPr="009C5F11">
              <w:rPr>
                <w:rFonts w:ascii="Times New Roman" w:eastAsia="Verdana" w:hAnsi="Times New Roman" w:cs="Times New Roman"/>
                <w:color w:val="000000"/>
                <w:sz w:val="18"/>
                <w:szCs w:val="14"/>
                <w:lang w:val="ro-RO"/>
              </w:rPr>
              <w:t>tehnologici</w:t>
            </w:r>
            <w:r w:rsidR="00321CD5" w:rsidRPr="009C5F11">
              <w:rPr>
                <w:rFonts w:ascii="Times New Roman" w:eastAsia="Verdana" w:hAnsi="Times New Roman" w:cs="Times New Roman"/>
                <w:color w:val="000000"/>
                <w:sz w:val="18"/>
                <w:szCs w:val="14"/>
                <w:lang w:val="ro-RO"/>
              </w:rPr>
              <w:t xml:space="preserve"> şi</w:t>
            </w:r>
            <w:r w:rsidR="00286A0B" w:rsidRPr="009C5F11">
              <w:rPr>
                <w:rFonts w:ascii="Times New Roman" w:eastAsia="Verdana" w:hAnsi="Times New Roman" w:cs="Times New Roman"/>
                <w:color w:val="000000"/>
                <w:sz w:val="18"/>
                <w:szCs w:val="14"/>
                <w:lang w:val="ro-RO"/>
              </w:rPr>
              <w:t xml:space="preserve"> a</w:t>
            </w:r>
            <w:r w:rsidR="00321CD5" w:rsidRPr="009C5F11">
              <w:rPr>
                <w:rFonts w:ascii="Times New Roman" w:eastAsia="Verdana" w:hAnsi="Times New Roman" w:cs="Times New Roman"/>
                <w:color w:val="000000"/>
                <w:sz w:val="18"/>
                <w:szCs w:val="14"/>
                <w:lang w:val="ro-RO"/>
              </w:rPr>
              <w:t xml:space="preserve"> </w:t>
            </w:r>
            <w:r w:rsidR="001E3482" w:rsidRPr="009C5F11">
              <w:rPr>
                <w:rFonts w:ascii="Times New Roman" w:eastAsia="Verdana" w:hAnsi="Times New Roman" w:cs="Times New Roman"/>
                <w:color w:val="000000"/>
                <w:sz w:val="18"/>
                <w:szCs w:val="14"/>
                <w:lang w:val="ro-RO"/>
              </w:rPr>
              <w:t>energie</w:t>
            </w:r>
            <w:r w:rsidR="00286A0B" w:rsidRPr="009C5F11">
              <w:rPr>
                <w:rFonts w:ascii="Times New Roman" w:eastAsia="Verdana" w:hAnsi="Times New Roman" w:cs="Times New Roman"/>
                <w:color w:val="000000"/>
                <w:sz w:val="18"/>
                <w:szCs w:val="14"/>
                <w:lang w:val="ro-RO"/>
              </w:rPr>
              <w:t>i</w:t>
            </w:r>
            <w:r w:rsidR="00780B2E"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monitorizare</w:t>
            </w:r>
            <w:r w:rsidR="00780B2E" w:rsidRPr="009C5F11">
              <w:rPr>
                <w:rFonts w:ascii="Times New Roman" w:eastAsia="Verdana" w:hAnsi="Times New Roman" w:cs="Times New Roman"/>
                <w:color w:val="000000"/>
                <w:sz w:val="18"/>
                <w:szCs w:val="14"/>
                <w:lang w:val="ro-RO"/>
              </w:rPr>
              <w:t xml:space="preserve">. </w:t>
            </w:r>
            <w:r w:rsidR="00360BED" w:rsidRPr="009C5F11">
              <w:rPr>
                <w:rFonts w:ascii="Times New Roman" w:eastAsia="Verdana" w:hAnsi="Times New Roman" w:cs="Times New Roman"/>
                <w:color w:val="000000"/>
                <w:sz w:val="18"/>
                <w:szCs w:val="14"/>
                <w:lang w:val="ro-RO"/>
              </w:rPr>
              <w:t>Pe parcursul an</w:t>
            </w:r>
            <w:r w:rsidR="00286A0B" w:rsidRPr="009C5F11">
              <w:rPr>
                <w:rFonts w:ascii="Times New Roman" w:eastAsia="Verdana" w:hAnsi="Times New Roman" w:cs="Times New Roman"/>
                <w:color w:val="000000"/>
                <w:sz w:val="18"/>
                <w:szCs w:val="14"/>
                <w:lang w:val="ro-RO"/>
              </w:rPr>
              <w:t>ilor</w:t>
            </w:r>
            <w:r w:rsidR="00780B2E" w:rsidRPr="009C5F11">
              <w:rPr>
                <w:rFonts w:ascii="Times New Roman" w:eastAsia="Verdana" w:hAnsi="Times New Roman" w:cs="Times New Roman"/>
                <w:color w:val="000000"/>
                <w:sz w:val="18"/>
                <w:szCs w:val="14"/>
                <w:lang w:val="ro-RO"/>
              </w:rPr>
              <w:t xml:space="preserve"> 2013-2015 </w:t>
            </w:r>
            <w:r w:rsidR="00286A0B" w:rsidRPr="009C5F11">
              <w:rPr>
                <w:rFonts w:ascii="Times New Roman" w:eastAsia="Verdana" w:hAnsi="Times New Roman" w:cs="Times New Roman"/>
                <w:color w:val="000000"/>
                <w:sz w:val="18"/>
                <w:szCs w:val="14"/>
                <w:lang w:val="ro-RO"/>
              </w:rPr>
              <w:t xml:space="preserve">a fost implementat </w:t>
            </w:r>
            <w:r w:rsidR="00210C2C" w:rsidRPr="009C5F11">
              <w:rPr>
                <w:rFonts w:ascii="Times New Roman" w:eastAsia="Verdana" w:hAnsi="Times New Roman" w:cs="Times New Roman"/>
                <w:color w:val="000000"/>
                <w:sz w:val="18"/>
                <w:szCs w:val="14"/>
                <w:lang w:val="ro-RO"/>
              </w:rPr>
              <w:t xml:space="preserve">sistemul de </w:t>
            </w:r>
            <w:r w:rsidR="00210C2C" w:rsidRPr="009C5F11">
              <w:rPr>
                <w:rFonts w:ascii="Times New Roman" w:eastAsia="Verdana" w:hAnsi="Times New Roman" w:cs="Times New Roman"/>
                <w:color w:val="000000"/>
                <w:sz w:val="18"/>
                <w:szCs w:val="14"/>
                <w:lang w:val="ro-RO"/>
              </w:rPr>
              <w:lastRenderedPageBreak/>
              <w:t>monitorizare</w:t>
            </w:r>
            <w:r w:rsidR="00780B2E" w:rsidRPr="009C5F11">
              <w:rPr>
                <w:rFonts w:ascii="Times New Roman" w:eastAsia="Verdana" w:hAnsi="Times New Roman" w:cs="Times New Roman"/>
                <w:color w:val="000000"/>
                <w:sz w:val="18"/>
                <w:szCs w:val="14"/>
                <w:lang w:val="ro-RO"/>
              </w:rPr>
              <w:t xml:space="preserve"> </w:t>
            </w:r>
            <w:r w:rsidR="00286A0B" w:rsidRPr="009C5F11">
              <w:rPr>
                <w:rFonts w:ascii="Times New Roman" w:eastAsia="Verdana" w:hAnsi="Times New Roman" w:cs="Times New Roman"/>
                <w:color w:val="000000"/>
                <w:sz w:val="18"/>
                <w:szCs w:val="14"/>
                <w:lang w:val="ro-RO"/>
              </w:rPr>
              <w:t>a energiei pe baza</w:t>
            </w:r>
            <w:r w:rsidR="00780B2E" w:rsidRPr="009C5F11">
              <w:rPr>
                <w:rFonts w:ascii="Times New Roman" w:eastAsia="Verdana" w:hAnsi="Times New Roman" w:cs="Times New Roman"/>
                <w:color w:val="000000"/>
                <w:sz w:val="18"/>
                <w:szCs w:val="14"/>
                <w:lang w:val="ro-RO"/>
              </w:rPr>
              <w:t xml:space="preserve"> SM SR ISO 50001.</w:t>
            </w:r>
            <w:r w:rsidR="00055095" w:rsidRPr="009C5F11">
              <w:rPr>
                <w:rFonts w:ascii="Times New Roman" w:eastAsia="Verdana" w:hAnsi="Times New Roman" w:cs="Times New Roman"/>
                <w:color w:val="000000"/>
                <w:sz w:val="18"/>
                <w:szCs w:val="14"/>
                <w:lang w:val="ro-RO"/>
              </w:rPr>
              <w:t xml:space="preserve"> </w:t>
            </w:r>
          </w:p>
          <w:p w14:paraId="19CAA3F2"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NCPP Moldova </w:t>
            </w:r>
            <w:r w:rsidR="001B3DCF" w:rsidRPr="009C5F11">
              <w:rPr>
                <w:rFonts w:ascii="Times New Roman" w:eastAsia="Verdana" w:hAnsi="Times New Roman" w:cs="Times New Roman"/>
                <w:color w:val="000000"/>
                <w:sz w:val="18"/>
                <w:szCs w:val="14"/>
                <w:lang w:val="ro-RO"/>
              </w:rPr>
              <w:t xml:space="preserve">este un observator, membru al </w:t>
            </w:r>
            <w:r w:rsidR="00286A0B" w:rsidRPr="009C5F11">
              <w:rPr>
                <w:rFonts w:ascii="Times New Roman" w:eastAsia="Verdana" w:hAnsi="Times New Roman" w:cs="Times New Roman"/>
                <w:color w:val="000000"/>
                <w:sz w:val="18"/>
                <w:szCs w:val="14"/>
                <w:lang w:val="ro-RO"/>
              </w:rPr>
              <w:t>Reţelei globale pentru eficienţa resurselor şi producţie</w:t>
            </w:r>
            <w:r w:rsidR="000E162D" w:rsidRPr="009C5F11">
              <w:rPr>
                <w:rFonts w:ascii="Times New Roman" w:eastAsia="Verdana" w:hAnsi="Times New Roman" w:cs="Times New Roman"/>
                <w:color w:val="000000"/>
                <w:sz w:val="18"/>
                <w:szCs w:val="14"/>
                <w:lang w:val="ro-RO"/>
              </w:rPr>
              <w:t>i</w:t>
            </w:r>
            <w:r w:rsidR="00286A0B" w:rsidRPr="009C5F11">
              <w:rPr>
                <w:rFonts w:ascii="Times New Roman" w:eastAsia="Verdana" w:hAnsi="Times New Roman" w:cs="Times New Roman"/>
                <w:color w:val="000000"/>
                <w:sz w:val="18"/>
                <w:szCs w:val="14"/>
                <w:lang w:val="ro-RO"/>
              </w:rPr>
              <w:t xml:space="preserve"> curat</w:t>
            </w:r>
            <w:r w:rsidR="000E162D" w:rsidRPr="009C5F11">
              <w:rPr>
                <w:rFonts w:ascii="Times New Roman" w:eastAsia="Verdana" w:hAnsi="Times New Roman" w:cs="Times New Roman"/>
                <w:color w:val="000000"/>
                <w:sz w:val="18"/>
                <w:szCs w:val="14"/>
                <w:lang w:val="ro-RO"/>
              </w:rPr>
              <w:t>e</w:t>
            </w:r>
            <w:r w:rsidRPr="009C5F11">
              <w:rPr>
                <w:rFonts w:ascii="Times New Roman" w:eastAsia="Verdana" w:hAnsi="Times New Roman" w:cs="Times New Roman"/>
                <w:color w:val="000000"/>
                <w:sz w:val="18"/>
                <w:szCs w:val="14"/>
                <w:lang w:val="ro-RO"/>
              </w:rPr>
              <w:t xml:space="preserve"> (RECPnet)</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adopt</w:t>
            </w:r>
            <w:r w:rsidR="001B3DCF" w:rsidRPr="009C5F11">
              <w:rPr>
                <w:rFonts w:ascii="Times New Roman" w:eastAsia="Verdana" w:hAnsi="Times New Roman" w:cs="Times New Roman"/>
                <w:color w:val="000000"/>
                <w:sz w:val="18"/>
                <w:szCs w:val="14"/>
                <w:lang w:val="ro-RO"/>
              </w:rPr>
              <w:t>ă</w:t>
            </w:r>
            <w:r w:rsidRPr="009C5F11">
              <w:rPr>
                <w:rFonts w:ascii="Times New Roman" w:eastAsia="Verdana" w:hAnsi="Times New Roman" w:cs="Times New Roman"/>
                <w:color w:val="000000"/>
                <w:sz w:val="18"/>
                <w:szCs w:val="14"/>
                <w:lang w:val="ro-RO"/>
              </w:rPr>
              <w:t xml:space="preserve"> </w:t>
            </w:r>
            <w:r w:rsidR="00286A0B" w:rsidRPr="009C5F11">
              <w:rPr>
                <w:rFonts w:ascii="Times New Roman" w:eastAsia="Verdana" w:hAnsi="Times New Roman" w:cs="Times New Roman"/>
                <w:color w:val="000000"/>
                <w:sz w:val="18"/>
                <w:szCs w:val="14"/>
                <w:lang w:val="ro-RO"/>
              </w:rPr>
              <w:t>structurile</w:t>
            </w:r>
            <w:r w:rsidR="001B3DCF" w:rsidRPr="009C5F11">
              <w:rPr>
                <w:rFonts w:ascii="Times New Roman" w:eastAsia="Verdana" w:hAnsi="Times New Roman" w:cs="Times New Roman"/>
                <w:color w:val="000000"/>
                <w:sz w:val="18"/>
                <w:szCs w:val="14"/>
                <w:lang w:val="ro-RO"/>
              </w:rPr>
              <w:t xml:space="preserve"> globale elaborate în cadrul Programului</w:t>
            </w:r>
            <w:r w:rsidRPr="009C5F11">
              <w:rPr>
                <w:rFonts w:ascii="Times New Roman" w:eastAsia="Verdana" w:hAnsi="Times New Roman" w:cs="Times New Roman"/>
                <w:color w:val="000000"/>
                <w:sz w:val="18"/>
                <w:szCs w:val="14"/>
                <w:lang w:val="ro-RO"/>
              </w:rPr>
              <w:t xml:space="preserve"> UNIDO-UNEP RECP.</w:t>
            </w:r>
          </w:p>
          <w:p w14:paraId="0E003C54" w14:textId="77777777" w:rsidR="00780B2E" w:rsidRPr="009C5F11" w:rsidRDefault="001B3DCF"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O</w:t>
            </w:r>
            <w:r w:rsidR="00016A4B" w:rsidRPr="009C5F11">
              <w:rPr>
                <w:rFonts w:ascii="Times New Roman" w:eastAsia="Verdana" w:hAnsi="Times New Roman" w:cs="Times New Roman"/>
                <w:color w:val="000000"/>
                <w:sz w:val="18"/>
                <w:szCs w:val="14"/>
                <w:lang w:val="ro-RO"/>
              </w:rPr>
              <w:t>biectiv</w:t>
            </w:r>
            <w:r w:rsidRPr="009C5F11">
              <w:rPr>
                <w:rFonts w:ascii="Times New Roman" w:eastAsia="Verdana" w:hAnsi="Times New Roman" w:cs="Times New Roman"/>
                <w:color w:val="000000"/>
                <w:sz w:val="18"/>
                <w:szCs w:val="14"/>
                <w:lang w:val="ro-RO"/>
              </w:rPr>
              <w:t>ele</w:t>
            </w:r>
            <w:r w:rsidR="00780B2E" w:rsidRPr="009C5F11">
              <w:rPr>
                <w:rFonts w:ascii="Times New Roman" w:eastAsia="Verdana" w:hAnsi="Times New Roman" w:cs="Times New Roman"/>
                <w:color w:val="000000"/>
                <w:sz w:val="18"/>
                <w:szCs w:val="14"/>
                <w:lang w:val="ro-RO"/>
              </w:rPr>
              <w:t xml:space="preserve"> NCPP</w:t>
            </w:r>
            <w:r w:rsidR="00321CD5" w:rsidRPr="009C5F11">
              <w:rPr>
                <w:rFonts w:ascii="Times New Roman" w:eastAsia="Verdana" w:hAnsi="Times New Roman" w:cs="Times New Roman"/>
                <w:color w:val="000000"/>
                <w:sz w:val="18"/>
                <w:szCs w:val="14"/>
                <w:lang w:val="ro-RO"/>
              </w:rPr>
              <w:t xml:space="preserve"> în </w:t>
            </w:r>
            <w:r w:rsidRPr="009C5F11">
              <w:rPr>
                <w:rFonts w:ascii="Times New Roman" w:eastAsia="Verdana" w:hAnsi="Times New Roman" w:cs="Times New Roman"/>
                <w:color w:val="000000"/>
                <w:sz w:val="18"/>
                <w:szCs w:val="14"/>
                <w:lang w:val="ro-RO"/>
              </w:rPr>
              <w:t>Republica Moldova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sunt du</w:t>
            </w:r>
            <w:r w:rsidR="002F0B3A" w:rsidRPr="009C5F11">
              <w:rPr>
                <w:rFonts w:ascii="Times New Roman" w:eastAsia="Verdana" w:hAnsi="Times New Roman" w:cs="Times New Roman"/>
                <w:color w:val="000000"/>
                <w:sz w:val="18"/>
                <w:szCs w:val="14"/>
                <w:lang w:val="ro-RO"/>
              </w:rPr>
              <w:t>p</w:t>
            </w:r>
            <w:r w:rsidRPr="009C5F11">
              <w:rPr>
                <w:rFonts w:ascii="Times New Roman" w:eastAsia="Verdana" w:hAnsi="Times New Roman" w:cs="Times New Roman"/>
                <w:color w:val="000000"/>
                <w:sz w:val="18"/>
                <w:szCs w:val="14"/>
                <w:lang w:val="ro-RO"/>
              </w:rPr>
              <w:t>ă cum urmează</w:t>
            </w:r>
            <w:r w:rsidR="00780B2E" w:rsidRPr="009C5F11">
              <w:rPr>
                <w:rFonts w:ascii="Times New Roman" w:eastAsia="Verdana" w:hAnsi="Times New Roman" w:cs="Times New Roman"/>
                <w:color w:val="000000"/>
                <w:sz w:val="18"/>
                <w:szCs w:val="14"/>
                <w:lang w:val="ro-RO"/>
              </w:rPr>
              <w:t>:</w:t>
            </w:r>
          </w:p>
          <w:p w14:paraId="3A172BF2" w14:textId="77777777" w:rsidR="00780B2E" w:rsidRPr="009C5F11" w:rsidRDefault="0008754E"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promovarea</w:t>
            </w:r>
            <w:r w:rsidR="00983380" w:rsidRPr="009C5F11">
              <w:rPr>
                <w:rFonts w:ascii="Times New Roman" w:eastAsia="Verdana" w:hAnsi="Times New Roman" w:cs="Times New Roman"/>
                <w:color w:val="000000"/>
                <w:sz w:val="18"/>
                <w:szCs w:val="14"/>
                <w:lang w:val="ro-RO"/>
              </w:rPr>
              <w:t xml:space="preserve"> </w:t>
            </w:r>
            <w:r w:rsidR="000126A5" w:rsidRPr="009C5F11">
              <w:rPr>
                <w:rFonts w:ascii="Times New Roman" w:eastAsia="Verdana" w:hAnsi="Times New Roman" w:cs="Times New Roman"/>
                <w:color w:val="000000"/>
                <w:sz w:val="18"/>
                <w:szCs w:val="14"/>
                <w:lang w:val="ro-RO"/>
              </w:rPr>
              <w:t>dezvolt</w:t>
            </w:r>
            <w:r w:rsidR="00983380" w:rsidRPr="009C5F11">
              <w:rPr>
                <w:rFonts w:ascii="Times New Roman" w:eastAsia="Verdana" w:hAnsi="Times New Roman" w:cs="Times New Roman"/>
                <w:color w:val="000000"/>
                <w:sz w:val="18"/>
                <w:szCs w:val="14"/>
                <w:lang w:val="ro-RO"/>
              </w:rPr>
              <w:t xml:space="preserve">ării </w:t>
            </w:r>
            <w:r w:rsidR="000126A5" w:rsidRPr="009C5F11">
              <w:rPr>
                <w:rFonts w:ascii="Times New Roman" w:eastAsia="Verdana" w:hAnsi="Times New Roman" w:cs="Times New Roman"/>
                <w:color w:val="000000"/>
                <w:sz w:val="18"/>
                <w:szCs w:val="14"/>
                <w:lang w:val="ro-RO"/>
              </w:rPr>
              <w:t>durabil</w:t>
            </w:r>
            <w:r w:rsidR="00983380" w:rsidRPr="009C5F11">
              <w:rPr>
                <w:rFonts w:ascii="Times New Roman" w:eastAsia="Verdana" w:hAnsi="Times New Roman" w:cs="Times New Roman"/>
                <w:color w:val="000000"/>
                <w:sz w:val="18"/>
                <w:szCs w:val="14"/>
                <w:lang w:val="ro-RO"/>
              </w:rPr>
              <w:t>e</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în </w:t>
            </w:r>
            <w:r w:rsidR="007E1094" w:rsidRPr="009C5F11">
              <w:rPr>
                <w:rFonts w:ascii="Times New Roman" w:eastAsia="Verdana" w:hAnsi="Times New Roman" w:cs="Times New Roman"/>
                <w:color w:val="000000"/>
                <w:sz w:val="18"/>
                <w:szCs w:val="14"/>
                <w:lang w:val="ro-RO"/>
              </w:rPr>
              <w:t>Republica</w:t>
            </w:r>
            <w:r w:rsidRPr="009C5F11">
              <w:rPr>
                <w:rFonts w:ascii="Times New Roman" w:eastAsia="Verdana" w:hAnsi="Times New Roman" w:cs="Times New Roman"/>
                <w:color w:val="000000"/>
                <w:sz w:val="18"/>
                <w:szCs w:val="14"/>
                <w:lang w:val="ro-RO"/>
              </w:rPr>
              <w:t xml:space="preserve"> Moldova</w:t>
            </w:r>
            <w:r w:rsidR="00780B2E" w:rsidRPr="009C5F11">
              <w:rPr>
                <w:rFonts w:ascii="Times New Roman" w:eastAsia="Verdana" w:hAnsi="Times New Roman" w:cs="Times New Roman"/>
                <w:color w:val="000000"/>
                <w:sz w:val="18"/>
                <w:szCs w:val="14"/>
                <w:lang w:val="ro-RO"/>
              </w:rPr>
              <w:t xml:space="preserve">, </w:t>
            </w:r>
            <w:r w:rsidR="00983380" w:rsidRPr="009C5F11">
              <w:rPr>
                <w:rFonts w:ascii="Times New Roman" w:eastAsia="Verdana" w:hAnsi="Times New Roman" w:cs="Times New Roman"/>
                <w:color w:val="000000"/>
                <w:sz w:val="18"/>
                <w:szCs w:val="14"/>
                <w:lang w:val="ro-RO"/>
              </w:rPr>
              <w:t>şi</w:t>
            </w:r>
          </w:p>
          <w:p w14:paraId="25FDBD0E" w14:textId="77777777" w:rsidR="00780B2E" w:rsidRPr="009C5F11" w:rsidRDefault="0008754E"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promovarea</w:t>
            </w:r>
            <w:r w:rsidR="005215F1" w:rsidRPr="009C5F11">
              <w:rPr>
                <w:rFonts w:ascii="Times New Roman" w:eastAsia="Verdana" w:hAnsi="Times New Roman" w:cs="Times New Roman"/>
                <w:color w:val="000000"/>
                <w:sz w:val="18"/>
                <w:szCs w:val="14"/>
                <w:lang w:val="ro-RO"/>
              </w:rPr>
              <w:t xml:space="preserve"> modele</w:t>
            </w:r>
            <w:r w:rsidRPr="009C5F11">
              <w:rPr>
                <w:rFonts w:ascii="Times New Roman" w:eastAsia="Verdana" w:hAnsi="Times New Roman" w:cs="Times New Roman"/>
                <w:color w:val="000000"/>
                <w:sz w:val="18"/>
                <w:szCs w:val="14"/>
                <w:lang w:val="ro-RO"/>
              </w:rPr>
              <w:t>lor</w:t>
            </w:r>
            <w:r w:rsidR="005215F1" w:rsidRPr="009C5F11">
              <w:rPr>
                <w:rFonts w:ascii="Times New Roman" w:eastAsia="Verdana" w:hAnsi="Times New Roman" w:cs="Times New Roman"/>
                <w:color w:val="000000"/>
                <w:sz w:val="18"/>
                <w:szCs w:val="14"/>
                <w:lang w:val="ro-RO"/>
              </w:rPr>
              <w:t xml:space="preserve"> de consum </w:t>
            </w:r>
            <w:r w:rsidRPr="009C5F11">
              <w:rPr>
                <w:rFonts w:ascii="Times New Roman" w:eastAsia="Verdana" w:hAnsi="Times New Roman" w:cs="Times New Roman"/>
                <w:color w:val="000000"/>
                <w:sz w:val="18"/>
                <w:szCs w:val="14"/>
                <w:lang w:val="ro-RO"/>
              </w:rPr>
              <w:t>şi producere durabilă în</w:t>
            </w:r>
            <w:r w:rsidR="005215F1" w:rsidRPr="009C5F11">
              <w:rPr>
                <w:rFonts w:ascii="Times New Roman" w:eastAsia="Verdana" w:hAnsi="Times New Roman" w:cs="Times New Roman"/>
                <w:color w:val="000000"/>
                <w:sz w:val="18"/>
                <w:szCs w:val="14"/>
                <w:lang w:val="ro-RO"/>
              </w:rPr>
              <w:t xml:space="preserve"> sectorul </w:t>
            </w:r>
            <w:r w:rsidR="00780B2E" w:rsidRPr="009C5F11">
              <w:rPr>
                <w:rFonts w:ascii="Times New Roman" w:eastAsia="Verdana" w:hAnsi="Times New Roman" w:cs="Times New Roman"/>
                <w:color w:val="000000"/>
                <w:sz w:val="18"/>
                <w:szCs w:val="14"/>
                <w:lang w:val="ro-RO"/>
              </w:rPr>
              <w:t xml:space="preserve">industrial </w:t>
            </w:r>
            <w:r w:rsidR="005215F1" w:rsidRPr="009C5F11">
              <w:rPr>
                <w:rFonts w:ascii="Times New Roman" w:eastAsia="Verdana" w:hAnsi="Times New Roman" w:cs="Times New Roman"/>
                <w:color w:val="000000"/>
                <w:sz w:val="18"/>
                <w:szCs w:val="14"/>
                <w:lang w:val="ro-RO"/>
              </w:rPr>
              <w:t>prin</w:t>
            </w:r>
            <w:r w:rsidR="00780B2E" w:rsidRPr="009C5F11">
              <w:rPr>
                <w:rFonts w:ascii="Times New Roman" w:eastAsia="Verdana" w:hAnsi="Times New Roman" w:cs="Times New Roman"/>
                <w:color w:val="000000"/>
                <w:sz w:val="18"/>
                <w:szCs w:val="14"/>
                <w:lang w:val="ro-RO"/>
              </w:rPr>
              <w:t xml:space="preserve"> </w:t>
            </w:r>
            <w:r w:rsidR="00532A33" w:rsidRPr="009C5F11">
              <w:rPr>
                <w:rFonts w:ascii="Times New Roman" w:eastAsia="Verdana" w:hAnsi="Times New Roman" w:cs="Times New Roman"/>
                <w:color w:val="000000"/>
                <w:sz w:val="18"/>
                <w:szCs w:val="14"/>
                <w:lang w:val="ro-RO"/>
              </w:rPr>
              <w:t>implementarea</w:t>
            </w:r>
            <w:r w:rsidR="00780B2E" w:rsidRPr="009C5F11">
              <w:rPr>
                <w:rFonts w:ascii="Times New Roman" w:eastAsia="Verdana" w:hAnsi="Times New Roman" w:cs="Times New Roman"/>
                <w:color w:val="000000"/>
                <w:sz w:val="18"/>
                <w:szCs w:val="14"/>
                <w:lang w:val="ro-RO"/>
              </w:rPr>
              <w:t xml:space="preserve"> </w:t>
            </w:r>
            <w:r w:rsidR="005215F1" w:rsidRPr="009C5F11">
              <w:rPr>
                <w:rFonts w:ascii="Times New Roman" w:eastAsia="Verdana" w:hAnsi="Times New Roman" w:cs="Times New Roman"/>
                <w:color w:val="000000"/>
                <w:sz w:val="18"/>
                <w:szCs w:val="14"/>
                <w:lang w:val="ro-RO"/>
              </w:rPr>
              <w:t>metodelor, practicilor şi politicilor conceptu</w:t>
            </w:r>
            <w:r w:rsidRPr="009C5F11">
              <w:rPr>
                <w:rFonts w:ascii="Times New Roman" w:eastAsia="Verdana" w:hAnsi="Times New Roman" w:cs="Times New Roman"/>
                <w:color w:val="000000"/>
                <w:sz w:val="18"/>
                <w:szCs w:val="14"/>
                <w:lang w:val="ro-RO"/>
              </w:rPr>
              <w:t xml:space="preserve">lui </w:t>
            </w:r>
            <w:r w:rsidR="007E1094" w:rsidRPr="009C5F11">
              <w:rPr>
                <w:rFonts w:ascii="Times New Roman" w:eastAsia="Verdana" w:hAnsi="Times New Roman" w:cs="Times New Roman"/>
                <w:color w:val="000000"/>
                <w:sz w:val="18"/>
                <w:szCs w:val="14"/>
                <w:lang w:val="ro-RO"/>
              </w:rPr>
              <w:t>e</w:t>
            </w:r>
            <w:r w:rsidRPr="009C5F11">
              <w:rPr>
                <w:rFonts w:ascii="Times New Roman" w:eastAsia="Verdana" w:hAnsi="Times New Roman" w:cs="Times New Roman"/>
                <w:color w:val="000000"/>
                <w:sz w:val="18"/>
                <w:szCs w:val="14"/>
                <w:lang w:val="ro-RO"/>
              </w:rPr>
              <w:t>ficienţei resurselor şi producerii mai pure</w:t>
            </w:r>
            <w:r w:rsidR="005215F1"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RECP</w:t>
            </w:r>
            <w:r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w:t>
            </w:r>
          </w:p>
          <w:p w14:paraId="124A8945" w14:textId="77777777" w:rsidR="00780B2E" w:rsidRPr="009C5F11" w:rsidRDefault="005215F1"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Direcţiile s</w:t>
            </w:r>
            <w:r w:rsidR="00780B2E" w:rsidRPr="009C5F11">
              <w:rPr>
                <w:rFonts w:ascii="Times New Roman" w:eastAsia="Verdana" w:hAnsi="Times New Roman" w:cs="Times New Roman"/>
                <w:color w:val="000000"/>
                <w:sz w:val="18"/>
                <w:szCs w:val="14"/>
                <w:lang w:val="ro-RO"/>
              </w:rPr>
              <w:t>trategic</w:t>
            </w:r>
            <w:r w:rsidRPr="009C5F11">
              <w:rPr>
                <w:rFonts w:ascii="Times New Roman" w:eastAsia="Verdana" w:hAnsi="Times New Roman" w:cs="Times New Roman"/>
                <w:color w:val="000000"/>
                <w:sz w:val="18"/>
                <w:szCs w:val="14"/>
                <w:lang w:val="ro-RO"/>
              </w:rPr>
              <w:t>e</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ale</w:t>
            </w:r>
            <w:r w:rsidR="00780B2E" w:rsidRPr="009C5F11">
              <w:rPr>
                <w:rFonts w:ascii="Times New Roman" w:eastAsia="Verdana" w:hAnsi="Times New Roman" w:cs="Times New Roman"/>
                <w:color w:val="000000"/>
                <w:sz w:val="18"/>
                <w:szCs w:val="14"/>
                <w:lang w:val="ro-RO"/>
              </w:rPr>
              <w:t xml:space="preserve"> NCPP</w:t>
            </w:r>
            <w:r w:rsidR="00321CD5" w:rsidRPr="009C5F11">
              <w:rPr>
                <w:rFonts w:ascii="Times New Roman" w:eastAsia="Verdana" w:hAnsi="Times New Roman" w:cs="Times New Roman"/>
                <w:color w:val="000000"/>
                <w:sz w:val="18"/>
                <w:szCs w:val="14"/>
                <w:lang w:val="ro-RO"/>
              </w:rPr>
              <w:t xml:space="preserve"> în </w:t>
            </w:r>
            <w:r w:rsidR="001B3DCF" w:rsidRPr="009C5F11">
              <w:rPr>
                <w:rFonts w:ascii="Times New Roman" w:eastAsia="Verdana" w:hAnsi="Times New Roman" w:cs="Times New Roman"/>
                <w:color w:val="000000"/>
                <w:sz w:val="18"/>
                <w:szCs w:val="14"/>
                <w:lang w:val="ro-RO"/>
              </w:rPr>
              <w:t>Republica Moldova includ</w:t>
            </w:r>
            <w:r w:rsidR="00780B2E" w:rsidRPr="009C5F11">
              <w:rPr>
                <w:rFonts w:ascii="Times New Roman" w:eastAsia="Verdana" w:hAnsi="Times New Roman" w:cs="Times New Roman"/>
                <w:color w:val="000000"/>
                <w:sz w:val="18"/>
                <w:szCs w:val="14"/>
                <w:lang w:val="ro-RO"/>
              </w:rPr>
              <w:t>:</w:t>
            </w:r>
          </w:p>
          <w:p w14:paraId="5080E4F9" w14:textId="77777777" w:rsidR="00780B2E" w:rsidRPr="009C5F11" w:rsidRDefault="005215F1"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un domeniu mai lar</w:t>
            </w:r>
            <w:r w:rsidR="0008754E" w:rsidRPr="009C5F11">
              <w:rPr>
                <w:rFonts w:ascii="Times New Roman" w:eastAsia="Verdana" w:hAnsi="Times New Roman" w:cs="Times New Roman"/>
                <w:color w:val="000000"/>
                <w:sz w:val="18"/>
                <w:szCs w:val="14"/>
                <w:lang w:val="ro-RO"/>
              </w:rPr>
              <w:t>g</w:t>
            </w:r>
            <w:r w:rsidRPr="009C5F11">
              <w:rPr>
                <w:rFonts w:ascii="Times New Roman" w:eastAsia="Verdana" w:hAnsi="Times New Roman" w:cs="Times New Roman"/>
                <w:color w:val="000000"/>
                <w:sz w:val="18"/>
                <w:szCs w:val="14"/>
                <w:lang w:val="ro-RO"/>
              </w:rPr>
              <w:t xml:space="preserve"> de aplicare a </w:t>
            </w:r>
            <w:r w:rsidR="00780B2E" w:rsidRPr="009C5F11">
              <w:rPr>
                <w:rFonts w:ascii="Times New Roman" w:eastAsia="Verdana" w:hAnsi="Times New Roman" w:cs="Times New Roman"/>
                <w:color w:val="000000"/>
                <w:sz w:val="18"/>
                <w:szCs w:val="14"/>
                <w:lang w:val="ro-RO"/>
              </w:rPr>
              <w:t>RECP</w:t>
            </w:r>
            <w:r w:rsidR="0008754E" w:rsidRPr="009C5F11">
              <w:rPr>
                <w:rFonts w:ascii="Times New Roman" w:eastAsia="Verdana" w:hAnsi="Times New Roman" w:cs="Times New Roman"/>
                <w:color w:val="000000"/>
                <w:sz w:val="18"/>
                <w:szCs w:val="14"/>
                <w:lang w:val="ro-RO"/>
              </w:rPr>
              <w:t>:</w:t>
            </w:r>
          </w:p>
          <w:p w14:paraId="7BDCF42D" w14:textId="77777777" w:rsidR="00780B2E" w:rsidRPr="009C5F11" w:rsidRDefault="00780B2E" w:rsidP="00334F3B">
            <w:pPr>
              <w:numPr>
                <w:ilvl w:val="0"/>
                <w:numId w:val="46"/>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benefi</w:t>
            </w:r>
            <w:r w:rsidR="005215F1" w:rsidRPr="009C5F11">
              <w:rPr>
                <w:rFonts w:ascii="Times New Roman" w:eastAsia="Verdana" w:hAnsi="Times New Roman" w:cs="Times New Roman"/>
                <w:color w:val="000000"/>
                <w:sz w:val="18"/>
                <w:szCs w:val="14"/>
                <w:lang w:val="ro-RO"/>
              </w:rPr>
              <w:t xml:space="preserve">cii generate de eficienţa </w:t>
            </w:r>
            <w:r w:rsidR="00CD0BD5" w:rsidRPr="009C5F11">
              <w:rPr>
                <w:rFonts w:ascii="Times New Roman" w:eastAsia="Verdana" w:hAnsi="Times New Roman" w:cs="Times New Roman"/>
                <w:color w:val="000000"/>
                <w:sz w:val="18"/>
                <w:szCs w:val="14"/>
                <w:lang w:val="ro-RO"/>
              </w:rPr>
              <w:t xml:space="preserve">activităţii </w:t>
            </w:r>
            <w:r w:rsidR="005215F1" w:rsidRPr="009C5F11">
              <w:rPr>
                <w:rFonts w:ascii="Times New Roman" w:eastAsia="Verdana" w:hAnsi="Times New Roman" w:cs="Times New Roman"/>
                <w:color w:val="000000"/>
                <w:sz w:val="18"/>
                <w:szCs w:val="14"/>
                <w:lang w:val="ro-RO"/>
              </w:rPr>
              <w:t>de producere</w:t>
            </w:r>
            <w:r w:rsidRPr="009C5F11">
              <w:rPr>
                <w:rFonts w:ascii="Times New Roman" w:eastAsia="Verdana" w:hAnsi="Times New Roman" w:cs="Times New Roman"/>
                <w:color w:val="000000"/>
                <w:sz w:val="18"/>
                <w:szCs w:val="14"/>
                <w:lang w:val="ro-RO"/>
              </w:rPr>
              <w:t>, management</w:t>
            </w:r>
            <w:r w:rsidR="005215F1" w:rsidRPr="009C5F11">
              <w:rPr>
                <w:rFonts w:ascii="Times New Roman" w:eastAsia="Verdana" w:hAnsi="Times New Roman" w:cs="Times New Roman"/>
                <w:color w:val="000000"/>
                <w:sz w:val="18"/>
                <w:szCs w:val="14"/>
                <w:lang w:val="ro-RO"/>
              </w:rPr>
              <w:t>ul mediu</w:t>
            </w:r>
            <w:r w:rsidR="00CD0BD5" w:rsidRPr="009C5F11">
              <w:rPr>
                <w:rFonts w:ascii="Times New Roman" w:eastAsia="Verdana" w:hAnsi="Times New Roman" w:cs="Times New Roman"/>
                <w:color w:val="000000"/>
                <w:sz w:val="18"/>
                <w:szCs w:val="14"/>
                <w:lang w:val="ro-RO"/>
              </w:rPr>
              <w:t>lui</w:t>
            </w:r>
            <w:r w:rsidR="00321CD5" w:rsidRPr="009C5F11">
              <w:rPr>
                <w:rFonts w:ascii="Times New Roman" w:eastAsia="Verdana" w:hAnsi="Times New Roman" w:cs="Times New Roman"/>
                <w:color w:val="000000"/>
                <w:sz w:val="18"/>
                <w:szCs w:val="14"/>
                <w:lang w:val="ro-RO"/>
              </w:rPr>
              <w:t xml:space="preserve"> şi </w:t>
            </w:r>
            <w:r w:rsidR="005215F1" w:rsidRPr="009C5F11">
              <w:rPr>
                <w:rFonts w:ascii="Times New Roman" w:eastAsia="Verdana" w:hAnsi="Times New Roman" w:cs="Times New Roman"/>
                <w:color w:val="000000"/>
                <w:sz w:val="18"/>
                <w:szCs w:val="14"/>
                <w:lang w:val="ro-RO"/>
              </w:rPr>
              <w:t>producere mai sigură şi mai responsabilă;</w:t>
            </w:r>
          </w:p>
          <w:p w14:paraId="66906CBD" w14:textId="77777777" w:rsidR="00780B2E" w:rsidRPr="009C5F11" w:rsidRDefault="0054318C"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orientări tematice privind gestionarea apelor </w:t>
            </w:r>
            <w:r w:rsidR="00780B2E" w:rsidRPr="009C5F11">
              <w:rPr>
                <w:rFonts w:ascii="Times New Roman" w:eastAsia="Verdana" w:hAnsi="Times New Roman" w:cs="Times New Roman"/>
                <w:color w:val="000000"/>
                <w:sz w:val="18"/>
                <w:szCs w:val="14"/>
                <w:lang w:val="ro-RO"/>
              </w:rPr>
              <w:t>/</w:t>
            </w:r>
            <w:r w:rsidRPr="009C5F11">
              <w:rPr>
                <w:rFonts w:ascii="Times New Roman" w:eastAsia="Verdana" w:hAnsi="Times New Roman" w:cs="Times New Roman"/>
                <w:color w:val="000000"/>
                <w:sz w:val="18"/>
                <w:szCs w:val="14"/>
                <w:lang w:val="ro-RO"/>
              </w:rPr>
              <w:t>apelor uzate</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 xml:space="preserve">a deşeurilor </w:t>
            </w:r>
            <w:r w:rsidR="00780B2E" w:rsidRPr="009C5F11">
              <w:rPr>
                <w:rFonts w:ascii="Times New Roman" w:eastAsia="Verdana" w:hAnsi="Times New Roman" w:cs="Times New Roman"/>
                <w:color w:val="000000"/>
                <w:sz w:val="18"/>
                <w:szCs w:val="14"/>
                <w:lang w:val="ro-RO"/>
              </w:rPr>
              <w:t>(organic</w:t>
            </w:r>
            <w:r w:rsidRPr="009C5F11">
              <w:rPr>
                <w:rFonts w:ascii="Times New Roman" w:eastAsia="Verdana" w:hAnsi="Times New Roman" w:cs="Times New Roman"/>
                <w:color w:val="000000"/>
                <w:sz w:val="18"/>
                <w:szCs w:val="14"/>
                <w:lang w:val="ro-RO"/>
              </w:rPr>
              <w:t>e</w:t>
            </w:r>
            <w:r w:rsidR="00780B2E" w:rsidRPr="009C5F11">
              <w:rPr>
                <w:rFonts w:ascii="Times New Roman" w:eastAsia="Verdana" w:hAnsi="Times New Roman" w:cs="Times New Roman"/>
                <w:color w:val="000000"/>
                <w:sz w:val="18"/>
                <w:szCs w:val="14"/>
                <w:lang w:val="ro-RO"/>
              </w:rPr>
              <w:t>)</w:t>
            </w:r>
            <w:r w:rsidR="0008754E" w:rsidRPr="009C5F11">
              <w:rPr>
                <w:rFonts w:ascii="Times New Roman" w:eastAsia="Verdana" w:hAnsi="Times New Roman" w:cs="Times New Roman"/>
                <w:color w:val="000000"/>
                <w:sz w:val="18"/>
                <w:szCs w:val="14"/>
                <w:lang w:val="ro-RO"/>
              </w:rPr>
              <w:t>:</w:t>
            </w:r>
          </w:p>
          <w:p w14:paraId="4DA87B61" w14:textId="77777777" w:rsidR="00780B2E" w:rsidRPr="009C5F11" w:rsidRDefault="0008754E" w:rsidP="00334F3B">
            <w:pPr>
              <w:numPr>
                <w:ilvl w:val="0"/>
                <w:numId w:val="47"/>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constrângeri de capacitate</w:t>
            </w:r>
            <w:r w:rsidR="00321CD5" w:rsidRPr="009C5F11">
              <w:rPr>
                <w:rFonts w:ascii="Times New Roman" w:eastAsia="Verdana" w:hAnsi="Times New Roman" w:cs="Times New Roman"/>
                <w:color w:val="000000"/>
                <w:sz w:val="18"/>
                <w:szCs w:val="14"/>
                <w:lang w:val="ro-RO"/>
              </w:rPr>
              <w:t xml:space="preserve"> în </w:t>
            </w:r>
            <w:r w:rsidRPr="009C5F11">
              <w:rPr>
                <w:rFonts w:ascii="Times New Roman" w:eastAsia="Verdana" w:hAnsi="Times New Roman" w:cs="Times New Roman"/>
                <w:color w:val="000000"/>
                <w:sz w:val="18"/>
                <w:szCs w:val="14"/>
                <w:lang w:val="ro-RO"/>
              </w:rPr>
              <w:t>alimentarea cu apă</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sanita</w:t>
            </w:r>
            <w:r w:rsidRPr="009C5F11">
              <w:rPr>
                <w:rFonts w:ascii="Times New Roman" w:eastAsia="Verdana" w:hAnsi="Times New Roman" w:cs="Times New Roman"/>
                <w:color w:val="000000"/>
                <w:sz w:val="18"/>
                <w:szCs w:val="14"/>
                <w:lang w:val="ro-RO"/>
              </w:rPr>
              <w:t>ţie;</w:t>
            </w:r>
          </w:p>
          <w:p w14:paraId="53922795" w14:textId="77777777" w:rsidR="00780B2E" w:rsidRPr="009C5F11" w:rsidRDefault="0008754E" w:rsidP="00334F3B">
            <w:pPr>
              <w:numPr>
                <w:ilvl w:val="0"/>
                <w:numId w:val="47"/>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crearea de valoare din deşeuri</w:t>
            </w:r>
            <w:r w:rsidR="00780B2E" w:rsidRPr="009C5F11">
              <w:rPr>
                <w:rFonts w:ascii="Times New Roman" w:eastAsia="Verdana" w:hAnsi="Times New Roman" w:cs="Times New Roman"/>
                <w:color w:val="000000"/>
                <w:sz w:val="18"/>
                <w:szCs w:val="14"/>
                <w:lang w:val="ro-RO"/>
              </w:rPr>
              <w:t xml:space="preserve"> (volume</w:t>
            </w:r>
            <w:r w:rsidRPr="009C5F11">
              <w:rPr>
                <w:rFonts w:ascii="Times New Roman" w:eastAsia="Verdana" w:hAnsi="Times New Roman" w:cs="Times New Roman"/>
                <w:color w:val="000000"/>
                <w:sz w:val="18"/>
                <w:szCs w:val="14"/>
                <w:lang w:val="ro-RO"/>
              </w:rPr>
              <w:t xml:space="preserve"> mari</w:t>
            </w:r>
            <w:r w:rsidR="00780B2E" w:rsidRPr="009C5F11">
              <w:rPr>
                <w:rFonts w:ascii="Times New Roman" w:eastAsia="Verdana" w:hAnsi="Times New Roman" w:cs="Times New Roman"/>
                <w:color w:val="000000"/>
                <w:sz w:val="18"/>
                <w:szCs w:val="14"/>
                <w:lang w:val="ro-RO"/>
              </w:rPr>
              <w:t>) organic</w:t>
            </w:r>
            <w:r w:rsidRPr="009C5F11">
              <w:rPr>
                <w:rFonts w:ascii="Times New Roman" w:eastAsia="Verdana" w:hAnsi="Times New Roman" w:cs="Times New Roman"/>
                <w:color w:val="000000"/>
                <w:sz w:val="18"/>
                <w:szCs w:val="14"/>
                <w:lang w:val="ro-RO"/>
              </w:rPr>
              <w:t>e;</w:t>
            </w:r>
            <w:r w:rsidR="00780B2E" w:rsidRPr="009C5F11">
              <w:rPr>
                <w:rFonts w:ascii="Times New Roman" w:eastAsia="Verdana" w:hAnsi="Times New Roman" w:cs="Times New Roman"/>
                <w:color w:val="000000"/>
                <w:sz w:val="18"/>
                <w:szCs w:val="14"/>
                <w:lang w:val="ro-RO"/>
              </w:rPr>
              <w:t xml:space="preserve"> </w:t>
            </w:r>
          </w:p>
          <w:p w14:paraId="290555D3" w14:textId="77777777" w:rsidR="00780B2E" w:rsidRPr="009C5F11" w:rsidRDefault="00780B2E" w:rsidP="00334F3B">
            <w:pPr>
              <w:numPr>
                <w:ilvl w:val="0"/>
                <w:numId w:val="47"/>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comple</w:t>
            </w:r>
            <w:r w:rsidR="0008754E" w:rsidRPr="009C5F11">
              <w:rPr>
                <w:rFonts w:ascii="Times New Roman" w:eastAsia="Verdana" w:hAnsi="Times New Roman" w:cs="Times New Roman"/>
                <w:color w:val="000000"/>
                <w:sz w:val="18"/>
                <w:szCs w:val="14"/>
                <w:lang w:val="ro-RO"/>
              </w:rPr>
              <w:t xml:space="preserve">tarea </w:t>
            </w:r>
            <w:r w:rsidR="00E82DCB" w:rsidRPr="009C5F11">
              <w:rPr>
                <w:rFonts w:ascii="Times New Roman" w:eastAsia="Verdana" w:hAnsi="Times New Roman" w:cs="Times New Roman"/>
                <w:color w:val="000000"/>
                <w:sz w:val="18"/>
                <w:szCs w:val="14"/>
                <w:lang w:val="ro-RO"/>
              </w:rPr>
              <w:t>investiţiilor</w:t>
            </w:r>
            <w:r w:rsidR="0008754E" w:rsidRPr="009C5F11">
              <w:rPr>
                <w:rFonts w:ascii="Times New Roman" w:eastAsia="Verdana" w:hAnsi="Times New Roman" w:cs="Times New Roman"/>
                <w:color w:val="000000"/>
                <w:sz w:val="18"/>
                <w:szCs w:val="14"/>
                <w:lang w:val="ro-RO"/>
              </w:rPr>
              <w:t xml:space="preserve"> în infrastructură;</w:t>
            </w:r>
          </w:p>
          <w:p w14:paraId="4CBA3932" w14:textId="77777777" w:rsidR="00780B2E" w:rsidRPr="009C5F11" w:rsidRDefault="0008754E" w:rsidP="00334F3B">
            <w:pPr>
              <w:numPr>
                <w:ilvl w:val="0"/>
                <w:numId w:val="4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axare </w:t>
            </w:r>
            <w:r w:rsidR="00780B2E" w:rsidRPr="009C5F11">
              <w:rPr>
                <w:rFonts w:ascii="Times New Roman" w:eastAsia="Verdana" w:hAnsi="Times New Roman" w:cs="Times New Roman"/>
                <w:color w:val="000000"/>
                <w:sz w:val="18"/>
                <w:szCs w:val="14"/>
                <w:lang w:val="ro-RO"/>
              </w:rPr>
              <w:t>sector</w:t>
            </w:r>
            <w:r w:rsidRPr="009C5F11">
              <w:rPr>
                <w:rFonts w:ascii="Times New Roman" w:eastAsia="Verdana" w:hAnsi="Times New Roman" w:cs="Times New Roman"/>
                <w:color w:val="000000"/>
                <w:sz w:val="18"/>
                <w:szCs w:val="14"/>
                <w:lang w:val="ro-RO"/>
              </w:rPr>
              <w:t>i</w:t>
            </w:r>
            <w:r w:rsidR="00780B2E" w:rsidRPr="009C5F11">
              <w:rPr>
                <w:rFonts w:ascii="Times New Roman" w:eastAsia="Verdana" w:hAnsi="Times New Roman" w:cs="Times New Roman"/>
                <w:color w:val="000000"/>
                <w:sz w:val="18"/>
                <w:szCs w:val="14"/>
                <w:lang w:val="ro-RO"/>
              </w:rPr>
              <w:t>al</w:t>
            </w:r>
            <w:r w:rsidRPr="009C5F11">
              <w:rPr>
                <w:rFonts w:ascii="Times New Roman" w:eastAsia="Verdana" w:hAnsi="Times New Roman" w:cs="Times New Roman"/>
                <w:color w:val="000000"/>
                <w:sz w:val="18"/>
                <w:szCs w:val="14"/>
                <w:lang w:val="ro-RO"/>
              </w:rPr>
              <w:t>ă pe sectoarele cheie:</w:t>
            </w:r>
          </w:p>
          <w:p w14:paraId="1F312030" w14:textId="77777777" w:rsidR="00780B2E" w:rsidRPr="009C5F11" w:rsidRDefault="002F3CAA" w:rsidP="00334F3B">
            <w:pPr>
              <w:numPr>
                <w:ilvl w:val="0"/>
                <w:numId w:val="48"/>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produse alimentare şi băuturi</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materiale de </w:t>
            </w:r>
            <w:r w:rsidR="00E82DCB" w:rsidRPr="009C5F11">
              <w:rPr>
                <w:rFonts w:ascii="Times New Roman" w:eastAsia="Verdana" w:hAnsi="Times New Roman" w:cs="Times New Roman"/>
                <w:color w:val="000000"/>
                <w:sz w:val="18"/>
                <w:szCs w:val="14"/>
                <w:lang w:val="ro-RO"/>
              </w:rPr>
              <w:t>construcție</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 xml:space="preserve">servicii </w:t>
            </w:r>
            <w:r w:rsidR="00780B2E" w:rsidRPr="009C5F11">
              <w:rPr>
                <w:rFonts w:ascii="Times New Roman" w:eastAsia="Verdana" w:hAnsi="Times New Roman" w:cs="Times New Roman"/>
                <w:color w:val="000000"/>
                <w:sz w:val="18"/>
                <w:szCs w:val="14"/>
                <w:lang w:val="ro-RO"/>
              </w:rPr>
              <w:t>public</w:t>
            </w:r>
            <w:r w:rsidRPr="009C5F11">
              <w:rPr>
                <w:rFonts w:ascii="Times New Roman" w:eastAsia="Verdana" w:hAnsi="Times New Roman" w:cs="Times New Roman"/>
                <w:color w:val="000000"/>
                <w:sz w:val="18"/>
                <w:szCs w:val="14"/>
                <w:lang w:val="ro-RO"/>
              </w:rPr>
              <w:t>e</w:t>
            </w:r>
            <w:r w:rsidR="00780B2E" w:rsidRPr="009C5F11">
              <w:rPr>
                <w:rFonts w:ascii="Times New Roman" w:eastAsia="Verdana" w:hAnsi="Times New Roman" w:cs="Times New Roman"/>
                <w:color w:val="000000"/>
                <w:sz w:val="18"/>
                <w:szCs w:val="14"/>
                <w:lang w:val="ro-RO"/>
              </w:rPr>
              <w:t>,</w:t>
            </w:r>
          </w:p>
          <w:p w14:paraId="3AAC8FEE" w14:textId="77777777" w:rsidR="00780B2E" w:rsidRPr="009C5F11" w:rsidRDefault="002F3CAA" w:rsidP="00334F3B">
            <w:pPr>
              <w:numPr>
                <w:ilvl w:val="0"/>
                <w:numId w:val="49"/>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dezvoltarea capacităţii întreprinderilor:</w:t>
            </w:r>
          </w:p>
          <w:p w14:paraId="091A63AC" w14:textId="77777777" w:rsidR="00780B2E" w:rsidRPr="009C5F11" w:rsidRDefault="002F3CAA" w:rsidP="00334F3B">
            <w:pPr>
              <w:numPr>
                <w:ilvl w:val="0"/>
                <w:numId w:val="50"/>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competenţe de gestionare a întreprinderii/antreprenorial</w:t>
            </w:r>
            <w:r w:rsidR="000E162D" w:rsidRPr="009C5F11">
              <w:rPr>
                <w:rFonts w:ascii="Times New Roman" w:eastAsia="Verdana" w:hAnsi="Times New Roman" w:cs="Times New Roman"/>
                <w:color w:val="000000"/>
                <w:sz w:val="18"/>
                <w:szCs w:val="14"/>
                <w:lang w:val="ro-RO"/>
              </w:rPr>
              <w:t>ă</w:t>
            </w:r>
            <w:r w:rsidR="00321CD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perfecţionare continuă;</w:t>
            </w:r>
          </w:p>
          <w:p w14:paraId="546E7887" w14:textId="77777777" w:rsidR="00780B2E" w:rsidRPr="009C5F11" w:rsidRDefault="002F3CAA" w:rsidP="00334F3B">
            <w:pPr>
              <w:numPr>
                <w:ilvl w:val="0"/>
                <w:numId w:val="51"/>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abordare </w:t>
            </w:r>
            <w:r w:rsidR="00780B2E" w:rsidRPr="009C5F11">
              <w:rPr>
                <w:rFonts w:ascii="Times New Roman" w:eastAsia="Verdana" w:hAnsi="Times New Roman" w:cs="Times New Roman"/>
                <w:color w:val="000000"/>
                <w:sz w:val="18"/>
                <w:szCs w:val="14"/>
                <w:lang w:val="ro-RO"/>
              </w:rPr>
              <w:t>consultativ</w:t>
            </w:r>
            <w:r w:rsidRPr="009C5F11">
              <w:rPr>
                <w:rFonts w:ascii="Times New Roman" w:eastAsia="Verdana" w:hAnsi="Times New Roman" w:cs="Times New Roman"/>
                <w:color w:val="000000"/>
                <w:sz w:val="18"/>
                <w:szCs w:val="14"/>
                <w:lang w:val="ro-RO"/>
              </w:rPr>
              <w:t>ă</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participativ</w:t>
            </w:r>
            <w:r w:rsidRPr="009C5F11">
              <w:rPr>
                <w:rFonts w:ascii="Times New Roman" w:eastAsia="Verdana" w:hAnsi="Times New Roman" w:cs="Times New Roman"/>
                <w:color w:val="000000"/>
                <w:sz w:val="18"/>
                <w:szCs w:val="14"/>
                <w:lang w:val="ro-RO"/>
              </w:rPr>
              <w:t>ă</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în formularea şi implementarea politicilor; </w:t>
            </w:r>
          </w:p>
          <w:p w14:paraId="2D12B1FB" w14:textId="77777777" w:rsidR="00780B2E" w:rsidRPr="009C5F11" w:rsidRDefault="004C3C90" w:rsidP="00334F3B">
            <w:pPr>
              <w:numPr>
                <w:ilvl w:val="0"/>
                <w:numId w:val="54"/>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evaluarea </w:t>
            </w:r>
            <w:r w:rsidR="00E82DCB" w:rsidRPr="009C5F11">
              <w:rPr>
                <w:rFonts w:ascii="Times New Roman" w:eastAsia="Verdana" w:hAnsi="Times New Roman" w:cs="Times New Roman"/>
                <w:color w:val="000000"/>
                <w:sz w:val="18"/>
                <w:szCs w:val="14"/>
                <w:lang w:val="ro-RO"/>
              </w:rPr>
              <w:t>politicilor</w:t>
            </w:r>
            <w:r w:rsidRPr="009C5F11">
              <w:rPr>
                <w:rFonts w:ascii="Times New Roman" w:eastAsia="Verdana" w:hAnsi="Times New Roman" w:cs="Times New Roman"/>
                <w:color w:val="000000"/>
                <w:sz w:val="18"/>
                <w:szCs w:val="14"/>
                <w:lang w:val="ro-RO"/>
              </w:rPr>
              <w:t xml:space="preserve"> şi consultarea factorilor interesaţi drept bază pentru </w:t>
            </w:r>
            <w:r w:rsidR="00E82DCB" w:rsidRPr="009C5F11">
              <w:rPr>
                <w:rFonts w:ascii="Times New Roman" w:eastAsia="Verdana" w:hAnsi="Times New Roman" w:cs="Times New Roman"/>
                <w:color w:val="000000"/>
                <w:sz w:val="18"/>
                <w:szCs w:val="14"/>
                <w:lang w:val="ro-RO"/>
              </w:rPr>
              <w:t>formularea</w:t>
            </w:r>
            <w:r w:rsidRPr="009C5F11">
              <w:rPr>
                <w:rFonts w:ascii="Times New Roman" w:eastAsia="Verdana" w:hAnsi="Times New Roman" w:cs="Times New Roman"/>
                <w:color w:val="000000"/>
                <w:sz w:val="18"/>
                <w:szCs w:val="14"/>
                <w:lang w:val="ro-RO"/>
              </w:rPr>
              <w:t xml:space="preserve"> politicilor şi a strategiei;</w:t>
            </w:r>
          </w:p>
          <w:p w14:paraId="4142A2FB" w14:textId="77777777" w:rsidR="00780B2E" w:rsidRPr="009C5F11" w:rsidRDefault="000E162D" w:rsidP="00334F3B">
            <w:pPr>
              <w:numPr>
                <w:ilvl w:val="0"/>
                <w:numId w:val="53"/>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abilitarea</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institu</w:t>
            </w:r>
            <w:r w:rsidR="004C3C90" w:rsidRPr="009C5F11">
              <w:rPr>
                <w:rFonts w:ascii="Times New Roman" w:eastAsia="Verdana" w:hAnsi="Times New Roman" w:cs="Times New Roman"/>
                <w:color w:val="000000"/>
                <w:sz w:val="18"/>
                <w:szCs w:val="14"/>
                <w:lang w:val="ro-RO"/>
              </w:rPr>
              <w:t>ţ</w:t>
            </w:r>
            <w:r w:rsidR="00780B2E" w:rsidRPr="009C5F11">
              <w:rPr>
                <w:rFonts w:ascii="Times New Roman" w:eastAsia="Verdana" w:hAnsi="Times New Roman" w:cs="Times New Roman"/>
                <w:color w:val="000000"/>
                <w:sz w:val="18"/>
                <w:szCs w:val="14"/>
                <w:lang w:val="ro-RO"/>
              </w:rPr>
              <w:t>ionaliz</w:t>
            </w:r>
            <w:r w:rsidR="004C3C90" w:rsidRPr="009C5F11">
              <w:rPr>
                <w:rFonts w:ascii="Times New Roman" w:eastAsia="Verdana" w:hAnsi="Times New Roman" w:cs="Times New Roman"/>
                <w:color w:val="000000"/>
                <w:sz w:val="18"/>
                <w:szCs w:val="14"/>
                <w:lang w:val="ro-RO"/>
              </w:rPr>
              <w:t>area</w:t>
            </w:r>
            <w:r w:rsidR="00780B2E" w:rsidRPr="009C5F11">
              <w:rPr>
                <w:rFonts w:ascii="Times New Roman" w:eastAsia="Verdana" w:hAnsi="Times New Roman" w:cs="Times New Roman"/>
                <w:color w:val="000000"/>
                <w:sz w:val="18"/>
                <w:szCs w:val="14"/>
                <w:lang w:val="ro-RO"/>
              </w:rPr>
              <w:t xml:space="preserve"> NCPP </w:t>
            </w:r>
            <w:r w:rsidR="004C3C90" w:rsidRPr="009C5F11">
              <w:rPr>
                <w:rFonts w:ascii="Times New Roman" w:eastAsia="Verdana" w:hAnsi="Times New Roman" w:cs="Times New Roman"/>
                <w:color w:val="000000"/>
                <w:sz w:val="18"/>
                <w:szCs w:val="14"/>
                <w:lang w:val="ro-RO"/>
              </w:rPr>
              <w:t xml:space="preserve">pentru a deveni membru al </w:t>
            </w:r>
            <w:r w:rsidR="00780B2E" w:rsidRPr="009C5F11">
              <w:rPr>
                <w:rFonts w:ascii="Times New Roman" w:eastAsia="Verdana" w:hAnsi="Times New Roman" w:cs="Times New Roman"/>
                <w:color w:val="000000"/>
                <w:sz w:val="18"/>
                <w:szCs w:val="14"/>
                <w:lang w:val="ro-RO"/>
              </w:rPr>
              <w:t>RECP-Net</w:t>
            </w:r>
            <w:r w:rsidR="004C3C90" w:rsidRPr="009C5F11">
              <w:rPr>
                <w:rFonts w:ascii="Times New Roman" w:eastAsia="Verdana" w:hAnsi="Times New Roman" w:cs="Times New Roman"/>
                <w:color w:val="000000"/>
                <w:sz w:val="18"/>
                <w:szCs w:val="14"/>
                <w:lang w:val="ro-RO"/>
              </w:rPr>
              <w:t>;</w:t>
            </w:r>
          </w:p>
          <w:p w14:paraId="347344E3" w14:textId="77777777" w:rsidR="00780B2E" w:rsidRPr="009C5F11" w:rsidRDefault="00CD0BD5" w:rsidP="00334F3B">
            <w:pPr>
              <w:numPr>
                <w:ilvl w:val="0"/>
                <w:numId w:val="52"/>
              </w:num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w:t>
            </w:r>
            <w:r w:rsidR="00780B2E" w:rsidRPr="009C5F11">
              <w:rPr>
                <w:rFonts w:ascii="Times New Roman" w:eastAsia="Verdana" w:hAnsi="Times New Roman" w:cs="Times New Roman"/>
                <w:color w:val="000000"/>
                <w:sz w:val="18"/>
                <w:szCs w:val="14"/>
                <w:lang w:val="ro-RO"/>
              </w:rPr>
              <w:t xml:space="preserve">cces </w:t>
            </w:r>
            <w:r w:rsidR="00321CD5" w:rsidRPr="009C5F11">
              <w:rPr>
                <w:rFonts w:ascii="Times New Roman" w:eastAsia="Verdana" w:hAnsi="Times New Roman" w:cs="Times New Roman"/>
                <w:color w:val="000000"/>
                <w:sz w:val="18"/>
                <w:szCs w:val="14"/>
                <w:lang w:val="ro-RO"/>
              </w:rPr>
              <w:t xml:space="preserve">şi </w:t>
            </w:r>
            <w:r w:rsidR="00780B2E" w:rsidRPr="009C5F11">
              <w:rPr>
                <w:rFonts w:ascii="Times New Roman" w:eastAsia="Verdana" w:hAnsi="Times New Roman" w:cs="Times New Roman"/>
                <w:color w:val="000000"/>
                <w:sz w:val="18"/>
                <w:szCs w:val="14"/>
                <w:lang w:val="ro-RO"/>
              </w:rPr>
              <w:t>participa</w:t>
            </w:r>
            <w:r w:rsidRPr="009C5F11">
              <w:rPr>
                <w:rFonts w:ascii="Times New Roman" w:eastAsia="Verdana" w:hAnsi="Times New Roman" w:cs="Times New Roman"/>
                <w:color w:val="000000"/>
                <w:sz w:val="18"/>
                <w:szCs w:val="14"/>
                <w:lang w:val="ro-RO"/>
              </w:rPr>
              <w:t xml:space="preserve">re la </w:t>
            </w:r>
            <w:r w:rsidR="004C3C90" w:rsidRPr="009C5F11">
              <w:rPr>
                <w:rFonts w:ascii="Times New Roman" w:eastAsia="Verdana" w:hAnsi="Times New Roman" w:cs="Times New Roman"/>
                <w:color w:val="000000"/>
                <w:sz w:val="18"/>
                <w:szCs w:val="14"/>
                <w:lang w:val="ro-RO"/>
              </w:rPr>
              <w:t>iniţiativele</w:t>
            </w:r>
            <w:r w:rsidR="00321CD5" w:rsidRPr="009C5F11">
              <w:rPr>
                <w:rFonts w:ascii="Times New Roman" w:eastAsia="Verdana" w:hAnsi="Times New Roman" w:cs="Times New Roman"/>
                <w:color w:val="000000"/>
                <w:sz w:val="18"/>
                <w:szCs w:val="14"/>
                <w:lang w:val="ro-RO"/>
              </w:rPr>
              <w:t xml:space="preserve"> </w:t>
            </w:r>
            <w:r w:rsidR="004C3C90" w:rsidRPr="009C5F11">
              <w:rPr>
                <w:rFonts w:ascii="Times New Roman" w:eastAsia="Verdana" w:hAnsi="Times New Roman" w:cs="Times New Roman"/>
                <w:color w:val="000000"/>
                <w:sz w:val="18"/>
                <w:szCs w:val="14"/>
                <w:lang w:val="ro-RO"/>
              </w:rPr>
              <w:t xml:space="preserve">şi beneficiile </w:t>
            </w:r>
            <w:r w:rsidR="00780B2E" w:rsidRPr="009C5F11">
              <w:rPr>
                <w:rFonts w:ascii="Times New Roman" w:eastAsia="Verdana" w:hAnsi="Times New Roman" w:cs="Times New Roman"/>
                <w:color w:val="000000"/>
                <w:sz w:val="18"/>
                <w:szCs w:val="14"/>
                <w:lang w:val="ro-RO"/>
              </w:rPr>
              <w:t>regional</w:t>
            </w:r>
            <w:r w:rsidR="004C3C90" w:rsidRPr="009C5F11">
              <w:rPr>
                <w:rFonts w:ascii="Times New Roman" w:eastAsia="Verdana" w:hAnsi="Times New Roman" w:cs="Times New Roman"/>
                <w:color w:val="000000"/>
                <w:sz w:val="18"/>
                <w:szCs w:val="14"/>
                <w:lang w:val="ro-RO"/>
              </w:rPr>
              <w:t>e</w:t>
            </w:r>
            <w:r w:rsidR="00780B2E" w:rsidRPr="009C5F11">
              <w:rPr>
                <w:rFonts w:ascii="Times New Roman" w:eastAsia="Verdana" w:hAnsi="Times New Roman" w:cs="Times New Roman"/>
                <w:color w:val="000000"/>
                <w:sz w:val="18"/>
                <w:szCs w:val="14"/>
                <w:lang w:val="ro-RO"/>
              </w:rPr>
              <w:t xml:space="preserve"> </w:t>
            </w:r>
            <w:r w:rsidR="004C3C90" w:rsidRPr="009C5F11">
              <w:rPr>
                <w:rFonts w:ascii="Times New Roman" w:eastAsia="Verdana" w:hAnsi="Times New Roman" w:cs="Times New Roman"/>
                <w:color w:val="000000"/>
                <w:sz w:val="18"/>
                <w:szCs w:val="14"/>
                <w:lang w:val="ro-RO"/>
              </w:rPr>
              <w:t xml:space="preserve">din bazele </w:t>
            </w:r>
            <w:r w:rsidR="00780B2E" w:rsidRPr="009C5F11">
              <w:rPr>
                <w:rFonts w:ascii="Times New Roman" w:eastAsia="Verdana" w:hAnsi="Times New Roman" w:cs="Times New Roman"/>
                <w:color w:val="000000"/>
                <w:sz w:val="18"/>
                <w:szCs w:val="14"/>
                <w:lang w:val="ro-RO"/>
              </w:rPr>
              <w:t>global</w:t>
            </w:r>
            <w:r w:rsidR="004C3C90" w:rsidRPr="009C5F11">
              <w:rPr>
                <w:rFonts w:ascii="Times New Roman" w:eastAsia="Verdana" w:hAnsi="Times New Roman" w:cs="Times New Roman"/>
                <w:color w:val="000000"/>
                <w:sz w:val="18"/>
                <w:szCs w:val="14"/>
                <w:lang w:val="ro-RO"/>
              </w:rPr>
              <w:t xml:space="preserve">e de </w:t>
            </w:r>
            <w:r w:rsidR="00E82DCB" w:rsidRPr="009C5F11">
              <w:rPr>
                <w:rFonts w:ascii="Times New Roman" w:eastAsia="Verdana" w:hAnsi="Times New Roman" w:cs="Times New Roman"/>
                <w:color w:val="000000"/>
                <w:sz w:val="18"/>
                <w:szCs w:val="14"/>
                <w:lang w:val="ro-RO"/>
              </w:rPr>
              <w:t>cunoștințe</w:t>
            </w:r>
            <w:r w:rsidR="00780B2E" w:rsidRPr="009C5F11">
              <w:rPr>
                <w:rFonts w:ascii="Times New Roman" w:eastAsia="Verdana" w:hAnsi="Times New Roman" w:cs="Times New Roman"/>
                <w:color w:val="000000"/>
                <w:sz w:val="18"/>
                <w:szCs w:val="14"/>
                <w:lang w:val="ro-RO"/>
              </w:rPr>
              <w:t>.</w:t>
            </w:r>
          </w:p>
        </w:tc>
        <w:tc>
          <w:tcPr>
            <w:tcW w:w="617" w:type="pct"/>
            <w:gridSpan w:val="3"/>
            <w:shd w:val="clear" w:color="000000" w:fill="D9D9D9"/>
            <w:vAlign w:val="center"/>
          </w:tcPr>
          <w:p w14:paraId="452679CD"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p>
        </w:tc>
      </w:tr>
      <w:tr w:rsidR="00D15B96" w:rsidRPr="009C5F11" w14:paraId="6B95A081" w14:textId="77777777" w:rsidTr="00D15B96">
        <w:trPr>
          <w:trHeight w:val="161"/>
        </w:trPr>
        <w:tc>
          <w:tcPr>
            <w:tcW w:w="424" w:type="pct"/>
            <w:shd w:val="clear" w:color="000000" w:fill="D9D9D9"/>
            <w:noWrap/>
            <w:vAlign w:val="center"/>
          </w:tcPr>
          <w:p w14:paraId="35BFD3D8" w14:textId="77777777" w:rsidR="00D15B96" w:rsidRPr="009C5F11" w:rsidRDefault="00D15B96" w:rsidP="002F0B3A">
            <w:pPr>
              <w:spacing w:after="0" w:line="240" w:lineRule="auto"/>
              <w:jc w:val="center"/>
              <w:rPr>
                <w:rFonts w:ascii="Times New Roman" w:eastAsia="Verdana" w:hAnsi="Times New Roman" w:cs="Times New Roman"/>
                <w:color w:val="000000"/>
                <w:sz w:val="18"/>
                <w:szCs w:val="14"/>
                <w:lang w:val="ro-RO"/>
              </w:rPr>
            </w:pPr>
          </w:p>
        </w:tc>
        <w:tc>
          <w:tcPr>
            <w:tcW w:w="935" w:type="pct"/>
            <w:shd w:val="clear" w:color="000000" w:fill="D9D9D9"/>
            <w:noWrap/>
            <w:vAlign w:val="center"/>
          </w:tcPr>
          <w:p w14:paraId="1B2EE707" w14:textId="77777777" w:rsidR="00D15B96" w:rsidRPr="009C5F11" w:rsidRDefault="00D15B96" w:rsidP="00210C2C">
            <w:pPr>
              <w:spacing w:after="0" w:line="240" w:lineRule="auto"/>
              <w:jc w:val="center"/>
              <w:rPr>
                <w:rFonts w:ascii="Times New Roman" w:eastAsia="Verdana" w:hAnsi="Times New Roman" w:cs="Times New Roman"/>
                <w:color w:val="000000"/>
                <w:sz w:val="18"/>
                <w:szCs w:val="14"/>
                <w:lang w:val="ro-RO"/>
              </w:rPr>
            </w:pPr>
          </w:p>
        </w:tc>
        <w:tc>
          <w:tcPr>
            <w:tcW w:w="321" w:type="pct"/>
            <w:shd w:val="clear" w:color="000000" w:fill="D9D9D9"/>
            <w:noWrap/>
            <w:vAlign w:val="center"/>
          </w:tcPr>
          <w:p w14:paraId="7161BE0C" w14:textId="77777777" w:rsidR="00D15B96" w:rsidRPr="009C5F11" w:rsidRDefault="00D15B96" w:rsidP="003D3C21">
            <w:pPr>
              <w:spacing w:after="0" w:line="240" w:lineRule="auto"/>
              <w:jc w:val="center"/>
              <w:rPr>
                <w:rFonts w:ascii="Times New Roman" w:eastAsia="Verdana" w:hAnsi="Times New Roman" w:cs="Times New Roman"/>
                <w:color w:val="000000"/>
                <w:sz w:val="18"/>
                <w:szCs w:val="14"/>
                <w:lang w:val="ro-RO"/>
              </w:rPr>
            </w:pPr>
          </w:p>
        </w:tc>
        <w:tc>
          <w:tcPr>
            <w:tcW w:w="322" w:type="pct"/>
            <w:shd w:val="clear" w:color="000000" w:fill="D9D9D9"/>
            <w:vAlign w:val="center"/>
          </w:tcPr>
          <w:p w14:paraId="4DC4CFA4" w14:textId="77777777" w:rsidR="00D15B96" w:rsidRPr="009C5F11" w:rsidRDefault="00D15B96" w:rsidP="003D3C21">
            <w:pPr>
              <w:spacing w:after="0" w:line="240" w:lineRule="auto"/>
              <w:jc w:val="center"/>
              <w:rPr>
                <w:rFonts w:ascii="Times New Roman" w:eastAsia="Verdana" w:hAnsi="Times New Roman" w:cs="Times New Roman"/>
                <w:bCs/>
                <w:color w:val="000000"/>
                <w:sz w:val="18"/>
                <w:szCs w:val="14"/>
                <w:lang w:val="ro-RO"/>
              </w:rPr>
            </w:pPr>
          </w:p>
        </w:tc>
        <w:tc>
          <w:tcPr>
            <w:tcW w:w="2381" w:type="pct"/>
            <w:shd w:val="clear" w:color="000000" w:fill="D9D9D9"/>
          </w:tcPr>
          <w:p w14:paraId="125E9508" w14:textId="77777777" w:rsidR="00D15B96" w:rsidRPr="009C5F11" w:rsidRDefault="00D15B96" w:rsidP="00C807F1">
            <w:pPr>
              <w:spacing w:after="0" w:line="240" w:lineRule="auto"/>
              <w:jc w:val="right"/>
              <w:rPr>
                <w:rFonts w:ascii="Times New Roman" w:eastAsia="Verdana" w:hAnsi="Times New Roman" w:cs="Times New Roman"/>
                <w:b/>
                <w:color w:val="000000"/>
                <w:sz w:val="18"/>
                <w:szCs w:val="14"/>
                <w:lang w:val="ro-RO"/>
              </w:rPr>
            </w:pPr>
          </w:p>
        </w:tc>
        <w:tc>
          <w:tcPr>
            <w:tcW w:w="617" w:type="pct"/>
            <w:gridSpan w:val="3"/>
            <w:shd w:val="clear" w:color="000000" w:fill="D9D9D9"/>
            <w:vAlign w:val="center"/>
          </w:tcPr>
          <w:p w14:paraId="51880E33" w14:textId="77777777" w:rsidR="00D15B96" w:rsidRPr="009C5F11" w:rsidRDefault="00D15B96" w:rsidP="00192725">
            <w:pPr>
              <w:spacing w:after="0" w:line="240" w:lineRule="auto"/>
              <w:jc w:val="center"/>
              <w:rPr>
                <w:rFonts w:ascii="Times New Roman" w:eastAsia="Verdana" w:hAnsi="Times New Roman" w:cs="Times New Roman"/>
                <w:b/>
                <w:color w:val="000000"/>
                <w:sz w:val="18"/>
                <w:szCs w:val="14"/>
                <w:lang w:val="ro-RO"/>
              </w:rPr>
            </w:pPr>
          </w:p>
        </w:tc>
      </w:tr>
      <w:tr w:rsidR="00780B2E" w:rsidRPr="009C5F11" w14:paraId="792F1081" w14:textId="77777777" w:rsidTr="00CD5222">
        <w:trPr>
          <w:trHeight w:val="980"/>
        </w:trPr>
        <w:tc>
          <w:tcPr>
            <w:tcW w:w="424" w:type="pct"/>
            <w:shd w:val="clear" w:color="000000" w:fill="D9D9D9"/>
            <w:noWrap/>
            <w:vAlign w:val="center"/>
          </w:tcPr>
          <w:p w14:paraId="6D61BFDE" w14:textId="77777777" w:rsidR="00780B2E" w:rsidRPr="009C5F11" w:rsidRDefault="00780B2E" w:rsidP="002F0B3A">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 104</w:t>
            </w:r>
            <w:r w:rsidR="002F0B3A" w:rsidRPr="009C5F11">
              <w:rPr>
                <w:rFonts w:ascii="Times New Roman" w:eastAsia="Verdana" w:hAnsi="Times New Roman" w:cs="Times New Roman"/>
                <w:color w:val="000000"/>
                <w:sz w:val="18"/>
                <w:szCs w:val="14"/>
                <w:lang w:val="ro-RO"/>
              </w:rPr>
              <w:t xml:space="preserve"> di</w:t>
            </w:r>
            <w:r w:rsidR="00334DD0" w:rsidRPr="009C5F11">
              <w:rPr>
                <w:rFonts w:ascii="Times New Roman" w:eastAsia="Verdana" w:hAnsi="Times New Roman" w:cs="Times New Roman"/>
                <w:color w:val="000000"/>
                <w:sz w:val="18"/>
                <w:szCs w:val="14"/>
                <w:lang w:val="ro-RO"/>
              </w:rPr>
              <w:t xml:space="preserve">n </w:t>
            </w:r>
            <w:r w:rsidR="00872DC2" w:rsidRPr="009C5F11">
              <w:rPr>
                <w:rFonts w:ascii="Times New Roman" w:eastAsia="Verdana" w:hAnsi="Times New Roman" w:cs="Times New Roman"/>
                <w:color w:val="000000"/>
                <w:sz w:val="18"/>
                <w:szCs w:val="14"/>
                <w:lang w:val="ro-RO"/>
              </w:rPr>
              <w:t>PNAEE</w:t>
            </w:r>
            <w:r w:rsidRPr="009C5F11">
              <w:rPr>
                <w:rFonts w:ascii="Times New Roman" w:eastAsia="Verdana" w:hAnsi="Times New Roman" w:cs="Times New Roman"/>
                <w:color w:val="000000"/>
                <w:sz w:val="18"/>
                <w:szCs w:val="14"/>
                <w:lang w:val="ro-RO"/>
              </w:rPr>
              <w:t xml:space="preserve"> 2013-2015</w:t>
            </w:r>
          </w:p>
        </w:tc>
        <w:tc>
          <w:tcPr>
            <w:tcW w:w="935" w:type="pct"/>
            <w:shd w:val="clear" w:color="000000" w:fill="D9D9D9"/>
            <w:noWrap/>
            <w:vAlign w:val="center"/>
          </w:tcPr>
          <w:p w14:paraId="5A0A94F8" w14:textId="77777777" w:rsidR="00780B2E" w:rsidRPr="009C5F11" w:rsidRDefault="00210C2C" w:rsidP="00210C2C">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Dezvoltarea pieţei de servicii energetice pentru </w:t>
            </w:r>
            <w:r w:rsidR="00780B2E" w:rsidRPr="009C5F11">
              <w:rPr>
                <w:rFonts w:ascii="Times New Roman" w:eastAsia="Verdana" w:hAnsi="Times New Roman" w:cs="Times New Roman"/>
                <w:color w:val="000000"/>
                <w:sz w:val="18"/>
                <w:szCs w:val="14"/>
                <w:lang w:val="ro-RO"/>
              </w:rPr>
              <w:t>industr</w:t>
            </w:r>
            <w:r w:rsidRPr="009C5F11">
              <w:rPr>
                <w:rFonts w:ascii="Times New Roman" w:eastAsia="Verdana" w:hAnsi="Times New Roman" w:cs="Times New Roman"/>
                <w:color w:val="000000"/>
                <w:sz w:val="18"/>
                <w:szCs w:val="14"/>
                <w:lang w:val="ro-RO"/>
              </w:rPr>
              <w:t>ie</w:t>
            </w:r>
          </w:p>
        </w:tc>
        <w:tc>
          <w:tcPr>
            <w:tcW w:w="321" w:type="pct"/>
            <w:shd w:val="clear" w:color="000000" w:fill="D9D9D9"/>
            <w:noWrap/>
            <w:vAlign w:val="center"/>
          </w:tcPr>
          <w:p w14:paraId="6301C888" w14:textId="77777777" w:rsidR="00780B2E" w:rsidRPr="009C5F11" w:rsidRDefault="000D2EDD" w:rsidP="003D3C21">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N/A</w:t>
            </w:r>
          </w:p>
        </w:tc>
        <w:tc>
          <w:tcPr>
            <w:tcW w:w="322" w:type="pct"/>
            <w:shd w:val="clear" w:color="000000" w:fill="D9D9D9"/>
            <w:vAlign w:val="center"/>
          </w:tcPr>
          <w:p w14:paraId="5676EC76" w14:textId="77777777" w:rsidR="00780B2E" w:rsidRPr="009C5F11" w:rsidRDefault="000D2EDD" w:rsidP="003D3C21">
            <w:pPr>
              <w:spacing w:after="0" w:line="240" w:lineRule="auto"/>
              <w:jc w:val="center"/>
              <w:rPr>
                <w:rFonts w:ascii="Times New Roman" w:eastAsia="Verdana" w:hAnsi="Times New Roman" w:cs="Times New Roman"/>
                <w:bCs/>
                <w:color w:val="000000"/>
                <w:sz w:val="18"/>
                <w:szCs w:val="14"/>
                <w:lang w:val="ro-RO"/>
              </w:rPr>
            </w:pPr>
            <w:r w:rsidRPr="009C5F11">
              <w:rPr>
                <w:rFonts w:ascii="Times New Roman" w:eastAsia="Verdana" w:hAnsi="Times New Roman" w:cs="Times New Roman"/>
                <w:bCs/>
                <w:color w:val="000000"/>
                <w:sz w:val="18"/>
                <w:szCs w:val="14"/>
                <w:lang w:val="ro-RO"/>
              </w:rPr>
              <w:t>N/A</w:t>
            </w:r>
          </w:p>
        </w:tc>
        <w:tc>
          <w:tcPr>
            <w:tcW w:w="2381" w:type="pct"/>
            <w:shd w:val="clear" w:color="000000" w:fill="D9D9D9"/>
          </w:tcPr>
          <w:p w14:paraId="2B5A49A7" w14:textId="77777777" w:rsidR="00780B2E" w:rsidRPr="009C5F11" w:rsidRDefault="00780B2E"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w:t>
            </w:r>
            <w:r w:rsidR="00CD0BD5" w:rsidRPr="009C5F11">
              <w:rPr>
                <w:rFonts w:ascii="Times New Roman" w:eastAsia="Verdana" w:hAnsi="Times New Roman" w:cs="Times New Roman"/>
                <w:b/>
                <w:color w:val="000000"/>
                <w:sz w:val="18"/>
                <w:szCs w:val="14"/>
                <w:lang w:val="ro-RO"/>
              </w:rPr>
              <w:t>at</w:t>
            </w:r>
          </w:p>
          <w:p w14:paraId="41C85CE4" w14:textId="77777777" w:rsidR="00780B2E" w:rsidRPr="009C5F11" w:rsidRDefault="002F0B3A" w:rsidP="00C807F1">
            <w:pPr>
              <w:spacing w:after="0" w:line="240" w:lineRule="auto"/>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I</w:t>
            </w:r>
            <w:r w:rsidR="00532A33" w:rsidRPr="009C5F11">
              <w:rPr>
                <w:rFonts w:ascii="Times New Roman" w:eastAsia="Calibri" w:hAnsi="Times New Roman" w:cs="Times New Roman"/>
                <w:sz w:val="18"/>
                <w:szCs w:val="14"/>
                <w:lang w:val="ro-RO"/>
              </w:rPr>
              <w:t>mplementarea</w:t>
            </w:r>
            <w:r w:rsidR="00780B2E" w:rsidRPr="009C5F11">
              <w:rPr>
                <w:rFonts w:ascii="Times New Roman" w:eastAsia="Calibri" w:hAnsi="Times New Roman" w:cs="Times New Roman"/>
                <w:sz w:val="18"/>
                <w:szCs w:val="14"/>
                <w:lang w:val="ro-RO"/>
              </w:rPr>
              <w:t xml:space="preserve"> NCPP </w:t>
            </w:r>
            <w:r w:rsidRPr="009C5F11">
              <w:rPr>
                <w:rFonts w:ascii="Times New Roman" w:eastAsia="Calibri" w:hAnsi="Times New Roman" w:cs="Times New Roman"/>
                <w:sz w:val="18"/>
                <w:szCs w:val="14"/>
                <w:lang w:val="ro-RO"/>
              </w:rPr>
              <w:t xml:space="preserve">a inclus şi instruirea a </w:t>
            </w:r>
            <w:r w:rsidR="00780B2E" w:rsidRPr="009C5F11">
              <w:rPr>
                <w:rFonts w:ascii="Times New Roman" w:eastAsia="Calibri" w:hAnsi="Times New Roman" w:cs="Times New Roman"/>
                <w:sz w:val="18"/>
                <w:szCs w:val="14"/>
                <w:lang w:val="ro-RO"/>
              </w:rPr>
              <w:t>13</w:t>
            </w:r>
            <w:r w:rsidR="000E162D" w:rsidRPr="009C5F11">
              <w:rPr>
                <w:rFonts w:ascii="Times New Roman" w:eastAsia="Calibri" w:hAnsi="Times New Roman" w:cs="Times New Roman"/>
                <w:sz w:val="18"/>
                <w:szCs w:val="14"/>
                <w:lang w:val="ro-RO"/>
              </w:rPr>
              <w:t xml:space="preserve"> experţi locali </w:t>
            </w:r>
            <w:r w:rsidR="00780B2E" w:rsidRPr="009C5F11">
              <w:rPr>
                <w:rFonts w:ascii="Times New Roman" w:eastAsia="Calibri" w:hAnsi="Times New Roman" w:cs="Times New Roman"/>
                <w:sz w:val="18"/>
                <w:szCs w:val="14"/>
                <w:lang w:val="ro-RO"/>
              </w:rPr>
              <w:t>(2012-2013)</w:t>
            </w:r>
            <w:r w:rsidR="00321CD5" w:rsidRPr="009C5F11">
              <w:rPr>
                <w:rFonts w:ascii="Times New Roman" w:eastAsia="Calibri" w:hAnsi="Times New Roman" w:cs="Times New Roman"/>
                <w:sz w:val="18"/>
                <w:szCs w:val="14"/>
                <w:lang w:val="ro-RO"/>
              </w:rPr>
              <w:t xml:space="preserve"> şi </w:t>
            </w:r>
            <w:r w:rsidR="00780B2E" w:rsidRPr="009C5F11">
              <w:rPr>
                <w:rFonts w:ascii="Times New Roman" w:eastAsia="Calibri" w:hAnsi="Times New Roman" w:cs="Times New Roman"/>
                <w:sz w:val="18"/>
                <w:szCs w:val="14"/>
                <w:lang w:val="ro-RO"/>
              </w:rPr>
              <w:t>12</w:t>
            </w:r>
            <w:r w:rsidR="000E162D" w:rsidRPr="009C5F11">
              <w:rPr>
                <w:rFonts w:ascii="Times New Roman" w:eastAsia="Calibri" w:hAnsi="Times New Roman" w:cs="Times New Roman"/>
                <w:sz w:val="18"/>
                <w:szCs w:val="14"/>
                <w:lang w:val="ro-RO"/>
              </w:rPr>
              <w:t xml:space="preserve"> experţi locali </w:t>
            </w:r>
            <w:r w:rsidR="00780B2E" w:rsidRPr="009C5F11">
              <w:rPr>
                <w:rFonts w:ascii="Times New Roman" w:eastAsia="Calibri" w:hAnsi="Times New Roman" w:cs="Times New Roman"/>
                <w:sz w:val="18"/>
                <w:szCs w:val="14"/>
                <w:lang w:val="ro-RO"/>
              </w:rPr>
              <w:t>(2014 – 2015)</w:t>
            </w:r>
            <w:r w:rsidRPr="009C5F11">
              <w:rPr>
                <w:rFonts w:ascii="Times New Roman" w:eastAsia="Calibri" w:hAnsi="Times New Roman" w:cs="Times New Roman"/>
                <w:sz w:val="18"/>
                <w:szCs w:val="14"/>
                <w:lang w:val="ro-RO"/>
              </w:rPr>
              <w:t xml:space="preserve"> </w:t>
            </w:r>
            <w:r w:rsidR="000E162D" w:rsidRPr="009C5F11">
              <w:rPr>
                <w:rFonts w:ascii="Times New Roman" w:eastAsia="Calibri" w:hAnsi="Times New Roman" w:cs="Times New Roman"/>
                <w:sz w:val="18"/>
                <w:szCs w:val="14"/>
                <w:lang w:val="ro-RO"/>
              </w:rPr>
              <w:t>privind</w:t>
            </w:r>
            <w:r w:rsidRPr="009C5F11">
              <w:rPr>
                <w:rFonts w:ascii="Times New Roman" w:eastAsia="Calibri" w:hAnsi="Times New Roman" w:cs="Times New Roman"/>
                <w:sz w:val="18"/>
                <w:szCs w:val="14"/>
                <w:lang w:val="ro-RO"/>
              </w:rPr>
              <w:t xml:space="preserve"> metode</w:t>
            </w:r>
            <w:r w:rsidR="000E162D" w:rsidRPr="009C5F11">
              <w:rPr>
                <w:rFonts w:ascii="Times New Roman" w:eastAsia="Calibri" w:hAnsi="Times New Roman" w:cs="Times New Roman"/>
                <w:sz w:val="18"/>
                <w:szCs w:val="14"/>
                <w:lang w:val="ro-RO"/>
              </w:rPr>
              <w:t>le</w:t>
            </w:r>
            <w:r w:rsidRPr="009C5F11">
              <w:rPr>
                <w:rFonts w:ascii="Times New Roman" w:eastAsia="Calibri" w:hAnsi="Times New Roman" w:cs="Times New Roman"/>
                <w:sz w:val="18"/>
                <w:szCs w:val="14"/>
                <w:lang w:val="ro-RO"/>
              </w:rPr>
              <w:t xml:space="preserve"> şi tehnici</w:t>
            </w:r>
            <w:r w:rsidR="000E162D" w:rsidRPr="009C5F11">
              <w:rPr>
                <w:rFonts w:ascii="Times New Roman" w:eastAsia="Calibri" w:hAnsi="Times New Roman" w:cs="Times New Roman"/>
                <w:sz w:val="18"/>
                <w:szCs w:val="14"/>
                <w:lang w:val="ro-RO"/>
              </w:rPr>
              <w:t>le</w:t>
            </w:r>
            <w:r w:rsidRPr="009C5F11">
              <w:rPr>
                <w:rFonts w:ascii="Times New Roman" w:eastAsia="Calibri" w:hAnsi="Times New Roman" w:cs="Times New Roman"/>
                <w:sz w:val="18"/>
                <w:szCs w:val="14"/>
                <w:lang w:val="ro-RO"/>
              </w:rPr>
              <w:t xml:space="preserve"> RECP</w:t>
            </w:r>
            <w:r w:rsidR="00780B2E" w:rsidRPr="009C5F11">
              <w:rPr>
                <w:rFonts w:ascii="Times New Roman" w:eastAsia="Calibri" w:hAnsi="Times New Roman" w:cs="Times New Roman"/>
                <w:sz w:val="18"/>
                <w:szCs w:val="14"/>
                <w:lang w:val="ro-RO"/>
              </w:rPr>
              <w:t xml:space="preserve">. </w:t>
            </w:r>
            <w:r w:rsidR="00177E9C" w:rsidRPr="009C5F11">
              <w:rPr>
                <w:rFonts w:ascii="Times New Roman" w:eastAsia="Calibri" w:hAnsi="Times New Roman" w:cs="Times New Roman"/>
                <w:sz w:val="18"/>
                <w:szCs w:val="14"/>
                <w:lang w:val="ro-RO"/>
              </w:rPr>
              <w:t>În cadrul programului de informare au fost organizate o serie de seminare, fiind distribuite materiale informaţionale,</w:t>
            </w:r>
            <w:r w:rsidR="00780B2E" w:rsidRPr="009C5F11">
              <w:rPr>
                <w:rFonts w:ascii="Times New Roman" w:eastAsia="Calibri" w:hAnsi="Times New Roman" w:cs="Times New Roman"/>
                <w:sz w:val="18"/>
                <w:szCs w:val="14"/>
                <w:lang w:val="ro-RO"/>
              </w:rPr>
              <w:t xml:space="preserve"> </w:t>
            </w:r>
            <w:r w:rsidR="00AB1710" w:rsidRPr="009C5F11">
              <w:rPr>
                <w:rFonts w:ascii="Times New Roman" w:eastAsia="Calibri" w:hAnsi="Times New Roman" w:cs="Times New Roman"/>
                <w:sz w:val="18"/>
                <w:szCs w:val="14"/>
                <w:lang w:val="ro-RO"/>
              </w:rPr>
              <w:t>inclusiv</w:t>
            </w:r>
            <w:r w:rsidR="00780B2E" w:rsidRPr="009C5F11">
              <w:rPr>
                <w:rFonts w:ascii="Times New Roman" w:eastAsia="Calibri" w:hAnsi="Times New Roman" w:cs="Times New Roman"/>
                <w:sz w:val="18"/>
                <w:szCs w:val="14"/>
                <w:lang w:val="ro-RO"/>
              </w:rPr>
              <w:t xml:space="preserve"> </w:t>
            </w:r>
            <w:r w:rsidR="00177E9C" w:rsidRPr="009C5F11">
              <w:rPr>
                <w:rFonts w:ascii="Times New Roman" w:eastAsia="Calibri" w:hAnsi="Times New Roman" w:cs="Times New Roman"/>
                <w:sz w:val="18"/>
                <w:szCs w:val="14"/>
                <w:lang w:val="ro-RO"/>
              </w:rPr>
              <w:t>pe pagina de Internet</w:t>
            </w:r>
            <w:r w:rsidR="00780B2E" w:rsidRPr="009C5F11">
              <w:rPr>
                <w:rFonts w:ascii="Times New Roman" w:eastAsia="Calibri" w:hAnsi="Times New Roman" w:cs="Times New Roman"/>
                <w:sz w:val="18"/>
                <w:szCs w:val="14"/>
                <w:lang w:val="ro-RO"/>
              </w:rPr>
              <w:t xml:space="preserve">. </w:t>
            </w:r>
            <w:r w:rsidR="00177E9C" w:rsidRPr="009C5F11">
              <w:rPr>
                <w:rFonts w:ascii="Times New Roman" w:eastAsia="Calibri" w:hAnsi="Times New Roman" w:cs="Times New Roman"/>
                <w:sz w:val="18"/>
                <w:szCs w:val="14"/>
                <w:lang w:val="ro-RO"/>
              </w:rPr>
              <w:t xml:space="preserve">Implementarea şi replicarea </w:t>
            </w:r>
            <w:r w:rsidR="00780B2E" w:rsidRPr="009C5F11">
              <w:rPr>
                <w:rFonts w:ascii="Times New Roman" w:eastAsia="Calibri" w:hAnsi="Times New Roman" w:cs="Times New Roman"/>
                <w:sz w:val="18"/>
                <w:szCs w:val="14"/>
                <w:lang w:val="ro-RO"/>
              </w:rPr>
              <w:t xml:space="preserve">RECP </w:t>
            </w:r>
            <w:r w:rsidR="00177E9C" w:rsidRPr="009C5F11">
              <w:rPr>
                <w:rFonts w:ascii="Times New Roman" w:eastAsia="Calibri" w:hAnsi="Times New Roman" w:cs="Times New Roman"/>
                <w:sz w:val="18"/>
                <w:szCs w:val="14"/>
                <w:lang w:val="ro-RO"/>
              </w:rPr>
              <w:t xml:space="preserve">s-a soldat cu </w:t>
            </w:r>
            <w:r w:rsidR="00780B2E" w:rsidRPr="009C5F11">
              <w:rPr>
                <w:rFonts w:ascii="Times New Roman" w:eastAsia="Calibri" w:hAnsi="Times New Roman" w:cs="Times New Roman"/>
                <w:sz w:val="18"/>
                <w:szCs w:val="14"/>
                <w:lang w:val="ro-RO"/>
              </w:rPr>
              <w:t>i</w:t>
            </w:r>
            <w:r w:rsidR="00177E9C" w:rsidRPr="009C5F11">
              <w:rPr>
                <w:rFonts w:ascii="Times New Roman" w:eastAsia="Calibri" w:hAnsi="Times New Roman" w:cs="Times New Roman"/>
                <w:sz w:val="18"/>
                <w:szCs w:val="14"/>
                <w:lang w:val="ro-RO"/>
              </w:rPr>
              <w:t xml:space="preserve">mplicarea a </w:t>
            </w:r>
            <w:r w:rsidR="00780B2E" w:rsidRPr="009C5F11">
              <w:rPr>
                <w:rFonts w:ascii="Times New Roman" w:eastAsia="Calibri" w:hAnsi="Times New Roman" w:cs="Times New Roman"/>
                <w:sz w:val="18"/>
                <w:szCs w:val="14"/>
                <w:lang w:val="ro-RO"/>
              </w:rPr>
              <w:t xml:space="preserve">56 </w:t>
            </w:r>
            <w:r w:rsidR="00177E9C" w:rsidRPr="009C5F11">
              <w:rPr>
                <w:rFonts w:ascii="Times New Roman" w:eastAsia="Calibri" w:hAnsi="Times New Roman" w:cs="Times New Roman"/>
                <w:sz w:val="18"/>
                <w:szCs w:val="14"/>
                <w:lang w:val="ro-RO"/>
              </w:rPr>
              <w:t xml:space="preserve">de </w:t>
            </w:r>
            <w:r w:rsidR="00780B2E" w:rsidRPr="009C5F11">
              <w:rPr>
                <w:rFonts w:ascii="Times New Roman" w:eastAsia="Calibri" w:hAnsi="Times New Roman" w:cs="Times New Roman"/>
                <w:sz w:val="18"/>
                <w:szCs w:val="14"/>
                <w:lang w:val="ro-RO"/>
              </w:rPr>
              <w:t>compani</w:t>
            </w:r>
            <w:r w:rsidR="00177E9C" w:rsidRPr="009C5F11">
              <w:rPr>
                <w:rFonts w:ascii="Times New Roman" w:eastAsia="Calibri" w:hAnsi="Times New Roman" w:cs="Times New Roman"/>
                <w:sz w:val="18"/>
                <w:szCs w:val="14"/>
                <w:lang w:val="ro-RO"/>
              </w:rPr>
              <w:t>i</w:t>
            </w:r>
            <w:r w:rsidR="00321CD5" w:rsidRPr="009C5F11">
              <w:rPr>
                <w:rFonts w:ascii="Times New Roman" w:eastAsia="Calibri" w:hAnsi="Times New Roman" w:cs="Times New Roman"/>
                <w:sz w:val="18"/>
                <w:szCs w:val="14"/>
                <w:lang w:val="ro-RO"/>
              </w:rPr>
              <w:t xml:space="preserve"> şi </w:t>
            </w:r>
            <w:r w:rsidR="00780B2E" w:rsidRPr="009C5F11">
              <w:rPr>
                <w:rFonts w:ascii="Times New Roman" w:eastAsia="Calibri" w:hAnsi="Times New Roman" w:cs="Times New Roman"/>
                <w:sz w:val="18"/>
                <w:szCs w:val="14"/>
                <w:lang w:val="ro-RO"/>
              </w:rPr>
              <w:t>organi</w:t>
            </w:r>
            <w:r w:rsidR="00177E9C" w:rsidRPr="009C5F11">
              <w:rPr>
                <w:rFonts w:ascii="Times New Roman" w:eastAsia="Calibri" w:hAnsi="Times New Roman" w:cs="Times New Roman"/>
                <w:sz w:val="18"/>
                <w:szCs w:val="14"/>
                <w:lang w:val="ro-RO"/>
              </w:rPr>
              <w:t>zaţii</w:t>
            </w:r>
            <w:r w:rsidR="00780B2E" w:rsidRPr="009C5F11">
              <w:rPr>
                <w:rFonts w:ascii="Times New Roman" w:eastAsia="Calibri" w:hAnsi="Times New Roman" w:cs="Times New Roman"/>
                <w:sz w:val="18"/>
                <w:szCs w:val="14"/>
                <w:lang w:val="ro-RO"/>
              </w:rPr>
              <w:t xml:space="preserve">, </w:t>
            </w:r>
            <w:r w:rsidR="00AB1710" w:rsidRPr="009C5F11">
              <w:rPr>
                <w:rFonts w:ascii="Times New Roman" w:eastAsia="Calibri" w:hAnsi="Times New Roman" w:cs="Times New Roman"/>
                <w:sz w:val="18"/>
                <w:szCs w:val="14"/>
                <w:lang w:val="ro-RO"/>
              </w:rPr>
              <w:t>inclusiv</w:t>
            </w:r>
            <w:r w:rsidR="00780B2E" w:rsidRPr="009C5F11">
              <w:rPr>
                <w:rFonts w:ascii="Times New Roman" w:eastAsia="Calibri" w:hAnsi="Times New Roman" w:cs="Times New Roman"/>
                <w:sz w:val="18"/>
                <w:szCs w:val="14"/>
                <w:lang w:val="ro-RO"/>
              </w:rPr>
              <w:t xml:space="preserve"> 31 </w:t>
            </w:r>
            <w:r w:rsidR="00177E9C" w:rsidRPr="009C5F11">
              <w:rPr>
                <w:rFonts w:ascii="Times New Roman" w:eastAsia="Calibri" w:hAnsi="Times New Roman" w:cs="Times New Roman"/>
                <w:sz w:val="18"/>
                <w:szCs w:val="14"/>
                <w:lang w:val="ro-RO"/>
              </w:rPr>
              <w:t xml:space="preserve">de cazuri demonstrative </w:t>
            </w:r>
            <w:r w:rsidR="00780B2E" w:rsidRPr="009C5F11">
              <w:rPr>
                <w:rFonts w:ascii="Times New Roman" w:eastAsia="Calibri" w:hAnsi="Times New Roman" w:cs="Times New Roman"/>
                <w:sz w:val="18"/>
                <w:szCs w:val="14"/>
                <w:lang w:val="ro-RO"/>
              </w:rPr>
              <w:t>RECP (expert</w:t>
            </w:r>
            <w:r w:rsidR="00177E9C" w:rsidRPr="009C5F11">
              <w:rPr>
                <w:rFonts w:ascii="Times New Roman" w:eastAsia="Calibri" w:hAnsi="Times New Roman" w:cs="Times New Roman"/>
                <w:sz w:val="18"/>
                <w:szCs w:val="14"/>
                <w:lang w:val="ro-RO"/>
              </w:rPr>
              <w:t>iză</w:t>
            </w:r>
            <w:r w:rsidR="00780B2E" w:rsidRPr="009C5F11">
              <w:rPr>
                <w:rFonts w:ascii="Times New Roman" w:eastAsia="Calibri" w:hAnsi="Times New Roman" w:cs="Times New Roman"/>
                <w:sz w:val="18"/>
                <w:szCs w:val="14"/>
                <w:lang w:val="ro-RO"/>
              </w:rPr>
              <w:t>)</w:t>
            </w:r>
            <w:r w:rsidR="00321CD5" w:rsidRPr="009C5F11">
              <w:rPr>
                <w:rFonts w:ascii="Times New Roman" w:eastAsia="Calibri" w:hAnsi="Times New Roman" w:cs="Times New Roman"/>
                <w:sz w:val="18"/>
                <w:szCs w:val="14"/>
                <w:lang w:val="ro-RO"/>
              </w:rPr>
              <w:t xml:space="preserve"> şi </w:t>
            </w:r>
            <w:r w:rsidR="00780B2E" w:rsidRPr="009C5F11">
              <w:rPr>
                <w:rFonts w:ascii="Times New Roman" w:eastAsia="Calibri" w:hAnsi="Times New Roman" w:cs="Times New Roman"/>
                <w:sz w:val="18"/>
                <w:szCs w:val="14"/>
                <w:lang w:val="ro-RO"/>
              </w:rPr>
              <w:t xml:space="preserve">25 </w:t>
            </w:r>
            <w:r w:rsidR="00177E9C" w:rsidRPr="009C5F11">
              <w:rPr>
                <w:rFonts w:ascii="Times New Roman" w:eastAsia="Calibri" w:hAnsi="Times New Roman" w:cs="Times New Roman"/>
                <w:sz w:val="18"/>
                <w:szCs w:val="14"/>
                <w:lang w:val="ro-RO"/>
              </w:rPr>
              <w:t xml:space="preserve">de cazuri de replicare </w:t>
            </w:r>
            <w:r w:rsidR="00780B2E" w:rsidRPr="009C5F11">
              <w:rPr>
                <w:rFonts w:ascii="Times New Roman" w:eastAsia="Calibri" w:hAnsi="Times New Roman" w:cs="Times New Roman"/>
                <w:sz w:val="18"/>
                <w:szCs w:val="14"/>
                <w:lang w:val="ro-RO"/>
              </w:rPr>
              <w:t>RECP (</w:t>
            </w:r>
            <w:r w:rsidR="00177E9C" w:rsidRPr="009C5F11">
              <w:rPr>
                <w:rFonts w:ascii="Times New Roman" w:eastAsia="Calibri" w:hAnsi="Times New Roman" w:cs="Times New Roman"/>
                <w:sz w:val="18"/>
                <w:szCs w:val="14"/>
                <w:lang w:val="ro-RO"/>
              </w:rPr>
              <w:t>autoevaluare</w:t>
            </w:r>
            <w:r w:rsidR="00780B2E" w:rsidRPr="009C5F11">
              <w:rPr>
                <w:rFonts w:ascii="Times New Roman" w:eastAsia="Calibri" w:hAnsi="Times New Roman" w:cs="Times New Roman"/>
                <w:sz w:val="18"/>
                <w:szCs w:val="14"/>
                <w:lang w:val="ro-RO"/>
              </w:rPr>
              <w:t xml:space="preserve">). </w:t>
            </w:r>
            <w:r w:rsidR="00177E9C" w:rsidRPr="009C5F11">
              <w:rPr>
                <w:rFonts w:ascii="Times New Roman" w:eastAsia="Calibri" w:hAnsi="Times New Roman" w:cs="Times New Roman"/>
                <w:sz w:val="18"/>
                <w:szCs w:val="14"/>
                <w:lang w:val="ro-RO"/>
              </w:rPr>
              <w:t>Activităţile d</w:t>
            </w:r>
            <w:r w:rsidR="00780B2E" w:rsidRPr="009C5F11">
              <w:rPr>
                <w:rFonts w:ascii="Times New Roman" w:eastAsia="Calibri" w:hAnsi="Times New Roman" w:cs="Times New Roman"/>
                <w:sz w:val="18"/>
                <w:szCs w:val="14"/>
                <w:lang w:val="ro-RO"/>
              </w:rPr>
              <w:t>emonstrati</w:t>
            </w:r>
            <w:r w:rsidR="00177E9C" w:rsidRPr="009C5F11">
              <w:rPr>
                <w:rFonts w:ascii="Times New Roman" w:eastAsia="Calibri" w:hAnsi="Times New Roman" w:cs="Times New Roman"/>
                <w:sz w:val="18"/>
                <w:szCs w:val="14"/>
                <w:lang w:val="ro-RO"/>
              </w:rPr>
              <w:t xml:space="preserve">ve au </w:t>
            </w:r>
            <w:r w:rsidR="00780B2E" w:rsidRPr="009C5F11">
              <w:rPr>
                <w:rFonts w:ascii="Times New Roman" w:eastAsia="Calibri" w:hAnsi="Times New Roman" w:cs="Times New Roman"/>
                <w:sz w:val="18"/>
                <w:szCs w:val="14"/>
                <w:lang w:val="ro-RO"/>
              </w:rPr>
              <w:t>inclu</w:t>
            </w:r>
            <w:r w:rsidR="00177E9C" w:rsidRPr="009C5F11">
              <w:rPr>
                <w:rFonts w:ascii="Times New Roman" w:eastAsia="Calibri" w:hAnsi="Times New Roman" w:cs="Times New Roman"/>
                <w:sz w:val="18"/>
                <w:szCs w:val="14"/>
                <w:lang w:val="ro-RO"/>
              </w:rPr>
              <w:t>s</w:t>
            </w:r>
            <w:r w:rsidR="00780B2E" w:rsidRPr="009C5F11">
              <w:rPr>
                <w:rFonts w:ascii="Times New Roman" w:eastAsia="Calibri" w:hAnsi="Times New Roman" w:cs="Times New Roman"/>
                <w:sz w:val="18"/>
                <w:szCs w:val="14"/>
                <w:lang w:val="ro-RO"/>
              </w:rPr>
              <w:t xml:space="preserve"> 7 </w:t>
            </w:r>
            <w:r w:rsidR="00177E9C" w:rsidRPr="009C5F11">
              <w:rPr>
                <w:rFonts w:ascii="Times New Roman" w:eastAsia="Calibri" w:hAnsi="Times New Roman" w:cs="Times New Roman"/>
                <w:sz w:val="18"/>
                <w:szCs w:val="14"/>
                <w:lang w:val="ro-RO"/>
              </w:rPr>
              <w:t>companii</w:t>
            </w:r>
            <w:r w:rsidR="00780B2E" w:rsidRPr="009C5F11">
              <w:rPr>
                <w:rFonts w:ascii="Times New Roman" w:eastAsia="Calibri" w:hAnsi="Times New Roman" w:cs="Times New Roman"/>
                <w:sz w:val="18"/>
                <w:szCs w:val="14"/>
                <w:lang w:val="ro-RO"/>
              </w:rPr>
              <w:t xml:space="preserve"> </w:t>
            </w:r>
            <w:r w:rsidR="00177E9C" w:rsidRPr="009C5F11">
              <w:rPr>
                <w:rFonts w:ascii="Times New Roman" w:eastAsia="Calibri" w:hAnsi="Times New Roman" w:cs="Times New Roman"/>
                <w:sz w:val="18"/>
                <w:szCs w:val="14"/>
                <w:lang w:val="ro-RO"/>
              </w:rPr>
              <w:t xml:space="preserve">din industria alimentară </w:t>
            </w:r>
            <w:r w:rsidR="00780B2E" w:rsidRPr="009C5F11">
              <w:rPr>
                <w:rFonts w:ascii="Times New Roman" w:eastAsia="Calibri" w:hAnsi="Times New Roman" w:cs="Times New Roman"/>
                <w:sz w:val="18"/>
                <w:szCs w:val="14"/>
                <w:lang w:val="ro-RO"/>
              </w:rPr>
              <w:t>/</w:t>
            </w:r>
            <w:r w:rsidR="00177E9C" w:rsidRPr="009C5F11">
              <w:rPr>
                <w:rFonts w:ascii="Times New Roman" w:eastAsia="Calibri" w:hAnsi="Times New Roman" w:cs="Times New Roman"/>
                <w:sz w:val="18"/>
                <w:szCs w:val="14"/>
                <w:lang w:val="ro-RO"/>
              </w:rPr>
              <w:t>producere a băuturilor</w:t>
            </w:r>
            <w:r w:rsidR="00321CD5" w:rsidRPr="009C5F11">
              <w:rPr>
                <w:rFonts w:ascii="Times New Roman" w:eastAsia="Calibri" w:hAnsi="Times New Roman" w:cs="Times New Roman"/>
                <w:sz w:val="18"/>
                <w:szCs w:val="14"/>
                <w:lang w:val="ro-RO"/>
              </w:rPr>
              <w:t xml:space="preserve"> şi </w:t>
            </w:r>
            <w:r w:rsidR="00177E9C" w:rsidRPr="009C5F11">
              <w:rPr>
                <w:rFonts w:ascii="Times New Roman" w:eastAsia="Calibri" w:hAnsi="Times New Roman" w:cs="Times New Roman"/>
                <w:sz w:val="18"/>
                <w:szCs w:val="14"/>
                <w:lang w:val="ro-RO"/>
              </w:rPr>
              <w:t xml:space="preserve">din </w:t>
            </w:r>
            <w:r w:rsidR="00780B2E" w:rsidRPr="009C5F11">
              <w:rPr>
                <w:rFonts w:ascii="Times New Roman" w:eastAsia="Calibri" w:hAnsi="Times New Roman" w:cs="Times New Roman"/>
                <w:sz w:val="18"/>
                <w:szCs w:val="14"/>
                <w:lang w:val="ro-RO"/>
              </w:rPr>
              <w:t>construc</w:t>
            </w:r>
            <w:r w:rsidR="00177E9C" w:rsidRPr="009C5F11">
              <w:rPr>
                <w:rFonts w:ascii="Times New Roman" w:eastAsia="Calibri" w:hAnsi="Times New Roman" w:cs="Times New Roman"/>
                <w:sz w:val="18"/>
                <w:szCs w:val="14"/>
                <w:lang w:val="ro-RO"/>
              </w:rPr>
              <w:t>ţii</w:t>
            </w:r>
            <w:r w:rsidR="00321CD5" w:rsidRPr="009C5F11">
              <w:rPr>
                <w:rFonts w:ascii="Times New Roman" w:eastAsia="Calibri" w:hAnsi="Times New Roman" w:cs="Times New Roman"/>
                <w:sz w:val="18"/>
                <w:szCs w:val="14"/>
                <w:lang w:val="ro-RO"/>
              </w:rPr>
              <w:t xml:space="preserve"> şi </w:t>
            </w:r>
            <w:r w:rsidR="00780B2E" w:rsidRPr="009C5F11">
              <w:rPr>
                <w:rFonts w:ascii="Times New Roman" w:eastAsia="Calibri" w:hAnsi="Times New Roman" w:cs="Times New Roman"/>
                <w:sz w:val="18"/>
                <w:szCs w:val="14"/>
                <w:lang w:val="ro-RO"/>
              </w:rPr>
              <w:t xml:space="preserve">24 </w:t>
            </w:r>
            <w:r w:rsidR="00177E9C" w:rsidRPr="009C5F11">
              <w:rPr>
                <w:rFonts w:ascii="Times New Roman" w:eastAsia="Calibri" w:hAnsi="Times New Roman" w:cs="Times New Roman"/>
                <w:sz w:val="18"/>
                <w:szCs w:val="14"/>
                <w:lang w:val="ro-RO"/>
              </w:rPr>
              <w:t xml:space="preserve">de instituţii </w:t>
            </w:r>
            <w:r w:rsidR="00780B2E" w:rsidRPr="009C5F11">
              <w:rPr>
                <w:rFonts w:ascii="Times New Roman" w:eastAsia="Calibri" w:hAnsi="Times New Roman" w:cs="Times New Roman"/>
                <w:sz w:val="18"/>
                <w:szCs w:val="14"/>
                <w:lang w:val="ro-RO"/>
              </w:rPr>
              <w:t>public</w:t>
            </w:r>
            <w:r w:rsidR="00177E9C" w:rsidRPr="009C5F11">
              <w:rPr>
                <w:rFonts w:ascii="Times New Roman" w:eastAsia="Calibri" w:hAnsi="Times New Roman" w:cs="Times New Roman"/>
                <w:sz w:val="18"/>
                <w:szCs w:val="14"/>
                <w:lang w:val="ro-RO"/>
              </w:rPr>
              <w:t>e</w:t>
            </w:r>
            <w:r w:rsidR="00780B2E" w:rsidRPr="009C5F11">
              <w:rPr>
                <w:rFonts w:ascii="Times New Roman" w:eastAsia="Calibri" w:hAnsi="Times New Roman" w:cs="Times New Roman"/>
                <w:sz w:val="18"/>
                <w:szCs w:val="14"/>
                <w:lang w:val="ro-RO"/>
              </w:rPr>
              <w:t xml:space="preserve">, </w:t>
            </w:r>
            <w:r w:rsidR="00177E9C" w:rsidRPr="009C5F11">
              <w:rPr>
                <w:rFonts w:ascii="Times New Roman" w:eastAsia="Calibri" w:hAnsi="Times New Roman" w:cs="Times New Roman"/>
                <w:sz w:val="18"/>
                <w:szCs w:val="14"/>
                <w:lang w:val="ro-RO"/>
              </w:rPr>
              <w:t>iar</w:t>
            </w:r>
            <w:r w:rsidR="00780B2E" w:rsidRPr="009C5F11">
              <w:rPr>
                <w:rFonts w:ascii="Times New Roman" w:eastAsia="Calibri" w:hAnsi="Times New Roman" w:cs="Times New Roman"/>
                <w:sz w:val="18"/>
                <w:szCs w:val="14"/>
                <w:lang w:val="ro-RO"/>
              </w:rPr>
              <w:t xml:space="preserve"> replica</w:t>
            </w:r>
            <w:r w:rsidR="00177E9C" w:rsidRPr="009C5F11">
              <w:rPr>
                <w:rFonts w:ascii="Times New Roman" w:eastAsia="Calibri" w:hAnsi="Times New Roman" w:cs="Times New Roman"/>
                <w:sz w:val="18"/>
                <w:szCs w:val="14"/>
                <w:lang w:val="ro-RO"/>
              </w:rPr>
              <w:t xml:space="preserve">rea a </w:t>
            </w:r>
            <w:r w:rsidR="00780B2E" w:rsidRPr="009C5F11">
              <w:rPr>
                <w:rFonts w:ascii="Times New Roman" w:eastAsia="Calibri" w:hAnsi="Times New Roman" w:cs="Times New Roman"/>
                <w:sz w:val="18"/>
                <w:szCs w:val="14"/>
                <w:lang w:val="ro-RO"/>
              </w:rPr>
              <w:t>inclu</w:t>
            </w:r>
            <w:r w:rsidR="00177E9C" w:rsidRPr="009C5F11">
              <w:rPr>
                <w:rFonts w:ascii="Times New Roman" w:eastAsia="Calibri" w:hAnsi="Times New Roman" w:cs="Times New Roman"/>
                <w:sz w:val="18"/>
                <w:szCs w:val="14"/>
                <w:lang w:val="ro-RO"/>
              </w:rPr>
              <w:t>s</w:t>
            </w:r>
            <w:r w:rsidR="00780B2E" w:rsidRPr="009C5F11">
              <w:rPr>
                <w:rFonts w:ascii="Times New Roman" w:eastAsia="Calibri" w:hAnsi="Times New Roman" w:cs="Times New Roman"/>
                <w:sz w:val="18"/>
                <w:szCs w:val="14"/>
                <w:lang w:val="ro-RO"/>
              </w:rPr>
              <w:t xml:space="preserve"> </w:t>
            </w:r>
            <w:r w:rsidR="00D77687" w:rsidRPr="009C5F11">
              <w:rPr>
                <w:rFonts w:ascii="Times New Roman" w:eastAsia="Calibri" w:hAnsi="Times New Roman" w:cs="Times New Roman"/>
                <w:sz w:val="18"/>
                <w:szCs w:val="14"/>
                <w:lang w:val="ro-RO"/>
              </w:rPr>
              <w:t>activităţi</w:t>
            </w:r>
            <w:r w:rsidR="00780B2E" w:rsidRPr="009C5F11">
              <w:rPr>
                <w:rFonts w:ascii="Times New Roman" w:eastAsia="Calibri" w:hAnsi="Times New Roman" w:cs="Times New Roman"/>
                <w:sz w:val="18"/>
                <w:szCs w:val="14"/>
                <w:lang w:val="ro-RO"/>
              </w:rPr>
              <w:t xml:space="preserve"> </w:t>
            </w:r>
            <w:r w:rsidR="00177E9C" w:rsidRPr="009C5F11">
              <w:rPr>
                <w:rFonts w:ascii="Times New Roman" w:eastAsia="Calibri" w:hAnsi="Times New Roman" w:cs="Times New Roman"/>
                <w:sz w:val="18"/>
                <w:szCs w:val="14"/>
                <w:lang w:val="ro-RO"/>
              </w:rPr>
              <w:t xml:space="preserve">desfăşurate prin intermediul </w:t>
            </w:r>
            <w:r w:rsidR="00E82DCB" w:rsidRPr="009C5F11">
              <w:rPr>
                <w:rFonts w:ascii="Times New Roman" w:eastAsia="Calibri" w:hAnsi="Times New Roman" w:cs="Times New Roman"/>
                <w:sz w:val="18"/>
                <w:szCs w:val="14"/>
                <w:lang w:val="ro-RO"/>
              </w:rPr>
              <w:t>cluburilor</w:t>
            </w:r>
            <w:r w:rsidR="00177E9C" w:rsidRPr="009C5F11">
              <w:rPr>
                <w:rFonts w:ascii="Times New Roman" w:eastAsia="Calibri" w:hAnsi="Times New Roman" w:cs="Times New Roman"/>
                <w:sz w:val="18"/>
                <w:szCs w:val="14"/>
                <w:lang w:val="ro-RO"/>
              </w:rPr>
              <w:t xml:space="preserve"> regionale </w:t>
            </w:r>
            <w:r w:rsidR="00780B2E" w:rsidRPr="009C5F11">
              <w:rPr>
                <w:rFonts w:ascii="Times New Roman" w:eastAsia="Calibri" w:hAnsi="Times New Roman" w:cs="Times New Roman"/>
                <w:sz w:val="18"/>
                <w:szCs w:val="14"/>
                <w:lang w:val="ro-RO"/>
              </w:rPr>
              <w:t xml:space="preserve">RECP </w:t>
            </w:r>
            <w:r w:rsidR="00177E9C" w:rsidRPr="009C5F11">
              <w:rPr>
                <w:rFonts w:ascii="Times New Roman" w:eastAsia="Calibri" w:hAnsi="Times New Roman" w:cs="Times New Roman"/>
                <w:sz w:val="18"/>
                <w:szCs w:val="14"/>
                <w:lang w:val="ro-RO"/>
              </w:rPr>
              <w:t>din</w:t>
            </w:r>
            <w:r w:rsidR="00321CD5" w:rsidRPr="009C5F11">
              <w:rPr>
                <w:rFonts w:ascii="Times New Roman" w:eastAsia="Calibri" w:hAnsi="Times New Roman" w:cs="Times New Roman"/>
                <w:sz w:val="18"/>
                <w:szCs w:val="14"/>
                <w:lang w:val="ro-RO"/>
              </w:rPr>
              <w:t xml:space="preserve"> </w:t>
            </w:r>
            <w:r w:rsidR="00AA0566" w:rsidRPr="009C5F11">
              <w:rPr>
                <w:rFonts w:ascii="Times New Roman" w:eastAsia="Calibri" w:hAnsi="Times New Roman" w:cs="Times New Roman"/>
                <w:sz w:val="18"/>
                <w:szCs w:val="14"/>
                <w:lang w:val="ro-RO"/>
              </w:rPr>
              <w:t>Chişinău</w:t>
            </w:r>
            <w:r w:rsidR="00780B2E" w:rsidRPr="009C5F11">
              <w:rPr>
                <w:rFonts w:ascii="Times New Roman" w:eastAsia="Calibri" w:hAnsi="Times New Roman" w:cs="Times New Roman"/>
                <w:sz w:val="18"/>
                <w:szCs w:val="14"/>
                <w:lang w:val="ro-RO"/>
              </w:rPr>
              <w:t>, C</w:t>
            </w:r>
            <w:r w:rsidR="00177E9C" w:rsidRPr="009C5F11">
              <w:rPr>
                <w:rFonts w:ascii="Times New Roman" w:eastAsia="Calibri" w:hAnsi="Times New Roman" w:cs="Times New Roman"/>
                <w:sz w:val="18"/>
                <w:szCs w:val="14"/>
                <w:lang w:val="ro-RO"/>
              </w:rPr>
              <w:t>ă</w:t>
            </w:r>
            <w:r w:rsidR="00780B2E" w:rsidRPr="009C5F11">
              <w:rPr>
                <w:rFonts w:ascii="Times New Roman" w:eastAsia="Calibri" w:hAnsi="Times New Roman" w:cs="Times New Roman"/>
                <w:sz w:val="18"/>
                <w:szCs w:val="14"/>
                <w:lang w:val="ro-RO"/>
              </w:rPr>
              <w:t>u</w:t>
            </w:r>
            <w:r w:rsidR="00177E9C" w:rsidRPr="009C5F11">
              <w:rPr>
                <w:rFonts w:ascii="Times New Roman" w:eastAsia="Calibri" w:hAnsi="Times New Roman" w:cs="Times New Roman"/>
                <w:sz w:val="18"/>
                <w:szCs w:val="14"/>
                <w:lang w:val="ro-RO"/>
              </w:rPr>
              <w:t>ş</w:t>
            </w:r>
            <w:r w:rsidR="00780B2E" w:rsidRPr="009C5F11">
              <w:rPr>
                <w:rFonts w:ascii="Times New Roman" w:eastAsia="Calibri" w:hAnsi="Times New Roman" w:cs="Times New Roman"/>
                <w:sz w:val="18"/>
                <w:szCs w:val="14"/>
                <w:lang w:val="ro-RO"/>
              </w:rPr>
              <w:t>eni</w:t>
            </w:r>
            <w:r w:rsidR="00321CD5" w:rsidRPr="009C5F11">
              <w:rPr>
                <w:rFonts w:ascii="Times New Roman" w:eastAsia="Calibri" w:hAnsi="Times New Roman" w:cs="Times New Roman"/>
                <w:sz w:val="18"/>
                <w:szCs w:val="14"/>
                <w:lang w:val="ro-RO"/>
              </w:rPr>
              <w:t xml:space="preserve"> şi </w:t>
            </w:r>
            <w:r w:rsidR="00780B2E" w:rsidRPr="009C5F11">
              <w:rPr>
                <w:rFonts w:ascii="Times New Roman" w:eastAsia="Calibri" w:hAnsi="Times New Roman" w:cs="Times New Roman"/>
                <w:sz w:val="18"/>
                <w:szCs w:val="14"/>
                <w:lang w:val="ro-RO"/>
              </w:rPr>
              <w:t>Ung</w:t>
            </w:r>
            <w:r w:rsidR="00177E9C" w:rsidRPr="009C5F11">
              <w:rPr>
                <w:rFonts w:ascii="Times New Roman" w:eastAsia="Calibri" w:hAnsi="Times New Roman" w:cs="Times New Roman"/>
                <w:sz w:val="18"/>
                <w:szCs w:val="14"/>
                <w:lang w:val="ro-RO"/>
              </w:rPr>
              <w:t>h</w:t>
            </w:r>
            <w:r w:rsidR="00780B2E" w:rsidRPr="009C5F11">
              <w:rPr>
                <w:rFonts w:ascii="Times New Roman" w:eastAsia="Calibri" w:hAnsi="Times New Roman" w:cs="Times New Roman"/>
                <w:sz w:val="18"/>
                <w:szCs w:val="14"/>
                <w:lang w:val="ro-RO"/>
              </w:rPr>
              <w:t>eni.</w:t>
            </w:r>
          </w:p>
          <w:p w14:paraId="3EA06CC5" w14:textId="77777777" w:rsidR="00780B2E" w:rsidRPr="009C5F11" w:rsidRDefault="00177E9C" w:rsidP="00531098">
            <w:pPr>
              <w:pStyle w:val="Listparagraf"/>
              <w:numPr>
                <w:ilvl w:val="0"/>
                <w:numId w:val="23"/>
              </w:numPr>
              <w:spacing w:after="0" w:line="240" w:lineRule="auto"/>
              <w:ind w:left="357" w:hanging="357"/>
              <w:jc w:val="both"/>
              <w:rPr>
                <w:rFonts w:ascii="Times New Roman" w:hAnsi="Times New Roman" w:cs="Times New Roman"/>
                <w:sz w:val="18"/>
                <w:szCs w:val="14"/>
                <w:lang w:val="ro-RO" w:eastAsia="ru-RU"/>
              </w:rPr>
            </w:pPr>
            <w:r w:rsidRPr="009C5F11">
              <w:rPr>
                <w:rFonts w:ascii="Times New Roman" w:hAnsi="Times New Roman" w:cs="Times New Roman"/>
                <w:sz w:val="18"/>
                <w:szCs w:val="14"/>
                <w:lang w:val="ro-RO" w:eastAsia="ru-RU"/>
              </w:rPr>
              <w:t>instruiri</w:t>
            </w:r>
            <w:r w:rsidR="00780B2E" w:rsidRPr="009C5F11">
              <w:rPr>
                <w:rFonts w:ascii="Times New Roman" w:hAnsi="Times New Roman" w:cs="Times New Roman"/>
                <w:sz w:val="18"/>
                <w:szCs w:val="14"/>
                <w:lang w:val="ro-RO" w:eastAsia="ru-RU"/>
              </w:rPr>
              <w:t xml:space="preserve"> </w:t>
            </w:r>
            <w:r w:rsidRPr="009C5F11">
              <w:rPr>
                <w:rFonts w:ascii="Times New Roman" w:hAnsi="Times New Roman" w:cs="Times New Roman"/>
                <w:sz w:val="18"/>
                <w:szCs w:val="14"/>
                <w:lang w:val="ro-RO" w:eastAsia="ru-RU"/>
              </w:rPr>
              <w:t>privind</w:t>
            </w:r>
            <w:r w:rsidR="00780B2E" w:rsidRPr="009C5F11">
              <w:rPr>
                <w:rFonts w:ascii="Times New Roman" w:hAnsi="Times New Roman" w:cs="Times New Roman"/>
                <w:sz w:val="18"/>
                <w:szCs w:val="14"/>
                <w:lang w:val="ro-RO" w:eastAsia="ru-RU"/>
              </w:rPr>
              <w:t xml:space="preserve"> </w:t>
            </w:r>
            <w:r w:rsidRPr="009C5F11">
              <w:rPr>
                <w:rFonts w:ascii="Times New Roman" w:hAnsi="Times New Roman" w:cs="Times New Roman"/>
                <w:sz w:val="18"/>
                <w:szCs w:val="14"/>
                <w:lang w:val="ro-RO" w:eastAsia="ru-RU"/>
              </w:rPr>
              <w:t>Sistemul de management energetic</w:t>
            </w:r>
            <w:r w:rsidR="00780B2E" w:rsidRPr="009C5F11">
              <w:rPr>
                <w:rFonts w:ascii="Times New Roman" w:hAnsi="Times New Roman" w:cs="Times New Roman"/>
                <w:sz w:val="18"/>
                <w:szCs w:val="14"/>
                <w:lang w:val="ro-RO" w:eastAsia="ru-RU"/>
              </w:rPr>
              <w:t xml:space="preserve"> - EN ISO 50001:</w:t>
            </w:r>
          </w:p>
          <w:p w14:paraId="2B79A885" w14:textId="77777777" w:rsidR="00780B2E" w:rsidRPr="009C5F11" w:rsidRDefault="00177E9C" w:rsidP="00C807F1">
            <w:pPr>
              <w:spacing w:after="0" w:line="240" w:lineRule="auto"/>
              <w:ind w:left="340"/>
              <w:jc w:val="both"/>
              <w:rPr>
                <w:rFonts w:ascii="Times New Roman" w:eastAsia="Times New Roman" w:hAnsi="Times New Roman" w:cs="Times New Roman"/>
                <w:sz w:val="18"/>
                <w:szCs w:val="14"/>
                <w:lang w:val="ro-RO" w:eastAsia="ru-RU"/>
              </w:rPr>
            </w:pPr>
            <w:r w:rsidRPr="009C5F11">
              <w:rPr>
                <w:rFonts w:ascii="Times New Roman" w:eastAsia="Times New Roman" w:hAnsi="Times New Roman" w:cs="Times New Roman"/>
                <w:sz w:val="18"/>
                <w:szCs w:val="14"/>
                <w:lang w:val="ro-RO" w:eastAsia="ru-RU"/>
              </w:rPr>
              <w:t>instruirile</w:t>
            </w:r>
            <w:r w:rsidR="00780B2E" w:rsidRPr="009C5F11">
              <w:rPr>
                <w:rFonts w:ascii="Times New Roman" w:eastAsia="Times New Roman" w:hAnsi="Times New Roman" w:cs="Times New Roman"/>
                <w:sz w:val="18"/>
                <w:szCs w:val="14"/>
                <w:lang w:val="ro-RO" w:eastAsia="ru-RU"/>
              </w:rPr>
              <w:t xml:space="preserve"> </w:t>
            </w:r>
            <w:r w:rsidRPr="009C5F11">
              <w:rPr>
                <w:rFonts w:ascii="Times New Roman" w:eastAsia="Times New Roman" w:hAnsi="Times New Roman" w:cs="Times New Roman"/>
                <w:sz w:val="18"/>
                <w:szCs w:val="14"/>
                <w:lang w:val="ro-RO" w:eastAsia="ru-RU"/>
              </w:rPr>
              <w:t>pentru</w:t>
            </w:r>
            <w:r w:rsidR="00780B2E" w:rsidRPr="009C5F11">
              <w:rPr>
                <w:rFonts w:ascii="Times New Roman" w:eastAsia="Times New Roman" w:hAnsi="Times New Roman" w:cs="Times New Roman"/>
                <w:sz w:val="18"/>
                <w:szCs w:val="14"/>
                <w:lang w:val="ro-RO" w:eastAsia="ru-RU"/>
              </w:rPr>
              <w:t xml:space="preserve"> </w:t>
            </w:r>
            <w:r w:rsidR="00532A33" w:rsidRPr="009C5F11">
              <w:rPr>
                <w:rFonts w:ascii="Times New Roman" w:eastAsia="Times New Roman" w:hAnsi="Times New Roman" w:cs="Times New Roman"/>
                <w:sz w:val="18"/>
                <w:szCs w:val="14"/>
                <w:lang w:val="ro-RO" w:eastAsia="ru-RU"/>
              </w:rPr>
              <w:t>implementarea</w:t>
            </w:r>
            <w:r w:rsidR="00780B2E" w:rsidRPr="009C5F11">
              <w:rPr>
                <w:rFonts w:ascii="Times New Roman" w:eastAsia="Times New Roman" w:hAnsi="Times New Roman" w:cs="Times New Roman"/>
                <w:sz w:val="18"/>
                <w:szCs w:val="14"/>
                <w:lang w:val="ro-RO" w:eastAsia="ru-RU"/>
              </w:rPr>
              <w:t xml:space="preserve"> </w:t>
            </w:r>
            <w:r w:rsidRPr="009C5F11">
              <w:rPr>
                <w:rFonts w:ascii="Times New Roman" w:eastAsia="Times New Roman" w:hAnsi="Times New Roman" w:cs="Times New Roman"/>
                <w:sz w:val="18"/>
                <w:szCs w:val="14"/>
                <w:lang w:val="ro-RO" w:eastAsia="ru-RU"/>
              </w:rPr>
              <w:t>SME</w:t>
            </w:r>
            <w:r w:rsidR="00780B2E" w:rsidRPr="009C5F11">
              <w:rPr>
                <w:rFonts w:ascii="Times New Roman" w:eastAsia="Times New Roman" w:hAnsi="Times New Roman" w:cs="Times New Roman"/>
                <w:sz w:val="18"/>
                <w:szCs w:val="14"/>
                <w:lang w:val="ro-RO" w:eastAsia="ru-RU"/>
              </w:rPr>
              <w:t xml:space="preserve"> </w:t>
            </w:r>
            <w:r w:rsidRPr="009C5F11">
              <w:rPr>
                <w:rFonts w:ascii="Times New Roman" w:eastAsia="Times New Roman" w:hAnsi="Times New Roman" w:cs="Times New Roman"/>
                <w:sz w:val="18"/>
                <w:szCs w:val="14"/>
                <w:lang w:val="ro-RO" w:eastAsia="ru-RU"/>
              </w:rPr>
              <w:t>bazate pe</w:t>
            </w:r>
            <w:r w:rsidR="00780B2E" w:rsidRPr="009C5F11">
              <w:rPr>
                <w:rFonts w:ascii="Times New Roman" w:eastAsia="Times New Roman" w:hAnsi="Times New Roman" w:cs="Times New Roman"/>
                <w:sz w:val="18"/>
                <w:szCs w:val="14"/>
                <w:lang w:val="ro-RO" w:eastAsia="ru-RU"/>
              </w:rPr>
              <w:t xml:space="preserve"> ISO 50001 </w:t>
            </w:r>
            <w:r w:rsidRPr="009C5F11">
              <w:rPr>
                <w:rFonts w:ascii="Times New Roman" w:eastAsia="Times New Roman" w:hAnsi="Times New Roman" w:cs="Times New Roman"/>
                <w:sz w:val="18"/>
                <w:szCs w:val="14"/>
                <w:lang w:val="ro-RO" w:eastAsia="ru-RU"/>
              </w:rPr>
              <w:t xml:space="preserve">au fost finalizate </w:t>
            </w:r>
            <w:r w:rsidR="00321CD5" w:rsidRPr="009C5F11">
              <w:rPr>
                <w:rFonts w:ascii="Times New Roman" w:eastAsia="Times New Roman" w:hAnsi="Times New Roman" w:cs="Times New Roman"/>
                <w:sz w:val="18"/>
                <w:szCs w:val="14"/>
                <w:lang w:val="ro-RO" w:eastAsia="ru-RU"/>
              </w:rPr>
              <w:t xml:space="preserve">în </w:t>
            </w:r>
            <w:r w:rsidRPr="009C5F11">
              <w:rPr>
                <w:rFonts w:ascii="Times New Roman" w:eastAsia="Times New Roman" w:hAnsi="Times New Roman" w:cs="Times New Roman"/>
                <w:sz w:val="18"/>
                <w:szCs w:val="14"/>
                <w:lang w:val="ro-RO" w:eastAsia="ru-RU"/>
              </w:rPr>
              <w:t xml:space="preserve">luna </w:t>
            </w:r>
            <w:r w:rsidR="000A4CC7" w:rsidRPr="009C5F11">
              <w:rPr>
                <w:rFonts w:ascii="Times New Roman" w:eastAsia="Times New Roman" w:hAnsi="Times New Roman" w:cs="Times New Roman"/>
                <w:sz w:val="18"/>
                <w:szCs w:val="14"/>
                <w:lang w:val="ro-RO" w:eastAsia="ru-RU"/>
              </w:rPr>
              <w:lastRenderedPageBreak/>
              <w:t>noiembrie</w:t>
            </w:r>
            <w:r w:rsidR="00780B2E" w:rsidRPr="009C5F11">
              <w:rPr>
                <w:rFonts w:ascii="Times New Roman" w:eastAsia="Times New Roman" w:hAnsi="Times New Roman" w:cs="Times New Roman"/>
                <w:sz w:val="18"/>
                <w:szCs w:val="14"/>
                <w:lang w:val="ro-RO" w:eastAsia="ru-RU"/>
              </w:rPr>
              <w:t xml:space="preserve"> 2012</w:t>
            </w:r>
            <w:r w:rsidRPr="009C5F11">
              <w:rPr>
                <w:rFonts w:ascii="Times New Roman" w:eastAsia="Times New Roman" w:hAnsi="Times New Roman" w:cs="Times New Roman"/>
                <w:sz w:val="18"/>
                <w:szCs w:val="14"/>
                <w:lang w:val="ro-RO" w:eastAsia="ru-RU"/>
              </w:rPr>
              <w:t>;</w:t>
            </w:r>
            <w:r w:rsidR="00780B2E" w:rsidRPr="009C5F11">
              <w:rPr>
                <w:rFonts w:ascii="Times New Roman" w:eastAsia="Times New Roman" w:hAnsi="Times New Roman" w:cs="Times New Roman"/>
                <w:sz w:val="18"/>
                <w:szCs w:val="14"/>
                <w:lang w:val="ro-RO" w:eastAsia="ru-RU"/>
              </w:rPr>
              <w:t xml:space="preserve"> 13 </w:t>
            </w:r>
            <w:r w:rsidRPr="009C5F11">
              <w:rPr>
                <w:rFonts w:ascii="Times New Roman" w:eastAsia="Times New Roman" w:hAnsi="Times New Roman" w:cs="Times New Roman"/>
                <w:sz w:val="18"/>
                <w:szCs w:val="14"/>
                <w:lang w:val="ro-RO" w:eastAsia="ru-RU"/>
              </w:rPr>
              <w:t>persoane</w:t>
            </w:r>
            <w:r w:rsidR="00780B2E" w:rsidRPr="009C5F11">
              <w:rPr>
                <w:rFonts w:ascii="Times New Roman" w:eastAsia="Times New Roman" w:hAnsi="Times New Roman" w:cs="Times New Roman"/>
                <w:sz w:val="18"/>
                <w:szCs w:val="14"/>
                <w:lang w:val="ro-RO" w:eastAsia="ru-RU"/>
              </w:rPr>
              <w:t xml:space="preserve"> </w:t>
            </w:r>
            <w:r w:rsidRPr="009C5F11">
              <w:rPr>
                <w:rFonts w:ascii="Times New Roman" w:eastAsia="Times New Roman" w:hAnsi="Times New Roman" w:cs="Times New Roman"/>
                <w:sz w:val="18"/>
                <w:szCs w:val="14"/>
                <w:lang w:val="ro-RO" w:eastAsia="ru-RU"/>
              </w:rPr>
              <w:t xml:space="preserve">au promovat examenul, fiind actualmente implicate activ în procesul de </w:t>
            </w:r>
            <w:r w:rsidR="00532A33" w:rsidRPr="009C5F11">
              <w:rPr>
                <w:rFonts w:ascii="Times New Roman" w:eastAsia="Times New Roman" w:hAnsi="Times New Roman" w:cs="Times New Roman"/>
                <w:sz w:val="18"/>
                <w:szCs w:val="14"/>
                <w:lang w:val="ro-RO" w:eastAsia="ru-RU"/>
              </w:rPr>
              <w:t>implementare</w:t>
            </w:r>
            <w:r w:rsidRPr="009C5F11">
              <w:rPr>
                <w:rFonts w:ascii="Times New Roman" w:eastAsia="Times New Roman" w:hAnsi="Times New Roman" w:cs="Times New Roman"/>
                <w:sz w:val="18"/>
                <w:szCs w:val="14"/>
                <w:lang w:val="ro-RO" w:eastAsia="ru-RU"/>
              </w:rPr>
              <w:t xml:space="preserve"> </w:t>
            </w:r>
            <w:r w:rsidR="00532A33" w:rsidRPr="009C5F11">
              <w:rPr>
                <w:rFonts w:ascii="Times New Roman" w:eastAsia="Times New Roman" w:hAnsi="Times New Roman" w:cs="Times New Roman"/>
                <w:sz w:val="18"/>
                <w:szCs w:val="14"/>
                <w:lang w:val="ro-RO" w:eastAsia="ru-RU"/>
              </w:rPr>
              <w:t>a</w:t>
            </w:r>
            <w:r w:rsidR="00780B2E" w:rsidRPr="009C5F11">
              <w:rPr>
                <w:rFonts w:ascii="Times New Roman" w:eastAsia="Times New Roman" w:hAnsi="Times New Roman" w:cs="Times New Roman"/>
                <w:sz w:val="18"/>
                <w:szCs w:val="14"/>
                <w:lang w:val="ro-RO" w:eastAsia="ru-RU"/>
              </w:rPr>
              <w:t xml:space="preserve"> </w:t>
            </w:r>
            <w:r w:rsidRPr="009C5F11">
              <w:rPr>
                <w:rFonts w:ascii="Times New Roman" w:eastAsia="Times New Roman" w:hAnsi="Times New Roman" w:cs="Times New Roman"/>
                <w:sz w:val="18"/>
                <w:szCs w:val="14"/>
                <w:lang w:val="ro-RO" w:eastAsia="ru-RU"/>
              </w:rPr>
              <w:t>acestui</w:t>
            </w:r>
            <w:r w:rsidR="00780B2E" w:rsidRPr="009C5F11">
              <w:rPr>
                <w:rFonts w:ascii="Times New Roman" w:eastAsia="Times New Roman" w:hAnsi="Times New Roman" w:cs="Times New Roman"/>
                <w:sz w:val="18"/>
                <w:szCs w:val="14"/>
                <w:lang w:val="ro-RO" w:eastAsia="ru-RU"/>
              </w:rPr>
              <w:t xml:space="preserve"> </w:t>
            </w:r>
            <w:r w:rsidRPr="009C5F11">
              <w:rPr>
                <w:rFonts w:ascii="Times New Roman" w:eastAsia="Times New Roman" w:hAnsi="Times New Roman" w:cs="Times New Roman"/>
                <w:sz w:val="18"/>
                <w:szCs w:val="14"/>
                <w:lang w:val="ro-RO" w:eastAsia="ru-RU"/>
              </w:rPr>
              <w:t xml:space="preserve">sistem în companiile </w:t>
            </w:r>
            <w:r w:rsidR="00780B2E" w:rsidRPr="009C5F11">
              <w:rPr>
                <w:rFonts w:ascii="Times New Roman" w:eastAsia="Times New Roman" w:hAnsi="Times New Roman" w:cs="Times New Roman"/>
                <w:sz w:val="18"/>
                <w:szCs w:val="14"/>
                <w:lang w:val="ro-RO" w:eastAsia="ru-RU"/>
              </w:rPr>
              <w:t>industrial</w:t>
            </w:r>
            <w:r w:rsidRPr="009C5F11">
              <w:rPr>
                <w:rFonts w:ascii="Times New Roman" w:eastAsia="Times New Roman" w:hAnsi="Times New Roman" w:cs="Times New Roman"/>
                <w:sz w:val="18"/>
                <w:szCs w:val="14"/>
                <w:lang w:val="ro-RO" w:eastAsia="ru-RU"/>
              </w:rPr>
              <w:t>e</w:t>
            </w:r>
            <w:r w:rsidR="00780B2E" w:rsidRPr="009C5F11">
              <w:rPr>
                <w:rFonts w:ascii="Times New Roman" w:eastAsia="Times New Roman" w:hAnsi="Times New Roman" w:cs="Times New Roman"/>
                <w:sz w:val="18"/>
                <w:szCs w:val="14"/>
                <w:lang w:val="ro-RO" w:eastAsia="ru-RU"/>
              </w:rPr>
              <w:t xml:space="preserve"> </w:t>
            </w:r>
            <w:r w:rsidRPr="009C5F11">
              <w:rPr>
                <w:rFonts w:ascii="Times New Roman" w:eastAsia="Times New Roman" w:hAnsi="Times New Roman" w:cs="Times New Roman"/>
                <w:sz w:val="18"/>
                <w:szCs w:val="14"/>
                <w:lang w:val="ro-RO" w:eastAsia="ru-RU"/>
              </w:rPr>
              <w:t>din</w:t>
            </w:r>
            <w:r w:rsidR="00321CD5" w:rsidRPr="009C5F11">
              <w:rPr>
                <w:rFonts w:ascii="Times New Roman" w:eastAsia="Times New Roman" w:hAnsi="Times New Roman" w:cs="Times New Roman"/>
                <w:sz w:val="18"/>
                <w:szCs w:val="14"/>
                <w:lang w:val="ro-RO" w:eastAsia="ru-RU"/>
              </w:rPr>
              <w:t xml:space="preserve"> </w:t>
            </w:r>
            <w:r w:rsidR="001B3DCF" w:rsidRPr="009C5F11">
              <w:rPr>
                <w:rFonts w:ascii="Times New Roman" w:eastAsia="Times New Roman" w:hAnsi="Times New Roman" w:cs="Times New Roman"/>
                <w:sz w:val="18"/>
                <w:szCs w:val="14"/>
                <w:lang w:val="ro-RO" w:eastAsia="ru-RU"/>
              </w:rPr>
              <w:t>Republica Moldova</w:t>
            </w:r>
            <w:r w:rsidR="00780B2E" w:rsidRPr="009C5F11">
              <w:rPr>
                <w:rFonts w:ascii="Times New Roman" w:eastAsia="Times New Roman" w:hAnsi="Times New Roman" w:cs="Times New Roman"/>
                <w:sz w:val="18"/>
                <w:szCs w:val="14"/>
                <w:lang w:val="ro-RO" w:eastAsia="ru-RU"/>
              </w:rPr>
              <w:t>;</w:t>
            </w:r>
          </w:p>
          <w:p w14:paraId="7542BFD1" w14:textId="77777777" w:rsidR="00780B2E" w:rsidRPr="009C5F11" w:rsidRDefault="00177E9C" w:rsidP="00531098">
            <w:pPr>
              <w:pStyle w:val="Listparagraf"/>
              <w:numPr>
                <w:ilvl w:val="0"/>
                <w:numId w:val="23"/>
              </w:numPr>
              <w:spacing w:after="0" w:line="240" w:lineRule="auto"/>
              <w:ind w:left="357" w:hanging="357"/>
              <w:jc w:val="both"/>
              <w:rPr>
                <w:rFonts w:ascii="Times New Roman" w:hAnsi="Times New Roman" w:cs="Times New Roman"/>
                <w:sz w:val="18"/>
                <w:szCs w:val="14"/>
                <w:lang w:val="ro-RO" w:eastAsia="ru-RU"/>
              </w:rPr>
            </w:pPr>
            <w:r w:rsidRPr="009C5F11">
              <w:rPr>
                <w:rFonts w:ascii="Times New Roman" w:hAnsi="Times New Roman" w:cs="Times New Roman"/>
                <w:sz w:val="18"/>
                <w:szCs w:val="14"/>
                <w:lang w:val="ro-RO" w:eastAsia="ru-RU"/>
              </w:rPr>
              <w:t>instruiri</w:t>
            </w:r>
            <w:r w:rsidR="00780B2E" w:rsidRPr="009C5F11">
              <w:rPr>
                <w:rFonts w:ascii="Times New Roman" w:hAnsi="Times New Roman" w:cs="Times New Roman"/>
                <w:sz w:val="18"/>
                <w:szCs w:val="14"/>
                <w:lang w:val="ro-RO" w:eastAsia="ru-RU"/>
              </w:rPr>
              <w:t xml:space="preserve"> </w:t>
            </w:r>
            <w:r w:rsidRPr="009C5F11">
              <w:rPr>
                <w:rFonts w:ascii="Times New Roman" w:hAnsi="Times New Roman" w:cs="Times New Roman"/>
                <w:sz w:val="18"/>
                <w:szCs w:val="14"/>
                <w:lang w:val="ro-RO" w:eastAsia="ru-RU"/>
              </w:rPr>
              <w:t>privind optimizarea sistemului de producere a aburului în industrie</w:t>
            </w:r>
            <w:r w:rsidR="00780B2E" w:rsidRPr="009C5F11">
              <w:rPr>
                <w:rFonts w:ascii="Times New Roman" w:hAnsi="Times New Roman" w:cs="Times New Roman"/>
                <w:sz w:val="18"/>
                <w:szCs w:val="14"/>
                <w:lang w:val="ro-RO" w:eastAsia="ru-RU"/>
              </w:rPr>
              <w:t>:</w:t>
            </w:r>
          </w:p>
          <w:p w14:paraId="1CC5BC66" w14:textId="77777777" w:rsidR="00780B2E" w:rsidRPr="009C5F11" w:rsidRDefault="00603237" w:rsidP="00C807F1">
            <w:pPr>
              <w:spacing w:after="0" w:line="240" w:lineRule="auto"/>
              <w:ind w:left="340"/>
              <w:jc w:val="both"/>
              <w:rPr>
                <w:rFonts w:ascii="Times New Roman" w:eastAsia="Times New Roman" w:hAnsi="Times New Roman" w:cs="Times New Roman"/>
                <w:sz w:val="18"/>
                <w:szCs w:val="14"/>
                <w:lang w:val="ro-RO" w:eastAsia="ru-RU"/>
              </w:rPr>
            </w:pPr>
            <w:r w:rsidRPr="009C5F11">
              <w:rPr>
                <w:rFonts w:ascii="Times New Roman" w:eastAsia="Times New Roman" w:hAnsi="Times New Roman" w:cs="Times New Roman"/>
                <w:sz w:val="18"/>
                <w:szCs w:val="14"/>
                <w:lang w:val="ro-RO" w:eastAsia="ru-RU"/>
              </w:rPr>
              <w:t xml:space="preserve">pe parcursul </w:t>
            </w:r>
            <w:r w:rsidR="00177E9C" w:rsidRPr="009C5F11">
              <w:rPr>
                <w:rFonts w:ascii="Times New Roman" w:eastAsia="Times New Roman" w:hAnsi="Times New Roman" w:cs="Times New Roman"/>
                <w:sz w:val="18"/>
                <w:szCs w:val="14"/>
                <w:lang w:val="ro-RO" w:eastAsia="ru-RU"/>
              </w:rPr>
              <w:t xml:space="preserve">perioadei </w:t>
            </w:r>
            <w:r w:rsidR="000A4CC7" w:rsidRPr="009C5F11">
              <w:rPr>
                <w:rFonts w:ascii="Times New Roman" w:eastAsia="Times New Roman" w:hAnsi="Times New Roman" w:cs="Times New Roman"/>
                <w:sz w:val="18"/>
                <w:szCs w:val="14"/>
                <w:lang w:val="ro-RO" w:eastAsia="ru-RU"/>
              </w:rPr>
              <w:t>noiembrie</w:t>
            </w:r>
            <w:r w:rsidR="00780B2E" w:rsidRPr="009C5F11">
              <w:rPr>
                <w:rFonts w:ascii="Times New Roman" w:eastAsia="Times New Roman" w:hAnsi="Times New Roman" w:cs="Times New Roman"/>
                <w:sz w:val="18"/>
                <w:szCs w:val="14"/>
                <w:lang w:val="ro-RO" w:eastAsia="ru-RU"/>
              </w:rPr>
              <w:t xml:space="preserve"> 2012 </w:t>
            </w:r>
            <w:r w:rsidR="00177E9C" w:rsidRPr="009C5F11">
              <w:rPr>
                <w:rFonts w:ascii="Times New Roman" w:eastAsia="Times New Roman" w:hAnsi="Times New Roman" w:cs="Times New Roman"/>
                <w:sz w:val="18"/>
                <w:szCs w:val="14"/>
                <w:lang w:val="ro-RO" w:eastAsia="ru-RU"/>
              </w:rPr>
              <w:t>–</w:t>
            </w:r>
            <w:r w:rsidR="00780B2E" w:rsidRPr="009C5F11">
              <w:rPr>
                <w:rFonts w:ascii="Times New Roman" w:eastAsia="Times New Roman" w:hAnsi="Times New Roman" w:cs="Times New Roman"/>
                <w:sz w:val="18"/>
                <w:szCs w:val="14"/>
                <w:lang w:val="ro-RO" w:eastAsia="ru-RU"/>
              </w:rPr>
              <w:t xml:space="preserve"> </w:t>
            </w:r>
            <w:r w:rsidR="000A4CC7" w:rsidRPr="009C5F11">
              <w:rPr>
                <w:rFonts w:ascii="Times New Roman" w:eastAsia="Times New Roman" w:hAnsi="Times New Roman" w:cs="Times New Roman"/>
                <w:sz w:val="18"/>
                <w:szCs w:val="14"/>
                <w:lang w:val="ro-RO" w:eastAsia="ru-RU"/>
              </w:rPr>
              <w:t>iunie</w:t>
            </w:r>
            <w:r w:rsidR="00780B2E" w:rsidRPr="009C5F11">
              <w:rPr>
                <w:rFonts w:ascii="Times New Roman" w:eastAsia="Times New Roman" w:hAnsi="Times New Roman" w:cs="Times New Roman"/>
                <w:sz w:val="18"/>
                <w:szCs w:val="14"/>
                <w:lang w:val="ro-RO" w:eastAsia="ru-RU"/>
              </w:rPr>
              <w:t xml:space="preserve"> 2013 </w:t>
            </w:r>
            <w:r w:rsidR="00177E9C" w:rsidRPr="009C5F11">
              <w:rPr>
                <w:rFonts w:ascii="Times New Roman" w:eastAsia="Times New Roman" w:hAnsi="Times New Roman" w:cs="Times New Roman"/>
                <w:sz w:val="18"/>
                <w:szCs w:val="14"/>
                <w:lang w:val="ro-RO" w:eastAsia="ru-RU"/>
              </w:rPr>
              <w:t>reprezentanţi</w:t>
            </w:r>
            <w:r w:rsidR="00780B2E" w:rsidRPr="009C5F11">
              <w:rPr>
                <w:rFonts w:ascii="Times New Roman" w:eastAsia="Times New Roman" w:hAnsi="Times New Roman" w:cs="Times New Roman"/>
                <w:sz w:val="18"/>
                <w:szCs w:val="14"/>
                <w:lang w:val="ro-RO" w:eastAsia="ru-RU"/>
              </w:rPr>
              <w:t xml:space="preserve"> </w:t>
            </w:r>
            <w:r w:rsidR="00177E9C" w:rsidRPr="009C5F11">
              <w:rPr>
                <w:rFonts w:ascii="Times New Roman" w:eastAsia="Times New Roman" w:hAnsi="Times New Roman" w:cs="Times New Roman"/>
                <w:sz w:val="18"/>
                <w:szCs w:val="14"/>
                <w:lang w:val="ro-RO" w:eastAsia="ru-RU"/>
              </w:rPr>
              <w:t>ai</w:t>
            </w:r>
            <w:r w:rsidR="00780B2E" w:rsidRPr="009C5F11">
              <w:rPr>
                <w:rFonts w:ascii="Times New Roman" w:eastAsia="Times New Roman" w:hAnsi="Times New Roman" w:cs="Times New Roman"/>
                <w:sz w:val="18"/>
                <w:szCs w:val="14"/>
                <w:lang w:val="ro-RO" w:eastAsia="ru-RU"/>
              </w:rPr>
              <w:t xml:space="preserve"> 18 </w:t>
            </w:r>
            <w:r w:rsidR="00177E9C" w:rsidRPr="009C5F11">
              <w:rPr>
                <w:rFonts w:ascii="Times New Roman" w:eastAsia="Times New Roman" w:hAnsi="Times New Roman" w:cs="Times New Roman"/>
                <w:sz w:val="18"/>
                <w:szCs w:val="14"/>
                <w:lang w:val="ro-RO" w:eastAsia="ru-RU"/>
              </w:rPr>
              <w:t>companii</w:t>
            </w:r>
            <w:r w:rsidR="00780B2E" w:rsidRPr="009C5F11">
              <w:rPr>
                <w:rFonts w:ascii="Times New Roman" w:eastAsia="Times New Roman" w:hAnsi="Times New Roman" w:cs="Times New Roman"/>
                <w:sz w:val="18"/>
                <w:szCs w:val="14"/>
                <w:lang w:val="ro-RO" w:eastAsia="ru-RU"/>
              </w:rPr>
              <w:t xml:space="preserve"> </w:t>
            </w:r>
            <w:r w:rsidR="00177E9C" w:rsidRPr="009C5F11">
              <w:rPr>
                <w:rFonts w:ascii="Times New Roman" w:eastAsia="Times New Roman" w:hAnsi="Times New Roman" w:cs="Times New Roman"/>
                <w:sz w:val="18"/>
                <w:szCs w:val="14"/>
                <w:lang w:val="ro-RO" w:eastAsia="ru-RU"/>
              </w:rPr>
              <w:t xml:space="preserve">au fost instruiţi timp de 2 săptămâni în materie de optimizare a sistemului de producere şi </w:t>
            </w:r>
            <w:r w:rsidR="00E82DCB" w:rsidRPr="009C5F11">
              <w:rPr>
                <w:rFonts w:ascii="Times New Roman" w:eastAsia="Times New Roman" w:hAnsi="Times New Roman" w:cs="Times New Roman"/>
                <w:sz w:val="18"/>
                <w:szCs w:val="14"/>
                <w:lang w:val="ro-RO" w:eastAsia="ru-RU"/>
              </w:rPr>
              <w:t>utilizare</w:t>
            </w:r>
            <w:r w:rsidR="00177E9C" w:rsidRPr="009C5F11">
              <w:rPr>
                <w:rFonts w:ascii="Times New Roman" w:eastAsia="Times New Roman" w:hAnsi="Times New Roman" w:cs="Times New Roman"/>
                <w:sz w:val="18"/>
                <w:szCs w:val="14"/>
                <w:lang w:val="ro-RO" w:eastAsia="ru-RU"/>
              </w:rPr>
              <w:t xml:space="preserve"> a aburului</w:t>
            </w:r>
            <w:r w:rsidR="00780B2E" w:rsidRPr="009C5F11">
              <w:rPr>
                <w:rFonts w:ascii="Times New Roman" w:eastAsia="Times New Roman" w:hAnsi="Times New Roman" w:cs="Times New Roman"/>
                <w:sz w:val="18"/>
                <w:szCs w:val="14"/>
                <w:lang w:val="ro-RO" w:eastAsia="ru-RU"/>
              </w:rPr>
              <w:t xml:space="preserve">. 13 </w:t>
            </w:r>
            <w:r w:rsidR="00177E9C" w:rsidRPr="009C5F11">
              <w:rPr>
                <w:rFonts w:ascii="Times New Roman" w:eastAsia="Times New Roman" w:hAnsi="Times New Roman" w:cs="Times New Roman"/>
                <w:sz w:val="18"/>
                <w:szCs w:val="14"/>
                <w:lang w:val="ro-RO" w:eastAsia="ru-RU"/>
              </w:rPr>
              <w:t>persoane</w:t>
            </w:r>
            <w:r w:rsidR="00780B2E" w:rsidRPr="009C5F11">
              <w:rPr>
                <w:rFonts w:ascii="Times New Roman" w:eastAsia="Times New Roman" w:hAnsi="Times New Roman" w:cs="Times New Roman"/>
                <w:sz w:val="18"/>
                <w:szCs w:val="14"/>
                <w:lang w:val="ro-RO" w:eastAsia="ru-RU"/>
              </w:rPr>
              <w:t xml:space="preserve"> </w:t>
            </w:r>
            <w:r w:rsidR="00177E9C" w:rsidRPr="009C5F11">
              <w:rPr>
                <w:rFonts w:ascii="Times New Roman" w:eastAsia="Times New Roman" w:hAnsi="Times New Roman" w:cs="Times New Roman"/>
                <w:sz w:val="18"/>
                <w:szCs w:val="14"/>
                <w:lang w:val="ro-RO" w:eastAsia="ru-RU"/>
              </w:rPr>
              <w:t xml:space="preserve">au </w:t>
            </w:r>
            <w:r w:rsidR="00E82DCB" w:rsidRPr="009C5F11">
              <w:rPr>
                <w:rFonts w:ascii="Times New Roman" w:eastAsia="Times New Roman" w:hAnsi="Times New Roman" w:cs="Times New Roman"/>
                <w:sz w:val="18"/>
                <w:szCs w:val="14"/>
                <w:lang w:val="ro-RO" w:eastAsia="ru-RU"/>
              </w:rPr>
              <w:t>promovat</w:t>
            </w:r>
            <w:r w:rsidR="00177E9C" w:rsidRPr="009C5F11">
              <w:rPr>
                <w:rFonts w:ascii="Times New Roman" w:eastAsia="Times New Roman" w:hAnsi="Times New Roman" w:cs="Times New Roman"/>
                <w:sz w:val="18"/>
                <w:szCs w:val="14"/>
                <w:lang w:val="ro-RO" w:eastAsia="ru-RU"/>
              </w:rPr>
              <w:t xml:space="preserve"> examenul</w:t>
            </w:r>
            <w:r w:rsidR="00321CD5" w:rsidRPr="009C5F11">
              <w:rPr>
                <w:rFonts w:ascii="Times New Roman" w:eastAsia="Times New Roman" w:hAnsi="Times New Roman" w:cs="Times New Roman"/>
                <w:sz w:val="18"/>
                <w:szCs w:val="14"/>
                <w:lang w:val="ro-RO" w:eastAsia="ru-RU"/>
              </w:rPr>
              <w:t xml:space="preserve"> şi </w:t>
            </w:r>
            <w:r w:rsidR="00177E9C" w:rsidRPr="009C5F11">
              <w:rPr>
                <w:rFonts w:ascii="Times New Roman" w:eastAsia="Times New Roman" w:hAnsi="Times New Roman" w:cs="Times New Roman"/>
                <w:sz w:val="18"/>
                <w:szCs w:val="14"/>
                <w:lang w:val="ro-RO" w:eastAsia="ru-RU"/>
              </w:rPr>
              <w:t>au fost autoriza</w:t>
            </w:r>
            <w:r w:rsidR="001A1CB6" w:rsidRPr="009C5F11">
              <w:rPr>
                <w:rFonts w:ascii="Times New Roman" w:eastAsia="Times New Roman" w:hAnsi="Times New Roman" w:cs="Times New Roman"/>
                <w:sz w:val="18"/>
                <w:szCs w:val="14"/>
                <w:lang w:val="ro-RO" w:eastAsia="ru-RU"/>
              </w:rPr>
              <w:t>te</w:t>
            </w:r>
            <w:r w:rsidR="00177E9C" w:rsidRPr="009C5F11">
              <w:rPr>
                <w:rFonts w:ascii="Times New Roman" w:eastAsia="Times New Roman" w:hAnsi="Times New Roman" w:cs="Times New Roman"/>
                <w:sz w:val="18"/>
                <w:szCs w:val="14"/>
                <w:lang w:val="ro-RO" w:eastAsia="ru-RU"/>
              </w:rPr>
              <w:t xml:space="preserve"> în calitate de experţi în domeniu, fiind eligibil</w:t>
            </w:r>
            <w:r w:rsidR="001A1CB6" w:rsidRPr="009C5F11">
              <w:rPr>
                <w:rFonts w:ascii="Times New Roman" w:eastAsia="Times New Roman" w:hAnsi="Times New Roman" w:cs="Times New Roman"/>
                <w:sz w:val="18"/>
                <w:szCs w:val="14"/>
                <w:lang w:val="ro-RO" w:eastAsia="ru-RU"/>
              </w:rPr>
              <w:t>e</w:t>
            </w:r>
            <w:r w:rsidR="00177E9C" w:rsidRPr="009C5F11">
              <w:rPr>
                <w:rFonts w:ascii="Times New Roman" w:eastAsia="Times New Roman" w:hAnsi="Times New Roman" w:cs="Times New Roman"/>
                <w:sz w:val="18"/>
                <w:szCs w:val="14"/>
                <w:lang w:val="ro-RO" w:eastAsia="ru-RU"/>
              </w:rPr>
              <w:t xml:space="preserve"> să presteze servicii de consultanţă companiilor locale</w:t>
            </w:r>
            <w:r w:rsidR="00780B2E" w:rsidRPr="009C5F11">
              <w:rPr>
                <w:rFonts w:ascii="Times New Roman" w:eastAsia="Times New Roman" w:hAnsi="Times New Roman" w:cs="Times New Roman"/>
                <w:sz w:val="18"/>
                <w:szCs w:val="14"/>
                <w:lang w:val="ro-RO" w:eastAsia="ru-RU"/>
              </w:rPr>
              <w:t>;</w:t>
            </w:r>
          </w:p>
          <w:p w14:paraId="68D9581D" w14:textId="77777777" w:rsidR="00780B2E" w:rsidRPr="009C5F11" w:rsidRDefault="00177E9C" w:rsidP="00531098">
            <w:pPr>
              <w:pStyle w:val="Listparagraf"/>
              <w:numPr>
                <w:ilvl w:val="0"/>
                <w:numId w:val="23"/>
              </w:numPr>
              <w:spacing w:after="0" w:line="240" w:lineRule="auto"/>
              <w:ind w:left="357" w:hanging="357"/>
              <w:jc w:val="both"/>
              <w:rPr>
                <w:rFonts w:ascii="Times New Roman" w:hAnsi="Times New Roman" w:cs="Times New Roman"/>
                <w:sz w:val="18"/>
                <w:szCs w:val="14"/>
                <w:lang w:val="ro-RO" w:eastAsia="ru-RU"/>
              </w:rPr>
            </w:pPr>
            <w:r w:rsidRPr="009C5F11">
              <w:rPr>
                <w:rFonts w:ascii="Times New Roman" w:hAnsi="Times New Roman" w:cs="Times New Roman"/>
                <w:sz w:val="18"/>
                <w:szCs w:val="14"/>
                <w:lang w:val="ro-RO" w:eastAsia="ru-RU"/>
              </w:rPr>
              <w:t>instruiri</w:t>
            </w:r>
            <w:r w:rsidR="00780B2E" w:rsidRPr="009C5F11">
              <w:rPr>
                <w:rFonts w:ascii="Times New Roman" w:hAnsi="Times New Roman" w:cs="Times New Roman"/>
                <w:sz w:val="18"/>
                <w:szCs w:val="14"/>
                <w:lang w:val="ro-RO" w:eastAsia="ru-RU"/>
              </w:rPr>
              <w:t xml:space="preserve"> </w:t>
            </w:r>
            <w:r w:rsidRPr="009C5F11">
              <w:rPr>
                <w:rFonts w:ascii="Times New Roman" w:hAnsi="Times New Roman" w:cs="Times New Roman"/>
                <w:sz w:val="18"/>
                <w:szCs w:val="14"/>
                <w:lang w:val="ro-RO" w:eastAsia="ru-RU"/>
              </w:rPr>
              <w:t xml:space="preserve">privind </w:t>
            </w:r>
            <w:r w:rsidR="00780B2E" w:rsidRPr="009C5F11">
              <w:rPr>
                <w:rFonts w:ascii="Times New Roman" w:hAnsi="Times New Roman" w:cs="Times New Roman"/>
                <w:sz w:val="18"/>
                <w:szCs w:val="14"/>
                <w:lang w:val="ro-RO" w:eastAsia="ru-RU"/>
              </w:rPr>
              <w:t>optimi</w:t>
            </w:r>
            <w:r w:rsidRPr="009C5F11">
              <w:rPr>
                <w:rFonts w:ascii="Times New Roman" w:hAnsi="Times New Roman" w:cs="Times New Roman"/>
                <w:sz w:val="18"/>
                <w:szCs w:val="14"/>
                <w:lang w:val="ro-RO" w:eastAsia="ru-RU"/>
              </w:rPr>
              <w:t>zarea sistemului pentru furnizorii de echipamente şi sisteme de producere a aburului</w:t>
            </w:r>
            <w:r w:rsidR="00780B2E" w:rsidRPr="009C5F11">
              <w:rPr>
                <w:rFonts w:ascii="Times New Roman" w:hAnsi="Times New Roman" w:cs="Times New Roman"/>
                <w:sz w:val="18"/>
                <w:szCs w:val="14"/>
                <w:lang w:val="ro-RO" w:eastAsia="ru-RU"/>
              </w:rPr>
              <w:t xml:space="preserve">: </w:t>
            </w:r>
          </w:p>
          <w:p w14:paraId="7516402D" w14:textId="77777777" w:rsidR="00780B2E" w:rsidRPr="009C5F11" w:rsidRDefault="00177E9C" w:rsidP="00CD5222">
            <w:pPr>
              <w:tabs>
                <w:tab w:val="left" w:pos="273"/>
              </w:tabs>
              <w:spacing w:after="0" w:line="240" w:lineRule="auto"/>
              <w:ind w:left="357"/>
              <w:jc w:val="both"/>
              <w:rPr>
                <w:rFonts w:ascii="Times New Roman" w:eastAsia="Verdana" w:hAnsi="Times New Roman" w:cs="Times New Roman"/>
                <w:b/>
                <w:color w:val="000000"/>
                <w:sz w:val="18"/>
                <w:szCs w:val="14"/>
                <w:lang w:val="ro-RO"/>
              </w:rPr>
            </w:pPr>
            <w:r w:rsidRPr="009C5F11">
              <w:rPr>
                <w:rFonts w:ascii="Times New Roman" w:eastAsia="Calibri" w:hAnsi="Times New Roman" w:cs="Times New Roman"/>
                <w:sz w:val="18"/>
                <w:szCs w:val="14"/>
                <w:lang w:val="ro-RO" w:eastAsia="ru-RU"/>
              </w:rPr>
              <w:t>Î</w:t>
            </w:r>
            <w:r w:rsidR="00780B2E" w:rsidRPr="009C5F11">
              <w:rPr>
                <w:rFonts w:ascii="Times New Roman" w:eastAsia="Calibri" w:hAnsi="Times New Roman" w:cs="Times New Roman"/>
                <w:sz w:val="18"/>
                <w:szCs w:val="14"/>
                <w:lang w:val="ro-RO" w:eastAsia="ru-RU"/>
              </w:rPr>
              <w:t xml:space="preserve">n 2013 </w:t>
            </w:r>
            <w:r w:rsidRPr="009C5F11">
              <w:rPr>
                <w:rFonts w:ascii="Times New Roman" w:eastAsia="Calibri" w:hAnsi="Times New Roman" w:cs="Times New Roman"/>
                <w:sz w:val="18"/>
                <w:szCs w:val="14"/>
                <w:lang w:val="ro-RO" w:eastAsia="ru-RU"/>
              </w:rPr>
              <w:t>au fost instruiţi reprezentanţi</w:t>
            </w:r>
            <w:r w:rsidR="00780B2E" w:rsidRPr="009C5F11">
              <w:rPr>
                <w:rFonts w:ascii="Times New Roman" w:eastAsia="Calibri" w:hAnsi="Times New Roman" w:cs="Times New Roman"/>
                <w:sz w:val="18"/>
                <w:szCs w:val="14"/>
                <w:lang w:val="ro-RO" w:eastAsia="ru-RU"/>
              </w:rPr>
              <w:t xml:space="preserve"> </w:t>
            </w:r>
            <w:r w:rsidRPr="009C5F11">
              <w:rPr>
                <w:rFonts w:ascii="Times New Roman" w:eastAsia="Calibri" w:hAnsi="Times New Roman" w:cs="Times New Roman"/>
                <w:sz w:val="18"/>
                <w:szCs w:val="14"/>
                <w:lang w:val="ro-RO" w:eastAsia="ru-RU"/>
              </w:rPr>
              <w:t>ai</w:t>
            </w:r>
            <w:r w:rsidR="00780B2E" w:rsidRPr="009C5F11">
              <w:rPr>
                <w:rFonts w:ascii="Times New Roman" w:eastAsia="Calibri" w:hAnsi="Times New Roman" w:cs="Times New Roman"/>
                <w:sz w:val="18"/>
                <w:szCs w:val="14"/>
                <w:lang w:val="ro-RO" w:eastAsia="ru-RU"/>
              </w:rPr>
              <w:t xml:space="preserve"> 15 </w:t>
            </w:r>
            <w:r w:rsidRPr="009C5F11">
              <w:rPr>
                <w:rFonts w:ascii="Times New Roman" w:eastAsia="Calibri" w:hAnsi="Times New Roman" w:cs="Times New Roman"/>
                <w:sz w:val="18"/>
                <w:szCs w:val="14"/>
                <w:lang w:val="ro-RO" w:eastAsia="ru-RU"/>
              </w:rPr>
              <w:t>companii</w:t>
            </w:r>
            <w:r w:rsidR="00780B2E" w:rsidRPr="009C5F11">
              <w:rPr>
                <w:rFonts w:ascii="Times New Roman" w:eastAsia="Calibri" w:hAnsi="Times New Roman" w:cs="Times New Roman"/>
                <w:sz w:val="18"/>
                <w:szCs w:val="14"/>
                <w:lang w:val="ro-RO" w:eastAsia="ru-RU"/>
              </w:rPr>
              <w:t xml:space="preserve"> </w:t>
            </w:r>
            <w:r w:rsidRPr="009C5F11">
              <w:rPr>
                <w:rFonts w:ascii="Times New Roman" w:eastAsia="Calibri" w:hAnsi="Times New Roman" w:cs="Times New Roman"/>
                <w:sz w:val="18"/>
                <w:szCs w:val="14"/>
                <w:lang w:val="ro-RO" w:eastAsia="ru-RU"/>
              </w:rPr>
              <w:t>– furnizoare de</w:t>
            </w:r>
            <w:r w:rsidRPr="009C5F11">
              <w:rPr>
                <w:rFonts w:ascii="Times New Roman" w:hAnsi="Times New Roman" w:cs="Times New Roman"/>
                <w:sz w:val="18"/>
                <w:szCs w:val="14"/>
                <w:lang w:val="ro-RO" w:eastAsia="ru-RU"/>
              </w:rPr>
              <w:t xml:space="preserve"> echipamente şi sisteme de producere şi utilizare a aburului</w:t>
            </w:r>
            <w:r w:rsidR="00780B2E" w:rsidRPr="009C5F11">
              <w:rPr>
                <w:rFonts w:ascii="Times New Roman" w:eastAsia="Calibri" w:hAnsi="Times New Roman" w:cs="Times New Roman"/>
                <w:sz w:val="18"/>
                <w:szCs w:val="14"/>
                <w:lang w:val="ro-RO" w:eastAsia="ru-RU"/>
              </w:rPr>
              <w:t xml:space="preserve">. </w:t>
            </w:r>
            <w:r w:rsidRPr="009C5F11">
              <w:rPr>
                <w:rFonts w:ascii="Times New Roman" w:eastAsia="Calibri" w:hAnsi="Times New Roman" w:cs="Times New Roman"/>
                <w:sz w:val="18"/>
                <w:szCs w:val="14"/>
                <w:lang w:val="ro-RO" w:eastAsia="ru-RU"/>
              </w:rPr>
              <w:t xml:space="preserve">Instruirile s-au bazat pe cele mai performante echipamente de producere, utilizare şi monitorizare a aburului conform necesităţilor </w:t>
            </w:r>
            <w:r w:rsidR="001B3DCF" w:rsidRPr="009C5F11">
              <w:rPr>
                <w:rFonts w:ascii="Times New Roman" w:eastAsia="Calibri" w:hAnsi="Times New Roman" w:cs="Times New Roman"/>
                <w:sz w:val="18"/>
                <w:szCs w:val="14"/>
                <w:lang w:val="ro-RO" w:eastAsia="ru-RU"/>
              </w:rPr>
              <w:t>Republic</w:t>
            </w:r>
            <w:r w:rsidRPr="009C5F11">
              <w:rPr>
                <w:rFonts w:ascii="Times New Roman" w:eastAsia="Calibri" w:hAnsi="Times New Roman" w:cs="Times New Roman"/>
                <w:sz w:val="18"/>
                <w:szCs w:val="14"/>
                <w:lang w:val="ro-RO" w:eastAsia="ru-RU"/>
              </w:rPr>
              <w:t>ii</w:t>
            </w:r>
            <w:r w:rsidR="001B3DCF" w:rsidRPr="009C5F11">
              <w:rPr>
                <w:rFonts w:ascii="Times New Roman" w:eastAsia="Calibri" w:hAnsi="Times New Roman" w:cs="Times New Roman"/>
                <w:sz w:val="18"/>
                <w:szCs w:val="14"/>
                <w:lang w:val="ro-RO" w:eastAsia="ru-RU"/>
              </w:rPr>
              <w:t xml:space="preserve"> Moldova</w:t>
            </w:r>
            <w:r w:rsidR="00CD5222" w:rsidRPr="009C5F11">
              <w:rPr>
                <w:rFonts w:ascii="Times New Roman" w:eastAsia="Calibri" w:hAnsi="Times New Roman" w:cs="Times New Roman"/>
                <w:sz w:val="18"/>
                <w:szCs w:val="14"/>
                <w:lang w:val="ro-RO" w:eastAsia="ru-RU"/>
              </w:rPr>
              <w:t>.</w:t>
            </w:r>
          </w:p>
        </w:tc>
        <w:tc>
          <w:tcPr>
            <w:tcW w:w="617" w:type="pct"/>
            <w:gridSpan w:val="3"/>
            <w:shd w:val="clear" w:color="000000" w:fill="D9D9D9"/>
            <w:vAlign w:val="center"/>
          </w:tcPr>
          <w:p w14:paraId="71A8F0E9" w14:textId="77777777" w:rsidR="00780B2E" w:rsidRPr="009C5F11" w:rsidRDefault="00642BDB"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Masura nu continuă</w:t>
            </w:r>
          </w:p>
        </w:tc>
      </w:tr>
      <w:tr w:rsidR="00780B2E" w:rsidRPr="009C5F11" w14:paraId="1597A14A" w14:textId="77777777" w:rsidTr="0008402D">
        <w:trPr>
          <w:trHeight w:val="300"/>
        </w:trPr>
        <w:tc>
          <w:tcPr>
            <w:tcW w:w="5000" w:type="pct"/>
            <w:gridSpan w:val="8"/>
            <w:shd w:val="clear" w:color="auto" w:fill="3E5DEA"/>
            <w:noWrap/>
            <w:vAlign w:val="bottom"/>
            <w:hideMark/>
          </w:tcPr>
          <w:p w14:paraId="1D991A6E" w14:textId="77777777" w:rsidR="00780B2E" w:rsidRPr="009C5F11" w:rsidRDefault="007E1094" w:rsidP="00C807F1">
            <w:pPr>
              <w:spacing w:after="0" w:line="240" w:lineRule="auto"/>
              <w:jc w:val="center"/>
              <w:rPr>
                <w:rFonts w:ascii="Times New Roman" w:eastAsia="Verdana" w:hAnsi="Times New Roman" w:cs="Times New Roman"/>
                <w:b/>
                <w:color w:val="FFFFFF"/>
                <w:sz w:val="18"/>
                <w:szCs w:val="14"/>
                <w:lang w:val="ro-RO"/>
              </w:rPr>
            </w:pPr>
            <w:r w:rsidRPr="009C5F11">
              <w:rPr>
                <w:rFonts w:ascii="Times New Roman" w:eastAsia="Verdana" w:hAnsi="Times New Roman" w:cs="Times New Roman"/>
                <w:b/>
                <w:color w:val="FFFFFF"/>
                <w:sz w:val="18"/>
                <w:szCs w:val="14"/>
                <w:lang w:val="ro-RO"/>
              </w:rPr>
              <w:lastRenderedPageBreak/>
              <w:t>Măsuri în sectorul</w:t>
            </w:r>
            <w:r w:rsidR="002F0B3A" w:rsidRPr="009C5F11">
              <w:rPr>
                <w:rFonts w:ascii="Times New Roman" w:eastAsia="Verdana" w:hAnsi="Times New Roman" w:cs="Times New Roman"/>
                <w:b/>
                <w:color w:val="FFFFFF"/>
                <w:sz w:val="18"/>
                <w:szCs w:val="14"/>
                <w:lang w:val="ro-RO"/>
              </w:rPr>
              <w:t xml:space="preserve"> public</w:t>
            </w:r>
          </w:p>
        </w:tc>
      </w:tr>
      <w:tr w:rsidR="00780B2E" w:rsidRPr="009C5F11" w14:paraId="181D54E3" w14:textId="77777777" w:rsidTr="00CD5222">
        <w:trPr>
          <w:trHeight w:val="300"/>
        </w:trPr>
        <w:tc>
          <w:tcPr>
            <w:tcW w:w="424" w:type="pct"/>
            <w:shd w:val="clear" w:color="000000" w:fill="C5D9F1"/>
            <w:noWrap/>
            <w:vAlign w:val="center"/>
          </w:tcPr>
          <w:p w14:paraId="7513579D"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Art.107</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shd w:val="clear" w:color="000000" w:fill="C5D9F1"/>
            <w:noWrap/>
            <w:vAlign w:val="center"/>
          </w:tcPr>
          <w:p w14:paraId="02152A09" w14:textId="77777777" w:rsidR="00780B2E" w:rsidRPr="009C5F11" w:rsidRDefault="006C6CC7" w:rsidP="006C6CC7">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Managementul energetic</w:t>
            </w:r>
            <w:r w:rsidR="00210C2C" w:rsidRPr="009C5F11">
              <w:rPr>
                <w:rFonts w:ascii="Times New Roman" w:eastAsia="Verdana" w:hAnsi="Times New Roman" w:cs="Times New Roman"/>
                <w:color w:val="000000"/>
                <w:sz w:val="18"/>
                <w:szCs w:val="14"/>
                <w:lang w:val="ro-RO"/>
              </w:rPr>
              <w:t xml:space="preserve"> la nivel</w:t>
            </w:r>
            <w:r w:rsidRPr="009C5F11">
              <w:rPr>
                <w:rFonts w:ascii="Times New Roman" w:eastAsia="Verdana" w:hAnsi="Times New Roman" w:cs="Times New Roman"/>
                <w:color w:val="000000"/>
                <w:sz w:val="18"/>
                <w:szCs w:val="14"/>
                <w:lang w:val="ro-RO"/>
              </w:rPr>
              <w:t>ul</w:t>
            </w:r>
            <w:r w:rsidR="00210C2C" w:rsidRPr="009C5F11">
              <w:rPr>
                <w:rFonts w:ascii="Times New Roman" w:eastAsia="Verdana" w:hAnsi="Times New Roman" w:cs="Times New Roman"/>
                <w:color w:val="000000"/>
                <w:sz w:val="18"/>
                <w:szCs w:val="14"/>
                <w:lang w:val="ro-RO"/>
              </w:rPr>
              <w:t xml:space="preserve"> APL </w:t>
            </w:r>
          </w:p>
        </w:tc>
        <w:tc>
          <w:tcPr>
            <w:tcW w:w="321" w:type="pct"/>
            <w:shd w:val="clear" w:color="000000" w:fill="C5D9F1"/>
            <w:noWrap/>
            <w:vAlign w:val="center"/>
          </w:tcPr>
          <w:p w14:paraId="00FA4276" w14:textId="77777777" w:rsidR="00780B2E" w:rsidRPr="009C5F11" w:rsidRDefault="000D2EDD" w:rsidP="003D3C21">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N/A</w:t>
            </w:r>
          </w:p>
        </w:tc>
        <w:tc>
          <w:tcPr>
            <w:tcW w:w="322" w:type="pct"/>
            <w:shd w:val="clear" w:color="000000" w:fill="C5D9F1"/>
            <w:vAlign w:val="center"/>
          </w:tcPr>
          <w:p w14:paraId="1BD45C46" w14:textId="77777777" w:rsidR="00780B2E" w:rsidRPr="009C5F11" w:rsidRDefault="000D2EDD" w:rsidP="003D3C21">
            <w:pPr>
              <w:spacing w:after="0" w:line="240" w:lineRule="auto"/>
              <w:jc w:val="center"/>
              <w:rPr>
                <w:rFonts w:ascii="Times New Roman" w:eastAsia="Verdana" w:hAnsi="Times New Roman" w:cs="Times New Roman"/>
                <w:b/>
                <w:bCs/>
                <w:color w:val="000000"/>
                <w:sz w:val="18"/>
                <w:szCs w:val="14"/>
                <w:lang w:val="ro-RO"/>
              </w:rPr>
            </w:pPr>
            <w:r w:rsidRPr="009C5F11">
              <w:rPr>
                <w:rFonts w:ascii="Times New Roman" w:eastAsia="Verdana" w:hAnsi="Times New Roman" w:cs="Times New Roman"/>
                <w:bCs/>
                <w:color w:val="000000"/>
                <w:sz w:val="18"/>
                <w:szCs w:val="14"/>
                <w:lang w:val="ro-RO"/>
              </w:rPr>
              <w:t>N/A</w:t>
            </w:r>
          </w:p>
        </w:tc>
        <w:tc>
          <w:tcPr>
            <w:tcW w:w="2381" w:type="pct"/>
            <w:shd w:val="clear" w:color="000000" w:fill="C5D9F1"/>
          </w:tcPr>
          <w:p w14:paraId="3CE4A4C4" w14:textId="77777777" w:rsidR="00780B2E" w:rsidRPr="009C5F11" w:rsidRDefault="002F0B3A"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Implementate</w:t>
            </w:r>
          </w:p>
          <w:p w14:paraId="2A91DADE" w14:textId="77777777" w:rsidR="00780B2E" w:rsidRPr="009C5F11" w:rsidRDefault="00780B2E" w:rsidP="00C807F1">
            <w:pPr>
              <w:widowControl w:val="0"/>
              <w:autoSpaceDE w:val="0"/>
              <w:autoSpaceDN w:val="0"/>
              <w:adjustRightInd w:val="0"/>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w:t>
            </w:r>
            <w:r w:rsidR="0058744F" w:rsidRPr="009C5F11">
              <w:rPr>
                <w:rFonts w:ascii="Times New Roman" w:hAnsi="Times New Roman" w:cs="Times New Roman"/>
                <w:sz w:val="18"/>
                <w:szCs w:val="14"/>
                <w:lang w:val="ro-RO"/>
              </w:rPr>
              <w:t xml:space="preserve"> elaborarea softului de monitorizare a consumurilor de energie pentru autorităţile publice locale (consiliile raionale, municipale şi UTA Găgăuzia) şi a manualului de utilizare a softului</w:t>
            </w:r>
            <w:r w:rsidRPr="009C5F11">
              <w:rPr>
                <w:rFonts w:ascii="Times New Roman" w:hAnsi="Times New Roman" w:cs="Times New Roman"/>
                <w:sz w:val="18"/>
                <w:szCs w:val="14"/>
                <w:lang w:val="ro-RO"/>
              </w:rPr>
              <w:t>;</w:t>
            </w:r>
          </w:p>
          <w:p w14:paraId="388648C5" w14:textId="77777777" w:rsidR="00780B2E" w:rsidRPr="009C5F11" w:rsidRDefault="00780B2E" w:rsidP="00C807F1">
            <w:pPr>
              <w:widowControl w:val="0"/>
              <w:autoSpaceDE w:val="0"/>
              <w:autoSpaceDN w:val="0"/>
              <w:adjustRightInd w:val="0"/>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2)</w:t>
            </w:r>
            <w:r w:rsidR="0058744F" w:rsidRPr="009C5F11">
              <w:rPr>
                <w:rFonts w:ascii="Times New Roman" w:hAnsi="Times New Roman" w:cs="Times New Roman"/>
                <w:sz w:val="18"/>
                <w:szCs w:val="14"/>
                <w:lang w:val="ro-RO"/>
              </w:rPr>
              <w:t xml:space="preserve"> angajarea managerilor energetici în 32 de consilii raionale, UTA Găgăuzia şi 2 municipii</w:t>
            </w:r>
            <w:r w:rsidRPr="009C5F11">
              <w:rPr>
                <w:rFonts w:ascii="Times New Roman" w:hAnsi="Times New Roman" w:cs="Times New Roman"/>
                <w:sz w:val="18"/>
                <w:szCs w:val="14"/>
                <w:lang w:val="ro-RO"/>
              </w:rPr>
              <w:t>;</w:t>
            </w:r>
          </w:p>
          <w:p w14:paraId="12A28A68" w14:textId="77777777" w:rsidR="00780B2E" w:rsidRPr="009C5F11" w:rsidRDefault="00780B2E" w:rsidP="00C807F1">
            <w:pPr>
              <w:widowControl w:val="0"/>
              <w:autoSpaceDE w:val="0"/>
              <w:autoSpaceDN w:val="0"/>
              <w:adjustRightInd w:val="0"/>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w:t>
            </w:r>
            <w:r w:rsidR="00055095" w:rsidRPr="009C5F11">
              <w:rPr>
                <w:rFonts w:ascii="Times New Roman" w:hAnsi="Times New Roman" w:cs="Times New Roman"/>
                <w:sz w:val="18"/>
                <w:szCs w:val="14"/>
                <w:lang w:val="ro-RO"/>
              </w:rPr>
              <w:t xml:space="preserve"> </w:t>
            </w:r>
            <w:r w:rsidR="0058744F" w:rsidRPr="009C5F11">
              <w:rPr>
                <w:rFonts w:ascii="Times New Roman" w:hAnsi="Times New Roman" w:cs="Times New Roman"/>
                <w:sz w:val="18"/>
                <w:szCs w:val="14"/>
                <w:lang w:val="ro-RO"/>
              </w:rPr>
              <w:t>instruirea a 35 de manageri energetici</w:t>
            </w:r>
            <w:r w:rsidRPr="009C5F11">
              <w:rPr>
                <w:rFonts w:ascii="Times New Roman" w:hAnsi="Times New Roman" w:cs="Times New Roman"/>
                <w:sz w:val="18"/>
                <w:szCs w:val="14"/>
                <w:lang w:val="ro-RO"/>
              </w:rPr>
              <w:t>;</w:t>
            </w:r>
          </w:p>
          <w:p w14:paraId="00A46D49" w14:textId="77777777" w:rsidR="00780B2E" w:rsidRPr="009C5F11" w:rsidRDefault="00780B2E" w:rsidP="00C807F1">
            <w:pPr>
              <w:widowControl w:val="0"/>
              <w:autoSpaceDE w:val="0"/>
              <w:autoSpaceDN w:val="0"/>
              <w:adjustRightInd w:val="0"/>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4)</w:t>
            </w:r>
            <w:r w:rsidR="0058744F" w:rsidRPr="009C5F11">
              <w:rPr>
                <w:rFonts w:ascii="Times New Roman" w:hAnsi="Times New Roman" w:cs="Times New Roman"/>
                <w:sz w:val="18"/>
                <w:szCs w:val="14"/>
                <w:lang w:val="ro-RO"/>
              </w:rPr>
              <w:t xml:space="preserve"> organizarea periodică a cursurilor de instruire şi perfecţionare a managerilor energetici angajaţi în cadrul consiliilor raionale, municipale şi UTA Găgăuzia</w:t>
            </w:r>
            <w:r w:rsidRPr="009C5F11">
              <w:rPr>
                <w:rFonts w:ascii="Times New Roman" w:hAnsi="Times New Roman" w:cs="Times New Roman"/>
                <w:sz w:val="18"/>
                <w:szCs w:val="14"/>
                <w:lang w:val="ro-RO"/>
              </w:rPr>
              <w:t>;</w:t>
            </w:r>
          </w:p>
          <w:p w14:paraId="3F013128" w14:textId="77777777" w:rsidR="00780B2E" w:rsidRPr="009C5F11" w:rsidRDefault="00780B2E" w:rsidP="00C807F1">
            <w:pPr>
              <w:widowControl w:val="0"/>
              <w:autoSpaceDE w:val="0"/>
              <w:autoSpaceDN w:val="0"/>
              <w:adjustRightInd w:val="0"/>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5)</w:t>
            </w:r>
            <w:r w:rsidR="00055095" w:rsidRPr="009C5F11">
              <w:rPr>
                <w:rFonts w:ascii="Times New Roman" w:hAnsi="Times New Roman" w:cs="Times New Roman"/>
                <w:sz w:val="18"/>
                <w:szCs w:val="14"/>
                <w:lang w:val="ro-RO"/>
              </w:rPr>
              <w:t xml:space="preserve"> </w:t>
            </w:r>
            <w:r w:rsidR="0058744F" w:rsidRPr="009C5F11">
              <w:rPr>
                <w:rFonts w:ascii="Times New Roman" w:hAnsi="Times New Roman" w:cs="Times New Roman"/>
                <w:sz w:val="18"/>
                <w:szCs w:val="14"/>
                <w:lang w:val="ro-RO"/>
              </w:rPr>
              <w:t>elaborarea şi aprobarea structurii şi formularului-standard pentru programele locale de îmbunătăţire a eficienţei energetice şi planurile locale de acţiune în domeniul eficienţei energetice</w:t>
            </w:r>
            <w:r w:rsidRPr="009C5F11">
              <w:rPr>
                <w:rFonts w:ascii="Times New Roman" w:hAnsi="Times New Roman" w:cs="Times New Roman"/>
                <w:sz w:val="18"/>
                <w:szCs w:val="14"/>
                <w:lang w:val="ro-RO"/>
              </w:rPr>
              <w:t>;</w:t>
            </w:r>
          </w:p>
          <w:p w14:paraId="2BC7A8BF" w14:textId="77777777" w:rsidR="00780B2E" w:rsidRPr="009C5F11" w:rsidRDefault="00780B2E" w:rsidP="00C807F1">
            <w:pPr>
              <w:widowControl w:val="0"/>
              <w:autoSpaceDE w:val="0"/>
              <w:autoSpaceDN w:val="0"/>
              <w:adjustRightInd w:val="0"/>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6)</w:t>
            </w:r>
            <w:r w:rsidR="0058744F" w:rsidRPr="009C5F11">
              <w:rPr>
                <w:rFonts w:ascii="Times New Roman" w:hAnsi="Times New Roman" w:cs="Times New Roman"/>
                <w:sz w:val="18"/>
                <w:szCs w:val="14"/>
                <w:lang w:val="ro-RO"/>
              </w:rPr>
              <w:t xml:space="preserve"> elaborarea şi aprobarea programele locale de îmbunătăţire a eficienţei energetice şi planurile locale de acţiune în domeniul eficienţei energetice</w:t>
            </w:r>
            <w:r w:rsidRPr="009C5F11">
              <w:rPr>
                <w:rFonts w:ascii="Times New Roman" w:hAnsi="Times New Roman" w:cs="Times New Roman"/>
                <w:sz w:val="18"/>
                <w:szCs w:val="14"/>
                <w:lang w:val="ro-RO"/>
              </w:rPr>
              <w:t>;</w:t>
            </w:r>
          </w:p>
          <w:p w14:paraId="25A164D4" w14:textId="77777777" w:rsidR="00780B2E" w:rsidRPr="009C5F11" w:rsidRDefault="00780B2E" w:rsidP="00C807F1">
            <w:pPr>
              <w:widowControl w:val="0"/>
              <w:autoSpaceDE w:val="0"/>
              <w:autoSpaceDN w:val="0"/>
              <w:adjustRightInd w:val="0"/>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7)</w:t>
            </w:r>
            <w:r w:rsidR="00055095" w:rsidRPr="009C5F11">
              <w:rPr>
                <w:rFonts w:ascii="Times New Roman" w:hAnsi="Times New Roman" w:cs="Times New Roman"/>
                <w:sz w:val="18"/>
                <w:szCs w:val="14"/>
                <w:lang w:val="ro-RO"/>
              </w:rPr>
              <w:t xml:space="preserve"> </w:t>
            </w:r>
            <w:r w:rsidR="0058744F" w:rsidRPr="009C5F11">
              <w:rPr>
                <w:rFonts w:ascii="Times New Roman" w:hAnsi="Times New Roman" w:cs="Times New Roman"/>
                <w:sz w:val="18"/>
                <w:szCs w:val="14"/>
                <w:lang w:val="ro-RO"/>
              </w:rPr>
              <w:t>elaborarea de către consiliile raionale, municipale şi UTA Găgăuzia a rapoartelor anuale în baza formularului elaborat de Agenţia pentru Eficienţa Energetică</w:t>
            </w:r>
            <w:r w:rsidRPr="009C5F11">
              <w:rPr>
                <w:rFonts w:ascii="Times New Roman" w:hAnsi="Times New Roman" w:cs="Times New Roman"/>
                <w:sz w:val="18"/>
                <w:szCs w:val="14"/>
                <w:lang w:val="ro-RO"/>
              </w:rPr>
              <w:t>;</w:t>
            </w:r>
          </w:p>
          <w:p w14:paraId="3BA5F0C2" w14:textId="77777777" w:rsidR="00780B2E" w:rsidRPr="009C5F11" w:rsidRDefault="00780B2E" w:rsidP="001A1CB6">
            <w:pPr>
              <w:spacing w:after="0" w:line="240" w:lineRule="auto"/>
              <w:rPr>
                <w:rFonts w:ascii="Times New Roman" w:eastAsia="Verdana" w:hAnsi="Times New Roman" w:cs="Times New Roman"/>
                <w:b/>
                <w:color w:val="000000"/>
                <w:sz w:val="18"/>
                <w:szCs w:val="14"/>
                <w:lang w:val="ro-RO"/>
              </w:rPr>
            </w:pPr>
            <w:r w:rsidRPr="009C5F11">
              <w:rPr>
                <w:rFonts w:ascii="Times New Roman" w:hAnsi="Times New Roman" w:cs="Times New Roman"/>
                <w:sz w:val="18"/>
                <w:szCs w:val="14"/>
                <w:lang w:val="ro-RO"/>
              </w:rPr>
              <w:t>8)</w:t>
            </w:r>
            <w:r w:rsidR="0058744F" w:rsidRPr="009C5F11">
              <w:rPr>
                <w:rFonts w:ascii="Times New Roman" w:hAnsi="Times New Roman" w:cs="Times New Roman"/>
                <w:sz w:val="18"/>
                <w:szCs w:val="14"/>
                <w:lang w:val="ro-RO"/>
              </w:rPr>
              <w:t xml:space="preserve"> elaborarea şi adoptarea planurilor de acţiuni pentru o energie durabilă pentru oraşele care au aderat la Convenţia primarilor.</w:t>
            </w:r>
          </w:p>
        </w:tc>
        <w:tc>
          <w:tcPr>
            <w:tcW w:w="617" w:type="pct"/>
            <w:gridSpan w:val="3"/>
            <w:shd w:val="clear" w:color="000000" w:fill="C5D9F1"/>
            <w:vAlign w:val="center"/>
          </w:tcPr>
          <w:p w14:paraId="681210D9" w14:textId="77777777" w:rsidR="00780B2E" w:rsidRPr="009C5F11" w:rsidRDefault="00642BDB"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Masura nu continuă</w:t>
            </w:r>
          </w:p>
        </w:tc>
      </w:tr>
      <w:tr w:rsidR="00D15B96" w:rsidRPr="009C5F11" w14:paraId="64ADF398" w14:textId="77777777" w:rsidTr="00CD5222">
        <w:trPr>
          <w:trHeight w:val="300"/>
        </w:trPr>
        <w:tc>
          <w:tcPr>
            <w:tcW w:w="424" w:type="pct"/>
            <w:shd w:val="clear" w:color="000000" w:fill="C5D9F1"/>
            <w:noWrap/>
            <w:vAlign w:val="center"/>
          </w:tcPr>
          <w:p w14:paraId="12E9C8AA"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935" w:type="pct"/>
            <w:shd w:val="clear" w:color="000000" w:fill="C5D9F1"/>
            <w:noWrap/>
            <w:vAlign w:val="center"/>
          </w:tcPr>
          <w:p w14:paraId="2DC3CECB" w14:textId="77777777" w:rsidR="00D15B96" w:rsidRPr="009C5F11" w:rsidRDefault="00D15B96" w:rsidP="001A1CB6">
            <w:pPr>
              <w:spacing w:after="0" w:line="240" w:lineRule="auto"/>
              <w:jc w:val="center"/>
              <w:rPr>
                <w:rFonts w:ascii="Times New Roman" w:eastAsia="Verdana" w:hAnsi="Times New Roman" w:cs="Times New Roman"/>
                <w:color w:val="000000"/>
                <w:sz w:val="18"/>
                <w:szCs w:val="14"/>
                <w:lang w:val="ro-RO"/>
              </w:rPr>
            </w:pPr>
          </w:p>
        </w:tc>
        <w:tc>
          <w:tcPr>
            <w:tcW w:w="321" w:type="pct"/>
            <w:shd w:val="clear" w:color="000000" w:fill="C5D9F1"/>
            <w:noWrap/>
            <w:vAlign w:val="center"/>
          </w:tcPr>
          <w:p w14:paraId="4BE0FB97" w14:textId="77777777" w:rsidR="00D15B96" w:rsidRPr="009C5F11" w:rsidRDefault="00D15B96" w:rsidP="003D3C21">
            <w:pPr>
              <w:spacing w:after="0" w:line="240" w:lineRule="auto"/>
              <w:jc w:val="center"/>
              <w:rPr>
                <w:rFonts w:ascii="Times New Roman" w:eastAsia="Verdana" w:hAnsi="Times New Roman" w:cs="Times New Roman"/>
                <w:color w:val="000000"/>
                <w:sz w:val="18"/>
                <w:szCs w:val="14"/>
                <w:lang w:val="ro-RO"/>
              </w:rPr>
            </w:pPr>
          </w:p>
        </w:tc>
        <w:tc>
          <w:tcPr>
            <w:tcW w:w="322" w:type="pct"/>
            <w:shd w:val="clear" w:color="000000" w:fill="C5D9F1"/>
            <w:vAlign w:val="center"/>
          </w:tcPr>
          <w:p w14:paraId="1120B264" w14:textId="77777777" w:rsidR="00D15B96" w:rsidRPr="009C5F11" w:rsidRDefault="00D15B96" w:rsidP="003D3C21">
            <w:pPr>
              <w:spacing w:after="0" w:line="240" w:lineRule="auto"/>
              <w:jc w:val="center"/>
              <w:rPr>
                <w:rFonts w:ascii="Times New Roman" w:eastAsia="Verdana" w:hAnsi="Times New Roman" w:cs="Times New Roman"/>
                <w:b/>
                <w:bCs/>
                <w:color w:val="000000"/>
                <w:sz w:val="18"/>
                <w:szCs w:val="14"/>
                <w:lang w:val="ro-RO"/>
              </w:rPr>
            </w:pPr>
          </w:p>
        </w:tc>
        <w:tc>
          <w:tcPr>
            <w:tcW w:w="2381" w:type="pct"/>
            <w:shd w:val="clear" w:color="000000" w:fill="C5D9F1"/>
          </w:tcPr>
          <w:p w14:paraId="2E685456" w14:textId="77777777" w:rsidR="00D15B96" w:rsidRPr="009C5F11" w:rsidRDefault="00D15B96" w:rsidP="00F364D0">
            <w:pPr>
              <w:spacing w:after="0" w:line="240" w:lineRule="auto"/>
              <w:jc w:val="right"/>
              <w:rPr>
                <w:rFonts w:ascii="Times New Roman" w:eastAsia="Verdana" w:hAnsi="Times New Roman" w:cs="Times New Roman"/>
                <w:b/>
                <w:color w:val="000000"/>
                <w:sz w:val="18"/>
                <w:szCs w:val="14"/>
                <w:lang w:val="ro-RO"/>
              </w:rPr>
            </w:pPr>
          </w:p>
        </w:tc>
        <w:tc>
          <w:tcPr>
            <w:tcW w:w="617" w:type="pct"/>
            <w:gridSpan w:val="3"/>
            <w:shd w:val="clear" w:color="000000" w:fill="C5D9F1"/>
            <w:vAlign w:val="center"/>
          </w:tcPr>
          <w:p w14:paraId="73782EF2" w14:textId="77777777" w:rsidR="00D15B96" w:rsidRPr="009C5F11" w:rsidRDefault="00D15B96" w:rsidP="00192725">
            <w:pPr>
              <w:spacing w:after="0" w:line="240" w:lineRule="auto"/>
              <w:jc w:val="center"/>
              <w:rPr>
                <w:rFonts w:ascii="Times New Roman" w:eastAsia="Verdana" w:hAnsi="Times New Roman" w:cs="Times New Roman"/>
                <w:b/>
                <w:color w:val="000000"/>
                <w:sz w:val="18"/>
                <w:szCs w:val="14"/>
                <w:lang w:val="ro-RO"/>
              </w:rPr>
            </w:pPr>
          </w:p>
        </w:tc>
      </w:tr>
      <w:tr w:rsidR="00780B2E" w:rsidRPr="009C5F11" w14:paraId="012017AF" w14:textId="77777777" w:rsidTr="00CD5222">
        <w:trPr>
          <w:trHeight w:val="300"/>
        </w:trPr>
        <w:tc>
          <w:tcPr>
            <w:tcW w:w="424" w:type="pct"/>
            <w:shd w:val="clear" w:color="000000" w:fill="C5D9F1"/>
            <w:noWrap/>
            <w:vAlign w:val="center"/>
            <w:hideMark/>
          </w:tcPr>
          <w:p w14:paraId="384E4C33"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P1</w:t>
            </w:r>
          </w:p>
          <w:p w14:paraId="2ECE2229"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35014C5F"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Art.108</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shd w:val="clear" w:color="000000" w:fill="C5D9F1"/>
            <w:noWrap/>
            <w:vAlign w:val="center"/>
            <w:hideMark/>
          </w:tcPr>
          <w:p w14:paraId="0DDBAB50" w14:textId="77777777" w:rsidR="00780B2E" w:rsidRPr="009C5F11" w:rsidRDefault="001A1CB6" w:rsidP="001A1CB6">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Îmbunătăţirea eficienţei energetice </w:t>
            </w:r>
            <w:r w:rsidR="00321CD5" w:rsidRPr="009C5F11">
              <w:rPr>
                <w:rFonts w:ascii="Times New Roman" w:eastAsia="Verdana" w:hAnsi="Times New Roman" w:cs="Times New Roman"/>
                <w:color w:val="000000"/>
                <w:sz w:val="18"/>
                <w:szCs w:val="14"/>
                <w:lang w:val="ro-RO"/>
              </w:rPr>
              <w:t xml:space="preserve">în </w:t>
            </w:r>
            <w:r w:rsidR="00210C2C" w:rsidRPr="009C5F11">
              <w:rPr>
                <w:rFonts w:ascii="Times New Roman" w:eastAsia="Verdana" w:hAnsi="Times New Roman" w:cs="Times New Roman"/>
                <w:color w:val="000000"/>
                <w:sz w:val="18"/>
                <w:szCs w:val="14"/>
                <w:lang w:val="ro-RO"/>
              </w:rPr>
              <w:t xml:space="preserve">sectorul </w:t>
            </w:r>
            <w:r w:rsidRPr="009C5F11">
              <w:rPr>
                <w:rFonts w:ascii="Times New Roman" w:eastAsia="Verdana" w:hAnsi="Times New Roman" w:cs="Times New Roman"/>
                <w:color w:val="000000"/>
                <w:sz w:val="18"/>
                <w:szCs w:val="14"/>
                <w:lang w:val="ro-RO"/>
              </w:rPr>
              <w:t>construcţiilor</w:t>
            </w:r>
            <w:r w:rsidR="00210C2C"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public</w:t>
            </w:r>
            <w:r w:rsidR="00210C2C" w:rsidRPr="009C5F11">
              <w:rPr>
                <w:rFonts w:ascii="Times New Roman" w:eastAsia="Verdana" w:hAnsi="Times New Roman" w:cs="Times New Roman"/>
                <w:color w:val="000000"/>
                <w:sz w:val="18"/>
                <w:szCs w:val="14"/>
                <w:lang w:val="ro-RO"/>
              </w:rPr>
              <w:t>e</w:t>
            </w:r>
            <w:r w:rsidR="00780B2E" w:rsidRPr="009C5F11">
              <w:rPr>
                <w:rFonts w:ascii="Times New Roman" w:eastAsia="Verdana" w:hAnsi="Times New Roman" w:cs="Times New Roman"/>
                <w:color w:val="000000"/>
                <w:sz w:val="18"/>
                <w:szCs w:val="14"/>
                <w:lang w:val="ro-RO"/>
              </w:rPr>
              <w:t xml:space="preserve"> </w:t>
            </w:r>
          </w:p>
        </w:tc>
        <w:tc>
          <w:tcPr>
            <w:tcW w:w="321" w:type="pct"/>
            <w:shd w:val="clear" w:color="000000" w:fill="C5D9F1"/>
            <w:noWrap/>
            <w:vAlign w:val="center"/>
            <w:hideMark/>
          </w:tcPr>
          <w:p w14:paraId="3F47C486" w14:textId="77777777" w:rsidR="00780B2E" w:rsidRPr="009C5F11" w:rsidRDefault="00780B2E" w:rsidP="003D3C21">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17.66</w:t>
            </w:r>
          </w:p>
        </w:tc>
        <w:tc>
          <w:tcPr>
            <w:tcW w:w="322" w:type="pct"/>
            <w:shd w:val="clear" w:color="000000" w:fill="C5D9F1"/>
            <w:vAlign w:val="center"/>
          </w:tcPr>
          <w:p w14:paraId="3F4B25D1" w14:textId="77777777" w:rsidR="00780B2E" w:rsidRPr="009C5F11" w:rsidRDefault="00780B2E" w:rsidP="003D3C21">
            <w:pPr>
              <w:spacing w:after="0" w:line="240" w:lineRule="auto"/>
              <w:jc w:val="center"/>
              <w:rPr>
                <w:rFonts w:ascii="Times New Roman" w:eastAsia="Verdana" w:hAnsi="Times New Roman" w:cs="Times New Roman"/>
                <w:b/>
                <w:bCs/>
                <w:color w:val="000000"/>
                <w:sz w:val="18"/>
                <w:szCs w:val="14"/>
                <w:lang w:val="ro-RO"/>
              </w:rPr>
            </w:pPr>
            <w:r w:rsidRPr="009C5F11">
              <w:rPr>
                <w:rFonts w:ascii="Times New Roman" w:eastAsia="Verdana" w:hAnsi="Times New Roman" w:cs="Times New Roman"/>
                <w:b/>
                <w:bCs/>
                <w:color w:val="000000"/>
                <w:sz w:val="18"/>
                <w:szCs w:val="14"/>
                <w:lang w:val="ro-RO"/>
              </w:rPr>
              <w:t>47.09</w:t>
            </w:r>
          </w:p>
        </w:tc>
        <w:tc>
          <w:tcPr>
            <w:tcW w:w="2381" w:type="pct"/>
            <w:shd w:val="clear" w:color="000000" w:fill="C5D9F1"/>
          </w:tcPr>
          <w:p w14:paraId="40F6944C" w14:textId="77777777" w:rsidR="00F364D0" w:rsidRPr="009C5F11" w:rsidRDefault="00FB4B3D" w:rsidP="00F364D0">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parţial</w:t>
            </w:r>
          </w:p>
          <w:p w14:paraId="4EA40B7D" w14:textId="77777777" w:rsidR="00F364D0" w:rsidRPr="009C5F11" w:rsidRDefault="00F364D0" w:rsidP="00F364D0">
            <w:pPr>
              <w:spacing w:after="0" w:line="240" w:lineRule="auto"/>
              <w:jc w:val="right"/>
              <w:rPr>
                <w:rFonts w:ascii="Times New Roman" w:eastAsia="Verdana" w:hAnsi="Times New Roman" w:cs="Times New Roman"/>
                <w:color w:val="000000"/>
                <w:sz w:val="18"/>
                <w:szCs w:val="14"/>
                <w:lang w:val="ro-RO"/>
              </w:rPr>
            </w:pPr>
          </w:p>
          <w:p w14:paraId="06599920" w14:textId="77777777" w:rsidR="00F364D0" w:rsidRPr="009C5F11" w:rsidRDefault="000A4CC7" w:rsidP="00F364D0">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Legea</w:t>
            </w:r>
            <w:r w:rsidR="00F364D0" w:rsidRPr="009C5F11">
              <w:rPr>
                <w:rFonts w:ascii="Times New Roman" w:eastAsia="Verdana" w:hAnsi="Times New Roman" w:cs="Times New Roman"/>
                <w:color w:val="000000"/>
                <w:sz w:val="18"/>
                <w:szCs w:val="14"/>
                <w:lang w:val="ro-RO"/>
              </w:rPr>
              <w:t xml:space="preserve"> nr. 128 </w:t>
            </w:r>
            <w:r w:rsidR="00201D7F" w:rsidRPr="009C5F11">
              <w:rPr>
                <w:rFonts w:ascii="Times New Roman" w:eastAsia="Verdana" w:hAnsi="Times New Roman" w:cs="Times New Roman"/>
                <w:color w:val="000000"/>
                <w:sz w:val="18"/>
                <w:szCs w:val="14"/>
                <w:lang w:val="ro-RO"/>
              </w:rPr>
              <w:t>privind performanţa energetică a clădirilor</w:t>
            </w:r>
            <w:r w:rsidR="00F364D0" w:rsidRPr="009C5F11">
              <w:rPr>
                <w:rFonts w:ascii="Times New Roman" w:eastAsia="Verdana" w:hAnsi="Times New Roman" w:cs="Times New Roman"/>
                <w:color w:val="000000"/>
                <w:sz w:val="18"/>
                <w:szCs w:val="14"/>
                <w:lang w:val="ro-RO"/>
              </w:rPr>
              <w:t xml:space="preserve"> </w:t>
            </w:r>
            <w:r w:rsidR="0058744F" w:rsidRPr="009C5F11">
              <w:rPr>
                <w:rFonts w:ascii="Times New Roman" w:eastAsia="Verdana" w:hAnsi="Times New Roman" w:cs="Times New Roman"/>
                <w:color w:val="000000"/>
                <w:sz w:val="18"/>
                <w:szCs w:val="14"/>
                <w:lang w:val="ro-RO"/>
              </w:rPr>
              <w:t>a fost adoptată la</w:t>
            </w:r>
            <w:r w:rsidR="00F364D0" w:rsidRPr="009C5F11">
              <w:rPr>
                <w:rFonts w:ascii="Times New Roman" w:eastAsia="Verdana" w:hAnsi="Times New Roman" w:cs="Times New Roman"/>
                <w:color w:val="000000"/>
                <w:sz w:val="18"/>
                <w:szCs w:val="14"/>
                <w:lang w:val="ro-RO"/>
              </w:rPr>
              <w:t xml:space="preserve"> 11.07.2014</w:t>
            </w:r>
            <w:r w:rsidR="00321CD5" w:rsidRPr="009C5F11">
              <w:rPr>
                <w:rFonts w:ascii="Times New Roman" w:eastAsia="Verdana" w:hAnsi="Times New Roman" w:cs="Times New Roman"/>
                <w:color w:val="000000"/>
                <w:sz w:val="18"/>
                <w:szCs w:val="14"/>
                <w:lang w:val="ro-RO"/>
              </w:rPr>
              <w:t xml:space="preserve"> şi </w:t>
            </w:r>
            <w:r w:rsidR="000C7BEC" w:rsidRPr="009C5F11">
              <w:rPr>
                <w:rFonts w:ascii="Times New Roman" w:eastAsia="Verdana" w:hAnsi="Times New Roman" w:cs="Times New Roman"/>
                <w:color w:val="000000"/>
                <w:sz w:val="18"/>
                <w:szCs w:val="14"/>
                <w:lang w:val="ro-RO"/>
              </w:rPr>
              <w:t>a intrat în vigoare la</w:t>
            </w:r>
            <w:r w:rsidR="00F364D0" w:rsidRPr="009C5F11">
              <w:rPr>
                <w:rFonts w:ascii="Times New Roman" w:eastAsia="Verdana" w:hAnsi="Times New Roman" w:cs="Times New Roman"/>
                <w:color w:val="000000"/>
                <w:sz w:val="18"/>
                <w:szCs w:val="14"/>
                <w:lang w:val="ro-RO"/>
              </w:rPr>
              <w:t xml:space="preserve"> 01.01.2015;</w:t>
            </w:r>
            <w:r w:rsidR="00F364D0" w:rsidRPr="009C5F11">
              <w:rPr>
                <w:rFonts w:ascii="Times New Roman" w:eastAsia="Verdana" w:hAnsi="Times New Roman" w:cs="Times New Roman"/>
                <w:sz w:val="18"/>
                <w:szCs w:val="14"/>
                <w:lang w:val="ro-RO"/>
              </w:rPr>
              <w:t xml:space="preserve"> </w:t>
            </w:r>
            <w:r w:rsidR="0058744F" w:rsidRPr="009C5F11">
              <w:rPr>
                <w:rFonts w:ascii="Times New Roman" w:eastAsia="Verdana" w:hAnsi="Times New Roman" w:cs="Times New Roman"/>
                <w:color w:val="000000"/>
                <w:sz w:val="18"/>
                <w:szCs w:val="14"/>
                <w:lang w:val="ro-RO"/>
              </w:rPr>
              <w:t>î</w:t>
            </w:r>
            <w:r w:rsidR="001B1A25" w:rsidRPr="009C5F11">
              <w:rPr>
                <w:rFonts w:ascii="Times New Roman" w:eastAsia="Verdana" w:hAnsi="Times New Roman" w:cs="Times New Roman"/>
                <w:color w:val="000000"/>
                <w:sz w:val="18"/>
                <w:szCs w:val="14"/>
                <w:lang w:val="ro-RO"/>
              </w:rPr>
              <w:t>n conformitate cu</w:t>
            </w:r>
            <w:r w:rsidR="00F364D0" w:rsidRPr="009C5F11">
              <w:rPr>
                <w:rFonts w:ascii="Times New Roman" w:eastAsia="Verdana" w:hAnsi="Times New Roman" w:cs="Times New Roman"/>
                <w:color w:val="000000"/>
                <w:sz w:val="18"/>
                <w:szCs w:val="14"/>
                <w:lang w:val="ro-RO"/>
              </w:rPr>
              <w:t xml:space="preserve"> </w:t>
            </w:r>
            <w:r w:rsidR="00927CD9" w:rsidRPr="009C5F11">
              <w:rPr>
                <w:rFonts w:ascii="Times New Roman" w:eastAsia="Verdana" w:hAnsi="Times New Roman" w:cs="Times New Roman"/>
                <w:color w:val="000000"/>
                <w:sz w:val="18"/>
                <w:szCs w:val="14"/>
                <w:lang w:val="ro-RO"/>
              </w:rPr>
              <w:t>Legea nr.</w:t>
            </w:r>
            <w:r w:rsidR="00F364D0" w:rsidRPr="009C5F11">
              <w:rPr>
                <w:rFonts w:ascii="Times New Roman" w:eastAsia="Verdana" w:hAnsi="Times New Roman" w:cs="Times New Roman"/>
                <w:color w:val="000000"/>
                <w:sz w:val="18"/>
                <w:szCs w:val="14"/>
                <w:lang w:val="ro-RO"/>
              </w:rPr>
              <w:t xml:space="preserve"> 128 </w:t>
            </w:r>
            <w:r w:rsidR="0058744F" w:rsidRPr="009C5F11">
              <w:rPr>
                <w:rFonts w:ascii="Times New Roman" w:eastAsia="Verdana" w:hAnsi="Times New Roman" w:cs="Times New Roman"/>
                <w:color w:val="000000"/>
                <w:sz w:val="18"/>
                <w:szCs w:val="14"/>
                <w:lang w:val="ro-RO"/>
              </w:rPr>
              <w:t>din</w:t>
            </w:r>
            <w:r w:rsidR="00F364D0" w:rsidRPr="009C5F11">
              <w:rPr>
                <w:rFonts w:ascii="Times New Roman" w:eastAsia="Verdana" w:hAnsi="Times New Roman" w:cs="Times New Roman"/>
                <w:color w:val="000000"/>
                <w:sz w:val="18"/>
                <w:szCs w:val="14"/>
                <w:lang w:val="ro-RO"/>
              </w:rPr>
              <w:t xml:space="preserve"> 11.07.2014 </w:t>
            </w:r>
            <w:r w:rsidR="00201D7F" w:rsidRPr="009C5F11">
              <w:rPr>
                <w:rFonts w:ascii="Times New Roman" w:eastAsia="Verdana" w:hAnsi="Times New Roman" w:cs="Times New Roman"/>
                <w:color w:val="000000"/>
                <w:sz w:val="18"/>
                <w:szCs w:val="14"/>
                <w:lang w:val="ro-RO"/>
              </w:rPr>
              <w:t>privind performanţa energetică a clădirilor</w:t>
            </w:r>
            <w:r w:rsidR="005D06FD" w:rsidRPr="009C5F11">
              <w:rPr>
                <w:rFonts w:ascii="Times New Roman" w:eastAsia="Verdana" w:hAnsi="Times New Roman" w:cs="Times New Roman"/>
                <w:color w:val="000000"/>
                <w:sz w:val="18"/>
                <w:szCs w:val="14"/>
                <w:lang w:val="ro-RO"/>
              </w:rPr>
              <w:t>: „</w:t>
            </w:r>
            <w:r w:rsidR="00F364D0" w:rsidRPr="009C5F11">
              <w:rPr>
                <w:rFonts w:ascii="Times New Roman" w:eastAsia="Verdana" w:hAnsi="Times New Roman" w:cs="Times New Roman"/>
                <w:color w:val="000000"/>
                <w:sz w:val="18"/>
                <w:szCs w:val="14"/>
                <w:lang w:val="ro-RO"/>
              </w:rPr>
              <w:t>…</w:t>
            </w:r>
            <w:r w:rsidR="005D06FD" w:rsidRPr="009C5F11">
              <w:rPr>
                <w:rFonts w:ascii="Times New Roman" w:eastAsia="Times New Roman" w:hAnsi="Times New Roman" w:cs="Times New Roman"/>
                <w:color w:val="000000"/>
                <w:sz w:val="18"/>
                <w:szCs w:val="14"/>
                <w:lang w:val="ro-RO"/>
              </w:rPr>
              <w:t>după 30 iunie 2019, clădirile publice noi trebuie să fie clădiri al căror consum de energie este aproape egal cu zero</w:t>
            </w:r>
            <w:r w:rsidR="005D06FD" w:rsidRPr="009C5F11">
              <w:rPr>
                <w:rFonts w:ascii="Times New Roman" w:eastAsia="Verdana" w:hAnsi="Times New Roman" w:cs="Times New Roman"/>
                <w:color w:val="000000"/>
                <w:sz w:val="18"/>
                <w:szCs w:val="14"/>
                <w:lang w:val="ro-RO"/>
              </w:rPr>
              <w:t xml:space="preserve">, şi </w:t>
            </w:r>
            <w:r w:rsidR="005D06FD" w:rsidRPr="009C5F11">
              <w:rPr>
                <w:rFonts w:ascii="Times New Roman" w:eastAsia="Times New Roman" w:hAnsi="Times New Roman" w:cs="Times New Roman"/>
                <w:color w:val="000000"/>
                <w:sz w:val="18"/>
                <w:szCs w:val="14"/>
                <w:lang w:val="ro-RO"/>
              </w:rPr>
              <w:t xml:space="preserve">după 30 </w:t>
            </w:r>
            <w:r w:rsidR="005D06FD" w:rsidRPr="009C5F11">
              <w:rPr>
                <w:rFonts w:ascii="Times New Roman" w:eastAsia="Times New Roman" w:hAnsi="Times New Roman" w:cs="Times New Roman"/>
                <w:color w:val="000000"/>
                <w:sz w:val="18"/>
                <w:szCs w:val="14"/>
                <w:lang w:val="ro-RO"/>
              </w:rPr>
              <w:lastRenderedPageBreak/>
              <w:t>iunie 2021, toate clădirile noi trebuie să fie clădiri al căror consum de energie este aproape egal cu zero</w:t>
            </w:r>
            <w:r w:rsidR="00F364D0" w:rsidRPr="009C5F11">
              <w:rPr>
                <w:rFonts w:ascii="Times New Roman" w:eastAsia="Verdana" w:hAnsi="Times New Roman" w:cs="Times New Roman"/>
                <w:color w:val="000000"/>
                <w:sz w:val="18"/>
                <w:szCs w:val="14"/>
                <w:lang w:val="ro-RO"/>
              </w:rPr>
              <w:t>.</w:t>
            </w:r>
            <w:r w:rsidR="005D06FD" w:rsidRPr="009C5F11">
              <w:rPr>
                <w:rFonts w:ascii="Times New Roman" w:eastAsia="Verdana" w:hAnsi="Times New Roman" w:cs="Times New Roman"/>
                <w:color w:val="000000"/>
                <w:sz w:val="18"/>
                <w:szCs w:val="14"/>
                <w:lang w:val="ro-RO"/>
              </w:rPr>
              <w:t>”</w:t>
            </w:r>
            <w:r w:rsidR="00F364D0" w:rsidRPr="009C5F11">
              <w:rPr>
                <w:rFonts w:ascii="Times New Roman" w:eastAsia="Verdana" w:hAnsi="Times New Roman" w:cs="Times New Roman"/>
                <w:color w:val="000000"/>
                <w:sz w:val="18"/>
                <w:szCs w:val="14"/>
                <w:lang w:val="ro-RO"/>
              </w:rPr>
              <w:t xml:space="preserve"> (art. 15(1)-(2))</w:t>
            </w:r>
            <w:r w:rsidR="0058744F" w:rsidRPr="009C5F11">
              <w:rPr>
                <w:rFonts w:ascii="Times New Roman" w:eastAsia="Verdana" w:hAnsi="Times New Roman" w:cs="Times New Roman"/>
                <w:color w:val="000000"/>
                <w:sz w:val="18"/>
                <w:szCs w:val="14"/>
                <w:lang w:val="ro-RO"/>
              </w:rPr>
              <w:t>.</w:t>
            </w:r>
          </w:p>
          <w:p w14:paraId="36540484" w14:textId="77777777" w:rsidR="00050E70" w:rsidRPr="009C5F11" w:rsidRDefault="000A4CC7" w:rsidP="00F364D0">
            <w:pPr>
              <w:spacing w:after="0" w:line="240" w:lineRule="auto"/>
              <w:rPr>
                <w:rFonts w:ascii="Times New Roman" w:eastAsia="Calibri" w:hAnsi="Times New Roman" w:cs="Times New Roman"/>
                <w:sz w:val="18"/>
                <w:szCs w:val="14"/>
                <w:lang w:val="ro-RO" w:eastAsia="sv-SE"/>
              </w:rPr>
            </w:pPr>
            <w:r w:rsidRPr="009C5F11">
              <w:rPr>
                <w:rFonts w:ascii="Times New Roman" w:eastAsia="Verdana" w:hAnsi="Times New Roman" w:cs="Times New Roman"/>
                <w:color w:val="000000"/>
                <w:sz w:val="18"/>
                <w:szCs w:val="14"/>
                <w:lang w:val="ro-RO"/>
              </w:rPr>
              <w:t>Legea</w:t>
            </w:r>
            <w:r w:rsidR="00F364D0" w:rsidRPr="009C5F11">
              <w:rPr>
                <w:rFonts w:ascii="Times New Roman" w:eastAsia="Verdana" w:hAnsi="Times New Roman" w:cs="Times New Roman"/>
                <w:color w:val="000000"/>
                <w:sz w:val="18"/>
                <w:szCs w:val="14"/>
                <w:lang w:val="ro-RO"/>
              </w:rPr>
              <w:t xml:space="preserve"> nr. 75 </w:t>
            </w:r>
            <w:r w:rsidR="005D06FD" w:rsidRPr="009C5F11">
              <w:rPr>
                <w:rFonts w:ascii="Times New Roman" w:eastAsia="Verdana" w:hAnsi="Times New Roman" w:cs="Times New Roman"/>
                <w:color w:val="000000"/>
                <w:sz w:val="18"/>
                <w:szCs w:val="14"/>
                <w:lang w:val="ro-RO"/>
              </w:rPr>
              <w:t xml:space="preserve">cu privire la locuinţe a fost adoptată la </w:t>
            </w:r>
            <w:r w:rsidR="00F364D0" w:rsidRPr="009C5F11">
              <w:rPr>
                <w:rFonts w:ascii="Times New Roman" w:eastAsia="Verdana" w:hAnsi="Times New Roman" w:cs="Times New Roman"/>
                <w:color w:val="000000"/>
                <w:sz w:val="18"/>
                <w:szCs w:val="14"/>
                <w:lang w:val="ro-RO"/>
              </w:rPr>
              <w:t>30.04.2015</w:t>
            </w:r>
            <w:r w:rsidR="00321CD5" w:rsidRPr="009C5F11">
              <w:rPr>
                <w:rFonts w:ascii="Times New Roman" w:eastAsia="Verdana" w:hAnsi="Times New Roman" w:cs="Times New Roman"/>
                <w:color w:val="000000"/>
                <w:sz w:val="18"/>
                <w:szCs w:val="14"/>
                <w:lang w:val="ro-RO"/>
              </w:rPr>
              <w:t xml:space="preserve"> şi </w:t>
            </w:r>
            <w:r w:rsidR="000C7BEC" w:rsidRPr="009C5F11">
              <w:rPr>
                <w:rFonts w:ascii="Times New Roman" w:eastAsia="Verdana" w:hAnsi="Times New Roman" w:cs="Times New Roman"/>
                <w:color w:val="000000"/>
                <w:sz w:val="18"/>
                <w:szCs w:val="14"/>
                <w:lang w:val="ro-RO"/>
              </w:rPr>
              <w:t>a intrat în vigoare la</w:t>
            </w:r>
            <w:r w:rsidR="00F364D0" w:rsidRPr="009C5F11">
              <w:rPr>
                <w:rFonts w:ascii="Times New Roman" w:eastAsia="Verdana" w:hAnsi="Times New Roman" w:cs="Times New Roman"/>
                <w:color w:val="000000"/>
                <w:sz w:val="18"/>
                <w:szCs w:val="14"/>
                <w:lang w:val="ro-RO"/>
              </w:rPr>
              <w:t xml:space="preserve"> 29.11.2015</w:t>
            </w:r>
            <w:r w:rsidR="005D06FD" w:rsidRPr="009C5F11">
              <w:rPr>
                <w:rFonts w:ascii="Times New Roman" w:eastAsia="Verdana" w:hAnsi="Times New Roman" w:cs="Times New Roman"/>
                <w:color w:val="000000"/>
                <w:sz w:val="18"/>
                <w:szCs w:val="14"/>
                <w:lang w:val="ro-RO"/>
              </w:rPr>
              <w:t>.</w:t>
            </w:r>
          </w:p>
          <w:p w14:paraId="503E1604" w14:textId="77777777" w:rsidR="00F364D0" w:rsidRPr="009C5F11" w:rsidRDefault="00F364D0" w:rsidP="00F364D0">
            <w:pPr>
              <w:spacing w:after="0" w:line="240" w:lineRule="auto"/>
              <w:rPr>
                <w:rFonts w:ascii="Times New Roman" w:eastAsia="Verdana" w:hAnsi="Times New Roman" w:cs="Times New Roman"/>
                <w:color w:val="000000"/>
                <w:sz w:val="18"/>
                <w:szCs w:val="14"/>
                <w:lang w:val="ro-RO"/>
              </w:rPr>
            </w:pPr>
          </w:p>
          <w:p w14:paraId="78DF7E07" w14:textId="77777777" w:rsidR="00780B2E" w:rsidRPr="009C5F11" w:rsidRDefault="001B1A25"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În conformitate cu</w:t>
            </w:r>
            <w:r w:rsidR="00780B2E"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raportul AEE</w:t>
            </w:r>
            <w:r w:rsidR="001E3482"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w:t>
            </w:r>
            <w:r w:rsidR="00AA0566" w:rsidRPr="009C5F11">
              <w:rPr>
                <w:rFonts w:ascii="Times New Roman" w:eastAsia="Verdana" w:hAnsi="Times New Roman" w:cs="Times New Roman"/>
                <w:color w:val="000000"/>
                <w:sz w:val="18"/>
                <w:szCs w:val="14"/>
                <w:lang w:val="ro-RO"/>
              </w:rPr>
              <w:t>MDRC</w:t>
            </w:r>
            <w:r w:rsidR="00780B2E" w:rsidRPr="009C5F11">
              <w:rPr>
                <w:rFonts w:ascii="Times New Roman" w:eastAsia="Verdana" w:hAnsi="Times New Roman" w:cs="Times New Roman"/>
                <w:color w:val="000000"/>
                <w:sz w:val="18"/>
                <w:szCs w:val="14"/>
                <w:lang w:val="ro-RO"/>
              </w:rPr>
              <w:t>),</w:t>
            </w:r>
            <w:r w:rsidR="00321CD5" w:rsidRPr="009C5F11">
              <w:rPr>
                <w:rFonts w:ascii="Times New Roman" w:eastAsia="Verdana" w:hAnsi="Times New Roman" w:cs="Times New Roman"/>
                <w:color w:val="000000"/>
                <w:sz w:val="18"/>
                <w:szCs w:val="14"/>
                <w:lang w:val="ro-RO"/>
              </w:rPr>
              <w:t xml:space="preserve"> în </w:t>
            </w:r>
            <w:r w:rsidR="00780B2E" w:rsidRPr="009C5F11">
              <w:rPr>
                <w:rFonts w:ascii="Times New Roman" w:eastAsia="Verdana" w:hAnsi="Times New Roman" w:cs="Times New Roman"/>
                <w:color w:val="000000"/>
                <w:sz w:val="18"/>
                <w:szCs w:val="14"/>
                <w:lang w:val="ro-RO"/>
              </w:rPr>
              <w:t>2013</w:t>
            </w:r>
            <w:r w:rsidR="005D06FD" w:rsidRPr="009C5F11">
              <w:rPr>
                <w:rFonts w:ascii="Times New Roman" w:eastAsia="Verdana" w:hAnsi="Times New Roman" w:cs="Times New Roman"/>
                <w:color w:val="000000"/>
                <w:sz w:val="18"/>
                <w:szCs w:val="14"/>
                <w:lang w:val="ro-RO"/>
              </w:rPr>
              <w:t xml:space="preserve"> au fost adoptate peste</w:t>
            </w:r>
            <w:r w:rsidR="00780B2E" w:rsidRPr="009C5F11">
              <w:rPr>
                <w:rFonts w:ascii="Times New Roman" w:eastAsia="Verdana" w:hAnsi="Times New Roman" w:cs="Times New Roman"/>
                <w:color w:val="000000"/>
                <w:sz w:val="18"/>
                <w:szCs w:val="14"/>
                <w:lang w:val="ro-RO"/>
              </w:rPr>
              <w:t xml:space="preserve"> 100 </w:t>
            </w:r>
            <w:r w:rsidR="005D06FD" w:rsidRPr="009C5F11">
              <w:rPr>
                <w:rFonts w:ascii="Times New Roman" w:eastAsia="Verdana" w:hAnsi="Times New Roman" w:cs="Times New Roman"/>
                <w:color w:val="000000"/>
                <w:sz w:val="18"/>
                <w:szCs w:val="14"/>
                <w:lang w:val="ro-RO"/>
              </w:rPr>
              <w:t xml:space="preserve">de </w:t>
            </w:r>
            <w:r w:rsidR="00B7349C" w:rsidRPr="009C5F11">
              <w:rPr>
                <w:rFonts w:ascii="Times New Roman" w:eastAsia="Verdana" w:hAnsi="Times New Roman" w:cs="Times New Roman"/>
                <w:color w:val="000000"/>
                <w:sz w:val="18"/>
                <w:szCs w:val="14"/>
                <w:lang w:val="ro-RO"/>
              </w:rPr>
              <w:t>standarde UE</w:t>
            </w:r>
            <w:r w:rsidR="00321CD5" w:rsidRPr="009C5F11">
              <w:rPr>
                <w:rFonts w:ascii="Times New Roman" w:eastAsia="Verdana" w:hAnsi="Times New Roman" w:cs="Times New Roman"/>
                <w:color w:val="000000"/>
                <w:sz w:val="18"/>
                <w:szCs w:val="14"/>
                <w:lang w:val="ro-RO"/>
              </w:rPr>
              <w:t xml:space="preserve"> în </w:t>
            </w:r>
            <w:r w:rsidR="005D06FD" w:rsidRPr="009C5F11">
              <w:rPr>
                <w:rFonts w:ascii="Times New Roman" w:eastAsia="Verdana" w:hAnsi="Times New Roman" w:cs="Times New Roman"/>
                <w:color w:val="000000"/>
                <w:sz w:val="18"/>
                <w:szCs w:val="14"/>
                <w:lang w:val="ro-RO"/>
              </w:rPr>
              <w:t>domeniul</w:t>
            </w:r>
            <w:r w:rsidR="00780B2E" w:rsidRPr="009C5F11">
              <w:rPr>
                <w:rFonts w:ascii="Times New Roman" w:eastAsia="Verdana" w:hAnsi="Times New Roman" w:cs="Times New Roman"/>
                <w:color w:val="000000"/>
                <w:sz w:val="18"/>
                <w:szCs w:val="14"/>
                <w:lang w:val="ro-RO"/>
              </w:rPr>
              <w:t xml:space="preserve"> </w:t>
            </w:r>
            <w:r w:rsidR="004424A0" w:rsidRPr="009C5F11">
              <w:rPr>
                <w:rFonts w:ascii="Times New Roman" w:eastAsia="Verdana" w:hAnsi="Times New Roman" w:cs="Times New Roman"/>
                <w:color w:val="000000"/>
                <w:sz w:val="18"/>
                <w:szCs w:val="14"/>
                <w:lang w:val="ro-RO"/>
              </w:rPr>
              <w:t>performanţei energetice a clădirilor</w:t>
            </w:r>
            <w:r w:rsidR="00780B2E" w:rsidRPr="009C5F11">
              <w:rPr>
                <w:rFonts w:ascii="Times New Roman" w:eastAsia="Verdana" w:hAnsi="Times New Roman" w:cs="Times New Roman"/>
                <w:color w:val="000000"/>
                <w:sz w:val="18"/>
                <w:szCs w:val="14"/>
                <w:lang w:val="ro-RO"/>
              </w:rPr>
              <w:t>.</w:t>
            </w:r>
          </w:p>
          <w:p w14:paraId="30F2C5EF" w14:textId="77777777" w:rsidR="00780B2E" w:rsidRPr="009C5F11" w:rsidRDefault="00AA0566"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MDRC</w:t>
            </w:r>
            <w:r w:rsidR="00321CD5" w:rsidRPr="009C5F11">
              <w:rPr>
                <w:rFonts w:ascii="Times New Roman" w:eastAsia="Verdana" w:hAnsi="Times New Roman" w:cs="Times New Roman"/>
                <w:color w:val="000000"/>
                <w:sz w:val="18"/>
                <w:szCs w:val="14"/>
                <w:lang w:val="ro-RO"/>
              </w:rPr>
              <w:t xml:space="preserve"> şi </w:t>
            </w:r>
            <w:r w:rsidR="006545D5" w:rsidRPr="009C5F11">
              <w:rPr>
                <w:rFonts w:ascii="Times New Roman" w:eastAsia="Verdana" w:hAnsi="Times New Roman" w:cs="Times New Roman"/>
                <w:color w:val="000000"/>
                <w:sz w:val="18"/>
                <w:szCs w:val="14"/>
                <w:lang w:val="ro-RO"/>
              </w:rPr>
              <w:t xml:space="preserve">AEE </w:t>
            </w:r>
            <w:r w:rsidR="005D06FD" w:rsidRPr="009C5F11">
              <w:rPr>
                <w:rFonts w:ascii="Times New Roman" w:eastAsia="Verdana" w:hAnsi="Times New Roman" w:cs="Times New Roman"/>
                <w:color w:val="000000"/>
                <w:sz w:val="18"/>
                <w:szCs w:val="14"/>
                <w:lang w:val="ro-RO"/>
              </w:rPr>
              <w:t>au semnat</w:t>
            </w:r>
            <w:r w:rsidR="00321CD5" w:rsidRPr="009C5F11">
              <w:rPr>
                <w:rFonts w:ascii="Times New Roman" w:eastAsia="Verdana" w:hAnsi="Times New Roman" w:cs="Times New Roman"/>
                <w:color w:val="000000"/>
                <w:sz w:val="18"/>
                <w:szCs w:val="14"/>
                <w:lang w:val="ro-RO"/>
              </w:rPr>
              <w:t xml:space="preserve"> în </w:t>
            </w:r>
            <w:r w:rsidR="006545D5" w:rsidRPr="009C5F11">
              <w:rPr>
                <w:rFonts w:ascii="Times New Roman" w:eastAsia="Verdana" w:hAnsi="Times New Roman" w:cs="Times New Roman"/>
                <w:color w:val="000000"/>
                <w:sz w:val="18"/>
                <w:szCs w:val="14"/>
                <w:lang w:val="ro-RO"/>
              </w:rPr>
              <w:t>2013</w:t>
            </w:r>
            <w:r w:rsidR="00780B2E" w:rsidRPr="009C5F11">
              <w:rPr>
                <w:rFonts w:ascii="Times New Roman" w:eastAsia="Verdana" w:hAnsi="Times New Roman" w:cs="Times New Roman"/>
                <w:color w:val="000000"/>
                <w:sz w:val="18"/>
                <w:szCs w:val="14"/>
                <w:lang w:val="ro-RO"/>
              </w:rPr>
              <w:t xml:space="preserve"> </w:t>
            </w:r>
            <w:r w:rsidR="00D160E1" w:rsidRPr="009C5F11">
              <w:rPr>
                <w:rFonts w:ascii="Times New Roman" w:eastAsia="Verdana" w:hAnsi="Times New Roman" w:cs="Times New Roman"/>
                <w:color w:val="000000"/>
                <w:sz w:val="18"/>
                <w:szCs w:val="14"/>
                <w:lang w:val="ro-RO"/>
              </w:rPr>
              <w:t>Foaia de parcurs pentru implementarea DPEC în Republica Moldova</w:t>
            </w:r>
            <w:r w:rsidR="005D06FD" w:rsidRPr="009C5F11">
              <w:rPr>
                <w:rFonts w:ascii="Times New Roman" w:eastAsia="Verdana" w:hAnsi="Times New Roman" w:cs="Times New Roman"/>
                <w:color w:val="000000"/>
                <w:sz w:val="18"/>
                <w:szCs w:val="14"/>
                <w:lang w:val="ro-RO"/>
              </w:rPr>
              <w:t xml:space="preserve">, care a fost actualizată ca urmare a adoptării </w:t>
            </w:r>
            <w:r w:rsidR="00927CD9" w:rsidRPr="009C5F11">
              <w:rPr>
                <w:rFonts w:ascii="Times New Roman" w:eastAsia="Verdana" w:hAnsi="Times New Roman" w:cs="Times New Roman"/>
                <w:color w:val="000000"/>
                <w:sz w:val="18"/>
                <w:szCs w:val="14"/>
                <w:lang w:val="ro-RO"/>
              </w:rPr>
              <w:t>Leg</w:t>
            </w:r>
            <w:r w:rsidR="005D06FD" w:rsidRPr="009C5F11">
              <w:rPr>
                <w:rFonts w:ascii="Times New Roman" w:eastAsia="Verdana" w:hAnsi="Times New Roman" w:cs="Times New Roman"/>
                <w:color w:val="000000"/>
                <w:sz w:val="18"/>
                <w:szCs w:val="14"/>
                <w:lang w:val="ro-RO"/>
              </w:rPr>
              <w:t>ii</w:t>
            </w:r>
            <w:r w:rsidR="00927CD9" w:rsidRPr="009C5F11">
              <w:rPr>
                <w:rFonts w:ascii="Times New Roman" w:eastAsia="Verdana" w:hAnsi="Times New Roman" w:cs="Times New Roman"/>
                <w:color w:val="000000"/>
                <w:sz w:val="18"/>
                <w:szCs w:val="14"/>
                <w:lang w:val="ro-RO"/>
              </w:rPr>
              <w:t xml:space="preserve"> nr.</w:t>
            </w:r>
            <w:r w:rsidR="00780B2E" w:rsidRPr="009C5F11">
              <w:rPr>
                <w:rFonts w:ascii="Times New Roman" w:eastAsia="Verdana" w:hAnsi="Times New Roman" w:cs="Times New Roman"/>
                <w:color w:val="000000"/>
                <w:sz w:val="18"/>
                <w:szCs w:val="14"/>
                <w:lang w:val="ro-RO"/>
              </w:rPr>
              <w:t xml:space="preserve"> 128 </w:t>
            </w:r>
            <w:r w:rsidR="005D06FD" w:rsidRPr="009C5F11">
              <w:rPr>
                <w:rFonts w:ascii="Times New Roman" w:eastAsia="Verdana" w:hAnsi="Times New Roman" w:cs="Times New Roman"/>
                <w:color w:val="000000"/>
                <w:sz w:val="18"/>
                <w:szCs w:val="14"/>
                <w:lang w:val="ro-RO"/>
              </w:rPr>
              <w:t>din</w:t>
            </w:r>
            <w:r w:rsidR="00780B2E" w:rsidRPr="009C5F11">
              <w:rPr>
                <w:rFonts w:ascii="Times New Roman" w:eastAsia="Verdana" w:hAnsi="Times New Roman" w:cs="Times New Roman"/>
                <w:color w:val="000000"/>
                <w:sz w:val="18"/>
                <w:szCs w:val="14"/>
                <w:lang w:val="ro-RO"/>
              </w:rPr>
              <w:t xml:space="preserve"> 11.07.2014 </w:t>
            </w:r>
            <w:r w:rsidR="00201D7F" w:rsidRPr="009C5F11">
              <w:rPr>
                <w:rFonts w:ascii="Times New Roman" w:eastAsia="Verdana" w:hAnsi="Times New Roman" w:cs="Times New Roman"/>
                <w:color w:val="000000"/>
                <w:sz w:val="18"/>
                <w:szCs w:val="14"/>
                <w:lang w:val="ro-RO"/>
              </w:rPr>
              <w:t>privind performanţa energetică a clădirilor</w:t>
            </w:r>
            <w:r w:rsidR="00780B2E" w:rsidRPr="009C5F11">
              <w:rPr>
                <w:rFonts w:ascii="Times New Roman" w:eastAsia="Verdana" w:hAnsi="Times New Roman" w:cs="Times New Roman"/>
                <w:color w:val="000000"/>
                <w:sz w:val="18"/>
                <w:szCs w:val="14"/>
                <w:lang w:val="ro-RO"/>
              </w:rPr>
              <w:t xml:space="preserve">. </w:t>
            </w:r>
          </w:p>
          <w:p w14:paraId="6CA0312C" w14:textId="77777777" w:rsidR="00280B14" w:rsidRPr="009C5F11" w:rsidRDefault="004424A0" w:rsidP="00280B14">
            <w:pPr>
              <w:spacing w:after="0" w:line="240" w:lineRule="auto"/>
              <w:rPr>
                <w:rFonts w:ascii="Times New Roman" w:eastAsia="Calibri" w:hAnsi="Times New Roman" w:cs="Times New Roman"/>
                <w:sz w:val="18"/>
                <w:szCs w:val="14"/>
                <w:lang w:val="ro-RO" w:eastAsia="sv-SE"/>
              </w:rPr>
            </w:pPr>
            <w:r w:rsidRPr="009C5F11">
              <w:rPr>
                <w:rFonts w:ascii="Times New Roman" w:eastAsia="Verdana" w:hAnsi="Times New Roman" w:cs="Times New Roman"/>
                <w:color w:val="000000"/>
                <w:sz w:val="18"/>
                <w:szCs w:val="14"/>
                <w:lang w:val="ro-RO"/>
              </w:rPr>
              <w:t>Planul de acţiun</w:t>
            </w:r>
            <w:r w:rsidR="005D06FD" w:rsidRPr="009C5F11">
              <w:rPr>
                <w:rFonts w:ascii="Times New Roman" w:eastAsia="Verdana" w:hAnsi="Times New Roman" w:cs="Times New Roman"/>
                <w:color w:val="000000"/>
                <w:sz w:val="18"/>
                <w:szCs w:val="14"/>
                <w:lang w:val="ro-RO"/>
              </w:rPr>
              <w:t xml:space="preserve">i </w:t>
            </w:r>
            <w:r w:rsidR="005D06FD" w:rsidRPr="009C5F11">
              <w:rPr>
                <w:rFonts w:ascii="Times New Roman" w:hAnsi="Times New Roman" w:cs="Times New Roman"/>
                <w:bCs/>
                <w:sz w:val="18"/>
                <w:szCs w:val="14"/>
                <w:lang w:val="ro-RO"/>
              </w:rPr>
              <w:t>privind armonizarea reglementărilor tehnice și a standardelor naționale în domeniul construcțiilor cu legislația și standardele europene pentru anii 2014-2020 a fost adoptat prin</w:t>
            </w:r>
            <w:r w:rsidR="005D06FD" w:rsidRPr="009C5F11">
              <w:rPr>
                <w:rFonts w:ascii="Times New Roman" w:eastAsia="Verdana" w:hAnsi="Times New Roman" w:cs="Times New Roman"/>
                <w:color w:val="000000"/>
                <w:sz w:val="18"/>
                <w:szCs w:val="14"/>
                <w:lang w:val="ro-RO"/>
              </w:rPr>
              <w:t xml:space="preserve"> Hotărârea Guvernului RM nr. 933 din 12.11.2014</w:t>
            </w:r>
            <w:r w:rsidR="00780B2E" w:rsidRPr="009C5F11">
              <w:rPr>
                <w:rFonts w:ascii="Times New Roman" w:eastAsia="Verdana" w:hAnsi="Times New Roman" w:cs="Times New Roman"/>
                <w:color w:val="000000"/>
                <w:sz w:val="18"/>
                <w:szCs w:val="14"/>
                <w:lang w:val="ro-RO"/>
              </w:rPr>
              <w:t xml:space="preserve">. </w:t>
            </w:r>
            <w:r w:rsidR="00E82DCB" w:rsidRPr="009C5F11">
              <w:rPr>
                <w:rFonts w:ascii="Times New Roman" w:eastAsia="Verdana" w:hAnsi="Times New Roman" w:cs="Times New Roman"/>
                <w:color w:val="000000"/>
                <w:sz w:val="18"/>
                <w:szCs w:val="14"/>
                <w:lang w:val="ro-RO"/>
              </w:rPr>
              <w:t xml:space="preserve">Autorităţile naţionale responsabile cu implementarea acestui Plan sunt MDRC, Ministerul Economiei, alte organisme de reglementare. </w:t>
            </w:r>
          </w:p>
          <w:p w14:paraId="588B4C89" w14:textId="77777777" w:rsidR="00280B14" w:rsidRPr="009C5F11" w:rsidRDefault="00280B14" w:rsidP="00280B14">
            <w:pPr>
              <w:spacing w:after="0" w:line="240" w:lineRule="auto"/>
              <w:rPr>
                <w:rFonts w:ascii="Times New Roman" w:eastAsia="Calibri" w:hAnsi="Times New Roman" w:cs="Times New Roman"/>
                <w:sz w:val="18"/>
                <w:szCs w:val="14"/>
                <w:lang w:val="ro-RO" w:eastAsia="sv-SE"/>
              </w:rPr>
            </w:pPr>
          </w:p>
          <w:p w14:paraId="7303FECE" w14:textId="77777777" w:rsidR="00280B14" w:rsidRPr="009C5F11" w:rsidRDefault="00321CD5" w:rsidP="00280B14">
            <w:pPr>
              <w:spacing w:after="0" w:line="240" w:lineRule="auto"/>
              <w:rPr>
                <w:rFonts w:ascii="Times New Roman" w:eastAsia="Calibri" w:hAnsi="Times New Roman" w:cs="Times New Roman"/>
                <w:sz w:val="18"/>
                <w:szCs w:val="14"/>
                <w:lang w:val="ro-RO" w:eastAsia="sv-SE"/>
              </w:rPr>
            </w:pPr>
            <w:r w:rsidRPr="009C5F11">
              <w:rPr>
                <w:rFonts w:ascii="Times New Roman" w:eastAsia="Calibri" w:hAnsi="Times New Roman" w:cs="Times New Roman"/>
                <w:b/>
                <w:i/>
                <w:sz w:val="18"/>
                <w:szCs w:val="14"/>
                <w:lang w:val="ro-RO" w:eastAsia="sv-SE"/>
              </w:rPr>
              <w:t>Fondul pentru Eficienţă Energetică</w:t>
            </w:r>
            <w:r w:rsidR="00280B14" w:rsidRPr="009C5F11">
              <w:rPr>
                <w:rFonts w:ascii="Times New Roman" w:eastAsia="Calibri" w:hAnsi="Times New Roman" w:cs="Times New Roman"/>
                <w:sz w:val="18"/>
                <w:szCs w:val="14"/>
                <w:lang w:val="ro-RO" w:eastAsia="sv-SE"/>
              </w:rPr>
              <w:t xml:space="preserve"> (</w:t>
            </w:r>
            <w:r w:rsidR="00AA0566" w:rsidRPr="009C5F11">
              <w:rPr>
                <w:rFonts w:ascii="Times New Roman" w:eastAsia="Calibri" w:hAnsi="Times New Roman" w:cs="Times New Roman"/>
                <w:sz w:val="18"/>
                <w:szCs w:val="14"/>
                <w:lang w:val="ro-RO" w:eastAsia="sv-SE"/>
              </w:rPr>
              <w:t>FEE</w:t>
            </w:r>
            <w:r w:rsidR="00280B14" w:rsidRPr="009C5F11">
              <w:rPr>
                <w:rFonts w:ascii="Times New Roman" w:eastAsia="Calibri" w:hAnsi="Times New Roman" w:cs="Times New Roman"/>
                <w:sz w:val="18"/>
                <w:szCs w:val="14"/>
                <w:lang w:val="ro-RO" w:eastAsia="sv-SE"/>
              </w:rPr>
              <w:t xml:space="preserve">) </w:t>
            </w:r>
            <w:r w:rsidR="000C7BEC" w:rsidRPr="009C5F11">
              <w:rPr>
                <w:rFonts w:ascii="Times New Roman" w:eastAsia="Calibri" w:hAnsi="Times New Roman" w:cs="Times New Roman"/>
                <w:sz w:val="18"/>
                <w:szCs w:val="14"/>
                <w:lang w:val="ro-RO" w:eastAsia="sv-SE"/>
              </w:rPr>
              <w:t xml:space="preserve">a început implementarea proiectelor de eficienţă energetică </w:t>
            </w:r>
            <w:r w:rsidRPr="009C5F11">
              <w:rPr>
                <w:rFonts w:ascii="Times New Roman" w:eastAsia="Calibri" w:hAnsi="Times New Roman" w:cs="Times New Roman"/>
                <w:sz w:val="18"/>
                <w:szCs w:val="14"/>
                <w:lang w:val="ro-RO" w:eastAsia="sv-SE"/>
              </w:rPr>
              <w:t xml:space="preserve">în </w:t>
            </w:r>
            <w:r w:rsidR="000C7BEC" w:rsidRPr="009C5F11">
              <w:rPr>
                <w:rFonts w:ascii="Times New Roman" w:eastAsia="Calibri" w:hAnsi="Times New Roman" w:cs="Times New Roman"/>
                <w:sz w:val="18"/>
                <w:szCs w:val="14"/>
                <w:lang w:val="ro-RO" w:eastAsia="sv-SE"/>
              </w:rPr>
              <w:t xml:space="preserve">luna </w:t>
            </w:r>
            <w:r w:rsidR="000A4CC7" w:rsidRPr="009C5F11">
              <w:rPr>
                <w:rFonts w:ascii="Times New Roman" w:eastAsia="Calibri" w:hAnsi="Times New Roman" w:cs="Times New Roman"/>
                <w:sz w:val="18"/>
                <w:szCs w:val="14"/>
                <w:lang w:val="ro-RO" w:eastAsia="sv-SE"/>
              </w:rPr>
              <w:t>martie</w:t>
            </w:r>
            <w:r w:rsidR="00280B14" w:rsidRPr="009C5F11">
              <w:rPr>
                <w:rFonts w:ascii="Times New Roman" w:eastAsia="Calibri" w:hAnsi="Times New Roman" w:cs="Times New Roman"/>
                <w:sz w:val="18"/>
                <w:szCs w:val="14"/>
                <w:lang w:val="ro-RO" w:eastAsia="sv-SE"/>
              </w:rPr>
              <w:t xml:space="preserve"> 2014. </w:t>
            </w:r>
            <w:r w:rsidR="000C7BEC" w:rsidRPr="009C5F11">
              <w:rPr>
                <w:rFonts w:ascii="Times New Roman" w:eastAsia="Calibri" w:hAnsi="Times New Roman" w:cs="Times New Roman"/>
                <w:sz w:val="18"/>
                <w:szCs w:val="14"/>
                <w:lang w:val="ro-RO" w:eastAsia="sv-SE"/>
              </w:rPr>
              <w:t xml:space="preserve">Către sfârşitul anului </w:t>
            </w:r>
            <w:r w:rsidR="00280B14" w:rsidRPr="009C5F11">
              <w:rPr>
                <w:rFonts w:ascii="Times New Roman" w:eastAsia="Calibri" w:hAnsi="Times New Roman" w:cs="Times New Roman"/>
                <w:sz w:val="18"/>
                <w:szCs w:val="14"/>
                <w:lang w:val="ro-RO" w:eastAsia="sv-SE"/>
              </w:rPr>
              <w:t xml:space="preserve">2015, </w:t>
            </w:r>
            <w:r w:rsidR="00AA0566" w:rsidRPr="009C5F11">
              <w:rPr>
                <w:rFonts w:ascii="Times New Roman" w:eastAsia="Calibri" w:hAnsi="Times New Roman" w:cs="Times New Roman"/>
                <w:sz w:val="18"/>
                <w:szCs w:val="14"/>
                <w:lang w:val="ro-RO" w:eastAsia="sv-SE"/>
              </w:rPr>
              <w:t>FEE</w:t>
            </w:r>
            <w:r w:rsidR="00280B14" w:rsidRPr="009C5F11">
              <w:rPr>
                <w:rFonts w:ascii="Times New Roman" w:eastAsia="Calibri" w:hAnsi="Times New Roman" w:cs="Times New Roman"/>
                <w:sz w:val="18"/>
                <w:szCs w:val="14"/>
                <w:lang w:val="ro-RO" w:eastAsia="sv-SE"/>
              </w:rPr>
              <w:t xml:space="preserve"> </w:t>
            </w:r>
            <w:r w:rsidR="000C7BEC" w:rsidRPr="009C5F11">
              <w:rPr>
                <w:rFonts w:ascii="Times New Roman" w:eastAsia="Calibri" w:hAnsi="Times New Roman" w:cs="Times New Roman"/>
                <w:sz w:val="18"/>
                <w:szCs w:val="14"/>
                <w:lang w:val="ro-RO" w:eastAsia="sv-SE"/>
              </w:rPr>
              <w:t xml:space="preserve">a </w:t>
            </w:r>
            <w:r w:rsidR="00280B14" w:rsidRPr="009C5F11">
              <w:rPr>
                <w:rFonts w:ascii="Times New Roman" w:eastAsia="Calibri" w:hAnsi="Times New Roman" w:cs="Times New Roman"/>
                <w:sz w:val="18"/>
                <w:szCs w:val="14"/>
                <w:lang w:val="ro-RO" w:eastAsia="sv-SE"/>
              </w:rPr>
              <w:t>alocat</w:t>
            </w:r>
            <w:r w:rsidR="000C7BEC" w:rsidRPr="009C5F11">
              <w:rPr>
                <w:rFonts w:ascii="Times New Roman" w:eastAsia="Calibri" w:hAnsi="Times New Roman" w:cs="Times New Roman"/>
                <w:sz w:val="18"/>
                <w:szCs w:val="14"/>
                <w:lang w:val="ro-RO" w:eastAsia="sv-SE"/>
              </w:rPr>
              <w:t xml:space="preserve"> circa</w:t>
            </w:r>
            <w:r w:rsidR="00280B14" w:rsidRPr="009C5F11">
              <w:rPr>
                <w:rFonts w:ascii="Times New Roman" w:eastAsia="Calibri" w:hAnsi="Times New Roman" w:cs="Times New Roman"/>
                <w:sz w:val="18"/>
                <w:szCs w:val="14"/>
                <w:lang w:val="ro-RO" w:eastAsia="sv-SE"/>
              </w:rPr>
              <w:t xml:space="preserve"> 627 </w:t>
            </w:r>
            <w:r w:rsidR="00421FA7" w:rsidRPr="009C5F11">
              <w:rPr>
                <w:rFonts w:ascii="Times New Roman" w:eastAsia="Calibri" w:hAnsi="Times New Roman" w:cs="Times New Roman"/>
                <w:sz w:val="18"/>
                <w:szCs w:val="14"/>
                <w:lang w:val="ro-RO" w:eastAsia="sv-SE"/>
              </w:rPr>
              <w:t>milioane lei</w:t>
            </w:r>
            <w:r w:rsidR="00280B14" w:rsidRPr="009C5F11">
              <w:rPr>
                <w:rFonts w:ascii="Times New Roman" w:eastAsia="Calibri" w:hAnsi="Times New Roman" w:cs="Times New Roman"/>
                <w:sz w:val="18"/>
                <w:szCs w:val="14"/>
                <w:lang w:val="ro-RO" w:eastAsia="sv-SE"/>
              </w:rPr>
              <w:t xml:space="preserve"> </w:t>
            </w:r>
            <w:r w:rsidR="000C7BEC" w:rsidRPr="009C5F11">
              <w:rPr>
                <w:rFonts w:ascii="Times New Roman" w:eastAsia="Calibri" w:hAnsi="Times New Roman" w:cs="Times New Roman"/>
                <w:sz w:val="18"/>
                <w:szCs w:val="14"/>
                <w:lang w:val="ro-RO" w:eastAsia="sv-SE"/>
              </w:rPr>
              <w:t>după cum urmează</w:t>
            </w:r>
            <w:r w:rsidR="00280B14" w:rsidRPr="009C5F11">
              <w:rPr>
                <w:rFonts w:ascii="Times New Roman" w:eastAsia="Calibri" w:hAnsi="Times New Roman" w:cs="Times New Roman"/>
                <w:sz w:val="18"/>
                <w:szCs w:val="14"/>
                <w:lang w:val="ro-RO" w:eastAsia="sv-SE"/>
              </w:rPr>
              <w:t>:</w:t>
            </w:r>
          </w:p>
          <w:p w14:paraId="7B531945" w14:textId="77777777" w:rsidR="00280B14" w:rsidRPr="009C5F11" w:rsidRDefault="00280B14" w:rsidP="00280B14">
            <w:pPr>
              <w:spacing w:after="0" w:line="240" w:lineRule="auto"/>
              <w:rPr>
                <w:rFonts w:ascii="Times New Roman" w:eastAsia="Calibri" w:hAnsi="Times New Roman" w:cs="Times New Roman"/>
                <w:sz w:val="18"/>
                <w:szCs w:val="14"/>
                <w:lang w:val="ro-RO" w:eastAsia="sv-SE"/>
              </w:rPr>
            </w:pPr>
          </w:p>
          <w:tbl>
            <w:tblPr>
              <w:tblStyle w:val="GrilTabel"/>
              <w:tblW w:w="0" w:type="auto"/>
              <w:tblLayout w:type="fixed"/>
              <w:tblLook w:val="04A0" w:firstRow="1" w:lastRow="0" w:firstColumn="1" w:lastColumn="0" w:noHBand="0" w:noVBand="1"/>
            </w:tblPr>
            <w:tblGrid>
              <w:gridCol w:w="1112"/>
              <w:gridCol w:w="1119"/>
              <w:gridCol w:w="1113"/>
              <w:gridCol w:w="745"/>
              <w:gridCol w:w="1608"/>
            </w:tblGrid>
            <w:tr w:rsidR="00280B14" w:rsidRPr="009C5F11" w14:paraId="16EF4B28" w14:textId="77777777" w:rsidTr="0010599C">
              <w:trPr>
                <w:trHeight w:hRule="exact" w:val="524"/>
              </w:trPr>
              <w:tc>
                <w:tcPr>
                  <w:tcW w:w="1112" w:type="dxa"/>
                  <w:vAlign w:val="center"/>
                </w:tcPr>
                <w:p w14:paraId="3DFD76C2" w14:textId="77777777" w:rsidR="00280B14" w:rsidRPr="009C5F11" w:rsidRDefault="0010599C" w:rsidP="00620782">
                  <w:pPr>
                    <w:framePr w:hSpace="180" w:wrap="around" w:vAnchor="text" w:hAnchor="page" w:x="1549" w:y="345"/>
                    <w:tabs>
                      <w:tab w:val="left" w:pos="296"/>
                    </w:tabs>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Apel de propuneri de proiect nr.</w:t>
                  </w:r>
                  <w:r w:rsidR="00280B14" w:rsidRPr="009C5F11">
                    <w:rPr>
                      <w:rFonts w:ascii="Times New Roman" w:eastAsia="Calibri" w:hAnsi="Times New Roman" w:cs="Times New Roman"/>
                      <w:sz w:val="16"/>
                      <w:szCs w:val="12"/>
                      <w:lang w:val="ro-RO" w:eastAsia="sv-SE"/>
                    </w:rPr>
                    <w:t>1</w:t>
                  </w:r>
                </w:p>
              </w:tc>
              <w:tc>
                <w:tcPr>
                  <w:tcW w:w="1119" w:type="dxa"/>
                  <w:vAlign w:val="center"/>
                </w:tcPr>
                <w:p w14:paraId="3FC1D2B5" w14:textId="77777777" w:rsidR="00280B14" w:rsidRPr="009C5F11" w:rsidRDefault="00421FA7"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Sectorul public</w:t>
                  </w:r>
                </w:p>
              </w:tc>
              <w:tc>
                <w:tcPr>
                  <w:tcW w:w="1113" w:type="dxa"/>
                  <w:vAlign w:val="center"/>
                </w:tcPr>
                <w:p w14:paraId="09BD489E" w14:textId="77777777" w:rsidR="00280B14" w:rsidRPr="009C5F11" w:rsidRDefault="00280B14"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 xml:space="preserve">150 </w:t>
                  </w:r>
                  <w:r w:rsidR="00421FA7" w:rsidRPr="009C5F11">
                    <w:rPr>
                      <w:rFonts w:ascii="Times New Roman" w:eastAsia="Calibri" w:hAnsi="Times New Roman" w:cs="Times New Roman"/>
                      <w:sz w:val="16"/>
                      <w:szCs w:val="12"/>
                      <w:lang w:val="ro-RO" w:eastAsia="sv-SE"/>
                    </w:rPr>
                    <w:t>milioane lei</w:t>
                  </w:r>
                </w:p>
              </w:tc>
              <w:tc>
                <w:tcPr>
                  <w:tcW w:w="745" w:type="dxa"/>
                  <w:vAlign w:val="center"/>
                </w:tcPr>
                <w:p w14:paraId="3D97873A" w14:textId="77777777" w:rsidR="00280B14" w:rsidRPr="009C5F11" w:rsidRDefault="000C7BEC"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închis</w:t>
                  </w:r>
                </w:p>
              </w:tc>
              <w:tc>
                <w:tcPr>
                  <w:tcW w:w="1608" w:type="dxa"/>
                  <w:vAlign w:val="center"/>
                </w:tcPr>
                <w:p w14:paraId="792B8DE4" w14:textId="77777777" w:rsidR="00280B14" w:rsidRPr="009C5F11" w:rsidRDefault="005D06FD"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Măsuri mixte</w:t>
                  </w:r>
                  <w:r w:rsidR="00280B14" w:rsidRPr="009C5F11">
                    <w:rPr>
                      <w:rFonts w:ascii="Times New Roman" w:eastAsia="Calibri" w:hAnsi="Times New Roman" w:cs="Times New Roman"/>
                      <w:sz w:val="16"/>
                      <w:szCs w:val="12"/>
                      <w:lang w:val="ro-RO" w:eastAsia="sv-SE"/>
                    </w:rPr>
                    <w:t xml:space="preserve">, </w:t>
                  </w:r>
                  <w:r w:rsidRPr="009C5F11">
                    <w:rPr>
                      <w:rFonts w:ascii="Times New Roman" w:eastAsia="Calibri" w:hAnsi="Times New Roman" w:cs="Times New Roman"/>
                      <w:sz w:val="16"/>
                      <w:szCs w:val="12"/>
                      <w:lang w:val="ro-RO" w:eastAsia="sv-SE"/>
                    </w:rPr>
                    <w:t>finanţare prin intermediul granturilor</w:t>
                  </w:r>
                </w:p>
              </w:tc>
            </w:tr>
            <w:tr w:rsidR="00280B14" w:rsidRPr="009C5F11" w14:paraId="72B7FD0E" w14:textId="77777777" w:rsidTr="0010599C">
              <w:trPr>
                <w:trHeight w:hRule="exact" w:val="574"/>
              </w:trPr>
              <w:tc>
                <w:tcPr>
                  <w:tcW w:w="1112" w:type="dxa"/>
                  <w:vAlign w:val="center"/>
                </w:tcPr>
                <w:p w14:paraId="75230396" w14:textId="77777777" w:rsidR="00280B14" w:rsidRPr="009C5F11" w:rsidRDefault="0010599C" w:rsidP="00620782">
                  <w:pPr>
                    <w:framePr w:hSpace="180" w:wrap="around" w:vAnchor="text" w:hAnchor="page" w:x="1549" w:y="345"/>
                    <w:tabs>
                      <w:tab w:val="left" w:pos="296"/>
                    </w:tabs>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Apel de propuneri de proiect nr.</w:t>
                  </w:r>
                  <w:r w:rsidR="00280B14" w:rsidRPr="009C5F11">
                    <w:rPr>
                      <w:rFonts w:ascii="Times New Roman" w:eastAsia="Calibri" w:hAnsi="Times New Roman" w:cs="Times New Roman"/>
                      <w:sz w:val="16"/>
                      <w:szCs w:val="12"/>
                      <w:lang w:val="ro-RO" w:eastAsia="sv-SE"/>
                    </w:rPr>
                    <w:t>3</w:t>
                  </w:r>
                </w:p>
              </w:tc>
              <w:tc>
                <w:tcPr>
                  <w:tcW w:w="1119" w:type="dxa"/>
                  <w:vAlign w:val="center"/>
                </w:tcPr>
                <w:p w14:paraId="5B4D8B53" w14:textId="77777777" w:rsidR="00280B14" w:rsidRPr="009C5F11" w:rsidRDefault="00421FA7"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Sectorul public</w:t>
                  </w:r>
                </w:p>
              </w:tc>
              <w:tc>
                <w:tcPr>
                  <w:tcW w:w="1113" w:type="dxa"/>
                  <w:vAlign w:val="center"/>
                </w:tcPr>
                <w:p w14:paraId="48E6D67A" w14:textId="77777777" w:rsidR="00280B14" w:rsidRPr="009C5F11" w:rsidRDefault="00280B14"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 xml:space="preserve">250 </w:t>
                  </w:r>
                  <w:r w:rsidR="00421FA7" w:rsidRPr="009C5F11">
                    <w:rPr>
                      <w:rFonts w:ascii="Times New Roman" w:eastAsia="Calibri" w:hAnsi="Times New Roman" w:cs="Times New Roman"/>
                      <w:sz w:val="16"/>
                      <w:szCs w:val="12"/>
                      <w:lang w:val="ro-RO" w:eastAsia="sv-SE"/>
                    </w:rPr>
                    <w:t>milioane lei</w:t>
                  </w:r>
                </w:p>
              </w:tc>
              <w:tc>
                <w:tcPr>
                  <w:tcW w:w="745" w:type="dxa"/>
                  <w:vAlign w:val="center"/>
                </w:tcPr>
                <w:p w14:paraId="5ABEF2AA" w14:textId="77777777" w:rsidR="00280B14" w:rsidRPr="009C5F11" w:rsidRDefault="000C7BEC"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închis</w:t>
                  </w:r>
                </w:p>
              </w:tc>
              <w:tc>
                <w:tcPr>
                  <w:tcW w:w="1608" w:type="dxa"/>
                  <w:vAlign w:val="center"/>
                </w:tcPr>
                <w:p w14:paraId="6A70569F" w14:textId="77777777" w:rsidR="00280B14" w:rsidRPr="009C5F11" w:rsidRDefault="001A1CB6"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Construcţii</w:t>
                  </w:r>
                  <w:r w:rsidR="005D06FD" w:rsidRPr="009C5F11">
                    <w:rPr>
                      <w:rFonts w:ascii="Times New Roman" w:eastAsia="Calibri" w:hAnsi="Times New Roman" w:cs="Times New Roman"/>
                      <w:sz w:val="16"/>
                      <w:szCs w:val="12"/>
                      <w:lang w:val="ro-RO" w:eastAsia="sv-SE"/>
                    </w:rPr>
                    <w:t xml:space="preserve"> publice</w:t>
                  </w:r>
                  <w:r w:rsidR="00280B14" w:rsidRPr="009C5F11">
                    <w:rPr>
                      <w:rFonts w:ascii="Times New Roman" w:eastAsia="Calibri" w:hAnsi="Times New Roman" w:cs="Times New Roman"/>
                      <w:sz w:val="16"/>
                      <w:szCs w:val="12"/>
                      <w:lang w:val="ro-RO" w:eastAsia="sv-SE"/>
                    </w:rPr>
                    <w:t xml:space="preserve">, </w:t>
                  </w:r>
                  <w:r w:rsidR="005D06FD" w:rsidRPr="009C5F11">
                    <w:rPr>
                      <w:rFonts w:ascii="Times New Roman" w:eastAsia="Calibri" w:hAnsi="Times New Roman" w:cs="Times New Roman"/>
                      <w:sz w:val="16"/>
                      <w:szCs w:val="12"/>
                      <w:lang w:val="ro-RO" w:eastAsia="sv-SE"/>
                    </w:rPr>
                    <w:t>finanţare prin intermediul granturilor</w:t>
                  </w:r>
                  <w:r w:rsidR="00280B14" w:rsidRPr="009C5F11">
                    <w:rPr>
                      <w:rFonts w:ascii="Times New Roman" w:eastAsia="Calibri" w:hAnsi="Times New Roman" w:cs="Times New Roman"/>
                      <w:sz w:val="16"/>
                      <w:szCs w:val="12"/>
                      <w:lang w:val="ro-RO" w:eastAsia="sv-SE"/>
                    </w:rPr>
                    <w:t xml:space="preserve"> </w:t>
                  </w:r>
                </w:p>
              </w:tc>
            </w:tr>
            <w:tr w:rsidR="00280B14" w:rsidRPr="009C5F11" w14:paraId="7ABBE5A4" w14:textId="77777777" w:rsidTr="005D06FD">
              <w:trPr>
                <w:trHeight w:hRule="exact" w:val="912"/>
              </w:trPr>
              <w:tc>
                <w:tcPr>
                  <w:tcW w:w="1112" w:type="dxa"/>
                  <w:vAlign w:val="center"/>
                </w:tcPr>
                <w:p w14:paraId="1774067D" w14:textId="77777777" w:rsidR="00280B14" w:rsidRPr="009C5F11" w:rsidRDefault="0010599C" w:rsidP="00620782">
                  <w:pPr>
                    <w:framePr w:hSpace="180" w:wrap="around" w:vAnchor="text" w:hAnchor="page" w:x="1549" w:y="345"/>
                    <w:tabs>
                      <w:tab w:val="left" w:pos="296"/>
                    </w:tabs>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Apel de propuneri de proiect nr.</w:t>
                  </w:r>
                  <w:r w:rsidR="00280B14" w:rsidRPr="009C5F11">
                    <w:rPr>
                      <w:rFonts w:ascii="Times New Roman" w:eastAsia="Calibri" w:hAnsi="Times New Roman" w:cs="Times New Roman"/>
                      <w:sz w:val="16"/>
                      <w:szCs w:val="12"/>
                      <w:lang w:val="ro-RO" w:eastAsia="sv-SE"/>
                    </w:rPr>
                    <w:t>4</w:t>
                  </w:r>
                </w:p>
              </w:tc>
              <w:tc>
                <w:tcPr>
                  <w:tcW w:w="1119" w:type="dxa"/>
                  <w:vAlign w:val="center"/>
                </w:tcPr>
                <w:p w14:paraId="59299B63" w14:textId="77777777" w:rsidR="00280B14" w:rsidRPr="009C5F11" w:rsidRDefault="005D06FD"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Sectorul privat</w:t>
                  </w:r>
                </w:p>
              </w:tc>
              <w:tc>
                <w:tcPr>
                  <w:tcW w:w="1113" w:type="dxa"/>
                  <w:vAlign w:val="center"/>
                </w:tcPr>
                <w:p w14:paraId="2C3B04BA" w14:textId="77777777" w:rsidR="00280B14" w:rsidRPr="009C5F11" w:rsidRDefault="00280B14"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 xml:space="preserve">50 </w:t>
                  </w:r>
                  <w:r w:rsidR="00421FA7" w:rsidRPr="009C5F11">
                    <w:rPr>
                      <w:rFonts w:ascii="Times New Roman" w:eastAsia="Calibri" w:hAnsi="Times New Roman" w:cs="Times New Roman"/>
                      <w:sz w:val="16"/>
                      <w:szCs w:val="12"/>
                      <w:lang w:val="ro-RO" w:eastAsia="sv-SE"/>
                    </w:rPr>
                    <w:t>milioane lei</w:t>
                  </w:r>
                </w:p>
              </w:tc>
              <w:tc>
                <w:tcPr>
                  <w:tcW w:w="745" w:type="dxa"/>
                  <w:vAlign w:val="center"/>
                </w:tcPr>
                <w:p w14:paraId="6F310C4A" w14:textId="77777777" w:rsidR="00280B14" w:rsidRPr="009C5F11" w:rsidRDefault="000C7BEC"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în derulare</w:t>
                  </w:r>
                </w:p>
              </w:tc>
              <w:tc>
                <w:tcPr>
                  <w:tcW w:w="1608" w:type="dxa"/>
                  <w:vAlign w:val="center"/>
                </w:tcPr>
                <w:p w14:paraId="47B15FFA" w14:textId="77777777" w:rsidR="00280B14" w:rsidRPr="009C5F11" w:rsidRDefault="001A1CB6"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 xml:space="preserve">Construcţii </w:t>
                  </w:r>
                  <w:r w:rsidR="005D06FD" w:rsidRPr="009C5F11">
                    <w:rPr>
                      <w:rFonts w:ascii="Times New Roman" w:eastAsia="Calibri" w:hAnsi="Times New Roman" w:cs="Times New Roman"/>
                      <w:sz w:val="16"/>
                      <w:szCs w:val="12"/>
                      <w:lang w:val="ro-RO" w:eastAsia="sv-SE"/>
                    </w:rPr>
                    <w:t>publice</w:t>
                  </w:r>
                  <w:r w:rsidR="00280B14" w:rsidRPr="009C5F11">
                    <w:rPr>
                      <w:rFonts w:ascii="Times New Roman" w:eastAsia="Calibri" w:hAnsi="Times New Roman" w:cs="Times New Roman"/>
                      <w:sz w:val="16"/>
                      <w:szCs w:val="12"/>
                      <w:lang w:val="ro-RO" w:eastAsia="sv-SE"/>
                    </w:rPr>
                    <w:t xml:space="preserve">, </w:t>
                  </w:r>
                  <w:r w:rsidR="005D06FD" w:rsidRPr="009C5F11">
                    <w:rPr>
                      <w:rFonts w:ascii="Times New Roman" w:eastAsia="Calibri" w:hAnsi="Times New Roman" w:cs="Times New Roman"/>
                      <w:sz w:val="16"/>
                      <w:szCs w:val="12"/>
                      <w:lang w:val="ro-RO" w:eastAsia="sv-SE"/>
                    </w:rPr>
                    <w:t>finanţare prin intermediul granturilor</w:t>
                  </w:r>
                  <w:r w:rsidR="00280B14" w:rsidRPr="009C5F11">
                    <w:rPr>
                      <w:rFonts w:ascii="Times New Roman" w:eastAsia="Calibri" w:hAnsi="Times New Roman" w:cs="Times New Roman"/>
                      <w:sz w:val="16"/>
                      <w:szCs w:val="12"/>
                      <w:lang w:val="ro-RO" w:eastAsia="sv-SE"/>
                    </w:rPr>
                    <w:t>/</w:t>
                  </w:r>
                  <w:r w:rsidR="005D06FD" w:rsidRPr="009C5F11">
                    <w:rPr>
                      <w:rFonts w:ascii="Times New Roman" w:eastAsia="Calibri" w:hAnsi="Times New Roman" w:cs="Times New Roman"/>
                      <w:sz w:val="16"/>
                      <w:szCs w:val="12"/>
                      <w:lang w:val="ro-RO" w:eastAsia="sv-SE"/>
                    </w:rPr>
                    <w:t>garanţiilor financiare</w:t>
                  </w:r>
                  <w:r w:rsidR="00280B14" w:rsidRPr="009C5F11">
                    <w:rPr>
                      <w:rFonts w:ascii="Times New Roman" w:eastAsia="Calibri" w:hAnsi="Times New Roman" w:cs="Times New Roman"/>
                      <w:sz w:val="16"/>
                      <w:szCs w:val="12"/>
                      <w:lang w:val="ro-RO" w:eastAsia="sv-SE"/>
                    </w:rPr>
                    <w:t xml:space="preserve"> </w:t>
                  </w:r>
                </w:p>
              </w:tc>
            </w:tr>
            <w:tr w:rsidR="00280B14" w:rsidRPr="009C5F11" w14:paraId="34368B36" w14:textId="77777777" w:rsidTr="0010599C">
              <w:trPr>
                <w:trHeight w:hRule="exact" w:val="590"/>
              </w:trPr>
              <w:tc>
                <w:tcPr>
                  <w:tcW w:w="1112" w:type="dxa"/>
                  <w:vAlign w:val="center"/>
                </w:tcPr>
                <w:p w14:paraId="1565AD08" w14:textId="77777777" w:rsidR="00280B14" w:rsidRPr="009C5F11" w:rsidRDefault="0010599C" w:rsidP="00620782">
                  <w:pPr>
                    <w:framePr w:hSpace="180" w:wrap="around" w:vAnchor="text" w:hAnchor="page" w:x="1549" w:y="345"/>
                    <w:tabs>
                      <w:tab w:val="left" w:pos="296"/>
                    </w:tabs>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Apel de propuneri de proiect nr.</w:t>
                  </w:r>
                  <w:r w:rsidR="00280B14" w:rsidRPr="009C5F11">
                    <w:rPr>
                      <w:rFonts w:ascii="Times New Roman" w:eastAsia="Calibri" w:hAnsi="Times New Roman" w:cs="Times New Roman"/>
                      <w:sz w:val="16"/>
                      <w:szCs w:val="12"/>
                      <w:lang w:val="ro-RO" w:eastAsia="sv-SE"/>
                    </w:rPr>
                    <w:t>5</w:t>
                  </w:r>
                </w:p>
              </w:tc>
              <w:tc>
                <w:tcPr>
                  <w:tcW w:w="1119" w:type="dxa"/>
                  <w:vAlign w:val="center"/>
                </w:tcPr>
                <w:p w14:paraId="78ABC779" w14:textId="77777777" w:rsidR="00280B14" w:rsidRPr="009C5F11" w:rsidRDefault="00421FA7"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Sectorul public</w:t>
                  </w:r>
                </w:p>
              </w:tc>
              <w:tc>
                <w:tcPr>
                  <w:tcW w:w="1113" w:type="dxa"/>
                  <w:vAlign w:val="center"/>
                </w:tcPr>
                <w:p w14:paraId="7110564E" w14:textId="77777777" w:rsidR="00280B14" w:rsidRPr="009C5F11" w:rsidRDefault="00280B14"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 xml:space="preserve">50 </w:t>
                  </w:r>
                  <w:r w:rsidR="00421FA7" w:rsidRPr="009C5F11">
                    <w:rPr>
                      <w:rFonts w:ascii="Times New Roman" w:eastAsia="Calibri" w:hAnsi="Times New Roman" w:cs="Times New Roman"/>
                      <w:sz w:val="16"/>
                      <w:szCs w:val="12"/>
                      <w:lang w:val="ro-RO" w:eastAsia="sv-SE"/>
                    </w:rPr>
                    <w:t>milioane lei</w:t>
                  </w:r>
                </w:p>
              </w:tc>
              <w:tc>
                <w:tcPr>
                  <w:tcW w:w="745" w:type="dxa"/>
                  <w:vAlign w:val="center"/>
                </w:tcPr>
                <w:p w14:paraId="1ACBD72A" w14:textId="77777777" w:rsidR="00280B14" w:rsidRPr="009C5F11" w:rsidRDefault="000C7BEC"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închis</w:t>
                  </w:r>
                </w:p>
              </w:tc>
              <w:tc>
                <w:tcPr>
                  <w:tcW w:w="1608" w:type="dxa"/>
                  <w:vAlign w:val="center"/>
                </w:tcPr>
                <w:p w14:paraId="190A1E3B" w14:textId="77777777" w:rsidR="00280B14" w:rsidRPr="009C5F11" w:rsidRDefault="005D06FD"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Iluminatul public stradal</w:t>
                  </w:r>
                  <w:r w:rsidR="00280B14" w:rsidRPr="009C5F11">
                    <w:rPr>
                      <w:rFonts w:ascii="Times New Roman" w:eastAsia="Calibri" w:hAnsi="Times New Roman" w:cs="Times New Roman"/>
                      <w:sz w:val="16"/>
                      <w:szCs w:val="12"/>
                      <w:lang w:val="ro-RO" w:eastAsia="sv-SE"/>
                    </w:rPr>
                    <w:t xml:space="preserve">, </w:t>
                  </w:r>
                  <w:r w:rsidRPr="009C5F11">
                    <w:rPr>
                      <w:rFonts w:ascii="Times New Roman" w:eastAsia="Calibri" w:hAnsi="Times New Roman" w:cs="Times New Roman"/>
                      <w:sz w:val="16"/>
                      <w:szCs w:val="12"/>
                      <w:lang w:val="ro-RO" w:eastAsia="sv-SE"/>
                    </w:rPr>
                    <w:t>finanţare prin intermediul granturilor</w:t>
                  </w:r>
                  <w:r w:rsidR="00280B14" w:rsidRPr="009C5F11">
                    <w:rPr>
                      <w:rFonts w:ascii="Times New Roman" w:eastAsia="Calibri" w:hAnsi="Times New Roman" w:cs="Times New Roman"/>
                      <w:sz w:val="16"/>
                      <w:szCs w:val="12"/>
                      <w:lang w:val="ro-RO" w:eastAsia="sv-SE"/>
                    </w:rPr>
                    <w:t xml:space="preserve"> </w:t>
                  </w:r>
                </w:p>
              </w:tc>
            </w:tr>
            <w:tr w:rsidR="00280B14" w:rsidRPr="009C5F11" w14:paraId="1AD44D83" w14:textId="77777777" w:rsidTr="005D06FD">
              <w:trPr>
                <w:trHeight w:hRule="exact" w:val="683"/>
              </w:trPr>
              <w:tc>
                <w:tcPr>
                  <w:tcW w:w="1112" w:type="dxa"/>
                  <w:vAlign w:val="center"/>
                </w:tcPr>
                <w:p w14:paraId="2B875EED" w14:textId="77777777" w:rsidR="00280B14" w:rsidRPr="009C5F11" w:rsidRDefault="0010599C" w:rsidP="00620782">
                  <w:pPr>
                    <w:framePr w:hSpace="180" w:wrap="around" w:vAnchor="text" w:hAnchor="page" w:x="1549" w:y="345"/>
                    <w:tabs>
                      <w:tab w:val="left" w:pos="296"/>
                    </w:tabs>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Apel de propuneri de proiect nr.</w:t>
                  </w:r>
                  <w:r w:rsidR="00280B14" w:rsidRPr="009C5F11">
                    <w:rPr>
                      <w:rFonts w:ascii="Times New Roman" w:eastAsia="Calibri" w:hAnsi="Times New Roman" w:cs="Times New Roman"/>
                      <w:sz w:val="16"/>
                      <w:szCs w:val="12"/>
                      <w:lang w:val="ro-RO" w:eastAsia="sv-SE"/>
                    </w:rPr>
                    <w:t>6</w:t>
                  </w:r>
                </w:p>
              </w:tc>
              <w:tc>
                <w:tcPr>
                  <w:tcW w:w="1119" w:type="dxa"/>
                  <w:vAlign w:val="center"/>
                </w:tcPr>
                <w:p w14:paraId="03516871" w14:textId="77777777" w:rsidR="00280B14" w:rsidRPr="009C5F11" w:rsidRDefault="005D06FD"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Sectorul privat</w:t>
                  </w:r>
                </w:p>
              </w:tc>
              <w:tc>
                <w:tcPr>
                  <w:tcW w:w="1113" w:type="dxa"/>
                  <w:vAlign w:val="center"/>
                </w:tcPr>
                <w:p w14:paraId="65206F52" w14:textId="77777777" w:rsidR="00280B14" w:rsidRPr="009C5F11" w:rsidRDefault="00280B14"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 xml:space="preserve">100 </w:t>
                  </w:r>
                  <w:r w:rsidR="00421FA7" w:rsidRPr="009C5F11">
                    <w:rPr>
                      <w:rFonts w:ascii="Times New Roman" w:eastAsia="Calibri" w:hAnsi="Times New Roman" w:cs="Times New Roman"/>
                      <w:sz w:val="16"/>
                      <w:szCs w:val="12"/>
                      <w:lang w:val="ro-RO" w:eastAsia="sv-SE"/>
                    </w:rPr>
                    <w:t>milioane lei</w:t>
                  </w:r>
                </w:p>
              </w:tc>
              <w:tc>
                <w:tcPr>
                  <w:tcW w:w="745" w:type="dxa"/>
                  <w:vAlign w:val="center"/>
                </w:tcPr>
                <w:p w14:paraId="285B8671" w14:textId="77777777" w:rsidR="00280B14" w:rsidRPr="009C5F11" w:rsidRDefault="000C7BEC"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închis</w:t>
                  </w:r>
                </w:p>
              </w:tc>
              <w:tc>
                <w:tcPr>
                  <w:tcW w:w="1608" w:type="dxa"/>
                  <w:vAlign w:val="center"/>
                </w:tcPr>
                <w:p w14:paraId="5A416BE0" w14:textId="77777777" w:rsidR="00280B14" w:rsidRPr="009C5F11" w:rsidRDefault="005D06FD"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Măsuri mixte</w:t>
                  </w:r>
                  <w:r w:rsidR="00280B14" w:rsidRPr="009C5F11">
                    <w:rPr>
                      <w:rFonts w:ascii="Times New Roman" w:eastAsia="Calibri" w:hAnsi="Times New Roman" w:cs="Times New Roman"/>
                      <w:sz w:val="16"/>
                      <w:szCs w:val="12"/>
                      <w:lang w:val="ro-RO" w:eastAsia="sv-SE"/>
                    </w:rPr>
                    <w:t xml:space="preserve">, </w:t>
                  </w:r>
                  <w:r w:rsidRPr="009C5F11">
                    <w:rPr>
                      <w:rFonts w:ascii="Times New Roman" w:eastAsia="Calibri" w:hAnsi="Times New Roman" w:cs="Times New Roman"/>
                      <w:sz w:val="16"/>
                      <w:szCs w:val="12"/>
                      <w:lang w:val="ro-RO" w:eastAsia="sv-SE"/>
                    </w:rPr>
                    <w:t>finanţare prin intermediul</w:t>
                  </w:r>
                  <w:r w:rsidR="00280B14" w:rsidRPr="009C5F11">
                    <w:rPr>
                      <w:rFonts w:ascii="Times New Roman" w:eastAsia="Calibri" w:hAnsi="Times New Roman" w:cs="Times New Roman"/>
                      <w:sz w:val="16"/>
                      <w:szCs w:val="12"/>
                      <w:lang w:val="ro-RO" w:eastAsia="sv-SE"/>
                    </w:rPr>
                    <w:t xml:space="preserve"> </w:t>
                  </w:r>
                  <w:r w:rsidRPr="009C5F11">
                    <w:rPr>
                      <w:rFonts w:ascii="Times New Roman" w:eastAsia="Calibri" w:hAnsi="Times New Roman" w:cs="Times New Roman"/>
                      <w:sz w:val="16"/>
                      <w:szCs w:val="12"/>
                      <w:lang w:val="ro-RO" w:eastAsia="sv-SE"/>
                    </w:rPr>
                    <w:t>garanţiilor financiare</w:t>
                  </w:r>
                </w:p>
              </w:tc>
            </w:tr>
            <w:tr w:rsidR="00280B14" w:rsidRPr="009C5F11" w14:paraId="50FEFE69" w14:textId="77777777" w:rsidTr="0010599C">
              <w:trPr>
                <w:trHeight w:hRule="exact" w:val="650"/>
              </w:trPr>
              <w:tc>
                <w:tcPr>
                  <w:tcW w:w="1112" w:type="dxa"/>
                  <w:vAlign w:val="center"/>
                </w:tcPr>
                <w:p w14:paraId="5DAE6BF6" w14:textId="77777777" w:rsidR="00280B14" w:rsidRPr="009C5F11" w:rsidRDefault="001A1CB6" w:rsidP="00620782">
                  <w:pPr>
                    <w:framePr w:hSpace="180" w:wrap="around" w:vAnchor="text" w:hAnchor="page" w:x="1549" w:y="345"/>
                    <w:tabs>
                      <w:tab w:val="left" w:pos="296"/>
                    </w:tabs>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Proiect-pilot în domeniul e</w:t>
                  </w:r>
                  <w:r w:rsidR="00FD5F1C" w:rsidRPr="009C5F11">
                    <w:rPr>
                      <w:rFonts w:ascii="Times New Roman" w:eastAsia="Calibri" w:hAnsi="Times New Roman" w:cs="Times New Roman"/>
                      <w:sz w:val="16"/>
                      <w:szCs w:val="12"/>
                      <w:lang w:val="ro-RO" w:eastAsia="sv-SE"/>
                    </w:rPr>
                    <w:t>ficienţ</w:t>
                  </w:r>
                  <w:r w:rsidRPr="009C5F11">
                    <w:rPr>
                      <w:rFonts w:ascii="Times New Roman" w:eastAsia="Calibri" w:hAnsi="Times New Roman" w:cs="Times New Roman"/>
                      <w:sz w:val="16"/>
                      <w:szCs w:val="12"/>
                      <w:lang w:val="ro-RO" w:eastAsia="sv-SE"/>
                    </w:rPr>
                    <w:t>ei</w:t>
                  </w:r>
                  <w:r w:rsidR="00FD5F1C" w:rsidRPr="009C5F11">
                    <w:rPr>
                      <w:rFonts w:ascii="Times New Roman" w:eastAsia="Calibri" w:hAnsi="Times New Roman" w:cs="Times New Roman"/>
                      <w:sz w:val="16"/>
                      <w:szCs w:val="12"/>
                      <w:lang w:val="ro-RO" w:eastAsia="sv-SE"/>
                    </w:rPr>
                    <w:t xml:space="preserve"> energetic</w:t>
                  </w:r>
                  <w:r w:rsidRPr="009C5F11">
                    <w:rPr>
                      <w:rFonts w:ascii="Times New Roman" w:eastAsia="Calibri" w:hAnsi="Times New Roman" w:cs="Times New Roman"/>
                      <w:sz w:val="16"/>
                      <w:szCs w:val="12"/>
                      <w:lang w:val="ro-RO" w:eastAsia="sv-SE"/>
                    </w:rPr>
                    <w:t>e</w:t>
                  </w:r>
                </w:p>
              </w:tc>
              <w:tc>
                <w:tcPr>
                  <w:tcW w:w="1119" w:type="dxa"/>
                  <w:vAlign w:val="center"/>
                </w:tcPr>
                <w:p w14:paraId="0770A040" w14:textId="77777777" w:rsidR="00280B14" w:rsidRPr="009C5F11" w:rsidRDefault="00421FA7"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Sectorul public</w:t>
                  </w:r>
                </w:p>
              </w:tc>
              <w:tc>
                <w:tcPr>
                  <w:tcW w:w="1113" w:type="dxa"/>
                  <w:vAlign w:val="center"/>
                </w:tcPr>
                <w:p w14:paraId="06C06F9A" w14:textId="77777777" w:rsidR="00280B14" w:rsidRPr="009C5F11" w:rsidRDefault="00280B14"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 xml:space="preserve">6.9 </w:t>
                  </w:r>
                  <w:r w:rsidR="00421FA7" w:rsidRPr="009C5F11">
                    <w:rPr>
                      <w:rFonts w:ascii="Times New Roman" w:eastAsia="Calibri" w:hAnsi="Times New Roman" w:cs="Times New Roman"/>
                      <w:sz w:val="16"/>
                      <w:szCs w:val="12"/>
                      <w:lang w:val="ro-RO" w:eastAsia="sv-SE"/>
                    </w:rPr>
                    <w:t>milioane lei</w:t>
                  </w:r>
                </w:p>
              </w:tc>
              <w:tc>
                <w:tcPr>
                  <w:tcW w:w="745" w:type="dxa"/>
                  <w:vAlign w:val="center"/>
                </w:tcPr>
                <w:p w14:paraId="1F860AD7" w14:textId="77777777" w:rsidR="00280B14" w:rsidRPr="009C5F11" w:rsidRDefault="000C7BEC"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închis</w:t>
                  </w:r>
                </w:p>
              </w:tc>
              <w:tc>
                <w:tcPr>
                  <w:tcW w:w="1608" w:type="dxa"/>
                  <w:vAlign w:val="center"/>
                </w:tcPr>
                <w:p w14:paraId="745A8DCE" w14:textId="77777777" w:rsidR="00280B14" w:rsidRPr="009C5F11" w:rsidRDefault="005D06FD"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Măsuri de eficienţă energetică</w:t>
                  </w:r>
                  <w:r w:rsidR="00280B14" w:rsidRPr="009C5F11">
                    <w:rPr>
                      <w:rFonts w:ascii="Times New Roman" w:eastAsia="Calibri" w:hAnsi="Times New Roman" w:cs="Times New Roman"/>
                      <w:sz w:val="16"/>
                      <w:szCs w:val="12"/>
                      <w:lang w:val="ro-RO" w:eastAsia="sv-SE"/>
                    </w:rPr>
                    <w:t xml:space="preserve">, </w:t>
                  </w:r>
                  <w:r w:rsidRPr="009C5F11">
                    <w:rPr>
                      <w:rFonts w:ascii="Times New Roman" w:eastAsia="Calibri" w:hAnsi="Times New Roman" w:cs="Times New Roman"/>
                      <w:sz w:val="16"/>
                      <w:szCs w:val="12"/>
                      <w:lang w:val="ro-RO" w:eastAsia="sv-SE"/>
                    </w:rPr>
                    <w:t>finanţare prin intermediul granturilor</w:t>
                  </w:r>
                </w:p>
              </w:tc>
            </w:tr>
            <w:tr w:rsidR="00280B14" w:rsidRPr="009C5F11" w14:paraId="28240F4F" w14:textId="77777777" w:rsidTr="005D06FD">
              <w:trPr>
                <w:trHeight w:hRule="exact" w:val="760"/>
              </w:trPr>
              <w:tc>
                <w:tcPr>
                  <w:tcW w:w="1112" w:type="dxa"/>
                  <w:vAlign w:val="center"/>
                </w:tcPr>
                <w:p w14:paraId="6172F59B" w14:textId="77777777" w:rsidR="00280B14" w:rsidRPr="009C5F11" w:rsidRDefault="00280B14" w:rsidP="00620782">
                  <w:pPr>
                    <w:framePr w:hSpace="180" w:wrap="around" w:vAnchor="text" w:hAnchor="page" w:x="1549" w:y="345"/>
                    <w:tabs>
                      <w:tab w:val="left" w:pos="296"/>
                    </w:tabs>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ESCO-Moldova</w:t>
                  </w:r>
                </w:p>
              </w:tc>
              <w:tc>
                <w:tcPr>
                  <w:tcW w:w="1119" w:type="dxa"/>
                  <w:vAlign w:val="center"/>
                </w:tcPr>
                <w:p w14:paraId="124537FE" w14:textId="77777777" w:rsidR="00280B14" w:rsidRPr="009C5F11" w:rsidRDefault="005D06FD"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Sectorul privat</w:t>
                  </w:r>
                </w:p>
              </w:tc>
              <w:tc>
                <w:tcPr>
                  <w:tcW w:w="1113" w:type="dxa"/>
                  <w:vAlign w:val="center"/>
                </w:tcPr>
                <w:p w14:paraId="0481C858" w14:textId="77777777" w:rsidR="00280B14" w:rsidRPr="009C5F11" w:rsidRDefault="00280B14"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 xml:space="preserve">20 </w:t>
                  </w:r>
                  <w:r w:rsidR="00421FA7" w:rsidRPr="009C5F11">
                    <w:rPr>
                      <w:rFonts w:ascii="Times New Roman" w:eastAsia="Calibri" w:hAnsi="Times New Roman" w:cs="Times New Roman"/>
                      <w:sz w:val="16"/>
                      <w:szCs w:val="12"/>
                      <w:lang w:val="ro-RO" w:eastAsia="sv-SE"/>
                    </w:rPr>
                    <w:t>milioane lei</w:t>
                  </w:r>
                </w:p>
              </w:tc>
              <w:tc>
                <w:tcPr>
                  <w:tcW w:w="745" w:type="dxa"/>
                  <w:vAlign w:val="center"/>
                </w:tcPr>
                <w:p w14:paraId="01EF8CDF" w14:textId="77777777" w:rsidR="00280B14" w:rsidRPr="009C5F11" w:rsidRDefault="000C7BEC"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în derulare</w:t>
                  </w:r>
                </w:p>
              </w:tc>
              <w:tc>
                <w:tcPr>
                  <w:tcW w:w="1608" w:type="dxa"/>
                  <w:vAlign w:val="center"/>
                </w:tcPr>
                <w:p w14:paraId="5DFC03A1" w14:textId="77777777" w:rsidR="00280B14" w:rsidRPr="009C5F11" w:rsidRDefault="005D06FD" w:rsidP="00620782">
                  <w:pPr>
                    <w:framePr w:hSpace="180" w:wrap="around" w:vAnchor="text" w:hAnchor="page" w:x="1549" w:y="345"/>
                    <w:tabs>
                      <w:tab w:val="left" w:pos="296"/>
                    </w:tabs>
                    <w:jc w:val="center"/>
                    <w:rPr>
                      <w:rFonts w:ascii="Times New Roman" w:eastAsia="Calibri" w:hAnsi="Times New Roman" w:cs="Times New Roman"/>
                      <w:sz w:val="16"/>
                      <w:szCs w:val="12"/>
                      <w:lang w:val="ro-RO" w:eastAsia="sv-SE"/>
                    </w:rPr>
                  </w:pPr>
                  <w:r w:rsidRPr="009C5F11">
                    <w:rPr>
                      <w:rFonts w:ascii="Times New Roman" w:eastAsia="Calibri" w:hAnsi="Times New Roman" w:cs="Times New Roman"/>
                      <w:sz w:val="16"/>
                      <w:szCs w:val="12"/>
                      <w:lang w:val="ro-RO" w:eastAsia="sv-SE"/>
                    </w:rPr>
                    <w:t>Măsuri de eficienţă energetică</w:t>
                  </w:r>
                  <w:r w:rsidR="00280B14" w:rsidRPr="009C5F11">
                    <w:rPr>
                      <w:rFonts w:ascii="Times New Roman" w:eastAsia="Calibri" w:hAnsi="Times New Roman" w:cs="Times New Roman"/>
                      <w:sz w:val="16"/>
                      <w:szCs w:val="12"/>
                      <w:lang w:val="ro-RO" w:eastAsia="sv-SE"/>
                    </w:rPr>
                    <w:t xml:space="preserve">, </w:t>
                  </w:r>
                  <w:r w:rsidRPr="009C5F11">
                    <w:rPr>
                      <w:rFonts w:ascii="Times New Roman" w:eastAsia="Calibri" w:hAnsi="Times New Roman" w:cs="Times New Roman"/>
                      <w:sz w:val="16"/>
                      <w:szCs w:val="12"/>
                      <w:lang w:val="ro-RO" w:eastAsia="sv-SE"/>
                    </w:rPr>
                    <w:t>finanţare prin intermediul granturilor</w:t>
                  </w:r>
                </w:p>
              </w:tc>
            </w:tr>
          </w:tbl>
          <w:p w14:paraId="0A6C0FB0" w14:textId="77777777" w:rsidR="00280B14" w:rsidRPr="009C5F11" w:rsidRDefault="00280B14" w:rsidP="00280B14">
            <w:pPr>
              <w:tabs>
                <w:tab w:val="left" w:pos="296"/>
              </w:tabs>
              <w:spacing w:after="0" w:line="240" w:lineRule="auto"/>
              <w:jc w:val="both"/>
              <w:rPr>
                <w:rFonts w:ascii="Times New Roman" w:eastAsia="Calibri" w:hAnsi="Times New Roman" w:cs="Times New Roman"/>
                <w:sz w:val="18"/>
                <w:szCs w:val="14"/>
                <w:lang w:val="ro-RO" w:eastAsia="sv-SE"/>
              </w:rPr>
            </w:pPr>
          </w:p>
          <w:p w14:paraId="6EA27913" w14:textId="77777777" w:rsidR="00280B14" w:rsidRPr="009C5F11" w:rsidRDefault="005D06FD" w:rsidP="00280B14">
            <w:pPr>
              <w:tabs>
                <w:tab w:val="left" w:pos="296"/>
              </w:tabs>
              <w:spacing w:after="0" w:line="240" w:lineRule="auto"/>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Numărul t</w:t>
            </w:r>
            <w:r w:rsidR="00280B14" w:rsidRPr="009C5F11">
              <w:rPr>
                <w:rFonts w:ascii="Times New Roman" w:eastAsia="Calibri" w:hAnsi="Times New Roman" w:cs="Times New Roman"/>
                <w:sz w:val="18"/>
                <w:szCs w:val="14"/>
                <w:lang w:val="ro-RO" w:eastAsia="sv-SE"/>
              </w:rPr>
              <w:t xml:space="preserve">otal </w:t>
            </w:r>
            <w:r w:rsidRPr="009C5F11">
              <w:rPr>
                <w:rFonts w:ascii="Times New Roman" w:eastAsia="Calibri" w:hAnsi="Times New Roman" w:cs="Times New Roman"/>
                <w:sz w:val="18"/>
                <w:szCs w:val="14"/>
                <w:lang w:val="ro-RO" w:eastAsia="sv-SE"/>
              </w:rPr>
              <w:t>de proiecte prezentate</w:t>
            </w:r>
            <w:r w:rsidR="00280B14" w:rsidRPr="009C5F11">
              <w:rPr>
                <w:rFonts w:ascii="Times New Roman" w:eastAsia="Calibri" w:hAnsi="Times New Roman" w:cs="Times New Roman"/>
                <w:sz w:val="18"/>
                <w:szCs w:val="14"/>
                <w:lang w:val="ro-RO" w:eastAsia="sv-SE"/>
              </w:rPr>
              <w:t xml:space="preserve">: 841. </w:t>
            </w:r>
            <w:r w:rsidR="00421FA7" w:rsidRPr="009C5F11">
              <w:rPr>
                <w:rFonts w:ascii="Times New Roman" w:eastAsia="Calibri" w:hAnsi="Times New Roman" w:cs="Times New Roman"/>
                <w:sz w:val="18"/>
                <w:szCs w:val="14"/>
                <w:lang w:val="ro-RO" w:eastAsia="sv-SE"/>
              </w:rPr>
              <w:t>Proiect</w:t>
            </w:r>
            <w:r w:rsidRPr="009C5F11">
              <w:rPr>
                <w:rFonts w:ascii="Times New Roman" w:eastAsia="Calibri" w:hAnsi="Times New Roman" w:cs="Times New Roman"/>
                <w:sz w:val="18"/>
                <w:szCs w:val="14"/>
                <w:lang w:val="ro-RO" w:eastAsia="sv-SE"/>
              </w:rPr>
              <w:t>e</w:t>
            </w:r>
            <w:r w:rsidR="00280B14" w:rsidRPr="009C5F11">
              <w:rPr>
                <w:rFonts w:ascii="Times New Roman" w:eastAsia="Calibri" w:hAnsi="Times New Roman" w:cs="Times New Roman"/>
                <w:sz w:val="18"/>
                <w:szCs w:val="14"/>
                <w:lang w:val="ro-RO" w:eastAsia="sv-SE"/>
              </w:rPr>
              <w:t xml:space="preserve"> </w:t>
            </w:r>
            <w:r w:rsidRPr="009C5F11">
              <w:rPr>
                <w:rFonts w:ascii="Times New Roman" w:eastAsia="Calibri" w:hAnsi="Times New Roman" w:cs="Times New Roman"/>
                <w:sz w:val="18"/>
                <w:szCs w:val="14"/>
                <w:lang w:val="ro-RO" w:eastAsia="sv-SE"/>
              </w:rPr>
              <w:t>aprobate pentru finanţare</w:t>
            </w:r>
            <w:r w:rsidR="00280B14" w:rsidRPr="009C5F11">
              <w:rPr>
                <w:rFonts w:ascii="Times New Roman" w:eastAsia="Calibri" w:hAnsi="Times New Roman" w:cs="Times New Roman"/>
                <w:sz w:val="18"/>
                <w:szCs w:val="14"/>
                <w:lang w:val="ro-RO" w:eastAsia="sv-SE"/>
              </w:rPr>
              <w:t xml:space="preserve">: 196. </w:t>
            </w:r>
            <w:r w:rsidRPr="009C5F11">
              <w:rPr>
                <w:rFonts w:ascii="Times New Roman" w:eastAsia="Calibri" w:hAnsi="Times New Roman" w:cs="Times New Roman"/>
                <w:sz w:val="18"/>
                <w:szCs w:val="14"/>
                <w:lang w:val="ro-RO" w:eastAsia="sv-SE"/>
              </w:rPr>
              <w:t>P</w:t>
            </w:r>
            <w:r w:rsidR="00E10BE5" w:rsidRPr="009C5F11">
              <w:rPr>
                <w:rFonts w:ascii="Times New Roman" w:eastAsia="Calibri" w:hAnsi="Times New Roman" w:cs="Times New Roman"/>
                <w:sz w:val="18"/>
                <w:szCs w:val="14"/>
                <w:lang w:val="ro-RO" w:eastAsia="sv-SE"/>
              </w:rPr>
              <w:t>roiecte</w:t>
            </w:r>
            <w:r w:rsidRPr="009C5F11">
              <w:rPr>
                <w:rFonts w:ascii="Times New Roman" w:eastAsia="Calibri" w:hAnsi="Times New Roman" w:cs="Times New Roman"/>
                <w:sz w:val="18"/>
                <w:szCs w:val="14"/>
                <w:lang w:val="ro-RO" w:eastAsia="sv-SE"/>
              </w:rPr>
              <w:t xml:space="preserve"> finalizate</w:t>
            </w:r>
            <w:r w:rsidR="00280B14" w:rsidRPr="009C5F11">
              <w:rPr>
                <w:rFonts w:ascii="Times New Roman" w:eastAsia="Calibri" w:hAnsi="Times New Roman" w:cs="Times New Roman"/>
                <w:sz w:val="18"/>
                <w:szCs w:val="14"/>
                <w:lang w:val="ro-RO" w:eastAsia="sv-SE"/>
              </w:rPr>
              <w:t xml:space="preserve">: 17. </w:t>
            </w:r>
            <w:r w:rsidRPr="009C5F11">
              <w:rPr>
                <w:rFonts w:ascii="Times New Roman" w:eastAsia="Calibri" w:hAnsi="Times New Roman" w:cs="Times New Roman"/>
                <w:sz w:val="18"/>
                <w:szCs w:val="14"/>
                <w:lang w:val="ro-RO" w:eastAsia="sv-SE"/>
              </w:rPr>
              <w:t>E</w:t>
            </w:r>
            <w:r w:rsidR="004424A0" w:rsidRPr="009C5F11">
              <w:rPr>
                <w:rFonts w:ascii="Times New Roman" w:eastAsia="Calibri" w:hAnsi="Times New Roman" w:cs="Times New Roman"/>
                <w:sz w:val="18"/>
                <w:szCs w:val="14"/>
                <w:lang w:val="ro-RO" w:eastAsia="sv-SE"/>
              </w:rPr>
              <w:t>conomii</w:t>
            </w:r>
            <w:r w:rsidRPr="009C5F11">
              <w:rPr>
                <w:rFonts w:ascii="Times New Roman" w:eastAsia="Calibri" w:hAnsi="Times New Roman" w:cs="Times New Roman"/>
                <w:sz w:val="18"/>
                <w:szCs w:val="14"/>
                <w:lang w:val="ro-RO" w:eastAsia="sv-SE"/>
              </w:rPr>
              <w:t xml:space="preserve"> </w:t>
            </w:r>
            <w:r w:rsidR="004424A0" w:rsidRPr="009C5F11">
              <w:rPr>
                <w:rFonts w:ascii="Times New Roman" w:eastAsia="Calibri" w:hAnsi="Times New Roman" w:cs="Times New Roman"/>
                <w:sz w:val="18"/>
                <w:szCs w:val="14"/>
                <w:lang w:val="ro-RO" w:eastAsia="sv-SE"/>
              </w:rPr>
              <w:t>de energie</w:t>
            </w:r>
            <w:r w:rsidR="001A1CB6" w:rsidRPr="009C5F11">
              <w:rPr>
                <w:rFonts w:ascii="Times New Roman" w:eastAsia="Calibri" w:hAnsi="Times New Roman" w:cs="Times New Roman"/>
                <w:sz w:val="18"/>
                <w:szCs w:val="14"/>
                <w:lang w:val="ro-RO" w:eastAsia="sv-SE"/>
              </w:rPr>
              <w:t xml:space="preserve">  estimate</w:t>
            </w:r>
            <w:r w:rsidR="00280B14" w:rsidRPr="009C5F11">
              <w:rPr>
                <w:rFonts w:ascii="Times New Roman" w:eastAsia="Calibri" w:hAnsi="Times New Roman" w:cs="Times New Roman"/>
                <w:sz w:val="18"/>
                <w:szCs w:val="14"/>
                <w:lang w:val="ro-RO" w:eastAsia="sv-SE"/>
              </w:rPr>
              <w:t>:</w:t>
            </w:r>
          </w:p>
          <w:p w14:paraId="6A0BB933" w14:textId="77777777" w:rsidR="00280B14" w:rsidRPr="009C5F11" w:rsidRDefault="00280B14" w:rsidP="00280B14">
            <w:pPr>
              <w:tabs>
                <w:tab w:val="left" w:pos="296"/>
              </w:tabs>
              <w:spacing w:after="0" w:line="240" w:lineRule="auto"/>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 xml:space="preserve">- </w:t>
            </w:r>
            <w:r w:rsidR="005D06FD" w:rsidRPr="009C5F11">
              <w:rPr>
                <w:rFonts w:ascii="Times New Roman" w:eastAsia="Calibri" w:hAnsi="Times New Roman" w:cs="Times New Roman"/>
                <w:sz w:val="18"/>
                <w:szCs w:val="14"/>
                <w:lang w:val="ro-RO" w:eastAsia="sv-SE"/>
              </w:rPr>
              <w:t>Apelul nr.</w:t>
            </w:r>
            <w:r w:rsidRPr="009C5F11">
              <w:rPr>
                <w:rFonts w:ascii="Times New Roman" w:eastAsia="Calibri" w:hAnsi="Times New Roman" w:cs="Times New Roman"/>
                <w:sz w:val="18"/>
                <w:szCs w:val="14"/>
                <w:lang w:val="ro-RO" w:eastAsia="sv-SE"/>
              </w:rPr>
              <w:t xml:space="preserve"> 1 (86 </w:t>
            </w:r>
            <w:r w:rsidR="00E10BE5" w:rsidRPr="009C5F11">
              <w:rPr>
                <w:rFonts w:ascii="Times New Roman" w:eastAsia="Calibri" w:hAnsi="Times New Roman" w:cs="Times New Roman"/>
                <w:sz w:val="18"/>
                <w:szCs w:val="14"/>
                <w:lang w:val="ro-RO" w:eastAsia="sv-SE"/>
              </w:rPr>
              <w:t>proiecte</w:t>
            </w:r>
            <w:r w:rsidRPr="009C5F11">
              <w:rPr>
                <w:rFonts w:ascii="Times New Roman" w:eastAsia="Calibri" w:hAnsi="Times New Roman" w:cs="Times New Roman"/>
                <w:sz w:val="18"/>
                <w:szCs w:val="14"/>
                <w:lang w:val="ro-RO" w:eastAsia="sv-SE"/>
              </w:rPr>
              <w:t xml:space="preserve">): 3.6 </w:t>
            </w:r>
            <w:r w:rsidR="00E52940" w:rsidRPr="009C5F11">
              <w:rPr>
                <w:rFonts w:ascii="Times New Roman" w:eastAsia="Calibri" w:hAnsi="Times New Roman" w:cs="Times New Roman"/>
                <w:sz w:val="18"/>
                <w:szCs w:val="14"/>
                <w:lang w:val="ro-RO" w:eastAsia="sv-SE"/>
              </w:rPr>
              <w:t>ktep</w:t>
            </w:r>
            <w:r w:rsidRPr="009C5F11">
              <w:rPr>
                <w:rFonts w:ascii="Times New Roman" w:eastAsia="Calibri" w:hAnsi="Times New Roman" w:cs="Times New Roman"/>
                <w:sz w:val="18"/>
                <w:szCs w:val="14"/>
                <w:lang w:val="ro-RO" w:eastAsia="sv-SE"/>
              </w:rPr>
              <w:t xml:space="preserve"> (8,320 </w:t>
            </w:r>
            <w:r w:rsidR="005D06FD" w:rsidRPr="009C5F11">
              <w:rPr>
                <w:rFonts w:ascii="Times New Roman" w:eastAsia="Calibri" w:hAnsi="Times New Roman" w:cs="Times New Roman"/>
                <w:sz w:val="18"/>
                <w:szCs w:val="14"/>
                <w:lang w:val="ro-RO" w:eastAsia="sv-SE"/>
              </w:rPr>
              <w:t>tone de</w:t>
            </w:r>
            <w:r w:rsidRPr="009C5F11">
              <w:rPr>
                <w:rFonts w:ascii="Times New Roman" w:eastAsia="Calibri" w:hAnsi="Times New Roman" w:cs="Times New Roman"/>
                <w:sz w:val="18"/>
                <w:szCs w:val="14"/>
                <w:lang w:val="ro-RO" w:eastAsia="sv-SE"/>
              </w:rPr>
              <w:t xml:space="preserve"> CO2),</w:t>
            </w:r>
          </w:p>
          <w:p w14:paraId="5ECCB790" w14:textId="77777777" w:rsidR="00280B14" w:rsidRPr="009C5F11" w:rsidRDefault="00280B14" w:rsidP="00280B14">
            <w:pPr>
              <w:tabs>
                <w:tab w:val="left" w:pos="296"/>
              </w:tabs>
              <w:spacing w:after="0" w:line="240" w:lineRule="auto"/>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 xml:space="preserve">- </w:t>
            </w:r>
            <w:r w:rsidR="005D06FD" w:rsidRPr="009C5F11">
              <w:rPr>
                <w:rFonts w:ascii="Times New Roman" w:eastAsia="Calibri" w:hAnsi="Times New Roman" w:cs="Times New Roman"/>
                <w:sz w:val="18"/>
                <w:szCs w:val="14"/>
                <w:lang w:val="ro-RO" w:eastAsia="sv-SE"/>
              </w:rPr>
              <w:t>Apelul nr.</w:t>
            </w:r>
            <w:r w:rsidRPr="009C5F11">
              <w:rPr>
                <w:rFonts w:ascii="Times New Roman" w:eastAsia="Calibri" w:hAnsi="Times New Roman" w:cs="Times New Roman"/>
                <w:sz w:val="18"/>
                <w:szCs w:val="14"/>
                <w:lang w:val="ro-RO" w:eastAsia="sv-SE"/>
              </w:rPr>
              <w:t xml:space="preserve"> 2 (106 </w:t>
            </w:r>
            <w:r w:rsidR="00E10BE5" w:rsidRPr="009C5F11">
              <w:rPr>
                <w:rFonts w:ascii="Times New Roman" w:eastAsia="Calibri" w:hAnsi="Times New Roman" w:cs="Times New Roman"/>
                <w:sz w:val="18"/>
                <w:szCs w:val="14"/>
                <w:lang w:val="ro-RO" w:eastAsia="sv-SE"/>
              </w:rPr>
              <w:t>proiecte</w:t>
            </w:r>
            <w:r w:rsidRPr="009C5F11">
              <w:rPr>
                <w:rFonts w:ascii="Times New Roman" w:eastAsia="Calibri" w:hAnsi="Times New Roman" w:cs="Times New Roman"/>
                <w:sz w:val="18"/>
                <w:szCs w:val="14"/>
                <w:lang w:val="ro-RO" w:eastAsia="sv-SE"/>
              </w:rPr>
              <w:t xml:space="preserve">): 4.3 </w:t>
            </w:r>
            <w:r w:rsidR="00E52940" w:rsidRPr="009C5F11">
              <w:rPr>
                <w:rFonts w:ascii="Times New Roman" w:eastAsia="Calibri" w:hAnsi="Times New Roman" w:cs="Times New Roman"/>
                <w:sz w:val="18"/>
                <w:szCs w:val="14"/>
                <w:lang w:val="ro-RO" w:eastAsia="sv-SE"/>
              </w:rPr>
              <w:t>ktep</w:t>
            </w:r>
            <w:r w:rsidRPr="009C5F11">
              <w:rPr>
                <w:rFonts w:ascii="Times New Roman" w:eastAsia="Calibri" w:hAnsi="Times New Roman" w:cs="Times New Roman"/>
                <w:sz w:val="18"/>
                <w:szCs w:val="14"/>
                <w:lang w:val="ro-RO" w:eastAsia="sv-SE"/>
              </w:rPr>
              <w:t xml:space="preserve"> (10,100 </w:t>
            </w:r>
            <w:r w:rsidR="005D06FD" w:rsidRPr="009C5F11">
              <w:rPr>
                <w:rFonts w:ascii="Times New Roman" w:eastAsia="Calibri" w:hAnsi="Times New Roman" w:cs="Times New Roman"/>
                <w:sz w:val="18"/>
                <w:szCs w:val="14"/>
                <w:lang w:val="ro-RO" w:eastAsia="sv-SE"/>
              </w:rPr>
              <w:t>tone de</w:t>
            </w:r>
            <w:r w:rsidRPr="009C5F11">
              <w:rPr>
                <w:rFonts w:ascii="Times New Roman" w:eastAsia="Calibri" w:hAnsi="Times New Roman" w:cs="Times New Roman"/>
                <w:sz w:val="18"/>
                <w:szCs w:val="14"/>
                <w:lang w:val="ro-RO" w:eastAsia="sv-SE"/>
              </w:rPr>
              <w:t xml:space="preserve"> CO2),</w:t>
            </w:r>
          </w:p>
          <w:p w14:paraId="6EAAE793" w14:textId="77777777" w:rsidR="00280B14" w:rsidRPr="009C5F11" w:rsidRDefault="00280B14" w:rsidP="00280B14">
            <w:pPr>
              <w:tabs>
                <w:tab w:val="left" w:pos="296"/>
              </w:tabs>
              <w:spacing w:after="0" w:line="240" w:lineRule="auto"/>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 xml:space="preserve">- </w:t>
            </w:r>
            <w:r w:rsidR="005D06FD" w:rsidRPr="009C5F11">
              <w:rPr>
                <w:rFonts w:ascii="Times New Roman" w:eastAsia="Calibri" w:hAnsi="Times New Roman" w:cs="Times New Roman"/>
                <w:sz w:val="18"/>
                <w:szCs w:val="14"/>
                <w:lang w:val="ro-RO" w:eastAsia="sv-SE"/>
              </w:rPr>
              <w:t>Apelul nr.</w:t>
            </w:r>
            <w:r w:rsidRPr="009C5F11">
              <w:rPr>
                <w:rFonts w:ascii="Times New Roman" w:eastAsia="Calibri" w:hAnsi="Times New Roman" w:cs="Times New Roman"/>
                <w:sz w:val="18"/>
                <w:szCs w:val="14"/>
                <w:lang w:val="ro-RO" w:eastAsia="sv-SE"/>
              </w:rPr>
              <w:t xml:space="preserve"> 5 (4 </w:t>
            </w:r>
            <w:r w:rsidR="00E10BE5" w:rsidRPr="009C5F11">
              <w:rPr>
                <w:rFonts w:ascii="Times New Roman" w:eastAsia="Calibri" w:hAnsi="Times New Roman" w:cs="Times New Roman"/>
                <w:sz w:val="18"/>
                <w:szCs w:val="14"/>
                <w:lang w:val="ro-RO" w:eastAsia="sv-SE"/>
              </w:rPr>
              <w:t>proiecte</w:t>
            </w:r>
            <w:r w:rsidRPr="009C5F11">
              <w:rPr>
                <w:rFonts w:ascii="Times New Roman" w:eastAsia="Calibri" w:hAnsi="Times New Roman" w:cs="Times New Roman"/>
                <w:sz w:val="18"/>
                <w:szCs w:val="14"/>
                <w:lang w:val="ro-RO" w:eastAsia="sv-SE"/>
              </w:rPr>
              <w:t xml:space="preserve">): 57 </w:t>
            </w:r>
            <w:r w:rsidR="00D77687" w:rsidRPr="009C5F11">
              <w:rPr>
                <w:rFonts w:ascii="Times New Roman" w:eastAsia="Calibri" w:hAnsi="Times New Roman" w:cs="Times New Roman"/>
                <w:sz w:val="18"/>
                <w:szCs w:val="14"/>
                <w:lang w:val="ro-RO" w:eastAsia="sv-SE"/>
              </w:rPr>
              <w:t>tep</w:t>
            </w:r>
            <w:r w:rsidRPr="009C5F11">
              <w:rPr>
                <w:rFonts w:ascii="Times New Roman" w:eastAsia="Calibri" w:hAnsi="Times New Roman" w:cs="Times New Roman"/>
                <w:sz w:val="18"/>
                <w:szCs w:val="14"/>
                <w:lang w:val="ro-RO" w:eastAsia="sv-SE"/>
              </w:rPr>
              <w:t xml:space="preserve"> (280 </w:t>
            </w:r>
            <w:r w:rsidR="005D06FD" w:rsidRPr="009C5F11">
              <w:rPr>
                <w:rFonts w:ascii="Times New Roman" w:eastAsia="Calibri" w:hAnsi="Times New Roman" w:cs="Times New Roman"/>
                <w:sz w:val="18"/>
                <w:szCs w:val="14"/>
                <w:lang w:val="ro-RO" w:eastAsia="sv-SE"/>
              </w:rPr>
              <w:t>tone de</w:t>
            </w:r>
            <w:r w:rsidRPr="009C5F11">
              <w:rPr>
                <w:rFonts w:ascii="Times New Roman" w:eastAsia="Calibri" w:hAnsi="Times New Roman" w:cs="Times New Roman"/>
                <w:sz w:val="18"/>
                <w:szCs w:val="14"/>
                <w:lang w:val="ro-RO" w:eastAsia="sv-SE"/>
              </w:rPr>
              <w:t xml:space="preserve"> CO2),</w:t>
            </w:r>
          </w:p>
          <w:p w14:paraId="2D82F18F" w14:textId="77777777" w:rsidR="00280B14" w:rsidRPr="009C5F11" w:rsidRDefault="001B1A25" w:rsidP="00280B14">
            <w:pPr>
              <w:tabs>
                <w:tab w:val="left" w:pos="296"/>
              </w:tabs>
              <w:spacing w:after="0" w:line="240" w:lineRule="auto"/>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În conformitate cu</w:t>
            </w:r>
            <w:r w:rsidR="00280B14" w:rsidRPr="009C5F11">
              <w:rPr>
                <w:rFonts w:ascii="Times New Roman" w:eastAsia="Calibri" w:hAnsi="Times New Roman" w:cs="Times New Roman"/>
                <w:sz w:val="18"/>
                <w:szCs w:val="14"/>
                <w:lang w:val="ro-RO" w:eastAsia="sv-SE"/>
              </w:rPr>
              <w:t xml:space="preserve"> informa</w:t>
            </w:r>
            <w:r w:rsidR="005D06FD" w:rsidRPr="009C5F11">
              <w:rPr>
                <w:rFonts w:ascii="Times New Roman" w:eastAsia="Calibri" w:hAnsi="Times New Roman" w:cs="Times New Roman"/>
                <w:sz w:val="18"/>
                <w:szCs w:val="14"/>
                <w:lang w:val="ro-RO" w:eastAsia="sv-SE"/>
              </w:rPr>
              <w:t>ţiile oferite de</w:t>
            </w:r>
            <w:r w:rsidR="00280B14" w:rsidRPr="009C5F11">
              <w:rPr>
                <w:rFonts w:ascii="Times New Roman" w:eastAsia="Calibri" w:hAnsi="Times New Roman" w:cs="Times New Roman"/>
                <w:sz w:val="18"/>
                <w:szCs w:val="14"/>
                <w:lang w:val="ro-RO" w:eastAsia="sv-SE"/>
              </w:rPr>
              <w:t xml:space="preserve"> </w:t>
            </w:r>
            <w:r w:rsidR="00AA0566" w:rsidRPr="009C5F11">
              <w:rPr>
                <w:rFonts w:ascii="Times New Roman" w:eastAsia="Calibri" w:hAnsi="Times New Roman" w:cs="Times New Roman"/>
                <w:sz w:val="18"/>
                <w:szCs w:val="14"/>
                <w:lang w:val="ro-RO" w:eastAsia="sv-SE"/>
              </w:rPr>
              <w:t>FEE</w:t>
            </w:r>
            <w:r w:rsidR="005D06FD" w:rsidRPr="009C5F11">
              <w:rPr>
                <w:rFonts w:ascii="Times New Roman" w:eastAsia="Calibri" w:hAnsi="Times New Roman" w:cs="Times New Roman"/>
                <w:sz w:val="18"/>
                <w:szCs w:val="14"/>
                <w:lang w:val="ro-RO" w:eastAsia="sv-SE"/>
              </w:rPr>
              <w:t>, la situaţia din</w:t>
            </w:r>
            <w:r w:rsidR="00280B14" w:rsidRPr="009C5F11">
              <w:rPr>
                <w:rFonts w:ascii="Times New Roman" w:eastAsia="Calibri" w:hAnsi="Times New Roman" w:cs="Times New Roman"/>
                <w:sz w:val="18"/>
                <w:szCs w:val="14"/>
                <w:lang w:val="ro-RO" w:eastAsia="sv-SE"/>
              </w:rPr>
              <w:t xml:space="preserve"> 15.02.2016, </w:t>
            </w:r>
            <w:r w:rsidR="004424A0" w:rsidRPr="009C5F11">
              <w:rPr>
                <w:rFonts w:ascii="Times New Roman" w:eastAsia="Calibri" w:hAnsi="Times New Roman" w:cs="Times New Roman"/>
                <w:sz w:val="18"/>
                <w:szCs w:val="14"/>
                <w:lang w:val="ro-RO" w:eastAsia="sv-SE"/>
              </w:rPr>
              <w:t>economii</w:t>
            </w:r>
            <w:r w:rsidR="005D06FD" w:rsidRPr="009C5F11">
              <w:rPr>
                <w:rFonts w:ascii="Times New Roman" w:eastAsia="Calibri" w:hAnsi="Times New Roman" w:cs="Times New Roman"/>
                <w:sz w:val="18"/>
                <w:szCs w:val="14"/>
                <w:lang w:val="ro-RO" w:eastAsia="sv-SE"/>
              </w:rPr>
              <w:t>le</w:t>
            </w:r>
            <w:r w:rsidR="004424A0" w:rsidRPr="009C5F11">
              <w:rPr>
                <w:rFonts w:ascii="Times New Roman" w:eastAsia="Calibri" w:hAnsi="Times New Roman" w:cs="Times New Roman"/>
                <w:sz w:val="18"/>
                <w:szCs w:val="14"/>
                <w:lang w:val="ro-RO" w:eastAsia="sv-SE"/>
              </w:rPr>
              <w:t xml:space="preserve"> de energie</w:t>
            </w:r>
            <w:r w:rsidR="00280B14" w:rsidRPr="009C5F11">
              <w:rPr>
                <w:rFonts w:ascii="Times New Roman" w:eastAsia="Calibri" w:hAnsi="Times New Roman" w:cs="Times New Roman"/>
                <w:sz w:val="18"/>
                <w:szCs w:val="14"/>
                <w:lang w:val="ro-RO" w:eastAsia="sv-SE"/>
              </w:rPr>
              <w:t xml:space="preserve"> re</w:t>
            </w:r>
            <w:r w:rsidR="005D06FD" w:rsidRPr="009C5F11">
              <w:rPr>
                <w:rFonts w:ascii="Times New Roman" w:eastAsia="Calibri" w:hAnsi="Times New Roman" w:cs="Times New Roman"/>
                <w:sz w:val="18"/>
                <w:szCs w:val="14"/>
                <w:lang w:val="ro-RO" w:eastAsia="sv-SE"/>
              </w:rPr>
              <w:t xml:space="preserve">zultante din proiectele </w:t>
            </w:r>
            <w:r w:rsidR="00610318" w:rsidRPr="009C5F11">
              <w:rPr>
                <w:rFonts w:ascii="Times New Roman" w:eastAsia="Calibri" w:hAnsi="Times New Roman" w:cs="Times New Roman"/>
                <w:sz w:val="18"/>
                <w:szCs w:val="14"/>
                <w:lang w:val="ro-RO" w:eastAsia="sv-SE"/>
              </w:rPr>
              <w:t>ESR</w:t>
            </w:r>
            <w:r w:rsidR="00280B14" w:rsidRPr="009C5F11">
              <w:rPr>
                <w:rFonts w:ascii="Times New Roman" w:eastAsia="Calibri" w:hAnsi="Times New Roman" w:cs="Times New Roman"/>
                <w:sz w:val="18"/>
                <w:szCs w:val="14"/>
                <w:lang w:val="ro-RO" w:eastAsia="sv-SE"/>
              </w:rPr>
              <w:t xml:space="preserve"> </w:t>
            </w:r>
            <w:r w:rsidR="005D06FD" w:rsidRPr="009C5F11">
              <w:rPr>
                <w:rFonts w:ascii="Times New Roman" w:eastAsia="Calibri" w:hAnsi="Times New Roman" w:cs="Times New Roman"/>
                <w:sz w:val="18"/>
                <w:szCs w:val="14"/>
                <w:lang w:val="ro-RO" w:eastAsia="sv-SE"/>
              </w:rPr>
              <w:t xml:space="preserve">realizate au constituit </w:t>
            </w:r>
            <w:r w:rsidR="00280B14" w:rsidRPr="009C5F11">
              <w:rPr>
                <w:rFonts w:ascii="Times New Roman" w:eastAsia="Calibri" w:hAnsi="Times New Roman" w:cs="Times New Roman"/>
                <w:sz w:val="18"/>
                <w:szCs w:val="14"/>
                <w:lang w:val="ro-RO" w:eastAsia="sv-SE"/>
              </w:rPr>
              <w:t xml:space="preserve">0.997 </w:t>
            </w:r>
            <w:r w:rsidR="00D77687" w:rsidRPr="009C5F11">
              <w:rPr>
                <w:rFonts w:ascii="Times New Roman" w:eastAsia="Calibri" w:hAnsi="Times New Roman" w:cs="Times New Roman"/>
                <w:sz w:val="18"/>
                <w:szCs w:val="14"/>
                <w:lang w:val="ro-RO" w:eastAsia="sv-SE"/>
              </w:rPr>
              <w:t>tep</w:t>
            </w:r>
            <w:r w:rsidR="00280B14" w:rsidRPr="009C5F11">
              <w:rPr>
                <w:rFonts w:ascii="Times New Roman" w:eastAsia="Calibri" w:hAnsi="Times New Roman" w:cs="Times New Roman"/>
                <w:sz w:val="18"/>
                <w:szCs w:val="14"/>
                <w:lang w:val="ro-RO" w:eastAsia="sv-SE"/>
              </w:rPr>
              <w:t>.</w:t>
            </w:r>
          </w:p>
          <w:p w14:paraId="1379B7DE" w14:textId="77777777" w:rsidR="00280B14" w:rsidRPr="009C5F11" w:rsidRDefault="005D06FD" w:rsidP="00CD5222">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Raportarea despre implementarea Planului se efectuează de 2 ori pe an</w:t>
            </w:r>
            <w:r w:rsidR="00780B2E" w:rsidRPr="009C5F11">
              <w:rPr>
                <w:rFonts w:ascii="Times New Roman" w:eastAsia="Verdana" w:hAnsi="Times New Roman" w:cs="Times New Roman"/>
                <w:color w:val="000000"/>
                <w:sz w:val="18"/>
                <w:szCs w:val="14"/>
                <w:lang w:val="ro-RO"/>
              </w:rPr>
              <w:t>.</w:t>
            </w:r>
          </w:p>
        </w:tc>
        <w:tc>
          <w:tcPr>
            <w:tcW w:w="617" w:type="pct"/>
            <w:gridSpan w:val="3"/>
            <w:shd w:val="clear" w:color="000000" w:fill="C5D9F1"/>
            <w:vAlign w:val="center"/>
          </w:tcPr>
          <w:p w14:paraId="3F8F8CFA"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p>
        </w:tc>
      </w:tr>
      <w:tr w:rsidR="00D15B96" w:rsidRPr="009C5F11" w14:paraId="2975C1E5" w14:textId="77777777" w:rsidTr="00CD5222">
        <w:trPr>
          <w:trHeight w:val="300"/>
        </w:trPr>
        <w:tc>
          <w:tcPr>
            <w:tcW w:w="424" w:type="pct"/>
            <w:shd w:val="clear" w:color="000000" w:fill="C5D9F1"/>
            <w:noWrap/>
            <w:vAlign w:val="center"/>
          </w:tcPr>
          <w:p w14:paraId="5DAC99BC" w14:textId="77777777" w:rsidR="00D15B96" w:rsidRPr="009C5F11" w:rsidRDefault="00D15B96" w:rsidP="00192725">
            <w:pPr>
              <w:spacing w:after="0" w:line="240" w:lineRule="auto"/>
              <w:jc w:val="center"/>
              <w:rPr>
                <w:rFonts w:ascii="Times New Roman" w:eastAsia="Verdana" w:hAnsi="Times New Roman" w:cs="Times New Roman"/>
                <w:color w:val="000000"/>
                <w:sz w:val="18"/>
                <w:szCs w:val="14"/>
                <w:lang w:val="ro-RO"/>
              </w:rPr>
            </w:pPr>
          </w:p>
        </w:tc>
        <w:tc>
          <w:tcPr>
            <w:tcW w:w="935" w:type="pct"/>
            <w:shd w:val="clear" w:color="000000" w:fill="C5D9F1"/>
            <w:noWrap/>
            <w:vAlign w:val="center"/>
          </w:tcPr>
          <w:p w14:paraId="4192AEC4" w14:textId="77777777" w:rsidR="00D15B96" w:rsidRPr="009C5F11" w:rsidRDefault="00D15B96" w:rsidP="003D3C21">
            <w:pPr>
              <w:spacing w:after="0" w:line="240" w:lineRule="auto"/>
              <w:jc w:val="center"/>
              <w:rPr>
                <w:rFonts w:ascii="Times New Roman" w:eastAsia="Verdana" w:hAnsi="Times New Roman" w:cs="Times New Roman"/>
                <w:color w:val="000000"/>
                <w:sz w:val="18"/>
                <w:szCs w:val="14"/>
                <w:lang w:val="ro-RO"/>
              </w:rPr>
            </w:pPr>
          </w:p>
        </w:tc>
        <w:tc>
          <w:tcPr>
            <w:tcW w:w="321" w:type="pct"/>
            <w:shd w:val="clear" w:color="000000" w:fill="C5D9F1"/>
            <w:noWrap/>
            <w:vAlign w:val="center"/>
          </w:tcPr>
          <w:p w14:paraId="33477D81" w14:textId="77777777" w:rsidR="00D15B96" w:rsidRPr="009C5F11" w:rsidRDefault="00D15B96" w:rsidP="003D3C21">
            <w:pPr>
              <w:spacing w:after="0" w:line="240" w:lineRule="auto"/>
              <w:jc w:val="center"/>
              <w:rPr>
                <w:rFonts w:ascii="Times New Roman" w:eastAsia="Verdana" w:hAnsi="Times New Roman" w:cs="Times New Roman"/>
                <w:color w:val="000000"/>
                <w:sz w:val="18"/>
                <w:szCs w:val="14"/>
                <w:lang w:val="ro-RO"/>
              </w:rPr>
            </w:pPr>
          </w:p>
        </w:tc>
        <w:tc>
          <w:tcPr>
            <w:tcW w:w="322" w:type="pct"/>
            <w:shd w:val="clear" w:color="000000" w:fill="C5D9F1"/>
            <w:vAlign w:val="center"/>
          </w:tcPr>
          <w:p w14:paraId="58A691B5" w14:textId="77777777" w:rsidR="00D15B96" w:rsidRPr="009C5F11" w:rsidRDefault="00D15B96" w:rsidP="003D3C21">
            <w:pPr>
              <w:spacing w:after="0" w:line="240" w:lineRule="auto"/>
              <w:jc w:val="center"/>
              <w:rPr>
                <w:rFonts w:ascii="Times New Roman" w:eastAsia="Verdana" w:hAnsi="Times New Roman" w:cs="Times New Roman"/>
                <w:b/>
                <w:bCs/>
                <w:color w:val="000000"/>
                <w:sz w:val="18"/>
                <w:szCs w:val="14"/>
                <w:lang w:val="ro-RO"/>
              </w:rPr>
            </w:pPr>
          </w:p>
        </w:tc>
        <w:tc>
          <w:tcPr>
            <w:tcW w:w="2381" w:type="pct"/>
            <w:shd w:val="clear" w:color="000000" w:fill="C5D9F1"/>
          </w:tcPr>
          <w:p w14:paraId="0930B06A" w14:textId="77777777" w:rsidR="00D15B96" w:rsidRPr="009C5F11" w:rsidRDefault="00D15B96" w:rsidP="00C807F1">
            <w:pPr>
              <w:spacing w:after="0" w:line="240" w:lineRule="auto"/>
              <w:jc w:val="right"/>
              <w:rPr>
                <w:rFonts w:ascii="Times New Roman" w:eastAsia="Verdana" w:hAnsi="Times New Roman" w:cs="Times New Roman"/>
                <w:b/>
                <w:color w:val="000000"/>
                <w:sz w:val="18"/>
                <w:szCs w:val="14"/>
                <w:lang w:val="ro-RO"/>
              </w:rPr>
            </w:pPr>
          </w:p>
        </w:tc>
        <w:tc>
          <w:tcPr>
            <w:tcW w:w="617" w:type="pct"/>
            <w:gridSpan w:val="3"/>
            <w:shd w:val="clear" w:color="000000" w:fill="C5D9F1"/>
            <w:vAlign w:val="center"/>
          </w:tcPr>
          <w:p w14:paraId="2BEC75F3" w14:textId="77777777" w:rsidR="00D15B96" w:rsidRPr="009C5F11" w:rsidRDefault="00D15B96" w:rsidP="00192725">
            <w:pPr>
              <w:spacing w:after="0" w:line="240" w:lineRule="auto"/>
              <w:jc w:val="center"/>
              <w:rPr>
                <w:rFonts w:ascii="Times New Roman" w:eastAsia="Verdana" w:hAnsi="Times New Roman" w:cs="Times New Roman"/>
                <w:b/>
                <w:color w:val="000000"/>
                <w:sz w:val="18"/>
                <w:szCs w:val="14"/>
                <w:lang w:val="ro-RO"/>
              </w:rPr>
            </w:pPr>
          </w:p>
        </w:tc>
      </w:tr>
      <w:tr w:rsidR="00780B2E" w:rsidRPr="009C5F11" w14:paraId="7D135728" w14:textId="77777777" w:rsidTr="00CD5222">
        <w:trPr>
          <w:trHeight w:val="300"/>
        </w:trPr>
        <w:tc>
          <w:tcPr>
            <w:tcW w:w="424" w:type="pct"/>
            <w:shd w:val="clear" w:color="000000" w:fill="C5D9F1"/>
            <w:noWrap/>
            <w:vAlign w:val="center"/>
            <w:hideMark/>
          </w:tcPr>
          <w:p w14:paraId="47394547"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P2</w:t>
            </w:r>
          </w:p>
          <w:p w14:paraId="7B23912D"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1E857598"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Art.109</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tc>
        <w:tc>
          <w:tcPr>
            <w:tcW w:w="935" w:type="pct"/>
            <w:shd w:val="clear" w:color="000000" w:fill="C5D9F1"/>
            <w:noWrap/>
            <w:vAlign w:val="center"/>
            <w:hideMark/>
          </w:tcPr>
          <w:p w14:paraId="00FD00A5" w14:textId="77777777" w:rsidR="00780B2E" w:rsidRPr="009C5F11" w:rsidRDefault="00BD0963" w:rsidP="003D3C21">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Eficientizarea energetică a iluminatului</w:t>
            </w:r>
            <w:r w:rsidR="00FD5F1C" w:rsidRPr="009C5F11">
              <w:rPr>
                <w:rFonts w:ascii="Times New Roman" w:eastAsia="Verdana" w:hAnsi="Times New Roman" w:cs="Times New Roman"/>
                <w:color w:val="000000"/>
                <w:sz w:val="18"/>
                <w:szCs w:val="14"/>
                <w:lang w:val="ro-RO"/>
              </w:rPr>
              <w:t xml:space="preserve"> public stradal</w:t>
            </w:r>
          </w:p>
        </w:tc>
        <w:tc>
          <w:tcPr>
            <w:tcW w:w="321" w:type="pct"/>
            <w:shd w:val="clear" w:color="000000" w:fill="C5D9F1"/>
            <w:noWrap/>
            <w:vAlign w:val="center"/>
            <w:hideMark/>
          </w:tcPr>
          <w:p w14:paraId="050E64CE" w14:textId="77777777" w:rsidR="00780B2E" w:rsidRPr="009C5F11" w:rsidRDefault="00780B2E" w:rsidP="003D3C21">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0.28</w:t>
            </w:r>
          </w:p>
        </w:tc>
        <w:tc>
          <w:tcPr>
            <w:tcW w:w="322" w:type="pct"/>
            <w:shd w:val="clear" w:color="000000" w:fill="C5D9F1"/>
            <w:vAlign w:val="center"/>
          </w:tcPr>
          <w:p w14:paraId="143DE26B" w14:textId="77777777" w:rsidR="00780B2E" w:rsidRPr="009C5F11" w:rsidRDefault="00780B2E" w:rsidP="003D3C21">
            <w:pPr>
              <w:spacing w:after="0" w:line="240" w:lineRule="auto"/>
              <w:jc w:val="center"/>
              <w:rPr>
                <w:rFonts w:ascii="Times New Roman" w:eastAsia="Verdana" w:hAnsi="Times New Roman" w:cs="Times New Roman"/>
                <w:b/>
                <w:bCs/>
                <w:color w:val="000000"/>
                <w:sz w:val="18"/>
                <w:szCs w:val="14"/>
                <w:lang w:val="ro-RO"/>
              </w:rPr>
            </w:pPr>
            <w:r w:rsidRPr="009C5F11">
              <w:rPr>
                <w:rFonts w:ascii="Times New Roman" w:eastAsia="Verdana" w:hAnsi="Times New Roman" w:cs="Times New Roman"/>
                <w:b/>
                <w:bCs/>
                <w:color w:val="000000"/>
                <w:sz w:val="18"/>
                <w:szCs w:val="14"/>
                <w:lang w:val="ro-RO"/>
              </w:rPr>
              <w:t>0.98</w:t>
            </w:r>
          </w:p>
        </w:tc>
        <w:tc>
          <w:tcPr>
            <w:tcW w:w="2381" w:type="pct"/>
            <w:shd w:val="clear" w:color="000000" w:fill="C5D9F1"/>
          </w:tcPr>
          <w:p w14:paraId="2523EEF5"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conform planului</w:t>
            </w:r>
          </w:p>
          <w:p w14:paraId="6E92FD88" w14:textId="77777777" w:rsidR="00780B2E" w:rsidRPr="009C5F11" w:rsidRDefault="00780B2E" w:rsidP="00C807F1">
            <w:pPr>
              <w:spacing w:after="0" w:line="240" w:lineRule="auto"/>
              <w:jc w:val="right"/>
              <w:rPr>
                <w:rFonts w:ascii="Times New Roman" w:eastAsia="Verdana" w:hAnsi="Times New Roman" w:cs="Times New Roman"/>
                <w:b/>
                <w:color w:val="000000"/>
                <w:sz w:val="18"/>
                <w:szCs w:val="14"/>
                <w:lang w:val="ro-RO"/>
              </w:rPr>
            </w:pPr>
          </w:p>
          <w:p w14:paraId="1815363B" w14:textId="77777777" w:rsidR="00780B2E" w:rsidRPr="009C5F11" w:rsidRDefault="001B1A25"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În conformitate cu</w:t>
            </w:r>
            <w:r w:rsidR="00780B2E"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cel mai recent raport al AEE</w:t>
            </w:r>
            <w:r w:rsidR="00780B2E" w:rsidRPr="009C5F11">
              <w:rPr>
                <w:rFonts w:ascii="Times New Roman" w:eastAsia="Verdana" w:hAnsi="Times New Roman" w:cs="Times New Roman"/>
                <w:color w:val="000000"/>
                <w:sz w:val="18"/>
                <w:szCs w:val="14"/>
                <w:lang w:val="ro-RO"/>
              </w:rPr>
              <w:t>:</w:t>
            </w:r>
          </w:p>
          <w:p w14:paraId="00CE3799"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1) 77 </w:t>
            </w:r>
            <w:r w:rsidR="005D06FD" w:rsidRPr="009C5F11">
              <w:rPr>
                <w:rFonts w:ascii="Times New Roman" w:eastAsia="Verdana" w:hAnsi="Times New Roman" w:cs="Times New Roman"/>
                <w:color w:val="000000"/>
                <w:sz w:val="18"/>
                <w:szCs w:val="14"/>
                <w:lang w:val="ro-RO"/>
              </w:rPr>
              <w:t>localităţi</w:t>
            </w:r>
            <w:r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Pr="009C5F11">
              <w:rPr>
                <w:rFonts w:ascii="Times New Roman" w:eastAsia="Verdana" w:hAnsi="Times New Roman" w:cs="Times New Roman"/>
                <w:color w:val="000000"/>
                <w:sz w:val="18"/>
                <w:szCs w:val="14"/>
                <w:lang w:val="ro-RO"/>
              </w:rPr>
              <w:t xml:space="preserve"> 6 </w:t>
            </w:r>
            <w:r w:rsidR="005D06FD" w:rsidRPr="009C5F11">
              <w:rPr>
                <w:rFonts w:ascii="Times New Roman" w:eastAsia="Verdana" w:hAnsi="Times New Roman" w:cs="Times New Roman"/>
                <w:color w:val="000000"/>
                <w:sz w:val="18"/>
                <w:szCs w:val="14"/>
                <w:lang w:val="ro-RO"/>
              </w:rPr>
              <w:t>oraşe</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 xml:space="preserve">au elaborat propuneri în scopul restructurării utilizării becurilor </w:t>
            </w:r>
            <w:r w:rsidRPr="009C5F11">
              <w:rPr>
                <w:rFonts w:ascii="Times New Roman" w:eastAsia="Verdana" w:hAnsi="Times New Roman" w:cs="Times New Roman"/>
                <w:color w:val="000000"/>
                <w:sz w:val="18"/>
                <w:szCs w:val="14"/>
                <w:lang w:val="ro-RO"/>
              </w:rPr>
              <w:t>incandescent</w:t>
            </w:r>
            <w:r w:rsidR="005D06FD" w:rsidRPr="009C5F11">
              <w:rPr>
                <w:rFonts w:ascii="Times New Roman" w:eastAsia="Verdana" w:hAnsi="Times New Roman" w:cs="Times New Roman"/>
                <w:color w:val="000000"/>
                <w:sz w:val="18"/>
                <w:szCs w:val="14"/>
                <w:lang w:val="ro-RO"/>
              </w:rPr>
              <w:t>e</w:t>
            </w:r>
            <w:r w:rsidR="00321CD5" w:rsidRPr="009C5F11">
              <w:rPr>
                <w:rFonts w:ascii="Times New Roman" w:eastAsia="Verdana" w:hAnsi="Times New Roman" w:cs="Times New Roman"/>
                <w:color w:val="000000"/>
                <w:sz w:val="18"/>
                <w:szCs w:val="14"/>
                <w:lang w:val="ro-RO"/>
              </w:rPr>
              <w:t xml:space="preserve"> în </w:t>
            </w:r>
            <w:r w:rsidR="002F0B3A" w:rsidRPr="009C5F11">
              <w:rPr>
                <w:rFonts w:ascii="Times New Roman" w:eastAsia="Verdana" w:hAnsi="Times New Roman" w:cs="Times New Roman"/>
                <w:color w:val="000000"/>
                <w:sz w:val="18"/>
                <w:szCs w:val="14"/>
                <w:lang w:val="ro-RO"/>
              </w:rPr>
              <w:t>sectorul public</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Din cele</w:t>
            </w:r>
            <w:r w:rsidRPr="009C5F11">
              <w:rPr>
                <w:rFonts w:ascii="Times New Roman" w:eastAsia="Verdana" w:hAnsi="Times New Roman" w:cs="Times New Roman"/>
                <w:color w:val="000000"/>
                <w:sz w:val="18"/>
                <w:szCs w:val="14"/>
                <w:lang w:val="ro-RO"/>
              </w:rPr>
              <w:t xml:space="preserve"> 35 </w:t>
            </w:r>
            <w:r w:rsidR="005D06FD" w:rsidRPr="009C5F11">
              <w:rPr>
                <w:rFonts w:ascii="Times New Roman" w:eastAsia="Verdana" w:hAnsi="Times New Roman" w:cs="Times New Roman"/>
                <w:color w:val="000000"/>
                <w:sz w:val="18"/>
                <w:szCs w:val="14"/>
                <w:lang w:val="ro-RO"/>
              </w:rPr>
              <w:t xml:space="preserve">de </w:t>
            </w:r>
            <w:r w:rsidR="00AA0566" w:rsidRPr="009C5F11">
              <w:rPr>
                <w:rFonts w:ascii="Times New Roman" w:eastAsia="Verdana" w:hAnsi="Times New Roman" w:cs="Times New Roman"/>
                <w:color w:val="000000"/>
                <w:sz w:val="18"/>
                <w:szCs w:val="14"/>
                <w:lang w:val="ro-RO"/>
              </w:rPr>
              <w:t>APL</w:t>
            </w:r>
            <w:r w:rsidR="005D06FD" w:rsidRPr="009C5F11">
              <w:rPr>
                <w:rFonts w:ascii="Times New Roman" w:eastAsia="Verdana" w:hAnsi="Times New Roman" w:cs="Times New Roman"/>
                <w:color w:val="000000"/>
                <w:sz w:val="18"/>
                <w:szCs w:val="14"/>
                <w:lang w:val="ro-RO"/>
              </w:rPr>
              <w:t>-uri,</w:t>
            </w:r>
            <w:r w:rsidRPr="009C5F11">
              <w:rPr>
                <w:rFonts w:ascii="Times New Roman" w:eastAsia="Verdana" w:hAnsi="Times New Roman" w:cs="Times New Roman"/>
                <w:color w:val="000000"/>
                <w:sz w:val="18"/>
                <w:szCs w:val="14"/>
                <w:lang w:val="ro-RO"/>
              </w:rPr>
              <w:t xml:space="preserve"> 12 </w:t>
            </w:r>
            <w:r w:rsidR="005D06FD" w:rsidRPr="009C5F11">
              <w:rPr>
                <w:rFonts w:ascii="Times New Roman" w:eastAsia="Verdana" w:hAnsi="Times New Roman" w:cs="Times New Roman"/>
                <w:color w:val="000000"/>
                <w:sz w:val="18"/>
                <w:szCs w:val="14"/>
                <w:lang w:val="ro-RO"/>
              </w:rPr>
              <w:t>au raportat că astfel de propuneri au fost elaborate, inclusiv</w:t>
            </w:r>
            <w:r w:rsidRPr="009C5F11">
              <w:rPr>
                <w:rFonts w:ascii="Times New Roman" w:eastAsia="Verdana" w:hAnsi="Times New Roman" w:cs="Times New Roman"/>
                <w:color w:val="000000"/>
                <w:sz w:val="18"/>
                <w:szCs w:val="14"/>
                <w:lang w:val="ro-RO"/>
              </w:rPr>
              <w:t xml:space="preserve">: mun. </w:t>
            </w:r>
            <w:r w:rsidR="00210C2C" w:rsidRPr="009C5F11">
              <w:rPr>
                <w:rFonts w:ascii="Times New Roman" w:eastAsia="Verdana" w:hAnsi="Times New Roman" w:cs="Times New Roman"/>
                <w:color w:val="000000"/>
                <w:sz w:val="18"/>
                <w:szCs w:val="14"/>
                <w:lang w:val="ro-RO"/>
              </w:rPr>
              <w:t>Bălţi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Anenii Noi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Căuşeni</w:t>
            </w:r>
            <w:r w:rsidRPr="009C5F11">
              <w:rPr>
                <w:rFonts w:ascii="Times New Roman" w:eastAsia="Verdana" w:hAnsi="Times New Roman" w:cs="Times New Roman"/>
                <w:color w:val="000000"/>
                <w:sz w:val="18"/>
                <w:szCs w:val="14"/>
                <w:lang w:val="ro-RO"/>
              </w:rPr>
              <w:t xml:space="preserve">, Criuleni, </w:t>
            </w:r>
            <w:r w:rsidR="005D06FD" w:rsidRPr="009C5F11">
              <w:rPr>
                <w:rFonts w:ascii="Times New Roman" w:eastAsia="Verdana" w:hAnsi="Times New Roman" w:cs="Times New Roman"/>
                <w:color w:val="000000"/>
                <w:sz w:val="18"/>
                <w:szCs w:val="14"/>
                <w:lang w:val="ro-RO"/>
              </w:rPr>
              <w:t>Floreşti</w:t>
            </w:r>
            <w:r w:rsidRPr="009C5F11">
              <w:rPr>
                <w:rFonts w:ascii="Times New Roman" w:eastAsia="Verdana" w:hAnsi="Times New Roman" w:cs="Times New Roman"/>
                <w:color w:val="000000"/>
                <w:sz w:val="18"/>
                <w:szCs w:val="14"/>
                <w:lang w:val="ro-RO"/>
              </w:rPr>
              <w:t xml:space="preserve">, Glodeni, </w:t>
            </w:r>
            <w:r w:rsidR="005D06FD" w:rsidRPr="009C5F11">
              <w:rPr>
                <w:rFonts w:ascii="Times New Roman" w:eastAsia="Verdana" w:hAnsi="Times New Roman" w:cs="Times New Roman"/>
                <w:color w:val="000000"/>
                <w:sz w:val="18"/>
                <w:szCs w:val="14"/>
                <w:lang w:val="ro-RO"/>
              </w:rPr>
              <w:t>Ocniţa</w:t>
            </w:r>
            <w:r w:rsidRPr="009C5F11">
              <w:rPr>
                <w:rFonts w:ascii="Times New Roman" w:eastAsia="Verdana" w:hAnsi="Times New Roman" w:cs="Times New Roman"/>
                <w:color w:val="000000"/>
                <w:sz w:val="18"/>
                <w:szCs w:val="14"/>
                <w:lang w:val="ro-RO"/>
              </w:rPr>
              <w:t xml:space="preserve">, Rezina, </w:t>
            </w:r>
            <w:r w:rsidR="005D06FD" w:rsidRPr="009C5F11">
              <w:rPr>
                <w:rFonts w:ascii="Times New Roman" w:eastAsia="Verdana" w:hAnsi="Times New Roman" w:cs="Times New Roman"/>
                <w:color w:val="000000"/>
                <w:sz w:val="18"/>
                <w:szCs w:val="14"/>
                <w:lang w:val="ro-RO"/>
              </w:rPr>
              <w:t>Rîşcani</w:t>
            </w:r>
            <w:r w:rsidRPr="009C5F11">
              <w:rPr>
                <w:rFonts w:ascii="Times New Roman" w:eastAsia="Verdana" w:hAnsi="Times New Roman" w:cs="Times New Roman"/>
                <w:color w:val="000000"/>
                <w:sz w:val="18"/>
                <w:szCs w:val="14"/>
                <w:lang w:val="ro-RO"/>
              </w:rPr>
              <w:t xml:space="preserve">, Soroca, </w:t>
            </w:r>
            <w:r w:rsidR="005D06FD" w:rsidRPr="009C5F11">
              <w:rPr>
                <w:rFonts w:ascii="Times New Roman" w:eastAsia="Verdana" w:hAnsi="Times New Roman" w:cs="Times New Roman"/>
                <w:color w:val="000000"/>
                <w:sz w:val="18"/>
                <w:szCs w:val="14"/>
                <w:lang w:val="ro-RO"/>
              </w:rPr>
              <w:t>Şoldăneşti şi</w:t>
            </w:r>
            <w:r w:rsidRPr="009C5F11">
              <w:rPr>
                <w:rFonts w:ascii="Times New Roman" w:eastAsia="Verdana" w:hAnsi="Times New Roman" w:cs="Times New Roman"/>
                <w:color w:val="000000"/>
                <w:sz w:val="18"/>
                <w:szCs w:val="14"/>
                <w:lang w:val="ro-RO"/>
              </w:rPr>
              <w:t xml:space="preserve"> Ungheni. </w:t>
            </w:r>
          </w:p>
          <w:p w14:paraId="0237AAF9"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2) </w:t>
            </w:r>
            <w:r w:rsidR="005D06FD" w:rsidRPr="009C5F11">
              <w:rPr>
                <w:rFonts w:ascii="Times New Roman" w:eastAsia="Verdana" w:hAnsi="Times New Roman" w:cs="Times New Roman"/>
                <w:color w:val="000000"/>
                <w:sz w:val="18"/>
                <w:szCs w:val="14"/>
                <w:lang w:val="ro-RO"/>
              </w:rPr>
              <w:t xml:space="preserve">din cele 35 de APL-uri </w:t>
            </w:r>
            <w:r w:rsidRPr="009C5F11">
              <w:rPr>
                <w:rFonts w:ascii="Times New Roman" w:eastAsia="Verdana" w:hAnsi="Times New Roman" w:cs="Times New Roman"/>
                <w:color w:val="000000"/>
                <w:sz w:val="18"/>
                <w:szCs w:val="14"/>
                <w:lang w:val="ro-RO"/>
              </w:rPr>
              <w:t xml:space="preserve">16 </w:t>
            </w:r>
            <w:r w:rsidR="005D06FD" w:rsidRPr="009C5F11">
              <w:rPr>
                <w:rFonts w:ascii="Times New Roman" w:eastAsia="Verdana" w:hAnsi="Times New Roman" w:cs="Times New Roman"/>
                <w:color w:val="000000"/>
                <w:sz w:val="18"/>
                <w:szCs w:val="14"/>
                <w:lang w:val="ro-RO"/>
              </w:rPr>
              <w:t>au raportat că măsurile referitoare la iluminatul stradal au fost reflectate în PLEE-uri</w:t>
            </w:r>
            <w:r w:rsidR="00321CD5" w:rsidRPr="009C5F11">
              <w:rPr>
                <w:rFonts w:ascii="Times New Roman" w:eastAsia="Verdana" w:hAnsi="Times New Roman" w:cs="Times New Roman"/>
                <w:color w:val="000000"/>
                <w:sz w:val="18"/>
                <w:szCs w:val="14"/>
                <w:lang w:val="ro-RO"/>
              </w:rPr>
              <w:t xml:space="preserve"> şi </w:t>
            </w:r>
            <w:r w:rsidR="005D06FD" w:rsidRPr="009C5F11">
              <w:rPr>
                <w:rFonts w:ascii="Times New Roman" w:eastAsia="Verdana" w:hAnsi="Times New Roman" w:cs="Times New Roman"/>
                <w:color w:val="000000"/>
                <w:sz w:val="18"/>
                <w:szCs w:val="14"/>
                <w:lang w:val="ro-RO"/>
              </w:rPr>
              <w:t>PLAEE-uri</w:t>
            </w:r>
            <w:r w:rsidRPr="009C5F11">
              <w:rPr>
                <w:rFonts w:ascii="Times New Roman" w:eastAsia="Verdana" w:hAnsi="Times New Roman" w:cs="Times New Roman"/>
                <w:color w:val="000000"/>
                <w:sz w:val="18"/>
                <w:szCs w:val="14"/>
                <w:lang w:val="ro-RO"/>
              </w:rPr>
              <w:t xml:space="preserve">: Anenii </w:t>
            </w:r>
            <w:r w:rsidR="005D06FD" w:rsidRPr="009C5F11">
              <w:rPr>
                <w:rFonts w:ascii="Times New Roman" w:eastAsia="Verdana" w:hAnsi="Times New Roman" w:cs="Times New Roman"/>
                <w:color w:val="000000"/>
                <w:sz w:val="18"/>
                <w:szCs w:val="14"/>
                <w:lang w:val="ro-RO"/>
              </w:rPr>
              <w:t>No</w:t>
            </w:r>
            <w:r w:rsidRPr="009C5F11">
              <w:rPr>
                <w:rFonts w:ascii="Times New Roman" w:eastAsia="Verdana" w:hAnsi="Times New Roman" w:cs="Times New Roman"/>
                <w:color w:val="000000"/>
                <w:sz w:val="18"/>
                <w:szCs w:val="14"/>
                <w:lang w:val="ro-RO"/>
              </w:rPr>
              <w:t xml:space="preserve">i, Basarabeasca, </w:t>
            </w:r>
            <w:r w:rsidR="005D06FD" w:rsidRPr="009C5F11">
              <w:rPr>
                <w:rFonts w:ascii="Times New Roman" w:eastAsia="Verdana" w:hAnsi="Times New Roman" w:cs="Times New Roman"/>
                <w:color w:val="000000"/>
                <w:sz w:val="18"/>
                <w:szCs w:val="14"/>
                <w:lang w:val="ro-RO"/>
              </w:rPr>
              <w:t>Căuşeni</w:t>
            </w:r>
            <w:r w:rsidRPr="009C5F11">
              <w:rPr>
                <w:rFonts w:ascii="Times New Roman" w:eastAsia="Verdana" w:hAnsi="Times New Roman" w:cs="Times New Roman"/>
                <w:color w:val="000000"/>
                <w:sz w:val="18"/>
                <w:szCs w:val="14"/>
                <w:lang w:val="ro-RO"/>
              </w:rPr>
              <w:t xml:space="preserve">, Criuleni, </w:t>
            </w:r>
            <w:r w:rsidR="005D06FD" w:rsidRPr="009C5F11">
              <w:rPr>
                <w:rFonts w:ascii="Times New Roman" w:eastAsia="Verdana" w:hAnsi="Times New Roman" w:cs="Times New Roman"/>
                <w:color w:val="000000"/>
                <w:sz w:val="18"/>
                <w:szCs w:val="14"/>
                <w:lang w:val="ro-RO"/>
              </w:rPr>
              <w:t>Donduşeni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Floreşti</w:t>
            </w:r>
            <w:r w:rsidRPr="009C5F11">
              <w:rPr>
                <w:rFonts w:ascii="Times New Roman" w:eastAsia="Verdana" w:hAnsi="Times New Roman" w:cs="Times New Roman"/>
                <w:color w:val="000000"/>
                <w:sz w:val="18"/>
                <w:szCs w:val="14"/>
                <w:lang w:val="ro-RO"/>
              </w:rPr>
              <w:t xml:space="preserve">, Glodeni, Ialoveni, Nisporeni, </w:t>
            </w:r>
            <w:r w:rsidR="005D06FD" w:rsidRPr="009C5F11">
              <w:rPr>
                <w:rFonts w:ascii="Times New Roman" w:eastAsia="Verdana" w:hAnsi="Times New Roman" w:cs="Times New Roman"/>
                <w:color w:val="000000"/>
                <w:sz w:val="18"/>
                <w:szCs w:val="14"/>
                <w:lang w:val="ro-RO"/>
              </w:rPr>
              <w:t>Ocniţa</w:t>
            </w:r>
            <w:r w:rsidRPr="009C5F11">
              <w:rPr>
                <w:rFonts w:ascii="Times New Roman" w:eastAsia="Verdana" w:hAnsi="Times New Roman" w:cs="Times New Roman"/>
                <w:color w:val="000000"/>
                <w:sz w:val="18"/>
                <w:szCs w:val="14"/>
                <w:lang w:val="ro-RO"/>
              </w:rPr>
              <w:t xml:space="preserve">, Rezina, </w:t>
            </w:r>
            <w:r w:rsidR="005D06FD" w:rsidRPr="009C5F11">
              <w:rPr>
                <w:rFonts w:ascii="Times New Roman" w:eastAsia="Verdana" w:hAnsi="Times New Roman" w:cs="Times New Roman"/>
                <w:color w:val="000000"/>
                <w:sz w:val="18"/>
                <w:szCs w:val="14"/>
                <w:lang w:val="ro-RO"/>
              </w:rPr>
              <w:t>Rîşcani</w:t>
            </w:r>
            <w:r w:rsidRPr="009C5F11">
              <w:rPr>
                <w:rFonts w:ascii="Times New Roman" w:eastAsia="Verdana" w:hAnsi="Times New Roman" w:cs="Times New Roman"/>
                <w:color w:val="000000"/>
                <w:sz w:val="18"/>
                <w:szCs w:val="14"/>
                <w:lang w:val="ro-RO"/>
              </w:rPr>
              <w:t xml:space="preserve">, Soroca, </w:t>
            </w:r>
            <w:r w:rsidR="005D06FD" w:rsidRPr="009C5F11">
              <w:rPr>
                <w:rFonts w:ascii="Times New Roman" w:eastAsia="Verdana" w:hAnsi="Times New Roman" w:cs="Times New Roman"/>
                <w:color w:val="000000"/>
                <w:sz w:val="18"/>
                <w:szCs w:val="14"/>
                <w:lang w:val="ro-RO"/>
              </w:rPr>
              <w:t>Şoldăneşti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Teleneşti şi</w:t>
            </w:r>
            <w:r w:rsidRPr="009C5F11">
              <w:rPr>
                <w:rFonts w:ascii="Times New Roman" w:eastAsia="Verdana" w:hAnsi="Times New Roman" w:cs="Times New Roman"/>
                <w:color w:val="000000"/>
                <w:sz w:val="18"/>
                <w:szCs w:val="14"/>
                <w:lang w:val="ro-RO"/>
              </w:rPr>
              <w:t xml:space="preserve"> Ungheni. </w:t>
            </w:r>
            <w:r w:rsidR="005D06FD" w:rsidRPr="009C5F11">
              <w:rPr>
                <w:rFonts w:ascii="Times New Roman" w:eastAsia="Verdana" w:hAnsi="Times New Roman" w:cs="Times New Roman"/>
                <w:color w:val="000000"/>
                <w:sz w:val="18"/>
                <w:szCs w:val="14"/>
                <w:lang w:val="ro-RO"/>
              </w:rPr>
              <w:t>Făleşti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a indicat că intenţionează să reflecte astfel de măsuri în PLEE şi PLAEE</w:t>
            </w:r>
            <w:r w:rsidRPr="009C5F11">
              <w:rPr>
                <w:rFonts w:ascii="Times New Roman" w:eastAsia="Verdana" w:hAnsi="Times New Roman" w:cs="Times New Roman"/>
                <w:color w:val="000000"/>
                <w:sz w:val="18"/>
                <w:szCs w:val="14"/>
                <w:lang w:val="ro-RO"/>
              </w:rPr>
              <w:t>.</w:t>
            </w:r>
          </w:p>
          <w:p w14:paraId="2CA6C363"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3) 52 </w:t>
            </w:r>
            <w:r w:rsidR="005D06FD" w:rsidRPr="009C5F11">
              <w:rPr>
                <w:rFonts w:ascii="Times New Roman" w:eastAsia="Verdana" w:hAnsi="Times New Roman" w:cs="Times New Roman"/>
                <w:color w:val="000000"/>
                <w:sz w:val="18"/>
                <w:szCs w:val="14"/>
                <w:lang w:val="ro-RO"/>
              </w:rPr>
              <w:t>localităţi</w:t>
            </w:r>
            <w:r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Pr="009C5F11">
              <w:rPr>
                <w:rFonts w:ascii="Times New Roman" w:eastAsia="Verdana" w:hAnsi="Times New Roman" w:cs="Times New Roman"/>
                <w:color w:val="000000"/>
                <w:sz w:val="18"/>
                <w:szCs w:val="14"/>
                <w:lang w:val="ro-RO"/>
              </w:rPr>
              <w:t xml:space="preserve"> 14 </w:t>
            </w:r>
            <w:r w:rsidR="005D06FD" w:rsidRPr="009C5F11">
              <w:rPr>
                <w:rFonts w:ascii="Times New Roman" w:eastAsia="Verdana" w:hAnsi="Times New Roman" w:cs="Times New Roman"/>
                <w:color w:val="000000"/>
                <w:sz w:val="18"/>
                <w:szCs w:val="14"/>
                <w:lang w:val="ro-RO"/>
              </w:rPr>
              <w:t>oraşe</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au efectuat audituri energetice ale sistemelor existente de iluminat</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Din cele 35 de APL-uri</w:t>
            </w:r>
            <w:r w:rsidRPr="009C5F11">
              <w:rPr>
                <w:rFonts w:ascii="Times New Roman" w:eastAsia="Verdana" w:hAnsi="Times New Roman" w:cs="Times New Roman"/>
                <w:color w:val="000000"/>
                <w:sz w:val="18"/>
                <w:szCs w:val="14"/>
                <w:lang w:val="ro-RO"/>
              </w:rPr>
              <w:t xml:space="preserve"> 23 </w:t>
            </w:r>
            <w:r w:rsidR="005D06FD" w:rsidRPr="009C5F11">
              <w:rPr>
                <w:rFonts w:ascii="Times New Roman" w:eastAsia="Verdana" w:hAnsi="Times New Roman" w:cs="Times New Roman"/>
                <w:color w:val="000000"/>
                <w:sz w:val="18"/>
                <w:szCs w:val="14"/>
                <w:lang w:val="ro-RO"/>
              </w:rPr>
              <w:t xml:space="preserve">au raportat despre efectuarea auditurilor energetice </w:t>
            </w:r>
            <w:r w:rsidR="00603237" w:rsidRPr="009C5F11">
              <w:rPr>
                <w:rFonts w:ascii="Times New Roman" w:eastAsia="Verdana" w:hAnsi="Times New Roman" w:cs="Times New Roman"/>
                <w:color w:val="000000"/>
                <w:sz w:val="18"/>
                <w:szCs w:val="14"/>
                <w:lang w:val="ro-RO"/>
              </w:rPr>
              <w:t>pe parcursul an</w:t>
            </w:r>
            <w:r w:rsidR="005D06FD" w:rsidRPr="009C5F11">
              <w:rPr>
                <w:rFonts w:ascii="Times New Roman" w:eastAsia="Verdana" w:hAnsi="Times New Roman" w:cs="Times New Roman"/>
                <w:color w:val="000000"/>
                <w:sz w:val="18"/>
                <w:szCs w:val="14"/>
                <w:lang w:val="ro-RO"/>
              </w:rPr>
              <w:t>ilor</w:t>
            </w:r>
            <w:r w:rsidRPr="009C5F11">
              <w:rPr>
                <w:rFonts w:ascii="Times New Roman" w:eastAsia="Verdana" w:hAnsi="Times New Roman" w:cs="Times New Roman"/>
                <w:color w:val="000000"/>
                <w:sz w:val="18"/>
                <w:szCs w:val="14"/>
                <w:lang w:val="ro-RO"/>
              </w:rPr>
              <w:t xml:space="preserve"> 2013-2014, </w:t>
            </w:r>
            <w:r w:rsidR="00AB1710" w:rsidRPr="009C5F11">
              <w:rPr>
                <w:rFonts w:ascii="Times New Roman" w:eastAsia="Verdana" w:hAnsi="Times New Roman" w:cs="Times New Roman"/>
                <w:color w:val="000000"/>
                <w:sz w:val="18"/>
                <w:szCs w:val="14"/>
                <w:lang w:val="ro-RO"/>
              </w:rPr>
              <w:t>inclusiv</w:t>
            </w:r>
            <w:r w:rsidRPr="009C5F11">
              <w:rPr>
                <w:rFonts w:ascii="Times New Roman" w:eastAsia="Verdana" w:hAnsi="Times New Roman" w:cs="Times New Roman"/>
                <w:color w:val="000000"/>
                <w:sz w:val="18"/>
                <w:szCs w:val="14"/>
                <w:lang w:val="ro-RO"/>
              </w:rPr>
              <w:t xml:space="preserve">: mun. </w:t>
            </w:r>
            <w:r w:rsidR="00210C2C" w:rsidRPr="009C5F11">
              <w:rPr>
                <w:rFonts w:ascii="Times New Roman" w:eastAsia="Verdana" w:hAnsi="Times New Roman" w:cs="Times New Roman"/>
                <w:color w:val="000000"/>
                <w:sz w:val="18"/>
                <w:szCs w:val="14"/>
                <w:lang w:val="ro-RO"/>
              </w:rPr>
              <w:t>Bălţi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Anenii Noi</w:t>
            </w:r>
            <w:r w:rsidRPr="009C5F11">
              <w:rPr>
                <w:rFonts w:ascii="Times New Roman" w:eastAsia="Verdana" w:hAnsi="Times New Roman" w:cs="Times New Roman"/>
                <w:color w:val="000000"/>
                <w:sz w:val="18"/>
                <w:szCs w:val="14"/>
                <w:lang w:val="ro-RO"/>
              </w:rPr>
              <w:t xml:space="preserve">, Basarabeasca, Briceni, Cahul, </w:t>
            </w:r>
            <w:r w:rsidR="005D06FD" w:rsidRPr="009C5F11">
              <w:rPr>
                <w:rFonts w:ascii="Times New Roman" w:eastAsia="Verdana" w:hAnsi="Times New Roman" w:cs="Times New Roman"/>
                <w:color w:val="000000"/>
                <w:sz w:val="18"/>
                <w:szCs w:val="14"/>
                <w:lang w:val="ro-RO"/>
              </w:rPr>
              <w:t>Călăraşi</w:t>
            </w:r>
            <w:r w:rsidRPr="009C5F11">
              <w:rPr>
                <w:rFonts w:ascii="Times New Roman" w:eastAsia="Verdana" w:hAnsi="Times New Roman" w:cs="Times New Roman"/>
                <w:color w:val="000000"/>
                <w:sz w:val="18"/>
                <w:szCs w:val="14"/>
                <w:lang w:val="ro-RO"/>
              </w:rPr>
              <w:t xml:space="preserve">, Criuleni, Drochia, </w:t>
            </w:r>
            <w:r w:rsidR="005D06FD" w:rsidRPr="009C5F11">
              <w:rPr>
                <w:rFonts w:ascii="Times New Roman" w:eastAsia="Verdana" w:hAnsi="Times New Roman" w:cs="Times New Roman"/>
                <w:color w:val="000000"/>
                <w:sz w:val="18"/>
                <w:szCs w:val="14"/>
                <w:lang w:val="ro-RO"/>
              </w:rPr>
              <w:t>Dubăsari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Hînceşti</w:t>
            </w:r>
            <w:r w:rsidRPr="009C5F11">
              <w:rPr>
                <w:rFonts w:ascii="Times New Roman" w:eastAsia="Verdana" w:hAnsi="Times New Roman" w:cs="Times New Roman"/>
                <w:color w:val="000000"/>
                <w:sz w:val="18"/>
                <w:szCs w:val="14"/>
                <w:lang w:val="ro-RO"/>
              </w:rPr>
              <w:t xml:space="preserve">, Ialoveni, Nisporeni, </w:t>
            </w:r>
            <w:r w:rsidR="005D06FD" w:rsidRPr="009C5F11">
              <w:rPr>
                <w:rFonts w:ascii="Times New Roman" w:eastAsia="Verdana" w:hAnsi="Times New Roman" w:cs="Times New Roman"/>
                <w:color w:val="000000"/>
                <w:sz w:val="18"/>
                <w:szCs w:val="14"/>
                <w:lang w:val="ro-RO"/>
              </w:rPr>
              <w:t>Ocniţa</w:t>
            </w:r>
            <w:r w:rsidRPr="009C5F11">
              <w:rPr>
                <w:rFonts w:ascii="Times New Roman" w:eastAsia="Verdana" w:hAnsi="Times New Roman" w:cs="Times New Roman"/>
                <w:color w:val="000000"/>
                <w:sz w:val="18"/>
                <w:szCs w:val="14"/>
                <w:lang w:val="ro-RO"/>
              </w:rPr>
              <w:t xml:space="preserve">, Orhei, Rezina, </w:t>
            </w:r>
            <w:r w:rsidR="005D06FD" w:rsidRPr="009C5F11">
              <w:rPr>
                <w:rFonts w:ascii="Times New Roman" w:eastAsia="Verdana" w:hAnsi="Times New Roman" w:cs="Times New Roman"/>
                <w:color w:val="000000"/>
                <w:sz w:val="18"/>
                <w:szCs w:val="14"/>
                <w:lang w:val="ro-RO"/>
              </w:rPr>
              <w:t>Sîngerei</w:t>
            </w:r>
            <w:r w:rsidRPr="009C5F11">
              <w:rPr>
                <w:rFonts w:ascii="Times New Roman" w:eastAsia="Verdana" w:hAnsi="Times New Roman" w:cs="Times New Roman"/>
                <w:color w:val="000000"/>
                <w:sz w:val="18"/>
                <w:szCs w:val="14"/>
                <w:lang w:val="ro-RO"/>
              </w:rPr>
              <w:t xml:space="preserve">, Soroca, </w:t>
            </w:r>
            <w:r w:rsidR="005D06FD" w:rsidRPr="009C5F11">
              <w:rPr>
                <w:rFonts w:ascii="Times New Roman" w:eastAsia="Verdana" w:hAnsi="Times New Roman" w:cs="Times New Roman"/>
                <w:color w:val="000000"/>
                <w:sz w:val="18"/>
                <w:szCs w:val="14"/>
                <w:lang w:val="ro-RO"/>
              </w:rPr>
              <w:t>Şoldăneşti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Ştefan-Vodă</w:t>
            </w:r>
            <w:r w:rsidRPr="009C5F11">
              <w:rPr>
                <w:rFonts w:ascii="Times New Roman" w:eastAsia="Verdana" w:hAnsi="Times New Roman" w:cs="Times New Roman"/>
                <w:color w:val="000000"/>
                <w:sz w:val="18"/>
                <w:szCs w:val="14"/>
                <w:lang w:val="ro-RO"/>
              </w:rPr>
              <w:t xml:space="preserve">, Taraclia, </w:t>
            </w:r>
            <w:r w:rsidR="005D06FD" w:rsidRPr="009C5F11">
              <w:rPr>
                <w:rFonts w:ascii="Times New Roman" w:eastAsia="Verdana" w:hAnsi="Times New Roman" w:cs="Times New Roman"/>
                <w:color w:val="000000"/>
                <w:sz w:val="18"/>
                <w:szCs w:val="14"/>
                <w:lang w:val="ro-RO"/>
              </w:rPr>
              <w:t>Teleneşti</w:t>
            </w:r>
            <w:r w:rsidRPr="009C5F11">
              <w:rPr>
                <w:rFonts w:ascii="Times New Roman" w:eastAsia="Verdana" w:hAnsi="Times New Roman" w:cs="Times New Roman"/>
                <w:color w:val="000000"/>
                <w:sz w:val="18"/>
                <w:szCs w:val="14"/>
                <w:lang w:val="ro-RO"/>
              </w:rPr>
              <w:t>, Ungheni</w:t>
            </w:r>
            <w:r w:rsidR="005D06FD" w:rsidRPr="009C5F11">
              <w:rPr>
                <w:rFonts w:ascii="Times New Roman" w:eastAsia="Verdana" w:hAnsi="Times New Roman" w:cs="Times New Roman"/>
                <w:color w:val="000000"/>
                <w:sz w:val="18"/>
                <w:szCs w:val="14"/>
                <w:lang w:val="ro-RO"/>
              </w:rPr>
              <w:t xml:space="preserve"> şi</w:t>
            </w:r>
            <w:r w:rsidRPr="009C5F11">
              <w:rPr>
                <w:rFonts w:ascii="Times New Roman" w:eastAsia="Verdana" w:hAnsi="Times New Roman" w:cs="Times New Roman"/>
                <w:color w:val="000000"/>
                <w:sz w:val="18"/>
                <w:szCs w:val="14"/>
                <w:lang w:val="ro-RO"/>
              </w:rPr>
              <w:t xml:space="preserve"> UTA Gagauzia (mun. Comrat). </w:t>
            </w:r>
          </w:p>
          <w:p w14:paraId="14A28365"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4) 136 </w:t>
            </w:r>
            <w:r w:rsidR="005D06FD" w:rsidRPr="009C5F11">
              <w:rPr>
                <w:rFonts w:ascii="Times New Roman" w:eastAsia="Verdana" w:hAnsi="Times New Roman" w:cs="Times New Roman"/>
                <w:color w:val="000000"/>
                <w:sz w:val="18"/>
                <w:szCs w:val="14"/>
                <w:lang w:val="ro-RO"/>
              </w:rPr>
              <w:t>localităţi</w:t>
            </w:r>
            <w:r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Pr="009C5F11">
              <w:rPr>
                <w:rFonts w:ascii="Times New Roman" w:eastAsia="Verdana" w:hAnsi="Times New Roman" w:cs="Times New Roman"/>
                <w:color w:val="000000"/>
                <w:sz w:val="18"/>
                <w:szCs w:val="14"/>
                <w:lang w:val="ro-RO"/>
              </w:rPr>
              <w:t xml:space="preserve"> 10 </w:t>
            </w:r>
            <w:r w:rsidR="005D06FD" w:rsidRPr="009C5F11">
              <w:rPr>
                <w:rFonts w:ascii="Times New Roman" w:eastAsia="Verdana" w:hAnsi="Times New Roman" w:cs="Times New Roman"/>
                <w:color w:val="000000"/>
                <w:sz w:val="18"/>
                <w:szCs w:val="14"/>
                <w:lang w:val="ro-RO"/>
              </w:rPr>
              <w:t>oraşe</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au desfăşurat</w:t>
            </w:r>
            <w:r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activităţi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de</w:t>
            </w:r>
            <w:r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înlocuire</w:t>
            </w:r>
            <w:r w:rsidR="005D06FD"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a</w:t>
            </w:r>
            <w:r w:rsidRPr="009C5F11">
              <w:rPr>
                <w:rFonts w:ascii="Times New Roman" w:eastAsia="Verdana" w:hAnsi="Times New Roman" w:cs="Times New Roman"/>
                <w:color w:val="000000"/>
                <w:sz w:val="18"/>
                <w:szCs w:val="14"/>
                <w:lang w:val="ro-RO"/>
              </w:rPr>
              <w:t xml:space="preserve"> </w:t>
            </w:r>
            <w:r w:rsidR="009C1385" w:rsidRPr="009C5F11">
              <w:rPr>
                <w:rFonts w:ascii="Times New Roman" w:eastAsia="Verdana" w:hAnsi="Times New Roman" w:cs="Times New Roman"/>
                <w:color w:val="000000"/>
                <w:sz w:val="18"/>
                <w:szCs w:val="14"/>
                <w:lang w:val="ro-RO"/>
              </w:rPr>
              <w:t>corpurilor existente de iluminat cu altele mai performante</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Din cele 35 de APL-uri</w:t>
            </w:r>
            <w:r w:rsidRPr="009C5F11">
              <w:rPr>
                <w:rFonts w:ascii="Times New Roman" w:eastAsia="Verdana" w:hAnsi="Times New Roman" w:cs="Times New Roman"/>
                <w:color w:val="000000"/>
                <w:sz w:val="18"/>
                <w:szCs w:val="14"/>
                <w:lang w:val="ro-RO"/>
              </w:rPr>
              <w:t xml:space="preserve"> 19 </w:t>
            </w:r>
            <w:r w:rsidR="009C1385" w:rsidRPr="009C5F11">
              <w:rPr>
                <w:rFonts w:ascii="Times New Roman" w:eastAsia="Verdana" w:hAnsi="Times New Roman" w:cs="Times New Roman"/>
                <w:color w:val="000000"/>
                <w:sz w:val="18"/>
                <w:szCs w:val="14"/>
                <w:lang w:val="ro-RO"/>
              </w:rPr>
              <w:t>au raportat despre înlocuirea corpurilor de iluminat</w:t>
            </w:r>
            <w:r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Anenii Noi</w:t>
            </w:r>
            <w:r w:rsidRPr="009C5F11">
              <w:rPr>
                <w:rFonts w:ascii="Times New Roman" w:eastAsia="Verdana" w:hAnsi="Times New Roman" w:cs="Times New Roman"/>
                <w:color w:val="000000"/>
                <w:sz w:val="18"/>
                <w:szCs w:val="14"/>
                <w:lang w:val="ro-RO"/>
              </w:rPr>
              <w:t xml:space="preserve">, Cantemir, </w:t>
            </w:r>
            <w:r w:rsidR="005D06FD" w:rsidRPr="009C5F11">
              <w:rPr>
                <w:rFonts w:ascii="Times New Roman" w:eastAsia="Verdana" w:hAnsi="Times New Roman" w:cs="Times New Roman"/>
                <w:color w:val="000000"/>
                <w:sz w:val="18"/>
                <w:szCs w:val="14"/>
                <w:lang w:val="ro-RO"/>
              </w:rPr>
              <w:t>Căuşeni</w:t>
            </w:r>
            <w:r w:rsidRPr="009C5F11">
              <w:rPr>
                <w:rFonts w:ascii="Times New Roman" w:eastAsia="Verdana" w:hAnsi="Times New Roman" w:cs="Times New Roman"/>
                <w:color w:val="000000"/>
                <w:sz w:val="18"/>
                <w:szCs w:val="14"/>
                <w:lang w:val="ro-RO"/>
              </w:rPr>
              <w:t xml:space="preserve">, Criuleni, </w:t>
            </w:r>
            <w:r w:rsidR="005D06FD" w:rsidRPr="009C5F11">
              <w:rPr>
                <w:rFonts w:ascii="Times New Roman" w:eastAsia="Verdana" w:hAnsi="Times New Roman" w:cs="Times New Roman"/>
                <w:color w:val="000000"/>
                <w:sz w:val="18"/>
                <w:szCs w:val="14"/>
                <w:lang w:val="ro-RO"/>
              </w:rPr>
              <w:t>Dubăsari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Făleşti</w:t>
            </w:r>
            <w:r w:rsidRPr="009C5F11">
              <w:rPr>
                <w:rFonts w:ascii="Times New Roman" w:eastAsia="Verdana" w:hAnsi="Times New Roman" w:cs="Times New Roman"/>
                <w:color w:val="000000"/>
                <w:sz w:val="18"/>
                <w:szCs w:val="14"/>
                <w:lang w:val="ro-RO"/>
              </w:rPr>
              <w:t xml:space="preserve">, Glodeni, </w:t>
            </w:r>
            <w:r w:rsidR="005D06FD" w:rsidRPr="009C5F11">
              <w:rPr>
                <w:rFonts w:ascii="Times New Roman" w:eastAsia="Verdana" w:hAnsi="Times New Roman" w:cs="Times New Roman"/>
                <w:color w:val="000000"/>
                <w:sz w:val="18"/>
                <w:szCs w:val="14"/>
                <w:lang w:val="ro-RO"/>
              </w:rPr>
              <w:t>Hînceşti</w:t>
            </w:r>
            <w:r w:rsidRPr="009C5F11">
              <w:rPr>
                <w:rFonts w:ascii="Times New Roman" w:eastAsia="Verdana" w:hAnsi="Times New Roman" w:cs="Times New Roman"/>
                <w:color w:val="000000"/>
                <w:sz w:val="18"/>
                <w:szCs w:val="14"/>
                <w:lang w:val="ro-RO"/>
              </w:rPr>
              <w:t xml:space="preserve">, Ialoveni, Leova, Nisporeni, </w:t>
            </w:r>
            <w:r w:rsidR="005D06FD" w:rsidRPr="009C5F11">
              <w:rPr>
                <w:rFonts w:ascii="Times New Roman" w:eastAsia="Verdana" w:hAnsi="Times New Roman" w:cs="Times New Roman"/>
                <w:color w:val="000000"/>
                <w:sz w:val="18"/>
                <w:szCs w:val="14"/>
                <w:lang w:val="ro-RO"/>
              </w:rPr>
              <w:t>Ocniţa</w:t>
            </w:r>
            <w:r w:rsidRPr="009C5F11">
              <w:rPr>
                <w:rFonts w:ascii="Times New Roman" w:eastAsia="Verdana" w:hAnsi="Times New Roman" w:cs="Times New Roman"/>
                <w:color w:val="000000"/>
                <w:sz w:val="18"/>
                <w:szCs w:val="14"/>
                <w:lang w:val="ro-RO"/>
              </w:rPr>
              <w:t xml:space="preserve">, Rezina, </w:t>
            </w:r>
            <w:r w:rsidR="005D06FD" w:rsidRPr="009C5F11">
              <w:rPr>
                <w:rFonts w:ascii="Times New Roman" w:eastAsia="Verdana" w:hAnsi="Times New Roman" w:cs="Times New Roman"/>
                <w:color w:val="000000"/>
                <w:sz w:val="18"/>
                <w:szCs w:val="14"/>
                <w:lang w:val="ro-RO"/>
              </w:rPr>
              <w:t>Rîşcani</w:t>
            </w:r>
            <w:r w:rsidRPr="009C5F11">
              <w:rPr>
                <w:rFonts w:ascii="Times New Roman" w:eastAsia="Verdana" w:hAnsi="Times New Roman" w:cs="Times New Roman"/>
                <w:color w:val="000000"/>
                <w:sz w:val="18"/>
                <w:szCs w:val="14"/>
                <w:lang w:val="ro-RO"/>
              </w:rPr>
              <w:t xml:space="preserve">, Soroca, </w:t>
            </w:r>
            <w:r w:rsidR="005D06FD" w:rsidRPr="009C5F11">
              <w:rPr>
                <w:rFonts w:ascii="Times New Roman" w:eastAsia="Verdana" w:hAnsi="Times New Roman" w:cs="Times New Roman"/>
                <w:color w:val="000000"/>
                <w:sz w:val="18"/>
                <w:szCs w:val="14"/>
                <w:lang w:val="ro-RO"/>
              </w:rPr>
              <w:t>Şoldăneşti</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Ştefan-Vodă</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Teleneşti</w:t>
            </w:r>
            <w:r w:rsidR="009C1385" w:rsidRPr="009C5F11">
              <w:rPr>
                <w:rFonts w:ascii="Times New Roman" w:eastAsia="Verdana" w:hAnsi="Times New Roman" w:cs="Times New Roman"/>
                <w:color w:val="000000"/>
                <w:sz w:val="18"/>
                <w:szCs w:val="14"/>
                <w:lang w:val="ro-RO"/>
              </w:rPr>
              <w:t xml:space="preserve"> şi </w:t>
            </w:r>
            <w:r w:rsidRPr="009C5F11">
              <w:rPr>
                <w:rFonts w:ascii="Times New Roman" w:eastAsia="Verdana" w:hAnsi="Times New Roman" w:cs="Times New Roman"/>
                <w:color w:val="000000"/>
                <w:sz w:val="18"/>
                <w:szCs w:val="14"/>
                <w:lang w:val="ro-RO"/>
              </w:rPr>
              <w:t xml:space="preserve">Ungheni. </w:t>
            </w:r>
            <w:r w:rsidR="00334DD0" w:rsidRPr="009C5F11">
              <w:rPr>
                <w:rFonts w:ascii="Times New Roman" w:eastAsia="Verdana" w:hAnsi="Times New Roman" w:cs="Times New Roman"/>
                <w:color w:val="000000"/>
                <w:sz w:val="18"/>
                <w:szCs w:val="14"/>
                <w:lang w:val="ro-RO"/>
              </w:rPr>
              <w:t xml:space="preserve">În </w:t>
            </w:r>
            <w:r w:rsidRPr="009C5F11">
              <w:rPr>
                <w:rFonts w:ascii="Times New Roman" w:eastAsia="Verdana" w:hAnsi="Times New Roman" w:cs="Times New Roman"/>
                <w:color w:val="000000"/>
                <w:sz w:val="18"/>
                <w:szCs w:val="14"/>
                <w:lang w:val="ro-RO"/>
              </w:rPr>
              <w:t xml:space="preserve">2011-2013, </w:t>
            </w:r>
            <w:r w:rsidR="009C1385" w:rsidRPr="009C5F11">
              <w:rPr>
                <w:rFonts w:ascii="Times New Roman" w:eastAsia="Verdana" w:hAnsi="Times New Roman" w:cs="Times New Roman"/>
                <w:color w:val="000000"/>
                <w:sz w:val="18"/>
                <w:szCs w:val="14"/>
                <w:lang w:val="ro-RO"/>
              </w:rPr>
              <w:t xml:space="preserve">or. </w:t>
            </w:r>
            <w:r w:rsidRPr="009C5F11">
              <w:rPr>
                <w:rFonts w:ascii="Times New Roman" w:eastAsia="Verdana" w:hAnsi="Times New Roman" w:cs="Times New Roman"/>
                <w:color w:val="000000"/>
                <w:sz w:val="18"/>
                <w:szCs w:val="14"/>
                <w:lang w:val="ro-RO"/>
              </w:rPr>
              <w:t xml:space="preserve">Glodeni </w:t>
            </w:r>
            <w:r w:rsidR="00321CD5" w:rsidRPr="009C5F11">
              <w:rPr>
                <w:rFonts w:ascii="Times New Roman" w:eastAsia="Verdana" w:hAnsi="Times New Roman" w:cs="Times New Roman"/>
                <w:color w:val="000000"/>
                <w:sz w:val="18"/>
                <w:szCs w:val="14"/>
                <w:lang w:val="ro-RO"/>
              </w:rPr>
              <w:t xml:space="preserve">şi </w:t>
            </w:r>
            <w:r w:rsidR="00F86968" w:rsidRPr="009C5F11">
              <w:rPr>
                <w:rFonts w:ascii="Times New Roman" w:eastAsia="Verdana" w:hAnsi="Times New Roman" w:cs="Times New Roman"/>
                <w:color w:val="000000"/>
                <w:sz w:val="18"/>
                <w:szCs w:val="14"/>
                <w:lang w:val="ro-RO"/>
              </w:rPr>
              <w:t xml:space="preserve">or. </w:t>
            </w:r>
            <w:r w:rsidR="005D06FD" w:rsidRPr="009C5F11">
              <w:rPr>
                <w:rFonts w:ascii="Times New Roman" w:eastAsia="Verdana" w:hAnsi="Times New Roman" w:cs="Times New Roman"/>
                <w:color w:val="000000"/>
                <w:sz w:val="18"/>
                <w:szCs w:val="14"/>
                <w:lang w:val="ro-RO"/>
              </w:rPr>
              <w:t>Hînceşti</w:t>
            </w:r>
            <w:r w:rsidRPr="009C5F11">
              <w:rPr>
                <w:rFonts w:ascii="Times New Roman" w:eastAsia="Verdana" w:hAnsi="Times New Roman" w:cs="Times New Roman"/>
                <w:color w:val="000000"/>
                <w:sz w:val="18"/>
                <w:szCs w:val="14"/>
                <w:lang w:val="ro-RO"/>
              </w:rPr>
              <w:t xml:space="preserve"> </w:t>
            </w:r>
            <w:r w:rsidR="009C1385" w:rsidRPr="009C5F11">
              <w:rPr>
                <w:rFonts w:ascii="Times New Roman" w:eastAsia="Verdana" w:hAnsi="Times New Roman" w:cs="Times New Roman"/>
                <w:color w:val="000000"/>
                <w:sz w:val="18"/>
                <w:szCs w:val="14"/>
                <w:lang w:val="ro-RO"/>
              </w:rPr>
              <w:t xml:space="preserve">au desfăşurat </w:t>
            </w:r>
            <w:r w:rsidR="00D77687" w:rsidRPr="009C5F11">
              <w:rPr>
                <w:rFonts w:ascii="Times New Roman" w:eastAsia="Verdana" w:hAnsi="Times New Roman" w:cs="Times New Roman"/>
                <w:color w:val="000000"/>
                <w:sz w:val="18"/>
                <w:szCs w:val="14"/>
                <w:lang w:val="ro-RO"/>
              </w:rPr>
              <w:t>activităţi</w:t>
            </w:r>
            <w:r w:rsidR="00321CD5" w:rsidRPr="009C5F11">
              <w:rPr>
                <w:rFonts w:ascii="Times New Roman" w:eastAsia="Verdana" w:hAnsi="Times New Roman" w:cs="Times New Roman"/>
                <w:color w:val="000000"/>
                <w:sz w:val="18"/>
                <w:szCs w:val="14"/>
                <w:lang w:val="ro-RO"/>
              </w:rPr>
              <w:t xml:space="preserve"> </w:t>
            </w:r>
            <w:r w:rsidR="009C1385" w:rsidRPr="009C5F11">
              <w:rPr>
                <w:rFonts w:ascii="Times New Roman" w:eastAsia="Verdana" w:hAnsi="Times New Roman" w:cs="Times New Roman"/>
                <w:color w:val="000000"/>
                <w:sz w:val="18"/>
                <w:szCs w:val="14"/>
                <w:lang w:val="ro-RO"/>
              </w:rPr>
              <w:t xml:space="preserve">de eficienţă energetică </w:t>
            </w:r>
            <w:r w:rsidR="00321CD5" w:rsidRPr="009C5F11">
              <w:rPr>
                <w:rFonts w:ascii="Times New Roman" w:eastAsia="Verdana" w:hAnsi="Times New Roman" w:cs="Times New Roman"/>
                <w:color w:val="000000"/>
                <w:sz w:val="18"/>
                <w:szCs w:val="14"/>
                <w:lang w:val="ro-RO"/>
              </w:rPr>
              <w:t xml:space="preserve">în </w:t>
            </w:r>
            <w:r w:rsidR="009C1385" w:rsidRPr="009C5F11">
              <w:rPr>
                <w:rFonts w:ascii="Times New Roman" w:eastAsia="Verdana" w:hAnsi="Times New Roman" w:cs="Times New Roman"/>
                <w:color w:val="000000"/>
                <w:sz w:val="18"/>
                <w:szCs w:val="14"/>
                <w:lang w:val="ro-RO"/>
              </w:rPr>
              <w:t xml:space="preserve">iluminatul stradal, acţiunile fiind finanţate de Fondul Ecologic Naţional. </w:t>
            </w:r>
          </w:p>
          <w:p w14:paraId="39977D64" w14:textId="77777777" w:rsidR="00780B2E" w:rsidRPr="009C5F11" w:rsidRDefault="00D74B9A"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Începând din</w:t>
            </w:r>
            <w:r w:rsidR="00780B2E" w:rsidRPr="009C5F11">
              <w:rPr>
                <w:rFonts w:ascii="Times New Roman" w:eastAsia="Verdana" w:hAnsi="Times New Roman" w:cs="Times New Roman"/>
                <w:color w:val="000000"/>
                <w:sz w:val="18"/>
                <w:szCs w:val="14"/>
                <w:lang w:val="ro-RO"/>
              </w:rPr>
              <w:t xml:space="preserve"> 01.01.2014, 35 </w:t>
            </w:r>
            <w:r w:rsidRPr="009C5F11">
              <w:rPr>
                <w:rFonts w:ascii="Times New Roman" w:eastAsia="Verdana" w:hAnsi="Times New Roman" w:cs="Times New Roman"/>
                <w:color w:val="000000"/>
                <w:sz w:val="18"/>
                <w:szCs w:val="14"/>
                <w:lang w:val="ro-RO"/>
              </w:rPr>
              <w:t xml:space="preserve">de </w:t>
            </w:r>
            <w:r w:rsidR="00AA0566" w:rsidRPr="009C5F11">
              <w:rPr>
                <w:rFonts w:ascii="Times New Roman" w:eastAsia="Verdana" w:hAnsi="Times New Roman" w:cs="Times New Roman"/>
                <w:color w:val="000000"/>
                <w:sz w:val="18"/>
                <w:szCs w:val="14"/>
                <w:lang w:val="ro-RO"/>
              </w:rPr>
              <w:t>APL</w:t>
            </w:r>
            <w:r w:rsidRPr="009C5F11">
              <w:rPr>
                <w:rFonts w:ascii="Times New Roman" w:eastAsia="Verdana" w:hAnsi="Times New Roman" w:cs="Times New Roman"/>
                <w:color w:val="000000"/>
                <w:sz w:val="18"/>
                <w:szCs w:val="14"/>
                <w:lang w:val="ro-RO"/>
              </w:rPr>
              <w:t>-uri</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au primit de la bugetul de stat</w:t>
            </w:r>
            <w:r w:rsidR="00780B2E" w:rsidRPr="009C5F11">
              <w:rPr>
                <w:rFonts w:ascii="Times New Roman" w:eastAsia="Verdana" w:hAnsi="Times New Roman" w:cs="Times New Roman"/>
                <w:color w:val="000000"/>
                <w:sz w:val="18"/>
                <w:szCs w:val="14"/>
                <w:lang w:val="ro-RO"/>
              </w:rPr>
              <w:t xml:space="preserve"> 184.5 </w:t>
            </w:r>
            <w:r w:rsidR="00421FA7" w:rsidRPr="009C5F11">
              <w:rPr>
                <w:rFonts w:ascii="Times New Roman" w:eastAsia="Verdana" w:hAnsi="Times New Roman" w:cs="Times New Roman"/>
                <w:color w:val="000000"/>
                <w:sz w:val="18"/>
                <w:szCs w:val="14"/>
                <w:lang w:val="ro-RO"/>
              </w:rPr>
              <w:t xml:space="preserve">milioane </w:t>
            </w:r>
            <w:r w:rsidR="00780B2E" w:rsidRPr="009C5F11">
              <w:rPr>
                <w:rFonts w:ascii="Times New Roman" w:eastAsia="Verdana" w:hAnsi="Times New Roman" w:cs="Times New Roman"/>
                <w:color w:val="000000"/>
                <w:sz w:val="18"/>
                <w:szCs w:val="14"/>
                <w:lang w:val="ro-RO"/>
              </w:rPr>
              <w:t xml:space="preserve">lei, </w:t>
            </w:r>
            <w:r w:rsidRPr="009C5F11">
              <w:rPr>
                <w:rFonts w:ascii="Times New Roman" w:eastAsia="Verdana" w:hAnsi="Times New Roman" w:cs="Times New Roman"/>
                <w:color w:val="000000"/>
                <w:sz w:val="18"/>
                <w:szCs w:val="14"/>
                <w:lang w:val="ro-RO"/>
              </w:rPr>
              <w:t xml:space="preserve">care </w:t>
            </w:r>
            <w:r w:rsidR="00BD6579" w:rsidRPr="009C5F11">
              <w:rPr>
                <w:rFonts w:ascii="Times New Roman" w:eastAsia="Verdana" w:hAnsi="Times New Roman" w:cs="Times New Roman"/>
                <w:color w:val="000000"/>
                <w:sz w:val="18"/>
                <w:szCs w:val="14"/>
                <w:lang w:val="ro-RO"/>
              </w:rPr>
              <w:t>le-au</w:t>
            </w:r>
            <w:r w:rsidRPr="009C5F11">
              <w:rPr>
                <w:rFonts w:ascii="Times New Roman" w:eastAsia="Verdana" w:hAnsi="Times New Roman" w:cs="Times New Roman"/>
                <w:color w:val="000000"/>
                <w:sz w:val="18"/>
                <w:szCs w:val="14"/>
                <w:lang w:val="ro-RO"/>
              </w:rPr>
              <w:t xml:space="preserve"> permis să realizeze </w:t>
            </w:r>
            <w:r w:rsidR="00780B2E" w:rsidRPr="009C5F11">
              <w:rPr>
                <w:rFonts w:ascii="Times New Roman" w:eastAsia="Verdana" w:hAnsi="Times New Roman" w:cs="Times New Roman"/>
                <w:color w:val="000000"/>
                <w:sz w:val="18"/>
                <w:szCs w:val="14"/>
                <w:lang w:val="ro-RO"/>
              </w:rPr>
              <w:t xml:space="preserve">260 </w:t>
            </w:r>
            <w:r w:rsidRPr="009C5F11">
              <w:rPr>
                <w:rFonts w:ascii="Times New Roman" w:eastAsia="Verdana" w:hAnsi="Times New Roman" w:cs="Times New Roman"/>
                <w:color w:val="000000"/>
                <w:sz w:val="18"/>
                <w:szCs w:val="14"/>
                <w:lang w:val="ro-RO"/>
              </w:rPr>
              <w:t xml:space="preserve">de </w:t>
            </w:r>
            <w:r w:rsidR="00E10BE5" w:rsidRPr="009C5F11">
              <w:rPr>
                <w:rFonts w:ascii="Times New Roman" w:eastAsia="Verdana" w:hAnsi="Times New Roman" w:cs="Times New Roman"/>
                <w:color w:val="000000"/>
                <w:sz w:val="18"/>
                <w:szCs w:val="14"/>
                <w:lang w:val="ro-RO"/>
              </w:rPr>
              <w:t>proiecte</w:t>
            </w:r>
            <w:r w:rsidR="00321CD5" w:rsidRPr="009C5F11">
              <w:rPr>
                <w:rFonts w:ascii="Times New Roman" w:eastAsia="Verdana" w:hAnsi="Times New Roman" w:cs="Times New Roman"/>
                <w:color w:val="000000"/>
                <w:sz w:val="18"/>
                <w:szCs w:val="14"/>
                <w:lang w:val="ro-RO"/>
              </w:rPr>
              <w:t xml:space="preserve"> şi </w:t>
            </w:r>
            <w:r w:rsidR="00D77687" w:rsidRPr="009C5F11">
              <w:rPr>
                <w:rFonts w:ascii="Times New Roman" w:eastAsia="Verdana" w:hAnsi="Times New Roman" w:cs="Times New Roman"/>
                <w:color w:val="000000"/>
                <w:sz w:val="18"/>
                <w:szCs w:val="14"/>
                <w:lang w:val="ro-RO"/>
              </w:rPr>
              <w:t>înlocuirea</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a</w:t>
            </w:r>
            <w:r w:rsidR="00780B2E" w:rsidRPr="009C5F11">
              <w:rPr>
                <w:rFonts w:ascii="Times New Roman" w:eastAsia="Verdana" w:hAnsi="Times New Roman" w:cs="Times New Roman"/>
                <w:color w:val="000000"/>
                <w:sz w:val="18"/>
                <w:szCs w:val="14"/>
                <w:lang w:val="ro-RO"/>
              </w:rPr>
              <w:t xml:space="preserve"> 27.8 </w:t>
            </w:r>
            <w:r w:rsidR="00421FA7" w:rsidRPr="009C5F11">
              <w:rPr>
                <w:rFonts w:ascii="Times New Roman" w:eastAsia="Verdana" w:hAnsi="Times New Roman" w:cs="Times New Roman"/>
                <w:color w:val="000000"/>
                <w:sz w:val="18"/>
                <w:szCs w:val="14"/>
                <w:lang w:val="ro-RO"/>
              </w:rPr>
              <w:t>mii</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 xml:space="preserve">de becuri, </w:t>
            </w:r>
            <w:r w:rsidR="00BD6579" w:rsidRPr="009C5F11">
              <w:rPr>
                <w:rFonts w:ascii="Times New Roman" w:eastAsia="Verdana" w:hAnsi="Times New Roman" w:cs="Times New Roman"/>
                <w:color w:val="000000"/>
                <w:sz w:val="18"/>
                <w:szCs w:val="14"/>
                <w:lang w:val="ro-RO"/>
              </w:rPr>
              <w:t>din</w:t>
            </w:r>
            <w:r w:rsidRPr="009C5F11">
              <w:rPr>
                <w:rFonts w:ascii="Times New Roman" w:eastAsia="Verdana" w:hAnsi="Times New Roman" w:cs="Times New Roman"/>
                <w:color w:val="000000"/>
                <w:sz w:val="18"/>
                <w:szCs w:val="14"/>
                <w:lang w:val="ro-RO"/>
              </w:rPr>
              <w:t xml:space="preserve"> care</w:t>
            </w:r>
            <w:r w:rsidR="00780B2E" w:rsidRPr="009C5F11">
              <w:rPr>
                <w:rFonts w:ascii="Times New Roman" w:eastAsia="Verdana" w:hAnsi="Times New Roman" w:cs="Times New Roman"/>
                <w:color w:val="000000"/>
                <w:sz w:val="18"/>
                <w:szCs w:val="14"/>
                <w:lang w:val="ro-RO"/>
              </w:rPr>
              <w:t xml:space="preserve"> 50% - LED, 38% </w:t>
            </w:r>
            <w:r w:rsidRPr="009C5F11">
              <w:rPr>
                <w:rFonts w:ascii="Times New Roman" w:eastAsia="Verdana" w:hAnsi="Times New Roman" w:cs="Times New Roman"/>
                <w:color w:val="000000"/>
                <w:sz w:val="18"/>
                <w:szCs w:val="14"/>
                <w:lang w:val="ro-RO"/>
              </w:rPr>
              <w:t xml:space="preserve">becuri </w:t>
            </w:r>
            <w:r w:rsidR="00780B2E" w:rsidRPr="009C5F11">
              <w:rPr>
                <w:rFonts w:ascii="Times New Roman" w:eastAsia="Verdana" w:hAnsi="Times New Roman" w:cs="Times New Roman"/>
                <w:color w:val="000000"/>
                <w:sz w:val="18"/>
                <w:szCs w:val="14"/>
                <w:lang w:val="ro-RO"/>
              </w:rPr>
              <w:t>economic</w:t>
            </w:r>
            <w:r w:rsidRPr="009C5F11">
              <w:rPr>
                <w:rFonts w:ascii="Times New Roman" w:eastAsia="Verdana" w:hAnsi="Times New Roman" w:cs="Times New Roman"/>
                <w:color w:val="000000"/>
                <w:sz w:val="18"/>
                <w:szCs w:val="14"/>
                <w:lang w:val="ro-RO"/>
              </w:rPr>
              <w:t>e etc.</w:t>
            </w:r>
            <w:r w:rsidR="00780B2E"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În rezultat,</w:t>
            </w:r>
            <w:r w:rsidR="00780B2E" w:rsidRPr="009C5F11">
              <w:rPr>
                <w:rFonts w:ascii="Times New Roman" w:eastAsia="Verdana" w:hAnsi="Times New Roman" w:cs="Times New Roman"/>
                <w:color w:val="000000"/>
                <w:sz w:val="18"/>
                <w:szCs w:val="14"/>
                <w:lang w:val="ro-RO"/>
              </w:rPr>
              <w:t xml:space="preserve"> 1</w:t>
            </w:r>
            <w:r w:rsidR="006545D5" w:rsidRPr="009C5F11">
              <w:rPr>
                <w:rFonts w:ascii="Times New Roman" w:eastAsia="Verdana" w:hAnsi="Times New Roman" w:cs="Times New Roman"/>
                <w:color w:val="000000"/>
                <w:sz w:val="18"/>
                <w:szCs w:val="14"/>
                <w:lang w:val="ro-RO"/>
              </w:rPr>
              <w:t>,</w:t>
            </w:r>
            <w:r w:rsidR="00780B2E" w:rsidRPr="009C5F11">
              <w:rPr>
                <w:rFonts w:ascii="Times New Roman" w:eastAsia="Verdana" w:hAnsi="Times New Roman" w:cs="Times New Roman"/>
                <w:color w:val="000000"/>
                <w:sz w:val="18"/>
                <w:szCs w:val="14"/>
                <w:lang w:val="ro-RO"/>
              </w:rPr>
              <w:t xml:space="preserve">233 km </w:t>
            </w:r>
            <w:r w:rsidRPr="009C5F11">
              <w:rPr>
                <w:rFonts w:ascii="Times New Roman" w:eastAsia="Verdana" w:hAnsi="Times New Roman" w:cs="Times New Roman"/>
                <w:color w:val="000000"/>
                <w:sz w:val="18"/>
                <w:szCs w:val="14"/>
                <w:lang w:val="ro-RO"/>
              </w:rPr>
              <w:t xml:space="preserve">din corpurile de iluminare stradală au fost </w:t>
            </w:r>
            <w:r w:rsidR="00BD6579" w:rsidRPr="009C5F11">
              <w:rPr>
                <w:rFonts w:ascii="Times New Roman" w:eastAsia="Verdana" w:hAnsi="Times New Roman" w:cs="Times New Roman"/>
                <w:color w:val="000000"/>
                <w:sz w:val="18"/>
                <w:szCs w:val="14"/>
                <w:lang w:val="ro-RO"/>
              </w:rPr>
              <w:t>dotate</w:t>
            </w:r>
            <w:r w:rsidRPr="009C5F11">
              <w:rPr>
                <w:rFonts w:ascii="Times New Roman" w:eastAsia="Verdana" w:hAnsi="Times New Roman" w:cs="Times New Roman"/>
                <w:color w:val="000000"/>
                <w:sz w:val="18"/>
                <w:szCs w:val="14"/>
                <w:lang w:val="ro-RO"/>
              </w:rPr>
              <w:t xml:space="preserve"> cu becuri noi</w:t>
            </w:r>
            <w:r w:rsidR="00780B2E" w:rsidRPr="009C5F11">
              <w:rPr>
                <w:rFonts w:ascii="Times New Roman" w:eastAsia="Verdana" w:hAnsi="Times New Roman" w:cs="Times New Roman"/>
                <w:color w:val="000000"/>
                <w:sz w:val="18"/>
                <w:szCs w:val="14"/>
                <w:lang w:val="ro-RO"/>
              </w:rPr>
              <w:t xml:space="preserve">. </w:t>
            </w:r>
          </w:p>
          <w:p w14:paraId="03B2304C"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5) </w:t>
            </w:r>
            <w:r w:rsidR="00D74B9A" w:rsidRPr="009C5F11">
              <w:rPr>
                <w:rFonts w:ascii="Times New Roman" w:eastAsia="Verdana" w:hAnsi="Times New Roman" w:cs="Times New Roman"/>
                <w:color w:val="000000"/>
                <w:sz w:val="18"/>
                <w:szCs w:val="14"/>
                <w:lang w:val="ro-RO"/>
              </w:rPr>
              <w:t>D</w:t>
            </w:r>
            <w:r w:rsidR="00603237" w:rsidRPr="009C5F11">
              <w:rPr>
                <w:rFonts w:ascii="Times New Roman" w:eastAsia="Verdana" w:hAnsi="Times New Roman" w:cs="Times New Roman"/>
                <w:color w:val="000000"/>
                <w:sz w:val="18"/>
                <w:szCs w:val="14"/>
                <w:lang w:val="ro-RO"/>
              </w:rPr>
              <w:t>in</w:t>
            </w:r>
            <w:r w:rsidRPr="009C5F11">
              <w:rPr>
                <w:rFonts w:ascii="Times New Roman" w:eastAsia="Verdana" w:hAnsi="Times New Roman" w:cs="Times New Roman"/>
                <w:color w:val="000000"/>
                <w:sz w:val="18"/>
                <w:szCs w:val="14"/>
                <w:lang w:val="ro-RO"/>
              </w:rPr>
              <w:t xml:space="preserve"> </w:t>
            </w:r>
            <w:r w:rsidR="00D74B9A" w:rsidRPr="009C5F11">
              <w:rPr>
                <w:rFonts w:ascii="Times New Roman" w:eastAsia="Verdana" w:hAnsi="Times New Roman" w:cs="Times New Roman"/>
                <w:color w:val="000000"/>
                <w:sz w:val="18"/>
                <w:szCs w:val="14"/>
                <w:lang w:val="ro-RO"/>
              </w:rPr>
              <w:t xml:space="preserve">cel </w:t>
            </w:r>
            <w:r w:rsidRPr="009C5F11">
              <w:rPr>
                <w:rFonts w:ascii="Times New Roman" w:eastAsia="Verdana" w:hAnsi="Times New Roman" w:cs="Times New Roman"/>
                <w:color w:val="000000"/>
                <w:sz w:val="18"/>
                <w:szCs w:val="14"/>
                <w:lang w:val="ro-RO"/>
              </w:rPr>
              <w:t xml:space="preserve">35 </w:t>
            </w:r>
            <w:r w:rsidR="00D74B9A" w:rsidRPr="009C5F11">
              <w:rPr>
                <w:rFonts w:ascii="Times New Roman" w:eastAsia="Verdana" w:hAnsi="Times New Roman" w:cs="Times New Roman"/>
                <w:color w:val="000000"/>
                <w:sz w:val="18"/>
                <w:szCs w:val="14"/>
                <w:lang w:val="ro-RO"/>
              </w:rPr>
              <w:t xml:space="preserve">de </w:t>
            </w:r>
            <w:r w:rsidR="00AA0566" w:rsidRPr="009C5F11">
              <w:rPr>
                <w:rFonts w:ascii="Times New Roman" w:eastAsia="Verdana" w:hAnsi="Times New Roman" w:cs="Times New Roman"/>
                <w:color w:val="000000"/>
                <w:sz w:val="18"/>
                <w:szCs w:val="14"/>
                <w:lang w:val="ro-RO"/>
              </w:rPr>
              <w:t>APL</w:t>
            </w:r>
            <w:r w:rsidR="00D74B9A" w:rsidRPr="009C5F11">
              <w:rPr>
                <w:rFonts w:ascii="Times New Roman" w:eastAsia="Verdana" w:hAnsi="Times New Roman" w:cs="Times New Roman"/>
                <w:color w:val="000000"/>
                <w:sz w:val="18"/>
                <w:szCs w:val="14"/>
                <w:lang w:val="ro-RO"/>
              </w:rPr>
              <w:t>-uri</w:t>
            </w:r>
            <w:r w:rsidRPr="009C5F11">
              <w:rPr>
                <w:rFonts w:ascii="Times New Roman" w:eastAsia="Verdana" w:hAnsi="Times New Roman" w:cs="Times New Roman"/>
                <w:color w:val="000000"/>
                <w:sz w:val="18"/>
                <w:szCs w:val="14"/>
                <w:lang w:val="ro-RO"/>
              </w:rPr>
              <w:t xml:space="preserve"> 13 </w:t>
            </w:r>
            <w:r w:rsidR="00D74B9A" w:rsidRPr="009C5F11">
              <w:rPr>
                <w:rFonts w:ascii="Times New Roman" w:eastAsia="Verdana" w:hAnsi="Times New Roman" w:cs="Times New Roman"/>
                <w:color w:val="000000"/>
                <w:sz w:val="18"/>
                <w:szCs w:val="14"/>
                <w:lang w:val="ro-RO"/>
              </w:rPr>
              <w:t xml:space="preserve">au raportat despre efectuarea </w:t>
            </w:r>
            <w:r w:rsidR="00210C2C" w:rsidRPr="009C5F11">
              <w:rPr>
                <w:rFonts w:ascii="Times New Roman" w:eastAsia="Verdana" w:hAnsi="Times New Roman" w:cs="Times New Roman"/>
                <w:color w:val="000000"/>
                <w:sz w:val="18"/>
                <w:szCs w:val="14"/>
                <w:lang w:val="ro-RO"/>
              </w:rPr>
              <w:t>monitoriz</w:t>
            </w:r>
            <w:r w:rsidR="00D74B9A" w:rsidRPr="009C5F11">
              <w:rPr>
                <w:rFonts w:ascii="Times New Roman" w:eastAsia="Verdana" w:hAnsi="Times New Roman" w:cs="Times New Roman"/>
                <w:color w:val="000000"/>
                <w:sz w:val="18"/>
                <w:szCs w:val="14"/>
                <w:lang w:val="ro-RO"/>
              </w:rPr>
              <w:t>ării consumului de</w:t>
            </w:r>
            <w:r w:rsidRPr="009C5F11">
              <w:rPr>
                <w:rFonts w:ascii="Times New Roman" w:eastAsia="Verdana" w:hAnsi="Times New Roman" w:cs="Times New Roman"/>
                <w:color w:val="000000"/>
                <w:sz w:val="18"/>
                <w:szCs w:val="14"/>
                <w:lang w:val="ro-RO"/>
              </w:rPr>
              <w:t xml:space="preserve"> </w:t>
            </w:r>
            <w:r w:rsidR="001E3482" w:rsidRPr="009C5F11">
              <w:rPr>
                <w:rFonts w:ascii="Times New Roman" w:eastAsia="Verdana" w:hAnsi="Times New Roman" w:cs="Times New Roman"/>
                <w:color w:val="000000"/>
                <w:sz w:val="18"/>
                <w:szCs w:val="14"/>
                <w:lang w:val="ro-RO"/>
              </w:rPr>
              <w:t>energie</w:t>
            </w:r>
            <w:r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Anenii Noi</w:t>
            </w:r>
            <w:r w:rsidRPr="009C5F11">
              <w:rPr>
                <w:rFonts w:ascii="Times New Roman" w:eastAsia="Verdana" w:hAnsi="Times New Roman" w:cs="Times New Roman"/>
                <w:color w:val="000000"/>
                <w:sz w:val="18"/>
                <w:szCs w:val="14"/>
                <w:lang w:val="ro-RO"/>
              </w:rPr>
              <w:t xml:space="preserve">, Cantemir, </w:t>
            </w:r>
            <w:r w:rsidR="005D06FD" w:rsidRPr="009C5F11">
              <w:rPr>
                <w:rFonts w:ascii="Times New Roman" w:eastAsia="Verdana" w:hAnsi="Times New Roman" w:cs="Times New Roman"/>
                <w:color w:val="000000"/>
                <w:sz w:val="18"/>
                <w:szCs w:val="14"/>
                <w:lang w:val="ro-RO"/>
              </w:rPr>
              <w:t>Căuşeni</w:t>
            </w:r>
            <w:r w:rsidRPr="009C5F11">
              <w:rPr>
                <w:rFonts w:ascii="Times New Roman" w:eastAsia="Verdana" w:hAnsi="Times New Roman" w:cs="Times New Roman"/>
                <w:color w:val="000000"/>
                <w:sz w:val="18"/>
                <w:szCs w:val="14"/>
                <w:lang w:val="ro-RO"/>
              </w:rPr>
              <w:t xml:space="preserve">, Criuleni, </w:t>
            </w:r>
            <w:r w:rsidR="005D06FD" w:rsidRPr="009C5F11">
              <w:rPr>
                <w:rFonts w:ascii="Times New Roman" w:eastAsia="Verdana" w:hAnsi="Times New Roman" w:cs="Times New Roman"/>
                <w:color w:val="000000"/>
                <w:sz w:val="18"/>
                <w:szCs w:val="14"/>
                <w:lang w:val="ro-RO"/>
              </w:rPr>
              <w:t>Făleşti</w:t>
            </w:r>
            <w:r w:rsidRPr="009C5F11">
              <w:rPr>
                <w:rFonts w:ascii="Times New Roman" w:eastAsia="Verdana" w:hAnsi="Times New Roman" w:cs="Times New Roman"/>
                <w:color w:val="000000"/>
                <w:sz w:val="18"/>
                <w:szCs w:val="14"/>
                <w:lang w:val="ro-RO"/>
              </w:rPr>
              <w:t xml:space="preserve">, Glodeni, Nisporeni, </w:t>
            </w:r>
            <w:r w:rsidR="005D06FD" w:rsidRPr="009C5F11">
              <w:rPr>
                <w:rFonts w:ascii="Times New Roman" w:eastAsia="Verdana" w:hAnsi="Times New Roman" w:cs="Times New Roman"/>
                <w:color w:val="000000"/>
                <w:sz w:val="18"/>
                <w:szCs w:val="14"/>
                <w:lang w:val="ro-RO"/>
              </w:rPr>
              <w:t>Ocniţa</w:t>
            </w:r>
            <w:r w:rsidRPr="009C5F11">
              <w:rPr>
                <w:rFonts w:ascii="Times New Roman" w:eastAsia="Verdana" w:hAnsi="Times New Roman" w:cs="Times New Roman"/>
                <w:color w:val="000000"/>
                <w:sz w:val="18"/>
                <w:szCs w:val="14"/>
                <w:lang w:val="ro-RO"/>
              </w:rPr>
              <w:t xml:space="preserve">, Rezina, </w:t>
            </w:r>
            <w:r w:rsidR="005D06FD" w:rsidRPr="009C5F11">
              <w:rPr>
                <w:rFonts w:ascii="Times New Roman" w:eastAsia="Verdana" w:hAnsi="Times New Roman" w:cs="Times New Roman"/>
                <w:color w:val="000000"/>
                <w:sz w:val="18"/>
                <w:szCs w:val="14"/>
                <w:lang w:val="ro-RO"/>
              </w:rPr>
              <w:t>Rîşcani</w:t>
            </w:r>
            <w:r w:rsidRPr="009C5F11">
              <w:rPr>
                <w:rFonts w:ascii="Times New Roman" w:eastAsia="Verdana" w:hAnsi="Times New Roman" w:cs="Times New Roman"/>
                <w:color w:val="000000"/>
                <w:sz w:val="18"/>
                <w:szCs w:val="14"/>
                <w:lang w:val="ro-RO"/>
              </w:rPr>
              <w:t xml:space="preserve">, Soroca, </w:t>
            </w:r>
            <w:r w:rsidR="005D06FD" w:rsidRPr="009C5F11">
              <w:rPr>
                <w:rFonts w:ascii="Times New Roman" w:eastAsia="Verdana" w:hAnsi="Times New Roman" w:cs="Times New Roman"/>
                <w:color w:val="000000"/>
                <w:sz w:val="18"/>
                <w:szCs w:val="14"/>
                <w:lang w:val="ro-RO"/>
              </w:rPr>
              <w:t>Şoldăneşti</w:t>
            </w:r>
            <w:r w:rsidR="00D74B9A" w:rsidRPr="009C5F11">
              <w:rPr>
                <w:rFonts w:ascii="Times New Roman" w:eastAsia="Verdana" w:hAnsi="Times New Roman" w:cs="Times New Roman"/>
                <w:color w:val="000000"/>
                <w:sz w:val="18"/>
                <w:szCs w:val="14"/>
                <w:lang w:val="ro-RO"/>
              </w:rPr>
              <w:t xml:space="preserve"> şi</w:t>
            </w:r>
            <w:r w:rsidRPr="009C5F11">
              <w:rPr>
                <w:rFonts w:ascii="Times New Roman" w:eastAsia="Verdana" w:hAnsi="Times New Roman" w:cs="Times New Roman"/>
                <w:color w:val="000000"/>
                <w:sz w:val="18"/>
                <w:szCs w:val="14"/>
                <w:lang w:val="ro-RO"/>
              </w:rPr>
              <w:t xml:space="preserve"> Ungheni.</w:t>
            </w:r>
          </w:p>
          <w:p w14:paraId="65F39000" w14:textId="77777777" w:rsidR="00780B2E" w:rsidRPr="009C5F11" w:rsidRDefault="00BD6579"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lastRenderedPageBreak/>
              <w:t>În 2014 a fost elaborat un studiu de evaluare a iluminatului stradal de tip LED în Republica Moldova.</w:t>
            </w:r>
          </w:p>
          <w:p w14:paraId="4BE83946" w14:textId="77777777" w:rsidR="00780B2E" w:rsidRPr="009C5F11" w:rsidRDefault="00360BED" w:rsidP="00F86968">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Pe parcursul anului</w:t>
            </w:r>
            <w:r w:rsidR="00780B2E" w:rsidRPr="009C5F11">
              <w:rPr>
                <w:rFonts w:ascii="Times New Roman" w:eastAsia="Verdana" w:hAnsi="Times New Roman" w:cs="Times New Roman"/>
                <w:color w:val="000000"/>
                <w:sz w:val="18"/>
                <w:szCs w:val="14"/>
                <w:lang w:val="ro-RO"/>
              </w:rPr>
              <w:t xml:space="preserve"> 2015, </w:t>
            </w:r>
            <w:r w:rsidR="00D74B9A" w:rsidRPr="009C5F11">
              <w:rPr>
                <w:rFonts w:ascii="Times New Roman" w:eastAsia="Verdana" w:hAnsi="Times New Roman" w:cs="Times New Roman"/>
                <w:color w:val="000000"/>
                <w:sz w:val="18"/>
                <w:szCs w:val="14"/>
                <w:lang w:val="ro-RO"/>
              </w:rPr>
              <w:t>Institutul Naţional de Metrologie</w:t>
            </w:r>
            <w:r w:rsidR="00780B2E" w:rsidRPr="009C5F11">
              <w:rPr>
                <w:rFonts w:ascii="Times New Roman" w:eastAsia="Verdana" w:hAnsi="Times New Roman" w:cs="Times New Roman"/>
                <w:color w:val="000000"/>
                <w:sz w:val="18"/>
                <w:szCs w:val="14"/>
                <w:lang w:val="ro-RO"/>
              </w:rPr>
              <w:t xml:space="preserve"> </w:t>
            </w:r>
            <w:r w:rsidR="00D74B9A" w:rsidRPr="009C5F11">
              <w:rPr>
                <w:rFonts w:ascii="Times New Roman" w:eastAsia="Verdana" w:hAnsi="Times New Roman" w:cs="Times New Roman"/>
                <w:color w:val="000000"/>
                <w:sz w:val="18"/>
                <w:szCs w:val="14"/>
                <w:lang w:val="ro-RO"/>
              </w:rPr>
              <w:t xml:space="preserve">a efectuat verificarea sistemului de iluminare stradală pe unele dintre străzile or. </w:t>
            </w:r>
            <w:r w:rsidR="00210C2C" w:rsidRPr="009C5F11">
              <w:rPr>
                <w:rFonts w:ascii="Times New Roman" w:eastAsia="Verdana" w:hAnsi="Times New Roman" w:cs="Times New Roman"/>
                <w:color w:val="000000"/>
                <w:sz w:val="18"/>
                <w:szCs w:val="14"/>
                <w:lang w:val="ro-RO"/>
              </w:rPr>
              <w:t>Bălţi</w:t>
            </w:r>
            <w:r w:rsidR="00780B2E" w:rsidRPr="009C5F11">
              <w:rPr>
                <w:rFonts w:ascii="Times New Roman" w:eastAsia="Verdana" w:hAnsi="Times New Roman" w:cs="Times New Roman"/>
                <w:color w:val="000000"/>
                <w:sz w:val="18"/>
                <w:szCs w:val="14"/>
                <w:lang w:val="ro-RO"/>
              </w:rPr>
              <w:t xml:space="preserve">. </w:t>
            </w:r>
            <w:r w:rsidR="00D74B9A" w:rsidRPr="009C5F11">
              <w:rPr>
                <w:rFonts w:ascii="Times New Roman" w:eastAsia="Verdana" w:hAnsi="Times New Roman" w:cs="Times New Roman"/>
                <w:color w:val="000000"/>
                <w:sz w:val="18"/>
                <w:szCs w:val="14"/>
                <w:lang w:val="ro-RO"/>
              </w:rPr>
              <w:t>V</w:t>
            </w:r>
            <w:r w:rsidR="00780B2E" w:rsidRPr="009C5F11">
              <w:rPr>
                <w:rFonts w:ascii="Times New Roman" w:eastAsia="Verdana" w:hAnsi="Times New Roman" w:cs="Times New Roman"/>
                <w:color w:val="000000"/>
                <w:sz w:val="18"/>
                <w:szCs w:val="14"/>
                <w:lang w:val="ro-RO"/>
              </w:rPr>
              <w:t>erifica</w:t>
            </w:r>
            <w:r w:rsidR="00D74B9A" w:rsidRPr="009C5F11">
              <w:rPr>
                <w:rFonts w:ascii="Times New Roman" w:eastAsia="Verdana" w:hAnsi="Times New Roman" w:cs="Times New Roman"/>
                <w:color w:val="000000"/>
                <w:sz w:val="18"/>
                <w:szCs w:val="14"/>
                <w:lang w:val="ro-RO"/>
              </w:rPr>
              <w:t xml:space="preserve">rea </w:t>
            </w:r>
            <w:r w:rsidR="00F86968" w:rsidRPr="009C5F11">
              <w:rPr>
                <w:rFonts w:ascii="Times New Roman" w:eastAsia="Verdana" w:hAnsi="Times New Roman" w:cs="Times New Roman"/>
                <w:color w:val="000000"/>
                <w:sz w:val="18"/>
                <w:szCs w:val="14"/>
                <w:lang w:val="ro-RO"/>
              </w:rPr>
              <w:t xml:space="preserve">a </w:t>
            </w:r>
            <w:r w:rsidR="00780B2E" w:rsidRPr="009C5F11">
              <w:rPr>
                <w:rFonts w:ascii="Times New Roman" w:eastAsia="Verdana" w:hAnsi="Times New Roman" w:cs="Times New Roman"/>
                <w:color w:val="000000"/>
                <w:sz w:val="18"/>
                <w:szCs w:val="14"/>
                <w:lang w:val="ro-RO"/>
              </w:rPr>
              <w:t>inclu</w:t>
            </w:r>
            <w:r w:rsidR="00D74B9A" w:rsidRPr="009C5F11">
              <w:rPr>
                <w:rFonts w:ascii="Times New Roman" w:eastAsia="Verdana" w:hAnsi="Times New Roman" w:cs="Times New Roman"/>
                <w:color w:val="000000"/>
                <w:sz w:val="18"/>
                <w:szCs w:val="14"/>
                <w:lang w:val="ro-RO"/>
              </w:rPr>
              <w:t>s</w:t>
            </w:r>
            <w:r w:rsidR="00780B2E" w:rsidRPr="009C5F11">
              <w:rPr>
                <w:rFonts w:ascii="Times New Roman" w:eastAsia="Verdana" w:hAnsi="Times New Roman" w:cs="Times New Roman"/>
                <w:color w:val="000000"/>
                <w:sz w:val="18"/>
                <w:szCs w:val="14"/>
                <w:lang w:val="ro-RO"/>
              </w:rPr>
              <w:t xml:space="preserve"> 5 (</w:t>
            </w:r>
            <w:r w:rsidR="00D74B9A" w:rsidRPr="009C5F11">
              <w:rPr>
                <w:rFonts w:ascii="Times New Roman" w:eastAsia="Verdana" w:hAnsi="Times New Roman" w:cs="Times New Roman"/>
                <w:color w:val="000000"/>
                <w:sz w:val="18"/>
                <w:szCs w:val="14"/>
                <w:lang w:val="ro-RO"/>
              </w:rPr>
              <w:t>cinci</w:t>
            </w:r>
            <w:r w:rsidR="00780B2E" w:rsidRPr="009C5F11">
              <w:rPr>
                <w:rFonts w:ascii="Times New Roman" w:eastAsia="Verdana" w:hAnsi="Times New Roman" w:cs="Times New Roman"/>
                <w:color w:val="000000"/>
                <w:sz w:val="18"/>
                <w:szCs w:val="14"/>
                <w:lang w:val="ro-RO"/>
              </w:rPr>
              <w:t>) segment</w:t>
            </w:r>
            <w:r w:rsidR="00D74B9A" w:rsidRPr="009C5F11">
              <w:rPr>
                <w:rFonts w:ascii="Times New Roman" w:eastAsia="Verdana" w:hAnsi="Times New Roman" w:cs="Times New Roman"/>
                <w:color w:val="000000"/>
                <w:sz w:val="18"/>
                <w:szCs w:val="14"/>
                <w:lang w:val="ro-RO"/>
              </w:rPr>
              <w:t>e</w:t>
            </w:r>
            <w:r w:rsidR="00780B2E" w:rsidRPr="009C5F11">
              <w:rPr>
                <w:rFonts w:ascii="Times New Roman" w:eastAsia="Verdana" w:hAnsi="Times New Roman" w:cs="Times New Roman"/>
                <w:color w:val="000000"/>
                <w:sz w:val="18"/>
                <w:szCs w:val="14"/>
                <w:lang w:val="ro-RO"/>
              </w:rPr>
              <w:t xml:space="preserve"> </w:t>
            </w:r>
            <w:r w:rsidR="00D74B9A" w:rsidRPr="009C5F11">
              <w:rPr>
                <w:rFonts w:ascii="Times New Roman" w:eastAsia="Verdana" w:hAnsi="Times New Roman" w:cs="Times New Roman"/>
                <w:color w:val="000000"/>
                <w:sz w:val="18"/>
                <w:szCs w:val="14"/>
                <w:lang w:val="ro-RO"/>
              </w:rPr>
              <w:t xml:space="preserve">de străzi cu iluminare modernizată de tip </w:t>
            </w:r>
            <w:r w:rsidR="00780B2E" w:rsidRPr="009C5F11">
              <w:rPr>
                <w:rFonts w:ascii="Times New Roman" w:eastAsia="Verdana" w:hAnsi="Times New Roman" w:cs="Times New Roman"/>
                <w:color w:val="000000"/>
                <w:sz w:val="18"/>
                <w:szCs w:val="14"/>
                <w:lang w:val="ro-RO"/>
              </w:rPr>
              <w:t xml:space="preserve">LED. </w:t>
            </w:r>
            <w:r w:rsidR="00D74B9A" w:rsidRPr="009C5F11">
              <w:rPr>
                <w:rFonts w:ascii="Times New Roman" w:eastAsia="Verdana" w:hAnsi="Times New Roman" w:cs="Times New Roman"/>
                <w:color w:val="000000"/>
                <w:sz w:val="18"/>
                <w:szCs w:val="14"/>
                <w:lang w:val="ro-RO"/>
              </w:rPr>
              <w:t>Rezultatele verificării au indicat faptul că nici unul dintre segmentele supuse verificării nu a atins cerinţele de iluminare recomandate de normele europene</w:t>
            </w:r>
            <w:r w:rsidR="00780B2E" w:rsidRPr="009C5F11">
              <w:rPr>
                <w:rFonts w:ascii="Times New Roman" w:eastAsia="Verdana" w:hAnsi="Times New Roman" w:cs="Times New Roman"/>
                <w:color w:val="000000"/>
                <w:sz w:val="18"/>
                <w:szCs w:val="14"/>
                <w:lang w:val="ro-RO"/>
              </w:rPr>
              <w:t>. Re</w:t>
            </w:r>
            <w:r w:rsidR="00D74B9A" w:rsidRPr="009C5F11">
              <w:rPr>
                <w:rFonts w:ascii="Times New Roman" w:eastAsia="Verdana" w:hAnsi="Times New Roman" w:cs="Times New Roman"/>
                <w:color w:val="000000"/>
                <w:sz w:val="18"/>
                <w:szCs w:val="14"/>
                <w:lang w:val="ro-RO"/>
              </w:rPr>
              <w:t xml:space="preserve">zultatele au fost prezentate </w:t>
            </w:r>
            <w:r w:rsidR="00780B2E" w:rsidRPr="009C5F11">
              <w:rPr>
                <w:rFonts w:ascii="Times New Roman" w:eastAsia="Verdana" w:hAnsi="Times New Roman" w:cs="Times New Roman"/>
                <w:color w:val="000000"/>
                <w:sz w:val="18"/>
                <w:szCs w:val="14"/>
                <w:lang w:val="ro-RO"/>
              </w:rPr>
              <w:t>public</w:t>
            </w:r>
            <w:r w:rsidR="00D74B9A" w:rsidRPr="009C5F11">
              <w:rPr>
                <w:rFonts w:ascii="Times New Roman" w:eastAsia="Verdana" w:hAnsi="Times New Roman" w:cs="Times New Roman"/>
                <w:color w:val="000000"/>
                <w:sz w:val="18"/>
                <w:szCs w:val="14"/>
                <w:lang w:val="ro-RO"/>
              </w:rPr>
              <w:t xml:space="preserve"> la </w:t>
            </w:r>
            <w:r w:rsidR="00AA0566" w:rsidRPr="009C5F11">
              <w:rPr>
                <w:rFonts w:ascii="Times New Roman" w:eastAsia="Verdana" w:hAnsi="Times New Roman" w:cs="Times New Roman"/>
                <w:color w:val="000000"/>
                <w:sz w:val="18"/>
                <w:szCs w:val="14"/>
                <w:lang w:val="ro-RO"/>
              </w:rPr>
              <w:t>AEE</w:t>
            </w:r>
            <w:r w:rsidR="00780B2E" w:rsidRPr="009C5F11">
              <w:rPr>
                <w:rFonts w:ascii="Times New Roman" w:eastAsia="Verdana" w:hAnsi="Times New Roman" w:cs="Times New Roman"/>
                <w:color w:val="000000"/>
                <w:sz w:val="18"/>
                <w:szCs w:val="14"/>
                <w:lang w:val="ro-RO"/>
              </w:rPr>
              <w:t xml:space="preserve"> </w:t>
            </w:r>
            <w:r w:rsidR="00D74B9A" w:rsidRPr="009C5F11">
              <w:rPr>
                <w:rFonts w:ascii="Times New Roman" w:eastAsia="Verdana" w:hAnsi="Times New Roman" w:cs="Times New Roman"/>
                <w:color w:val="000000"/>
                <w:sz w:val="18"/>
                <w:szCs w:val="14"/>
                <w:lang w:val="ro-RO"/>
              </w:rPr>
              <w:t>pe data de</w:t>
            </w:r>
            <w:r w:rsidR="00780B2E" w:rsidRPr="009C5F11">
              <w:rPr>
                <w:rFonts w:ascii="Times New Roman" w:eastAsia="Verdana" w:hAnsi="Times New Roman" w:cs="Times New Roman"/>
                <w:color w:val="000000"/>
                <w:sz w:val="18"/>
                <w:szCs w:val="14"/>
                <w:lang w:val="ro-RO"/>
              </w:rPr>
              <w:t xml:space="preserve"> 17.02.2016.</w:t>
            </w:r>
            <w:r w:rsidR="00055095" w:rsidRPr="009C5F11">
              <w:rPr>
                <w:rFonts w:ascii="Times New Roman" w:eastAsia="Verdana" w:hAnsi="Times New Roman" w:cs="Times New Roman"/>
                <w:color w:val="000000"/>
                <w:sz w:val="18"/>
                <w:szCs w:val="14"/>
                <w:lang w:val="ro-RO"/>
              </w:rPr>
              <w:t xml:space="preserve"> </w:t>
            </w:r>
          </w:p>
        </w:tc>
        <w:tc>
          <w:tcPr>
            <w:tcW w:w="617" w:type="pct"/>
            <w:gridSpan w:val="3"/>
            <w:shd w:val="clear" w:color="000000" w:fill="C5D9F1"/>
            <w:vAlign w:val="center"/>
          </w:tcPr>
          <w:p w14:paraId="26EA1423"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lastRenderedPageBreak/>
              <w:t>Implementarea continuă</w:t>
            </w:r>
            <w:r w:rsidR="00927CD9" w:rsidRPr="009C5F11">
              <w:rPr>
                <w:rFonts w:ascii="Times New Roman" w:eastAsia="Verdana" w:hAnsi="Times New Roman" w:cs="Times New Roman"/>
                <w:b/>
                <w:color w:val="000000"/>
                <w:sz w:val="18"/>
                <w:szCs w:val="14"/>
                <w:lang w:val="ro-RO"/>
              </w:rPr>
              <w:t xml:space="preserve"> conform planului</w:t>
            </w:r>
          </w:p>
        </w:tc>
      </w:tr>
      <w:tr w:rsidR="00780B2E" w:rsidRPr="009C5F11" w14:paraId="25814664" w14:textId="77777777" w:rsidTr="004810E8">
        <w:trPr>
          <w:trHeight w:val="300"/>
        </w:trPr>
        <w:tc>
          <w:tcPr>
            <w:tcW w:w="5000" w:type="pct"/>
            <w:gridSpan w:val="8"/>
            <w:tcBorders>
              <w:bottom w:val="single" w:sz="8" w:space="0" w:color="FFFFFF" w:themeColor="background1"/>
            </w:tcBorders>
            <w:shd w:val="clear" w:color="auto" w:fill="666666"/>
            <w:noWrap/>
            <w:vAlign w:val="bottom"/>
            <w:hideMark/>
          </w:tcPr>
          <w:p w14:paraId="6A038E91" w14:textId="77777777" w:rsidR="00780B2E" w:rsidRPr="009C5F11" w:rsidRDefault="007E1094" w:rsidP="00C807F1">
            <w:pPr>
              <w:spacing w:after="0" w:line="240" w:lineRule="auto"/>
              <w:jc w:val="center"/>
              <w:rPr>
                <w:rFonts w:ascii="Times New Roman" w:eastAsia="Verdana" w:hAnsi="Times New Roman" w:cs="Times New Roman"/>
                <w:b/>
                <w:bCs/>
                <w:color w:val="FFFFFF"/>
                <w:sz w:val="18"/>
                <w:szCs w:val="14"/>
                <w:lang w:val="ro-RO"/>
              </w:rPr>
            </w:pPr>
            <w:r w:rsidRPr="009C5F11">
              <w:rPr>
                <w:rFonts w:ascii="Times New Roman" w:eastAsia="Verdana" w:hAnsi="Times New Roman" w:cs="Times New Roman"/>
                <w:b/>
                <w:bCs/>
                <w:color w:val="FFFFFF"/>
                <w:sz w:val="18"/>
                <w:szCs w:val="14"/>
                <w:lang w:val="ro-RO"/>
              </w:rPr>
              <w:lastRenderedPageBreak/>
              <w:t>Măsuri în sectorul</w:t>
            </w:r>
            <w:r w:rsidR="00D74B9A" w:rsidRPr="009C5F11">
              <w:rPr>
                <w:rFonts w:ascii="Times New Roman" w:eastAsia="Verdana" w:hAnsi="Times New Roman" w:cs="Times New Roman"/>
                <w:b/>
                <w:bCs/>
                <w:color w:val="FFFFFF"/>
                <w:sz w:val="18"/>
                <w:szCs w:val="14"/>
                <w:lang w:val="ro-RO"/>
              </w:rPr>
              <w:t xml:space="preserve"> transporturilor</w:t>
            </w:r>
          </w:p>
        </w:tc>
      </w:tr>
      <w:tr w:rsidR="00780B2E" w:rsidRPr="009C5F11" w14:paraId="492427C7" w14:textId="77777777" w:rsidTr="00CD5222">
        <w:trPr>
          <w:trHeight w:val="300"/>
        </w:trPr>
        <w:tc>
          <w:tcPr>
            <w:tcW w:w="424" w:type="pct"/>
            <w:shd w:val="clear" w:color="000000" w:fill="D9D9D9"/>
            <w:noWrap/>
            <w:vAlign w:val="center"/>
            <w:hideMark/>
          </w:tcPr>
          <w:p w14:paraId="6B762B83"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T1</w:t>
            </w:r>
          </w:p>
          <w:p w14:paraId="2F7041D8"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p w14:paraId="009ABBB0"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Art.110</w:t>
            </w:r>
            <w:r w:rsidR="00321CD5" w:rsidRPr="009C5F11">
              <w:rPr>
                <w:rFonts w:ascii="Times New Roman" w:eastAsia="Verdana" w:hAnsi="Times New Roman" w:cs="Times New Roman"/>
                <w:color w:val="000000"/>
                <w:sz w:val="18"/>
                <w:szCs w:val="14"/>
                <w:lang w:val="ro-RO"/>
              </w:rPr>
              <w:t xml:space="preserve"> </w:t>
            </w:r>
            <w:r w:rsidR="00210C2C" w:rsidRPr="009C5F11">
              <w:rPr>
                <w:rFonts w:ascii="Times New Roman" w:eastAsia="Verdana" w:hAnsi="Times New Roman" w:cs="Times New Roman"/>
                <w:color w:val="000000"/>
                <w:sz w:val="18"/>
                <w:szCs w:val="14"/>
                <w:lang w:val="ro-RO"/>
              </w:rPr>
              <w:t>din PNAEE 2013-2015</w:t>
            </w:r>
          </w:p>
          <w:p w14:paraId="4B1EF59A" w14:textId="77777777" w:rsidR="00780B2E" w:rsidRPr="009C5F11" w:rsidRDefault="00780B2E" w:rsidP="00192725">
            <w:pPr>
              <w:spacing w:after="0" w:line="240" w:lineRule="auto"/>
              <w:jc w:val="center"/>
              <w:rPr>
                <w:rFonts w:ascii="Times New Roman" w:eastAsia="Verdana" w:hAnsi="Times New Roman" w:cs="Times New Roman"/>
                <w:color w:val="000000"/>
                <w:sz w:val="18"/>
                <w:szCs w:val="14"/>
                <w:lang w:val="ro-RO"/>
              </w:rPr>
            </w:pPr>
          </w:p>
        </w:tc>
        <w:tc>
          <w:tcPr>
            <w:tcW w:w="935" w:type="pct"/>
            <w:shd w:val="clear" w:color="000000" w:fill="D9D9D9"/>
            <w:noWrap/>
            <w:vAlign w:val="center"/>
            <w:hideMark/>
          </w:tcPr>
          <w:p w14:paraId="7DC0E44B" w14:textId="77777777" w:rsidR="00780B2E" w:rsidRPr="009C5F11" w:rsidRDefault="00FD5F1C" w:rsidP="003D3C21">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Promovarea</w:t>
            </w:r>
            <w:r w:rsidR="00780B2E" w:rsidRPr="009C5F11">
              <w:rPr>
                <w:rFonts w:ascii="Times New Roman" w:eastAsia="Verdana" w:hAnsi="Times New Roman" w:cs="Times New Roman"/>
                <w:color w:val="000000"/>
                <w:sz w:val="18"/>
                <w:szCs w:val="14"/>
                <w:lang w:val="ro-RO"/>
              </w:rPr>
              <w:t xml:space="preserve"> </w:t>
            </w:r>
            <w:r w:rsidR="001F5C51" w:rsidRPr="009C5F11">
              <w:rPr>
                <w:rFonts w:ascii="Times New Roman" w:eastAsia="Verdana" w:hAnsi="Times New Roman" w:cs="Times New Roman"/>
                <w:color w:val="000000"/>
                <w:sz w:val="18"/>
                <w:szCs w:val="14"/>
                <w:lang w:val="ro-RO"/>
              </w:rPr>
              <w:t>eficienţei energetice</w:t>
            </w:r>
            <w:r w:rsidR="00321CD5" w:rsidRPr="009C5F11">
              <w:rPr>
                <w:rFonts w:ascii="Times New Roman" w:eastAsia="Verdana" w:hAnsi="Times New Roman" w:cs="Times New Roman"/>
                <w:color w:val="000000"/>
                <w:sz w:val="18"/>
                <w:szCs w:val="14"/>
                <w:lang w:val="ro-RO"/>
              </w:rPr>
              <w:t xml:space="preserve"> </w:t>
            </w:r>
            <w:r w:rsidRPr="009C5F11">
              <w:rPr>
                <w:rFonts w:ascii="Times New Roman" w:eastAsia="Verdana" w:hAnsi="Times New Roman" w:cs="Times New Roman"/>
                <w:color w:val="000000"/>
                <w:sz w:val="18"/>
                <w:szCs w:val="14"/>
                <w:lang w:val="ro-RO"/>
              </w:rPr>
              <w:t>în sectorul transportului terestru</w:t>
            </w:r>
          </w:p>
        </w:tc>
        <w:tc>
          <w:tcPr>
            <w:tcW w:w="321" w:type="pct"/>
            <w:shd w:val="clear" w:color="000000" w:fill="D9D9D9"/>
            <w:noWrap/>
            <w:vAlign w:val="center"/>
            <w:hideMark/>
          </w:tcPr>
          <w:p w14:paraId="6C030442" w14:textId="77777777" w:rsidR="00780B2E" w:rsidRPr="009C5F11" w:rsidRDefault="00780B2E" w:rsidP="003D3C21">
            <w:pPr>
              <w:spacing w:after="0" w:line="240" w:lineRule="auto"/>
              <w:jc w:val="center"/>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0.124</w:t>
            </w:r>
          </w:p>
        </w:tc>
        <w:tc>
          <w:tcPr>
            <w:tcW w:w="322" w:type="pct"/>
            <w:shd w:val="clear" w:color="000000" w:fill="D9D9D9"/>
            <w:vAlign w:val="center"/>
          </w:tcPr>
          <w:p w14:paraId="4AC75149" w14:textId="77777777" w:rsidR="00780B2E" w:rsidRPr="009C5F11" w:rsidRDefault="00780B2E" w:rsidP="003D3C21">
            <w:pPr>
              <w:spacing w:after="0" w:line="240" w:lineRule="auto"/>
              <w:jc w:val="center"/>
              <w:rPr>
                <w:rFonts w:ascii="Times New Roman" w:eastAsia="Verdana" w:hAnsi="Times New Roman" w:cs="Times New Roman"/>
                <w:b/>
                <w:bCs/>
                <w:color w:val="000000"/>
                <w:sz w:val="18"/>
                <w:szCs w:val="14"/>
                <w:lang w:val="ro-RO"/>
              </w:rPr>
            </w:pPr>
            <w:r w:rsidRPr="009C5F11">
              <w:rPr>
                <w:rFonts w:ascii="Times New Roman" w:eastAsia="Verdana" w:hAnsi="Times New Roman" w:cs="Times New Roman"/>
                <w:b/>
                <w:bCs/>
                <w:color w:val="000000"/>
                <w:sz w:val="18"/>
                <w:szCs w:val="14"/>
                <w:lang w:val="ro-RO"/>
              </w:rPr>
              <w:t>33.7</w:t>
            </w:r>
          </w:p>
        </w:tc>
        <w:tc>
          <w:tcPr>
            <w:tcW w:w="2381" w:type="pct"/>
            <w:shd w:val="clear" w:color="000000" w:fill="D9D9D9"/>
          </w:tcPr>
          <w:p w14:paraId="5B863A5B" w14:textId="77777777" w:rsidR="00780B2E" w:rsidRPr="009C5F11" w:rsidRDefault="00FB4B3D" w:rsidP="00C807F1">
            <w:pPr>
              <w:spacing w:after="0" w:line="240" w:lineRule="auto"/>
              <w:jc w:val="right"/>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Implementată parţial</w:t>
            </w:r>
          </w:p>
          <w:p w14:paraId="477990EC" w14:textId="77777777" w:rsidR="00780B2E" w:rsidRPr="009C5F11" w:rsidRDefault="00780B2E" w:rsidP="00C807F1">
            <w:pPr>
              <w:spacing w:after="0" w:line="240" w:lineRule="auto"/>
              <w:jc w:val="right"/>
              <w:rPr>
                <w:rFonts w:ascii="Times New Roman" w:eastAsia="Verdana" w:hAnsi="Times New Roman" w:cs="Times New Roman"/>
                <w:b/>
                <w:color w:val="000000"/>
                <w:sz w:val="18"/>
                <w:szCs w:val="14"/>
                <w:lang w:val="ro-RO"/>
              </w:rPr>
            </w:pPr>
          </w:p>
          <w:p w14:paraId="1DB97BBD" w14:textId="77777777" w:rsidR="00780B2E" w:rsidRPr="009C5F11" w:rsidRDefault="00471C66"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Cel mai recent raport disponibil prezentat de </w:t>
            </w:r>
            <w:r w:rsidR="00AA0566" w:rsidRPr="009C5F11">
              <w:rPr>
                <w:rFonts w:ascii="Times New Roman" w:eastAsia="Verdana" w:hAnsi="Times New Roman" w:cs="Times New Roman"/>
                <w:color w:val="000000"/>
                <w:sz w:val="18"/>
                <w:szCs w:val="14"/>
                <w:lang w:val="ro-RO"/>
              </w:rPr>
              <w:t>AEE</w:t>
            </w:r>
            <w:r w:rsidRPr="009C5F11">
              <w:rPr>
                <w:rFonts w:ascii="Times New Roman" w:eastAsia="Verdana" w:hAnsi="Times New Roman" w:cs="Times New Roman"/>
                <w:color w:val="000000"/>
                <w:sz w:val="18"/>
                <w:szCs w:val="14"/>
                <w:lang w:val="ro-RO"/>
              </w:rPr>
              <w:t xml:space="preserve"> oferă următoarele informaţii despre realizarea măsurii vizate</w:t>
            </w:r>
            <w:r w:rsidR="00780B2E" w:rsidRPr="009C5F11">
              <w:rPr>
                <w:rFonts w:ascii="Times New Roman" w:eastAsia="Verdana" w:hAnsi="Times New Roman" w:cs="Times New Roman"/>
                <w:color w:val="000000"/>
                <w:sz w:val="18"/>
                <w:szCs w:val="14"/>
                <w:lang w:val="ro-RO"/>
              </w:rPr>
              <w:t>.</w:t>
            </w:r>
          </w:p>
          <w:p w14:paraId="6FCCB881"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1) 2013: </w:t>
            </w:r>
            <w:r w:rsidR="00471C66" w:rsidRPr="009C5F11">
              <w:rPr>
                <w:rFonts w:ascii="Times New Roman" w:eastAsia="Verdana" w:hAnsi="Times New Roman" w:cs="Times New Roman"/>
                <w:color w:val="000000"/>
                <w:sz w:val="18"/>
                <w:szCs w:val="14"/>
                <w:lang w:val="ro-RO"/>
              </w:rPr>
              <w:t xml:space="preserve">procesul de colectare a informaţiilor pentru elaborarea regulamentelor, orientărilor şi programelor </w:t>
            </w:r>
            <w:r w:rsidRPr="009C5F11">
              <w:rPr>
                <w:rFonts w:ascii="Times New Roman" w:eastAsia="Verdana" w:hAnsi="Times New Roman" w:cs="Times New Roman"/>
                <w:color w:val="000000"/>
                <w:sz w:val="18"/>
                <w:szCs w:val="14"/>
                <w:lang w:val="ro-RO"/>
              </w:rPr>
              <w:t xml:space="preserve">respective </w:t>
            </w:r>
            <w:r w:rsidR="00471C66" w:rsidRPr="009C5F11">
              <w:rPr>
                <w:rFonts w:ascii="Times New Roman" w:eastAsia="Verdana" w:hAnsi="Times New Roman" w:cs="Times New Roman"/>
                <w:color w:val="000000"/>
                <w:sz w:val="18"/>
                <w:szCs w:val="14"/>
                <w:lang w:val="ro-RO"/>
              </w:rPr>
              <w:t>este în derulare</w:t>
            </w:r>
            <w:r w:rsidRPr="009C5F11">
              <w:rPr>
                <w:rFonts w:ascii="Times New Roman" w:eastAsia="Verdana" w:hAnsi="Times New Roman" w:cs="Times New Roman"/>
                <w:color w:val="000000"/>
                <w:sz w:val="18"/>
                <w:szCs w:val="14"/>
                <w:lang w:val="ro-RO"/>
              </w:rPr>
              <w:t xml:space="preserve">. </w:t>
            </w:r>
          </w:p>
          <w:p w14:paraId="1BCF2B92"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1)-5) 2014: </w:t>
            </w:r>
            <w:r w:rsidR="004424A0" w:rsidRPr="009C5F11">
              <w:rPr>
                <w:rFonts w:ascii="Times New Roman" w:eastAsia="Verdana" w:hAnsi="Times New Roman" w:cs="Times New Roman"/>
                <w:color w:val="000000"/>
                <w:sz w:val="18"/>
                <w:szCs w:val="14"/>
                <w:lang w:val="ro-RO"/>
              </w:rPr>
              <w:t>Planul de acţiun</w:t>
            </w:r>
            <w:r w:rsidR="00471C66" w:rsidRPr="009C5F11">
              <w:rPr>
                <w:rFonts w:ascii="Times New Roman" w:eastAsia="Verdana" w:hAnsi="Times New Roman" w:cs="Times New Roman"/>
                <w:color w:val="000000"/>
                <w:sz w:val="18"/>
                <w:szCs w:val="14"/>
                <w:lang w:val="ro-RO"/>
              </w:rPr>
              <w:t>i</w:t>
            </w:r>
            <w:r w:rsidRPr="009C5F11">
              <w:rPr>
                <w:rFonts w:ascii="Times New Roman" w:eastAsia="Verdana" w:hAnsi="Times New Roman" w:cs="Times New Roman"/>
                <w:color w:val="000000"/>
                <w:sz w:val="18"/>
                <w:szCs w:val="14"/>
                <w:lang w:val="ro-RO"/>
              </w:rPr>
              <w:t xml:space="preserve"> </w:t>
            </w:r>
            <w:r w:rsidR="00471C66" w:rsidRPr="009C5F11">
              <w:rPr>
                <w:rFonts w:ascii="Times New Roman" w:eastAsia="Verdana" w:hAnsi="Times New Roman" w:cs="Times New Roman"/>
                <w:color w:val="000000"/>
                <w:sz w:val="18"/>
                <w:szCs w:val="14"/>
                <w:lang w:val="ro-RO"/>
              </w:rPr>
              <w:t>pe anul</w:t>
            </w:r>
            <w:r w:rsidRPr="009C5F11">
              <w:rPr>
                <w:rFonts w:ascii="Times New Roman" w:eastAsia="Verdana" w:hAnsi="Times New Roman" w:cs="Times New Roman"/>
                <w:color w:val="000000"/>
                <w:sz w:val="18"/>
                <w:szCs w:val="14"/>
                <w:lang w:val="ro-RO"/>
              </w:rPr>
              <w:t xml:space="preserve"> 2015 </w:t>
            </w:r>
            <w:r w:rsidR="00471C66" w:rsidRPr="009C5F11">
              <w:rPr>
                <w:rFonts w:ascii="Times New Roman" w:eastAsia="Verdana" w:hAnsi="Times New Roman" w:cs="Times New Roman"/>
                <w:color w:val="000000"/>
                <w:sz w:val="18"/>
                <w:szCs w:val="14"/>
                <w:lang w:val="ro-RO"/>
              </w:rPr>
              <w:t>al</w:t>
            </w:r>
            <w:r w:rsidRPr="009C5F11">
              <w:rPr>
                <w:rFonts w:ascii="Times New Roman" w:eastAsia="Verdana" w:hAnsi="Times New Roman" w:cs="Times New Roman"/>
                <w:color w:val="000000"/>
                <w:sz w:val="18"/>
                <w:szCs w:val="14"/>
                <w:lang w:val="ro-RO"/>
              </w:rPr>
              <w:t xml:space="preserve"> </w:t>
            </w:r>
            <w:r w:rsidR="00D55D28" w:rsidRPr="009C5F11">
              <w:rPr>
                <w:rFonts w:ascii="Times New Roman" w:eastAsia="Verdana" w:hAnsi="Times New Roman" w:cs="Times New Roman"/>
                <w:color w:val="000000"/>
                <w:sz w:val="18"/>
                <w:szCs w:val="14"/>
                <w:lang w:val="ro-RO"/>
              </w:rPr>
              <w:t>Ministerul</w:t>
            </w:r>
            <w:r w:rsidR="00471C66" w:rsidRPr="009C5F11">
              <w:rPr>
                <w:rFonts w:ascii="Times New Roman" w:eastAsia="Verdana" w:hAnsi="Times New Roman" w:cs="Times New Roman"/>
                <w:color w:val="000000"/>
                <w:sz w:val="18"/>
                <w:szCs w:val="14"/>
                <w:lang w:val="ro-RO"/>
              </w:rPr>
              <w:t>ui</w:t>
            </w:r>
            <w:r w:rsidR="00321CD5" w:rsidRPr="009C5F11">
              <w:rPr>
                <w:rFonts w:ascii="Times New Roman" w:eastAsia="Verdana" w:hAnsi="Times New Roman" w:cs="Times New Roman"/>
                <w:color w:val="000000"/>
                <w:sz w:val="18"/>
                <w:szCs w:val="14"/>
                <w:lang w:val="ro-RO"/>
              </w:rPr>
              <w:t xml:space="preserve"> Transporturilor şi </w:t>
            </w:r>
            <w:r w:rsidR="00471C66" w:rsidRPr="009C5F11">
              <w:rPr>
                <w:rFonts w:ascii="Times New Roman" w:eastAsia="Verdana" w:hAnsi="Times New Roman" w:cs="Times New Roman"/>
                <w:color w:val="000000"/>
                <w:sz w:val="18"/>
                <w:szCs w:val="14"/>
                <w:lang w:val="ro-RO"/>
              </w:rPr>
              <w:t>Infrastructurii Drumurilor</w:t>
            </w:r>
            <w:r w:rsidRPr="009C5F11">
              <w:rPr>
                <w:rFonts w:ascii="Times New Roman" w:eastAsia="Verdana" w:hAnsi="Times New Roman" w:cs="Times New Roman"/>
                <w:color w:val="000000"/>
                <w:sz w:val="18"/>
                <w:szCs w:val="14"/>
                <w:lang w:val="ro-RO"/>
              </w:rPr>
              <w:t xml:space="preserve"> (MTI</w:t>
            </w:r>
            <w:r w:rsidR="00471C66" w:rsidRPr="009C5F11">
              <w:rPr>
                <w:rFonts w:ascii="Times New Roman" w:eastAsia="Verdana" w:hAnsi="Times New Roman" w:cs="Times New Roman"/>
                <w:color w:val="000000"/>
                <w:sz w:val="18"/>
                <w:szCs w:val="14"/>
                <w:lang w:val="ro-RO"/>
              </w:rPr>
              <w:t>D</w:t>
            </w:r>
            <w:r w:rsidRPr="009C5F11">
              <w:rPr>
                <w:rFonts w:ascii="Times New Roman" w:eastAsia="Verdana" w:hAnsi="Times New Roman" w:cs="Times New Roman"/>
                <w:color w:val="000000"/>
                <w:sz w:val="18"/>
                <w:szCs w:val="14"/>
                <w:lang w:val="ro-RO"/>
              </w:rPr>
              <w:t xml:space="preserve">) include </w:t>
            </w:r>
            <w:r w:rsidR="00BA5A89" w:rsidRPr="009C5F11">
              <w:rPr>
                <w:rFonts w:ascii="Times New Roman" w:eastAsia="Verdana" w:hAnsi="Times New Roman" w:cs="Times New Roman"/>
                <w:color w:val="000000"/>
                <w:sz w:val="18"/>
                <w:szCs w:val="14"/>
                <w:lang w:val="ro-RO"/>
              </w:rPr>
              <w:t>elaborarea</w:t>
            </w:r>
            <w:r w:rsidRPr="009C5F11">
              <w:rPr>
                <w:rFonts w:ascii="Times New Roman" w:eastAsia="Verdana" w:hAnsi="Times New Roman" w:cs="Times New Roman"/>
                <w:color w:val="000000"/>
                <w:sz w:val="18"/>
                <w:szCs w:val="14"/>
                <w:lang w:val="ro-RO"/>
              </w:rPr>
              <w:t xml:space="preserve"> Regula</w:t>
            </w:r>
            <w:r w:rsidR="00471C66" w:rsidRPr="009C5F11">
              <w:rPr>
                <w:rFonts w:ascii="Times New Roman" w:eastAsia="Verdana" w:hAnsi="Times New Roman" w:cs="Times New Roman"/>
                <w:color w:val="000000"/>
                <w:sz w:val="18"/>
                <w:szCs w:val="14"/>
                <w:lang w:val="ro-RO"/>
              </w:rPr>
              <w:t>mentului</w:t>
            </w:r>
            <w:r w:rsidRPr="009C5F11">
              <w:rPr>
                <w:rFonts w:ascii="Times New Roman" w:eastAsia="Verdana" w:hAnsi="Times New Roman" w:cs="Times New Roman"/>
                <w:color w:val="000000"/>
                <w:sz w:val="18"/>
                <w:szCs w:val="14"/>
                <w:lang w:val="ro-RO"/>
              </w:rPr>
              <w:t xml:space="preserve"> </w:t>
            </w:r>
            <w:r w:rsidR="00471C66" w:rsidRPr="009C5F11">
              <w:rPr>
                <w:rFonts w:ascii="Times New Roman" w:eastAsia="Verdana" w:hAnsi="Times New Roman" w:cs="Times New Roman"/>
                <w:color w:val="000000"/>
                <w:sz w:val="18"/>
                <w:szCs w:val="14"/>
                <w:lang w:val="ro-RO"/>
              </w:rPr>
              <w:t xml:space="preserve">privind </w:t>
            </w:r>
            <w:r w:rsidR="00BD6579" w:rsidRPr="009C5F11">
              <w:rPr>
                <w:rFonts w:ascii="Times New Roman" w:eastAsia="Verdana" w:hAnsi="Times New Roman" w:cs="Times New Roman"/>
                <w:color w:val="000000"/>
                <w:sz w:val="18"/>
                <w:szCs w:val="14"/>
                <w:lang w:val="ro-RO"/>
              </w:rPr>
              <w:t>etichetarea</w:t>
            </w:r>
            <w:r w:rsidR="00471C66" w:rsidRPr="009C5F11">
              <w:rPr>
                <w:rFonts w:ascii="Times New Roman" w:eastAsia="Verdana" w:hAnsi="Times New Roman" w:cs="Times New Roman"/>
                <w:color w:val="000000"/>
                <w:sz w:val="18"/>
                <w:szCs w:val="14"/>
                <w:lang w:val="ro-RO"/>
              </w:rPr>
              <w:t xml:space="preserve"> pneurilor</w:t>
            </w:r>
            <w:r w:rsidRPr="009C5F11">
              <w:rPr>
                <w:rFonts w:ascii="Times New Roman" w:eastAsia="Verdana" w:hAnsi="Times New Roman" w:cs="Times New Roman"/>
                <w:color w:val="000000"/>
                <w:sz w:val="18"/>
                <w:szCs w:val="14"/>
                <w:lang w:val="ro-RO"/>
              </w:rPr>
              <w:t xml:space="preserve">, </w:t>
            </w:r>
            <w:r w:rsidR="00471C66" w:rsidRPr="009C5F11">
              <w:rPr>
                <w:rFonts w:ascii="Times New Roman" w:eastAsia="Verdana" w:hAnsi="Times New Roman" w:cs="Times New Roman"/>
                <w:color w:val="000000"/>
                <w:sz w:val="18"/>
                <w:szCs w:val="14"/>
                <w:lang w:val="ro-RO"/>
              </w:rPr>
              <w:t xml:space="preserve">care va aborda </w:t>
            </w:r>
            <w:r w:rsidR="00016A4B" w:rsidRPr="009C5F11">
              <w:rPr>
                <w:rFonts w:ascii="Times New Roman" w:eastAsia="Verdana" w:hAnsi="Times New Roman" w:cs="Times New Roman"/>
                <w:color w:val="000000"/>
                <w:sz w:val="18"/>
                <w:szCs w:val="14"/>
                <w:lang w:val="ro-RO"/>
              </w:rPr>
              <w:t>următoarele</w:t>
            </w:r>
            <w:r w:rsidR="00471C66" w:rsidRPr="009C5F11">
              <w:rPr>
                <w:rFonts w:ascii="Times New Roman" w:eastAsia="Verdana" w:hAnsi="Times New Roman" w:cs="Times New Roman"/>
                <w:color w:val="000000"/>
                <w:sz w:val="18"/>
                <w:szCs w:val="14"/>
                <w:lang w:val="ro-RO"/>
              </w:rPr>
              <w:t xml:space="preserve"> aspecte</w:t>
            </w:r>
            <w:r w:rsidRPr="009C5F11">
              <w:rPr>
                <w:rFonts w:ascii="Times New Roman" w:eastAsia="Verdana" w:hAnsi="Times New Roman" w:cs="Times New Roman"/>
                <w:color w:val="000000"/>
                <w:sz w:val="18"/>
                <w:szCs w:val="14"/>
                <w:lang w:val="ro-RO"/>
              </w:rPr>
              <w:t>:</w:t>
            </w:r>
          </w:p>
          <w:p w14:paraId="75C73982" w14:textId="77777777" w:rsidR="00780B2E" w:rsidRPr="009C5F11" w:rsidRDefault="00471C66" w:rsidP="00334F3B">
            <w:pPr>
              <w:numPr>
                <w:ilvl w:val="0"/>
                <w:numId w:val="55"/>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cadrul de reglementare privind etichetarea pneurilor</w:t>
            </w:r>
            <w:r w:rsidRPr="009C5F11">
              <w:rPr>
                <w:rFonts w:ascii="Times New Roman" w:eastAsia="Verdana" w:hAnsi="Times New Roman" w:cs="Times New Roman"/>
                <w:color w:val="000000"/>
                <w:sz w:val="18"/>
                <w:szCs w:val="14"/>
                <w:lang w:val="ro-RO"/>
              </w:rPr>
              <w:t xml:space="preserve"> </w:t>
            </w:r>
            <w:r w:rsidR="00780B2E" w:rsidRPr="009C5F11">
              <w:rPr>
                <w:rFonts w:ascii="Times New Roman" w:eastAsia="Verdana" w:hAnsi="Times New Roman" w:cs="Times New Roman"/>
                <w:color w:val="000000"/>
                <w:sz w:val="18"/>
                <w:szCs w:val="14"/>
                <w:lang w:val="ro-RO"/>
              </w:rPr>
              <w:t>(p.10);</w:t>
            </w:r>
          </w:p>
          <w:p w14:paraId="76F61647" w14:textId="77777777" w:rsidR="00780B2E" w:rsidRPr="009C5F11" w:rsidRDefault="00471C66" w:rsidP="00334F3B">
            <w:pPr>
              <w:numPr>
                <w:ilvl w:val="0"/>
                <w:numId w:val="55"/>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elaborarea şi desemnarea recomandărilor pentru autorităţile publice privind procurările de transport cu un accent sporit asupra eficienţei carburanţilor consumaţi</w:t>
            </w:r>
            <w:r w:rsidR="00780B2E" w:rsidRPr="009C5F11">
              <w:rPr>
                <w:rFonts w:ascii="Times New Roman" w:eastAsia="Verdana" w:hAnsi="Times New Roman" w:cs="Times New Roman"/>
                <w:color w:val="000000"/>
                <w:sz w:val="18"/>
                <w:szCs w:val="14"/>
                <w:lang w:val="ro-RO"/>
              </w:rPr>
              <w:t>;</w:t>
            </w:r>
          </w:p>
          <w:p w14:paraId="59C18AEB" w14:textId="77777777" w:rsidR="00780B2E" w:rsidRPr="009C5F11" w:rsidRDefault="00471C66" w:rsidP="00334F3B">
            <w:pPr>
              <w:numPr>
                <w:ilvl w:val="0"/>
                <w:numId w:val="55"/>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 xml:space="preserve">elaborarea regulilor pentru importul pneurilor conform claselor </w:t>
            </w:r>
            <w:r w:rsidR="00780B2E" w:rsidRPr="009C5F11">
              <w:rPr>
                <w:rFonts w:ascii="Times New Roman" w:eastAsia="Verdana" w:hAnsi="Times New Roman" w:cs="Times New Roman"/>
                <w:color w:val="000000"/>
                <w:sz w:val="18"/>
                <w:szCs w:val="14"/>
                <w:lang w:val="ro-RO"/>
              </w:rPr>
              <w:t>C1, C2,</w:t>
            </w:r>
            <w:r w:rsidR="00321CD5" w:rsidRPr="009C5F11">
              <w:rPr>
                <w:rFonts w:ascii="Times New Roman" w:eastAsia="Verdana" w:hAnsi="Times New Roman" w:cs="Times New Roman"/>
                <w:color w:val="000000"/>
                <w:sz w:val="18"/>
                <w:szCs w:val="14"/>
                <w:lang w:val="ro-RO"/>
              </w:rPr>
              <w:t xml:space="preserve"> şi </w:t>
            </w:r>
            <w:r w:rsidR="00780B2E" w:rsidRPr="009C5F11">
              <w:rPr>
                <w:rFonts w:ascii="Times New Roman" w:eastAsia="Verdana" w:hAnsi="Times New Roman" w:cs="Times New Roman"/>
                <w:color w:val="000000"/>
                <w:sz w:val="18"/>
                <w:szCs w:val="14"/>
                <w:lang w:val="ro-RO"/>
              </w:rPr>
              <w:t>C3;</w:t>
            </w:r>
          </w:p>
          <w:p w14:paraId="70FB2D37" w14:textId="77777777" w:rsidR="00780B2E" w:rsidRPr="009C5F11" w:rsidRDefault="00471C66" w:rsidP="00334F3B">
            <w:pPr>
              <w:numPr>
                <w:ilvl w:val="0"/>
                <w:numId w:val="55"/>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elaborarea programelor pentru optimizarea circulaţiei transportului pe străzile centrale ale localităţilor</w:t>
            </w:r>
            <w:r w:rsidR="00780B2E" w:rsidRPr="009C5F11">
              <w:rPr>
                <w:rFonts w:ascii="Times New Roman" w:eastAsia="Verdana" w:hAnsi="Times New Roman" w:cs="Times New Roman"/>
                <w:color w:val="000000"/>
                <w:sz w:val="18"/>
                <w:szCs w:val="14"/>
                <w:lang w:val="ro-RO"/>
              </w:rPr>
              <w:t>;</w:t>
            </w:r>
          </w:p>
          <w:p w14:paraId="6F027AA2" w14:textId="77777777" w:rsidR="00780B2E" w:rsidRPr="009C5F11" w:rsidRDefault="00471C66" w:rsidP="00334F3B">
            <w:pPr>
              <w:numPr>
                <w:ilvl w:val="0"/>
                <w:numId w:val="55"/>
              </w:numPr>
              <w:spacing w:after="0" w:line="240" w:lineRule="auto"/>
              <w:rPr>
                <w:rFonts w:ascii="Times New Roman" w:eastAsia="Verdana" w:hAnsi="Times New Roman" w:cs="Times New Roman"/>
                <w:color w:val="000000"/>
                <w:sz w:val="18"/>
                <w:szCs w:val="14"/>
                <w:lang w:val="ro-RO"/>
              </w:rPr>
            </w:pPr>
            <w:r w:rsidRPr="009C5F11">
              <w:rPr>
                <w:rFonts w:ascii="Times New Roman" w:hAnsi="Times New Roman" w:cs="Times New Roman"/>
                <w:sz w:val="18"/>
                <w:szCs w:val="14"/>
                <w:lang w:val="ro-RO"/>
              </w:rPr>
              <w:t>elaborarea ghidului privind procurarea unităţilor de transport pentru autorităţile publice cu respectarea criteriilor de eficienţă energetică</w:t>
            </w:r>
            <w:r w:rsidR="00780B2E" w:rsidRPr="009C5F11">
              <w:rPr>
                <w:rFonts w:ascii="Times New Roman" w:eastAsia="Verdana" w:hAnsi="Times New Roman" w:cs="Times New Roman"/>
                <w:color w:val="000000"/>
                <w:sz w:val="18"/>
                <w:szCs w:val="14"/>
                <w:lang w:val="ro-RO"/>
              </w:rPr>
              <w:t>.</w:t>
            </w:r>
          </w:p>
          <w:p w14:paraId="4D27892B" w14:textId="77777777" w:rsidR="00780B2E" w:rsidRPr="009C5F11" w:rsidRDefault="00780B2E" w:rsidP="00C807F1">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4) 2013: </w:t>
            </w:r>
            <w:r w:rsidR="00AA0566" w:rsidRPr="009C5F11">
              <w:rPr>
                <w:rFonts w:ascii="Times New Roman" w:eastAsia="Verdana" w:hAnsi="Times New Roman" w:cs="Times New Roman"/>
                <w:color w:val="000000"/>
                <w:sz w:val="18"/>
                <w:szCs w:val="14"/>
                <w:lang w:val="ro-RO"/>
              </w:rPr>
              <w:t>APL</w:t>
            </w:r>
            <w:r w:rsidRPr="009C5F11">
              <w:rPr>
                <w:rFonts w:ascii="Times New Roman" w:eastAsia="Verdana" w:hAnsi="Times New Roman" w:cs="Times New Roman"/>
                <w:color w:val="000000"/>
                <w:sz w:val="18"/>
                <w:szCs w:val="14"/>
                <w:lang w:val="ro-RO"/>
              </w:rPr>
              <w:t xml:space="preserve"> </w:t>
            </w:r>
            <w:r w:rsidR="005D06FD" w:rsidRPr="009C5F11">
              <w:rPr>
                <w:rFonts w:ascii="Times New Roman" w:eastAsia="Verdana" w:hAnsi="Times New Roman" w:cs="Times New Roman"/>
                <w:color w:val="000000"/>
                <w:sz w:val="18"/>
                <w:szCs w:val="14"/>
                <w:lang w:val="ro-RO"/>
              </w:rPr>
              <w:t>Ocniţa</w:t>
            </w:r>
            <w:r w:rsidRPr="009C5F11">
              <w:rPr>
                <w:rFonts w:ascii="Times New Roman" w:eastAsia="Verdana" w:hAnsi="Times New Roman" w:cs="Times New Roman"/>
                <w:color w:val="000000"/>
                <w:sz w:val="18"/>
                <w:szCs w:val="14"/>
                <w:lang w:val="ro-RO"/>
              </w:rPr>
              <w:t xml:space="preserve"> </w:t>
            </w:r>
            <w:r w:rsidR="00471C66" w:rsidRPr="009C5F11">
              <w:rPr>
                <w:rFonts w:ascii="Times New Roman" w:eastAsia="Verdana" w:hAnsi="Times New Roman" w:cs="Times New Roman"/>
                <w:color w:val="000000"/>
                <w:sz w:val="18"/>
                <w:szCs w:val="14"/>
                <w:lang w:val="ro-RO"/>
              </w:rPr>
              <w:t xml:space="preserve">a efectuat </w:t>
            </w:r>
            <w:r w:rsidRPr="009C5F11">
              <w:rPr>
                <w:rFonts w:ascii="Times New Roman" w:eastAsia="Verdana" w:hAnsi="Times New Roman" w:cs="Times New Roman"/>
                <w:color w:val="000000"/>
                <w:sz w:val="18"/>
                <w:szCs w:val="14"/>
                <w:lang w:val="ro-RO"/>
              </w:rPr>
              <w:t>evalua</w:t>
            </w:r>
            <w:r w:rsidR="00471C66" w:rsidRPr="009C5F11">
              <w:rPr>
                <w:rFonts w:ascii="Times New Roman" w:eastAsia="Verdana" w:hAnsi="Times New Roman" w:cs="Times New Roman"/>
                <w:color w:val="000000"/>
                <w:sz w:val="18"/>
                <w:szCs w:val="14"/>
                <w:lang w:val="ro-RO"/>
              </w:rPr>
              <w:t>rea</w:t>
            </w:r>
            <w:r w:rsidRPr="009C5F11">
              <w:rPr>
                <w:rFonts w:ascii="Times New Roman" w:eastAsia="Verdana" w:hAnsi="Times New Roman" w:cs="Times New Roman"/>
                <w:color w:val="000000"/>
                <w:sz w:val="18"/>
                <w:szCs w:val="14"/>
                <w:lang w:val="ro-RO"/>
              </w:rPr>
              <w:t xml:space="preserve"> </w:t>
            </w:r>
            <w:r w:rsidR="001F5C51" w:rsidRPr="009C5F11">
              <w:rPr>
                <w:rFonts w:ascii="Times New Roman" w:eastAsia="Verdana" w:hAnsi="Times New Roman" w:cs="Times New Roman"/>
                <w:color w:val="000000"/>
                <w:sz w:val="18"/>
                <w:szCs w:val="14"/>
                <w:lang w:val="ro-RO"/>
              </w:rPr>
              <w:t>eficienţei energetice</w:t>
            </w:r>
            <w:r w:rsidR="00321CD5" w:rsidRPr="009C5F11">
              <w:rPr>
                <w:rFonts w:ascii="Times New Roman" w:eastAsia="Verdana" w:hAnsi="Times New Roman" w:cs="Times New Roman"/>
                <w:color w:val="000000"/>
                <w:sz w:val="18"/>
                <w:szCs w:val="14"/>
                <w:lang w:val="ro-RO"/>
              </w:rPr>
              <w:t xml:space="preserve"> în </w:t>
            </w:r>
            <w:r w:rsidRPr="009C5F11">
              <w:rPr>
                <w:rFonts w:ascii="Times New Roman" w:eastAsia="Verdana" w:hAnsi="Times New Roman" w:cs="Times New Roman"/>
                <w:color w:val="000000"/>
                <w:sz w:val="18"/>
                <w:szCs w:val="14"/>
                <w:lang w:val="ro-RO"/>
              </w:rPr>
              <w:t>transport</w:t>
            </w:r>
            <w:r w:rsidR="00471C66" w:rsidRPr="009C5F11">
              <w:rPr>
                <w:rFonts w:ascii="Times New Roman" w:eastAsia="Verdana" w:hAnsi="Times New Roman" w:cs="Times New Roman"/>
                <w:color w:val="000000"/>
                <w:sz w:val="18"/>
                <w:szCs w:val="14"/>
                <w:lang w:val="ro-RO"/>
              </w:rPr>
              <w:t>uri la nivel</w:t>
            </w:r>
            <w:r w:rsidRPr="009C5F11">
              <w:rPr>
                <w:rFonts w:ascii="Times New Roman" w:eastAsia="Verdana" w:hAnsi="Times New Roman" w:cs="Times New Roman"/>
                <w:color w:val="000000"/>
                <w:sz w:val="18"/>
                <w:szCs w:val="14"/>
                <w:lang w:val="ro-RO"/>
              </w:rPr>
              <w:t xml:space="preserve"> local.</w:t>
            </w:r>
          </w:p>
          <w:p w14:paraId="00C61B41" w14:textId="77777777" w:rsidR="00780B2E" w:rsidRPr="009C5F11" w:rsidRDefault="00780B2E" w:rsidP="00471C66">
            <w:pPr>
              <w:spacing w:after="0" w:line="240" w:lineRule="auto"/>
              <w:rPr>
                <w:rFonts w:ascii="Times New Roman" w:eastAsia="Verdana" w:hAnsi="Times New Roman" w:cs="Times New Roman"/>
                <w:color w:val="000000"/>
                <w:sz w:val="18"/>
                <w:szCs w:val="14"/>
                <w:lang w:val="ro-RO"/>
              </w:rPr>
            </w:pPr>
            <w:r w:rsidRPr="009C5F11">
              <w:rPr>
                <w:rFonts w:ascii="Times New Roman" w:eastAsia="Verdana" w:hAnsi="Times New Roman" w:cs="Times New Roman"/>
                <w:color w:val="000000"/>
                <w:sz w:val="18"/>
                <w:szCs w:val="14"/>
                <w:lang w:val="ro-RO"/>
              </w:rPr>
              <w:t xml:space="preserve">2014: </w:t>
            </w:r>
            <w:r w:rsidR="00AA0566" w:rsidRPr="009C5F11">
              <w:rPr>
                <w:rFonts w:ascii="Times New Roman" w:eastAsia="Verdana" w:hAnsi="Times New Roman" w:cs="Times New Roman"/>
                <w:color w:val="000000"/>
                <w:sz w:val="18"/>
                <w:szCs w:val="14"/>
                <w:lang w:val="ro-RO"/>
              </w:rPr>
              <w:t>APL</w:t>
            </w:r>
            <w:r w:rsidRPr="009C5F11">
              <w:rPr>
                <w:rFonts w:ascii="Times New Roman" w:eastAsia="Verdana" w:hAnsi="Times New Roman" w:cs="Times New Roman"/>
                <w:color w:val="000000"/>
                <w:sz w:val="18"/>
                <w:szCs w:val="14"/>
                <w:lang w:val="ro-RO"/>
              </w:rPr>
              <w:t xml:space="preserve"> Ștefan Vodă </w:t>
            </w:r>
            <w:r w:rsidR="00471C66" w:rsidRPr="009C5F11">
              <w:rPr>
                <w:rFonts w:ascii="Times New Roman" w:eastAsia="Verdana" w:hAnsi="Times New Roman" w:cs="Times New Roman"/>
                <w:color w:val="000000"/>
                <w:sz w:val="18"/>
                <w:szCs w:val="14"/>
                <w:lang w:val="ro-RO"/>
              </w:rPr>
              <w:t>a realizat</w:t>
            </w:r>
            <w:r w:rsidRPr="009C5F11">
              <w:rPr>
                <w:rFonts w:ascii="Times New Roman" w:eastAsia="Verdana" w:hAnsi="Times New Roman" w:cs="Times New Roman"/>
                <w:color w:val="000000"/>
                <w:sz w:val="18"/>
                <w:szCs w:val="14"/>
                <w:lang w:val="ro-RO"/>
              </w:rPr>
              <w:t xml:space="preserve"> </w:t>
            </w:r>
            <w:r w:rsidR="008F7BD5" w:rsidRPr="009C5F11">
              <w:rPr>
                <w:rFonts w:ascii="Times New Roman" w:eastAsia="Verdana" w:hAnsi="Times New Roman" w:cs="Times New Roman"/>
                <w:color w:val="000000"/>
                <w:sz w:val="18"/>
                <w:szCs w:val="14"/>
                <w:lang w:val="ro-RO"/>
              </w:rPr>
              <w:t>acţiuni</w:t>
            </w:r>
            <w:r w:rsidR="00471C66" w:rsidRPr="009C5F11">
              <w:rPr>
                <w:rFonts w:ascii="Times New Roman" w:eastAsia="Verdana" w:hAnsi="Times New Roman" w:cs="Times New Roman"/>
                <w:color w:val="000000"/>
                <w:sz w:val="18"/>
                <w:szCs w:val="14"/>
                <w:lang w:val="ro-RO"/>
              </w:rPr>
              <w:t xml:space="preserve"> de</w:t>
            </w:r>
            <w:r w:rsidRPr="009C5F11">
              <w:rPr>
                <w:rFonts w:ascii="Times New Roman" w:eastAsia="Verdana" w:hAnsi="Times New Roman" w:cs="Times New Roman"/>
                <w:color w:val="000000"/>
                <w:sz w:val="18"/>
                <w:szCs w:val="14"/>
                <w:lang w:val="ro-RO"/>
              </w:rPr>
              <w:t xml:space="preserve"> </w:t>
            </w:r>
            <w:r w:rsidR="00471C66" w:rsidRPr="009C5F11">
              <w:rPr>
                <w:rFonts w:ascii="Times New Roman" w:eastAsia="Verdana" w:hAnsi="Times New Roman" w:cs="Times New Roman"/>
                <w:color w:val="000000"/>
                <w:sz w:val="18"/>
                <w:szCs w:val="14"/>
                <w:lang w:val="ro-RO"/>
              </w:rPr>
              <w:t xml:space="preserve">punere în aplicare a mijloacelor de transport ce </w:t>
            </w:r>
            <w:r w:rsidR="00BD6579" w:rsidRPr="009C5F11">
              <w:rPr>
                <w:rFonts w:ascii="Times New Roman" w:eastAsia="Verdana" w:hAnsi="Times New Roman" w:cs="Times New Roman"/>
                <w:color w:val="000000"/>
                <w:sz w:val="18"/>
                <w:szCs w:val="14"/>
                <w:lang w:val="ro-RO"/>
              </w:rPr>
              <w:t>funcționează</w:t>
            </w:r>
            <w:r w:rsidR="00471C66" w:rsidRPr="009C5F11">
              <w:rPr>
                <w:rFonts w:ascii="Times New Roman" w:eastAsia="Verdana" w:hAnsi="Times New Roman" w:cs="Times New Roman"/>
                <w:color w:val="000000"/>
                <w:sz w:val="18"/>
                <w:szCs w:val="14"/>
                <w:lang w:val="ro-RO"/>
              </w:rPr>
              <w:t xml:space="preserve"> pe bază de</w:t>
            </w:r>
            <w:r w:rsidRPr="009C5F11">
              <w:rPr>
                <w:rFonts w:ascii="Times New Roman" w:eastAsia="Verdana" w:hAnsi="Times New Roman" w:cs="Times New Roman"/>
                <w:color w:val="000000"/>
                <w:sz w:val="18"/>
                <w:szCs w:val="14"/>
                <w:lang w:val="ro-RO"/>
              </w:rPr>
              <w:t xml:space="preserve"> </w:t>
            </w:r>
            <w:r w:rsidR="001D6122" w:rsidRPr="009C5F11">
              <w:rPr>
                <w:rFonts w:ascii="Times New Roman" w:eastAsia="Verdana" w:hAnsi="Times New Roman" w:cs="Times New Roman"/>
                <w:color w:val="000000"/>
                <w:sz w:val="18"/>
                <w:szCs w:val="14"/>
                <w:lang w:val="ro-RO"/>
              </w:rPr>
              <w:t>gaze naturale</w:t>
            </w:r>
            <w:r w:rsidRPr="009C5F11">
              <w:rPr>
                <w:rFonts w:ascii="Times New Roman" w:eastAsia="Verdana" w:hAnsi="Times New Roman" w:cs="Times New Roman"/>
                <w:color w:val="000000"/>
                <w:sz w:val="18"/>
                <w:szCs w:val="14"/>
                <w:lang w:val="ro-RO"/>
              </w:rPr>
              <w:t xml:space="preserve">, </w:t>
            </w:r>
            <w:r w:rsidR="00AB1710" w:rsidRPr="009C5F11">
              <w:rPr>
                <w:rFonts w:ascii="Times New Roman" w:eastAsia="Verdana" w:hAnsi="Times New Roman" w:cs="Times New Roman"/>
                <w:color w:val="000000"/>
                <w:sz w:val="18"/>
                <w:szCs w:val="14"/>
                <w:lang w:val="ro-RO"/>
              </w:rPr>
              <w:t>inclusiv</w:t>
            </w:r>
            <w:r w:rsidRPr="009C5F11">
              <w:rPr>
                <w:rFonts w:ascii="Times New Roman" w:eastAsia="Verdana" w:hAnsi="Times New Roman" w:cs="Times New Roman"/>
                <w:color w:val="000000"/>
                <w:sz w:val="18"/>
                <w:szCs w:val="14"/>
                <w:lang w:val="ro-RO"/>
              </w:rPr>
              <w:t xml:space="preserve"> </w:t>
            </w:r>
            <w:r w:rsidR="00D77687" w:rsidRPr="009C5F11">
              <w:rPr>
                <w:rFonts w:ascii="Times New Roman" w:eastAsia="Verdana" w:hAnsi="Times New Roman" w:cs="Times New Roman"/>
                <w:color w:val="000000"/>
                <w:sz w:val="18"/>
                <w:szCs w:val="14"/>
                <w:lang w:val="ro-RO"/>
              </w:rPr>
              <w:t>instalarea</w:t>
            </w:r>
            <w:r w:rsidRPr="009C5F11">
              <w:rPr>
                <w:rFonts w:ascii="Times New Roman" w:eastAsia="Verdana" w:hAnsi="Times New Roman" w:cs="Times New Roman"/>
                <w:color w:val="000000"/>
                <w:sz w:val="18"/>
                <w:szCs w:val="14"/>
                <w:lang w:val="ro-RO"/>
              </w:rPr>
              <w:t xml:space="preserve"> </w:t>
            </w:r>
            <w:r w:rsidR="00471C66" w:rsidRPr="009C5F11">
              <w:rPr>
                <w:rFonts w:ascii="Times New Roman" w:eastAsia="Verdana" w:hAnsi="Times New Roman" w:cs="Times New Roman"/>
                <w:color w:val="000000"/>
                <w:sz w:val="18"/>
                <w:szCs w:val="14"/>
                <w:lang w:val="ro-RO"/>
              </w:rPr>
              <w:t xml:space="preserve">a 2 staţii de alimentare cu combustibil pe bază de </w:t>
            </w:r>
            <w:r w:rsidR="001D6122" w:rsidRPr="009C5F11">
              <w:rPr>
                <w:rFonts w:ascii="Times New Roman" w:eastAsia="Verdana" w:hAnsi="Times New Roman" w:cs="Times New Roman"/>
                <w:color w:val="000000"/>
                <w:sz w:val="18"/>
                <w:szCs w:val="14"/>
                <w:lang w:val="ro-RO"/>
              </w:rPr>
              <w:t>gaze naturale</w:t>
            </w:r>
            <w:r w:rsidRPr="009C5F11">
              <w:rPr>
                <w:rFonts w:ascii="Times New Roman" w:eastAsia="Verdana" w:hAnsi="Times New Roman" w:cs="Times New Roman"/>
                <w:color w:val="000000"/>
                <w:sz w:val="18"/>
                <w:szCs w:val="14"/>
                <w:lang w:val="ro-RO"/>
              </w:rPr>
              <w:t>.</w:t>
            </w:r>
          </w:p>
        </w:tc>
        <w:tc>
          <w:tcPr>
            <w:tcW w:w="617" w:type="pct"/>
            <w:gridSpan w:val="3"/>
            <w:shd w:val="clear" w:color="000000" w:fill="D9D9D9"/>
            <w:vAlign w:val="center"/>
          </w:tcPr>
          <w:p w14:paraId="4B103DEA" w14:textId="77777777" w:rsidR="00780B2E" w:rsidRPr="009C5F11" w:rsidRDefault="00EE66EC" w:rsidP="00192725">
            <w:pPr>
              <w:spacing w:after="0" w:line="240" w:lineRule="auto"/>
              <w:jc w:val="center"/>
              <w:rPr>
                <w:rFonts w:ascii="Times New Roman" w:eastAsia="Verdana" w:hAnsi="Times New Roman" w:cs="Times New Roman"/>
                <w:b/>
                <w:color w:val="000000"/>
                <w:sz w:val="18"/>
                <w:szCs w:val="14"/>
                <w:lang w:val="ro-RO"/>
              </w:rPr>
            </w:pPr>
            <w:r w:rsidRPr="009C5F11">
              <w:rPr>
                <w:rFonts w:ascii="Times New Roman" w:eastAsia="Verdana" w:hAnsi="Times New Roman" w:cs="Times New Roman"/>
                <w:b/>
                <w:color w:val="000000"/>
                <w:sz w:val="18"/>
                <w:szCs w:val="14"/>
                <w:lang w:val="ro-RO"/>
              </w:rPr>
              <w:t>Implementarea continuă</w:t>
            </w:r>
          </w:p>
        </w:tc>
      </w:tr>
      <w:tr w:rsidR="00780B2E" w:rsidRPr="009C5F11" w14:paraId="37392A41" w14:textId="77777777" w:rsidTr="00CD5222">
        <w:trPr>
          <w:trHeight w:val="300"/>
        </w:trPr>
        <w:tc>
          <w:tcPr>
            <w:tcW w:w="424" w:type="pct"/>
            <w:shd w:val="clear" w:color="auto" w:fill="000080"/>
            <w:noWrap/>
            <w:vAlign w:val="bottom"/>
          </w:tcPr>
          <w:p w14:paraId="0B16E692"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c>
          <w:tcPr>
            <w:tcW w:w="935" w:type="pct"/>
            <w:shd w:val="clear" w:color="auto" w:fill="000080"/>
            <w:noWrap/>
            <w:vAlign w:val="bottom"/>
          </w:tcPr>
          <w:p w14:paraId="08982A63"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c>
          <w:tcPr>
            <w:tcW w:w="321" w:type="pct"/>
            <w:shd w:val="clear" w:color="auto" w:fill="000080"/>
            <w:noWrap/>
            <w:vAlign w:val="bottom"/>
          </w:tcPr>
          <w:p w14:paraId="509EC60C"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c>
          <w:tcPr>
            <w:tcW w:w="322" w:type="pct"/>
            <w:shd w:val="clear" w:color="auto" w:fill="000080"/>
            <w:vAlign w:val="bottom"/>
          </w:tcPr>
          <w:p w14:paraId="76208908"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c>
          <w:tcPr>
            <w:tcW w:w="2381" w:type="pct"/>
            <w:shd w:val="clear" w:color="auto" w:fill="000080"/>
          </w:tcPr>
          <w:p w14:paraId="5935ED78"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c>
          <w:tcPr>
            <w:tcW w:w="617" w:type="pct"/>
            <w:gridSpan w:val="3"/>
            <w:shd w:val="clear" w:color="auto" w:fill="000080"/>
          </w:tcPr>
          <w:p w14:paraId="04E3EE49"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r>
      <w:tr w:rsidR="00780B2E" w:rsidRPr="009C5F11" w14:paraId="77717481" w14:textId="77777777" w:rsidTr="00CD5222">
        <w:trPr>
          <w:trHeight w:val="300"/>
        </w:trPr>
        <w:tc>
          <w:tcPr>
            <w:tcW w:w="424" w:type="pct"/>
            <w:shd w:val="clear" w:color="auto" w:fill="000080"/>
            <w:noWrap/>
            <w:vAlign w:val="bottom"/>
            <w:hideMark/>
          </w:tcPr>
          <w:p w14:paraId="2716E13F"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c>
          <w:tcPr>
            <w:tcW w:w="935" w:type="pct"/>
            <w:shd w:val="clear" w:color="auto" w:fill="000080"/>
            <w:noWrap/>
            <w:vAlign w:val="center"/>
            <w:hideMark/>
          </w:tcPr>
          <w:p w14:paraId="33CBFB5D" w14:textId="77777777" w:rsidR="00780B2E" w:rsidRPr="009C5F11" w:rsidRDefault="00780B2E" w:rsidP="00210C2C">
            <w:pPr>
              <w:spacing w:after="0" w:line="240" w:lineRule="auto"/>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 xml:space="preserve">Total </w:t>
            </w:r>
            <w:r w:rsidR="00210C2C" w:rsidRPr="009C5F11">
              <w:rPr>
                <w:rFonts w:ascii="Times New Roman" w:eastAsia="Verdana" w:hAnsi="Times New Roman" w:cs="Times New Roman"/>
                <w:b/>
                <w:sz w:val="18"/>
                <w:szCs w:val="14"/>
                <w:lang w:val="ro-RO"/>
              </w:rPr>
              <w:t>din</w:t>
            </w:r>
            <w:r w:rsidRPr="009C5F11">
              <w:rPr>
                <w:rFonts w:ascii="Times New Roman" w:eastAsia="Verdana" w:hAnsi="Times New Roman" w:cs="Times New Roman"/>
                <w:b/>
                <w:sz w:val="18"/>
                <w:szCs w:val="14"/>
                <w:lang w:val="ro-RO"/>
              </w:rPr>
              <w:t xml:space="preserve"> </w:t>
            </w:r>
            <w:r w:rsidR="00E10BE5" w:rsidRPr="009C5F11">
              <w:rPr>
                <w:rFonts w:ascii="Times New Roman" w:eastAsia="Verdana" w:hAnsi="Times New Roman" w:cs="Times New Roman"/>
                <w:b/>
                <w:sz w:val="18"/>
                <w:szCs w:val="14"/>
                <w:lang w:val="ro-RO"/>
              </w:rPr>
              <w:t>măsuri</w:t>
            </w:r>
          </w:p>
        </w:tc>
        <w:tc>
          <w:tcPr>
            <w:tcW w:w="321" w:type="pct"/>
            <w:shd w:val="clear" w:color="auto" w:fill="000080"/>
            <w:noWrap/>
            <w:vAlign w:val="center"/>
            <w:hideMark/>
          </w:tcPr>
          <w:p w14:paraId="3376F195" w14:textId="77777777" w:rsidR="00780B2E" w:rsidRPr="009C5F11" w:rsidRDefault="003736F0" w:rsidP="003D3C21">
            <w:pPr>
              <w:spacing w:after="0" w:line="240" w:lineRule="auto"/>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43.03</w:t>
            </w:r>
          </w:p>
        </w:tc>
        <w:tc>
          <w:tcPr>
            <w:tcW w:w="322" w:type="pct"/>
            <w:shd w:val="clear" w:color="auto" w:fill="000080"/>
            <w:vAlign w:val="center"/>
          </w:tcPr>
          <w:p w14:paraId="751EAFF3" w14:textId="77777777" w:rsidR="00780B2E" w:rsidRPr="009C5F11" w:rsidRDefault="00851C20" w:rsidP="003D3C21">
            <w:pPr>
              <w:spacing w:after="0" w:line="240" w:lineRule="auto"/>
              <w:jc w:val="center"/>
              <w:rPr>
                <w:rFonts w:ascii="Times New Roman" w:eastAsia="Verdana" w:hAnsi="Times New Roman" w:cs="Times New Roman"/>
                <w:b/>
                <w:bCs/>
                <w:sz w:val="18"/>
                <w:szCs w:val="14"/>
                <w:lang w:val="ro-RO"/>
              </w:rPr>
            </w:pPr>
            <w:r w:rsidRPr="009C5F11">
              <w:rPr>
                <w:rFonts w:ascii="Times New Roman" w:eastAsia="Verdana" w:hAnsi="Times New Roman" w:cs="Times New Roman"/>
                <w:b/>
                <w:bCs/>
                <w:sz w:val="18"/>
                <w:szCs w:val="14"/>
                <w:lang w:val="ro-RO"/>
              </w:rPr>
              <w:t>224.24</w:t>
            </w:r>
          </w:p>
        </w:tc>
        <w:tc>
          <w:tcPr>
            <w:tcW w:w="2381" w:type="pct"/>
            <w:shd w:val="clear" w:color="auto" w:fill="000080"/>
          </w:tcPr>
          <w:p w14:paraId="355100C7" w14:textId="77777777" w:rsidR="00780B2E" w:rsidRPr="009C5F11" w:rsidRDefault="00780B2E" w:rsidP="00C807F1">
            <w:pPr>
              <w:spacing w:after="0" w:line="240" w:lineRule="auto"/>
              <w:jc w:val="right"/>
              <w:rPr>
                <w:rFonts w:ascii="Times New Roman" w:eastAsia="Verdana" w:hAnsi="Times New Roman" w:cs="Times New Roman"/>
                <w:b/>
                <w:bCs/>
                <w:sz w:val="18"/>
                <w:szCs w:val="14"/>
                <w:lang w:val="ro-RO"/>
              </w:rPr>
            </w:pPr>
          </w:p>
        </w:tc>
        <w:tc>
          <w:tcPr>
            <w:tcW w:w="617" w:type="pct"/>
            <w:gridSpan w:val="3"/>
            <w:shd w:val="clear" w:color="auto" w:fill="000080"/>
          </w:tcPr>
          <w:p w14:paraId="7F97A3BD" w14:textId="77777777" w:rsidR="00780B2E" w:rsidRPr="009C5F11" w:rsidRDefault="00780B2E" w:rsidP="00C807F1">
            <w:pPr>
              <w:spacing w:after="0" w:line="240" w:lineRule="auto"/>
              <w:jc w:val="right"/>
              <w:rPr>
                <w:rFonts w:ascii="Times New Roman" w:eastAsia="Verdana" w:hAnsi="Times New Roman" w:cs="Times New Roman"/>
                <w:b/>
                <w:bCs/>
                <w:sz w:val="18"/>
                <w:szCs w:val="14"/>
                <w:lang w:val="ro-RO"/>
              </w:rPr>
            </w:pPr>
          </w:p>
        </w:tc>
      </w:tr>
      <w:tr w:rsidR="00851C20" w:rsidRPr="009C5F11" w14:paraId="3167EFAB" w14:textId="77777777" w:rsidTr="00CD5222">
        <w:trPr>
          <w:trHeight w:val="300"/>
        </w:trPr>
        <w:tc>
          <w:tcPr>
            <w:tcW w:w="424" w:type="pct"/>
            <w:shd w:val="clear" w:color="auto" w:fill="000080"/>
            <w:noWrap/>
            <w:vAlign w:val="bottom"/>
          </w:tcPr>
          <w:p w14:paraId="568F79F7" w14:textId="77777777" w:rsidR="00851C20" w:rsidRPr="009C5F11" w:rsidRDefault="00851C20" w:rsidP="00C807F1">
            <w:pPr>
              <w:spacing w:after="0" w:line="240" w:lineRule="auto"/>
              <w:rPr>
                <w:rFonts w:ascii="Times New Roman" w:eastAsia="Verdana" w:hAnsi="Times New Roman" w:cs="Times New Roman"/>
                <w:b/>
                <w:sz w:val="18"/>
                <w:szCs w:val="14"/>
                <w:lang w:val="ro-RO"/>
              </w:rPr>
            </w:pPr>
          </w:p>
        </w:tc>
        <w:tc>
          <w:tcPr>
            <w:tcW w:w="935" w:type="pct"/>
            <w:shd w:val="clear" w:color="auto" w:fill="000080"/>
            <w:noWrap/>
            <w:vAlign w:val="center"/>
          </w:tcPr>
          <w:p w14:paraId="5946D15F" w14:textId="77777777" w:rsidR="00851C20" w:rsidRPr="009C5F11" w:rsidRDefault="00851C20" w:rsidP="00210C2C">
            <w:pPr>
              <w:spacing w:after="0" w:line="240" w:lineRule="auto"/>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 xml:space="preserve">Total </w:t>
            </w:r>
            <w:r w:rsidR="00210C2C" w:rsidRPr="009C5F11">
              <w:rPr>
                <w:rFonts w:ascii="Times New Roman" w:eastAsia="Verdana" w:hAnsi="Times New Roman" w:cs="Times New Roman"/>
                <w:b/>
                <w:sz w:val="18"/>
                <w:szCs w:val="14"/>
                <w:lang w:val="ro-RO"/>
              </w:rPr>
              <w:t>din</w:t>
            </w:r>
            <w:r w:rsidRPr="009C5F11">
              <w:rPr>
                <w:rFonts w:ascii="Times New Roman" w:eastAsia="Verdana" w:hAnsi="Times New Roman" w:cs="Times New Roman"/>
                <w:b/>
                <w:sz w:val="18"/>
                <w:szCs w:val="14"/>
                <w:lang w:val="ro-RO"/>
              </w:rPr>
              <w:t xml:space="preserve"> </w:t>
            </w:r>
            <w:r w:rsidR="00E10BE5" w:rsidRPr="009C5F11">
              <w:rPr>
                <w:rFonts w:ascii="Times New Roman" w:eastAsia="Verdana" w:hAnsi="Times New Roman" w:cs="Times New Roman"/>
                <w:b/>
                <w:sz w:val="18"/>
                <w:szCs w:val="14"/>
                <w:lang w:val="ro-RO"/>
              </w:rPr>
              <w:t>măsuri</w:t>
            </w:r>
            <w:r w:rsidRPr="009C5F11">
              <w:rPr>
                <w:rFonts w:ascii="Times New Roman" w:eastAsia="Verdana" w:hAnsi="Times New Roman" w:cs="Times New Roman"/>
                <w:b/>
                <w:sz w:val="18"/>
                <w:szCs w:val="14"/>
                <w:lang w:val="ro-RO"/>
              </w:rPr>
              <w:t xml:space="preserve"> </w:t>
            </w:r>
            <w:r w:rsidR="00210C2C" w:rsidRPr="009C5F11">
              <w:rPr>
                <w:rFonts w:ascii="Times New Roman" w:eastAsia="Verdana" w:hAnsi="Times New Roman" w:cs="Times New Roman"/>
                <w:b/>
                <w:sz w:val="18"/>
                <w:szCs w:val="14"/>
                <w:lang w:val="ro-RO"/>
              </w:rPr>
              <w:t>conform</w:t>
            </w:r>
            <w:r w:rsidRPr="009C5F11">
              <w:rPr>
                <w:rFonts w:ascii="Times New Roman" w:eastAsia="Verdana" w:hAnsi="Times New Roman" w:cs="Times New Roman"/>
                <w:b/>
                <w:sz w:val="18"/>
                <w:szCs w:val="14"/>
                <w:lang w:val="ro-RO"/>
              </w:rPr>
              <w:t xml:space="preserve"> </w:t>
            </w:r>
            <w:r w:rsidR="00871B4E" w:rsidRPr="009C5F11">
              <w:rPr>
                <w:rFonts w:ascii="Times New Roman" w:eastAsia="Verdana" w:hAnsi="Times New Roman" w:cs="Times New Roman"/>
                <w:b/>
                <w:sz w:val="18"/>
                <w:szCs w:val="14"/>
                <w:lang w:val="ro-RO"/>
              </w:rPr>
              <w:t>DSE</w:t>
            </w:r>
          </w:p>
        </w:tc>
        <w:tc>
          <w:tcPr>
            <w:tcW w:w="321" w:type="pct"/>
            <w:shd w:val="clear" w:color="auto" w:fill="000080"/>
            <w:noWrap/>
            <w:vAlign w:val="center"/>
          </w:tcPr>
          <w:p w14:paraId="0CDAFEC9" w14:textId="77777777" w:rsidR="00851C20" w:rsidRPr="009C5F11" w:rsidRDefault="003736F0" w:rsidP="003D3C21">
            <w:pPr>
              <w:spacing w:after="0" w:line="240" w:lineRule="auto"/>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29.29</w:t>
            </w:r>
          </w:p>
        </w:tc>
        <w:tc>
          <w:tcPr>
            <w:tcW w:w="322" w:type="pct"/>
            <w:shd w:val="clear" w:color="auto" w:fill="000080"/>
            <w:vAlign w:val="center"/>
          </w:tcPr>
          <w:p w14:paraId="486D0D41" w14:textId="77777777" w:rsidR="00851C20" w:rsidRPr="009C5F11" w:rsidRDefault="004C10B4" w:rsidP="003D3C21">
            <w:pPr>
              <w:spacing w:after="0" w:line="240" w:lineRule="auto"/>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174.22</w:t>
            </w:r>
          </w:p>
        </w:tc>
        <w:tc>
          <w:tcPr>
            <w:tcW w:w="2381" w:type="pct"/>
            <w:shd w:val="clear" w:color="auto" w:fill="000080"/>
          </w:tcPr>
          <w:p w14:paraId="1AA26536" w14:textId="77777777" w:rsidR="00851C20" w:rsidRPr="009C5F11" w:rsidRDefault="00851C20" w:rsidP="00C807F1">
            <w:pPr>
              <w:spacing w:after="0" w:line="240" w:lineRule="auto"/>
              <w:rPr>
                <w:rFonts w:ascii="Times New Roman" w:eastAsia="Verdana" w:hAnsi="Times New Roman" w:cs="Times New Roman"/>
                <w:b/>
                <w:sz w:val="18"/>
                <w:szCs w:val="14"/>
                <w:lang w:val="ro-RO"/>
              </w:rPr>
            </w:pPr>
          </w:p>
        </w:tc>
        <w:tc>
          <w:tcPr>
            <w:tcW w:w="617" w:type="pct"/>
            <w:gridSpan w:val="3"/>
            <w:shd w:val="clear" w:color="auto" w:fill="000080"/>
          </w:tcPr>
          <w:p w14:paraId="63117FFD" w14:textId="77777777" w:rsidR="00851C20" w:rsidRPr="009C5F11" w:rsidRDefault="00851C20" w:rsidP="00C807F1">
            <w:pPr>
              <w:spacing w:after="0" w:line="240" w:lineRule="auto"/>
              <w:rPr>
                <w:rFonts w:ascii="Times New Roman" w:eastAsia="Verdana" w:hAnsi="Times New Roman" w:cs="Times New Roman"/>
                <w:b/>
                <w:sz w:val="18"/>
                <w:szCs w:val="14"/>
                <w:lang w:val="ro-RO"/>
              </w:rPr>
            </w:pPr>
          </w:p>
        </w:tc>
      </w:tr>
      <w:tr w:rsidR="00780B2E" w:rsidRPr="009C5F11" w14:paraId="3A65B970" w14:textId="77777777" w:rsidTr="00CD5222">
        <w:trPr>
          <w:trHeight w:val="300"/>
        </w:trPr>
        <w:tc>
          <w:tcPr>
            <w:tcW w:w="424" w:type="pct"/>
            <w:shd w:val="clear" w:color="auto" w:fill="000080"/>
            <w:noWrap/>
            <w:vAlign w:val="bottom"/>
          </w:tcPr>
          <w:p w14:paraId="7B623607"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c>
          <w:tcPr>
            <w:tcW w:w="935" w:type="pct"/>
            <w:shd w:val="clear" w:color="auto" w:fill="000080"/>
            <w:noWrap/>
            <w:vAlign w:val="center"/>
          </w:tcPr>
          <w:p w14:paraId="01BFB29E" w14:textId="77777777" w:rsidR="00780B2E" w:rsidRPr="009C5F11" w:rsidRDefault="00210C2C" w:rsidP="00210C2C">
            <w:pPr>
              <w:spacing w:after="0" w:line="240" w:lineRule="auto"/>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 xml:space="preserve">Obiectivul </w:t>
            </w:r>
            <w:r w:rsidR="00871B4E" w:rsidRPr="009C5F11">
              <w:rPr>
                <w:rFonts w:ascii="Times New Roman" w:eastAsia="Verdana" w:hAnsi="Times New Roman" w:cs="Times New Roman"/>
                <w:b/>
                <w:sz w:val="18"/>
                <w:szCs w:val="14"/>
                <w:lang w:val="ro-RO"/>
              </w:rPr>
              <w:t>DSE</w:t>
            </w:r>
            <w:r w:rsidRPr="009C5F11">
              <w:rPr>
                <w:rFonts w:ascii="Times New Roman" w:eastAsia="Verdana" w:hAnsi="Times New Roman" w:cs="Times New Roman"/>
                <w:b/>
                <w:sz w:val="18"/>
                <w:szCs w:val="14"/>
                <w:lang w:val="ro-RO"/>
              </w:rPr>
              <w:t xml:space="preserve"> pe anul</w:t>
            </w:r>
            <w:r w:rsidR="00780B2E" w:rsidRPr="009C5F11">
              <w:rPr>
                <w:rFonts w:ascii="Times New Roman" w:eastAsia="Verdana" w:hAnsi="Times New Roman" w:cs="Times New Roman"/>
                <w:b/>
                <w:sz w:val="18"/>
                <w:szCs w:val="14"/>
                <w:lang w:val="ro-RO"/>
              </w:rPr>
              <w:t xml:space="preserve"> 2016 (recalculat</w:t>
            </w:r>
            <w:r w:rsidRPr="009C5F11">
              <w:rPr>
                <w:rFonts w:ascii="Times New Roman" w:eastAsia="Verdana" w:hAnsi="Times New Roman" w:cs="Times New Roman"/>
                <w:b/>
                <w:sz w:val="18"/>
                <w:szCs w:val="14"/>
                <w:lang w:val="ro-RO"/>
              </w:rPr>
              <w:t>/a</w:t>
            </w:r>
            <w:r w:rsidR="00780B2E" w:rsidRPr="009C5F11">
              <w:rPr>
                <w:rFonts w:ascii="Times New Roman" w:eastAsia="Verdana" w:hAnsi="Times New Roman" w:cs="Times New Roman"/>
                <w:b/>
                <w:sz w:val="18"/>
                <w:szCs w:val="14"/>
                <w:lang w:val="ro-RO"/>
              </w:rPr>
              <w:t>just</w:t>
            </w:r>
            <w:r w:rsidRPr="009C5F11">
              <w:rPr>
                <w:rFonts w:ascii="Times New Roman" w:eastAsia="Verdana" w:hAnsi="Times New Roman" w:cs="Times New Roman"/>
                <w:b/>
                <w:sz w:val="18"/>
                <w:szCs w:val="14"/>
                <w:lang w:val="ro-RO"/>
              </w:rPr>
              <w:t>at</w:t>
            </w:r>
            <w:r w:rsidR="00780B2E" w:rsidRPr="009C5F11">
              <w:rPr>
                <w:rFonts w:ascii="Times New Roman" w:eastAsia="Verdana" w:hAnsi="Times New Roman" w:cs="Times New Roman"/>
                <w:b/>
                <w:sz w:val="18"/>
                <w:szCs w:val="14"/>
                <w:lang w:val="ro-RO"/>
              </w:rPr>
              <w:t>)</w:t>
            </w:r>
            <w:r w:rsidR="00780B2E" w:rsidRPr="009C5F11">
              <w:rPr>
                <w:rFonts w:ascii="Times New Roman" w:eastAsia="Verdana" w:hAnsi="Times New Roman" w:cs="Times New Roman"/>
                <w:b/>
                <w:sz w:val="18"/>
                <w:szCs w:val="14"/>
                <w:vertAlign w:val="superscript"/>
                <w:lang w:val="ro-RO"/>
              </w:rPr>
              <w:footnoteReference w:id="12"/>
            </w:r>
          </w:p>
        </w:tc>
        <w:tc>
          <w:tcPr>
            <w:tcW w:w="321" w:type="pct"/>
            <w:shd w:val="clear" w:color="auto" w:fill="000080"/>
            <w:noWrap/>
            <w:vAlign w:val="center"/>
          </w:tcPr>
          <w:p w14:paraId="3234057B" w14:textId="77777777" w:rsidR="00780B2E" w:rsidRPr="009C5F11" w:rsidRDefault="00780B2E" w:rsidP="003D3C21">
            <w:pPr>
              <w:spacing w:after="0" w:line="240" w:lineRule="auto"/>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92.9</w:t>
            </w:r>
          </w:p>
        </w:tc>
        <w:tc>
          <w:tcPr>
            <w:tcW w:w="322" w:type="pct"/>
            <w:shd w:val="clear" w:color="auto" w:fill="000080"/>
            <w:vAlign w:val="center"/>
          </w:tcPr>
          <w:p w14:paraId="10C30E5D" w14:textId="77777777" w:rsidR="00780B2E" w:rsidRPr="009C5F11" w:rsidRDefault="00780B2E" w:rsidP="003D3C21">
            <w:pPr>
              <w:spacing w:after="0" w:line="240" w:lineRule="auto"/>
              <w:jc w:val="center"/>
              <w:rPr>
                <w:rFonts w:ascii="Times New Roman" w:eastAsia="Verdana" w:hAnsi="Times New Roman" w:cs="Times New Roman"/>
                <w:b/>
                <w:sz w:val="18"/>
                <w:szCs w:val="14"/>
                <w:lang w:val="ro-RO"/>
              </w:rPr>
            </w:pPr>
          </w:p>
        </w:tc>
        <w:tc>
          <w:tcPr>
            <w:tcW w:w="2381" w:type="pct"/>
            <w:shd w:val="clear" w:color="auto" w:fill="000080"/>
          </w:tcPr>
          <w:p w14:paraId="260AC5A0"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c>
          <w:tcPr>
            <w:tcW w:w="617" w:type="pct"/>
            <w:gridSpan w:val="3"/>
            <w:shd w:val="clear" w:color="auto" w:fill="000080"/>
          </w:tcPr>
          <w:p w14:paraId="064C5BAD"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r>
      <w:tr w:rsidR="00780B2E" w:rsidRPr="009C5F11" w14:paraId="0F265CD6" w14:textId="77777777" w:rsidTr="00CD5222">
        <w:trPr>
          <w:trHeight w:val="300"/>
        </w:trPr>
        <w:tc>
          <w:tcPr>
            <w:tcW w:w="424" w:type="pct"/>
            <w:shd w:val="clear" w:color="auto" w:fill="000080"/>
            <w:noWrap/>
            <w:vAlign w:val="bottom"/>
            <w:hideMark/>
          </w:tcPr>
          <w:p w14:paraId="6B87E35D"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c>
          <w:tcPr>
            <w:tcW w:w="935" w:type="pct"/>
            <w:shd w:val="clear" w:color="auto" w:fill="000080"/>
            <w:noWrap/>
            <w:vAlign w:val="center"/>
            <w:hideMark/>
          </w:tcPr>
          <w:p w14:paraId="572A5348" w14:textId="77777777" w:rsidR="00780B2E" w:rsidRPr="009C5F11" w:rsidRDefault="00210C2C" w:rsidP="00210C2C">
            <w:pPr>
              <w:spacing w:after="0" w:line="240" w:lineRule="auto"/>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 xml:space="preserve">Obiectivul </w:t>
            </w:r>
            <w:r w:rsidR="00871B4E" w:rsidRPr="009C5F11">
              <w:rPr>
                <w:rFonts w:ascii="Times New Roman" w:eastAsia="Verdana" w:hAnsi="Times New Roman" w:cs="Times New Roman"/>
                <w:b/>
                <w:sz w:val="18"/>
                <w:szCs w:val="14"/>
                <w:lang w:val="ro-RO"/>
              </w:rPr>
              <w:t>DSE</w:t>
            </w:r>
            <w:r w:rsidR="00780B2E" w:rsidRPr="009C5F11">
              <w:rPr>
                <w:rFonts w:ascii="Times New Roman" w:eastAsia="Verdana" w:hAnsi="Times New Roman" w:cs="Times New Roman"/>
                <w:b/>
                <w:sz w:val="18"/>
                <w:szCs w:val="14"/>
                <w:lang w:val="ro-RO"/>
              </w:rPr>
              <w:t xml:space="preserve"> </w:t>
            </w:r>
            <w:r w:rsidRPr="009C5F11">
              <w:rPr>
                <w:rFonts w:ascii="Times New Roman" w:eastAsia="Verdana" w:hAnsi="Times New Roman" w:cs="Times New Roman"/>
                <w:b/>
                <w:sz w:val="18"/>
                <w:szCs w:val="14"/>
                <w:lang w:val="ro-RO"/>
              </w:rPr>
              <w:t>pe anul</w:t>
            </w:r>
            <w:r w:rsidR="00780B2E" w:rsidRPr="009C5F11">
              <w:rPr>
                <w:rFonts w:ascii="Times New Roman" w:eastAsia="Verdana" w:hAnsi="Times New Roman" w:cs="Times New Roman"/>
                <w:b/>
                <w:sz w:val="18"/>
                <w:szCs w:val="14"/>
                <w:lang w:val="ro-RO"/>
              </w:rPr>
              <w:t xml:space="preserve"> 2020</w:t>
            </w:r>
          </w:p>
        </w:tc>
        <w:tc>
          <w:tcPr>
            <w:tcW w:w="321" w:type="pct"/>
            <w:shd w:val="clear" w:color="auto" w:fill="000080"/>
            <w:noWrap/>
            <w:vAlign w:val="center"/>
            <w:hideMark/>
          </w:tcPr>
          <w:p w14:paraId="0DC9CB99" w14:textId="77777777" w:rsidR="00780B2E" w:rsidRPr="009C5F11" w:rsidRDefault="00780B2E" w:rsidP="003D3C21">
            <w:pPr>
              <w:spacing w:after="0" w:line="240" w:lineRule="auto"/>
              <w:jc w:val="center"/>
              <w:rPr>
                <w:rFonts w:ascii="Times New Roman" w:eastAsia="Verdana" w:hAnsi="Times New Roman" w:cs="Times New Roman"/>
                <w:b/>
                <w:sz w:val="18"/>
                <w:szCs w:val="14"/>
                <w:lang w:val="ro-RO"/>
              </w:rPr>
            </w:pPr>
          </w:p>
        </w:tc>
        <w:tc>
          <w:tcPr>
            <w:tcW w:w="322" w:type="pct"/>
            <w:shd w:val="clear" w:color="auto" w:fill="000080"/>
            <w:vAlign w:val="center"/>
          </w:tcPr>
          <w:p w14:paraId="11946947" w14:textId="77777777" w:rsidR="00780B2E" w:rsidRPr="009C5F11" w:rsidRDefault="00780B2E" w:rsidP="003D3C21">
            <w:pPr>
              <w:spacing w:after="0" w:line="240" w:lineRule="auto"/>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167.2</w:t>
            </w:r>
          </w:p>
        </w:tc>
        <w:tc>
          <w:tcPr>
            <w:tcW w:w="2381" w:type="pct"/>
            <w:shd w:val="clear" w:color="auto" w:fill="000080"/>
          </w:tcPr>
          <w:p w14:paraId="05978138"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c>
          <w:tcPr>
            <w:tcW w:w="617" w:type="pct"/>
            <w:gridSpan w:val="3"/>
            <w:shd w:val="clear" w:color="auto" w:fill="000080"/>
          </w:tcPr>
          <w:p w14:paraId="2044EC34" w14:textId="77777777" w:rsidR="00780B2E" w:rsidRPr="009C5F11" w:rsidRDefault="00780B2E" w:rsidP="00C807F1">
            <w:pPr>
              <w:spacing w:after="0" w:line="240" w:lineRule="auto"/>
              <w:rPr>
                <w:rFonts w:ascii="Times New Roman" w:eastAsia="Verdana" w:hAnsi="Times New Roman" w:cs="Times New Roman"/>
                <w:b/>
                <w:sz w:val="18"/>
                <w:szCs w:val="14"/>
                <w:lang w:val="ro-RO"/>
              </w:rPr>
            </w:pPr>
          </w:p>
        </w:tc>
      </w:tr>
    </w:tbl>
    <w:p w14:paraId="4DC43E54" w14:textId="77777777" w:rsidR="002733CB" w:rsidRPr="009C5F11" w:rsidRDefault="002733CB" w:rsidP="002733CB">
      <w:pPr>
        <w:spacing w:before="120" w:after="120" w:line="240" w:lineRule="auto"/>
        <w:jc w:val="both"/>
        <w:rPr>
          <w:rFonts w:ascii="Times New Roman" w:hAnsi="Times New Roman" w:cs="Times New Roman"/>
          <w:i/>
          <w:sz w:val="24"/>
          <w:lang w:val="ro-RO"/>
        </w:rPr>
      </w:pPr>
    </w:p>
    <w:p w14:paraId="7C980C61" w14:textId="77777777" w:rsidR="002733CB" w:rsidRPr="009C5F11" w:rsidRDefault="002733CB" w:rsidP="002733CB">
      <w:pPr>
        <w:spacing w:before="120" w:after="120" w:line="240" w:lineRule="auto"/>
        <w:jc w:val="both"/>
        <w:rPr>
          <w:rFonts w:ascii="Times New Roman" w:hAnsi="Times New Roman" w:cs="Times New Roman"/>
          <w:i/>
          <w:sz w:val="24"/>
          <w:lang w:val="ro-RO"/>
        </w:rPr>
        <w:sectPr w:rsidR="002733CB" w:rsidRPr="009C5F11" w:rsidSect="00430626">
          <w:headerReference w:type="default" r:id="rId13"/>
          <w:headerReference w:type="first" r:id="rId14"/>
          <w:pgSz w:w="16840" w:h="11900" w:orient="landscape" w:code="9"/>
          <w:pgMar w:top="1440" w:right="1440" w:bottom="1440" w:left="1440" w:header="720" w:footer="340" w:gutter="0"/>
          <w:cols w:space="720"/>
          <w:titlePg/>
          <w:docGrid w:linePitch="360"/>
        </w:sectPr>
      </w:pPr>
    </w:p>
    <w:p w14:paraId="701FECB5" w14:textId="4CC46316" w:rsidR="002733CB" w:rsidRPr="00D9464A" w:rsidRDefault="00DF271F" w:rsidP="00EE3781">
      <w:pPr>
        <w:pStyle w:val="Titlu2"/>
        <w:rPr>
          <w:rFonts w:ascii="Times New Roman" w:hAnsi="Times New Roman" w:cs="Times New Roman"/>
          <w:color w:val="000000" w:themeColor="text1"/>
          <w:sz w:val="28"/>
          <w:lang w:val="ro-RO"/>
        </w:rPr>
      </w:pPr>
      <w:bookmarkStart w:id="18" w:name="_Toc273697731"/>
      <w:bookmarkStart w:id="19" w:name="_Toc273706944"/>
      <w:bookmarkStart w:id="20" w:name="_Toc273707555"/>
      <w:bookmarkStart w:id="21" w:name="_Toc274298517"/>
      <w:bookmarkStart w:id="22" w:name="_Toc274304003"/>
      <w:bookmarkStart w:id="23" w:name="_Toc319555372"/>
      <w:bookmarkStart w:id="24" w:name="_Ref319619330"/>
      <w:bookmarkStart w:id="25" w:name="_Ref319676259"/>
      <w:bookmarkStart w:id="26" w:name="_Ref319712261"/>
      <w:bookmarkStart w:id="27" w:name="_Toc322013138"/>
      <w:bookmarkEnd w:id="14"/>
      <w:bookmarkEnd w:id="15"/>
      <w:bookmarkEnd w:id="18"/>
      <w:bookmarkEnd w:id="19"/>
      <w:bookmarkEnd w:id="20"/>
      <w:r w:rsidRPr="00D9464A">
        <w:rPr>
          <w:rFonts w:ascii="Times New Roman" w:hAnsi="Times New Roman" w:cs="Times New Roman"/>
          <w:color w:val="000000" w:themeColor="text1"/>
          <w:sz w:val="28"/>
          <w:lang w:val="ro-RO"/>
        </w:rPr>
        <w:lastRenderedPageBreak/>
        <w:t>Examinarea</w:t>
      </w:r>
      <w:r w:rsidR="00471C66" w:rsidRPr="00D9464A">
        <w:rPr>
          <w:rFonts w:ascii="Times New Roman" w:hAnsi="Times New Roman" w:cs="Times New Roman"/>
          <w:color w:val="000000" w:themeColor="text1"/>
          <w:sz w:val="28"/>
          <w:lang w:val="ro-RO"/>
        </w:rPr>
        <w:t xml:space="preserve"> obiectivelor stabilite pentru economiile de energie </w:t>
      </w:r>
      <w:r w:rsidR="00321CD5" w:rsidRPr="00D9464A">
        <w:rPr>
          <w:rFonts w:ascii="Times New Roman" w:hAnsi="Times New Roman" w:cs="Times New Roman"/>
          <w:color w:val="000000" w:themeColor="text1"/>
          <w:sz w:val="28"/>
          <w:lang w:val="ro-RO"/>
        </w:rPr>
        <w:t xml:space="preserve">şi </w:t>
      </w:r>
      <w:r w:rsidR="00471C66" w:rsidRPr="00D9464A">
        <w:rPr>
          <w:rFonts w:ascii="Times New Roman" w:hAnsi="Times New Roman" w:cs="Times New Roman"/>
          <w:color w:val="000000" w:themeColor="text1"/>
          <w:sz w:val="28"/>
          <w:lang w:val="ro-RO"/>
        </w:rPr>
        <w:t xml:space="preserve">prezentarea </w:t>
      </w:r>
      <w:bookmarkEnd w:id="21"/>
      <w:bookmarkEnd w:id="22"/>
      <w:bookmarkEnd w:id="23"/>
      <w:bookmarkEnd w:id="24"/>
      <w:bookmarkEnd w:id="25"/>
      <w:bookmarkEnd w:id="26"/>
      <w:r w:rsidR="00471C66" w:rsidRPr="00D9464A">
        <w:rPr>
          <w:rFonts w:ascii="Times New Roman" w:hAnsi="Times New Roman" w:cs="Times New Roman"/>
          <w:color w:val="000000" w:themeColor="text1"/>
          <w:sz w:val="28"/>
          <w:lang w:val="ro-RO"/>
        </w:rPr>
        <w:t xml:space="preserve">rezultatelor </w:t>
      </w:r>
      <w:r w:rsidR="0058692B" w:rsidRPr="00D9464A">
        <w:rPr>
          <w:rFonts w:ascii="Times New Roman" w:hAnsi="Times New Roman" w:cs="Times New Roman"/>
          <w:color w:val="000000" w:themeColor="text1"/>
          <w:sz w:val="28"/>
          <w:lang w:val="ro-RO"/>
        </w:rPr>
        <w:t>obţinute.</w:t>
      </w:r>
      <w:bookmarkEnd w:id="27"/>
    </w:p>
    <w:p w14:paraId="7D4AAF99" w14:textId="77777777" w:rsidR="0040025A" w:rsidRPr="009C5F11" w:rsidRDefault="00017082"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Există diverse</w:t>
      </w:r>
      <w:r w:rsidR="002733CB" w:rsidRPr="009C5F11">
        <w:rPr>
          <w:rFonts w:ascii="Times New Roman" w:hAnsi="Times New Roman" w:cs="Times New Roman"/>
          <w:sz w:val="24"/>
          <w:lang w:val="ro-RO"/>
        </w:rPr>
        <w:t xml:space="preserve"> </w:t>
      </w:r>
      <w:r w:rsidR="003826B8" w:rsidRPr="009C5F11">
        <w:rPr>
          <w:rFonts w:ascii="Times New Roman" w:hAnsi="Times New Roman" w:cs="Times New Roman"/>
          <w:sz w:val="24"/>
          <w:lang w:val="ro-RO"/>
        </w:rPr>
        <w:t>documente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la acest capitol care indică diferite obiect</w:t>
      </w:r>
      <w:r w:rsidR="0058692B" w:rsidRPr="009C5F11">
        <w:rPr>
          <w:rFonts w:ascii="Times New Roman" w:hAnsi="Times New Roman" w:cs="Times New Roman"/>
          <w:sz w:val="24"/>
          <w:lang w:val="ro-RO"/>
        </w:rPr>
        <w:t>iv</w:t>
      </w:r>
      <w:r w:rsidRPr="009C5F11">
        <w:rPr>
          <w:rFonts w:ascii="Times New Roman" w:hAnsi="Times New Roman" w:cs="Times New Roman"/>
          <w:sz w:val="24"/>
          <w:lang w:val="ro-RO"/>
        </w:rPr>
        <w:t>e</w:t>
      </w:r>
      <w:r w:rsidR="002733CB" w:rsidRPr="009C5F11">
        <w:rPr>
          <w:rFonts w:ascii="Times New Roman" w:hAnsi="Times New Roman" w:cs="Times New Roman"/>
          <w:sz w:val="24"/>
          <w:lang w:val="ro-RO"/>
        </w:rPr>
        <w:t xml:space="preserve">. </w:t>
      </w:r>
      <w:r w:rsidR="00401F29" w:rsidRPr="009C5F11">
        <w:rPr>
          <w:rFonts w:ascii="Times New Roman" w:hAnsi="Times New Roman" w:cs="Times New Roman"/>
          <w:sz w:val="24"/>
          <w:lang w:val="ro-RO"/>
        </w:rPr>
        <w:t>Cu toate acestea</w:t>
      </w:r>
      <w:r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principalul document este Programul naţional pentru eficienţă energetică care </w:t>
      </w:r>
      <w:r w:rsidR="002733CB" w:rsidRPr="009C5F11">
        <w:rPr>
          <w:rFonts w:ascii="Times New Roman" w:hAnsi="Times New Roman" w:cs="Times New Roman"/>
          <w:sz w:val="24"/>
          <w:lang w:val="ro-RO"/>
        </w:rPr>
        <w:t>introduc</w:t>
      </w:r>
      <w:r w:rsidRPr="009C5F11">
        <w:rPr>
          <w:rFonts w:ascii="Times New Roman" w:hAnsi="Times New Roman" w:cs="Times New Roman"/>
          <w:sz w:val="24"/>
          <w:lang w:val="ro-RO"/>
        </w:rPr>
        <w:t>e</w:t>
      </w:r>
      <w:r w:rsidR="002733CB" w:rsidRPr="009C5F11">
        <w:rPr>
          <w:rFonts w:ascii="Times New Roman" w:hAnsi="Times New Roman" w:cs="Times New Roman"/>
          <w:sz w:val="24"/>
          <w:lang w:val="ro-RO"/>
        </w:rPr>
        <w:t xml:space="preserve"> </w:t>
      </w:r>
      <w:r w:rsidR="0058692B" w:rsidRPr="009C5F11">
        <w:rPr>
          <w:rFonts w:ascii="Times New Roman" w:hAnsi="Times New Roman" w:cs="Times New Roman"/>
          <w:sz w:val="24"/>
          <w:lang w:val="ro-RO"/>
        </w:rPr>
        <w:t xml:space="preserve">obiectivul de </w:t>
      </w:r>
      <w:r w:rsidR="002733CB" w:rsidRPr="009C5F11">
        <w:rPr>
          <w:rFonts w:ascii="Times New Roman" w:hAnsi="Times New Roman" w:cs="Times New Roman"/>
          <w:sz w:val="24"/>
          <w:lang w:val="ro-RO"/>
        </w:rPr>
        <w:t xml:space="preserve">20% </w:t>
      </w:r>
      <w:r w:rsidRPr="009C5F11">
        <w:rPr>
          <w:rFonts w:ascii="Times New Roman" w:hAnsi="Times New Roman" w:cs="Times New Roman"/>
          <w:sz w:val="24"/>
          <w:lang w:val="ro-RO"/>
        </w:rPr>
        <w:t>de economii</w:t>
      </w:r>
      <w:r w:rsidR="002733CB" w:rsidRPr="009C5F11">
        <w:rPr>
          <w:rFonts w:ascii="Times New Roman" w:hAnsi="Times New Roman" w:cs="Times New Roman"/>
          <w:sz w:val="24"/>
          <w:lang w:val="ro-RO"/>
        </w:rPr>
        <w:t xml:space="preserve"> </w:t>
      </w:r>
      <w:r w:rsidR="0058692B" w:rsidRPr="009C5F11">
        <w:rPr>
          <w:rFonts w:ascii="Times New Roman" w:hAnsi="Times New Roman" w:cs="Times New Roman"/>
          <w:sz w:val="24"/>
          <w:lang w:val="ro-RO"/>
        </w:rPr>
        <w:t>totale de energie primară (</w:t>
      </w:r>
      <w:r w:rsidR="00FA172F" w:rsidRPr="009C5F11">
        <w:rPr>
          <w:rFonts w:ascii="Times New Roman" w:hAnsi="Times New Roman" w:cs="Times New Roman"/>
          <w:sz w:val="24"/>
          <w:lang w:val="ro-RO"/>
        </w:rPr>
        <w:t>CTEP</w:t>
      </w:r>
      <w:r w:rsidR="0058692B"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p>
    <w:p w14:paraId="755EACE5" w14:textId="77777777" w:rsidR="0040025A" w:rsidRPr="009C5F11" w:rsidRDefault="00146799"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Această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Secţiune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prezintă analiza celor mai importante obiective naţionale stabilite pentru economiile de energie</w:t>
      </w:r>
      <w:r w:rsidR="002733CB"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precum şi</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calculele </w:t>
      </w:r>
      <w:r w:rsidR="002733CB" w:rsidRPr="009C5F11">
        <w:rPr>
          <w:rFonts w:ascii="Times New Roman" w:hAnsi="Times New Roman" w:cs="Times New Roman"/>
          <w:sz w:val="24"/>
          <w:lang w:val="ro-RO"/>
        </w:rPr>
        <w:t>coresp</w:t>
      </w:r>
      <w:r w:rsidRPr="009C5F11">
        <w:rPr>
          <w:rFonts w:ascii="Times New Roman" w:hAnsi="Times New Roman" w:cs="Times New Roman"/>
          <w:sz w:val="24"/>
          <w:lang w:val="ro-RO"/>
        </w:rPr>
        <w:t xml:space="preserve">unzătoare ale obiectivelor anului </w:t>
      </w:r>
      <w:r w:rsidR="002733CB" w:rsidRPr="009C5F11">
        <w:rPr>
          <w:rFonts w:ascii="Times New Roman" w:hAnsi="Times New Roman" w:cs="Times New Roman"/>
          <w:sz w:val="24"/>
          <w:lang w:val="ro-RO"/>
        </w:rPr>
        <w:t xml:space="preserve">2020 </w:t>
      </w:r>
      <w:r w:rsidR="0058692B" w:rsidRPr="009C5F11">
        <w:rPr>
          <w:rFonts w:ascii="Times New Roman" w:hAnsi="Times New Roman" w:cs="Times New Roman"/>
          <w:sz w:val="24"/>
          <w:lang w:val="ro-RO"/>
        </w:rPr>
        <w:t>în temeiul</w:t>
      </w:r>
      <w:r w:rsidRPr="009C5F11">
        <w:rPr>
          <w:rFonts w:ascii="Times New Roman" w:hAnsi="Times New Roman" w:cs="Times New Roman"/>
          <w:sz w:val="24"/>
          <w:lang w:val="ro-RO"/>
        </w:rPr>
        <w:t xml:space="preserve"> dispoziţiilor</w:t>
      </w:r>
      <w:r w:rsidR="002733CB" w:rsidRPr="009C5F11">
        <w:rPr>
          <w:rFonts w:ascii="Times New Roman" w:hAnsi="Times New Roman" w:cs="Times New Roman"/>
          <w:sz w:val="24"/>
          <w:lang w:val="ro-RO"/>
        </w:rPr>
        <w:t xml:space="preserve"> </w:t>
      </w:r>
      <w:r w:rsidR="00CB011F" w:rsidRPr="009C5F11">
        <w:rPr>
          <w:rFonts w:ascii="Times New Roman" w:hAnsi="Times New Roman" w:cs="Times New Roman"/>
          <w:sz w:val="24"/>
          <w:lang w:val="ro-RO"/>
        </w:rPr>
        <w:t>DEE</w:t>
      </w:r>
      <w:r w:rsidR="00321CD5" w:rsidRPr="009C5F11">
        <w:rPr>
          <w:rFonts w:ascii="Times New Roman" w:hAnsi="Times New Roman" w:cs="Times New Roman"/>
          <w:sz w:val="24"/>
          <w:lang w:val="ro-RO"/>
        </w:rPr>
        <w:t xml:space="preserve"> şi </w:t>
      </w:r>
      <w:r w:rsidR="00871B4E" w:rsidRPr="009C5F11">
        <w:rPr>
          <w:rFonts w:ascii="Times New Roman" w:hAnsi="Times New Roman" w:cs="Times New Roman"/>
          <w:sz w:val="24"/>
          <w:lang w:val="ro-RO"/>
        </w:rPr>
        <w:t>DSE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De asemenea, sunt incluse previziunile </w:t>
      </w:r>
      <w:r w:rsidR="0058692B" w:rsidRPr="009C5F11">
        <w:rPr>
          <w:rFonts w:ascii="Times New Roman" w:hAnsi="Times New Roman" w:cs="Times New Roman"/>
          <w:sz w:val="24"/>
          <w:lang w:val="ro-RO"/>
        </w:rPr>
        <w:t xml:space="preserve">pentru </w:t>
      </w:r>
      <w:r w:rsidR="00FA172F" w:rsidRPr="009C5F11">
        <w:rPr>
          <w:rFonts w:ascii="Times New Roman" w:hAnsi="Times New Roman" w:cs="Times New Roman"/>
          <w:sz w:val="24"/>
          <w:lang w:val="ro-RO"/>
        </w:rPr>
        <w:t>CTEP</w:t>
      </w:r>
      <w:r w:rsidR="00321CD5" w:rsidRPr="009C5F11">
        <w:rPr>
          <w:rFonts w:ascii="Times New Roman" w:hAnsi="Times New Roman" w:cs="Times New Roman"/>
          <w:sz w:val="24"/>
          <w:lang w:val="ro-RO"/>
        </w:rPr>
        <w:t xml:space="preserve"> şi </w:t>
      </w:r>
      <w:r w:rsidR="0058692B" w:rsidRPr="009C5F11">
        <w:rPr>
          <w:rFonts w:ascii="Times New Roman" w:hAnsi="Times New Roman" w:cs="Times New Roman"/>
          <w:sz w:val="24"/>
          <w:lang w:val="ro-RO"/>
        </w:rPr>
        <w:t>consumul de energie finală (</w:t>
      </w:r>
      <w:r w:rsidR="00A74B8C" w:rsidRPr="009C5F11">
        <w:rPr>
          <w:rFonts w:ascii="Times New Roman" w:hAnsi="Times New Roman" w:cs="Times New Roman"/>
          <w:sz w:val="24"/>
          <w:lang w:val="ro-RO"/>
        </w:rPr>
        <w:t>CEF</w:t>
      </w:r>
      <w:r w:rsidR="0058692B"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până în anul</w:t>
      </w:r>
      <w:r w:rsidR="002733CB" w:rsidRPr="009C5F11">
        <w:rPr>
          <w:rFonts w:ascii="Times New Roman" w:hAnsi="Times New Roman" w:cs="Times New Roman"/>
          <w:sz w:val="24"/>
          <w:lang w:val="ro-RO"/>
        </w:rPr>
        <w:t xml:space="preserve"> 2020. </w:t>
      </w:r>
    </w:p>
    <w:p w14:paraId="1A1D4259" w14:textId="2251BB99" w:rsidR="002733CB" w:rsidRPr="009C5F11" w:rsidRDefault="00146799"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Ţinând cont de posibilitatea introdusă prin modelul actual, a fost luată decizia de a elabora o descriere mai extinsă a tematicilor relevante din prezentul capitol</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limitând descrierile din </w:t>
      </w:r>
      <w:r w:rsidR="003A5D89" w:rsidRPr="009C5F11">
        <w:rPr>
          <w:rFonts w:ascii="Times New Roman" w:hAnsi="Times New Roman" w:cs="Times New Roman"/>
          <w:sz w:val="24"/>
          <w:lang w:val="ro-RO"/>
        </w:rPr>
        <w:t>Secţiunile</w:t>
      </w:r>
      <w:r w:rsidR="002733CB"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476B9C" w:rsidRPr="009C5F11">
        <w:rPr>
          <w:rFonts w:ascii="Times New Roman" w:hAnsi="Times New Roman" w:cs="Times New Roman"/>
          <w:sz w:val="24"/>
          <w:lang w:val="ro-RO"/>
        </w:rPr>
        <w:instrText xml:space="preserve"> REF _Ref319619244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2.1</w:t>
      </w:r>
      <w:r w:rsidR="003A6ADB" w:rsidRPr="009C5F11">
        <w:rPr>
          <w:rFonts w:ascii="Times New Roman" w:hAnsi="Times New Roman" w:cs="Times New Roman"/>
          <w:sz w:val="24"/>
          <w:lang w:val="ro-RO"/>
        </w:rPr>
        <w:fldChar w:fldCharType="end"/>
      </w:r>
      <w:r w:rsidR="00476B9C" w:rsidRPr="009C5F11">
        <w:rPr>
          <w:rFonts w:ascii="Times New Roman" w:hAnsi="Times New Roman" w:cs="Times New Roman"/>
          <w:sz w:val="24"/>
          <w:lang w:val="ro-RO"/>
        </w:rPr>
        <w:t>-</w:t>
      </w:r>
      <w:r w:rsidR="003A6ADB" w:rsidRPr="009C5F11">
        <w:rPr>
          <w:rFonts w:ascii="Times New Roman" w:hAnsi="Times New Roman" w:cs="Times New Roman"/>
          <w:sz w:val="24"/>
          <w:lang w:val="ro-RO"/>
        </w:rPr>
        <w:fldChar w:fldCharType="begin"/>
      </w:r>
      <w:r w:rsidR="00476B9C" w:rsidRPr="009C5F11">
        <w:rPr>
          <w:rFonts w:ascii="Times New Roman" w:hAnsi="Times New Roman" w:cs="Times New Roman"/>
          <w:sz w:val="24"/>
          <w:lang w:val="ro-RO"/>
        </w:rPr>
        <w:instrText xml:space="preserve"> REF _Ref319619247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2.2</w:t>
      </w:r>
      <w:r w:rsidR="003A6ADB" w:rsidRPr="009C5F11">
        <w:rPr>
          <w:rFonts w:ascii="Times New Roman" w:hAnsi="Times New Roman" w:cs="Times New Roman"/>
          <w:sz w:val="24"/>
          <w:lang w:val="ro-RO"/>
        </w:rPr>
        <w:fldChar w:fldCharType="end"/>
      </w:r>
      <w:r w:rsidR="00321CD5" w:rsidRPr="009C5F11">
        <w:rPr>
          <w:rFonts w:ascii="Times New Roman" w:hAnsi="Times New Roman" w:cs="Times New Roman"/>
          <w:sz w:val="24"/>
          <w:lang w:val="ro-RO"/>
        </w:rPr>
        <w:t xml:space="preserve"> şi </w:t>
      </w:r>
      <w:r w:rsidR="003A5D89" w:rsidRPr="009C5F11">
        <w:rPr>
          <w:rFonts w:ascii="Times New Roman" w:hAnsi="Times New Roman" w:cs="Times New Roman"/>
          <w:sz w:val="24"/>
          <w:lang w:val="ro-RO"/>
        </w:rPr>
        <w:t>Secţiunile</w:t>
      </w:r>
      <w:r w:rsidR="00EC24B8"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476B9C" w:rsidRPr="009C5F11">
        <w:rPr>
          <w:rFonts w:ascii="Times New Roman" w:hAnsi="Times New Roman" w:cs="Times New Roman"/>
          <w:sz w:val="24"/>
          <w:lang w:val="ro-RO"/>
        </w:rPr>
        <w:instrText xml:space="preserve"> REF _Ref274125218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3.1</w:t>
      </w:r>
      <w:r w:rsidR="003A6ADB" w:rsidRPr="009C5F11">
        <w:rPr>
          <w:rFonts w:ascii="Times New Roman" w:hAnsi="Times New Roman" w:cs="Times New Roman"/>
          <w:sz w:val="24"/>
          <w:lang w:val="ro-RO"/>
        </w:rPr>
        <w:fldChar w:fldCharType="end"/>
      </w:r>
      <w:r w:rsidR="00476B9C" w:rsidRPr="009C5F11">
        <w:rPr>
          <w:rFonts w:ascii="Times New Roman" w:hAnsi="Times New Roman" w:cs="Times New Roman"/>
          <w:sz w:val="24"/>
          <w:lang w:val="ro-RO"/>
        </w:rPr>
        <w:t>-</w:t>
      </w:r>
      <w:r w:rsidR="003A6ADB" w:rsidRPr="009C5F11">
        <w:rPr>
          <w:rFonts w:ascii="Times New Roman" w:hAnsi="Times New Roman" w:cs="Times New Roman"/>
          <w:sz w:val="24"/>
          <w:lang w:val="ro-RO"/>
        </w:rPr>
        <w:fldChar w:fldCharType="begin"/>
      </w:r>
      <w:r w:rsidR="00476B9C" w:rsidRPr="009C5F11">
        <w:rPr>
          <w:rFonts w:ascii="Times New Roman" w:hAnsi="Times New Roman" w:cs="Times New Roman"/>
          <w:sz w:val="24"/>
          <w:lang w:val="ro-RO"/>
        </w:rPr>
        <w:instrText xml:space="preserve"> REF _Ref319619268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3.2</w:t>
      </w:r>
      <w:r w:rsidR="003A6ADB" w:rsidRPr="009C5F11">
        <w:rPr>
          <w:rFonts w:ascii="Times New Roman" w:hAnsi="Times New Roman" w:cs="Times New Roman"/>
          <w:sz w:val="24"/>
          <w:lang w:val="ro-RO"/>
        </w:rPr>
        <w:fldChar w:fldCharType="end"/>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la referinţele solicitate. </w:t>
      </w:r>
    </w:p>
    <w:p w14:paraId="6F871BA2" w14:textId="77777777" w:rsidR="009431E3" w:rsidRPr="009C5F11" w:rsidRDefault="009431E3" w:rsidP="00737C17">
      <w:pPr>
        <w:spacing w:before="120" w:after="120" w:line="240" w:lineRule="auto"/>
        <w:jc w:val="both"/>
        <w:rPr>
          <w:rFonts w:ascii="Times New Roman" w:hAnsi="Times New Roman" w:cs="Times New Roman"/>
          <w:sz w:val="24"/>
          <w:lang w:val="ro-RO"/>
        </w:rPr>
      </w:pPr>
    </w:p>
    <w:p w14:paraId="2D3C04BF" w14:textId="77777777" w:rsidR="002733CB" w:rsidRPr="00D9464A" w:rsidRDefault="002733CB" w:rsidP="00EE3781">
      <w:pPr>
        <w:pStyle w:val="Titlu3"/>
        <w:rPr>
          <w:rFonts w:ascii="Times New Roman" w:hAnsi="Times New Roman" w:cs="Times New Roman"/>
          <w:b/>
          <w:color w:val="000000" w:themeColor="text1"/>
          <w:sz w:val="28"/>
          <w:lang w:val="ro-RO"/>
        </w:rPr>
      </w:pPr>
      <w:bookmarkStart w:id="28" w:name="_Toc322013139"/>
      <w:bookmarkStart w:id="29" w:name="_Toc319555373"/>
      <w:bookmarkStart w:id="30" w:name="_Ref319618209"/>
      <w:bookmarkStart w:id="31" w:name="_Ref319618521"/>
      <w:bookmarkStart w:id="32" w:name="_Ref319619441"/>
      <w:bookmarkStart w:id="33" w:name="_Ref319620205"/>
      <w:bookmarkStart w:id="34" w:name="_Toc274298518"/>
      <w:bookmarkStart w:id="35" w:name="_Toc274304004"/>
      <w:r w:rsidRPr="00D9464A">
        <w:rPr>
          <w:rFonts w:ascii="Times New Roman" w:hAnsi="Times New Roman" w:cs="Times New Roman"/>
          <w:b/>
          <w:color w:val="000000" w:themeColor="text1"/>
          <w:sz w:val="28"/>
          <w:lang w:val="ro-RO"/>
        </w:rPr>
        <w:t>Sumar</w:t>
      </w:r>
      <w:r w:rsidR="00017082" w:rsidRPr="00D9464A">
        <w:rPr>
          <w:rFonts w:ascii="Times New Roman" w:hAnsi="Times New Roman" w:cs="Times New Roman"/>
          <w:b/>
          <w:color w:val="000000" w:themeColor="text1"/>
          <w:sz w:val="28"/>
          <w:lang w:val="ro-RO"/>
        </w:rPr>
        <w:t xml:space="preserve">ul celor mai importante obiective naţionale stabilite pentru </w:t>
      </w:r>
      <w:r w:rsidR="004424A0" w:rsidRPr="00D9464A">
        <w:rPr>
          <w:rFonts w:ascii="Times New Roman" w:hAnsi="Times New Roman" w:cs="Times New Roman"/>
          <w:b/>
          <w:color w:val="000000" w:themeColor="text1"/>
          <w:sz w:val="28"/>
          <w:lang w:val="ro-RO"/>
        </w:rPr>
        <w:t>economii</w:t>
      </w:r>
      <w:r w:rsidR="00017082" w:rsidRPr="00D9464A">
        <w:rPr>
          <w:rFonts w:ascii="Times New Roman" w:hAnsi="Times New Roman" w:cs="Times New Roman"/>
          <w:b/>
          <w:color w:val="000000" w:themeColor="text1"/>
          <w:sz w:val="28"/>
          <w:lang w:val="ro-RO"/>
        </w:rPr>
        <w:t>le</w:t>
      </w:r>
      <w:r w:rsidR="004424A0" w:rsidRPr="00D9464A">
        <w:rPr>
          <w:rFonts w:ascii="Times New Roman" w:hAnsi="Times New Roman" w:cs="Times New Roman"/>
          <w:b/>
          <w:color w:val="000000" w:themeColor="text1"/>
          <w:sz w:val="28"/>
          <w:lang w:val="ro-RO"/>
        </w:rPr>
        <w:t xml:space="preserve"> de energie</w:t>
      </w:r>
      <w:bookmarkEnd w:id="28"/>
      <w:r w:rsidRPr="00D9464A">
        <w:rPr>
          <w:rFonts w:ascii="Times New Roman" w:hAnsi="Times New Roman" w:cs="Times New Roman"/>
          <w:b/>
          <w:color w:val="000000" w:themeColor="text1"/>
          <w:sz w:val="28"/>
          <w:lang w:val="ro-RO"/>
        </w:rPr>
        <w:t xml:space="preserve"> </w:t>
      </w:r>
      <w:bookmarkEnd w:id="29"/>
      <w:bookmarkEnd w:id="30"/>
      <w:bookmarkEnd w:id="31"/>
      <w:bookmarkEnd w:id="32"/>
      <w:bookmarkEnd w:id="33"/>
    </w:p>
    <w:p w14:paraId="728EE6A1" w14:textId="3496AF27" w:rsidR="002733CB" w:rsidRPr="009C5F11" w:rsidRDefault="00146799"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Documentele</w:t>
      </w:r>
      <w:r w:rsidR="002733CB" w:rsidRPr="009C5F11">
        <w:rPr>
          <w:rFonts w:ascii="Times New Roman" w:hAnsi="Times New Roman" w:cs="Times New Roman"/>
          <w:sz w:val="24"/>
          <w:lang w:val="ro-RO"/>
        </w:rPr>
        <w:t xml:space="preserve"> strategic</w:t>
      </w:r>
      <w:r w:rsidRPr="009C5F11">
        <w:rPr>
          <w:rFonts w:ascii="Times New Roman" w:hAnsi="Times New Roman" w:cs="Times New Roman"/>
          <w:sz w:val="24"/>
          <w:lang w:val="ro-RO"/>
        </w:rPr>
        <w:t>e</w:t>
      </w:r>
      <w:r w:rsidR="002733CB" w:rsidRPr="009C5F11">
        <w:rPr>
          <w:rFonts w:ascii="Times New Roman" w:hAnsi="Times New Roman" w:cs="Times New Roman"/>
          <w:sz w:val="24"/>
          <w:lang w:val="ro-RO"/>
        </w:rPr>
        <w:t xml:space="preserve"> / </w:t>
      </w:r>
      <w:r w:rsidRPr="009C5F11">
        <w:rPr>
          <w:rFonts w:ascii="Times New Roman" w:hAnsi="Times New Roman" w:cs="Times New Roman"/>
          <w:sz w:val="24"/>
          <w:lang w:val="ro-RO"/>
        </w:rPr>
        <w:t xml:space="preserve">de </w:t>
      </w:r>
      <w:r w:rsidR="002733CB" w:rsidRPr="009C5F11">
        <w:rPr>
          <w:rFonts w:ascii="Times New Roman" w:hAnsi="Times New Roman" w:cs="Times New Roman"/>
          <w:sz w:val="24"/>
          <w:lang w:val="ro-RO"/>
        </w:rPr>
        <w:t>plan</w:t>
      </w:r>
      <w:r w:rsidRPr="009C5F11">
        <w:rPr>
          <w:rFonts w:ascii="Times New Roman" w:hAnsi="Times New Roman" w:cs="Times New Roman"/>
          <w:sz w:val="24"/>
          <w:lang w:val="ro-RO"/>
        </w:rPr>
        <w:t xml:space="preserve">ificare ale </w:t>
      </w:r>
      <w:r w:rsidR="0058692B" w:rsidRPr="009C5F11">
        <w:rPr>
          <w:rFonts w:ascii="Times New Roman" w:hAnsi="Times New Roman" w:cs="Times New Roman"/>
          <w:sz w:val="24"/>
          <w:lang w:val="ro-RO"/>
        </w:rPr>
        <w:t>Republicii Moldova</w:t>
      </w:r>
      <w:r w:rsidRPr="009C5F11">
        <w:rPr>
          <w:rFonts w:ascii="Times New Roman" w:hAnsi="Times New Roman" w:cs="Times New Roman"/>
          <w:sz w:val="24"/>
          <w:lang w:val="ro-RO"/>
        </w:rPr>
        <w:t xml:space="preserve"> indică diferite obiective cu privire la schimbările </w:t>
      </w:r>
      <w:r w:rsidR="00BD6579" w:rsidRPr="009C5F11">
        <w:rPr>
          <w:rFonts w:ascii="Times New Roman" w:hAnsi="Times New Roman" w:cs="Times New Roman"/>
          <w:sz w:val="24"/>
          <w:lang w:val="ro-RO"/>
        </w:rPr>
        <w:t>climatice</w:t>
      </w:r>
      <w:r w:rsidR="002733CB" w:rsidRPr="009C5F11">
        <w:rPr>
          <w:rFonts w:ascii="Times New Roman" w:hAnsi="Times New Roman" w:cs="Times New Roman"/>
          <w:sz w:val="24"/>
          <w:lang w:val="ro-RO"/>
        </w:rPr>
        <w:t>, expr</w:t>
      </w:r>
      <w:r w:rsidRPr="009C5F11">
        <w:rPr>
          <w:rFonts w:ascii="Times New Roman" w:hAnsi="Times New Roman" w:cs="Times New Roman"/>
          <w:sz w:val="24"/>
          <w:lang w:val="ro-RO"/>
        </w:rPr>
        <w:t>imate, de regulă în procente, fiind rar calculate în valori absolute</w:t>
      </w:r>
      <w:r w:rsidR="002733CB"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726B12" w:rsidRPr="009C5F11">
        <w:rPr>
          <w:rFonts w:ascii="Times New Roman" w:hAnsi="Times New Roman" w:cs="Times New Roman"/>
          <w:sz w:val="24"/>
          <w:lang w:val="ro-RO"/>
        </w:rPr>
        <w:instrText xml:space="preserve"> REF _Ref319614716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5</w:t>
      </w:r>
      <w:r w:rsidR="003A6ADB" w:rsidRPr="009C5F11">
        <w:rPr>
          <w:rFonts w:ascii="Times New Roman" w:hAnsi="Times New Roman" w:cs="Times New Roman"/>
          <w:sz w:val="24"/>
          <w:lang w:val="ro-RO"/>
        </w:rPr>
        <w:fldChar w:fldCharType="end"/>
      </w:r>
      <w:r w:rsidR="00726B12"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de mai jos </w:t>
      </w:r>
      <w:r w:rsidR="00DF271F" w:rsidRPr="009C5F11">
        <w:rPr>
          <w:rFonts w:ascii="Times New Roman" w:hAnsi="Times New Roman" w:cs="Times New Roman"/>
          <w:sz w:val="24"/>
          <w:lang w:val="ro-RO"/>
        </w:rPr>
        <w:t>selectează</w:t>
      </w:r>
      <w:r w:rsidRPr="009C5F11">
        <w:rPr>
          <w:rFonts w:ascii="Times New Roman" w:hAnsi="Times New Roman" w:cs="Times New Roman"/>
          <w:sz w:val="24"/>
          <w:lang w:val="ro-RO"/>
        </w:rPr>
        <w:t xml:space="preserve"> obiective cu privire la </w:t>
      </w:r>
      <w:r w:rsidR="000C7BEC" w:rsidRPr="009C5F11">
        <w:rPr>
          <w:rFonts w:ascii="Times New Roman" w:hAnsi="Times New Roman" w:cs="Times New Roman"/>
          <w:sz w:val="24"/>
          <w:lang w:val="ro-RO"/>
        </w:rPr>
        <w:t>eficienţ</w:t>
      </w:r>
      <w:r w:rsidRPr="009C5F11">
        <w:rPr>
          <w:rFonts w:ascii="Times New Roman" w:hAnsi="Times New Roman" w:cs="Times New Roman"/>
          <w:sz w:val="24"/>
          <w:lang w:val="ro-RO"/>
        </w:rPr>
        <w:t>a</w:t>
      </w:r>
      <w:r w:rsidR="000C7BEC" w:rsidRPr="009C5F11">
        <w:rPr>
          <w:rFonts w:ascii="Times New Roman" w:hAnsi="Times New Roman" w:cs="Times New Roman"/>
          <w:sz w:val="24"/>
          <w:lang w:val="ro-RO"/>
        </w:rPr>
        <w:t xml:space="preserve"> energetică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w:t>
      </w:r>
      <w:r w:rsidR="003826B8" w:rsidRPr="009C5F11">
        <w:rPr>
          <w:rFonts w:ascii="Times New Roman" w:hAnsi="Times New Roman" w:cs="Times New Roman"/>
          <w:sz w:val="24"/>
          <w:lang w:val="ro-RO"/>
        </w:rPr>
        <w:t>ocumente</w:t>
      </w:r>
      <w:r w:rsidRPr="009C5F11">
        <w:rPr>
          <w:rFonts w:ascii="Times New Roman" w:hAnsi="Times New Roman" w:cs="Times New Roman"/>
          <w:sz w:val="24"/>
          <w:lang w:val="ro-RO"/>
        </w:rPr>
        <w:t xml:space="preserve">le ulterioare au păstrat sau au modificat aceste obiective în funcţie de evoluţia ţării, precum şi de </w:t>
      </w:r>
      <w:r w:rsidR="0058692B" w:rsidRPr="009C5F11">
        <w:rPr>
          <w:rFonts w:ascii="Times New Roman" w:hAnsi="Times New Roman" w:cs="Times New Roman"/>
          <w:sz w:val="24"/>
          <w:lang w:val="ro-RO"/>
        </w:rPr>
        <w:t xml:space="preserve">amendamentele din </w:t>
      </w:r>
      <w:r w:rsidRPr="009C5F11">
        <w:rPr>
          <w:rFonts w:ascii="Times New Roman" w:hAnsi="Times New Roman" w:cs="Times New Roman"/>
          <w:sz w:val="24"/>
          <w:lang w:val="ro-RO"/>
        </w:rPr>
        <w:t xml:space="preserve">legislaţia aplicabilă a </w:t>
      </w:r>
      <w:r w:rsidR="00421FA7" w:rsidRPr="009C5F11">
        <w:rPr>
          <w:rFonts w:ascii="Times New Roman" w:hAnsi="Times New Roman" w:cs="Times New Roman"/>
          <w:sz w:val="24"/>
          <w:lang w:val="ro-RO"/>
        </w:rPr>
        <w:t>Comunităţii Energetice</w:t>
      </w:r>
      <w:r w:rsidR="002733CB" w:rsidRPr="009C5F11">
        <w:rPr>
          <w:rFonts w:ascii="Times New Roman" w:hAnsi="Times New Roman" w:cs="Times New Roman"/>
          <w:sz w:val="24"/>
          <w:lang w:val="ro-RO"/>
        </w:rPr>
        <w:t>.</w:t>
      </w:r>
    </w:p>
    <w:p w14:paraId="4B5E4944" w14:textId="77777777" w:rsidR="005E7ADD" w:rsidRPr="009C5F11" w:rsidRDefault="005E7ADD" w:rsidP="002733CB">
      <w:pPr>
        <w:spacing w:before="120" w:after="120" w:line="240" w:lineRule="auto"/>
        <w:jc w:val="both"/>
        <w:rPr>
          <w:rFonts w:ascii="Times New Roman" w:hAnsi="Times New Roman" w:cs="Times New Roman"/>
          <w:sz w:val="24"/>
          <w:lang w:val="ro-RO"/>
        </w:rPr>
      </w:pPr>
    </w:p>
    <w:p w14:paraId="6F32A71F" w14:textId="77777777" w:rsidR="00801159" w:rsidRPr="009C5F11" w:rsidRDefault="00321CD5" w:rsidP="00554172">
      <w:pPr>
        <w:pStyle w:val="Legend"/>
        <w:keepNext/>
        <w:jc w:val="center"/>
        <w:rPr>
          <w:rFonts w:ascii="Times New Roman" w:hAnsi="Times New Roman" w:cs="Times New Roman"/>
          <w:sz w:val="22"/>
          <w:lang w:val="ro-RO"/>
        </w:rPr>
      </w:pPr>
      <w:bookmarkStart w:id="36" w:name="_Ref319614716"/>
      <w:bookmarkStart w:id="37" w:name="_Toc322013228"/>
      <w:r w:rsidRPr="009C5F11">
        <w:rPr>
          <w:rFonts w:ascii="Times New Roman" w:hAnsi="Times New Roman" w:cs="Times New Roman"/>
          <w:sz w:val="22"/>
          <w:lang w:val="ro-RO"/>
        </w:rPr>
        <w:t>Tabelul</w:t>
      </w:r>
      <w:r w:rsidR="00801159"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801159"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5</w:t>
      </w:r>
      <w:r w:rsidR="003A6ADB" w:rsidRPr="009C5F11">
        <w:rPr>
          <w:rFonts w:ascii="Times New Roman" w:hAnsi="Times New Roman" w:cs="Times New Roman"/>
          <w:sz w:val="22"/>
          <w:lang w:val="ro-RO"/>
        </w:rPr>
        <w:fldChar w:fldCharType="end"/>
      </w:r>
      <w:bookmarkEnd w:id="36"/>
      <w:r w:rsidR="00801159" w:rsidRPr="009C5F11">
        <w:rPr>
          <w:rFonts w:ascii="Times New Roman" w:hAnsi="Times New Roman" w:cs="Times New Roman"/>
          <w:sz w:val="22"/>
          <w:lang w:val="ro-RO"/>
        </w:rPr>
        <w:t xml:space="preserve"> </w:t>
      </w:r>
      <w:r w:rsidR="00127723" w:rsidRPr="009C5F11">
        <w:rPr>
          <w:rFonts w:ascii="Times New Roman" w:hAnsi="Times New Roman" w:cs="Times New Roman"/>
          <w:sz w:val="22"/>
          <w:lang w:val="ro-RO"/>
        </w:rPr>
        <w:t>–</w:t>
      </w:r>
      <w:r w:rsidR="00801159" w:rsidRPr="009C5F11">
        <w:rPr>
          <w:rFonts w:ascii="Times New Roman" w:hAnsi="Times New Roman" w:cs="Times New Roman"/>
          <w:sz w:val="22"/>
          <w:lang w:val="ro-RO"/>
        </w:rPr>
        <w:t xml:space="preserve"> </w:t>
      </w:r>
      <w:r w:rsidR="00127723" w:rsidRPr="009C5F11">
        <w:rPr>
          <w:rFonts w:ascii="Times New Roman" w:hAnsi="Times New Roman" w:cs="Times New Roman"/>
          <w:sz w:val="22"/>
          <w:lang w:val="ro-RO"/>
        </w:rPr>
        <w:t>Inventarul obiectivelor</w:t>
      </w:r>
      <w:r w:rsidR="00801159" w:rsidRPr="009C5F11">
        <w:rPr>
          <w:rFonts w:ascii="Times New Roman" w:hAnsi="Times New Roman" w:cs="Times New Roman"/>
          <w:sz w:val="22"/>
          <w:lang w:val="ro-RO"/>
        </w:rPr>
        <w:t xml:space="preserve"> </w:t>
      </w:r>
      <w:r w:rsidR="00127723" w:rsidRPr="009C5F11">
        <w:rPr>
          <w:rFonts w:ascii="Times New Roman" w:hAnsi="Times New Roman" w:cs="Times New Roman"/>
          <w:sz w:val="22"/>
          <w:lang w:val="ro-RO"/>
        </w:rPr>
        <w:t xml:space="preserve">stabilite de diverse </w:t>
      </w:r>
      <w:r w:rsidR="003826B8" w:rsidRPr="009C5F11">
        <w:rPr>
          <w:rFonts w:ascii="Times New Roman" w:hAnsi="Times New Roman" w:cs="Times New Roman"/>
          <w:sz w:val="22"/>
          <w:lang w:val="ro-RO"/>
        </w:rPr>
        <w:t>documente</w:t>
      </w:r>
      <w:r w:rsidR="00127723" w:rsidRPr="009C5F11">
        <w:rPr>
          <w:rFonts w:ascii="Times New Roman" w:hAnsi="Times New Roman" w:cs="Times New Roman"/>
          <w:sz w:val="22"/>
          <w:lang w:val="ro-RO"/>
        </w:rPr>
        <w:t xml:space="preserve"> strategice ale Republicii Moldova.</w:t>
      </w:r>
      <w:bookmarkEnd w:id="37"/>
    </w:p>
    <w:tbl>
      <w:tblPr>
        <w:tblStyle w:val="Listdeculoaredeschis-Accentuare2"/>
        <w:tblW w:w="9087" w:type="dxa"/>
        <w:tblLook w:val="04A0" w:firstRow="1" w:lastRow="0" w:firstColumn="1" w:lastColumn="0" w:noHBand="0" w:noVBand="1"/>
      </w:tblPr>
      <w:tblGrid>
        <w:gridCol w:w="484"/>
        <w:gridCol w:w="2664"/>
        <w:gridCol w:w="919"/>
        <w:gridCol w:w="918"/>
        <w:gridCol w:w="918"/>
        <w:gridCol w:w="992"/>
        <w:gridCol w:w="1073"/>
        <w:gridCol w:w="1119"/>
      </w:tblGrid>
      <w:tr w:rsidR="008B1DC8" w:rsidRPr="009C5F11" w14:paraId="04EB58DA" w14:textId="77777777" w:rsidTr="00566CAC">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20" w:type="dxa"/>
            <w:hideMark/>
          </w:tcPr>
          <w:p w14:paraId="10899767" w14:textId="77777777" w:rsidR="008B1DC8" w:rsidRPr="009C5F11" w:rsidRDefault="008B1DC8" w:rsidP="00D9464A">
            <w:pPr>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Nr. </w:t>
            </w:r>
          </w:p>
        </w:tc>
        <w:tc>
          <w:tcPr>
            <w:tcW w:w="2700" w:type="dxa"/>
            <w:hideMark/>
          </w:tcPr>
          <w:p w14:paraId="0981FFEC" w14:textId="77777777" w:rsidR="008B1DC8" w:rsidRPr="009C5F11" w:rsidRDefault="008B1DC8" w:rsidP="00D9464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3"/>
                <w:lang w:val="ro-RO"/>
              </w:rPr>
            </w:pPr>
            <w:r w:rsidRPr="009C5F11">
              <w:rPr>
                <w:rFonts w:ascii="Times New Roman" w:eastAsia="Times New Roman" w:hAnsi="Times New Roman" w:cs="Times New Roman"/>
                <w:sz w:val="16"/>
                <w:szCs w:val="13"/>
                <w:lang w:val="ro-RO"/>
              </w:rPr>
              <w:t>Căile de reducere a consumului de energie</w:t>
            </w:r>
          </w:p>
        </w:tc>
        <w:tc>
          <w:tcPr>
            <w:tcW w:w="920" w:type="dxa"/>
            <w:hideMark/>
          </w:tcPr>
          <w:p w14:paraId="5B43A85F" w14:textId="77777777" w:rsidR="008B1DC8" w:rsidRPr="009C5F11" w:rsidRDefault="008B1DC8" w:rsidP="00D9464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Strategia Moldova-2020</w:t>
            </w:r>
          </w:p>
        </w:tc>
        <w:tc>
          <w:tcPr>
            <w:tcW w:w="920" w:type="dxa"/>
            <w:hideMark/>
          </w:tcPr>
          <w:p w14:paraId="4D9F21B9" w14:textId="77777777" w:rsidR="008B1DC8" w:rsidRPr="009C5F11" w:rsidRDefault="008B1DC8" w:rsidP="00D946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xml:space="preserve">Strategia mediu    2014-2023 </w:t>
            </w:r>
          </w:p>
        </w:tc>
        <w:tc>
          <w:tcPr>
            <w:tcW w:w="920" w:type="dxa"/>
            <w:hideMark/>
          </w:tcPr>
          <w:p w14:paraId="6CDD8E8C" w14:textId="77777777" w:rsidR="008B1DC8" w:rsidRPr="009C5F11" w:rsidRDefault="008B1DC8" w:rsidP="00D946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Strategia En 2030</w:t>
            </w:r>
          </w:p>
        </w:tc>
        <w:tc>
          <w:tcPr>
            <w:tcW w:w="1000" w:type="dxa"/>
            <w:hideMark/>
          </w:tcPr>
          <w:p w14:paraId="0AB2709F" w14:textId="77777777" w:rsidR="008B1DC8" w:rsidRPr="009C5F11" w:rsidRDefault="008B1DC8" w:rsidP="00D9464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PNEE</w:t>
            </w:r>
          </w:p>
          <w:p w14:paraId="7A973CA1" w14:textId="77777777" w:rsidR="008B1DC8" w:rsidRPr="009C5F11" w:rsidRDefault="008B1DC8" w:rsidP="00D9464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2011-20</w:t>
            </w:r>
          </w:p>
        </w:tc>
        <w:tc>
          <w:tcPr>
            <w:tcW w:w="1080" w:type="dxa"/>
            <w:hideMark/>
          </w:tcPr>
          <w:p w14:paraId="16FDE786" w14:textId="77777777" w:rsidR="008B1DC8" w:rsidRPr="009C5F11" w:rsidRDefault="008B1DC8" w:rsidP="00D946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PNAER</w:t>
            </w:r>
          </w:p>
          <w:p w14:paraId="25A7BD0C" w14:textId="77777777" w:rsidR="008B1DC8" w:rsidRPr="009C5F11" w:rsidRDefault="008B1DC8" w:rsidP="00D946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2015-2020</w:t>
            </w:r>
          </w:p>
        </w:tc>
        <w:tc>
          <w:tcPr>
            <w:tcW w:w="1127" w:type="dxa"/>
            <w:hideMark/>
          </w:tcPr>
          <w:p w14:paraId="2F0C4622" w14:textId="77777777" w:rsidR="008B1DC8" w:rsidRPr="009C5F11" w:rsidRDefault="008B1DC8" w:rsidP="00D946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PNAEE    2013-2015</w:t>
            </w:r>
          </w:p>
        </w:tc>
      </w:tr>
      <w:tr w:rsidR="008B1DC8" w:rsidRPr="009C5F11" w14:paraId="5CACA3D3" w14:textId="77777777" w:rsidTr="00566CAC">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20" w:type="dxa"/>
            <w:hideMark/>
          </w:tcPr>
          <w:p w14:paraId="53BC5625"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2700" w:type="dxa"/>
            <w:hideMark/>
          </w:tcPr>
          <w:p w14:paraId="7B41B70F" w14:textId="77777777" w:rsidR="008B1DC8" w:rsidRPr="009C5F11" w:rsidRDefault="008B1DC8" w:rsidP="008B1D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2318B0B0" w14:textId="77777777" w:rsidR="008B1DC8" w:rsidRPr="009C5F11" w:rsidRDefault="008B1DC8" w:rsidP="008B1D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w:t>
            </w:r>
          </w:p>
        </w:tc>
        <w:tc>
          <w:tcPr>
            <w:tcW w:w="920" w:type="dxa"/>
            <w:hideMark/>
          </w:tcPr>
          <w:p w14:paraId="053F1BB2" w14:textId="77777777" w:rsidR="008B1DC8" w:rsidRPr="009C5F11" w:rsidRDefault="008B1DC8" w:rsidP="008B1D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w:t>
            </w:r>
          </w:p>
        </w:tc>
        <w:tc>
          <w:tcPr>
            <w:tcW w:w="920" w:type="dxa"/>
            <w:hideMark/>
          </w:tcPr>
          <w:p w14:paraId="61162147" w14:textId="77777777" w:rsidR="008B1DC8" w:rsidRPr="009C5F11" w:rsidRDefault="008B1DC8" w:rsidP="008B1D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3</w:t>
            </w:r>
          </w:p>
        </w:tc>
        <w:tc>
          <w:tcPr>
            <w:tcW w:w="1000" w:type="dxa"/>
            <w:hideMark/>
          </w:tcPr>
          <w:p w14:paraId="290781AD" w14:textId="77777777" w:rsidR="008B1DC8" w:rsidRPr="009C5F11" w:rsidRDefault="008B1DC8" w:rsidP="008B1D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4</w:t>
            </w:r>
          </w:p>
        </w:tc>
        <w:tc>
          <w:tcPr>
            <w:tcW w:w="1080" w:type="dxa"/>
            <w:hideMark/>
          </w:tcPr>
          <w:p w14:paraId="20069E5E" w14:textId="77777777" w:rsidR="008B1DC8" w:rsidRPr="009C5F11" w:rsidRDefault="008B1DC8" w:rsidP="008B1D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5</w:t>
            </w:r>
          </w:p>
        </w:tc>
        <w:tc>
          <w:tcPr>
            <w:tcW w:w="1127" w:type="dxa"/>
            <w:hideMark/>
          </w:tcPr>
          <w:p w14:paraId="38F651CB" w14:textId="77777777" w:rsidR="008B1DC8" w:rsidRPr="009C5F11" w:rsidRDefault="008B1DC8" w:rsidP="008B1D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6</w:t>
            </w:r>
          </w:p>
        </w:tc>
      </w:tr>
      <w:tr w:rsidR="008B1DC8" w:rsidRPr="009C5F11" w14:paraId="65896E39" w14:textId="77777777" w:rsidTr="00566CAC">
        <w:trPr>
          <w:trHeight w:val="268"/>
        </w:trPr>
        <w:tc>
          <w:tcPr>
            <w:cnfStyle w:val="001000000000" w:firstRow="0" w:lastRow="0" w:firstColumn="1" w:lastColumn="0" w:oddVBand="0" w:evenVBand="0" w:oddHBand="0" w:evenHBand="0" w:firstRowFirstColumn="0" w:firstRowLastColumn="0" w:lastRowFirstColumn="0" w:lastRowLastColumn="0"/>
            <w:tcW w:w="420" w:type="dxa"/>
            <w:hideMark/>
          </w:tcPr>
          <w:p w14:paraId="6615AFA4"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w:t>
            </w:r>
          </w:p>
        </w:tc>
        <w:tc>
          <w:tcPr>
            <w:tcW w:w="2700" w:type="dxa"/>
            <w:hideMark/>
          </w:tcPr>
          <w:p w14:paraId="6900062F" w14:textId="77777777" w:rsidR="008B1DC8" w:rsidRPr="009C5F11" w:rsidRDefault="008B1DC8" w:rsidP="008B1D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Reducerea consumului de energie finală în toate sectoarele economiei naţionale (fată de 2009)</w:t>
            </w:r>
          </w:p>
        </w:tc>
        <w:tc>
          <w:tcPr>
            <w:tcW w:w="920" w:type="dxa"/>
            <w:hideMark/>
          </w:tcPr>
          <w:p w14:paraId="40FA3096"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5926B977"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3DA5F54E"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9% -2016, 20% -2020</w:t>
            </w:r>
          </w:p>
        </w:tc>
        <w:tc>
          <w:tcPr>
            <w:tcW w:w="1000" w:type="dxa"/>
            <w:hideMark/>
          </w:tcPr>
          <w:p w14:paraId="22C07A78"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20% -2020</w:t>
            </w:r>
          </w:p>
        </w:tc>
        <w:tc>
          <w:tcPr>
            <w:tcW w:w="1080" w:type="dxa"/>
            <w:hideMark/>
          </w:tcPr>
          <w:p w14:paraId="4D270BDC"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p>
        </w:tc>
        <w:tc>
          <w:tcPr>
            <w:tcW w:w="1127" w:type="dxa"/>
            <w:hideMark/>
          </w:tcPr>
          <w:p w14:paraId="6DFECE96" w14:textId="44D9E3F8"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6"/>
                <w:szCs w:val="13"/>
                <w:lang w:val="ro-RO"/>
              </w:rPr>
            </w:pPr>
            <w:r w:rsidRPr="009C5F11">
              <w:rPr>
                <w:rFonts w:ascii="Times New Roman" w:eastAsia="Times New Roman" w:hAnsi="Times New Roman" w:cs="Times New Roman"/>
                <w:sz w:val="16"/>
                <w:szCs w:val="13"/>
                <w:lang w:val="ro-RO"/>
              </w:rPr>
              <w:t xml:space="preserve">428ktep -2015, </w:t>
            </w:r>
          </w:p>
          <w:p w14:paraId="63483E43"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u w:val="single"/>
                <w:lang w:val="ro-RO"/>
              </w:rPr>
            </w:pPr>
            <w:r w:rsidRPr="009C5F11">
              <w:rPr>
                <w:rFonts w:ascii="Times New Roman" w:eastAsia="Times New Roman" w:hAnsi="Times New Roman" w:cs="Times New Roman"/>
                <w:sz w:val="16"/>
                <w:szCs w:val="13"/>
                <w:u w:val="single"/>
                <w:lang w:val="ro-RO"/>
              </w:rPr>
              <w:t>9% - 2016</w:t>
            </w:r>
          </w:p>
        </w:tc>
      </w:tr>
      <w:tr w:rsidR="008B1DC8" w:rsidRPr="009C5F11" w14:paraId="5A199ECF" w14:textId="77777777" w:rsidTr="00566CAC">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20" w:type="dxa"/>
            <w:hideMark/>
          </w:tcPr>
          <w:p w14:paraId="64567166"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w:t>
            </w:r>
          </w:p>
        </w:tc>
        <w:tc>
          <w:tcPr>
            <w:tcW w:w="2700" w:type="dxa"/>
            <w:hideMark/>
          </w:tcPr>
          <w:p w14:paraId="63493716" w14:textId="77777777" w:rsidR="008B1DC8" w:rsidRPr="009C5F11" w:rsidRDefault="008B1DC8" w:rsidP="008B1D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Reducerea intensităţii energetice</w:t>
            </w:r>
          </w:p>
        </w:tc>
        <w:tc>
          <w:tcPr>
            <w:tcW w:w="920" w:type="dxa"/>
            <w:hideMark/>
          </w:tcPr>
          <w:p w14:paraId="0AD32974"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-2020</w:t>
            </w:r>
          </w:p>
        </w:tc>
        <w:tc>
          <w:tcPr>
            <w:tcW w:w="920" w:type="dxa"/>
            <w:hideMark/>
          </w:tcPr>
          <w:p w14:paraId="61E9EE2D"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66632689"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-2020</w:t>
            </w:r>
          </w:p>
        </w:tc>
        <w:tc>
          <w:tcPr>
            <w:tcW w:w="1000" w:type="dxa"/>
            <w:hideMark/>
          </w:tcPr>
          <w:p w14:paraId="04CA4F15"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080" w:type="dxa"/>
            <w:hideMark/>
          </w:tcPr>
          <w:p w14:paraId="60488F06"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127" w:type="dxa"/>
            <w:hideMark/>
          </w:tcPr>
          <w:p w14:paraId="5AA3D46F"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r>
      <w:tr w:rsidR="008B1DC8" w:rsidRPr="009C5F11" w14:paraId="161DB0ED" w14:textId="77777777" w:rsidTr="00566CAC">
        <w:trPr>
          <w:trHeight w:val="457"/>
        </w:trPr>
        <w:tc>
          <w:tcPr>
            <w:cnfStyle w:val="001000000000" w:firstRow="0" w:lastRow="0" w:firstColumn="1" w:lastColumn="0" w:oddVBand="0" w:evenVBand="0" w:oddHBand="0" w:evenHBand="0" w:firstRowFirstColumn="0" w:firstRowLastColumn="0" w:lastRowFirstColumn="0" w:lastRowLastColumn="0"/>
            <w:tcW w:w="420" w:type="dxa"/>
            <w:hideMark/>
          </w:tcPr>
          <w:p w14:paraId="23EE480A"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3</w:t>
            </w:r>
          </w:p>
        </w:tc>
        <w:tc>
          <w:tcPr>
            <w:tcW w:w="2700" w:type="dxa"/>
            <w:hideMark/>
          </w:tcPr>
          <w:p w14:paraId="074E5D23" w14:textId="77777777" w:rsidR="008B1DC8" w:rsidRPr="009C5F11" w:rsidRDefault="008B1DC8" w:rsidP="008B1D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xml:space="preserve">Reducerea pierderilor în reţelele T+D  energie electrică. </w:t>
            </w:r>
          </w:p>
        </w:tc>
        <w:tc>
          <w:tcPr>
            <w:tcW w:w="920" w:type="dxa"/>
            <w:hideMark/>
          </w:tcPr>
          <w:p w14:paraId="6457AF5A"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xml:space="preserve">pana la </w:t>
            </w:r>
          </w:p>
          <w:p w14:paraId="12EEECE9"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13% -2015, 11%- 2020</w:t>
            </w:r>
          </w:p>
        </w:tc>
        <w:tc>
          <w:tcPr>
            <w:tcW w:w="920" w:type="dxa"/>
            <w:hideMark/>
          </w:tcPr>
          <w:p w14:paraId="7303589E"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626BAB85"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xml:space="preserve">pana la </w:t>
            </w:r>
          </w:p>
          <w:p w14:paraId="579FEC8D"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13% -2015, 11%- 2020</w:t>
            </w:r>
          </w:p>
        </w:tc>
        <w:tc>
          <w:tcPr>
            <w:tcW w:w="1000" w:type="dxa"/>
            <w:hideMark/>
          </w:tcPr>
          <w:p w14:paraId="2D42B1E5"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până la        7-10%, cu  .5-.8% pe an</w:t>
            </w:r>
          </w:p>
        </w:tc>
        <w:tc>
          <w:tcPr>
            <w:tcW w:w="1080" w:type="dxa"/>
            <w:hideMark/>
          </w:tcPr>
          <w:p w14:paraId="72AF5B68"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127" w:type="dxa"/>
            <w:hideMark/>
          </w:tcPr>
          <w:p w14:paraId="4C528DFB"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r>
      <w:tr w:rsidR="008B1DC8" w:rsidRPr="009C5F11" w14:paraId="3AD4248D" w14:textId="77777777" w:rsidTr="00566CA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20" w:type="dxa"/>
            <w:hideMark/>
          </w:tcPr>
          <w:p w14:paraId="0C19264E"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4</w:t>
            </w:r>
          </w:p>
        </w:tc>
        <w:tc>
          <w:tcPr>
            <w:tcW w:w="2700" w:type="dxa"/>
            <w:hideMark/>
          </w:tcPr>
          <w:p w14:paraId="3BDF2646" w14:textId="77777777" w:rsidR="008B1DC8" w:rsidRPr="009C5F11" w:rsidRDefault="008B1DC8" w:rsidP="008B1D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Reducerea pierderilor în reţelele T+D gaze naturale</w:t>
            </w:r>
          </w:p>
        </w:tc>
        <w:tc>
          <w:tcPr>
            <w:tcW w:w="920" w:type="dxa"/>
            <w:hideMark/>
          </w:tcPr>
          <w:p w14:paraId="7ACC1E26"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03AD8607"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32FB7583"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20% -2015, 39% -2020</w:t>
            </w:r>
          </w:p>
        </w:tc>
        <w:tc>
          <w:tcPr>
            <w:tcW w:w="1000" w:type="dxa"/>
            <w:hideMark/>
          </w:tcPr>
          <w:p w14:paraId="73D7FA8E"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080" w:type="dxa"/>
            <w:hideMark/>
          </w:tcPr>
          <w:p w14:paraId="3FB3FCDE"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127" w:type="dxa"/>
            <w:hideMark/>
          </w:tcPr>
          <w:p w14:paraId="76F89E0C"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r>
      <w:tr w:rsidR="008B1DC8" w:rsidRPr="009C5F11" w14:paraId="528E8844" w14:textId="77777777" w:rsidTr="00566CAC">
        <w:trPr>
          <w:trHeight w:val="73"/>
        </w:trPr>
        <w:tc>
          <w:tcPr>
            <w:cnfStyle w:val="001000000000" w:firstRow="0" w:lastRow="0" w:firstColumn="1" w:lastColumn="0" w:oddVBand="0" w:evenVBand="0" w:oddHBand="0" w:evenHBand="0" w:firstRowFirstColumn="0" w:firstRowLastColumn="0" w:lastRowFirstColumn="0" w:lastRowLastColumn="0"/>
            <w:tcW w:w="420" w:type="dxa"/>
            <w:hideMark/>
          </w:tcPr>
          <w:p w14:paraId="778B082A"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5</w:t>
            </w:r>
          </w:p>
        </w:tc>
        <w:tc>
          <w:tcPr>
            <w:tcW w:w="2700" w:type="dxa"/>
            <w:hideMark/>
          </w:tcPr>
          <w:p w14:paraId="2BC53662" w14:textId="77777777" w:rsidR="008B1DC8" w:rsidRPr="009C5F11" w:rsidRDefault="008B1DC8" w:rsidP="008B1D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Reducerea pierderilor în reţelele termice</w:t>
            </w:r>
          </w:p>
        </w:tc>
        <w:tc>
          <w:tcPr>
            <w:tcW w:w="920" w:type="dxa"/>
            <w:hideMark/>
          </w:tcPr>
          <w:p w14:paraId="47C422A5"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4A71F400"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10AA7899"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 -2015, 5% -2020</w:t>
            </w:r>
          </w:p>
        </w:tc>
        <w:tc>
          <w:tcPr>
            <w:tcW w:w="1000" w:type="dxa"/>
            <w:hideMark/>
          </w:tcPr>
          <w:p w14:paraId="76E13BD4"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080" w:type="dxa"/>
            <w:hideMark/>
          </w:tcPr>
          <w:p w14:paraId="39C12156"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127" w:type="dxa"/>
            <w:hideMark/>
          </w:tcPr>
          <w:p w14:paraId="4128BAAE"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r>
      <w:tr w:rsidR="008B1DC8" w:rsidRPr="009C5F11" w14:paraId="0C1281ED" w14:textId="77777777" w:rsidTr="00566CA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420" w:type="dxa"/>
            <w:hideMark/>
          </w:tcPr>
          <w:p w14:paraId="410E777D"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6</w:t>
            </w:r>
          </w:p>
        </w:tc>
        <w:tc>
          <w:tcPr>
            <w:tcW w:w="2700" w:type="dxa"/>
            <w:hideMark/>
          </w:tcPr>
          <w:p w14:paraId="630AC7A1" w14:textId="77777777" w:rsidR="008B1DC8" w:rsidRPr="009C5F11" w:rsidRDefault="008B1DC8" w:rsidP="008B1D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Reducerea consumului de energie în construcţii.</w:t>
            </w:r>
          </w:p>
        </w:tc>
        <w:tc>
          <w:tcPr>
            <w:tcW w:w="920" w:type="dxa"/>
            <w:hideMark/>
          </w:tcPr>
          <w:p w14:paraId="2F9967CC"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10%-2020</w:t>
            </w:r>
          </w:p>
        </w:tc>
        <w:tc>
          <w:tcPr>
            <w:tcW w:w="920" w:type="dxa"/>
            <w:hideMark/>
          </w:tcPr>
          <w:p w14:paraId="2B2FBDB3"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03B15384"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-2020</w:t>
            </w:r>
          </w:p>
        </w:tc>
        <w:tc>
          <w:tcPr>
            <w:tcW w:w="1000" w:type="dxa"/>
            <w:hideMark/>
          </w:tcPr>
          <w:p w14:paraId="44DDB204"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080" w:type="dxa"/>
            <w:hideMark/>
          </w:tcPr>
          <w:p w14:paraId="08030CBD"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127" w:type="dxa"/>
            <w:hideMark/>
          </w:tcPr>
          <w:p w14:paraId="780C547F"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r>
      <w:tr w:rsidR="008B1DC8" w:rsidRPr="009C5F11" w14:paraId="46257D13" w14:textId="77777777" w:rsidTr="00566CAC">
        <w:trPr>
          <w:trHeight w:val="73"/>
        </w:trPr>
        <w:tc>
          <w:tcPr>
            <w:cnfStyle w:val="001000000000" w:firstRow="0" w:lastRow="0" w:firstColumn="1" w:lastColumn="0" w:oddVBand="0" w:evenVBand="0" w:oddHBand="0" w:evenHBand="0" w:firstRowFirstColumn="0" w:firstRowLastColumn="0" w:lastRowFirstColumn="0" w:lastRowLastColumn="0"/>
            <w:tcW w:w="420" w:type="dxa"/>
            <w:hideMark/>
          </w:tcPr>
          <w:p w14:paraId="3D0F2941"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7 </w:t>
            </w:r>
          </w:p>
        </w:tc>
        <w:tc>
          <w:tcPr>
            <w:tcW w:w="2700" w:type="dxa"/>
            <w:hideMark/>
          </w:tcPr>
          <w:p w14:paraId="09AE7962" w14:textId="77777777" w:rsidR="008B1DC8" w:rsidRPr="009C5F11" w:rsidRDefault="008B1DC8" w:rsidP="008B1D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Ponderea ESR</w:t>
            </w:r>
          </w:p>
        </w:tc>
        <w:tc>
          <w:tcPr>
            <w:tcW w:w="920" w:type="dxa"/>
            <w:hideMark/>
          </w:tcPr>
          <w:p w14:paraId="0573651E"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-2015, 20% -2020</w:t>
            </w:r>
          </w:p>
        </w:tc>
        <w:tc>
          <w:tcPr>
            <w:tcW w:w="920" w:type="dxa"/>
            <w:hideMark/>
          </w:tcPr>
          <w:p w14:paraId="36FAF270" w14:textId="1CE994E0"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trike/>
                <w:sz w:val="16"/>
                <w:szCs w:val="13"/>
                <w:lang w:val="ro-RO"/>
              </w:rPr>
              <w:t>,</w:t>
            </w:r>
            <w:r w:rsidRPr="009C5F11">
              <w:rPr>
                <w:rFonts w:ascii="Times New Roman" w:eastAsia="Times New Roman" w:hAnsi="Times New Roman" w:cs="Times New Roman"/>
                <w:sz w:val="16"/>
                <w:szCs w:val="13"/>
                <w:lang w:val="ro-RO"/>
              </w:rPr>
              <w:t xml:space="preserve"> 20% -2020</w:t>
            </w:r>
          </w:p>
        </w:tc>
        <w:tc>
          <w:tcPr>
            <w:tcW w:w="920" w:type="dxa"/>
            <w:hideMark/>
          </w:tcPr>
          <w:p w14:paraId="5433718D"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-2015, 20% -2020</w:t>
            </w:r>
          </w:p>
        </w:tc>
        <w:tc>
          <w:tcPr>
            <w:tcW w:w="1000" w:type="dxa"/>
            <w:hideMark/>
          </w:tcPr>
          <w:p w14:paraId="54981745"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20% -2020</w:t>
            </w:r>
          </w:p>
        </w:tc>
        <w:tc>
          <w:tcPr>
            <w:tcW w:w="1080" w:type="dxa"/>
            <w:hideMark/>
          </w:tcPr>
          <w:p w14:paraId="69C1A53B"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20% -2020</w:t>
            </w:r>
          </w:p>
        </w:tc>
        <w:tc>
          <w:tcPr>
            <w:tcW w:w="1127" w:type="dxa"/>
            <w:hideMark/>
          </w:tcPr>
          <w:p w14:paraId="44ECA93E"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r>
      <w:tr w:rsidR="008B1DC8" w:rsidRPr="009C5F11" w14:paraId="441F4C45" w14:textId="77777777" w:rsidTr="00566CAC">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20" w:type="dxa"/>
            <w:hideMark/>
          </w:tcPr>
          <w:p w14:paraId="273C1BAB"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8</w:t>
            </w:r>
          </w:p>
        </w:tc>
        <w:tc>
          <w:tcPr>
            <w:tcW w:w="2700" w:type="dxa"/>
            <w:hideMark/>
          </w:tcPr>
          <w:p w14:paraId="47FE39D3" w14:textId="77777777" w:rsidR="008B1DC8" w:rsidRPr="009C5F11" w:rsidRDefault="008B1DC8" w:rsidP="008B1DC8">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xml:space="preserve">               Ponderea ESR-EE</w:t>
            </w:r>
          </w:p>
        </w:tc>
        <w:tc>
          <w:tcPr>
            <w:tcW w:w="920" w:type="dxa"/>
            <w:hideMark/>
          </w:tcPr>
          <w:p w14:paraId="7EFD3129"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-2020</w:t>
            </w:r>
          </w:p>
        </w:tc>
        <w:tc>
          <w:tcPr>
            <w:tcW w:w="920" w:type="dxa"/>
            <w:hideMark/>
          </w:tcPr>
          <w:p w14:paraId="5253E61C"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77AF8F85"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-2020</w:t>
            </w:r>
          </w:p>
        </w:tc>
        <w:tc>
          <w:tcPr>
            <w:tcW w:w="1000" w:type="dxa"/>
            <w:hideMark/>
          </w:tcPr>
          <w:p w14:paraId="2521C8DF"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080" w:type="dxa"/>
            <w:hideMark/>
          </w:tcPr>
          <w:p w14:paraId="1C23C7B0"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-2020</w:t>
            </w:r>
          </w:p>
        </w:tc>
        <w:tc>
          <w:tcPr>
            <w:tcW w:w="1127" w:type="dxa"/>
            <w:hideMark/>
          </w:tcPr>
          <w:p w14:paraId="23B07904"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r>
      <w:tr w:rsidR="008B1DC8" w:rsidRPr="009C5F11" w14:paraId="15D4AF85" w14:textId="77777777" w:rsidTr="00566CAC">
        <w:trPr>
          <w:trHeight w:val="73"/>
        </w:trPr>
        <w:tc>
          <w:tcPr>
            <w:cnfStyle w:val="001000000000" w:firstRow="0" w:lastRow="0" w:firstColumn="1" w:lastColumn="0" w:oddVBand="0" w:evenVBand="0" w:oddHBand="0" w:evenHBand="0" w:firstRowFirstColumn="0" w:firstRowLastColumn="0" w:lastRowFirstColumn="0" w:lastRowLastColumn="0"/>
            <w:tcW w:w="420" w:type="dxa"/>
            <w:hideMark/>
          </w:tcPr>
          <w:p w14:paraId="7FBDC748"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9</w:t>
            </w:r>
          </w:p>
        </w:tc>
        <w:tc>
          <w:tcPr>
            <w:tcW w:w="2700" w:type="dxa"/>
            <w:hideMark/>
          </w:tcPr>
          <w:p w14:paraId="2E931BA7" w14:textId="77777777" w:rsidR="008B1DC8" w:rsidRPr="009C5F11" w:rsidRDefault="008B1DC8" w:rsidP="008B1DC8">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Ponderea ESR-Transp</w:t>
            </w:r>
          </w:p>
        </w:tc>
        <w:tc>
          <w:tcPr>
            <w:tcW w:w="920" w:type="dxa"/>
            <w:hideMark/>
          </w:tcPr>
          <w:p w14:paraId="5C98B14E"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68D6DCCB"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10%-2020</w:t>
            </w:r>
          </w:p>
        </w:tc>
        <w:tc>
          <w:tcPr>
            <w:tcW w:w="920" w:type="dxa"/>
            <w:hideMark/>
          </w:tcPr>
          <w:p w14:paraId="15E14153"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4% -2015, 10% -2020</w:t>
            </w:r>
          </w:p>
        </w:tc>
        <w:tc>
          <w:tcPr>
            <w:tcW w:w="1000" w:type="dxa"/>
            <w:hideMark/>
          </w:tcPr>
          <w:p w14:paraId="7D93BE01"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-2020</w:t>
            </w:r>
          </w:p>
        </w:tc>
        <w:tc>
          <w:tcPr>
            <w:tcW w:w="1080" w:type="dxa"/>
            <w:hideMark/>
          </w:tcPr>
          <w:p w14:paraId="27ED16B0"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-2020</w:t>
            </w:r>
          </w:p>
        </w:tc>
        <w:tc>
          <w:tcPr>
            <w:tcW w:w="1127" w:type="dxa"/>
            <w:hideMark/>
          </w:tcPr>
          <w:p w14:paraId="4D8C2E2F"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r>
      <w:tr w:rsidR="008B1DC8" w:rsidRPr="009C5F11" w14:paraId="09938FAD" w14:textId="77777777" w:rsidTr="00566CAC">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20" w:type="dxa"/>
            <w:hideMark/>
          </w:tcPr>
          <w:p w14:paraId="1B5E511E"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10</w:t>
            </w:r>
          </w:p>
        </w:tc>
        <w:tc>
          <w:tcPr>
            <w:tcW w:w="2700" w:type="dxa"/>
            <w:hideMark/>
          </w:tcPr>
          <w:p w14:paraId="0C5AB089" w14:textId="77777777" w:rsidR="008B1DC8" w:rsidRPr="009C5F11" w:rsidRDefault="008B1DC8" w:rsidP="008B1D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Ponderea clădirilor publice renovate</w:t>
            </w:r>
          </w:p>
        </w:tc>
        <w:tc>
          <w:tcPr>
            <w:tcW w:w="920" w:type="dxa"/>
            <w:hideMark/>
          </w:tcPr>
          <w:p w14:paraId="0E3339EF"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5E424836"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920" w:type="dxa"/>
            <w:hideMark/>
          </w:tcPr>
          <w:p w14:paraId="2FD916E9"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10% -2020</w:t>
            </w:r>
          </w:p>
        </w:tc>
        <w:tc>
          <w:tcPr>
            <w:tcW w:w="1000" w:type="dxa"/>
            <w:hideMark/>
          </w:tcPr>
          <w:p w14:paraId="3650B393"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080" w:type="dxa"/>
            <w:hideMark/>
          </w:tcPr>
          <w:p w14:paraId="5105DA74"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127" w:type="dxa"/>
            <w:hideMark/>
          </w:tcPr>
          <w:p w14:paraId="689A7BFD" w14:textId="77777777" w:rsidR="008B1DC8" w:rsidRPr="009C5F11" w:rsidRDefault="008B1DC8" w:rsidP="008B1DC8">
            <w:pPr>
              <w:spacing w:line="276" w:lineRule="auto"/>
              <w:ind w:left="-57" w:right="-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r>
      <w:tr w:rsidR="008B1DC8" w:rsidRPr="009C5F11" w14:paraId="0F293433" w14:textId="77777777" w:rsidTr="00566CAC">
        <w:trPr>
          <w:trHeight w:val="73"/>
        </w:trPr>
        <w:tc>
          <w:tcPr>
            <w:cnfStyle w:val="001000000000" w:firstRow="0" w:lastRow="0" w:firstColumn="1" w:lastColumn="0" w:oddVBand="0" w:evenVBand="0" w:oddHBand="0" w:evenHBand="0" w:firstRowFirstColumn="0" w:firstRowLastColumn="0" w:lastRowFirstColumn="0" w:lastRowLastColumn="0"/>
            <w:tcW w:w="420" w:type="dxa"/>
            <w:hideMark/>
          </w:tcPr>
          <w:p w14:paraId="7CFB8F80" w14:textId="77777777" w:rsidR="008B1DC8" w:rsidRPr="009C5F11" w:rsidRDefault="008B1DC8" w:rsidP="008B1DC8">
            <w:pPr>
              <w:spacing w:line="276" w:lineRule="auto"/>
              <w:jc w:val="center"/>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11</w:t>
            </w:r>
          </w:p>
        </w:tc>
        <w:tc>
          <w:tcPr>
            <w:tcW w:w="2700" w:type="dxa"/>
            <w:hideMark/>
          </w:tcPr>
          <w:p w14:paraId="59BD0F6B" w14:textId="77777777" w:rsidR="008B1DC8" w:rsidRPr="009C5F11" w:rsidRDefault="008B1DC8" w:rsidP="008B1D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Reducerea emisiilor GES (1990)</w:t>
            </w:r>
          </w:p>
        </w:tc>
        <w:tc>
          <w:tcPr>
            <w:tcW w:w="920" w:type="dxa"/>
            <w:hideMark/>
          </w:tcPr>
          <w:p w14:paraId="450567B1"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25% - 2020</w:t>
            </w:r>
          </w:p>
        </w:tc>
        <w:tc>
          <w:tcPr>
            <w:tcW w:w="920" w:type="dxa"/>
            <w:hideMark/>
          </w:tcPr>
          <w:p w14:paraId="7B67D9BF"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cel puțin 20% - 2020</w:t>
            </w:r>
          </w:p>
        </w:tc>
        <w:tc>
          <w:tcPr>
            <w:tcW w:w="920" w:type="dxa"/>
            <w:hideMark/>
          </w:tcPr>
          <w:p w14:paraId="5A197C88"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25% - 2020</w:t>
            </w:r>
          </w:p>
        </w:tc>
        <w:tc>
          <w:tcPr>
            <w:tcW w:w="1000" w:type="dxa"/>
            <w:hideMark/>
          </w:tcPr>
          <w:p w14:paraId="1ECB48E5"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cel puțin 25% - 2020</w:t>
            </w:r>
          </w:p>
        </w:tc>
        <w:tc>
          <w:tcPr>
            <w:tcW w:w="1080" w:type="dxa"/>
            <w:hideMark/>
          </w:tcPr>
          <w:p w14:paraId="77B84AB6"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 </w:t>
            </w:r>
          </w:p>
        </w:tc>
        <w:tc>
          <w:tcPr>
            <w:tcW w:w="1127" w:type="dxa"/>
            <w:hideMark/>
          </w:tcPr>
          <w:p w14:paraId="741719EE"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960kt - 2015,</w:t>
            </w:r>
          </w:p>
          <w:p w14:paraId="354ABC5E" w14:textId="77777777" w:rsidR="008B1DC8" w:rsidRPr="009C5F11" w:rsidRDefault="008B1DC8" w:rsidP="008B1DC8">
            <w:pPr>
              <w:spacing w:line="276" w:lineRule="auto"/>
              <w:ind w:left="-57" w:right="-5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sz w:val="16"/>
                <w:szCs w:val="13"/>
                <w:lang w:val="ro-RO"/>
              </w:rPr>
              <w:t>1950 kt - 2020</w:t>
            </w:r>
          </w:p>
        </w:tc>
      </w:tr>
    </w:tbl>
    <w:p w14:paraId="3CFE7546" w14:textId="77777777" w:rsidR="008B1DC8" w:rsidRPr="009C5F11" w:rsidRDefault="008B1DC8" w:rsidP="008B1DC8">
      <w:pPr>
        <w:rPr>
          <w:rFonts w:ascii="Times New Roman" w:hAnsi="Times New Roman" w:cs="Times New Roman"/>
          <w:sz w:val="24"/>
          <w:lang w:val="ro-RO"/>
        </w:rPr>
      </w:pPr>
    </w:p>
    <w:tbl>
      <w:tblPr>
        <w:tblStyle w:val="Listdeculoaredeschis-Accentuare2"/>
        <w:tblW w:w="9108" w:type="dxa"/>
        <w:tblLook w:val="04A0" w:firstRow="1" w:lastRow="0" w:firstColumn="1" w:lastColumn="0" w:noHBand="0" w:noVBand="1"/>
      </w:tblPr>
      <w:tblGrid>
        <w:gridCol w:w="624"/>
        <w:gridCol w:w="8484"/>
      </w:tblGrid>
      <w:tr w:rsidR="00566CAC" w:rsidRPr="009C5F11" w14:paraId="05CB60DF" w14:textId="77777777" w:rsidTr="00566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8" w:type="dxa"/>
            <w:gridSpan w:val="2"/>
          </w:tcPr>
          <w:p w14:paraId="762508B1" w14:textId="77777777" w:rsidR="00C4533C" w:rsidRPr="009C5F11" w:rsidRDefault="00C4533C" w:rsidP="00D9464A">
            <w:pPr>
              <w:spacing w:before="120" w:after="80"/>
              <w:rPr>
                <w:rFonts w:ascii="Times New Roman" w:hAnsi="Times New Roman" w:cs="Times New Roman"/>
                <w:sz w:val="16"/>
                <w:szCs w:val="13"/>
                <w:lang w:val="ro-RO"/>
              </w:rPr>
            </w:pPr>
            <w:r w:rsidRPr="009C5F11">
              <w:rPr>
                <w:rFonts w:ascii="Times New Roman" w:eastAsia="Times New Roman" w:hAnsi="Times New Roman" w:cs="Times New Roman"/>
                <w:kern w:val="36"/>
                <w:sz w:val="16"/>
                <w:szCs w:val="13"/>
                <w:lang w:val="ro-RO"/>
              </w:rPr>
              <w:lastRenderedPageBreak/>
              <w:t>Strategii, programe și planuri naționale în domeniul Eficienței Energetice</w:t>
            </w:r>
          </w:p>
        </w:tc>
      </w:tr>
      <w:tr w:rsidR="00C4533C" w:rsidRPr="009C5F11" w14:paraId="17D3911C" w14:textId="77777777" w:rsidTr="00566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664FF425" w14:textId="77777777" w:rsidR="00C4533C" w:rsidRPr="009C5F11" w:rsidRDefault="00C4533C" w:rsidP="00D9464A">
            <w:pPr>
              <w:spacing w:before="120" w:after="80"/>
              <w:jc w:val="center"/>
              <w:rPr>
                <w:rFonts w:ascii="Times New Roman" w:hAnsi="Times New Roman" w:cs="Times New Roman"/>
                <w:b w:val="0"/>
                <w:sz w:val="16"/>
                <w:szCs w:val="13"/>
                <w:lang w:val="ro-RO"/>
              </w:rPr>
            </w:pPr>
            <w:r w:rsidRPr="009C5F11">
              <w:rPr>
                <w:rFonts w:ascii="Times New Roman" w:hAnsi="Times New Roman" w:cs="Times New Roman"/>
                <w:sz w:val="16"/>
                <w:szCs w:val="13"/>
                <w:lang w:val="ro-RO"/>
              </w:rPr>
              <w:t>1</w:t>
            </w:r>
          </w:p>
        </w:tc>
        <w:tc>
          <w:tcPr>
            <w:tcW w:w="8484" w:type="dxa"/>
          </w:tcPr>
          <w:p w14:paraId="245624EE" w14:textId="77777777" w:rsidR="00C4533C" w:rsidRPr="009C5F11" w:rsidRDefault="00C4533C" w:rsidP="00C4533C">
            <w:pPr>
              <w:autoSpaceDE w:val="0"/>
              <w:autoSpaceDN w:val="0"/>
              <w:adjustRightInd w:val="0"/>
              <w:spacing w:before="120" w:line="276" w:lineRule="auto"/>
              <w:ind w:right="-3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6"/>
                <w:szCs w:val="13"/>
                <w:u w:val="single"/>
                <w:lang w:val="ro-RO"/>
              </w:rPr>
            </w:pPr>
            <w:r w:rsidRPr="009C5F11">
              <w:rPr>
                <w:rFonts w:ascii="Times New Roman" w:eastAsia="Times New Roman" w:hAnsi="Times New Roman" w:cs="Times New Roman"/>
                <w:bCs/>
                <w:sz w:val="16"/>
                <w:szCs w:val="13"/>
                <w:lang w:val="ro-RO"/>
              </w:rPr>
              <w:t xml:space="preserve">Strategia Naţională de Dezvoltare a Republicii Moldova 2012-2020, </w:t>
            </w:r>
            <w:hyperlink r:id="rId15" w:history="1">
              <w:r w:rsidRPr="009C5F11">
                <w:rPr>
                  <w:rFonts w:ascii="Times New Roman" w:hAnsi="Times New Roman" w:cs="Times New Roman"/>
                  <w:bCs/>
                  <w:sz w:val="16"/>
                  <w:szCs w:val="13"/>
                  <w:lang w:val="ro-RO"/>
                </w:rPr>
                <w:t>http://particip.gov.md/public/files/strategia/Moldova_2020_proiect.pdf</w:t>
              </w:r>
            </w:hyperlink>
            <w:r w:rsidRPr="009C5F11">
              <w:rPr>
                <w:rFonts w:ascii="Times New Roman" w:hAnsi="Times New Roman" w:cs="Times New Roman"/>
                <w:bCs/>
                <w:sz w:val="16"/>
                <w:szCs w:val="13"/>
                <w:lang w:val="ro-RO"/>
              </w:rPr>
              <w:t>;</w:t>
            </w:r>
          </w:p>
        </w:tc>
      </w:tr>
      <w:tr w:rsidR="00C4533C" w:rsidRPr="009C5F11" w14:paraId="032449A4" w14:textId="77777777" w:rsidTr="00566CAC">
        <w:tc>
          <w:tcPr>
            <w:cnfStyle w:val="001000000000" w:firstRow="0" w:lastRow="0" w:firstColumn="1" w:lastColumn="0" w:oddVBand="0" w:evenVBand="0" w:oddHBand="0" w:evenHBand="0" w:firstRowFirstColumn="0" w:firstRowLastColumn="0" w:lastRowFirstColumn="0" w:lastRowLastColumn="0"/>
            <w:tcW w:w="624" w:type="dxa"/>
          </w:tcPr>
          <w:p w14:paraId="2A72A010" w14:textId="77777777" w:rsidR="00C4533C" w:rsidRPr="009C5F11" w:rsidRDefault="00C4533C" w:rsidP="00D9464A">
            <w:pPr>
              <w:spacing w:before="120" w:after="80"/>
              <w:jc w:val="center"/>
              <w:rPr>
                <w:rFonts w:ascii="Times New Roman" w:hAnsi="Times New Roman" w:cs="Times New Roman"/>
                <w:b w:val="0"/>
                <w:sz w:val="16"/>
                <w:szCs w:val="13"/>
                <w:lang w:val="ro-RO"/>
              </w:rPr>
            </w:pPr>
            <w:r w:rsidRPr="009C5F11">
              <w:rPr>
                <w:rFonts w:ascii="Times New Roman" w:hAnsi="Times New Roman" w:cs="Times New Roman"/>
                <w:sz w:val="16"/>
                <w:szCs w:val="13"/>
                <w:lang w:val="ro-RO"/>
              </w:rPr>
              <w:t>2</w:t>
            </w:r>
          </w:p>
        </w:tc>
        <w:tc>
          <w:tcPr>
            <w:tcW w:w="8484" w:type="dxa"/>
          </w:tcPr>
          <w:p w14:paraId="0A7344D5" w14:textId="77777777" w:rsidR="00C4533C" w:rsidRPr="009C5F11" w:rsidRDefault="00C4533C" w:rsidP="00C4533C">
            <w:pPr>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6"/>
                <w:szCs w:val="13"/>
                <w:lang w:val="ro-RO"/>
              </w:rPr>
            </w:pPr>
            <w:r w:rsidRPr="009C5F11">
              <w:rPr>
                <w:rFonts w:ascii="Times New Roman" w:eastAsia="Times New Roman" w:hAnsi="Times New Roman" w:cs="Times New Roman"/>
                <w:bCs/>
                <w:sz w:val="16"/>
                <w:szCs w:val="13"/>
                <w:lang w:val="ro-RO"/>
              </w:rPr>
              <w:t xml:space="preserve">Strategia de mediu pentru anii 2014-2023, </w:t>
            </w:r>
            <w:r w:rsidRPr="009C5F11">
              <w:rPr>
                <w:rFonts w:ascii="Times New Roman" w:eastAsia="Times New Roman" w:hAnsi="Times New Roman" w:cs="Times New Roman"/>
                <w:bCs/>
                <w:sz w:val="16"/>
                <w:szCs w:val="13"/>
                <w:lang w:val="ro-RO"/>
              </w:rPr>
              <w:br/>
              <w:t>HG nr. 301 din 24.04.2014,</w:t>
            </w:r>
          </w:p>
        </w:tc>
      </w:tr>
      <w:tr w:rsidR="00C4533C" w:rsidRPr="009C5F11" w14:paraId="3F747FF1" w14:textId="77777777" w:rsidTr="00566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2229DD24" w14:textId="77777777" w:rsidR="00C4533C" w:rsidRPr="009C5F11" w:rsidRDefault="00C4533C" w:rsidP="00D9464A">
            <w:pPr>
              <w:spacing w:before="120" w:after="80"/>
              <w:jc w:val="center"/>
              <w:rPr>
                <w:rFonts w:ascii="Times New Roman" w:hAnsi="Times New Roman" w:cs="Times New Roman"/>
                <w:b w:val="0"/>
                <w:sz w:val="16"/>
                <w:szCs w:val="13"/>
                <w:lang w:val="ro-RO"/>
              </w:rPr>
            </w:pPr>
            <w:r w:rsidRPr="009C5F11">
              <w:rPr>
                <w:rFonts w:ascii="Times New Roman" w:hAnsi="Times New Roman" w:cs="Times New Roman"/>
                <w:sz w:val="16"/>
                <w:szCs w:val="13"/>
                <w:lang w:val="ro-RO"/>
              </w:rPr>
              <w:t>3</w:t>
            </w:r>
          </w:p>
        </w:tc>
        <w:tc>
          <w:tcPr>
            <w:tcW w:w="8484" w:type="dxa"/>
          </w:tcPr>
          <w:p w14:paraId="3B156946" w14:textId="77777777" w:rsidR="00C4533C" w:rsidRPr="009C5F11" w:rsidRDefault="00C4533C" w:rsidP="00C4533C">
            <w:pPr>
              <w:spacing w:before="12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3"/>
                <w:lang w:val="ro-RO"/>
              </w:rPr>
            </w:pPr>
            <w:r w:rsidRPr="009C5F11">
              <w:rPr>
                <w:rFonts w:ascii="Times New Roman" w:eastAsia="Times New Roman" w:hAnsi="Times New Roman" w:cs="Times New Roman"/>
                <w:bCs/>
                <w:sz w:val="16"/>
                <w:szCs w:val="13"/>
                <w:lang w:val="ro-RO"/>
              </w:rPr>
              <w:t xml:space="preserve">Strategia energetică a Republicii Moldova până în anul 2030, </w:t>
            </w:r>
            <w:r w:rsidRPr="009C5F11">
              <w:rPr>
                <w:rFonts w:ascii="Times New Roman" w:eastAsia="Times New Roman" w:hAnsi="Times New Roman" w:cs="Times New Roman"/>
                <w:bCs/>
                <w:sz w:val="16"/>
                <w:szCs w:val="13"/>
                <w:lang w:val="ro-RO"/>
              </w:rPr>
              <w:br/>
              <w:t xml:space="preserve">HG </w:t>
            </w:r>
            <w:r w:rsidRPr="009C5F11">
              <w:rPr>
                <w:rFonts w:ascii="Times New Roman" w:eastAsia="Times New Roman" w:hAnsi="Times New Roman" w:cs="Times New Roman"/>
                <w:sz w:val="16"/>
                <w:szCs w:val="13"/>
                <w:lang w:val="ro-RO"/>
              </w:rPr>
              <w:t xml:space="preserve">Nr. 102 din  05.02.2013, </w:t>
            </w:r>
            <w:r w:rsidRPr="009C5F11">
              <w:rPr>
                <w:rFonts w:ascii="Times New Roman" w:eastAsia="Times New Roman" w:hAnsi="Times New Roman" w:cs="Times New Roman"/>
                <w:bCs/>
                <w:sz w:val="16"/>
                <w:szCs w:val="13"/>
                <w:lang w:val="ro-RO"/>
              </w:rPr>
              <w:t>MO nr. 27-30 din 08.02.2013</w:t>
            </w:r>
            <w:r w:rsidRPr="009C5F11">
              <w:rPr>
                <w:rFonts w:ascii="Times New Roman" w:hAnsi="Times New Roman" w:cs="Times New Roman"/>
                <w:bCs/>
                <w:sz w:val="16"/>
                <w:szCs w:val="13"/>
                <w:lang w:val="ro-RO"/>
              </w:rPr>
              <w:t xml:space="preserve"> </w:t>
            </w:r>
            <w:hyperlink r:id="rId16" w:history="1">
              <w:r w:rsidRPr="009C5F11">
                <w:rPr>
                  <w:rFonts w:ascii="Times New Roman" w:hAnsi="Times New Roman" w:cs="Times New Roman"/>
                  <w:bCs/>
                  <w:sz w:val="16"/>
                  <w:szCs w:val="13"/>
                  <w:lang w:val="ro-RO"/>
                </w:rPr>
                <w:t>http://lex.justice.md/md/346670/</w:t>
              </w:r>
            </w:hyperlink>
            <w:r w:rsidRPr="009C5F11">
              <w:rPr>
                <w:rFonts w:ascii="Times New Roman" w:hAnsi="Times New Roman" w:cs="Times New Roman"/>
                <w:bCs/>
                <w:sz w:val="16"/>
                <w:szCs w:val="13"/>
                <w:lang w:val="ro-RO"/>
              </w:rPr>
              <w:t>;</w:t>
            </w:r>
          </w:p>
        </w:tc>
      </w:tr>
      <w:tr w:rsidR="00C4533C" w:rsidRPr="009C5F11" w14:paraId="345C7EDA" w14:textId="77777777" w:rsidTr="00566CAC">
        <w:tc>
          <w:tcPr>
            <w:cnfStyle w:val="001000000000" w:firstRow="0" w:lastRow="0" w:firstColumn="1" w:lastColumn="0" w:oddVBand="0" w:evenVBand="0" w:oddHBand="0" w:evenHBand="0" w:firstRowFirstColumn="0" w:firstRowLastColumn="0" w:lastRowFirstColumn="0" w:lastRowLastColumn="0"/>
            <w:tcW w:w="624" w:type="dxa"/>
          </w:tcPr>
          <w:p w14:paraId="735D0E66" w14:textId="77777777" w:rsidR="00C4533C" w:rsidRPr="009C5F11" w:rsidRDefault="00C4533C" w:rsidP="00D9464A">
            <w:pPr>
              <w:spacing w:before="120" w:after="80"/>
              <w:jc w:val="center"/>
              <w:rPr>
                <w:rFonts w:ascii="Times New Roman" w:hAnsi="Times New Roman" w:cs="Times New Roman"/>
                <w:b w:val="0"/>
                <w:sz w:val="16"/>
                <w:szCs w:val="13"/>
                <w:lang w:val="ro-RO"/>
              </w:rPr>
            </w:pPr>
            <w:r w:rsidRPr="009C5F11">
              <w:rPr>
                <w:rFonts w:ascii="Times New Roman" w:hAnsi="Times New Roman" w:cs="Times New Roman"/>
                <w:sz w:val="16"/>
                <w:szCs w:val="13"/>
                <w:lang w:val="ro-RO"/>
              </w:rPr>
              <w:t>4</w:t>
            </w:r>
          </w:p>
        </w:tc>
        <w:tc>
          <w:tcPr>
            <w:tcW w:w="8484" w:type="dxa"/>
          </w:tcPr>
          <w:p w14:paraId="53FE54B1" w14:textId="77777777" w:rsidR="00C4533C" w:rsidRPr="009C5F11" w:rsidRDefault="00C4533C" w:rsidP="00C4533C">
            <w:pPr>
              <w:spacing w:before="120" w:line="276" w:lineRule="auto"/>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3"/>
                <w:lang w:val="ro-RO"/>
              </w:rPr>
            </w:pPr>
            <w:r w:rsidRPr="009C5F11">
              <w:rPr>
                <w:rFonts w:ascii="Times New Roman" w:hAnsi="Times New Roman" w:cs="Times New Roman"/>
                <w:bCs/>
                <w:sz w:val="16"/>
                <w:szCs w:val="13"/>
                <w:lang w:val="ro-RO"/>
              </w:rPr>
              <w:t xml:space="preserve">Programul naţional pentru eficienţă energetică 2011-2020, </w:t>
            </w:r>
            <w:r w:rsidRPr="009C5F11">
              <w:rPr>
                <w:rFonts w:ascii="Times New Roman" w:hAnsi="Times New Roman" w:cs="Times New Roman"/>
                <w:bCs/>
                <w:sz w:val="16"/>
                <w:szCs w:val="13"/>
                <w:lang w:val="ro-RO"/>
              </w:rPr>
              <w:br/>
              <w:t>HG nr.833 din 10.11.2011, MO nr. 197-202/914, din 18.11.2011.</w:t>
            </w:r>
          </w:p>
          <w:p w14:paraId="5F03EB08" w14:textId="77777777" w:rsidR="00C4533C" w:rsidRPr="009C5F11" w:rsidRDefault="00C4533C" w:rsidP="00C4533C">
            <w:pPr>
              <w:spacing w:after="120" w:line="276" w:lineRule="auto"/>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3"/>
                <w:lang w:val="ro-RO"/>
              </w:rPr>
            </w:pPr>
            <w:r w:rsidRPr="009C5F11">
              <w:rPr>
                <w:rFonts w:ascii="Times New Roman" w:hAnsi="Times New Roman" w:cs="Times New Roman"/>
                <w:bCs/>
                <w:sz w:val="16"/>
                <w:szCs w:val="13"/>
                <w:lang w:val="ro-RO"/>
              </w:rPr>
              <w:t>http://lex.justice.md/viewdoc.php?action=view&amp;view=doc&amp;id=340940&amp;lang=1</w:t>
            </w:r>
          </w:p>
        </w:tc>
      </w:tr>
      <w:tr w:rsidR="00C4533C" w:rsidRPr="009C5F11" w14:paraId="1B99720A" w14:textId="77777777" w:rsidTr="00566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5B7B4F14" w14:textId="77777777" w:rsidR="00C4533C" w:rsidRPr="009C5F11" w:rsidRDefault="00C4533C" w:rsidP="00D9464A">
            <w:pPr>
              <w:tabs>
                <w:tab w:val="left" w:pos="426"/>
                <w:tab w:val="left" w:pos="1276"/>
              </w:tabs>
              <w:spacing w:before="120"/>
              <w:ind w:right="57"/>
              <w:jc w:val="center"/>
              <w:rPr>
                <w:rFonts w:ascii="Times New Roman" w:hAnsi="Times New Roman" w:cs="Times New Roman"/>
                <w:b w:val="0"/>
                <w:bCs w:val="0"/>
                <w:color w:val="0000CC"/>
                <w:sz w:val="16"/>
                <w:szCs w:val="13"/>
                <w:lang w:val="ro-RO" w:eastAsia="en-GB"/>
              </w:rPr>
            </w:pPr>
            <w:r w:rsidRPr="009C5F11">
              <w:rPr>
                <w:rFonts w:ascii="Times New Roman" w:hAnsi="Times New Roman" w:cs="Times New Roman"/>
                <w:color w:val="0000CC"/>
                <w:sz w:val="16"/>
                <w:szCs w:val="13"/>
                <w:lang w:val="ro-RO" w:eastAsia="en-GB"/>
              </w:rPr>
              <w:t>5</w:t>
            </w:r>
          </w:p>
        </w:tc>
        <w:tc>
          <w:tcPr>
            <w:tcW w:w="8484" w:type="dxa"/>
          </w:tcPr>
          <w:p w14:paraId="2495A2F6" w14:textId="77777777" w:rsidR="00C4533C" w:rsidRPr="009C5F11" w:rsidRDefault="00C4533C" w:rsidP="00C4533C">
            <w:pPr>
              <w:spacing w:before="120" w:line="276" w:lineRule="auto"/>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3"/>
                <w:lang w:val="ro-RO"/>
              </w:rPr>
            </w:pPr>
            <w:r w:rsidRPr="009C5F11">
              <w:rPr>
                <w:rFonts w:ascii="Times New Roman" w:hAnsi="Times New Roman" w:cs="Times New Roman"/>
                <w:bCs/>
                <w:sz w:val="16"/>
                <w:szCs w:val="13"/>
                <w:lang w:val="ro-RO"/>
              </w:rPr>
              <w:t>Planul naţional de acţiuni în domeniul energiei din surse regenerabile pentru anii 2013-2020, HG nr. 1073  din  27.12.2013, MO nr. 4-8 din 10.01.2014, 54p.</w:t>
            </w:r>
          </w:p>
        </w:tc>
      </w:tr>
      <w:tr w:rsidR="00C4533C" w:rsidRPr="009C5F11" w14:paraId="284B2549" w14:textId="77777777" w:rsidTr="00566CAC">
        <w:tc>
          <w:tcPr>
            <w:cnfStyle w:val="001000000000" w:firstRow="0" w:lastRow="0" w:firstColumn="1" w:lastColumn="0" w:oddVBand="0" w:evenVBand="0" w:oddHBand="0" w:evenHBand="0" w:firstRowFirstColumn="0" w:firstRowLastColumn="0" w:lastRowFirstColumn="0" w:lastRowLastColumn="0"/>
            <w:tcW w:w="624" w:type="dxa"/>
          </w:tcPr>
          <w:p w14:paraId="68B8A5B9" w14:textId="77777777" w:rsidR="00C4533C" w:rsidRPr="009C5F11" w:rsidRDefault="00C4533C" w:rsidP="00D9464A">
            <w:pPr>
              <w:spacing w:before="120" w:after="80"/>
              <w:jc w:val="center"/>
              <w:rPr>
                <w:rFonts w:ascii="Times New Roman" w:hAnsi="Times New Roman" w:cs="Times New Roman"/>
                <w:b w:val="0"/>
                <w:sz w:val="16"/>
                <w:szCs w:val="13"/>
                <w:lang w:val="ro-RO"/>
              </w:rPr>
            </w:pPr>
            <w:r w:rsidRPr="009C5F11">
              <w:rPr>
                <w:rFonts w:ascii="Times New Roman" w:hAnsi="Times New Roman" w:cs="Times New Roman"/>
                <w:sz w:val="16"/>
                <w:szCs w:val="13"/>
                <w:lang w:val="ro-RO"/>
              </w:rPr>
              <w:t>6</w:t>
            </w:r>
          </w:p>
        </w:tc>
        <w:tc>
          <w:tcPr>
            <w:tcW w:w="8484" w:type="dxa"/>
          </w:tcPr>
          <w:p w14:paraId="0EBA9DF9" w14:textId="77777777" w:rsidR="00C4533C" w:rsidRPr="009C5F11" w:rsidRDefault="00C4533C" w:rsidP="00C4533C">
            <w:pPr>
              <w:spacing w:before="120" w:line="276" w:lineRule="auto"/>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3"/>
                <w:lang w:val="ro-RO"/>
              </w:rPr>
            </w:pPr>
            <w:r w:rsidRPr="009C5F11">
              <w:rPr>
                <w:rFonts w:ascii="Times New Roman" w:hAnsi="Times New Roman" w:cs="Times New Roman"/>
                <w:bCs/>
                <w:sz w:val="16"/>
                <w:szCs w:val="13"/>
                <w:lang w:val="ro-RO"/>
              </w:rPr>
              <w:t xml:space="preserve">Planului naţional de acţiuni în domeniul eficienţei energetice pentru anii </w:t>
            </w:r>
            <w:r w:rsidRPr="009C5F11">
              <w:rPr>
                <w:rFonts w:ascii="Times New Roman" w:hAnsi="Times New Roman" w:cs="Times New Roman"/>
                <w:bCs/>
                <w:sz w:val="16"/>
                <w:szCs w:val="13"/>
                <w:lang w:val="ro-RO"/>
              </w:rPr>
              <w:br/>
              <w:t>2013-2015, HG nr. 113  din  07.02.2013, MO nr. 31-35/158, 54p.</w:t>
            </w:r>
          </w:p>
        </w:tc>
      </w:tr>
    </w:tbl>
    <w:p w14:paraId="08E5DBA5" w14:textId="77777777" w:rsidR="008B1DC8" w:rsidRPr="009C5F11" w:rsidRDefault="008B1DC8" w:rsidP="008B1DC8">
      <w:pPr>
        <w:rPr>
          <w:rFonts w:ascii="Times New Roman" w:hAnsi="Times New Roman" w:cs="Times New Roman"/>
          <w:sz w:val="24"/>
          <w:lang w:val="ro-RO"/>
        </w:rPr>
      </w:pPr>
    </w:p>
    <w:p w14:paraId="295E5156" w14:textId="77777777" w:rsidR="0040025A" w:rsidRPr="009C5F11" w:rsidRDefault="002733CB" w:rsidP="00087B37">
      <w:pPr>
        <w:pStyle w:val="Listparagraf"/>
        <w:numPr>
          <w:ilvl w:val="0"/>
          <w:numId w:val="210"/>
        </w:numPr>
        <w:spacing w:before="120" w:after="120" w:line="240" w:lineRule="auto"/>
        <w:ind w:left="0" w:firstLine="360"/>
        <w:jc w:val="both"/>
        <w:rPr>
          <w:rFonts w:ascii="Times New Roman" w:hAnsi="Times New Roman" w:cs="Times New Roman"/>
          <w:sz w:val="24"/>
          <w:lang w:val="ro-RO"/>
        </w:rPr>
      </w:pPr>
      <w:r w:rsidRPr="009C5F11">
        <w:rPr>
          <w:rFonts w:ascii="Times New Roman" w:hAnsi="Times New Roman" w:cs="Times New Roman"/>
          <w:i/>
          <w:sz w:val="24"/>
          <w:u w:val="single"/>
          <w:lang w:val="ro-RO"/>
        </w:rPr>
        <w:t>Program</w:t>
      </w:r>
      <w:r w:rsidR="00483878" w:rsidRPr="009C5F11">
        <w:rPr>
          <w:rFonts w:ascii="Times New Roman" w:hAnsi="Times New Roman" w:cs="Times New Roman"/>
          <w:i/>
          <w:sz w:val="24"/>
          <w:u w:val="single"/>
          <w:lang w:val="ro-RO"/>
        </w:rPr>
        <w:t>ul naţional pentru eficienţă energetică</w:t>
      </w:r>
      <w:r w:rsidRPr="009C5F11">
        <w:rPr>
          <w:rFonts w:ascii="Times New Roman" w:hAnsi="Times New Roman" w:cs="Times New Roman"/>
          <w:i/>
          <w:sz w:val="24"/>
          <w:u w:val="single"/>
          <w:lang w:val="ro-RO"/>
        </w:rPr>
        <w:t xml:space="preserve"> (</w:t>
      </w:r>
      <w:r w:rsidR="000A4CC7" w:rsidRPr="009C5F11">
        <w:rPr>
          <w:rFonts w:ascii="Times New Roman" w:hAnsi="Times New Roman" w:cs="Times New Roman"/>
          <w:i/>
          <w:sz w:val="24"/>
          <w:u w:val="single"/>
          <w:lang w:val="ro-RO"/>
        </w:rPr>
        <w:t>PNEE</w:t>
      </w:r>
      <w:r w:rsidRPr="009C5F11">
        <w:rPr>
          <w:rFonts w:ascii="Times New Roman" w:hAnsi="Times New Roman" w:cs="Times New Roman"/>
          <w:i/>
          <w:sz w:val="24"/>
          <w:u w:val="single"/>
          <w:lang w:val="ro-RO"/>
        </w:rPr>
        <w:t>)</w:t>
      </w:r>
      <w:r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 xml:space="preserve">este documentul central în domeniul eficienţei energetice fiind elaborat pe o perioadă de </w:t>
      </w:r>
      <w:r w:rsidRPr="009C5F11">
        <w:rPr>
          <w:rFonts w:ascii="Times New Roman" w:hAnsi="Times New Roman" w:cs="Times New Roman"/>
          <w:i/>
          <w:sz w:val="24"/>
          <w:lang w:val="ro-RO"/>
        </w:rPr>
        <w:t xml:space="preserve">10 </w:t>
      </w:r>
      <w:r w:rsidR="006025D6" w:rsidRPr="009C5F11">
        <w:rPr>
          <w:rFonts w:ascii="Times New Roman" w:hAnsi="Times New Roman" w:cs="Times New Roman"/>
          <w:i/>
          <w:sz w:val="24"/>
          <w:lang w:val="ro-RO"/>
        </w:rPr>
        <w:t>ani</w:t>
      </w:r>
      <w:r w:rsidR="00321CD5"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 xml:space="preserve">de </w:t>
      </w:r>
      <w:r w:rsidR="0058692B" w:rsidRPr="009C5F11">
        <w:rPr>
          <w:rFonts w:ascii="Times New Roman" w:hAnsi="Times New Roman" w:cs="Times New Roman"/>
          <w:sz w:val="24"/>
          <w:lang w:val="ro-RO"/>
        </w:rPr>
        <w:t xml:space="preserve">către </w:t>
      </w:r>
      <w:r w:rsidR="006025D6" w:rsidRPr="009C5F11">
        <w:rPr>
          <w:rFonts w:ascii="Times New Roman" w:hAnsi="Times New Roman" w:cs="Times New Roman"/>
          <w:sz w:val="24"/>
          <w:lang w:val="ro-RO"/>
        </w:rPr>
        <w:t>autoritatea energetică</w:t>
      </w:r>
      <w:r w:rsidRPr="009C5F11">
        <w:rPr>
          <w:rFonts w:ascii="Times New Roman" w:hAnsi="Times New Roman" w:cs="Times New Roman"/>
          <w:sz w:val="24"/>
          <w:lang w:val="ro-RO"/>
        </w:rPr>
        <w:t xml:space="preserve"> </w:t>
      </w:r>
      <w:r w:rsidR="00DF271F" w:rsidRPr="009C5F11">
        <w:rPr>
          <w:rFonts w:ascii="Times New Roman" w:hAnsi="Times New Roman" w:cs="Times New Roman"/>
          <w:sz w:val="24"/>
          <w:lang w:val="ro-RO"/>
        </w:rPr>
        <w:t xml:space="preserve">centrală </w:t>
      </w:r>
      <w:r w:rsidR="006025D6" w:rsidRPr="009C5F11">
        <w:rPr>
          <w:rFonts w:ascii="Times New Roman" w:hAnsi="Times New Roman" w:cs="Times New Roman"/>
          <w:sz w:val="24"/>
          <w:lang w:val="ro-RO"/>
        </w:rPr>
        <w:t xml:space="preserve">a </w:t>
      </w:r>
      <w:r w:rsidR="0058692B" w:rsidRPr="009C5F11">
        <w:rPr>
          <w:rFonts w:ascii="Times New Roman" w:hAnsi="Times New Roman" w:cs="Times New Roman"/>
          <w:sz w:val="24"/>
          <w:lang w:val="ro-RO"/>
        </w:rPr>
        <w:t>R</w:t>
      </w:r>
      <w:r w:rsidR="006025D6" w:rsidRPr="009C5F11">
        <w:rPr>
          <w:rFonts w:ascii="Times New Roman" w:hAnsi="Times New Roman" w:cs="Times New Roman"/>
          <w:sz w:val="24"/>
          <w:lang w:val="ro-RO"/>
        </w:rPr>
        <w:t xml:space="preserve">epublicii Moldova </w:t>
      </w:r>
      <w:r w:rsidRPr="009C5F11">
        <w:rPr>
          <w:rFonts w:ascii="Times New Roman" w:hAnsi="Times New Roman" w:cs="Times New Roman"/>
          <w:sz w:val="24"/>
          <w:lang w:val="ro-RO"/>
        </w:rPr>
        <w:t>(</w:t>
      </w:r>
      <w:r w:rsidR="006025D6" w:rsidRPr="009C5F11">
        <w:rPr>
          <w:rFonts w:ascii="Times New Roman" w:hAnsi="Times New Roman" w:cs="Times New Roman"/>
          <w:i/>
          <w:sz w:val="24"/>
          <w:lang w:val="ro-RO"/>
        </w:rPr>
        <w:t>actualmente</w:t>
      </w:r>
      <w:r w:rsidRPr="009C5F11">
        <w:rPr>
          <w:rFonts w:ascii="Times New Roman" w:hAnsi="Times New Roman" w:cs="Times New Roman"/>
          <w:i/>
          <w:sz w:val="24"/>
          <w:lang w:val="ro-RO"/>
        </w:rPr>
        <w:t xml:space="preserve">: </w:t>
      </w:r>
      <w:r w:rsidR="00D55D28" w:rsidRPr="009C5F11">
        <w:rPr>
          <w:rFonts w:ascii="Times New Roman" w:hAnsi="Times New Roman" w:cs="Times New Roman"/>
          <w:i/>
          <w:sz w:val="24"/>
          <w:lang w:val="ro-RO"/>
        </w:rPr>
        <w:t>Ministerul</w:t>
      </w:r>
      <w:r w:rsidR="00321CD5" w:rsidRPr="009C5F11">
        <w:rPr>
          <w:rFonts w:ascii="Times New Roman" w:hAnsi="Times New Roman" w:cs="Times New Roman"/>
          <w:i/>
          <w:sz w:val="24"/>
          <w:lang w:val="ro-RO"/>
        </w:rPr>
        <w:t xml:space="preserve"> Economiei</w:t>
      </w:r>
      <w:r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cu</w:t>
      </w:r>
      <w:r w:rsidRPr="009C5F11">
        <w:rPr>
          <w:rFonts w:ascii="Times New Roman" w:hAnsi="Times New Roman" w:cs="Times New Roman"/>
          <w:sz w:val="24"/>
          <w:lang w:val="ro-RO"/>
        </w:rPr>
        <w:t xml:space="preserve"> participa</w:t>
      </w:r>
      <w:r w:rsidR="006025D6" w:rsidRPr="009C5F11">
        <w:rPr>
          <w:rFonts w:ascii="Times New Roman" w:hAnsi="Times New Roman" w:cs="Times New Roman"/>
          <w:sz w:val="24"/>
          <w:lang w:val="ro-RO"/>
        </w:rPr>
        <w:t>rea</w:t>
      </w:r>
      <w:r w:rsidRPr="009C5F11">
        <w:rPr>
          <w:rFonts w:ascii="Times New Roman" w:hAnsi="Times New Roman" w:cs="Times New Roman"/>
          <w:sz w:val="24"/>
          <w:lang w:val="ro-RO"/>
        </w:rPr>
        <w:t xml:space="preserve"> AEE</w:t>
      </w:r>
      <w:r w:rsidR="00321CD5" w:rsidRPr="009C5F11">
        <w:rPr>
          <w:rFonts w:ascii="Times New Roman" w:hAnsi="Times New Roman" w:cs="Times New Roman"/>
          <w:sz w:val="24"/>
          <w:lang w:val="ro-RO"/>
        </w:rPr>
        <w:t xml:space="preserve"> şi </w:t>
      </w:r>
      <w:r w:rsidR="006025D6" w:rsidRPr="009C5F11">
        <w:rPr>
          <w:rFonts w:ascii="Times New Roman" w:hAnsi="Times New Roman" w:cs="Times New Roman"/>
          <w:sz w:val="24"/>
          <w:lang w:val="ro-RO"/>
        </w:rPr>
        <w:t xml:space="preserve">cu asistenţa </w:t>
      </w:r>
      <w:r w:rsidRPr="009C5F11">
        <w:rPr>
          <w:rFonts w:ascii="Times New Roman" w:hAnsi="Times New Roman" w:cs="Times New Roman"/>
          <w:sz w:val="24"/>
          <w:lang w:val="ro-RO"/>
        </w:rPr>
        <w:t>informa</w:t>
      </w:r>
      <w:r w:rsidR="006025D6" w:rsidRPr="009C5F11">
        <w:rPr>
          <w:rFonts w:ascii="Times New Roman" w:hAnsi="Times New Roman" w:cs="Times New Roman"/>
          <w:sz w:val="24"/>
          <w:lang w:val="ro-RO"/>
        </w:rPr>
        <w:t>ţ</w:t>
      </w:r>
      <w:r w:rsidRPr="009C5F11">
        <w:rPr>
          <w:rFonts w:ascii="Times New Roman" w:hAnsi="Times New Roman" w:cs="Times New Roman"/>
          <w:sz w:val="24"/>
          <w:lang w:val="ro-RO"/>
        </w:rPr>
        <w:t>ional</w:t>
      </w:r>
      <w:r w:rsidR="006025D6" w:rsidRPr="009C5F11">
        <w:rPr>
          <w:rFonts w:ascii="Times New Roman" w:hAnsi="Times New Roman" w:cs="Times New Roman"/>
          <w:sz w:val="24"/>
          <w:lang w:val="ro-RO"/>
        </w:rPr>
        <w:t>ă</w:t>
      </w:r>
      <w:r w:rsidR="00321CD5" w:rsidRPr="009C5F11">
        <w:rPr>
          <w:rFonts w:ascii="Times New Roman" w:hAnsi="Times New Roman" w:cs="Times New Roman"/>
          <w:sz w:val="24"/>
          <w:lang w:val="ro-RO"/>
        </w:rPr>
        <w:t xml:space="preserve"> şi </w:t>
      </w:r>
      <w:r w:rsidR="00BD6579" w:rsidRPr="009C5F11">
        <w:rPr>
          <w:rFonts w:ascii="Times New Roman" w:hAnsi="Times New Roman" w:cs="Times New Roman"/>
          <w:sz w:val="24"/>
          <w:lang w:val="ro-RO"/>
        </w:rPr>
        <w:t>organizațională</w:t>
      </w:r>
      <w:r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din partea APC şi APL</w:t>
      </w:r>
      <w:r w:rsidR="0040025A" w:rsidRPr="009C5F11">
        <w:rPr>
          <w:rFonts w:ascii="Times New Roman" w:hAnsi="Times New Roman" w:cs="Times New Roman"/>
          <w:sz w:val="24"/>
          <w:lang w:val="ro-RO"/>
        </w:rPr>
        <w:t>.</w:t>
      </w:r>
    </w:p>
    <w:p w14:paraId="4F287A64" w14:textId="77777777" w:rsidR="0040025A" w:rsidRPr="009C5F11" w:rsidRDefault="004424A0" w:rsidP="00087B37">
      <w:pPr>
        <w:pStyle w:val="Listparagraf"/>
        <w:numPr>
          <w:ilvl w:val="0"/>
          <w:numId w:val="210"/>
        </w:numPr>
        <w:spacing w:before="120" w:after="120" w:line="240" w:lineRule="auto"/>
        <w:ind w:left="0" w:firstLine="360"/>
        <w:jc w:val="both"/>
        <w:rPr>
          <w:rFonts w:ascii="Times New Roman" w:hAnsi="Times New Roman" w:cs="Times New Roman"/>
          <w:sz w:val="24"/>
          <w:lang w:val="ro-RO"/>
        </w:rPr>
      </w:pPr>
      <w:r w:rsidRPr="009C5F11">
        <w:rPr>
          <w:rFonts w:ascii="Times New Roman" w:hAnsi="Times New Roman" w:cs="Times New Roman"/>
          <w:i/>
          <w:sz w:val="24"/>
          <w:u w:val="single"/>
          <w:lang w:val="ro-RO"/>
        </w:rPr>
        <w:t xml:space="preserve">Planul </w:t>
      </w:r>
      <w:r w:rsidR="003A5D89" w:rsidRPr="009C5F11">
        <w:rPr>
          <w:rFonts w:ascii="Times New Roman" w:hAnsi="Times New Roman" w:cs="Times New Roman"/>
          <w:i/>
          <w:sz w:val="24"/>
          <w:u w:val="single"/>
          <w:lang w:val="ro-RO"/>
        </w:rPr>
        <w:t xml:space="preserve">naţional </w:t>
      </w:r>
      <w:r w:rsidRPr="009C5F11">
        <w:rPr>
          <w:rFonts w:ascii="Times New Roman" w:hAnsi="Times New Roman" w:cs="Times New Roman"/>
          <w:i/>
          <w:sz w:val="24"/>
          <w:u w:val="single"/>
          <w:lang w:val="ro-RO"/>
        </w:rPr>
        <w:t>de acţiun</w:t>
      </w:r>
      <w:r w:rsidR="003A5D89" w:rsidRPr="009C5F11">
        <w:rPr>
          <w:rFonts w:ascii="Times New Roman" w:hAnsi="Times New Roman" w:cs="Times New Roman"/>
          <w:i/>
          <w:sz w:val="24"/>
          <w:u w:val="single"/>
          <w:lang w:val="ro-RO"/>
        </w:rPr>
        <w:t>i în domeniul eficienţei energetice</w:t>
      </w:r>
      <w:r w:rsidR="002733CB" w:rsidRPr="009C5F11">
        <w:rPr>
          <w:rFonts w:ascii="Times New Roman" w:hAnsi="Times New Roman" w:cs="Times New Roman"/>
          <w:i/>
          <w:sz w:val="24"/>
          <w:u w:val="single"/>
          <w:lang w:val="ro-RO"/>
        </w:rPr>
        <w:t xml:space="preserve"> (</w:t>
      </w:r>
      <w:r w:rsidR="00872DC2" w:rsidRPr="009C5F11">
        <w:rPr>
          <w:rFonts w:ascii="Times New Roman" w:hAnsi="Times New Roman" w:cs="Times New Roman"/>
          <w:i/>
          <w:sz w:val="24"/>
          <w:u w:val="single"/>
          <w:lang w:val="ro-RO"/>
        </w:rPr>
        <w:t>PNAEE</w:t>
      </w:r>
      <w:r w:rsidR="002733CB"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 xml:space="preserve">este elaborat pe o perioadă de </w:t>
      </w:r>
      <w:r w:rsidR="002733CB" w:rsidRPr="009C5F11">
        <w:rPr>
          <w:rFonts w:ascii="Times New Roman" w:hAnsi="Times New Roman" w:cs="Times New Roman"/>
          <w:i/>
          <w:sz w:val="24"/>
          <w:lang w:val="ro-RO"/>
        </w:rPr>
        <w:t xml:space="preserve">3 </w:t>
      </w:r>
      <w:r w:rsidR="006025D6" w:rsidRPr="009C5F11">
        <w:rPr>
          <w:rFonts w:ascii="Times New Roman" w:hAnsi="Times New Roman" w:cs="Times New Roman"/>
          <w:i/>
          <w:sz w:val="24"/>
          <w:lang w:val="ro-RO"/>
        </w:rPr>
        <w:t>ani</w:t>
      </w:r>
      <w:r w:rsidR="002733CB" w:rsidRPr="009C5F11">
        <w:rPr>
          <w:rFonts w:ascii="Times New Roman" w:hAnsi="Times New Roman" w:cs="Times New Roman"/>
          <w:i/>
          <w:sz w:val="24"/>
          <w:lang w:val="ro-RO"/>
        </w:rPr>
        <w:t xml:space="preserve"> </w:t>
      </w:r>
      <w:r w:rsidR="006025D6" w:rsidRPr="009C5F11">
        <w:rPr>
          <w:rFonts w:ascii="Times New Roman" w:hAnsi="Times New Roman" w:cs="Times New Roman"/>
          <w:sz w:val="24"/>
          <w:lang w:val="ro-RO"/>
        </w:rPr>
        <w:t xml:space="preserve">de către </w:t>
      </w:r>
      <w:r w:rsidR="002733CB" w:rsidRPr="009C5F11">
        <w:rPr>
          <w:rFonts w:ascii="Times New Roman" w:hAnsi="Times New Roman" w:cs="Times New Roman"/>
          <w:sz w:val="24"/>
          <w:lang w:val="ro-RO"/>
        </w:rPr>
        <w:t>AEE</w:t>
      </w:r>
      <w:r w:rsidR="00321CD5" w:rsidRPr="009C5F11">
        <w:rPr>
          <w:rFonts w:ascii="Times New Roman" w:hAnsi="Times New Roman" w:cs="Times New Roman"/>
          <w:sz w:val="24"/>
          <w:lang w:val="ro-RO"/>
        </w:rPr>
        <w:t xml:space="preserve"> în </w:t>
      </w:r>
      <w:r w:rsidR="002733CB" w:rsidRPr="009C5F11">
        <w:rPr>
          <w:rFonts w:ascii="Times New Roman" w:hAnsi="Times New Roman" w:cs="Times New Roman"/>
          <w:sz w:val="24"/>
          <w:lang w:val="ro-RO"/>
        </w:rPr>
        <w:t>colabora</w:t>
      </w:r>
      <w:r w:rsidR="006025D6" w:rsidRPr="009C5F11">
        <w:rPr>
          <w:rFonts w:ascii="Times New Roman" w:hAnsi="Times New Roman" w:cs="Times New Roman"/>
          <w:sz w:val="24"/>
          <w:lang w:val="ro-RO"/>
        </w:rPr>
        <w:t>re cu APC şi APL</w:t>
      </w:r>
      <w:r w:rsidR="002733CB" w:rsidRPr="009C5F11">
        <w:rPr>
          <w:rFonts w:ascii="Times New Roman" w:hAnsi="Times New Roman" w:cs="Times New Roman"/>
          <w:sz w:val="24"/>
          <w:lang w:val="ro-RO"/>
        </w:rPr>
        <w:t xml:space="preserve">. </w:t>
      </w:r>
      <w:r w:rsidR="003A5D89" w:rsidRPr="009C5F11">
        <w:rPr>
          <w:rFonts w:ascii="Times New Roman" w:hAnsi="Times New Roman" w:cs="Times New Roman"/>
          <w:i/>
          <w:sz w:val="24"/>
          <w:lang w:val="ro-RO"/>
        </w:rPr>
        <w:t>Programul naţional</w:t>
      </w:r>
      <w:r w:rsidR="002733CB" w:rsidRPr="009C5F11">
        <w:rPr>
          <w:rFonts w:ascii="Times New Roman" w:hAnsi="Times New Roman" w:cs="Times New Roman"/>
          <w:sz w:val="24"/>
          <w:lang w:val="ro-RO"/>
        </w:rPr>
        <w:t xml:space="preserve"> </w:t>
      </w:r>
      <w:r w:rsidR="004000CC" w:rsidRPr="009C5F11">
        <w:rPr>
          <w:rFonts w:ascii="Times New Roman" w:hAnsi="Times New Roman" w:cs="Times New Roman"/>
          <w:sz w:val="24"/>
          <w:lang w:val="ro-RO"/>
        </w:rPr>
        <w:t>defineşte</w:t>
      </w:r>
      <w:r w:rsidR="002733CB"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politicile de</w:t>
      </w:r>
      <w:r w:rsidR="002733CB"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eficienţă energetică</w:t>
      </w:r>
      <w:r w:rsidR="006025D6" w:rsidRPr="009C5F11">
        <w:rPr>
          <w:rFonts w:ascii="Times New Roman" w:hAnsi="Times New Roman" w:cs="Times New Roman"/>
          <w:sz w:val="24"/>
          <w:lang w:val="ro-RO"/>
        </w:rPr>
        <w:t>, iar</w:t>
      </w:r>
      <w:r w:rsidR="002733CB" w:rsidRPr="009C5F11">
        <w:rPr>
          <w:rFonts w:ascii="Times New Roman" w:hAnsi="Times New Roman" w:cs="Times New Roman"/>
          <w:sz w:val="24"/>
          <w:lang w:val="ro-RO"/>
        </w:rPr>
        <w:t xml:space="preserve"> </w:t>
      </w:r>
      <w:r w:rsidR="00483878" w:rsidRPr="009C5F11">
        <w:rPr>
          <w:rFonts w:ascii="Times New Roman" w:hAnsi="Times New Roman" w:cs="Times New Roman"/>
          <w:i/>
          <w:sz w:val="24"/>
          <w:lang w:val="ro-RO"/>
        </w:rPr>
        <w:t>Planul naţional de acţiuni</w:t>
      </w:r>
      <w:r w:rsidR="002733CB"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asigură</w:t>
      </w:r>
      <w:r w:rsidR="002733CB"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implementarea</w:t>
      </w:r>
      <w:r w:rsidR="002733CB"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acestor</w:t>
      </w:r>
      <w:r w:rsidR="002733CB"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politici</w:t>
      </w:r>
      <w:r w:rsidR="002733CB"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în </w:t>
      </w:r>
      <w:r w:rsidR="006025D6" w:rsidRPr="009C5F11">
        <w:rPr>
          <w:rFonts w:ascii="Times New Roman" w:hAnsi="Times New Roman" w:cs="Times New Roman"/>
          <w:sz w:val="24"/>
          <w:lang w:val="ro-RO"/>
        </w:rPr>
        <w:t>conformitate cu</w:t>
      </w:r>
      <w:r w:rsidR="002733CB" w:rsidRPr="009C5F11">
        <w:rPr>
          <w:rFonts w:ascii="Times New Roman" w:hAnsi="Times New Roman" w:cs="Times New Roman"/>
          <w:sz w:val="24"/>
          <w:lang w:val="ro-RO"/>
        </w:rPr>
        <w:t xml:space="preserve"> Program</w:t>
      </w:r>
      <w:r w:rsidR="006025D6" w:rsidRPr="009C5F11">
        <w:rPr>
          <w:rFonts w:ascii="Times New Roman" w:hAnsi="Times New Roman" w:cs="Times New Roman"/>
          <w:sz w:val="24"/>
          <w:lang w:val="ro-RO"/>
        </w:rPr>
        <w:t>ul naţional</w:t>
      </w:r>
      <w:r w:rsidR="002733CB"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 xml:space="preserve">Atât </w:t>
      </w:r>
      <w:r w:rsidR="00483878" w:rsidRPr="009C5F11">
        <w:rPr>
          <w:rFonts w:ascii="Times New Roman" w:hAnsi="Times New Roman" w:cs="Times New Roman"/>
          <w:sz w:val="24"/>
          <w:lang w:val="ro-RO"/>
        </w:rPr>
        <w:t>Programul naţional</w:t>
      </w:r>
      <w:r w:rsidR="006025D6" w:rsidRPr="009C5F11">
        <w:rPr>
          <w:rFonts w:ascii="Times New Roman" w:hAnsi="Times New Roman" w:cs="Times New Roman"/>
          <w:sz w:val="24"/>
          <w:lang w:val="ro-RO"/>
        </w:rPr>
        <w:t xml:space="preserve"> pentru </w:t>
      </w:r>
      <w:r w:rsidR="00BD6579" w:rsidRPr="009C5F11">
        <w:rPr>
          <w:rFonts w:ascii="Times New Roman" w:hAnsi="Times New Roman" w:cs="Times New Roman"/>
          <w:sz w:val="24"/>
          <w:lang w:val="ro-RO"/>
        </w:rPr>
        <w:t>eficienţă</w:t>
      </w:r>
      <w:r w:rsidR="006025D6" w:rsidRPr="009C5F11">
        <w:rPr>
          <w:rFonts w:ascii="Times New Roman" w:hAnsi="Times New Roman" w:cs="Times New Roman"/>
          <w:sz w:val="24"/>
          <w:lang w:val="ro-RO"/>
        </w:rPr>
        <w:t xml:space="preserve"> energetică, cât</w:t>
      </w:r>
      <w:r w:rsidR="00321CD5" w:rsidRPr="009C5F11">
        <w:rPr>
          <w:rFonts w:ascii="Times New Roman" w:hAnsi="Times New Roman" w:cs="Times New Roman"/>
          <w:sz w:val="24"/>
          <w:lang w:val="ro-RO"/>
        </w:rPr>
        <w:t xml:space="preserve"> şi </w:t>
      </w:r>
      <w:r w:rsidR="00483878" w:rsidRPr="009C5F11">
        <w:rPr>
          <w:rFonts w:ascii="Times New Roman" w:hAnsi="Times New Roman" w:cs="Times New Roman"/>
          <w:sz w:val="24"/>
          <w:lang w:val="ro-RO"/>
        </w:rPr>
        <w:t>Planul naţional de acţiuni</w:t>
      </w:r>
      <w:r w:rsidR="002733CB" w:rsidRPr="009C5F11">
        <w:rPr>
          <w:rFonts w:ascii="Times New Roman" w:hAnsi="Times New Roman" w:cs="Times New Roman"/>
          <w:sz w:val="24"/>
          <w:lang w:val="ro-RO"/>
        </w:rPr>
        <w:t xml:space="preserve"> </w:t>
      </w:r>
      <w:r w:rsidR="006025D6" w:rsidRPr="009C5F11">
        <w:rPr>
          <w:rFonts w:ascii="Times New Roman" w:hAnsi="Times New Roman" w:cs="Times New Roman"/>
          <w:sz w:val="24"/>
          <w:lang w:val="ro-RO"/>
        </w:rPr>
        <w:t xml:space="preserve">în domeniul eficienţei energetice </w:t>
      </w:r>
      <w:r w:rsidR="00483878" w:rsidRPr="009C5F11">
        <w:rPr>
          <w:rFonts w:ascii="Times New Roman" w:hAnsi="Times New Roman" w:cs="Times New Roman"/>
          <w:sz w:val="24"/>
          <w:lang w:val="ro-RO"/>
        </w:rPr>
        <w:t>au fost</w:t>
      </w:r>
      <w:r w:rsidR="00571E78" w:rsidRPr="009C5F11">
        <w:rPr>
          <w:rFonts w:ascii="Times New Roman" w:hAnsi="Times New Roman" w:cs="Times New Roman"/>
          <w:sz w:val="24"/>
          <w:lang w:val="ro-RO"/>
        </w:rPr>
        <w:t xml:space="preserve"> </w:t>
      </w:r>
      <w:r w:rsidR="00334DD0" w:rsidRPr="009C5F11">
        <w:rPr>
          <w:rFonts w:ascii="Times New Roman" w:hAnsi="Times New Roman" w:cs="Times New Roman"/>
          <w:sz w:val="24"/>
          <w:lang w:val="ro-RO"/>
        </w:rPr>
        <w:t>aprobat</w:t>
      </w:r>
      <w:r w:rsidR="00483878" w:rsidRPr="009C5F11">
        <w:rPr>
          <w:rFonts w:ascii="Times New Roman" w:hAnsi="Times New Roman" w:cs="Times New Roman"/>
          <w:sz w:val="24"/>
          <w:lang w:val="ro-RO"/>
        </w:rPr>
        <w:t>e</w:t>
      </w:r>
      <w:r w:rsidR="00334DD0" w:rsidRPr="009C5F11">
        <w:rPr>
          <w:rFonts w:ascii="Times New Roman" w:hAnsi="Times New Roman" w:cs="Times New Roman"/>
          <w:sz w:val="24"/>
          <w:lang w:val="ro-RO"/>
        </w:rPr>
        <w:t xml:space="preserve"> de</w:t>
      </w:r>
      <w:r w:rsidR="00571E78" w:rsidRPr="009C5F11">
        <w:rPr>
          <w:rFonts w:ascii="Times New Roman" w:hAnsi="Times New Roman" w:cs="Times New Roman"/>
          <w:sz w:val="24"/>
          <w:lang w:val="ro-RO"/>
        </w:rPr>
        <w:t xml:space="preserve"> </w:t>
      </w:r>
      <w:r w:rsidR="00800247" w:rsidRPr="009C5F11">
        <w:rPr>
          <w:rFonts w:ascii="Times New Roman" w:hAnsi="Times New Roman" w:cs="Times New Roman"/>
          <w:sz w:val="24"/>
          <w:lang w:val="ro-RO"/>
        </w:rPr>
        <w:t>Guvern</w:t>
      </w:r>
      <w:r w:rsidR="00571E78" w:rsidRPr="009C5F11">
        <w:rPr>
          <w:rFonts w:ascii="Times New Roman" w:hAnsi="Times New Roman" w:cs="Times New Roman"/>
          <w:sz w:val="24"/>
          <w:lang w:val="ro-RO"/>
        </w:rPr>
        <w:t>.</w:t>
      </w:r>
      <w:bookmarkStart w:id="38" w:name="OLE_LINK1"/>
      <w:bookmarkStart w:id="39" w:name="OLE_LINK2"/>
    </w:p>
    <w:p w14:paraId="28DFD26C" w14:textId="5EEC3532" w:rsidR="002733CB" w:rsidRPr="009C5F11" w:rsidRDefault="00421FA7" w:rsidP="00087B37">
      <w:pPr>
        <w:pStyle w:val="Listparagraf"/>
        <w:numPr>
          <w:ilvl w:val="0"/>
          <w:numId w:val="210"/>
        </w:numPr>
        <w:spacing w:before="120" w:after="120" w:line="240" w:lineRule="auto"/>
        <w:ind w:left="0" w:firstLine="360"/>
        <w:jc w:val="both"/>
        <w:rPr>
          <w:rFonts w:ascii="Times New Roman" w:hAnsi="Times New Roman" w:cs="Times New Roman"/>
          <w:sz w:val="24"/>
          <w:lang w:val="ro-RO"/>
        </w:rPr>
      </w:pPr>
      <w:r w:rsidRPr="009C5F11">
        <w:rPr>
          <w:rFonts w:ascii="Times New Roman" w:hAnsi="Times New Roman" w:cs="Times New Roman"/>
          <w:bCs/>
          <w:i/>
          <w:color w:val="000000"/>
          <w:sz w:val="24"/>
          <w:u w:val="single"/>
          <w:lang w:val="ro-RO"/>
        </w:rPr>
        <w:t>Programul</w:t>
      </w:r>
      <w:r w:rsidR="003A5D89" w:rsidRPr="009C5F11">
        <w:rPr>
          <w:rFonts w:ascii="Times New Roman" w:hAnsi="Times New Roman" w:cs="Times New Roman"/>
          <w:bCs/>
          <w:i/>
          <w:color w:val="000000"/>
          <w:sz w:val="24"/>
          <w:u w:val="single"/>
          <w:lang w:val="ro-RO"/>
        </w:rPr>
        <w:t xml:space="preserve"> naţional pentru eficienţă energetică</w:t>
      </w:r>
      <w:r w:rsidR="002733CB" w:rsidRPr="009C5F11">
        <w:rPr>
          <w:rFonts w:ascii="Times New Roman" w:hAnsi="Times New Roman" w:cs="Times New Roman"/>
          <w:bCs/>
          <w:i/>
          <w:color w:val="000000"/>
          <w:sz w:val="24"/>
          <w:u w:val="single"/>
          <w:lang w:val="ro-RO"/>
        </w:rPr>
        <w:t xml:space="preserve"> </w:t>
      </w:r>
      <w:bookmarkEnd w:id="38"/>
      <w:bookmarkEnd w:id="39"/>
      <w:r w:rsidR="002733CB" w:rsidRPr="009C5F11">
        <w:rPr>
          <w:rFonts w:ascii="Times New Roman" w:hAnsi="Times New Roman" w:cs="Times New Roman"/>
          <w:bCs/>
          <w:i/>
          <w:color w:val="000000"/>
          <w:sz w:val="24"/>
          <w:u w:val="single"/>
          <w:lang w:val="ro-RO"/>
        </w:rPr>
        <w:t>2011-2020</w:t>
      </w:r>
      <w:r w:rsidR="002733CB" w:rsidRPr="009C5F11">
        <w:rPr>
          <w:rFonts w:ascii="Times New Roman" w:hAnsi="Times New Roman" w:cs="Times New Roman"/>
          <w:bCs/>
          <w:color w:val="000000"/>
          <w:sz w:val="24"/>
          <w:lang w:val="ro-RO"/>
        </w:rPr>
        <w:t xml:space="preserve"> adopt</w:t>
      </w:r>
      <w:r w:rsidR="000D151A" w:rsidRPr="009C5F11">
        <w:rPr>
          <w:rFonts w:ascii="Times New Roman" w:hAnsi="Times New Roman" w:cs="Times New Roman"/>
          <w:bCs/>
          <w:color w:val="000000"/>
          <w:sz w:val="24"/>
          <w:lang w:val="ro-RO"/>
        </w:rPr>
        <w:t>at prin</w:t>
      </w:r>
      <w:r w:rsidR="002733CB" w:rsidRPr="009C5F11">
        <w:rPr>
          <w:rFonts w:ascii="Times New Roman" w:hAnsi="Times New Roman" w:cs="Times New Roman"/>
          <w:bCs/>
          <w:color w:val="000000"/>
          <w:sz w:val="24"/>
          <w:lang w:val="ro-RO"/>
        </w:rPr>
        <w:t xml:space="preserve"> </w:t>
      </w:r>
      <w:r w:rsidR="00F10EAE" w:rsidRPr="009C5F11">
        <w:rPr>
          <w:rFonts w:ascii="Times New Roman" w:hAnsi="Times New Roman" w:cs="Times New Roman"/>
          <w:bCs/>
          <w:color w:val="000000"/>
          <w:sz w:val="24"/>
          <w:lang w:val="ro-RO"/>
        </w:rPr>
        <w:t>Hotărârea Guvernului</w:t>
      </w:r>
      <w:r w:rsidR="002733CB" w:rsidRPr="009C5F11">
        <w:rPr>
          <w:rFonts w:ascii="Times New Roman" w:hAnsi="Times New Roman" w:cs="Times New Roman"/>
          <w:bCs/>
          <w:color w:val="000000"/>
          <w:sz w:val="24"/>
          <w:lang w:val="ro-RO"/>
        </w:rPr>
        <w:t xml:space="preserve"> nr. 833 </w:t>
      </w:r>
      <w:r w:rsidR="000D151A" w:rsidRPr="009C5F11">
        <w:rPr>
          <w:rFonts w:ascii="Times New Roman" w:hAnsi="Times New Roman" w:cs="Times New Roman"/>
          <w:bCs/>
          <w:color w:val="000000"/>
          <w:sz w:val="24"/>
          <w:lang w:val="ro-RO"/>
        </w:rPr>
        <w:t>din</w:t>
      </w:r>
      <w:r w:rsidR="002733CB" w:rsidRPr="009C5F11">
        <w:rPr>
          <w:rFonts w:ascii="Times New Roman" w:hAnsi="Times New Roman" w:cs="Times New Roman"/>
          <w:bCs/>
          <w:color w:val="000000"/>
          <w:sz w:val="24"/>
          <w:lang w:val="ro-RO"/>
        </w:rPr>
        <w:t>10.11.2011 define</w:t>
      </w:r>
      <w:r w:rsidR="000D151A" w:rsidRPr="009C5F11">
        <w:rPr>
          <w:rFonts w:ascii="Times New Roman" w:hAnsi="Times New Roman" w:cs="Times New Roman"/>
          <w:bCs/>
          <w:color w:val="000000"/>
          <w:sz w:val="24"/>
          <w:lang w:val="ro-RO"/>
        </w:rPr>
        <w:t>şte</w:t>
      </w:r>
      <w:r w:rsidR="002733CB" w:rsidRPr="009C5F11">
        <w:rPr>
          <w:rFonts w:ascii="Times New Roman" w:hAnsi="Times New Roman" w:cs="Times New Roman"/>
          <w:bCs/>
          <w:color w:val="000000"/>
          <w:sz w:val="24"/>
          <w:lang w:val="ro-RO"/>
        </w:rPr>
        <w:t xml:space="preserve"> </w:t>
      </w:r>
      <w:r w:rsidR="00016A4B" w:rsidRPr="009C5F11">
        <w:rPr>
          <w:rFonts w:ascii="Times New Roman" w:hAnsi="Times New Roman" w:cs="Times New Roman"/>
          <w:bCs/>
          <w:color w:val="000000"/>
          <w:sz w:val="24"/>
          <w:lang w:val="ro-RO"/>
        </w:rPr>
        <w:t>obiective</w:t>
      </w:r>
      <w:r w:rsidR="000D151A" w:rsidRPr="009C5F11">
        <w:rPr>
          <w:rFonts w:ascii="Times New Roman" w:hAnsi="Times New Roman" w:cs="Times New Roman"/>
          <w:bCs/>
          <w:color w:val="000000"/>
          <w:sz w:val="24"/>
          <w:lang w:val="ro-RO"/>
        </w:rPr>
        <w:t>le globale</w:t>
      </w:r>
      <w:r w:rsidR="00321CD5" w:rsidRPr="009C5F11">
        <w:rPr>
          <w:rFonts w:ascii="Times New Roman" w:hAnsi="Times New Roman" w:cs="Times New Roman"/>
          <w:bCs/>
          <w:color w:val="000000"/>
          <w:sz w:val="24"/>
          <w:lang w:val="ro-RO"/>
        </w:rPr>
        <w:t xml:space="preserve"> şi </w:t>
      </w:r>
      <w:r w:rsidR="00E10BE5" w:rsidRPr="009C5F11">
        <w:rPr>
          <w:rFonts w:ascii="Times New Roman" w:hAnsi="Times New Roman" w:cs="Times New Roman"/>
          <w:bCs/>
          <w:color w:val="000000"/>
          <w:sz w:val="24"/>
          <w:lang w:val="ro-RO"/>
        </w:rPr>
        <w:t>măsuri</w:t>
      </w:r>
      <w:r w:rsidR="000D151A" w:rsidRPr="009C5F11">
        <w:rPr>
          <w:rFonts w:ascii="Times New Roman" w:hAnsi="Times New Roman" w:cs="Times New Roman"/>
          <w:bCs/>
          <w:color w:val="000000"/>
          <w:sz w:val="24"/>
          <w:lang w:val="ro-RO"/>
        </w:rPr>
        <w:t>le sectoriale</w:t>
      </w:r>
      <w:r w:rsidR="002733CB" w:rsidRPr="009C5F11">
        <w:rPr>
          <w:rFonts w:ascii="Times New Roman" w:hAnsi="Times New Roman" w:cs="Times New Roman"/>
          <w:bCs/>
          <w:color w:val="000000"/>
          <w:sz w:val="24"/>
          <w:lang w:val="ro-RO"/>
        </w:rPr>
        <w:t xml:space="preserve"> </w:t>
      </w:r>
      <w:r w:rsidR="00603237" w:rsidRPr="009C5F11">
        <w:rPr>
          <w:rFonts w:ascii="Times New Roman" w:hAnsi="Times New Roman" w:cs="Times New Roman"/>
          <w:bCs/>
          <w:color w:val="000000"/>
          <w:sz w:val="24"/>
          <w:lang w:val="ro-RO"/>
        </w:rPr>
        <w:t xml:space="preserve">până în </w:t>
      </w:r>
      <w:r w:rsidR="000D151A" w:rsidRPr="009C5F11">
        <w:rPr>
          <w:rFonts w:ascii="Times New Roman" w:hAnsi="Times New Roman" w:cs="Times New Roman"/>
          <w:bCs/>
          <w:color w:val="000000"/>
          <w:sz w:val="24"/>
          <w:lang w:val="ro-RO"/>
        </w:rPr>
        <w:t xml:space="preserve">anul </w:t>
      </w:r>
      <w:r w:rsidR="00603237" w:rsidRPr="009C5F11">
        <w:rPr>
          <w:rFonts w:ascii="Times New Roman" w:hAnsi="Times New Roman" w:cs="Times New Roman"/>
          <w:bCs/>
          <w:color w:val="000000"/>
          <w:sz w:val="24"/>
          <w:lang w:val="ro-RO"/>
        </w:rPr>
        <w:t>2020</w:t>
      </w:r>
      <w:r w:rsidR="002733CB" w:rsidRPr="009C5F11">
        <w:rPr>
          <w:rFonts w:ascii="Times New Roman" w:hAnsi="Times New Roman" w:cs="Times New Roman"/>
          <w:bCs/>
          <w:color w:val="000000"/>
          <w:sz w:val="24"/>
          <w:lang w:val="ro-RO"/>
        </w:rPr>
        <w:t xml:space="preserve"> </w:t>
      </w:r>
      <w:r w:rsidR="000D151A" w:rsidRPr="009C5F11">
        <w:rPr>
          <w:rFonts w:ascii="Times New Roman" w:hAnsi="Times New Roman" w:cs="Times New Roman"/>
          <w:bCs/>
          <w:color w:val="000000"/>
          <w:sz w:val="24"/>
          <w:lang w:val="ro-RO"/>
        </w:rPr>
        <w:t xml:space="preserve">menite să îmbunătăţească </w:t>
      </w:r>
      <w:r w:rsidR="000C7BEC" w:rsidRPr="009C5F11">
        <w:rPr>
          <w:rFonts w:ascii="Times New Roman" w:hAnsi="Times New Roman" w:cs="Times New Roman"/>
          <w:bCs/>
          <w:color w:val="000000"/>
          <w:sz w:val="24"/>
          <w:lang w:val="ro-RO"/>
        </w:rPr>
        <w:t>eficienţ</w:t>
      </w:r>
      <w:r w:rsidR="000D151A" w:rsidRPr="009C5F11">
        <w:rPr>
          <w:rFonts w:ascii="Times New Roman" w:hAnsi="Times New Roman" w:cs="Times New Roman"/>
          <w:bCs/>
          <w:color w:val="000000"/>
          <w:sz w:val="24"/>
          <w:lang w:val="ro-RO"/>
        </w:rPr>
        <w:t>a</w:t>
      </w:r>
      <w:r w:rsidR="000C7BEC" w:rsidRPr="009C5F11">
        <w:rPr>
          <w:rFonts w:ascii="Times New Roman" w:hAnsi="Times New Roman" w:cs="Times New Roman"/>
          <w:bCs/>
          <w:color w:val="000000"/>
          <w:sz w:val="24"/>
          <w:lang w:val="ro-RO"/>
        </w:rPr>
        <w:t xml:space="preserve"> energetică</w:t>
      </w:r>
      <w:r w:rsidR="002733CB" w:rsidRPr="009C5F11">
        <w:rPr>
          <w:rFonts w:ascii="Times New Roman" w:hAnsi="Times New Roman" w:cs="Times New Roman"/>
          <w:bCs/>
          <w:color w:val="000000"/>
          <w:sz w:val="24"/>
          <w:lang w:val="ro-RO"/>
        </w:rPr>
        <w:t xml:space="preserve">. </w:t>
      </w:r>
      <w:r w:rsidR="00AB4546" w:rsidRPr="009C5F11">
        <w:rPr>
          <w:rFonts w:ascii="Times New Roman" w:hAnsi="Times New Roman" w:cs="Times New Roman"/>
          <w:bCs/>
          <w:color w:val="000000"/>
          <w:sz w:val="24"/>
          <w:lang w:val="ro-RO"/>
        </w:rPr>
        <w:t>Sfera de aplicare a</w:t>
      </w:r>
      <w:r w:rsidR="002733CB" w:rsidRPr="009C5F11">
        <w:rPr>
          <w:rFonts w:ascii="Times New Roman" w:hAnsi="Times New Roman" w:cs="Times New Roman"/>
          <w:bCs/>
          <w:color w:val="000000"/>
          <w:sz w:val="24"/>
          <w:lang w:val="ro-RO"/>
        </w:rPr>
        <w:t xml:space="preserve"> Program</w:t>
      </w:r>
      <w:r w:rsidR="00AB4546" w:rsidRPr="009C5F11">
        <w:rPr>
          <w:rFonts w:ascii="Times New Roman" w:hAnsi="Times New Roman" w:cs="Times New Roman"/>
          <w:bCs/>
          <w:color w:val="000000"/>
          <w:sz w:val="24"/>
          <w:lang w:val="ro-RO"/>
        </w:rPr>
        <w:t xml:space="preserve">ului include sectoarele enumerate în </w:t>
      </w:r>
      <w:r w:rsidR="00BD6579" w:rsidRPr="009C5F11">
        <w:rPr>
          <w:rFonts w:ascii="Times New Roman" w:hAnsi="Times New Roman" w:cs="Times New Roman"/>
          <w:bCs/>
          <w:color w:val="000000"/>
          <w:sz w:val="24"/>
          <w:lang w:val="ro-RO"/>
        </w:rPr>
        <w:t>continuare</w:t>
      </w:r>
      <w:r w:rsidR="0058692B" w:rsidRPr="009C5F11">
        <w:rPr>
          <w:rFonts w:ascii="Times New Roman" w:hAnsi="Times New Roman" w:cs="Times New Roman"/>
          <w:bCs/>
          <w:color w:val="000000"/>
          <w:sz w:val="24"/>
          <w:lang w:val="ro-RO"/>
        </w:rPr>
        <w:t>,</w:t>
      </w:r>
      <w:r w:rsidR="00AB4546" w:rsidRPr="009C5F11">
        <w:rPr>
          <w:rFonts w:ascii="Times New Roman" w:hAnsi="Times New Roman" w:cs="Times New Roman"/>
          <w:bCs/>
          <w:color w:val="000000"/>
          <w:sz w:val="24"/>
          <w:lang w:val="ro-RO"/>
        </w:rPr>
        <w:t xml:space="preserve"> iar scopul urmărit este de a spori </w:t>
      </w:r>
      <w:r w:rsidR="000C7BEC" w:rsidRPr="009C5F11">
        <w:rPr>
          <w:rFonts w:ascii="Times New Roman" w:hAnsi="Times New Roman" w:cs="Times New Roman"/>
          <w:bCs/>
          <w:color w:val="000000"/>
          <w:sz w:val="24"/>
          <w:lang w:val="ro-RO"/>
        </w:rPr>
        <w:t>eficienţ</w:t>
      </w:r>
      <w:r w:rsidR="00AB4546" w:rsidRPr="009C5F11">
        <w:rPr>
          <w:rFonts w:ascii="Times New Roman" w:hAnsi="Times New Roman" w:cs="Times New Roman"/>
          <w:bCs/>
          <w:color w:val="000000"/>
          <w:sz w:val="24"/>
          <w:lang w:val="ro-RO"/>
        </w:rPr>
        <w:t>a</w:t>
      </w:r>
      <w:r w:rsidR="000C7BEC" w:rsidRPr="009C5F11">
        <w:rPr>
          <w:rFonts w:ascii="Times New Roman" w:hAnsi="Times New Roman" w:cs="Times New Roman"/>
          <w:bCs/>
          <w:color w:val="000000"/>
          <w:sz w:val="24"/>
          <w:lang w:val="ro-RO"/>
        </w:rPr>
        <w:t xml:space="preserve"> energetică</w:t>
      </w:r>
      <w:r w:rsidR="002733CB" w:rsidRPr="009C5F11">
        <w:rPr>
          <w:rFonts w:ascii="Times New Roman" w:hAnsi="Times New Roman" w:cs="Times New Roman"/>
          <w:bCs/>
          <w:color w:val="000000"/>
          <w:sz w:val="24"/>
          <w:lang w:val="ro-RO"/>
        </w:rPr>
        <w:t xml:space="preserve"> </w:t>
      </w:r>
      <w:r w:rsidR="00AB4546" w:rsidRPr="009C5F11">
        <w:rPr>
          <w:rFonts w:ascii="Times New Roman" w:hAnsi="Times New Roman" w:cs="Times New Roman"/>
          <w:bCs/>
          <w:color w:val="000000"/>
          <w:sz w:val="24"/>
          <w:lang w:val="ro-RO"/>
        </w:rPr>
        <w:t>prin</w:t>
      </w:r>
      <w:r w:rsidR="002733CB" w:rsidRPr="009C5F11">
        <w:rPr>
          <w:rFonts w:ascii="Times New Roman" w:hAnsi="Times New Roman" w:cs="Times New Roman"/>
          <w:bCs/>
          <w:color w:val="000000"/>
          <w:sz w:val="24"/>
          <w:lang w:val="ro-RO"/>
        </w:rPr>
        <w:t xml:space="preserve"> implement</w:t>
      </w:r>
      <w:r w:rsidR="00AB4546" w:rsidRPr="009C5F11">
        <w:rPr>
          <w:rFonts w:ascii="Times New Roman" w:hAnsi="Times New Roman" w:cs="Times New Roman"/>
          <w:bCs/>
          <w:color w:val="000000"/>
          <w:sz w:val="24"/>
          <w:lang w:val="ro-RO"/>
        </w:rPr>
        <w:t>area</w:t>
      </w:r>
      <w:r w:rsidR="002733CB" w:rsidRPr="009C5F11">
        <w:rPr>
          <w:rFonts w:ascii="Times New Roman" w:hAnsi="Times New Roman" w:cs="Times New Roman"/>
          <w:bCs/>
          <w:color w:val="000000"/>
          <w:sz w:val="24"/>
          <w:lang w:val="ro-RO"/>
        </w:rPr>
        <w:t xml:space="preserve"> </w:t>
      </w:r>
      <w:r w:rsidR="00D77687" w:rsidRPr="009C5F11">
        <w:rPr>
          <w:rFonts w:ascii="Times New Roman" w:hAnsi="Times New Roman" w:cs="Times New Roman"/>
          <w:bCs/>
          <w:color w:val="000000"/>
          <w:sz w:val="24"/>
          <w:lang w:val="ro-RO"/>
        </w:rPr>
        <w:t>măsuri</w:t>
      </w:r>
      <w:r w:rsidR="00AB4546" w:rsidRPr="009C5F11">
        <w:rPr>
          <w:rFonts w:ascii="Times New Roman" w:hAnsi="Times New Roman" w:cs="Times New Roman"/>
          <w:bCs/>
          <w:color w:val="000000"/>
          <w:sz w:val="24"/>
          <w:lang w:val="ro-RO"/>
        </w:rPr>
        <w:t xml:space="preserve">lor de </w:t>
      </w:r>
      <w:r w:rsidR="00DF271F" w:rsidRPr="009C5F11">
        <w:rPr>
          <w:rFonts w:ascii="Times New Roman" w:hAnsi="Times New Roman" w:cs="Times New Roman"/>
          <w:bCs/>
          <w:color w:val="000000"/>
          <w:sz w:val="24"/>
          <w:lang w:val="ro-RO"/>
        </w:rPr>
        <w:t>eficienţă energetică</w:t>
      </w:r>
      <w:r w:rsidR="002733CB" w:rsidRPr="009C5F11">
        <w:rPr>
          <w:rFonts w:ascii="Times New Roman" w:hAnsi="Times New Roman" w:cs="Times New Roman"/>
          <w:bCs/>
          <w:color w:val="000000"/>
          <w:sz w:val="24"/>
          <w:lang w:val="ro-RO"/>
        </w:rPr>
        <w:t>:</w:t>
      </w:r>
    </w:p>
    <w:p w14:paraId="2D983CBF" w14:textId="77777777" w:rsidR="002733CB" w:rsidRPr="009C5F11" w:rsidRDefault="00E75612"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Sectorul de transformare a e</w:t>
      </w:r>
      <w:r w:rsidR="00554172" w:rsidRPr="009C5F11">
        <w:rPr>
          <w:rFonts w:ascii="Times New Roman" w:hAnsi="Times New Roman" w:cs="Times New Roman"/>
          <w:sz w:val="24"/>
          <w:lang w:val="ro-RO"/>
        </w:rPr>
        <w:t>nerg</w:t>
      </w:r>
      <w:r w:rsidRPr="009C5F11">
        <w:rPr>
          <w:rFonts w:ascii="Times New Roman" w:hAnsi="Times New Roman" w:cs="Times New Roman"/>
          <w:sz w:val="24"/>
          <w:lang w:val="ro-RO"/>
        </w:rPr>
        <w:t>iei</w:t>
      </w:r>
      <w:r w:rsidR="002733CB"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inclusiv</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toate</w:t>
      </w:r>
      <w:r w:rsidR="002733CB" w:rsidRPr="009C5F11">
        <w:rPr>
          <w:rFonts w:ascii="Times New Roman" w:hAnsi="Times New Roman" w:cs="Times New Roman"/>
          <w:sz w:val="24"/>
          <w:lang w:val="ro-RO"/>
        </w:rPr>
        <w:t xml:space="preserve"> </w:t>
      </w:r>
      <w:r w:rsidR="00D77687" w:rsidRPr="009C5F11">
        <w:rPr>
          <w:rFonts w:ascii="Times New Roman" w:hAnsi="Times New Roman" w:cs="Times New Roman"/>
          <w:sz w:val="24"/>
          <w:lang w:val="ro-RO"/>
        </w:rPr>
        <w:t>activităţi</w:t>
      </w:r>
      <w:r w:rsidRPr="009C5F11">
        <w:rPr>
          <w:rFonts w:ascii="Times New Roman" w:hAnsi="Times New Roman" w:cs="Times New Roman"/>
          <w:sz w:val="24"/>
          <w:lang w:val="ro-RO"/>
        </w:rPr>
        <w:t>le conexe</w:t>
      </w:r>
      <w:r w:rsidR="002733CB" w:rsidRPr="009C5F11">
        <w:rPr>
          <w:rFonts w:ascii="Times New Roman" w:hAnsi="Times New Roman" w:cs="Times New Roman"/>
          <w:sz w:val="24"/>
          <w:lang w:val="ro-RO"/>
        </w:rPr>
        <w:t>: produc</w:t>
      </w:r>
      <w:r w:rsidRPr="009C5F11">
        <w:rPr>
          <w:rFonts w:ascii="Times New Roman" w:hAnsi="Times New Roman" w:cs="Times New Roman"/>
          <w:sz w:val="24"/>
          <w:lang w:val="ro-RO"/>
        </w:rPr>
        <w:t>erea de energie electrică şi energie termică</w:t>
      </w:r>
      <w:r w:rsidR="002733CB" w:rsidRPr="009C5F11">
        <w:rPr>
          <w:rFonts w:ascii="Times New Roman" w:hAnsi="Times New Roman" w:cs="Times New Roman"/>
          <w:sz w:val="24"/>
          <w:lang w:val="ro-RO"/>
        </w:rPr>
        <w:t xml:space="preserve">; </w:t>
      </w:r>
      <w:r w:rsidR="008F7BD5" w:rsidRPr="009C5F11">
        <w:rPr>
          <w:rFonts w:ascii="Times New Roman" w:hAnsi="Times New Roman" w:cs="Times New Roman"/>
          <w:sz w:val="24"/>
          <w:lang w:val="ro-RO"/>
        </w:rPr>
        <w:t>transport</w:t>
      </w:r>
      <w:r w:rsidRPr="009C5F11">
        <w:rPr>
          <w:rFonts w:ascii="Times New Roman" w:hAnsi="Times New Roman" w:cs="Times New Roman"/>
          <w:sz w:val="24"/>
          <w:lang w:val="ro-RO"/>
        </w:rPr>
        <w:t>ul</w:t>
      </w:r>
      <w:r w:rsidR="00321CD5" w:rsidRPr="009C5F11">
        <w:rPr>
          <w:rFonts w:ascii="Times New Roman" w:hAnsi="Times New Roman" w:cs="Times New Roman"/>
          <w:sz w:val="24"/>
          <w:lang w:val="ro-RO"/>
        </w:rPr>
        <w:t xml:space="preserve"> şi </w:t>
      </w:r>
      <w:r w:rsidR="008F7BD5" w:rsidRPr="009C5F11">
        <w:rPr>
          <w:rFonts w:ascii="Times New Roman" w:hAnsi="Times New Roman" w:cs="Times New Roman"/>
          <w:sz w:val="24"/>
          <w:lang w:val="ro-RO"/>
        </w:rPr>
        <w:t>distribuţi</w:t>
      </w:r>
      <w:r w:rsidRPr="009C5F11">
        <w:rPr>
          <w:rFonts w:ascii="Times New Roman" w:hAnsi="Times New Roman" w:cs="Times New Roman"/>
          <w:sz w:val="24"/>
          <w:lang w:val="ro-RO"/>
        </w:rPr>
        <w:t>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energiei electrice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energiei termice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a </w:t>
      </w:r>
      <w:r w:rsidR="001D6122" w:rsidRPr="009C5F11">
        <w:rPr>
          <w:rFonts w:ascii="Times New Roman" w:hAnsi="Times New Roman" w:cs="Times New Roman"/>
          <w:sz w:val="24"/>
          <w:lang w:val="ro-RO"/>
        </w:rPr>
        <w:t>gaze</w:t>
      </w:r>
      <w:r w:rsidRPr="009C5F11">
        <w:rPr>
          <w:rFonts w:ascii="Times New Roman" w:hAnsi="Times New Roman" w:cs="Times New Roman"/>
          <w:sz w:val="24"/>
          <w:lang w:val="ro-RO"/>
        </w:rPr>
        <w:t>lor</w:t>
      </w:r>
      <w:r w:rsidR="001D6122" w:rsidRPr="009C5F11">
        <w:rPr>
          <w:rFonts w:ascii="Times New Roman" w:hAnsi="Times New Roman" w:cs="Times New Roman"/>
          <w:sz w:val="24"/>
          <w:lang w:val="ro-RO"/>
        </w:rPr>
        <w:t xml:space="preserve"> naturale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consumul </w:t>
      </w:r>
      <w:r w:rsidR="002733CB" w:rsidRPr="009C5F11">
        <w:rPr>
          <w:rFonts w:ascii="Times New Roman" w:hAnsi="Times New Roman" w:cs="Times New Roman"/>
          <w:sz w:val="24"/>
          <w:lang w:val="ro-RO"/>
        </w:rPr>
        <w:t xml:space="preserve">final </w:t>
      </w:r>
      <w:r w:rsidRPr="009C5F11">
        <w:rPr>
          <w:rFonts w:ascii="Times New Roman" w:hAnsi="Times New Roman" w:cs="Times New Roman"/>
          <w:sz w:val="24"/>
          <w:lang w:val="ro-RO"/>
        </w:rPr>
        <w:t>pentru toate tipurile de resurse</w:t>
      </w:r>
      <w:r w:rsidR="002733CB" w:rsidRPr="009C5F11">
        <w:rPr>
          <w:rFonts w:ascii="Times New Roman" w:hAnsi="Times New Roman" w:cs="Times New Roman"/>
          <w:sz w:val="24"/>
          <w:lang w:val="ro-RO"/>
        </w:rPr>
        <w:t xml:space="preserve"> </w:t>
      </w:r>
      <w:r w:rsidR="001E3482" w:rsidRPr="009C5F11">
        <w:rPr>
          <w:rFonts w:ascii="Times New Roman" w:hAnsi="Times New Roman" w:cs="Times New Roman"/>
          <w:sz w:val="24"/>
          <w:lang w:val="ro-RO"/>
        </w:rPr>
        <w:t>energ</w:t>
      </w:r>
      <w:r w:rsidRPr="009C5F11">
        <w:rPr>
          <w:rFonts w:ascii="Times New Roman" w:hAnsi="Times New Roman" w:cs="Times New Roman"/>
          <w:sz w:val="24"/>
          <w:lang w:val="ro-RO"/>
        </w:rPr>
        <w:t>et</w:t>
      </w:r>
      <w:r w:rsidR="001E3482" w:rsidRPr="009C5F11">
        <w:rPr>
          <w:rFonts w:ascii="Times New Roman" w:hAnsi="Times New Roman" w:cs="Times New Roman"/>
          <w:sz w:val="24"/>
          <w:lang w:val="ro-RO"/>
        </w:rPr>
        <w:t>i</w:t>
      </w:r>
      <w:r w:rsidRPr="009C5F11">
        <w:rPr>
          <w:rFonts w:ascii="Times New Roman" w:hAnsi="Times New Roman" w:cs="Times New Roman"/>
          <w:sz w:val="24"/>
          <w:lang w:val="ro-RO"/>
        </w:rPr>
        <w:t>c</w:t>
      </w:r>
      <w:r w:rsidR="001E3482" w:rsidRPr="009C5F11">
        <w:rPr>
          <w:rFonts w:ascii="Times New Roman" w:hAnsi="Times New Roman" w:cs="Times New Roman"/>
          <w:sz w:val="24"/>
          <w:lang w:val="ro-RO"/>
        </w:rPr>
        <w:t>e</w:t>
      </w:r>
      <w:r w:rsidR="002733CB" w:rsidRPr="009C5F11">
        <w:rPr>
          <w:rFonts w:ascii="Times New Roman" w:hAnsi="Times New Roman" w:cs="Times New Roman"/>
          <w:sz w:val="24"/>
          <w:lang w:val="ro-RO"/>
        </w:rPr>
        <w:t>;</w:t>
      </w:r>
    </w:p>
    <w:p w14:paraId="445F381D" w14:textId="77777777" w:rsidR="002733CB" w:rsidRPr="009C5F11" w:rsidRDefault="00AA0566"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Sectorul industrial</w:t>
      </w:r>
      <w:r w:rsidR="002733CB" w:rsidRPr="009C5F11">
        <w:rPr>
          <w:rFonts w:ascii="Times New Roman" w:hAnsi="Times New Roman" w:cs="Times New Roman"/>
          <w:sz w:val="24"/>
          <w:lang w:val="ro-RO"/>
        </w:rPr>
        <w:t>;</w:t>
      </w:r>
    </w:p>
    <w:p w14:paraId="13F88A61" w14:textId="77777777" w:rsidR="002733CB" w:rsidRPr="009C5F11" w:rsidRDefault="003A5D89"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Sectorul construcţiilor</w:t>
      </w:r>
      <w:r w:rsidR="002733CB" w:rsidRPr="009C5F11">
        <w:rPr>
          <w:rFonts w:ascii="Times New Roman" w:hAnsi="Times New Roman" w:cs="Times New Roman"/>
          <w:sz w:val="24"/>
          <w:lang w:val="ro-RO"/>
        </w:rPr>
        <w:t>;</w:t>
      </w:r>
    </w:p>
    <w:p w14:paraId="40E1568C" w14:textId="77777777" w:rsidR="002733CB" w:rsidRPr="009C5F11" w:rsidRDefault="003A5D89"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Sectorul transporturilor</w:t>
      </w:r>
      <w:r w:rsidR="002733CB" w:rsidRPr="009C5F11">
        <w:rPr>
          <w:rFonts w:ascii="Times New Roman" w:hAnsi="Times New Roman" w:cs="Times New Roman"/>
          <w:sz w:val="24"/>
          <w:lang w:val="ro-RO"/>
        </w:rPr>
        <w:t>;</w:t>
      </w:r>
    </w:p>
    <w:p w14:paraId="1FC21240" w14:textId="77777777" w:rsidR="002733CB" w:rsidRPr="009C5F11" w:rsidRDefault="00421FA7"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Sectorul public</w:t>
      </w:r>
      <w:r w:rsidR="002733CB" w:rsidRPr="009C5F11">
        <w:rPr>
          <w:rFonts w:ascii="Times New Roman" w:hAnsi="Times New Roman" w:cs="Times New Roman"/>
          <w:sz w:val="24"/>
          <w:lang w:val="ro-RO"/>
        </w:rPr>
        <w:t>.</w:t>
      </w:r>
    </w:p>
    <w:p w14:paraId="2ACECE33" w14:textId="77777777" w:rsidR="0040025A" w:rsidRPr="009C5F11" w:rsidRDefault="003A5D89" w:rsidP="00087B37">
      <w:pPr>
        <w:pStyle w:val="Listparagraf"/>
        <w:numPr>
          <w:ilvl w:val="0"/>
          <w:numId w:val="210"/>
        </w:numPr>
        <w:spacing w:before="120" w:after="120" w:line="240" w:lineRule="auto"/>
        <w:ind w:left="0" w:firstLine="284"/>
        <w:jc w:val="both"/>
        <w:rPr>
          <w:rFonts w:ascii="Times New Roman" w:hAnsi="Times New Roman" w:cs="Times New Roman"/>
          <w:bCs/>
          <w:color w:val="000000"/>
          <w:sz w:val="24"/>
          <w:lang w:val="ro-RO"/>
        </w:rPr>
      </w:pPr>
      <w:r w:rsidRPr="009C5F11">
        <w:rPr>
          <w:rFonts w:ascii="Times New Roman" w:hAnsi="Times New Roman" w:cs="Times New Roman"/>
          <w:bCs/>
          <w:color w:val="000000"/>
          <w:sz w:val="24"/>
          <w:lang w:val="ro-RO"/>
        </w:rPr>
        <w:t>Programul</w:t>
      </w:r>
      <w:r w:rsidR="002733CB" w:rsidRPr="009C5F11">
        <w:rPr>
          <w:rFonts w:ascii="Times New Roman" w:hAnsi="Times New Roman" w:cs="Times New Roman"/>
          <w:bCs/>
          <w:color w:val="000000"/>
          <w:sz w:val="24"/>
          <w:lang w:val="ro-RO"/>
        </w:rPr>
        <w:t xml:space="preserve"> include </w:t>
      </w:r>
      <w:r w:rsidR="00E75612" w:rsidRPr="009C5F11">
        <w:rPr>
          <w:rFonts w:ascii="Times New Roman" w:hAnsi="Times New Roman" w:cs="Times New Roman"/>
          <w:bCs/>
          <w:color w:val="000000"/>
          <w:sz w:val="24"/>
          <w:lang w:val="ro-RO"/>
        </w:rPr>
        <w:t>şi unele acţiuni</w:t>
      </w:r>
      <w:r w:rsidR="002733CB" w:rsidRPr="009C5F11">
        <w:rPr>
          <w:rFonts w:ascii="Times New Roman" w:hAnsi="Times New Roman" w:cs="Times New Roman"/>
          <w:bCs/>
          <w:color w:val="000000"/>
          <w:sz w:val="24"/>
          <w:lang w:val="ro-RO"/>
        </w:rPr>
        <w:t xml:space="preserve"> </w:t>
      </w:r>
      <w:r w:rsidR="00E75612" w:rsidRPr="009C5F11">
        <w:rPr>
          <w:rFonts w:ascii="Times New Roman" w:hAnsi="Times New Roman" w:cs="Times New Roman"/>
          <w:bCs/>
          <w:i/>
          <w:color w:val="000000"/>
          <w:sz w:val="24"/>
          <w:lang w:val="ro-RO"/>
        </w:rPr>
        <w:t>trans</w:t>
      </w:r>
      <w:r w:rsidR="002733CB" w:rsidRPr="009C5F11">
        <w:rPr>
          <w:rFonts w:ascii="Times New Roman" w:hAnsi="Times New Roman" w:cs="Times New Roman"/>
          <w:bCs/>
          <w:i/>
          <w:color w:val="000000"/>
          <w:sz w:val="24"/>
          <w:lang w:val="ro-RO"/>
        </w:rPr>
        <w:t>-sector</w:t>
      </w:r>
      <w:r w:rsidR="00E75612" w:rsidRPr="009C5F11">
        <w:rPr>
          <w:rFonts w:ascii="Times New Roman" w:hAnsi="Times New Roman" w:cs="Times New Roman"/>
          <w:bCs/>
          <w:i/>
          <w:color w:val="000000"/>
          <w:sz w:val="24"/>
          <w:lang w:val="ro-RO"/>
        </w:rPr>
        <w:t>i</w:t>
      </w:r>
      <w:r w:rsidR="002733CB" w:rsidRPr="009C5F11">
        <w:rPr>
          <w:rFonts w:ascii="Times New Roman" w:hAnsi="Times New Roman" w:cs="Times New Roman"/>
          <w:bCs/>
          <w:i/>
          <w:color w:val="000000"/>
          <w:sz w:val="24"/>
          <w:lang w:val="ro-RO"/>
        </w:rPr>
        <w:t>al</w:t>
      </w:r>
      <w:r w:rsidR="00E75612" w:rsidRPr="009C5F11">
        <w:rPr>
          <w:rFonts w:ascii="Times New Roman" w:hAnsi="Times New Roman" w:cs="Times New Roman"/>
          <w:bCs/>
          <w:i/>
          <w:color w:val="000000"/>
          <w:sz w:val="24"/>
          <w:lang w:val="ro-RO"/>
        </w:rPr>
        <w:t>e pentru anii</w:t>
      </w:r>
      <w:r w:rsidR="002733CB" w:rsidRPr="009C5F11">
        <w:rPr>
          <w:rFonts w:ascii="Times New Roman" w:hAnsi="Times New Roman" w:cs="Times New Roman"/>
          <w:bCs/>
          <w:color w:val="000000"/>
          <w:sz w:val="24"/>
          <w:lang w:val="ro-RO"/>
        </w:rPr>
        <w:t xml:space="preserve"> 2011-2020</w:t>
      </w:r>
      <w:r w:rsidR="00321CD5" w:rsidRPr="009C5F11">
        <w:rPr>
          <w:rFonts w:ascii="Times New Roman" w:hAnsi="Times New Roman" w:cs="Times New Roman"/>
          <w:bCs/>
          <w:color w:val="000000"/>
          <w:sz w:val="24"/>
          <w:lang w:val="ro-RO"/>
        </w:rPr>
        <w:t xml:space="preserve"> şi </w:t>
      </w:r>
      <w:r w:rsidR="00591169" w:rsidRPr="009C5F11">
        <w:rPr>
          <w:rFonts w:ascii="Times New Roman" w:hAnsi="Times New Roman" w:cs="Times New Roman"/>
          <w:bCs/>
          <w:color w:val="000000"/>
          <w:sz w:val="24"/>
          <w:lang w:val="ro-RO"/>
        </w:rPr>
        <w:t>prevede elaborarea</w:t>
      </w:r>
      <w:r w:rsidR="002733CB" w:rsidRPr="009C5F11">
        <w:rPr>
          <w:rFonts w:ascii="Times New Roman" w:hAnsi="Times New Roman" w:cs="Times New Roman"/>
          <w:bCs/>
          <w:i/>
          <w:color w:val="000000"/>
          <w:sz w:val="24"/>
          <w:u w:val="single"/>
          <w:lang w:val="ro-RO"/>
        </w:rPr>
        <w:t xml:space="preserve"> </w:t>
      </w:r>
      <w:r w:rsidR="001E3482" w:rsidRPr="009C5F11">
        <w:rPr>
          <w:rFonts w:ascii="Times New Roman" w:hAnsi="Times New Roman" w:cs="Times New Roman"/>
          <w:bCs/>
          <w:i/>
          <w:color w:val="000000"/>
          <w:sz w:val="24"/>
          <w:u w:val="single"/>
          <w:lang w:val="ro-RO"/>
        </w:rPr>
        <w:t>Strategi</w:t>
      </w:r>
      <w:r w:rsidR="00591169" w:rsidRPr="009C5F11">
        <w:rPr>
          <w:rFonts w:ascii="Times New Roman" w:hAnsi="Times New Roman" w:cs="Times New Roman"/>
          <w:bCs/>
          <w:i/>
          <w:color w:val="000000"/>
          <w:sz w:val="24"/>
          <w:u w:val="single"/>
          <w:lang w:val="ro-RO"/>
        </w:rPr>
        <w:t xml:space="preserve">ei naţionale de </w:t>
      </w:r>
      <w:r w:rsidR="00BD6579" w:rsidRPr="009C5F11">
        <w:rPr>
          <w:rFonts w:ascii="Times New Roman" w:hAnsi="Times New Roman" w:cs="Times New Roman"/>
          <w:bCs/>
          <w:i/>
          <w:color w:val="000000"/>
          <w:sz w:val="24"/>
          <w:u w:val="single"/>
          <w:lang w:val="ro-RO"/>
        </w:rPr>
        <w:t>comunicare</w:t>
      </w:r>
      <w:r w:rsidR="00321CD5" w:rsidRPr="009C5F11">
        <w:rPr>
          <w:rFonts w:ascii="Times New Roman" w:hAnsi="Times New Roman" w:cs="Times New Roman"/>
          <w:bCs/>
          <w:i/>
          <w:color w:val="000000"/>
          <w:sz w:val="24"/>
          <w:u w:val="single"/>
          <w:lang w:val="ro-RO"/>
        </w:rPr>
        <w:t xml:space="preserve"> în </w:t>
      </w:r>
      <w:r w:rsidR="00591169" w:rsidRPr="009C5F11">
        <w:rPr>
          <w:rFonts w:ascii="Times New Roman" w:hAnsi="Times New Roman" w:cs="Times New Roman"/>
          <w:bCs/>
          <w:i/>
          <w:color w:val="000000"/>
          <w:sz w:val="24"/>
          <w:u w:val="single"/>
          <w:lang w:val="ro-RO"/>
        </w:rPr>
        <w:t>domeniul</w:t>
      </w:r>
      <w:r w:rsidR="002733CB" w:rsidRPr="009C5F11">
        <w:rPr>
          <w:rFonts w:ascii="Times New Roman" w:hAnsi="Times New Roman" w:cs="Times New Roman"/>
          <w:bCs/>
          <w:i/>
          <w:color w:val="000000"/>
          <w:sz w:val="24"/>
          <w:u w:val="single"/>
          <w:lang w:val="ro-RO"/>
        </w:rPr>
        <w:t xml:space="preserve"> </w:t>
      </w:r>
      <w:r w:rsidR="001F5C51" w:rsidRPr="009C5F11">
        <w:rPr>
          <w:rFonts w:ascii="Times New Roman" w:hAnsi="Times New Roman" w:cs="Times New Roman"/>
          <w:bCs/>
          <w:i/>
          <w:color w:val="000000"/>
          <w:sz w:val="24"/>
          <w:u w:val="single"/>
          <w:lang w:val="ro-RO"/>
        </w:rPr>
        <w:t>eficienţei energetice</w:t>
      </w:r>
      <w:r w:rsidR="002733CB" w:rsidRPr="009C5F11">
        <w:rPr>
          <w:rFonts w:ascii="Times New Roman" w:hAnsi="Times New Roman" w:cs="Times New Roman"/>
          <w:bCs/>
          <w:color w:val="000000"/>
          <w:sz w:val="24"/>
          <w:lang w:val="ro-RO"/>
        </w:rPr>
        <w:t>.</w:t>
      </w:r>
    </w:p>
    <w:p w14:paraId="69E9E712" w14:textId="5AC93BA4" w:rsidR="002733CB" w:rsidRPr="009C5F11" w:rsidRDefault="00591169" w:rsidP="00087B37">
      <w:pPr>
        <w:pStyle w:val="Listparagraf"/>
        <w:numPr>
          <w:ilvl w:val="0"/>
          <w:numId w:val="210"/>
        </w:numPr>
        <w:spacing w:before="120" w:after="120" w:line="240" w:lineRule="auto"/>
        <w:ind w:left="0" w:firstLine="284"/>
        <w:jc w:val="both"/>
        <w:rPr>
          <w:rFonts w:ascii="Times New Roman" w:hAnsi="Times New Roman" w:cs="Times New Roman"/>
          <w:bCs/>
          <w:color w:val="000000"/>
          <w:sz w:val="24"/>
          <w:lang w:val="ro-RO"/>
        </w:rPr>
      </w:pPr>
      <w:r w:rsidRPr="009C5F11">
        <w:rPr>
          <w:rFonts w:ascii="Times New Roman" w:eastAsia="Times New Roman" w:hAnsi="Times New Roman" w:cs="Times New Roman"/>
          <w:color w:val="000000"/>
          <w:sz w:val="24"/>
          <w:lang w:val="ro-RO"/>
        </w:rPr>
        <w:t xml:space="preserve">În vederea reducerii dependenţei de importul de resurse energetice şi impactului sectorului energetic asupra schimbărilor climatice, Programul prevede următoarele </w:t>
      </w:r>
      <w:r w:rsidRPr="009C5F11">
        <w:rPr>
          <w:rFonts w:ascii="Times New Roman" w:eastAsia="Times New Roman" w:hAnsi="Times New Roman" w:cs="Times New Roman"/>
          <w:i/>
          <w:color w:val="000000"/>
          <w:sz w:val="24"/>
          <w:lang w:val="ro-RO"/>
        </w:rPr>
        <w:t>obiective globale</w:t>
      </w:r>
      <w:r w:rsidRPr="009C5F11">
        <w:rPr>
          <w:rFonts w:ascii="Times New Roman" w:eastAsia="Times New Roman" w:hAnsi="Times New Roman" w:cs="Times New Roman"/>
          <w:color w:val="000000"/>
          <w:sz w:val="24"/>
          <w:lang w:val="ro-RO"/>
        </w:rPr>
        <w:t xml:space="preserve"> pentru Republica Moldova, raportate la anul de bază 2009</w:t>
      </w:r>
      <w:r w:rsidR="002733CB" w:rsidRPr="009C5F11">
        <w:rPr>
          <w:rFonts w:ascii="Times New Roman" w:hAnsi="Times New Roman" w:cs="Times New Roman"/>
          <w:bCs/>
          <w:color w:val="000000"/>
          <w:sz w:val="24"/>
          <w:lang w:val="ro-RO"/>
        </w:rPr>
        <w:t>:</w:t>
      </w:r>
    </w:p>
    <w:p w14:paraId="4D528FF4" w14:textId="77777777" w:rsidR="002733CB" w:rsidRPr="009C5F11" w:rsidRDefault="00591169"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 xml:space="preserve">eficientizarea consumului global de energie primară cu 20% </w:t>
      </w:r>
      <w:r w:rsidR="00BD6579" w:rsidRPr="009C5F11">
        <w:rPr>
          <w:rFonts w:ascii="Times New Roman" w:eastAsia="Times New Roman" w:hAnsi="Times New Roman" w:cs="Times New Roman"/>
          <w:color w:val="000000"/>
          <w:sz w:val="24"/>
          <w:lang w:val="ro-RO"/>
        </w:rPr>
        <w:t>până</w:t>
      </w:r>
      <w:r w:rsidRPr="009C5F11">
        <w:rPr>
          <w:rFonts w:ascii="Times New Roman" w:eastAsia="Times New Roman" w:hAnsi="Times New Roman" w:cs="Times New Roman"/>
          <w:color w:val="000000"/>
          <w:sz w:val="24"/>
          <w:lang w:val="ro-RO"/>
        </w:rPr>
        <w:t xml:space="preserve"> în anul 2020</w:t>
      </w:r>
      <w:r w:rsidR="002733CB" w:rsidRPr="009C5F11">
        <w:rPr>
          <w:rFonts w:ascii="Times New Roman" w:hAnsi="Times New Roman" w:cs="Times New Roman"/>
          <w:sz w:val="24"/>
          <w:lang w:val="ro-RO"/>
        </w:rPr>
        <w:t>;</w:t>
      </w:r>
    </w:p>
    <w:p w14:paraId="73696B7D" w14:textId="77777777" w:rsidR="002733CB" w:rsidRPr="009C5F11" w:rsidRDefault="00591169"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creşterea ponderii energiei</w:t>
      </w:r>
      <w:r w:rsidR="00DF271F" w:rsidRPr="009C5F11">
        <w:rPr>
          <w:rFonts w:ascii="Times New Roman" w:eastAsia="Times New Roman" w:hAnsi="Times New Roman" w:cs="Times New Roman"/>
          <w:color w:val="000000"/>
          <w:sz w:val="24"/>
          <w:lang w:val="ro-RO"/>
        </w:rPr>
        <w:t xml:space="preserve"> din surse</w:t>
      </w:r>
      <w:r w:rsidRPr="009C5F11">
        <w:rPr>
          <w:rFonts w:ascii="Times New Roman" w:eastAsia="Times New Roman" w:hAnsi="Times New Roman" w:cs="Times New Roman"/>
          <w:color w:val="000000"/>
          <w:sz w:val="24"/>
          <w:lang w:val="ro-RO"/>
        </w:rPr>
        <w:t xml:space="preserve"> regenerabile în totalul mixului energetic de la 6% în anul 2010 </w:t>
      </w:r>
      <w:r w:rsidR="00BD6579" w:rsidRPr="009C5F11">
        <w:rPr>
          <w:rFonts w:ascii="Times New Roman" w:eastAsia="Times New Roman" w:hAnsi="Times New Roman" w:cs="Times New Roman"/>
          <w:color w:val="000000"/>
          <w:sz w:val="24"/>
          <w:lang w:val="ro-RO"/>
        </w:rPr>
        <w:t>până</w:t>
      </w:r>
      <w:r w:rsidRPr="009C5F11">
        <w:rPr>
          <w:rFonts w:ascii="Times New Roman" w:eastAsia="Times New Roman" w:hAnsi="Times New Roman" w:cs="Times New Roman"/>
          <w:color w:val="000000"/>
          <w:sz w:val="24"/>
          <w:lang w:val="ro-RO"/>
        </w:rPr>
        <w:t xml:space="preserve"> la 20% în anul 2020</w:t>
      </w:r>
      <w:r w:rsidR="002733CB" w:rsidRPr="009C5F11">
        <w:rPr>
          <w:rFonts w:ascii="Times New Roman" w:hAnsi="Times New Roman" w:cs="Times New Roman"/>
          <w:sz w:val="24"/>
          <w:lang w:val="ro-RO"/>
        </w:rPr>
        <w:t>;</w:t>
      </w:r>
    </w:p>
    <w:p w14:paraId="2E4D912C" w14:textId="77777777" w:rsidR="002733CB" w:rsidRPr="009C5F11" w:rsidRDefault="00591169"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 xml:space="preserve">creşterea ponderii biocombustibililor </w:t>
      </w:r>
      <w:r w:rsidR="00BD6579" w:rsidRPr="009C5F11">
        <w:rPr>
          <w:rFonts w:ascii="Times New Roman" w:eastAsia="Times New Roman" w:hAnsi="Times New Roman" w:cs="Times New Roman"/>
          <w:color w:val="000000"/>
          <w:sz w:val="24"/>
          <w:lang w:val="ro-RO"/>
        </w:rPr>
        <w:t>până</w:t>
      </w:r>
      <w:r w:rsidRPr="009C5F11">
        <w:rPr>
          <w:rFonts w:ascii="Times New Roman" w:eastAsia="Times New Roman" w:hAnsi="Times New Roman" w:cs="Times New Roman"/>
          <w:color w:val="000000"/>
          <w:sz w:val="24"/>
          <w:lang w:val="ro-RO"/>
        </w:rPr>
        <w:t xml:space="preserve"> la cel puţin 10% din totalul combustibililor utilizaţi în anul 2020</w:t>
      </w:r>
      <w:r w:rsidR="002733CB" w:rsidRPr="009C5F11">
        <w:rPr>
          <w:rFonts w:ascii="Times New Roman" w:hAnsi="Times New Roman" w:cs="Times New Roman"/>
          <w:sz w:val="24"/>
          <w:lang w:val="ro-RO"/>
        </w:rPr>
        <w:t>;</w:t>
      </w:r>
    </w:p>
    <w:p w14:paraId="70C71B13" w14:textId="77777777" w:rsidR="002733CB" w:rsidRPr="009C5F11" w:rsidRDefault="00591169"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lastRenderedPageBreak/>
        <w:t>reducerea către anul 2020, cu cel puţin 25%, a emisiilor de gaze cu efect de seră, comparativ cu anul de bază 1990</w:t>
      </w:r>
      <w:r w:rsidR="002733CB" w:rsidRPr="009C5F11">
        <w:rPr>
          <w:rFonts w:ascii="Times New Roman" w:hAnsi="Times New Roman" w:cs="Times New Roman"/>
          <w:sz w:val="24"/>
          <w:lang w:val="ro-RO"/>
        </w:rPr>
        <w:t>.</w:t>
      </w:r>
    </w:p>
    <w:p w14:paraId="21669CCB" w14:textId="628EB0C2" w:rsidR="002733CB" w:rsidRPr="009C5F11" w:rsidRDefault="00BD6579" w:rsidP="00087B37">
      <w:pPr>
        <w:pStyle w:val="Listparagraf"/>
        <w:numPr>
          <w:ilvl w:val="0"/>
          <w:numId w:val="210"/>
        </w:numPr>
        <w:spacing w:before="120" w:after="120" w:line="240" w:lineRule="auto"/>
        <w:ind w:left="0" w:firstLine="284"/>
        <w:jc w:val="both"/>
        <w:rPr>
          <w:rFonts w:ascii="Times New Roman" w:hAnsi="Times New Roman" w:cs="Times New Roman"/>
          <w:bCs/>
          <w:color w:val="000000"/>
          <w:sz w:val="24"/>
          <w:lang w:val="ro-RO"/>
        </w:rPr>
      </w:pPr>
      <w:r w:rsidRPr="009C5F11">
        <w:rPr>
          <w:rFonts w:ascii="Times New Roman" w:hAnsi="Times New Roman" w:cs="Times New Roman"/>
          <w:bCs/>
          <w:color w:val="000000"/>
          <w:sz w:val="24"/>
          <w:lang w:val="ro-RO"/>
        </w:rPr>
        <w:t xml:space="preserve">Fiind bazat pe PNEE 2011-2020, </w:t>
      </w:r>
      <w:r w:rsidRPr="009C5F11">
        <w:rPr>
          <w:rFonts w:ascii="Times New Roman" w:hAnsi="Times New Roman" w:cs="Times New Roman"/>
          <w:bCs/>
          <w:i/>
          <w:color w:val="000000"/>
          <w:sz w:val="24"/>
          <w:u w:val="single"/>
          <w:lang w:val="ro-RO"/>
        </w:rPr>
        <w:t>Planul naţional de acţiuni în domeniul eficienţei energetice pentru anii 2013-2015</w:t>
      </w:r>
      <w:r w:rsidRPr="009C5F11">
        <w:rPr>
          <w:rFonts w:ascii="Times New Roman" w:hAnsi="Times New Roman" w:cs="Times New Roman"/>
          <w:bCs/>
          <w:color w:val="000000"/>
          <w:sz w:val="24"/>
          <w:lang w:val="ro-RO"/>
        </w:rPr>
        <w:t xml:space="preserve"> confirmă angajamentul Republicii Moldova de a atinge obiectivele stabilite de Program. </w:t>
      </w:r>
      <w:r w:rsidR="00591169" w:rsidRPr="009C5F11">
        <w:rPr>
          <w:rFonts w:ascii="Times New Roman" w:hAnsi="Times New Roman" w:cs="Times New Roman"/>
          <w:bCs/>
          <w:color w:val="000000"/>
          <w:sz w:val="24"/>
          <w:lang w:val="ro-RO"/>
        </w:rPr>
        <w:t>Sfera de aplicare a</w:t>
      </w:r>
      <w:r w:rsidR="002733CB" w:rsidRPr="009C5F11">
        <w:rPr>
          <w:rFonts w:ascii="Times New Roman" w:hAnsi="Times New Roman" w:cs="Times New Roman"/>
          <w:bCs/>
          <w:color w:val="000000"/>
          <w:sz w:val="24"/>
          <w:lang w:val="ro-RO"/>
        </w:rPr>
        <w:t xml:space="preserve"> </w:t>
      </w:r>
      <w:r w:rsidR="00872DC2" w:rsidRPr="009C5F11">
        <w:rPr>
          <w:rFonts w:ascii="Times New Roman" w:hAnsi="Times New Roman" w:cs="Times New Roman"/>
          <w:bCs/>
          <w:color w:val="000000"/>
          <w:sz w:val="24"/>
          <w:lang w:val="ro-RO"/>
        </w:rPr>
        <w:t>PNAEE</w:t>
      </w:r>
      <w:r w:rsidR="002733CB" w:rsidRPr="009C5F11">
        <w:rPr>
          <w:rFonts w:ascii="Times New Roman" w:hAnsi="Times New Roman" w:cs="Times New Roman"/>
          <w:bCs/>
          <w:color w:val="000000"/>
          <w:sz w:val="24"/>
          <w:lang w:val="ro-RO"/>
        </w:rPr>
        <w:t xml:space="preserve"> 2013-2015 </w:t>
      </w:r>
      <w:r w:rsidR="00591169" w:rsidRPr="009C5F11">
        <w:rPr>
          <w:rFonts w:ascii="Times New Roman" w:hAnsi="Times New Roman" w:cs="Times New Roman"/>
          <w:bCs/>
          <w:color w:val="000000"/>
          <w:sz w:val="24"/>
          <w:lang w:val="ro-RO"/>
        </w:rPr>
        <w:t xml:space="preserve">se referă exclusiv la eficientizarea consumului de </w:t>
      </w:r>
      <w:r w:rsidR="001E3482" w:rsidRPr="009C5F11">
        <w:rPr>
          <w:rFonts w:ascii="Times New Roman" w:hAnsi="Times New Roman" w:cs="Times New Roman"/>
          <w:bCs/>
          <w:color w:val="000000"/>
          <w:sz w:val="24"/>
          <w:lang w:val="ro-RO"/>
        </w:rPr>
        <w:t>energie</w:t>
      </w:r>
      <w:r w:rsidR="002733CB" w:rsidRPr="009C5F11">
        <w:rPr>
          <w:rFonts w:ascii="Times New Roman" w:hAnsi="Times New Roman" w:cs="Times New Roman"/>
          <w:bCs/>
          <w:color w:val="000000"/>
          <w:sz w:val="24"/>
          <w:lang w:val="ro-RO"/>
        </w:rPr>
        <w:t xml:space="preserve"> </w:t>
      </w:r>
      <w:r w:rsidR="00321CD5" w:rsidRPr="009C5F11">
        <w:rPr>
          <w:rFonts w:ascii="Times New Roman" w:hAnsi="Times New Roman" w:cs="Times New Roman"/>
          <w:bCs/>
          <w:color w:val="000000"/>
          <w:sz w:val="24"/>
          <w:lang w:val="ro-RO"/>
        </w:rPr>
        <w:t xml:space="preserve">şi </w:t>
      </w:r>
      <w:r w:rsidR="00591169" w:rsidRPr="009C5F11">
        <w:rPr>
          <w:rFonts w:ascii="Times New Roman" w:hAnsi="Times New Roman" w:cs="Times New Roman"/>
          <w:bCs/>
          <w:color w:val="000000"/>
          <w:sz w:val="24"/>
          <w:lang w:val="ro-RO"/>
        </w:rPr>
        <w:t>r</w:t>
      </w:r>
      <w:r w:rsidR="002733CB" w:rsidRPr="009C5F11">
        <w:rPr>
          <w:rFonts w:ascii="Times New Roman" w:hAnsi="Times New Roman" w:cs="Times New Roman"/>
          <w:bCs/>
          <w:color w:val="000000"/>
          <w:sz w:val="24"/>
          <w:lang w:val="ro-RO"/>
        </w:rPr>
        <w:t>educ</w:t>
      </w:r>
      <w:r w:rsidR="00591169" w:rsidRPr="009C5F11">
        <w:rPr>
          <w:rFonts w:ascii="Times New Roman" w:hAnsi="Times New Roman" w:cs="Times New Roman"/>
          <w:bCs/>
          <w:color w:val="000000"/>
          <w:sz w:val="24"/>
          <w:lang w:val="ro-RO"/>
        </w:rPr>
        <w:t>erea emisiilor GES</w:t>
      </w:r>
      <w:r w:rsidR="002733CB" w:rsidRPr="009C5F11">
        <w:rPr>
          <w:rFonts w:ascii="Times New Roman" w:hAnsi="Times New Roman" w:cs="Times New Roman"/>
          <w:bCs/>
          <w:color w:val="000000"/>
          <w:sz w:val="24"/>
          <w:lang w:val="ro-RO"/>
        </w:rPr>
        <w:t>.</w:t>
      </w:r>
      <w:r w:rsidR="00017589" w:rsidRPr="009C5F11">
        <w:rPr>
          <w:rFonts w:ascii="Times New Roman" w:hAnsi="Times New Roman" w:cs="Times New Roman"/>
          <w:bCs/>
          <w:color w:val="000000"/>
          <w:sz w:val="24"/>
          <w:lang w:val="ro-RO"/>
        </w:rPr>
        <w:t xml:space="preserve"> </w:t>
      </w:r>
      <w:r w:rsidR="00591169" w:rsidRPr="009C5F11">
        <w:rPr>
          <w:rFonts w:ascii="Times New Roman" w:hAnsi="Times New Roman" w:cs="Times New Roman"/>
          <w:bCs/>
          <w:color w:val="000000"/>
          <w:sz w:val="24"/>
          <w:lang w:val="ro-RO"/>
        </w:rPr>
        <w:t>Fiind primul</w:t>
      </w:r>
      <w:r w:rsidR="00017589" w:rsidRPr="009C5F11">
        <w:rPr>
          <w:rFonts w:ascii="Times New Roman" w:hAnsi="Times New Roman" w:cs="Times New Roman"/>
          <w:bCs/>
          <w:color w:val="000000"/>
          <w:sz w:val="24"/>
          <w:lang w:val="ro-RO"/>
        </w:rPr>
        <w:t xml:space="preserve"> </w:t>
      </w:r>
      <w:r w:rsidR="00872DC2" w:rsidRPr="009C5F11">
        <w:rPr>
          <w:rFonts w:ascii="Times New Roman" w:hAnsi="Times New Roman" w:cs="Times New Roman"/>
          <w:bCs/>
          <w:color w:val="000000"/>
          <w:sz w:val="24"/>
          <w:lang w:val="ro-RO"/>
        </w:rPr>
        <w:t>PNAEE</w:t>
      </w:r>
      <w:r w:rsidR="00017589" w:rsidRPr="009C5F11">
        <w:rPr>
          <w:rFonts w:ascii="Times New Roman" w:hAnsi="Times New Roman" w:cs="Times New Roman"/>
          <w:bCs/>
          <w:color w:val="000000"/>
          <w:sz w:val="24"/>
          <w:lang w:val="ro-RO"/>
        </w:rPr>
        <w:t xml:space="preserve"> </w:t>
      </w:r>
      <w:r w:rsidR="00591169" w:rsidRPr="009C5F11">
        <w:rPr>
          <w:rFonts w:ascii="Times New Roman" w:hAnsi="Times New Roman" w:cs="Times New Roman"/>
          <w:bCs/>
          <w:color w:val="000000"/>
          <w:sz w:val="24"/>
          <w:lang w:val="ro-RO"/>
        </w:rPr>
        <w:t>elaborat de Republica</w:t>
      </w:r>
      <w:r w:rsidR="00017589" w:rsidRPr="009C5F11">
        <w:rPr>
          <w:rFonts w:ascii="Times New Roman" w:hAnsi="Times New Roman" w:cs="Times New Roman"/>
          <w:bCs/>
          <w:color w:val="000000"/>
          <w:sz w:val="24"/>
          <w:lang w:val="ro-RO"/>
        </w:rPr>
        <w:t xml:space="preserve"> </w:t>
      </w:r>
      <w:r w:rsidR="00591169" w:rsidRPr="009C5F11">
        <w:rPr>
          <w:rFonts w:ascii="Times New Roman" w:hAnsi="Times New Roman" w:cs="Times New Roman"/>
          <w:bCs/>
          <w:color w:val="000000"/>
          <w:sz w:val="24"/>
          <w:lang w:val="ro-RO"/>
        </w:rPr>
        <w:t>Moldova şi</w:t>
      </w:r>
      <w:r w:rsidR="002733CB" w:rsidRPr="009C5F11">
        <w:rPr>
          <w:rFonts w:ascii="Times New Roman" w:hAnsi="Times New Roman" w:cs="Times New Roman"/>
          <w:bCs/>
          <w:color w:val="000000"/>
          <w:sz w:val="24"/>
          <w:lang w:val="ro-RO"/>
        </w:rPr>
        <w:t xml:space="preserve"> adopt</w:t>
      </w:r>
      <w:r w:rsidR="00591169" w:rsidRPr="009C5F11">
        <w:rPr>
          <w:rFonts w:ascii="Times New Roman" w:hAnsi="Times New Roman" w:cs="Times New Roman"/>
          <w:bCs/>
          <w:color w:val="000000"/>
          <w:sz w:val="24"/>
          <w:lang w:val="ro-RO"/>
        </w:rPr>
        <w:t>at</w:t>
      </w:r>
      <w:r w:rsidR="00321CD5" w:rsidRPr="009C5F11">
        <w:rPr>
          <w:rFonts w:ascii="Times New Roman" w:hAnsi="Times New Roman" w:cs="Times New Roman"/>
          <w:bCs/>
          <w:color w:val="000000"/>
          <w:sz w:val="24"/>
          <w:lang w:val="ro-RO"/>
        </w:rPr>
        <w:t xml:space="preserve"> în </w:t>
      </w:r>
      <w:r w:rsidR="002733CB" w:rsidRPr="009C5F11">
        <w:rPr>
          <w:rFonts w:ascii="Times New Roman" w:hAnsi="Times New Roman" w:cs="Times New Roman"/>
          <w:bCs/>
          <w:color w:val="000000"/>
          <w:sz w:val="24"/>
          <w:lang w:val="ro-RO"/>
        </w:rPr>
        <w:t xml:space="preserve">2013, </w:t>
      </w:r>
      <w:r w:rsidR="00591169" w:rsidRPr="009C5F11">
        <w:rPr>
          <w:rFonts w:ascii="Times New Roman" w:hAnsi="Times New Roman" w:cs="Times New Roman"/>
          <w:bCs/>
          <w:color w:val="000000"/>
          <w:sz w:val="24"/>
          <w:lang w:val="ro-RO"/>
        </w:rPr>
        <w:t xml:space="preserve">acesta </w:t>
      </w:r>
      <w:r w:rsidR="00DF271F" w:rsidRPr="009C5F11">
        <w:rPr>
          <w:rFonts w:ascii="Times New Roman" w:hAnsi="Times New Roman" w:cs="Times New Roman"/>
          <w:bCs/>
          <w:color w:val="000000"/>
          <w:sz w:val="24"/>
          <w:lang w:val="ro-RO"/>
        </w:rPr>
        <w:t>este</w:t>
      </w:r>
      <w:r w:rsidR="00591169" w:rsidRPr="009C5F11">
        <w:rPr>
          <w:rFonts w:ascii="Times New Roman" w:hAnsi="Times New Roman" w:cs="Times New Roman"/>
          <w:bCs/>
          <w:color w:val="000000"/>
          <w:sz w:val="24"/>
          <w:lang w:val="ro-RO"/>
        </w:rPr>
        <w:t xml:space="preserve"> urmat de </w:t>
      </w:r>
      <w:r w:rsidR="00872DC2" w:rsidRPr="009C5F11">
        <w:rPr>
          <w:rFonts w:ascii="Times New Roman" w:hAnsi="Times New Roman" w:cs="Times New Roman"/>
          <w:bCs/>
          <w:color w:val="000000"/>
          <w:sz w:val="24"/>
          <w:lang w:val="ro-RO"/>
        </w:rPr>
        <w:t>PNAEE</w:t>
      </w:r>
      <w:r w:rsidR="00591169" w:rsidRPr="009C5F11">
        <w:rPr>
          <w:rFonts w:ascii="Times New Roman" w:hAnsi="Times New Roman" w:cs="Times New Roman"/>
          <w:bCs/>
          <w:color w:val="000000"/>
          <w:sz w:val="24"/>
          <w:lang w:val="ro-RO"/>
        </w:rPr>
        <w:t xml:space="preserve"> pentru anii</w:t>
      </w:r>
      <w:r w:rsidR="002733CB" w:rsidRPr="009C5F11">
        <w:rPr>
          <w:rFonts w:ascii="Times New Roman" w:hAnsi="Times New Roman" w:cs="Times New Roman"/>
          <w:bCs/>
          <w:color w:val="000000"/>
          <w:sz w:val="24"/>
          <w:lang w:val="ro-RO"/>
        </w:rPr>
        <w:t xml:space="preserve"> 2016-2018</w:t>
      </w:r>
      <w:r w:rsidR="00321CD5" w:rsidRPr="009C5F11">
        <w:rPr>
          <w:rFonts w:ascii="Times New Roman" w:hAnsi="Times New Roman" w:cs="Times New Roman"/>
          <w:bCs/>
          <w:color w:val="000000"/>
          <w:sz w:val="24"/>
          <w:lang w:val="ro-RO"/>
        </w:rPr>
        <w:t xml:space="preserve"> şi </w:t>
      </w:r>
      <w:r w:rsidR="0058692B" w:rsidRPr="009C5F11">
        <w:rPr>
          <w:rFonts w:ascii="Times New Roman" w:hAnsi="Times New Roman" w:cs="Times New Roman"/>
          <w:bCs/>
          <w:color w:val="000000"/>
          <w:sz w:val="24"/>
          <w:lang w:val="ro-RO"/>
        </w:rPr>
        <w:t xml:space="preserve">de PNAEE pentru anii </w:t>
      </w:r>
      <w:r w:rsidR="002733CB" w:rsidRPr="009C5F11">
        <w:rPr>
          <w:rFonts w:ascii="Times New Roman" w:hAnsi="Times New Roman" w:cs="Times New Roman"/>
          <w:bCs/>
          <w:color w:val="000000"/>
          <w:sz w:val="24"/>
          <w:lang w:val="ro-RO"/>
        </w:rPr>
        <w:t>2019-2021.</w:t>
      </w:r>
    </w:p>
    <w:p w14:paraId="7899D901" w14:textId="7016BC62" w:rsidR="00C70961" w:rsidRPr="009C5F11" w:rsidRDefault="008F220E" w:rsidP="00087B37">
      <w:pPr>
        <w:pStyle w:val="Listparagraf"/>
        <w:numPr>
          <w:ilvl w:val="0"/>
          <w:numId w:val="210"/>
        </w:numPr>
        <w:spacing w:before="120" w:after="120" w:line="240" w:lineRule="auto"/>
        <w:ind w:left="0" w:firstLine="284"/>
        <w:jc w:val="both"/>
        <w:rPr>
          <w:rFonts w:ascii="Times New Roman" w:hAnsi="Times New Roman" w:cs="Times New Roman"/>
          <w:bCs/>
          <w:color w:val="000000"/>
          <w:sz w:val="24"/>
          <w:lang w:val="ro-RO"/>
        </w:rPr>
      </w:pPr>
      <w:r w:rsidRPr="009C5F11">
        <w:rPr>
          <w:rFonts w:ascii="Times New Roman" w:hAnsi="Times New Roman" w:cs="Times New Roman"/>
          <w:bCs/>
          <w:color w:val="000000"/>
          <w:sz w:val="24"/>
          <w:lang w:val="ro-RO"/>
        </w:rPr>
        <w:t xml:space="preserve">Atât obiectivele </w:t>
      </w:r>
      <w:r w:rsidR="0058692B" w:rsidRPr="009C5F11">
        <w:rPr>
          <w:rFonts w:ascii="Times New Roman" w:hAnsi="Times New Roman" w:cs="Times New Roman"/>
          <w:bCs/>
          <w:color w:val="000000"/>
          <w:sz w:val="24"/>
          <w:lang w:val="ro-RO"/>
        </w:rPr>
        <w:t xml:space="preserve">menţionate de </w:t>
      </w:r>
      <w:r w:rsidR="000A4CC7" w:rsidRPr="009C5F11">
        <w:rPr>
          <w:rFonts w:ascii="Times New Roman" w:hAnsi="Times New Roman" w:cs="Times New Roman"/>
          <w:bCs/>
          <w:color w:val="000000"/>
          <w:sz w:val="24"/>
          <w:lang w:val="ro-RO"/>
        </w:rPr>
        <w:t>PNEE</w:t>
      </w:r>
      <w:r w:rsidR="00C70961" w:rsidRPr="009C5F11">
        <w:rPr>
          <w:rFonts w:ascii="Times New Roman" w:hAnsi="Times New Roman" w:cs="Times New Roman"/>
          <w:bCs/>
          <w:color w:val="000000"/>
          <w:sz w:val="24"/>
          <w:lang w:val="ro-RO"/>
        </w:rPr>
        <w:t xml:space="preserve"> 2011-2020</w:t>
      </w:r>
      <w:r w:rsidRPr="009C5F11">
        <w:rPr>
          <w:rFonts w:ascii="Times New Roman" w:hAnsi="Times New Roman" w:cs="Times New Roman"/>
          <w:bCs/>
          <w:color w:val="000000"/>
          <w:sz w:val="24"/>
          <w:lang w:val="ro-RO"/>
        </w:rPr>
        <w:t>, cât şi cele</w:t>
      </w:r>
      <w:r w:rsidR="00321CD5" w:rsidRPr="009C5F11">
        <w:rPr>
          <w:rFonts w:ascii="Times New Roman" w:hAnsi="Times New Roman" w:cs="Times New Roman"/>
          <w:bCs/>
          <w:color w:val="000000"/>
          <w:sz w:val="24"/>
          <w:lang w:val="ro-RO"/>
        </w:rPr>
        <w:t xml:space="preserve"> </w:t>
      </w:r>
      <w:r w:rsidR="0058692B" w:rsidRPr="009C5F11">
        <w:rPr>
          <w:rFonts w:ascii="Times New Roman" w:hAnsi="Times New Roman" w:cs="Times New Roman"/>
          <w:bCs/>
          <w:color w:val="000000"/>
          <w:sz w:val="24"/>
          <w:lang w:val="ro-RO"/>
        </w:rPr>
        <w:t>menţionate de</w:t>
      </w:r>
      <w:r w:rsidR="00321CD5" w:rsidRPr="009C5F11">
        <w:rPr>
          <w:rFonts w:ascii="Times New Roman" w:hAnsi="Times New Roman" w:cs="Times New Roman"/>
          <w:bCs/>
          <w:color w:val="000000"/>
          <w:sz w:val="24"/>
          <w:lang w:val="ro-RO"/>
        </w:rPr>
        <w:t xml:space="preserve"> </w:t>
      </w:r>
      <w:r w:rsidR="00872DC2" w:rsidRPr="009C5F11">
        <w:rPr>
          <w:rFonts w:ascii="Times New Roman" w:hAnsi="Times New Roman" w:cs="Times New Roman"/>
          <w:bCs/>
          <w:color w:val="000000"/>
          <w:sz w:val="24"/>
          <w:lang w:val="ro-RO"/>
        </w:rPr>
        <w:t>PNAEE</w:t>
      </w:r>
      <w:r w:rsidR="00C70961" w:rsidRPr="009C5F11">
        <w:rPr>
          <w:rFonts w:ascii="Times New Roman" w:hAnsi="Times New Roman" w:cs="Times New Roman"/>
          <w:bCs/>
          <w:color w:val="000000"/>
          <w:sz w:val="24"/>
          <w:lang w:val="ro-RO"/>
        </w:rPr>
        <w:t xml:space="preserve"> 2013-2015 </w:t>
      </w:r>
      <w:r w:rsidRPr="009C5F11">
        <w:rPr>
          <w:rFonts w:ascii="Times New Roman" w:hAnsi="Times New Roman" w:cs="Times New Roman"/>
          <w:bCs/>
          <w:color w:val="000000"/>
          <w:sz w:val="24"/>
          <w:lang w:val="ro-RO"/>
        </w:rPr>
        <w:t>urmează a fi revizuite pe baza</w:t>
      </w:r>
      <w:r w:rsidR="00C70961" w:rsidRPr="009C5F11">
        <w:rPr>
          <w:rFonts w:ascii="Times New Roman" w:hAnsi="Times New Roman" w:cs="Times New Roman"/>
          <w:bCs/>
          <w:color w:val="000000"/>
          <w:sz w:val="24"/>
          <w:lang w:val="ro-RO"/>
        </w:rPr>
        <w:t>:</w:t>
      </w:r>
    </w:p>
    <w:p w14:paraId="41270395" w14:textId="77777777" w:rsidR="00C70961" w:rsidRPr="009C5F11" w:rsidRDefault="00591169"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i/>
          <w:sz w:val="24"/>
          <w:lang w:val="ro-RO"/>
        </w:rPr>
        <w:t>Evaluăril</w:t>
      </w:r>
      <w:r w:rsidR="001A4731" w:rsidRPr="009C5F11">
        <w:rPr>
          <w:rFonts w:ascii="Times New Roman" w:hAnsi="Times New Roman" w:cs="Times New Roman"/>
          <w:i/>
          <w:sz w:val="24"/>
          <w:lang w:val="ro-RO"/>
        </w:rPr>
        <w:t>or</w:t>
      </w:r>
      <w:r w:rsidRPr="009C5F11">
        <w:rPr>
          <w:rFonts w:ascii="Times New Roman" w:hAnsi="Times New Roman" w:cs="Times New Roman"/>
          <w:i/>
          <w:sz w:val="24"/>
          <w:lang w:val="ro-RO"/>
        </w:rPr>
        <w:t xml:space="preserve"> PNAEE ale fiecărei părţi contractante </w:t>
      </w:r>
      <w:r w:rsidRPr="009C5F11">
        <w:rPr>
          <w:rFonts w:ascii="Times New Roman" w:hAnsi="Times New Roman" w:cs="Times New Roman"/>
          <w:sz w:val="24"/>
          <w:lang w:val="ro-RO"/>
        </w:rPr>
        <w:t>efectuate</w:t>
      </w:r>
      <w:r w:rsidRPr="009C5F11">
        <w:rPr>
          <w:rFonts w:ascii="Times New Roman" w:hAnsi="Times New Roman" w:cs="Times New Roman"/>
          <w:i/>
          <w:sz w:val="24"/>
          <w:lang w:val="ro-RO"/>
        </w:rPr>
        <w:t xml:space="preserve"> </w:t>
      </w:r>
      <w:r w:rsidR="00321CD5" w:rsidRPr="009C5F11">
        <w:rPr>
          <w:rFonts w:ascii="Times New Roman" w:hAnsi="Times New Roman" w:cs="Times New Roman"/>
          <w:sz w:val="24"/>
          <w:lang w:val="ro-RO"/>
        </w:rPr>
        <w:t xml:space="preserve">şi </w:t>
      </w:r>
      <w:r w:rsidRPr="009C5F11">
        <w:rPr>
          <w:rFonts w:ascii="Times New Roman" w:hAnsi="Times New Roman" w:cs="Times New Roman"/>
          <w:sz w:val="24"/>
          <w:lang w:val="ro-RO"/>
        </w:rPr>
        <w:t>publicate de Secretariatul</w:t>
      </w:r>
      <w:r w:rsidR="00C70961" w:rsidRPr="009C5F11">
        <w:rPr>
          <w:rFonts w:ascii="Times New Roman" w:hAnsi="Times New Roman" w:cs="Times New Roman"/>
          <w:sz w:val="24"/>
          <w:lang w:val="ro-RO"/>
        </w:rPr>
        <w:t xml:space="preserve"> </w:t>
      </w:r>
      <w:r w:rsidR="00D55D28" w:rsidRPr="009C5F11">
        <w:rPr>
          <w:rFonts w:ascii="Times New Roman" w:hAnsi="Times New Roman" w:cs="Times New Roman"/>
          <w:sz w:val="24"/>
          <w:lang w:val="ro-RO"/>
        </w:rPr>
        <w:t>Comunit</w:t>
      </w:r>
      <w:r w:rsidRPr="009C5F11">
        <w:rPr>
          <w:rFonts w:ascii="Times New Roman" w:hAnsi="Times New Roman" w:cs="Times New Roman"/>
          <w:sz w:val="24"/>
          <w:lang w:val="ro-RO"/>
        </w:rPr>
        <w:t>ăţii</w:t>
      </w:r>
      <w:r w:rsidR="00D55D28" w:rsidRPr="009C5F11">
        <w:rPr>
          <w:rFonts w:ascii="Times New Roman" w:hAnsi="Times New Roman" w:cs="Times New Roman"/>
          <w:sz w:val="24"/>
          <w:lang w:val="ro-RO"/>
        </w:rPr>
        <w:t xml:space="preserve"> Energetic</w:t>
      </w:r>
      <w:r w:rsidRPr="009C5F11">
        <w:rPr>
          <w:rFonts w:ascii="Times New Roman" w:hAnsi="Times New Roman" w:cs="Times New Roman"/>
          <w:sz w:val="24"/>
          <w:lang w:val="ro-RO"/>
        </w:rPr>
        <w:t>e</w:t>
      </w:r>
      <w:r w:rsidR="00C70961"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în </w:t>
      </w:r>
      <w:r w:rsidR="00C70961" w:rsidRPr="009C5F11">
        <w:rPr>
          <w:rFonts w:ascii="Times New Roman" w:hAnsi="Times New Roman" w:cs="Times New Roman"/>
          <w:sz w:val="24"/>
          <w:lang w:val="ro-RO"/>
        </w:rPr>
        <w:t>2014 (</w:t>
      </w:r>
      <w:r w:rsidR="000A4CC7" w:rsidRPr="009C5F11">
        <w:rPr>
          <w:rFonts w:ascii="Times New Roman" w:hAnsi="Times New Roman" w:cs="Times New Roman"/>
          <w:sz w:val="24"/>
          <w:lang w:val="ro-RO"/>
        </w:rPr>
        <w:t>Anexa</w:t>
      </w:r>
      <w:r w:rsidR="00C70961" w:rsidRPr="009C5F11">
        <w:rPr>
          <w:rFonts w:ascii="Times New Roman" w:hAnsi="Times New Roman" w:cs="Times New Roman"/>
          <w:sz w:val="24"/>
          <w:lang w:val="ro-RO"/>
        </w:rPr>
        <w:t xml:space="preserve"> 4/32 PHLG/03-03-2014);</w:t>
      </w:r>
    </w:p>
    <w:p w14:paraId="10C14DAA" w14:textId="77777777" w:rsidR="00C70961" w:rsidRPr="009C5F11" w:rsidRDefault="00591169"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i/>
          <w:sz w:val="24"/>
          <w:lang w:val="ro-RO"/>
        </w:rPr>
        <w:t>Hotărâr</w:t>
      </w:r>
      <w:r w:rsidR="001A4731" w:rsidRPr="009C5F11">
        <w:rPr>
          <w:rFonts w:ascii="Times New Roman" w:hAnsi="Times New Roman" w:cs="Times New Roman"/>
          <w:i/>
          <w:sz w:val="24"/>
          <w:lang w:val="ro-RO"/>
        </w:rPr>
        <w:t>ii</w:t>
      </w:r>
      <w:r w:rsidRPr="009C5F11">
        <w:rPr>
          <w:rFonts w:ascii="Times New Roman" w:hAnsi="Times New Roman" w:cs="Times New Roman"/>
          <w:i/>
          <w:sz w:val="24"/>
          <w:lang w:val="ro-RO"/>
        </w:rPr>
        <w:t xml:space="preserve"> Consiliului</w:t>
      </w:r>
      <w:r w:rsidR="00C70961" w:rsidRPr="009C5F11">
        <w:rPr>
          <w:rFonts w:ascii="Times New Roman" w:hAnsi="Times New Roman" w:cs="Times New Roman"/>
          <w:i/>
          <w:sz w:val="24"/>
          <w:lang w:val="ro-RO"/>
        </w:rPr>
        <w:t xml:space="preserve"> Ministerial </w:t>
      </w:r>
      <w:r w:rsidRPr="009C5F11">
        <w:rPr>
          <w:rFonts w:ascii="Times New Roman" w:hAnsi="Times New Roman" w:cs="Times New Roman"/>
          <w:i/>
          <w:sz w:val="24"/>
          <w:lang w:val="ro-RO"/>
        </w:rPr>
        <w:t>al</w:t>
      </w:r>
      <w:r w:rsidR="00C70961" w:rsidRPr="009C5F11">
        <w:rPr>
          <w:rFonts w:ascii="Times New Roman" w:hAnsi="Times New Roman" w:cs="Times New Roman"/>
          <w:i/>
          <w:sz w:val="24"/>
          <w:lang w:val="ro-RO"/>
        </w:rPr>
        <w:t xml:space="preserve"> </w:t>
      </w:r>
      <w:r w:rsidR="00D55D28" w:rsidRPr="009C5F11">
        <w:rPr>
          <w:rFonts w:ascii="Times New Roman" w:hAnsi="Times New Roman" w:cs="Times New Roman"/>
          <w:i/>
          <w:sz w:val="24"/>
          <w:lang w:val="ro-RO"/>
        </w:rPr>
        <w:t>Comunit</w:t>
      </w:r>
      <w:r w:rsidRPr="009C5F11">
        <w:rPr>
          <w:rFonts w:ascii="Times New Roman" w:hAnsi="Times New Roman" w:cs="Times New Roman"/>
          <w:i/>
          <w:sz w:val="24"/>
          <w:lang w:val="ro-RO"/>
        </w:rPr>
        <w:t>ăţii</w:t>
      </w:r>
      <w:r w:rsidR="00D55D28" w:rsidRPr="009C5F11">
        <w:rPr>
          <w:rFonts w:ascii="Times New Roman" w:hAnsi="Times New Roman" w:cs="Times New Roman"/>
          <w:i/>
          <w:sz w:val="24"/>
          <w:lang w:val="ro-RO"/>
        </w:rPr>
        <w:t xml:space="preserve"> Energetic</w:t>
      </w:r>
      <w:r w:rsidRPr="009C5F11">
        <w:rPr>
          <w:rFonts w:ascii="Times New Roman" w:hAnsi="Times New Roman" w:cs="Times New Roman"/>
          <w:i/>
          <w:sz w:val="24"/>
          <w:lang w:val="ro-RO"/>
        </w:rPr>
        <w:t>e</w:t>
      </w:r>
      <w:r w:rsidR="00C70961" w:rsidRPr="009C5F11">
        <w:rPr>
          <w:rFonts w:ascii="Times New Roman" w:hAnsi="Times New Roman" w:cs="Times New Roman"/>
          <w:i/>
          <w:sz w:val="24"/>
          <w:lang w:val="ro-RO"/>
        </w:rPr>
        <w:t xml:space="preserve"> D/2015/08/MC-EnC</w:t>
      </w:r>
      <w:r w:rsidR="00C7096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din</w:t>
      </w:r>
      <w:r w:rsidR="00C70961" w:rsidRPr="009C5F11">
        <w:rPr>
          <w:rFonts w:ascii="Times New Roman" w:hAnsi="Times New Roman" w:cs="Times New Roman"/>
          <w:sz w:val="24"/>
          <w:lang w:val="ro-RO"/>
        </w:rPr>
        <w:t xml:space="preserve"> 16 </w:t>
      </w:r>
      <w:r w:rsidR="000A4CC7" w:rsidRPr="009C5F11">
        <w:rPr>
          <w:rFonts w:ascii="Times New Roman" w:hAnsi="Times New Roman" w:cs="Times New Roman"/>
          <w:sz w:val="24"/>
          <w:lang w:val="ro-RO"/>
        </w:rPr>
        <w:t>octombrie</w:t>
      </w:r>
      <w:r w:rsidR="00C70961" w:rsidRPr="009C5F11">
        <w:rPr>
          <w:rFonts w:ascii="Times New Roman" w:hAnsi="Times New Roman" w:cs="Times New Roman"/>
          <w:sz w:val="24"/>
          <w:lang w:val="ro-RO"/>
        </w:rPr>
        <w:t xml:space="preserve"> 2015 </w:t>
      </w:r>
      <w:r w:rsidRPr="009C5F11">
        <w:rPr>
          <w:rFonts w:ascii="Times New Roman" w:hAnsi="Times New Roman" w:cs="Times New Roman"/>
          <w:sz w:val="24"/>
          <w:lang w:val="ro-RO"/>
        </w:rPr>
        <w:t>referitoare la</w:t>
      </w:r>
      <w:r w:rsidR="00C70961"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implementarea</w:t>
      </w:r>
      <w:r w:rsidR="00C70961"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Directiv</w:t>
      </w:r>
      <w:r w:rsidRPr="009C5F11">
        <w:rPr>
          <w:rFonts w:ascii="Times New Roman" w:hAnsi="Times New Roman" w:cs="Times New Roman"/>
          <w:sz w:val="24"/>
          <w:lang w:val="ro-RO"/>
        </w:rPr>
        <w:t>ei</w:t>
      </w:r>
      <w:r w:rsidR="000A4CC7" w:rsidRPr="009C5F11">
        <w:rPr>
          <w:rFonts w:ascii="Times New Roman" w:hAnsi="Times New Roman" w:cs="Times New Roman"/>
          <w:sz w:val="24"/>
          <w:lang w:val="ro-RO"/>
        </w:rPr>
        <w:t xml:space="preserve"> </w:t>
      </w:r>
      <w:r w:rsidR="00C70961" w:rsidRPr="009C5F11">
        <w:rPr>
          <w:rFonts w:ascii="Times New Roman" w:hAnsi="Times New Roman" w:cs="Times New Roman"/>
          <w:sz w:val="24"/>
          <w:lang w:val="ro-RO"/>
        </w:rPr>
        <w:t>2012/27</w:t>
      </w:r>
      <w:r w:rsidR="00730BB5" w:rsidRPr="009C5F11">
        <w:rPr>
          <w:rFonts w:ascii="Times New Roman" w:hAnsi="Times New Roman" w:cs="Times New Roman"/>
          <w:sz w:val="24"/>
          <w:lang w:val="ro-RO"/>
        </w:rPr>
        <w:t>/UE</w:t>
      </w:r>
      <w:r w:rsidR="00C7096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din</w:t>
      </w:r>
      <w:r w:rsidR="00C70961" w:rsidRPr="009C5F11">
        <w:rPr>
          <w:rFonts w:ascii="Times New Roman" w:hAnsi="Times New Roman" w:cs="Times New Roman"/>
          <w:sz w:val="24"/>
          <w:lang w:val="ro-RO"/>
        </w:rPr>
        <w:t xml:space="preserve"> 25 </w:t>
      </w:r>
      <w:r w:rsidR="000A4CC7" w:rsidRPr="009C5F11">
        <w:rPr>
          <w:rFonts w:ascii="Times New Roman" w:hAnsi="Times New Roman" w:cs="Times New Roman"/>
          <w:sz w:val="24"/>
          <w:lang w:val="ro-RO"/>
        </w:rPr>
        <w:t>octombrie</w:t>
      </w:r>
      <w:r w:rsidR="00C70961" w:rsidRPr="009C5F11">
        <w:rPr>
          <w:rFonts w:ascii="Times New Roman" w:hAnsi="Times New Roman" w:cs="Times New Roman"/>
          <w:sz w:val="24"/>
          <w:lang w:val="ro-RO"/>
        </w:rPr>
        <w:t xml:space="preserve"> 2012 </w:t>
      </w:r>
      <w:r w:rsidRPr="009C5F11">
        <w:rPr>
          <w:rFonts w:ascii="Times New Roman" w:hAnsi="Times New Roman" w:cs="Times New Roman"/>
          <w:sz w:val="24"/>
          <w:lang w:val="ro-RO"/>
        </w:rPr>
        <w:t xml:space="preserve">privind </w:t>
      </w:r>
      <w:r w:rsidR="000C7BEC" w:rsidRPr="009C5F11">
        <w:rPr>
          <w:rFonts w:ascii="Times New Roman" w:hAnsi="Times New Roman" w:cs="Times New Roman"/>
          <w:sz w:val="24"/>
          <w:lang w:val="ro-RO"/>
        </w:rPr>
        <w:t>eficienţ</w:t>
      </w:r>
      <w:r w:rsidRPr="009C5F11">
        <w:rPr>
          <w:rFonts w:ascii="Times New Roman" w:hAnsi="Times New Roman" w:cs="Times New Roman"/>
          <w:sz w:val="24"/>
          <w:lang w:val="ro-RO"/>
        </w:rPr>
        <w:t>a</w:t>
      </w:r>
      <w:r w:rsidR="000C7BEC" w:rsidRPr="009C5F11">
        <w:rPr>
          <w:rFonts w:ascii="Times New Roman" w:hAnsi="Times New Roman" w:cs="Times New Roman"/>
          <w:sz w:val="24"/>
          <w:lang w:val="ro-RO"/>
        </w:rPr>
        <w:t xml:space="preserve"> energetică</w:t>
      </w:r>
      <w:r w:rsidR="00C70961" w:rsidRPr="009C5F11">
        <w:rPr>
          <w:rFonts w:ascii="Times New Roman" w:hAnsi="Times New Roman" w:cs="Times New Roman"/>
          <w:sz w:val="24"/>
          <w:lang w:val="ro-RO"/>
        </w:rPr>
        <w:t xml:space="preserve">, </w:t>
      </w:r>
      <w:r w:rsidR="00D55D28" w:rsidRPr="009C5F11">
        <w:rPr>
          <w:rFonts w:ascii="Times New Roman" w:hAnsi="Times New Roman" w:cs="Times New Roman"/>
          <w:sz w:val="24"/>
          <w:lang w:val="ro-RO"/>
        </w:rPr>
        <w:t>de modificare a</w:t>
      </w:r>
      <w:r w:rsidR="00C70961" w:rsidRPr="009C5F11">
        <w:rPr>
          <w:rFonts w:ascii="Times New Roman" w:hAnsi="Times New Roman" w:cs="Times New Roman"/>
          <w:sz w:val="24"/>
          <w:lang w:val="ro-RO"/>
        </w:rPr>
        <w:t xml:space="preserve"> Directive</w:t>
      </w:r>
      <w:r w:rsidRPr="009C5F11">
        <w:rPr>
          <w:rFonts w:ascii="Times New Roman" w:hAnsi="Times New Roman" w:cs="Times New Roman"/>
          <w:sz w:val="24"/>
          <w:lang w:val="ro-RO"/>
        </w:rPr>
        <w:t>lor</w:t>
      </w:r>
      <w:r w:rsidR="00C70961" w:rsidRPr="009C5F11">
        <w:rPr>
          <w:rFonts w:ascii="Times New Roman" w:hAnsi="Times New Roman" w:cs="Times New Roman"/>
          <w:sz w:val="24"/>
          <w:lang w:val="ro-RO"/>
        </w:rPr>
        <w:t xml:space="preserve"> 2009/125</w:t>
      </w:r>
      <w:r w:rsidR="000A4CC7" w:rsidRPr="009C5F11">
        <w:rPr>
          <w:rFonts w:ascii="Times New Roman" w:hAnsi="Times New Roman" w:cs="Times New Roman"/>
          <w:sz w:val="24"/>
          <w:lang w:val="ro-RO"/>
        </w:rPr>
        <w:t>/CE</w:t>
      </w:r>
      <w:r w:rsidR="00321CD5" w:rsidRPr="009C5F11">
        <w:rPr>
          <w:rFonts w:ascii="Times New Roman" w:hAnsi="Times New Roman" w:cs="Times New Roman"/>
          <w:sz w:val="24"/>
          <w:lang w:val="ro-RO"/>
        </w:rPr>
        <w:t xml:space="preserve"> şi </w:t>
      </w:r>
      <w:r w:rsidR="00C70961" w:rsidRPr="009C5F11">
        <w:rPr>
          <w:rFonts w:ascii="Times New Roman" w:hAnsi="Times New Roman" w:cs="Times New Roman"/>
          <w:sz w:val="24"/>
          <w:lang w:val="ro-RO"/>
        </w:rPr>
        <w:t>2010/30</w:t>
      </w:r>
      <w:r w:rsidR="00730BB5" w:rsidRPr="009C5F11">
        <w:rPr>
          <w:rFonts w:ascii="Times New Roman" w:hAnsi="Times New Roman" w:cs="Times New Roman"/>
          <w:sz w:val="24"/>
          <w:lang w:val="ro-RO"/>
        </w:rPr>
        <w:t>/UE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de abrogare a</w:t>
      </w:r>
      <w:r w:rsidR="00C70961" w:rsidRPr="009C5F11">
        <w:rPr>
          <w:rFonts w:ascii="Times New Roman" w:hAnsi="Times New Roman" w:cs="Times New Roman"/>
          <w:sz w:val="24"/>
          <w:lang w:val="ro-RO"/>
        </w:rPr>
        <w:t xml:space="preserve"> Directive</w:t>
      </w:r>
      <w:r w:rsidRPr="009C5F11">
        <w:rPr>
          <w:rFonts w:ascii="Times New Roman" w:hAnsi="Times New Roman" w:cs="Times New Roman"/>
          <w:sz w:val="24"/>
          <w:lang w:val="ro-RO"/>
        </w:rPr>
        <w:t>lor</w:t>
      </w:r>
      <w:r w:rsidR="00C70961" w:rsidRPr="009C5F11">
        <w:rPr>
          <w:rFonts w:ascii="Times New Roman" w:hAnsi="Times New Roman" w:cs="Times New Roman"/>
          <w:sz w:val="24"/>
          <w:lang w:val="ro-RO"/>
        </w:rPr>
        <w:t xml:space="preserve"> 2004/8</w:t>
      </w:r>
      <w:r w:rsidR="000A4CC7" w:rsidRPr="009C5F11">
        <w:rPr>
          <w:rFonts w:ascii="Times New Roman" w:hAnsi="Times New Roman" w:cs="Times New Roman"/>
          <w:sz w:val="24"/>
          <w:lang w:val="ro-RO"/>
        </w:rPr>
        <w:t>/CE</w:t>
      </w:r>
      <w:r w:rsidR="00321CD5" w:rsidRPr="009C5F11">
        <w:rPr>
          <w:rFonts w:ascii="Times New Roman" w:hAnsi="Times New Roman" w:cs="Times New Roman"/>
          <w:sz w:val="24"/>
          <w:lang w:val="ro-RO"/>
        </w:rPr>
        <w:t xml:space="preserve"> şi </w:t>
      </w:r>
      <w:r w:rsidR="00C70961" w:rsidRPr="009C5F11">
        <w:rPr>
          <w:rFonts w:ascii="Times New Roman" w:hAnsi="Times New Roman" w:cs="Times New Roman"/>
          <w:sz w:val="24"/>
          <w:lang w:val="ro-RO"/>
        </w:rPr>
        <w:t>2006/32</w:t>
      </w:r>
      <w:r w:rsidR="000A4CC7" w:rsidRPr="009C5F11">
        <w:rPr>
          <w:rFonts w:ascii="Times New Roman" w:hAnsi="Times New Roman" w:cs="Times New Roman"/>
          <w:sz w:val="24"/>
          <w:lang w:val="ro-RO"/>
        </w:rPr>
        <w:t>/CE</w:t>
      </w:r>
      <w:r w:rsidR="00C70961" w:rsidRPr="009C5F11">
        <w:rPr>
          <w:rFonts w:ascii="Times New Roman" w:hAnsi="Times New Roman" w:cs="Times New Roman"/>
          <w:sz w:val="24"/>
          <w:lang w:val="ro-RO"/>
        </w:rPr>
        <w:t>.</w:t>
      </w:r>
    </w:p>
    <w:p w14:paraId="62CD20C3" w14:textId="13CA4B74" w:rsidR="00C70961" w:rsidRPr="009C5F11" w:rsidRDefault="00591169" w:rsidP="00C70961">
      <w:pPr>
        <w:spacing w:before="120" w:after="120" w:line="240" w:lineRule="auto"/>
        <w:jc w:val="both"/>
        <w:rPr>
          <w:rFonts w:ascii="Times New Roman" w:hAnsi="Times New Roman" w:cs="Times New Roman"/>
          <w:bCs/>
          <w:color w:val="000000"/>
          <w:sz w:val="24"/>
          <w:lang w:val="ro-RO"/>
        </w:rPr>
      </w:pPr>
      <w:r w:rsidRPr="009C5F11">
        <w:rPr>
          <w:rFonts w:ascii="Times New Roman" w:hAnsi="Times New Roman" w:cs="Times New Roman"/>
          <w:bCs/>
          <w:color w:val="000000"/>
          <w:sz w:val="24"/>
          <w:lang w:val="ro-RO"/>
        </w:rPr>
        <w:t>Revizuirea este prezentată în</w:t>
      </w:r>
      <w:r w:rsidR="00795651" w:rsidRPr="009C5F11">
        <w:rPr>
          <w:rFonts w:ascii="Times New Roman" w:hAnsi="Times New Roman" w:cs="Times New Roman"/>
          <w:bCs/>
          <w:color w:val="000000"/>
          <w:sz w:val="24"/>
          <w:lang w:val="ro-RO"/>
        </w:rPr>
        <w:t xml:space="preserve"> </w:t>
      </w:r>
      <w:r w:rsidR="005619E4" w:rsidRPr="009C5F11">
        <w:rPr>
          <w:rFonts w:ascii="Times New Roman" w:hAnsi="Times New Roman" w:cs="Times New Roman"/>
          <w:bCs/>
          <w:color w:val="000000"/>
          <w:sz w:val="24"/>
          <w:lang w:val="ro-RO"/>
        </w:rPr>
        <w:t>Secţiunea</w:t>
      </w:r>
      <w:r w:rsidR="00795651" w:rsidRPr="009C5F11">
        <w:rPr>
          <w:rFonts w:ascii="Times New Roman" w:hAnsi="Times New Roman" w:cs="Times New Roman"/>
          <w:bCs/>
          <w:color w:val="000000"/>
          <w:sz w:val="24"/>
          <w:lang w:val="ro-RO"/>
        </w:rPr>
        <w:t xml:space="preserve"> </w:t>
      </w:r>
      <w:r w:rsidR="003A6ADB" w:rsidRPr="009C5F11">
        <w:rPr>
          <w:rFonts w:ascii="Times New Roman" w:hAnsi="Times New Roman" w:cs="Times New Roman"/>
          <w:bCs/>
          <w:color w:val="000000"/>
          <w:sz w:val="24"/>
          <w:lang w:val="ro-RO"/>
        </w:rPr>
        <w:fldChar w:fldCharType="begin"/>
      </w:r>
      <w:r w:rsidR="00795651" w:rsidRPr="009C5F11">
        <w:rPr>
          <w:rFonts w:ascii="Times New Roman" w:hAnsi="Times New Roman" w:cs="Times New Roman"/>
          <w:bCs/>
          <w:color w:val="000000"/>
          <w:sz w:val="24"/>
          <w:lang w:val="ro-RO"/>
        </w:rPr>
        <w:instrText xml:space="preserve"> REF _Ref319676855 \r \h </w:instrText>
      </w:r>
      <w:r w:rsidR="009C5F11" w:rsidRPr="009C5F11">
        <w:rPr>
          <w:rFonts w:ascii="Times New Roman" w:hAnsi="Times New Roman" w:cs="Times New Roman"/>
          <w:bCs/>
          <w:color w:val="000000"/>
          <w:sz w:val="24"/>
          <w:lang w:val="ro-RO"/>
        </w:rPr>
        <w:instrText xml:space="preserve"> \* MERGEFORMAT </w:instrText>
      </w:r>
      <w:r w:rsidR="003A6ADB" w:rsidRPr="009C5F11">
        <w:rPr>
          <w:rFonts w:ascii="Times New Roman" w:hAnsi="Times New Roman" w:cs="Times New Roman"/>
          <w:bCs/>
          <w:color w:val="000000"/>
          <w:sz w:val="24"/>
          <w:lang w:val="ro-RO"/>
        </w:rPr>
      </w:r>
      <w:r w:rsidR="003A6ADB" w:rsidRPr="009C5F11">
        <w:rPr>
          <w:rFonts w:ascii="Times New Roman" w:hAnsi="Times New Roman" w:cs="Times New Roman"/>
          <w:bCs/>
          <w:color w:val="000000"/>
          <w:sz w:val="24"/>
          <w:lang w:val="ro-RO"/>
        </w:rPr>
        <w:fldChar w:fldCharType="separate"/>
      </w:r>
      <w:r w:rsidR="0014013D">
        <w:rPr>
          <w:rFonts w:ascii="Times New Roman" w:hAnsi="Times New Roman" w:cs="Times New Roman"/>
          <w:bCs/>
          <w:color w:val="000000"/>
          <w:sz w:val="24"/>
          <w:lang w:val="ro-RO"/>
        </w:rPr>
        <w:t>1.3.2</w:t>
      </w:r>
      <w:r w:rsidR="003A6ADB" w:rsidRPr="009C5F11">
        <w:rPr>
          <w:rFonts w:ascii="Times New Roman" w:hAnsi="Times New Roman" w:cs="Times New Roman"/>
          <w:bCs/>
          <w:color w:val="000000"/>
          <w:sz w:val="24"/>
          <w:lang w:val="ro-RO"/>
        </w:rPr>
        <w:fldChar w:fldCharType="end"/>
      </w:r>
      <w:r w:rsidR="00C70961" w:rsidRPr="009C5F11">
        <w:rPr>
          <w:rFonts w:ascii="Times New Roman" w:hAnsi="Times New Roman" w:cs="Times New Roman"/>
          <w:bCs/>
          <w:color w:val="000000"/>
          <w:sz w:val="24"/>
          <w:lang w:val="ro-RO"/>
        </w:rPr>
        <w:t>.</w:t>
      </w:r>
    </w:p>
    <w:p w14:paraId="726EC6E8" w14:textId="77777777" w:rsidR="00C70961" w:rsidRPr="009C5F11" w:rsidRDefault="00C70961" w:rsidP="000D35BC">
      <w:pPr>
        <w:spacing w:before="120" w:after="120" w:line="240" w:lineRule="auto"/>
        <w:jc w:val="both"/>
        <w:rPr>
          <w:rFonts w:ascii="Times New Roman" w:hAnsi="Times New Roman" w:cs="Times New Roman"/>
          <w:sz w:val="24"/>
          <w:lang w:val="ro-RO"/>
        </w:rPr>
      </w:pPr>
    </w:p>
    <w:p w14:paraId="1ED1ABF8" w14:textId="77777777" w:rsidR="00C807F1" w:rsidRPr="00D9464A" w:rsidRDefault="00532A33" w:rsidP="00C807F1">
      <w:pPr>
        <w:pStyle w:val="Titlu3"/>
        <w:rPr>
          <w:rFonts w:ascii="Times New Roman" w:hAnsi="Times New Roman" w:cs="Times New Roman"/>
          <w:b/>
          <w:color w:val="000000" w:themeColor="text1"/>
          <w:sz w:val="28"/>
          <w:lang w:val="ro-RO"/>
        </w:rPr>
      </w:pPr>
      <w:bookmarkStart w:id="40" w:name="_Toc319601352"/>
      <w:bookmarkStart w:id="41" w:name="_Ref319676855"/>
      <w:bookmarkStart w:id="42" w:name="_Ref319676884"/>
      <w:bookmarkStart w:id="43" w:name="_Ref319704829"/>
      <w:bookmarkStart w:id="44" w:name="_Ref322009774"/>
      <w:bookmarkStart w:id="45" w:name="_Ref322009790"/>
      <w:bookmarkStart w:id="46" w:name="_Toc322013140"/>
      <w:r w:rsidRPr="00D9464A">
        <w:rPr>
          <w:rFonts w:ascii="Times New Roman" w:hAnsi="Times New Roman" w:cs="Times New Roman"/>
          <w:b/>
          <w:color w:val="000000" w:themeColor="text1"/>
          <w:sz w:val="28"/>
          <w:lang w:val="ro-RO"/>
        </w:rPr>
        <w:t>Implementarea</w:t>
      </w:r>
      <w:r w:rsidR="00C807F1" w:rsidRPr="00D9464A">
        <w:rPr>
          <w:rFonts w:ascii="Times New Roman" w:hAnsi="Times New Roman" w:cs="Times New Roman"/>
          <w:b/>
          <w:color w:val="000000" w:themeColor="text1"/>
          <w:sz w:val="28"/>
          <w:lang w:val="ro-RO"/>
        </w:rPr>
        <w:t xml:space="preserve"> art.4 </w:t>
      </w:r>
      <w:bookmarkEnd w:id="40"/>
      <w:bookmarkEnd w:id="41"/>
      <w:bookmarkEnd w:id="42"/>
      <w:bookmarkEnd w:id="43"/>
      <w:r w:rsidR="005F63E1" w:rsidRPr="00D9464A">
        <w:rPr>
          <w:rFonts w:ascii="Times New Roman" w:hAnsi="Times New Roman" w:cs="Times New Roman"/>
          <w:b/>
          <w:color w:val="000000" w:themeColor="text1"/>
          <w:sz w:val="28"/>
          <w:lang w:val="ro-RO"/>
        </w:rPr>
        <w:t>din</w:t>
      </w:r>
      <w:r w:rsidR="00FA172F" w:rsidRPr="00D9464A">
        <w:rPr>
          <w:rFonts w:ascii="Times New Roman" w:hAnsi="Times New Roman" w:cs="Times New Roman"/>
          <w:b/>
          <w:color w:val="000000" w:themeColor="text1"/>
          <w:sz w:val="28"/>
          <w:lang w:val="ro-RO"/>
        </w:rPr>
        <w:t xml:space="preserve"> Directiv</w:t>
      </w:r>
      <w:r w:rsidR="005F63E1" w:rsidRPr="00D9464A">
        <w:rPr>
          <w:rFonts w:ascii="Times New Roman" w:hAnsi="Times New Roman" w:cs="Times New Roman"/>
          <w:b/>
          <w:color w:val="000000" w:themeColor="text1"/>
          <w:sz w:val="28"/>
          <w:lang w:val="ro-RO"/>
        </w:rPr>
        <w:t>a</w:t>
      </w:r>
      <w:r w:rsidR="00FA172F" w:rsidRPr="00D9464A">
        <w:rPr>
          <w:rFonts w:ascii="Times New Roman" w:hAnsi="Times New Roman" w:cs="Times New Roman"/>
          <w:b/>
          <w:color w:val="000000" w:themeColor="text1"/>
          <w:sz w:val="28"/>
          <w:lang w:val="ro-RO"/>
        </w:rPr>
        <w:t xml:space="preserve"> </w:t>
      </w:r>
      <w:r w:rsidR="00591169" w:rsidRPr="00D9464A">
        <w:rPr>
          <w:rFonts w:ascii="Times New Roman" w:hAnsi="Times New Roman" w:cs="Times New Roman"/>
          <w:b/>
          <w:color w:val="000000" w:themeColor="text1"/>
          <w:sz w:val="28"/>
          <w:lang w:val="ro-RO"/>
        </w:rPr>
        <w:t>privind serviciile energetice</w:t>
      </w:r>
      <w:bookmarkEnd w:id="44"/>
      <w:bookmarkEnd w:id="45"/>
      <w:bookmarkEnd w:id="46"/>
    </w:p>
    <w:p w14:paraId="75D53FBE" w14:textId="2CE67DF0" w:rsidR="00C807F1" w:rsidRPr="009C5F11" w:rsidRDefault="009C5302"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 xml:space="preserve">În general, termenul-limită stabilit pentru implementarea de </w:t>
      </w:r>
      <w:r w:rsidR="00BD6579" w:rsidRPr="009C5F11">
        <w:rPr>
          <w:rFonts w:ascii="Times New Roman" w:hAnsi="Times New Roman" w:cs="Times New Roman"/>
          <w:sz w:val="24"/>
          <w:lang w:val="ro-RO"/>
        </w:rPr>
        <w:t>către</w:t>
      </w:r>
      <w:r w:rsidRPr="009C5F11">
        <w:rPr>
          <w:rFonts w:ascii="Times New Roman" w:hAnsi="Times New Roman" w:cs="Times New Roman"/>
          <w:sz w:val="24"/>
          <w:lang w:val="ro-RO"/>
        </w:rPr>
        <w:t xml:space="preserve"> părţile contractate</w:t>
      </w:r>
      <w:r w:rsidR="006F69A2" w:rsidRPr="009C5F11">
        <w:rPr>
          <w:rFonts w:ascii="Times New Roman" w:hAnsi="Times New Roman" w:cs="Times New Roman"/>
          <w:sz w:val="24"/>
          <w:lang w:val="ro-RO"/>
        </w:rPr>
        <w:t xml:space="preserve"> a Directivei privind serviciile energetice </w:t>
      </w:r>
      <w:r w:rsidRPr="009C5F11">
        <w:rPr>
          <w:rFonts w:ascii="Times New Roman" w:hAnsi="Times New Roman" w:cs="Times New Roman"/>
          <w:sz w:val="24"/>
          <w:lang w:val="ro-RO"/>
        </w:rPr>
        <w:t>a fost amânat cu 3 ani în comparaţie cu statele membre ale Uniunii Europene</w:t>
      </w:r>
      <w:r w:rsidR="00C807F1" w:rsidRPr="009C5F11">
        <w:rPr>
          <w:rFonts w:ascii="Times New Roman" w:hAnsi="Times New Roman" w:cs="Times New Roman"/>
          <w:sz w:val="24"/>
          <w:lang w:val="ro-RO"/>
        </w:rPr>
        <w:t xml:space="preserve">. </w:t>
      </w:r>
      <w:r w:rsidR="00401F29" w:rsidRPr="009C5F11">
        <w:rPr>
          <w:rFonts w:ascii="Times New Roman" w:hAnsi="Times New Roman" w:cs="Times New Roman"/>
          <w:sz w:val="24"/>
          <w:lang w:val="ro-RO"/>
        </w:rPr>
        <w:t>Cu toate acestea</w:t>
      </w:r>
      <w:r w:rsidR="00C807F1"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cazul</w:t>
      </w:r>
      <w:r w:rsidR="00137156" w:rsidRPr="009C5F11">
        <w:rPr>
          <w:rFonts w:ascii="Times New Roman" w:hAnsi="Times New Roman" w:cs="Times New Roman"/>
          <w:sz w:val="24"/>
          <w:lang w:val="ro-RO"/>
        </w:rPr>
        <w:t xml:space="preserve"> Republicii Moldova</w:t>
      </w:r>
      <w:r w:rsidR="00C807F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reperele relevante pentru economiile înregistrate trebuie să fie amânate cu încă un an</w:t>
      </w:r>
      <w:r w:rsidR="00C807F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cu 4 ani în total în raport cu statele membre ale UE</w:t>
      </w:r>
      <w:r w:rsidR="00C807F1" w:rsidRPr="009C5F11">
        <w:rPr>
          <w:rFonts w:ascii="Times New Roman" w:hAnsi="Times New Roman" w:cs="Times New Roman"/>
          <w:sz w:val="24"/>
          <w:lang w:val="ro-RO"/>
        </w:rPr>
        <w:t>).</w:t>
      </w:r>
    </w:p>
    <w:p w14:paraId="10FB5689" w14:textId="77777777" w:rsidR="00C807F1" w:rsidRPr="009C5F11" w:rsidRDefault="00DE55F0" w:rsidP="009D291B">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În vederea evitării oricăror confuzii</w:t>
      </w:r>
      <w:r w:rsidR="001F3A12" w:rsidRPr="009C5F11">
        <w:rPr>
          <w:rFonts w:ascii="Times New Roman" w:hAnsi="Times New Roman" w:cs="Times New Roman"/>
          <w:sz w:val="24"/>
          <w:lang w:val="ro-RO"/>
        </w:rPr>
        <w:t>:</w:t>
      </w:r>
    </w:p>
    <w:p w14:paraId="153378A6" w14:textId="77777777" w:rsidR="00C807F1" w:rsidRPr="009C5F11" w:rsidRDefault="009C5302" w:rsidP="00334F3B">
      <w:pPr>
        <w:pStyle w:val="Listparagraf"/>
        <w:numPr>
          <w:ilvl w:val="0"/>
          <w:numId w:val="53"/>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obiectivul anual </w:t>
      </w:r>
      <w:r w:rsidR="00871B4E" w:rsidRPr="009C5F11">
        <w:rPr>
          <w:rFonts w:ascii="Times New Roman" w:hAnsi="Times New Roman" w:cs="Times New Roman"/>
          <w:sz w:val="24"/>
          <w:lang w:val="ro-RO"/>
        </w:rPr>
        <w:t>DSE</w:t>
      </w:r>
      <w:r w:rsidR="00C807F1" w:rsidRPr="009C5F11">
        <w:rPr>
          <w:rFonts w:ascii="Times New Roman" w:hAnsi="Times New Roman" w:cs="Times New Roman"/>
          <w:sz w:val="24"/>
          <w:lang w:val="ro-RO"/>
        </w:rPr>
        <w:t xml:space="preserve"> (1%) </w:t>
      </w:r>
      <w:r w:rsidRPr="009C5F11">
        <w:rPr>
          <w:rFonts w:ascii="Times New Roman" w:hAnsi="Times New Roman" w:cs="Times New Roman"/>
          <w:sz w:val="24"/>
          <w:lang w:val="ro-RO"/>
        </w:rPr>
        <w:t xml:space="preserve">ar trebui calculat prin aplicarea </w:t>
      </w:r>
      <w:r w:rsidR="00DF271F" w:rsidRPr="009C5F11">
        <w:rPr>
          <w:rFonts w:ascii="Times New Roman" w:hAnsi="Times New Roman" w:cs="Times New Roman"/>
          <w:sz w:val="24"/>
          <w:lang w:val="ro-RO"/>
        </w:rPr>
        <w:t xml:space="preserve">acestui procent </w:t>
      </w:r>
      <w:r w:rsidRPr="009C5F11">
        <w:rPr>
          <w:rFonts w:ascii="Times New Roman" w:hAnsi="Times New Roman" w:cs="Times New Roman"/>
          <w:sz w:val="24"/>
          <w:lang w:val="ro-RO"/>
        </w:rPr>
        <w:t xml:space="preserve">consumului mediu de energie </w:t>
      </w:r>
      <w:r w:rsidR="00440F5F" w:rsidRPr="009C5F11">
        <w:rPr>
          <w:rFonts w:ascii="Times New Roman" w:hAnsi="Times New Roman" w:cs="Times New Roman"/>
          <w:sz w:val="24"/>
          <w:lang w:val="ro-RO"/>
        </w:rPr>
        <w:t xml:space="preserve">finală </w:t>
      </w:r>
      <w:r w:rsidRPr="009C5F11">
        <w:rPr>
          <w:rFonts w:ascii="Times New Roman" w:hAnsi="Times New Roman" w:cs="Times New Roman"/>
          <w:sz w:val="24"/>
          <w:lang w:val="ro-RO"/>
        </w:rPr>
        <w:t xml:space="preserve">pe parcursul ultimilor 5 ani </w:t>
      </w:r>
      <w:r w:rsidR="00BD6579" w:rsidRPr="009C5F11">
        <w:rPr>
          <w:rFonts w:ascii="Times New Roman" w:hAnsi="Times New Roman" w:cs="Times New Roman"/>
          <w:sz w:val="24"/>
          <w:lang w:val="ro-RO"/>
        </w:rPr>
        <w:t>înainte</w:t>
      </w:r>
      <w:r w:rsidRPr="009C5F11">
        <w:rPr>
          <w:rFonts w:ascii="Times New Roman" w:hAnsi="Times New Roman" w:cs="Times New Roman"/>
          <w:sz w:val="24"/>
          <w:lang w:val="ro-RO"/>
        </w:rPr>
        <w:t xml:space="preserve"> de începerea punerii în aplicare a DSE, </w:t>
      </w:r>
      <w:r w:rsidR="00DF271F" w:rsidRPr="009C5F11">
        <w:rPr>
          <w:rFonts w:ascii="Times New Roman" w:hAnsi="Times New Roman" w:cs="Times New Roman"/>
          <w:sz w:val="24"/>
          <w:lang w:val="ro-RO"/>
        </w:rPr>
        <w:t>si nu trebuie bazat pe</w:t>
      </w:r>
      <w:r w:rsidRPr="009C5F11">
        <w:rPr>
          <w:rFonts w:ascii="Times New Roman" w:hAnsi="Times New Roman" w:cs="Times New Roman"/>
          <w:sz w:val="24"/>
          <w:lang w:val="ro-RO"/>
        </w:rPr>
        <w:t xml:space="preserve"> anul de </w:t>
      </w:r>
      <w:r w:rsidR="00DF271F" w:rsidRPr="009C5F11">
        <w:rPr>
          <w:rFonts w:ascii="Times New Roman" w:hAnsi="Times New Roman" w:cs="Times New Roman"/>
          <w:sz w:val="24"/>
          <w:lang w:val="ro-RO"/>
        </w:rPr>
        <w:t>referint</w:t>
      </w:r>
      <w:r w:rsidRPr="009C5F11">
        <w:rPr>
          <w:rFonts w:ascii="Times New Roman" w:hAnsi="Times New Roman" w:cs="Times New Roman"/>
          <w:sz w:val="24"/>
          <w:lang w:val="ro-RO"/>
        </w:rPr>
        <w:t>ă</w:t>
      </w:r>
      <w:r w:rsidR="00C807F1" w:rsidRPr="009C5F11">
        <w:rPr>
          <w:rFonts w:ascii="Times New Roman" w:hAnsi="Times New Roman" w:cs="Times New Roman"/>
          <w:sz w:val="24"/>
          <w:lang w:val="ro-RO"/>
        </w:rPr>
        <w:t xml:space="preserve"> 2009 </w:t>
      </w:r>
      <w:r w:rsidR="00DF271F" w:rsidRPr="009C5F11">
        <w:rPr>
          <w:rFonts w:ascii="Times New Roman" w:hAnsi="Times New Roman" w:cs="Times New Roman"/>
          <w:sz w:val="24"/>
          <w:lang w:val="ro-RO"/>
        </w:rPr>
        <w:t>după cum nu trebuie bazat pe</w:t>
      </w:r>
      <w:r w:rsidRPr="009C5F11">
        <w:rPr>
          <w:rFonts w:ascii="Times New Roman" w:hAnsi="Times New Roman" w:cs="Times New Roman"/>
          <w:sz w:val="24"/>
          <w:lang w:val="ro-RO"/>
        </w:rPr>
        <w:t xml:space="preserve"> consumul primar</w:t>
      </w:r>
      <w:r w:rsidR="00C807F1" w:rsidRPr="009C5F11">
        <w:rPr>
          <w:rFonts w:ascii="Times New Roman" w:hAnsi="Times New Roman" w:cs="Times New Roman"/>
          <w:sz w:val="24"/>
          <w:lang w:val="ro-RO"/>
        </w:rPr>
        <w:t>;</w:t>
      </w:r>
    </w:p>
    <w:p w14:paraId="72A83897" w14:textId="77777777" w:rsidR="00C807F1" w:rsidRPr="009C5F11" w:rsidRDefault="00594BFF" w:rsidP="00334F3B">
      <w:pPr>
        <w:pStyle w:val="Listparagraf"/>
        <w:numPr>
          <w:ilvl w:val="0"/>
          <w:numId w:val="53"/>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primul an de</w:t>
      </w:r>
      <w:r w:rsidR="00C807F1"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implementare</w:t>
      </w:r>
      <w:r w:rsidRPr="009C5F11">
        <w:rPr>
          <w:rFonts w:ascii="Times New Roman" w:hAnsi="Times New Roman" w:cs="Times New Roman"/>
          <w:sz w:val="24"/>
          <w:lang w:val="ro-RO"/>
        </w:rPr>
        <w:t xml:space="preserve"> este</w:t>
      </w:r>
      <w:r w:rsidR="00C807F1" w:rsidRPr="009C5F11">
        <w:rPr>
          <w:rFonts w:ascii="Times New Roman" w:hAnsi="Times New Roman" w:cs="Times New Roman"/>
          <w:sz w:val="24"/>
          <w:lang w:val="ro-RO"/>
        </w:rPr>
        <w:t xml:space="preserve"> 2011</w:t>
      </w:r>
      <w:r w:rsidRPr="009C5F11">
        <w:rPr>
          <w:rFonts w:ascii="Times New Roman" w:hAnsi="Times New Roman" w:cs="Times New Roman"/>
          <w:sz w:val="24"/>
          <w:lang w:val="ro-RO"/>
        </w:rPr>
        <w:t>; prin urmare,</w:t>
      </w:r>
      <w:r w:rsidR="00C807F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pentru calcul se va </w:t>
      </w:r>
      <w:r w:rsidR="00DF271F" w:rsidRPr="009C5F11">
        <w:rPr>
          <w:rFonts w:ascii="Times New Roman" w:hAnsi="Times New Roman" w:cs="Times New Roman"/>
          <w:sz w:val="24"/>
          <w:lang w:val="ro-RO"/>
        </w:rPr>
        <w:t>considera</w:t>
      </w:r>
      <w:r w:rsidRPr="009C5F11">
        <w:rPr>
          <w:rFonts w:ascii="Times New Roman" w:hAnsi="Times New Roman" w:cs="Times New Roman"/>
          <w:sz w:val="24"/>
          <w:lang w:val="ro-RO"/>
        </w:rPr>
        <w:t xml:space="preserve"> valoarea medie a consumului final pentru perioada</w:t>
      </w:r>
      <w:r w:rsidR="00C807F1" w:rsidRPr="009C5F11">
        <w:rPr>
          <w:rFonts w:ascii="Times New Roman" w:hAnsi="Times New Roman" w:cs="Times New Roman"/>
          <w:sz w:val="24"/>
          <w:lang w:val="ro-RO"/>
        </w:rPr>
        <w:t xml:space="preserve"> 2006-2010; </w:t>
      </w:r>
    </w:p>
    <w:p w14:paraId="3A8FF337" w14:textId="77777777" w:rsidR="00C807F1" w:rsidRPr="009C5F11" w:rsidRDefault="00C807F1" w:rsidP="00334F3B">
      <w:pPr>
        <w:pStyle w:val="Listparagraf"/>
        <w:numPr>
          <w:ilvl w:val="0"/>
          <w:numId w:val="53"/>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perio</w:t>
      </w:r>
      <w:r w:rsidR="00594BFF" w:rsidRPr="009C5F11">
        <w:rPr>
          <w:rFonts w:ascii="Times New Roman" w:hAnsi="Times New Roman" w:cs="Times New Roman"/>
          <w:sz w:val="24"/>
          <w:lang w:val="ro-RO"/>
        </w:rPr>
        <w:t>a</w:t>
      </w:r>
      <w:r w:rsidRPr="009C5F11">
        <w:rPr>
          <w:rFonts w:ascii="Times New Roman" w:hAnsi="Times New Roman" w:cs="Times New Roman"/>
          <w:sz w:val="24"/>
          <w:lang w:val="ro-RO"/>
        </w:rPr>
        <w:t>d</w:t>
      </w:r>
      <w:r w:rsidR="00594BFF"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w:t>
      </w:r>
      <w:r w:rsidR="00594BFF" w:rsidRPr="009C5F11">
        <w:rPr>
          <w:rFonts w:ascii="Times New Roman" w:hAnsi="Times New Roman" w:cs="Times New Roman"/>
          <w:sz w:val="24"/>
          <w:lang w:val="ro-RO"/>
        </w:rPr>
        <w:t>relevantă pentru</w:t>
      </w:r>
      <w:r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implementarea</w:t>
      </w:r>
      <w:r w:rsidRPr="009C5F11">
        <w:rPr>
          <w:rFonts w:ascii="Times New Roman" w:hAnsi="Times New Roman" w:cs="Times New Roman"/>
          <w:sz w:val="24"/>
          <w:lang w:val="ro-RO"/>
        </w:rPr>
        <w:t xml:space="preserve"> </w:t>
      </w:r>
      <w:r w:rsidR="00594BFF" w:rsidRPr="009C5F11">
        <w:rPr>
          <w:rFonts w:ascii="Times New Roman" w:hAnsi="Times New Roman" w:cs="Times New Roman"/>
          <w:sz w:val="24"/>
          <w:lang w:val="ro-RO"/>
        </w:rPr>
        <w:t>DSE este</w:t>
      </w:r>
      <w:r w:rsidRPr="009C5F11">
        <w:rPr>
          <w:rFonts w:ascii="Times New Roman" w:hAnsi="Times New Roman" w:cs="Times New Roman"/>
          <w:sz w:val="24"/>
          <w:lang w:val="ro-RO"/>
        </w:rPr>
        <w:t xml:space="preserve"> 2011-2019</w:t>
      </w:r>
      <w:r w:rsidR="00594BFF" w:rsidRPr="009C5F11">
        <w:rPr>
          <w:rFonts w:ascii="Times New Roman" w:hAnsi="Times New Roman" w:cs="Times New Roman"/>
          <w:sz w:val="24"/>
          <w:lang w:val="ro-RO"/>
        </w:rPr>
        <w:t xml:space="preserve">; prin urmare, economiile măsurabile vor fi atinse în </w:t>
      </w:r>
      <w:r w:rsidR="00440F5F" w:rsidRPr="009C5F11">
        <w:rPr>
          <w:rFonts w:ascii="Times New Roman" w:hAnsi="Times New Roman" w:cs="Times New Roman"/>
          <w:sz w:val="24"/>
          <w:lang w:val="ro-RO"/>
        </w:rPr>
        <w:t xml:space="preserve">perioada anilor </w:t>
      </w:r>
      <w:r w:rsidRPr="009C5F11">
        <w:rPr>
          <w:rFonts w:ascii="Times New Roman" w:hAnsi="Times New Roman" w:cs="Times New Roman"/>
          <w:sz w:val="24"/>
          <w:lang w:val="ro-RO"/>
        </w:rPr>
        <w:t>2012-2020;</w:t>
      </w:r>
    </w:p>
    <w:p w14:paraId="3F725049" w14:textId="77777777" w:rsidR="00C807F1" w:rsidRPr="009C5F11" w:rsidRDefault="00594BFF" w:rsidP="00334F3B">
      <w:pPr>
        <w:pStyle w:val="Listparagraf"/>
        <w:numPr>
          <w:ilvl w:val="0"/>
          <w:numId w:val="53"/>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c</w:t>
      </w:r>
      <w:r w:rsidR="00C807F1" w:rsidRPr="009C5F11">
        <w:rPr>
          <w:rFonts w:ascii="Times New Roman" w:hAnsi="Times New Roman" w:cs="Times New Roman"/>
          <w:sz w:val="24"/>
          <w:lang w:val="ro-RO"/>
        </w:rPr>
        <w:t>alcul</w:t>
      </w:r>
      <w:r w:rsidRPr="009C5F11">
        <w:rPr>
          <w:rFonts w:ascii="Times New Roman" w:hAnsi="Times New Roman" w:cs="Times New Roman"/>
          <w:sz w:val="24"/>
          <w:lang w:val="ro-RO"/>
        </w:rPr>
        <w:t xml:space="preserve">ul ar trebui să ofere valoarea economiilor anuale atinse prin măsuri cumulate de economisire de-a lungul unei perioade </w:t>
      </w:r>
      <w:r w:rsidR="00C807F1" w:rsidRPr="009C5F11">
        <w:rPr>
          <w:rFonts w:ascii="Times New Roman" w:hAnsi="Times New Roman" w:cs="Times New Roman"/>
          <w:sz w:val="24"/>
          <w:lang w:val="ro-RO"/>
        </w:rPr>
        <w:t>relevant</w:t>
      </w:r>
      <w:r w:rsidRPr="009C5F11">
        <w:rPr>
          <w:rFonts w:ascii="Times New Roman" w:hAnsi="Times New Roman" w:cs="Times New Roman"/>
          <w:sz w:val="24"/>
          <w:lang w:val="ro-RO"/>
        </w:rPr>
        <w:t>e, dar nu suma economiilor din fiecare an</w:t>
      </w:r>
      <w:r w:rsidR="00FA5144" w:rsidRPr="009C5F11">
        <w:rPr>
          <w:rFonts w:ascii="Times New Roman" w:hAnsi="Times New Roman" w:cs="Times New Roman"/>
          <w:sz w:val="24"/>
          <w:lang w:val="ro-RO"/>
        </w:rPr>
        <w:t xml:space="preserve"> pe un număr de ani</w:t>
      </w:r>
      <w:r w:rsidR="00440F5F" w:rsidRPr="009C5F11">
        <w:rPr>
          <w:rFonts w:ascii="Times New Roman" w:hAnsi="Times New Roman" w:cs="Times New Roman"/>
          <w:sz w:val="24"/>
          <w:lang w:val="ro-RO"/>
        </w:rPr>
        <w:t>.</w:t>
      </w:r>
    </w:p>
    <w:p w14:paraId="5DF3CAF7" w14:textId="0F0D30A4" w:rsidR="00C807F1" w:rsidRPr="009C5F11" w:rsidRDefault="00303C40"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t>Corespunzător</w:t>
      </w:r>
      <w:r w:rsidR="00C807F1" w:rsidRPr="009C5F11">
        <w:rPr>
          <w:rFonts w:ascii="Times New Roman" w:hAnsi="Times New Roman" w:cs="Times New Roman"/>
          <w:sz w:val="24"/>
          <w:lang w:val="ro-RO"/>
        </w:rPr>
        <w:t xml:space="preserve">, </w:t>
      </w:r>
      <w:r w:rsidR="00D62784" w:rsidRPr="009C5F11">
        <w:rPr>
          <w:rFonts w:ascii="Times New Roman" w:hAnsi="Times New Roman" w:cs="Times New Roman"/>
          <w:sz w:val="24"/>
          <w:lang w:val="ro-RO"/>
        </w:rPr>
        <w:t>anul</w:t>
      </w:r>
      <w:r w:rsidR="00C807F1" w:rsidRPr="009C5F11">
        <w:rPr>
          <w:rFonts w:ascii="Times New Roman" w:hAnsi="Times New Roman" w:cs="Times New Roman"/>
          <w:sz w:val="24"/>
          <w:lang w:val="ro-RO"/>
        </w:rPr>
        <w:t xml:space="preserve"> 2016 </w:t>
      </w:r>
      <w:r w:rsidR="00C639BC" w:rsidRPr="009C5F11">
        <w:rPr>
          <w:rFonts w:ascii="Times New Roman" w:hAnsi="Times New Roman" w:cs="Times New Roman"/>
          <w:sz w:val="24"/>
          <w:lang w:val="ro-RO"/>
        </w:rPr>
        <w:t xml:space="preserve">ar trebui să fie punctul de reper </w:t>
      </w:r>
      <w:r w:rsidR="00C807F1" w:rsidRPr="009C5F11">
        <w:rPr>
          <w:rFonts w:ascii="Times New Roman" w:hAnsi="Times New Roman" w:cs="Times New Roman"/>
          <w:sz w:val="24"/>
          <w:lang w:val="ro-RO"/>
        </w:rPr>
        <w:t>intermedia</w:t>
      </w:r>
      <w:r w:rsidR="00C639BC" w:rsidRPr="009C5F11">
        <w:rPr>
          <w:rFonts w:ascii="Times New Roman" w:hAnsi="Times New Roman" w:cs="Times New Roman"/>
          <w:sz w:val="24"/>
          <w:lang w:val="ro-RO"/>
        </w:rPr>
        <w:t>r atunci când</w:t>
      </w:r>
      <w:r w:rsidR="00C807F1"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00C639BC" w:rsidRPr="009C5F11">
        <w:rPr>
          <w:rFonts w:ascii="Times New Roman" w:hAnsi="Times New Roman" w:cs="Times New Roman"/>
          <w:sz w:val="24"/>
          <w:lang w:val="ro-RO"/>
        </w:rPr>
        <w:t xml:space="preserve">le realizate în primii </w:t>
      </w:r>
      <w:r w:rsidR="00C807F1" w:rsidRPr="009C5F11">
        <w:rPr>
          <w:rFonts w:ascii="Times New Roman" w:hAnsi="Times New Roman" w:cs="Times New Roman"/>
          <w:sz w:val="24"/>
          <w:lang w:val="ro-RO"/>
        </w:rPr>
        <w:t xml:space="preserve">5 </w:t>
      </w:r>
      <w:r w:rsidR="00C639BC" w:rsidRPr="009C5F11">
        <w:rPr>
          <w:rFonts w:ascii="Times New Roman" w:hAnsi="Times New Roman" w:cs="Times New Roman"/>
          <w:sz w:val="24"/>
          <w:lang w:val="ro-RO"/>
        </w:rPr>
        <w:t xml:space="preserve">ani de implementare a </w:t>
      </w:r>
      <w:r w:rsidR="00871B4E" w:rsidRPr="009C5F11">
        <w:rPr>
          <w:rFonts w:ascii="Times New Roman" w:hAnsi="Times New Roman" w:cs="Times New Roman"/>
          <w:sz w:val="24"/>
          <w:lang w:val="ro-RO"/>
        </w:rPr>
        <w:t>DSE</w:t>
      </w:r>
      <w:r w:rsidR="00C807F1" w:rsidRPr="009C5F11">
        <w:rPr>
          <w:rFonts w:ascii="Times New Roman" w:hAnsi="Times New Roman" w:cs="Times New Roman"/>
          <w:sz w:val="24"/>
          <w:lang w:val="ro-RO"/>
        </w:rPr>
        <w:t xml:space="preserve"> (2011-2015) gener</w:t>
      </w:r>
      <w:r w:rsidR="00C639BC" w:rsidRPr="009C5F11">
        <w:rPr>
          <w:rFonts w:ascii="Times New Roman" w:hAnsi="Times New Roman" w:cs="Times New Roman"/>
          <w:sz w:val="24"/>
          <w:lang w:val="ro-RO"/>
        </w:rPr>
        <w:t>e</w:t>
      </w:r>
      <w:r w:rsidR="00C807F1" w:rsidRPr="009C5F11">
        <w:rPr>
          <w:rFonts w:ascii="Times New Roman" w:hAnsi="Times New Roman" w:cs="Times New Roman"/>
          <w:sz w:val="24"/>
          <w:lang w:val="ro-RO"/>
        </w:rPr>
        <w:t>a</w:t>
      </w:r>
      <w:r w:rsidR="00C639BC" w:rsidRPr="009C5F11">
        <w:rPr>
          <w:rFonts w:ascii="Times New Roman" w:hAnsi="Times New Roman" w:cs="Times New Roman"/>
          <w:sz w:val="24"/>
          <w:lang w:val="ro-RO"/>
        </w:rPr>
        <w:t>ză</w:t>
      </w:r>
      <w:r w:rsidR="00C807F1"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economii</w:t>
      </w:r>
      <w:r w:rsidR="00D854BE" w:rsidRPr="009C5F11">
        <w:rPr>
          <w:rFonts w:ascii="Times New Roman" w:hAnsi="Times New Roman" w:cs="Times New Roman"/>
          <w:sz w:val="24"/>
          <w:lang w:val="ro-RO"/>
        </w:rPr>
        <w:t>;</w:t>
      </w:r>
      <w:r w:rsidR="00C807F1"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 xml:space="preserve">iar </w:t>
      </w:r>
      <w:r w:rsidR="00C807F1" w:rsidRPr="009C5F11">
        <w:rPr>
          <w:rFonts w:ascii="Times New Roman" w:hAnsi="Times New Roman" w:cs="Times New Roman"/>
          <w:sz w:val="24"/>
          <w:lang w:val="ro-RO"/>
        </w:rPr>
        <w:t xml:space="preserve">2020 </w:t>
      </w:r>
      <w:r w:rsidR="00C639BC" w:rsidRPr="009C5F11">
        <w:rPr>
          <w:rFonts w:ascii="Times New Roman" w:hAnsi="Times New Roman" w:cs="Times New Roman"/>
          <w:sz w:val="24"/>
          <w:lang w:val="ro-RO"/>
        </w:rPr>
        <w:t xml:space="preserve">este anul când </w:t>
      </w:r>
      <w:r w:rsidRPr="009C5F11">
        <w:rPr>
          <w:rFonts w:ascii="Times New Roman" w:hAnsi="Times New Roman" w:cs="Times New Roman"/>
          <w:sz w:val="24"/>
          <w:lang w:val="ro-RO"/>
        </w:rPr>
        <w:t xml:space="preserve">toate </w:t>
      </w:r>
      <w:r w:rsidR="00C639BC" w:rsidRPr="009C5F11">
        <w:rPr>
          <w:rFonts w:ascii="Times New Roman" w:hAnsi="Times New Roman" w:cs="Times New Roman"/>
          <w:sz w:val="24"/>
          <w:lang w:val="ro-RO"/>
        </w:rPr>
        <w:t xml:space="preserve">măsurile realizate pe parcursul a 9 ani de </w:t>
      </w:r>
      <w:r w:rsidR="00532A33" w:rsidRPr="009C5F11">
        <w:rPr>
          <w:rFonts w:ascii="Times New Roman" w:hAnsi="Times New Roman" w:cs="Times New Roman"/>
          <w:sz w:val="24"/>
          <w:lang w:val="ro-RO"/>
        </w:rPr>
        <w:t>implementare</w:t>
      </w:r>
      <w:r w:rsidR="00C639BC"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a</w:t>
      </w:r>
      <w:r w:rsidR="00C639BC" w:rsidRPr="009C5F11">
        <w:rPr>
          <w:rFonts w:ascii="Times New Roman" w:hAnsi="Times New Roman" w:cs="Times New Roman"/>
          <w:sz w:val="24"/>
          <w:lang w:val="ro-RO"/>
        </w:rPr>
        <w:t xml:space="preserve"> DSE </w:t>
      </w:r>
      <w:r w:rsidR="00C807F1" w:rsidRPr="009C5F11">
        <w:rPr>
          <w:rFonts w:ascii="Times New Roman" w:hAnsi="Times New Roman" w:cs="Times New Roman"/>
          <w:sz w:val="24"/>
          <w:lang w:val="ro-RO"/>
        </w:rPr>
        <w:t>(2011-2019) gener</w:t>
      </w:r>
      <w:r w:rsidR="00C639BC" w:rsidRPr="009C5F11">
        <w:rPr>
          <w:rFonts w:ascii="Times New Roman" w:hAnsi="Times New Roman" w:cs="Times New Roman"/>
          <w:sz w:val="24"/>
          <w:lang w:val="ro-RO"/>
        </w:rPr>
        <w:t>e</w:t>
      </w:r>
      <w:r w:rsidR="00C807F1" w:rsidRPr="009C5F11">
        <w:rPr>
          <w:rFonts w:ascii="Times New Roman" w:hAnsi="Times New Roman" w:cs="Times New Roman"/>
          <w:sz w:val="24"/>
          <w:lang w:val="ro-RO"/>
        </w:rPr>
        <w:t>a</w:t>
      </w:r>
      <w:r w:rsidR="00C639BC" w:rsidRPr="009C5F11">
        <w:rPr>
          <w:rFonts w:ascii="Times New Roman" w:hAnsi="Times New Roman" w:cs="Times New Roman"/>
          <w:sz w:val="24"/>
          <w:lang w:val="ro-RO"/>
        </w:rPr>
        <w:t>ză</w:t>
      </w:r>
      <w:r w:rsidR="00C807F1"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economii</w:t>
      </w:r>
      <w:r w:rsidR="00C807F1"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Prin urmare</w:t>
      </w:r>
      <w:r w:rsidR="00C807F1" w:rsidRPr="009C5F11">
        <w:rPr>
          <w:rFonts w:ascii="Times New Roman" w:hAnsi="Times New Roman" w:cs="Times New Roman"/>
          <w:sz w:val="24"/>
          <w:lang w:val="ro-RO"/>
        </w:rPr>
        <w:t xml:space="preserve">, 2020 </w:t>
      </w:r>
      <w:r w:rsidR="00C639BC" w:rsidRPr="009C5F11">
        <w:rPr>
          <w:rFonts w:ascii="Times New Roman" w:hAnsi="Times New Roman" w:cs="Times New Roman"/>
          <w:sz w:val="24"/>
          <w:lang w:val="ro-RO"/>
        </w:rPr>
        <w:t xml:space="preserve">este anul când ar trebui măsurat obiectivul </w:t>
      </w:r>
      <w:r w:rsidR="00C807F1" w:rsidRPr="009C5F11">
        <w:rPr>
          <w:rFonts w:ascii="Times New Roman" w:hAnsi="Times New Roman" w:cs="Times New Roman"/>
          <w:sz w:val="24"/>
          <w:lang w:val="ro-RO"/>
        </w:rPr>
        <w:t>indicativ</w:t>
      </w:r>
      <w:r w:rsidR="00C639BC" w:rsidRPr="009C5F11">
        <w:rPr>
          <w:rFonts w:ascii="Times New Roman" w:hAnsi="Times New Roman" w:cs="Times New Roman"/>
          <w:sz w:val="24"/>
          <w:lang w:val="ro-RO"/>
        </w:rPr>
        <w:t xml:space="preserve"> naţional stabilit pentru economiile de</w:t>
      </w:r>
      <w:r w:rsidR="00C807F1" w:rsidRPr="009C5F11">
        <w:rPr>
          <w:rFonts w:ascii="Times New Roman" w:hAnsi="Times New Roman" w:cs="Times New Roman"/>
          <w:sz w:val="24"/>
          <w:lang w:val="ro-RO"/>
        </w:rPr>
        <w:t xml:space="preserve"> </w:t>
      </w:r>
      <w:r w:rsidR="001E3482" w:rsidRPr="009C5F11">
        <w:rPr>
          <w:rFonts w:ascii="Times New Roman" w:hAnsi="Times New Roman" w:cs="Times New Roman"/>
          <w:sz w:val="24"/>
          <w:lang w:val="ro-RO"/>
        </w:rPr>
        <w:t>energie</w:t>
      </w:r>
      <w:r w:rsidR="00C807F1" w:rsidRPr="009C5F11">
        <w:rPr>
          <w:rFonts w:ascii="Times New Roman" w:hAnsi="Times New Roman" w:cs="Times New Roman"/>
          <w:sz w:val="24"/>
          <w:lang w:val="ro-RO"/>
        </w:rPr>
        <w:t xml:space="preserve"> (</w:t>
      </w:r>
      <w:r w:rsidR="00D62784" w:rsidRPr="009C5F11">
        <w:rPr>
          <w:rFonts w:ascii="Times New Roman" w:hAnsi="Times New Roman" w:cs="Times New Roman"/>
          <w:sz w:val="24"/>
          <w:lang w:val="ro-RO"/>
        </w:rPr>
        <w:t>în conformitate cu</w:t>
      </w:r>
      <w:r w:rsidR="00C807F1"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Articolul</w:t>
      </w:r>
      <w:r w:rsidR="00C807F1" w:rsidRPr="009C5F11">
        <w:rPr>
          <w:rFonts w:ascii="Times New Roman" w:hAnsi="Times New Roman" w:cs="Times New Roman"/>
          <w:sz w:val="24"/>
          <w:lang w:val="ro-RO"/>
        </w:rPr>
        <w:t xml:space="preserve"> 1 (b)</w:t>
      </w:r>
      <w:r w:rsidR="00321CD5" w:rsidRPr="009C5F11">
        <w:rPr>
          <w:rFonts w:ascii="Times New Roman" w:hAnsi="Times New Roman" w:cs="Times New Roman"/>
          <w:sz w:val="24"/>
          <w:lang w:val="ro-RO"/>
        </w:rPr>
        <w:t xml:space="preserve"> </w:t>
      </w:r>
      <w:r w:rsidR="00D62784" w:rsidRPr="009C5F11">
        <w:rPr>
          <w:rFonts w:ascii="Times New Roman" w:hAnsi="Times New Roman" w:cs="Times New Roman"/>
          <w:sz w:val="24"/>
          <w:lang w:val="ro-RO"/>
        </w:rPr>
        <w:t>di</w:t>
      </w:r>
      <w:r w:rsidR="00321CD5" w:rsidRPr="009C5F11">
        <w:rPr>
          <w:rFonts w:ascii="Times New Roman" w:hAnsi="Times New Roman" w:cs="Times New Roman"/>
          <w:sz w:val="24"/>
          <w:lang w:val="ro-RO"/>
        </w:rPr>
        <w:t xml:space="preserve">n </w:t>
      </w:r>
      <w:r w:rsidR="00D62784" w:rsidRPr="009C5F11">
        <w:rPr>
          <w:rFonts w:ascii="Times New Roman" w:hAnsi="Times New Roman" w:cs="Times New Roman"/>
          <w:sz w:val="24"/>
          <w:lang w:val="ro-RO"/>
        </w:rPr>
        <w:t xml:space="preserve">Anexa </w:t>
      </w:r>
      <w:r w:rsidR="00C807F1" w:rsidRPr="009C5F11">
        <w:rPr>
          <w:rFonts w:ascii="Times New Roman" w:hAnsi="Times New Roman" w:cs="Times New Roman"/>
          <w:sz w:val="24"/>
          <w:lang w:val="ro-RO"/>
        </w:rPr>
        <w:t xml:space="preserve">1 </w:t>
      </w:r>
      <w:r w:rsidR="00D62784" w:rsidRPr="009C5F11">
        <w:rPr>
          <w:rFonts w:ascii="Times New Roman" w:hAnsi="Times New Roman" w:cs="Times New Roman"/>
          <w:sz w:val="24"/>
          <w:lang w:val="ro-RO"/>
        </w:rPr>
        <w:t>a</w:t>
      </w:r>
      <w:r w:rsidR="00C807F1"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DSE</w:t>
      </w:r>
      <w:r w:rsidR="00C807F1" w:rsidRPr="009C5F11">
        <w:rPr>
          <w:rFonts w:ascii="Times New Roman" w:hAnsi="Times New Roman" w:cs="Times New Roman"/>
          <w:sz w:val="24"/>
          <w:lang w:val="ro-RO"/>
        </w:rPr>
        <w:t xml:space="preserve"> “… </w:t>
      </w:r>
      <w:r w:rsidR="00D62784" w:rsidRPr="009C5F11">
        <w:rPr>
          <w:rFonts w:ascii="Times New Roman" w:hAnsi="Times New Roman" w:cs="Times New Roman"/>
          <w:i/>
          <w:sz w:val="24"/>
          <w:lang w:val="ro-RO"/>
        </w:rPr>
        <w:t>după al nouălea an de aplicare a prezentei Directive</w:t>
      </w:r>
      <w:r w:rsidR="00C807F1" w:rsidRPr="009C5F11">
        <w:rPr>
          <w:rFonts w:ascii="Times New Roman" w:hAnsi="Times New Roman" w:cs="Times New Roman"/>
          <w:sz w:val="24"/>
          <w:lang w:val="ro-RO"/>
        </w:rPr>
        <w:t>”).</w:t>
      </w:r>
    </w:p>
    <w:p w14:paraId="5B4D172C" w14:textId="77777777" w:rsidR="001A4F46" w:rsidRPr="009C5F11" w:rsidRDefault="00872DAC"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sz w:val="24"/>
          <w:lang w:val="ro-RO"/>
        </w:rPr>
        <w:lastRenderedPageBreak/>
        <w:t>Obiectivul stabilit pentru perioada de</w:t>
      </w:r>
      <w:r w:rsidR="00C807F1" w:rsidRPr="009C5F11">
        <w:rPr>
          <w:rFonts w:ascii="Times New Roman" w:hAnsi="Times New Roman" w:cs="Times New Roman"/>
          <w:sz w:val="24"/>
          <w:lang w:val="ro-RO"/>
        </w:rPr>
        <w:t xml:space="preserve"> 9</w:t>
      </w:r>
      <w:r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ani</w:t>
      </w:r>
      <w:r w:rsidRPr="009C5F11">
        <w:rPr>
          <w:rFonts w:ascii="Times New Roman" w:hAnsi="Times New Roman" w:cs="Times New Roman"/>
          <w:sz w:val="24"/>
          <w:lang w:val="ro-RO"/>
        </w:rPr>
        <w:t xml:space="preserve">, precum şi obiectivul </w:t>
      </w:r>
      <w:r w:rsidR="00C807F1" w:rsidRPr="009C5F11">
        <w:rPr>
          <w:rFonts w:ascii="Times New Roman" w:hAnsi="Times New Roman" w:cs="Times New Roman"/>
          <w:sz w:val="24"/>
          <w:lang w:val="ro-RO"/>
        </w:rPr>
        <w:t>inter</w:t>
      </w:r>
      <w:r w:rsidR="00440F5F" w:rsidRPr="009C5F11">
        <w:rPr>
          <w:rFonts w:ascii="Times New Roman" w:hAnsi="Times New Roman" w:cs="Times New Roman"/>
          <w:sz w:val="24"/>
          <w:lang w:val="ro-RO"/>
        </w:rPr>
        <w:t>mediar</w:t>
      </w:r>
      <w:r w:rsidR="00C807F1" w:rsidRPr="009C5F11">
        <w:rPr>
          <w:rFonts w:ascii="Times New Roman" w:hAnsi="Times New Roman" w:cs="Times New Roman"/>
          <w:sz w:val="24"/>
          <w:lang w:val="ro-RO"/>
        </w:rPr>
        <w:t xml:space="preserve"> (5 </w:t>
      </w:r>
      <w:r w:rsidR="00C639BC" w:rsidRPr="009C5F11">
        <w:rPr>
          <w:rFonts w:ascii="Times New Roman" w:hAnsi="Times New Roman" w:cs="Times New Roman"/>
          <w:sz w:val="24"/>
          <w:lang w:val="ro-RO"/>
        </w:rPr>
        <w:t>ani</w:t>
      </w:r>
      <w:r w:rsidR="00C807F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 implementare a</w:t>
      </w:r>
      <w:r w:rsidR="00C807F1"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DSE</w:t>
      </w:r>
      <w:r w:rsidR="00C807F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au fost </w:t>
      </w:r>
      <w:r w:rsidR="00C807F1" w:rsidRPr="009C5F11">
        <w:rPr>
          <w:rFonts w:ascii="Times New Roman" w:hAnsi="Times New Roman" w:cs="Times New Roman"/>
          <w:sz w:val="24"/>
          <w:lang w:val="ro-RO"/>
        </w:rPr>
        <w:t xml:space="preserve">recalculate </w:t>
      </w:r>
      <w:r w:rsidRPr="009C5F11">
        <w:rPr>
          <w:rFonts w:ascii="Times New Roman" w:hAnsi="Times New Roman" w:cs="Times New Roman"/>
          <w:sz w:val="24"/>
          <w:lang w:val="ro-RO"/>
        </w:rPr>
        <w:t xml:space="preserve">în raport cu obiectivele stabilite de </w:t>
      </w:r>
      <w:r w:rsidR="00872DC2" w:rsidRPr="009C5F11">
        <w:rPr>
          <w:rFonts w:ascii="Times New Roman" w:hAnsi="Times New Roman" w:cs="Times New Roman"/>
          <w:sz w:val="24"/>
          <w:lang w:val="ro-RO"/>
        </w:rPr>
        <w:t>PNAEE</w:t>
      </w:r>
      <w:r w:rsidR="00C807F1"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precedent pentru a oferi o referinţă corectă atunci când sunt evaluate economiile realizate/scontate pentru </w:t>
      </w:r>
      <w:r w:rsidR="00FA5144" w:rsidRPr="009C5F11">
        <w:rPr>
          <w:rFonts w:ascii="Times New Roman" w:hAnsi="Times New Roman" w:cs="Times New Roman"/>
          <w:sz w:val="24"/>
          <w:lang w:val="ro-RO"/>
        </w:rPr>
        <w:t>reperele</w:t>
      </w:r>
      <w:r w:rsidRPr="009C5F11">
        <w:rPr>
          <w:rFonts w:ascii="Times New Roman" w:hAnsi="Times New Roman" w:cs="Times New Roman"/>
          <w:sz w:val="24"/>
          <w:lang w:val="ro-RO"/>
        </w:rPr>
        <w:t xml:space="preserve"> </w:t>
      </w:r>
      <w:r w:rsidR="00C807F1" w:rsidRPr="009C5F11">
        <w:rPr>
          <w:rFonts w:ascii="Times New Roman" w:hAnsi="Times New Roman" w:cs="Times New Roman"/>
          <w:sz w:val="24"/>
          <w:lang w:val="ro-RO"/>
        </w:rPr>
        <w:t xml:space="preserve">2016/2020. </w:t>
      </w:r>
    </w:p>
    <w:p w14:paraId="5E37008E" w14:textId="377EE4F3" w:rsidR="002733CB" w:rsidRPr="009C5F11" w:rsidRDefault="00A56101" w:rsidP="00087B37">
      <w:pPr>
        <w:pStyle w:val="Listparagraf"/>
        <w:numPr>
          <w:ilvl w:val="0"/>
          <w:numId w:val="210"/>
        </w:numPr>
        <w:spacing w:before="120" w:after="120" w:line="240" w:lineRule="auto"/>
        <w:ind w:left="0" w:firstLine="284"/>
        <w:jc w:val="both"/>
        <w:rPr>
          <w:rFonts w:ascii="Times New Roman" w:hAnsi="Times New Roman" w:cs="Times New Roman"/>
          <w:sz w:val="24"/>
          <w:lang w:val="ro-RO"/>
        </w:rPr>
      </w:pPr>
      <w:r w:rsidRPr="009C5F11">
        <w:rPr>
          <w:rFonts w:ascii="Times New Roman" w:hAnsi="Times New Roman" w:cs="Times New Roman"/>
          <w:bCs/>
          <w:color w:val="000000"/>
          <w:sz w:val="24"/>
          <w:lang w:val="ro-RO"/>
        </w:rPr>
        <w:t>Pornind de la obligaţiile Republicii Moldova</w:t>
      </w:r>
      <w:r w:rsidR="002733CB" w:rsidRPr="009C5F11">
        <w:rPr>
          <w:rFonts w:ascii="Times New Roman" w:hAnsi="Times New Roman" w:cs="Times New Roman"/>
          <w:bCs/>
          <w:color w:val="000000"/>
          <w:sz w:val="24"/>
          <w:lang w:val="ro-RO"/>
        </w:rPr>
        <w:t xml:space="preserve"> </w:t>
      </w:r>
      <w:r w:rsidRPr="009C5F11">
        <w:rPr>
          <w:rFonts w:ascii="Times New Roman" w:hAnsi="Times New Roman" w:cs="Times New Roman"/>
          <w:bCs/>
          <w:color w:val="000000"/>
          <w:sz w:val="24"/>
          <w:lang w:val="ro-RO"/>
        </w:rPr>
        <w:t>rezultante din</w:t>
      </w:r>
      <w:r w:rsidR="002733CB" w:rsidRPr="009C5F11">
        <w:rPr>
          <w:rFonts w:ascii="Times New Roman" w:hAnsi="Times New Roman" w:cs="Times New Roman"/>
          <w:bCs/>
          <w:color w:val="000000"/>
          <w:sz w:val="24"/>
          <w:lang w:val="ro-RO"/>
        </w:rPr>
        <w:t xml:space="preserve"> participa</w:t>
      </w:r>
      <w:r w:rsidRPr="009C5F11">
        <w:rPr>
          <w:rFonts w:ascii="Times New Roman" w:hAnsi="Times New Roman" w:cs="Times New Roman"/>
          <w:bCs/>
          <w:color w:val="000000"/>
          <w:sz w:val="24"/>
          <w:lang w:val="ro-RO"/>
        </w:rPr>
        <w:t xml:space="preserve">rea ţării la Tratatul </w:t>
      </w:r>
      <w:r w:rsidR="00FA172F" w:rsidRPr="009C5F11">
        <w:rPr>
          <w:rFonts w:ascii="Times New Roman" w:hAnsi="Times New Roman" w:cs="Times New Roman"/>
          <w:bCs/>
          <w:color w:val="000000"/>
          <w:sz w:val="24"/>
          <w:lang w:val="ro-RO"/>
        </w:rPr>
        <w:t xml:space="preserve">de constituire a </w:t>
      </w:r>
      <w:r w:rsidR="00D55D28" w:rsidRPr="009C5F11">
        <w:rPr>
          <w:rFonts w:ascii="Times New Roman" w:hAnsi="Times New Roman" w:cs="Times New Roman"/>
          <w:bCs/>
          <w:color w:val="000000"/>
          <w:sz w:val="24"/>
          <w:lang w:val="ro-RO"/>
        </w:rPr>
        <w:t>Comunit</w:t>
      </w:r>
      <w:r w:rsidRPr="009C5F11">
        <w:rPr>
          <w:rFonts w:ascii="Times New Roman" w:hAnsi="Times New Roman" w:cs="Times New Roman"/>
          <w:bCs/>
          <w:color w:val="000000"/>
          <w:sz w:val="24"/>
          <w:lang w:val="ro-RO"/>
        </w:rPr>
        <w:t>ăţii</w:t>
      </w:r>
      <w:r w:rsidR="00D55D28" w:rsidRPr="009C5F11">
        <w:rPr>
          <w:rFonts w:ascii="Times New Roman" w:hAnsi="Times New Roman" w:cs="Times New Roman"/>
          <w:bCs/>
          <w:color w:val="000000"/>
          <w:sz w:val="24"/>
          <w:lang w:val="ro-RO"/>
        </w:rPr>
        <w:t xml:space="preserve"> Energetic</w:t>
      </w:r>
      <w:r w:rsidRPr="009C5F11">
        <w:rPr>
          <w:rFonts w:ascii="Times New Roman" w:hAnsi="Times New Roman" w:cs="Times New Roman"/>
          <w:bCs/>
          <w:color w:val="000000"/>
          <w:sz w:val="24"/>
          <w:lang w:val="ro-RO"/>
        </w:rPr>
        <w:t>e</w:t>
      </w:r>
      <w:r w:rsidR="000C3716" w:rsidRPr="009C5F11">
        <w:rPr>
          <w:rStyle w:val="Referinnotdesubsol"/>
          <w:rFonts w:ascii="Times New Roman" w:hAnsi="Times New Roman" w:cs="Times New Roman"/>
          <w:bCs/>
          <w:color w:val="000000"/>
          <w:sz w:val="24"/>
          <w:lang w:val="ro-RO"/>
        </w:rPr>
        <w:footnoteReference w:id="13"/>
      </w:r>
      <w:r w:rsidR="00321CD5" w:rsidRPr="009C5F11">
        <w:rPr>
          <w:rFonts w:ascii="Times New Roman" w:hAnsi="Times New Roman" w:cs="Times New Roman"/>
          <w:bCs/>
          <w:color w:val="000000"/>
          <w:sz w:val="24"/>
          <w:lang w:val="ro-RO"/>
        </w:rPr>
        <w:t xml:space="preserve"> şi </w:t>
      </w:r>
      <w:r w:rsidRPr="009C5F11">
        <w:rPr>
          <w:rFonts w:ascii="Times New Roman" w:hAnsi="Times New Roman" w:cs="Times New Roman"/>
          <w:bCs/>
          <w:color w:val="000000"/>
          <w:sz w:val="24"/>
          <w:lang w:val="ro-RO"/>
        </w:rPr>
        <w:t>ca urmare a adoptării</w:t>
      </w:r>
      <w:r w:rsidR="002733CB" w:rsidRPr="009C5F11">
        <w:rPr>
          <w:rFonts w:ascii="Times New Roman" w:hAnsi="Times New Roman" w:cs="Times New Roman"/>
          <w:bCs/>
          <w:color w:val="000000"/>
          <w:sz w:val="24"/>
          <w:lang w:val="ro-RO"/>
        </w:rPr>
        <w:t xml:space="preserve"> </w:t>
      </w:r>
      <w:r w:rsidR="00C639BC" w:rsidRPr="009C5F11">
        <w:rPr>
          <w:rFonts w:ascii="Times New Roman" w:hAnsi="Times New Roman" w:cs="Times New Roman"/>
          <w:bCs/>
          <w:color w:val="000000"/>
          <w:sz w:val="24"/>
          <w:lang w:val="ro-RO"/>
        </w:rPr>
        <w:t>Hotărâril</w:t>
      </w:r>
      <w:r w:rsidRPr="009C5F11">
        <w:rPr>
          <w:rFonts w:ascii="Times New Roman" w:hAnsi="Times New Roman" w:cs="Times New Roman"/>
          <w:bCs/>
          <w:color w:val="000000"/>
          <w:sz w:val="24"/>
          <w:lang w:val="ro-RO"/>
        </w:rPr>
        <w:t>or</w:t>
      </w:r>
      <w:r w:rsidR="00D62784" w:rsidRPr="009C5F11">
        <w:rPr>
          <w:rFonts w:ascii="Times New Roman" w:hAnsi="Times New Roman" w:cs="Times New Roman"/>
          <w:bCs/>
          <w:color w:val="000000"/>
          <w:sz w:val="24"/>
          <w:lang w:val="ro-RO"/>
        </w:rPr>
        <w:t xml:space="preserve"> Consiliului Ministerial</w:t>
      </w:r>
      <w:r w:rsidR="002733CB" w:rsidRPr="009C5F11">
        <w:rPr>
          <w:rFonts w:ascii="Times New Roman" w:hAnsi="Times New Roman" w:cs="Times New Roman"/>
          <w:bCs/>
          <w:color w:val="000000"/>
          <w:sz w:val="24"/>
          <w:lang w:val="ro-RO"/>
        </w:rPr>
        <w:t xml:space="preserve"> 2009/05/MC-EnC </w:t>
      </w:r>
      <w:r w:rsidR="00872DAC" w:rsidRPr="009C5F11">
        <w:rPr>
          <w:rFonts w:ascii="Times New Roman" w:hAnsi="Times New Roman" w:cs="Times New Roman"/>
          <w:bCs/>
          <w:color w:val="000000"/>
          <w:sz w:val="24"/>
          <w:lang w:val="ro-RO"/>
        </w:rPr>
        <w:t>din</w:t>
      </w:r>
      <w:r w:rsidR="002733CB" w:rsidRPr="009C5F11">
        <w:rPr>
          <w:rFonts w:ascii="Times New Roman" w:hAnsi="Times New Roman" w:cs="Times New Roman"/>
          <w:bCs/>
          <w:color w:val="000000"/>
          <w:sz w:val="24"/>
          <w:lang w:val="ro-RO"/>
        </w:rPr>
        <w:t xml:space="preserve"> 18 </w:t>
      </w:r>
      <w:r w:rsidR="000A4CC7" w:rsidRPr="009C5F11">
        <w:rPr>
          <w:rFonts w:ascii="Times New Roman" w:hAnsi="Times New Roman" w:cs="Times New Roman"/>
          <w:bCs/>
          <w:color w:val="000000"/>
          <w:sz w:val="24"/>
          <w:lang w:val="ro-RO"/>
        </w:rPr>
        <w:t>decembrie</w:t>
      </w:r>
      <w:r w:rsidR="002733CB" w:rsidRPr="009C5F11">
        <w:rPr>
          <w:rFonts w:ascii="Times New Roman" w:hAnsi="Times New Roman" w:cs="Times New Roman"/>
          <w:bCs/>
          <w:color w:val="000000"/>
          <w:sz w:val="24"/>
          <w:lang w:val="ro-RO"/>
        </w:rPr>
        <w:t xml:space="preserve"> 2009</w:t>
      </w:r>
      <w:r w:rsidR="00321CD5" w:rsidRPr="009C5F11">
        <w:rPr>
          <w:rFonts w:ascii="Times New Roman" w:hAnsi="Times New Roman" w:cs="Times New Roman"/>
          <w:bCs/>
          <w:color w:val="000000"/>
          <w:sz w:val="24"/>
          <w:lang w:val="ro-RO"/>
        </w:rPr>
        <w:t xml:space="preserve"> şi </w:t>
      </w:r>
      <w:r w:rsidR="002733CB" w:rsidRPr="009C5F11">
        <w:rPr>
          <w:rFonts w:ascii="Times New Roman" w:hAnsi="Times New Roman" w:cs="Times New Roman"/>
          <w:bCs/>
          <w:color w:val="000000"/>
          <w:sz w:val="24"/>
          <w:lang w:val="ro-RO"/>
        </w:rPr>
        <w:t xml:space="preserve">D/2015/08/MC-EnC </w:t>
      </w:r>
      <w:r w:rsidR="00C639BC" w:rsidRPr="009C5F11">
        <w:rPr>
          <w:rFonts w:ascii="Times New Roman" w:hAnsi="Times New Roman" w:cs="Times New Roman"/>
          <w:bCs/>
          <w:color w:val="000000"/>
          <w:sz w:val="24"/>
          <w:lang w:val="ro-RO"/>
        </w:rPr>
        <w:t>din</w:t>
      </w:r>
      <w:r w:rsidR="002733CB" w:rsidRPr="009C5F11">
        <w:rPr>
          <w:rFonts w:ascii="Times New Roman" w:hAnsi="Times New Roman" w:cs="Times New Roman"/>
          <w:bCs/>
          <w:color w:val="000000"/>
          <w:sz w:val="24"/>
          <w:lang w:val="ro-RO"/>
        </w:rPr>
        <w:t xml:space="preserve"> 16 </w:t>
      </w:r>
      <w:r w:rsidR="000A4CC7" w:rsidRPr="009C5F11">
        <w:rPr>
          <w:rFonts w:ascii="Times New Roman" w:hAnsi="Times New Roman" w:cs="Times New Roman"/>
          <w:bCs/>
          <w:color w:val="000000"/>
          <w:sz w:val="24"/>
          <w:lang w:val="ro-RO"/>
        </w:rPr>
        <w:t>octombrie</w:t>
      </w:r>
      <w:r w:rsidR="002733CB" w:rsidRPr="009C5F11">
        <w:rPr>
          <w:rFonts w:ascii="Times New Roman" w:hAnsi="Times New Roman" w:cs="Times New Roman"/>
          <w:bCs/>
          <w:color w:val="000000"/>
          <w:sz w:val="24"/>
          <w:lang w:val="ro-RO"/>
        </w:rPr>
        <w:t xml:space="preserve"> 2015, </w:t>
      </w:r>
      <w:r w:rsidR="00AA03CD" w:rsidRPr="009C5F11">
        <w:rPr>
          <w:rFonts w:ascii="Times New Roman" w:hAnsi="Times New Roman" w:cs="Times New Roman"/>
          <w:bCs/>
          <w:color w:val="000000"/>
          <w:sz w:val="24"/>
          <w:lang w:val="ro-RO"/>
        </w:rPr>
        <w:t xml:space="preserve">obiectivul </w:t>
      </w:r>
      <w:r w:rsidR="002733CB" w:rsidRPr="009C5F11">
        <w:rPr>
          <w:rFonts w:ascii="Times New Roman" w:hAnsi="Times New Roman" w:cs="Times New Roman"/>
          <w:bCs/>
          <w:color w:val="000000"/>
          <w:sz w:val="24"/>
          <w:lang w:val="ro-RO"/>
        </w:rPr>
        <w:t>indicativ</w:t>
      </w:r>
      <w:r w:rsidR="00AA03CD" w:rsidRPr="009C5F11">
        <w:rPr>
          <w:rFonts w:ascii="Times New Roman" w:hAnsi="Times New Roman" w:cs="Times New Roman"/>
          <w:bCs/>
          <w:color w:val="000000"/>
          <w:sz w:val="24"/>
          <w:lang w:val="ro-RO"/>
        </w:rPr>
        <w:t xml:space="preserve"> naţional stabilit </w:t>
      </w:r>
      <w:r w:rsidR="00BD6579" w:rsidRPr="009C5F11">
        <w:rPr>
          <w:rFonts w:ascii="Times New Roman" w:hAnsi="Times New Roman" w:cs="Times New Roman"/>
          <w:bCs/>
          <w:color w:val="000000"/>
          <w:sz w:val="24"/>
          <w:lang w:val="ro-RO"/>
        </w:rPr>
        <w:t>pentru</w:t>
      </w:r>
      <w:r w:rsidR="002733CB" w:rsidRPr="009C5F11">
        <w:rPr>
          <w:rFonts w:ascii="Times New Roman" w:hAnsi="Times New Roman" w:cs="Times New Roman"/>
          <w:bCs/>
          <w:color w:val="000000"/>
          <w:sz w:val="24"/>
          <w:lang w:val="ro-RO"/>
        </w:rPr>
        <w:t xml:space="preserve"> </w:t>
      </w:r>
      <w:r w:rsidR="004424A0" w:rsidRPr="009C5F11">
        <w:rPr>
          <w:rFonts w:ascii="Times New Roman" w:hAnsi="Times New Roman" w:cs="Times New Roman"/>
          <w:bCs/>
          <w:color w:val="000000"/>
          <w:sz w:val="24"/>
          <w:lang w:val="ro-RO"/>
        </w:rPr>
        <w:t>economii</w:t>
      </w:r>
      <w:r w:rsidR="00AA03CD" w:rsidRPr="009C5F11">
        <w:rPr>
          <w:rFonts w:ascii="Times New Roman" w:hAnsi="Times New Roman" w:cs="Times New Roman"/>
          <w:bCs/>
          <w:color w:val="000000"/>
          <w:sz w:val="24"/>
          <w:lang w:val="ro-RO"/>
        </w:rPr>
        <w:t>le</w:t>
      </w:r>
      <w:r w:rsidR="004424A0" w:rsidRPr="009C5F11">
        <w:rPr>
          <w:rFonts w:ascii="Times New Roman" w:hAnsi="Times New Roman" w:cs="Times New Roman"/>
          <w:bCs/>
          <w:color w:val="000000"/>
          <w:sz w:val="24"/>
          <w:lang w:val="ro-RO"/>
        </w:rPr>
        <w:t xml:space="preserve"> de energie</w:t>
      </w:r>
      <w:r w:rsidR="002733CB" w:rsidRPr="009C5F11">
        <w:rPr>
          <w:rFonts w:ascii="Times New Roman" w:hAnsi="Times New Roman" w:cs="Times New Roman"/>
          <w:bCs/>
          <w:color w:val="000000"/>
          <w:sz w:val="24"/>
          <w:lang w:val="ro-RO"/>
        </w:rPr>
        <w:t xml:space="preserve"> </w:t>
      </w:r>
      <w:r w:rsidR="00BD6579" w:rsidRPr="009C5F11">
        <w:rPr>
          <w:rFonts w:ascii="Times New Roman" w:hAnsi="Times New Roman" w:cs="Times New Roman"/>
          <w:bCs/>
          <w:color w:val="000000"/>
          <w:sz w:val="24"/>
          <w:lang w:val="ro-RO"/>
        </w:rPr>
        <w:t>aplicabil</w:t>
      </w:r>
      <w:r w:rsidR="009D291B" w:rsidRPr="009C5F11">
        <w:rPr>
          <w:rFonts w:ascii="Times New Roman" w:hAnsi="Times New Roman" w:cs="Times New Roman"/>
          <w:bCs/>
          <w:color w:val="000000"/>
          <w:sz w:val="24"/>
          <w:lang w:val="ro-RO"/>
        </w:rPr>
        <w:t xml:space="preserve"> </w:t>
      </w:r>
      <w:r w:rsidR="001B3DCF" w:rsidRPr="009C5F11">
        <w:rPr>
          <w:rFonts w:ascii="Times New Roman" w:hAnsi="Times New Roman" w:cs="Times New Roman"/>
          <w:bCs/>
          <w:color w:val="000000"/>
          <w:sz w:val="24"/>
          <w:lang w:val="ro-RO"/>
        </w:rPr>
        <w:t>Republic</w:t>
      </w:r>
      <w:r w:rsidR="00AA03CD" w:rsidRPr="009C5F11">
        <w:rPr>
          <w:rFonts w:ascii="Times New Roman" w:hAnsi="Times New Roman" w:cs="Times New Roman"/>
          <w:bCs/>
          <w:color w:val="000000"/>
          <w:sz w:val="24"/>
          <w:lang w:val="ro-RO"/>
        </w:rPr>
        <w:t>ii</w:t>
      </w:r>
      <w:r w:rsidR="001B3DCF" w:rsidRPr="009C5F11">
        <w:rPr>
          <w:rFonts w:ascii="Times New Roman" w:hAnsi="Times New Roman" w:cs="Times New Roman"/>
          <w:bCs/>
          <w:color w:val="000000"/>
          <w:sz w:val="24"/>
          <w:lang w:val="ro-RO"/>
        </w:rPr>
        <w:t xml:space="preserve"> Moldova</w:t>
      </w:r>
      <w:r w:rsidR="009D291B" w:rsidRPr="009C5F11">
        <w:rPr>
          <w:rFonts w:ascii="Times New Roman" w:hAnsi="Times New Roman" w:cs="Times New Roman"/>
          <w:bCs/>
          <w:color w:val="000000"/>
          <w:sz w:val="24"/>
          <w:lang w:val="ro-RO"/>
        </w:rPr>
        <w:t xml:space="preserve"> </w:t>
      </w:r>
      <w:r w:rsidR="00AA03CD" w:rsidRPr="009C5F11">
        <w:rPr>
          <w:rFonts w:ascii="Times New Roman" w:hAnsi="Times New Roman" w:cs="Times New Roman"/>
          <w:bCs/>
          <w:color w:val="000000"/>
          <w:sz w:val="24"/>
          <w:lang w:val="ro-RO"/>
        </w:rPr>
        <w:t>este de</w:t>
      </w:r>
      <w:r w:rsidR="009D291B" w:rsidRPr="009C5F11">
        <w:rPr>
          <w:rFonts w:ascii="Times New Roman" w:hAnsi="Times New Roman" w:cs="Times New Roman"/>
          <w:bCs/>
          <w:color w:val="000000"/>
          <w:sz w:val="24"/>
          <w:lang w:val="ro-RO"/>
        </w:rPr>
        <w:t xml:space="preserve"> 9%</w:t>
      </w:r>
      <w:r w:rsidR="002733CB" w:rsidRPr="009C5F11">
        <w:rPr>
          <w:rFonts w:ascii="Times New Roman" w:hAnsi="Times New Roman" w:cs="Times New Roman"/>
          <w:bCs/>
          <w:color w:val="000000"/>
          <w:sz w:val="24"/>
          <w:lang w:val="ro-RO"/>
        </w:rPr>
        <w:t xml:space="preserve">. </w:t>
      </w:r>
      <w:r w:rsidR="00AA03CD" w:rsidRPr="009C5F11">
        <w:rPr>
          <w:rFonts w:ascii="Times New Roman" w:hAnsi="Times New Roman" w:cs="Times New Roman"/>
          <w:bCs/>
          <w:color w:val="000000"/>
          <w:sz w:val="24"/>
          <w:lang w:val="ro-RO"/>
        </w:rPr>
        <w:t xml:space="preserve">Cantitatea </w:t>
      </w:r>
      <w:r w:rsidR="002733CB" w:rsidRPr="009C5F11">
        <w:rPr>
          <w:rFonts w:ascii="Times New Roman" w:hAnsi="Times New Roman" w:cs="Times New Roman"/>
          <w:bCs/>
          <w:color w:val="000000"/>
          <w:sz w:val="24"/>
          <w:lang w:val="ro-RO"/>
        </w:rPr>
        <w:t>absolut</w:t>
      </w:r>
      <w:r w:rsidR="00AA03CD" w:rsidRPr="009C5F11">
        <w:rPr>
          <w:rFonts w:ascii="Times New Roman" w:hAnsi="Times New Roman" w:cs="Times New Roman"/>
          <w:bCs/>
          <w:color w:val="000000"/>
          <w:sz w:val="24"/>
          <w:lang w:val="ro-RO"/>
        </w:rPr>
        <w:t>ă de</w:t>
      </w:r>
      <w:r w:rsidR="002733CB" w:rsidRPr="009C5F11">
        <w:rPr>
          <w:rFonts w:ascii="Times New Roman" w:hAnsi="Times New Roman" w:cs="Times New Roman"/>
          <w:bCs/>
          <w:color w:val="000000"/>
          <w:sz w:val="24"/>
          <w:lang w:val="ro-RO"/>
        </w:rPr>
        <w:t xml:space="preserve"> </w:t>
      </w:r>
      <w:r w:rsidR="001E3482" w:rsidRPr="009C5F11">
        <w:rPr>
          <w:rFonts w:ascii="Times New Roman" w:hAnsi="Times New Roman" w:cs="Times New Roman"/>
          <w:bCs/>
          <w:color w:val="000000"/>
          <w:sz w:val="24"/>
          <w:lang w:val="ro-RO"/>
        </w:rPr>
        <w:t>energie</w:t>
      </w:r>
      <w:r w:rsidR="002733CB" w:rsidRPr="009C5F11">
        <w:rPr>
          <w:rFonts w:ascii="Times New Roman" w:hAnsi="Times New Roman" w:cs="Times New Roman"/>
          <w:bCs/>
          <w:color w:val="000000"/>
          <w:sz w:val="24"/>
          <w:lang w:val="ro-RO"/>
        </w:rPr>
        <w:t xml:space="preserve"> </w:t>
      </w:r>
      <w:r w:rsidR="00AA03CD" w:rsidRPr="009C5F11">
        <w:rPr>
          <w:rFonts w:ascii="Times New Roman" w:hAnsi="Times New Roman" w:cs="Times New Roman"/>
          <w:bCs/>
          <w:color w:val="000000"/>
          <w:sz w:val="24"/>
          <w:lang w:val="ro-RO"/>
        </w:rPr>
        <w:t xml:space="preserve">ce urmează a fi economisită prin aplicarea </w:t>
      </w:r>
      <w:r w:rsidR="000A4CC7" w:rsidRPr="009C5F11">
        <w:rPr>
          <w:rFonts w:ascii="Times New Roman" w:hAnsi="Times New Roman" w:cs="Times New Roman"/>
          <w:bCs/>
          <w:color w:val="000000"/>
          <w:sz w:val="24"/>
          <w:lang w:val="ro-RO"/>
        </w:rPr>
        <w:t>Directiv</w:t>
      </w:r>
      <w:r w:rsidR="00AA03CD" w:rsidRPr="009C5F11">
        <w:rPr>
          <w:rFonts w:ascii="Times New Roman" w:hAnsi="Times New Roman" w:cs="Times New Roman"/>
          <w:bCs/>
          <w:color w:val="000000"/>
          <w:sz w:val="24"/>
          <w:lang w:val="ro-RO"/>
        </w:rPr>
        <w:t>ei</w:t>
      </w:r>
      <w:r w:rsidR="000A4CC7" w:rsidRPr="009C5F11">
        <w:rPr>
          <w:rFonts w:ascii="Times New Roman" w:hAnsi="Times New Roman" w:cs="Times New Roman"/>
          <w:bCs/>
          <w:color w:val="000000"/>
          <w:sz w:val="24"/>
          <w:lang w:val="ro-RO"/>
        </w:rPr>
        <w:t xml:space="preserve"> </w:t>
      </w:r>
      <w:r w:rsidR="002733CB" w:rsidRPr="009C5F11">
        <w:rPr>
          <w:rFonts w:ascii="Times New Roman" w:hAnsi="Times New Roman" w:cs="Times New Roman"/>
          <w:bCs/>
          <w:color w:val="000000"/>
          <w:sz w:val="24"/>
          <w:lang w:val="ro-RO"/>
        </w:rPr>
        <w:t>2006/32</w:t>
      </w:r>
      <w:r w:rsidR="000A4CC7" w:rsidRPr="009C5F11">
        <w:rPr>
          <w:rFonts w:ascii="Times New Roman" w:hAnsi="Times New Roman" w:cs="Times New Roman"/>
          <w:bCs/>
          <w:color w:val="000000"/>
          <w:sz w:val="24"/>
          <w:lang w:val="ro-RO"/>
        </w:rPr>
        <w:t>/CE</w:t>
      </w:r>
      <w:r w:rsidR="002733CB" w:rsidRPr="009C5F11">
        <w:rPr>
          <w:rFonts w:ascii="Times New Roman" w:hAnsi="Times New Roman" w:cs="Times New Roman"/>
          <w:bCs/>
          <w:color w:val="000000"/>
          <w:sz w:val="24"/>
          <w:lang w:val="ro-RO"/>
        </w:rPr>
        <w:t xml:space="preserve"> </w:t>
      </w:r>
      <w:r w:rsidR="00AA03CD" w:rsidRPr="009C5F11">
        <w:rPr>
          <w:rFonts w:ascii="Times New Roman" w:hAnsi="Times New Roman" w:cs="Times New Roman"/>
          <w:bCs/>
          <w:color w:val="000000"/>
          <w:sz w:val="24"/>
          <w:lang w:val="ro-RO"/>
        </w:rPr>
        <w:t>pe întreaga durată este de</w:t>
      </w:r>
      <w:r w:rsidR="002733CB" w:rsidRPr="009C5F11">
        <w:rPr>
          <w:rFonts w:ascii="Times New Roman" w:hAnsi="Times New Roman" w:cs="Times New Roman"/>
          <w:bCs/>
          <w:color w:val="000000"/>
          <w:sz w:val="24"/>
          <w:lang w:val="ro-RO"/>
        </w:rPr>
        <w:t xml:space="preserve"> </w:t>
      </w:r>
      <w:r w:rsidR="002733CB" w:rsidRPr="009C5F11">
        <w:rPr>
          <w:rFonts w:ascii="Times New Roman" w:hAnsi="Times New Roman" w:cs="Times New Roman"/>
          <w:b/>
          <w:bCs/>
          <w:color w:val="000000"/>
          <w:sz w:val="24"/>
          <w:lang w:val="ro-RO"/>
        </w:rPr>
        <w:t>167.20</w:t>
      </w:r>
      <w:r w:rsidR="000C3716" w:rsidRPr="009C5F11">
        <w:rPr>
          <w:rFonts w:ascii="Times New Roman" w:hAnsi="Times New Roman" w:cs="Times New Roman"/>
          <w:b/>
          <w:bCs/>
          <w:color w:val="000000"/>
          <w:sz w:val="24"/>
          <w:lang w:val="ro-RO"/>
        </w:rPr>
        <w:t xml:space="preserve"> </w:t>
      </w:r>
      <w:r w:rsidR="00E52940" w:rsidRPr="009C5F11">
        <w:rPr>
          <w:rFonts w:ascii="Times New Roman" w:hAnsi="Times New Roman" w:cs="Times New Roman"/>
          <w:b/>
          <w:bCs/>
          <w:color w:val="000000"/>
          <w:sz w:val="24"/>
          <w:lang w:val="ro-RO"/>
        </w:rPr>
        <w:t>ktep</w:t>
      </w:r>
      <w:r w:rsidR="002733CB" w:rsidRPr="009C5F11">
        <w:rPr>
          <w:rFonts w:ascii="Times New Roman" w:hAnsi="Times New Roman" w:cs="Times New Roman"/>
          <w:bCs/>
          <w:color w:val="000000"/>
          <w:sz w:val="24"/>
          <w:lang w:val="ro-RO"/>
        </w:rPr>
        <w:t xml:space="preserve">. </w:t>
      </w:r>
      <w:r w:rsidR="00AA03CD" w:rsidRPr="009C5F11">
        <w:rPr>
          <w:rFonts w:ascii="Times New Roman" w:hAnsi="Times New Roman" w:cs="Times New Roman"/>
          <w:bCs/>
          <w:color w:val="000000"/>
          <w:sz w:val="24"/>
          <w:lang w:val="ro-RO"/>
        </w:rPr>
        <w:t>Obiectivul indicativ naţional stabilit pentru</w:t>
      </w:r>
      <w:r w:rsidR="002733CB" w:rsidRPr="009C5F11">
        <w:rPr>
          <w:rFonts w:ascii="Times New Roman" w:hAnsi="Times New Roman" w:cs="Times New Roman"/>
          <w:bCs/>
          <w:color w:val="000000"/>
          <w:sz w:val="24"/>
          <w:lang w:val="ro-RO"/>
        </w:rPr>
        <w:t xml:space="preserve"> </w:t>
      </w:r>
      <w:r w:rsidR="004424A0" w:rsidRPr="009C5F11">
        <w:rPr>
          <w:rFonts w:ascii="Times New Roman" w:hAnsi="Times New Roman" w:cs="Times New Roman"/>
          <w:bCs/>
          <w:color w:val="000000"/>
          <w:sz w:val="24"/>
          <w:lang w:val="ro-RO"/>
        </w:rPr>
        <w:t>economii</w:t>
      </w:r>
      <w:r w:rsidR="00AA03CD" w:rsidRPr="009C5F11">
        <w:rPr>
          <w:rFonts w:ascii="Times New Roman" w:hAnsi="Times New Roman" w:cs="Times New Roman"/>
          <w:bCs/>
          <w:color w:val="000000"/>
          <w:sz w:val="24"/>
          <w:lang w:val="ro-RO"/>
        </w:rPr>
        <w:t>le</w:t>
      </w:r>
      <w:r w:rsidR="004424A0" w:rsidRPr="009C5F11">
        <w:rPr>
          <w:rFonts w:ascii="Times New Roman" w:hAnsi="Times New Roman" w:cs="Times New Roman"/>
          <w:bCs/>
          <w:color w:val="000000"/>
          <w:sz w:val="24"/>
          <w:lang w:val="ro-RO"/>
        </w:rPr>
        <w:t xml:space="preserve"> de energie</w:t>
      </w:r>
      <w:r w:rsidR="002733CB" w:rsidRPr="009C5F11">
        <w:rPr>
          <w:rFonts w:ascii="Times New Roman" w:hAnsi="Times New Roman" w:cs="Times New Roman"/>
          <w:bCs/>
          <w:color w:val="000000"/>
          <w:sz w:val="24"/>
          <w:lang w:val="ro-RO"/>
        </w:rPr>
        <w:t xml:space="preserve"> </w:t>
      </w:r>
      <w:r w:rsidR="00AA03CD" w:rsidRPr="009C5F11">
        <w:rPr>
          <w:rFonts w:ascii="Times New Roman" w:hAnsi="Times New Roman" w:cs="Times New Roman"/>
          <w:bCs/>
          <w:color w:val="000000"/>
          <w:sz w:val="24"/>
          <w:lang w:val="ro-RO"/>
        </w:rPr>
        <w:t xml:space="preserve">urmează a fi măsurat după cel de al nouălea an de aplicare a </w:t>
      </w:r>
      <w:r w:rsidR="000A4CC7" w:rsidRPr="009C5F11">
        <w:rPr>
          <w:rFonts w:ascii="Times New Roman" w:hAnsi="Times New Roman" w:cs="Times New Roman"/>
          <w:bCs/>
          <w:color w:val="000000"/>
          <w:sz w:val="24"/>
          <w:lang w:val="ro-RO"/>
        </w:rPr>
        <w:t>Directiv</w:t>
      </w:r>
      <w:r w:rsidR="00AA03CD" w:rsidRPr="009C5F11">
        <w:rPr>
          <w:rFonts w:ascii="Times New Roman" w:hAnsi="Times New Roman" w:cs="Times New Roman"/>
          <w:bCs/>
          <w:color w:val="000000"/>
          <w:sz w:val="24"/>
          <w:lang w:val="ro-RO"/>
        </w:rPr>
        <w:t>ei</w:t>
      </w:r>
      <w:r w:rsidR="000A4CC7" w:rsidRPr="009C5F11">
        <w:rPr>
          <w:rFonts w:ascii="Times New Roman" w:hAnsi="Times New Roman" w:cs="Times New Roman"/>
          <w:bCs/>
          <w:color w:val="000000"/>
          <w:sz w:val="24"/>
          <w:lang w:val="ro-RO"/>
        </w:rPr>
        <w:t xml:space="preserve"> </w:t>
      </w:r>
      <w:r w:rsidR="002733CB" w:rsidRPr="009C5F11">
        <w:rPr>
          <w:rFonts w:ascii="Times New Roman" w:hAnsi="Times New Roman" w:cs="Times New Roman"/>
          <w:bCs/>
          <w:color w:val="000000"/>
          <w:sz w:val="24"/>
          <w:lang w:val="ro-RO"/>
        </w:rPr>
        <w:t>2006/32</w:t>
      </w:r>
      <w:r w:rsidR="000A4CC7" w:rsidRPr="009C5F11">
        <w:rPr>
          <w:rFonts w:ascii="Times New Roman" w:hAnsi="Times New Roman" w:cs="Times New Roman"/>
          <w:bCs/>
          <w:color w:val="000000"/>
          <w:sz w:val="24"/>
          <w:lang w:val="ro-RO"/>
        </w:rPr>
        <w:t>/CE</w:t>
      </w:r>
      <w:r w:rsidR="00AA03CD" w:rsidRPr="009C5F11">
        <w:rPr>
          <w:rFonts w:ascii="Times New Roman" w:hAnsi="Times New Roman" w:cs="Times New Roman"/>
          <w:bCs/>
          <w:color w:val="000000"/>
          <w:sz w:val="24"/>
          <w:lang w:val="ro-RO"/>
        </w:rPr>
        <w:t>, fiind rezultatul</w:t>
      </w:r>
      <w:r w:rsidR="002733CB" w:rsidRPr="009C5F11">
        <w:rPr>
          <w:rFonts w:ascii="Times New Roman" w:hAnsi="Times New Roman" w:cs="Times New Roman"/>
          <w:bCs/>
          <w:color w:val="000000"/>
          <w:sz w:val="24"/>
          <w:lang w:val="ro-RO"/>
        </w:rPr>
        <w:t xml:space="preserve"> cumulativ</w:t>
      </w:r>
      <w:r w:rsidR="00AA03CD" w:rsidRPr="009C5F11">
        <w:rPr>
          <w:rFonts w:ascii="Times New Roman" w:hAnsi="Times New Roman" w:cs="Times New Roman"/>
          <w:bCs/>
          <w:color w:val="000000"/>
          <w:sz w:val="24"/>
          <w:lang w:val="ro-RO"/>
        </w:rPr>
        <w:t xml:space="preserve"> al economiilor</w:t>
      </w:r>
      <w:r w:rsidR="002733CB" w:rsidRPr="009C5F11">
        <w:rPr>
          <w:rFonts w:ascii="Times New Roman" w:hAnsi="Times New Roman" w:cs="Times New Roman"/>
          <w:bCs/>
          <w:color w:val="000000"/>
          <w:sz w:val="24"/>
          <w:lang w:val="ro-RO"/>
        </w:rPr>
        <w:t xml:space="preserve"> anual</w:t>
      </w:r>
      <w:r w:rsidR="00AA03CD" w:rsidRPr="009C5F11">
        <w:rPr>
          <w:rFonts w:ascii="Times New Roman" w:hAnsi="Times New Roman" w:cs="Times New Roman"/>
          <w:bCs/>
          <w:color w:val="000000"/>
          <w:sz w:val="24"/>
          <w:lang w:val="ro-RO"/>
        </w:rPr>
        <w:t xml:space="preserve">e realizate pe întreg parcursul perioadei de 9 ani de aplicare a </w:t>
      </w:r>
      <w:r w:rsidR="00871B4E" w:rsidRPr="009C5F11">
        <w:rPr>
          <w:rFonts w:ascii="Times New Roman" w:hAnsi="Times New Roman" w:cs="Times New Roman"/>
          <w:bCs/>
          <w:color w:val="000000"/>
          <w:sz w:val="24"/>
          <w:lang w:val="ro-RO"/>
        </w:rPr>
        <w:t>DSE</w:t>
      </w:r>
      <w:r w:rsidR="00AA03CD" w:rsidRPr="009C5F11">
        <w:rPr>
          <w:rFonts w:ascii="Times New Roman" w:hAnsi="Times New Roman" w:cs="Times New Roman"/>
          <w:bCs/>
          <w:color w:val="000000"/>
          <w:sz w:val="24"/>
          <w:lang w:val="ro-RO"/>
        </w:rPr>
        <w:t xml:space="preserve"> pe baza prestării serviciilor energetice şi implementării măsurilor de </w:t>
      </w:r>
      <w:r w:rsidR="000C7BEC" w:rsidRPr="009C5F11">
        <w:rPr>
          <w:rFonts w:ascii="Times New Roman" w:hAnsi="Times New Roman" w:cs="Times New Roman"/>
          <w:bCs/>
          <w:color w:val="000000"/>
          <w:sz w:val="24"/>
          <w:lang w:val="ro-RO"/>
        </w:rPr>
        <w:t>eficien</w:t>
      </w:r>
      <w:r w:rsidR="00AA03CD" w:rsidRPr="009C5F11">
        <w:rPr>
          <w:rFonts w:ascii="Times New Roman" w:hAnsi="Times New Roman" w:cs="Times New Roman"/>
          <w:bCs/>
          <w:color w:val="000000"/>
          <w:sz w:val="24"/>
          <w:lang w:val="ro-RO"/>
        </w:rPr>
        <w:t>tizare a consumului de energie</w:t>
      </w:r>
      <w:r w:rsidR="002733CB" w:rsidRPr="009C5F11">
        <w:rPr>
          <w:rFonts w:ascii="Times New Roman" w:hAnsi="Times New Roman" w:cs="Times New Roman"/>
          <w:bCs/>
          <w:color w:val="000000"/>
          <w:sz w:val="24"/>
          <w:lang w:val="ro-RO"/>
        </w:rPr>
        <w:t xml:space="preserve">. </w:t>
      </w:r>
      <w:r w:rsidR="00AA03CD" w:rsidRPr="009C5F11">
        <w:rPr>
          <w:rFonts w:ascii="Times New Roman" w:hAnsi="Times New Roman" w:cs="Times New Roman"/>
          <w:bCs/>
          <w:color w:val="000000"/>
          <w:sz w:val="24"/>
          <w:lang w:val="ro-RO"/>
        </w:rPr>
        <w:t xml:space="preserve">Acest obiectiv a fost calculat pe baza valorii anuale medii a consumului ce rezultă din consumul anual final intern al tuturor utilizatorilor </w:t>
      </w:r>
      <w:r w:rsidR="00FA5144" w:rsidRPr="009C5F11">
        <w:rPr>
          <w:rFonts w:ascii="Times New Roman" w:hAnsi="Times New Roman" w:cs="Times New Roman"/>
          <w:bCs/>
          <w:color w:val="000000"/>
          <w:sz w:val="24"/>
          <w:lang w:val="ro-RO"/>
        </w:rPr>
        <w:t xml:space="preserve">de energie </w:t>
      </w:r>
      <w:r w:rsidR="00AA03CD" w:rsidRPr="009C5F11">
        <w:rPr>
          <w:rFonts w:ascii="Times New Roman" w:hAnsi="Times New Roman" w:cs="Times New Roman"/>
          <w:bCs/>
          <w:color w:val="000000"/>
          <w:sz w:val="24"/>
          <w:lang w:val="ro-RO"/>
        </w:rPr>
        <w:t xml:space="preserve">în limita sferei de aplicare a </w:t>
      </w:r>
      <w:r w:rsidR="000A4CC7" w:rsidRPr="009C5F11">
        <w:rPr>
          <w:rFonts w:ascii="Times New Roman" w:hAnsi="Times New Roman" w:cs="Times New Roman"/>
          <w:bCs/>
          <w:color w:val="000000"/>
          <w:sz w:val="24"/>
          <w:lang w:val="ro-RO"/>
        </w:rPr>
        <w:t>Directiv</w:t>
      </w:r>
      <w:r w:rsidR="00AA03CD" w:rsidRPr="009C5F11">
        <w:rPr>
          <w:rFonts w:ascii="Times New Roman" w:hAnsi="Times New Roman" w:cs="Times New Roman"/>
          <w:bCs/>
          <w:color w:val="000000"/>
          <w:sz w:val="24"/>
          <w:lang w:val="ro-RO"/>
        </w:rPr>
        <w:t>ei</w:t>
      </w:r>
      <w:r w:rsidR="000A4CC7" w:rsidRPr="009C5F11">
        <w:rPr>
          <w:rFonts w:ascii="Times New Roman" w:hAnsi="Times New Roman" w:cs="Times New Roman"/>
          <w:bCs/>
          <w:color w:val="000000"/>
          <w:sz w:val="24"/>
          <w:lang w:val="ro-RO"/>
        </w:rPr>
        <w:t xml:space="preserve"> </w:t>
      </w:r>
      <w:r w:rsidR="00AA03CD" w:rsidRPr="009C5F11">
        <w:rPr>
          <w:rFonts w:ascii="Times New Roman" w:hAnsi="Times New Roman" w:cs="Times New Roman"/>
          <w:bCs/>
          <w:color w:val="000000"/>
          <w:sz w:val="24"/>
          <w:lang w:val="ro-RO"/>
        </w:rPr>
        <w:t xml:space="preserve">pentru ultimii 5 ani premergători primului an de implementare a </w:t>
      </w:r>
      <w:r w:rsidR="000A4CC7" w:rsidRPr="009C5F11">
        <w:rPr>
          <w:rFonts w:ascii="Times New Roman" w:hAnsi="Times New Roman" w:cs="Times New Roman"/>
          <w:bCs/>
          <w:color w:val="000000"/>
          <w:sz w:val="24"/>
          <w:lang w:val="ro-RO"/>
        </w:rPr>
        <w:t>Directiv</w:t>
      </w:r>
      <w:r w:rsidR="00AA03CD" w:rsidRPr="009C5F11">
        <w:rPr>
          <w:rFonts w:ascii="Times New Roman" w:hAnsi="Times New Roman" w:cs="Times New Roman"/>
          <w:bCs/>
          <w:color w:val="000000"/>
          <w:sz w:val="24"/>
          <w:lang w:val="ro-RO"/>
        </w:rPr>
        <w:t>ei</w:t>
      </w:r>
      <w:r w:rsidR="000A4CC7" w:rsidRPr="009C5F11">
        <w:rPr>
          <w:rFonts w:ascii="Times New Roman" w:hAnsi="Times New Roman" w:cs="Times New Roman"/>
          <w:bCs/>
          <w:color w:val="000000"/>
          <w:sz w:val="24"/>
          <w:lang w:val="ro-RO"/>
        </w:rPr>
        <w:t xml:space="preserve"> </w:t>
      </w:r>
      <w:r w:rsidR="002733CB" w:rsidRPr="009C5F11">
        <w:rPr>
          <w:rFonts w:ascii="Times New Roman" w:hAnsi="Times New Roman" w:cs="Times New Roman"/>
          <w:bCs/>
          <w:color w:val="000000"/>
          <w:sz w:val="24"/>
          <w:lang w:val="ro-RO"/>
        </w:rPr>
        <w:t>2006/32</w:t>
      </w:r>
      <w:r w:rsidR="000A4CC7" w:rsidRPr="009C5F11">
        <w:rPr>
          <w:rFonts w:ascii="Times New Roman" w:hAnsi="Times New Roman" w:cs="Times New Roman"/>
          <w:bCs/>
          <w:color w:val="000000"/>
          <w:sz w:val="24"/>
          <w:lang w:val="ro-RO"/>
        </w:rPr>
        <w:t>/CE</w:t>
      </w:r>
      <w:r w:rsidR="002733CB" w:rsidRPr="009C5F11">
        <w:rPr>
          <w:rFonts w:ascii="Times New Roman" w:hAnsi="Times New Roman" w:cs="Times New Roman"/>
          <w:bCs/>
          <w:color w:val="000000"/>
          <w:sz w:val="24"/>
          <w:lang w:val="ro-RO"/>
        </w:rPr>
        <w:t xml:space="preserve">, </w:t>
      </w:r>
      <w:r w:rsidR="00AA03CD" w:rsidRPr="009C5F11">
        <w:rPr>
          <w:rFonts w:ascii="Times New Roman" w:hAnsi="Times New Roman" w:cs="Times New Roman"/>
          <w:bCs/>
          <w:color w:val="000000"/>
          <w:sz w:val="24"/>
          <w:lang w:val="ro-RO"/>
        </w:rPr>
        <w:t xml:space="preserve">ceea ce înseamnă valoarea medie determinată pentru perioada </w:t>
      </w:r>
      <w:r w:rsidR="002733CB" w:rsidRPr="009C5F11">
        <w:rPr>
          <w:rFonts w:ascii="Times New Roman" w:hAnsi="Times New Roman" w:cs="Times New Roman"/>
          <w:bCs/>
          <w:color w:val="000000"/>
          <w:sz w:val="24"/>
          <w:lang w:val="ro-RO"/>
        </w:rPr>
        <w:t xml:space="preserve">2006-2010, </w:t>
      </w:r>
      <w:r w:rsidR="00AA03CD" w:rsidRPr="009C5F11">
        <w:rPr>
          <w:rFonts w:ascii="Times New Roman" w:hAnsi="Times New Roman" w:cs="Times New Roman"/>
          <w:bCs/>
          <w:color w:val="000000"/>
          <w:sz w:val="24"/>
          <w:lang w:val="ro-RO"/>
        </w:rPr>
        <w:t>iar primul an de</w:t>
      </w:r>
      <w:r w:rsidR="002733CB" w:rsidRPr="009C5F11">
        <w:rPr>
          <w:rFonts w:ascii="Times New Roman" w:hAnsi="Times New Roman" w:cs="Times New Roman"/>
          <w:bCs/>
          <w:color w:val="000000"/>
          <w:sz w:val="24"/>
          <w:lang w:val="ro-RO"/>
        </w:rPr>
        <w:t xml:space="preserve"> </w:t>
      </w:r>
      <w:r w:rsidR="00532A33" w:rsidRPr="009C5F11">
        <w:rPr>
          <w:rFonts w:ascii="Times New Roman" w:hAnsi="Times New Roman" w:cs="Times New Roman"/>
          <w:bCs/>
          <w:color w:val="000000"/>
          <w:sz w:val="24"/>
          <w:lang w:val="ro-RO"/>
        </w:rPr>
        <w:t>implementare</w:t>
      </w:r>
      <w:r w:rsidR="00AA03CD" w:rsidRPr="009C5F11">
        <w:rPr>
          <w:rFonts w:ascii="Times New Roman" w:hAnsi="Times New Roman" w:cs="Times New Roman"/>
          <w:bCs/>
          <w:color w:val="000000"/>
          <w:sz w:val="24"/>
          <w:lang w:val="ro-RO"/>
        </w:rPr>
        <w:t xml:space="preserve"> </w:t>
      </w:r>
      <w:r w:rsidR="00532A33" w:rsidRPr="009C5F11">
        <w:rPr>
          <w:rFonts w:ascii="Times New Roman" w:hAnsi="Times New Roman" w:cs="Times New Roman"/>
          <w:bCs/>
          <w:color w:val="000000"/>
          <w:sz w:val="24"/>
          <w:lang w:val="ro-RO"/>
        </w:rPr>
        <w:t>a</w:t>
      </w:r>
      <w:r w:rsidR="002733CB" w:rsidRPr="009C5F11">
        <w:rPr>
          <w:rFonts w:ascii="Times New Roman" w:hAnsi="Times New Roman" w:cs="Times New Roman"/>
          <w:bCs/>
          <w:color w:val="000000"/>
          <w:sz w:val="24"/>
          <w:lang w:val="ro-RO"/>
        </w:rPr>
        <w:t xml:space="preserve"> </w:t>
      </w:r>
      <w:r w:rsidR="00871B4E" w:rsidRPr="009C5F11">
        <w:rPr>
          <w:rFonts w:ascii="Times New Roman" w:hAnsi="Times New Roman" w:cs="Times New Roman"/>
          <w:bCs/>
          <w:color w:val="000000"/>
          <w:sz w:val="24"/>
          <w:lang w:val="ro-RO"/>
        </w:rPr>
        <w:t>DSE</w:t>
      </w:r>
      <w:r w:rsidR="002733CB" w:rsidRPr="009C5F11">
        <w:rPr>
          <w:rFonts w:ascii="Times New Roman" w:hAnsi="Times New Roman" w:cs="Times New Roman"/>
          <w:bCs/>
          <w:color w:val="000000"/>
          <w:sz w:val="24"/>
          <w:lang w:val="ro-RO"/>
        </w:rPr>
        <w:t xml:space="preserve"> </w:t>
      </w:r>
      <w:r w:rsidR="00AA03CD" w:rsidRPr="009C5F11">
        <w:rPr>
          <w:rFonts w:ascii="Times New Roman" w:hAnsi="Times New Roman" w:cs="Times New Roman"/>
          <w:bCs/>
          <w:color w:val="000000"/>
          <w:sz w:val="24"/>
          <w:lang w:val="ro-RO"/>
        </w:rPr>
        <w:t>este</w:t>
      </w:r>
      <w:r w:rsidR="002733CB" w:rsidRPr="009C5F11">
        <w:rPr>
          <w:rFonts w:ascii="Times New Roman" w:hAnsi="Times New Roman" w:cs="Times New Roman"/>
          <w:bCs/>
          <w:color w:val="000000"/>
          <w:sz w:val="24"/>
          <w:lang w:val="ro-RO"/>
        </w:rPr>
        <w:t xml:space="preserve"> 2011. </w:t>
      </w:r>
    </w:p>
    <w:p w14:paraId="7F1D41A4" w14:textId="77777777" w:rsidR="00DB2737" w:rsidRPr="009C5F11" w:rsidRDefault="00DB2737" w:rsidP="002733CB">
      <w:pPr>
        <w:spacing w:before="120" w:after="120" w:line="240" w:lineRule="auto"/>
        <w:jc w:val="both"/>
        <w:rPr>
          <w:rFonts w:ascii="Times New Roman" w:hAnsi="Times New Roman" w:cs="Times New Roman"/>
          <w:bCs/>
          <w:color w:val="000000"/>
          <w:sz w:val="24"/>
          <w:lang w:val="ro-RO"/>
        </w:rPr>
      </w:pPr>
    </w:p>
    <w:p w14:paraId="206C2CA9" w14:textId="77777777" w:rsidR="00957465" w:rsidRPr="009C5F11" w:rsidRDefault="00321CD5" w:rsidP="000C3716">
      <w:pPr>
        <w:pStyle w:val="Legend"/>
        <w:keepNext/>
        <w:jc w:val="center"/>
        <w:rPr>
          <w:rFonts w:ascii="Times New Roman" w:hAnsi="Times New Roman" w:cs="Times New Roman"/>
          <w:sz w:val="22"/>
          <w:lang w:val="ro-RO"/>
        </w:rPr>
      </w:pPr>
      <w:bookmarkStart w:id="47" w:name="_Toc322013229"/>
      <w:r w:rsidRPr="009C5F11">
        <w:rPr>
          <w:rFonts w:ascii="Times New Roman" w:hAnsi="Times New Roman" w:cs="Times New Roman"/>
          <w:sz w:val="22"/>
          <w:lang w:val="ro-RO"/>
        </w:rPr>
        <w:t>Tabelul</w:t>
      </w:r>
      <w:r w:rsidR="00957465"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957465"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6</w:t>
      </w:r>
      <w:r w:rsidR="003A6ADB" w:rsidRPr="009C5F11">
        <w:rPr>
          <w:rFonts w:ascii="Times New Roman" w:hAnsi="Times New Roman" w:cs="Times New Roman"/>
          <w:sz w:val="22"/>
          <w:lang w:val="ro-RO"/>
        </w:rPr>
        <w:fldChar w:fldCharType="end"/>
      </w:r>
      <w:r w:rsidR="00957465" w:rsidRPr="009C5F11">
        <w:rPr>
          <w:rFonts w:ascii="Times New Roman" w:hAnsi="Times New Roman" w:cs="Times New Roman"/>
          <w:sz w:val="22"/>
          <w:lang w:val="ro-RO"/>
        </w:rPr>
        <w:t xml:space="preserve"> </w:t>
      </w:r>
      <w:r w:rsidR="00D62784" w:rsidRPr="009C5F11">
        <w:rPr>
          <w:rFonts w:ascii="Times New Roman" w:hAnsi="Times New Roman" w:cs="Times New Roman"/>
          <w:sz w:val="22"/>
          <w:lang w:val="ro-RO"/>
        </w:rPr>
        <w:t>–</w:t>
      </w:r>
      <w:r w:rsidR="00957465" w:rsidRPr="009C5F11">
        <w:rPr>
          <w:rFonts w:ascii="Times New Roman" w:hAnsi="Times New Roman" w:cs="Times New Roman"/>
          <w:sz w:val="22"/>
          <w:lang w:val="ro-RO"/>
        </w:rPr>
        <w:t xml:space="preserve"> </w:t>
      </w:r>
      <w:r w:rsidR="00D62784" w:rsidRPr="009C5F11">
        <w:rPr>
          <w:rFonts w:ascii="Times New Roman" w:hAnsi="Times New Roman" w:cs="Times New Roman"/>
          <w:sz w:val="22"/>
          <w:lang w:val="ro-RO"/>
        </w:rPr>
        <w:t xml:space="preserve">Calcularea obiectivului stabilit de </w:t>
      </w:r>
      <w:r w:rsidR="00871B4E" w:rsidRPr="009C5F11">
        <w:rPr>
          <w:rFonts w:ascii="Times New Roman" w:hAnsi="Times New Roman" w:cs="Times New Roman"/>
          <w:sz w:val="22"/>
          <w:lang w:val="ro-RO"/>
        </w:rPr>
        <w:t>DSE</w:t>
      </w:r>
      <w:r w:rsidR="00957465" w:rsidRPr="009C5F11">
        <w:rPr>
          <w:rFonts w:ascii="Times New Roman" w:hAnsi="Times New Roman" w:cs="Times New Roman"/>
          <w:sz w:val="22"/>
          <w:lang w:val="ro-RO"/>
        </w:rPr>
        <w:t xml:space="preserve"> </w:t>
      </w:r>
      <w:r w:rsidR="00D62784" w:rsidRPr="009C5F11">
        <w:rPr>
          <w:rFonts w:ascii="Times New Roman" w:hAnsi="Times New Roman" w:cs="Times New Roman"/>
          <w:sz w:val="22"/>
          <w:lang w:val="ro-RO"/>
        </w:rPr>
        <w:t>pe baza consumului mediu final</w:t>
      </w:r>
      <w:r w:rsidR="006F69A2" w:rsidRPr="009C5F11">
        <w:rPr>
          <w:rFonts w:ascii="Times New Roman" w:hAnsi="Times New Roman" w:cs="Times New Roman"/>
          <w:sz w:val="22"/>
          <w:lang w:val="ro-RO"/>
        </w:rPr>
        <w:t xml:space="preserve"> </w:t>
      </w:r>
      <w:r w:rsidR="00AA03CD" w:rsidRPr="009C5F11">
        <w:rPr>
          <w:rFonts w:ascii="Times New Roman" w:hAnsi="Times New Roman" w:cs="Times New Roman"/>
          <w:sz w:val="22"/>
          <w:lang w:val="ro-RO"/>
        </w:rPr>
        <w:t xml:space="preserve">în perioada </w:t>
      </w:r>
      <w:r w:rsidR="00957465" w:rsidRPr="009C5F11">
        <w:rPr>
          <w:rFonts w:ascii="Times New Roman" w:hAnsi="Times New Roman" w:cs="Times New Roman"/>
          <w:sz w:val="22"/>
          <w:lang w:val="ro-RO"/>
        </w:rPr>
        <w:t>2006-2010</w:t>
      </w:r>
      <w:r w:rsidR="00D62784" w:rsidRPr="009C5F11">
        <w:rPr>
          <w:rFonts w:ascii="Times New Roman" w:hAnsi="Times New Roman" w:cs="Times New Roman"/>
          <w:sz w:val="22"/>
          <w:lang w:val="ro-RO"/>
        </w:rPr>
        <w:t>.</w:t>
      </w:r>
      <w:bookmarkEnd w:id="47"/>
    </w:p>
    <w:tbl>
      <w:tblPr>
        <w:tblW w:w="0" w:type="auto"/>
        <w:jc w:val="center"/>
        <w:tblBorders>
          <w:top w:val="single" w:sz="4" w:space="0" w:color="C0504D"/>
          <w:left w:val="single" w:sz="4" w:space="0" w:color="C0504D"/>
          <w:bottom w:val="single" w:sz="4" w:space="0" w:color="C0504D"/>
          <w:right w:val="single" w:sz="4" w:space="0" w:color="C0504D"/>
          <w:insideH w:val="single" w:sz="4" w:space="0" w:color="C0504D"/>
        </w:tblBorders>
        <w:tblLook w:val="04A0" w:firstRow="1" w:lastRow="0" w:firstColumn="1" w:lastColumn="0" w:noHBand="0" w:noVBand="1"/>
      </w:tblPr>
      <w:tblGrid>
        <w:gridCol w:w="4910"/>
        <w:gridCol w:w="1318"/>
      </w:tblGrid>
      <w:tr w:rsidR="007F2B3F" w:rsidRPr="009C5F11" w14:paraId="5DD93481" w14:textId="77777777" w:rsidTr="007C339D">
        <w:trPr>
          <w:trHeight w:val="464"/>
          <w:jc w:val="center"/>
        </w:trPr>
        <w:tc>
          <w:tcPr>
            <w:tcW w:w="4910" w:type="dxa"/>
            <w:vMerge w:val="restart"/>
            <w:tcBorders>
              <w:top w:val="single" w:sz="8" w:space="0" w:color="0039A6" w:themeColor="accent2"/>
              <w:left w:val="single" w:sz="8" w:space="0" w:color="0039A6" w:themeColor="accent2"/>
              <w:bottom w:val="single" w:sz="8" w:space="0" w:color="0039A6" w:themeColor="accent2"/>
            </w:tcBorders>
            <w:shd w:val="clear" w:color="auto" w:fill="000080"/>
          </w:tcPr>
          <w:p w14:paraId="70FA2170" w14:textId="77777777" w:rsidR="002733CB" w:rsidRPr="009C5F11" w:rsidRDefault="00D62784" w:rsidP="00430626">
            <w:pPr>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Anul</w:t>
            </w:r>
          </w:p>
        </w:tc>
        <w:tc>
          <w:tcPr>
            <w:tcW w:w="1318" w:type="dxa"/>
            <w:vMerge w:val="restart"/>
            <w:tcBorders>
              <w:top w:val="single" w:sz="8" w:space="0" w:color="0039A6" w:themeColor="accent2"/>
              <w:bottom w:val="single" w:sz="8" w:space="0" w:color="0039A6" w:themeColor="accent2"/>
              <w:right w:val="single" w:sz="8" w:space="0" w:color="0039A6" w:themeColor="accent2"/>
            </w:tcBorders>
            <w:shd w:val="clear" w:color="auto" w:fill="000080"/>
          </w:tcPr>
          <w:p w14:paraId="46E1C1EB" w14:textId="77777777" w:rsidR="002733CB" w:rsidRPr="009C5F11" w:rsidRDefault="006F69A2">
            <w:pPr>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CF</w:t>
            </w:r>
            <w:r w:rsidR="00303C40" w:rsidRPr="009C5F11">
              <w:rPr>
                <w:rFonts w:ascii="Times New Roman" w:hAnsi="Times New Roman" w:cs="Times New Roman"/>
                <w:b/>
                <w:sz w:val="20"/>
                <w:szCs w:val="16"/>
                <w:lang w:val="ro-RO"/>
              </w:rPr>
              <w:t>E</w:t>
            </w:r>
            <w:r w:rsidR="002733CB" w:rsidRPr="009C5F11">
              <w:rPr>
                <w:rFonts w:ascii="Times New Roman" w:hAnsi="Times New Roman" w:cs="Times New Roman"/>
                <w:b/>
                <w:sz w:val="20"/>
                <w:szCs w:val="16"/>
                <w:lang w:val="ro-RO"/>
              </w:rPr>
              <w:t xml:space="preserve"> (K</w:t>
            </w:r>
            <w:r w:rsidR="00D77687" w:rsidRPr="009C5F11">
              <w:rPr>
                <w:rFonts w:ascii="Times New Roman" w:hAnsi="Times New Roman" w:cs="Times New Roman"/>
                <w:b/>
                <w:sz w:val="20"/>
                <w:szCs w:val="16"/>
                <w:lang w:val="ro-RO"/>
              </w:rPr>
              <w:t>tep</w:t>
            </w:r>
            <w:r w:rsidR="002733CB" w:rsidRPr="009C5F11">
              <w:rPr>
                <w:rFonts w:ascii="Times New Roman" w:hAnsi="Times New Roman" w:cs="Times New Roman"/>
                <w:b/>
                <w:sz w:val="20"/>
                <w:szCs w:val="16"/>
                <w:lang w:val="ro-RO"/>
              </w:rPr>
              <w:t>)</w:t>
            </w:r>
          </w:p>
        </w:tc>
      </w:tr>
      <w:tr w:rsidR="007F2B3F" w:rsidRPr="009C5F11" w14:paraId="0B11A3C4" w14:textId="77777777" w:rsidTr="006F69A2">
        <w:trPr>
          <w:trHeight w:val="464"/>
          <w:jc w:val="center"/>
        </w:trPr>
        <w:tc>
          <w:tcPr>
            <w:tcW w:w="4910" w:type="dxa"/>
            <w:vMerge/>
            <w:tcBorders>
              <w:top w:val="nil"/>
              <w:left w:val="single" w:sz="8" w:space="0" w:color="0039A6" w:themeColor="accent2"/>
              <w:bottom w:val="single" w:sz="4" w:space="0" w:color="0039A6" w:themeColor="accent2"/>
            </w:tcBorders>
            <w:shd w:val="clear" w:color="auto" w:fill="000080"/>
          </w:tcPr>
          <w:p w14:paraId="70C0146C" w14:textId="77777777" w:rsidR="002733CB" w:rsidRPr="009C5F11" w:rsidRDefault="002733CB" w:rsidP="00430626">
            <w:pPr>
              <w:jc w:val="both"/>
              <w:rPr>
                <w:rFonts w:ascii="Times New Roman" w:hAnsi="Times New Roman" w:cs="Times New Roman"/>
                <w:color w:val="FFFFFF"/>
                <w:sz w:val="20"/>
                <w:szCs w:val="16"/>
                <w:lang w:val="ro-RO"/>
              </w:rPr>
            </w:pPr>
          </w:p>
        </w:tc>
        <w:tc>
          <w:tcPr>
            <w:tcW w:w="1318" w:type="dxa"/>
            <w:vMerge/>
            <w:tcBorders>
              <w:top w:val="nil"/>
              <w:bottom w:val="single" w:sz="4" w:space="0" w:color="0039A6" w:themeColor="accent2"/>
              <w:right w:val="single" w:sz="8" w:space="0" w:color="0039A6" w:themeColor="accent2"/>
            </w:tcBorders>
            <w:shd w:val="clear" w:color="auto" w:fill="000080"/>
          </w:tcPr>
          <w:p w14:paraId="13DC7217" w14:textId="77777777" w:rsidR="002733CB" w:rsidRPr="009C5F11" w:rsidRDefault="002733CB" w:rsidP="00430626">
            <w:pPr>
              <w:jc w:val="both"/>
              <w:rPr>
                <w:rFonts w:ascii="Times New Roman" w:hAnsi="Times New Roman" w:cs="Times New Roman"/>
                <w:b/>
                <w:color w:val="FFFFFF"/>
                <w:sz w:val="20"/>
                <w:szCs w:val="16"/>
                <w:lang w:val="ro-RO"/>
              </w:rPr>
            </w:pPr>
          </w:p>
        </w:tc>
      </w:tr>
      <w:tr w:rsidR="007F2B3F" w:rsidRPr="009C5F11" w14:paraId="3BBDC8B2" w14:textId="77777777" w:rsidTr="007C339D">
        <w:trPr>
          <w:trHeight w:hRule="exact" w:val="284"/>
          <w:jc w:val="center"/>
        </w:trPr>
        <w:tc>
          <w:tcPr>
            <w:tcW w:w="4910" w:type="dxa"/>
            <w:tcBorders>
              <w:top w:val="single" w:sz="4" w:space="0" w:color="0039A6" w:themeColor="accent2"/>
              <w:left w:val="single" w:sz="4" w:space="0" w:color="0039A6" w:themeColor="accent2"/>
              <w:bottom w:val="single" w:sz="4" w:space="0" w:color="0039A6" w:themeColor="accent2"/>
            </w:tcBorders>
            <w:shd w:val="clear" w:color="auto" w:fill="auto"/>
          </w:tcPr>
          <w:p w14:paraId="3EC44DA7"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2006</w:t>
            </w:r>
          </w:p>
        </w:tc>
        <w:tc>
          <w:tcPr>
            <w:tcW w:w="1318" w:type="dxa"/>
            <w:tcBorders>
              <w:top w:val="single" w:sz="4" w:space="0" w:color="0039A6" w:themeColor="accent2"/>
              <w:bottom w:val="single" w:sz="4" w:space="0" w:color="0039A6" w:themeColor="accent2"/>
              <w:right w:val="single" w:sz="4" w:space="0" w:color="0039A6" w:themeColor="accent2"/>
            </w:tcBorders>
            <w:shd w:val="clear" w:color="auto" w:fill="auto"/>
          </w:tcPr>
          <w:p w14:paraId="0BE3C308"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1,888</w:t>
            </w:r>
          </w:p>
        </w:tc>
      </w:tr>
      <w:tr w:rsidR="007F2B3F" w:rsidRPr="009C5F11" w14:paraId="5E9FCD21" w14:textId="77777777" w:rsidTr="007C339D">
        <w:trPr>
          <w:trHeight w:hRule="exact" w:val="284"/>
          <w:jc w:val="center"/>
        </w:trPr>
        <w:tc>
          <w:tcPr>
            <w:tcW w:w="4910" w:type="dxa"/>
            <w:tcBorders>
              <w:top w:val="single" w:sz="4" w:space="0" w:color="0039A6" w:themeColor="accent2"/>
              <w:left w:val="single" w:sz="4" w:space="0" w:color="0039A6" w:themeColor="accent2"/>
              <w:bottom w:val="single" w:sz="4" w:space="0" w:color="0039A6" w:themeColor="accent2"/>
            </w:tcBorders>
            <w:shd w:val="clear" w:color="auto" w:fill="auto"/>
          </w:tcPr>
          <w:p w14:paraId="7AC936BE"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2007</w:t>
            </w:r>
          </w:p>
        </w:tc>
        <w:tc>
          <w:tcPr>
            <w:tcW w:w="1318" w:type="dxa"/>
            <w:tcBorders>
              <w:top w:val="single" w:sz="4" w:space="0" w:color="0039A6" w:themeColor="accent2"/>
              <w:bottom w:val="single" w:sz="4" w:space="0" w:color="0039A6" w:themeColor="accent2"/>
              <w:right w:val="single" w:sz="4" w:space="0" w:color="0039A6" w:themeColor="accent2"/>
            </w:tcBorders>
            <w:shd w:val="clear" w:color="auto" w:fill="auto"/>
          </w:tcPr>
          <w:p w14:paraId="14460E50"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1,791</w:t>
            </w:r>
          </w:p>
        </w:tc>
      </w:tr>
      <w:tr w:rsidR="007F2B3F" w:rsidRPr="009C5F11" w14:paraId="40617E24" w14:textId="77777777" w:rsidTr="007C339D">
        <w:trPr>
          <w:trHeight w:hRule="exact" w:val="284"/>
          <w:jc w:val="center"/>
        </w:trPr>
        <w:tc>
          <w:tcPr>
            <w:tcW w:w="4910" w:type="dxa"/>
            <w:tcBorders>
              <w:top w:val="single" w:sz="4" w:space="0" w:color="0039A6" w:themeColor="accent2"/>
              <w:left w:val="single" w:sz="4" w:space="0" w:color="0039A6" w:themeColor="accent2"/>
              <w:bottom w:val="single" w:sz="4" w:space="0" w:color="0039A6" w:themeColor="accent2"/>
            </w:tcBorders>
            <w:shd w:val="clear" w:color="auto" w:fill="auto"/>
          </w:tcPr>
          <w:p w14:paraId="338D626D"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2008</w:t>
            </w:r>
          </w:p>
        </w:tc>
        <w:tc>
          <w:tcPr>
            <w:tcW w:w="1318" w:type="dxa"/>
            <w:tcBorders>
              <w:top w:val="single" w:sz="4" w:space="0" w:color="0039A6" w:themeColor="accent2"/>
              <w:bottom w:val="single" w:sz="4" w:space="0" w:color="0039A6" w:themeColor="accent2"/>
              <w:right w:val="single" w:sz="4" w:space="0" w:color="0039A6" w:themeColor="accent2"/>
            </w:tcBorders>
            <w:shd w:val="clear" w:color="auto" w:fill="auto"/>
          </w:tcPr>
          <w:p w14:paraId="5205B79A"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1,838</w:t>
            </w:r>
          </w:p>
        </w:tc>
      </w:tr>
      <w:tr w:rsidR="007F2B3F" w:rsidRPr="009C5F11" w14:paraId="27919977" w14:textId="77777777" w:rsidTr="007C339D">
        <w:trPr>
          <w:trHeight w:hRule="exact" w:val="284"/>
          <w:jc w:val="center"/>
        </w:trPr>
        <w:tc>
          <w:tcPr>
            <w:tcW w:w="4910" w:type="dxa"/>
            <w:tcBorders>
              <w:top w:val="single" w:sz="4" w:space="0" w:color="0039A6" w:themeColor="accent2"/>
              <w:left w:val="single" w:sz="4" w:space="0" w:color="0039A6" w:themeColor="accent2"/>
              <w:bottom w:val="single" w:sz="4" w:space="0" w:color="0039A6" w:themeColor="accent2"/>
            </w:tcBorders>
            <w:shd w:val="clear" w:color="auto" w:fill="auto"/>
          </w:tcPr>
          <w:p w14:paraId="7730F3D5"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2009</w:t>
            </w:r>
          </w:p>
        </w:tc>
        <w:tc>
          <w:tcPr>
            <w:tcW w:w="1318" w:type="dxa"/>
            <w:tcBorders>
              <w:top w:val="single" w:sz="4" w:space="0" w:color="0039A6" w:themeColor="accent2"/>
              <w:bottom w:val="single" w:sz="4" w:space="0" w:color="0039A6" w:themeColor="accent2"/>
              <w:right w:val="single" w:sz="4" w:space="0" w:color="0039A6" w:themeColor="accent2"/>
            </w:tcBorders>
            <w:shd w:val="clear" w:color="auto" w:fill="auto"/>
          </w:tcPr>
          <w:p w14:paraId="2C071A88"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1,798</w:t>
            </w:r>
          </w:p>
        </w:tc>
      </w:tr>
      <w:tr w:rsidR="007F2B3F" w:rsidRPr="009C5F11" w14:paraId="4399204D" w14:textId="77777777" w:rsidTr="007C339D">
        <w:trPr>
          <w:trHeight w:hRule="exact" w:val="284"/>
          <w:jc w:val="center"/>
        </w:trPr>
        <w:tc>
          <w:tcPr>
            <w:tcW w:w="4910" w:type="dxa"/>
            <w:tcBorders>
              <w:top w:val="single" w:sz="4" w:space="0" w:color="0039A6" w:themeColor="accent2"/>
              <w:left w:val="single" w:sz="4" w:space="0" w:color="0039A6" w:themeColor="accent2"/>
              <w:bottom w:val="single" w:sz="4" w:space="0" w:color="0039A6" w:themeColor="accent2"/>
            </w:tcBorders>
            <w:shd w:val="clear" w:color="auto" w:fill="auto"/>
          </w:tcPr>
          <w:p w14:paraId="17B93DB4"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2010</w:t>
            </w:r>
          </w:p>
        </w:tc>
        <w:tc>
          <w:tcPr>
            <w:tcW w:w="1318" w:type="dxa"/>
            <w:tcBorders>
              <w:top w:val="single" w:sz="4" w:space="0" w:color="0039A6" w:themeColor="accent2"/>
              <w:bottom w:val="single" w:sz="4" w:space="0" w:color="0039A6" w:themeColor="accent2"/>
              <w:right w:val="single" w:sz="4" w:space="0" w:color="0039A6" w:themeColor="accent2"/>
            </w:tcBorders>
            <w:shd w:val="clear" w:color="auto" w:fill="auto"/>
          </w:tcPr>
          <w:p w14:paraId="3880E334"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1,974</w:t>
            </w:r>
          </w:p>
        </w:tc>
      </w:tr>
      <w:tr w:rsidR="007F2B3F" w:rsidRPr="009C5F11" w14:paraId="2E24FA9F" w14:textId="77777777" w:rsidTr="007C339D">
        <w:trPr>
          <w:trHeight w:hRule="exact" w:val="284"/>
          <w:jc w:val="center"/>
        </w:trPr>
        <w:tc>
          <w:tcPr>
            <w:tcW w:w="4910" w:type="dxa"/>
            <w:tcBorders>
              <w:top w:val="single" w:sz="4" w:space="0" w:color="0039A6" w:themeColor="accent2"/>
              <w:left w:val="single" w:sz="4" w:space="0" w:color="0039A6" w:themeColor="accent2"/>
              <w:bottom w:val="single" w:sz="4" w:space="0" w:color="0039A6" w:themeColor="accent2"/>
            </w:tcBorders>
            <w:shd w:val="clear" w:color="auto" w:fill="auto"/>
          </w:tcPr>
          <w:p w14:paraId="6478FEB7" w14:textId="77777777" w:rsidR="002733CB" w:rsidRPr="009C5F11" w:rsidRDefault="00D62784"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Media</w:t>
            </w:r>
            <w:r w:rsidR="002733CB" w:rsidRPr="009C5F11">
              <w:rPr>
                <w:rFonts w:ascii="Times New Roman" w:hAnsi="Times New Roman" w:cs="Times New Roman"/>
                <w:sz w:val="20"/>
                <w:szCs w:val="16"/>
                <w:lang w:val="ro-RO"/>
              </w:rPr>
              <w:t xml:space="preserve"> (2006-2010)</w:t>
            </w:r>
          </w:p>
        </w:tc>
        <w:tc>
          <w:tcPr>
            <w:tcW w:w="1318" w:type="dxa"/>
            <w:tcBorders>
              <w:top w:val="single" w:sz="4" w:space="0" w:color="0039A6" w:themeColor="accent2"/>
              <w:bottom w:val="single" w:sz="4" w:space="0" w:color="0039A6" w:themeColor="accent2"/>
              <w:right w:val="single" w:sz="4" w:space="0" w:color="0039A6" w:themeColor="accent2"/>
            </w:tcBorders>
            <w:shd w:val="clear" w:color="auto" w:fill="auto"/>
          </w:tcPr>
          <w:p w14:paraId="10D09D08" w14:textId="77777777" w:rsidR="002733CB" w:rsidRPr="009C5F11" w:rsidRDefault="002733CB" w:rsidP="00430626">
            <w:pPr>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1,857.80</w:t>
            </w:r>
          </w:p>
        </w:tc>
      </w:tr>
      <w:tr w:rsidR="007F2B3F" w:rsidRPr="009C5F11" w14:paraId="6C6776ED" w14:textId="77777777" w:rsidTr="00D62784">
        <w:trPr>
          <w:trHeight w:hRule="exact" w:val="455"/>
          <w:jc w:val="center"/>
        </w:trPr>
        <w:tc>
          <w:tcPr>
            <w:tcW w:w="4910" w:type="dxa"/>
            <w:tcBorders>
              <w:top w:val="single" w:sz="4" w:space="0" w:color="0039A6" w:themeColor="accent2"/>
              <w:left w:val="single" w:sz="4" w:space="0" w:color="0039A6" w:themeColor="accent2"/>
              <w:bottom w:val="single" w:sz="4" w:space="0" w:color="0039A6" w:themeColor="accent2"/>
            </w:tcBorders>
            <w:shd w:val="clear" w:color="auto" w:fill="auto"/>
          </w:tcPr>
          <w:p w14:paraId="5BAF80E0" w14:textId="77777777" w:rsidR="002733CB" w:rsidRPr="009C5F11" w:rsidRDefault="00D62784" w:rsidP="00B40DB5">
            <w:pPr>
              <w:rPr>
                <w:rFonts w:ascii="Times New Roman" w:hAnsi="Times New Roman" w:cs="Times New Roman"/>
                <w:b/>
                <w:sz w:val="20"/>
                <w:szCs w:val="16"/>
                <w:lang w:val="ro-RO"/>
              </w:rPr>
            </w:pPr>
            <w:r w:rsidRPr="009C5F11">
              <w:rPr>
                <w:rFonts w:ascii="Times New Roman" w:hAnsi="Times New Roman" w:cs="Times New Roman"/>
                <w:b/>
                <w:sz w:val="20"/>
                <w:szCs w:val="16"/>
                <w:lang w:val="ro-RO"/>
              </w:rPr>
              <w:t>Obiectivul</w:t>
            </w:r>
            <w:r w:rsidR="002733CB" w:rsidRPr="009C5F11">
              <w:rPr>
                <w:rFonts w:ascii="Times New Roman" w:hAnsi="Times New Roman" w:cs="Times New Roman"/>
                <w:b/>
                <w:sz w:val="20"/>
                <w:szCs w:val="16"/>
                <w:lang w:val="ro-RO"/>
              </w:rPr>
              <w:t xml:space="preserve"> indicativ</w:t>
            </w:r>
            <w:r w:rsidRPr="009C5F11">
              <w:rPr>
                <w:rFonts w:ascii="Times New Roman" w:hAnsi="Times New Roman" w:cs="Times New Roman"/>
                <w:b/>
                <w:sz w:val="20"/>
                <w:szCs w:val="16"/>
                <w:lang w:val="ro-RO"/>
              </w:rPr>
              <w:t xml:space="preserve"> naţional</w:t>
            </w:r>
            <w:r w:rsidR="006F69A2" w:rsidRPr="009C5F11">
              <w:rPr>
                <w:rFonts w:ascii="Times New Roman" w:hAnsi="Times New Roman" w:cs="Times New Roman"/>
                <w:b/>
                <w:sz w:val="20"/>
                <w:szCs w:val="16"/>
                <w:lang w:val="ro-RO"/>
              </w:rPr>
              <w:t xml:space="preserve"> </w:t>
            </w:r>
            <w:r w:rsidR="00440F5F" w:rsidRPr="009C5F11">
              <w:rPr>
                <w:rFonts w:ascii="Times New Roman" w:hAnsi="Times New Roman" w:cs="Times New Roman"/>
                <w:b/>
                <w:sz w:val="20"/>
                <w:szCs w:val="16"/>
                <w:lang w:val="ro-RO"/>
              </w:rPr>
              <w:t xml:space="preserve">stabilit </w:t>
            </w:r>
            <w:r w:rsidRPr="009C5F11">
              <w:rPr>
                <w:rFonts w:ascii="Times New Roman" w:hAnsi="Times New Roman" w:cs="Times New Roman"/>
                <w:b/>
                <w:sz w:val="20"/>
                <w:szCs w:val="16"/>
                <w:lang w:val="ro-RO"/>
              </w:rPr>
              <w:t>pentru economiile</w:t>
            </w:r>
            <w:r w:rsidR="002733CB" w:rsidRPr="009C5F11">
              <w:rPr>
                <w:rFonts w:ascii="Times New Roman" w:hAnsi="Times New Roman" w:cs="Times New Roman"/>
                <w:b/>
                <w:sz w:val="20"/>
                <w:szCs w:val="16"/>
                <w:lang w:val="ro-RO"/>
              </w:rPr>
              <w:t xml:space="preserve"> </w:t>
            </w:r>
            <w:r w:rsidR="00440F5F" w:rsidRPr="009C5F11">
              <w:rPr>
                <w:rFonts w:ascii="Times New Roman" w:hAnsi="Times New Roman" w:cs="Times New Roman"/>
                <w:b/>
                <w:sz w:val="20"/>
                <w:szCs w:val="16"/>
                <w:lang w:val="ro-RO"/>
              </w:rPr>
              <w:t>de</w:t>
            </w:r>
            <w:r w:rsidR="006F69A2" w:rsidRPr="009C5F11">
              <w:rPr>
                <w:rFonts w:ascii="Times New Roman" w:hAnsi="Times New Roman" w:cs="Times New Roman"/>
                <w:b/>
                <w:sz w:val="20"/>
                <w:szCs w:val="16"/>
                <w:lang w:val="ro-RO"/>
              </w:rPr>
              <w:t xml:space="preserve"> energie</w:t>
            </w:r>
            <w:r w:rsidR="00440F5F" w:rsidRPr="009C5F11">
              <w:rPr>
                <w:rFonts w:ascii="Times New Roman" w:hAnsi="Times New Roman" w:cs="Times New Roman"/>
                <w:b/>
                <w:sz w:val="20"/>
                <w:szCs w:val="16"/>
                <w:lang w:val="ro-RO"/>
              </w:rPr>
              <w:t xml:space="preserve"> finală</w:t>
            </w:r>
            <w:r w:rsidR="002733CB" w:rsidRPr="009C5F11">
              <w:rPr>
                <w:rFonts w:ascii="Times New Roman" w:hAnsi="Times New Roman" w:cs="Times New Roman"/>
                <w:b/>
                <w:sz w:val="20"/>
                <w:szCs w:val="16"/>
                <w:lang w:val="ro-RO"/>
              </w:rPr>
              <w:t xml:space="preserve"> (9%)</w:t>
            </w:r>
          </w:p>
        </w:tc>
        <w:tc>
          <w:tcPr>
            <w:tcW w:w="1318" w:type="dxa"/>
            <w:tcBorders>
              <w:top w:val="single" w:sz="4" w:space="0" w:color="0039A6" w:themeColor="accent2"/>
              <w:bottom w:val="single" w:sz="4" w:space="0" w:color="0039A6" w:themeColor="accent2"/>
              <w:right w:val="single" w:sz="4" w:space="0" w:color="0039A6" w:themeColor="accent2"/>
            </w:tcBorders>
            <w:shd w:val="clear" w:color="auto" w:fill="auto"/>
          </w:tcPr>
          <w:p w14:paraId="76EFE66A" w14:textId="77777777" w:rsidR="002733CB" w:rsidRPr="009C5F11" w:rsidRDefault="002733CB" w:rsidP="00430626">
            <w:pPr>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 xml:space="preserve">167.20 </w:t>
            </w:r>
          </w:p>
        </w:tc>
      </w:tr>
    </w:tbl>
    <w:p w14:paraId="584A5D34" w14:textId="77777777" w:rsidR="00D62784" w:rsidRPr="009C5F11" w:rsidRDefault="00D62784" w:rsidP="001A41B0">
      <w:pPr>
        <w:spacing w:before="120" w:after="120" w:line="240" w:lineRule="auto"/>
        <w:jc w:val="both"/>
        <w:textAlignment w:val="baseline"/>
        <w:rPr>
          <w:rFonts w:ascii="Times New Roman" w:hAnsi="Times New Roman" w:cs="Times New Roman"/>
          <w:sz w:val="24"/>
          <w:lang w:val="ro-RO"/>
        </w:rPr>
      </w:pPr>
    </w:p>
    <w:p w14:paraId="37E67E84" w14:textId="52BD6447" w:rsidR="002733CB" w:rsidRPr="009C5F11" w:rsidRDefault="00AA03CD"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Economiile anuale şi cele </w:t>
      </w:r>
      <w:r w:rsidR="002733CB" w:rsidRPr="009C5F11">
        <w:rPr>
          <w:rFonts w:ascii="Times New Roman" w:hAnsi="Times New Roman" w:cs="Times New Roman"/>
          <w:sz w:val="24"/>
          <w:lang w:val="ro-RO"/>
        </w:rPr>
        <w:t xml:space="preserve">cumulative </w:t>
      </w:r>
      <w:r w:rsidR="009C5DCF" w:rsidRPr="009C5F11">
        <w:rPr>
          <w:rFonts w:ascii="Times New Roman" w:hAnsi="Times New Roman" w:cs="Times New Roman"/>
          <w:sz w:val="24"/>
          <w:lang w:val="ro-RO"/>
        </w:rPr>
        <w:t xml:space="preserve">pe parcursul a 9 ani succesivi, începând cu primul an de </w:t>
      </w:r>
      <w:r w:rsidR="00532A33" w:rsidRPr="009C5F11">
        <w:rPr>
          <w:rFonts w:ascii="Times New Roman" w:hAnsi="Times New Roman" w:cs="Times New Roman"/>
          <w:sz w:val="24"/>
          <w:lang w:val="ro-RO"/>
        </w:rPr>
        <w:t>implementare</w:t>
      </w:r>
      <w:r w:rsidR="009C5DCF"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a</w:t>
      </w:r>
      <w:r w:rsidR="009C5DCF" w:rsidRPr="009C5F11">
        <w:rPr>
          <w:rFonts w:ascii="Times New Roman" w:hAnsi="Times New Roman" w:cs="Times New Roman"/>
          <w:sz w:val="24"/>
          <w:lang w:val="ro-RO"/>
        </w:rPr>
        <w:t xml:space="preserve"> DSE sunt prezentate</w:t>
      </w:r>
      <w:r w:rsidR="00321CD5" w:rsidRPr="009C5F11">
        <w:rPr>
          <w:rFonts w:ascii="Times New Roman" w:hAnsi="Times New Roman" w:cs="Times New Roman"/>
          <w:sz w:val="24"/>
          <w:lang w:val="ro-RO"/>
        </w:rPr>
        <w:t xml:space="preserve"> în </w:t>
      </w:r>
      <w:r w:rsidR="003A6ADB" w:rsidRPr="009C5F11">
        <w:rPr>
          <w:rFonts w:ascii="Times New Roman" w:hAnsi="Times New Roman" w:cs="Times New Roman"/>
          <w:sz w:val="24"/>
          <w:lang w:val="ro-RO"/>
        </w:rPr>
        <w:fldChar w:fldCharType="begin"/>
      </w:r>
      <w:r w:rsidR="00860FEE" w:rsidRPr="009C5F11">
        <w:rPr>
          <w:rFonts w:ascii="Times New Roman" w:hAnsi="Times New Roman" w:cs="Times New Roman"/>
          <w:sz w:val="24"/>
          <w:lang w:val="ro-RO"/>
        </w:rPr>
        <w:instrText xml:space="preserve"> REF _Ref319615804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7</w:t>
      </w:r>
      <w:r w:rsidR="003A6ADB" w:rsidRPr="009C5F11">
        <w:rPr>
          <w:rFonts w:ascii="Times New Roman" w:hAnsi="Times New Roman" w:cs="Times New Roman"/>
          <w:sz w:val="24"/>
          <w:lang w:val="ro-RO"/>
        </w:rPr>
        <w:fldChar w:fldCharType="end"/>
      </w:r>
      <w:r w:rsidR="002733CB" w:rsidRPr="009C5F11">
        <w:rPr>
          <w:rFonts w:ascii="Times New Roman" w:hAnsi="Times New Roman" w:cs="Times New Roman"/>
          <w:sz w:val="24"/>
          <w:lang w:val="ro-RO"/>
        </w:rPr>
        <w:t>.</w:t>
      </w:r>
    </w:p>
    <w:p w14:paraId="209053A4" w14:textId="77777777" w:rsidR="00DB2737" w:rsidRPr="009C5F11" w:rsidRDefault="00DB2737" w:rsidP="001A41B0">
      <w:pPr>
        <w:spacing w:before="120" w:after="120" w:line="240" w:lineRule="auto"/>
        <w:jc w:val="both"/>
        <w:textAlignment w:val="baseline"/>
        <w:rPr>
          <w:rFonts w:ascii="Times New Roman" w:hAnsi="Times New Roman" w:cs="Times New Roman"/>
          <w:sz w:val="24"/>
          <w:lang w:val="ro-RO"/>
        </w:rPr>
      </w:pPr>
    </w:p>
    <w:p w14:paraId="0255573F" w14:textId="77777777" w:rsidR="0025445E" w:rsidRDefault="0025445E" w:rsidP="001A41B0">
      <w:pPr>
        <w:spacing w:before="120" w:after="120" w:line="240" w:lineRule="auto"/>
        <w:jc w:val="both"/>
        <w:textAlignment w:val="baseline"/>
        <w:rPr>
          <w:rFonts w:ascii="Times New Roman" w:hAnsi="Times New Roman" w:cs="Times New Roman"/>
          <w:sz w:val="24"/>
          <w:lang w:val="ro-RO"/>
        </w:rPr>
      </w:pPr>
    </w:p>
    <w:p w14:paraId="56598335" w14:textId="77777777" w:rsidR="00D9464A" w:rsidRPr="009C5F11" w:rsidRDefault="00D9464A" w:rsidP="001A41B0">
      <w:pPr>
        <w:spacing w:before="120" w:after="120" w:line="240" w:lineRule="auto"/>
        <w:jc w:val="both"/>
        <w:textAlignment w:val="baseline"/>
        <w:rPr>
          <w:rFonts w:ascii="Times New Roman" w:hAnsi="Times New Roman" w:cs="Times New Roman"/>
          <w:sz w:val="24"/>
          <w:lang w:val="ro-RO"/>
        </w:rPr>
      </w:pPr>
    </w:p>
    <w:p w14:paraId="1F00AD3B" w14:textId="77777777" w:rsidR="0025445E" w:rsidRPr="009C5F11" w:rsidRDefault="0025445E" w:rsidP="001A41B0">
      <w:pPr>
        <w:spacing w:before="120" w:after="120" w:line="240" w:lineRule="auto"/>
        <w:jc w:val="both"/>
        <w:textAlignment w:val="baseline"/>
        <w:rPr>
          <w:rFonts w:ascii="Times New Roman" w:hAnsi="Times New Roman" w:cs="Times New Roman"/>
          <w:sz w:val="24"/>
          <w:lang w:val="ro-RO"/>
        </w:rPr>
      </w:pPr>
    </w:p>
    <w:p w14:paraId="5BE56B35" w14:textId="77777777" w:rsidR="00860FEE" w:rsidRPr="009C5F11" w:rsidRDefault="00321CD5" w:rsidP="00F13E1B">
      <w:pPr>
        <w:pStyle w:val="Legend"/>
        <w:keepNext/>
        <w:jc w:val="center"/>
        <w:rPr>
          <w:rFonts w:ascii="Times New Roman" w:hAnsi="Times New Roman" w:cs="Times New Roman"/>
          <w:sz w:val="22"/>
          <w:lang w:val="ro-RO"/>
        </w:rPr>
      </w:pPr>
      <w:bookmarkStart w:id="48" w:name="_Ref319615804"/>
      <w:bookmarkStart w:id="49" w:name="_Toc322013230"/>
      <w:r w:rsidRPr="009C5F11">
        <w:rPr>
          <w:rFonts w:ascii="Times New Roman" w:hAnsi="Times New Roman" w:cs="Times New Roman"/>
          <w:sz w:val="22"/>
          <w:lang w:val="ro-RO"/>
        </w:rPr>
        <w:lastRenderedPageBreak/>
        <w:t>Tabelul</w:t>
      </w:r>
      <w:r w:rsidR="00860FEE"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860FEE"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7</w:t>
      </w:r>
      <w:r w:rsidR="003A6ADB" w:rsidRPr="009C5F11">
        <w:rPr>
          <w:rFonts w:ascii="Times New Roman" w:hAnsi="Times New Roman" w:cs="Times New Roman"/>
          <w:sz w:val="22"/>
          <w:lang w:val="ro-RO"/>
        </w:rPr>
        <w:fldChar w:fldCharType="end"/>
      </w:r>
      <w:bookmarkEnd w:id="48"/>
      <w:r w:rsidR="00860FEE" w:rsidRPr="009C5F11">
        <w:rPr>
          <w:rFonts w:ascii="Times New Roman" w:hAnsi="Times New Roman" w:cs="Times New Roman"/>
          <w:sz w:val="22"/>
          <w:lang w:val="ro-RO"/>
        </w:rPr>
        <w:t xml:space="preserve"> </w:t>
      </w:r>
      <w:r w:rsidR="009C5DCF" w:rsidRPr="009C5F11">
        <w:rPr>
          <w:rFonts w:ascii="Times New Roman" w:hAnsi="Times New Roman" w:cs="Times New Roman"/>
          <w:sz w:val="22"/>
          <w:lang w:val="ro-RO"/>
        </w:rPr>
        <w:t>–</w:t>
      </w:r>
      <w:r w:rsidR="00860FEE" w:rsidRPr="009C5F11">
        <w:rPr>
          <w:rFonts w:ascii="Times New Roman" w:hAnsi="Times New Roman" w:cs="Times New Roman"/>
          <w:sz w:val="22"/>
          <w:lang w:val="ro-RO"/>
        </w:rPr>
        <w:t xml:space="preserve"> </w:t>
      </w:r>
      <w:r w:rsidR="009C5DCF" w:rsidRPr="009C5F11">
        <w:rPr>
          <w:rFonts w:ascii="Times New Roman" w:hAnsi="Times New Roman" w:cs="Times New Roman"/>
          <w:sz w:val="22"/>
          <w:lang w:val="ro-RO"/>
        </w:rPr>
        <w:t>E</w:t>
      </w:r>
      <w:r w:rsidR="004424A0" w:rsidRPr="009C5F11">
        <w:rPr>
          <w:rFonts w:ascii="Times New Roman" w:hAnsi="Times New Roman" w:cs="Times New Roman"/>
          <w:sz w:val="22"/>
          <w:lang w:val="ro-RO"/>
        </w:rPr>
        <w:t>conomii</w:t>
      </w:r>
      <w:r w:rsidR="009C5DCF" w:rsidRPr="009C5F11">
        <w:rPr>
          <w:rFonts w:ascii="Times New Roman" w:hAnsi="Times New Roman" w:cs="Times New Roman"/>
          <w:sz w:val="22"/>
          <w:lang w:val="ro-RO"/>
        </w:rPr>
        <w:t xml:space="preserve">le anuale </w:t>
      </w:r>
      <w:r w:rsidR="004424A0" w:rsidRPr="009C5F11">
        <w:rPr>
          <w:rFonts w:ascii="Times New Roman" w:hAnsi="Times New Roman" w:cs="Times New Roman"/>
          <w:sz w:val="22"/>
          <w:lang w:val="ro-RO"/>
        </w:rPr>
        <w:t>de energie</w:t>
      </w:r>
      <w:r w:rsidR="00860FEE" w:rsidRPr="009C5F11">
        <w:rPr>
          <w:rFonts w:ascii="Times New Roman" w:hAnsi="Times New Roman" w:cs="Times New Roman"/>
          <w:sz w:val="22"/>
          <w:lang w:val="ro-RO"/>
        </w:rPr>
        <w:t xml:space="preserve"> </w:t>
      </w:r>
      <w:r w:rsidR="00440F5F" w:rsidRPr="009C5F11">
        <w:rPr>
          <w:rFonts w:ascii="Times New Roman" w:hAnsi="Times New Roman" w:cs="Times New Roman"/>
          <w:sz w:val="22"/>
          <w:lang w:val="ro-RO"/>
        </w:rPr>
        <w:t xml:space="preserve">finale </w:t>
      </w:r>
      <w:r w:rsidR="009C5DCF" w:rsidRPr="009C5F11">
        <w:rPr>
          <w:rFonts w:ascii="Times New Roman" w:hAnsi="Times New Roman" w:cs="Times New Roman"/>
          <w:sz w:val="22"/>
          <w:lang w:val="ro-RO"/>
        </w:rPr>
        <w:t xml:space="preserve">obţinute în rezultatul implementării </w:t>
      </w:r>
      <w:r w:rsidR="00E10BE5" w:rsidRPr="009C5F11">
        <w:rPr>
          <w:rFonts w:ascii="Times New Roman" w:hAnsi="Times New Roman" w:cs="Times New Roman"/>
          <w:sz w:val="22"/>
          <w:lang w:val="ro-RO"/>
        </w:rPr>
        <w:t>măsuri</w:t>
      </w:r>
      <w:r w:rsidR="009C5DCF" w:rsidRPr="009C5F11">
        <w:rPr>
          <w:rFonts w:ascii="Times New Roman" w:hAnsi="Times New Roman" w:cs="Times New Roman"/>
          <w:sz w:val="22"/>
          <w:lang w:val="ro-RO"/>
        </w:rPr>
        <w:t>lor.</w:t>
      </w:r>
      <w:bookmarkEnd w:id="49"/>
      <w:r w:rsidR="009C5DCF" w:rsidRPr="009C5F11">
        <w:rPr>
          <w:rFonts w:ascii="Times New Roman" w:hAnsi="Times New Roman" w:cs="Times New Roman"/>
          <w:sz w:val="22"/>
          <w:lang w:val="ro-RO"/>
        </w:rPr>
        <w:t xml:space="preserve"> </w:t>
      </w:r>
    </w:p>
    <w:tbl>
      <w:tblPr>
        <w:tblW w:w="5000" w:type="pct"/>
        <w:tblLayout w:type="fixed"/>
        <w:tblLook w:val="04A0" w:firstRow="1" w:lastRow="0" w:firstColumn="1" w:lastColumn="0" w:noHBand="0" w:noVBand="1"/>
      </w:tblPr>
      <w:tblGrid>
        <w:gridCol w:w="675"/>
        <w:gridCol w:w="286"/>
        <w:gridCol w:w="571"/>
        <w:gridCol w:w="709"/>
        <w:gridCol w:w="567"/>
        <w:gridCol w:w="573"/>
        <w:gridCol w:w="711"/>
        <w:gridCol w:w="715"/>
        <w:gridCol w:w="576"/>
        <w:gridCol w:w="709"/>
        <w:gridCol w:w="567"/>
        <w:gridCol w:w="567"/>
        <w:gridCol w:w="844"/>
        <w:gridCol w:w="1166"/>
      </w:tblGrid>
      <w:tr w:rsidR="00F34ADA" w:rsidRPr="009C5F11" w14:paraId="3FD96A2B" w14:textId="77777777" w:rsidTr="00F34ADA">
        <w:trPr>
          <w:trHeight w:val="320"/>
        </w:trPr>
        <w:tc>
          <w:tcPr>
            <w:tcW w:w="3912" w:type="pct"/>
            <w:gridSpan w:val="12"/>
            <w:tcBorders>
              <w:top w:val="single" w:sz="8" w:space="0" w:color="0039A6" w:themeColor="accent2"/>
              <w:left w:val="single" w:sz="8" w:space="0" w:color="0039A6" w:themeColor="accent2"/>
              <w:bottom w:val="single" w:sz="8" w:space="0" w:color="0039A6" w:themeColor="accent2"/>
              <w:right w:val="nil"/>
            </w:tcBorders>
            <w:shd w:val="clear" w:color="auto" w:fill="000080"/>
            <w:vAlign w:val="center"/>
            <w:hideMark/>
          </w:tcPr>
          <w:p w14:paraId="0B4EA5AD" w14:textId="77777777" w:rsidR="002733CB" w:rsidRPr="009C5F11" w:rsidRDefault="009C5DCF" w:rsidP="009C5DCF">
            <w:pPr>
              <w:spacing w:after="0" w:line="240" w:lineRule="auto"/>
              <w:jc w:val="right"/>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 xml:space="preserve">Consumul final mediu în perioada </w:t>
            </w:r>
            <w:r w:rsidR="002733CB" w:rsidRPr="009C5F11">
              <w:rPr>
                <w:rFonts w:ascii="Times New Roman" w:hAnsi="Times New Roman" w:cs="Times New Roman"/>
                <w:b/>
                <w:bCs/>
                <w:color w:val="FFFFFF" w:themeColor="background1"/>
                <w:sz w:val="16"/>
                <w:szCs w:val="12"/>
                <w:lang w:val="ro-RO"/>
              </w:rPr>
              <w:t>2006-2010 (</w:t>
            </w:r>
            <w:r w:rsidR="00E52940" w:rsidRPr="009C5F11">
              <w:rPr>
                <w:rFonts w:ascii="Times New Roman" w:hAnsi="Times New Roman" w:cs="Times New Roman"/>
                <w:b/>
                <w:bCs/>
                <w:color w:val="FFFFFF" w:themeColor="background1"/>
                <w:sz w:val="16"/>
                <w:szCs w:val="12"/>
                <w:lang w:val="ro-RO"/>
              </w:rPr>
              <w:t>ktep</w:t>
            </w:r>
            <w:r w:rsidR="002733CB" w:rsidRPr="009C5F11">
              <w:rPr>
                <w:rFonts w:ascii="Times New Roman" w:hAnsi="Times New Roman" w:cs="Times New Roman"/>
                <w:b/>
                <w:bCs/>
                <w:color w:val="FFFFFF" w:themeColor="background1"/>
                <w:sz w:val="16"/>
                <w:szCs w:val="12"/>
                <w:lang w:val="ro-RO"/>
              </w:rPr>
              <w:t>)</w:t>
            </w:r>
          </w:p>
        </w:tc>
        <w:tc>
          <w:tcPr>
            <w:tcW w:w="1088" w:type="pct"/>
            <w:gridSpan w:val="2"/>
            <w:tcBorders>
              <w:top w:val="single" w:sz="8" w:space="0" w:color="0039A6" w:themeColor="accent2"/>
              <w:left w:val="nil"/>
              <w:bottom w:val="single" w:sz="8" w:space="0" w:color="0039A6" w:themeColor="accent2"/>
              <w:right w:val="single" w:sz="8" w:space="0" w:color="0039A6" w:themeColor="accent2"/>
            </w:tcBorders>
            <w:shd w:val="clear" w:color="auto" w:fill="000080"/>
            <w:vAlign w:val="center"/>
            <w:hideMark/>
          </w:tcPr>
          <w:p w14:paraId="63369405" w14:textId="77777777" w:rsidR="002733CB" w:rsidRPr="009C5F11" w:rsidRDefault="00F13E1B" w:rsidP="00C816F2">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 xml:space="preserve"> 1,</w:t>
            </w:r>
            <w:r w:rsidR="002733CB" w:rsidRPr="009C5F11">
              <w:rPr>
                <w:rFonts w:ascii="Times New Roman" w:hAnsi="Times New Roman" w:cs="Times New Roman"/>
                <w:b/>
                <w:bCs/>
                <w:color w:val="FFFFFF" w:themeColor="background1"/>
                <w:sz w:val="16"/>
                <w:szCs w:val="12"/>
                <w:lang w:val="ro-RO"/>
              </w:rPr>
              <w:t>857</w:t>
            </w:r>
            <w:r w:rsidR="00C816F2" w:rsidRPr="009C5F11">
              <w:rPr>
                <w:rFonts w:ascii="Times New Roman" w:hAnsi="Times New Roman" w:cs="Times New Roman"/>
                <w:b/>
                <w:bCs/>
                <w:color w:val="FFFFFF" w:themeColor="background1"/>
                <w:sz w:val="16"/>
                <w:szCs w:val="12"/>
                <w:lang w:val="ro-RO"/>
              </w:rPr>
              <w:t>.</w:t>
            </w:r>
            <w:r w:rsidR="002733CB" w:rsidRPr="009C5F11">
              <w:rPr>
                <w:rFonts w:ascii="Times New Roman" w:hAnsi="Times New Roman" w:cs="Times New Roman"/>
                <w:b/>
                <w:bCs/>
                <w:color w:val="FFFFFF" w:themeColor="background1"/>
                <w:sz w:val="16"/>
                <w:szCs w:val="12"/>
                <w:lang w:val="ro-RO"/>
              </w:rPr>
              <w:t xml:space="preserve">80 </w:t>
            </w:r>
          </w:p>
        </w:tc>
      </w:tr>
      <w:tr w:rsidR="00F34ADA" w:rsidRPr="009C5F11" w14:paraId="2544AEEA" w14:textId="77777777" w:rsidTr="006F69A2">
        <w:trPr>
          <w:trHeight w:val="533"/>
        </w:trPr>
        <w:tc>
          <w:tcPr>
            <w:tcW w:w="520" w:type="pct"/>
            <w:gridSpan w:val="2"/>
            <w:vMerge w:val="restart"/>
            <w:tcBorders>
              <w:top w:val="single" w:sz="8" w:space="0" w:color="0039A6" w:themeColor="accent2"/>
              <w:left w:val="single" w:sz="8" w:space="0" w:color="0039A6" w:themeColor="accent2"/>
              <w:bottom w:val="single" w:sz="8" w:space="0" w:color="0039A6" w:themeColor="accent2"/>
              <w:right w:val="nil"/>
            </w:tcBorders>
            <w:shd w:val="clear" w:color="auto" w:fill="000080"/>
            <w:vAlign w:val="center"/>
            <w:hideMark/>
          </w:tcPr>
          <w:p w14:paraId="12CAD21C" w14:textId="77777777" w:rsidR="008C7756" w:rsidRPr="009C5F11" w:rsidRDefault="009C5DCF" w:rsidP="008C7756">
            <w:pPr>
              <w:spacing w:after="0" w:line="240" w:lineRule="auto"/>
              <w:jc w:val="center"/>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An</w:t>
            </w:r>
          </w:p>
        </w:tc>
        <w:tc>
          <w:tcPr>
            <w:tcW w:w="3392" w:type="pct"/>
            <w:gridSpan w:val="10"/>
            <w:tcBorders>
              <w:top w:val="single" w:sz="8" w:space="0" w:color="0039A6" w:themeColor="accent2"/>
              <w:left w:val="nil"/>
              <w:bottom w:val="single" w:sz="8" w:space="0" w:color="0039A6" w:themeColor="accent2"/>
              <w:right w:val="nil"/>
            </w:tcBorders>
            <w:shd w:val="clear" w:color="auto" w:fill="000080"/>
            <w:vAlign w:val="center"/>
            <w:hideMark/>
          </w:tcPr>
          <w:p w14:paraId="09EB3186" w14:textId="77777777" w:rsidR="008C7756" w:rsidRPr="009C5F11" w:rsidRDefault="009C5DCF" w:rsidP="000A695D">
            <w:pPr>
              <w:spacing w:after="0" w:line="240" w:lineRule="auto"/>
              <w:jc w:val="center"/>
              <w:rPr>
                <w:rFonts w:ascii="Times New Roman" w:hAnsi="Times New Roman" w:cs="Times New Roman"/>
                <w:b/>
                <w:color w:val="FFFFFF" w:themeColor="background1"/>
                <w:sz w:val="16"/>
                <w:szCs w:val="12"/>
                <w:lang w:val="ro-RO"/>
              </w:rPr>
            </w:pPr>
            <w:r w:rsidRPr="009C5F11">
              <w:rPr>
                <w:rFonts w:ascii="Times New Roman" w:hAnsi="Times New Roman" w:cs="Times New Roman"/>
                <w:b/>
                <w:color w:val="FFFFFF" w:themeColor="background1"/>
                <w:sz w:val="16"/>
                <w:szCs w:val="12"/>
                <w:lang w:val="ro-RO"/>
              </w:rPr>
              <w:t>Economiile anuale de energie obţinute pe baza implementării măsurilor</w:t>
            </w:r>
            <w:r w:rsidR="008C7756" w:rsidRPr="009C5F11">
              <w:rPr>
                <w:rFonts w:ascii="Times New Roman" w:hAnsi="Times New Roman" w:cs="Times New Roman"/>
                <w:b/>
                <w:color w:val="FFFFFF" w:themeColor="background1"/>
                <w:sz w:val="16"/>
                <w:szCs w:val="12"/>
                <w:lang w:val="ro-RO"/>
              </w:rPr>
              <w:t xml:space="preserve"> (</w:t>
            </w:r>
            <w:r w:rsidR="00E52940" w:rsidRPr="009C5F11">
              <w:rPr>
                <w:rFonts w:ascii="Times New Roman" w:hAnsi="Times New Roman" w:cs="Times New Roman"/>
                <w:b/>
                <w:color w:val="FFFFFF" w:themeColor="background1"/>
                <w:sz w:val="16"/>
                <w:szCs w:val="12"/>
                <w:lang w:val="ro-RO"/>
              </w:rPr>
              <w:t>ktep</w:t>
            </w:r>
            <w:r w:rsidR="008C7756" w:rsidRPr="009C5F11">
              <w:rPr>
                <w:rFonts w:ascii="Times New Roman" w:hAnsi="Times New Roman" w:cs="Times New Roman"/>
                <w:b/>
                <w:color w:val="FFFFFF" w:themeColor="background1"/>
                <w:sz w:val="16"/>
                <w:szCs w:val="12"/>
                <w:lang w:val="ro-RO"/>
              </w:rPr>
              <w:t>)</w:t>
            </w:r>
          </w:p>
        </w:tc>
        <w:tc>
          <w:tcPr>
            <w:tcW w:w="457" w:type="pct"/>
            <w:vMerge w:val="restart"/>
            <w:tcBorders>
              <w:top w:val="single" w:sz="8" w:space="0" w:color="0039A6" w:themeColor="accent2"/>
              <w:left w:val="nil"/>
              <w:right w:val="nil"/>
            </w:tcBorders>
            <w:shd w:val="clear" w:color="auto" w:fill="000080"/>
            <w:vAlign w:val="center"/>
            <w:hideMark/>
          </w:tcPr>
          <w:p w14:paraId="1ED7A1BF" w14:textId="77777777" w:rsidR="008C7756" w:rsidRPr="009C5F11" w:rsidRDefault="009C5DCF" w:rsidP="009C5DCF">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Economiile</w:t>
            </w:r>
            <w:r w:rsidR="008C7756" w:rsidRPr="009C5F11">
              <w:rPr>
                <w:rFonts w:ascii="Times New Roman" w:hAnsi="Times New Roman" w:cs="Times New Roman"/>
                <w:b/>
                <w:bCs/>
                <w:color w:val="FFFFFF" w:themeColor="background1"/>
                <w:sz w:val="16"/>
                <w:szCs w:val="12"/>
                <w:lang w:val="ro-RO"/>
              </w:rPr>
              <w:t xml:space="preserve"> </w:t>
            </w:r>
            <w:r w:rsidR="003A5D89" w:rsidRPr="009C5F11">
              <w:rPr>
                <w:rFonts w:ascii="Times New Roman" w:hAnsi="Times New Roman" w:cs="Times New Roman"/>
                <w:b/>
                <w:bCs/>
                <w:color w:val="FFFFFF" w:themeColor="background1"/>
                <w:sz w:val="16"/>
                <w:szCs w:val="12"/>
                <w:lang w:val="ro-RO"/>
              </w:rPr>
              <w:t xml:space="preserve">până </w:t>
            </w:r>
            <w:r w:rsidRPr="009C5F11">
              <w:rPr>
                <w:rFonts w:ascii="Times New Roman" w:hAnsi="Times New Roman" w:cs="Times New Roman"/>
                <w:b/>
                <w:bCs/>
                <w:color w:val="FFFFFF" w:themeColor="background1"/>
                <w:sz w:val="16"/>
                <w:szCs w:val="12"/>
                <w:lang w:val="ro-RO"/>
              </w:rPr>
              <w:t>în</w:t>
            </w:r>
            <w:r w:rsidR="008C7756" w:rsidRPr="009C5F11">
              <w:rPr>
                <w:rFonts w:ascii="Times New Roman" w:hAnsi="Times New Roman" w:cs="Times New Roman"/>
                <w:b/>
                <w:bCs/>
                <w:color w:val="FFFFFF" w:themeColor="background1"/>
                <w:sz w:val="16"/>
                <w:szCs w:val="12"/>
                <w:lang w:val="ro-RO"/>
              </w:rPr>
              <w:t xml:space="preserve"> 2020, </w:t>
            </w:r>
            <w:r w:rsidR="00E52940" w:rsidRPr="009C5F11">
              <w:rPr>
                <w:rFonts w:ascii="Times New Roman" w:hAnsi="Times New Roman" w:cs="Times New Roman"/>
                <w:b/>
                <w:bCs/>
                <w:color w:val="FFFFFF" w:themeColor="background1"/>
                <w:sz w:val="16"/>
                <w:szCs w:val="12"/>
                <w:lang w:val="ro-RO"/>
              </w:rPr>
              <w:t>ktep</w:t>
            </w:r>
          </w:p>
        </w:tc>
        <w:tc>
          <w:tcPr>
            <w:tcW w:w="631" w:type="pct"/>
            <w:vMerge w:val="restart"/>
            <w:tcBorders>
              <w:top w:val="single" w:sz="8" w:space="0" w:color="0039A6" w:themeColor="accent2"/>
              <w:left w:val="nil"/>
              <w:bottom w:val="single" w:sz="8" w:space="0" w:color="0039A6" w:themeColor="accent2"/>
              <w:right w:val="single" w:sz="8" w:space="0" w:color="0039A6" w:themeColor="accent2"/>
            </w:tcBorders>
            <w:shd w:val="clear" w:color="auto" w:fill="000080"/>
            <w:vAlign w:val="center"/>
            <w:hideMark/>
          </w:tcPr>
          <w:p w14:paraId="5164DB7A" w14:textId="77777777" w:rsidR="008C7756" w:rsidRPr="009C5F11" w:rsidRDefault="009C5DCF" w:rsidP="009C5DCF">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E</w:t>
            </w:r>
            <w:r w:rsidR="00C639BC" w:rsidRPr="009C5F11">
              <w:rPr>
                <w:rFonts w:ascii="Times New Roman" w:hAnsi="Times New Roman" w:cs="Times New Roman"/>
                <w:b/>
                <w:bCs/>
                <w:color w:val="FFFFFF" w:themeColor="background1"/>
                <w:sz w:val="16"/>
                <w:szCs w:val="12"/>
                <w:lang w:val="ro-RO"/>
              </w:rPr>
              <w:t>conomii</w:t>
            </w:r>
            <w:r w:rsidRPr="009C5F11">
              <w:rPr>
                <w:rFonts w:ascii="Times New Roman" w:hAnsi="Times New Roman" w:cs="Times New Roman"/>
                <w:b/>
                <w:bCs/>
                <w:color w:val="FFFFFF" w:themeColor="background1"/>
                <w:sz w:val="16"/>
                <w:szCs w:val="12"/>
                <w:lang w:val="ro-RO"/>
              </w:rPr>
              <w:t xml:space="preserve">le cumulative </w:t>
            </w:r>
            <w:r w:rsidR="003A5D89" w:rsidRPr="009C5F11">
              <w:rPr>
                <w:rFonts w:ascii="Times New Roman" w:hAnsi="Times New Roman" w:cs="Times New Roman"/>
                <w:b/>
                <w:bCs/>
                <w:color w:val="FFFFFF" w:themeColor="background1"/>
                <w:sz w:val="16"/>
                <w:szCs w:val="12"/>
                <w:lang w:val="ro-RO"/>
              </w:rPr>
              <w:t xml:space="preserve">până </w:t>
            </w:r>
            <w:r w:rsidRPr="009C5F11">
              <w:rPr>
                <w:rFonts w:ascii="Times New Roman" w:hAnsi="Times New Roman" w:cs="Times New Roman"/>
                <w:b/>
                <w:bCs/>
                <w:color w:val="FFFFFF" w:themeColor="background1"/>
                <w:sz w:val="16"/>
                <w:szCs w:val="12"/>
                <w:lang w:val="ro-RO"/>
              </w:rPr>
              <w:t>în</w:t>
            </w:r>
            <w:r w:rsidR="008C7756" w:rsidRPr="009C5F11">
              <w:rPr>
                <w:rFonts w:ascii="Times New Roman" w:hAnsi="Times New Roman" w:cs="Times New Roman"/>
                <w:b/>
                <w:bCs/>
                <w:color w:val="FFFFFF" w:themeColor="background1"/>
                <w:sz w:val="16"/>
                <w:szCs w:val="12"/>
                <w:lang w:val="ro-RO"/>
              </w:rPr>
              <w:t xml:space="preserve"> 2020, </w:t>
            </w:r>
            <w:r w:rsidR="00E52940" w:rsidRPr="009C5F11">
              <w:rPr>
                <w:rFonts w:ascii="Times New Roman" w:hAnsi="Times New Roman" w:cs="Times New Roman"/>
                <w:b/>
                <w:bCs/>
                <w:color w:val="FFFFFF" w:themeColor="background1"/>
                <w:sz w:val="16"/>
                <w:szCs w:val="12"/>
                <w:lang w:val="ro-RO"/>
              </w:rPr>
              <w:t>ktep</w:t>
            </w:r>
          </w:p>
        </w:tc>
      </w:tr>
      <w:tr w:rsidR="00F34ADA" w:rsidRPr="009C5F11" w14:paraId="566AD0D9" w14:textId="77777777" w:rsidTr="00F34ADA">
        <w:trPr>
          <w:trHeight w:val="320"/>
        </w:trPr>
        <w:tc>
          <w:tcPr>
            <w:tcW w:w="520" w:type="pct"/>
            <w:gridSpan w:val="2"/>
            <w:vMerge/>
            <w:tcBorders>
              <w:top w:val="single" w:sz="8" w:space="0" w:color="0039A6" w:themeColor="accent2"/>
              <w:left w:val="single" w:sz="8" w:space="0" w:color="0039A6" w:themeColor="accent2"/>
              <w:bottom w:val="single" w:sz="8" w:space="0" w:color="0039A6" w:themeColor="accent2"/>
              <w:right w:val="nil"/>
            </w:tcBorders>
            <w:shd w:val="clear" w:color="auto" w:fill="000080"/>
            <w:vAlign w:val="center"/>
            <w:hideMark/>
          </w:tcPr>
          <w:p w14:paraId="56F70772"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p>
        </w:tc>
        <w:tc>
          <w:tcPr>
            <w:tcW w:w="309" w:type="pct"/>
            <w:tcBorders>
              <w:top w:val="single" w:sz="8" w:space="0" w:color="0039A6" w:themeColor="accent2"/>
              <w:left w:val="nil"/>
              <w:bottom w:val="single" w:sz="8" w:space="0" w:color="0039A6" w:themeColor="accent2"/>
              <w:right w:val="nil"/>
            </w:tcBorders>
            <w:shd w:val="clear" w:color="auto" w:fill="000080"/>
            <w:vAlign w:val="center"/>
            <w:hideMark/>
          </w:tcPr>
          <w:p w14:paraId="5DE58258"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w:t>
            </w:r>
          </w:p>
        </w:tc>
        <w:tc>
          <w:tcPr>
            <w:tcW w:w="384" w:type="pct"/>
            <w:tcBorders>
              <w:top w:val="single" w:sz="8" w:space="0" w:color="0039A6" w:themeColor="accent2"/>
              <w:left w:val="nil"/>
              <w:bottom w:val="single" w:sz="8" w:space="0" w:color="0039A6" w:themeColor="accent2"/>
              <w:right w:val="nil"/>
            </w:tcBorders>
            <w:shd w:val="clear" w:color="auto" w:fill="000080"/>
            <w:vAlign w:val="center"/>
            <w:hideMark/>
          </w:tcPr>
          <w:p w14:paraId="48C65351"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1</w:t>
            </w:r>
          </w:p>
        </w:tc>
        <w:tc>
          <w:tcPr>
            <w:tcW w:w="307" w:type="pct"/>
            <w:tcBorders>
              <w:top w:val="single" w:sz="8" w:space="0" w:color="0039A6" w:themeColor="accent2"/>
              <w:left w:val="nil"/>
              <w:bottom w:val="single" w:sz="8" w:space="0" w:color="0039A6" w:themeColor="accent2"/>
              <w:right w:val="nil"/>
            </w:tcBorders>
            <w:shd w:val="clear" w:color="auto" w:fill="000080"/>
            <w:vAlign w:val="center"/>
            <w:hideMark/>
          </w:tcPr>
          <w:p w14:paraId="7B773319"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2</w:t>
            </w:r>
          </w:p>
        </w:tc>
        <w:tc>
          <w:tcPr>
            <w:tcW w:w="310" w:type="pct"/>
            <w:tcBorders>
              <w:top w:val="single" w:sz="8" w:space="0" w:color="0039A6" w:themeColor="accent2"/>
              <w:left w:val="nil"/>
              <w:bottom w:val="single" w:sz="8" w:space="0" w:color="0039A6" w:themeColor="accent2"/>
              <w:right w:val="nil"/>
            </w:tcBorders>
            <w:shd w:val="clear" w:color="auto" w:fill="000080"/>
            <w:vAlign w:val="center"/>
            <w:hideMark/>
          </w:tcPr>
          <w:p w14:paraId="26F03CC5"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3</w:t>
            </w:r>
          </w:p>
        </w:tc>
        <w:tc>
          <w:tcPr>
            <w:tcW w:w="385" w:type="pct"/>
            <w:tcBorders>
              <w:top w:val="single" w:sz="8" w:space="0" w:color="0039A6" w:themeColor="accent2"/>
              <w:left w:val="nil"/>
              <w:bottom w:val="single" w:sz="8" w:space="0" w:color="0039A6" w:themeColor="accent2"/>
              <w:right w:val="nil"/>
            </w:tcBorders>
            <w:shd w:val="clear" w:color="auto" w:fill="000080"/>
            <w:vAlign w:val="center"/>
            <w:hideMark/>
          </w:tcPr>
          <w:p w14:paraId="6958209D"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4</w:t>
            </w:r>
          </w:p>
        </w:tc>
        <w:tc>
          <w:tcPr>
            <w:tcW w:w="387" w:type="pct"/>
            <w:tcBorders>
              <w:top w:val="single" w:sz="8" w:space="0" w:color="0039A6" w:themeColor="accent2"/>
              <w:left w:val="nil"/>
              <w:bottom w:val="single" w:sz="8" w:space="0" w:color="0039A6" w:themeColor="accent2"/>
              <w:right w:val="nil"/>
            </w:tcBorders>
            <w:shd w:val="clear" w:color="auto" w:fill="000080"/>
            <w:vAlign w:val="center"/>
            <w:hideMark/>
          </w:tcPr>
          <w:p w14:paraId="74E81913"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5</w:t>
            </w:r>
          </w:p>
        </w:tc>
        <w:tc>
          <w:tcPr>
            <w:tcW w:w="312" w:type="pct"/>
            <w:tcBorders>
              <w:top w:val="single" w:sz="8" w:space="0" w:color="0039A6" w:themeColor="accent2"/>
              <w:left w:val="nil"/>
              <w:bottom w:val="single" w:sz="8" w:space="0" w:color="0039A6" w:themeColor="accent2"/>
              <w:right w:val="nil"/>
            </w:tcBorders>
            <w:shd w:val="clear" w:color="auto" w:fill="000080"/>
            <w:vAlign w:val="center"/>
            <w:hideMark/>
          </w:tcPr>
          <w:p w14:paraId="0716D947"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6</w:t>
            </w:r>
          </w:p>
        </w:tc>
        <w:tc>
          <w:tcPr>
            <w:tcW w:w="384" w:type="pct"/>
            <w:tcBorders>
              <w:top w:val="single" w:sz="8" w:space="0" w:color="0039A6" w:themeColor="accent2"/>
              <w:left w:val="nil"/>
              <w:bottom w:val="single" w:sz="8" w:space="0" w:color="0039A6" w:themeColor="accent2"/>
              <w:right w:val="nil"/>
            </w:tcBorders>
            <w:shd w:val="clear" w:color="auto" w:fill="000080"/>
            <w:vAlign w:val="center"/>
            <w:hideMark/>
          </w:tcPr>
          <w:p w14:paraId="129A3783"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7</w:t>
            </w:r>
          </w:p>
        </w:tc>
        <w:tc>
          <w:tcPr>
            <w:tcW w:w="307" w:type="pct"/>
            <w:tcBorders>
              <w:top w:val="single" w:sz="8" w:space="0" w:color="0039A6" w:themeColor="accent2"/>
              <w:left w:val="nil"/>
              <w:bottom w:val="single" w:sz="8" w:space="0" w:color="0039A6" w:themeColor="accent2"/>
              <w:right w:val="nil"/>
            </w:tcBorders>
            <w:shd w:val="clear" w:color="auto" w:fill="000080"/>
            <w:vAlign w:val="center"/>
            <w:hideMark/>
          </w:tcPr>
          <w:p w14:paraId="41505157"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8</w:t>
            </w:r>
          </w:p>
        </w:tc>
        <w:tc>
          <w:tcPr>
            <w:tcW w:w="307" w:type="pct"/>
            <w:tcBorders>
              <w:top w:val="single" w:sz="8" w:space="0" w:color="0039A6" w:themeColor="accent2"/>
              <w:left w:val="nil"/>
              <w:bottom w:val="single" w:sz="8" w:space="0" w:color="0039A6" w:themeColor="accent2"/>
              <w:right w:val="nil"/>
            </w:tcBorders>
            <w:shd w:val="clear" w:color="auto" w:fill="000080"/>
            <w:vAlign w:val="center"/>
            <w:hideMark/>
          </w:tcPr>
          <w:p w14:paraId="414D4BA6"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9</w:t>
            </w:r>
          </w:p>
        </w:tc>
        <w:tc>
          <w:tcPr>
            <w:tcW w:w="457" w:type="pct"/>
            <w:vMerge/>
            <w:tcBorders>
              <w:left w:val="nil"/>
              <w:right w:val="nil"/>
            </w:tcBorders>
            <w:shd w:val="clear" w:color="auto" w:fill="000080"/>
            <w:vAlign w:val="center"/>
            <w:hideMark/>
          </w:tcPr>
          <w:p w14:paraId="4D5BFF5D"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p>
        </w:tc>
        <w:tc>
          <w:tcPr>
            <w:tcW w:w="631" w:type="pct"/>
            <w:vMerge/>
            <w:tcBorders>
              <w:top w:val="single" w:sz="8" w:space="0" w:color="0039A6" w:themeColor="accent2"/>
              <w:left w:val="nil"/>
              <w:bottom w:val="single" w:sz="8" w:space="0" w:color="0039A6" w:themeColor="accent2"/>
              <w:right w:val="single" w:sz="8" w:space="0" w:color="0039A6" w:themeColor="accent2"/>
            </w:tcBorders>
            <w:shd w:val="clear" w:color="auto" w:fill="000080"/>
            <w:vAlign w:val="center"/>
            <w:hideMark/>
          </w:tcPr>
          <w:p w14:paraId="5D606761"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p>
        </w:tc>
      </w:tr>
      <w:tr w:rsidR="00F34ADA" w:rsidRPr="009C5F11" w14:paraId="442EFFA4" w14:textId="77777777" w:rsidTr="00F34ADA">
        <w:trPr>
          <w:trHeight w:val="320"/>
        </w:trPr>
        <w:tc>
          <w:tcPr>
            <w:tcW w:w="365" w:type="pct"/>
            <w:tcBorders>
              <w:top w:val="single" w:sz="8" w:space="0" w:color="0039A6" w:themeColor="accent2"/>
              <w:left w:val="single" w:sz="8" w:space="0" w:color="0039A6" w:themeColor="accent2"/>
              <w:bottom w:val="single" w:sz="8" w:space="0" w:color="0039A6" w:themeColor="accent2"/>
              <w:right w:val="nil"/>
            </w:tcBorders>
            <w:shd w:val="clear" w:color="auto" w:fill="000080"/>
            <w:vAlign w:val="center"/>
            <w:hideMark/>
          </w:tcPr>
          <w:p w14:paraId="5ADB0227"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 </w:t>
            </w:r>
          </w:p>
        </w:tc>
        <w:tc>
          <w:tcPr>
            <w:tcW w:w="155" w:type="pct"/>
            <w:tcBorders>
              <w:top w:val="single" w:sz="8" w:space="0" w:color="0039A6" w:themeColor="accent2"/>
              <w:left w:val="nil"/>
              <w:bottom w:val="single" w:sz="8" w:space="0" w:color="0039A6" w:themeColor="accent2"/>
              <w:right w:val="nil"/>
            </w:tcBorders>
            <w:shd w:val="clear" w:color="auto" w:fill="000080"/>
            <w:vAlign w:val="center"/>
            <w:hideMark/>
          </w:tcPr>
          <w:p w14:paraId="1EEE6C89"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 </w:t>
            </w:r>
          </w:p>
        </w:tc>
        <w:tc>
          <w:tcPr>
            <w:tcW w:w="309" w:type="pct"/>
            <w:tcBorders>
              <w:top w:val="single" w:sz="8" w:space="0" w:color="0039A6" w:themeColor="accent2"/>
              <w:left w:val="nil"/>
              <w:bottom w:val="single" w:sz="8" w:space="0" w:color="0039A6" w:themeColor="accent2"/>
              <w:right w:val="nil"/>
            </w:tcBorders>
            <w:shd w:val="clear" w:color="auto" w:fill="000080"/>
            <w:vAlign w:val="center"/>
            <w:hideMark/>
          </w:tcPr>
          <w:p w14:paraId="3BC6797E"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 </w:t>
            </w:r>
          </w:p>
        </w:tc>
        <w:tc>
          <w:tcPr>
            <w:tcW w:w="384" w:type="pct"/>
            <w:tcBorders>
              <w:top w:val="single" w:sz="8" w:space="0" w:color="0039A6" w:themeColor="accent2"/>
              <w:left w:val="nil"/>
              <w:bottom w:val="single" w:sz="8" w:space="0" w:color="0039A6" w:themeColor="accent2"/>
              <w:right w:val="nil"/>
            </w:tcBorders>
            <w:shd w:val="clear" w:color="auto" w:fill="000080"/>
            <w:vAlign w:val="center"/>
            <w:hideMark/>
          </w:tcPr>
          <w:p w14:paraId="482FB9AE"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2012</w:t>
            </w:r>
          </w:p>
        </w:tc>
        <w:tc>
          <w:tcPr>
            <w:tcW w:w="307" w:type="pct"/>
            <w:tcBorders>
              <w:top w:val="single" w:sz="8" w:space="0" w:color="0039A6" w:themeColor="accent2"/>
              <w:left w:val="nil"/>
              <w:bottom w:val="single" w:sz="8" w:space="0" w:color="0039A6" w:themeColor="accent2"/>
              <w:right w:val="nil"/>
            </w:tcBorders>
            <w:shd w:val="clear" w:color="auto" w:fill="000080"/>
            <w:vAlign w:val="center"/>
            <w:hideMark/>
          </w:tcPr>
          <w:p w14:paraId="69F3190E" w14:textId="77777777" w:rsidR="00D80FBC" w:rsidRPr="009C5F11" w:rsidRDefault="00D80FBC" w:rsidP="001F3A12">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2013</w:t>
            </w:r>
          </w:p>
        </w:tc>
        <w:tc>
          <w:tcPr>
            <w:tcW w:w="310" w:type="pct"/>
            <w:tcBorders>
              <w:top w:val="single" w:sz="8" w:space="0" w:color="0039A6" w:themeColor="accent2"/>
              <w:left w:val="nil"/>
              <w:bottom w:val="single" w:sz="8" w:space="0" w:color="0039A6" w:themeColor="accent2"/>
              <w:right w:val="nil"/>
            </w:tcBorders>
            <w:shd w:val="clear" w:color="auto" w:fill="000080"/>
            <w:vAlign w:val="center"/>
            <w:hideMark/>
          </w:tcPr>
          <w:p w14:paraId="2E152DEA" w14:textId="77777777" w:rsidR="00D80FBC" w:rsidRPr="009C5F11" w:rsidRDefault="00D80FBC" w:rsidP="001F3A12">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2014</w:t>
            </w:r>
          </w:p>
        </w:tc>
        <w:tc>
          <w:tcPr>
            <w:tcW w:w="385" w:type="pct"/>
            <w:tcBorders>
              <w:top w:val="single" w:sz="8" w:space="0" w:color="0039A6" w:themeColor="accent2"/>
              <w:left w:val="nil"/>
              <w:bottom w:val="single" w:sz="8" w:space="0" w:color="0039A6" w:themeColor="accent2"/>
              <w:right w:val="nil"/>
            </w:tcBorders>
            <w:shd w:val="clear" w:color="auto" w:fill="000080"/>
            <w:vAlign w:val="center"/>
            <w:hideMark/>
          </w:tcPr>
          <w:p w14:paraId="7D8F3F33"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2015</w:t>
            </w:r>
          </w:p>
        </w:tc>
        <w:tc>
          <w:tcPr>
            <w:tcW w:w="387" w:type="pct"/>
            <w:tcBorders>
              <w:top w:val="single" w:sz="8" w:space="0" w:color="0039A6" w:themeColor="accent2"/>
              <w:left w:val="nil"/>
              <w:bottom w:val="single" w:sz="8" w:space="0" w:color="0039A6" w:themeColor="accent2"/>
              <w:right w:val="nil"/>
            </w:tcBorders>
            <w:shd w:val="clear" w:color="auto" w:fill="000080"/>
            <w:vAlign w:val="center"/>
            <w:hideMark/>
          </w:tcPr>
          <w:p w14:paraId="7B787585"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2016</w:t>
            </w:r>
          </w:p>
        </w:tc>
        <w:tc>
          <w:tcPr>
            <w:tcW w:w="312" w:type="pct"/>
            <w:tcBorders>
              <w:top w:val="single" w:sz="8" w:space="0" w:color="0039A6" w:themeColor="accent2"/>
              <w:left w:val="nil"/>
              <w:bottom w:val="single" w:sz="8" w:space="0" w:color="0039A6" w:themeColor="accent2"/>
              <w:right w:val="nil"/>
            </w:tcBorders>
            <w:shd w:val="clear" w:color="auto" w:fill="000080"/>
            <w:vAlign w:val="center"/>
            <w:hideMark/>
          </w:tcPr>
          <w:p w14:paraId="57416208"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2017</w:t>
            </w:r>
          </w:p>
        </w:tc>
        <w:tc>
          <w:tcPr>
            <w:tcW w:w="384" w:type="pct"/>
            <w:tcBorders>
              <w:top w:val="single" w:sz="8" w:space="0" w:color="0039A6" w:themeColor="accent2"/>
              <w:left w:val="nil"/>
              <w:bottom w:val="single" w:sz="8" w:space="0" w:color="0039A6" w:themeColor="accent2"/>
              <w:right w:val="nil"/>
            </w:tcBorders>
            <w:shd w:val="clear" w:color="auto" w:fill="000080"/>
            <w:vAlign w:val="center"/>
            <w:hideMark/>
          </w:tcPr>
          <w:p w14:paraId="025AAA59"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2018</w:t>
            </w:r>
          </w:p>
        </w:tc>
        <w:tc>
          <w:tcPr>
            <w:tcW w:w="307" w:type="pct"/>
            <w:tcBorders>
              <w:top w:val="single" w:sz="8" w:space="0" w:color="0039A6" w:themeColor="accent2"/>
              <w:left w:val="nil"/>
              <w:bottom w:val="single" w:sz="8" w:space="0" w:color="0039A6" w:themeColor="accent2"/>
              <w:right w:val="nil"/>
            </w:tcBorders>
            <w:shd w:val="clear" w:color="auto" w:fill="000080"/>
            <w:vAlign w:val="center"/>
            <w:hideMark/>
          </w:tcPr>
          <w:p w14:paraId="6B45B8D9"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2019</w:t>
            </w:r>
          </w:p>
        </w:tc>
        <w:tc>
          <w:tcPr>
            <w:tcW w:w="307" w:type="pct"/>
            <w:tcBorders>
              <w:top w:val="single" w:sz="8" w:space="0" w:color="0039A6" w:themeColor="accent2"/>
              <w:left w:val="nil"/>
              <w:bottom w:val="single" w:sz="8" w:space="0" w:color="0039A6" w:themeColor="accent2"/>
              <w:right w:val="nil"/>
            </w:tcBorders>
            <w:shd w:val="clear" w:color="auto" w:fill="000080"/>
            <w:vAlign w:val="center"/>
            <w:hideMark/>
          </w:tcPr>
          <w:p w14:paraId="6CD15697"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r w:rsidRPr="009C5F11">
              <w:rPr>
                <w:rFonts w:ascii="Times New Roman" w:hAnsi="Times New Roman" w:cs="Times New Roman"/>
                <w:b/>
                <w:bCs/>
                <w:color w:val="FFFFFF" w:themeColor="background1"/>
                <w:sz w:val="16"/>
                <w:szCs w:val="12"/>
                <w:lang w:val="ro-RO"/>
              </w:rPr>
              <w:t>2020</w:t>
            </w:r>
          </w:p>
        </w:tc>
        <w:tc>
          <w:tcPr>
            <w:tcW w:w="457" w:type="pct"/>
            <w:vMerge/>
            <w:tcBorders>
              <w:left w:val="nil"/>
              <w:bottom w:val="single" w:sz="8" w:space="0" w:color="0039A6" w:themeColor="accent2"/>
              <w:right w:val="nil"/>
            </w:tcBorders>
            <w:shd w:val="clear" w:color="auto" w:fill="000080"/>
            <w:vAlign w:val="center"/>
            <w:hideMark/>
          </w:tcPr>
          <w:p w14:paraId="35F3D611"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p>
        </w:tc>
        <w:tc>
          <w:tcPr>
            <w:tcW w:w="631" w:type="pct"/>
            <w:vMerge/>
            <w:tcBorders>
              <w:top w:val="single" w:sz="8" w:space="0" w:color="0039A6" w:themeColor="accent2"/>
              <w:left w:val="nil"/>
              <w:bottom w:val="single" w:sz="8" w:space="0" w:color="0039A6" w:themeColor="accent2"/>
              <w:right w:val="single" w:sz="8" w:space="0" w:color="0039A6" w:themeColor="accent2"/>
            </w:tcBorders>
            <w:shd w:val="clear" w:color="auto" w:fill="000080"/>
            <w:vAlign w:val="center"/>
            <w:hideMark/>
          </w:tcPr>
          <w:p w14:paraId="666823B7" w14:textId="77777777" w:rsidR="00D80FBC" w:rsidRPr="009C5F11" w:rsidRDefault="00D80FBC" w:rsidP="00430626">
            <w:pPr>
              <w:spacing w:after="0" w:line="240" w:lineRule="auto"/>
              <w:jc w:val="both"/>
              <w:rPr>
                <w:rFonts w:ascii="Times New Roman" w:hAnsi="Times New Roman" w:cs="Times New Roman"/>
                <w:b/>
                <w:bCs/>
                <w:color w:val="FFFFFF" w:themeColor="background1"/>
                <w:sz w:val="16"/>
                <w:szCs w:val="12"/>
                <w:lang w:val="ro-RO"/>
              </w:rPr>
            </w:pPr>
          </w:p>
        </w:tc>
      </w:tr>
      <w:tr w:rsidR="00F34ADA" w:rsidRPr="009C5F11" w14:paraId="0C24C0F1" w14:textId="77777777" w:rsidTr="00F34ADA">
        <w:trPr>
          <w:trHeight w:val="320"/>
        </w:trPr>
        <w:tc>
          <w:tcPr>
            <w:tcW w:w="365" w:type="pct"/>
            <w:tcBorders>
              <w:top w:val="single" w:sz="8" w:space="0" w:color="0039A6" w:themeColor="accent2"/>
              <w:left w:val="single" w:sz="8" w:space="0" w:color="00B1AC"/>
              <w:bottom w:val="single" w:sz="8" w:space="0" w:color="00B1AC"/>
              <w:right w:val="nil"/>
            </w:tcBorders>
            <w:shd w:val="clear" w:color="auto" w:fill="auto"/>
            <w:noWrap/>
            <w:vAlign w:val="center"/>
            <w:hideMark/>
          </w:tcPr>
          <w:p w14:paraId="5A122073"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2012</w:t>
            </w:r>
          </w:p>
        </w:tc>
        <w:tc>
          <w:tcPr>
            <w:tcW w:w="155" w:type="pct"/>
            <w:tcBorders>
              <w:top w:val="single" w:sz="8" w:space="0" w:color="0039A6" w:themeColor="accent2"/>
              <w:left w:val="single" w:sz="8" w:space="0" w:color="00B1AC"/>
              <w:bottom w:val="single" w:sz="8" w:space="0" w:color="00B1AC"/>
              <w:right w:val="nil"/>
            </w:tcBorders>
            <w:shd w:val="clear" w:color="auto" w:fill="auto"/>
            <w:noWrap/>
            <w:vAlign w:val="center"/>
            <w:hideMark/>
          </w:tcPr>
          <w:p w14:paraId="0473CEDF"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w:t>
            </w:r>
          </w:p>
        </w:tc>
        <w:tc>
          <w:tcPr>
            <w:tcW w:w="309" w:type="pct"/>
            <w:tcBorders>
              <w:top w:val="single" w:sz="8" w:space="0" w:color="0039A6" w:themeColor="accent2"/>
              <w:left w:val="nil"/>
              <w:bottom w:val="single" w:sz="8" w:space="0" w:color="00B1AC"/>
              <w:right w:val="nil"/>
            </w:tcBorders>
            <w:shd w:val="clear" w:color="auto" w:fill="auto"/>
            <w:noWrap/>
            <w:vAlign w:val="center"/>
            <w:hideMark/>
          </w:tcPr>
          <w:p w14:paraId="69D3F47C"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1.0</w:t>
            </w:r>
          </w:p>
        </w:tc>
        <w:tc>
          <w:tcPr>
            <w:tcW w:w="384" w:type="pct"/>
            <w:tcBorders>
              <w:top w:val="single" w:sz="8" w:space="0" w:color="0039A6" w:themeColor="accent2"/>
              <w:left w:val="nil"/>
              <w:bottom w:val="single" w:sz="8" w:space="0" w:color="00B1AC"/>
              <w:right w:val="nil"/>
            </w:tcBorders>
            <w:shd w:val="clear" w:color="auto" w:fill="auto"/>
            <w:noWrap/>
            <w:vAlign w:val="center"/>
            <w:hideMark/>
          </w:tcPr>
          <w:p w14:paraId="03573116"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18.58</w:t>
            </w:r>
          </w:p>
        </w:tc>
        <w:tc>
          <w:tcPr>
            <w:tcW w:w="307" w:type="pct"/>
            <w:tcBorders>
              <w:top w:val="single" w:sz="8" w:space="0" w:color="0039A6" w:themeColor="accent2"/>
              <w:left w:val="nil"/>
              <w:bottom w:val="single" w:sz="8" w:space="0" w:color="00B1AC"/>
              <w:right w:val="nil"/>
            </w:tcBorders>
            <w:shd w:val="clear" w:color="auto" w:fill="auto"/>
            <w:noWrap/>
            <w:hideMark/>
          </w:tcPr>
          <w:p w14:paraId="4302CC05"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10" w:type="pct"/>
            <w:tcBorders>
              <w:top w:val="single" w:sz="8" w:space="0" w:color="0039A6" w:themeColor="accent2"/>
              <w:left w:val="nil"/>
              <w:bottom w:val="single" w:sz="8" w:space="0" w:color="00B1AC"/>
              <w:right w:val="nil"/>
            </w:tcBorders>
            <w:shd w:val="clear" w:color="auto" w:fill="auto"/>
            <w:noWrap/>
            <w:hideMark/>
          </w:tcPr>
          <w:p w14:paraId="5D59AA0A"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85" w:type="pct"/>
            <w:tcBorders>
              <w:top w:val="single" w:sz="8" w:space="0" w:color="0039A6" w:themeColor="accent2"/>
              <w:left w:val="nil"/>
              <w:bottom w:val="single" w:sz="8" w:space="0" w:color="00B1AC"/>
              <w:right w:val="nil"/>
            </w:tcBorders>
            <w:shd w:val="clear" w:color="auto" w:fill="auto"/>
            <w:noWrap/>
            <w:hideMark/>
          </w:tcPr>
          <w:p w14:paraId="53DD33BF"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87" w:type="pct"/>
            <w:tcBorders>
              <w:top w:val="single" w:sz="8" w:space="0" w:color="0039A6" w:themeColor="accent2"/>
              <w:left w:val="nil"/>
              <w:bottom w:val="single" w:sz="8" w:space="0" w:color="00B1AC"/>
              <w:right w:val="nil"/>
            </w:tcBorders>
            <w:shd w:val="clear" w:color="auto" w:fill="auto"/>
            <w:noWrap/>
            <w:hideMark/>
          </w:tcPr>
          <w:p w14:paraId="681718BA"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12" w:type="pct"/>
            <w:tcBorders>
              <w:top w:val="single" w:sz="8" w:space="0" w:color="0039A6" w:themeColor="accent2"/>
              <w:left w:val="nil"/>
              <w:bottom w:val="single" w:sz="8" w:space="0" w:color="00B1AC"/>
              <w:right w:val="nil"/>
            </w:tcBorders>
            <w:shd w:val="clear" w:color="auto" w:fill="auto"/>
            <w:noWrap/>
            <w:hideMark/>
          </w:tcPr>
          <w:p w14:paraId="591C7874"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84" w:type="pct"/>
            <w:tcBorders>
              <w:top w:val="single" w:sz="8" w:space="0" w:color="0039A6" w:themeColor="accent2"/>
              <w:left w:val="nil"/>
              <w:bottom w:val="single" w:sz="8" w:space="0" w:color="00B1AC"/>
              <w:right w:val="nil"/>
            </w:tcBorders>
            <w:shd w:val="clear" w:color="auto" w:fill="auto"/>
            <w:noWrap/>
            <w:hideMark/>
          </w:tcPr>
          <w:p w14:paraId="3445CEA9"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single" w:sz="8" w:space="0" w:color="0039A6" w:themeColor="accent2"/>
              <w:left w:val="nil"/>
              <w:bottom w:val="single" w:sz="8" w:space="0" w:color="00B1AC"/>
              <w:right w:val="nil"/>
            </w:tcBorders>
            <w:shd w:val="clear" w:color="auto" w:fill="auto"/>
            <w:noWrap/>
            <w:hideMark/>
          </w:tcPr>
          <w:p w14:paraId="7515FF09"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single" w:sz="8" w:space="0" w:color="0039A6" w:themeColor="accent2"/>
              <w:left w:val="nil"/>
              <w:bottom w:val="single" w:sz="8" w:space="0" w:color="00B1AC"/>
              <w:right w:val="nil"/>
            </w:tcBorders>
            <w:shd w:val="clear" w:color="auto" w:fill="auto"/>
            <w:noWrap/>
            <w:hideMark/>
          </w:tcPr>
          <w:p w14:paraId="67E5EDB5"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p w14:paraId="7ADD3941"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457" w:type="pct"/>
            <w:tcBorders>
              <w:top w:val="single" w:sz="8" w:space="0" w:color="0039A6" w:themeColor="accent2"/>
              <w:left w:val="nil"/>
              <w:bottom w:val="single" w:sz="8" w:space="0" w:color="00B1AC"/>
              <w:right w:val="nil"/>
            </w:tcBorders>
            <w:shd w:val="clear" w:color="auto" w:fill="auto"/>
            <w:noWrap/>
            <w:vAlign w:val="center"/>
            <w:hideMark/>
          </w:tcPr>
          <w:p w14:paraId="13EA6029"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631" w:type="pct"/>
            <w:tcBorders>
              <w:top w:val="single" w:sz="8" w:space="0" w:color="0039A6" w:themeColor="accent2"/>
              <w:left w:val="nil"/>
              <w:bottom w:val="single" w:sz="8" w:space="0" w:color="00B1AC"/>
              <w:right w:val="single" w:sz="8" w:space="0" w:color="00B1AC"/>
            </w:tcBorders>
            <w:shd w:val="clear" w:color="auto" w:fill="auto"/>
            <w:noWrap/>
            <w:vAlign w:val="center"/>
            <w:hideMark/>
          </w:tcPr>
          <w:p w14:paraId="2177CDF4"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r>
      <w:tr w:rsidR="00F34ADA" w:rsidRPr="009C5F11" w14:paraId="2B7844EB" w14:textId="77777777" w:rsidTr="00F34ADA">
        <w:trPr>
          <w:trHeight w:val="320"/>
        </w:trPr>
        <w:tc>
          <w:tcPr>
            <w:tcW w:w="365" w:type="pct"/>
            <w:tcBorders>
              <w:top w:val="nil"/>
              <w:left w:val="single" w:sz="8" w:space="0" w:color="00B1AC"/>
              <w:bottom w:val="single" w:sz="8" w:space="0" w:color="00B1AC"/>
              <w:right w:val="nil"/>
            </w:tcBorders>
            <w:shd w:val="clear" w:color="auto" w:fill="auto"/>
            <w:noWrap/>
            <w:vAlign w:val="center"/>
            <w:hideMark/>
          </w:tcPr>
          <w:p w14:paraId="790A92F9"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2013</w:t>
            </w:r>
          </w:p>
        </w:tc>
        <w:tc>
          <w:tcPr>
            <w:tcW w:w="155" w:type="pct"/>
            <w:tcBorders>
              <w:top w:val="nil"/>
              <w:left w:val="single" w:sz="8" w:space="0" w:color="00B1AC"/>
              <w:bottom w:val="single" w:sz="8" w:space="0" w:color="00B1AC"/>
              <w:right w:val="nil"/>
            </w:tcBorders>
            <w:shd w:val="clear" w:color="auto" w:fill="auto"/>
            <w:noWrap/>
            <w:vAlign w:val="center"/>
            <w:hideMark/>
          </w:tcPr>
          <w:p w14:paraId="25B547DB"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2</w:t>
            </w:r>
          </w:p>
        </w:tc>
        <w:tc>
          <w:tcPr>
            <w:tcW w:w="309" w:type="pct"/>
            <w:tcBorders>
              <w:top w:val="nil"/>
              <w:left w:val="nil"/>
              <w:bottom w:val="single" w:sz="8" w:space="0" w:color="00B1AC"/>
              <w:right w:val="nil"/>
            </w:tcBorders>
            <w:shd w:val="clear" w:color="auto" w:fill="auto"/>
            <w:noWrap/>
            <w:vAlign w:val="center"/>
            <w:hideMark/>
          </w:tcPr>
          <w:p w14:paraId="36925787"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1.0</w:t>
            </w:r>
          </w:p>
        </w:tc>
        <w:tc>
          <w:tcPr>
            <w:tcW w:w="384" w:type="pct"/>
            <w:tcBorders>
              <w:top w:val="nil"/>
              <w:left w:val="nil"/>
              <w:bottom w:val="single" w:sz="8" w:space="0" w:color="00B1AC"/>
              <w:right w:val="nil"/>
            </w:tcBorders>
            <w:shd w:val="clear" w:color="auto" w:fill="auto"/>
            <w:noWrap/>
            <w:vAlign w:val="center"/>
            <w:hideMark/>
          </w:tcPr>
          <w:p w14:paraId="2734AE03"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18.58</w:t>
            </w:r>
          </w:p>
        </w:tc>
        <w:tc>
          <w:tcPr>
            <w:tcW w:w="307" w:type="pct"/>
            <w:tcBorders>
              <w:top w:val="nil"/>
              <w:left w:val="nil"/>
              <w:bottom w:val="single" w:sz="8" w:space="0" w:color="00B1AC"/>
              <w:right w:val="nil"/>
            </w:tcBorders>
            <w:shd w:val="clear" w:color="auto" w:fill="auto"/>
            <w:noWrap/>
            <w:vAlign w:val="center"/>
            <w:hideMark/>
          </w:tcPr>
          <w:p w14:paraId="2B046602"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0" w:type="pct"/>
            <w:tcBorders>
              <w:top w:val="nil"/>
              <w:left w:val="nil"/>
              <w:bottom w:val="single" w:sz="8" w:space="0" w:color="00B1AC"/>
              <w:right w:val="nil"/>
            </w:tcBorders>
            <w:shd w:val="clear" w:color="auto" w:fill="auto"/>
            <w:noWrap/>
            <w:hideMark/>
          </w:tcPr>
          <w:p w14:paraId="62CA280D"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85" w:type="pct"/>
            <w:tcBorders>
              <w:top w:val="nil"/>
              <w:left w:val="nil"/>
              <w:bottom w:val="single" w:sz="8" w:space="0" w:color="00B1AC"/>
              <w:right w:val="nil"/>
            </w:tcBorders>
            <w:shd w:val="clear" w:color="auto" w:fill="auto"/>
            <w:noWrap/>
            <w:hideMark/>
          </w:tcPr>
          <w:p w14:paraId="006F65F3"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87" w:type="pct"/>
            <w:tcBorders>
              <w:top w:val="nil"/>
              <w:left w:val="nil"/>
              <w:bottom w:val="single" w:sz="8" w:space="0" w:color="00B1AC"/>
              <w:right w:val="nil"/>
            </w:tcBorders>
            <w:shd w:val="clear" w:color="auto" w:fill="auto"/>
            <w:noWrap/>
            <w:hideMark/>
          </w:tcPr>
          <w:p w14:paraId="4CA6CBFB"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12" w:type="pct"/>
            <w:tcBorders>
              <w:top w:val="nil"/>
              <w:left w:val="nil"/>
              <w:bottom w:val="single" w:sz="8" w:space="0" w:color="00B1AC"/>
              <w:right w:val="nil"/>
            </w:tcBorders>
            <w:shd w:val="clear" w:color="auto" w:fill="auto"/>
            <w:noWrap/>
            <w:hideMark/>
          </w:tcPr>
          <w:p w14:paraId="35EC3893"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84" w:type="pct"/>
            <w:tcBorders>
              <w:top w:val="nil"/>
              <w:left w:val="nil"/>
              <w:bottom w:val="single" w:sz="8" w:space="0" w:color="00B1AC"/>
              <w:right w:val="nil"/>
            </w:tcBorders>
            <w:shd w:val="clear" w:color="auto" w:fill="auto"/>
            <w:noWrap/>
            <w:hideMark/>
          </w:tcPr>
          <w:p w14:paraId="42431CEB"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23B94215"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1528E9E3"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p w14:paraId="5DA15D2A"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457" w:type="pct"/>
            <w:tcBorders>
              <w:top w:val="nil"/>
              <w:left w:val="nil"/>
              <w:bottom w:val="single" w:sz="8" w:space="0" w:color="00B1AC"/>
              <w:right w:val="nil"/>
            </w:tcBorders>
            <w:shd w:val="clear" w:color="auto" w:fill="auto"/>
            <w:noWrap/>
            <w:vAlign w:val="center"/>
            <w:hideMark/>
          </w:tcPr>
          <w:p w14:paraId="127FFAD6"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37.16 </w:t>
            </w:r>
          </w:p>
        </w:tc>
        <w:tc>
          <w:tcPr>
            <w:tcW w:w="631" w:type="pct"/>
            <w:tcBorders>
              <w:top w:val="nil"/>
              <w:left w:val="nil"/>
              <w:bottom w:val="single" w:sz="8" w:space="0" w:color="00B1AC"/>
              <w:right w:val="single" w:sz="8" w:space="0" w:color="00B1AC"/>
            </w:tcBorders>
            <w:shd w:val="clear" w:color="auto" w:fill="auto"/>
            <w:noWrap/>
            <w:vAlign w:val="center"/>
            <w:hideMark/>
          </w:tcPr>
          <w:p w14:paraId="52C6B0C5"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55.73 </w:t>
            </w:r>
          </w:p>
        </w:tc>
      </w:tr>
      <w:tr w:rsidR="00F34ADA" w:rsidRPr="009C5F11" w14:paraId="58BF090F" w14:textId="77777777" w:rsidTr="00F34ADA">
        <w:trPr>
          <w:trHeight w:val="320"/>
        </w:trPr>
        <w:tc>
          <w:tcPr>
            <w:tcW w:w="365" w:type="pct"/>
            <w:tcBorders>
              <w:top w:val="nil"/>
              <w:left w:val="single" w:sz="8" w:space="0" w:color="00B1AC"/>
              <w:bottom w:val="single" w:sz="8" w:space="0" w:color="00B1AC"/>
              <w:right w:val="nil"/>
            </w:tcBorders>
            <w:shd w:val="clear" w:color="auto" w:fill="auto"/>
            <w:noWrap/>
            <w:vAlign w:val="center"/>
            <w:hideMark/>
          </w:tcPr>
          <w:p w14:paraId="3FF8AC8F"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2014</w:t>
            </w:r>
          </w:p>
        </w:tc>
        <w:tc>
          <w:tcPr>
            <w:tcW w:w="155" w:type="pct"/>
            <w:tcBorders>
              <w:top w:val="nil"/>
              <w:left w:val="single" w:sz="8" w:space="0" w:color="00B1AC"/>
              <w:bottom w:val="single" w:sz="8" w:space="0" w:color="00B1AC"/>
              <w:right w:val="nil"/>
            </w:tcBorders>
            <w:shd w:val="clear" w:color="auto" w:fill="auto"/>
            <w:noWrap/>
            <w:vAlign w:val="center"/>
            <w:hideMark/>
          </w:tcPr>
          <w:p w14:paraId="4200C4D6"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3</w:t>
            </w:r>
          </w:p>
        </w:tc>
        <w:tc>
          <w:tcPr>
            <w:tcW w:w="309" w:type="pct"/>
            <w:tcBorders>
              <w:top w:val="nil"/>
              <w:left w:val="nil"/>
              <w:bottom w:val="single" w:sz="8" w:space="0" w:color="00B1AC"/>
              <w:right w:val="nil"/>
            </w:tcBorders>
            <w:shd w:val="clear" w:color="auto" w:fill="auto"/>
            <w:noWrap/>
            <w:vAlign w:val="center"/>
            <w:hideMark/>
          </w:tcPr>
          <w:p w14:paraId="328C2C3F"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1.0</w:t>
            </w:r>
          </w:p>
        </w:tc>
        <w:tc>
          <w:tcPr>
            <w:tcW w:w="384" w:type="pct"/>
            <w:tcBorders>
              <w:top w:val="nil"/>
              <w:left w:val="nil"/>
              <w:bottom w:val="single" w:sz="8" w:space="0" w:color="00B1AC"/>
              <w:right w:val="nil"/>
            </w:tcBorders>
            <w:shd w:val="clear" w:color="auto" w:fill="auto"/>
            <w:noWrap/>
            <w:vAlign w:val="center"/>
            <w:hideMark/>
          </w:tcPr>
          <w:p w14:paraId="468A32F2"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18.58</w:t>
            </w:r>
          </w:p>
        </w:tc>
        <w:tc>
          <w:tcPr>
            <w:tcW w:w="307" w:type="pct"/>
            <w:tcBorders>
              <w:top w:val="nil"/>
              <w:left w:val="nil"/>
              <w:bottom w:val="single" w:sz="8" w:space="0" w:color="00B1AC"/>
              <w:right w:val="nil"/>
            </w:tcBorders>
            <w:shd w:val="clear" w:color="auto" w:fill="auto"/>
            <w:noWrap/>
            <w:vAlign w:val="center"/>
            <w:hideMark/>
          </w:tcPr>
          <w:p w14:paraId="3ED14162"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0" w:type="pct"/>
            <w:tcBorders>
              <w:top w:val="nil"/>
              <w:left w:val="nil"/>
              <w:bottom w:val="single" w:sz="8" w:space="0" w:color="00B1AC"/>
              <w:right w:val="nil"/>
            </w:tcBorders>
            <w:shd w:val="clear" w:color="auto" w:fill="auto"/>
            <w:noWrap/>
            <w:vAlign w:val="center"/>
            <w:hideMark/>
          </w:tcPr>
          <w:p w14:paraId="7CC633C6"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5" w:type="pct"/>
            <w:tcBorders>
              <w:top w:val="nil"/>
              <w:left w:val="nil"/>
              <w:bottom w:val="single" w:sz="8" w:space="0" w:color="00B1AC"/>
              <w:right w:val="nil"/>
            </w:tcBorders>
            <w:shd w:val="clear" w:color="auto" w:fill="auto"/>
            <w:noWrap/>
            <w:hideMark/>
          </w:tcPr>
          <w:p w14:paraId="5ABD37B4"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87" w:type="pct"/>
            <w:tcBorders>
              <w:top w:val="nil"/>
              <w:left w:val="nil"/>
              <w:bottom w:val="single" w:sz="8" w:space="0" w:color="00B1AC"/>
              <w:right w:val="nil"/>
            </w:tcBorders>
            <w:shd w:val="clear" w:color="auto" w:fill="auto"/>
            <w:noWrap/>
            <w:hideMark/>
          </w:tcPr>
          <w:p w14:paraId="280EC923"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12" w:type="pct"/>
            <w:tcBorders>
              <w:top w:val="nil"/>
              <w:left w:val="nil"/>
              <w:bottom w:val="single" w:sz="8" w:space="0" w:color="00B1AC"/>
              <w:right w:val="nil"/>
            </w:tcBorders>
            <w:shd w:val="clear" w:color="auto" w:fill="auto"/>
            <w:noWrap/>
            <w:hideMark/>
          </w:tcPr>
          <w:p w14:paraId="5A4707E6"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84" w:type="pct"/>
            <w:tcBorders>
              <w:top w:val="nil"/>
              <w:left w:val="nil"/>
              <w:bottom w:val="single" w:sz="8" w:space="0" w:color="00B1AC"/>
              <w:right w:val="nil"/>
            </w:tcBorders>
            <w:shd w:val="clear" w:color="auto" w:fill="auto"/>
            <w:noWrap/>
            <w:hideMark/>
          </w:tcPr>
          <w:p w14:paraId="7206E7A1"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0DF10CF8"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738B34C5"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p w14:paraId="3E746FFD" w14:textId="77777777" w:rsidR="00D80FBC" w:rsidRPr="009C5F11" w:rsidRDefault="00055095"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 </w:t>
            </w:r>
          </w:p>
        </w:tc>
        <w:tc>
          <w:tcPr>
            <w:tcW w:w="457" w:type="pct"/>
            <w:tcBorders>
              <w:top w:val="nil"/>
              <w:left w:val="nil"/>
              <w:bottom w:val="single" w:sz="8" w:space="0" w:color="00B1AC"/>
              <w:right w:val="nil"/>
            </w:tcBorders>
            <w:shd w:val="clear" w:color="auto" w:fill="auto"/>
            <w:noWrap/>
            <w:vAlign w:val="center"/>
            <w:hideMark/>
          </w:tcPr>
          <w:p w14:paraId="13F911A8"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55.73 </w:t>
            </w:r>
          </w:p>
        </w:tc>
        <w:tc>
          <w:tcPr>
            <w:tcW w:w="631" w:type="pct"/>
            <w:tcBorders>
              <w:top w:val="nil"/>
              <w:left w:val="nil"/>
              <w:bottom w:val="single" w:sz="8" w:space="0" w:color="00B1AC"/>
              <w:right w:val="single" w:sz="8" w:space="0" w:color="00B1AC"/>
            </w:tcBorders>
            <w:shd w:val="clear" w:color="auto" w:fill="auto"/>
            <w:noWrap/>
            <w:vAlign w:val="center"/>
            <w:hideMark/>
          </w:tcPr>
          <w:p w14:paraId="55271E37"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111.47 </w:t>
            </w:r>
          </w:p>
        </w:tc>
      </w:tr>
      <w:tr w:rsidR="00F34ADA" w:rsidRPr="009C5F11" w14:paraId="5F8CE1B0" w14:textId="77777777" w:rsidTr="00F34ADA">
        <w:trPr>
          <w:trHeight w:val="320"/>
        </w:trPr>
        <w:tc>
          <w:tcPr>
            <w:tcW w:w="365" w:type="pct"/>
            <w:tcBorders>
              <w:top w:val="nil"/>
              <w:left w:val="single" w:sz="8" w:space="0" w:color="00B1AC"/>
              <w:bottom w:val="single" w:sz="8" w:space="0" w:color="00B1AC"/>
              <w:right w:val="nil"/>
            </w:tcBorders>
            <w:shd w:val="clear" w:color="auto" w:fill="auto"/>
            <w:noWrap/>
            <w:vAlign w:val="center"/>
            <w:hideMark/>
          </w:tcPr>
          <w:p w14:paraId="33CB5F90"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2015</w:t>
            </w:r>
          </w:p>
        </w:tc>
        <w:tc>
          <w:tcPr>
            <w:tcW w:w="155" w:type="pct"/>
            <w:tcBorders>
              <w:top w:val="nil"/>
              <w:left w:val="single" w:sz="8" w:space="0" w:color="00B1AC"/>
              <w:bottom w:val="single" w:sz="8" w:space="0" w:color="00B1AC"/>
              <w:right w:val="nil"/>
            </w:tcBorders>
            <w:shd w:val="clear" w:color="auto" w:fill="auto"/>
            <w:noWrap/>
            <w:vAlign w:val="center"/>
            <w:hideMark/>
          </w:tcPr>
          <w:p w14:paraId="1C1DEC5C"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4</w:t>
            </w:r>
          </w:p>
        </w:tc>
        <w:tc>
          <w:tcPr>
            <w:tcW w:w="309" w:type="pct"/>
            <w:tcBorders>
              <w:top w:val="nil"/>
              <w:left w:val="nil"/>
              <w:bottom w:val="single" w:sz="8" w:space="0" w:color="00B1AC"/>
              <w:right w:val="nil"/>
            </w:tcBorders>
            <w:shd w:val="clear" w:color="auto" w:fill="auto"/>
            <w:noWrap/>
            <w:vAlign w:val="center"/>
            <w:hideMark/>
          </w:tcPr>
          <w:p w14:paraId="43013F1E"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1.0</w:t>
            </w:r>
          </w:p>
        </w:tc>
        <w:tc>
          <w:tcPr>
            <w:tcW w:w="384" w:type="pct"/>
            <w:tcBorders>
              <w:top w:val="nil"/>
              <w:left w:val="nil"/>
              <w:bottom w:val="single" w:sz="8" w:space="0" w:color="00B1AC"/>
              <w:right w:val="nil"/>
            </w:tcBorders>
            <w:shd w:val="clear" w:color="auto" w:fill="auto"/>
            <w:noWrap/>
            <w:vAlign w:val="center"/>
            <w:hideMark/>
          </w:tcPr>
          <w:p w14:paraId="21DF367F"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18.58</w:t>
            </w:r>
          </w:p>
        </w:tc>
        <w:tc>
          <w:tcPr>
            <w:tcW w:w="307" w:type="pct"/>
            <w:tcBorders>
              <w:top w:val="nil"/>
              <w:left w:val="nil"/>
              <w:bottom w:val="single" w:sz="8" w:space="0" w:color="00B1AC"/>
              <w:right w:val="nil"/>
            </w:tcBorders>
            <w:shd w:val="clear" w:color="auto" w:fill="auto"/>
            <w:noWrap/>
            <w:vAlign w:val="center"/>
            <w:hideMark/>
          </w:tcPr>
          <w:p w14:paraId="0B3A5C63"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0" w:type="pct"/>
            <w:tcBorders>
              <w:top w:val="nil"/>
              <w:left w:val="nil"/>
              <w:bottom w:val="single" w:sz="8" w:space="0" w:color="00B1AC"/>
              <w:right w:val="nil"/>
            </w:tcBorders>
            <w:shd w:val="clear" w:color="auto" w:fill="auto"/>
            <w:noWrap/>
            <w:vAlign w:val="center"/>
            <w:hideMark/>
          </w:tcPr>
          <w:p w14:paraId="58F708EC"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5" w:type="pct"/>
            <w:tcBorders>
              <w:top w:val="nil"/>
              <w:left w:val="nil"/>
              <w:bottom w:val="single" w:sz="8" w:space="0" w:color="00B1AC"/>
              <w:right w:val="nil"/>
            </w:tcBorders>
            <w:shd w:val="clear" w:color="auto" w:fill="auto"/>
            <w:noWrap/>
            <w:vAlign w:val="center"/>
            <w:hideMark/>
          </w:tcPr>
          <w:p w14:paraId="181E201A"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7" w:type="pct"/>
            <w:tcBorders>
              <w:top w:val="nil"/>
              <w:left w:val="nil"/>
              <w:bottom w:val="single" w:sz="8" w:space="0" w:color="00B1AC"/>
              <w:right w:val="nil"/>
            </w:tcBorders>
            <w:shd w:val="clear" w:color="auto" w:fill="auto"/>
            <w:noWrap/>
            <w:hideMark/>
          </w:tcPr>
          <w:p w14:paraId="56C23B2B"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12" w:type="pct"/>
            <w:tcBorders>
              <w:top w:val="nil"/>
              <w:left w:val="nil"/>
              <w:bottom w:val="single" w:sz="8" w:space="0" w:color="00B1AC"/>
              <w:right w:val="nil"/>
            </w:tcBorders>
            <w:shd w:val="clear" w:color="auto" w:fill="auto"/>
            <w:noWrap/>
            <w:hideMark/>
          </w:tcPr>
          <w:p w14:paraId="7464C386"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84" w:type="pct"/>
            <w:tcBorders>
              <w:top w:val="nil"/>
              <w:left w:val="nil"/>
              <w:bottom w:val="single" w:sz="8" w:space="0" w:color="00B1AC"/>
              <w:right w:val="nil"/>
            </w:tcBorders>
            <w:shd w:val="clear" w:color="auto" w:fill="auto"/>
            <w:noWrap/>
            <w:hideMark/>
          </w:tcPr>
          <w:p w14:paraId="58ADE2E4"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21E61E5F"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1427D850"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p w14:paraId="57A23892"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457" w:type="pct"/>
            <w:tcBorders>
              <w:top w:val="nil"/>
              <w:left w:val="nil"/>
              <w:bottom w:val="single" w:sz="8" w:space="0" w:color="00B1AC"/>
              <w:right w:val="nil"/>
            </w:tcBorders>
            <w:shd w:val="clear" w:color="auto" w:fill="auto"/>
            <w:noWrap/>
            <w:vAlign w:val="center"/>
            <w:hideMark/>
          </w:tcPr>
          <w:p w14:paraId="05612C22"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74.31 </w:t>
            </w:r>
          </w:p>
        </w:tc>
        <w:tc>
          <w:tcPr>
            <w:tcW w:w="631" w:type="pct"/>
            <w:tcBorders>
              <w:top w:val="nil"/>
              <w:left w:val="nil"/>
              <w:bottom w:val="single" w:sz="8" w:space="0" w:color="00B1AC"/>
              <w:right w:val="single" w:sz="8" w:space="0" w:color="00B1AC"/>
            </w:tcBorders>
            <w:shd w:val="clear" w:color="auto" w:fill="auto"/>
            <w:noWrap/>
            <w:vAlign w:val="center"/>
            <w:hideMark/>
          </w:tcPr>
          <w:p w14:paraId="7BE6C7D3"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185.78 </w:t>
            </w:r>
          </w:p>
        </w:tc>
      </w:tr>
      <w:tr w:rsidR="00F34ADA" w:rsidRPr="009C5F11" w14:paraId="76C75EF1" w14:textId="77777777" w:rsidTr="00F34ADA">
        <w:trPr>
          <w:trHeight w:val="320"/>
        </w:trPr>
        <w:tc>
          <w:tcPr>
            <w:tcW w:w="365" w:type="pct"/>
            <w:tcBorders>
              <w:top w:val="nil"/>
              <w:left w:val="single" w:sz="8" w:space="0" w:color="00B1AC"/>
              <w:bottom w:val="single" w:sz="8" w:space="0" w:color="00B1AC"/>
              <w:right w:val="nil"/>
            </w:tcBorders>
            <w:shd w:val="clear" w:color="auto" w:fill="auto"/>
            <w:noWrap/>
            <w:vAlign w:val="center"/>
            <w:hideMark/>
          </w:tcPr>
          <w:p w14:paraId="3ABAF67A"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2016</w:t>
            </w:r>
          </w:p>
        </w:tc>
        <w:tc>
          <w:tcPr>
            <w:tcW w:w="155" w:type="pct"/>
            <w:tcBorders>
              <w:top w:val="nil"/>
              <w:left w:val="single" w:sz="8" w:space="0" w:color="00B1AC"/>
              <w:bottom w:val="single" w:sz="8" w:space="0" w:color="00B1AC"/>
              <w:right w:val="nil"/>
            </w:tcBorders>
            <w:shd w:val="clear" w:color="auto" w:fill="auto"/>
            <w:noWrap/>
            <w:vAlign w:val="center"/>
            <w:hideMark/>
          </w:tcPr>
          <w:p w14:paraId="318E827C"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5</w:t>
            </w:r>
          </w:p>
        </w:tc>
        <w:tc>
          <w:tcPr>
            <w:tcW w:w="309" w:type="pct"/>
            <w:tcBorders>
              <w:top w:val="nil"/>
              <w:left w:val="nil"/>
              <w:bottom w:val="single" w:sz="8" w:space="0" w:color="00B1AC"/>
              <w:right w:val="nil"/>
            </w:tcBorders>
            <w:shd w:val="clear" w:color="auto" w:fill="auto"/>
            <w:noWrap/>
            <w:vAlign w:val="center"/>
            <w:hideMark/>
          </w:tcPr>
          <w:p w14:paraId="4330928F"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1.0</w:t>
            </w:r>
          </w:p>
        </w:tc>
        <w:tc>
          <w:tcPr>
            <w:tcW w:w="384" w:type="pct"/>
            <w:tcBorders>
              <w:top w:val="nil"/>
              <w:left w:val="nil"/>
              <w:bottom w:val="single" w:sz="8" w:space="0" w:color="00B1AC"/>
              <w:right w:val="nil"/>
            </w:tcBorders>
            <w:shd w:val="clear" w:color="auto" w:fill="auto"/>
            <w:noWrap/>
            <w:vAlign w:val="center"/>
            <w:hideMark/>
          </w:tcPr>
          <w:p w14:paraId="397344AD"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18.58</w:t>
            </w:r>
          </w:p>
        </w:tc>
        <w:tc>
          <w:tcPr>
            <w:tcW w:w="307" w:type="pct"/>
            <w:tcBorders>
              <w:top w:val="nil"/>
              <w:left w:val="nil"/>
              <w:bottom w:val="single" w:sz="8" w:space="0" w:color="00B1AC"/>
              <w:right w:val="nil"/>
            </w:tcBorders>
            <w:shd w:val="clear" w:color="auto" w:fill="auto"/>
            <w:noWrap/>
            <w:vAlign w:val="center"/>
            <w:hideMark/>
          </w:tcPr>
          <w:p w14:paraId="161E7AB1"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0" w:type="pct"/>
            <w:tcBorders>
              <w:top w:val="nil"/>
              <w:left w:val="nil"/>
              <w:bottom w:val="single" w:sz="8" w:space="0" w:color="00B1AC"/>
              <w:right w:val="nil"/>
            </w:tcBorders>
            <w:shd w:val="clear" w:color="auto" w:fill="auto"/>
            <w:noWrap/>
            <w:vAlign w:val="center"/>
            <w:hideMark/>
          </w:tcPr>
          <w:p w14:paraId="2A55839C"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5" w:type="pct"/>
            <w:tcBorders>
              <w:top w:val="nil"/>
              <w:left w:val="nil"/>
              <w:bottom w:val="single" w:sz="8" w:space="0" w:color="00B1AC"/>
              <w:right w:val="nil"/>
            </w:tcBorders>
            <w:shd w:val="clear" w:color="auto" w:fill="auto"/>
            <w:noWrap/>
            <w:vAlign w:val="center"/>
            <w:hideMark/>
          </w:tcPr>
          <w:p w14:paraId="2DA6D110"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7" w:type="pct"/>
            <w:tcBorders>
              <w:top w:val="nil"/>
              <w:left w:val="nil"/>
              <w:bottom w:val="single" w:sz="8" w:space="0" w:color="00B1AC"/>
              <w:right w:val="nil"/>
            </w:tcBorders>
            <w:shd w:val="clear" w:color="auto" w:fill="auto"/>
            <w:noWrap/>
            <w:vAlign w:val="center"/>
            <w:hideMark/>
          </w:tcPr>
          <w:p w14:paraId="73AF2109"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2" w:type="pct"/>
            <w:tcBorders>
              <w:top w:val="nil"/>
              <w:left w:val="nil"/>
              <w:bottom w:val="single" w:sz="8" w:space="0" w:color="00B1AC"/>
              <w:right w:val="nil"/>
            </w:tcBorders>
            <w:shd w:val="clear" w:color="auto" w:fill="auto"/>
            <w:noWrap/>
            <w:hideMark/>
          </w:tcPr>
          <w:p w14:paraId="20934863"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84" w:type="pct"/>
            <w:tcBorders>
              <w:top w:val="nil"/>
              <w:left w:val="nil"/>
              <w:bottom w:val="single" w:sz="8" w:space="0" w:color="00B1AC"/>
              <w:right w:val="nil"/>
            </w:tcBorders>
            <w:shd w:val="clear" w:color="auto" w:fill="auto"/>
            <w:noWrap/>
            <w:hideMark/>
          </w:tcPr>
          <w:p w14:paraId="4D4CCA04"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15EEE34E"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0892F7BD"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p w14:paraId="0936BD51"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457" w:type="pct"/>
            <w:tcBorders>
              <w:top w:val="nil"/>
              <w:left w:val="nil"/>
              <w:bottom w:val="single" w:sz="8" w:space="0" w:color="00B1AC"/>
              <w:right w:val="nil"/>
            </w:tcBorders>
            <w:shd w:val="clear" w:color="auto" w:fill="auto"/>
            <w:noWrap/>
            <w:vAlign w:val="center"/>
            <w:hideMark/>
          </w:tcPr>
          <w:p w14:paraId="140993FC"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92.89 </w:t>
            </w:r>
          </w:p>
        </w:tc>
        <w:tc>
          <w:tcPr>
            <w:tcW w:w="631" w:type="pct"/>
            <w:tcBorders>
              <w:top w:val="nil"/>
              <w:left w:val="nil"/>
              <w:bottom w:val="single" w:sz="8" w:space="0" w:color="00B1AC"/>
              <w:right w:val="single" w:sz="8" w:space="0" w:color="00B1AC"/>
            </w:tcBorders>
            <w:shd w:val="clear" w:color="auto" w:fill="auto"/>
            <w:noWrap/>
            <w:vAlign w:val="center"/>
            <w:hideMark/>
          </w:tcPr>
          <w:p w14:paraId="4E7EEFEE"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278.67 </w:t>
            </w:r>
          </w:p>
        </w:tc>
      </w:tr>
      <w:tr w:rsidR="00F34ADA" w:rsidRPr="009C5F11" w14:paraId="4BD6EC56" w14:textId="77777777" w:rsidTr="00F34ADA">
        <w:trPr>
          <w:trHeight w:val="320"/>
        </w:trPr>
        <w:tc>
          <w:tcPr>
            <w:tcW w:w="365" w:type="pct"/>
            <w:tcBorders>
              <w:top w:val="nil"/>
              <w:left w:val="single" w:sz="8" w:space="0" w:color="00B1AC"/>
              <w:bottom w:val="single" w:sz="8" w:space="0" w:color="00B1AC"/>
              <w:right w:val="nil"/>
            </w:tcBorders>
            <w:shd w:val="clear" w:color="auto" w:fill="auto"/>
            <w:noWrap/>
            <w:vAlign w:val="center"/>
            <w:hideMark/>
          </w:tcPr>
          <w:p w14:paraId="59922974"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2017</w:t>
            </w:r>
          </w:p>
        </w:tc>
        <w:tc>
          <w:tcPr>
            <w:tcW w:w="155" w:type="pct"/>
            <w:tcBorders>
              <w:top w:val="nil"/>
              <w:left w:val="single" w:sz="8" w:space="0" w:color="00B1AC"/>
              <w:bottom w:val="single" w:sz="8" w:space="0" w:color="00B1AC"/>
              <w:right w:val="nil"/>
            </w:tcBorders>
            <w:shd w:val="clear" w:color="auto" w:fill="auto"/>
            <w:noWrap/>
            <w:vAlign w:val="center"/>
            <w:hideMark/>
          </w:tcPr>
          <w:p w14:paraId="574D222D"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6</w:t>
            </w:r>
          </w:p>
        </w:tc>
        <w:tc>
          <w:tcPr>
            <w:tcW w:w="309" w:type="pct"/>
            <w:tcBorders>
              <w:top w:val="nil"/>
              <w:left w:val="nil"/>
              <w:bottom w:val="single" w:sz="8" w:space="0" w:color="00B1AC"/>
              <w:right w:val="nil"/>
            </w:tcBorders>
            <w:shd w:val="clear" w:color="auto" w:fill="auto"/>
            <w:noWrap/>
            <w:vAlign w:val="center"/>
            <w:hideMark/>
          </w:tcPr>
          <w:p w14:paraId="45250CC9"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1.0</w:t>
            </w:r>
          </w:p>
        </w:tc>
        <w:tc>
          <w:tcPr>
            <w:tcW w:w="384" w:type="pct"/>
            <w:tcBorders>
              <w:top w:val="nil"/>
              <w:left w:val="nil"/>
              <w:bottom w:val="single" w:sz="8" w:space="0" w:color="00B1AC"/>
              <w:right w:val="nil"/>
            </w:tcBorders>
            <w:shd w:val="clear" w:color="auto" w:fill="auto"/>
            <w:noWrap/>
            <w:vAlign w:val="center"/>
            <w:hideMark/>
          </w:tcPr>
          <w:p w14:paraId="39685F33"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18.58</w:t>
            </w:r>
          </w:p>
        </w:tc>
        <w:tc>
          <w:tcPr>
            <w:tcW w:w="307" w:type="pct"/>
            <w:tcBorders>
              <w:top w:val="nil"/>
              <w:left w:val="nil"/>
              <w:bottom w:val="single" w:sz="8" w:space="0" w:color="00B1AC"/>
              <w:right w:val="nil"/>
            </w:tcBorders>
            <w:shd w:val="clear" w:color="auto" w:fill="auto"/>
            <w:noWrap/>
            <w:vAlign w:val="center"/>
            <w:hideMark/>
          </w:tcPr>
          <w:p w14:paraId="7418FBBE"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0" w:type="pct"/>
            <w:tcBorders>
              <w:top w:val="nil"/>
              <w:left w:val="nil"/>
              <w:bottom w:val="single" w:sz="8" w:space="0" w:color="00B1AC"/>
              <w:right w:val="nil"/>
            </w:tcBorders>
            <w:shd w:val="clear" w:color="auto" w:fill="auto"/>
            <w:noWrap/>
            <w:vAlign w:val="center"/>
            <w:hideMark/>
          </w:tcPr>
          <w:p w14:paraId="7D7EAE84"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5" w:type="pct"/>
            <w:tcBorders>
              <w:top w:val="nil"/>
              <w:left w:val="nil"/>
              <w:bottom w:val="single" w:sz="8" w:space="0" w:color="00B1AC"/>
              <w:right w:val="nil"/>
            </w:tcBorders>
            <w:shd w:val="clear" w:color="auto" w:fill="auto"/>
            <w:noWrap/>
            <w:vAlign w:val="center"/>
            <w:hideMark/>
          </w:tcPr>
          <w:p w14:paraId="7FF9FFF3"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7" w:type="pct"/>
            <w:tcBorders>
              <w:top w:val="nil"/>
              <w:left w:val="nil"/>
              <w:bottom w:val="single" w:sz="8" w:space="0" w:color="00B1AC"/>
              <w:right w:val="nil"/>
            </w:tcBorders>
            <w:shd w:val="clear" w:color="auto" w:fill="auto"/>
            <w:noWrap/>
            <w:vAlign w:val="center"/>
            <w:hideMark/>
          </w:tcPr>
          <w:p w14:paraId="34DD132D"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2" w:type="pct"/>
            <w:tcBorders>
              <w:top w:val="nil"/>
              <w:left w:val="nil"/>
              <w:bottom w:val="single" w:sz="8" w:space="0" w:color="00B1AC"/>
              <w:right w:val="nil"/>
            </w:tcBorders>
            <w:shd w:val="clear" w:color="auto" w:fill="auto"/>
            <w:noWrap/>
            <w:vAlign w:val="center"/>
            <w:hideMark/>
          </w:tcPr>
          <w:p w14:paraId="20356F9B"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4" w:type="pct"/>
            <w:tcBorders>
              <w:top w:val="nil"/>
              <w:left w:val="nil"/>
              <w:bottom w:val="single" w:sz="8" w:space="0" w:color="00B1AC"/>
              <w:right w:val="nil"/>
            </w:tcBorders>
            <w:shd w:val="clear" w:color="auto" w:fill="auto"/>
            <w:noWrap/>
            <w:hideMark/>
          </w:tcPr>
          <w:p w14:paraId="3D074102"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5A55D04D"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29250D5D"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p w14:paraId="0D7E7823"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457" w:type="pct"/>
            <w:tcBorders>
              <w:top w:val="nil"/>
              <w:left w:val="nil"/>
              <w:bottom w:val="single" w:sz="8" w:space="0" w:color="00B1AC"/>
              <w:right w:val="nil"/>
            </w:tcBorders>
            <w:shd w:val="clear" w:color="auto" w:fill="auto"/>
            <w:noWrap/>
            <w:vAlign w:val="center"/>
            <w:hideMark/>
          </w:tcPr>
          <w:p w14:paraId="47D397E7"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111.47 </w:t>
            </w:r>
          </w:p>
        </w:tc>
        <w:tc>
          <w:tcPr>
            <w:tcW w:w="631" w:type="pct"/>
            <w:tcBorders>
              <w:top w:val="nil"/>
              <w:left w:val="nil"/>
              <w:bottom w:val="single" w:sz="8" w:space="0" w:color="00B1AC"/>
              <w:right w:val="single" w:sz="8" w:space="0" w:color="00B1AC"/>
            </w:tcBorders>
            <w:shd w:val="clear" w:color="auto" w:fill="auto"/>
            <w:noWrap/>
            <w:vAlign w:val="center"/>
            <w:hideMark/>
          </w:tcPr>
          <w:p w14:paraId="1B7753CF"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390.14 </w:t>
            </w:r>
          </w:p>
        </w:tc>
      </w:tr>
      <w:tr w:rsidR="00F34ADA" w:rsidRPr="009C5F11" w14:paraId="218E0A1F" w14:textId="77777777" w:rsidTr="00F34ADA">
        <w:trPr>
          <w:trHeight w:val="320"/>
        </w:trPr>
        <w:tc>
          <w:tcPr>
            <w:tcW w:w="365" w:type="pct"/>
            <w:tcBorders>
              <w:top w:val="nil"/>
              <w:left w:val="single" w:sz="8" w:space="0" w:color="00B1AC"/>
              <w:bottom w:val="single" w:sz="8" w:space="0" w:color="00B1AC"/>
              <w:right w:val="nil"/>
            </w:tcBorders>
            <w:shd w:val="clear" w:color="auto" w:fill="auto"/>
            <w:noWrap/>
            <w:vAlign w:val="center"/>
            <w:hideMark/>
          </w:tcPr>
          <w:p w14:paraId="0F358BAB"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2018</w:t>
            </w:r>
          </w:p>
        </w:tc>
        <w:tc>
          <w:tcPr>
            <w:tcW w:w="155" w:type="pct"/>
            <w:tcBorders>
              <w:top w:val="nil"/>
              <w:left w:val="single" w:sz="8" w:space="0" w:color="00B1AC"/>
              <w:bottom w:val="single" w:sz="8" w:space="0" w:color="00B1AC"/>
              <w:right w:val="nil"/>
            </w:tcBorders>
            <w:shd w:val="clear" w:color="auto" w:fill="auto"/>
            <w:noWrap/>
            <w:vAlign w:val="center"/>
            <w:hideMark/>
          </w:tcPr>
          <w:p w14:paraId="143BCC3B"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7</w:t>
            </w:r>
          </w:p>
        </w:tc>
        <w:tc>
          <w:tcPr>
            <w:tcW w:w="309" w:type="pct"/>
            <w:tcBorders>
              <w:top w:val="nil"/>
              <w:left w:val="nil"/>
              <w:bottom w:val="single" w:sz="8" w:space="0" w:color="00B1AC"/>
              <w:right w:val="nil"/>
            </w:tcBorders>
            <w:shd w:val="clear" w:color="auto" w:fill="auto"/>
            <w:noWrap/>
            <w:vAlign w:val="center"/>
            <w:hideMark/>
          </w:tcPr>
          <w:p w14:paraId="5516B43F"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1.0</w:t>
            </w:r>
          </w:p>
        </w:tc>
        <w:tc>
          <w:tcPr>
            <w:tcW w:w="384" w:type="pct"/>
            <w:tcBorders>
              <w:top w:val="nil"/>
              <w:left w:val="nil"/>
              <w:bottom w:val="single" w:sz="8" w:space="0" w:color="00B1AC"/>
              <w:right w:val="nil"/>
            </w:tcBorders>
            <w:shd w:val="clear" w:color="auto" w:fill="auto"/>
            <w:noWrap/>
            <w:vAlign w:val="center"/>
            <w:hideMark/>
          </w:tcPr>
          <w:p w14:paraId="630DB34B"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18.58</w:t>
            </w:r>
          </w:p>
        </w:tc>
        <w:tc>
          <w:tcPr>
            <w:tcW w:w="307" w:type="pct"/>
            <w:tcBorders>
              <w:top w:val="nil"/>
              <w:left w:val="nil"/>
              <w:bottom w:val="single" w:sz="8" w:space="0" w:color="00B1AC"/>
              <w:right w:val="nil"/>
            </w:tcBorders>
            <w:shd w:val="clear" w:color="auto" w:fill="auto"/>
            <w:noWrap/>
            <w:vAlign w:val="center"/>
            <w:hideMark/>
          </w:tcPr>
          <w:p w14:paraId="1FA43F5B"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0" w:type="pct"/>
            <w:tcBorders>
              <w:top w:val="nil"/>
              <w:left w:val="nil"/>
              <w:bottom w:val="single" w:sz="8" w:space="0" w:color="00B1AC"/>
              <w:right w:val="nil"/>
            </w:tcBorders>
            <w:shd w:val="clear" w:color="auto" w:fill="auto"/>
            <w:noWrap/>
            <w:vAlign w:val="center"/>
            <w:hideMark/>
          </w:tcPr>
          <w:p w14:paraId="7B1F4A3D"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5" w:type="pct"/>
            <w:tcBorders>
              <w:top w:val="nil"/>
              <w:left w:val="nil"/>
              <w:bottom w:val="single" w:sz="8" w:space="0" w:color="00B1AC"/>
              <w:right w:val="nil"/>
            </w:tcBorders>
            <w:shd w:val="clear" w:color="auto" w:fill="auto"/>
            <w:noWrap/>
            <w:vAlign w:val="center"/>
            <w:hideMark/>
          </w:tcPr>
          <w:p w14:paraId="7A701199"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7" w:type="pct"/>
            <w:tcBorders>
              <w:top w:val="nil"/>
              <w:left w:val="nil"/>
              <w:bottom w:val="single" w:sz="8" w:space="0" w:color="00B1AC"/>
              <w:right w:val="nil"/>
            </w:tcBorders>
            <w:shd w:val="clear" w:color="auto" w:fill="auto"/>
            <w:noWrap/>
            <w:vAlign w:val="center"/>
            <w:hideMark/>
          </w:tcPr>
          <w:p w14:paraId="38601C22"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2" w:type="pct"/>
            <w:tcBorders>
              <w:top w:val="nil"/>
              <w:left w:val="nil"/>
              <w:bottom w:val="single" w:sz="8" w:space="0" w:color="00B1AC"/>
              <w:right w:val="nil"/>
            </w:tcBorders>
            <w:shd w:val="clear" w:color="auto" w:fill="auto"/>
            <w:noWrap/>
            <w:vAlign w:val="center"/>
            <w:hideMark/>
          </w:tcPr>
          <w:p w14:paraId="5A242070"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4" w:type="pct"/>
            <w:tcBorders>
              <w:top w:val="nil"/>
              <w:left w:val="nil"/>
              <w:bottom w:val="single" w:sz="8" w:space="0" w:color="00B1AC"/>
              <w:right w:val="nil"/>
            </w:tcBorders>
            <w:shd w:val="clear" w:color="auto" w:fill="auto"/>
            <w:noWrap/>
            <w:vAlign w:val="center"/>
            <w:hideMark/>
          </w:tcPr>
          <w:p w14:paraId="36FD4B98"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07" w:type="pct"/>
            <w:tcBorders>
              <w:top w:val="nil"/>
              <w:left w:val="nil"/>
              <w:bottom w:val="single" w:sz="8" w:space="0" w:color="00B1AC"/>
              <w:right w:val="nil"/>
            </w:tcBorders>
            <w:shd w:val="clear" w:color="auto" w:fill="auto"/>
            <w:noWrap/>
            <w:hideMark/>
          </w:tcPr>
          <w:p w14:paraId="2E49D711"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307" w:type="pct"/>
            <w:tcBorders>
              <w:top w:val="nil"/>
              <w:left w:val="nil"/>
              <w:bottom w:val="single" w:sz="8" w:space="0" w:color="00B1AC"/>
              <w:right w:val="nil"/>
            </w:tcBorders>
            <w:shd w:val="clear" w:color="auto" w:fill="auto"/>
            <w:noWrap/>
            <w:hideMark/>
          </w:tcPr>
          <w:p w14:paraId="61CC80A3"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p w14:paraId="7D6FE8C5"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457" w:type="pct"/>
            <w:tcBorders>
              <w:top w:val="nil"/>
              <w:left w:val="nil"/>
              <w:bottom w:val="single" w:sz="8" w:space="0" w:color="00B1AC"/>
              <w:right w:val="nil"/>
            </w:tcBorders>
            <w:shd w:val="clear" w:color="auto" w:fill="auto"/>
            <w:noWrap/>
            <w:vAlign w:val="center"/>
            <w:hideMark/>
          </w:tcPr>
          <w:p w14:paraId="4941BB90"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130.05 </w:t>
            </w:r>
          </w:p>
        </w:tc>
        <w:tc>
          <w:tcPr>
            <w:tcW w:w="631" w:type="pct"/>
            <w:tcBorders>
              <w:top w:val="nil"/>
              <w:left w:val="nil"/>
              <w:bottom w:val="single" w:sz="8" w:space="0" w:color="00B1AC"/>
              <w:right w:val="single" w:sz="8" w:space="0" w:color="00B1AC"/>
            </w:tcBorders>
            <w:shd w:val="clear" w:color="auto" w:fill="auto"/>
            <w:noWrap/>
            <w:vAlign w:val="center"/>
            <w:hideMark/>
          </w:tcPr>
          <w:p w14:paraId="79C54FA9"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520.18 </w:t>
            </w:r>
          </w:p>
        </w:tc>
      </w:tr>
      <w:tr w:rsidR="00F34ADA" w:rsidRPr="009C5F11" w14:paraId="681BA1AB" w14:textId="77777777" w:rsidTr="00F34ADA">
        <w:trPr>
          <w:trHeight w:val="320"/>
        </w:trPr>
        <w:tc>
          <w:tcPr>
            <w:tcW w:w="365" w:type="pct"/>
            <w:tcBorders>
              <w:top w:val="nil"/>
              <w:left w:val="single" w:sz="8" w:space="0" w:color="00B1AC"/>
              <w:bottom w:val="single" w:sz="8" w:space="0" w:color="00B1AC"/>
              <w:right w:val="nil"/>
            </w:tcBorders>
            <w:shd w:val="clear" w:color="auto" w:fill="auto"/>
            <w:noWrap/>
            <w:vAlign w:val="center"/>
            <w:hideMark/>
          </w:tcPr>
          <w:p w14:paraId="61270753"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2019</w:t>
            </w:r>
          </w:p>
        </w:tc>
        <w:tc>
          <w:tcPr>
            <w:tcW w:w="155" w:type="pct"/>
            <w:tcBorders>
              <w:top w:val="nil"/>
              <w:left w:val="single" w:sz="8" w:space="0" w:color="00B1AC"/>
              <w:bottom w:val="single" w:sz="8" w:space="0" w:color="00B1AC"/>
              <w:right w:val="nil"/>
            </w:tcBorders>
            <w:shd w:val="clear" w:color="auto" w:fill="auto"/>
            <w:noWrap/>
            <w:vAlign w:val="center"/>
            <w:hideMark/>
          </w:tcPr>
          <w:p w14:paraId="3150E09B"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8</w:t>
            </w:r>
          </w:p>
        </w:tc>
        <w:tc>
          <w:tcPr>
            <w:tcW w:w="309" w:type="pct"/>
            <w:tcBorders>
              <w:top w:val="nil"/>
              <w:left w:val="nil"/>
              <w:bottom w:val="single" w:sz="8" w:space="0" w:color="00B1AC"/>
              <w:right w:val="nil"/>
            </w:tcBorders>
            <w:shd w:val="clear" w:color="auto" w:fill="auto"/>
            <w:noWrap/>
            <w:vAlign w:val="center"/>
            <w:hideMark/>
          </w:tcPr>
          <w:p w14:paraId="06C571E7"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1.0</w:t>
            </w:r>
          </w:p>
        </w:tc>
        <w:tc>
          <w:tcPr>
            <w:tcW w:w="384" w:type="pct"/>
            <w:tcBorders>
              <w:top w:val="nil"/>
              <w:left w:val="nil"/>
              <w:bottom w:val="single" w:sz="8" w:space="0" w:color="00B1AC"/>
              <w:right w:val="nil"/>
            </w:tcBorders>
            <w:shd w:val="clear" w:color="auto" w:fill="auto"/>
            <w:noWrap/>
            <w:vAlign w:val="center"/>
            <w:hideMark/>
          </w:tcPr>
          <w:p w14:paraId="5FAF6B5B"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18.58</w:t>
            </w:r>
          </w:p>
        </w:tc>
        <w:tc>
          <w:tcPr>
            <w:tcW w:w="307" w:type="pct"/>
            <w:tcBorders>
              <w:top w:val="nil"/>
              <w:left w:val="nil"/>
              <w:bottom w:val="single" w:sz="8" w:space="0" w:color="00B1AC"/>
              <w:right w:val="nil"/>
            </w:tcBorders>
            <w:shd w:val="clear" w:color="auto" w:fill="auto"/>
            <w:noWrap/>
            <w:vAlign w:val="center"/>
            <w:hideMark/>
          </w:tcPr>
          <w:p w14:paraId="67B663FD"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0" w:type="pct"/>
            <w:tcBorders>
              <w:top w:val="nil"/>
              <w:left w:val="nil"/>
              <w:bottom w:val="single" w:sz="8" w:space="0" w:color="00B1AC"/>
              <w:right w:val="nil"/>
            </w:tcBorders>
            <w:shd w:val="clear" w:color="auto" w:fill="auto"/>
            <w:noWrap/>
            <w:vAlign w:val="center"/>
            <w:hideMark/>
          </w:tcPr>
          <w:p w14:paraId="5B26CA42"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5" w:type="pct"/>
            <w:tcBorders>
              <w:top w:val="nil"/>
              <w:left w:val="nil"/>
              <w:bottom w:val="single" w:sz="8" w:space="0" w:color="00B1AC"/>
              <w:right w:val="nil"/>
            </w:tcBorders>
            <w:shd w:val="clear" w:color="auto" w:fill="auto"/>
            <w:noWrap/>
            <w:vAlign w:val="center"/>
            <w:hideMark/>
          </w:tcPr>
          <w:p w14:paraId="7A2A2EA6"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7" w:type="pct"/>
            <w:tcBorders>
              <w:top w:val="nil"/>
              <w:left w:val="nil"/>
              <w:bottom w:val="single" w:sz="8" w:space="0" w:color="00B1AC"/>
              <w:right w:val="nil"/>
            </w:tcBorders>
            <w:shd w:val="clear" w:color="auto" w:fill="auto"/>
            <w:noWrap/>
            <w:vAlign w:val="center"/>
            <w:hideMark/>
          </w:tcPr>
          <w:p w14:paraId="3F4C8CFE"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2" w:type="pct"/>
            <w:tcBorders>
              <w:top w:val="nil"/>
              <w:left w:val="nil"/>
              <w:bottom w:val="single" w:sz="8" w:space="0" w:color="00B1AC"/>
              <w:right w:val="nil"/>
            </w:tcBorders>
            <w:shd w:val="clear" w:color="auto" w:fill="auto"/>
            <w:noWrap/>
            <w:vAlign w:val="center"/>
            <w:hideMark/>
          </w:tcPr>
          <w:p w14:paraId="76C9BB52"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4" w:type="pct"/>
            <w:tcBorders>
              <w:top w:val="nil"/>
              <w:left w:val="nil"/>
              <w:bottom w:val="single" w:sz="8" w:space="0" w:color="00B1AC"/>
              <w:right w:val="nil"/>
            </w:tcBorders>
            <w:shd w:val="clear" w:color="auto" w:fill="auto"/>
            <w:noWrap/>
            <w:vAlign w:val="center"/>
            <w:hideMark/>
          </w:tcPr>
          <w:p w14:paraId="34242AD5"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07" w:type="pct"/>
            <w:tcBorders>
              <w:top w:val="nil"/>
              <w:left w:val="nil"/>
              <w:bottom w:val="single" w:sz="8" w:space="0" w:color="00B1AC"/>
              <w:right w:val="nil"/>
            </w:tcBorders>
            <w:shd w:val="clear" w:color="auto" w:fill="auto"/>
            <w:noWrap/>
            <w:vAlign w:val="center"/>
            <w:hideMark/>
          </w:tcPr>
          <w:p w14:paraId="6A8BF289"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07" w:type="pct"/>
            <w:tcBorders>
              <w:top w:val="nil"/>
              <w:left w:val="nil"/>
              <w:bottom w:val="single" w:sz="8" w:space="0" w:color="00B1AC"/>
              <w:right w:val="nil"/>
            </w:tcBorders>
            <w:shd w:val="clear" w:color="auto" w:fill="auto"/>
            <w:noWrap/>
            <w:hideMark/>
          </w:tcPr>
          <w:p w14:paraId="15E464B6"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p w14:paraId="75F86604"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w:t>
            </w:r>
          </w:p>
        </w:tc>
        <w:tc>
          <w:tcPr>
            <w:tcW w:w="457" w:type="pct"/>
            <w:tcBorders>
              <w:top w:val="nil"/>
              <w:left w:val="nil"/>
              <w:bottom w:val="single" w:sz="8" w:space="0" w:color="00B1AC"/>
              <w:right w:val="nil"/>
            </w:tcBorders>
            <w:shd w:val="clear" w:color="auto" w:fill="auto"/>
            <w:noWrap/>
            <w:vAlign w:val="center"/>
            <w:hideMark/>
          </w:tcPr>
          <w:p w14:paraId="556EA7BB"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148.62 </w:t>
            </w:r>
          </w:p>
        </w:tc>
        <w:tc>
          <w:tcPr>
            <w:tcW w:w="631" w:type="pct"/>
            <w:tcBorders>
              <w:top w:val="nil"/>
              <w:left w:val="nil"/>
              <w:bottom w:val="single" w:sz="8" w:space="0" w:color="00B1AC"/>
              <w:right w:val="single" w:sz="8" w:space="0" w:color="00B1AC"/>
            </w:tcBorders>
            <w:shd w:val="clear" w:color="auto" w:fill="auto"/>
            <w:noWrap/>
            <w:vAlign w:val="center"/>
            <w:hideMark/>
          </w:tcPr>
          <w:p w14:paraId="11258994"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668.81 </w:t>
            </w:r>
          </w:p>
        </w:tc>
      </w:tr>
      <w:tr w:rsidR="00F34ADA" w:rsidRPr="009C5F11" w14:paraId="0AA6541F" w14:textId="77777777" w:rsidTr="00F34ADA">
        <w:trPr>
          <w:trHeight w:val="320"/>
        </w:trPr>
        <w:tc>
          <w:tcPr>
            <w:tcW w:w="365" w:type="pct"/>
            <w:tcBorders>
              <w:top w:val="nil"/>
              <w:left w:val="single" w:sz="8" w:space="0" w:color="00B1AC"/>
              <w:bottom w:val="single" w:sz="8" w:space="0" w:color="00B1AC"/>
              <w:right w:val="nil"/>
            </w:tcBorders>
            <w:shd w:val="clear" w:color="auto" w:fill="auto"/>
            <w:noWrap/>
            <w:vAlign w:val="center"/>
            <w:hideMark/>
          </w:tcPr>
          <w:p w14:paraId="07161217"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2020</w:t>
            </w:r>
          </w:p>
        </w:tc>
        <w:tc>
          <w:tcPr>
            <w:tcW w:w="155" w:type="pct"/>
            <w:tcBorders>
              <w:top w:val="nil"/>
              <w:left w:val="single" w:sz="8" w:space="0" w:color="00B1AC"/>
              <w:bottom w:val="single" w:sz="8" w:space="0" w:color="00B1AC"/>
              <w:right w:val="nil"/>
            </w:tcBorders>
            <w:shd w:val="clear" w:color="auto" w:fill="auto"/>
            <w:noWrap/>
            <w:vAlign w:val="center"/>
            <w:hideMark/>
          </w:tcPr>
          <w:p w14:paraId="74C09E38"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9</w:t>
            </w:r>
          </w:p>
        </w:tc>
        <w:tc>
          <w:tcPr>
            <w:tcW w:w="309" w:type="pct"/>
            <w:tcBorders>
              <w:top w:val="nil"/>
              <w:left w:val="nil"/>
              <w:bottom w:val="single" w:sz="8" w:space="0" w:color="00B1AC"/>
              <w:right w:val="nil"/>
            </w:tcBorders>
            <w:shd w:val="clear" w:color="auto" w:fill="auto"/>
            <w:noWrap/>
            <w:vAlign w:val="center"/>
            <w:hideMark/>
          </w:tcPr>
          <w:p w14:paraId="1C82CE72"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1.0</w:t>
            </w:r>
          </w:p>
        </w:tc>
        <w:tc>
          <w:tcPr>
            <w:tcW w:w="384" w:type="pct"/>
            <w:tcBorders>
              <w:top w:val="nil"/>
              <w:left w:val="nil"/>
              <w:bottom w:val="single" w:sz="8" w:space="0" w:color="00B1AC"/>
              <w:right w:val="nil"/>
            </w:tcBorders>
            <w:shd w:val="clear" w:color="auto" w:fill="auto"/>
            <w:noWrap/>
            <w:vAlign w:val="center"/>
            <w:hideMark/>
          </w:tcPr>
          <w:p w14:paraId="6136A7E1"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18.58</w:t>
            </w:r>
          </w:p>
        </w:tc>
        <w:tc>
          <w:tcPr>
            <w:tcW w:w="307" w:type="pct"/>
            <w:tcBorders>
              <w:top w:val="nil"/>
              <w:left w:val="nil"/>
              <w:bottom w:val="single" w:sz="8" w:space="0" w:color="00B1AC"/>
              <w:right w:val="nil"/>
            </w:tcBorders>
            <w:shd w:val="clear" w:color="auto" w:fill="auto"/>
            <w:noWrap/>
            <w:vAlign w:val="center"/>
            <w:hideMark/>
          </w:tcPr>
          <w:p w14:paraId="08D352FC"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0" w:type="pct"/>
            <w:tcBorders>
              <w:top w:val="nil"/>
              <w:left w:val="nil"/>
              <w:bottom w:val="single" w:sz="8" w:space="0" w:color="00B1AC"/>
              <w:right w:val="nil"/>
            </w:tcBorders>
            <w:shd w:val="clear" w:color="auto" w:fill="auto"/>
            <w:noWrap/>
            <w:vAlign w:val="center"/>
            <w:hideMark/>
          </w:tcPr>
          <w:p w14:paraId="2E2344C5"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5" w:type="pct"/>
            <w:tcBorders>
              <w:top w:val="nil"/>
              <w:left w:val="nil"/>
              <w:bottom w:val="single" w:sz="8" w:space="0" w:color="00B1AC"/>
              <w:right w:val="nil"/>
            </w:tcBorders>
            <w:shd w:val="clear" w:color="auto" w:fill="auto"/>
            <w:noWrap/>
            <w:vAlign w:val="center"/>
            <w:hideMark/>
          </w:tcPr>
          <w:p w14:paraId="1A120E63"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7" w:type="pct"/>
            <w:tcBorders>
              <w:top w:val="nil"/>
              <w:left w:val="nil"/>
              <w:bottom w:val="single" w:sz="8" w:space="0" w:color="00B1AC"/>
              <w:right w:val="nil"/>
            </w:tcBorders>
            <w:shd w:val="clear" w:color="auto" w:fill="auto"/>
            <w:noWrap/>
            <w:vAlign w:val="center"/>
            <w:hideMark/>
          </w:tcPr>
          <w:p w14:paraId="41BEB71E"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12" w:type="pct"/>
            <w:tcBorders>
              <w:top w:val="nil"/>
              <w:left w:val="nil"/>
              <w:bottom w:val="single" w:sz="8" w:space="0" w:color="00B1AC"/>
              <w:right w:val="nil"/>
            </w:tcBorders>
            <w:shd w:val="clear" w:color="auto" w:fill="auto"/>
            <w:noWrap/>
            <w:vAlign w:val="center"/>
            <w:hideMark/>
          </w:tcPr>
          <w:p w14:paraId="4C83DADB"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84" w:type="pct"/>
            <w:tcBorders>
              <w:top w:val="nil"/>
              <w:left w:val="nil"/>
              <w:bottom w:val="single" w:sz="8" w:space="0" w:color="00B1AC"/>
              <w:right w:val="nil"/>
            </w:tcBorders>
            <w:shd w:val="clear" w:color="auto" w:fill="auto"/>
            <w:noWrap/>
            <w:vAlign w:val="center"/>
            <w:hideMark/>
          </w:tcPr>
          <w:p w14:paraId="796FDF0B"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07" w:type="pct"/>
            <w:tcBorders>
              <w:top w:val="nil"/>
              <w:left w:val="nil"/>
              <w:bottom w:val="single" w:sz="8" w:space="0" w:color="00B1AC"/>
              <w:right w:val="nil"/>
            </w:tcBorders>
            <w:shd w:val="clear" w:color="auto" w:fill="auto"/>
            <w:noWrap/>
            <w:vAlign w:val="center"/>
            <w:hideMark/>
          </w:tcPr>
          <w:p w14:paraId="53CCA0E1"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307" w:type="pct"/>
            <w:tcBorders>
              <w:top w:val="nil"/>
              <w:left w:val="nil"/>
              <w:bottom w:val="single" w:sz="8" w:space="0" w:color="00B1AC"/>
              <w:right w:val="nil"/>
            </w:tcBorders>
            <w:shd w:val="clear" w:color="auto" w:fill="auto"/>
            <w:noWrap/>
            <w:vAlign w:val="center"/>
            <w:hideMark/>
          </w:tcPr>
          <w:p w14:paraId="6C44C98D" w14:textId="77777777" w:rsidR="00D80FBC" w:rsidRPr="009C5F11" w:rsidRDefault="00D80FBC" w:rsidP="003A3B6F">
            <w:pPr>
              <w:spacing w:after="0" w:line="240" w:lineRule="auto"/>
              <w:ind w:left="-57" w:right="-57"/>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18.58 </w:t>
            </w:r>
          </w:p>
        </w:tc>
        <w:tc>
          <w:tcPr>
            <w:tcW w:w="457" w:type="pct"/>
            <w:tcBorders>
              <w:top w:val="nil"/>
              <w:left w:val="nil"/>
              <w:bottom w:val="single" w:sz="8" w:space="0" w:color="00B1AC"/>
              <w:right w:val="nil"/>
            </w:tcBorders>
            <w:shd w:val="clear" w:color="auto" w:fill="auto"/>
            <w:noWrap/>
            <w:vAlign w:val="center"/>
            <w:hideMark/>
          </w:tcPr>
          <w:p w14:paraId="25F5230E" w14:textId="77777777" w:rsidR="00D80FBC" w:rsidRPr="009C5F11" w:rsidRDefault="00D80FBC" w:rsidP="00430626">
            <w:pPr>
              <w:spacing w:after="0" w:line="240" w:lineRule="auto"/>
              <w:jc w:val="both"/>
              <w:rPr>
                <w:rFonts w:ascii="Times New Roman" w:hAnsi="Times New Roman" w:cs="Times New Roman"/>
                <w:b/>
                <w:bCs/>
                <w:color w:val="000000"/>
                <w:sz w:val="16"/>
                <w:szCs w:val="12"/>
                <w:lang w:val="ro-RO"/>
              </w:rPr>
            </w:pPr>
            <w:r w:rsidRPr="009C5F11">
              <w:rPr>
                <w:rFonts w:ascii="Times New Roman" w:hAnsi="Times New Roman" w:cs="Times New Roman"/>
                <w:b/>
                <w:bCs/>
                <w:color w:val="000000"/>
                <w:sz w:val="16"/>
                <w:szCs w:val="12"/>
                <w:lang w:val="ro-RO"/>
              </w:rPr>
              <w:t xml:space="preserve"> 167.20 </w:t>
            </w:r>
          </w:p>
        </w:tc>
        <w:tc>
          <w:tcPr>
            <w:tcW w:w="631" w:type="pct"/>
            <w:tcBorders>
              <w:top w:val="nil"/>
              <w:left w:val="nil"/>
              <w:bottom w:val="single" w:sz="8" w:space="0" w:color="00B1AC"/>
              <w:right w:val="single" w:sz="8" w:space="0" w:color="00B1AC"/>
            </w:tcBorders>
            <w:shd w:val="clear" w:color="auto" w:fill="auto"/>
            <w:noWrap/>
            <w:vAlign w:val="center"/>
            <w:hideMark/>
          </w:tcPr>
          <w:p w14:paraId="484E9B3D" w14:textId="77777777" w:rsidR="00D80FBC" w:rsidRPr="009C5F11" w:rsidRDefault="00D80FBC" w:rsidP="00430626">
            <w:pPr>
              <w:spacing w:after="0" w:line="240" w:lineRule="auto"/>
              <w:jc w:val="both"/>
              <w:rPr>
                <w:rFonts w:ascii="Times New Roman" w:hAnsi="Times New Roman" w:cs="Times New Roman"/>
                <w:color w:val="000000"/>
                <w:sz w:val="16"/>
                <w:szCs w:val="12"/>
                <w:lang w:val="ro-RO"/>
              </w:rPr>
            </w:pPr>
            <w:r w:rsidRPr="009C5F11">
              <w:rPr>
                <w:rFonts w:ascii="Times New Roman" w:hAnsi="Times New Roman" w:cs="Times New Roman"/>
                <w:color w:val="000000"/>
                <w:sz w:val="16"/>
                <w:szCs w:val="12"/>
                <w:lang w:val="ro-RO"/>
              </w:rPr>
              <w:t xml:space="preserve">836.01 </w:t>
            </w:r>
          </w:p>
        </w:tc>
      </w:tr>
    </w:tbl>
    <w:p w14:paraId="29F5DE63" w14:textId="77777777" w:rsidR="00375607" w:rsidRPr="009C5F11" w:rsidRDefault="00375607" w:rsidP="00375607">
      <w:pPr>
        <w:spacing w:after="0" w:line="240" w:lineRule="auto"/>
        <w:jc w:val="both"/>
        <w:rPr>
          <w:rFonts w:ascii="Times New Roman" w:hAnsi="Times New Roman" w:cs="Times New Roman"/>
          <w:sz w:val="24"/>
          <w:lang w:val="ro-RO"/>
        </w:rPr>
      </w:pPr>
      <w:bookmarkStart w:id="50" w:name="_Toc319555375"/>
    </w:p>
    <w:p w14:paraId="58614D7C" w14:textId="77777777" w:rsidR="00375607" w:rsidRPr="009C5F11" w:rsidRDefault="00FA172F" w:rsidP="006B6481">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A</w:t>
      </w:r>
      <w:r w:rsidR="00375607" w:rsidRPr="009C5F11">
        <w:rPr>
          <w:rFonts w:ascii="Times New Roman" w:hAnsi="Times New Roman" w:cs="Times New Roman"/>
          <w:sz w:val="24"/>
          <w:lang w:val="ro-RO"/>
        </w:rPr>
        <w:t>just</w:t>
      </w:r>
      <w:r w:rsidRPr="009C5F11">
        <w:rPr>
          <w:rFonts w:ascii="Times New Roman" w:hAnsi="Times New Roman" w:cs="Times New Roman"/>
          <w:sz w:val="24"/>
          <w:lang w:val="ro-RO"/>
        </w:rPr>
        <w:t>ările necesare la nivel de sector sunt după cum urmează</w:t>
      </w:r>
      <w:r w:rsidR="0025567F" w:rsidRPr="009C5F11">
        <w:rPr>
          <w:rFonts w:ascii="Times New Roman" w:hAnsi="Times New Roman" w:cs="Times New Roman"/>
          <w:sz w:val="24"/>
          <w:lang w:val="ro-RO"/>
        </w:rPr>
        <w:t>.</w:t>
      </w:r>
    </w:p>
    <w:p w14:paraId="27E67FDD" w14:textId="77777777" w:rsidR="00E81780" w:rsidRPr="009C5F11" w:rsidRDefault="00E81780" w:rsidP="006B6481">
      <w:pPr>
        <w:spacing w:before="120" w:after="120" w:line="240" w:lineRule="auto"/>
        <w:jc w:val="both"/>
        <w:rPr>
          <w:rFonts w:ascii="Times New Roman" w:hAnsi="Times New Roman" w:cs="Times New Roman"/>
          <w:sz w:val="24"/>
          <w:lang w:val="ro-RO"/>
        </w:rPr>
      </w:pPr>
    </w:p>
    <w:p w14:paraId="50C417C0" w14:textId="441ED583" w:rsidR="00E81780" w:rsidRPr="009C5F11" w:rsidRDefault="00E81780" w:rsidP="00E81780">
      <w:pPr>
        <w:keepNext/>
        <w:pBdr>
          <w:bottom w:val="single" w:sz="6" w:space="4" w:color="595959"/>
        </w:pBdr>
        <w:spacing w:before="120" w:after="280" w:line="240" w:lineRule="auto"/>
        <w:jc w:val="center"/>
        <w:rPr>
          <w:rFonts w:ascii="Times New Roman" w:eastAsia="Verdana" w:hAnsi="Times New Roman" w:cs="Times New Roman"/>
          <w:bCs/>
          <w:color w:val="262626"/>
          <w:szCs w:val="18"/>
          <w:lang w:val="ro-RO"/>
        </w:rPr>
      </w:pPr>
      <w:bookmarkStart w:id="51" w:name="_Ref321655986"/>
      <w:bookmarkStart w:id="52" w:name="_Toc322018900"/>
      <w:bookmarkStart w:id="53" w:name="_Toc321656067"/>
      <w:r w:rsidRPr="009C5F11">
        <w:rPr>
          <w:rFonts w:ascii="Times New Roman" w:eastAsia="Verdana" w:hAnsi="Times New Roman" w:cs="Times New Roman"/>
          <w:bCs/>
          <w:color w:val="262626"/>
          <w:szCs w:val="18"/>
          <w:lang w:val="ro-RO"/>
        </w:rPr>
        <w:t xml:space="preserve">Figure </w:t>
      </w:r>
      <w:r w:rsidRPr="009C5F11">
        <w:rPr>
          <w:rFonts w:ascii="Times New Roman" w:eastAsia="Verdana" w:hAnsi="Times New Roman" w:cs="Times New Roman"/>
          <w:bCs/>
          <w:color w:val="262626"/>
          <w:szCs w:val="18"/>
          <w:lang w:val="ro-RO"/>
        </w:rPr>
        <w:fldChar w:fldCharType="begin"/>
      </w:r>
      <w:r w:rsidRPr="009C5F11">
        <w:rPr>
          <w:rFonts w:ascii="Times New Roman" w:eastAsia="Verdana" w:hAnsi="Times New Roman" w:cs="Times New Roman"/>
          <w:bCs/>
          <w:color w:val="262626"/>
          <w:szCs w:val="18"/>
          <w:lang w:val="ro-RO"/>
        </w:rPr>
        <w:instrText xml:space="preserve"> SEQ Figure \* ARABIC </w:instrText>
      </w:r>
      <w:r w:rsidRPr="009C5F11">
        <w:rPr>
          <w:rFonts w:ascii="Times New Roman" w:eastAsia="Verdana" w:hAnsi="Times New Roman" w:cs="Times New Roman"/>
          <w:bCs/>
          <w:color w:val="262626"/>
          <w:szCs w:val="18"/>
          <w:lang w:val="ro-RO"/>
        </w:rPr>
        <w:fldChar w:fldCharType="separate"/>
      </w:r>
      <w:r w:rsidR="0014013D">
        <w:rPr>
          <w:rFonts w:ascii="Times New Roman" w:eastAsia="Verdana" w:hAnsi="Times New Roman" w:cs="Times New Roman"/>
          <w:bCs/>
          <w:noProof/>
          <w:color w:val="262626"/>
          <w:szCs w:val="18"/>
          <w:lang w:val="ro-RO"/>
        </w:rPr>
        <w:t>1</w:t>
      </w:r>
      <w:r w:rsidRPr="009C5F11">
        <w:rPr>
          <w:rFonts w:ascii="Times New Roman" w:eastAsia="Verdana" w:hAnsi="Times New Roman" w:cs="Times New Roman"/>
          <w:bCs/>
          <w:color w:val="262626"/>
          <w:szCs w:val="18"/>
          <w:lang w:val="ro-RO"/>
        </w:rPr>
        <w:fldChar w:fldCharType="end"/>
      </w:r>
      <w:bookmarkEnd w:id="51"/>
      <w:r w:rsidRPr="009C5F11">
        <w:rPr>
          <w:rFonts w:ascii="Times New Roman" w:eastAsia="Verdana" w:hAnsi="Times New Roman" w:cs="Times New Roman"/>
          <w:bCs/>
          <w:color w:val="262626"/>
          <w:szCs w:val="18"/>
          <w:lang w:val="ro-RO"/>
        </w:rPr>
        <w:t xml:space="preserve"> </w:t>
      </w:r>
      <w:r w:rsidR="007A2C30" w:rsidRPr="009C5F11">
        <w:rPr>
          <w:rFonts w:ascii="Times New Roman" w:eastAsia="Verdana" w:hAnsi="Times New Roman" w:cs="Times New Roman"/>
          <w:bCs/>
          <w:color w:val="262626"/>
          <w:szCs w:val="18"/>
          <w:lang w:val="ro-RO"/>
        </w:rPr>
        <w:t>–</w:t>
      </w:r>
      <w:r w:rsidRPr="009C5F11">
        <w:rPr>
          <w:rFonts w:ascii="Times New Roman" w:eastAsia="Verdana" w:hAnsi="Times New Roman" w:cs="Times New Roman"/>
          <w:bCs/>
          <w:color w:val="262626"/>
          <w:szCs w:val="18"/>
          <w:lang w:val="ro-RO"/>
        </w:rPr>
        <w:t xml:space="preserve"> </w:t>
      </w:r>
      <w:r w:rsidR="007A2C30" w:rsidRPr="009C5F11">
        <w:rPr>
          <w:rFonts w:ascii="Times New Roman" w:eastAsia="Verdana" w:hAnsi="Times New Roman" w:cs="Times New Roman"/>
          <w:bCs/>
          <w:color w:val="262626"/>
          <w:szCs w:val="18"/>
          <w:lang w:val="ro-RO"/>
        </w:rPr>
        <w:t>Reprezentarea</w:t>
      </w:r>
      <w:r w:rsidR="00CF12B2" w:rsidRPr="009C5F11">
        <w:rPr>
          <w:rFonts w:ascii="Times New Roman" w:eastAsia="Verdana" w:hAnsi="Times New Roman" w:cs="Times New Roman"/>
          <w:bCs/>
          <w:color w:val="262626"/>
          <w:szCs w:val="18"/>
          <w:lang w:val="ro-RO"/>
        </w:rPr>
        <w:t xml:space="preserve"> obiectivelor</w:t>
      </w:r>
      <w:r w:rsidR="007A2C30" w:rsidRPr="009C5F11">
        <w:rPr>
          <w:rFonts w:ascii="Times New Roman" w:eastAsia="Verdana" w:hAnsi="Times New Roman" w:cs="Times New Roman"/>
          <w:bCs/>
          <w:color w:val="262626"/>
          <w:szCs w:val="18"/>
          <w:lang w:val="ro-RO"/>
        </w:rPr>
        <w:t xml:space="preserve"> anual</w:t>
      </w:r>
      <w:r w:rsidR="00CF12B2" w:rsidRPr="009C5F11">
        <w:rPr>
          <w:rFonts w:ascii="Times New Roman" w:eastAsia="Verdana" w:hAnsi="Times New Roman" w:cs="Times New Roman"/>
          <w:bCs/>
          <w:color w:val="262626"/>
          <w:szCs w:val="18"/>
          <w:lang w:val="ro-RO"/>
        </w:rPr>
        <w:t>e</w:t>
      </w:r>
      <w:r w:rsidR="007A2C30" w:rsidRPr="009C5F11">
        <w:rPr>
          <w:rFonts w:ascii="Times New Roman" w:eastAsia="Verdana" w:hAnsi="Times New Roman" w:cs="Times New Roman"/>
          <w:bCs/>
          <w:color w:val="262626"/>
          <w:szCs w:val="18"/>
          <w:lang w:val="ro-RO"/>
        </w:rPr>
        <w:t xml:space="preserve"> </w:t>
      </w:r>
      <w:r w:rsidR="00CF12B2" w:rsidRPr="009C5F11">
        <w:rPr>
          <w:rFonts w:ascii="Times New Roman" w:eastAsia="Verdana" w:hAnsi="Times New Roman" w:cs="Times New Roman"/>
          <w:bCs/>
          <w:color w:val="262626"/>
          <w:szCs w:val="18"/>
          <w:lang w:val="ro-RO"/>
        </w:rPr>
        <w:t>de</w:t>
      </w:r>
      <w:r w:rsidR="007A2C30" w:rsidRPr="009C5F11">
        <w:rPr>
          <w:rFonts w:ascii="Times New Roman" w:eastAsia="Verdana" w:hAnsi="Times New Roman" w:cs="Times New Roman"/>
          <w:bCs/>
          <w:color w:val="262626"/>
          <w:szCs w:val="18"/>
          <w:lang w:val="ro-RO"/>
        </w:rPr>
        <w:t xml:space="preserve"> </w:t>
      </w:r>
      <w:r w:rsidRPr="009C5F11">
        <w:rPr>
          <w:rFonts w:ascii="Times New Roman" w:eastAsia="Verdana" w:hAnsi="Times New Roman" w:cs="Times New Roman"/>
          <w:bCs/>
          <w:color w:val="262626"/>
          <w:szCs w:val="18"/>
          <w:lang w:val="ro-RO"/>
        </w:rPr>
        <w:t>EE</w:t>
      </w:r>
      <w:bookmarkEnd w:id="52"/>
      <w:r w:rsidRPr="009C5F11">
        <w:rPr>
          <w:rFonts w:ascii="Times New Roman" w:eastAsia="Verdana" w:hAnsi="Times New Roman" w:cs="Times New Roman"/>
          <w:bCs/>
          <w:color w:val="262626"/>
          <w:szCs w:val="18"/>
          <w:lang w:val="ro-RO"/>
        </w:rPr>
        <w:t xml:space="preserve"> </w:t>
      </w:r>
      <w:bookmarkEnd w:id="53"/>
    </w:p>
    <w:p w14:paraId="0DD0121F" w14:textId="77777777" w:rsidR="00E81780" w:rsidRPr="009C5F11" w:rsidRDefault="00E81780" w:rsidP="006B6481">
      <w:pPr>
        <w:spacing w:before="120" w:after="120" w:line="240" w:lineRule="auto"/>
        <w:jc w:val="both"/>
        <w:rPr>
          <w:rFonts w:ascii="Times New Roman" w:hAnsi="Times New Roman" w:cs="Times New Roman"/>
          <w:sz w:val="24"/>
          <w:lang w:val="ro-RO"/>
        </w:rPr>
      </w:pPr>
    </w:p>
    <w:p w14:paraId="0253DBEC" w14:textId="77777777" w:rsidR="00E81780" w:rsidRPr="009C5F11" w:rsidRDefault="00E81780" w:rsidP="006B6481">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noProof/>
          <w:sz w:val="24"/>
          <w:lang w:val="ro-RO" w:eastAsia="ro-RO"/>
        </w:rPr>
        <w:drawing>
          <wp:inline distT="0" distB="0" distL="0" distR="0" wp14:anchorId="647124EE" wp14:editId="63A2B97E">
            <wp:extent cx="5812592" cy="3785191"/>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6302" cy="3787607"/>
                    </a:xfrm>
                    <a:prstGeom prst="rect">
                      <a:avLst/>
                    </a:prstGeom>
                    <a:noFill/>
                  </pic:spPr>
                </pic:pic>
              </a:graphicData>
            </a:graphic>
          </wp:inline>
        </w:drawing>
      </w:r>
    </w:p>
    <w:p w14:paraId="6628AA19" w14:textId="77777777" w:rsidR="00E81780" w:rsidRPr="009C5F11" w:rsidRDefault="00E81780" w:rsidP="006B6481">
      <w:pPr>
        <w:spacing w:before="120" w:after="120" w:line="240" w:lineRule="auto"/>
        <w:jc w:val="both"/>
        <w:rPr>
          <w:rFonts w:ascii="Times New Roman" w:hAnsi="Times New Roman" w:cs="Times New Roman"/>
          <w:i/>
          <w:szCs w:val="18"/>
          <w:lang w:val="ro-RO"/>
        </w:rPr>
      </w:pPr>
      <w:r w:rsidRPr="009C5F11">
        <w:rPr>
          <w:rFonts w:ascii="Times New Roman" w:hAnsi="Times New Roman" w:cs="Times New Roman"/>
          <w:i/>
          <w:szCs w:val="18"/>
          <w:lang w:val="ro-RO"/>
        </w:rPr>
        <w:lastRenderedPageBreak/>
        <w:t>* - Corespunde la 867ktep indicat in PNAEE 2013-2015, care a fost recalculat pe baza mediei CFE 2006-2010 in locul CFE 2009</w:t>
      </w:r>
    </w:p>
    <w:p w14:paraId="41127838" w14:textId="77777777" w:rsidR="00E81780" w:rsidRPr="009C5F11" w:rsidRDefault="00E81780" w:rsidP="006B6481">
      <w:pPr>
        <w:spacing w:before="120" w:after="120" w:line="240" w:lineRule="auto"/>
        <w:jc w:val="both"/>
        <w:rPr>
          <w:rFonts w:ascii="Times New Roman" w:hAnsi="Times New Roman" w:cs="Times New Roman"/>
          <w:sz w:val="24"/>
          <w:lang w:val="ro-RO"/>
        </w:rPr>
      </w:pPr>
    </w:p>
    <w:p w14:paraId="7C9AE5D7" w14:textId="77777777" w:rsidR="0025567F" w:rsidRPr="009C5F11" w:rsidRDefault="00321CD5" w:rsidP="00F13E1B">
      <w:pPr>
        <w:pStyle w:val="Legend"/>
        <w:keepNext/>
        <w:jc w:val="center"/>
        <w:rPr>
          <w:rFonts w:ascii="Times New Roman" w:hAnsi="Times New Roman" w:cs="Times New Roman"/>
          <w:sz w:val="22"/>
          <w:lang w:val="ro-RO"/>
        </w:rPr>
      </w:pPr>
      <w:bookmarkStart w:id="54" w:name="_Ref319804690"/>
      <w:bookmarkStart w:id="55" w:name="_Toc322013231"/>
      <w:r w:rsidRPr="009C5F11">
        <w:rPr>
          <w:rFonts w:ascii="Times New Roman" w:hAnsi="Times New Roman" w:cs="Times New Roman"/>
          <w:sz w:val="22"/>
          <w:lang w:val="ro-RO"/>
        </w:rPr>
        <w:t>Tabelul</w:t>
      </w:r>
      <w:r w:rsidR="0025567F"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25567F"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8</w:t>
      </w:r>
      <w:r w:rsidR="003A6ADB" w:rsidRPr="009C5F11">
        <w:rPr>
          <w:rFonts w:ascii="Times New Roman" w:hAnsi="Times New Roman" w:cs="Times New Roman"/>
          <w:sz w:val="22"/>
          <w:lang w:val="ro-RO"/>
        </w:rPr>
        <w:fldChar w:fldCharType="end"/>
      </w:r>
      <w:bookmarkEnd w:id="54"/>
      <w:r w:rsidR="0025567F" w:rsidRPr="009C5F11">
        <w:rPr>
          <w:rFonts w:ascii="Times New Roman" w:hAnsi="Times New Roman" w:cs="Times New Roman"/>
          <w:sz w:val="22"/>
          <w:lang w:val="ro-RO"/>
        </w:rPr>
        <w:t xml:space="preserve"> </w:t>
      </w:r>
      <w:r w:rsidR="00FA172F" w:rsidRPr="009C5F11">
        <w:rPr>
          <w:rFonts w:ascii="Times New Roman" w:hAnsi="Times New Roman" w:cs="Times New Roman"/>
          <w:sz w:val="22"/>
          <w:lang w:val="ro-RO"/>
        </w:rPr>
        <w:t>–</w:t>
      </w:r>
      <w:r w:rsidR="0025567F" w:rsidRPr="009C5F11">
        <w:rPr>
          <w:rFonts w:ascii="Times New Roman" w:hAnsi="Times New Roman" w:cs="Times New Roman"/>
          <w:sz w:val="22"/>
          <w:lang w:val="ro-RO"/>
        </w:rPr>
        <w:t xml:space="preserve"> </w:t>
      </w:r>
      <w:r w:rsidR="00FA172F" w:rsidRPr="009C5F11">
        <w:rPr>
          <w:rFonts w:ascii="Times New Roman" w:hAnsi="Times New Roman" w:cs="Times New Roman"/>
          <w:sz w:val="22"/>
          <w:lang w:val="ro-RO"/>
        </w:rPr>
        <w:t>A</w:t>
      </w:r>
      <w:r w:rsidR="0025567F" w:rsidRPr="009C5F11">
        <w:rPr>
          <w:rFonts w:ascii="Times New Roman" w:hAnsi="Times New Roman" w:cs="Times New Roman"/>
          <w:sz w:val="22"/>
          <w:lang w:val="ro-RO"/>
        </w:rPr>
        <w:t>jus</w:t>
      </w:r>
      <w:r w:rsidR="00F13E1B" w:rsidRPr="009C5F11">
        <w:rPr>
          <w:rFonts w:ascii="Times New Roman" w:hAnsi="Times New Roman" w:cs="Times New Roman"/>
          <w:sz w:val="22"/>
          <w:lang w:val="ro-RO"/>
        </w:rPr>
        <w:t>t</w:t>
      </w:r>
      <w:r w:rsidR="00FA172F" w:rsidRPr="009C5F11">
        <w:rPr>
          <w:rFonts w:ascii="Times New Roman" w:hAnsi="Times New Roman" w:cs="Times New Roman"/>
          <w:sz w:val="22"/>
          <w:lang w:val="ro-RO"/>
        </w:rPr>
        <w:t>ările necesare ale obiectivelor generale şi ale celor sectoriale.</w:t>
      </w:r>
      <w:bookmarkEnd w:id="55"/>
      <w:r w:rsidR="00FA172F" w:rsidRPr="009C5F11">
        <w:rPr>
          <w:rFonts w:ascii="Times New Roman" w:hAnsi="Times New Roman" w:cs="Times New Roman"/>
          <w:sz w:val="22"/>
          <w:lang w:val="ro-RO"/>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802"/>
        <w:gridCol w:w="1107"/>
        <w:gridCol w:w="909"/>
        <w:gridCol w:w="986"/>
        <w:gridCol w:w="1100"/>
        <w:gridCol w:w="1116"/>
        <w:gridCol w:w="1100"/>
        <w:gridCol w:w="1116"/>
      </w:tblGrid>
      <w:tr w:rsidR="00FA172F" w:rsidRPr="009C5F11" w14:paraId="4FA45132" w14:textId="77777777" w:rsidTr="00B17944">
        <w:tc>
          <w:tcPr>
            <w:tcW w:w="0" w:type="auto"/>
            <w:vMerge w:val="restart"/>
            <w:shd w:val="clear" w:color="auto" w:fill="000080"/>
            <w:vAlign w:val="center"/>
          </w:tcPr>
          <w:p w14:paraId="5D705FB7" w14:textId="77777777" w:rsidR="00FA172F" w:rsidRPr="009C5F11" w:rsidRDefault="00FA172F" w:rsidP="00F364D0">
            <w:pPr>
              <w:spacing w:after="0" w:line="240" w:lineRule="auto"/>
              <w:jc w:val="center"/>
              <w:rPr>
                <w:rFonts w:ascii="Times New Roman" w:hAnsi="Times New Roman" w:cs="Times New Roman"/>
                <w:b/>
                <w:sz w:val="16"/>
                <w:szCs w:val="12"/>
                <w:lang w:val="ro-RO"/>
              </w:rPr>
            </w:pPr>
          </w:p>
          <w:p w14:paraId="3B14DE00" w14:textId="77777777" w:rsidR="00FA172F" w:rsidRPr="009C5F11" w:rsidRDefault="00FA172F" w:rsidP="00F364D0">
            <w:pPr>
              <w:spacing w:after="0" w:line="240" w:lineRule="auto"/>
              <w:jc w:val="center"/>
              <w:rPr>
                <w:rFonts w:ascii="Times New Roman" w:hAnsi="Times New Roman" w:cs="Times New Roman"/>
                <w:b/>
                <w:sz w:val="18"/>
                <w:szCs w:val="14"/>
                <w:lang w:val="ro-RO"/>
              </w:rPr>
            </w:pPr>
          </w:p>
        </w:tc>
        <w:tc>
          <w:tcPr>
            <w:tcW w:w="0" w:type="auto"/>
            <w:shd w:val="clear" w:color="auto" w:fill="000080"/>
            <w:vAlign w:val="center"/>
          </w:tcPr>
          <w:p w14:paraId="2A957CC5" w14:textId="77777777" w:rsidR="00FA172F" w:rsidRPr="009C5F11" w:rsidRDefault="00FA172F" w:rsidP="00B17944">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 xml:space="preserve">Ponderea la nivel de sector </w:t>
            </w:r>
          </w:p>
        </w:tc>
        <w:tc>
          <w:tcPr>
            <w:tcW w:w="0" w:type="auto"/>
            <w:shd w:val="clear" w:color="auto" w:fill="000080"/>
            <w:vAlign w:val="center"/>
          </w:tcPr>
          <w:p w14:paraId="43E05214" w14:textId="77777777" w:rsidR="00FA172F" w:rsidRPr="009C5F11" w:rsidRDefault="00FA172F"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PNAEE 2013-2015</w:t>
            </w:r>
          </w:p>
        </w:tc>
        <w:tc>
          <w:tcPr>
            <w:tcW w:w="0" w:type="auto"/>
            <w:shd w:val="clear" w:color="auto" w:fill="000080"/>
            <w:vAlign w:val="center"/>
          </w:tcPr>
          <w:p w14:paraId="0FB9B22B" w14:textId="77777777" w:rsidR="00FA172F" w:rsidRPr="009C5F11" w:rsidRDefault="00FA172F" w:rsidP="00B81C5A">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Ponderea ajustată</w:t>
            </w:r>
          </w:p>
        </w:tc>
        <w:tc>
          <w:tcPr>
            <w:tcW w:w="0" w:type="auto"/>
            <w:shd w:val="clear" w:color="auto" w:fill="000080"/>
            <w:vAlign w:val="center"/>
          </w:tcPr>
          <w:p w14:paraId="61F4DA7C" w14:textId="77777777" w:rsidR="00FA172F" w:rsidRPr="009C5F11" w:rsidRDefault="00FA172F"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Economiile ajustate</w:t>
            </w:r>
          </w:p>
        </w:tc>
        <w:tc>
          <w:tcPr>
            <w:tcW w:w="0" w:type="auto"/>
            <w:shd w:val="clear" w:color="auto" w:fill="000080"/>
            <w:vAlign w:val="center"/>
          </w:tcPr>
          <w:p w14:paraId="096EB01A" w14:textId="77777777" w:rsidR="00FA172F" w:rsidRPr="009C5F11" w:rsidRDefault="00FA172F"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Economiile realocate</w:t>
            </w:r>
          </w:p>
        </w:tc>
        <w:tc>
          <w:tcPr>
            <w:tcW w:w="0" w:type="auto"/>
            <w:shd w:val="clear" w:color="auto" w:fill="000080"/>
            <w:vAlign w:val="center"/>
          </w:tcPr>
          <w:p w14:paraId="76667BE1" w14:textId="77777777" w:rsidR="00FA172F" w:rsidRPr="009C5F11" w:rsidRDefault="00FA172F" w:rsidP="00812E1D">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Economiile ajustate</w:t>
            </w:r>
          </w:p>
        </w:tc>
        <w:tc>
          <w:tcPr>
            <w:tcW w:w="0" w:type="auto"/>
            <w:shd w:val="clear" w:color="auto" w:fill="000080"/>
            <w:vAlign w:val="center"/>
          </w:tcPr>
          <w:p w14:paraId="54AB6DE8" w14:textId="77777777" w:rsidR="00FA172F" w:rsidRPr="009C5F11" w:rsidRDefault="00FA172F" w:rsidP="00812E1D">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Economiile realocate</w:t>
            </w:r>
          </w:p>
        </w:tc>
      </w:tr>
      <w:tr w:rsidR="00FA172F" w:rsidRPr="009C5F11" w14:paraId="25DB2C8F" w14:textId="77777777" w:rsidTr="00F364D0">
        <w:tc>
          <w:tcPr>
            <w:tcW w:w="0" w:type="auto"/>
            <w:vMerge/>
            <w:shd w:val="clear" w:color="auto" w:fill="000080"/>
            <w:vAlign w:val="center"/>
          </w:tcPr>
          <w:p w14:paraId="6DCBC4ED" w14:textId="77777777" w:rsidR="000B1076" w:rsidRPr="009C5F11" w:rsidRDefault="000B1076" w:rsidP="00F364D0">
            <w:pPr>
              <w:spacing w:after="0" w:line="240" w:lineRule="auto"/>
              <w:jc w:val="center"/>
              <w:rPr>
                <w:rFonts w:ascii="Times New Roman" w:hAnsi="Times New Roman" w:cs="Times New Roman"/>
                <w:b/>
                <w:sz w:val="16"/>
                <w:szCs w:val="12"/>
                <w:lang w:val="ro-RO"/>
              </w:rPr>
            </w:pPr>
          </w:p>
        </w:tc>
        <w:tc>
          <w:tcPr>
            <w:tcW w:w="0" w:type="auto"/>
            <w:shd w:val="clear" w:color="auto" w:fill="000080"/>
            <w:vAlign w:val="center"/>
          </w:tcPr>
          <w:p w14:paraId="3D4EA92A" w14:textId="77777777" w:rsidR="000B1076" w:rsidRPr="009C5F11" w:rsidRDefault="00872DC2"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PNAEE</w:t>
            </w:r>
            <w:r w:rsidR="000B1076" w:rsidRPr="009C5F11">
              <w:rPr>
                <w:rFonts w:ascii="Times New Roman" w:hAnsi="Times New Roman" w:cs="Times New Roman"/>
                <w:b/>
                <w:sz w:val="16"/>
                <w:szCs w:val="12"/>
                <w:lang w:val="ro-RO"/>
              </w:rPr>
              <w:t xml:space="preserve"> 2013-2015</w:t>
            </w:r>
          </w:p>
        </w:tc>
        <w:tc>
          <w:tcPr>
            <w:tcW w:w="0" w:type="auto"/>
            <w:shd w:val="clear" w:color="auto" w:fill="000080"/>
            <w:vAlign w:val="center"/>
          </w:tcPr>
          <w:p w14:paraId="0DBC8DD9" w14:textId="77777777" w:rsidR="000B1076" w:rsidRPr="009C5F11" w:rsidRDefault="00E52940"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ktep</w:t>
            </w:r>
          </w:p>
        </w:tc>
        <w:tc>
          <w:tcPr>
            <w:tcW w:w="0" w:type="auto"/>
            <w:shd w:val="clear" w:color="auto" w:fill="000080"/>
            <w:vAlign w:val="center"/>
          </w:tcPr>
          <w:p w14:paraId="159A6C4A" w14:textId="77777777" w:rsidR="000B1076" w:rsidRPr="009C5F11" w:rsidRDefault="000B1076"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w:t>
            </w:r>
          </w:p>
        </w:tc>
        <w:tc>
          <w:tcPr>
            <w:tcW w:w="0" w:type="auto"/>
            <w:gridSpan w:val="2"/>
            <w:shd w:val="clear" w:color="auto" w:fill="000080"/>
            <w:vAlign w:val="center"/>
          </w:tcPr>
          <w:p w14:paraId="60391E09" w14:textId="77777777" w:rsidR="000B1076" w:rsidRPr="009C5F11" w:rsidRDefault="00E52940"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ktep</w:t>
            </w:r>
          </w:p>
        </w:tc>
        <w:tc>
          <w:tcPr>
            <w:tcW w:w="0" w:type="auto"/>
            <w:gridSpan w:val="2"/>
            <w:shd w:val="clear" w:color="auto" w:fill="000080"/>
            <w:vAlign w:val="center"/>
          </w:tcPr>
          <w:p w14:paraId="0A42203B" w14:textId="77777777" w:rsidR="000B1076" w:rsidRPr="009C5F11" w:rsidRDefault="00E52940"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ktep</w:t>
            </w:r>
          </w:p>
        </w:tc>
      </w:tr>
      <w:tr w:rsidR="00FA172F" w:rsidRPr="009C5F11" w14:paraId="500175D4" w14:textId="77777777" w:rsidTr="00F364D0">
        <w:tc>
          <w:tcPr>
            <w:tcW w:w="0" w:type="auto"/>
            <w:vMerge/>
            <w:shd w:val="clear" w:color="auto" w:fill="000080"/>
            <w:vAlign w:val="center"/>
          </w:tcPr>
          <w:p w14:paraId="64493B78" w14:textId="77777777" w:rsidR="000B1076" w:rsidRPr="009C5F11" w:rsidRDefault="000B1076" w:rsidP="00F364D0">
            <w:pPr>
              <w:spacing w:after="0" w:line="240" w:lineRule="auto"/>
              <w:jc w:val="center"/>
              <w:rPr>
                <w:rFonts w:ascii="Times New Roman" w:hAnsi="Times New Roman" w:cs="Times New Roman"/>
                <w:b/>
                <w:sz w:val="16"/>
                <w:szCs w:val="12"/>
                <w:lang w:val="ro-RO"/>
              </w:rPr>
            </w:pPr>
          </w:p>
        </w:tc>
        <w:tc>
          <w:tcPr>
            <w:tcW w:w="0" w:type="auto"/>
            <w:shd w:val="clear" w:color="auto" w:fill="000080"/>
            <w:vAlign w:val="center"/>
          </w:tcPr>
          <w:p w14:paraId="687B5C68" w14:textId="77777777" w:rsidR="000B1076" w:rsidRPr="009C5F11" w:rsidRDefault="000B1076"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w:t>
            </w:r>
          </w:p>
        </w:tc>
        <w:tc>
          <w:tcPr>
            <w:tcW w:w="0" w:type="auto"/>
            <w:shd w:val="clear" w:color="auto" w:fill="000080"/>
            <w:vAlign w:val="center"/>
          </w:tcPr>
          <w:p w14:paraId="5F94FE9C" w14:textId="77777777" w:rsidR="000B1076" w:rsidRPr="009C5F11" w:rsidRDefault="000B1076"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2016</w:t>
            </w:r>
          </w:p>
        </w:tc>
        <w:tc>
          <w:tcPr>
            <w:tcW w:w="0" w:type="auto"/>
            <w:shd w:val="clear" w:color="auto" w:fill="000080"/>
            <w:vAlign w:val="center"/>
          </w:tcPr>
          <w:p w14:paraId="71F89809" w14:textId="77777777" w:rsidR="000B1076" w:rsidRPr="009C5F11" w:rsidRDefault="000B1076"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2014</w:t>
            </w:r>
          </w:p>
        </w:tc>
        <w:tc>
          <w:tcPr>
            <w:tcW w:w="0" w:type="auto"/>
            <w:gridSpan w:val="2"/>
            <w:shd w:val="clear" w:color="auto" w:fill="000080"/>
            <w:vAlign w:val="center"/>
          </w:tcPr>
          <w:p w14:paraId="68ED8AA7" w14:textId="77777777" w:rsidR="000B1076" w:rsidRPr="009C5F11" w:rsidRDefault="000B1076" w:rsidP="00F364D0">
            <w:pPr>
              <w:spacing w:after="0" w:line="240" w:lineRule="auto"/>
              <w:jc w:val="center"/>
              <w:rPr>
                <w:rFonts w:ascii="Times New Roman" w:hAnsi="Times New Roman" w:cs="Times New Roman"/>
                <w:b/>
                <w:sz w:val="16"/>
                <w:szCs w:val="12"/>
                <w:u w:val="single"/>
                <w:lang w:val="ro-RO"/>
              </w:rPr>
            </w:pPr>
            <w:r w:rsidRPr="009C5F11">
              <w:rPr>
                <w:rFonts w:ascii="Times New Roman" w:hAnsi="Times New Roman" w:cs="Times New Roman"/>
                <w:b/>
                <w:sz w:val="16"/>
                <w:szCs w:val="12"/>
                <w:lang w:val="ro-RO"/>
              </w:rPr>
              <w:t>2016</w:t>
            </w:r>
          </w:p>
        </w:tc>
        <w:tc>
          <w:tcPr>
            <w:tcW w:w="0" w:type="auto"/>
            <w:gridSpan w:val="2"/>
            <w:shd w:val="clear" w:color="auto" w:fill="000080"/>
            <w:vAlign w:val="center"/>
          </w:tcPr>
          <w:p w14:paraId="7BED0C65" w14:textId="77777777" w:rsidR="000B1076" w:rsidRPr="009C5F11" w:rsidRDefault="000B1076"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2020</w:t>
            </w:r>
          </w:p>
        </w:tc>
      </w:tr>
      <w:tr w:rsidR="00FA172F" w:rsidRPr="009C5F11" w14:paraId="7C9E7659" w14:textId="77777777" w:rsidTr="00B17944">
        <w:tc>
          <w:tcPr>
            <w:tcW w:w="0" w:type="auto"/>
            <w:shd w:val="clear" w:color="auto" w:fill="99CCFF"/>
            <w:vAlign w:val="center"/>
          </w:tcPr>
          <w:p w14:paraId="631218A9" w14:textId="77777777" w:rsidR="00434182" w:rsidRPr="009C5F11" w:rsidRDefault="00FA172F"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Obiectivul indicativ naţional stabilit pentru economiile de energie</w:t>
            </w:r>
          </w:p>
        </w:tc>
        <w:tc>
          <w:tcPr>
            <w:tcW w:w="0" w:type="auto"/>
            <w:shd w:val="clear" w:color="auto" w:fill="99CCFF"/>
            <w:vAlign w:val="center"/>
          </w:tcPr>
          <w:p w14:paraId="4848F2A5" w14:textId="77777777" w:rsidR="00434182" w:rsidRPr="009C5F11" w:rsidRDefault="00B17944"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100</w:t>
            </w:r>
          </w:p>
        </w:tc>
        <w:tc>
          <w:tcPr>
            <w:tcW w:w="0" w:type="auto"/>
            <w:shd w:val="clear" w:color="auto" w:fill="99CCFF"/>
            <w:vAlign w:val="center"/>
          </w:tcPr>
          <w:p w14:paraId="31918952" w14:textId="77777777" w:rsidR="00434182" w:rsidRPr="009C5F11" w:rsidRDefault="00434182"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867</w:t>
            </w:r>
          </w:p>
        </w:tc>
        <w:tc>
          <w:tcPr>
            <w:tcW w:w="0" w:type="auto"/>
            <w:shd w:val="clear" w:color="auto" w:fill="99CCFF"/>
            <w:vAlign w:val="center"/>
          </w:tcPr>
          <w:p w14:paraId="374DDF6A" w14:textId="77777777" w:rsidR="00434182" w:rsidRPr="009C5F11" w:rsidRDefault="00434182"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100</w:t>
            </w:r>
          </w:p>
        </w:tc>
        <w:tc>
          <w:tcPr>
            <w:tcW w:w="0" w:type="auto"/>
            <w:shd w:val="clear" w:color="auto" w:fill="99CCFF"/>
            <w:vAlign w:val="center"/>
          </w:tcPr>
          <w:p w14:paraId="4180AA11" w14:textId="77777777" w:rsidR="00434182" w:rsidRPr="009C5F11" w:rsidRDefault="00434182"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92.9</w:t>
            </w:r>
          </w:p>
        </w:tc>
        <w:tc>
          <w:tcPr>
            <w:tcW w:w="0" w:type="auto"/>
            <w:shd w:val="clear" w:color="auto" w:fill="99CCFF"/>
            <w:vAlign w:val="center"/>
          </w:tcPr>
          <w:p w14:paraId="00092FBD" w14:textId="77777777" w:rsidR="00434182" w:rsidRPr="009C5F11" w:rsidRDefault="00434182"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92.9</w:t>
            </w:r>
          </w:p>
        </w:tc>
        <w:tc>
          <w:tcPr>
            <w:tcW w:w="0" w:type="auto"/>
            <w:shd w:val="clear" w:color="auto" w:fill="99CCFF"/>
            <w:vAlign w:val="center"/>
          </w:tcPr>
          <w:p w14:paraId="7B7905CD" w14:textId="77777777" w:rsidR="00434182" w:rsidRPr="009C5F11" w:rsidRDefault="00434182"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167.2</w:t>
            </w:r>
          </w:p>
        </w:tc>
        <w:tc>
          <w:tcPr>
            <w:tcW w:w="0" w:type="auto"/>
            <w:shd w:val="clear" w:color="auto" w:fill="99CCFF"/>
            <w:vAlign w:val="center"/>
          </w:tcPr>
          <w:p w14:paraId="6CE086C0" w14:textId="77777777" w:rsidR="00434182" w:rsidRPr="009C5F11" w:rsidRDefault="00434182" w:rsidP="00F364D0">
            <w:pPr>
              <w:spacing w:after="0" w:line="240" w:lineRule="auto"/>
              <w:jc w:val="center"/>
              <w:rPr>
                <w:rFonts w:ascii="Times New Roman" w:hAnsi="Times New Roman" w:cs="Times New Roman"/>
                <w:b/>
                <w:sz w:val="16"/>
                <w:szCs w:val="12"/>
                <w:lang w:val="ro-RO"/>
              </w:rPr>
            </w:pPr>
            <w:r w:rsidRPr="009C5F11">
              <w:rPr>
                <w:rFonts w:ascii="Times New Roman" w:hAnsi="Times New Roman" w:cs="Times New Roman"/>
                <w:b/>
                <w:sz w:val="16"/>
                <w:szCs w:val="12"/>
                <w:lang w:val="ro-RO"/>
              </w:rPr>
              <w:t>167.2</w:t>
            </w:r>
          </w:p>
        </w:tc>
      </w:tr>
      <w:tr w:rsidR="00FA172F" w:rsidRPr="009C5F11" w14:paraId="30013E83" w14:textId="77777777" w:rsidTr="00B17944">
        <w:tc>
          <w:tcPr>
            <w:tcW w:w="0" w:type="auto"/>
            <w:shd w:val="clear" w:color="auto" w:fill="99CCFF"/>
            <w:vAlign w:val="center"/>
          </w:tcPr>
          <w:p w14:paraId="662F253F" w14:textId="77777777" w:rsidR="000E415A" w:rsidRPr="009C5F11" w:rsidRDefault="00AB1710" w:rsidP="00F364D0">
            <w:pPr>
              <w:spacing w:after="0" w:line="240" w:lineRule="auto"/>
              <w:jc w:val="center"/>
              <w:rPr>
                <w:rFonts w:ascii="Times New Roman" w:hAnsi="Times New Roman" w:cs="Times New Roman"/>
                <w:sz w:val="16"/>
                <w:szCs w:val="12"/>
                <w:lang w:val="ro-RO"/>
              </w:rPr>
            </w:pPr>
            <w:r w:rsidRPr="009C5F11">
              <w:rPr>
                <w:rFonts w:ascii="Times New Roman" w:hAnsi="Times New Roman" w:cs="Times New Roman"/>
                <w:sz w:val="16"/>
                <w:szCs w:val="12"/>
                <w:lang w:val="ro-RO"/>
              </w:rPr>
              <w:t>inclusiv</w:t>
            </w:r>
            <w:r w:rsidR="000E415A" w:rsidRPr="009C5F11">
              <w:rPr>
                <w:rFonts w:ascii="Times New Roman" w:hAnsi="Times New Roman" w:cs="Times New Roman"/>
                <w:sz w:val="16"/>
                <w:szCs w:val="12"/>
                <w:lang w:val="ro-RO"/>
              </w:rPr>
              <w:t>:</w:t>
            </w:r>
          </w:p>
        </w:tc>
        <w:tc>
          <w:tcPr>
            <w:tcW w:w="0" w:type="auto"/>
            <w:shd w:val="clear" w:color="auto" w:fill="99CCFF"/>
            <w:vAlign w:val="center"/>
          </w:tcPr>
          <w:p w14:paraId="39B4D7E6" w14:textId="77777777" w:rsidR="000E415A" w:rsidRPr="009C5F11" w:rsidRDefault="000E415A" w:rsidP="00F364D0">
            <w:pPr>
              <w:spacing w:after="0" w:line="240" w:lineRule="auto"/>
              <w:jc w:val="center"/>
              <w:rPr>
                <w:rFonts w:ascii="Times New Roman" w:hAnsi="Times New Roman" w:cs="Times New Roman"/>
                <w:sz w:val="16"/>
                <w:szCs w:val="12"/>
                <w:lang w:val="ro-RO"/>
              </w:rPr>
            </w:pPr>
          </w:p>
        </w:tc>
        <w:tc>
          <w:tcPr>
            <w:tcW w:w="0" w:type="auto"/>
            <w:shd w:val="clear" w:color="auto" w:fill="99CCFF"/>
            <w:vAlign w:val="center"/>
          </w:tcPr>
          <w:p w14:paraId="69CB6F9D" w14:textId="77777777" w:rsidR="000E415A" w:rsidRPr="009C5F11" w:rsidRDefault="000E415A" w:rsidP="00F364D0">
            <w:pPr>
              <w:spacing w:after="0" w:line="240" w:lineRule="auto"/>
              <w:jc w:val="center"/>
              <w:rPr>
                <w:rFonts w:ascii="Times New Roman" w:hAnsi="Times New Roman" w:cs="Times New Roman"/>
                <w:sz w:val="16"/>
                <w:szCs w:val="12"/>
                <w:lang w:val="ro-RO"/>
              </w:rPr>
            </w:pPr>
          </w:p>
        </w:tc>
        <w:tc>
          <w:tcPr>
            <w:tcW w:w="0" w:type="auto"/>
            <w:shd w:val="clear" w:color="auto" w:fill="99CCFF"/>
            <w:vAlign w:val="center"/>
          </w:tcPr>
          <w:p w14:paraId="3C85CACE" w14:textId="77777777" w:rsidR="000E415A" w:rsidRPr="009C5F11" w:rsidRDefault="000E415A" w:rsidP="00F364D0">
            <w:pPr>
              <w:spacing w:after="0" w:line="240" w:lineRule="auto"/>
              <w:jc w:val="center"/>
              <w:rPr>
                <w:rFonts w:ascii="Times New Roman" w:hAnsi="Times New Roman" w:cs="Times New Roman"/>
                <w:sz w:val="16"/>
                <w:szCs w:val="12"/>
                <w:lang w:val="ro-RO"/>
              </w:rPr>
            </w:pPr>
          </w:p>
        </w:tc>
        <w:tc>
          <w:tcPr>
            <w:tcW w:w="0" w:type="auto"/>
            <w:shd w:val="clear" w:color="auto" w:fill="99CCFF"/>
            <w:vAlign w:val="center"/>
          </w:tcPr>
          <w:p w14:paraId="73C20278" w14:textId="77777777" w:rsidR="000E415A" w:rsidRPr="009C5F11" w:rsidRDefault="000E415A" w:rsidP="00F364D0">
            <w:pPr>
              <w:spacing w:after="0" w:line="240" w:lineRule="auto"/>
              <w:jc w:val="center"/>
              <w:rPr>
                <w:rFonts w:ascii="Times New Roman" w:hAnsi="Times New Roman" w:cs="Times New Roman"/>
                <w:sz w:val="16"/>
                <w:szCs w:val="12"/>
                <w:lang w:val="ro-RO"/>
              </w:rPr>
            </w:pPr>
          </w:p>
        </w:tc>
        <w:tc>
          <w:tcPr>
            <w:tcW w:w="0" w:type="auto"/>
            <w:shd w:val="clear" w:color="auto" w:fill="99CCFF"/>
            <w:vAlign w:val="center"/>
          </w:tcPr>
          <w:p w14:paraId="74E5BA4A" w14:textId="77777777" w:rsidR="000E415A" w:rsidRPr="009C5F11" w:rsidRDefault="000E415A" w:rsidP="00F364D0">
            <w:pPr>
              <w:spacing w:after="0" w:line="240" w:lineRule="auto"/>
              <w:jc w:val="center"/>
              <w:rPr>
                <w:rFonts w:ascii="Times New Roman" w:hAnsi="Times New Roman" w:cs="Times New Roman"/>
                <w:sz w:val="16"/>
                <w:szCs w:val="12"/>
                <w:lang w:val="ro-RO"/>
              </w:rPr>
            </w:pPr>
          </w:p>
        </w:tc>
        <w:tc>
          <w:tcPr>
            <w:tcW w:w="0" w:type="auto"/>
            <w:shd w:val="clear" w:color="auto" w:fill="99CCFF"/>
            <w:vAlign w:val="center"/>
          </w:tcPr>
          <w:p w14:paraId="2C289D19" w14:textId="77777777" w:rsidR="000E415A" w:rsidRPr="009C5F11" w:rsidRDefault="000E415A" w:rsidP="00F364D0">
            <w:pPr>
              <w:spacing w:after="0" w:line="240" w:lineRule="auto"/>
              <w:jc w:val="center"/>
              <w:rPr>
                <w:rFonts w:ascii="Times New Roman" w:hAnsi="Times New Roman" w:cs="Times New Roman"/>
                <w:sz w:val="16"/>
                <w:szCs w:val="12"/>
                <w:lang w:val="ro-RO"/>
              </w:rPr>
            </w:pPr>
          </w:p>
        </w:tc>
        <w:tc>
          <w:tcPr>
            <w:tcW w:w="0" w:type="auto"/>
            <w:shd w:val="clear" w:color="auto" w:fill="99CCFF"/>
            <w:vAlign w:val="center"/>
          </w:tcPr>
          <w:p w14:paraId="2D1F976F" w14:textId="77777777" w:rsidR="000E415A" w:rsidRPr="009C5F11" w:rsidRDefault="000E415A" w:rsidP="00F364D0">
            <w:pPr>
              <w:spacing w:after="0" w:line="240" w:lineRule="auto"/>
              <w:jc w:val="center"/>
              <w:rPr>
                <w:rFonts w:ascii="Times New Roman" w:hAnsi="Times New Roman" w:cs="Times New Roman"/>
                <w:sz w:val="16"/>
                <w:szCs w:val="12"/>
                <w:lang w:val="ro-RO"/>
              </w:rPr>
            </w:pPr>
          </w:p>
        </w:tc>
      </w:tr>
      <w:tr w:rsidR="00FA172F" w:rsidRPr="009C5F11" w14:paraId="4D5B0BC6" w14:textId="77777777" w:rsidTr="00B17944">
        <w:tc>
          <w:tcPr>
            <w:tcW w:w="0" w:type="auto"/>
            <w:shd w:val="clear" w:color="auto" w:fill="99CCFF"/>
            <w:vAlign w:val="center"/>
          </w:tcPr>
          <w:p w14:paraId="3AC8027A" w14:textId="77777777" w:rsidR="000E415A" w:rsidRPr="009C5F11" w:rsidRDefault="00FA172F" w:rsidP="00FA172F">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Sectorul i</w:t>
            </w:r>
            <w:r w:rsidR="000E415A" w:rsidRPr="009C5F11">
              <w:rPr>
                <w:rFonts w:ascii="Times New Roman" w:hAnsi="Times New Roman" w:cs="Times New Roman"/>
                <w:i/>
                <w:sz w:val="16"/>
                <w:szCs w:val="12"/>
                <w:lang w:val="ro-RO"/>
              </w:rPr>
              <w:t>ndustr</w:t>
            </w:r>
            <w:r w:rsidRPr="009C5F11">
              <w:rPr>
                <w:rFonts w:ascii="Times New Roman" w:hAnsi="Times New Roman" w:cs="Times New Roman"/>
                <w:i/>
                <w:sz w:val="16"/>
                <w:szCs w:val="12"/>
                <w:lang w:val="ro-RO"/>
              </w:rPr>
              <w:t>iei</w:t>
            </w:r>
          </w:p>
        </w:tc>
        <w:tc>
          <w:tcPr>
            <w:tcW w:w="0" w:type="auto"/>
            <w:shd w:val="clear" w:color="auto" w:fill="99CCFF"/>
            <w:vAlign w:val="center"/>
          </w:tcPr>
          <w:p w14:paraId="2613E8D3"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10</w:t>
            </w:r>
            <w:r w:rsidR="00B81C5A" w:rsidRPr="009C5F11">
              <w:rPr>
                <w:rFonts w:ascii="Times New Roman" w:hAnsi="Times New Roman" w:cs="Times New Roman"/>
                <w:i/>
                <w:sz w:val="16"/>
                <w:szCs w:val="12"/>
                <w:lang w:val="ro-RO"/>
              </w:rPr>
              <w:t>.0</w:t>
            </w:r>
          </w:p>
        </w:tc>
        <w:tc>
          <w:tcPr>
            <w:tcW w:w="0" w:type="auto"/>
            <w:shd w:val="clear" w:color="auto" w:fill="99CCFF"/>
            <w:vAlign w:val="center"/>
          </w:tcPr>
          <w:p w14:paraId="64D7ACB5"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87</w:t>
            </w:r>
          </w:p>
        </w:tc>
        <w:tc>
          <w:tcPr>
            <w:tcW w:w="0" w:type="auto"/>
            <w:shd w:val="clear" w:color="auto" w:fill="99CCFF"/>
            <w:vAlign w:val="center"/>
          </w:tcPr>
          <w:p w14:paraId="41099596" w14:textId="77777777" w:rsidR="000E415A" w:rsidRPr="009C5F11" w:rsidRDefault="00B81C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12.1</w:t>
            </w:r>
          </w:p>
        </w:tc>
        <w:tc>
          <w:tcPr>
            <w:tcW w:w="0" w:type="auto"/>
            <w:shd w:val="clear" w:color="auto" w:fill="99CCFF"/>
            <w:vAlign w:val="center"/>
          </w:tcPr>
          <w:p w14:paraId="27BC82AC"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11.2</w:t>
            </w:r>
          </w:p>
        </w:tc>
        <w:tc>
          <w:tcPr>
            <w:tcW w:w="0" w:type="auto"/>
            <w:shd w:val="clear" w:color="auto" w:fill="99CCFF"/>
            <w:vAlign w:val="center"/>
          </w:tcPr>
          <w:p w14:paraId="05EDB889"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8.3</w:t>
            </w:r>
          </w:p>
        </w:tc>
        <w:tc>
          <w:tcPr>
            <w:tcW w:w="0" w:type="auto"/>
            <w:shd w:val="clear" w:color="auto" w:fill="99CCFF"/>
            <w:vAlign w:val="center"/>
          </w:tcPr>
          <w:p w14:paraId="0BCD0E27"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20.2</w:t>
            </w:r>
          </w:p>
        </w:tc>
        <w:tc>
          <w:tcPr>
            <w:tcW w:w="0" w:type="auto"/>
            <w:shd w:val="clear" w:color="auto" w:fill="99CCFF"/>
            <w:vAlign w:val="center"/>
          </w:tcPr>
          <w:p w14:paraId="54A4B25A"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15</w:t>
            </w:r>
          </w:p>
        </w:tc>
      </w:tr>
      <w:tr w:rsidR="00FA172F" w:rsidRPr="009C5F11" w14:paraId="03B0E52E" w14:textId="77777777" w:rsidTr="00B17944">
        <w:tc>
          <w:tcPr>
            <w:tcW w:w="0" w:type="auto"/>
            <w:shd w:val="clear" w:color="auto" w:fill="99CCFF"/>
            <w:vAlign w:val="center"/>
          </w:tcPr>
          <w:p w14:paraId="38DF860B" w14:textId="77777777" w:rsidR="000E415A" w:rsidRPr="009C5F11" w:rsidRDefault="00FA172F"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Gospodăriile casnice</w:t>
            </w:r>
          </w:p>
        </w:tc>
        <w:tc>
          <w:tcPr>
            <w:tcW w:w="0" w:type="auto"/>
            <w:shd w:val="clear" w:color="auto" w:fill="99CCFF"/>
            <w:vAlign w:val="center"/>
          </w:tcPr>
          <w:p w14:paraId="72262909"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45</w:t>
            </w:r>
            <w:r w:rsidR="00B81C5A" w:rsidRPr="009C5F11">
              <w:rPr>
                <w:rFonts w:ascii="Times New Roman" w:hAnsi="Times New Roman" w:cs="Times New Roman"/>
                <w:i/>
                <w:sz w:val="16"/>
                <w:szCs w:val="12"/>
                <w:lang w:val="ro-RO"/>
              </w:rPr>
              <w:t>.0</w:t>
            </w:r>
          </w:p>
        </w:tc>
        <w:tc>
          <w:tcPr>
            <w:tcW w:w="0" w:type="auto"/>
            <w:shd w:val="clear" w:color="auto" w:fill="99CCFF"/>
            <w:vAlign w:val="center"/>
          </w:tcPr>
          <w:p w14:paraId="3D0144B1"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390</w:t>
            </w:r>
          </w:p>
        </w:tc>
        <w:tc>
          <w:tcPr>
            <w:tcW w:w="0" w:type="auto"/>
            <w:shd w:val="clear" w:color="auto" w:fill="99CCFF"/>
            <w:vAlign w:val="center"/>
          </w:tcPr>
          <w:p w14:paraId="74B50F0B" w14:textId="77777777" w:rsidR="000E415A" w:rsidRPr="009C5F11" w:rsidRDefault="000E415A" w:rsidP="00B81C5A">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43.9</w:t>
            </w:r>
          </w:p>
        </w:tc>
        <w:tc>
          <w:tcPr>
            <w:tcW w:w="0" w:type="auto"/>
            <w:shd w:val="clear" w:color="auto" w:fill="99CCFF"/>
            <w:vAlign w:val="center"/>
          </w:tcPr>
          <w:p w14:paraId="610F038B" w14:textId="77777777" w:rsidR="000E415A" w:rsidRPr="009C5F11" w:rsidRDefault="00EA2EE9"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40.</w:t>
            </w:r>
            <w:r w:rsidR="000E415A" w:rsidRPr="009C5F11">
              <w:rPr>
                <w:rFonts w:ascii="Times New Roman" w:hAnsi="Times New Roman" w:cs="Times New Roman"/>
                <w:i/>
                <w:sz w:val="16"/>
                <w:szCs w:val="12"/>
                <w:lang w:val="ro-RO"/>
              </w:rPr>
              <w:t>8</w:t>
            </w:r>
          </w:p>
        </w:tc>
        <w:tc>
          <w:tcPr>
            <w:tcW w:w="0" w:type="auto"/>
            <w:shd w:val="clear" w:color="auto" w:fill="99CCFF"/>
            <w:vAlign w:val="center"/>
          </w:tcPr>
          <w:p w14:paraId="1807D0BA"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40.1</w:t>
            </w:r>
          </w:p>
        </w:tc>
        <w:tc>
          <w:tcPr>
            <w:tcW w:w="0" w:type="auto"/>
            <w:shd w:val="clear" w:color="auto" w:fill="99CCFF"/>
            <w:vAlign w:val="center"/>
          </w:tcPr>
          <w:p w14:paraId="7EDF3241" w14:textId="77777777" w:rsidR="000E415A" w:rsidRPr="009C5F11" w:rsidRDefault="00EA2EE9"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73.4</w:t>
            </w:r>
          </w:p>
        </w:tc>
        <w:tc>
          <w:tcPr>
            <w:tcW w:w="0" w:type="auto"/>
            <w:shd w:val="clear" w:color="auto" w:fill="99CCFF"/>
            <w:vAlign w:val="center"/>
          </w:tcPr>
          <w:p w14:paraId="5397DAC7"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72.2</w:t>
            </w:r>
          </w:p>
        </w:tc>
      </w:tr>
      <w:tr w:rsidR="00FA172F" w:rsidRPr="009C5F11" w14:paraId="67ADC734" w14:textId="77777777" w:rsidTr="00B17944">
        <w:tc>
          <w:tcPr>
            <w:tcW w:w="0" w:type="auto"/>
            <w:shd w:val="clear" w:color="auto" w:fill="99CCFF"/>
            <w:vAlign w:val="center"/>
          </w:tcPr>
          <w:p w14:paraId="3454C3DE" w14:textId="77777777" w:rsidR="000E415A" w:rsidRPr="009C5F11" w:rsidRDefault="00FA172F" w:rsidP="00FA172F">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Sectorul p</w:t>
            </w:r>
            <w:r w:rsidR="000E415A" w:rsidRPr="009C5F11">
              <w:rPr>
                <w:rFonts w:ascii="Times New Roman" w:hAnsi="Times New Roman" w:cs="Times New Roman"/>
                <w:i/>
                <w:sz w:val="16"/>
                <w:szCs w:val="12"/>
                <w:lang w:val="ro-RO"/>
              </w:rPr>
              <w:t>ublic (</w:t>
            </w:r>
            <w:r w:rsidRPr="009C5F11">
              <w:rPr>
                <w:rFonts w:ascii="Times New Roman" w:hAnsi="Times New Roman" w:cs="Times New Roman"/>
                <w:i/>
                <w:sz w:val="16"/>
                <w:szCs w:val="12"/>
                <w:lang w:val="ro-RO"/>
              </w:rPr>
              <w:t>servicii</w:t>
            </w:r>
            <w:r w:rsidR="000E415A" w:rsidRPr="009C5F11">
              <w:rPr>
                <w:rFonts w:ascii="Times New Roman" w:hAnsi="Times New Roman" w:cs="Times New Roman"/>
                <w:i/>
                <w:sz w:val="16"/>
                <w:szCs w:val="12"/>
                <w:lang w:val="ro-RO"/>
              </w:rPr>
              <w:t>)</w:t>
            </w:r>
          </w:p>
        </w:tc>
        <w:tc>
          <w:tcPr>
            <w:tcW w:w="0" w:type="auto"/>
            <w:shd w:val="clear" w:color="auto" w:fill="99CCFF"/>
            <w:vAlign w:val="center"/>
          </w:tcPr>
          <w:p w14:paraId="32EAF14B"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8.6</w:t>
            </w:r>
          </w:p>
        </w:tc>
        <w:tc>
          <w:tcPr>
            <w:tcW w:w="0" w:type="auto"/>
            <w:shd w:val="clear" w:color="auto" w:fill="99CCFF"/>
            <w:vAlign w:val="center"/>
          </w:tcPr>
          <w:p w14:paraId="7A379552"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75</w:t>
            </w:r>
          </w:p>
        </w:tc>
        <w:tc>
          <w:tcPr>
            <w:tcW w:w="0" w:type="auto"/>
            <w:shd w:val="clear" w:color="auto" w:fill="99CCFF"/>
            <w:vAlign w:val="center"/>
          </w:tcPr>
          <w:p w14:paraId="41686B24" w14:textId="77777777" w:rsidR="000E415A" w:rsidRPr="009C5F11" w:rsidRDefault="000E415A" w:rsidP="00B81C5A">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12.6</w:t>
            </w:r>
          </w:p>
        </w:tc>
        <w:tc>
          <w:tcPr>
            <w:tcW w:w="0" w:type="auto"/>
            <w:shd w:val="clear" w:color="auto" w:fill="99CCFF"/>
            <w:vAlign w:val="center"/>
          </w:tcPr>
          <w:p w14:paraId="5DE323C3"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11.7</w:t>
            </w:r>
          </w:p>
        </w:tc>
        <w:tc>
          <w:tcPr>
            <w:tcW w:w="0" w:type="auto"/>
            <w:shd w:val="clear" w:color="auto" w:fill="99CCFF"/>
            <w:vAlign w:val="center"/>
          </w:tcPr>
          <w:p w14:paraId="6DDFC7F4" w14:textId="77777777" w:rsidR="000E415A" w:rsidRPr="009C5F11" w:rsidRDefault="00EA2EE9"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27.</w:t>
            </w:r>
            <w:r w:rsidR="000E415A" w:rsidRPr="009C5F11">
              <w:rPr>
                <w:rFonts w:ascii="Times New Roman" w:hAnsi="Times New Roman" w:cs="Times New Roman"/>
                <w:i/>
                <w:sz w:val="16"/>
                <w:szCs w:val="12"/>
                <w:lang w:val="ro-RO"/>
              </w:rPr>
              <w:t>8</w:t>
            </w:r>
          </w:p>
        </w:tc>
        <w:tc>
          <w:tcPr>
            <w:tcW w:w="0" w:type="auto"/>
            <w:shd w:val="clear" w:color="auto" w:fill="99CCFF"/>
            <w:vAlign w:val="center"/>
          </w:tcPr>
          <w:p w14:paraId="3D06CCDC"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21.1</w:t>
            </w:r>
          </w:p>
        </w:tc>
        <w:tc>
          <w:tcPr>
            <w:tcW w:w="0" w:type="auto"/>
            <w:shd w:val="clear" w:color="auto" w:fill="99CCFF"/>
            <w:vAlign w:val="center"/>
          </w:tcPr>
          <w:p w14:paraId="48EDD915"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50</w:t>
            </w:r>
          </w:p>
        </w:tc>
      </w:tr>
      <w:tr w:rsidR="00FA172F" w:rsidRPr="009C5F11" w14:paraId="6C58D2FD" w14:textId="77777777" w:rsidTr="00B17944">
        <w:tc>
          <w:tcPr>
            <w:tcW w:w="0" w:type="auto"/>
            <w:shd w:val="clear" w:color="auto" w:fill="99CCFF"/>
            <w:vAlign w:val="center"/>
          </w:tcPr>
          <w:p w14:paraId="10C00829" w14:textId="77777777" w:rsidR="000E415A" w:rsidRPr="009C5F11" w:rsidRDefault="00FA172F" w:rsidP="00FA172F">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Sectorul t</w:t>
            </w:r>
            <w:r w:rsidR="000E415A" w:rsidRPr="009C5F11">
              <w:rPr>
                <w:rFonts w:ascii="Times New Roman" w:hAnsi="Times New Roman" w:cs="Times New Roman"/>
                <w:i/>
                <w:sz w:val="16"/>
                <w:szCs w:val="12"/>
                <w:lang w:val="ro-RO"/>
              </w:rPr>
              <w:t>ransport</w:t>
            </w:r>
            <w:r w:rsidRPr="009C5F11">
              <w:rPr>
                <w:rFonts w:ascii="Times New Roman" w:hAnsi="Times New Roman" w:cs="Times New Roman"/>
                <w:i/>
                <w:sz w:val="16"/>
                <w:szCs w:val="12"/>
                <w:lang w:val="ro-RO"/>
              </w:rPr>
              <w:t>uri</w:t>
            </w:r>
          </w:p>
        </w:tc>
        <w:tc>
          <w:tcPr>
            <w:tcW w:w="0" w:type="auto"/>
            <w:shd w:val="clear" w:color="auto" w:fill="99CCFF"/>
            <w:vAlign w:val="center"/>
          </w:tcPr>
          <w:p w14:paraId="3205C072"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23</w:t>
            </w:r>
            <w:r w:rsidR="00B81C5A" w:rsidRPr="009C5F11">
              <w:rPr>
                <w:rFonts w:ascii="Times New Roman" w:hAnsi="Times New Roman" w:cs="Times New Roman"/>
                <w:i/>
                <w:sz w:val="16"/>
                <w:szCs w:val="12"/>
                <w:lang w:val="ro-RO"/>
              </w:rPr>
              <w:t>.0</w:t>
            </w:r>
          </w:p>
        </w:tc>
        <w:tc>
          <w:tcPr>
            <w:tcW w:w="0" w:type="auto"/>
            <w:shd w:val="clear" w:color="auto" w:fill="99CCFF"/>
            <w:vAlign w:val="center"/>
          </w:tcPr>
          <w:p w14:paraId="21B4AE0E"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200</w:t>
            </w:r>
          </w:p>
        </w:tc>
        <w:tc>
          <w:tcPr>
            <w:tcW w:w="0" w:type="auto"/>
            <w:shd w:val="clear" w:color="auto" w:fill="99CCFF"/>
            <w:vAlign w:val="center"/>
          </w:tcPr>
          <w:p w14:paraId="2B86245B"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31.</w:t>
            </w:r>
            <w:r w:rsidR="00B81C5A" w:rsidRPr="009C5F11">
              <w:rPr>
                <w:rFonts w:ascii="Times New Roman" w:hAnsi="Times New Roman" w:cs="Times New Roman"/>
                <w:i/>
                <w:sz w:val="16"/>
                <w:szCs w:val="12"/>
                <w:lang w:val="ro-RO"/>
              </w:rPr>
              <w:t>4</w:t>
            </w:r>
          </w:p>
        </w:tc>
        <w:tc>
          <w:tcPr>
            <w:tcW w:w="0" w:type="auto"/>
            <w:shd w:val="clear" w:color="auto" w:fill="99CCFF"/>
            <w:vAlign w:val="center"/>
          </w:tcPr>
          <w:p w14:paraId="542D85A8" w14:textId="77777777" w:rsidR="000E415A" w:rsidRPr="009C5F11" w:rsidRDefault="00EA2EE9"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29.2</w:t>
            </w:r>
          </w:p>
        </w:tc>
        <w:tc>
          <w:tcPr>
            <w:tcW w:w="0" w:type="auto"/>
            <w:shd w:val="clear" w:color="auto" w:fill="99CCFF"/>
            <w:vAlign w:val="center"/>
          </w:tcPr>
          <w:p w14:paraId="716D6C9F" w14:textId="77777777" w:rsidR="000E415A" w:rsidRPr="009C5F11" w:rsidRDefault="00EA2EE9"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16.</w:t>
            </w:r>
            <w:r w:rsidR="000E415A" w:rsidRPr="009C5F11">
              <w:rPr>
                <w:rFonts w:ascii="Times New Roman" w:hAnsi="Times New Roman" w:cs="Times New Roman"/>
                <w:i/>
                <w:sz w:val="16"/>
                <w:szCs w:val="12"/>
                <w:lang w:val="ro-RO"/>
              </w:rPr>
              <w:t>7</w:t>
            </w:r>
          </w:p>
        </w:tc>
        <w:tc>
          <w:tcPr>
            <w:tcW w:w="0" w:type="auto"/>
            <w:shd w:val="clear" w:color="auto" w:fill="99CCFF"/>
            <w:vAlign w:val="center"/>
          </w:tcPr>
          <w:p w14:paraId="0DED13DD"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52.5</w:t>
            </w:r>
          </w:p>
        </w:tc>
        <w:tc>
          <w:tcPr>
            <w:tcW w:w="0" w:type="auto"/>
            <w:shd w:val="clear" w:color="auto" w:fill="99CCFF"/>
            <w:vAlign w:val="center"/>
          </w:tcPr>
          <w:p w14:paraId="5B1FC1C0"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30</w:t>
            </w:r>
          </w:p>
        </w:tc>
      </w:tr>
      <w:tr w:rsidR="00FA172F" w:rsidRPr="009C5F11" w14:paraId="11D27BA6" w14:textId="77777777" w:rsidTr="00B17944">
        <w:tc>
          <w:tcPr>
            <w:tcW w:w="0" w:type="auto"/>
            <w:shd w:val="clear" w:color="auto" w:fill="99CCFF"/>
            <w:vAlign w:val="center"/>
          </w:tcPr>
          <w:p w14:paraId="26A337DC" w14:textId="77777777" w:rsidR="000E415A" w:rsidRPr="009C5F11" w:rsidRDefault="00FA172F" w:rsidP="00FA172F">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Sectorul e</w:t>
            </w:r>
            <w:r w:rsidR="000E415A" w:rsidRPr="009C5F11">
              <w:rPr>
                <w:rFonts w:ascii="Times New Roman" w:hAnsi="Times New Roman" w:cs="Times New Roman"/>
                <w:i/>
                <w:sz w:val="16"/>
                <w:szCs w:val="12"/>
                <w:lang w:val="ro-RO"/>
              </w:rPr>
              <w:t>nerg</w:t>
            </w:r>
            <w:r w:rsidRPr="009C5F11">
              <w:rPr>
                <w:rFonts w:ascii="Times New Roman" w:hAnsi="Times New Roman" w:cs="Times New Roman"/>
                <w:i/>
                <w:sz w:val="16"/>
                <w:szCs w:val="12"/>
                <w:lang w:val="ro-RO"/>
              </w:rPr>
              <w:t>etic</w:t>
            </w:r>
          </w:p>
        </w:tc>
        <w:tc>
          <w:tcPr>
            <w:tcW w:w="0" w:type="auto"/>
            <w:shd w:val="clear" w:color="auto" w:fill="99CCFF"/>
            <w:vAlign w:val="center"/>
          </w:tcPr>
          <w:p w14:paraId="5EA2C7D0"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13.4</w:t>
            </w:r>
          </w:p>
        </w:tc>
        <w:tc>
          <w:tcPr>
            <w:tcW w:w="0" w:type="auto"/>
            <w:shd w:val="clear" w:color="auto" w:fill="99CCFF"/>
            <w:vAlign w:val="center"/>
          </w:tcPr>
          <w:p w14:paraId="25D86F0D"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116</w:t>
            </w:r>
          </w:p>
        </w:tc>
        <w:tc>
          <w:tcPr>
            <w:tcW w:w="0" w:type="auto"/>
            <w:shd w:val="clear" w:color="auto" w:fill="99CCFF"/>
            <w:vAlign w:val="center"/>
          </w:tcPr>
          <w:p w14:paraId="7B28FC31"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w:t>
            </w:r>
          </w:p>
        </w:tc>
        <w:tc>
          <w:tcPr>
            <w:tcW w:w="0" w:type="auto"/>
            <w:shd w:val="clear" w:color="auto" w:fill="99CCFF"/>
            <w:vAlign w:val="center"/>
          </w:tcPr>
          <w:p w14:paraId="6E5FE606"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w:t>
            </w:r>
          </w:p>
        </w:tc>
        <w:tc>
          <w:tcPr>
            <w:tcW w:w="0" w:type="auto"/>
            <w:shd w:val="clear" w:color="auto" w:fill="99CCFF"/>
            <w:vAlign w:val="center"/>
          </w:tcPr>
          <w:p w14:paraId="700868B1"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w:t>
            </w:r>
          </w:p>
        </w:tc>
        <w:tc>
          <w:tcPr>
            <w:tcW w:w="0" w:type="auto"/>
            <w:shd w:val="clear" w:color="auto" w:fill="99CCFF"/>
            <w:vAlign w:val="center"/>
          </w:tcPr>
          <w:p w14:paraId="0DA53987"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w:t>
            </w:r>
          </w:p>
        </w:tc>
        <w:tc>
          <w:tcPr>
            <w:tcW w:w="0" w:type="auto"/>
            <w:shd w:val="clear" w:color="auto" w:fill="99CCFF"/>
            <w:vAlign w:val="center"/>
          </w:tcPr>
          <w:p w14:paraId="169CA0D3" w14:textId="77777777" w:rsidR="000E415A" w:rsidRPr="009C5F11" w:rsidRDefault="000E415A" w:rsidP="00F364D0">
            <w:pPr>
              <w:spacing w:after="0" w:line="240" w:lineRule="auto"/>
              <w:jc w:val="center"/>
              <w:rPr>
                <w:rFonts w:ascii="Times New Roman" w:hAnsi="Times New Roman" w:cs="Times New Roman"/>
                <w:i/>
                <w:sz w:val="16"/>
                <w:szCs w:val="12"/>
                <w:lang w:val="ro-RO"/>
              </w:rPr>
            </w:pPr>
            <w:r w:rsidRPr="009C5F11">
              <w:rPr>
                <w:rFonts w:ascii="Times New Roman" w:hAnsi="Times New Roman" w:cs="Times New Roman"/>
                <w:i/>
                <w:sz w:val="16"/>
                <w:szCs w:val="12"/>
                <w:lang w:val="ro-RO"/>
              </w:rPr>
              <w:t>-</w:t>
            </w:r>
          </w:p>
        </w:tc>
      </w:tr>
    </w:tbl>
    <w:p w14:paraId="52DE3D3C" w14:textId="36846652" w:rsidR="00375607" w:rsidRPr="009C5F11" w:rsidRDefault="00375607" w:rsidP="006B6481">
      <w:pPr>
        <w:spacing w:before="120" w:after="120" w:line="240" w:lineRule="auto"/>
        <w:jc w:val="both"/>
        <w:rPr>
          <w:rFonts w:ascii="Times New Roman" w:hAnsi="Times New Roman" w:cs="Times New Roman"/>
          <w:i/>
          <w:szCs w:val="18"/>
          <w:lang w:val="ro-RO"/>
        </w:rPr>
      </w:pPr>
      <w:r w:rsidRPr="009C5F11">
        <w:rPr>
          <w:rFonts w:ascii="Times New Roman" w:hAnsi="Times New Roman" w:cs="Times New Roman"/>
          <w:i/>
          <w:szCs w:val="18"/>
          <w:lang w:val="ro-RO"/>
        </w:rPr>
        <w:t xml:space="preserve">* </w:t>
      </w:r>
      <w:r w:rsidR="000A4CC7" w:rsidRPr="009C5F11">
        <w:rPr>
          <w:rFonts w:ascii="Times New Roman" w:hAnsi="Times New Roman" w:cs="Times New Roman"/>
          <w:i/>
          <w:szCs w:val="18"/>
          <w:lang w:val="ro-RO"/>
        </w:rPr>
        <w:t>PNEE</w:t>
      </w:r>
      <w:r w:rsidRPr="009C5F11">
        <w:rPr>
          <w:rFonts w:ascii="Times New Roman" w:hAnsi="Times New Roman" w:cs="Times New Roman"/>
          <w:i/>
          <w:szCs w:val="18"/>
          <w:lang w:val="ro-RO"/>
        </w:rPr>
        <w:t xml:space="preserve"> 2011-2020 </w:t>
      </w:r>
      <w:r w:rsidR="00FA172F" w:rsidRPr="009C5F11">
        <w:rPr>
          <w:rFonts w:ascii="Times New Roman" w:hAnsi="Times New Roman" w:cs="Times New Roman"/>
          <w:i/>
          <w:szCs w:val="18"/>
          <w:lang w:val="ro-RO"/>
        </w:rPr>
        <w:t>se referă la consumul de energie primară</w:t>
      </w:r>
      <w:r w:rsidRPr="009C5F11">
        <w:rPr>
          <w:rFonts w:ascii="Times New Roman" w:hAnsi="Times New Roman" w:cs="Times New Roman"/>
          <w:i/>
          <w:szCs w:val="18"/>
          <w:lang w:val="ro-RO"/>
        </w:rPr>
        <w:t xml:space="preserve">, </w:t>
      </w:r>
      <w:r w:rsidR="00FA172F" w:rsidRPr="009C5F11">
        <w:rPr>
          <w:rFonts w:ascii="Times New Roman" w:hAnsi="Times New Roman" w:cs="Times New Roman"/>
          <w:i/>
          <w:szCs w:val="18"/>
          <w:lang w:val="ro-RO"/>
        </w:rPr>
        <w:t>iar</w:t>
      </w:r>
      <w:r w:rsidRPr="009C5F11">
        <w:rPr>
          <w:rFonts w:ascii="Times New Roman" w:hAnsi="Times New Roman" w:cs="Times New Roman"/>
          <w:i/>
          <w:szCs w:val="18"/>
          <w:lang w:val="ro-RO"/>
        </w:rPr>
        <w:t xml:space="preserve"> </w:t>
      </w:r>
      <w:r w:rsidR="00872DC2" w:rsidRPr="009C5F11">
        <w:rPr>
          <w:rFonts w:ascii="Times New Roman" w:hAnsi="Times New Roman" w:cs="Times New Roman"/>
          <w:i/>
          <w:szCs w:val="18"/>
          <w:lang w:val="ro-RO"/>
        </w:rPr>
        <w:t>PNAEE</w:t>
      </w:r>
      <w:r w:rsidRPr="009C5F11">
        <w:rPr>
          <w:rFonts w:ascii="Times New Roman" w:hAnsi="Times New Roman" w:cs="Times New Roman"/>
          <w:i/>
          <w:szCs w:val="18"/>
          <w:lang w:val="ro-RO"/>
        </w:rPr>
        <w:t xml:space="preserve"> 2013-2015 </w:t>
      </w:r>
      <w:r w:rsidR="00FA172F" w:rsidRPr="009C5F11">
        <w:rPr>
          <w:rFonts w:ascii="Times New Roman" w:hAnsi="Times New Roman" w:cs="Times New Roman"/>
          <w:i/>
          <w:szCs w:val="18"/>
          <w:lang w:val="ro-RO"/>
        </w:rPr>
        <w:t xml:space="preserve">se </w:t>
      </w:r>
      <w:r w:rsidRPr="009C5F11">
        <w:rPr>
          <w:rFonts w:ascii="Times New Roman" w:hAnsi="Times New Roman" w:cs="Times New Roman"/>
          <w:i/>
          <w:szCs w:val="18"/>
          <w:lang w:val="ro-RO"/>
        </w:rPr>
        <w:t>refer</w:t>
      </w:r>
      <w:r w:rsidR="00FA172F" w:rsidRPr="009C5F11">
        <w:rPr>
          <w:rFonts w:ascii="Times New Roman" w:hAnsi="Times New Roman" w:cs="Times New Roman"/>
          <w:i/>
          <w:szCs w:val="18"/>
          <w:lang w:val="ro-RO"/>
        </w:rPr>
        <w:t>ă la</w:t>
      </w:r>
      <w:r w:rsidRPr="009C5F11">
        <w:rPr>
          <w:rFonts w:ascii="Times New Roman" w:hAnsi="Times New Roman" w:cs="Times New Roman"/>
          <w:i/>
          <w:szCs w:val="18"/>
          <w:lang w:val="ro-RO"/>
        </w:rPr>
        <w:t xml:space="preserve"> </w:t>
      </w:r>
      <w:r w:rsidR="00FA172F" w:rsidRPr="009C5F11">
        <w:rPr>
          <w:rFonts w:ascii="Times New Roman" w:hAnsi="Times New Roman" w:cs="Times New Roman"/>
          <w:i/>
          <w:szCs w:val="18"/>
          <w:lang w:val="ro-RO"/>
        </w:rPr>
        <w:t>consumul de energie</w:t>
      </w:r>
      <w:r w:rsidRPr="009C5F11">
        <w:rPr>
          <w:rFonts w:ascii="Times New Roman" w:hAnsi="Times New Roman" w:cs="Times New Roman"/>
          <w:i/>
          <w:szCs w:val="18"/>
          <w:lang w:val="ro-RO"/>
        </w:rPr>
        <w:t xml:space="preserve"> final</w:t>
      </w:r>
      <w:r w:rsidR="00FA172F" w:rsidRPr="009C5F11">
        <w:rPr>
          <w:rFonts w:ascii="Times New Roman" w:hAnsi="Times New Roman" w:cs="Times New Roman"/>
          <w:i/>
          <w:szCs w:val="18"/>
          <w:lang w:val="ro-RO"/>
        </w:rPr>
        <w:t>ă</w:t>
      </w:r>
      <w:r w:rsidRPr="009C5F11">
        <w:rPr>
          <w:rFonts w:ascii="Times New Roman" w:hAnsi="Times New Roman" w:cs="Times New Roman"/>
          <w:i/>
          <w:szCs w:val="18"/>
          <w:lang w:val="ro-RO"/>
        </w:rPr>
        <w:t xml:space="preserve">. </w:t>
      </w:r>
      <w:r w:rsidR="000A4CC7" w:rsidRPr="009C5F11">
        <w:rPr>
          <w:rFonts w:ascii="Times New Roman" w:hAnsi="Times New Roman" w:cs="Times New Roman"/>
          <w:i/>
          <w:szCs w:val="18"/>
          <w:lang w:val="ro-RO"/>
        </w:rPr>
        <w:t xml:space="preserve">Directiva </w:t>
      </w:r>
      <w:r w:rsidRPr="009C5F11">
        <w:rPr>
          <w:rFonts w:ascii="Times New Roman" w:hAnsi="Times New Roman" w:cs="Times New Roman"/>
          <w:i/>
          <w:szCs w:val="18"/>
          <w:lang w:val="ro-RO"/>
        </w:rPr>
        <w:t>2006/32</w:t>
      </w:r>
      <w:r w:rsidR="000A4CC7" w:rsidRPr="009C5F11">
        <w:rPr>
          <w:rFonts w:ascii="Times New Roman" w:hAnsi="Times New Roman" w:cs="Times New Roman"/>
          <w:i/>
          <w:szCs w:val="18"/>
          <w:lang w:val="ro-RO"/>
        </w:rPr>
        <w:t>/CE</w:t>
      </w:r>
      <w:r w:rsidRPr="009C5F11">
        <w:rPr>
          <w:rFonts w:ascii="Times New Roman" w:hAnsi="Times New Roman" w:cs="Times New Roman"/>
          <w:i/>
          <w:szCs w:val="18"/>
          <w:lang w:val="ro-RO"/>
        </w:rPr>
        <w:t xml:space="preserve"> </w:t>
      </w:r>
      <w:r w:rsidR="00FA172F" w:rsidRPr="009C5F11">
        <w:rPr>
          <w:rFonts w:ascii="Times New Roman" w:hAnsi="Times New Roman" w:cs="Times New Roman"/>
          <w:i/>
          <w:szCs w:val="18"/>
          <w:lang w:val="ro-RO"/>
        </w:rPr>
        <w:t>stabileşte obiective pentru</w:t>
      </w:r>
      <w:r w:rsidRPr="009C5F11">
        <w:rPr>
          <w:rFonts w:ascii="Times New Roman" w:hAnsi="Times New Roman" w:cs="Times New Roman"/>
          <w:i/>
          <w:szCs w:val="18"/>
          <w:lang w:val="ro-RO"/>
        </w:rPr>
        <w:t xml:space="preserve"> </w:t>
      </w:r>
      <w:r w:rsidR="004424A0" w:rsidRPr="009C5F11">
        <w:rPr>
          <w:rFonts w:ascii="Times New Roman" w:hAnsi="Times New Roman" w:cs="Times New Roman"/>
          <w:i/>
          <w:szCs w:val="18"/>
          <w:lang w:val="ro-RO"/>
        </w:rPr>
        <w:t>economii</w:t>
      </w:r>
      <w:r w:rsidR="00FA172F" w:rsidRPr="009C5F11">
        <w:rPr>
          <w:rFonts w:ascii="Times New Roman" w:hAnsi="Times New Roman" w:cs="Times New Roman"/>
          <w:i/>
          <w:szCs w:val="18"/>
          <w:lang w:val="ro-RO"/>
        </w:rPr>
        <w:t>le</w:t>
      </w:r>
      <w:r w:rsidR="004424A0" w:rsidRPr="009C5F11">
        <w:rPr>
          <w:rFonts w:ascii="Times New Roman" w:hAnsi="Times New Roman" w:cs="Times New Roman"/>
          <w:i/>
          <w:szCs w:val="18"/>
          <w:lang w:val="ro-RO"/>
        </w:rPr>
        <w:t xml:space="preserve"> de energie</w:t>
      </w:r>
      <w:r w:rsidR="00321CD5" w:rsidRPr="009C5F11">
        <w:rPr>
          <w:rFonts w:ascii="Times New Roman" w:hAnsi="Times New Roman" w:cs="Times New Roman"/>
          <w:i/>
          <w:szCs w:val="18"/>
          <w:lang w:val="ro-RO"/>
        </w:rPr>
        <w:t xml:space="preserve"> în </w:t>
      </w:r>
      <w:r w:rsidRPr="009C5F11">
        <w:rPr>
          <w:rFonts w:ascii="Times New Roman" w:hAnsi="Times New Roman" w:cs="Times New Roman"/>
          <w:i/>
          <w:szCs w:val="18"/>
          <w:lang w:val="ro-RO"/>
        </w:rPr>
        <w:t>consum</w:t>
      </w:r>
      <w:r w:rsidR="00FA172F" w:rsidRPr="009C5F11">
        <w:rPr>
          <w:rFonts w:ascii="Times New Roman" w:hAnsi="Times New Roman" w:cs="Times New Roman"/>
          <w:i/>
          <w:szCs w:val="18"/>
          <w:lang w:val="ro-RO"/>
        </w:rPr>
        <w:t>ul de energie finală</w:t>
      </w:r>
      <w:r w:rsidR="00475A91" w:rsidRPr="009C5F11">
        <w:rPr>
          <w:rFonts w:ascii="Times New Roman" w:hAnsi="Times New Roman" w:cs="Times New Roman"/>
          <w:i/>
          <w:szCs w:val="18"/>
          <w:lang w:val="ro-RO"/>
        </w:rPr>
        <w:t>.</w:t>
      </w:r>
    </w:p>
    <w:p w14:paraId="0529FABA" w14:textId="77777777" w:rsidR="00475A91" w:rsidRPr="009C5F11" w:rsidRDefault="00475A91" w:rsidP="006B6481">
      <w:pPr>
        <w:spacing w:before="120" w:after="120" w:line="240" w:lineRule="auto"/>
        <w:jc w:val="both"/>
        <w:rPr>
          <w:rFonts w:ascii="Times New Roman" w:hAnsi="Times New Roman" w:cs="Times New Roman"/>
          <w:i/>
          <w:szCs w:val="18"/>
          <w:lang w:val="ro-RO"/>
        </w:rPr>
      </w:pPr>
    </w:p>
    <w:p w14:paraId="588207FF" w14:textId="77777777" w:rsidR="002733CB" w:rsidRPr="00D9464A" w:rsidRDefault="00532A33" w:rsidP="008321AB">
      <w:pPr>
        <w:pStyle w:val="Titlu3"/>
        <w:rPr>
          <w:rFonts w:ascii="Times New Roman" w:hAnsi="Times New Roman" w:cs="Times New Roman"/>
          <w:b/>
          <w:color w:val="000000" w:themeColor="text1"/>
          <w:sz w:val="28"/>
          <w:lang w:val="ro-RO"/>
        </w:rPr>
      </w:pPr>
      <w:bookmarkStart w:id="56" w:name="_Ref322009812"/>
      <w:bookmarkStart w:id="57" w:name="_Toc322013141"/>
      <w:r w:rsidRPr="00D9464A">
        <w:rPr>
          <w:rFonts w:ascii="Times New Roman" w:hAnsi="Times New Roman" w:cs="Times New Roman"/>
          <w:b/>
          <w:color w:val="000000" w:themeColor="text1"/>
          <w:sz w:val="28"/>
          <w:lang w:val="ro-RO"/>
        </w:rPr>
        <w:t>Implementarea</w:t>
      </w:r>
      <w:r w:rsidR="002733CB" w:rsidRPr="00D9464A">
        <w:rPr>
          <w:rFonts w:ascii="Times New Roman" w:hAnsi="Times New Roman" w:cs="Times New Roman"/>
          <w:b/>
          <w:color w:val="000000" w:themeColor="text1"/>
          <w:sz w:val="28"/>
          <w:lang w:val="ro-RO"/>
        </w:rPr>
        <w:t xml:space="preserve"> art.7 </w:t>
      </w:r>
      <w:r w:rsidR="00440F5F" w:rsidRPr="00D9464A">
        <w:rPr>
          <w:rFonts w:ascii="Times New Roman" w:hAnsi="Times New Roman" w:cs="Times New Roman"/>
          <w:b/>
          <w:color w:val="000000" w:themeColor="text1"/>
          <w:sz w:val="28"/>
          <w:lang w:val="ro-RO"/>
        </w:rPr>
        <w:t>din</w:t>
      </w:r>
      <w:r w:rsidR="00FA172F" w:rsidRPr="00D9464A">
        <w:rPr>
          <w:rFonts w:ascii="Times New Roman" w:hAnsi="Times New Roman" w:cs="Times New Roman"/>
          <w:b/>
          <w:color w:val="000000" w:themeColor="text1"/>
          <w:sz w:val="28"/>
          <w:lang w:val="ro-RO"/>
        </w:rPr>
        <w:t xml:space="preserve"> Directiv</w:t>
      </w:r>
      <w:r w:rsidR="00440F5F" w:rsidRPr="00D9464A">
        <w:rPr>
          <w:rFonts w:ascii="Times New Roman" w:hAnsi="Times New Roman" w:cs="Times New Roman"/>
          <w:b/>
          <w:color w:val="000000" w:themeColor="text1"/>
          <w:sz w:val="28"/>
          <w:lang w:val="ro-RO"/>
        </w:rPr>
        <w:t>a</w:t>
      </w:r>
      <w:r w:rsidR="00FA172F" w:rsidRPr="00D9464A">
        <w:rPr>
          <w:rFonts w:ascii="Times New Roman" w:hAnsi="Times New Roman" w:cs="Times New Roman"/>
          <w:b/>
          <w:color w:val="000000" w:themeColor="text1"/>
          <w:sz w:val="28"/>
          <w:lang w:val="ro-RO"/>
        </w:rPr>
        <w:t xml:space="preserve"> privind eficienţa energetică</w:t>
      </w:r>
      <w:bookmarkEnd w:id="50"/>
      <w:bookmarkEnd w:id="56"/>
      <w:bookmarkEnd w:id="57"/>
    </w:p>
    <w:p w14:paraId="49221631" w14:textId="77777777" w:rsidR="001A4F46" w:rsidRPr="009C5F11" w:rsidRDefault="006F69A2"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Articolul</w:t>
      </w:r>
      <w:r w:rsidR="002733CB" w:rsidRPr="009C5F11">
        <w:rPr>
          <w:rFonts w:ascii="Times New Roman" w:hAnsi="Times New Roman" w:cs="Times New Roman"/>
          <w:sz w:val="24"/>
          <w:lang w:val="ro-RO"/>
        </w:rPr>
        <w:t xml:space="preserve"> 7 </w:t>
      </w:r>
      <w:r w:rsidR="00440F5F" w:rsidRPr="009C5F11">
        <w:rPr>
          <w:rFonts w:ascii="Times New Roman" w:hAnsi="Times New Roman" w:cs="Times New Roman"/>
          <w:sz w:val="24"/>
          <w:lang w:val="ro-RO"/>
        </w:rPr>
        <w:t>din</w:t>
      </w:r>
      <w:r w:rsidR="00421FA7"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Directiv</w:t>
      </w:r>
      <w:r w:rsidR="00440F5F"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privind eficienţa energetică (</w:t>
      </w:r>
      <w:r w:rsidR="00421FA7" w:rsidRPr="009C5F11">
        <w:rPr>
          <w:rFonts w:ascii="Times New Roman" w:hAnsi="Times New Roman" w:cs="Times New Roman"/>
          <w:sz w:val="24"/>
          <w:lang w:val="ro-RO"/>
        </w:rPr>
        <w:t>DEE</w:t>
      </w:r>
      <w:r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00E37CA5" w:rsidRPr="009C5F11">
        <w:rPr>
          <w:rFonts w:ascii="Times New Roman" w:hAnsi="Times New Roman" w:cs="Times New Roman"/>
          <w:sz w:val="24"/>
          <w:lang w:val="ro-RO"/>
        </w:rPr>
        <w:t xml:space="preserve">care a fost </w:t>
      </w:r>
      <w:r w:rsidR="002733CB" w:rsidRPr="009C5F11">
        <w:rPr>
          <w:rFonts w:ascii="Times New Roman" w:hAnsi="Times New Roman" w:cs="Times New Roman"/>
          <w:sz w:val="24"/>
          <w:lang w:val="ro-RO"/>
        </w:rPr>
        <w:t>adopt</w:t>
      </w:r>
      <w:r w:rsidR="00E37CA5" w:rsidRPr="009C5F11">
        <w:rPr>
          <w:rFonts w:ascii="Times New Roman" w:hAnsi="Times New Roman" w:cs="Times New Roman"/>
          <w:sz w:val="24"/>
          <w:lang w:val="ro-RO"/>
        </w:rPr>
        <w:t>at</w:t>
      </w:r>
      <w:r w:rsidR="00321CD5" w:rsidRPr="009C5F11">
        <w:rPr>
          <w:rFonts w:ascii="Times New Roman" w:hAnsi="Times New Roman" w:cs="Times New Roman"/>
          <w:sz w:val="24"/>
          <w:lang w:val="ro-RO"/>
        </w:rPr>
        <w:t xml:space="preserve"> </w:t>
      </w:r>
      <w:r w:rsidR="00E37CA5" w:rsidRPr="009C5F11">
        <w:rPr>
          <w:rFonts w:ascii="Times New Roman" w:hAnsi="Times New Roman" w:cs="Times New Roman"/>
          <w:sz w:val="24"/>
          <w:lang w:val="ro-RO"/>
        </w:rPr>
        <w:t xml:space="preserve">de </w:t>
      </w:r>
      <w:r w:rsidR="00D62784" w:rsidRPr="009C5F11">
        <w:rPr>
          <w:rFonts w:ascii="Times New Roman" w:hAnsi="Times New Roman" w:cs="Times New Roman"/>
          <w:sz w:val="24"/>
          <w:lang w:val="ro-RO"/>
        </w:rPr>
        <w:t>Consiliul Ministerial</w:t>
      </w:r>
      <w:r w:rsidR="002733CB"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a</w:t>
      </w:r>
      <w:r w:rsidR="00E37CA5" w:rsidRPr="009C5F11">
        <w:rPr>
          <w:rFonts w:ascii="Times New Roman" w:hAnsi="Times New Roman" w:cs="Times New Roman"/>
          <w:sz w:val="24"/>
          <w:lang w:val="ro-RO"/>
        </w:rPr>
        <w:t>l</w:t>
      </w:r>
      <w:r w:rsidR="00421FA7" w:rsidRPr="009C5F11">
        <w:rPr>
          <w:rFonts w:ascii="Times New Roman" w:hAnsi="Times New Roman" w:cs="Times New Roman"/>
          <w:sz w:val="24"/>
          <w:lang w:val="ro-RO"/>
        </w:rPr>
        <w:t xml:space="preserve"> Comunităţii Energetice</w:t>
      </w:r>
      <w:r w:rsidR="002733CB" w:rsidRPr="009C5F11">
        <w:rPr>
          <w:rFonts w:ascii="Times New Roman" w:hAnsi="Times New Roman" w:cs="Times New Roman"/>
          <w:sz w:val="24"/>
          <w:lang w:val="ro-RO"/>
        </w:rPr>
        <w:t xml:space="preserve"> </w:t>
      </w:r>
      <w:r w:rsidR="00E37CA5" w:rsidRPr="009C5F11">
        <w:rPr>
          <w:rFonts w:ascii="Times New Roman" w:hAnsi="Times New Roman" w:cs="Times New Roman"/>
          <w:sz w:val="24"/>
          <w:lang w:val="ro-RO"/>
        </w:rPr>
        <w:t>la 16 octombrie 2015 prevede</w:t>
      </w:r>
      <w:r w:rsidR="002733CB"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implementarea</w:t>
      </w:r>
      <w:r w:rsidR="002733CB" w:rsidRPr="009C5F11">
        <w:rPr>
          <w:rFonts w:ascii="Times New Roman" w:hAnsi="Times New Roman" w:cs="Times New Roman"/>
          <w:sz w:val="24"/>
          <w:lang w:val="ro-RO"/>
        </w:rPr>
        <w:t xml:space="preserve"> </w:t>
      </w:r>
      <w:r w:rsidR="00E37CA5" w:rsidRPr="009C5F11">
        <w:rPr>
          <w:rFonts w:ascii="Times New Roman" w:hAnsi="Times New Roman" w:cs="Times New Roman"/>
          <w:sz w:val="24"/>
          <w:lang w:val="ro-RO"/>
        </w:rPr>
        <w:t>de către părţile contractante a un</w:t>
      </w:r>
      <w:r w:rsidR="00D20B40" w:rsidRPr="009C5F11">
        <w:rPr>
          <w:rFonts w:ascii="Times New Roman" w:hAnsi="Times New Roman" w:cs="Times New Roman"/>
          <w:sz w:val="24"/>
          <w:lang w:val="ro-RO"/>
        </w:rPr>
        <w:t>eischeme</w:t>
      </w:r>
      <w:r w:rsidR="00E37CA5" w:rsidRPr="009C5F11">
        <w:rPr>
          <w:rFonts w:ascii="Times New Roman" w:hAnsi="Times New Roman" w:cs="Times New Roman"/>
          <w:sz w:val="24"/>
          <w:lang w:val="ro-RO"/>
        </w:rPr>
        <w:t xml:space="preserve"> de obligaţii sau măsuri </w:t>
      </w:r>
      <w:r w:rsidR="002733CB" w:rsidRPr="009C5F11">
        <w:rPr>
          <w:rFonts w:ascii="Times New Roman" w:hAnsi="Times New Roman" w:cs="Times New Roman"/>
          <w:sz w:val="24"/>
          <w:lang w:val="ro-RO"/>
        </w:rPr>
        <w:t xml:space="preserve">alternative </w:t>
      </w:r>
      <w:r w:rsidR="00E37CA5" w:rsidRPr="009C5F11">
        <w:rPr>
          <w:rFonts w:ascii="Times New Roman" w:hAnsi="Times New Roman" w:cs="Times New Roman"/>
          <w:sz w:val="24"/>
          <w:lang w:val="ro-RO"/>
        </w:rPr>
        <w:t xml:space="preserve">de politici, care stabileşte economii anuale în </w:t>
      </w:r>
      <w:r w:rsidR="0079253D" w:rsidRPr="009C5F11">
        <w:rPr>
          <w:rFonts w:ascii="Times New Roman" w:hAnsi="Times New Roman" w:cs="Times New Roman"/>
          <w:sz w:val="24"/>
          <w:lang w:val="ro-RO"/>
        </w:rPr>
        <w:t>cuantum</w:t>
      </w:r>
      <w:r w:rsidR="00E37CA5" w:rsidRPr="009C5F11">
        <w:rPr>
          <w:rFonts w:ascii="Times New Roman" w:hAnsi="Times New Roman" w:cs="Times New Roman"/>
          <w:sz w:val="24"/>
          <w:lang w:val="ro-RO"/>
        </w:rPr>
        <w:t xml:space="preserve"> de </w:t>
      </w:r>
      <w:r w:rsidR="002733CB" w:rsidRPr="009C5F11">
        <w:rPr>
          <w:rFonts w:ascii="Times New Roman" w:hAnsi="Times New Roman" w:cs="Times New Roman"/>
          <w:sz w:val="24"/>
          <w:lang w:val="ro-RO"/>
        </w:rPr>
        <w:t xml:space="preserve">0.7% </w:t>
      </w:r>
      <w:r w:rsidR="00D20B40" w:rsidRPr="009C5F11">
        <w:rPr>
          <w:rFonts w:ascii="Times New Roman" w:hAnsi="Times New Roman" w:cs="Times New Roman"/>
          <w:sz w:val="24"/>
          <w:lang w:val="ro-RO"/>
        </w:rPr>
        <w:t xml:space="preserve">din consumul de energie finală pe parcursul anilor 2017-2020, </w:t>
      </w:r>
      <w:r w:rsidR="0079253D" w:rsidRPr="009C5F11">
        <w:rPr>
          <w:rFonts w:ascii="Times New Roman" w:hAnsi="Times New Roman" w:cs="Times New Roman"/>
          <w:sz w:val="24"/>
          <w:lang w:val="ro-RO"/>
        </w:rPr>
        <w:t>prevăzute la Articolul 7 alineatul 1 DEE</w:t>
      </w:r>
      <w:r w:rsidR="00E37CA5" w:rsidRPr="009C5F11">
        <w:rPr>
          <w:rFonts w:ascii="Times New Roman" w:hAnsi="Times New Roman" w:cs="Times New Roman"/>
          <w:sz w:val="24"/>
          <w:lang w:val="ro-RO"/>
        </w:rPr>
        <w:t>de</w:t>
      </w:r>
      <w:r w:rsidR="002733CB" w:rsidRPr="009C5F11">
        <w:rPr>
          <w:rFonts w:ascii="Times New Roman" w:hAnsi="Times New Roman" w:cs="Times New Roman"/>
          <w:sz w:val="24"/>
          <w:lang w:val="ro-RO"/>
        </w:rPr>
        <w:t xml:space="preserve">. </w:t>
      </w:r>
    </w:p>
    <w:p w14:paraId="47290AAC" w14:textId="46BCC80B" w:rsidR="002733CB" w:rsidRPr="009C5F11" w:rsidRDefault="002733CB"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Calcula</w:t>
      </w:r>
      <w:r w:rsidR="00E37CA5" w:rsidRPr="009C5F11">
        <w:rPr>
          <w:rFonts w:ascii="Times New Roman" w:hAnsi="Times New Roman" w:cs="Times New Roman"/>
          <w:sz w:val="24"/>
          <w:lang w:val="ro-RO"/>
        </w:rPr>
        <w:t xml:space="preserve">rea economiilor anuale şi a celor </w:t>
      </w:r>
      <w:r w:rsidRPr="009C5F11">
        <w:rPr>
          <w:rFonts w:ascii="Times New Roman" w:hAnsi="Times New Roman" w:cs="Times New Roman"/>
          <w:sz w:val="24"/>
          <w:lang w:val="ro-RO"/>
        </w:rPr>
        <w:t xml:space="preserve">cumulative </w:t>
      </w:r>
      <w:r w:rsidR="00E37CA5" w:rsidRPr="009C5F11">
        <w:rPr>
          <w:rFonts w:ascii="Times New Roman" w:hAnsi="Times New Roman" w:cs="Times New Roman"/>
          <w:sz w:val="24"/>
          <w:lang w:val="ro-RO"/>
        </w:rPr>
        <w:t>preconizate prin</w:t>
      </w:r>
      <w:r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implementarea</w:t>
      </w:r>
      <w:r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Articolul</w:t>
      </w:r>
      <w:r w:rsidR="00E37CA5" w:rsidRPr="009C5F11">
        <w:rPr>
          <w:rFonts w:ascii="Times New Roman" w:hAnsi="Times New Roman" w:cs="Times New Roman"/>
          <w:sz w:val="24"/>
          <w:lang w:val="ro-RO"/>
        </w:rPr>
        <w:t>ui</w:t>
      </w:r>
      <w:r w:rsidRPr="009C5F11">
        <w:rPr>
          <w:rFonts w:ascii="Times New Roman" w:hAnsi="Times New Roman" w:cs="Times New Roman"/>
          <w:sz w:val="24"/>
          <w:lang w:val="ro-RO"/>
        </w:rPr>
        <w:t xml:space="preserve"> 7 </w:t>
      </w:r>
      <w:r w:rsidR="00440F5F" w:rsidRPr="009C5F11">
        <w:rPr>
          <w:rFonts w:ascii="Times New Roman" w:hAnsi="Times New Roman" w:cs="Times New Roman"/>
          <w:sz w:val="24"/>
          <w:lang w:val="ro-RO"/>
        </w:rPr>
        <w:t>din</w:t>
      </w:r>
      <w:r w:rsidR="00421FA7" w:rsidRPr="009C5F11">
        <w:rPr>
          <w:rFonts w:ascii="Times New Roman" w:hAnsi="Times New Roman" w:cs="Times New Roman"/>
          <w:sz w:val="24"/>
          <w:lang w:val="ro-RO"/>
        </w:rPr>
        <w:t xml:space="preserve"> DEE</w:t>
      </w:r>
      <w:r w:rsidR="00E37CA5" w:rsidRPr="009C5F11">
        <w:rPr>
          <w:rFonts w:ascii="Times New Roman" w:hAnsi="Times New Roman" w:cs="Times New Roman"/>
          <w:sz w:val="24"/>
          <w:lang w:val="ro-RO"/>
        </w:rPr>
        <w:t xml:space="preserve"> se soldează cu </w:t>
      </w:r>
      <w:r w:rsidR="00C639BC" w:rsidRPr="009C5F11">
        <w:rPr>
          <w:rFonts w:ascii="Times New Roman" w:hAnsi="Times New Roman" w:cs="Times New Roman"/>
          <w:sz w:val="24"/>
          <w:lang w:val="ro-RO"/>
        </w:rPr>
        <w:t>economii</w:t>
      </w:r>
      <w:r w:rsidRPr="009C5F11">
        <w:rPr>
          <w:rFonts w:ascii="Times New Roman" w:hAnsi="Times New Roman" w:cs="Times New Roman"/>
          <w:sz w:val="24"/>
          <w:lang w:val="ro-RO"/>
        </w:rPr>
        <w:t xml:space="preserve"> </w:t>
      </w:r>
      <w:r w:rsidR="00E37CA5" w:rsidRPr="009C5F11">
        <w:rPr>
          <w:rFonts w:ascii="Times New Roman" w:hAnsi="Times New Roman" w:cs="Times New Roman"/>
          <w:sz w:val="24"/>
          <w:lang w:val="ro-RO"/>
        </w:rPr>
        <w:t>finale în mărime de</w:t>
      </w:r>
      <w:r w:rsidRPr="009C5F11">
        <w:rPr>
          <w:rFonts w:ascii="Times New Roman" w:hAnsi="Times New Roman" w:cs="Times New Roman"/>
          <w:sz w:val="24"/>
          <w:lang w:val="ro-RO"/>
        </w:rPr>
        <w:t xml:space="preserve"> 39.55 </w:t>
      </w:r>
      <w:r w:rsidR="00E52940" w:rsidRPr="009C5F11">
        <w:rPr>
          <w:rFonts w:ascii="Times New Roman" w:hAnsi="Times New Roman" w:cs="Times New Roman"/>
          <w:sz w:val="24"/>
          <w:lang w:val="ro-RO"/>
        </w:rPr>
        <w:t>ktep</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 xml:space="preserve">2020. </w:t>
      </w:r>
      <w:r w:rsidR="00E37CA5" w:rsidRPr="009C5F11">
        <w:rPr>
          <w:rFonts w:ascii="Times New Roman" w:hAnsi="Times New Roman" w:cs="Times New Roman"/>
          <w:sz w:val="24"/>
          <w:lang w:val="ro-RO"/>
        </w:rPr>
        <w:t xml:space="preserve">Valoarea redusă conform </w:t>
      </w:r>
      <w:r w:rsidR="000A4CC7" w:rsidRPr="009C5F11">
        <w:rPr>
          <w:rFonts w:ascii="Times New Roman" w:hAnsi="Times New Roman" w:cs="Times New Roman"/>
          <w:sz w:val="24"/>
          <w:lang w:val="ro-RO"/>
        </w:rPr>
        <w:t>Articolul</w:t>
      </w:r>
      <w:r w:rsidR="00E37CA5" w:rsidRPr="009C5F11">
        <w:rPr>
          <w:rFonts w:ascii="Times New Roman" w:hAnsi="Times New Roman" w:cs="Times New Roman"/>
          <w:sz w:val="24"/>
          <w:lang w:val="ro-RO"/>
        </w:rPr>
        <w:t>ui</w:t>
      </w:r>
      <w:r w:rsidRPr="009C5F11">
        <w:rPr>
          <w:rFonts w:ascii="Times New Roman" w:hAnsi="Times New Roman" w:cs="Times New Roman"/>
          <w:sz w:val="24"/>
          <w:lang w:val="ro-RO"/>
        </w:rPr>
        <w:t xml:space="preserve"> 7.2 (c), (d) </w:t>
      </w:r>
      <w:r w:rsidR="00E37CA5" w:rsidRPr="009C5F11">
        <w:rPr>
          <w:rFonts w:ascii="Times New Roman" w:hAnsi="Times New Roman" w:cs="Times New Roman"/>
          <w:sz w:val="24"/>
          <w:lang w:val="ro-RO"/>
        </w:rPr>
        <w:t>este</w:t>
      </w:r>
      <w:r w:rsidRPr="009C5F11">
        <w:rPr>
          <w:rFonts w:ascii="Times New Roman" w:hAnsi="Times New Roman" w:cs="Times New Roman"/>
          <w:sz w:val="24"/>
          <w:lang w:val="ro-RO"/>
        </w:rPr>
        <w:t xml:space="preserve"> </w:t>
      </w:r>
      <w:r w:rsidRPr="009C5F11">
        <w:rPr>
          <w:rFonts w:ascii="Times New Roman" w:hAnsi="Times New Roman" w:cs="Times New Roman"/>
          <w:b/>
          <w:sz w:val="24"/>
          <w:lang w:val="ro-RO"/>
        </w:rPr>
        <w:t xml:space="preserve">29.66 </w:t>
      </w:r>
      <w:r w:rsidR="00E52940" w:rsidRPr="009C5F11">
        <w:rPr>
          <w:rFonts w:ascii="Times New Roman" w:hAnsi="Times New Roman" w:cs="Times New Roman"/>
          <w:b/>
          <w:sz w:val="24"/>
          <w:lang w:val="ro-RO"/>
        </w:rPr>
        <w:t>ktep</w:t>
      </w:r>
      <w:r w:rsidRPr="009C5F11">
        <w:rPr>
          <w:rFonts w:ascii="Times New Roman" w:hAnsi="Times New Roman" w:cs="Times New Roman"/>
          <w:sz w:val="24"/>
          <w:lang w:val="ro-RO"/>
        </w:rPr>
        <w:t>.</w:t>
      </w:r>
      <w:r w:rsidR="00D854BE" w:rsidRPr="009C5F11">
        <w:rPr>
          <w:rFonts w:ascii="Times New Roman" w:hAnsi="Times New Roman" w:cs="Times New Roman"/>
          <w:sz w:val="24"/>
          <w:lang w:val="ro-RO"/>
        </w:rPr>
        <w:t xml:space="preserve"> </w:t>
      </w:r>
      <w:r w:rsidR="00440F5F" w:rsidRPr="009C5F11">
        <w:rPr>
          <w:rFonts w:ascii="Times New Roman" w:hAnsi="Times New Roman" w:cs="Times New Roman"/>
          <w:sz w:val="24"/>
          <w:lang w:val="ro-RO"/>
        </w:rPr>
        <w:t xml:space="preserve">A se vedea Secţiunea </w:t>
      </w:r>
      <w:r w:rsidR="003A6ADB" w:rsidRPr="009C5F11">
        <w:rPr>
          <w:rFonts w:ascii="Times New Roman" w:hAnsi="Times New Roman" w:cs="Times New Roman"/>
          <w:sz w:val="24"/>
          <w:lang w:val="ro-RO"/>
        </w:rPr>
        <w:fldChar w:fldCharType="begin"/>
      </w:r>
      <w:r w:rsidR="00440F5F" w:rsidRPr="009C5F11">
        <w:rPr>
          <w:rFonts w:ascii="Times New Roman" w:hAnsi="Times New Roman" w:cs="Times New Roman"/>
          <w:sz w:val="24"/>
          <w:lang w:val="ro-RO"/>
        </w:rPr>
        <w:instrText xml:space="preserve"> REF _Ref319774360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4.5</w:t>
      </w:r>
      <w:r w:rsidR="003A6ADB" w:rsidRPr="009C5F11">
        <w:rPr>
          <w:rFonts w:ascii="Times New Roman" w:hAnsi="Times New Roman" w:cs="Times New Roman"/>
          <w:sz w:val="24"/>
          <w:lang w:val="ro-RO"/>
        </w:rPr>
        <w:fldChar w:fldCharType="end"/>
      </w:r>
      <w:r w:rsidR="00440F5F" w:rsidRPr="009C5F11">
        <w:rPr>
          <w:rFonts w:ascii="Times New Roman" w:hAnsi="Times New Roman" w:cs="Times New Roman"/>
          <w:sz w:val="24"/>
          <w:lang w:val="ro-RO"/>
        </w:rPr>
        <w:t>. p</w:t>
      </w:r>
      <w:r w:rsidR="00E37CA5" w:rsidRPr="009C5F11">
        <w:rPr>
          <w:rFonts w:ascii="Times New Roman" w:hAnsi="Times New Roman" w:cs="Times New Roman"/>
          <w:sz w:val="24"/>
          <w:lang w:val="ro-RO"/>
        </w:rPr>
        <w:t>entru a urmări calculul în detaliu al acestui obiecti</w:t>
      </w:r>
      <w:r w:rsidR="002C7A1A" w:rsidRPr="009C5F11">
        <w:rPr>
          <w:rFonts w:ascii="Times New Roman" w:hAnsi="Times New Roman" w:cs="Times New Roman"/>
          <w:sz w:val="24"/>
          <w:lang w:val="ro-RO"/>
        </w:rPr>
        <w:t>v</w:t>
      </w:r>
      <w:r w:rsidR="00440F5F" w:rsidRPr="009C5F11">
        <w:rPr>
          <w:rFonts w:ascii="Times New Roman" w:hAnsi="Times New Roman" w:cs="Times New Roman"/>
          <w:sz w:val="24"/>
          <w:lang w:val="ro-RO"/>
        </w:rPr>
        <w:t>.</w:t>
      </w:r>
      <w:r w:rsidR="00D854BE" w:rsidRPr="009C5F11">
        <w:rPr>
          <w:rFonts w:ascii="Times New Roman" w:hAnsi="Times New Roman" w:cs="Times New Roman"/>
          <w:sz w:val="24"/>
          <w:lang w:val="ro-RO"/>
        </w:rPr>
        <w:t xml:space="preserve"> </w:t>
      </w:r>
    </w:p>
    <w:p w14:paraId="0C8B5116" w14:textId="77777777" w:rsidR="005F4E52" w:rsidRPr="009C5F11" w:rsidRDefault="005F4E52" w:rsidP="005B6B5E">
      <w:pPr>
        <w:spacing w:before="120" w:after="120" w:line="240" w:lineRule="auto"/>
        <w:jc w:val="both"/>
        <w:textAlignment w:val="baseline"/>
        <w:rPr>
          <w:rFonts w:ascii="Times New Roman" w:hAnsi="Times New Roman" w:cs="Times New Roman"/>
          <w:color w:val="0000FF"/>
          <w:sz w:val="24"/>
          <w:lang w:val="ro-RO"/>
        </w:rPr>
      </w:pPr>
    </w:p>
    <w:p w14:paraId="57B28259" w14:textId="77777777" w:rsidR="002733CB" w:rsidRPr="00D9464A" w:rsidRDefault="006F69A2" w:rsidP="008321AB">
      <w:pPr>
        <w:pStyle w:val="Titlu3"/>
        <w:rPr>
          <w:rFonts w:ascii="Times New Roman" w:hAnsi="Times New Roman" w:cs="Times New Roman"/>
          <w:b/>
          <w:color w:val="000000" w:themeColor="text1"/>
          <w:sz w:val="28"/>
          <w:lang w:val="ro-RO"/>
        </w:rPr>
      </w:pPr>
      <w:bookmarkStart w:id="58" w:name="_Ref314354701"/>
      <w:bookmarkStart w:id="59" w:name="_Ref314354777"/>
      <w:bookmarkStart w:id="60" w:name="_Toc314361405"/>
      <w:bookmarkStart w:id="61" w:name="_Toc319555376"/>
      <w:bookmarkStart w:id="62" w:name="_Ref319618226"/>
      <w:bookmarkStart w:id="63" w:name="_Toc322013142"/>
      <w:r w:rsidRPr="00D9464A">
        <w:rPr>
          <w:rFonts w:ascii="Times New Roman" w:hAnsi="Times New Roman" w:cs="Times New Roman"/>
          <w:b/>
          <w:color w:val="000000" w:themeColor="text1"/>
          <w:sz w:val="28"/>
          <w:lang w:val="ro-RO"/>
        </w:rPr>
        <w:t xml:space="preserve">Impactul preconizat al obiectivului asupra consumului total </w:t>
      </w:r>
      <w:r w:rsidR="009D6F58" w:rsidRPr="00D9464A">
        <w:rPr>
          <w:rFonts w:ascii="Times New Roman" w:hAnsi="Times New Roman" w:cs="Times New Roman"/>
          <w:b/>
          <w:color w:val="000000" w:themeColor="text1"/>
          <w:sz w:val="28"/>
          <w:lang w:val="ro-RO"/>
        </w:rPr>
        <w:t xml:space="preserve">primar şi final </w:t>
      </w:r>
      <w:r w:rsidRPr="00D9464A">
        <w:rPr>
          <w:rFonts w:ascii="Times New Roman" w:hAnsi="Times New Roman" w:cs="Times New Roman"/>
          <w:b/>
          <w:color w:val="000000" w:themeColor="text1"/>
          <w:sz w:val="28"/>
          <w:lang w:val="ro-RO"/>
        </w:rPr>
        <w:t xml:space="preserve">de energie către anul 2020 şi în ce mod şi pe baza căror date acesta a fost </w:t>
      </w:r>
      <w:bookmarkEnd w:id="58"/>
      <w:bookmarkEnd w:id="59"/>
      <w:bookmarkEnd w:id="60"/>
      <w:r w:rsidR="002733CB" w:rsidRPr="00D9464A">
        <w:rPr>
          <w:rFonts w:ascii="Times New Roman" w:hAnsi="Times New Roman" w:cs="Times New Roman"/>
          <w:b/>
          <w:color w:val="000000" w:themeColor="text1"/>
          <w:sz w:val="28"/>
          <w:lang w:val="ro-RO"/>
        </w:rPr>
        <w:t>calculat</w:t>
      </w:r>
      <w:bookmarkEnd w:id="61"/>
      <w:bookmarkEnd w:id="62"/>
      <w:bookmarkEnd w:id="63"/>
    </w:p>
    <w:p w14:paraId="763F6380" w14:textId="22748F96" w:rsidR="002733CB" w:rsidRPr="009C5F11" w:rsidRDefault="00812E1D"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Estimările privind consumul </w:t>
      </w:r>
      <w:r w:rsidR="009D6F58" w:rsidRPr="009C5F11">
        <w:rPr>
          <w:rFonts w:ascii="Times New Roman" w:hAnsi="Times New Roman" w:cs="Times New Roman"/>
          <w:sz w:val="24"/>
          <w:lang w:val="ro-RO"/>
        </w:rPr>
        <w:t xml:space="preserve">primar </w:t>
      </w:r>
      <w:r w:rsidRPr="009C5F11">
        <w:rPr>
          <w:rFonts w:ascii="Times New Roman" w:hAnsi="Times New Roman" w:cs="Times New Roman"/>
          <w:sz w:val="24"/>
          <w:lang w:val="ro-RO"/>
        </w:rPr>
        <w:t xml:space="preserve">de energie în anul 2020 au fost realizate în contextul elaborării Planului de acţiuni în domeniul energiei regenerabile, luând ca referinţă balanţa energetică din anul 2009. Consumul de energie primară fără întreprinderea oricăror măsuri </w:t>
      </w:r>
      <w:r w:rsidR="00127E34" w:rsidRPr="009C5F11">
        <w:rPr>
          <w:rFonts w:ascii="Times New Roman" w:hAnsi="Times New Roman" w:cs="Times New Roman"/>
          <w:sz w:val="24"/>
          <w:lang w:val="ro-RO"/>
        </w:rPr>
        <w:t>de reducere a consumului energetic</w:t>
      </w:r>
      <w:r w:rsidRPr="009C5F11">
        <w:rPr>
          <w:rFonts w:ascii="Times New Roman" w:hAnsi="Times New Roman" w:cs="Times New Roman"/>
          <w:sz w:val="24"/>
          <w:lang w:val="ro-RO"/>
        </w:rPr>
        <w:t xml:space="preserve"> (Business-as-Usual) a fost estimat la nivel de 2693 ktep. La baza efectuării acestor calcule a fost pus consumul brut intern de energie din anul 2009 în volum de 2071 ktep divizat pe următoarele categorii</w:t>
      </w:r>
      <w:r w:rsidR="002733CB" w:rsidRPr="009C5F11">
        <w:rPr>
          <w:rFonts w:ascii="Times New Roman" w:hAnsi="Times New Roman" w:cs="Times New Roman"/>
          <w:sz w:val="24"/>
          <w:lang w:val="ro-RO"/>
        </w:rPr>
        <w:t xml:space="preserve">: </w:t>
      </w:r>
    </w:p>
    <w:p w14:paraId="78D9172A" w14:textId="77777777" w:rsidR="002733CB" w:rsidRPr="009C5F11" w:rsidRDefault="002733CB"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1</w:t>
      </w:r>
      <w:r w:rsidR="00455572" w:rsidRPr="009C5F11">
        <w:rPr>
          <w:rFonts w:ascii="Times New Roman" w:hAnsi="Times New Roman" w:cs="Times New Roman"/>
          <w:sz w:val="24"/>
          <w:lang w:val="ro-RO"/>
        </w:rPr>
        <w:t>,</w:t>
      </w:r>
      <w:r w:rsidRPr="009C5F11">
        <w:rPr>
          <w:rFonts w:ascii="Times New Roman" w:hAnsi="Times New Roman" w:cs="Times New Roman"/>
          <w:sz w:val="24"/>
          <w:lang w:val="ro-RO"/>
        </w:rPr>
        <w:t xml:space="preserve">224 </w:t>
      </w:r>
      <w:r w:rsidR="00E52940" w:rsidRPr="009C5F11">
        <w:rPr>
          <w:rFonts w:ascii="Times New Roman" w:hAnsi="Times New Roman" w:cs="Times New Roman"/>
          <w:sz w:val="24"/>
          <w:lang w:val="ro-RO"/>
        </w:rPr>
        <w:t>ktep</w:t>
      </w:r>
      <w:r w:rsidRPr="009C5F11">
        <w:rPr>
          <w:rFonts w:ascii="Times New Roman" w:hAnsi="Times New Roman" w:cs="Times New Roman"/>
          <w:sz w:val="24"/>
          <w:lang w:val="ro-RO"/>
        </w:rPr>
        <w:t xml:space="preserve">: </w:t>
      </w:r>
      <w:r w:rsidR="006F69A2" w:rsidRPr="009C5F11">
        <w:rPr>
          <w:rFonts w:ascii="Times New Roman" w:hAnsi="Times New Roman" w:cs="Times New Roman"/>
          <w:sz w:val="24"/>
          <w:lang w:val="ro-RO"/>
        </w:rPr>
        <w:t>Consumul pentru încălzire şi răcire</w:t>
      </w:r>
      <w:r w:rsidRPr="009C5F11">
        <w:rPr>
          <w:rFonts w:ascii="Times New Roman" w:hAnsi="Times New Roman" w:cs="Times New Roman"/>
          <w:sz w:val="24"/>
          <w:lang w:val="ro-RO"/>
        </w:rPr>
        <w:t>;</w:t>
      </w:r>
    </w:p>
    <w:p w14:paraId="3B5A953A" w14:textId="77777777" w:rsidR="002733CB" w:rsidRPr="009C5F11" w:rsidRDefault="002733CB"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286 </w:t>
      </w:r>
      <w:r w:rsidR="00E52940" w:rsidRPr="009C5F11">
        <w:rPr>
          <w:rFonts w:ascii="Times New Roman" w:hAnsi="Times New Roman" w:cs="Times New Roman"/>
          <w:sz w:val="24"/>
          <w:lang w:val="ro-RO"/>
        </w:rPr>
        <w:t>ktep</w:t>
      </w:r>
      <w:r w:rsidRPr="009C5F11">
        <w:rPr>
          <w:rFonts w:ascii="Times New Roman" w:hAnsi="Times New Roman" w:cs="Times New Roman"/>
          <w:sz w:val="24"/>
          <w:lang w:val="ro-RO"/>
        </w:rPr>
        <w:t xml:space="preserve">: </w:t>
      </w:r>
      <w:r w:rsidR="006F69A2" w:rsidRPr="009C5F11">
        <w:rPr>
          <w:rFonts w:ascii="Times New Roman" w:hAnsi="Times New Roman" w:cs="Times New Roman"/>
          <w:sz w:val="24"/>
          <w:lang w:val="ro-RO"/>
        </w:rPr>
        <w:t>C</w:t>
      </w:r>
      <w:r w:rsidRPr="009C5F11">
        <w:rPr>
          <w:rFonts w:ascii="Times New Roman" w:hAnsi="Times New Roman" w:cs="Times New Roman"/>
          <w:sz w:val="24"/>
          <w:lang w:val="ro-RO"/>
        </w:rPr>
        <w:t>onsum</w:t>
      </w:r>
      <w:r w:rsidR="006F69A2" w:rsidRPr="009C5F11">
        <w:rPr>
          <w:rFonts w:ascii="Times New Roman" w:hAnsi="Times New Roman" w:cs="Times New Roman"/>
          <w:sz w:val="24"/>
          <w:lang w:val="ro-RO"/>
        </w:rPr>
        <w:t>ul de energie electrică</w:t>
      </w:r>
      <w:r w:rsidRPr="009C5F11">
        <w:rPr>
          <w:rFonts w:ascii="Times New Roman" w:hAnsi="Times New Roman" w:cs="Times New Roman"/>
          <w:sz w:val="24"/>
          <w:lang w:val="ro-RO"/>
        </w:rPr>
        <w:t>;</w:t>
      </w:r>
    </w:p>
    <w:p w14:paraId="1D1BAC5D" w14:textId="77777777" w:rsidR="002733CB" w:rsidRPr="009C5F11" w:rsidRDefault="002733CB"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561 </w:t>
      </w:r>
      <w:r w:rsidR="00E52940" w:rsidRPr="009C5F11">
        <w:rPr>
          <w:rFonts w:ascii="Times New Roman" w:hAnsi="Times New Roman" w:cs="Times New Roman"/>
          <w:sz w:val="24"/>
          <w:lang w:val="ro-RO"/>
        </w:rPr>
        <w:t>ktep</w:t>
      </w:r>
      <w:r w:rsidRPr="009C5F11">
        <w:rPr>
          <w:rFonts w:ascii="Times New Roman" w:hAnsi="Times New Roman" w:cs="Times New Roman"/>
          <w:sz w:val="24"/>
          <w:lang w:val="ro-RO"/>
        </w:rPr>
        <w:t xml:space="preserve">: </w:t>
      </w:r>
      <w:r w:rsidR="006F69A2" w:rsidRPr="009C5F11">
        <w:rPr>
          <w:rFonts w:ascii="Times New Roman" w:hAnsi="Times New Roman" w:cs="Times New Roman"/>
          <w:sz w:val="24"/>
          <w:lang w:val="ro-RO"/>
        </w:rPr>
        <w:t xml:space="preserve">Consumul de </w:t>
      </w:r>
      <w:r w:rsidR="00812E1D" w:rsidRPr="009C5F11">
        <w:rPr>
          <w:rFonts w:ascii="Times New Roman" w:hAnsi="Times New Roman" w:cs="Times New Roman"/>
          <w:sz w:val="24"/>
          <w:lang w:val="ro-RO"/>
        </w:rPr>
        <w:t>energie în</w:t>
      </w:r>
      <w:r w:rsidR="006F69A2" w:rsidRPr="009C5F11">
        <w:rPr>
          <w:rFonts w:ascii="Times New Roman" w:hAnsi="Times New Roman" w:cs="Times New Roman"/>
          <w:sz w:val="24"/>
          <w:lang w:val="ro-RO"/>
        </w:rPr>
        <w:t xml:space="preserve"> t</w:t>
      </w:r>
      <w:r w:rsidRPr="009C5F11">
        <w:rPr>
          <w:rFonts w:ascii="Times New Roman" w:hAnsi="Times New Roman" w:cs="Times New Roman"/>
          <w:sz w:val="24"/>
          <w:lang w:val="ro-RO"/>
        </w:rPr>
        <w:t>ransport</w:t>
      </w:r>
      <w:r w:rsidR="00812E1D" w:rsidRPr="009C5F11">
        <w:rPr>
          <w:rFonts w:ascii="Times New Roman" w:hAnsi="Times New Roman" w:cs="Times New Roman"/>
          <w:sz w:val="24"/>
          <w:lang w:val="ro-RO"/>
        </w:rPr>
        <w:t>uri</w:t>
      </w:r>
      <w:r w:rsidRPr="009C5F11">
        <w:rPr>
          <w:rFonts w:ascii="Times New Roman" w:hAnsi="Times New Roman" w:cs="Times New Roman"/>
          <w:sz w:val="24"/>
          <w:lang w:val="ro-RO"/>
        </w:rPr>
        <w:t>.</w:t>
      </w:r>
    </w:p>
    <w:p w14:paraId="05CA45B9" w14:textId="77777777" w:rsidR="00B808F6" w:rsidRPr="009C5F11" w:rsidRDefault="00812E1D"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lastRenderedPageBreak/>
        <w:t xml:space="preserve">Pentru efectuarea calculelor a fost utilizată aplicaţia software MARKAL (MARKET ALLOCATION – </w:t>
      </w:r>
      <w:r w:rsidRPr="009C5F11">
        <w:rPr>
          <w:rFonts w:ascii="Times New Roman" w:hAnsi="Times New Roman" w:cs="Times New Roman"/>
          <w:i/>
          <w:sz w:val="24"/>
          <w:lang w:val="ro-RO"/>
        </w:rPr>
        <w:t>repartizarea pieţei</w:t>
      </w:r>
      <w:r w:rsidRPr="009C5F11">
        <w:rPr>
          <w:rFonts w:ascii="Times New Roman" w:hAnsi="Times New Roman" w:cs="Times New Roman"/>
          <w:sz w:val="24"/>
          <w:lang w:val="ro-RO"/>
        </w:rPr>
        <w:t>) – un model integrat de optimizare, la cel mai mic cost, a sistemului energetic care determină opţiunea celor mai mici costuri pentru a satisface cererea de servicii energetice (elaborat de Agenţia Internaţională pentru Energie (IEA)).</w:t>
      </w:r>
    </w:p>
    <w:p w14:paraId="03F7072A" w14:textId="3582CD11" w:rsidR="002733CB" w:rsidRPr="009C5F11" w:rsidRDefault="00812E1D"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În </w:t>
      </w:r>
      <w:r w:rsidR="009D6F58" w:rsidRPr="009C5F11">
        <w:rPr>
          <w:rFonts w:ascii="Times New Roman" w:hAnsi="Times New Roman" w:cs="Times New Roman"/>
          <w:sz w:val="24"/>
          <w:lang w:val="ro-RO"/>
        </w:rPr>
        <w:t>scopul elaborării</w:t>
      </w:r>
      <w:r w:rsidRPr="009C5F11">
        <w:rPr>
          <w:rFonts w:ascii="Times New Roman" w:hAnsi="Times New Roman" w:cs="Times New Roman"/>
          <w:sz w:val="24"/>
          <w:lang w:val="ro-RO"/>
        </w:rPr>
        <w:t xml:space="preserve"> PNAEE 2016-2018, previziunile au fost reînnoite şi completate cu cele despre consumul de energie finală, după cum este indicat în </w:t>
      </w:r>
      <w:r w:rsidR="003A6ADB" w:rsidRPr="009C5F11">
        <w:rPr>
          <w:rFonts w:ascii="Times New Roman" w:hAnsi="Times New Roman" w:cs="Times New Roman"/>
          <w:sz w:val="24"/>
          <w:lang w:val="ro-RO"/>
        </w:rPr>
        <w:fldChar w:fldCharType="begin"/>
      </w:r>
      <w:r w:rsidR="00240B22" w:rsidRPr="009C5F11">
        <w:rPr>
          <w:rFonts w:ascii="Times New Roman" w:hAnsi="Times New Roman" w:cs="Times New Roman"/>
          <w:sz w:val="24"/>
          <w:lang w:val="ro-RO"/>
        </w:rPr>
        <w:instrText xml:space="preserve"> REF _Ref319616766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9</w:t>
      </w:r>
      <w:r w:rsidR="003A6ADB" w:rsidRPr="009C5F11">
        <w:rPr>
          <w:rFonts w:ascii="Times New Roman" w:hAnsi="Times New Roman" w:cs="Times New Roman"/>
          <w:sz w:val="24"/>
          <w:lang w:val="ro-RO"/>
        </w:rPr>
        <w:fldChar w:fldCharType="end"/>
      </w:r>
      <w:r w:rsidR="00321CD5" w:rsidRPr="009C5F11">
        <w:rPr>
          <w:rFonts w:ascii="Times New Roman" w:hAnsi="Times New Roman" w:cs="Times New Roman"/>
          <w:sz w:val="24"/>
          <w:lang w:val="ro-RO"/>
        </w:rPr>
        <w:t xml:space="preserve"> şi </w:t>
      </w:r>
      <w:r w:rsidR="003A6ADB" w:rsidRPr="009C5F11">
        <w:rPr>
          <w:rFonts w:ascii="Times New Roman" w:hAnsi="Times New Roman" w:cs="Times New Roman"/>
          <w:sz w:val="24"/>
          <w:lang w:val="ro-RO"/>
        </w:rPr>
        <w:fldChar w:fldCharType="begin"/>
      </w:r>
      <w:r w:rsidR="000B0C58" w:rsidRPr="009C5F11">
        <w:rPr>
          <w:rFonts w:ascii="Times New Roman" w:hAnsi="Times New Roman" w:cs="Times New Roman"/>
          <w:sz w:val="24"/>
          <w:lang w:val="ro-RO"/>
        </w:rPr>
        <w:instrText xml:space="preserve"> REF _Ref319710606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 xml:space="preserve">Figura </w:t>
      </w:r>
      <w:r w:rsidR="0014013D" w:rsidRPr="0014013D">
        <w:rPr>
          <w:rFonts w:ascii="Times New Roman" w:hAnsi="Times New Roman" w:cs="Times New Roman"/>
          <w:noProof/>
          <w:sz w:val="24"/>
          <w:lang w:val="ro-RO"/>
        </w:rPr>
        <w:t>2</w:t>
      </w:r>
      <w:r w:rsidR="003A6ADB" w:rsidRPr="009C5F11">
        <w:rPr>
          <w:rFonts w:ascii="Times New Roman" w:hAnsi="Times New Roman" w:cs="Times New Roman"/>
          <w:sz w:val="24"/>
          <w:lang w:val="ro-RO"/>
        </w:rPr>
        <w:fldChar w:fldCharType="end"/>
      </w:r>
      <w:r w:rsidR="000B0C58" w:rsidRPr="009C5F11">
        <w:rPr>
          <w:rFonts w:ascii="Times New Roman" w:hAnsi="Times New Roman" w:cs="Times New Roman"/>
          <w:sz w:val="24"/>
          <w:lang w:val="ro-RO"/>
        </w:rPr>
        <w:t>.</w:t>
      </w:r>
    </w:p>
    <w:p w14:paraId="777B7322" w14:textId="77777777" w:rsidR="00240B22" w:rsidRPr="009C5F11" w:rsidRDefault="00321CD5" w:rsidP="007C2536">
      <w:pPr>
        <w:pStyle w:val="Legend"/>
        <w:keepNext/>
        <w:jc w:val="center"/>
        <w:rPr>
          <w:rFonts w:ascii="Times New Roman" w:hAnsi="Times New Roman" w:cs="Times New Roman"/>
          <w:sz w:val="22"/>
          <w:lang w:val="ro-RO"/>
        </w:rPr>
      </w:pPr>
      <w:bookmarkStart w:id="64" w:name="_Ref319616766"/>
      <w:bookmarkStart w:id="65" w:name="_Toc322013232"/>
      <w:r w:rsidRPr="009C5F11">
        <w:rPr>
          <w:rFonts w:ascii="Times New Roman" w:hAnsi="Times New Roman" w:cs="Times New Roman"/>
          <w:sz w:val="22"/>
          <w:lang w:val="ro-RO"/>
        </w:rPr>
        <w:t>Tabelul</w:t>
      </w:r>
      <w:r w:rsidR="00240B22"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240B22"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9</w:t>
      </w:r>
      <w:r w:rsidR="003A6ADB" w:rsidRPr="009C5F11">
        <w:rPr>
          <w:rFonts w:ascii="Times New Roman" w:hAnsi="Times New Roman" w:cs="Times New Roman"/>
          <w:sz w:val="22"/>
          <w:lang w:val="ro-RO"/>
        </w:rPr>
        <w:fldChar w:fldCharType="end"/>
      </w:r>
      <w:bookmarkEnd w:id="64"/>
      <w:r w:rsidR="00240B22" w:rsidRPr="009C5F11">
        <w:rPr>
          <w:rFonts w:ascii="Times New Roman" w:hAnsi="Times New Roman" w:cs="Times New Roman"/>
          <w:sz w:val="22"/>
          <w:lang w:val="ro-RO"/>
        </w:rPr>
        <w:t xml:space="preserve"> - </w:t>
      </w:r>
      <w:r w:rsidR="00812E1D" w:rsidRPr="009C5F11">
        <w:rPr>
          <w:rFonts w:ascii="Times New Roman" w:hAnsi="Times New Roman" w:cs="Times New Roman"/>
          <w:sz w:val="22"/>
          <w:lang w:val="ro-RO"/>
        </w:rPr>
        <w:t>Previziuni ale consumului total de energie primară şi ale consumului de energie finală.</w:t>
      </w:r>
      <w:bookmarkEnd w:id="65"/>
    </w:p>
    <w:tbl>
      <w:tblPr>
        <w:tblW w:w="0" w:type="auto"/>
        <w:jc w:val="center"/>
        <w:tblBorders>
          <w:top w:val="single" w:sz="8" w:space="0" w:color="001C53" w:themeColor="accent2" w:themeShade="80"/>
          <w:left w:val="single" w:sz="8" w:space="0" w:color="001C53" w:themeColor="accent2" w:themeShade="80"/>
          <w:bottom w:val="single" w:sz="8" w:space="0" w:color="001C53" w:themeColor="accent2" w:themeShade="80"/>
          <w:right w:val="single" w:sz="8" w:space="0" w:color="001C53" w:themeColor="accent2" w:themeShade="80"/>
          <w:insideH w:val="single" w:sz="8" w:space="0" w:color="001C53" w:themeColor="accent2" w:themeShade="80"/>
        </w:tblBorders>
        <w:tblLook w:val="04A0" w:firstRow="1" w:lastRow="0" w:firstColumn="1" w:lastColumn="0" w:noHBand="0" w:noVBand="1"/>
      </w:tblPr>
      <w:tblGrid>
        <w:gridCol w:w="3231"/>
        <w:gridCol w:w="576"/>
        <w:gridCol w:w="576"/>
        <w:gridCol w:w="576"/>
        <w:gridCol w:w="576"/>
        <w:gridCol w:w="576"/>
        <w:gridCol w:w="576"/>
        <w:gridCol w:w="576"/>
        <w:gridCol w:w="576"/>
        <w:gridCol w:w="576"/>
        <w:gridCol w:w="576"/>
      </w:tblGrid>
      <w:tr w:rsidR="00C8520D" w:rsidRPr="009C5F11" w14:paraId="4F203C0F" w14:textId="77777777" w:rsidTr="00C8520D">
        <w:trPr>
          <w:trHeight w:val="66"/>
          <w:jc w:val="center"/>
        </w:trPr>
        <w:tc>
          <w:tcPr>
            <w:tcW w:w="0" w:type="auto"/>
            <w:shd w:val="clear" w:color="auto" w:fill="000080"/>
            <w:noWrap/>
            <w:vAlign w:val="bottom"/>
            <w:hideMark/>
          </w:tcPr>
          <w:p w14:paraId="55FCC926" w14:textId="77777777" w:rsidR="00C8520D" w:rsidRPr="009C5F11" w:rsidRDefault="00C8520D" w:rsidP="00C8520D">
            <w:pPr>
              <w:spacing w:after="0"/>
              <w:jc w:val="both"/>
              <w:rPr>
                <w:rFonts w:ascii="Times New Roman" w:eastAsia="Calibri" w:hAnsi="Times New Roman" w:cs="Times New Roman"/>
                <w:b/>
                <w:color w:val="FFFFFF"/>
                <w:sz w:val="18"/>
                <w:szCs w:val="14"/>
                <w:lang w:val="ro-RO"/>
              </w:rPr>
            </w:pPr>
          </w:p>
        </w:tc>
        <w:tc>
          <w:tcPr>
            <w:tcW w:w="0" w:type="auto"/>
            <w:gridSpan w:val="10"/>
            <w:shd w:val="clear" w:color="auto" w:fill="000080"/>
            <w:noWrap/>
            <w:vAlign w:val="bottom"/>
            <w:hideMark/>
          </w:tcPr>
          <w:p w14:paraId="5DBDA2ED" w14:textId="77777777" w:rsidR="00C8520D" w:rsidRPr="009C5F11" w:rsidRDefault="00C8520D" w:rsidP="00C8520D">
            <w:pPr>
              <w:spacing w:after="0"/>
              <w:jc w:val="both"/>
              <w:rPr>
                <w:rFonts w:ascii="Times New Roman" w:eastAsia="Calibri" w:hAnsi="Times New Roman" w:cs="Times New Roman"/>
                <w:b/>
                <w:bCs/>
                <w:color w:val="FFFFFF"/>
                <w:sz w:val="18"/>
                <w:szCs w:val="14"/>
                <w:lang w:val="ro-RO"/>
              </w:rPr>
            </w:pPr>
            <w:r w:rsidRPr="009C5F11">
              <w:rPr>
                <w:rFonts w:ascii="Times New Roman" w:eastAsia="Calibri" w:hAnsi="Times New Roman" w:cs="Times New Roman"/>
                <w:b/>
                <w:bCs/>
                <w:color w:val="FFFFFF"/>
                <w:sz w:val="18"/>
                <w:szCs w:val="14"/>
                <w:lang w:val="ro-RO"/>
              </w:rPr>
              <w:t>Ktep</w:t>
            </w:r>
          </w:p>
        </w:tc>
      </w:tr>
      <w:tr w:rsidR="00C8520D" w:rsidRPr="009C5F11" w14:paraId="17F11EE1" w14:textId="77777777" w:rsidTr="00C8520D">
        <w:trPr>
          <w:trHeight w:val="300"/>
          <w:jc w:val="center"/>
        </w:trPr>
        <w:tc>
          <w:tcPr>
            <w:tcW w:w="0" w:type="auto"/>
            <w:shd w:val="clear" w:color="auto" w:fill="000080"/>
            <w:noWrap/>
            <w:vAlign w:val="bottom"/>
            <w:hideMark/>
          </w:tcPr>
          <w:p w14:paraId="22ACDCC0" w14:textId="77777777" w:rsidR="00C8520D" w:rsidRPr="009C5F11" w:rsidRDefault="00DE63F7"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An</w:t>
            </w:r>
          </w:p>
        </w:tc>
        <w:tc>
          <w:tcPr>
            <w:tcW w:w="0" w:type="auto"/>
            <w:shd w:val="clear" w:color="auto" w:fill="000080"/>
            <w:noWrap/>
            <w:vAlign w:val="center"/>
            <w:hideMark/>
          </w:tcPr>
          <w:p w14:paraId="5C9D684C" w14:textId="77777777" w:rsidR="00C8520D" w:rsidRPr="009C5F11" w:rsidRDefault="00C8520D"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2011</w:t>
            </w:r>
          </w:p>
        </w:tc>
        <w:tc>
          <w:tcPr>
            <w:tcW w:w="0" w:type="auto"/>
            <w:shd w:val="clear" w:color="auto" w:fill="000080"/>
            <w:noWrap/>
            <w:vAlign w:val="center"/>
            <w:hideMark/>
          </w:tcPr>
          <w:p w14:paraId="1DB70E71" w14:textId="77777777" w:rsidR="00C8520D" w:rsidRPr="009C5F11" w:rsidRDefault="00C8520D"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2012</w:t>
            </w:r>
          </w:p>
        </w:tc>
        <w:tc>
          <w:tcPr>
            <w:tcW w:w="0" w:type="auto"/>
            <w:shd w:val="clear" w:color="auto" w:fill="000080"/>
            <w:noWrap/>
            <w:vAlign w:val="center"/>
            <w:hideMark/>
          </w:tcPr>
          <w:p w14:paraId="12B1CEEF" w14:textId="77777777" w:rsidR="00C8520D" w:rsidRPr="009C5F11" w:rsidRDefault="00C8520D"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2013</w:t>
            </w:r>
          </w:p>
        </w:tc>
        <w:tc>
          <w:tcPr>
            <w:tcW w:w="0" w:type="auto"/>
            <w:shd w:val="clear" w:color="auto" w:fill="000080"/>
            <w:noWrap/>
            <w:vAlign w:val="center"/>
            <w:hideMark/>
          </w:tcPr>
          <w:p w14:paraId="4A5C5E0C" w14:textId="77777777" w:rsidR="00C8520D" w:rsidRPr="009C5F11" w:rsidRDefault="00C8520D"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2014</w:t>
            </w:r>
          </w:p>
        </w:tc>
        <w:tc>
          <w:tcPr>
            <w:tcW w:w="0" w:type="auto"/>
            <w:shd w:val="clear" w:color="auto" w:fill="000080"/>
            <w:noWrap/>
            <w:vAlign w:val="center"/>
            <w:hideMark/>
          </w:tcPr>
          <w:p w14:paraId="5490C72D" w14:textId="77777777" w:rsidR="00C8520D" w:rsidRPr="009C5F11" w:rsidRDefault="00C8520D"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2015</w:t>
            </w:r>
          </w:p>
        </w:tc>
        <w:tc>
          <w:tcPr>
            <w:tcW w:w="0" w:type="auto"/>
            <w:shd w:val="clear" w:color="auto" w:fill="000080"/>
            <w:noWrap/>
            <w:vAlign w:val="center"/>
            <w:hideMark/>
          </w:tcPr>
          <w:p w14:paraId="5135FADD" w14:textId="77777777" w:rsidR="00C8520D" w:rsidRPr="009C5F11" w:rsidRDefault="00C8520D"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2016</w:t>
            </w:r>
          </w:p>
        </w:tc>
        <w:tc>
          <w:tcPr>
            <w:tcW w:w="0" w:type="auto"/>
            <w:shd w:val="clear" w:color="auto" w:fill="000080"/>
            <w:noWrap/>
            <w:vAlign w:val="center"/>
            <w:hideMark/>
          </w:tcPr>
          <w:p w14:paraId="1EE5D13F" w14:textId="77777777" w:rsidR="00C8520D" w:rsidRPr="009C5F11" w:rsidRDefault="00C8520D"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2017</w:t>
            </w:r>
          </w:p>
        </w:tc>
        <w:tc>
          <w:tcPr>
            <w:tcW w:w="0" w:type="auto"/>
            <w:shd w:val="clear" w:color="auto" w:fill="000080"/>
            <w:noWrap/>
            <w:vAlign w:val="center"/>
            <w:hideMark/>
          </w:tcPr>
          <w:p w14:paraId="71991302" w14:textId="77777777" w:rsidR="00C8520D" w:rsidRPr="009C5F11" w:rsidRDefault="00C8520D"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2018</w:t>
            </w:r>
          </w:p>
        </w:tc>
        <w:tc>
          <w:tcPr>
            <w:tcW w:w="0" w:type="auto"/>
            <w:shd w:val="clear" w:color="auto" w:fill="000080"/>
            <w:noWrap/>
            <w:vAlign w:val="center"/>
            <w:hideMark/>
          </w:tcPr>
          <w:p w14:paraId="187B2B9D" w14:textId="77777777" w:rsidR="00C8520D" w:rsidRPr="009C5F11" w:rsidRDefault="00C8520D"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2019</w:t>
            </w:r>
          </w:p>
        </w:tc>
        <w:tc>
          <w:tcPr>
            <w:tcW w:w="0" w:type="auto"/>
            <w:shd w:val="clear" w:color="auto" w:fill="000080"/>
            <w:noWrap/>
            <w:vAlign w:val="center"/>
            <w:hideMark/>
          </w:tcPr>
          <w:p w14:paraId="4844F17D" w14:textId="77777777" w:rsidR="00C8520D" w:rsidRPr="009C5F11" w:rsidRDefault="00C8520D" w:rsidP="00C8520D">
            <w:pPr>
              <w:spacing w:after="0"/>
              <w:jc w:val="both"/>
              <w:rPr>
                <w:rFonts w:ascii="Times New Roman" w:eastAsia="Calibri" w:hAnsi="Times New Roman" w:cs="Times New Roman"/>
                <w:b/>
                <w:bCs/>
                <w:color w:val="FFFFFF"/>
                <w:sz w:val="16"/>
                <w:szCs w:val="12"/>
                <w:lang w:val="ro-RO"/>
              </w:rPr>
            </w:pPr>
            <w:r w:rsidRPr="009C5F11">
              <w:rPr>
                <w:rFonts w:ascii="Times New Roman" w:eastAsia="Calibri" w:hAnsi="Times New Roman" w:cs="Times New Roman"/>
                <w:b/>
                <w:bCs/>
                <w:color w:val="FFFFFF"/>
                <w:sz w:val="16"/>
                <w:szCs w:val="12"/>
                <w:lang w:val="ro-RO"/>
              </w:rPr>
              <w:t>2020</w:t>
            </w:r>
          </w:p>
        </w:tc>
      </w:tr>
      <w:tr w:rsidR="00C8520D" w:rsidRPr="009C5F11" w14:paraId="53FB5158" w14:textId="77777777" w:rsidTr="00C8520D">
        <w:trPr>
          <w:trHeight w:val="314"/>
          <w:jc w:val="center"/>
        </w:trPr>
        <w:tc>
          <w:tcPr>
            <w:tcW w:w="0" w:type="auto"/>
            <w:shd w:val="clear" w:color="auto" w:fill="auto"/>
            <w:noWrap/>
            <w:vAlign w:val="center"/>
            <w:hideMark/>
          </w:tcPr>
          <w:p w14:paraId="183A68BF" w14:textId="77777777" w:rsidR="00C8520D" w:rsidRPr="009C5F11" w:rsidRDefault="00C8520D" w:rsidP="00C8520D">
            <w:pPr>
              <w:spacing w:after="0"/>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 xml:space="preserve">Consumul </w:t>
            </w:r>
            <w:r w:rsidR="00DE63F7" w:rsidRPr="009C5F11">
              <w:rPr>
                <w:rFonts w:ascii="Times New Roman" w:eastAsia="Calibri" w:hAnsi="Times New Roman" w:cs="Times New Roman"/>
                <w:bCs/>
                <w:sz w:val="18"/>
                <w:szCs w:val="14"/>
                <w:lang w:val="ro-RO"/>
              </w:rPr>
              <w:t xml:space="preserve">primar de energie </w:t>
            </w:r>
            <w:r w:rsidRPr="009C5F11">
              <w:rPr>
                <w:rFonts w:ascii="Times New Roman" w:eastAsia="Calibri" w:hAnsi="Times New Roman" w:cs="Times New Roman"/>
                <w:bCs/>
                <w:sz w:val="18"/>
                <w:szCs w:val="14"/>
                <w:lang w:val="ro-RO"/>
              </w:rPr>
              <w:t xml:space="preserve">estimat </w:t>
            </w:r>
          </w:p>
          <w:p w14:paraId="13D1140C" w14:textId="77777777" w:rsidR="00C87656" w:rsidRPr="009C5F11" w:rsidRDefault="00DE63F7" w:rsidP="00C8520D">
            <w:pPr>
              <w:spacing w:after="0"/>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w:t>
            </w:r>
            <w:r w:rsidR="00C87656" w:rsidRPr="009C5F11">
              <w:rPr>
                <w:rFonts w:ascii="Times New Roman" w:eastAsia="Calibri" w:hAnsi="Times New Roman" w:cs="Times New Roman"/>
                <w:bCs/>
                <w:sz w:val="18"/>
                <w:szCs w:val="14"/>
                <w:lang w:val="ro-RO"/>
              </w:rPr>
              <w:t>BAU</w:t>
            </w:r>
            <w:r w:rsidRPr="009C5F11">
              <w:rPr>
                <w:rFonts w:ascii="Times New Roman" w:eastAsia="Calibri" w:hAnsi="Times New Roman" w:cs="Times New Roman"/>
                <w:bCs/>
                <w:sz w:val="18"/>
                <w:szCs w:val="14"/>
                <w:lang w:val="ro-RO"/>
              </w:rPr>
              <w:t>)</w:t>
            </w:r>
          </w:p>
        </w:tc>
        <w:tc>
          <w:tcPr>
            <w:tcW w:w="0" w:type="auto"/>
            <w:shd w:val="clear" w:color="auto" w:fill="auto"/>
            <w:noWrap/>
            <w:hideMark/>
          </w:tcPr>
          <w:p w14:paraId="56FACDB9"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2301</w:t>
            </w:r>
          </w:p>
        </w:tc>
        <w:tc>
          <w:tcPr>
            <w:tcW w:w="0" w:type="auto"/>
            <w:shd w:val="clear" w:color="auto" w:fill="auto"/>
            <w:noWrap/>
            <w:hideMark/>
          </w:tcPr>
          <w:p w14:paraId="6EB32957"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2340</w:t>
            </w:r>
          </w:p>
        </w:tc>
        <w:tc>
          <w:tcPr>
            <w:tcW w:w="0" w:type="auto"/>
            <w:shd w:val="clear" w:color="auto" w:fill="auto"/>
            <w:noWrap/>
            <w:hideMark/>
          </w:tcPr>
          <w:p w14:paraId="6A45E776"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2381</w:t>
            </w:r>
          </w:p>
        </w:tc>
        <w:tc>
          <w:tcPr>
            <w:tcW w:w="0" w:type="auto"/>
            <w:shd w:val="clear" w:color="auto" w:fill="auto"/>
            <w:noWrap/>
            <w:hideMark/>
          </w:tcPr>
          <w:p w14:paraId="16CD999F"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2422</w:t>
            </w:r>
          </w:p>
        </w:tc>
        <w:tc>
          <w:tcPr>
            <w:tcW w:w="0" w:type="auto"/>
            <w:shd w:val="clear" w:color="auto" w:fill="auto"/>
            <w:noWrap/>
            <w:hideMark/>
          </w:tcPr>
          <w:p w14:paraId="688B36FC"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2463</w:t>
            </w:r>
          </w:p>
        </w:tc>
        <w:tc>
          <w:tcPr>
            <w:tcW w:w="0" w:type="auto"/>
            <w:shd w:val="clear" w:color="auto" w:fill="auto"/>
            <w:noWrap/>
            <w:hideMark/>
          </w:tcPr>
          <w:p w14:paraId="3FC953AA"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2506</w:t>
            </w:r>
          </w:p>
        </w:tc>
        <w:tc>
          <w:tcPr>
            <w:tcW w:w="0" w:type="auto"/>
            <w:shd w:val="clear" w:color="auto" w:fill="auto"/>
            <w:noWrap/>
            <w:hideMark/>
          </w:tcPr>
          <w:p w14:paraId="299B6CBD"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2549</w:t>
            </w:r>
          </w:p>
        </w:tc>
        <w:tc>
          <w:tcPr>
            <w:tcW w:w="0" w:type="auto"/>
            <w:shd w:val="clear" w:color="auto" w:fill="auto"/>
            <w:noWrap/>
            <w:hideMark/>
          </w:tcPr>
          <w:p w14:paraId="4AA7492E"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2593</w:t>
            </w:r>
          </w:p>
        </w:tc>
        <w:tc>
          <w:tcPr>
            <w:tcW w:w="0" w:type="auto"/>
            <w:shd w:val="clear" w:color="auto" w:fill="auto"/>
            <w:noWrap/>
            <w:hideMark/>
          </w:tcPr>
          <w:p w14:paraId="0EAF3E3C"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2637</w:t>
            </w:r>
          </w:p>
        </w:tc>
        <w:tc>
          <w:tcPr>
            <w:tcW w:w="0" w:type="auto"/>
            <w:shd w:val="clear" w:color="auto" w:fill="auto"/>
            <w:noWrap/>
            <w:hideMark/>
          </w:tcPr>
          <w:p w14:paraId="73F33313"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2683</w:t>
            </w:r>
          </w:p>
        </w:tc>
      </w:tr>
      <w:tr w:rsidR="00C87656" w:rsidRPr="009C5F11" w14:paraId="5191E446" w14:textId="77777777" w:rsidTr="00B32218">
        <w:trPr>
          <w:trHeight w:val="78"/>
          <w:jc w:val="center"/>
        </w:trPr>
        <w:tc>
          <w:tcPr>
            <w:tcW w:w="0" w:type="auto"/>
            <w:shd w:val="clear" w:color="auto" w:fill="auto"/>
            <w:noWrap/>
            <w:vAlign w:val="center"/>
          </w:tcPr>
          <w:p w14:paraId="6B6C771B" w14:textId="77777777" w:rsidR="00C87656" w:rsidRPr="009C5F11" w:rsidRDefault="00C87656" w:rsidP="00C87656">
            <w:pPr>
              <w:spacing w:after="0"/>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 xml:space="preserve">Consumul </w:t>
            </w:r>
            <w:r w:rsidR="00DE63F7" w:rsidRPr="009C5F11">
              <w:rPr>
                <w:rFonts w:ascii="Times New Roman" w:eastAsia="Calibri" w:hAnsi="Times New Roman" w:cs="Times New Roman"/>
                <w:bCs/>
                <w:sz w:val="18"/>
                <w:szCs w:val="14"/>
                <w:lang w:val="ro-RO"/>
              </w:rPr>
              <w:t xml:space="preserve">primar de energie </w:t>
            </w:r>
            <w:r w:rsidRPr="009C5F11">
              <w:rPr>
                <w:rFonts w:ascii="Times New Roman" w:eastAsia="Calibri" w:hAnsi="Times New Roman" w:cs="Times New Roman"/>
                <w:bCs/>
                <w:sz w:val="18"/>
                <w:szCs w:val="14"/>
                <w:lang w:val="ro-RO"/>
              </w:rPr>
              <w:t xml:space="preserve">estimat </w:t>
            </w:r>
          </w:p>
          <w:p w14:paraId="3B22345B" w14:textId="77777777" w:rsidR="00C87656" w:rsidRPr="009C5F11" w:rsidRDefault="00DE63F7" w:rsidP="00C87656">
            <w:pPr>
              <w:spacing w:after="0"/>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w:t>
            </w:r>
            <w:r w:rsidR="00C87656" w:rsidRPr="009C5F11">
              <w:rPr>
                <w:rFonts w:ascii="Times New Roman" w:eastAsia="Calibri" w:hAnsi="Times New Roman" w:cs="Times New Roman"/>
                <w:bCs/>
                <w:sz w:val="18"/>
                <w:szCs w:val="14"/>
                <w:lang w:val="ro-RO"/>
              </w:rPr>
              <w:t>EE</w:t>
            </w:r>
            <w:r w:rsidRPr="009C5F11">
              <w:rPr>
                <w:rFonts w:ascii="Times New Roman" w:eastAsia="Calibri" w:hAnsi="Times New Roman" w:cs="Times New Roman"/>
                <w:bCs/>
                <w:sz w:val="18"/>
                <w:szCs w:val="14"/>
                <w:lang w:val="ro-RO"/>
              </w:rPr>
              <w:t>)</w:t>
            </w:r>
          </w:p>
        </w:tc>
        <w:tc>
          <w:tcPr>
            <w:tcW w:w="0" w:type="auto"/>
            <w:shd w:val="clear" w:color="auto" w:fill="auto"/>
            <w:noWrap/>
          </w:tcPr>
          <w:p w14:paraId="2A3F501E"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2301</w:t>
            </w:r>
          </w:p>
        </w:tc>
        <w:tc>
          <w:tcPr>
            <w:tcW w:w="0" w:type="auto"/>
            <w:shd w:val="clear" w:color="auto" w:fill="auto"/>
            <w:noWrap/>
          </w:tcPr>
          <w:p w14:paraId="59F14632"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2318</w:t>
            </w:r>
          </w:p>
        </w:tc>
        <w:tc>
          <w:tcPr>
            <w:tcW w:w="0" w:type="auto"/>
            <w:shd w:val="clear" w:color="auto" w:fill="auto"/>
            <w:noWrap/>
          </w:tcPr>
          <w:p w14:paraId="181EC7F4"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2336</w:t>
            </w:r>
          </w:p>
        </w:tc>
        <w:tc>
          <w:tcPr>
            <w:tcW w:w="0" w:type="auto"/>
            <w:shd w:val="clear" w:color="auto" w:fill="auto"/>
            <w:noWrap/>
          </w:tcPr>
          <w:p w14:paraId="6FE9A2AC"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2354</w:t>
            </w:r>
          </w:p>
        </w:tc>
        <w:tc>
          <w:tcPr>
            <w:tcW w:w="0" w:type="auto"/>
            <w:shd w:val="clear" w:color="auto" w:fill="auto"/>
            <w:noWrap/>
          </w:tcPr>
          <w:p w14:paraId="711281D0"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2372</w:t>
            </w:r>
          </w:p>
        </w:tc>
        <w:tc>
          <w:tcPr>
            <w:tcW w:w="0" w:type="auto"/>
            <w:shd w:val="clear" w:color="auto" w:fill="auto"/>
            <w:noWrap/>
          </w:tcPr>
          <w:p w14:paraId="6E0B06F7"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2390</w:t>
            </w:r>
          </w:p>
        </w:tc>
        <w:tc>
          <w:tcPr>
            <w:tcW w:w="0" w:type="auto"/>
            <w:shd w:val="clear" w:color="auto" w:fill="auto"/>
            <w:noWrap/>
          </w:tcPr>
          <w:p w14:paraId="38171C0E"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2408</w:t>
            </w:r>
          </w:p>
        </w:tc>
        <w:tc>
          <w:tcPr>
            <w:tcW w:w="0" w:type="auto"/>
            <w:shd w:val="clear" w:color="auto" w:fill="auto"/>
            <w:noWrap/>
          </w:tcPr>
          <w:p w14:paraId="699C1555"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2426</w:t>
            </w:r>
          </w:p>
        </w:tc>
        <w:tc>
          <w:tcPr>
            <w:tcW w:w="0" w:type="auto"/>
            <w:shd w:val="clear" w:color="auto" w:fill="auto"/>
            <w:noWrap/>
          </w:tcPr>
          <w:p w14:paraId="23EB4C53"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2444</w:t>
            </w:r>
          </w:p>
        </w:tc>
        <w:tc>
          <w:tcPr>
            <w:tcW w:w="0" w:type="auto"/>
            <w:shd w:val="clear" w:color="auto" w:fill="auto"/>
            <w:noWrap/>
          </w:tcPr>
          <w:p w14:paraId="14DBDBF4"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2463</w:t>
            </w:r>
          </w:p>
        </w:tc>
      </w:tr>
      <w:tr w:rsidR="00C8520D" w:rsidRPr="009C5F11" w14:paraId="3F4AC744" w14:textId="77777777" w:rsidTr="00C8520D">
        <w:trPr>
          <w:trHeight w:val="78"/>
          <w:jc w:val="center"/>
        </w:trPr>
        <w:tc>
          <w:tcPr>
            <w:tcW w:w="0" w:type="auto"/>
            <w:shd w:val="clear" w:color="auto" w:fill="auto"/>
            <w:noWrap/>
            <w:vAlign w:val="center"/>
          </w:tcPr>
          <w:p w14:paraId="64EF39F4" w14:textId="77777777" w:rsidR="00DE63F7" w:rsidRPr="009C5F11" w:rsidRDefault="00C8520D" w:rsidP="00C8520D">
            <w:pPr>
              <w:spacing w:after="0"/>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 xml:space="preserve">Date efective privind </w:t>
            </w:r>
          </w:p>
          <w:p w14:paraId="488F2E64" w14:textId="77777777" w:rsidR="00C8520D" w:rsidRPr="009C5F11" w:rsidRDefault="00DE63F7" w:rsidP="00DE63F7">
            <w:pPr>
              <w:spacing w:after="0"/>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 xml:space="preserve">consumul primar de energie </w:t>
            </w:r>
            <w:r w:rsidR="00C8520D" w:rsidRPr="009C5F11">
              <w:rPr>
                <w:rFonts w:ascii="Times New Roman" w:eastAsia="Calibri" w:hAnsi="Times New Roman" w:cs="Times New Roman"/>
                <w:bCs/>
                <w:sz w:val="18"/>
                <w:szCs w:val="14"/>
                <w:vertAlign w:val="superscript"/>
                <w:lang w:val="ro-RO"/>
              </w:rPr>
              <w:footnoteReference w:id="14"/>
            </w:r>
          </w:p>
        </w:tc>
        <w:tc>
          <w:tcPr>
            <w:tcW w:w="0" w:type="auto"/>
            <w:shd w:val="clear" w:color="auto" w:fill="auto"/>
            <w:noWrap/>
            <w:vAlign w:val="center"/>
          </w:tcPr>
          <w:p w14:paraId="37F3899F" w14:textId="77777777" w:rsidR="00C8520D" w:rsidRPr="009C5F11" w:rsidRDefault="00C8520D">
            <w:pPr>
              <w:jc w:val="center"/>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2353</w:t>
            </w:r>
          </w:p>
        </w:tc>
        <w:tc>
          <w:tcPr>
            <w:tcW w:w="0" w:type="auto"/>
            <w:shd w:val="clear" w:color="auto" w:fill="auto"/>
            <w:noWrap/>
            <w:vAlign w:val="center"/>
          </w:tcPr>
          <w:p w14:paraId="14F363B1" w14:textId="77777777" w:rsidR="00C8520D" w:rsidRPr="009C5F11" w:rsidRDefault="00C8520D">
            <w:pPr>
              <w:jc w:val="center"/>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2267</w:t>
            </w:r>
          </w:p>
        </w:tc>
        <w:tc>
          <w:tcPr>
            <w:tcW w:w="0" w:type="auto"/>
            <w:shd w:val="clear" w:color="auto" w:fill="auto"/>
            <w:noWrap/>
            <w:vAlign w:val="center"/>
          </w:tcPr>
          <w:p w14:paraId="5844495A" w14:textId="77777777" w:rsidR="00C8520D" w:rsidRPr="009C5F11" w:rsidRDefault="00C8520D">
            <w:pPr>
              <w:jc w:val="center"/>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2318</w:t>
            </w:r>
          </w:p>
        </w:tc>
        <w:tc>
          <w:tcPr>
            <w:tcW w:w="0" w:type="auto"/>
            <w:shd w:val="clear" w:color="auto" w:fill="auto"/>
            <w:noWrap/>
            <w:vAlign w:val="center"/>
          </w:tcPr>
          <w:p w14:paraId="4EBEE98C" w14:textId="77777777" w:rsidR="00C8520D" w:rsidRPr="009C5F11" w:rsidRDefault="00C8520D">
            <w:pPr>
              <w:jc w:val="center"/>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2310</w:t>
            </w:r>
          </w:p>
        </w:tc>
        <w:tc>
          <w:tcPr>
            <w:tcW w:w="0" w:type="auto"/>
            <w:shd w:val="clear" w:color="auto" w:fill="auto"/>
            <w:noWrap/>
            <w:vAlign w:val="center"/>
          </w:tcPr>
          <w:p w14:paraId="0D127043" w14:textId="77777777" w:rsidR="00C8520D" w:rsidRPr="009C5F11" w:rsidRDefault="00C8520D" w:rsidP="00C8520D">
            <w:pPr>
              <w:spacing w:after="0"/>
              <w:jc w:val="both"/>
              <w:rPr>
                <w:rFonts w:ascii="Times New Roman" w:eastAsia="Calibri" w:hAnsi="Times New Roman" w:cs="Times New Roman"/>
                <w:bCs/>
                <w:sz w:val="16"/>
                <w:szCs w:val="12"/>
                <w:lang w:val="ro-RO"/>
              </w:rPr>
            </w:pPr>
          </w:p>
        </w:tc>
        <w:tc>
          <w:tcPr>
            <w:tcW w:w="0" w:type="auto"/>
            <w:shd w:val="clear" w:color="auto" w:fill="auto"/>
            <w:noWrap/>
            <w:vAlign w:val="center"/>
          </w:tcPr>
          <w:p w14:paraId="176969FF" w14:textId="77777777" w:rsidR="00C8520D" w:rsidRPr="009C5F11" w:rsidRDefault="00C8520D" w:rsidP="00C8520D">
            <w:pPr>
              <w:spacing w:after="0"/>
              <w:jc w:val="both"/>
              <w:rPr>
                <w:rFonts w:ascii="Times New Roman" w:eastAsia="Calibri" w:hAnsi="Times New Roman" w:cs="Times New Roman"/>
                <w:bCs/>
                <w:sz w:val="16"/>
                <w:szCs w:val="12"/>
                <w:lang w:val="ro-RO"/>
              </w:rPr>
            </w:pPr>
          </w:p>
        </w:tc>
        <w:tc>
          <w:tcPr>
            <w:tcW w:w="0" w:type="auto"/>
            <w:shd w:val="clear" w:color="auto" w:fill="auto"/>
            <w:noWrap/>
            <w:vAlign w:val="center"/>
          </w:tcPr>
          <w:p w14:paraId="42142332" w14:textId="77777777" w:rsidR="00C8520D" w:rsidRPr="009C5F11" w:rsidRDefault="00C8520D" w:rsidP="00C8520D">
            <w:pPr>
              <w:spacing w:after="0"/>
              <w:jc w:val="both"/>
              <w:rPr>
                <w:rFonts w:ascii="Times New Roman" w:eastAsia="Calibri" w:hAnsi="Times New Roman" w:cs="Times New Roman"/>
                <w:bCs/>
                <w:sz w:val="16"/>
                <w:szCs w:val="12"/>
                <w:lang w:val="ro-RO"/>
              </w:rPr>
            </w:pPr>
          </w:p>
        </w:tc>
        <w:tc>
          <w:tcPr>
            <w:tcW w:w="0" w:type="auto"/>
            <w:shd w:val="clear" w:color="auto" w:fill="auto"/>
            <w:noWrap/>
            <w:vAlign w:val="center"/>
          </w:tcPr>
          <w:p w14:paraId="1996FA8D" w14:textId="77777777" w:rsidR="00C8520D" w:rsidRPr="009C5F11" w:rsidRDefault="00C8520D" w:rsidP="00C8520D">
            <w:pPr>
              <w:spacing w:after="0"/>
              <w:jc w:val="both"/>
              <w:rPr>
                <w:rFonts w:ascii="Times New Roman" w:eastAsia="Calibri" w:hAnsi="Times New Roman" w:cs="Times New Roman"/>
                <w:bCs/>
                <w:sz w:val="16"/>
                <w:szCs w:val="12"/>
                <w:lang w:val="ro-RO"/>
              </w:rPr>
            </w:pPr>
          </w:p>
        </w:tc>
        <w:tc>
          <w:tcPr>
            <w:tcW w:w="0" w:type="auto"/>
            <w:shd w:val="clear" w:color="auto" w:fill="auto"/>
            <w:noWrap/>
            <w:vAlign w:val="center"/>
          </w:tcPr>
          <w:p w14:paraId="5016AE57" w14:textId="77777777" w:rsidR="00C8520D" w:rsidRPr="009C5F11" w:rsidRDefault="00C8520D" w:rsidP="00C8520D">
            <w:pPr>
              <w:spacing w:after="0"/>
              <w:jc w:val="both"/>
              <w:rPr>
                <w:rFonts w:ascii="Times New Roman" w:eastAsia="Calibri" w:hAnsi="Times New Roman" w:cs="Times New Roman"/>
                <w:bCs/>
                <w:sz w:val="16"/>
                <w:szCs w:val="12"/>
                <w:lang w:val="ro-RO"/>
              </w:rPr>
            </w:pPr>
          </w:p>
        </w:tc>
        <w:tc>
          <w:tcPr>
            <w:tcW w:w="0" w:type="auto"/>
            <w:shd w:val="clear" w:color="auto" w:fill="auto"/>
            <w:noWrap/>
            <w:vAlign w:val="center"/>
          </w:tcPr>
          <w:p w14:paraId="112B2583" w14:textId="77777777" w:rsidR="00C8520D" w:rsidRPr="009C5F11" w:rsidRDefault="00C8520D" w:rsidP="00C8520D">
            <w:pPr>
              <w:spacing w:after="0"/>
              <w:jc w:val="both"/>
              <w:rPr>
                <w:rFonts w:ascii="Times New Roman" w:eastAsia="Calibri" w:hAnsi="Times New Roman" w:cs="Times New Roman"/>
                <w:bCs/>
                <w:sz w:val="16"/>
                <w:szCs w:val="12"/>
                <w:lang w:val="ro-RO"/>
              </w:rPr>
            </w:pPr>
          </w:p>
        </w:tc>
      </w:tr>
      <w:tr w:rsidR="00C8520D" w:rsidRPr="009C5F11" w14:paraId="21A2B2A2" w14:textId="77777777" w:rsidTr="00C8520D">
        <w:trPr>
          <w:trHeight w:val="62"/>
          <w:jc w:val="center"/>
        </w:trPr>
        <w:tc>
          <w:tcPr>
            <w:tcW w:w="0" w:type="auto"/>
            <w:shd w:val="clear" w:color="auto" w:fill="auto"/>
            <w:noWrap/>
            <w:vAlign w:val="center"/>
          </w:tcPr>
          <w:p w14:paraId="32CB49C8" w14:textId="77777777" w:rsidR="00C8520D" w:rsidRPr="009C5F11" w:rsidRDefault="00C8520D" w:rsidP="00C87656">
            <w:pPr>
              <w:spacing w:after="0"/>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 xml:space="preserve">Consumul </w:t>
            </w:r>
            <w:r w:rsidR="00C87656" w:rsidRPr="009C5F11">
              <w:rPr>
                <w:rFonts w:ascii="Times New Roman" w:eastAsia="Calibri" w:hAnsi="Times New Roman" w:cs="Times New Roman"/>
                <w:bCs/>
                <w:sz w:val="18"/>
                <w:szCs w:val="14"/>
                <w:lang w:val="ro-RO"/>
              </w:rPr>
              <w:t xml:space="preserve">final </w:t>
            </w:r>
            <w:r w:rsidRPr="009C5F11">
              <w:rPr>
                <w:rFonts w:ascii="Times New Roman" w:eastAsia="Calibri" w:hAnsi="Times New Roman" w:cs="Times New Roman"/>
                <w:bCs/>
                <w:sz w:val="18"/>
                <w:szCs w:val="14"/>
                <w:lang w:val="ro-RO"/>
              </w:rPr>
              <w:t xml:space="preserve">de energie </w:t>
            </w:r>
            <w:r w:rsidR="00C87656" w:rsidRPr="009C5F11">
              <w:rPr>
                <w:rFonts w:ascii="Times New Roman" w:eastAsia="Calibri" w:hAnsi="Times New Roman" w:cs="Times New Roman"/>
                <w:bCs/>
                <w:sz w:val="18"/>
                <w:szCs w:val="14"/>
                <w:lang w:val="ro-RO"/>
              </w:rPr>
              <w:t>estimat (BAU)</w:t>
            </w:r>
          </w:p>
        </w:tc>
        <w:tc>
          <w:tcPr>
            <w:tcW w:w="0" w:type="auto"/>
            <w:shd w:val="clear" w:color="auto" w:fill="auto"/>
            <w:noWrap/>
          </w:tcPr>
          <w:p w14:paraId="3BDA3B79"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1997</w:t>
            </w:r>
          </w:p>
        </w:tc>
        <w:tc>
          <w:tcPr>
            <w:tcW w:w="0" w:type="auto"/>
            <w:shd w:val="clear" w:color="auto" w:fill="auto"/>
            <w:noWrap/>
          </w:tcPr>
          <w:p w14:paraId="3E28652D"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2034</w:t>
            </w:r>
          </w:p>
        </w:tc>
        <w:tc>
          <w:tcPr>
            <w:tcW w:w="0" w:type="auto"/>
            <w:shd w:val="clear" w:color="auto" w:fill="auto"/>
            <w:noWrap/>
          </w:tcPr>
          <w:p w14:paraId="2EBE4F7B"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2071</w:t>
            </w:r>
          </w:p>
        </w:tc>
        <w:tc>
          <w:tcPr>
            <w:tcW w:w="0" w:type="auto"/>
            <w:shd w:val="clear" w:color="auto" w:fill="auto"/>
            <w:noWrap/>
          </w:tcPr>
          <w:p w14:paraId="55FBFD3F"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2110</w:t>
            </w:r>
          </w:p>
        </w:tc>
        <w:tc>
          <w:tcPr>
            <w:tcW w:w="0" w:type="auto"/>
            <w:shd w:val="clear" w:color="auto" w:fill="auto"/>
            <w:noWrap/>
          </w:tcPr>
          <w:p w14:paraId="3F2F3261"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2149</w:t>
            </w:r>
          </w:p>
        </w:tc>
        <w:tc>
          <w:tcPr>
            <w:tcW w:w="0" w:type="auto"/>
            <w:shd w:val="clear" w:color="auto" w:fill="auto"/>
            <w:noWrap/>
          </w:tcPr>
          <w:p w14:paraId="10AC7A93"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2189</w:t>
            </w:r>
          </w:p>
        </w:tc>
        <w:tc>
          <w:tcPr>
            <w:tcW w:w="0" w:type="auto"/>
            <w:shd w:val="clear" w:color="auto" w:fill="auto"/>
            <w:noWrap/>
          </w:tcPr>
          <w:p w14:paraId="43E709E2"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2230</w:t>
            </w:r>
          </w:p>
        </w:tc>
        <w:tc>
          <w:tcPr>
            <w:tcW w:w="0" w:type="auto"/>
            <w:shd w:val="clear" w:color="auto" w:fill="auto"/>
            <w:noWrap/>
          </w:tcPr>
          <w:p w14:paraId="1172EA96"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2271</w:t>
            </w:r>
          </w:p>
        </w:tc>
        <w:tc>
          <w:tcPr>
            <w:tcW w:w="0" w:type="auto"/>
            <w:shd w:val="clear" w:color="auto" w:fill="auto"/>
            <w:noWrap/>
          </w:tcPr>
          <w:p w14:paraId="009E3AE9"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2314</w:t>
            </w:r>
          </w:p>
        </w:tc>
        <w:tc>
          <w:tcPr>
            <w:tcW w:w="0" w:type="auto"/>
            <w:shd w:val="clear" w:color="auto" w:fill="auto"/>
            <w:noWrap/>
          </w:tcPr>
          <w:p w14:paraId="5146BBE2"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2357</w:t>
            </w:r>
          </w:p>
        </w:tc>
      </w:tr>
      <w:tr w:rsidR="00C87656" w:rsidRPr="009C5F11" w14:paraId="705D8520" w14:textId="77777777" w:rsidTr="00B32218">
        <w:trPr>
          <w:trHeight w:val="62"/>
          <w:jc w:val="center"/>
        </w:trPr>
        <w:tc>
          <w:tcPr>
            <w:tcW w:w="0" w:type="auto"/>
            <w:shd w:val="clear" w:color="auto" w:fill="auto"/>
            <w:noWrap/>
            <w:vAlign w:val="center"/>
          </w:tcPr>
          <w:p w14:paraId="79ABB482" w14:textId="77777777" w:rsidR="00C87656" w:rsidRPr="009C5F11" w:rsidRDefault="00C87656" w:rsidP="00DE63F7">
            <w:pPr>
              <w:spacing w:after="0"/>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Consumul final de energie estimat</w:t>
            </w:r>
            <w:r w:rsidR="00DE63F7" w:rsidRPr="009C5F11">
              <w:rPr>
                <w:rFonts w:ascii="Times New Roman" w:eastAsia="Calibri" w:hAnsi="Times New Roman" w:cs="Times New Roman"/>
                <w:bCs/>
                <w:sz w:val="18"/>
                <w:szCs w:val="14"/>
                <w:lang w:val="ro-RO"/>
              </w:rPr>
              <w:t xml:space="preserve"> </w:t>
            </w:r>
            <w:r w:rsidRPr="009C5F11">
              <w:rPr>
                <w:rFonts w:ascii="Times New Roman" w:eastAsia="Calibri" w:hAnsi="Times New Roman" w:cs="Times New Roman"/>
                <w:bCs/>
                <w:sz w:val="18"/>
                <w:szCs w:val="14"/>
                <w:lang w:val="ro-RO"/>
              </w:rPr>
              <w:t>(EE)</w:t>
            </w:r>
          </w:p>
        </w:tc>
        <w:tc>
          <w:tcPr>
            <w:tcW w:w="0" w:type="auto"/>
            <w:shd w:val="clear" w:color="auto" w:fill="auto"/>
            <w:noWrap/>
          </w:tcPr>
          <w:p w14:paraId="4B38E041"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1997</w:t>
            </w:r>
          </w:p>
        </w:tc>
        <w:tc>
          <w:tcPr>
            <w:tcW w:w="0" w:type="auto"/>
            <w:shd w:val="clear" w:color="auto" w:fill="auto"/>
            <w:noWrap/>
          </w:tcPr>
          <w:p w14:paraId="5FFFEF5C"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2017</w:t>
            </w:r>
          </w:p>
        </w:tc>
        <w:tc>
          <w:tcPr>
            <w:tcW w:w="0" w:type="auto"/>
            <w:shd w:val="clear" w:color="auto" w:fill="auto"/>
            <w:noWrap/>
          </w:tcPr>
          <w:p w14:paraId="788E7CC7"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2038</w:t>
            </w:r>
          </w:p>
        </w:tc>
        <w:tc>
          <w:tcPr>
            <w:tcW w:w="0" w:type="auto"/>
            <w:shd w:val="clear" w:color="auto" w:fill="auto"/>
            <w:noWrap/>
          </w:tcPr>
          <w:p w14:paraId="0D55CEC4"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2059</w:t>
            </w:r>
          </w:p>
        </w:tc>
        <w:tc>
          <w:tcPr>
            <w:tcW w:w="0" w:type="auto"/>
            <w:shd w:val="clear" w:color="auto" w:fill="auto"/>
            <w:noWrap/>
          </w:tcPr>
          <w:p w14:paraId="2FE9DB0B"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2080</w:t>
            </w:r>
          </w:p>
        </w:tc>
        <w:tc>
          <w:tcPr>
            <w:tcW w:w="0" w:type="auto"/>
            <w:shd w:val="clear" w:color="auto" w:fill="auto"/>
            <w:noWrap/>
          </w:tcPr>
          <w:p w14:paraId="3985046C"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2102</w:t>
            </w:r>
          </w:p>
        </w:tc>
        <w:tc>
          <w:tcPr>
            <w:tcW w:w="0" w:type="auto"/>
            <w:shd w:val="clear" w:color="auto" w:fill="auto"/>
            <w:noWrap/>
          </w:tcPr>
          <w:p w14:paraId="3F076B64" w14:textId="77777777" w:rsidR="00C87656" w:rsidRPr="009C5F11" w:rsidRDefault="007106BA" w:rsidP="007106BA">
            <w:pPr>
              <w:rPr>
                <w:rFonts w:ascii="Times New Roman" w:hAnsi="Times New Roman" w:cs="Times New Roman"/>
                <w:sz w:val="18"/>
                <w:szCs w:val="14"/>
                <w:lang w:val="ro-RO"/>
              </w:rPr>
            </w:pPr>
            <w:r w:rsidRPr="009C5F11">
              <w:rPr>
                <w:rFonts w:ascii="Times New Roman" w:hAnsi="Times New Roman" w:cs="Times New Roman"/>
                <w:sz w:val="18"/>
                <w:szCs w:val="14"/>
                <w:lang w:val="ro-RO"/>
              </w:rPr>
              <w:t>2123</w:t>
            </w:r>
          </w:p>
        </w:tc>
        <w:tc>
          <w:tcPr>
            <w:tcW w:w="0" w:type="auto"/>
            <w:shd w:val="clear" w:color="auto" w:fill="auto"/>
            <w:noWrap/>
          </w:tcPr>
          <w:p w14:paraId="1AAFB219" w14:textId="77777777" w:rsidR="00C87656" w:rsidRPr="009C5F11" w:rsidRDefault="00C87656" w:rsidP="007106BA">
            <w:pPr>
              <w:rPr>
                <w:rFonts w:ascii="Times New Roman" w:hAnsi="Times New Roman" w:cs="Times New Roman"/>
                <w:sz w:val="18"/>
                <w:szCs w:val="14"/>
                <w:lang w:val="ro-RO"/>
              </w:rPr>
            </w:pPr>
            <w:r w:rsidRPr="009C5F11">
              <w:rPr>
                <w:rFonts w:ascii="Times New Roman" w:hAnsi="Times New Roman" w:cs="Times New Roman"/>
                <w:sz w:val="18"/>
                <w:szCs w:val="14"/>
                <w:lang w:val="ro-RO"/>
              </w:rPr>
              <w:t>214</w:t>
            </w:r>
            <w:r w:rsidR="007106BA" w:rsidRPr="009C5F11">
              <w:rPr>
                <w:rFonts w:ascii="Times New Roman" w:hAnsi="Times New Roman" w:cs="Times New Roman"/>
                <w:sz w:val="18"/>
                <w:szCs w:val="14"/>
                <w:lang w:val="ro-RO"/>
              </w:rPr>
              <w:t>5</w:t>
            </w:r>
          </w:p>
        </w:tc>
        <w:tc>
          <w:tcPr>
            <w:tcW w:w="0" w:type="auto"/>
            <w:shd w:val="clear" w:color="auto" w:fill="auto"/>
            <w:noWrap/>
          </w:tcPr>
          <w:p w14:paraId="61502998" w14:textId="77777777" w:rsidR="00C87656" w:rsidRPr="009C5F11" w:rsidRDefault="00C87656" w:rsidP="007106BA">
            <w:pPr>
              <w:rPr>
                <w:rFonts w:ascii="Times New Roman" w:hAnsi="Times New Roman" w:cs="Times New Roman"/>
                <w:sz w:val="18"/>
                <w:szCs w:val="14"/>
                <w:lang w:val="ro-RO"/>
              </w:rPr>
            </w:pPr>
            <w:r w:rsidRPr="009C5F11">
              <w:rPr>
                <w:rFonts w:ascii="Times New Roman" w:hAnsi="Times New Roman" w:cs="Times New Roman"/>
                <w:sz w:val="18"/>
                <w:szCs w:val="14"/>
                <w:lang w:val="ro-RO"/>
              </w:rPr>
              <w:t>216</w:t>
            </w:r>
            <w:r w:rsidR="007106BA" w:rsidRPr="009C5F11">
              <w:rPr>
                <w:rFonts w:ascii="Times New Roman" w:hAnsi="Times New Roman" w:cs="Times New Roman"/>
                <w:sz w:val="18"/>
                <w:szCs w:val="14"/>
                <w:lang w:val="ro-RO"/>
              </w:rPr>
              <w:t>7</w:t>
            </w:r>
          </w:p>
        </w:tc>
        <w:tc>
          <w:tcPr>
            <w:tcW w:w="0" w:type="auto"/>
            <w:shd w:val="clear" w:color="auto" w:fill="auto"/>
            <w:noWrap/>
          </w:tcPr>
          <w:p w14:paraId="5B58951E" w14:textId="77777777" w:rsidR="00C87656" w:rsidRPr="009C5F11" w:rsidRDefault="00C87656" w:rsidP="00B32218">
            <w:pPr>
              <w:rPr>
                <w:rFonts w:ascii="Times New Roman" w:hAnsi="Times New Roman" w:cs="Times New Roman"/>
                <w:sz w:val="18"/>
                <w:szCs w:val="14"/>
                <w:lang w:val="ro-RO"/>
              </w:rPr>
            </w:pPr>
            <w:r w:rsidRPr="009C5F11">
              <w:rPr>
                <w:rFonts w:ascii="Times New Roman" w:hAnsi="Times New Roman" w:cs="Times New Roman"/>
                <w:sz w:val="18"/>
                <w:szCs w:val="14"/>
                <w:lang w:val="ro-RO"/>
              </w:rPr>
              <w:t>2190</w:t>
            </w:r>
          </w:p>
        </w:tc>
      </w:tr>
      <w:tr w:rsidR="00C8520D" w:rsidRPr="009C5F11" w14:paraId="67D12D37" w14:textId="77777777" w:rsidTr="00C8520D">
        <w:trPr>
          <w:trHeight w:val="62"/>
          <w:jc w:val="center"/>
        </w:trPr>
        <w:tc>
          <w:tcPr>
            <w:tcW w:w="0" w:type="auto"/>
            <w:shd w:val="clear" w:color="auto" w:fill="auto"/>
            <w:noWrap/>
            <w:vAlign w:val="center"/>
          </w:tcPr>
          <w:p w14:paraId="4EC905AD" w14:textId="77777777" w:rsidR="00DE63F7" w:rsidRPr="009C5F11" w:rsidRDefault="00C8520D" w:rsidP="00DE63F7">
            <w:pPr>
              <w:spacing w:after="0"/>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 xml:space="preserve">Date efective privind </w:t>
            </w:r>
          </w:p>
          <w:p w14:paraId="10EB8ACD" w14:textId="77777777" w:rsidR="00C8520D" w:rsidRPr="009C5F11" w:rsidRDefault="00DE63F7" w:rsidP="00DE63F7">
            <w:pPr>
              <w:spacing w:after="0"/>
              <w:jc w:val="both"/>
              <w:rPr>
                <w:rFonts w:ascii="Times New Roman" w:eastAsia="Calibri" w:hAnsi="Times New Roman" w:cs="Times New Roman"/>
                <w:bCs/>
                <w:sz w:val="18"/>
                <w:szCs w:val="14"/>
                <w:lang w:val="ro-RO"/>
              </w:rPr>
            </w:pPr>
            <w:r w:rsidRPr="009C5F11">
              <w:rPr>
                <w:rFonts w:ascii="Times New Roman" w:eastAsia="Calibri" w:hAnsi="Times New Roman" w:cs="Times New Roman"/>
                <w:bCs/>
                <w:sz w:val="18"/>
                <w:szCs w:val="14"/>
                <w:lang w:val="ro-RO"/>
              </w:rPr>
              <w:t xml:space="preserve">consumul final de energie </w:t>
            </w:r>
            <w:r w:rsidR="00C8520D" w:rsidRPr="009C5F11">
              <w:rPr>
                <w:rFonts w:ascii="Times New Roman" w:eastAsia="Calibri" w:hAnsi="Times New Roman" w:cs="Times New Roman"/>
                <w:bCs/>
                <w:sz w:val="18"/>
                <w:szCs w:val="14"/>
                <w:vertAlign w:val="superscript"/>
                <w:lang w:val="ro-RO"/>
              </w:rPr>
              <w:footnoteReference w:id="15"/>
            </w:r>
          </w:p>
        </w:tc>
        <w:tc>
          <w:tcPr>
            <w:tcW w:w="0" w:type="auto"/>
            <w:shd w:val="clear" w:color="auto" w:fill="auto"/>
            <w:noWrap/>
          </w:tcPr>
          <w:p w14:paraId="3738A2DB"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2053</w:t>
            </w:r>
          </w:p>
        </w:tc>
        <w:tc>
          <w:tcPr>
            <w:tcW w:w="0" w:type="auto"/>
            <w:shd w:val="clear" w:color="auto" w:fill="auto"/>
            <w:noWrap/>
          </w:tcPr>
          <w:p w14:paraId="12CC70DF"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1964</w:t>
            </w:r>
          </w:p>
        </w:tc>
        <w:tc>
          <w:tcPr>
            <w:tcW w:w="0" w:type="auto"/>
            <w:shd w:val="clear" w:color="auto" w:fill="auto"/>
            <w:noWrap/>
          </w:tcPr>
          <w:p w14:paraId="4812CF29"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2023</w:t>
            </w:r>
          </w:p>
        </w:tc>
        <w:tc>
          <w:tcPr>
            <w:tcW w:w="0" w:type="auto"/>
            <w:shd w:val="clear" w:color="auto" w:fill="auto"/>
            <w:noWrap/>
          </w:tcPr>
          <w:p w14:paraId="14A241EC" w14:textId="77777777" w:rsidR="00C8520D" w:rsidRPr="009C5F11" w:rsidRDefault="00C8520D" w:rsidP="00C8520D">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2007</w:t>
            </w:r>
          </w:p>
        </w:tc>
        <w:tc>
          <w:tcPr>
            <w:tcW w:w="0" w:type="auto"/>
            <w:shd w:val="clear" w:color="auto" w:fill="auto"/>
            <w:noWrap/>
            <w:vAlign w:val="center"/>
          </w:tcPr>
          <w:p w14:paraId="2FC7AF09" w14:textId="77777777" w:rsidR="00C8520D" w:rsidRPr="009C5F11" w:rsidRDefault="00C8520D" w:rsidP="00C8520D">
            <w:pPr>
              <w:spacing w:after="0"/>
              <w:jc w:val="both"/>
              <w:rPr>
                <w:rFonts w:ascii="Times New Roman" w:eastAsia="Calibri" w:hAnsi="Times New Roman" w:cs="Times New Roman"/>
                <w:bCs/>
                <w:sz w:val="16"/>
                <w:szCs w:val="12"/>
                <w:lang w:val="ro-RO"/>
              </w:rPr>
            </w:pPr>
          </w:p>
        </w:tc>
        <w:tc>
          <w:tcPr>
            <w:tcW w:w="0" w:type="auto"/>
            <w:shd w:val="clear" w:color="auto" w:fill="auto"/>
            <w:noWrap/>
            <w:vAlign w:val="center"/>
          </w:tcPr>
          <w:p w14:paraId="1A92BDDE" w14:textId="77777777" w:rsidR="00C8520D" w:rsidRPr="009C5F11" w:rsidRDefault="00C8520D" w:rsidP="00C8520D">
            <w:pPr>
              <w:spacing w:after="0"/>
              <w:jc w:val="both"/>
              <w:rPr>
                <w:rFonts w:ascii="Times New Roman" w:eastAsia="Calibri" w:hAnsi="Times New Roman" w:cs="Times New Roman"/>
                <w:bCs/>
                <w:sz w:val="16"/>
                <w:szCs w:val="12"/>
                <w:lang w:val="ro-RO"/>
              </w:rPr>
            </w:pPr>
          </w:p>
        </w:tc>
        <w:tc>
          <w:tcPr>
            <w:tcW w:w="0" w:type="auto"/>
            <w:shd w:val="clear" w:color="auto" w:fill="auto"/>
            <w:noWrap/>
            <w:vAlign w:val="center"/>
          </w:tcPr>
          <w:p w14:paraId="0A8AC013" w14:textId="77777777" w:rsidR="00C8520D" w:rsidRPr="009C5F11" w:rsidRDefault="00C8520D" w:rsidP="00C8520D">
            <w:pPr>
              <w:spacing w:after="0"/>
              <w:jc w:val="both"/>
              <w:rPr>
                <w:rFonts w:ascii="Times New Roman" w:eastAsia="Calibri" w:hAnsi="Times New Roman" w:cs="Times New Roman"/>
                <w:bCs/>
                <w:sz w:val="16"/>
                <w:szCs w:val="12"/>
                <w:lang w:val="ro-RO"/>
              </w:rPr>
            </w:pPr>
          </w:p>
        </w:tc>
        <w:tc>
          <w:tcPr>
            <w:tcW w:w="0" w:type="auto"/>
            <w:shd w:val="clear" w:color="auto" w:fill="auto"/>
            <w:noWrap/>
            <w:vAlign w:val="center"/>
          </w:tcPr>
          <w:p w14:paraId="07F744E4" w14:textId="77777777" w:rsidR="00C8520D" w:rsidRPr="009C5F11" w:rsidRDefault="00C8520D" w:rsidP="00C8520D">
            <w:pPr>
              <w:spacing w:after="0"/>
              <w:jc w:val="both"/>
              <w:rPr>
                <w:rFonts w:ascii="Times New Roman" w:eastAsia="Calibri" w:hAnsi="Times New Roman" w:cs="Times New Roman"/>
                <w:bCs/>
                <w:sz w:val="16"/>
                <w:szCs w:val="12"/>
                <w:lang w:val="ro-RO"/>
              </w:rPr>
            </w:pPr>
          </w:p>
        </w:tc>
        <w:tc>
          <w:tcPr>
            <w:tcW w:w="0" w:type="auto"/>
            <w:shd w:val="clear" w:color="auto" w:fill="auto"/>
            <w:noWrap/>
            <w:vAlign w:val="center"/>
          </w:tcPr>
          <w:p w14:paraId="341A83D8" w14:textId="77777777" w:rsidR="00C8520D" w:rsidRPr="009C5F11" w:rsidRDefault="00C8520D" w:rsidP="00C8520D">
            <w:pPr>
              <w:spacing w:after="0"/>
              <w:jc w:val="both"/>
              <w:rPr>
                <w:rFonts w:ascii="Times New Roman" w:eastAsia="Calibri" w:hAnsi="Times New Roman" w:cs="Times New Roman"/>
                <w:bCs/>
                <w:sz w:val="16"/>
                <w:szCs w:val="12"/>
                <w:lang w:val="ro-RO"/>
              </w:rPr>
            </w:pPr>
          </w:p>
        </w:tc>
        <w:tc>
          <w:tcPr>
            <w:tcW w:w="0" w:type="auto"/>
            <w:shd w:val="clear" w:color="auto" w:fill="auto"/>
            <w:noWrap/>
            <w:vAlign w:val="center"/>
          </w:tcPr>
          <w:p w14:paraId="7840C4F7" w14:textId="77777777" w:rsidR="00C8520D" w:rsidRPr="009C5F11" w:rsidRDefault="00C8520D" w:rsidP="00C8520D">
            <w:pPr>
              <w:spacing w:after="0"/>
              <w:jc w:val="both"/>
              <w:rPr>
                <w:rFonts w:ascii="Times New Roman" w:eastAsia="Calibri" w:hAnsi="Times New Roman" w:cs="Times New Roman"/>
                <w:bCs/>
                <w:sz w:val="16"/>
                <w:szCs w:val="12"/>
                <w:lang w:val="ro-RO"/>
              </w:rPr>
            </w:pPr>
          </w:p>
        </w:tc>
      </w:tr>
    </w:tbl>
    <w:p w14:paraId="5EC08FFD" w14:textId="77777777" w:rsidR="00EB5122" w:rsidRPr="009C5F11" w:rsidRDefault="00812E1D" w:rsidP="00D64E16">
      <w:pPr>
        <w:pStyle w:val="Legend"/>
        <w:keepNext/>
        <w:jc w:val="center"/>
        <w:rPr>
          <w:rFonts w:ascii="Times New Roman" w:hAnsi="Times New Roman" w:cs="Times New Roman"/>
          <w:sz w:val="22"/>
          <w:lang w:val="ro-RO"/>
        </w:rPr>
      </w:pPr>
      <w:bookmarkStart w:id="66" w:name="_Ref319710606"/>
      <w:bookmarkStart w:id="67" w:name="_Toc322018901"/>
      <w:r w:rsidRPr="009C5F11">
        <w:rPr>
          <w:rFonts w:ascii="Times New Roman" w:hAnsi="Times New Roman" w:cs="Times New Roman"/>
          <w:sz w:val="22"/>
          <w:lang w:val="ro-RO"/>
        </w:rPr>
        <w:t>Figura</w:t>
      </w:r>
      <w:r w:rsidR="00EB5122"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EB5122" w:rsidRPr="009C5F11">
        <w:rPr>
          <w:rFonts w:ascii="Times New Roman" w:hAnsi="Times New Roman" w:cs="Times New Roman"/>
          <w:sz w:val="22"/>
          <w:lang w:val="ro-RO"/>
        </w:rPr>
        <w:instrText xml:space="preserve"> SEQ Figure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w:t>
      </w:r>
      <w:r w:rsidR="003A6ADB" w:rsidRPr="009C5F11">
        <w:rPr>
          <w:rFonts w:ascii="Times New Roman" w:hAnsi="Times New Roman" w:cs="Times New Roman"/>
          <w:sz w:val="22"/>
          <w:lang w:val="ro-RO"/>
        </w:rPr>
        <w:fldChar w:fldCharType="end"/>
      </w:r>
      <w:bookmarkEnd w:id="66"/>
      <w:r w:rsidR="00EB5122" w:rsidRPr="009C5F11">
        <w:rPr>
          <w:rFonts w:ascii="Times New Roman" w:hAnsi="Times New Roman" w:cs="Times New Roman"/>
          <w:sz w:val="22"/>
          <w:lang w:val="ro-RO"/>
        </w:rPr>
        <w:t xml:space="preserve"> - </w:t>
      </w:r>
      <w:r w:rsidRPr="009C5F11">
        <w:rPr>
          <w:rFonts w:ascii="Times New Roman" w:hAnsi="Times New Roman" w:cs="Times New Roman"/>
          <w:sz w:val="22"/>
          <w:lang w:val="ro-RO"/>
        </w:rPr>
        <w:t xml:space="preserve">Previziuni ale consumului de energie primară şi de energie finală </w:t>
      </w:r>
      <w:r w:rsidR="00EB5122" w:rsidRPr="009C5F11">
        <w:rPr>
          <w:rFonts w:ascii="Times New Roman" w:hAnsi="Times New Roman" w:cs="Times New Roman"/>
          <w:sz w:val="22"/>
          <w:lang w:val="ro-RO"/>
        </w:rPr>
        <w:t>(</w:t>
      </w:r>
      <w:r w:rsidR="00E52940" w:rsidRPr="009C5F11">
        <w:rPr>
          <w:rFonts w:ascii="Times New Roman" w:hAnsi="Times New Roman" w:cs="Times New Roman"/>
          <w:sz w:val="22"/>
          <w:lang w:val="ro-RO"/>
        </w:rPr>
        <w:t>ktep</w:t>
      </w:r>
      <w:r w:rsidR="00EB5122" w:rsidRPr="009C5F11">
        <w:rPr>
          <w:rFonts w:ascii="Times New Roman" w:hAnsi="Times New Roman" w:cs="Times New Roman"/>
          <w:sz w:val="22"/>
          <w:lang w:val="ro-RO"/>
        </w:rPr>
        <w:t>)</w:t>
      </w:r>
      <w:r w:rsidRPr="009C5F11">
        <w:rPr>
          <w:rFonts w:ascii="Times New Roman" w:hAnsi="Times New Roman" w:cs="Times New Roman"/>
          <w:sz w:val="22"/>
          <w:lang w:val="ro-RO"/>
        </w:rPr>
        <w:t>.</w:t>
      </w:r>
      <w:bookmarkEnd w:id="67"/>
    </w:p>
    <w:p w14:paraId="47523E46" w14:textId="4C601F18" w:rsidR="00E81780" w:rsidRPr="009C5F11" w:rsidRDefault="003E6BA4" w:rsidP="003A3B6F">
      <w:pPr>
        <w:jc w:val="center"/>
        <w:rPr>
          <w:rFonts w:ascii="Times New Roman" w:hAnsi="Times New Roman" w:cs="Times New Roman"/>
          <w:sz w:val="24"/>
          <w:lang w:val="ro-RO"/>
        </w:rPr>
      </w:pPr>
      <w:r w:rsidRPr="009C5F11">
        <w:rPr>
          <w:rFonts w:ascii="Times New Roman" w:hAnsi="Times New Roman" w:cs="Times New Roman"/>
          <w:noProof/>
          <w:sz w:val="24"/>
          <w:lang w:val="ro-RO" w:eastAsia="ro-RO"/>
        </w:rPr>
        <w:drawing>
          <wp:inline distT="0" distB="0" distL="0" distR="0" wp14:anchorId="74B2FA5A" wp14:editId="113B37E6">
            <wp:extent cx="5523932" cy="3803515"/>
            <wp:effectExtent l="0" t="0" r="63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32542" cy="3809443"/>
                    </a:xfrm>
                    <a:prstGeom prst="rect">
                      <a:avLst/>
                    </a:prstGeom>
                    <a:noFill/>
                  </pic:spPr>
                </pic:pic>
              </a:graphicData>
            </a:graphic>
          </wp:inline>
        </w:drawing>
      </w:r>
    </w:p>
    <w:p w14:paraId="392BD40E" w14:textId="77777777" w:rsidR="002733CB" w:rsidRPr="00D9464A" w:rsidRDefault="002733CB" w:rsidP="008321AB">
      <w:pPr>
        <w:pStyle w:val="Titlu3"/>
        <w:rPr>
          <w:rFonts w:ascii="Times New Roman" w:hAnsi="Times New Roman" w:cs="Times New Roman"/>
          <w:b/>
          <w:color w:val="000000" w:themeColor="text1"/>
          <w:sz w:val="28"/>
          <w:lang w:val="ro-RO"/>
        </w:rPr>
      </w:pPr>
      <w:bookmarkStart w:id="68" w:name="_Toc319555377"/>
      <w:bookmarkStart w:id="69" w:name="_Ref319619485"/>
      <w:bookmarkStart w:id="70" w:name="_Toc322013143"/>
      <w:r w:rsidRPr="00D9464A">
        <w:rPr>
          <w:rFonts w:ascii="Times New Roman" w:hAnsi="Times New Roman" w:cs="Times New Roman"/>
          <w:b/>
          <w:color w:val="000000" w:themeColor="text1"/>
          <w:sz w:val="28"/>
          <w:lang w:val="ro-RO"/>
        </w:rPr>
        <w:lastRenderedPageBreak/>
        <w:t>Progres</w:t>
      </w:r>
      <w:r w:rsidR="00812E1D" w:rsidRPr="00D9464A">
        <w:rPr>
          <w:rFonts w:ascii="Times New Roman" w:hAnsi="Times New Roman" w:cs="Times New Roman"/>
          <w:b/>
          <w:color w:val="000000" w:themeColor="text1"/>
          <w:sz w:val="28"/>
          <w:lang w:val="ro-RO"/>
        </w:rPr>
        <w:t xml:space="preserve">ul atins în realizarea obiectivelor </w:t>
      </w:r>
      <w:r w:rsidR="009440A1" w:rsidRPr="00D9464A">
        <w:rPr>
          <w:rFonts w:ascii="Times New Roman" w:hAnsi="Times New Roman" w:cs="Times New Roman"/>
          <w:b/>
          <w:color w:val="000000" w:themeColor="text1"/>
          <w:sz w:val="28"/>
          <w:lang w:val="ro-RO"/>
        </w:rPr>
        <w:t>privind</w:t>
      </w:r>
      <w:r w:rsidR="00812E1D" w:rsidRPr="00D9464A">
        <w:rPr>
          <w:rFonts w:ascii="Times New Roman" w:hAnsi="Times New Roman" w:cs="Times New Roman"/>
          <w:b/>
          <w:color w:val="000000" w:themeColor="text1"/>
          <w:sz w:val="28"/>
          <w:lang w:val="ro-RO"/>
        </w:rPr>
        <w:t xml:space="preserve"> economii</w:t>
      </w:r>
      <w:r w:rsidR="009440A1" w:rsidRPr="00D9464A">
        <w:rPr>
          <w:rFonts w:ascii="Times New Roman" w:hAnsi="Times New Roman" w:cs="Times New Roman"/>
          <w:b/>
          <w:color w:val="000000" w:themeColor="text1"/>
          <w:sz w:val="28"/>
          <w:lang w:val="ro-RO"/>
        </w:rPr>
        <w:t>le</w:t>
      </w:r>
      <w:r w:rsidR="00812E1D" w:rsidRPr="00D9464A">
        <w:rPr>
          <w:rFonts w:ascii="Times New Roman" w:hAnsi="Times New Roman" w:cs="Times New Roman"/>
          <w:b/>
          <w:color w:val="000000" w:themeColor="text1"/>
          <w:sz w:val="28"/>
          <w:lang w:val="ro-RO"/>
        </w:rPr>
        <w:t xml:space="preserve"> de energie</w:t>
      </w:r>
      <w:r w:rsidR="00321CD5" w:rsidRPr="00D9464A">
        <w:rPr>
          <w:rFonts w:ascii="Times New Roman" w:hAnsi="Times New Roman" w:cs="Times New Roman"/>
          <w:b/>
          <w:color w:val="000000" w:themeColor="text1"/>
          <w:sz w:val="28"/>
          <w:lang w:val="ro-RO"/>
        </w:rPr>
        <w:t xml:space="preserve"> </w:t>
      </w:r>
      <w:r w:rsidR="00141991" w:rsidRPr="00D9464A">
        <w:rPr>
          <w:rFonts w:ascii="Times New Roman" w:hAnsi="Times New Roman" w:cs="Times New Roman"/>
          <w:b/>
          <w:color w:val="000000" w:themeColor="text1"/>
          <w:sz w:val="28"/>
          <w:lang w:val="ro-RO"/>
        </w:rPr>
        <w:t xml:space="preserve">pentru </w:t>
      </w:r>
      <w:r w:rsidR="00130436" w:rsidRPr="00D9464A">
        <w:rPr>
          <w:rFonts w:ascii="Times New Roman" w:hAnsi="Times New Roman" w:cs="Times New Roman"/>
          <w:b/>
          <w:color w:val="000000" w:themeColor="text1"/>
          <w:sz w:val="28"/>
          <w:lang w:val="ro-RO"/>
        </w:rPr>
        <w:t>2016</w:t>
      </w:r>
      <w:r w:rsidR="00321CD5" w:rsidRPr="00D9464A">
        <w:rPr>
          <w:rFonts w:ascii="Times New Roman" w:hAnsi="Times New Roman" w:cs="Times New Roman"/>
          <w:b/>
          <w:color w:val="000000" w:themeColor="text1"/>
          <w:sz w:val="28"/>
          <w:lang w:val="ro-RO"/>
        </w:rPr>
        <w:t xml:space="preserve"> şi </w:t>
      </w:r>
      <w:r w:rsidR="00130436" w:rsidRPr="00D9464A">
        <w:rPr>
          <w:rFonts w:ascii="Times New Roman" w:hAnsi="Times New Roman" w:cs="Times New Roman"/>
          <w:b/>
          <w:color w:val="000000" w:themeColor="text1"/>
          <w:sz w:val="28"/>
          <w:lang w:val="ro-RO"/>
        </w:rPr>
        <w:t>2020</w:t>
      </w:r>
      <w:r w:rsidRPr="00D9464A">
        <w:rPr>
          <w:rFonts w:ascii="Times New Roman" w:hAnsi="Times New Roman" w:cs="Times New Roman"/>
          <w:b/>
          <w:color w:val="000000" w:themeColor="text1"/>
          <w:sz w:val="28"/>
          <w:lang w:val="ro-RO"/>
        </w:rPr>
        <w:t xml:space="preserve"> </w:t>
      </w:r>
      <w:r w:rsidR="00812E1D" w:rsidRPr="00D9464A">
        <w:rPr>
          <w:rFonts w:ascii="Times New Roman" w:hAnsi="Times New Roman" w:cs="Times New Roman"/>
          <w:b/>
          <w:color w:val="000000" w:themeColor="text1"/>
          <w:sz w:val="28"/>
          <w:lang w:val="ro-RO"/>
        </w:rPr>
        <w:t>în conformitate cu</w:t>
      </w:r>
      <w:r w:rsidRPr="00D9464A">
        <w:rPr>
          <w:rFonts w:ascii="Times New Roman" w:hAnsi="Times New Roman" w:cs="Times New Roman"/>
          <w:b/>
          <w:color w:val="000000" w:themeColor="text1"/>
          <w:sz w:val="28"/>
          <w:lang w:val="ro-RO"/>
        </w:rPr>
        <w:t xml:space="preserve"> Art</w:t>
      </w:r>
      <w:r w:rsidR="00812E1D" w:rsidRPr="00D9464A">
        <w:rPr>
          <w:rFonts w:ascii="Times New Roman" w:hAnsi="Times New Roman" w:cs="Times New Roman"/>
          <w:b/>
          <w:color w:val="000000" w:themeColor="text1"/>
          <w:sz w:val="28"/>
          <w:lang w:val="ro-RO"/>
        </w:rPr>
        <w:t>icolul</w:t>
      </w:r>
      <w:r w:rsidRPr="00D9464A">
        <w:rPr>
          <w:rFonts w:ascii="Times New Roman" w:hAnsi="Times New Roman" w:cs="Times New Roman"/>
          <w:b/>
          <w:color w:val="000000" w:themeColor="text1"/>
          <w:sz w:val="28"/>
          <w:lang w:val="ro-RO"/>
        </w:rPr>
        <w:t xml:space="preserve"> 4 </w:t>
      </w:r>
      <w:r w:rsidR="00D110BA" w:rsidRPr="00D9464A">
        <w:rPr>
          <w:rFonts w:ascii="Times New Roman" w:hAnsi="Times New Roman" w:cs="Times New Roman"/>
          <w:b/>
          <w:color w:val="000000" w:themeColor="text1"/>
          <w:sz w:val="28"/>
          <w:lang w:val="ro-RO"/>
        </w:rPr>
        <w:t>din</w:t>
      </w:r>
      <w:r w:rsidRPr="00D9464A">
        <w:rPr>
          <w:rFonts w:ascii="Times New Roman" w:hAnsi="Times New Roman" w:cs="Times New Roman"/>
          <w:b/>
          <w:color w:val="000000" w:themeColor="text1"/>
          <w:sz w:val="28"/>
          <w:lang w:val="ro-RO"/>
        </w:rPr>
        <w:t xml:space="preserve"> </w:t>
      </w:r>
      <w:r w:rsidR="00871B4E" w:rsidRPr="00D9464A">
        <w:rPr>
          <w:rFonts w:ascii="Times New Roman" w:hAnsi="Times New Roman" w:cs="Times New Roman"/>
          <w:b/>
          <w:color w:val="000000" w:themeColor="text1"/>
          <w:sz w:val="28"/>
          <w:lang w:val="ro-RO"/>
        </w:rPr>
        <w:t>DSE</w:t>
      </w:r>
      <w:r w:rsidRPr="00D9464A">
        <w:rPr>
          <w:rFonts w:ascii="Times New Roman" w:hAnsi="Times New Roman" w:cs="Times New Roman"/>
          <w:b/>
          <w:color w:val="000000" w:themeColor="text1"/>
          <w:sz w:val="28"/>
          <w:lang w:val="ro-RO"/>
        </w:rPr>
        <w:t>.</w:t>
      </w:r>
      <w:bookmarkEnd w:id="68"/>
      <w:bookmarkEnd w:id="69"/>
      <w:bookmarkEnd w:id="70"/>
    </w:p>
    <w:bookmarkEnd w:id="34"/>
    <w:bookmarkEnd w:id="35"/>
    <w:p w14:paraId="5A6FA653" w14:textId="77777777" w:rsidR="00B808F6" w:rsidRPr="009C5F11" w:rsidRDefault="00FC2F9D"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Până în prezent, a fost atins un progres </w:t>
      </w:r>
      <w:r w:rsidR="002733CB" w:rsidRPr="009C5F11">
        <w:rPr>
          <w:rFonts w:ascii="Times New Roman" w:hAnsi="Times New Roman" w:cs="Times New Roman"/>
          <w:sz w:val="24"/>
          <w:lang w:val="ro-RO"/>
        </w:rPr>
        <w:t xml:space="preserve">relevant </w:t>
      </w:r>
      <w:r w:rsidR="00321CD5" w:rsidRPr="009C5F11">
        <w:rPr>
          <w:rFonts w:ascii="Times New Roman" w:hAnsi="Times New Roman" w:cs="Times New Roman"/>
          <w:sz w:val="24"/>
          <w:lang w:val="ro-RO"/>
        </w:rPr>
        <w:t xml:space="preserve">în </w:t>
      </w:r>
      <w:r w:rsidR="002733CB" w:rsidRPr="009C5F11">
        <w:rPr>
          <w:rFonts w:ascii="Times New Roman" w:hAnsi="Times New Roman" w:cs="Times New Roman"/>
          <w:sz w:val="24"/>
          <w:lang w:val="ro-RO"/>
        </w:rPr>
        <w:t>reali</w:t>
      </w:r>
      <w:r w:rsidRPr="009C5F11">
        <w:rPr>
          <w:rFonts w:ascii="Times New Roman" w:hAnsi="Times New Roman" w:cs="Times New Roman"/>
          <w:sz w:val="24"/>
          <w:lang w:val="ro-RO"/>
        </w:rPr>
        <w:t xml:space="preserve">zarea dispoziţiilor </w:t>
      </w:r>
      <w:r w:rsidR="000A4CC7" w:rsidRPr="009C5F11">
        <w:rPr>
          <w:rFonts w:ascii="Times New Roman" w:hAnsi="Times New Roman" w:cs="Times New Roman"/>
          <w:sz w:val="24"/>
          <w:lang w:val="ro-RO"/>
        </w:rPr>
        <w:t>PNEE</w:t>
      </w:r>
      <w:r w:rsidR="002733CB" w:rsidRPr="009C5F11">
        <w:rPr>
          <w:rFonts w:ascii="Times New Roman" w:hAnsi="Times New Roman" w:cs="Times New Roman"/>
          <w:sz w:val="24"/>
          <w:lang w:val="ro-RO"/>
        </w:rPr>
        <w:t xml:space="preserve"> 2011-2020</w:t>
      </w:r>
      <w:r w:rsidR="00321CD5" w:rsidRPr="009C5F11">
        <w:rPr>
          <w:rFonts w:ascii="Times New Roman" w:hAnsi="Times New Roman" w:cs="Times New Roman"/>
          <w:sz w:val="24"/>
          <w:lang w:val="ro-RO"/>
        </w:rPr>
        <w:t xml:space="preserve"> şi </w:t>
      </w:r>
      <w:r w:rsidR="00872DC2"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2013-2015. </w:t>
      </w:r>
      <w:r w:rsidRPr="009C5F11">
        <w:rPr>
          <w:rFonts w:ascii="Times New Roman" w:hAnsi="Times New Roman" w:cs="Times New Roman"/>
          <w:sz w:val="24"/>
          <w:lang w:val="ro-RO"/>
        </w:rPr>
        <w:t xml:space="preserve">Astfel, au fost elaborate şi actualizate o serie de documente </w:t>
      </w:r>
      <w:r w:rsidR="002733CB" w:rsidRPr="009C5F11">
        <w:rPr>
          <w:rFonts w:ascii="Times New Roman" w:hAnsi="Times New Roman" w:cs="Times New Roman"/>
          <w:sz w:val="24"/>
          <w:lang w:val="ro-RO"/>
        </w:rPr>
        <w:t>legislative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normative, unele dintre acestea fiind deja adoptate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 fost instituit </w:t>
      </w:r>
      <w:r w:rsidR="00321CD5" w:rsidRPr="009C5F11">
        <w:rPr>
          <w:rFonts w:ascii="Times New Roman" w:hAnsi="Times New Roman" w:cs="Times New Roman"/>
          <w:sz w:val="24"/>
          <w:lang w:val="ro-RO"/>
        </w:rPr>
        <w:t>Fondul pentru Eficienţă Energetică</w:t>
      </w:r>
      <w:r w:rsidRPr="009C5F11">
        <w:rPr>
          <w:rFonts w:ascii="Times New Roman" w:hAnsi="Times New Roman" w:cs="Times New Roman"/>
          <w:sz w:val="24"/>
          <w:lang w:val="ro-RO"/>
        </w:rPr>
        <w:t xml:space="preserve">, funcţionarea căruia este </w:t>
      </w:r>
      <w:r w:rsidR="00146D3A" w:rsidRPr="009C5F11">
        <w:rPr>
          <w:rFonts w:ascii="Times New Roman" w:hAnsi="Times New Roman" w:cs="Times New Roman"/>
          <w:sz w:val="24"/>
          <w:lang w:val="ro-RO"/>
        </w:rPr>
        <w:t>îmbunătățită</w:t>
      </w:r>
      <w:r w:rsidRPr="009C5F11">
        <w:rPr>
          <w:rFonts w:ascii="Times New Roman" w:hAnsi="Times New Roman" w:cs="Times New Roman"/>
          <w:sz w:val="24"/>
          <w:lang w:val="ro-RO"/>
        </w:rPr>
        <w:t xml:space="preserve"> </w:t>
      </w:r>
      <w:r w:rsidR="00DA32BC" w:rsidRPr="009C5F11">
        <w:rPr>
          <w:rFonts w:ascii="Times New Roman" w:hAnsi="Times New Roman" w:cs="Times New Roman"/>
          <w:sz w:val="24"/>
          <w:lang w:val="ro-RO"/>
        </w:rPr>
        <w:t>continuu</w:t>
      </w:r>
      <w:r w:rsidRPr="009C5F11">
        <w:rPr>
          <w:rFonts w:ascii="Times New Roman" w:hAnsi="Times New Roman" w:cs="Times New Roman"/>
          <w:sz w:val="24"/>
          <w:lang w:val="ro-RO"/>
        </w:rPr>
        <w:t xml:space="preserve">. Au fost depuse eforturi semnificative </w:t>
      </w:r>
      <w:r w:rsidR="00321CD5" w:rsidRPr="009C5F11">
        <w:rPr>
          <w:rFonts w:ascii="Times New Roman" w:hAnsi="Times New Roman" w:cs="Times New Roman"/>
          <w:sz w:val="24"/>
          <w:lang w:val="ro-RO"/>
        </w:rPr>
        <w:t xml:space="preserve">şi </w:t>
      </w:r>
      <w:r w:rsidRPr="009C5F11">
        <w:rPr>
          <w:rFonts w:ascii="Times New Roman" w:hAnsi="Times New Roman" w:cs="Times New Roman"/>
          <w:sz w:val="24"/>
          <w:lang w:val="ro-RO"/>
        </w:rPr>
        <w:t>alocate resurse</w:t>
      </w:r>
      <w:r w:rsidR="00D110BA" w:rsidRPr="009C5F11">
        <w:rPr>
          <w:rFonts w:ascii="Times New Roman" w:hAnsi="Times New Roman" w:cs="Times New Roman"/>
          <w:sz w:val="24"/>
          <w:lang w:val="ro-RO"/>
        </w:rPr>
        <w:t>le necesare</w:t>
      </w:r>
      <w:r w:rsidRPr="009C5F11">
        <w:rPr>
          <w:rFonts w:ascii="Times New Roman" w:hAnsi="Times New Roman" w:cs="Times New Roman"/>
          <w:sz w:val="24"/>
          <w:lang w:val="ro-RO"/>
        </w:rPr>
        <w:t xml:space="preserve"> </w:t>
      </w:r>
      <w:r w:rsidR="00DA32BC" w:rsidRPr="009C5F11">
        <w:rPr>
          <w:rFonts w:ascii="Times New Roman" w:hAnsi="Times New Roman" w:cs="Times New Roman"/>
          <w:sz w:val="24"/>
          <w:lang w:val="ro-RO"/>
        </w:rPr>
        <w:t>pentru</w:t>
      </w:r>
      <w:r w:rsidR="00321CD5" w:rsidRPr="009C5F11">
        <w:rPr>
          <w:rFonts w:ascii="Times New Roman" w:hAnsi="Times New Roman" w:cs="Times New Roman"/>
          <w:sz w:val="24"/>
          <w:lang w:val="ro-RO"/>
        </w:rPr>
        <w:t xml:space="preserve"> </w:t>
      </w:r>
      <w:r w:rsidR="00177E9C" w:rsidRPr="009C5F11">
        <w:rPr>
          <w:rFonts w:ascii="Times New Roman" w:hAnsi="Times New Roman" w:cs="Times New Roman"/>
          <w:sz w:val="24"/>
          <w:lang w:val="ro-RO"/>
        </w:rPr>
        <w:t>instruiri</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elaborarea de PLEE-uri şi PLAEE-uri</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7 documente de acest gen fiind prezentate </w:t>
      </w:r>
      <w:r w:rsidR="002733CB" w:rsidRPr="009C5F11">
        <w:rPr>
          <w:rFonts w:ascii="Times New Roman" w:hAnsi="Times New Roman" w:cs="Times New Roman"/>
          <w:sz w:val="24"/>
          <w:lang w:val="ro-RO"/>
        </w:rPr>
        <w:t xml:space="preserve">AEE </w:t>
      </w:r>
      <w:r w:rsidRPr="009C5F11">
        <w:rPr>
          <w:rFonts w:ascii="Times New Roman" w:hAnsi="Times New Roman" w:cs="Times New Roman"/>
          <w:sz w:val="24"/>
          <w:lang w:val="ro-RO"/>
        </w:rPr>
        <w:t>pentru coordonare</w:t>
      </w:r>
      <w:r w:rsidR="002733CB" w:rsidRPr="009C5F11">
        <w:rPr>
          <w:rFonts w:ascii="Times New Roman" w:hAnsi="Times New Roman" w:cs="Times New Roman"/>
          <w:sz w:val="24"/>
          <w:lang w:val="ro-RO"/>
        </w:rPr>
        <w:t xml:space="preserve">. </w:t>
      </w:r>
      <w:r w:rsidR="00334DD0" w:rsidRPr="009C5F11">
        <w:rPr>
          <w:rFonts w:ascii="Times New Roman" w:hAnsi="Times New Roman" w:cs="Times New Roman"/>
          <w:sz w:val="24"/>
          <w:lang w:val="ro-RO"/>
        </w:rPr>
        <w:t xml:space="preserve">În </w:t>
      </w:r>
      <w:r w:rsidR="002733CB" w:rsidRPr="009C5F11">
        <w:rPr>
          <w:rFonts w:ascii="Times New Roman" w:hAnsi="Times New Roman" w:cs="Times New Roman"/>
          <w:sz w:val="24"/>
          <w:lang w:val="ro-RO"/>
        </w:rPr>
        <w:t xml:space="preserve">2014, </w:t>
      </w:r>
      <w:r w:rsidR="00DA32BC" w:rsidRPr="009C5F11">
        <w:rPr>
          <w:rFonts w:ascii="Times New Roman" w:hAnsi="Times New Roman" w:cs="Times New Roman"/>
          <w:sz w:val="24"/>
          <w:lang w:val="ro-RO"/>
        </w:rPr>
        <w:t xml:space="preserve">au fost autorizate </w:t>
      </w:r>
      <w:r w:rsidR="00006F81" w:rsidRPr="009C5F11">
        <w:rPr>
          <w:rFonts w:ascii="Times New Roman" w:hAnsi="Times New Roman" w:cs="Times New Roman"/>
          <w:sz w:val="24"/>
          <w:lang w:val="ro-RO"/>
        </w:rPr>
        <w:t>suplimentar</w:t>
      </w:r>
      <w:r w:rsidR="002733CB" w:rsidRPr="009C5F11">
        <w:rPr>
          <w:rFonts w:ascii="Times New Roman" w:hAnsi="Times New Roman" w:cs="Times New Roman"/>
          <w:sz w:val="24"/>
          <w:lang w:val="ro-RO"/>
        </w:rPr>
        <w:t xml:space="preserve"> 40 </w:t>
      </w:r>
      <w:r w:rsidR="00006F81" w:rsidRPr="009C5F11">
        <w:rPr>
          <w:rFonts w:ascii="Times New Roman" w:hAnsi="Times New Roman" w:cs="Times New Roman"/>
          <w:sz w:val="24"/>
          <w:lang w:val="ro-RO"/>
        </w:rPr>
        <w:t xml:space="preserve">de </w:t>
      </w:r>
      <w:r w:rsidR="00177E9C" w:rsidRPr="009C5F11">
        <w:rPr>
          <w:rFonts w:ascii="Times New Roman" w:hAnsi="Times New Roman" w:cs="Times New Roman"/>
          <w:sz w:val="24"/>
          <w:lang w:val="ro-RO"/>
        </w:rPr>
        <w:t>persoane</w:t>
      </w:r>
      <w:r w:rsidR="002733CB" w:rsidRPr="009C5F11">
        <w:rPr>
          <w:rFonts w:ascii="Times New Roman" w:hAnsi="Times New Roman" w:cs="Times New Roman"/>
          <w:sz w:val="24"/>
          <w:lang w:val="ro-RO"/>
        </w:rPr>
        <w:t xml:space="preserve"> </w:t>
      </w:r>
      <w:r w:rsidR="00006F81" w:rsidRPr="009C5F11">
        <w:rPr>
          <w:rFonts w:ascii="Times New Roman" w:hAnsi="Times New Roman" w:cs="Times New Roman"/>
          <w:sz w:val="24"/>
          <w:lang w:val="ro-RO"/>
        </w:rPr>
        <w:t>în calitate de</w:t>
      </w:r>
      <w:r w:rsidR="002733CB" w:rsidRPr="009C5F11">
        <w:rPr>
          <w:rFonts w:ascii="Times New Roman" w:hAnsi="Times New Roman" w:cs="Times New Roman"/>
          <w:sz w:val="24"/>
          <w:lang w:val="ro-RO"/>
        </w:rPr>
        <w:t xml:space="preserve"> auditor</w:t>
      </w:r>
      <w:r w:rsidR="00006F81" w:rsidRPr="009C5F11">
        <w:rPr>
          <w:rFonts w:ascii="Times New Roman" w:hAnsi="Times New Roman" w:cs="Times New Roman"/>
          <w:sz w:val="24"/>
          <w:lang w:val="ro-RO"/>
        </w:rPr>
        <w:t>i energetici</w:t>
      </w:r>
      <w:r w:rsidR="002733CB"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inclusiv</w:t>
      </w:r>
      <w:r w:rsidR="002733CB" w:rsidRPr="009C5F11">
        <w:rPr>
          <w:rFonts w:ascii="Times New Roman" w:hAnsi="Times New Roman" w:cs="Times New Roman"/>
          <w:sz w:val="24"/>
          <w:lang w:val="ro-RO"/>
        </w:rPr>
        <w:t xml:space="preserve"> 25 </w:t>
      </w:r>
      <w:r w:rsidR="00006F81" w:rsidRPr="009C5F11">
        <w:rPr>
          <w:rFonts w:ascii="Times New Roman" w:hAnsi="Times New Roman" w:cs="Times New Roman"/>
          <w:sz w:val="24"/>
          <w:lang w:val="ro-RO"/>
        </w:rPr>
        <w:t>de persoane fizice</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 xml:space="preserve">15 </w:t>
      </w:r>
      <w:r w:rsidR="00812E1D" w:rsidRPr="009C5F11">
        <w:rPr>
          <w:rFonts w:ascii="Times New Roman" w:hAnsi="Times New Roman" w:cs="Times New Roman"/>
          <w:sz w:val="24"/>
          <w:lang w:val="ro-RO"/>
        </w:rPr>
        <w:t>persoane juridice</w:t>
      </w:r>
      <w:r w:rsidR="002733CB" w:rsidRPr="009C5F11">
        <w:rPr>
          <w:rFonts w:ascii="Times New Roman" w:hAnsi="Times New Roman" w:cs="Times New Roman"/>
          <w:sz w:val="24"/>
          <w:lang w:val="ro-RO"/>
        </w:rPr>
        <w:t>.</w:t>
      </w:r>
    </w:p>
    <w:p w14:paraId="0F475880" w14:textId="7601C9CF" w:rsidR="002733CB" w:rsidRPr="009C5F11" w:rsidRDefault="00006F81"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w:t>
      </w:r>
      <w:r w:rsidR="002733CB" w:rsidRPr="009C5F11">
        <w:rPr>
          <w:rFonts w:ascii="Times New Roman" w:hAnsi="Times New Roman" w:cs="Times New Roman"/>
          <w:sz w:val="24"/>
          <w:lang w:val="ro-RO"/>
        </w:rPr>
        <w:t>roces</w:t>
      </w:r>
      <w:r w:rsidRPr="009C5F11">
        <w:rPr>
          <w:rFonts w:ascii="Times New Roman" w:hAnsi="Times New Roman" w:cs="Times New Roman"/>
          <w:sz w:val="24"/>
          <w:lang w:val="ro-RO"/>
        </w:rPr>
        <w:t>ul de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realizare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 angajamentelor şi obiectivelor în materie de</w:t>
      </w:r>
      <w:r w:rsidR="002733CB"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eficienţă energetică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ale</w:t>
      </w:r>
      <w:r w:rsidR="002733CB" w:rsidRPr="009C5F11">
        <w:rPr>
          <w:rFonts w:ascii="Times New Roman" w:hAnsi="Times New Roman" w:cs="Times New Roman"/>
          <w:sz w:val="24"/>
          <w:lang w:val="ro-RO"/>
        </w:rPr>
        <w:t xml:space="preserve"> </w:t>
      </w:r>
      <w:r w:rsidR="00A56101" w:rsidRPr="009C5F11">
        <w:rPr>
          <w:rFonts w:ascii="Times New Roman" w:hAnsi="Times New Roman" w:cs="Times New Roman"/>
          <w:sz w:val="24"/>
          <w:lang w:val="ro-RO"/>
        </w:rPr>
        <w:t>Republicii Moldova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este sprijinit semnificativ de diverse</w:t>
      </w:r>
      <w:r w:rsidR="002733CB"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proiecte</w:t>
      </w:r>
      <w:r w:rsidR="00A64B9B"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inclusiv</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dar fără a se limita la</w:t>
      </w:r>
      <w:r w:rsidR="002733CB" w:rsidRPr="009C5F11">
        <w:rPr>
          <w:rFonts w:ascii="Times New Roman" w:hAnsi="Times New Roman" w:cs="Times New Roman"/>
          <w:sz w:val="24"/>
          <w:lang w:val="ro-RO"/>
        </w:rPr>
        <w:t xml:space="preserve">, </w:t>
      </w:r>
      <w:r w:rsidR="00016A4B" w:rsidRPr="009C5F11">
        <w:rPr>
          <w:rFonts w:ascii="Times New Roman" w:hAnsi="Times New Roman" w:cs="Times New Roman"/>
          <w:sz w:val="24"/>
          <w:lang w:val="ro-RO"/>
        </w:rPr>
        <w:t>următoarele</w:t>
      </w:r>
      <w:r w:rsidR="00A64B9B" w:rsidRPr="009C5F11">
        <w:rPr>
          <w:rFonts w:ascii="Times New Roman" w:hAnsi="Times New Roman" w:cs="Times New Roman"/>
          <w:sz w:val="24"/>
          <w:lang w:val="ro-RO"/>
        </w:rPr>
        <w:t xml:space="preserve"> (</w:t>
      </w:r>
      <w:r w:rsidR="00812E1D" w:rsidRPr="009C5F11">
        <w:rPr>
          <w:rFonts w:ascii="Times New Roman" w:hAnsi="Times New Roman" w:cs="Times New Roman"/>
          <w:sz w:val="24"/>
          <w:lang w:val="ro-RO"/>
        </w:rPr>
        <w:t>lista completă a proiectelor este inclusă în</w:t>
      </w:r>
      <w:r w:rsidR="00B16583" w:rsidRPr="009C5F11">
        <w:rPr>
          <w:rFonts w:ascii="Times New Roman" w:hAnsi="Times New Roman" w:cs="Times New Roman"/>
          <w:sz w:val="24"/>
          <w:lang w:val="ro-RO"/>
        </w:rPr>
        <w:t xml:space="preserve"> </w:t>
      </w:r>
      <w:r w:rsidR="00B16583" w:rsidRPr="009C5F11">
        <w:rPr>
          <w:rFonts w:ascii="Times New Roman" w:hAnsi="Times New Roman" w:cs="Times New Roman"/>
          <w:sz w:val="24"/>
          <w:lang w:val="ro-RO"/>
        </w:rPr>
        <w:fldChar w:fldCharType="begin"/>
      </w:r>
      <w:r w:rsidR="00B16583" w:rsidRPr="009C5F11">
        <w:rPr>
          <w:rFonts w:ascii="Times New Roman" w:hAnsi="Times New Roman" w:cs="Times New Roman"/>
          <w:sz w:val="24"/>
          <w:lang w:val="ro-RO"/>
        </w:rPr>
        <w:instrText xml:space="preserve"> REF _Ref322010472 \h </w:instrText>
      </w:r>
      <w:r w:rsidR="009C5F11" w:rsidRPr="009C5F11">
        <w:rPr>
          <w:rFonts w:ascii="Times New Roman" w:hAnsi="Times New Roman" w:cs="Times New Roman"/>
          <w:sz w:val="24"/>
          <w:lang w:val="ro-RO"/>
        </w:rPr>
        <w:instrText xml:space="preserve"> \* MERGEFORMAT </w:instrText>
      </w:r>
      <w:r w:rsidR="00B16583" w:rsidRPr="009C5F11">
        <w:rPr>
          <w:rFonts w:ascii="Times New Roman" w:hAnsi="Times New Roman" w:cs="Times New Roman"/>
          <w:sz w:val="24"/>
          <w:lang w:val="ro-RO"/>
        </w:rPr>
      </w:r>
      <w:r w:rsidR="00B16583"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50</w:t>
      </w:r>
      <w:r w:rsidR="00B16583" w:rsidRPr="009C5F11">
        <w:rPr>
          <w:rFonts w:ascii="Times New Roman" w:hAnsi="Times New Roman" w:cs="Times New Roman"/>
          <w:sz w:val="24"/>
          <w:lang w:val="ro-RO"/>
        </w:rPr>
        <w:fldChar w:fldCharType="end"/>
      </w:r>
      <w:r w:rsidR="00A64B9B" w:rsidRPr="009C5F11">
        <w:rPr>
          <w:rFonts w:ascii="Times New Roman" w:hAnsi="Times New Roman" w:cs="Times New Roman"/>
          <w:sz w:val="24"/>
          <w:lang w:val="ro-RO"/>
        </w:rPr>
        <w:t>)</w:t>
      </w:r>
      <w:r w:rsidR="002733CB" w:rsidRPr="009C5F11">
        <w:rPr>
          <w:rFonts w:ascii="Times New Roman" w:hAnsi="Times New Roman" w:cs="Times New Roman"/>
          <w:sz w:val="24"/>
          <w:lang w:val="ro-RO"/>
        </w:rPr>
        <w:t>:</w:t>
      </w:r>
    </w:p>
    <w:p w14:paraId="3F1AED02" w14:textId="77777777" w:rsidR="002733CB" w:rsidRPr="009C5F11" w:rsidRDefault="00006F81" w:rsidP="00334F3B">
      <w:pPr>
        <w:pStyle w:val="Listparagraf"/>
        <w:numPr>
          <w:ilvl w:val="0"/>
          <w:numId w:val="168"/>
        </w:numPr>
        <w:spacing w:after="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Programul de susţinere a politicilor sectoriale pentru reforma </w:t>
      </w:r>
      <w:r w:rsidR="00421FA7" w:rsidRPr="009C5F11">
        <w:rPr>
          <w:rFonts w:ascii="Times New Roman" w:hAnsi="Times New Roman" w:cs="Times New Roman"/>
          <w:sz w:val="24"/>
          <w:lang w:val="ro-RO"/>
        </w:rPr>
        <w:t>sectorul</w:t>
      </w:r>
      <w:r w:rsidRPr="009C5F11">
        <w:rPr>
          <w:rFonts w:ascii="Times New Roman" w:hAnsi="Times New Roman" w:cs="Times New Roman"/>
          <w:sz w:val="24"/>
          <w:lang w:val="ro-RO"/>
        </w:rPr>
        <w:t>ui</w:t>
      </w:r>
      <w:r w:rsidR="00421FA7" w:rsidRPr="009C5F11">
        <w:rPr>
          <w:rFonts w:ascii="Times New Roman" w:hAnsi="Times New Roman" w:cs="Times New Roman"/>
          <w:sz w:val="24"/>
          <w:lang w:val="ro-RO"/>
        </w:rPr>
        <w:t xml:space="preserve"> energetic</w:t>
      </w:r>
      <w:r w:rsidR="002733CB"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UE</w:t>
      </w:r>
      <w:r w:rsidR="002733CB" w:rsidRPr="009C5F11">
        <w:rPr>
          <w:rFonts w:ascii="Times New Roman" w:hAnsi="Times New Roman" w:cs="Times New Roman"/>
          <w:sz w:val="24"/>
          <w:lang w:val="ro-RO"/>
        </w:rPr>
        <w:t>),</w:t>
      </w:r>
    </w:p>
    <w:p w14:paraId="07033CA6" w14:textId="77777777" w:rsidR="002733CB" w:rsidRPr="009C5F11" w:rsidRDefault="00006F81" w:rsidP="00334F3B">
      <w:pPr>
        <w:pStyle w:val="Listparagraf"/>
        <w:numPr>
          <w:ilvl w:val="0"/>
          <w:numId w:val="168"/>
        </w:numPr>
        <w:spacing w:after="0" w:line="240" w:lineRule="auto"/>
        <w:ind w:left="1170" w:hanging="450"/>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Dezvoltarea capacităţii</w:t>
      </w:r>
      <w:r w:rsidR="002733CB"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ME</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domeniul</w:t>
      </w:r>
      <w:r w:rsidR="002733CB" w:rsidRPr="009C5F11">
        <w:rPr>
          <w:rFonts w:ascii="Times New Roman" w:hAnsi="Times New Roman" w:cs="Times New Roman"/>
          <w:sz w:val="24"/>
          <w:lang w:val="ro-RO"/>
        </w:rPr>
        <w:t xml:space="preserve"> </w:t>
      </w:r>
      <w:r w:rsidR="006E268B" w:rsidRPr="009C5F11">
        <w:rPr>
          <w:rFonts w:ascii="Times New Roman" w:hAnsi="Times New Roman" w:cs="Times New Roman"/>
          <w:sz w:val="24"/>
          <w:lang w:val="ro-RO"/>
        </w:rPr>
        <w:t>EE</w:t>
      </w:r>
      <w:r w:rsidR="00321CD5" w:rsidRPr="009C5F11">
        <w:rPr>
          <w:rFonts w:ascii="Times New Roman" w:hAnsi="Times New Roman" w:cs="Times New Roman"/>
          <w:sz w:val="24"/>
          <w:lang w:val="ro-RO"/>
        </w:rPr>
        <w:t xml:space="preserve"> şi </w:t>
      </w:r>
      <w:r w:rsidR="0060148D" w:rsidRPr="009C5F11">
        <w:rPr>
          <w:rFonts w:ascii="Times New Roman" w:hAnsi="Times New Roman" w:cs="Times New Roman"/>
          <w:sz w:val="24"/>
          <w:lang w:val="ro-RO"/>
        </w:rPr>
        <w:t>SE</w:t>
      </w:r>
      <w:r w:rsidR="00B56A00" w:rsidRPr="009C5F11">
        <w:rPr>
          <w:rFonts w:ascii="Times New Roman" w:hAnsi="Times New Roman" w:cs="Times New Roman"/>
          <w:sz w:val="24"/>
          <w:lang w:val="ro-RO"/>
        </w:rPr>
        <w:t>R</w:t>
      </w:r>
      <w:r w:rsidR="002733CB" w:rsidRPr="009C5F11">
        <w:rPr>
          <w:rFonts w:ascii="Times New Roman" w:hAnsi="Times New Roman" w:cs="Times New Roman"/>
          <w:sz w:val="24"/>
          <w:lang w:val="ro-RO"/>
        </w:rPr>
        <w:t xml:space="preserve"> (</w:t>
      </w:r>
      <w:r w:rsidR="00FA7B8A" w:rsidRPr="009C5F11">
        <w:rPr>
          <w:rFonts w:ascii="Times New Roman" w:hAnsi="Times New Roman" w:cs="Times New Roman"/>
          <w:sz w:val="24"/>
          <w:lang w:val="ro-RO"/>
        </w:rPr>
        <w:t>Suedia</w:t>
      </w:r>
      <w:r w:rsidR="002733CB" w:rsidRPr="009C5F11">
        <w:rPr>
          <w:rFonts w:ascii="Times New Roman" w:hAnsi="Times New Roman" w:cs="Times New Roman"/>
          <w:sz w:val="24"/>
          <w:lang w:val="ro-RO"/>
        </w:rPr>
        <w:t>),</w:t>
      </w:r>
    </w:p>
    <w:p w14:paraId="223A5465" w14:textId="77777777" w:rsidR="002733CB" w:rsidRPr="009C5F11" w:rsidRDefault="00812E1D" w:rsidP="00334F3B">
      <w:pPr>
        <w:pStyle w:val="Listparagraf"/>
        <w:numPr>
          <w:ilvl w:val="0"/>
          <w:numId w:val="168"/>
        </w:numPr>
        <w:spacing w:after="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Sporirea</w:t>
      </w:r>
      <w:r w:rsidR="002733CB"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w:t>
      </w:r>
      <w:r w:rsidRPr="009C5F11">
        <w:rPr>
          <w:rFonts w:ascii="Times New Roman" w:hAnsi="Times New Roman" w:cs="Times New Roman"/>
          <w:sz w:val="24"/>
          <w:lang w:val="ro-RO"/>
        </w:rPr>
        <w:t>ei</w:t>
      </w:r>
      <w:r w:rsidR="000C7BEC" w:rsidRPr="009C5F11">
        <w:rPr>
          <w:rFonts w:ascii="Times New Roman" w:hAnsi="Times New Roman" w:cs="Times New Roman"/>
          <w:sz w:val="24"/>
          <w:lang w:val="ro-RO"/>
        </w:rPr>
        <w:t xml:space="preserve"> energetic</w:t>
      </w:r>
      <w:r w:rsidRPr="009C5F11">
        <w:rPr>
          <w:rFonts w:ascii="Times New Roman" w:hAnsi="Times New Roman" w:cs="Times New Roman"/>
          <w:sz w:val="24"/>
          <w:lang w:val="ro-RO"/>
        </w:rPr>
        <w: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în</w:t>
      </w:r>
      <w:r w:rsidR="002733CB" w:rsidRPr="009C5F11">
        <w:rPr>
          <w:rFonts w:ascii="Times New Roman" w:hAnsi="Times New Roman" w:cs="Times New Roman"/>
          <w:sz w:val="24"/>
          <w:lang w:val="ro-RO"/>
        </w:rPr>
        <w:t xml:space="preserve"> mun. </w:t>
      </w:r>
      <w:r w:rsidR="00AA0566" w:rsidRPr="009C5F11">
        <w:rPr>
          <w:rFonts w:ascii="Times New Roman" w:hAnsi="Times New Roman" w:cs="Times New Roman"/>
          <w:sz w:val="24"/>
          <w:lang w:val="ro-RO"/>
        </w:rPr>
        <w:t>Chişinău</w:t>
      </w:r>
      <w:r w:rsidR="002733CB"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UE</w:t>
      </w:r>
      <w:r w:rsidR="002733CB" w:rsidRPr="009C5F11">
        <w:rPr>
          <w:rFonts w:ascii="Times New Roman" w:hAnsi="Times New Roman" w:cs="Times New Roman"/>
          <w:sz w:val="24"/>
          <w:lang w:val="ro-RO"/>
        </w:rPr>
        <w:t>),</w:t>
      </w:r>
    </w:p>
    <w:p w14:paraId="32C460FD" w14:textId="77777777" w:rsidR="002733CB" w:rsidRPr="009C5F11" w:rsidRDefault="00812E1D" w:rsidP="00334F3B">
      <w:pPr>
        <w:pStyle w:val="Listparagraf"/>
        <w:numPr>
          <w:ilvl w:val="0"/>
          <w:numId w:val="168"/>
        </w:numPr>
        <w:spacing w:after="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Facilitarea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eficienţei energetice</w:t>
      </w:r>
      <w:r w:rsidR="00321CD5" w:rsidRPr="009C5F11">
        <w:rPr>
          <w:rFonts w:ascii="Times New Roman" w:hAnsi="Times New Roman" w:cs="Times New Roman"/>
          <w:sz w:val="24"/>
          <w:lang w:val="ro-RO"/>
        </w:rPr>
        <w:t xml:space="preserve"> </w:t>
      </w:r>
      <w:r w:rsidR="00223DAC" w:rsidRPr="009C5F11">
        <w:rPr>
          <w:rFonts w:ascii="Times New Roman" w:hAnsi="Times New Roman" w:cs="Times New Roman"/>
          <w:sz w:val="24"/>
          <w:lang w:val="ro-RO"/>
        </w:rPr>
        <w:t>în Republica Moldova</w:t>
      </w:r>
      <w:r w:rsidR="002733CB" w:rsidRPr="009C5F11">
        <w:rPr>
          <w:rFonts w:ascii="Times New Roman" w:hAnsi="Times New Roman" w:cs="Times New Roman"/>
          <w:sz w:val="24"/>
          <w:lang w:val="ro-RO"/>
        </w:rPr>
        <w:t xml:space="preserve">, MoSEFF, </w:t>
      </w:r>
      <w:r w:rsidR="004424A0" w:rsidRPr="009C5F11">
        <w:rPr>
          <w:rFonts w:ascii="Times New Roman" w:hAnsi="Times New Roman" w:cs="Times New Roman"/>
          <w:sz w:val="24"/>
          <w:lang w:val="ro-RO"/>
        </w:rPr>
        <w:t>MoREEFF</w:t>
      </w:r>
      <w:r w:rsidR="002733CB"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BERD</w:t>
      </w:r>
      <w:r w:rsidR="002733CB" w:rsidRPr="009C5F11">
        <w:rPr>
          <w:rFonts w:ascii="Times New Roman" w:hAnsi="Times New Roman" w:cs="Times New Roman"/>
          <w:sz w:val="24"/>
          <w:lang w:val="ro-RO"/>
        </w:rPr>
        <w:t>),</w:t>
      </w:r>
    </w:p>
    <w:p w14:paraId="32C98987" w14:textId="77777777" w:rsidR="002733CB" w:rsidRPr="009C5F11" w:rsidRDefault="002733CB" w:rsidP="00334F3B">
      <w:pPr>
        <w:pStyle w:val="Listparagraf"/>
        <w:numPr>
          <w:ilvl w:val="0"/>
          <w:numId w:val="168"/>
        </w:numPr>
        <w:spacing w:after="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Program</w:t>
      </w:r>
      <w:r w:rsidR="00F231AC" w:rsidRPr="009C5F11">
        <w:rPr>
          <w:rFonts w:ascii="Times New Roman" w:hAnsi="Times New Roman" w:cs="Times New Roman"/>
          <w:sz w:val="24"/>
          <w:lang w:val="ro-RO"/>
        </w:rPr>
        <w:t>ul</w:t>
      </w:r>
      <w:r w:rsidRPr="009C5F11">
        <w:rPr>
          <w:rFonts w:ascii="Times New Roman" w:hAnsi="Times New Roman" w:cs="Times New Roman"/>
          <w:sz w:val="24"/>
          <w:lang w:val="ro-RO"/>
        </w:rPr>
        <w:t xml:space="preserve"> </w:t>
      </w:r>
      <w:r w:rsidR="00F231AC" w:rsidRPr="009C5F11">
        <w:rPr>
          <w:rFonts w:ascii="Times New Roman" w:hAnsi="Times New Roman" w:cs="Times New Roman"/>
          <w:sz w:val="24"/>
          <w:lang w:val="ro-RO"/>
        </w:rPr>
        <w:t>de</w:t>
      </w:r>
      <w:r w:rsidRPr="009C5F11">
        <w:rPr>
          <w:rFonts w:ascii="Times New Roman" w:hAnsi="Times New Roman" w:cs="Times New Roman"/>
          <w:sz w:val="24"/>
          <w:lang w:val="ro-RO"/>
        </w:rPr>
        <w:t xml:space="preserve"> </w:t>
      </w:r>
      <w:r w:rsidR="00812E1D" w:rsidRPr="009C5F11">
        <w:rPr>
          <w:rFonts w:ascii="Times New Roman" w:hAnsi="Times New Roman" w:cs="Times New Roman"/>
          <w:sz w:val="24"/>
          <w:lang w:val="ro-RO"/>
        </w:rPr>
        <w:t>facilitare</w:t>
      </w:r>
      <w:r w:rsidR="00F231AC" w:rsidRPr="009C5F11">
        <w:rPr>
          <w:rFonts w:ascii="Times New Roman" w:hAnsi="Times New Roman" w:cs="Times New Roman"/>
          <w:sz w:val="24"/>
          <w:lang w:val="ro-RO"/>
        </w:rPr>
        <w:t xml:space="preserve"> </w:t>
      </w:r>
      <w:r w:rsidR="00812E1D" w:rsidRPr="009C5F11">
        <w:rPr>
          <w:rFonts w:ascii="Times New Roman" w:hAnsi="Times New Roman" w:cs="Times New Roman"/>
          <w:sz w:val="24"/>
          <w:lang w:val="ro-RO"/>
        </w:rPr>
        <w:t>a finanţării eficienţei energetice de către BERD</w:t>
      </w:r>
      <w:r w:rsidR="00321CD5" w:rsidRPr="009C5F11">
        <w:rPr>
          <w:rFonts w:ascii="Times New Roman" w:hAnsi="Times New Roman" w:cs="Times New Roman"/>
          <w:sz w:val="24"/>
          <w:lang w:val="ro-RO"/>
        </w:rPr>
        <w:t xml:space="preserve"> </w:t>
      </w:r>
      <w:r w:rsidR="00223DAC" w:rsidRPr="009C5F11">
        <w:rPr>
          <w:rFonts w:ascii="Times New Roman" w:hAnsi="Times New Roman" w:cs="Times New Roman"/>
          <w:sz w:val="24"/>
          <w:lang w:val="ro-RO"/>
        </w:rPr>
        <w:t>în Republica Moldova</w:t>
      </w:r>
      <w:r w:rsidRPr="009C5F11">
        <w:rPr>
          <w:rFonts w:ascii="Times New Roman" w:hAnsi="Times New Roman" w:cs="Times New Roman"/>
          <w:sz w:val="24"/>
          <w:lang w:val="ro-RO"/>
        </w:rPr>
        <w:t xml:space="preserve"> (</w:t>
      </w:r>
      <w:r w:rsidR="00FA7B8A" w:rsidRPr="009C5F11">
        <w:rPr>
          <w:rFonts w:ascii="Times New Roman" w:hAnsi="Times New Roman" w:cs="Times New Roman"/>
          <w:sz w:val="24"/>
          <w:lang w:val="ro-RO"/>
        </w:rPr>
        <w:t>Suedia</w:t>
      </w:r>
      <w:r w:rsidRPr="009C5F11">
        <w:rPr>
          <w:rFonts w:ascii="Times New Roman" w:hAnsi="Times New Roman" w:cs="Times New Roman"/>
          <w:sz w:val="24"/>
          <w:lang w:val="ro-RO"/>
        </w:rPr>
        <w:t>),</w:t>
      </w:r>
    </w:p>
    <w:p w14:paraId="78ADBBAF" w14:textId="77777777" w:rsidR="002733CB" w:rsidRPr="009C5F11" w:rsidRDefault="00146D3A" w:rsidP="00334F3B">
      <w:pPr>
        <w:pStyle w:val="Listparagraf"/>
        <w:numPr>
          <w:ilvl w:val="0"/>
          <w:numId w:val="168"/>
        </w:numPr>
        <w:spacing w:after="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Fondul</w:t>
      </w:r>
      <w:r w:rsidR="00F231AC"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fiduciar</w:t>
      </w:r>
      <w:r w:rsidR="00F231AC" w:rsidRPr="009C5F11">
        <w:rPr>
          <w:rFonts w:ascii="Times New Roman" w:hAnsi="Times New Roman" w:cs="Times New Roman"/>
          <w:sz w:val="24"/>
          <w:lang w:val="ro-RO"/>
        </w:rPr>
        <w:t xml:space="preserve"> al Băncii Mondiale</w:t>
      </w:r>
      <w:r w:rsidR="00D110BA"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00F231AC" w:rsidRPr="009C5F11">
        <w:rPr>
          <w:rFonts w:ascii="Times New Roman" w:hAnsi="Times New Roman" w:cs="Times New Roman"/>
          <w:sz w:val="24"/>
          <w:lang w:val="ro-RO"/>
        </w:rPr>
        <w:t xml:space="preserve">reforma </w:t>
      </w:r>
      <w:r w:rsidR="00421FA7" w:rsidRPr="009C5F11">
        <w:rPr>
          <w:rFonts w:ascii="Times New Roman" w:hAnsi="Times New Roman" w:cs="Times New Roman"/>
          <w:sz w:val="24"/>
          <w:lang w:val="ro-RO"/>
        </w:rPr>
        <w:t>sectorul</w:t>
      </w:r>
      <w:r w:rsidR="00F231AC" w:rsidRPr="009C5F11">
        <w:rPr>
          <w:rFonts w:ascii="Times New Roman" w:hAnsi="Times New Roman" w:cs="Times New Roman"/>
          <w:sz w:val="24"/>
          <w:lang w:val="ro-RO"/>
        </w:rPr>
        <w:t>ui</w:t>
      </w:r>
      <w:r w:rsidR="00421FA7" w:rsidRPr="009C5F11">
        <w:rPr>
          <w:rFonts w:ascii="Times New Roman" w:hAnsi="Times New Roman" w:cs="Times New Roman"/>
          <w:sz w:val="24"/>
          <w:lang w:val="ro-RO"/>
        </w:rPr>
        <w:t xml:space="preserve"> energetic</w:t>
      </w:r>
      <w:r w:rsidR="002733CB"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şi </w:t>
      </w:r>
      <w:r w:rsidR="00F231AC" w:rsidRPr="009C5F11">
        <w:rPr>
          <w:rFonts w:ascii="Times New Roman" w:hAnsi="Times New Roman" w:cs="Times New Roman"/>
          <w:sz w:val="24"/>
          <w:lang w:val="ro-RO"/>
        </w:rPr>
        <w:t xml:space="preserve">sporirea </w:t>
      </w:r>
      <w:r w:rsidRPr="009C5F11">
        <w:rPr>
          <w:rFonts w:ascii="Times New Roman" w:hAnsi="Times New Roman" w:cs="Times New Roman"/>
          <w:sz w:val="24"/>
          <w:lang w:val="ro-RO"/>
        </w:rPr>
        <w:t>eficienței</w:t>
      </w:r>
      <w:r w:rsidR="002733CB" w:rsidRPr="009C5F11">
        <w:rPr>
          <w:rFonts w:ascii="Times New Roman" w:hAnsi="Times New Roman" w:cs="Times New Roman"/>
          <w:sz w:val="24"/>
          <w:lang w:val="ro-RO"/>
        </w:rPr>
        <w:t xml:space="preserve"> (</w:t>
      </w:r>
      <w:r w:rsidR="00FA7B8A" w:rsidRPr="009C5F11">
        <w:rPr>
          <w:rFonts w:ascii="Times New Roman" w:hAnsi="Times New Roman" w:cs="Times New Roman"/>
          <w:sz w:val="24"/>
          <w:lang w:val="ro-RO"/>
        </w:rPr>
        <w:t>Suedia</w:t>
      </w:r>
      <w:r w:rsidR="002733CB" w:rsidRPr="009C5F11">
        <w:rPr>
          <w:rFonts w:ascii="Times New Roman" w:hAnsi="Times New Roman" w:cs="Times New Roman"/>
          <w:sz w:val="24"/>
          <w:lang w:val="ro-RO"/>
        </w:rPr>
        <w:t>),</w:t>
      </w:r>
    </w:p>
    <w:p w14:paraId="3C0618E4" w14:textId="77777777" w:rsidR="002733CB" w:rsidRPr="009C5F11" w:rsidRDefault="00146D3A" w:rsidP="00334F3B">
      <w:pPr>
        <w:pStyle w:val="Listparagraf"/>
        <w:numPr>
          <w:ilvl w:val="0"/>
          <w:numId w:val="168"/>
        </w:numPr>
        <w:spacing w:after="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Modernizarea serviciilor publice locale în Republica Moldova (UE, Germania, Suedia, România),</w:t>
      </w:r>
    </w:p>
    <w:p w14:paraId="50F5C775" w14:textId="77777777" w:rsidR="002733CB" w:rsidRPr="009C5F11" w:rsidRDefault="00F231AC" w:rsidP="00334F3B">
      <w:pPr>
        <w:pStyle w:val="Listparagraf"/>
        <w:numPr>
          <w:ilvl w:val="0"/>
          <w:numId w:val="168"/>
        </w:numPr>
        <w:spacing w:after="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Utilizarea durabilă a </w:t>
      </w:r>
      <w:r w:rsidR="00FA172F" w:rsidRPr="009C5F11">
        <w:rPr>
          <w:rFonts w:ascii="Times New Roman" w:hAnsi="Times New Roman" w:cs="Times New Roman"/>
          <w:sz w:val="24"/>
          <w:lang w:val="ro-RO"/>
        </w:rPr>
        <w:t>servicii</w:t>
      </w:r>
      <w:r w:rsidRPr="009C5F11">
        <w:rPr>
          <w:rFonts w:ascii="Times New Roman" w:hAnsi="Times New Roman" w:cs="Times New Roman"/>
          <w:sz w:val="24"/>
          <w:lang w:val="ro-RO"/>
        </w:rPr>
        <w:t xml:space="preserve">lor municipale îmbunătăţite, </w:t>
      </w:r>
      <w:r w:rsidR="00421FA7" w:rsidRPr="009C5F11">
        <w:rPr>
          <w:rFonts w:ascii="Times New Roman" w:hAnsi="Times New Roman" w:cs="Times New Roman"/>
          <w:sz w:val="24"/>
          <w:lang w:val="ro-RO"/>
        </w:rPr>
        <w:t>precum şi</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eficientizarea consumului de energie pentru sau de către populaţie</w:t>
      </w:r>
      <w:r w:rsidR="00EE2835" w:rsidRPr="009C5F11">
        <w:rPr>
          <w:rFonts w:ascii="Times New Roman" w:hAnsi="Times New Roman" w:cs="Times New Roman"/>
          <w:sz w:val="24"/>
          <w:lang w:val="ro-RO"/>
        </w:rPr>
        <w:t xml:space="preserve"> (Kf</w:t>
      </w:r>
      <w:r w:rsidR="002733CB" w:rsidRPr="009C5F11">
        <w:rPr>
          <w:rFonts w:ascii="Times New Roman" w:hAnsi="Times New Roman" w:cs="Times New Roman"/>
          <w:sz w:val="24"/>
          <w:lang w:val="ro-RO"/>
        </w:rPr>
        <w:t>W, German</w:t>
      </w:r>
      <w:r w:rsidR="00006F81" w:rsidRPr="009C5F11">
        <w:rPr>
          <w:rFonts w:ascii="Times New Roman" w:hAnsi="Times New Roman" w:cs="Times New Roman"/>
          <w:sz w:val="24"/>
          <w:lang w:val="ro-RO"/>
        </w:rPr>
        <w:t>ia</w:t>
      </w:r>
      <w:r w:rsidR="002733CB" w:rsidRPr="009C5F11">
        <w:rPr>
          <w:rFonts w:ascii="Times New Roman" w:hAnsi="Times New Roman" w:cs="Times New Roman"/>
          <w:sz w:val="24"/>
          <w:lang w:val="ro-RO"/>
        </w:rPr>
        <w:t>),</w:t>
      </w:r>
    </w:p>
    <w:p w14:paraId="7FF1AB2B" w14:textId="77777777" w:rsidR="00EF21BF" w:rsidRPr="009C5F11" w:rsidRDefault="002733CB" w:rsidP="00334F3B">
      <w:pPr>
        <w:pStyle w:val="Listparagraf"/>
        <w:numPr>
          <w:ilvl w:val="0"/>
          <w:numId w:val="168"/>
        </w:numPr>
        <w:spacing w:after="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ESCO Moldova – transform</w:t>
      </w:r>
      <w:r w:rsidR="00006F81" w:rsidRPr="009C5F11">
        <w:rPr>
          <w:rFonts w:ascii="Times New Roman" w:hAnsi="Times New Roman" w:cs="Times New Roman"/>
          <w:sz w:val="24"/>
          <w:lang w:val="ro-RO"/>
        </w:rPr>
        <w:t xml:space="preserve">area </w:t>
      </w:r>
      <w:r w:rsidR="00F231AC" w:rsidRPr="009C5F11">
        <w:rPr>
          <w:rFonts w:ascii="Times New Roman" w:hAnsi="Times New Roman" w:cs="Times New Roman"/>
          <w:sz w:val="24"/>
          <w:lang w:val="ro-RO"/>
        </w:rPr>
        <w:t xml:space="preserve">pieței pentru eficiența energetică urbană prin introducerea companiilor de servicii energetice </w:t>
      </w:r>
      <w:r w:rsidRPr="009C5F11">
        <w:rPr>
          <w:rFonts w:ascii="Times New Roman" w:hAnsi="Times New Roman" w:cs="Times New Roman"/>
          <w:sz w:val="24"/>
          <w:lang w:val="ro-RO"/>
        </w:rPr>
        <w:t>(</w:t>
      </w:r>
      <w:r w:rsidR="00006F81" w:rsidRPr="009C5F11">
        <w:rPr>
          <w:rFonts w:ascii="Times New Roman" w:hAnsi="Times New Roman" w:cs="Times New Roman"/>
          <w:sz w:val="24"/>
          <w:lang w:val="ro-RO"/>
        </w:rPr>
        <w:t>ONU</w:t>
      </w:r>
      <w:r w:rsidRPr="009C5F11">
        <w:rPr>
          <w:rFonts w:ascii="Times New Roman" w:hAnsi="Times New Roman" w:cs="Times New Roman"/>
          <w:sz w:val="24"/>
          <w:lang w:val="ro-RO"/>
        </w:rPr>
        <w:t>)</w:t>
      </w:r>
      <w:r w:rsidR="008E0271" w:rsidRPr="009C5F11">
        <w:rPr>
          <w:rFonts w:ascii="Times New Roman" w:hAnsi="Times New Roman" w:cs="Times New Roman"/>
          <w:sz w:val="24"/>
          <w:lang w:val="ro-RO"/>
        </w:rPr>
        <w:t xml:space="preserve"> etc.</w:t>
      </w:r>
    </w:p>
    <w:p w14:paraId="0C3D14D5" w14:textId="77777777" w:rsidR="00B808F6" w:rsidRPr="009C5F11" w:rsidRDefault="00F231A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În vederea </w:t>
      </w:r>
      <w:r w:rsidR="00210C2C" w:rsidRPr="009C5F11">
        <w:rPr>
          <w:rFonts w:ascii="Times New Roman" w:hAnsi="Times New Roman" w:cs="Times New Roman"/>
          <w:sz w:val="24"/>
          <w:lang w:val="ro-RO"/>
        </w:rPr>
        <w:t>monitoriz</w:t>
      </w:r>
      <w:r w:rsidRPr="009C5F11">
        <w:rPr>
          <w:rFonts w:ascii="Times New Roman" w:hAnsi="Times New Roman" w:cs="Times New Roman"/>
          <w:sz w:val="24"/>
          <w:lang w:val="ro-RO"/>
        </w:rPr>
        <w:t xml:space="preserve">ării </w:t>
      </w:r>
      <w:r w:rsidR="004424A0" w:rsidRPr="009C5F11">
        <w:rPr>
          <w:rFonts w:ascii="Times New Roman" w:hAnsi="Times New Roman" w:cs="Times New Roman"/>
          <w:i/>
          <w:sz w:val="24"/>
          <w:lang w:val="ro-RO"/>
        </w:rPr>
        <w:t>economii</w:t>
      </w:r>
      <w:r w:rsidRPr="009C5F11">
        <w:rPr>
          <w:rFonts w:ascii="Times New Roman" w:hAnsi="Times New Roman" w:cs="Times New Roman"/>
          <w:i/>
          <w:sz w:val="24"/>
          <w:lang w:val="ro-RO"/>
        </w:rPr>
        <w:t>lor</w:t>
      </w:r>
      <w:r w:rsidR="004424A0" w:rsidRPr="009C5F11">
        <w:rPr>
          <w:rFonts w:ascii="Times New Roman" w:hAnsi="Times New Roman" w:cs="Times New Roman"/>
          <w:i/>
          <w:sz w:val="24"/>
          <w:lang w:val="ro-RO"/>
        </w:rPr>
        <w:t xml:space="preserve"> de energie</w:t>
      </w:r>
      <w:r w:rsidRPr="009C5F11">
        <w:rPr>
          <w:rFonts w:ascii="Times New Roman" w:hAnsi="Times New Roman" w:cs="Times New Roman"/>
          <w:i/>
          <w:sz w:val="24"/>
          <w:lang w:val="ro-RO"/>
        </w:rPr>
        <w:t xml:space="preserve"> </w:t>
      </w:r>
      <w:r w:rsidRPr="009C5F11">
        <w:rPr>
          <w:rFonts w:ascii="Times New Roman" w:hAnsi="Times New Roman" w:cs="Times New Roman"/>
          <w:sz w:val="24"/>
          <w:lang w:val="ro-RO"/>
        </w:rPr>
        <w:t xml:space="preserve">la nivel naţional se va folosi metodologia de calcul </w:t>
      </w:r>
      <w:r w:rsidR="00334DD0" w:rsidRPr="009C5F11">
        <w:rPr>
          <w:rFonts w:ascii="Times New Roman" w:hAnsi="Times New Roman" w:cs="Times New Roman"/>
          <w:sz w:val="24"/>
          <w:lang w:val="ro-RO"/>
        </w:rPr>
        <w:t>aprobat</w:t>
      </w:r>
      <w:r w:rsidRPr="009C5F11">
        <w:rPr>
          <w:rFonts w:ascii="Times New Roman" w:hAnsi="Times New Roman" w:cs="Times New Roman"/>
          <w:sz w:val="24"/>
          <w:lang w:val="ro-RO"/>
        </w:rPr>
        <w:t>ă</w:t>
      </w:r>
      <w:r w:rsidR="00334DD0" w:rsidRPr="009C5F11">
        <w:rPr>
          <w:rFonts w:ascii="Times New Roman" w:hAnsi="Times New Roman" w:cs="Times New Roman"/>
          <w:sz w:val="24"/>
          <w:lang w:val="ro-RO"/>
        </w:rPr>
        <w:t xml:space="preserve"> de</w:t>
      </w:r>
      <w:r w:rsidR="00EF21BF" w:rsidRPr="009C5F11">
        <w:rPr>
          <w:rFonts w:ascii="Times New Roman" w:hAnsi="Times New Roman" w:cs="Times New Roman"/>
          <w:sz w:val="24"/>
          <w:lang w:val="ro-RO"/>
        </w:rPr>
        <w:t xml:space="preserve"> </w:t>
      </w:r>
      <w:r w:rsidR="00800247" w:rsidRPr="009C5F11">
        <w:rPr>
          <w:rFonts w:ascii="Times New Roman" w:hAnsi="Times New Roman" w:cs="Times New Roman"/>
          <w:sz w:val="24"/>
          <w:lang w:val="ro-RO"/>
        </w:rPr>
        <w:t>Guver</w:t>
      </w:r>
      <w:r w:rsidR="00802F1D" w:rsidRPr="009C5F11">
        <w:rPr>
          <w:rFonts w:ascii="Times New Roman" w:hAnsi="Times New Roman" w:cs="Times New Roman"/>
          <w:sz w:val="24"/>
          <w:lang w:val="ro-RO"/>
        </w:rPr>
        <w:t>n</w:t>
      </w:r>
      <w:r w:rsidR="00EF21BF" w:rsidRPr="009C5F11">
        <w:rPr>
          <w:rFonts w:ascii="Times New Roman" w:hAnsi="Times New Roman" w:cs="Times New Roman"/>
          <w:sz w:val="24"/>
          <w:lang w:val="ro-RO"/>
        </w:rPr>
        <w:t>. Dat</w:t>
      </w:r>
      <w:r w:rsidRPr="009C5F11">
        <w:rPr>
          <w:rFonts w:ascii="Times New Roman" w:hAnsi="Times New Roman" w:cs="Times New Roman"/>
          <w:sz w:val="24"/>
          <w:lang w:val="ro-RO"/>
        </w:rPr>
        <w:t xml:space="preserve">ele cu privire la </w:t>
      </w:r>
      <w:r w:rsidR="00EF21BF" w:rsidRPr="009C5F11">
        <w:rPr>
          <w:rFonts w:ascii="Times New Roman" w:hAnsi="Times New Roman" w:cs="Times New Roman"/>
          <w:sz w:val="24"/>
          <w:lang w:val="ro-RO"/>
        </w:rPr>
        <w:t>indicator</w:t>
      </w:r>
      <w:r w:rsidRPr="009C5F11">
        <w:rPr>
          <w:rFonts w:ascii="Times New Roman" w:hAnsi="Times New Roman" w:cs="Times New Roman"/>
          <w:sz w:val="24"/>
          <w:lang w:val="ro-RO"/>
        </w:rPr>
        <w:t>i</w:t>
      </w:r>
      <w:r w:rsidR="00EF21BF" w:rsidRPr="009C5F11">
        <w:rPr>
          <w:rFonts w:ascii="Times New Roman" w:hAnsi="Times New Roman" w:cs="Times New Roman"/>
          <w:sz w:val="24"/>
          <w:lang w:val="ro-RO"/>
        </w:rPr>
        <w:t>, structur</w:t>
      </w:r>
      <w:r w:rsidRPr="009C5F11">
        <w:rPr>
          <w:rFonts w:ascii="Times New Roman" w:hAnsi="Times New Roman" w:cs="Times New Roman"/>
          <w:sz w:val="24"/>
          <w:lang w:val="ro-RO"/>
        </w:rPr>
        <w:t>ă</w:t>
      </w:r>
      <w:r w:rsidR="00321CD5" w:rsidRPr="009C5F11">
        <w:rPr>
          <w:rFonts w:ascii="Times New Roman" w:hAnsi="Times New Roman" w:cs="Times New Roman"/>
          <w:sz w:val="24"/>
          <w:lang w:val="ro-RO"/>
        </w:rPr>
        <w:t xml:space="preserve"> şi </w:t>
      </w:r>
      <w:r w:rsidR="00EF21BF" w:rsidRPr="009C5F11">
        <w:rPr>
          <w:rFonts w:ascii="Times New Roman" w:hAnsi="Times New Roman" w:cs="Times New Roman"/>
          <w:sz w:val="24"/>
          <w:lang w:val="ro-RO"/>
        </w:rPr>
        <w:t>eficien</w:t>
      </w:r>
      <w:r w:rsidRPr="009C5F11">
        <w:rPr>
          <w:rFonts w:ascii="Times New Roman" w:hAnsi="Times New Roman" w:cs="Times New Roman"/>
          <w:sz w:val="24"/>
          <w:lang w:val="ro-RO"/>
        </w:rPr>
        <w:t>ţa consumului de energie ar trebuie</w:t>
      </w:r>
      <w:r w:rsidR="00EF21BF" w:rsidRPr="009C5F11">
        <w:rPr>
          <w:rFonts w:ascii="Times New Roman" w:hAnsi="Times New Roman" w:cs="Times New Roman"/>
          <w:sz w:val="24"/>
          <w:lang w:val="ro-RO"/>
        </w:rPr>
        <w:t xml:space="preserve"> reflect</w:t>
      </w:r>
      <w:r w:rsidRPr="009C5F11">
        <w:rPr>
          <w:rFonts w:ascii="Times New Roman" w:hAnsi="Times New Roman" w:cs="Times New Roman"/>
          <w:sz w:val="24"/>
          <w:lang w:val="ro-RO"/>
        </w:rPr>
        <w:t>at</w:t>
      </w:r>
      <w:r w:rsidR="00EF21BF"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 xml:space="preserve">statistica </w:t>
      </w:r>
      <w:r w:rsidR="00EF21BF" w:rsidRPr="009C5F11">
        <w:rPr>
          <w:rFonts w:ascii="Times New Roman" w:hAnsi="Times New Roman" w:cs="Times New Roman"/>
          <w:sz w:val="24"/>
          <w:lang w:val="ro-RO"/>
        </w:rPr>
        <w:t>oficial</w:t>
      </w:r>
      <w:r w:rsidRPr="009C5F11">
        <w:rPr>
          <w:rFonts w:ascii="Times New Roman" w:hAnsi="Times New Roman" w:cs="Times New Roman"/>
          <w:sz w:val="24"/>
          <w:lang w:val="ro-RO"/>
        </w:rPr>
        <w:t>ă</w:t>
      </w:r>
      <w:r w:rsidR="00EF21B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Distribuitorii de energie</w:t>
      </w:r>
      <w:r w:rsidR="00EF21B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o</w:t>
      </w:r>
      <w:r w:rsidR="008E0271" w:rsidRPr="009C5F11">
        <w:rPr>
          <w:rFonts w:ascii="Times New Roman" w:hAnsi="Times New Roman" w:cs="Times New Roman"/>
          <w:sz w:val="24"/>
          <w:lang w:val="ro-RO"/>
        </w:rPr>
        <w:t>perator</w:t>
      </w:r>
      <w:r w:rsidRPr="009C5F11">
        <w:rPr>
          <w:rFonts w:ascii="Times New Roman" w:hAnsi="Times New Roman" w:cs="Times New Roman"/>
          <w:sz w:val="24"/>
          <w:lang w:val="ro-RO"/>
        </w:rPr>
        <w:t>ii</w:t>
      </w:r>
      <w:r w:rsidR="008E0271" w:rsidRPr="009C5F11">
        <w:rPr>
          <w:rFonts w:ascii="Times New Roman" w:hAnsi="Times New Roman" w:cs="Times New Roman"/>
          <w:sz w:val="24"/>
          <w:lang w:val="ro-RO"/>
        </w:rPr>
        <w:t xml:space="preserve"> </w:t>
      </w:r>
      <w:r w:rsidR="00E81780" w:rsidRPr="009C5F11">
        <w:rPr>
          <w:rFonts w:ascii="Times New Roman" w:hAnsi="Times New Roman" w:cs="Times New Roman"/>
          <w:sz w:val="24"/>
          <w:lang w:val="ro-RO"/>
        </w:rPr>
        <w:t xml:space="preserve">retelelor </w:t>
      </w:r>
      <w:r w:rsidR="008E0271" w:rsidRPr="009C5F11">
        <w:rPr>
          <w:rFonts w:ascii="Times New Roman" w:hAnsi="Times New Roman" w:cs="Times New Roman"/>
          <w:sz w:val="24"/>
          <w:lang w:val="ro-RO"/>
        </w:rPr>
        <w:t xml:space="preserve">de distribuţie </w:t>
      </w:r>
      <w:r w:rsidR="000126A5" w:rsidRPr="009C5F11">
        <w:rPr>
          <w:rFonts w:ascii="Times New Roman" w:hAnsi="Times New Roman" w:cs="Times New Roman"/>
          <w:sz w:val="24"/>
          <w:lang w:val="ro-RO"/>
        </w:rPr>
        <w:t>şi/sau</w:t>
      </w:r>
      <w:r w:rsidR="00EF21B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furnizorii de </w:t>
      </w:r>
      <w:r w:rsidR="001E3482" w:rsidRPr="009C5F11">
        <w:rPr>
          <w:rFonts w:ascii="Times New Roman" w:hAnsi="Times New Roman" w:cs="Times New Roman"/>
          <w:sz w:val="24"/>
          <w:lang w:val="ro-RO"/>
        </w:rPr>
        <w:t>energie</w:t>
      </w:r>
      <w:r w:rsidR="00EF21B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ar trebui să prezinte anual AEE informaţii statistice agregate</w:t>
      </w:r>
      <w:r w:rsidR="00EF21BF" w:rsidRPr="009C5F11">
        <w:rPr>
          <w:rFonts w:ascii="Times New Roman" w:hAnsi="Times New Roman" w:cs="Times New Roman"/>
          <w:sz w:val="24"/>
          <w:lang w:val="ro-RO"/>
        </w:rPr>
        <w:t>.</w:t>
      </w:r>
    </w:p>
    <w:p w14:paraId="463DA037" w14:textId="3DA7F2BA" w:rsidR="002733CB" w:rsidRPr="009C5F11" w:rsidRDefault="00F231A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Pornind de la informaţiile disponibile</w:t>
      </w:r>
      <w:r w:rsidR="00B22A52" w:rsidRPr="009C5F11">
        <w:rPr>
          <w:rStyle w:val="Referinnotdesubsol"/>
          <w:rFonts w:ascii="Times New Roman" w:hAnsi="Times New Roman" w:cs="Times New Roman"/>
          <w:sz w:val="24"/>
          <w:lang w:val="ro-RO"/>
        </w:rPr>
        <w:footnoteReference w:id="16"/>
      </w:r>
      <w:r w:rsidR="00EF21B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Republica Moldova poate </w:t>
      </w:r>
      <w:r w:rsidR="001E3482" w:rsidRPr="009C5F11">
        <w:rPr>
          <w:rFonts w:ascii="Times New Roman" w:hAnsi="Times New Roman" w:cs="Times New Roman"/>
          <w:sz w:val="24"/>
          <w:lang w:val="ro-RO"/>
        </w:rPr>
        <w:t>raport</w:t>
      </w:r>
      <w:r w:rsidRPr="009C5F11">
        <w:rPr>
          <w:rFonts w:ascii="Times New Roman" w:hAnsi="Times New Roman" w:cs="Times New Roman"/>
          <w:sz w:val="24"/>
          <w:lang w:val="ro-RO"/>
        </w:rPr>
        <w:t>a</w:t>
      </w:r>
      <w:r w:rsidR="001E3482"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circa</w:t>
      </w:r>
      <w:r w:rsidR="00EF21BF" w:rsidRPr="009C5F11">
        <w:rPr>
          <w:rFonts w:ascii="Times New Roman" w:hAnsi="Times New Roman" w:cs="Times New Roman"/>
          <w:sz w:val="24"/>
          <w:lang w:val="ro-RO"/>
        </w:rPr>
        <w:t xml:space="preserve"> 30</w:t>
      </w:r>
      <w:r w:rsidR="00B56A00" w:rsidRPr="009C5F11">
        <w:rPr>
          <w:rFonts w:ascii="Times New Roman" w:hAnsi="Times New Roman" w:cs="Times New Roman"/>
          <w:sz w:val="24"/>
          <w:lang w:val="ro-RO"/>
        </w:rPr>
        <w:t xml:space="preserve"> </w:t>
      </w:r>
      <w:r w:rsidR="00E52940" w:rsidRPr="009C5F11">
        <w:rPr>
          <w:rFonts w:ascii="Times New Roman" w:hAnsi="Times New Roman" w:cs="Times New Roman"/>
          <w:sz w:val="24"/>
          <w:lang w:val="ro-RO"/>
        </w:rPr>
        <w:t>ktep</w:t>
      </w:r>
      <w:r w:rsidR="00EF21B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economii de energie finală</w:t>
      </w:r>
      <w:r w:rsidR="00321CD5" w:rsidRPr="009C5F11">
        <w:rPr>
          <w:rFonts w:ascii="Times New Roman" w:hAnsi="Times New Roman" w:cs="Times New Roman"/>
          <w:sz w:val="24"/>
          <w:lang w:val="ro-RO"/>
        </w:rPr>
        <w:t xml:space="preserve"> în </w:t>
      </w:r>
      <w:r w:rsidR="00EF21BF" w:rsidRPr="009C5F11">
        <w:rPr>
          <w:rFonts w:ascii="Times New Roman" w:hAnsi="Times New Roman" w:cs="Times New Roman"/>
          <w:sz w:val="24"/>
          <w:lang w:val="ro-RO"/>
        </w:rPr>
        <w:t>2016</w:t>
      </w:r>
      <w:r w:rsidRPr="009C5F11">
        <w:rPr>
          <w:rFonts w:ascii="Times New Roman" w:hAnsi="Times New Roman" w:cs="Times New Roman"/>
          <w:sz w:val="24"/>
          <w:lang w:val="ro-RO"/>
        </w:rPr>
        <w:t>, ceea ce corespunde circa unei treimi din volumul stabilit</w:t>
      </w:r>
      <w:r w:rsidR="00EF21B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w:t>
      </w:r>
      <w:r w:rsidR="00EF21BF"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economii</w:t>
      </w:r>
      <w:r w:rsidR="00321CD5" w:rsidRPr="009C5F11">
        <w:rPr>
          <w:rFonts w:ascii="Times New Roman" w:hAnsi="Times New Roman" w:cs="Times New Roman"/>
          <w:sz w:val="24"/>
          <w:lang w:val="ro-RO"/>
        </w:rPr>
        <w:t xml:space="preserve"> şi </w:t>
      </w:r>
      <w:r w:rsidR="00EF21BF" w:rsidRPr="009C5F11">
        <w:rPr>
          <w:rFonts w:ascii="Times New Roman" w:hAnsi="Times New Roman" w:cs="Times New Roman"/>
          <w:sz w:val="24"/>
          <w:lang w:val="ro-RO"/>
        </w:rPr>
        <w:t xml:space="preserve">1.6% </w:t>
      </w:r>
      <w:r w:rsidRPr="009C5F11">
        <w:rPr>
          <w:rFonts w:ascii="Times New Roman" w:hAnsi="Times New Roman" w:cs="Times New Roman"/>
          <w:sz w:val="24"/>
          <w:lang w:val="ro-RO"/>
        </w:rPr>
        <w:t xml:space="preserve">din consumul de referinţă stabilit de </w:t>
      </w:r>
      <w:r w:rsidR="00871B4E" w:rsidRPr="009C5F11">
        <w:rPr>
          <w:rFonts w:ascii="Times New Roman" w:hAnsi="Times New Roman" w:cs="Times New Roman"/>
          <w:sz w:val="24"/>
          <w:lang w:val="ro-RO"/>
        </w:rPr>
        <w:t>DSE</w:t>
      </w:r>
      <w:r w:rsidR="00EF21BF" w:rsidRPr="009C5F11">
        <w:rPr>
          <w:rFonts w:ascii="Times New Roman" w:hAnsi="Times New Roman" w:cs="Times New Roman"/>
          <w:sz w:val="24"/>
          <w:lang w:val="ro-RO"/>
        </w:rPr>
        <w:t xml:space="preserve"> </w:t>
      </w:r>
      <w:r w:rsidR="00AF77EE" w:rsidRPr="009C5F11">
        <w:rPr>
          <w:rFonts w:ascii="Times New Roman" w:hAnsi="Times New Roman" w:cs="Times New Roman"/>
          <w:sz w:val="24"/>
          <w:lang w:val="ro-RO"/>
        </w:rPr>
        <w:t>(a se vedea</w:t>
      </w:r>
      <w:r w:rsidR="00B22A52"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B22A52" w:rsidRPr="009C5F11">
        <w:rPr>
          <w:rFonts w:ascii="Times New Roman" w:hAnsi="Times New Roman" w:cs="Times New Roman"/>
          <w:sz w:val="24"/>
          <w:lang w:val="ro-RO"/>
        </w:rPr>
        <w:instrText xml:space="preserve"> REF _Ref319617117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10</w:t>
      </w:r>
      <w:r w:rsidR="003A6ADB" w:rsidRPr="009C5F11">
        <w:rPr>
          <w:rFonts w:ascii="Times New Roman" w:hAnsi="Times New Roman" w:cs="Times New Roman"/>
          <w:sz w:val="24"/>
          <w:lang w:val="ro-RO"/>
        </w:rPr>
        <w:fldChar w:fldCharType="end"/>
      </w:r>
      <w:r w:rsidR="00B22A52" w:rsidRPr="009C5F11">
        <w:rPr>
          <w:rFonts w:ascii="Times New Roman" w:hAnsi="Times New Roman" w:cs="Times New Roman"/>
          <w:sz w:val="24"/>
          <w:lang w:val="ro-RO"/>
        </w:rPr>
        <w:t>)</w:t>
      </w:r>
      <w:r w:rsidR="00EF21BF" w:rsidRPr="009C5F11">
        <w:rPr>
          <w:rFonts w:ascii="Times New Roman" w:hAnsi="Times New Roman" w:cs="Times New Roman"/>
          <w:sz w:val="24"/>
          <w:lang w:val="ro-RO"/>
        </w:rPr>
        <w:t xml:space="preserve">. </w:t>
      </w:r>
    </w:p>
    <w:p w14:paraId="45382862" w14:textId="6060A0CB" w:rsidR="00A92661" w:rsidRPr="009C5F11" w:rsidRDefault="00321CD5" w:rsidP="00620E0C">
      <w:pPr>
        <w:pStyle w:val="Legend"/>
        <w:keepNext/>
        <w:jc w:val="center"/>
        <w:rPr>
          <w:rFonts w:ascii="Times New Roman" w:hAnsi="Times New Roman" w:cs="Times New Roman"/>
          <w:sz w:val="22"/>
          <w:lang w:val="ro-RO"/>
        </w:rPr>
      </w:pPr>
      <w:bookmarkStart w:id="71" w:name="_Toc273706948"/>
      <w:bookmarkStart w:id="72" w:name="_Toc273707559"/>
      <w:bookmarkStart w:id="73" w:name="_Toc273708857"/>
      <w:bookmarkStart w:id="74" w:name="_Toc273706950"/>
      <w:bookmarkStart w:id="75" w:name="_Toc273707561"/>
      <w:bookmarkStart w:id="76" w:name="_Toc273708859"/>
      <w:bookmarkStart w:id="77" w:name="_Toc273706954"/>
      <w:bookmarkStart w:id="78" w:name="_Toc273707565"/>
      <w:bookmarkStart w:id="79" w:name="_Toc273708863"/>
      <w:bookmarkStart w:id="80" w:name="_Toc273706973"/>
      <w:bookmarkStart w:id="81" w:name="_Toc273707584"/>
      <w:bookmarkStart w:id="82" w:name="_Toc273708882"/>
      <w:bookmarkStart w:id="83" w:name="_Ref319617117"/>
      <w:bookmarkStart w:id="84" w:name="_Toc322013233"/>
      <w:bookmarkEnd w:id="71"/>
      <w:bookmarkEnd w:id="72"/>
      <w:bookmarkEnd w:id="73"/>
      <w:bookmarkEnd w:id="74"/>
      <w:bookmarkEnd w:id="75"/>
      <w:bookmarkEnd w:id="76"/>
      <w:bookmarkEnd w:id="77"/>
      <w:bookmarkEnd w:id="78"/>
      <w:bookmarkEnd w:id="79"/>
      <w:bookmarkEnd w:id="80"/>
      <w:bookmarkEnd w:id="81"/>
      <w:bookmarkEnd w:id="82"/>
      <w:r w:rsidRPr="009C5F11">
        <w:rPr>
          <w:rFonts w:ascii="Times New Roman" w:hAnsi="Times New Roman" w:cs="Times New Roman"/>
          <w:sz w:val="22"/>
          <w:lang w:val="ro-RO"/>
        </w:rPr>
        <w:t>Tabelul</w:t>
      </w:r>
      <w:r w:rsidR="00A92661"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A92661"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10</w:t>
      </w:r>
      <w:r w:rsidR="003A6ADB" w:rsidRPr="009C5F11">
        <w:rPr>
          <w:rFonts w:ascii="Times New Roman" w:hAnsi="Times New Roman" w:cs="Times New Roman"/>
          <w:sz w:val="22"/>
          <w:lang w:val="ro-RO"/>
        </w:rPr>
        <w:fldChar w:fldCharType="end"/>
      </w:r>
      <w:bookmarkEnd w:id="83"/>
      <w:r w:rsidR="00A92661" w:rsidRPr="009C5F11">
        <w:rPr>
          <w:rFonts w:ascii="Times New Roman" w:hAnsi="Times New Roman" w:cs="Times New Roman"/>
          <w:sz w:val="22"/>
          <w:lang w:val="ro-RO"/>
        </w:rPr>
        <w:t xml:space="preserve"> - </w:t>
      </w:r>
      <w:r w:rsidR="0079253D" w:rsidRPr="009C5F11">
        <w:rPr>
          <w:rFonts w:ascii="Times New Roman" w:hAnsi="Times New Roman" w:cs="Times New Roman"/>
          <w:sz w:val="22"/>
          <w:lang w:val="ro-RO"/>
        </w:rPr>
        <w:t xml:space="preserve">Obiectivul indicativ naţional pentru </w:t>
      </w:r>
      <w:r w:rsidR="00A74B8C" w:rsidRPr="009C5F11">
        <w:rPr>
          <w:rFonts w:ascii="Times New Roman" w:hAnsi="Times New Roman" w:cs="Times New Roman"/>
          <w:sz w:val="22"/>
          <w:lang w:val="ro-RO"/>
        </w:rPr>
        <w:t>CEF</w:t>
      </w:r>
      <w:r w:rsidRPr="009C5F11">
        <w:rPr>
          <w:rFonts w:ascii="Times New Roman" w:hAnsi="Times New Roman" w:cs="Times New Roman"/>
          <w:sz w:val="22"/>
          <w:lang w:val="ro-RO"/>
        </w:rPr>
        <w:t xml:space="preserve"> şi </w:t>
      </w:r>
      <w:r w:rsidR="0079253D" w:rsidRPr="009C5F11">
        <w:rPr>
          <w:rFonts w:ascii="Times New Roman" w:hAnsi="Times New Roman" w:cs="Times New Roman"/>
          <w:sz w:val="22"/>
          <w:lang w:val="ro-RO"/>
        </w:rPr>
        <w:t>realizarea acestuia</w:t>
      </w:r>
      <w:r w:rsidR="00141991" w:rsidRPr="009C5F11">
        <w:rPr>
          <w:rFonts w:ascii="Times New Roman" w:hAnsi="Times New Roman" w:cs="Times New Roman"/>
          <w:sz w:val="22"/>
          <w:lang w:val="ro-RO"/>
        </w:rPr>
        <w:t>.</w:t>
      </w:r>
      <w:bookmarkEnd w:id="84"/>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152"/>
        <w:gridCol w:w="985"/>
        <w:gridCol w:w="986"/>
        <w:gridCol w:w="2039"/>
        <w:gridCol w:w="2074"/>
      </w:tblGrid>
      <w:tr w:rsidR="002733CB" w:rsidRPr="009C5F11" w14:paraId="4E8FD8EE" w14:textId="77777777" w:rsidTr="00D135D7">
        <w:tc>
          <w:tcPr>
            <w:tcW w:w="2773" w:type="pct"/>
            <w:gridSpan w:val="3"/>
            <w:shd w:val="clear" w:color="auto" w:fill="99CCFF"/>
            <w:vAlign w:val="center"/>
          </w:tcPr>
          <w:p w14:paraId="16721F9B" w14:textId="77777777" w:rsidR="002733CB" w:rsidRPr="009C5F11" w:rsidRDefault="0079253D" w:rsidP="00666216">
            <w:pPr>
              <w:pStyle w:val="BodyText1"/>
              <w:spacing w:after="0" w:line="240" w:lineRule="auto"/>
              <w:jc w:val="both"/>
              <w:rPr>
                <w:b/>
                <w:sz w:val="20"/>
                <w:szCs w:val="16"/>
                <w:lang w:val="ro-RO"/>
              </w:rPr>
            </w:pPr>
            <w:r w:rsidRPr="009C5F11">
              <w:rPr>
                <w:b/>
                <w:sz w:val="20"/>
                <w:szCs w:val="16"/>
                <w:lang w:val="ro-RO"/>
              </w:rPr>
              <w:t>Obiectivul indicativ naţional</w:t>
            </w:r>
            <w:r w:rsidR="00321CD5" w:rsidRPr="009C5F11">
              <w:rPr>
                <w:b/>
                <w:sz w:val="20"/>
                <w:szCs w:val="16"/>
                <w:lang w:val="ro-RO"/>
              </w:rPr>
              <w:t xml:space="preserve"> în </w:t>
            </w:r>
            <w:r w:rsidR="002733CB" w:rsidRPr="009C5F11">
              <w:rPr>
                <w:b/>
                <w:sz w:val="20"/>
                <w:szCs w:val="16"/>
                <w:lang w:val="ro-RO"/>
              </w:rPr>
              <w:t xml:space="preserve">2020 </w:t>
            </w:r>
            <w:r w:rsidR="002733CB" w:rsidRPr="009C5F11">
              <w:rPr>
                <w:sz w:val="20"/>
                <w:szCs w:val="16"/>
                <w:lang w:val="ro-RO"/>
              </w:rPr>
              <w:t>(</w:t>
            </w:r>
            <w:r w:rsidR="00E52940" w:rsidRPr="009C5F11">
              <w:rPr>
                <w:sz w:val="20"/>
                <w:szCs w:val="16"/>
                <w:lang w:val="ro-RO"/>
              </w:rPr>
              <w:t>ktep</w:t>
            </w:r>
            <w:r w:rsidR="002733CB" w:rsidRPr="009C5F11">
              <w:rPr>
                <w:sz w:val="20"/>
                <w:szCs w:val="16"/>
                <w:lang w:val="ro-RO"/>
              </w:rPr>
              <w:t>)</w:t>
            </w:r>
          </w:p>
        </w:tc>
        <w:tc>
          <w:tcPr>
            <w:tcW w:w="2227" w:type="pct"/>
            <w:gridSpan w:val="2"/>
            <w:shd w:val="clear" w:color="auto" w:fill="000080"/>
            <w:vAlign w:val="center"/>
          </w:tcPr>
          <w:p w14:paraId="33333548" w14:textId="77777777" w:rsidR="002733CB" w:rsidRPr="009C5F11" w:rsidRDefault="002733CB" w:rsidP="00B40DB5">
            <w:pPr>
              <w:pStyle w:val="BodyText1"/>
              <w:spacing w:after="0" w:line="240" w:lineRule="auto"/>
              <w:rPr>
                <w:b/>
                <w:sz w:val="20"/>
                <w:szCs w:val="16"/>
                <w:lang w:val="ro-RO"/>
              </w:rPr>
            </w:pPr>
            <w:r w:rsidRPr="009C5F11">
              <w:rPr>
                <w:b/>
                <w:sz w:val="20"/>
                <w:szCs w:val="16"/>
                <w:lang w:val="ro-RO"/>
              </w:rPr>
              <w:t xml:space="preserve">167.2 </w:t>
            </w:r>
            <w:r w:rsidR="00E52940" w:rsidRPr="009C5F11">
              <w:rPr>
                <w:b/>
                <w:sz w:val="20"/>
                <w:szCs w:val="16"/>
                <w:lang w:val="ro-RO"/>
              </w:rPr>
              <w:t>ktep</w:t>
            </w:r>
            <w:r w:rsidRPr="009C5F11">
              <w:rPr>
                <w:b/>
                <w:sz w:val="20"/>
                <w:szCs w:val="16"/>
                <w:lang w:val="ro-RO"/>
              </w:rPr>
              <w:t xml:space="preserve"> </w:t>
            </w:r>
            <w:r w:rsidRPr="009C5F11">
              <w:rPr>
                <w:sz w:val="20"/>
                <w:szCs w:val="16"/>
                <w:lang w:val="ro-RO"/>
              </w:rPr>
              <w:t>(n</w:t>
            </w:r>
            <w:r w:rsidR="0079253D" w:rsidRPr="009C5F11">
              <w:rPr>
                <w:sz w:val="20"/>
                <w:szCs w:val="16"/>
                <w:lang w:val="ro-RO"/>
              </w:rPr>
              <w:t>u a fost c</w:t>
            </w:r>
            <w:r w:rsidRPr="009C5F11">
              <w:rPr>
                <w:sz w:val="20"/>
                <w:szCs w:val="16"/>
                <w:lang w:val="ro-RO"/>
              </w:rPr>
              <w:t>alculat</w:t>
            </w:r>
            <w:r w:rsidR="00321CD5" w:rsidRPr="009C5F11">
              <w:rPr>
                <w:sz w:val="20"/>
                <w:szCs w:val="16"/>
                <w:lang w:val="ro-RO"/>
              </w:rPr>
              <w:t xml:space="preserve"> în </w:t>
            </w:r>
            <w:r w:rsidR="0079253D" w:rsidRPr="009C5F11">
              <w:rPr>
                <w:sz w:val="20"/>
                <w:szCs w:val="16"/>
                <w:lang w:val="ro-RO"/>
              </w:rPr>
              <w:t>primul</w:t>
            </w:r>
            <w:r w:rsidRPr="009C5F11">
              <w:rPr>
                <w:sz w:val="20"/>
                <w:szCs w:val="16"/>
                <w:lang w:val="ro-RO"/>
              </w:rPr>
              <w:t xml:space="preserve"> </w:t>
            </w:r>
            <w:r w:rsidR="00872DC2" w:rsidRPr="009C5F11">
              <w:rPr>
                <w:sz w:val="20"/>
                <w:szCs w:val="16"/>
                <w:lang w:val="ro-RO"/>
              </w:rPr>
              <w:t>PNAEE</w:t>
            </w:r>
            <w:r w:rsidRPr="009C5F11">
              <w:rPr>
                <w:sz w:val="20"/>
                <w:szCs w:val="16"/>
                <w:lang w:val="ro-RO"/>
              </w:rPr>
              <w:t>)</w:t>
            </w:r>
          </w:p>
        </w:tc>
      </w:tr>
      <w:tr w:rsidR="002733CB" w:rsidRPr="009C5F11" w14:paraId="69127BEF" w14:textId="77777777" w:rsidTr="00D135D7">
        <w:tc>
          <w:tcPr>
            <w:tcW w:w="2773" w:type="pct"/>
            <w:gridSpan w:val="3"/>
            <w:shd w:val="clear" w:color="auto" w:fill="99CCFF"/>
            <w:vAlign w:val="center"/>
          </w:tcPr>
          <w:p w14:paraId="7F821120" w14:textId="77777777" w:rsidR="002733CB" w:rsidRPr="009C5F11" w:rsidRDefault="002733CB" w:rsidP="00666216">
            <w:pPr>
              <w:pStyle w:val="BodyText1"/>
              <w:spacing w:after="0" w:line="240" w:lineRule="auto"/>
              <w:jc w:val="both"/>
              <w:rPr>
                <w:b/>
                <w:sz w:val="20"/>
                <w:szCs w:val="16"/>
                <w:lang w:val="ro-RO"/>
              </w:rPr>
            </w:pPr>
            <w:r w:rsidRPr="009C5F11">
              <w:rPr>
                <w:b/>
                <w:sz w:val="20"/>
                <w:szCs w:val="16"/>
                <w:lang w:val="ro-RO"/>
              </w:rPr>
              <w:t xml:space="preserve">National intermediate indicative </w:t>
            </w:r>
            <w:r w:rsidR="00B40A7C" w:rsidRPr="009C5F11">
              <w:rPr>
                <w:b/>
                <w:sz w:val="20"/>
                <w:szCs w:val="16"/>
                <w:lang w:val="ro-RO"/>
              </w:rPr>
              <w:t>obiectivul</w:t>
            </w:r>
            <w:r w:rsidR="00321CD5" w:rsidRPr="009C5F11">
              <w:rPr>
                <w:b/>
                <w:sz w:val="20"/>
                <w:szCs w:val="16"/>
                <w:lang w:val="ro-RO"/>
              </w:rPr>
              <w:t xml:space="preserve"> în </w:t>
            </w:r>
            <w:r w:rsidRPr="009C5F11">
              <w:rPr>
                <w:b/>
                <w:sz w:val="20"/>
                <w:szCs w:val="16"/>
                <w:lang w:val="ro-RO"/>
              </w:rPr>
              <w:t>2016</w:t>
            </w:r>
            <w:r w:rsidRPr="009C5F11">
              <w:rPr>
                <w:sz w:val="20"/>
                <w:szCs w:val="16"/>
                <w:lang w:val="ro-RO"/>
              </w:rPr>
              <w:t xml:space="preserve"> (</w:t>
            </w:r>
            <w:r w:rsidR="00E52940" w:rsidRPr="009C5F11">
              <w:rPr>
                <w:sz w:val="20"/>
                <w:szCs w:val="16"/>
                <w:lang w:val="ro-RO"/>
              </w:rPr>
              <w:t>ktep</w:t>
            </w:r>
            <w:r w:rsidRPr="009C5F11">
              <w:rPr>
                <w:sz w:val="20"/>
                <w:szCs w:val="16"/>
                <w:lang w:val="ro-RO"/>
              </w:rPr>
              <w:t>)</w:t>
            </w:r>
          </w:p>
        </w:tc>
        <w:tc>
          <w:tcPr>
            <w:tcW w:w="2227" w:type="pct"/>
            <w:gridSpan w:val="2"/>
            <w:shd w:val="clear" w:color="auto" w:fill="000080"/>
            <w:vAlign w:val="center"/>
          </w:tcPr>
          <w:p w14:paraId="3BD803B1" w14:textId="77777777" w:rsidR="002733CB" w:rsidRPr="009C5F11" w:rsidRDefault="002733CB" w:rsidP="00B40DB5">
            <w:pPr>
              <w:pStyle w:val="BodyText1"/>
              <w:spacing w:after="0" w:line="240" w:lineRule="auto"/>
              <w:rPr>
                <w:b/>
                <w:sz w:val="20"/>
                <w:szCs w:val="16"/>
                <w:lang w:val="ro-RO"/>
              </w:rPr>
            </w:pPr>
            <w:r w:rsidRPr="009C5F11">
              <w:rPr>
                <w:b/>
                <w:sz w:val="20"/>
                <w:szCs w:val="16"/>
                <w:lang w:val="ro-RO"/>
              </w:rPr>
              <w:t xml:space="preserve">92.9 </w:t>
            </w:r>
            <w:r w:rsidR="00E52940" w:rsidRPr="009C5F11">
              <w:rPr>
                <w:b/>
                <w:sz w:val="20"/>
                <w:szCs w:val="16"/>
                <w:lang w:val="ro-RO"/>
              </w:rPr>
              <w:t>ktep</w:t>
            </w:r>
            <w:r w:rsidRPr="009C5F11">
              <w:rPr>
                <w:sz w:val="20"/>
                <w:szCs w:val="16"/>
                <w:lang w:val="ro-RO"/>
              </w:rPr>
              <w:t xml:space="preserve"> (</w:t>
            </w:r>
            <w:r w:rsidR="0079253D" w:rsidRPr="009C5F11">
              <w:rPr>
                <w:sz w:val="20"/>
                <w:szCs w:val="16"/>
                <w:lang w:val="ro-RO"/>
              </w:rPr>
              <w:t xml:space="preserve">valoarea ajustată din primul </w:t>
            </w:r>
            <w:r w:rsidR="00872DC2" w:rsidRPr="009C5F11">
              <w:rPr>
                <w:sz w:val="20"/>
                <w:szCs w:val="16"/>
                <w:lang w:val="ro-RO"/>
              </w:rPr>
              <w:t>PNAEE</w:t>
            </w:r>
            <w:r w:rsidRPr="009C5F11">
              <w:rPr>
                <w:sz w:val="20"/>
                <w:szCs w:val="16"/>
                <w:lang w:val="ro-RO"/>
              </w:rPr>
              <w:t>)</w:t>
            </w:r>
          </w:p>
        </w:tc>
      </w:tr>
      <w:tr w:rsidR="002733CB" w:rsidRPr="009C5F11" w14:paraId="6AFB6B58" w14:textId="77777777" w:rsidTr="00D135D7">
        <w:trPr>
          <w:trHeight w:val="443"/>
        </w:trPr>
        <w:tc>
          <w:tcPr>
            <w:tcW w:w="1706" w:type="pct"/>
            <w:vMerge w:val="restart"/>
            <w:shd w:val="clear" w:color="auto" w:fill="99CCFF"/>
            <w:vAlign w:val="center"/>
          </w:tcPr>
          <w:p w14:paraId="0529697A" w14:textId="77777777" w:rsidR="002733CB" w:rsidRPr="009C5F11" w:rsidRDefault="0079253D" w:rsidP="00B40DB5">
            <w:pPr>
              <w:pStyle w:val="BodyText1"/>
              <w:spacing w:after="0" w:line="240" w:lineRule="auto"/>
              <w:rPr>
                <w:b/>
                <w:sz w:val="20"/>
                <w:szCs w:val="16"/>
                <w:lang w:val="ro-RO"/>
              </w:rPr>
            </w:pPr>
            <w:r w:rsidRPr="009C5F11">
              <w:rPr>
                <w:b/>
                <w:sz w:val="20"/>
                <w:szCs w:val="16"/>
                <w:lang w:val="ro-RO"/>
              </w:rPr>
              <w:lastRenderedPageBreak/>
              <w:t>Divizarea obiectivului pe sectoare</w:t>
            </w:r>
          </w:p>
        </w:tc>
        <w:tc>
          <w:tcPr>
            <w:tcW w:w="1067" w:type="pct"/>
            <w:gridSpan w:val="2"/>
            <w:shd w:val="clear" w:color="auto" w:fill="000080"/>
            <w:vAlign w:val="center"/>
          </w:tcPr>
          <w:p w14:paraId="20C02525" w14:textId="77777777" w:rsidR="002733CB" w:rsidRPr="009C5F11" w:rsidRDefault="0079253D" w:rsidP="00B40DB5">
            <w:pPr>
              <w:pStyle w:val="BodyText1"/>
              <w:spacing w:after="0" w:line="240" w:lineRule="auto"/>
              <w:rPr>
                <w:b/>
                <w:sz w:val="20"/>
                <w:szCs w:val="16"/>
                <w:lang w:val="ro-RO"/>
              </w:rPr>
            </w:pPr>
            <w:r w:rsidRPr="009C5F11">
              <w:rPr>
                <w:b/>
                <w:sz w:val="20"/>
                <w:szCs w:val="16"/>
                <w:lang w:val="ro-RO"/>
              </w:rPr>
              <w:t>Obiectivul per sector</w:t>
            </w:r>
            <w:r w:rsidR="00D110BA" w:rsidRPr="009C5F11">
              <w:rPr>
                <w:b/>
                <w:sz w:val="20"/>
                <w:szCs w:val="16"/>
                <w:lang w:val="ro-RO"/>
              </w:rPr>
              <w:t xml:space="preserve"> </w:t>
            </w:r>
            <w:r w:rsidR="002733CB" w:rsidRPr="009C5F11">
              <w:rPr>
                <w:b/>
                <w:sz w:val="20"/>
                <w:szCs w:val="16"/>
                <w:lang w:val="ro-RO"/>
              </w:rPr>
              <w:t>(</w:t>
            </w:r>
            <w:r w:rsidR="00E52940" w:rsidRPr="009C5F11">
              <w:rPr>
                <w:b/>
                <w:sz w:val="20"/>
                <w:szCs w:val="16"/>
                <w:lang w:val="ro-RO"/>
              </w:rPr>
              <w:t>ktep</w:t>
            </w:r>
            <w:r w:rsidR="002733CB" w:rsidRPr="009C5F11">
              <w:rPr>
                <w:b/>
                <w:sz w:val="20"/>
                <w:szCs w:val="16"/>
                <w:lang w:val="ro-RO"/>
              </w:rPr>
              <w:t>)</w:t>
            </w:r>
          </w:p>
        </w:tc>
        <w:tc>
          <w:tcPr>
            <w:tcW w:w="1104" w:type="pct"/>
            <w:shd w:val="clear" w:color="auto" w:fill="99CCFF"/>
            <w:vAlign w:val="center"/>
          </w:tcPr>
          <w:p w14:paraId="065DBC49" w14:textId="77777777" w:rsidR="002733CB" w:rsidRPr="009C5F11" w:rsidRDefault="0079253D" w:rsidP="00B40DB5">
            <w:pPr>
              <w:pStyle w:val="BodyText1"/>
              <w:spacing w:after="0" w:line="240" w:lineRule="auto"/>
              <w:rPr>
                <w:b/>
                <w:sz w:val="20"/>
                <w:szCs w:val="16"/>
                <w:lang w:val="ro-RO"/>
              </w:rPr>
            </w:pPr>
            <w:r w:rsidRPr="009C5F11">
              <w:rPr>
                <w:b/>
                <w:sz w:val="20"/>
                <w:szCs w:val="16"/>
                <w:lang w:val="ro-RO"/>
              </w:rPr>
              <w:t>E</w:t>
            </w:r>
            <w:r w:rsidR="004424A0" w:rsidRPr="009C5F11">
              <w:rPr>
                <w:b/>
                <w:sz w:val="20"/>
                <w:szCs w:val="16"/>
                <w:lang w:val="ro-RO"/>
              </w:rPr>
              <w:t>conomii</w:t>
            </w:r>
            <w:r w:rsidRPr="009C5F11">
              <w:rPr>
                <w:b/>
                <w:sz w:val="20"/>
                <w:szCs w:val="16"/>
                <w:lang w:val="ro-RO"/>
              </w:rPr>
              <w:t>le</w:t>
            </w:r>
            <w:r w:rsidR="004424A0" w:rsidRPr="009C5F11">
              <w:rPr>
                <w:b/>
                <w:sz w:val="20"/>
                <w:szCs w:val="16"/>
                <w:lang w:val="ro-RO"/>
              </w:rPr>
              <w:t xml:space="preserve"> de energie</w:t>
            </w:r>
            <w:r w:rsidR="00321CD5" w:rsidRPr="009C5F11">
              <w:rPr>
                <w:b/>
                <w:sz w:val="20"/>
                <w:szCs w:val="16"/>
                <w:lang w:val="ro-RO"/>
              </w:rPr>
              <w:t xml:space="preserve"> </w:t>
            </w:r>
            <w:r w:rsidRPr="009C5F11">
              <w:rPr>
                <w:b/>
                <w:sz w:val="20"/>
                <w:szCs w:val="16"/>
                <w:lang w:val="ro-RO"/>
              </w:rPr>
              <w:t xml:space="preserve">realizate </w:t>
            </w:r>
            <w:r w:rsidR="00321CD5" w:rsidRPr="009C5F11">
              <w:rPr>
                <w:b/>
                <w:sz w:val="20"/>
                <w:szCs w:val="16"/>
                <w:lang w:val="ro-RO"/>
              </w:rPr>
              <w:t xml:space="preserve">în </w:t>
            </w:r>
            <w:r w:rsidRPr="009C5F11">
              <w:rPr>
                <w:b/>
                <w:sz w:val="20"/>
                <w:szCs w:val="16"/>
                <w:lang w:val="ro-RO"/>
              </w:rPr>
              <w:t xml:space="preserve">anul </w:t>
            </w:r>
            <w:r w:rsidR="00666216" w:rsidRPr="009C5F11">
              <w:rPr>
                <w:b/>
                <w:sz w:val="20"/>
                <w:szCs w:val="16"/>
                <w:lang w:val="ro-RO"/>
              </w:rPr>
              <w:t>2016 (</w:t>
            </w:r>
            <w:r w:rsidR="00E52940" w:rsidRPr="009C5F11">
              <w:rPr>
                <w:b/>
                <w:sz w:val="20"/>
                <w:szCs w:val="16"/>
                <w:lang w:val="ro-RO"/>
              </w:rPr>
              <w:t>ktep</w:t>
            </w:r>
            <w:r w:rsidR="002733CB" w:rsidRPr="009C5F11">
              <w:rPr>
                <w:b/>
                <w:sz w:val="20"/>
                <w:szCs w:val="16"/>
                <w:lang w:val="ro-RO"/>
              </w:rPr>
              <w:t>)</w:t>
            </w:r>
          </w:p>
        </w:tc>
        <w:tc>
          <w:tcPr>
            <w:tcW w:w="1123" w:type="pct"/>
            <w:shd w:val="clear" w:color="auto" w:fill="99CCFF"/>
            <w:vAlign w:val="center"/>
          </w:tcPr>
          <w:p w14:paraId="550CE6B4" w14:textId="77777777" w:rsidR="002733CB" w:rsidRPr="009C5F11" w:rsidRDefault="0079253D" w:rsidP="00B40DB5">
            <w:pPr>
              <w:pStyle w:val="BodyText1"/>
              <w:spacing w:after="0" w:line="240" w:lineRule="auto"/>
              <w:rPr>
                <w:b/>
                <w:sz w:val="20"/>
                <w:szCs w:val="16"/>
                <w:lang w:val="ro-RO"/>
              </w:rPr>
            </w:pPr>
            <w:r w:rsidRPr="009C5F11">
              <w:rPr>
                <w:b/>
                <w:sz w:val="20"/>
                <w:szCs w:val="16"/>
                <w:lang w:val="ro-RO"/>
              </w:rPr>
              <w:t>E</w:t>
            </w:r>
            <w:r w:rsidR="004424A0" w:rsidRPr="009C5F11">
              <w:rPr>
                <w:b/>
                <w:sz w:val="20"/>
                <w:szCs w:val="16"/>
                <w:lang w:val="ro-RO"/>
              </w:rPr>
              <w:t>conomii</w:t>
            </w:r>
            <w:r w:rsidRPr="009C5F11">
              <w:rPr>
                <w:b/>
                <w:sz w:val="20"/>
                <w:szCs w:val="16"/>
                <w:lang w:val="ro-RO"/>
              </w:rPr>
              <w:t xml:space="preserve">le </w:t>
            </w:r>
            <w:r w:rsidR="004424A0" w:rsidRPr="009C5F11">
              <w:rPr>
                <w:b/>
                <w:sz w:val="20"/>
                <w:szCs w:val="16"/>
                <w:lang w:val="ro-RO"/>
              </w:rPr>
              <w:t>de energie</w:t>
            </w:r>
            <w:r w:rsidR="00321CD5" w:rsidRPr="009C5F11">
              <w:rPr>
                <w:b/>
                <w:sz w:val="20"/>
                <w:szCs w:val="16"/>
                <w:lang w:val="ro-RO"/>
              </w:rPr>
              <w:t xml:space="preserve"> </w:t>
            </w:r>
            <w:r w:rsidRPr="009C5F11">
              <w:rPr>
                <w:b/>
                <w:sz w:val="20"/>
                <w:szCs w:val="16"/>
                <w:lang w:val="ro-RO"/>
              </w:rPr>
              <w:t>estimate pentru anul</w:t>
            </w:r>
            <w:r w:rsidR="00321CD5" w:rsidRPr="009C5F11">
              <w:rPr>
                <w:b/>
                <w:sz w:val="20"/>
                <w:szCs w:val="16"/>
                <w:lang w:val="ro-RO"/>
              </w:rPr>
              <w:t xml:space="preserve"> </w:t>
            </w:r>
            <w:r w:rsidR="002733CB" w:rsidRPr="009C5F11">
              <w:rPr>
                <w:b/>
                <w:sz w:val="20"/>
                <w:szCs w:val="16"/>
                <w:lang w:val="ro-RO"/>
              </w:rPr>
              <w:t>2020 (</w:t>
            </w:r>
            <w:r w:rsidR="00E52940" w:rsidRPr="009C5F11">
              <w:rPr>
                <w:b/>
                <w:sz w:val="20"/>
                <w:szCs w:val="16"/>
                <w:lang w:val="ro-RO"/>
              </w:rPr>
              <w:t>ktep</w:t>
            </w:r>
            <w:r w:rsidR="002733CB" w:rsidRPr="009C5F11">
              <w:rPr>
                <w:b/>
                <w:sz w:val="20"/>
                <w:szCs w:val="16"/>
                <w:lang w:val="ro-RO"/>
              </w:rPr>
              <w:t>)</w:t>
            </w:r>
          </w:p>
        </w:tc>
      </w:tr>
      <w:tr w:rsidR="004E66AB" w:rsidRPr="009C5F11" w14:paraId="539B8319" w14:textId="77777777" w:rsidTr="00D135D7">
        <w:trPr>
          <w:trHeight w:val="442"/>
        </w:trPr>
        <w:tc>
          <w:tcPr>
            <w:tcW w:w="1706" w:type="pct"/>
            <w:vMerge/>
            <w:shd w:val="clear" w:color="auto" w:fill="99CCFF"/>
            <w:vAlign w:val="center"/>
          </w:tcPr>
          <w:p w14:paraId="4A51F4A5" w14:textId="77777777" w:rsidR="004E66AB" w:rsidRPr="009C5F11" w:rsidRDefault="004E66AB" w:rsidP="00430626">
            <w:pPr>
              <w:pStyle w:val="BodyText1"/>
              <w:spacing w:after="0" w:line="240" w:lineRule="auto"/>
              <w:jc w:val="both"/>
              <w:rPr>
                <w:b/>
                <w:sz w:val="20"/>
                <w:szCs w:val="16"/>
                <w:lang w:val="ro-RO"/>
              </w:rPr>
            </w:pPr>
          </w:p>
        </w:tc>
        <w:tc>
          <w:tcPr>
            <w:tcW w:w="533" w:type="pct"/>
            <w:shd w:val="clear" w:color="auto" w:fill="000080"/>
            <w:vAlign w:val="center"/>
          </w:tcPr>
          <w:p w14:paraId="45234A83" w14:textId="77777777" w:rsidR="004E66AB" w:rsidRPr="009C5F11" w:rsidRDefault="004E66AB" w:rsidP="00430626">
            <w:pPr>
              <w:pStyle w:val="BodyText1"/>
              <w:spacing w:after="0" w:line="240" w:lineRule="auto"/>
              <w:jc w:val="both"/>
              <w:rPr>
                <w:b/>
                <w:sz w:val="20"/>
                <w:szCs w:val="16"/>
                <w:lang w:val="ro-RO"/>
              </w:rPr>
            </w:pPr>
            <w:r w:rsidRPr="009C5F11">
              <w:rPr>
                <w:b/>
                <w:sz w:val="20"/>
                <w:szCs w:val="16"/>
                <w:lang w:val="ro-RO"/>
              </w:rPr>
              <w:t>2016</w:t>
            </w:r>
          </w:p>
        </w:tc>
        <w:tc>
          <w:tcPr>
            <w:tcW w:w="534" w:type="pct"/>
            <w:shd w:val="clear" w:color="auto" w:fill="000080"/>
            <w:vAlign w:val="center"/>
          </w:tcPr>
          <w:p w14:paraId="75EE64FE" w14:textId="77777777" w:rsidR="004E66AB" w:rsidRPr="009C5F11" w:rsidRDefault="004E66AB" w:rsidP="00430626">
            <w:pPr>
              <w:pStyle w:val="BodyText1"/>
              <w:spacing w:after="0" w:line="240" w:lineRule="auto"/>
              <w:jc w:val="both"/>
              <w:rPr>
                <w:b/>
                <w:sz w:val="20"/>
                <w:szCs w:val="16"/>
                <w:lang w:val="ro-RO"/>
              </w:rPr>
            </w:pPr>
            <w:r w:rsidRPr="009C5F11">
              <w:rPr>
                <w:b/>
                <w:sz w:val="20"/>
                <w:szCs w:val="16"/>
                <w:lang w:val="ro-RO"/>
              </w:rPr>
              <w:t>2020</w:t>
            </w:r>
          </w:p>
        </w:tc>
        <w:tc>
          <w:tcPr>
            <w:tcW w:w="1104" w:type="pct"/>
            <w:shd w:val="clear" w:color="auto" w:fill="99CCFF"/>
            <w:vAlign w:val="center"/>
          </w:tcPr>
          <w:p w14:paraId="55A56992" w14:textId="77777777" w:rsidR="004E66AB" w:rsidRPr="009C5F11" w:rsidRDefault="0079253D" w:rsidP="00430626">
            <w:pPr>
              <w:pStyle w:val="BodyText1"/>
              <w:spacing w:after="0" w:line="240" w:lineRule="auto"/>
              <w:jc w:val="both"/>
              <w:rPr>
                <w:b/>
                <w:sz w:val="20"/>
                <w:szCs w:val="16"/>
                <w:lang w:val="ro-RO"/>
              </w:rPr>
            </w:pPr>
            <w:r w:rsidRPr="009C5F11">
              <w:rPr>
                <w:b/>
                <w:sz w:val="20"/>
                <w:szCs w:val="16"/>
                <w:lang w:val="ro-RO"/>
              </w:rPr>
              <w:t>Din</w:t>
            </w:r>
            <w:r w:rsidR="004E66AB" w:rsidRPr="009C5F11">
              <w:rPr>
                <w:b/>
                <w:sz w:val="20"/>
                <w:szCs w:val="16"/>
                <w:lang w:val="ro-RO"/>
              </w:rPr>
              <w:t xml:space="preserve"> </w:t>
            </w:r>
            <w:r w:rsidR="00E10BE5" w:rsidRPr="009C5F11">
              <w:rPr>
                <w:b/>
                <w:sz w:val="20"/>
                <w:szCs w:val="16"/>
                <w:lang w:val="ro-RO"/>
              </w:rPr>
              <w:t>măsuri</w:t>
            </w:r>
            <w:r w:rsidR="004E66AB" w:rsidRPr="009C5F11">
              <w:rPr>
                <w:b/>
                <w:sz w:val="20"/>
                <w:szCs w:val="16"/>
                <w:lang w:val="ro-RO"/>
              </w:rPr>
              <w:t xml:space="preserve"> (BU)</w:t>
            </w:r>
          </w:p>
        </w:tc>
        <w:tc>
          <w:tcPr>
            <w:tcW w:w="1123" w:type="pct"/>
            <w:shd w:val="clear" w:color="auto" w:fill="99CCFF"/>
            <w:vAlign w:val="center"/>
          </w:tcPr>
          <w:p w14:paraId="45CFE546" w14:textId="77777777" w:rsidR="004E66AB" w:rsidRPr="009C5F11" w:rsidRDefault="0079253D" w:rsidP="00430626">
            <w:pPr>
              <w:pStyle w:val="BodyText1"/>
              <w:spacing w:after="0" w:line="240" w:lineRule="auto"/>
              <w:jc w:val="both"/>
              <w:rPr>
                <w:b/>
                <w:sz w:val="20"/>
                <w:szCs w:val="16"/>
                <w:lang w:val="ro-RO"/>
              </w:rPr>
            </w:pPr>
            <w:r w:rsidRPr="009C5F11">
              <w:rPr>
                <w:b/>
                <w:sz w:val="20"/>
                <w:szCs w:val="16"/>
                <w:lang w:val="ro-RO"/>
              </w:rPr>
              <w:t>Din</w:t>
            </w:r>
            <w:r w:rsidR="004E66AB" w:rsidRPr="009C5F11">
              <w:rPr>
                <w:b/>
                <w:sz w:val="20"/>
                <w:szCs w:val="16"/>
                <w:lang w:val="ro-RO"/>
              </w:rPr>
              <w:t xml:space="preserve"> </w:t>
            </w:r>
            <w:r w:rsidR="00E10BE5" w:rsidRPr="009C5F11">
              <w:rPr>
                <w:b/>
                <w:sz w:val="20"/>
                <w:szCs w:val="16"/>
                <w:lang w:val="ro-RO"/>
              </w:rPr>
              <w:t>măsuri</w:t>
            </w:r>
            <w:r w:rsidR="004E66AB" w:rsidRPr="009C5F11">
              <w:rPr>
                <w:b/>
                <w:sz w:val="20"/>
                <w:szCs w:val="16"/>
                <w:lang w:val="ro-RO"/>
              </w:rPr>
              <w:t xml:space="preserve"> (BU)</w:t>
            </w:r>
          </w:p>
        </w:tc>
      </w:tr>
      <w:tr w:rsidR="004E66AB" w:rsidRPr="009C5F11" w14:paraId="4FFC9C53" w14:textId="77777777" w:rsidTr="00D135D7">
        <w:tc>
          <w:tcPr>
            <w:tcW w:w="1706" w:type="pct"/>
            <w:shd w:val="clear" w:color="auto" w:fill="D3E6FE"/>
            <w:vAlign w:val="center"/>
          </w:tcPr>
          <w:p w14:paraId="100139AA" w14:textId="77777777" w:rsidR="004E66AB" w:rsidRPr="009C5F11" w:rsidRDefault="0079253D" w:rsidP="00430626">
            <w:pPr>
              <w:pStyle w:val="BodyText1"/>
              <w:spacing w:after="0" w:line="240" w:lineRule="auto"/>
              <w:jc w:val="both"/>
              <w:rPr>
                <w:sz w:val="20"/>
                <w:szCs w:val="16"/>
                <w:lang w:val="ro-RO"/>
              </w:rPr>
            </w:pPr>
            <w:r w:rsidRPr="009C5F11">
              <w:rPr>
                <w:sz w:val="20"/>
                <w:szCs w:val="16"/>
                <w:lang w:val="ro-RO"/>
              </w:rPr>
              <w:t>Rezidenţial</w:t>
            </w:r>
          </w:p>
        </w:tc>
        <w:tc>
          <w:tcPr>
            <w:tcW w:w="533" w:type="pct"/>
            <w:shd w:val="clear" w:color="auto" w:fill="D3E6FE"/>
            <w:vAlign w:val="center"/>
          </w:tcPr>
          <w:p w14:paraId="1A0DF199" w14:textId="77777777" w:rsidR="004E66AB" w:rsidRPr="009C5F11" w:rsidRDefault="00C51526"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40.1</w:t>
            </w:r>
          </w:p>
        </w:tc>
        <w:tc>
          <w:tcPr>
            <w:tcW w:w="534" w:type="pct"/>
            <w:shd w:val="clear" w:color="auto" w:fill="D3E6FE"/>
            <w:vAlign w:val="center"/>
          </w:tcPr>
          <w:p w14:paraId="23FA2EF5" w14:textId="77777777" w:rsidR="004E66AB" w:rsidRPr="009C5F11" w:rsidRDefault="00663F95" w:rsidP="00663F95">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72</w:t>
            </w:r>
            <w:r w:rsidR="004E66AB" w:rsidRPr="009C5F11">
              <w:rPr>
                <w:rFonts w:ascii="Times New Roman" w:hAnsi="Times New Roman" w:cs="Times New Roman"/>
                <w:b/>
                <w:sz w:val="20"/>
                <w:szCs w:val="16"/>
                <w:lang w:val="ro-RO"/>
              </w:rPr>
              <w:t>.</w:t>
            </w:r>
            <w:r w:rsidRPr="009C5F11">
              <w:rPr>
                <w:rFonts w:ascii="Times New Roman" w:hAnsi="Times New Roman" w:cs="Times New Roman"/>
                <w:b/>
                <w:sz w:val="20"/>
                <w:szCs w:val="16"/>
                <w:lang w:val="ro-RO"/>
              </w:rPr>
              <w:t>2</w:t>
            </w:r>
          </w:p>
        </w:tc>
        <w:tc>
          <w:tcPr>
            <w:tcW w:w="1104" w:type="pct"/>
            <w:shd w:val="clear" w:color="auto" w:fill="D3E6FE"/>
            <w:vAlign w:val="center"/>
          </w:tcPr>
          <w:p w14:paraId="4FE84592" w14:textId="77777777" w:rsidR="004E66AB" w:rsidRPr="009C5F11" w:rsidRDefault="004E66AB" w:rsidP="00430626">
            <w:pPr>
              <w:pStyle w:val="BodyText1"/>
              <w:spacing w:after="0" w:line="240" w:lineRule="auto"/>
              <w:jc w:val="both"/>
              <w:rPr>
                <w:sz w:val="20"/>
                <w:szCs w:val="16"/>
                <w:lang w:val="ro-RO"/>
              </w:rPr>
            </w:pPr>
            <w:r w:rsidRPr="009C5F11">
              <w:rPr>
                <w:sz w:val="20"/>
                <w:szCs w:val="16"/>
                <w:lang w:val="ro-RO"/>
              </w:rPr>
              <w:t>1.2</w:t>
            </w:r>
          </w:p>
        </w:tc>
        <w:tc>
          <w:tcPr>
            <w:tcW w:w="1123" w:type="pct"/>
            <w:shd w:val="clear" w:color="auto" w:fill="D3E6FE"/>
            <w:vAlign w:val="center"/>
          </w:tcPr>
          <w:p w14:paraId="1CC1C057" w14:textId="77777777" w:rsidR="004E66AB" w:rsidRPr="009C5F11" w:rsidRDefault="004E66AB" w:rsidP="00430626">
            <w:pPr>
              <w:pStyle w:val="BodyText1"/>
              <w:spacing w:after="0" w:line="240" w:lineRule="auto"/>
              <w:jc w:val="both"/>
              <w:rPr>
                <w:sz w:val="20"/>
                <w:szCs w:val="16"/>
                <w:lang w:val="ro-RO"/>
              </w:rPr>
            </w:pPr>
            <w:r w:rsidRPr="009C5F11">
              <w:rPr>
                <w:sz w:val="20"/>
                <w:szCs w:val="16"/>
                <w:lang w:val="ro-RO"/>
              </w:rPr>
              <w:t>77.3*</w:t>
            </w:r>
          </w:p>
        </w:tc>
      </w:tr>
      <w:tr w:rsidR="004E66AB" w:rsidRPr="009C5F11" w14:paraId="55D24FC7" w14:textId="77777777" w:rsidTr="00D135D7">
        <w:tc>
          <w:tcPr>
            <w:tcW w:w="1706" w:type="pct"/>
            <w:shd w:val="clear" w:color="auto" w:fill="D3E6FE"/>
            <w:vAlign w:val="center"/>
          </w:tcPr>
          <w:p w14:paraId="29060A60" w14:textId="77777777" w:rsidR="004E66AB" w:rsidRPr="009C5F11" w:rsidRDefault="004E66AB" w:rsidP="00430626">
            <w:pPr>
              <w:pStyle w:val="BodyText1"/>
              <w:spacing w:after="0" w:line="240" w:lineRule="auto"/>
              <w:jc w:val="both"/>
              <w:rPr>
                <w:sz w:val="20"/>
                <w:szCs w:val="16"/>
                <w:lang w:val="ro-RO"/>
              </w:rPr>
            </w:pPr>
            <w:r w:rsidRPr="009C5F11">
              <w:rPr>
                <w:sz w:val="20"/>
                <w:szCs w:val="16"/>
                <w:lang w:val="ro-RO"/>
              </w:rPr>
              <w:t>Public (</w:t>
            </w:r>
            <w:r w:rsidR="00FA172F" w:rsidRPr="009C5F11">
              <w:rPr>
                <w:sz w:val="20"/>
                <w:szCs w:val="16"/>
                <w:lang w:val="ro-RO"/>
              </w:rPr>
              <w:t>servicii</w:t>
            </w:r>
            <w:r w:rsidRPr="009C5F11">
              <w:rPr>
                <w:sz w:val="20"/>
                <w:szCs w:val="16"/>
                <w:lang w:val="ro-RO"/>
              </w:rPr>
              <w:t>)</w:t>
            </w:r>
          </w:p>
        </w:tc>
        <w:tc>
          <w:tcPr>
            <w:tcW w:w="533" w:type="pct"/>
            <w:shd w:val="clear" w:color="auto" w:fill="D3E6FE"/>
            <w:vAlign w:val="center"/>
          </w:tcPr>
          <w:p w14:paraId="67C8BFC4" w14:textId="77777777" w:rsidR="004E66AB" w:rsidRPr="009C5F11" w:rsidRDefault="00C51526"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27.8</w:t>
            </w:r>
          </w:p>
        </w:tc>
        <w:tc>
          <w:tcPr>
            <w:tcW w:w="534" w:type="pct"/>
            <w:shd w:val="clear" w:color="auto" w:fill="D3E6FE"/>
            <w:vAlign w:val="center"/>
          </w:tcPr>
          <w:p w14:paraId="1B71B991" w14:textId="77777777" w:rsidR="004E66AB" w:rsidRPr="009C5F11" w:rsidRDefault="00663F95"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50.0</w:t>
            </w:r>
          </w:p>
        </w:tc>
        <w:tc>
          <w:tcPr>
            <w:tcW w:w="1104" w:type="pct"/>
            <w:shd w:val="clear" w:color="auto" w:fill="D3E6FE"/>
            <w:vAlign w:val="center"/>
          </w:tcPr>
          <w:p w14:paraId="74E8B0B6" w14:textId="77777777" w:rsidR="004E66AB" w:rsidRPr="009C5F11" w:rsidRDefault="004E66AB" w:rsidP="00430626">
            <w:pPr>
              <w:pStyle w:val="BodyText1"/>
              <w:spacing w:after="0" w:line="240" w:lineRule="auto"/>
              <w:jc w:val="both"/>
              <w:rPr>
                <w:sz w:val="20"/>
                <w:szCs w:val="16"/>
                <w:lang w:val="ro-RO"/>
              </w:rPr>
            </w:pPr>
            <w:r w:rsidRPr="009C5F11">
              <w:rPr>
                <w:sz w:val="20"/>
                <w:szCs w:val="16"/>
                <w:lang w:val="ro-RO"/>
              </w:rPr>
              <w:t>18.6</w:t>
            </w:r>
          </w:p>
        </w:tc>
        <w:tc>
          <w:tcPr>
            <w:tcW w:w="1123" w:type="pct"/>
            <w:shd w:val="clear" w:color="auto" w:fill="D3E6FE"/>
            <w:vAlign w:val="center"/>
          </w:tcPr>
          <w:p w14:paraId="1DD0296F" w14:textId="77777777" w:rsidR="004E66AB" w:rsidRPr="009C5F11" w:rsidRDefault="00993264" w:rsidP="00430626">
            <w:pPr>
              <w:pStyle w:val="BodyText1"/>
              <w:spacing w:after="0" w:line="240" w:lineRule="auto"/>
              <w:jc w:val="both"/>
              <w:rPr>
                <w:sz w:val="20"/>
                <w:szCs w:val="16"/>
                <w:lang w:val="ro-RO"/>
              </w:rPr>
            </w:pPr>
            <w:r w:rsidRPr="009C5F11">
              <w:rPr>
                <w:sz w:val="20"/>
                <w:szCs w:val="16"/>
                <w:lang w:val="ro-RO"/>
              </w:rPr>
              <w:t>50.1</w:t>
            </w:r>
          </w:p>
        </w:tc>
      </w:tr>
      <w:tr w:rsidR="004E66AB" w:rsidRPr="009C5F11" w14:paraId="1926CC78" w14:textId="77777777" w:rsidTr="00D135D7">
        <w:tc>
          <w:tcPr>
            <w:tcW w:w="1706" w:type="pct"/>
            <w:shd w:val="clear" w:color="auto" w:fill="D3E6FE"/>
            <w:vAlign w:val="center"/>
          </w:tcPr>
          <w:p w14:paraId="004B77F0" w14:textId="77777777" w:rsidR="004E66AB" w:rsidRPr="009C5F11" w:rsidRDefault="0079253D" w:rsidP="00430626">
            <w:pPr>
              <w:pStyle w:val="BodyText1"/>
              <w:spacing w:after="0" w:line="240" w:lineRule="auto"/>
              <w:jc w:val="both"/>
              <w:rPr>
                <w:sz w:val="20"/>
                <w:szCs w:val="16"/>
                <w:lang w:val="ro-RO"/>
              </w:rPr>
            </w:pPr>
            <w:r w:rsidRPr="009C5F11">
              <w:rPr>
                <w:sz w:val="20"/>
                <w:szCs w:val="16"/>
                <w:lang w:val="ro-RO"/>
              </w:rPr>
              <w:t>Industrie</w:t>
            </w:r>
          </w:p>
        </w:tc>
        <w:tc>
          <w:tcPr>
            <w:tcW w:w="533" w:type="pct"/>
            <w:shd w:val="clear" w:color="auto" w:fill="D3E6FE"/>
            <w:vAlign w:val="center"/>
          </w:tcPr>
          <w:p w14:paraId="6A44E237" w14:textId="77777777" w:rsidR="004E66AB" w:rsidRPr="009C5F11" w:rsidRDefault="00C51526"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8.3</w:t>
            </w:r>
          </w:p>
        </w:tc>
        <w:tc>
          <w:tcPr>
            <w:tcW w:w="534" w:type="pct"/>
            <w:shd w:val="clear" w:color="auto" w:fill="D3E6FE"/>
            <w:vAlign w:val="center"/>
          </w:tcPr>
          <w:p w14:paraId="6FA74261" w14:textId="77777777" w:rsidR="004E66AB" w:rsidRPr="009C5F11" w:rsidRDefault="00663F95"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15.0</w:t>
            </w:r>
          </w:p>
        </w:tc>
        <w:tc>
          <w:tcPr>
            <w:tcW w:w="1104" w:type="pct"/>
            <w:shd w:val="clear" w:color="auto" w:fill="D3E6FE"/>
            <w:vAlign w:val="center"/>
          </w:tcPr>
          <w:p w14:paraId="7EAA68C3" w14:textId="77777777" w:rsidR="004E66AB" w:rsidRPr="009C5F11" w:rsidRDefault="004E66AB" w:rsidP="00430626">
            <w:pPr>
              <w:pStyle w:val="BodyText1"/>
              <w:spacing w:after="0" w:line="240" w:lineRule="auto"/>
              <w:jc w:val="both"/>
              <w:rPr>
                <w:sz w:val="20"/>
                <w:szCs w:val="16"/>
                <w:lang w:val="ro-RO"/>
              </w:rPr>
            </w:pPr>
            <w:r w:rsidRPr="009C5F11">
              <w:rPr>
                <w:sz w:val="20"/>
                <w:szCs w:val="16"/>
                <w:lang w:val="ro-RO"/>
              </w:rPr>
              <w:t>10.1</w:t>
            </w:r>
          </w:p>
        </w:tc>
        <w:tc>
          <w:tcPr>
            <w:tcW w:w="1123" w:type="pct"/>
            <w:shd w:val="clear" w:color="auto" w:fill="D3E6FE"/>
            <w:vAlign w:val="center"/>
          </w:tcPr>
          <w:p w14:paraId="6A8205D6" w14:textId="77777777" w:rsidR="004E66AB" w:rsidRPr="009C5F11" w:rsidRDefault="00993264" w:rsidP="00430626">
            <w:pPr>
              <w:pStyle w:val="BodyText1"/>
              <w:spacing w:after="0" w:line="240" w:lineRule="auto"/>
              <w:jc w:val="both"/>
              <w:rPr>
                <w:sz w:val="20"/>
                <w:szCs w:val="16"/>
                <w:lang w:val="ro-RO"/>
              </w:rPr>
            </w:pPr>
            <w:r w:rsidRPr="009C5F11">
              <w:rPr>
                <w:sz w:val="20"/>
                <w:szCs w:val="16"/>
                <w:lang w:val="ro-RO"/>
              </w:rPr>
              <w:t>15.2</w:t>
            </w:r>
          </w:p>
        </w:tc>
      </w:tr>
      <w:tr w:rsidR="004E66AB" w:rsidRPr="009C5F11" w14:paraId="5BA691B1" w14:textId="77777777" w:rsidTr="00D135D7">
        <w:tc>
          <w:tcPr>
            <w:tcW w:w="1706" w:type="pct"/>
            <w:shd w:val="clear" w:color="auto" w:fill="D3E6FE"/>
            <w:vAlign w:val="center"/>
          </w:tcPr>
          <w:p w14:paraId="007ED663" w14:textId="77777777" w:rsidR="004E66AB" w:rsidRPr="009C5F11" w:rsidRDefault="004E66AB" w:rsidP="00430626">
            <w:pPr>
              <w:pStyle w:val="BodyText1"/>
              <w:spacing w:after="0" w:line="240" w:lineRule="auto"/>
              <w:jc w:val="both"/>
              <w:rPr>
                <w:sz w:val="20"/>
                <w:szCs w:val="16"/>
                <w:lang w:val="ro-RO"/>
              </w:rPr>
            </w:pPr>
            <w:r w:rsidRPr="009C5F11">
              <w:rPr>
                <w:sz w:val="20"/>
                <w:szCs w:val="16"/>
                <w:lang w:val="ro-RO"/>
              </w:rPr>
              <w:t>Transport</w:t>
            </w:r>
            <w:r w:rsidR="0079253D" w:rsidRPr="009C5F11">
              <w:rPr>
                <w:sz w:val="20"/>
                <w:szCs w:val="16"/>
                <w:lang w:val="ro-RO"/>
              </w:rPr>
              <w:t>uri</w:t>
            </w:r>
          </w:p>
        </w:tc>
        <w:tc>
          <w:tcPr>
            <w:tcW w:w="533" w:type="pct"/>
            <w:shd w:val="clear" w:color="auto" w:fill="D3E6FE"/>
            <w:vAlign w:val="center"/>
          </w:tcPr>
          <w:p w14:paraId="1CF34FAF" w14:textId="77777777" w:rsidR="004E66AB" w:rsidRPr="009C5F11" w:rsidRDefault="00C51526"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16.7</w:t>
            </w:r>
          </w:p>
        </w:tc>
        <w:tc>
          <w:tcPr>
            <w:tcW w:w="534" w:type="pct"/>
            <w:shd w:val="clear" w:color="auto" w:fill="D3E6FE"/>
            <w:vAlign w:val="center"/>
          </w:tcPr>
          <w:p w14:paraId="3D44BD80" w14:textId="77777777" w:rsidR="004E66AB" w:rsidRPr="009C5F11" w:rsidRDefault="00663F95"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30.0</w:t>
            </w:r>
          </w:p>
        </w:tc>
        <w:tc>
          <w:tcPr>
            <w:tcW w:w="1104" w:type="pct"/>
            <w:shd w:val="clear" w:color="auto" w:fill="D3E6FE"/>
            <w:vAlign w:val="center"/>
          </w:tcPr>
          <w:p w14:paraId="11269D13" w14:textId="77777777" w:rsidR="004E66AB" w:rsidRPr="009C5F11" w:rsidRDefault="004E66AB" w:rsidP="00430626">
            <w:pPr>
              <w:pStyle w:val="BodyText1"/>
              <w:spacing w:after="0" w:line="240" w:lineRule="auto"/>
              <w:jc w:val="both"/>
              <w:rPr>
                <w:sz w:val="20"/>
                <w:szCs w:val="16"/>
                <w:lang w:val="ro-RO"/>
              </w:rPr>
            </w:pPr>
            <w:r w:rsidRPr="009C5F11">
              <w:rPr>
                <w:sz w:val="20"/>
                <w:szCs w:val="16"/>
                <w:lang w:val="ro-RO"/>
              </w:rPr>
              <w:t>0.12</w:t>
            </w:r>
          </w:p>
        </w:tc>
        <w:tc>
          <w:tcPr>
            <w:tcW w:w="1123" w:type="pct"/>
            <w:shd w:val="clear" w:color="auto" w:fill="D3E6FE"/>
            <w:vAlign w:val="center"/>
          </w:tcPr>
          <w:p w14:paraId="11649B4D" w14:textId="77777777" w:rsidR="004E66AB" w:rsidRPr="009C5F11" w:rsidRDefault="004E66AB" w:rsidP="00430626">
            <w:pPr>
              <w:pStyle w:val="BodyText1"/>
              <w:spacing w:after="0" w:line="240" w:lineRule="auto"/>
              <w:jc w:val="both"/>
              <w:rPr>
                <w:sz w:val="20"/>
                <w:szCs w:val="16"/>
                <w:lang w:val="ro-RO"/>
              </w:rPr>
            </w:pPr>
            <w:r w:rsidRPr="009C5F11">
              <w:rPr>
                <w:sz w:val="20"/>
                <w:szCs w:val="16"/>
                <w:lang w:val="ro-RO"/>
              </w:rPr>
              <w:t>33.7</w:t>
            </w:r>
          </w:p>
        </w:tc>
      </w:tr>
      <w:tr w:rsidR="004E66AB" w:rsidRPr="009C5F11" w14:paraId="112C8E13" w14:textId="77777777" w:rsidTr="00D135D7">
        <w:tc>
          <w:tcPr>
            <w:tcW w:w="1706" w:type="pct"/>
            <w:shd w:val="clear" w:color="auto" w:fill="99CCFF"/>
            <w:vAlign w:val="center"/>
          </w:tcPr>
          <w:p w14:paraId="20302066" w14:textId="77777777" w:rsidR="004E66AB" w:rsidRPr="009C5F11" w:rsidRDefault="004E66AB" w:rsidP="00666216">
            <w:pPr>
              <w:pStyle w:val="BodyText1"/>
              <w:spacing w:after="0" w:line="240" w:lineRule="auto"/>
              <w:jc w:val="both"/>
              <w:rPr>
                <w:b/>
                <w:sz w:val="20"/>
                <w:szCs w:val="16"/>
                <w:lang w:val="ro-RO"/>
              </w:rPr>
            </w:pPr>
            <w:r w:rsidRPr="009C5F11">
              <w:rPr>
                <w:b/>
                <w:sz w:val="20"/>
                <w:szCs w:val="16"/>
                <w:lang w:val="ro-RO"/>
              </w:rPr>
              <w:t>Total (</w:t>
            </w:r>
            <w:r w:rsidR="00E52940" w:rsidRPr="009C5F11">
              <w:rPr>
                <w:b/>
                <w:sz w:val="20"/>
                <w:szCs w:val="16"/>
                <w:lang w:val="ro-RO"/>
              </w:rPr>
              <w:t>ktep</w:t>
            </w:r>
            <w:r w:rsidRPr="009C5F11">
              <w:rPr>
                <w:b/>
                <w:sz w:val="20"/>
                <w:szCs w:val="16"/>
                <w:lang w:val="ro-RO"/>
              </w:rPr>
              <w:t>):</w:t>
            </w:r>
          </w:p>
        </w:tc>
        <w:tc>
          <w:tcPr>
            <w:tcW w:w="533" w:type="pct"/>
            <w:shd w:val="clear" w:color="auto" w:fill="000080"/>
            <w:vAlign w:val="center"/>
          </w:tcPr>
          <w:p w14:paraId="7157AE83" w14:textId="77777777" w:rsidR="004E66AB" w:rsidRPr="009C5F11" w:rsidRDefault="004E66AB"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92.9</w:t>
            </w:r>
          </w:p>
        </w:tc>
        <w:tc>
          <w:tcPr>
            <w:tcW w:w="534" w:type="pct"/>
            <w:shd w:val="clear" w:color="auto" w:fill="000080"/>
            <w:vAlign w:val="center"/>
          </w:tcPr>
          <w:p w14:paraId="4BCEC00A" w14:textId="77777777" w:rsidR="004E66AB" w:rsidRPr="009C5F11" w:rsidRDefault="004E66AB"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167.2</w:t>
            </w:r>
          </w:p>
        </w:tc>
        <w:tc>
          <w:tcPr>
            <w:tcW w:w="1104" w:type="pct"/>
            <w:shd w:val="clear" w:color="auto" w:fill="99CCFF"/>
            <w:vAlign w:val="center"/>
          </w:tcPr>
          <w:p w14:paraId="55AA2190" w14:textId="77777777" w:rsidR="004E66AB" w:rsidRPr="009C5F11" w:rsidRDefault="004E66AB" w:rsidP="00430626">
            <w:pPr>
              <w:pStyle w:val="BodyText1"/>
              <w:spacing w:after="0" w:line="240" w:lineRule="auto"/>
              <w:jc w:val="both"/>
              <w:rPr>
                <w:b/>
                <w:sz w:val="20"/>
                <w:szCs w:val="16"/>
                <w:lang w:val="ro-RO"/>
              </w:rPr>
            </w:pPr>
            <w:r w:rsidRPr="009C5F11">
              <w:rPr>
                <w:b/>
                <w:sz w:val="20"/>
                <w:szCs w:val="16"/>
                <w:lang w:val="ro-RO"/>
              </w:rPr>
              <w:t>30.0</w:t>
            </w:r>
          </w:p>
        </w:tc>
        <w:tc>
          <w:tcPr>
            <w:tcW w:w="1123" w:type="pct"/>
            <w:shd w:val="clear" w:color="auto" w:fill="99CCFF"/>
            <w:vAlign w:val="center"/>
          </w:tcPr>
          <w:p w14:paraId="7AD67AA9" w14:textId="77777777" w:rsidR="004E66AB" w:rsidRPr="009C5F11" w:rsidRDefault="004E66AB" w:rsidP="00430626">
            <w:pPr>
              <w:pStyle w:val="BodyText1"/>
              <w:spacing w:after="0" w:line="240" w:lineRule="auto"/>
              <w:jc w:val="both"/>
              <w:rPr>
                <w:b/>
                <w:sz w:val="20"/>
                <w:szCs w:val="16"/>
                <w:lang w:val="ro-RO"/>
              </w:rPr>
            </w:pPr>
            <w:r w:rsidRPr="009C5F11">
              <w:rPr>
                <w:b/>
                <w:sz w:val="20"/>
                <w:szCs w:val="16"/>
                <w:lang w:val="ro-RO"/>
              </w:rPr>
              <w:t>176.3</w:t>
            </w:r>
          </w:p>
        </w:tc>
      </w:tr>
      <w:tr w:rsidR="004E66AB" w:rsidRPr="009C5F11" w14:paraId="652B1698" w14:textId="77777777" w:rsidTr="00D135D7">
        <w:tc>
          <w:tcPr>
            <w:tcW w:w="1706" w:type="pct"/>
            <w:shd w:val="clear" w:color="auto" w:fill="99CCFF"/>
            <w:vAlign w:val="center"/>
          </w:tcPr>
          <w:p w14:paraId="755318EF" w14:textId="77777777" w:rsidR="004E66AB" w:rsidRPr="009C5F11" w:rsidRDefault="004E66AB" w:rsidP="00430626">
            <w:pPr>
              <w:pStyle w:val="BodyText1"/>
              <w:spacing w:after="0" w:line="240" w:lineRule="auto"/>
              <w:jc w:val="both"/>
              <w:rPr>
                <w:b/>
                <w:sz w:val="20"/>
                <w:szCs w:val="16"/>
                <w:lang w:val="ro-RO"/>
              </w:rPr>
            </w:pPr>
            <w:r w:rsidRPr="009C5F11">
              <w:rPr>
                <w:b/>
                <w:sz w:val="20"/>
                <w:szCs w:val="16"/>
                <w:lang w:val="ro-RO"/>
              </w:rPr>
              <w:t>Total (GWh):</w:t>
            </w:r>
          </w:p>
        </w:tc>
        <w:tc>
          <w:tcPr>
            <w:tcW w:w="533" w:type="pct"/>
            <w:shd w:val="clear" w:color="auto" w:fill="000080"/>
            <w:vAlign w:val="center"/>
          </w:tcPr>
          <w:p w14:paraId="0FF08535" w14:textId="77777777" w:rsidR="004E66AB" w:rsidRPr="009C5F11" w:rsidRDefault="004E66AB"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1,080.4</w:t>
            </w:r>
          </w:p>
        </w:tc>
        <w:tc>
          <w:tcPr>
            <w:tcW w:w="534" w:type="pct"/>
            <w:shd w:val="clear" w:color="auto" w:fill="000080"/>
            <w:vAlign w:val="center"/>
          </w:tcPr>
          <w:p w14:paraId="193309D0" w14:textId="77777777" w:rsidR="004E66AB" w:rsidRPr="009C5F11" w:rsidRDefault="004E66AB"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1,944.5</w:t>
            </w:r>
          </w:p>
        </w:tc>
        <w:tc>
          <w:tcPr>
            <w:tcW w:w="1104" w:type="pct"/>
            <w:shd w:val="clear" w:color="auto" w:fill="99CCFF"/>
            <w:vAlign w:val="center"/>
          </w:tcPr>
          <w:p w14:paraId="560C35F2" w14:textId="77777777" w:rsidR="004E66AB" w:rsidRPr="009C5F11" w:rsidRDefault="004E66AB" w:rsidP="00430626">
            <w:pPr>
              <w:pStyle w:val="BodyText1"/>
              <w:spacing w:after="0" w:line="240" w:lineRule="auto"/>
              <w:jc w:val="both"/>
              <w:rPr>
                <w:b/>
                <w:sz w:val="20"/>
                <w:szCs w:val="16"/>
                <w:lang w:val="ro-RO"/>
              </w:rPr>
            </w:pPr>
            <w:r w:rsidRPr="009C5F11">
              <w:rPr>
                <w:b/>
                <w:sz w:val="20"/>
                <w:szCs w:val="16"/>
                <w:lang w:val="ro-RO"/>
              </w:rPr>
              <w:t>348.9</w:t>
            </w:r>
          </w:p>
        </w:tc>
        <w:tc>
          <w:tcPr>
            <w:tcW w:w="1123" w:type="pct"/>
            <w:shd w:val="clear" w:color="auto" w:fill="99CCFF"/>
            <w:vAlign w:val="center"/>
          </w:tcPr>
          <w:p w14:paraId="2D7E6666" w14:textId="77777777" w:rsidR="004E66AB" w:rsidRPr="009C5F11" w:rsidRDefault="004E66AB" w:rsidP="00430626">
            <w:pPr>
              <w:pStyle w:val="BodyText1"/>
              <w:spacing w:after="0" w:line="240" w:lineRule="auto"/>
              <w:jc w:val="both"/>
              <w:rPr>
                <w:b/>
                <w:sz w:val="20"/>
                <w:szCs w:val="16"/>
                <w:lang w:val="ro-RO"/>
              </w:rPr>
            </w:pPr>
            <w:r w:rsidRPr="009C5F11">
              <w:rPr>
                <w:b/>
                <w:sz w:val="20"/>
                <w:szCs w:val="16"/>
                <w:lang w:val="ro-RO"/>
              </w:rPr>
              <w:t>2,050.0</w:t>
            </w:r>
          </w:p>
        </w:tc>
      </w:tr>
      <w:tr w:rsidR="004E66AB" w:rsidRPr="009C5F11" w14:paraId="464A6865" w14:textId="77777777" w:rsidTr="00D135D7">
        <w:tc>
          <w:tcPr>
            <w:tcW w:w="1706" w:type="pct"/>
            <w:shd w:val="clear" w:color="auto" w:fill="99CCFF"/>
            <w:vAlign w:val="center"/>
          </w:tcPr>
          <w:p w14:paraId="410EA042" w14:textId="77777777" w:rsidR="004E66AB" w:rsidRPr="009C5F11" w:rsidRDefault="00A74B8C" w:rsidP="0079253D">
            <w:pPr>
              <w:pStyle w:val="BodyText1"/>
              <w:spacing w:after="0" w:line="240" w:lineRule="auto"/>
              <w:jc w:val="both"/>
              <w:rPr>
                <w:b/>
                <w:sz w:val="20"/>
                <w:szCs w:val="16"/>
                <w:lang w:val="ro-RO"/>
              </w:rPr>
            </w:pPr>
            <w:r w:rsidRPr="009C5F11">
              <w:rPr>
                <w:i/>
                <w:sz w:val="20"/>
                <w:szCs w:val="16"/>
                <w:lang w:val="ro-RO"/>
              </w:rPr>
              <w:t>Procent</w:t>
            </w:r>
            <w:r w:rsidR="004E66AB" w:rsidRPr="009C5F11">
              <w:rPr>
                <w:i/>
                <w:sz w:val="20"/>
                <w:szCs w:val="16"/>
                <w:lang w:val="ro-RO"/>
              </w:rPr>
              <w:t xml:space="preserve"> (%)(</w:t>
            </w:r>
            <w:r w:rsidR="0079253D" w:rsidRPr="009C5F11">
              <w:rPr>
                <w:i/>
                <w:sz w:val="20"/>
                <w:szCs w:val="16"/>
                <w:lang w:val="ro-RO"/>
              </w:rPr>
              <w:t>comparativ cu nivelul consumului de referinţă stabilit de</w:t>
            </w:r>
            <w:r w:rsidR="004E66AB" w:rsidRPr="009C5F11">
              <w:rPr>
                <w:i/>
                <w:sz w:val="20"/>
                <w:szCs w:val="16"/>
                <w:lang w:val="ro-RO"/>
              </w:rPr>
              <w:t xml:space="preserve"> </w:t>
            </w:r>
            <w:r w:rsidR="00871B4E" w:rsidRPr="009C5F11">
              <w:rPr>
                <w:i/>
                <w:sz w:val="20"/>
                <w:szCs w:val="16"/>
                <w:lang w:val="ro-RO"/>
              </w:rPr>
              <w:t>DSE</w:t>
            </w:r>
            <w:r w:rsidR="004E66AB" w:rsidRPr="009C5F11">
              <w:rPr>
                <w:i/>
                <w:sz w:val="20"/>
                <w:szCs w:val="16"/>
                <w:lang w:val="ro-RO"/>
              </w:rPr>
              <w:t>)</w:t>
            </w:r>
          </w:p>
        </w:tc>
        <w:tc>
          <w:tcPr>
            <w:tcW w:w="533" w:type="pct"/>
            <w:shd w:val="clear" w:color="auto" w:fill="000080"/>
            <w:vAlign w:val="center"/>
          </w:tcPr>
          <w:p w14:paraId="6926D20D" w14:textId="77777777" w:rsidR="004E66AB" w:rsidRPr="009C5F11" w:rsidRDefault="004E66AB"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5</w:t>
            </w:r>
            <w:r w:rsidR="001F0137" w:rsidRPr="009C5F11">
              <w:rPr>
                <w:rFonts w:ascii="Times New Roman" w:hAnsi="Times New Roman" w:cs="Times New Roman"/>
                <w:b/>
                <w:sz w:val="20"/>
                <w:szCs w:val="16"/>
                <w:lang w:val="ro-RO"/>
              </w:rPr>
              <w:t>.0</w:t>
            </w:r>
            <w:r w:rsidRPr="009C5F11">
              <w:rPr>
                <w:rFonts w:ascii="Times New Roman" w:hAnsi="Times New Roman" w:cs="Times New Roman"/>
                <w:b/>
                <w:sz w:val="20"/>
                <w:szCs w:val="16"/>
                <w:lang w:val="ro-RO"/>
              </w:rPr>
              <w:t>%</w:t>
            </w:r>
          </w:p>
        </w:tc>
        <w:tc>
          <w:tcPr>
            <w:tcW w:w="534" w:type="pct"/>
            <w:shd w:val="clear" w:color="auto" w:fill="000080"/>
            <w:vAlign w:val="center"/>
          </w:tcPr>
          <w:p w14:paraId="115520E8" w14:textId="77777777" w:rsidR="004E66AB" w:rsidRPr="009C5F11" w:rsidRDefault="004E66AB"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9</w:t>
            </w:r>
            <w:r w:rsidR="001F0137" w:rsidRPr="009C5F11">
              <w:rPr>
                <w:rFonts w:ascii="Times New Roman" w:hAnsi="Times New Roman" w:cs="Times New Roman"/>
                <w:b/>
                <w:sz w:val="20"/>
                <w:szCs w:val="16"/>
                <w:lang w:val="ro-RO"/>
              </w:rPr>
              <w:t>.0</w:t>
            </w:r>
            <w:r w:rsidRPr="009C5F11">
              <w:rPr>
                <w:rFonts w:ascii="Times New Roman" w:hAnsi="Times New Roman" w:cs="Times New Roman"/>
                <w:b/>
                <w:sz w:val="20"/>
                <w:szCs w:val="16"/>
                <w:lang w:val="ro-RO"/>
              </w:rPr>
              <w:t>%</w:t>
            </w:r>
          </w:p>
        </w:tc>
        <w:tc>
          <w:tcPr>
            <w:tcW w:w="1104" w:type="pct"/>
            <w:shd w:val="clear" w:color="auto" w:fill="99CCFF"/>
            <w:vAlign w:val="center"/>
          </w:tcPr>
          <w:p w14:paraId="09DC1224" w14:textId="77777777" w:rsidR="004E66AB" w:rsidRPr="009C5F11" w:rsidRDefault="004E66AB" w:rsidP="00430626">
            <w:pPr>
              <w:pStyle w:val="BodyText1"/>
              <w:spacing w:after="0" w:line="240" w:lineRule="auto"/>
              <w:jc w:val="both"/>
              <w:rPr>
                <w:b/>
                <w:sz w:val="20"/>
                <w:szCs w:val="16"/>
                <w:lang w:val="ro-RO"/>
              </w:rPr>
            </w:pPr>
            <w:r w:rsidRPr="009C5F11">
              <w:rPr>
                <w:b/>
                <w:sz w:val="20"/>
                <w:szCs w:val="16"/>
                <w:lang w:val="ro-RO"/>
              </w:rPr>
              <w:t>1.6%</w:t>
            </w:r>
          </w:p>
        </w:tc>
        <w:tc>
          <w:tcPr>
            <w:tcW w:w="1123" w:type="pct"/>
            <w:shd w:val="clear" w:color="auto" w:fill="99CCFF"/>
            <w:vAlign w:val="center"/>
          </w:tcPr>
          <w:p w14:paraId="5AB0A8D9" w14:textId="77777777" w:rsidR="004E66AB" w:rsidRPr="009C5F11" w:rsidRDefault="004E66AB" w:rsidP="00430626">
            <w:pPr>
              <w:pStyle w:val="BodyText1"/>
              <w:spacing w:after="0" w:line="240" w:lineRule="auto"/>
              <w:jc w:val="both"/>
              <w:rPr>
                <w:b/>
                <w:sz w:val="20"/>
                <w:szCs w:val="16"/>
                <w:lang w:val="ro-RO"/>
              </w:rPr>
            </w:pPr>
            <w:r w:rsidRPr="009C5F11">
              <w:rPr>
                <w:b/>
                <w:sz w:val="20"/>
                <w:szCs w:val="16"/>
                <w:lang w:val="ro-RO"/>
              </w:rPr>
              <w:t>9.5%</w:t>
            </w:r>
          </w:p>
        </w:tc>
      </w:tr>
    </w:tbl>
    <w:p w14:paraId="2F93C32F" w14:textId="77777777" w:rsidR="004E66AB" w:rsidRPr="009C5F11" w:rsidRDefault="004E66AB" w:rsidP="002733CB">
      <w:pPr>
        <w:spacing w:before="120" w:after="120" w:line="24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 - 8.45</w:t>
      </w:r>
      <w:r w:rsidR="00B56A00" w:rsidRPr="009C5F11">
        <w:rPr>
          <w:rFonts w:ascii="Times New Roman" w:hAnsi="Times New Roman" w:cs="Times New Roman"/>
          <w:i/>
          <w:sz w:val="20"/>
          <w:szCs w:val="16"/>
          <w:lang w:val="ro-RO"/>
        </w:rPr>
        <w:t xml:space="preserve"> </w:t>
      </w:r>
      <w:r w:rsidR="00E52940" w:rsidRPr="009C5F11">
        <w:rPr>
          <w:rFonts w:ascii="Times New Roman" w:hAnsi="Times New Roman" w:cs="Times New Roman"/>
          <w:i/>
          <w:sz w:val="20"/>
          <w:szCs w:val="16"/>
          <w:lang w:val="ro-RO"/>
        </w:rPr>
        <w:t>ktep</w:t>
      </w:r>
      <w:r w:rsidRPr="009C5F11">
        <w:rPr>
          <w:rFonts w:ascii="Times New Roman" w:hAnsi="Times New Roman" w:cs="Times New Roman"/>
          <w:i/>
          <w:sz w:val="20"/>
          <w:szCs w:val="16"/>
          <w:lang w:val="ro-RO"/>
        </w:rPr>
        <w:t xml:space="preserve"> </w:t>
      </w:r>
      <w:r w:rsidR="00A74B8C" w:rsidRPr="009C5F11">
        <w:rPr>
          <w:rFonts w:ascii="Times New Roman" w:hAnsi="Times New Roman" w:cs="Times New Roman"/>
          <w:i/>
          <w:sz w:val="20"/>
          <w:szCs w:val="16"/>
          <w:lang w:val="ro-RO"/>
        </w:rPr>
        <w:t>din măsura</w:t>
      </w:r>
      <w:r w:rsidRPr="009C5F11">
        <w:rPr>
          <w:rFonts w:ascii="Times New Roman" w:hAnsi="Times New Roman" w:cs="Times New Roman"/>
          <w:i/>
          <w:sz w:val="20"/>
          <w:szCs w:val="16"/>
          <w:lang w:val="ro-RO"/>
        </w:rPr>
        <w:t xml:space="preserve"> E5 (</w:t>
      </w:r>
      <w:r w:rsidR="00A74B8C" w:rsidRPr="009C5F11">
        <w:rPr>
          <w:rFonts w:ascii="Times New Roman" w:hAnsi="Times New Roman" w:cs="Times New Roman"/>
          <w:i/>
          <w:sz w:val="20"/>
          <w:szCs w:val="16"/>
          <w:lang w:val="ro-RO"/>
        </w:rPr>
        <w:t xml:space="preserve">care </w:t>
      </w:r>
      <w:r w:rsidRPr="009C5F11">
        <w:rPr>
          <w:rFonts w:ascii="Times New Roman" w:hAnsi="Times New Roman" w:cs="Times New Roman"/>
          <w:i/>
          <w:sz w:val="20"/>
          <w:szCs w:val="16"/>
          <w:lang w:val="ro-RO"/>
        </w:rPr>
        <w:t>reproduc</w:t>
      </w:r>
      <w:r w:rsidR="00A74B8C" w:rsidRPr="009C5F11">
        <w:rPr>
          <w:rFonts w:ascii="Times New Roman" w:hAnsi="Times New Roman" w:cs="Times New Roman"/>
          <w:i/>
          <w:sz w:val="20"/>
          <w:szCs w:val="16"/>
          <w:lang w:val="ro-RO"/>
        </w:rPr>
        <w:t>e</w:t>
      </w:r>
      <w:r w:rsidRPr="009C5F11">
        <w:rPr>
          <w:rFonts w:ascii="Times New Roman" w:hAnsi="Times New Roman" w:cs="Times New Roman"/>
          <w:i/>
          <w:sz w:val="20"/>
          <w:szCs w:val="16"/>
          <w:lang w:val="ro-RO"/>
        </w:rPr>
        <w:t xml:space="preserve"> </w:t>
      </w:r>
      <w:r w:rsidR="00E10BE5" w:rsidRPr="009C5F11">
        <w:rPr>
          <w:rFonts w:ascii="Times New Roman" w:hAnsi="Times New Roman" w:cs="Times New Roman"/>
          <w:i/>
          <w:sz w:val="20"/>
          <w:szCs w:val="16"/>
          <w:lang w:val="ro-RO"/>
        </w:rPr>
        <w:t>rezultate</w:t>
      </w:r>
      <w:r w:rsidR="00A74B8C" w:rsidRPr="009C5F11">
        <w:rPr>
          <w:rFonts w:ascii="Times New Roman" w:hAnsi="Times New Roman" w:cs="Times New Roman"/>
          <w:i/>
          <w:sz w:val="20"/>
          <w:szCs w:val="16"/>
          <w:lang w:val="ro-RO"/>
        </w:rPr>
        <w:t>le proiectului BIRD</w:t>
      </w:r>
      <w:r w:rsidRPr="009C5F11">
        <w:rPr>
          <w:rFonts w:ascii="Times New Roman" w:hAnsi="Times New Roman" w:cs="Times New Roman"/>
          <w:i/>
          <w:sz w:val="20"/>
          <w:szCs w:val="16"/>
          <w:lang w:val="ro-RO"/>
        </w:rPr>
        <w:t xml:space="preserve">) </w:t>
      </w:r>
      <w:r w:rsidR="00A74B8C" w:rsidRPr="009C5F11">
        <w:rPr>
          <w:rFonts w:ascii="Times New Roman" w:hAnsi="Times New Roman" w:cs="Times New Roman"/>
          <w:i/>
          <w:sz w:val="20"/>
          <w:szCs w:val="16"/>
          <w:lang w:val="ro-RO"/>
        </w:rPr>
        <w:t>pot fi incluse în</w:t>
      </w:r>
      <w:r w:rsidRPr="009C5F11">
        <w:rPr>
          <w:rFonts w:ascii="Times New Roman" w:hAnsi="Times New Roman" w:cs="Times New Roman"/>
          <w:i/>
          <w:sz w:val="20"/>
          <w:szCs w:val="16"/>
          <w:lang w:val="ro-RO"/>
        </w:rPr>
        <w:t xml:space="preserve"> </w:t>
      </w:r>
      <w:r w:rsidR="00871B4E" w:rsidRPr="009C5F11">
        <w:rPr>
          <w:rFonts w:ascii="Times New Roman" w:hAnsi="Times New Roman" w:cs="Times New Roman"/>
          <w:i/>
          <w:sz w:val="20"/>
          <w:szCs w:val="16"/>
          <w:lang w:val="ro-RO"/>
        </w:rPr>
        <w:t>DSE</w:t>
      </w:r>
      <w:r w:rsidRPr="009C5F11">
        <w:rPr>
          <w:rFonts w:ascii="Times New Roman" w:hAnsi="Times New Roman" w:cs="Times New Roman"/>
          <w:i/>
          <w:sz w:val="20"/>
          <w:szCs w:val="16"/>
          <w:lang w:val="ro-RO"/>
        </w:rPr>
        <w:t xml:space="preserve"> </w:t>
      </w:r>
      <w:r w:rsidR="00A74B8C" w:rsidRPr="009C5F11">
        <w:rPr>
          <w:rFonts w:ascii="Times New Roman" w:hAnsi="Times New Roman" w:cs="Times New Roman"/>
          <w:i/>
          <w:sz w:val="20"/>
          <w:szCs w:val="16"/>
          <w:lang w:val="ro-RO"/>
        </w:rPr>
        <w:t>pentru sectorul r</w:t>
      </w:r>
      <w:r w:rsidR="0079253D" w:rsidRPr="009C5F11">
        <w:rPr>
          <w:rFonts w:ascii="Times New Roman" w:hAnsi="Times New Roman" w:cs="Times New Roman"/>
          <w:i/>
          <w:sz w:val="20"/>
          <w:szCs w:val="16"/>
          <w:lang w:val="ro-RO"/>
        </w:rPr>
        <w:t>ezidenţial</w:t>
      </w:r>
      <w:r w:rsidR="00A74B8C" w:rsidRPr="009C5F11">
        <w:rPr>
          <w:rFonts w:ascii="Times New Roman" w:hAnsi="Times New Roman" w:cs="Times New Roman"/>
          <w:i/>
          <w:sz w:val="20"/>
          <w:szCs w:val="16"/>
          <w:lang w:val="ro-RO"/>
        </w:rPr>
        <w:t>.</w:t>
      </w:r>
    </w:p>
    <w:p w14:paraId="52B3A968" w14:textId="77777777" w:rsidR="004B7D60" w:rsidRPr="009C5F11" w:rsidRDefault="00321CD5" w:rsidP="00620E0C">
      <w:pPr>
        <w:pStyle w:val="Legend"/>
        <w:keepNext/>
        <w:jc w:val="center"/>
        <w:rPr>
          <w:rFonts w:ascii="Times New Roman" w:hAnsi="Times New Roman" w:cs="Times New Roman"/>
          <w:sz w:val="22"/>
          <w:lang w:val="ro-RO"/>
        </w:rPr>
      </w:pPr>
      <w:bookmarkStart w:id="85" w:name="_Toc322013234"/>
      <w:r w:rsidRPr="009C5F11">
        <w:rPr>
          <w:rFonts w:ascii="Times New Roman" w:hAnsi="Times New Roman" w:cs="Times New Roman"/>
          <w:sz w:val="22"/>
          <w:lang w:val="ro-RO"/>
        </w:rPr>
        <w:t>Tabelul</w:t>
      </w:r>
      <w:r w:rsidR="004B7D60"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4B7D60"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11</w:t>
      </w:r>
      <w:r w:rsidR="003A6ADB" w:rsidRPr="009C5F11">
        <w:rPr>
          <w:rFonts w:ascii="Times New Roman" w:hAnsi="Times New Roman" w:cs="Times New Roman"/>
          <w:sz w:val="22"/>
          <w:lang w:val="ro-RO"/>
        </w:rPr>
        <w:fldChar w:fldCharType="end"/>
      </w:r>
      <w:r w:rsidR="004B7D60" w:rsidRPr="009C5F11">
        <w:rPr>
          <w:rFonts w:ascii="Times New Roman" w:hAnsi="Times New Roman" w:cs="Times New Roman"/>
          <w:sz w:val="22"/>
          <w:lang w:val="ro-RO"/>
        </w:rPr>
        <w:t xml:space="preserve"> </w:t>
      </w:r>
      <w:r w:rsidR="007B15D6" w:rsidRPr="009C5F11">
        <w:rPr>
          <w:rFonts w:ascii="Times New Roman" w:hAnsi="Times New Roman" w:cs="Times New Roman"/>
          <w:sz w:val="22"/>
          <w:lang w:val="ro-RO"/>
        </w:rPr>
        <w:t>–</w:t>
      </w:r>
      <w:r w:rsidR="004B7D60" w:rsidRPr="009C5F11">
        <w:rPr>
          <w:rFonts w:ascii="Times New Roman" w:hAnsi="Times New Roman" w:cs="Times New Roman"/>
          <w:sz w:val="22"/>
          <w:lang w:val="ro-RO"/>
        </w:rPr>
        <w:t xml:space="preserve"> </w:t>
      </w:r>
      <w:r w:rsidR="00D110BA" w:rsidRPr="009C5F11">
        <w:rPr>
          <w:rFonts w:ascii="Times New Roman" w:hAnsi="Times New Roman" w:cs="Times New Roman"/>
          <w:sz w:val="22"/>
          <w:lang w:val="ro-RO"/>
        </w:rPr>
        <w:t>Privire de ansamblu</w:t>
      </w:r>
      <w:r w:rsidR="007B15D6" w:rsidRPr="009C5F11">
        <w:rPr>
          <w:rFonts w:ascii="Times New Roman" w:hAnsi="Times New Roman" w:cs="Times New Roman"/>
          <w:sz w:val="22"/>
          <w:lang w:val="ro-RO"/>
        </w:rPr>
        <w:t xml:space="preserve"> asupra obiectivelor</w:t>
      </w:r>
      <w:r w:rsidRPr="009C5F11">
        <w:rPr>
          <w:rFonts w:ascii="Times New Roman" w:hAnsi="Times New Roman" w:cs="Times New Roman"/>
          <w:sz w:val="22"/>
          <w:lang w:val="ro-RO"/>
        </w:rPr>
        <w:t xml:space="preserve"> şi </w:t>
      </w:r>
      <w:r w:rsidR="004424A0" w:rsidRPr="009C5F11">
        <w:rPr>
          <w:rFonts w:ascii="Times New Roman" w:hAnsi="Times New Roman" w:cs="Times New Roman"/>
          <w:sz w:val="22"/>
          <w:lang w:val="ro-RO"/>
        </w:rPr>
        <w:t>economii</w:t>
      </w:r>
      <w:r w:rsidR="007B15D6" w:rsidRPr="009C5F11">
        <w:rPr>
          <w:rFonts w:ascii="Times New Roman" w:hAnsi="Times New Roman" w:cs="Times New Roman"/>
          <w:sz w:val="22"/>
          <w:lang w:val="ro-RO"/>
        </w:rPr>
        <w:t>lor</w:t>
      </w:r>
      <w:r w:rsidR="004424A0" w:rsidRPr="009C5F11">
        <w:rPr>
          <w:rFonts w:ascii="Times New Roman" w:hAnsi="Times New Roman" w:cs="Times New Roman"/>
          <w:sz w:val="22"/>
          <w:lang w:val="ro-RO"/>
        </w:rPr>
        <w:t xml:space="preserve"> de energie</w:t>
      </w:r>
      <w:r w:rsidR="004B7D60" w:rsidRPr="009C5F11">
        <w:rPr>
          <w:rFonts w:ascii="Times New Roman" w:hAnsi="Times New Roman" w:cs="Times New Roman"/>
          <w:sz w:val="22"/>
          <w:lang w:val="ro-RO"/>
        </w:rPr>
        <w:t xml:space="preserve"> </w:t>
      </w:r>
      <w:r w:rsidR="007B15D6" w:rsidRPr="009C5F11">
        <w:rPr>
          <w:rFonts w:ascii="Times New Roman" w:hAnsi="Times New Roman" w:cs="Times New Roman"/>
          <w:sz w:val="22"/>
          <w:lang w:val="ro-RO"/>
        </w:rPr>
        <w:t>obţinute/prevăzute pentru consumul de energie primară şi finală.</w:t>
      </w:r>
      <w:bookmarkEnd w:id="85"/>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627"/>
        <w:gridCol w:w="896"/>
        <w:gridCol w:w="1279"/>
        <w:gridCol w:w="2409"/>
        <w:gridCol w:w="2127"/>
        <w:gridCol w:w="1898"/>
      </w:tblGrid>
      <w:tr w:rsidR="007F4A42" w:rsidRPr="009C5F11" w14:paraId="72BC1298" w14:textId="77777777" w:rsidTr="008B0472">
        <w:tc>
          <w:tcPr>
            <w:tcW w:w="627" w:type="dxa"/>
            <w:vMerge w:val="restart"/>
            <w:shd w:val="clear" w:color="auto" w:fill="000080"/>
          </w:tcPr>
          <w:p w14:paraId="5176D19F" w14:textId="77777777" w:rsidR="007F4A42" w:rsidRPr="009C5F11" w:rsidRDefault="009C5DCF" w:rsidP="00430626">
            <w:pPr>
              <w:spacing w:before="100" w:beforeAutospacing="1" w:after="0" w:line="240" w:lineRule="auto"/>
              <w:jc w:val="both"/>
              <w:rPr>
                <w:rFonts w:ascii="Times New Roman" w:hAnsi="Times New Roman" w:cs="Times New Roman"/>
                <w:b/>
                <w:i/>
                <w:sz w:val="20"/>
                <w:szCs w:val="16"/>
                <w:lang w:val="ro-RO"/>
              </w:rPr>
            </w:pPr>
            <w:r w:rsidRPr="009C5F11">
              <w:rPr>
                <w:rFonts w:ascii="Times New Roman" w:hAnsi="Times New Roman" w:cs="Times New Roman"/>
                <w:b/>
                <w:i/>
                <w:sz w:val="20"/>
                <w:szCs w:val="16"/>
                <w:lang w:val="ro-RO"/>
              </w:rPr>
              <w:t>Anul</w:t>
            </w:r>
          </w:p>
        </w:tc>
        <w:tc>
          <w:tcPr>
            <w:tcW w:w="2175" w:type="dxa"/>
            <w:gridSpan w:val="2"/>
            <w:vMerge w:val="restart"/>
            <w:shd w:val="clear" w:color="auto" w:fill="000080"/>
          </w:tcPr>
          <w:p w14:paraId="5654AE9B" w14:textId="77777777" w:rsidR="007F4A42" w:rsidRPr="009C5F11" w:rsidRDefault="0040097D" w:rsidP="0040097D">
            <w:pPr>
              <w:spacing w:before="100" w:beforeAutospacing="1" w:after="0" w:line="240" w:lineRule="auto"/>
              <w:jc w:val="center"/>
              <w:rPr>
                <w:rFonts w:ascii="Times New Roman" w:hAnsi="Times New Roman" w:cs="Times New Roman"/>
                <w:b/>
                <w:i/>
                <w:sz w:val="20"/>
                <w:szCs w:val="16"/>
                <w:lang w:val="ro-RO"/>
              </w:rPr>
            </w:pPr>
            <w:r w:rsidRPr="009C5F11">
              <w:rPr>
                <w:rFonts w:ascii="Times New Roman" w:hAnsi="Times New Roman" w:cs="Times New Roman"/>
                <w:b/>
                <w:i/>
                <w:sz w:val="20"/>
                <w:szCs w:val="16"/>
                <w:lang w:val="ro-RO"/>
              </w:rPr>
              <w:t>E</w:t>
            </w:r>
            <w:r w:rsidR="001E3482" w:rsidRPr="009C5F11">
              <w:rPr>
                <w:rFonts w:ascii="Times New Roman" w:hAnsi="Times New Roman" w:cs="Times New Roman"/>
                <w:b/>
                <w:i/>
                <w:sz w:val="20"/>
                <w:szCs w:val="16"/>
                <w:lang w:val="ro-RO"/>
              </w:rPr>
              <w:t>nergie</w:t>
            </w:r>
            <w:r w:rsidRPr="009C5F11">
              <w:rPr>
                <w:rFonts w:ascii="Times New Roman" w:hAnsi="Times New Roman" w:cs="Times New Roman"/>
                <w:b/>
                <w:i/>
                <w:sz w:val="20"/>
                <w:szCs w:val="16"/>
                <w:lang w:val="ro-RO"/>
              </w:rPr>
              <w:t xml:space="preserve"> primară</w:t>
            </w:r>
          </w:p>
        </w:tc>
        <w:tc>
          <w:tcPr>
            <w:tcW w:w="6434" w:type="dxa"/>
            <w:gridSpan w:val="3"/>
            <w:shd w:val="clear" w:color="auto" w:fill="000080"/>
          </w:tcPr>
          <w:p w14:paraId="09BB5517" w14:textId="77777777" w:rsidR="007F4A42" w:rsidRPr="009C5F11" w:rsidRDefault="0040097D" w:rsidP="0040097D">
            <w:pPr>
              <w:spacing w:before="100" w:beforeAutospacing="1" w:after="0" w:line="240" w:lineRule="auto"/>
              <w:jc w:val="center"/>
              <w:rPr>
                <w:rFonts w:ascii="Times New Roman" w:hAnsi="Times New Roman" w:cs="Times New Roman"/>
                <w:b/>
                <w:i/>
                <w:sz w:val="20"/>
                <w:szCs w:val="16"/>
                <w:lang w:val="ro-RO"/>
              </w:rPr>
            </w:pPr>
            <w:r w:rsidRPr="009C5F11">
              <w:rPr>
                <w:rFonts w:ascii="Times New Roman" w:hAnsi="Times New Roman" w:cs="Times New Roman"/>
                <w:b/>
                <w:i/>
                <w:sz w:val="20"/>
                <w:szCs w:val="16"/>
                <w:lang w:val="ro-RO"/>
              </w:rPr>
              <w:t>E</w:t>
            </w:r>
            <w:r w:rsidR="001E3482" w:rsidRPr="009C5F11">
              <w:rPr>
                <w:rFonts w:ascii="Times New Roman" w:hAnsi="Times New Roman" w:cs="Times New Roman"/>
                <w:b/>
                <w:i/>
                <w:sz w:val="20"/>
                <w:szCs w:val="16"/>
                <w:lang w:val="ro-RO"/>
              </w:rPr>
              <w:t>nergie</w:t>
            </w:r>
            <w:r w:rsidRPr="009C5F11">
              <w:rPr>
                <w:rFonts w:ascii="Times New Roman" w:hAnsi="Times New Roman" w:cs="Times New Roman"/>
                <w:b/>
                <w:i/>
                <w:sz w:val="20"/>
                <w:szCs w:val="16"/>
                <w:lang w:val="ro-RO"/>
              </w:rPr>
              <w:t xml:space="preserve"> finală</w:t>
            </w:r>
          </w:p>
        </w:tc>
      </w:tr>
      <w:tr w:rsidR="007F4A42" w:rsidRPr="009C5F11" w14:paraId="4E3C0CB6" w14:textId="77777777" w:rsidTr="00802F1D">
        <w:tc>
          <w:tcPr>
            <w:tcW w:w="627" w:type="dxa"/>
            <w:vMerge/>
            <w:shd w:val="clear" w:color="auto" w:fill="000080"/>
          </w:tcPr>
          <w:p w14:paraId="342236BF" w14:textId="77777777" w:rsidR="007F4A42" w:rsidRPr="009C5F11" w:rsidRDefault="007F4A42" w:rsidP="00430626">
            <w:pPr>
              <w:spacing w:before="100" w:beforeAutospacing="1" w:after="0" w:line="240" w:lineRule="auto"/>
              <w:jc w:val="both"/>
              <w:rPr>
                <w:rFonts w:ascii="Times New Roman" w:hAnsi="Times New Roman" w:cs="Times New Roman"/>
                <w:i/>
                <w:sz w:val="20"/>
                <w:szCs w:val="16"/>
                <w:lang w:val="ro-RO"/>
              </w:rPr>
            </w:pPr>
          </w:p>
        </w:tc>
        <w:tc>
          <w:tcPr>
            <w:tcW w:w="2175" w:type="dxa"/>
            <w:gridSpan w:val="2"/>
            <w:vMerge/>
            <w:shd w:val="clear" w:color="auto" w:fill="000080"/>
          </w:tcPr>
          <w:p w14:paraId="1F9B1C06" w14:textId="77777777" w:rsidR="007F4A42" w:rsidRPr="009C5F11" w:rsidRDefault="007F4A42" w:rsidP="0040097D">
            <w:pPr>
              <w:spacing w:before="100" w:beforeAutospacing="1" w:after="0" w:line="240" w:lineRule="auto"/>
              <w:jc w:val="center"/>
              <w:rPr>
                <w:rFonts w:ascii="Times New Roman" w:hAnsi="Times New Roman" w:cs="Times New Roman"/>
                <w:b/>
                <w:i/>
                <w:sz w:val="20"/>
                <w:szCs w:val="16"/>
                <w:lang w:val="ro-RO"/>
              </w:rPr>
            </w:pPr>
          </w:p>
        </w:tc>
        <w:tc>
          <w:tcPr>
            <w:tcW w:w="4536" w:type="dxa"/>
            <w:gridSpan w:val="2"/>
            <w:shd w:val="clear" w:color="auto" w:fill="000080"/>
          </w:tcPr>
          <w:p w14:paraId="1C8ED578" w14:textId="77777777" w:rsidR="007F4A42" w:rsidRPr="009C5F11" w:rsidRDefault="00871B4E" w:rsidP="0040097D">
            <w:pPr>
              <w:spacing w:before="100" w:beforeAutospacing="1" w:after="0" w:line="240" w:lineRule="auto"/>
              <w:jc w:val="center"/>
              <w:rPr>
                <w:rFonts w:ascii="Times New Roman" w:hAnsi="Times New Roman" w:cs="Times New Roman"/>
                <w:b/>
                <w:i/>
                <w:sz w:val="20"/>
                <w:szCs w:val="16"/>
                <w:lang w:val="ro-RO"/>
              </w:rPr>
            </w:pPr>
            <w:r w:rsidRPr="009C5F11">
              <w:rPr>
                <w:rFonts w:ascii="Times New Roman" w:hAnsi="Times New Roman" w:cs="Times New Roman"/>
                <w:b/>
                <w:i/>
                <w:sz w:val="20"/>
                <w:szCs w:val="16"/>
                <w:lang w:val="ro-RO"/>
              </w:rPr>
              <w:t>DSE</w:t>
            </w:r>
          </w:p>
        </w:tc>
        <w:tc>
          <w:tcPr>
            <w:tcW w:w="1898" w:type="dxa"/>
            <w:shd w:val="clear" w:color="auto" w:fill="000080"/>
          </w:tcPr>
          <w:p w14:paraId="2EA0146B" w14:textId="77777777" w:rsidR="007F4A42" w:rsidRPr="009C5F11" w:rsidRDefault="00D160E1" w:rsidP="0040097D">
            <w:pPr>
              <w:spacing w:before="100" w:beforeAutospacing="1" w:after="0" w:line="240" w:lineRule="auto"/>
              <w:jc w:val="center"/>
              <w:rPr>
                <w:rFonts w:ascii="Times New Roman" w:hAnsi="Times New Roman" w:cs="Times New Roman"/>
                <w:b/>
                <w:i/>
                <w:sz w:val="20"/>
                <w:szCs w:val="16"/>
                <w:lang w:val="ro-RO"/>
              </w:rPr>
            </w:pPr>
            <w:r w:rsidRPr="009C5F11">
              <w:rPr>
                <w:rFonts w:ascii="Times New Roman" w:hAnsi="Times New Roman" w:cs="Times New Roman"/>
                <w:b/>
                <w:i/>
                <w:sz w:val="20"/>
                <w:szCs w:val="16"/>
                <w:lang w:val="ro-RO"/>
              </w:rPr>
              <w:t>DPEC</w:t>
            </w:r>
          </w:p>
        </w:tc>
      </w:tr>
      <w:tr w:rsidR="007F4A42" w:rsidRPr="009C5F11" w14:paraId="24D6AEA1" w14:textId="77777777" w:rsidTr="00802F1D">
        <w:tc>
          <w:tcPr>
            <w:tcW w:w="627" w:type="dxa"/>
            <w:shd w:val="clear" w:color="auto" w:fill="99CCFF"/>
          </w:tcPr>
          <w:p w14:paraId="70C072AA" w14:textId="77777777" w:rsidR="002733CB" w:rsidRPr="009C5F11" w:rsidRDefault="002733CB" w:rsidP="00430626">
            <w:pPr>
              <w:spacing w:after="0" w:line="240" w:lineRule="auto"/>
              <w:jc w:val="both"/>
              <w:rPr>
                <w:rFonts w:ascii="Times New Roman" w:hAnsi="Times New Roman" w:cs="Times New Roman"/>
                <w:i/>
                <w:sz w:val="20"/>
                <w:szCs w:val="16"/>
                <w:lang w:val="ro-RO"/>
              </w:rPr>
            </w:pPr>
          </w:p>
        </w:tc>
        <w:tc>
          <w:tcPr>
            <w:tcW w:w="896" w:type="dxa"/>
            <w:shd w:val="clear" w:color="auto" w:fill="99CCFF"/>
          </w:tcPr>
          <w:p w14:paraId="21FBC7B7" w14:textId="77777777" w:rsidR="002733CB" w:rsidRPr="009C5F11" w:rsidRDefault="007B15D6" w:rsidP="007B15D6">
            <w:pPr>
              <w:spacing w:after="0" w:line="24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Obiectiv</w:t>
            </w:r>
            <w:r w:rsidR="002733CB" w:rsidRPr="009C5F11">
              <w:rPr>
                <w:rFonts w:ascii="Times New Roman" w:hAnsi="Times New Roman" w:cs="Times New Roman"/>
                <w:i/>
                <w:sz w:val="20"/>
                <w:szCs w:val="16"/>
                <w:lang w:val="ro-RO"/>
              </w:rPr>
              <w:t xml:space="preserve"> (</w:t>
            </w:r>
            <w:r w:rsidRPr="009C5F11">
              <w:rPr>
                <w:rFonts w:ascii="Times New Roman" w:hAnsi="Times New Roman" w:cs="Times New Roman"/>
                <w:i/>
                <w:sz w:val="20"/>
                <w:szCs w:val="16"/>
                <w:lang w:val="ro-RO"/>
              </w:rPr>
              <w:t>în termeni</w:t>
            </w:r>
            <w:r w:rsidR="002733CB" w:rsidRPr="009C5F11">
              <w:rPr>
                <w:rFonts w:ascii="Times New Roman" w:hAnsi="Times New Roman" w:cs="Times New Roman"/>
                <w:i/>
                <w:sz w:val="20"/>
                <w:szCs w:val="16"/>
                <w:lang w:val="ro-RO"/>
              </w:rPr>
              <w:t xml:space="preserve"> absolu</w:t>
            </w:r>
            <w:r w:rsidRPr="009C5F11">
              <w:rPr>
                <w:rFonts w:ascii="Times New Roman" w:hAnsi="Times New Roman" w:cs="Times New Roman"/>
                <w:i/>
                <w:sz w:val="20"/>
                <w:szCs w:val="16"/>
                <w:lang w:val="ro-RO"/>
              </w:rPr>
              <w:t>ţi</w:t>
            </w:r>
            <w:r w:rsidR="002733CB" w:rsidRPr="009C5F11">
              <w:rPr>
                <w:rFonts w:ascii="Times New Roman" w:hAnsi="Times New Roman" w:cs="Times New Roman"/>
                <w:i/>
                <w:sz w:val="20"/>
                <w:szCs w:val="16"/>
                <w:lang w:val="ro-RO"/>
              </w:rPr>
              <w:t xml:space="preserve"> (</w:t>
            </w:r>
            <w:r w:rsidR="00E52940" w:rsidRPr="009C5F11">
              <w:rPr>
                <w:rFonts w:ascii="Times New Roman" w:hAnsi="Times New Roman" w:cs="Times New Roman"/>
                <w:i/>
                <w:sz w:val="20"/>
                <w:szCs w:val="16"/>
                <w:lang w:val="ro-RO"/>
              </w:rPr>
              <w:t>ktep</w:t>
            </w:r>
            <w:r w:rsidR="002733CB" w:rsidRPr="009C5F11">
              <w:rPr>
                <w:rFonts w:ascii="Times New Roman" w:hAnsi="Times New Roman" w:cs="Times New Roman"/>
                <w:i/>
                <w:sz w:val="20"/>
                <w:szCs w:val="16"/>
                <w:lang w:val="ro-RO"/>
              </w:rPr>
              <w:t>)</w:t>
            </w:r>
            <w:r w:rsidR="00E6463D" w:rsidRPr="009C5F11">
              <w:rPr>
                <w:rFonts w:ascii="Times New Roman" w:hAnsi="Times New Roman" w:cs="Times New Roman"/>
                <w:i/>
                <w:sz w:val="20"/>
                <w:szCs w:val="16"/>
                <w:lang w:val="ro-RO"/>
              </w:rPr>
              <w:t>)</w:t>
            </w:r>
          </w:p>
        </w:tc>
        <w:tc>
          <w:tcPr>
            <w:tcW w:w="1279" w:type="dxa"/>
            <w:shd w:val="clear" w:color="auto" w:fill="99CCFF"/>
          </w:tcPr>
          <w:p w14:paraId="532976F2" w14:textId="77777777" w:rsidR="002733CB" w:rsidRPr="009C5F11" w:rsidRDefault="007B15D6" w:rsidP="007B15D6">
            <w:pPr>
              <w:spacing w:after="0" w:line="24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E</w:t>
            </w:r>
            <w:r w:rsidR="004424A0" w:rsidRPr="009C5F11">
              <w:rPr>
                <w:rFonts w:ascii="Times New Roman" w:hAnsi="Times New Roman" w:cs="Times New Roman"/>
                <w:i/>
                <w:sz w:val="20"/>
                <w:szCs w:val="16"/>
                <w:lang w:val="ro-RO"/>
              </w:rPr>
              <w:t>conomii</w:t>
            </w:r>
            <w:r w:rsidRPr="009C5F11">
              <w:rPr>
                <w:rFonts w:ascii="Times New Roman" w:hAnsi="Times New Roman" w:cs="Times New Roman"/>
                <w:i/>
                <w:sz w:val="20"/>
                <w:szCs w:val="16"/>
                <w:lang w:val="ro-RO"/>
              </w:rPr>
              <w:t xml:space="preserve"> </w:t>
            </w:r>
            <w:r w:rsidR="004424A0" w:rsidRPr="009C5F11">
              <w:rPr>
                <w:rFonts w:ascii="Times New Roman" w:hAnsi="Times New Roman" w:cs="Times New Roman"/>
                <w:i/>
                <w:sz w:val="20"/>
                <w:szCs w:val="16"/>
                <w:lang w:val="ro-RO"/>
              </w:rPr>
              <w:t>de energie</w:t>
            </w:r>
            <w:r w:rsidRPr="009C5F11">
              <w:rPr>
                <w:rFonts w:ascii="Times New Roman" w:hAnsi="Times New Roman" w:cs="Times New Roman"/>
                <w:i/>
                <w:sz w:val="20"/>
                <w:szCs w:val="16"/>
                <w:lang w:val="ro-RO"/>
              </w:rPr>
              <w:t xml:space="preserve"> obţinute/prevăzute</w:t>
            </w:r>
            <w:r w:rsidR="00E6463D" w:rsidRPr="009C5F11">
              <w:rPr>
                <w:rFonts w:ascii="Times New Roman" w:hAnsi="Times New Roman" w:cs="Times New Roman"/>
                <w:i/>
                <w:sz w:val="20"/>
                <w:szCs w:val="16"/>
                <w:lang w:val="ro-RO"/>
              </w:rPr>
              <w:t xml:space="preserve"> (</w:t>
            </w:r>
            <w:r w:rsidR="00E52940" w:rsidRPr="009C5F11">
              <w:rPr>
                <w:rFonts w:ascii="Times New Roman" w:hAnsi="Times New Roman" w:cs="Times New Roman"/>
                <w:i/>
                <w:sz w:val="20"/>
                <w:szCs w:val="16"/>
                <w:lang w:val="ro-RO"/>
              </w:rPr>
              <w:t>ktep</w:t>
            </w:r>
            <w:r w:rsidR="002733CB" w:rsidRPr="009C5F11">
              <w:rPr>
                <w:rFonts w:ascii="Times New Roman" w:hAnsi="Times New Roman" w:cs="Times New Roman"/>
                <w:i/>
                <w:sz w:val="20"/>
                <w:szCs w:val="16"/>
                <w:lang w:val="ro-RO"/>
              </w:rPr>
              <w:t>)</w:t>
            </w:r>
          </w:p>
        </w:tc>
        <w:tc>
          <w:tcPr>
            <w:tcW w:w="2409" w:type="dxa"/>
            <w:shd w:val="clear" w:color="auto" w:fill="99CCFF"/>
          </w:tcPr>
          <w:p w14:paraId="78C4F5FB" w14:textId="77777777" w:rsidR="002733CB" w:rsidRPr="009C5F11" w:rsidRDefault="007B15D6"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Obiectiv în materie de </w:t>
            </w:r>
            <w:r w:rsidR="004424A0" w:rsidRPr="009C5F11">
              <w:rPr>
                <w:rFonts w:ascii="Times New Roman" w:hAnsi="Times New Roman" w:cs="Times New Roman"/>
                <w:i/>
                <w:sz w:val="20"/>
                <w:szCs w:val="16"/>
                <w:lang w:val="ro-RO"/>
              </w:rPr>
              <w:t>economii de energie</w:t>
            </w:r>
            <w:r w:rsidR="002733CB" w:rsidRPr="009C5F11">
              <w:rPr>
                <w:rFonts w:ascii="Times New Roman" w:hAnsi="Times New Roman" w:cs="Times New Roman"/>
                <w:i/>
                <w:sz w:val="20"/>
                <w:szCs w:val="16"/>
                <w:lang w:val="ro-RO"/>
              </w:rPr>
              <w:t xml:space="preserve"> </w:t>
            </w:r>
            <w:r w:rsidRPr="009C5F11">
              <w:rPr>
                <w:rFonts w:ascii="Times New Roman" w:hAnsi="Times New Roman" w:cs="Times New Roman"/>
                <w:i/>
                <w:sz w:val="20"/>
                <w:szCs w:val="16"/>
                <w:lang w:val="ro-RO"/>
              </w:rPr>
              <w:t xml:space="preserve">finală stabilit în primul/al doilea </w:t>
            </w:r>
            <w:r w:rsidR="00872DC2" w:rsidRPr="009C5F11">
              <w:rPr>
                <w:rFonts w:ascii="Times New Roman" w:hAnsi="Times New Roman" w:cs="Times New Roman"/>
                <w:i/>
                <w:sz w:val="20"/>
                <w:szCs w:val="16"/>
                <w:lang w:val="ro-RO"/>
              </w:rPr>
              <w:t>PNAEE</w:t>
            </w:r>
            <w:r w:rsidR="00321CD5" w:rsidRPr="009C5F11">
              <w:rPr>
                <w:rFonts w:ascii="Times New Roman" w:hAnsi="Times New Roman" w:cs="Times New Roman"/>
                <w:i/>
                <w:sz w:val="20"/>
                <w:szCs w:val="16"/>
                <w:lang w:val="ro-RO"/>
              </w:rPr>
              <w:t xml:space="preserve"> sau </w:t>
            </w:r>
            <w:r w:rsidRPr="009C5F11">
              <w:rPr>
                <w:rFonts w:ascii="Times New Roman" w:hAnsi="Times New Roman" w:cs="Times New Roman"/>
                <w:i/>
                <w:sz w:val="20"/>
                <w:szCs w:val="16"/>
                <w:u w:val="single"/>
                <w:lang w:val="ro-RO"/>
              </w:rPr>
              <w:t>în cea mai recentă versiune dacă a fost revizuit</w:t>
            </w:r>
            <w:r w:rsidR="002733CB" w:rsidRPr="009C5F11">
              <w:rPr>
                <w:rFonts w:ascii="Times New Roman" w:hAnsi="Times New Roman" w:cs="Times New Roman"/>
                <w:i/>
                <w:sz w:val="20"/>
                <w:szCs w:val="16"/>
                <w:lang w:val="ro-RO"/>
              </w:rPr>
              <w:t xml:space="preserve"> (</w:t>
            </w:r>
            <w:r w:rsidRPr="009C5F11">
              <w:rPr>
                <w:rFonts w:ascii="Times New Roman" w:hAnsi="Times New Roman" w:cs="Times New Roman"/>
                <w:i/>
                <w:sz w:val="20"/>
                <w:szCs w:val="16"/>
                <w:lang w:val="ro-RO"/>
              </w:rPr>
              <w:t>în termeni absoluţi</w:t>
            </w:r>
            <w:r w:rsidR="002733CB" w:rsidRPr="009C5F11">
              <w:rPr>
                <w:rFonts w:ascii="Times New Roman" w:hAnsi="Times New Roman" w:cs="Times New Roman"/>
                <w:i/>
                <w:sz w:val="20"/>
                <w:szCs w:val="16"/>
                <w:lang w:val="ro-RO"/>
              </w:rPr>
              <w:t xml:space="preserve"> (</w:t>
            </w:r>
            <w:r w:rsidR="00E52940" w:rsidRPr="009C5F11">
              <w:rPr>
                <w:rFonts w:ascii="Times New Roman" w:hAnsi="Times New Roman" w:cs="Times New Roman"/>
                <w:i/>
                <w:sz w:val="20"/>
                <w:szCs w:val="16"/>
                <w:lang w:val="ro-RO"/>
              </w:rPr>
              <w:t>ktep</w:t>
            </w:r>
            <w:r w:rsidR="002733CB" w:rsidRPr="009C5F11">
              <w:rPr>
                <w:rFonts w:ascii="Times New Roman" w:hAnsi="Times New Roman" w:cs="Times New Roman"/>
                <w:i/>
                <w:sz w:val="20"/>
                <w:szCs w:val="16"/>
                <w:lang w:val="ro-RO"/>
              </w:rPr>
              <w:t>))</w:t>
            </w:r>
          </w:p>
        </w:tc>
        <w:tc>
          <w:tcPr>
            <w:tcW w:w="2127" w:type="dxa"/>
            <w:shd w:val="clear" w:color="auto" w:fill="99CCFF"/>
          </w:tcPr>
          <w:p w14:paraId="371D96BE" w14:textId="77777777" w:rsidR="002733CB" w:rsidRPr="009C5F11" w:rsidRDefault="007B15D6"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Economii de energie finală obţinute</w:t>
            </w:r>
            <w:r w:rsidR="002733CB" w:rsidRPr="009C5F11">
              <w:rPr>
                <w:rFonts w:ascii="Times New Roman" w:hAnsi="Times New Roman" w:cs="Times New Roman"/>
                <w:i/>
                <w:sz w:val="20"/>
                <w:szCs w:val="16"/>
                <w:lang w:val="ro-RO"/>
              </w:rPr>
              <w:t xml:space="preserve"> (</w:t>
            </w:r>
            <w:r w:rsidRPr="009C5F11">
              <w:rPr>
                <w:rFonts w:ascii="Times New Roman" w:hAnsi="Times New Roman" w:cs="Times New Roman"/>
                <w:i/>
                <w:sz w:val="20"/>
                <w:szCs w:val="16"/>
                <w:lang w:val="ro-RO"/>
              </w:rPr>
              <w:t>în</w:t>
            </w:r>
            <w:r w:rsidR="002733CB" w:rsidRPr="009C5F11">
              <w:rPr>
                <w:rFonts w:ascii="Times New Roman" w:hAnsi="Times New Roman" w:cs="Times New Roman"/>
                <w:i/>
                <w:sz w:val="20"/>
                <w:szCs w:val="16"/>
                <w:lang w:val="ro-RO"/>
              </w:rPr>
              <w:t xml:space="preserve"> 2016)</w:t>
            </w:r>
            <w:r w:rsidR="00321CD5" w:rsidRPr="009C5F11">
              <w:rPr>
                <w:rFonts w:ascii="Times New Roman" w:hAnsi="Times New Roman" w:cs="Times New Roman"/>
                <w:i/>
                <w:sz w:val="20"/>
                <w:szCs w:val="16"/>
                <w:lang w:val="ro-RO"/>
              </w:rPr>
              <w:t xml:space="preserve"> sau </w:t>
            </w:r>
            <w:r w:rsidR="00421FA7" w:rsidRPr="009C5F11">
              <w:rPr>
                <w:rFonts w:ascii="Times New Roman" w:hAnsi="Times New Roman" w:cs="Times New Roman"/>
                <w:i/>
                <w:sz w:val="20"/>
                <w:szCs w:val="16"/>
                <w:u w:val="single"/>
                <w:lang w:val="ro-RO"/>
              </w:rPr>
              <w:t>pr</w:t>
            </w:r>
            <w:r w:rsidRPr="009C5F11">
              <w:rPr>
                <w:rFonts w:ascii="Times New Roman" w:hAnsi="Times New Roman" w:cs="Times New Roman"/>
                <w:i/>
                <w:sz w:val="20"/>
                <w:szCs w:val="16"/>
                <w:u w:val="single"/>
                <w:lang w:val="ro-RO"/>
              </w:rPr>
              <w:t>evăzute</w:t>
            </w:r>
            <w:r w:rsidR="002733CB" w:rsidRPr="009C5F11">
              <w:rPr>
                <w:rFonts w:ascii="Times New Roman" w:hAnsi="Times New Roman" w:cs="Times New Roman"/>
                <w:i/>
                <w:sz w:val="20"/>
                <w:szCs w:val="16"/>
                <w:u w:val="single"/>
                <w:lang w:val="ro-RO"/>
              </w:rPr>
              <w:t xml:space="preserve"> (</w:t>
            </w:r>
            <w:r w:rsidRPr="009C5F11">
              <w:rPr>
                <w:rFonts w:ascii="Times New Roman" w:hAnsi="Times New Roman" w:cs="Times New Roman"/>
                <w:i/>
                <w:sz w:val="20"/>
                <w:szCs w:val="16"/>
                <w:u w:val="single"/>
                <w:lang w:val="ro-RO"/>
              </w:rPr>
              <w:t>în</w:t>
            </w:r>
            <w:r w:rsidR="002733CB" w:rsidRPr="009C5F11">
              <w:rPr>
                <w:rFonts w:ascii="Times New Roman" w:hAnsi="Times New Roman" w:cs="Times New Roman"/>
                <w:i/>
                <w:sz w:val="20"/>
                <w:szCs w:val="16"/>
                <w:u w:val="single"/>
                <w:lang w:val="ro-RO"/>
              </w:rPr>
              <w:t xml:space="preserve"> 2020)</w:t>
            </w:r>
            <w:r w:rsidR="002733CB" w:rsidRPr="009C5F11">
              <w:rPr>
                <w:rFonts w:ascii="Times New Roman" w:hAnsi="Times New Roman" w:cs="Times New Roman"/>
                <w:i/>
                <w:sz w:val="20"/>
                <w:szCs w:val="16"/>
                <w:lang w:val="ro-RO"/>
              </w:rPr>
              <w:t xml:space="preserve"> (</w:t>
            </w:r>
            <w:r w:rsidRPr="009C5F11">
              <w:rPr>
                <w:rFonts w:ascii="Times New Roman" w:hAnsi="Times New Roman" w:cs="Times New Roman"/>
                <w:i/>
                <w:sz w:val="20"/>
                <w:szCs w:val="16"/>
                <w:lang w:val="ro-RO"/>
              </w:rPr>
              <w:t xml:space="preserve">în termeni absoluţi </w:t>
            </w:r>
            <w:r w:rsidR="002733CB" w:rsidRPr="009C5F11">
              <w:rPr>
                <w:rFonts w:ascii="Times New Roman" w:hAnsi="Times New Roman" w:cs="Times New Roman"/>
                <w:i/>
                <w:sz w:val="20"/>
                <w:szCs w:val="16"/>
                <w:lang w:val="ro-RO"/>
              </w:rPr>
              <w:t>(</w:t>
            </w:r>
            <w:r w:rsidR="00E52940" w:rsidRPr="009C5F11">
              <w:rPr>
                <w:rFonts w:ascii="Times New Roman" w:hAnsi="Times New Roman" w:cs="Times New Roman"/>
                <w:i/>
                <w:sz w:val="20"/>
                <w:szCs w:val="16"/>
                <w:lang w:val="ro-RO"/>
              </w:rPr>
              <w:t>ktep</w:t>
            </w:r>
            <w:r w:rsidR="00E6463D" w:rsidRPr="009C5F11">
              <w:rPr>
                <w:rFonts w:ascii="Times New Roman" w:hAnsi="Times New Roman" w:cs="Times New Roman"/>
                <w:i/>
                <w:sz w:val="20"/>
                <w:szCs w:val="16"/>
                <w:lang w:val="ro-RO"/>
              </w:rPr>
              <w:t>))</w:t>
            </w:r>
          </w:p>
        </w:tc>
        <w:tc>
          <w:tcPr>
            <w:tcW w:w="1898" w:type="dxa"/>
            <w:shd w:val="clear" w:color="auto" w:fill="99CCFF"/>
          </w:tcPr>
          <w:p w14:paraId="052CDAE8" w14:textId="77777777" w:rsidR="002733CB" w:rsidRPr="009C5F11" w:rsidRDefault="007B15D6"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Obiectiv pentru </w:t>
            </w:r>
            <w:r w:rsidR="00D110BA" w:rsidRPr="009C5F11">
              <w:rPr>
                <w:rFonts w:ascii="Times New Roman" w:hAnsi="Times New Roman" w:cs="Times New Roman"/>
                <w:i/>
                <w:sz w:val="20"/>
                <w:szCs w:val="16"/>
                <w:lang w:val="ro-RO"/>
              </w:rPr>
              <w:t>construcţiile</w:t>
            </w:r>
            <w:r w:rsidRPr="009C5F11">
              <w:rPr>
                <w:rFonts w:ascii="Times New Roman" w:hAnsi="Times New Roman" w:cs="Times New Roman"/>
                <w:i/>
                <w:sz w:val="20"/>
                <w:szCs w:val="16"/>
                <w:lang w:val="ro-RO"/>
              </w:rPr>
              <w:t xml:space="preserve"> al căror consum de energie este aproape egal cu zero </w:t>
            </w:r>
            <w:r w:rsidR="002733CB" w:rsidRPr="009C5F11">
              <w:rPr>
                <w:rFonts w:ascii="Times New Roman" w:hAnsi="Times New Roman" w:cs="Times New Roman"/>
                <w:i/>
                <w:sz w:val="20"/>
                <w:szCs w:val="16"/>
                <w:lang w:val="ro-RO"/>
              </w:rPr>
              <w:t>(</w:t>
            </w:r>
            <w:r w:rsidRPr="009C5F11">
              <w:rPr>
                <w:rFonts w:ascii="Times New Roman" w:hAnsi="Times New Roman" w:cs="Times New Roman"/>
                <w:i/>
                <w:sz w:val="20"/>
                <w:szCs w:val="16"/>
                <w:lang w:val="ro-RO"/>
              </w:rPr>
              <w:t>Toate clădirile noi</w:t>
            </w:r>
            <w:r w:rsidR="006E268B" w:rsidRPr="009C5F11">
              <w:rPr>
                <w:rFonts w:ascii="Times New Roman" w:hAnsi="Times New Roman" w:cs="Times New Roman"/>
                <w:i/>
                <w:sz w:val="20"/>
                <w:szCs w:val="16"/>
                <w:lang w:val="ro-RO"/>
              </w:rPr>
              <w:t xml:space="preserve">, </w:t>
            </w:r>
            <w:r w:rsidR="002733CB" w:rsidRPr="009C5F11">
              <w:rPr>
                <w:rFonts w:ascii="Times New Roman" w:hAnsi="Times New Roman" w:cs="Times New Roman"/>
                <w:i/>
                <w:sz w:val="20"/>
                <w:szCs w:val="16"/>
                <w:lang w:val="ro-RO"/>
              </w:rPr>
              <w:t>%</w:t>
            </w:r>
            <w:r w:rsidR="00321CD5" w:rsidRPr="009C5F11">
              <w:rPr>
                <w:rFonts w:ascii="Times New Roman" w:hAnsi="Times New Roman" w:cs="Times New Roman"/>
                <w:i/>
                <w:sz w:val="20"/>
                <w:szCs w:val="16"/>
                <w:lang w:val="ro-RO"/>
              </w:rPr>
              <w:t xml:space="preserve"> sau </w:t>
            </w:r>
            <w:r w:rsidRPr="009C5F11">
              <w:rPr>
                <w:rFonts w:ascii="Times New Roman" w:hAnsi="Times New Roman" w:cs="Times New Roman"/>
                <w:i/>
                <w:sz w:val="20"/>
                <w:szCs w:val="16"/>
                <w:lang w:val="ro-RO"/>
              </w:rPr>
              <w:t>înăsprirea cerinţelor de performanţă energetică</w:t>
            </w:r>
            <w:r w:rsidR="002733CB" w:rsidRPr="009C5F11">
              <w:rPr>
                <w:rFonts w:ascii="Times New Roman" w:hAnsi="Times New Roman" w:cs="Times New Roman"/>
                <w:i/>
                <w:sz w:val="20"/>
                <w:szCs w:val="16"/>
                <w:lang w:val="ro-RO"/>
              </w:rPr>
              <w:t>)</w:t>
            </w:r>
          </w:p>
        </w:tc>
      </w:tr>
      <w:tr w:rsidR="007F4A42" w:rsidRPr="009C5F11" w14:paraId="1FE9E053" w14:textId="77777777" w:rsidTr="00802F1D">
        <w:tc>
          <w:tcPr>
            <w:tcW w:w="627" w:type="dxa"/>
            <w:shd w:val="clear" w:color="auto" w:fill="D3E6FE"/>
            <w:vAlign w:val="center"/>
          </w:tcPr>
          <w:p w14:paraId="5AF620BE" w14:textId="77777777" w:rsidR="002733CB" w:rsidRPr="009C5F11" w:rsidRDefault="002733CB" w:rsidP="00430626">
            <w:pPr>
              <w:spacing w:before="100" w:beforeAutospacing="1" w:after="0" w:line="240" w:lineRule="auto"/>
              <w:jc w:val="both"/>
              <w:rPr>
                <w:rFonts w:ascii="Times New Roman" w:hAnsi="Times New Roman" w:cs="Times New Roman"/>
                <w:sz w:val="20"/>
                <w:szCs w:val="16"/>
                <w:lang w:val="ro-RO"/>
              </w:rPr>
            </w:pPr>
            <w:bookmarkStart w:id="86" w:name="_Hlk257125748"/>
            <w:r w:rsidRPr="009C5F11">
              <w:rPr>
                <w:rFonts w:ascii="Times New Roman" w:hAnsi="Times New Roman" w:cs="Times New Roman"/>
                <w:sz w:val="20"/>
                <w:szCs w:val="16"/>
                <w:lang w:val="ro-RO"/>
              </w:rPr>
              <w:t>2016</w:t>
            </w:r>
          </w:p>
        </w:tc>
        <w:tc>
          <w:tcPr>
            <w:tcW w:w="896" w:type="dxa"/>
            <w:shd w:val="clear" w:color="auto" w:fill="D3E6FE"/>
            <w:vAlign w:val="center"/>
          </w:tcPr>
          <w:p w14:paraId="2F52F317" w14:textId="77777777" w:rsidR="002733CB" w:rsidRPr="009C5F11" w:rsidRDefault="002733CB" w:rsidP="00430626">
            <w:pPr>
              <w:spacing w:before="100" w:beforeAutospacing="1" w:after="0" w:line="240" w:lineRule="auto"/>
              <w:jc w:val="both"/>
              <w:rPr>
                <w:rFonts w:ascii="Times New Roman" w:hAnsi="Times New Roman" w:cs="Times New Roman"/>
                <w:sz w:val="20"/>
                <w:szCs w:val="16"/>
                <w:lang w:val="ro-RO"/>
              </w:rPr>
            </w:pPr>
          </w:p>
        </w:tc>
        <w:tc>
          <w:tcPr>
            <w:tcW w:w="1279" w:type="dxa"/>
            <w:shd w:val="clear" w:color="auto" w:fill="D3E6FE"/>
            <w:vAlign w:val="center"/>
          </w:tcPr>
          <w:p w14:paraId="1C447992" w14:textId="77777777" w:rsidR="002733CB" w:rsidRPr="009C5F11" w:rsidRDefault="002733CB" w:rsidP="00430626">
            <w:pPr>
              <w:spacing w:before="100" w:beforeAutospacing="1" w:after="0" w:line="240" w:lineRule="auto"/>
              <w:jc w:val="both"/>
              <w:rPr>
                <w:rFonts w:ascii="Times New Roman" w:hAnsi="Times New Roman" w:cs="Times New Roman"/>
                <w:sz w:val="20"/>
                <w:szCs w:val="16"/>
                <w:lang w:val="ro-RO"/>
              </w:rPr>
            </w:pPr>
          </w:p>
        </w:tc>
        <w:tc>
          <w:tcPr>
            <w:tcW w:w="2409" w:type="dxa"/>
            <w:shd w:val="clear" w:color="auto" w:fill="D3E6FE"/>
            <w:vAlign w:val="center"/>
          </w:tcPr>
          <w:p w14:paraId="09F8A312" w14:textId="77777777" w:rsidR="002733CB" w:rsidRPr="009C5F11" w:rsidRDefault="00576324"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*92.9 </w:t>
            </w:r>
            <w:r w:rsidR="00E52940" w:rsidRPr="009C5F11">
              <w:rPr>
                <w:rFonts w:ascii="Times New Roman" w:hAnsi="Times New Roman" w:cs="Times New Roman"/>
                <w:sz w:val="20"/>
                <w:szCs w:val="16"/>
                <w:lang w:val="ro-RO"/>
              </w:rPr>
              <w:t>ktep</w:t>
            </w:r>
          </w:p>
        </w:tc>
        <w:tc>
          <w:tcPr>
            <w:tcW w:w="2127" w:type="dxa"/>
            <w:shd w:val="clear" w:color="auto" w:fill="D3E6FE"/>
            <w:vAlign w:val="center"/>
          </w:tcPr>
          <w:p w14:paraId="22949287" w14:textId="77777777" w:rsidR="002733CB" w:rsidRPr="009C5F11" w:rsidRDefault="002733CB" w:rsidP="00B40DB5">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30.00 </w:t>
            </w:r>
            <w:r w:rsidR="00E52940" w:rsidRPr="009C5F11">
              <w:rPr>
                <w:rFonts w:ascii="Times New Roman" w:hAnsi="Times New Roman" w:cs="Times New Roman"/>
                <w:sz w:val="20"/>
                <w:szCs w:val="16"/>
                <w:lang w:val="ro-RO"/>
              </w:rPr>
              <w:t>ktep</w:t>
            </w:r>
            <w:r w:rsidRPr="009C5F11">
              <w:rPr>
                <w:rFonts w:ascii="Times New Roman" w:hAnsi="Times New Roman" w:cs="Times New Roman"/>
                <w:sz w:val="20"/>
                <w:szCs w:val="16"/>
                <w:lang w:val="ro-RO"/>
              </w:rPr>
              <w:t xml:space="preserve"> – </w:t>
            </w:r>
            <w:r w:rsidR="007B15D6" w:rsidRPr="009C5F11">
              <w:rPr>
                <w:rFonts w:ascii="Times New Roman" w:hAnsi="Times New Roman" w:cs="Times New Roman"/>
                <w:sz w:val="20"/>
                <w:szCs w:val="16"/>
                <w:lang w:val="ro-RO"/>
              </w:rPr>
              <w:t xml:space="preserve">economii </w:t>
            </w:r>
            <w:r w:rsidRPr="009C5F11">
              <w:rPr>
                <w:rFonts w:ascii="Times New Roman" w:hAnsi="Times New Roman" w:cs="Times New Roman"/>
                <w:sz w:val="20"/>
                <w:szCs w:val="16"/>
                <w:lang w:val="ro-RO"/>
              </w:rPr>
              <w:t>real</w:t>
            </w:r>
            <w:r w:rsidR="007B15D6" w:rsidRPr="009C5F11">
              <w:rPr>
                <w:rFonts w:ascii="Times New Roman" w:hAnsi="Times New Roman" w:cs="Times New Roman"/>
                <w:sz w:val="20"/>
                <w:szCs w:val="16"/>
                <w:lang w:val="ro-RO"/>
              </w:rPr>
              <w:t>e</w:t>
            </w:r>
            <w:r w:rsidRPr="009C5F11">
              <w:rPr>
                <w:rFonts w:ascii="Times New Roman" w:hAnsi="Times New Roman" w:cs="Times New Roman"/>
                <w:sz w:val="20"/>
                <w:szCs w:val="16"/>
                <w:lang w:val="ro-RO"/>
              </w:rPr>
              <w:t xml:space="preserve"> BU </w:t>
            </w:r>
            <w:r w:rsidR="007B15D6" w:rsidRPr="009C5F11">
              <w:rPr>
                <w:rFonts w:ascii="Times New Roman" w:hAnsi="Times New Roman" w:cs="Times New Roman"/>
                <w:sz w:val="20"/>
                <w:szCs w:val="16"/>
                <w:lang w:val="ro-RO"/>
              </w:rPr>
              <w:t xml:space="preserve">din rapoartele proiectelor </w:t>
            </w:r>
            <w:r w:rsidR="00321CD5" w:rsidRPr="009C5F11">
              <w:rPr>
                <w:rFonts w:ascii="Times New Roman" w:hAnsi="Times New Roman" w:cs="Times New Roman"/>
                <w:sz w:val="20"/>
                <w:szCs w:val="16"/>
                <w:lang w:val="ro-RO"/>
              </w:rPr>
              <w:t>şi</w:t>
            </w:r>
            <w:r w:rsidR="007B15D6" w:rsidRPr="009C5F11">
              <w:rPr>
                <w:rFonts w:ascii="Times New Roman" w:hAnsi="Times New Roman" w:cs="Times New Roman"/>
                <w:sz w:val="20"/>
                <w:szCs w:val="16"/>
                <w:lang w:val="ro-RO"/>
              </w:rPr>
              <w:t xml:space="preserve"> sursele deschise de informaţii.</w:t>
            </w:r>
          </w:p>
        </w:tc>
        <w:tc>
          <w:tcPr>
            <w:tcW w:w="1898" w:type="dxa"/>
            <w:shd w:val="clear" w:color="auto" w:fill="D3E6FE"/>
            <w:vAlign w:val="center"/>
          </w:tcPr>
          <w:p w14:paraId="38C6063B" w14:textId="77777777" w:rsidR="002733CB" w:rsidRPr="009C5F11" w:rsidRDefault="002733CB" w:rsidP="00430626">
            <w:pPr>
              <w:spacing w:before="100" w:beforeAutospacing="1"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r>
      <w:tr w:rsidR="007F4A42" w:rsidRPr="009C5F11" w14:paraId="42EDD09E" w14:textId="77777777" w:rsidTr="00802F1D">
        <w:tc>
          <w:tcPr>
            <w:tcW w:w="627" w:type="dxa"/>
            <w:shd w:val="clear" w:color="auto" w:fill="D3E6FF"/>
            <w:vAlign w:val="center"/>
          </w:tcPr>
          <w:p w14:paraId="6A4F904A"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2020</w:t>
            </w:r>
          </w:p>
        </w:tc>
        <w:tc>
          <w:tcPr>
            <w:tcW w:w="896" w:type="dxa"/>
            <w:shd w:val="clear" w:color="auto" w:fill="D3E6FF"/>
            <w:vAlign w:val="center"/>
          </w:tcPr>
          <w:p w14:paraId="095F534F" w14:textId="77777777" w:rsidR="002733CB" w:rsidRPr="009C5F11" w:rsidRDefault="002733CB">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*219.6</w:t>
            </w:r>
          </w:p>
        </w:tc>
        <w:tc>
          <w:tcPr>
            <w:tcW w:w="1279" w:type="dxa"/>
            <w:shd w:val="clear" w:color="auto" w:fill="D3E6FF"/>
            <w:vAlign w:val="center"/>
          </w:tcPr>
          <w:p w14:paraId="290BAACF" w14:textId="77777777" w:rsidR="002733CB" w:rsidRPr="009C5F11" w:rsidRDefault="002733CB">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w:t>
            </w:r>
            <w:r w:rsidR="002F45C7" w:rsidRPr="009C5F11">
              <w:rPr>
                <w:rFonts w:ascii="Times New Roman" w:hAnsi="Times New Roman" w:cs="Times New Roman"/>
                <w:sz w:val="20"/>
                <w:szCs w:val="16"/>
                <w:lang w:val="ro-RO"/>
              </w:rPr>
              <w:t>226.3</w:t>
            </w:r>
          </w:p>
        </w:tc>
        <w:tc>
          <w:tcPr>
            <w:tcW w:w="2409" w:type="dxa"/>
            <w:shd w:val="clear" w:color="auto" w:fill="D3E6FF"/>
            <w:vAlign w:val="center"/>
          </w:tcPr>
          <w:p w14:paraId="3FA48803" w14:textId="77777777" w:rsidR="002733CB" w:rsidRPr="009C5F11" w:rsidRDefault="002733CB" w:rsidP="00CA6A1B">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w:t>
            </w:r>
            <w:r w:rsidRPr="009C5F11">
              <w:rPr>
                <w:rFonts w:ascii="Times New Roman" w:hAnsi="Times New Roman" w:cs="Times New Roman"/>
                <w:b/>
                <w:sz w:val="20"/>
                <w:szCs w:val="16"/>
                <w:lang w:val="ro-RO"/>
              </w:rPr>
              <w:t xml:space="preserve">167.2 </w:t>
            </w:r>
            <w:r w:rsidR="00E52940" w:rsidRPr="009C5F11">
              <w:rPr>
                <w:rFonts w:ascii="Times New Roman" w:hAnsi="Times New Roman" w:cs="Times New Roman"/>
                <w:b/>
                <w:sz w:val="20"/>
                <w:szCs w:val="16"/>
                <w:lang w:val="ro-RO"/>
              </w:rPr>
              <w:t>ktep</w:t>
            </w:r>
          </w:p>
          <w:p w14:paraId="2602B980" w14:textId="77777777" w:rsidR="002733CB" w:rsidRPr="009C5F11" w:rsidRDefault="00BD7FA3" w:rsidP="00CA6A1B">
            <w:pPr>
              <w:spacing w:after="0" w:line="240" w:lineRule="auto"/>
              <w:rPr>
                <w:rFonts w:ascii="Times New Roman" w:hAnsi="Times New Roman" w:cs="Times New Roman"/>
                <w:sz w:val="20"/>
                <w:szCs w:val="16"/>
                <w:lang w:val="ro-RO"/>
              </w:rPr>
            </w:pPr>
            <w:r w:rsidRPr="009C5F11">
              <w:rPr>
                <w:rFonts w:ascii="Times New Roman" w:hAnsi="Times New Roman" w:cs="Times New Roman"/>
                <w:b/>
                <w:sz w:val="20"/>
                <w:szCs w:val="16"/>
                <w:lang w:val="ro-RO"/>
              </w:rPr>
              <w:t>**</w:t>
            </w:r>
            <w:r w:rsidR="002733CB" w:rsidRPr="009C5F11">
              <w:rPr>
                <w:rFonts w:ascii="Times New Roman" w:hAnsi="Times New Roman" w:cs="Times New Roman"/>
                <w:b/>
                <w:sz w:val="20"/>
                <w:szCs w:val="16"/>
                <w:lang w:val="ro-RO"/>
              </w:rPr>
              <w:t xml:space="preserve">29.7 </w:t>
            </w:r>
            <w:r w:rsidR="00E52940" w:rsidRPr="009C5F11">
              <w:rPr>
                <w:rFonts w:ascii="Times New Roman" w:hAnsi="Times New Roman" w:cs="Times New Roman"/>
                <w:b/>
                <w:sz w:val="20"/>
                <w:szCs w:val="16"/>
                <w:lang w:val="ro-RO"/>
              </w:rPr>
              <w:t>ktep</w:t>
            </w:r>
            <w:r w:rsidR="002733CB" w:rsidRPr="009C5F11">
              <w:rPr>
                <w:rFonts w:ascii="Times New Roman" w:hAnsi="Times New Roman" w:cs="Times New Roman"/>
                <w:sz w:val="20"/>
                <w:szCs w:val="16"/>
                <w:lang w:val="ro-RO"/>
              </w:rPr>
              <w:t xml:space="preserve"> </w:t>
            </w:r>
          </w:p>
        </w:tc>
        <w:tc>
          <w:tcPr>
            <w:tcW w:w="2127" w:type="dxa"/>
            <w:shd w:val="clear" w:color="auto" w:fill="D3E6FF"/>
            <w:vAlign w:val="center"/>
          </w:tcPr>
          <w:p w14:paraId="5193383E" w14:textId="77777777" w:rsidR="002733CB" w:rsidRPr="009C5F11" w:rsidRDefault="00587003" w:rsidP="00B40DB5">
            <w:pPr>
              <w:spacing w:after="0" w:line="240" w:lineRule="auto"/>
              <w:rPr>
                <w:rFonts w:ascii="Times New Roman" w:hAnsi="Times New Roman" w:cs="Times New Roman"/>
                <w:sz w:val="20"/>
                <w:szCs w:val="16"/>
                <w:lang w:val="ro-RO"/>
              </w:rPr>
            </w:pPr>
            <w:r w:rsidRPr="009C5F11">
              <w:rPr>
                <w:rFonts w:ascii="Times New Roman" w:hAnsi="Times New Roman" w:cs="Times New Roman"/>
                <w:b/>
                <w:sz w:val="20"/>
                <w:szCs w:val="16"/>
                <w:lang w:val="ro-RO"/>
              </w:rPr>
              <w:t>176.3</w:t>
            </w:r>
            <w:r w:rsidR="00E52940" w:rsidRPr="009C5F11">
              <w:rPr>
                <w:rFonts w:ascii="Times New Roman" w:hAnsi="Times New Roman" w:cs="Times New Roman"/>
                <w:b/>
                <w:sz w:val="20"/>
                <w:szCs w:val="16"/>
                <w:lang w:val="ro-RO"/>
              </w:rPr>
              <w:t>ktep</w:t>
            </w:r>
            <w:r w:rsidR="002733CB" w:rsidRPr="009C5F11">
              <w:rPr>
                <w:rFonts w:ascii="Times New Roman" w:hAnsi="Times New Roman" w:cs="Times New Roman"/>
                <w:sz w:val="20"/>
                <w:szCs w:val="16"/>
                <w:lang w:val="ro-RO"/>
              </w:rPr>
              <w:t xml:space="preserve"> – </w:t>
            </w:r>
            <w:r w:rsidR="002D206E" w:rsidRPr="009C5F11">
              <w:rPr>
                <w:rFonts w:ascii="Times New Roman" w:hAnsi="Times New Roman" w:cs="Times New Roman"/>
                <w:sz w:val="20"/>
                <w:szCs w:val="16"/>
                <w:lang w:val="ro-RO"/>
              </w:rPr>
              <w:t>economii de energie finală prevăzute pentru anul</w:t>
            </w:r>
            <w:r w:rsidR="002733CB" w:rsidRPr="009C5F11">
              <w:rPr>
                <w:rFonts w:ascii="Times New Roman" w:hAnsi="Times New Roman" w:cs="Times New Roman"/>
                <w:sz w:val="20"/>
                <w:szCs w:val="16"/>
                <w:lang w:val="ro-RO"/>
              </w:rPr>
              <w:t xml:space="preserve"> 2020</w:t>
            </w:r>
          </w:p>
        </w:tc>
        <w:tc>
          <w:tcPr>
            <w:tcW w:w="1898" w:type="dxa"/>
            <w:shd w:val="clear" w:color="auto" w:fill="D3E6FF"/>
            <w:vAlign w:val="center"/>
          </w:tcPr>
          <w:p w14:paraId="17E18D13"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r>
      <w:tr w:rsidR="007F4A42" w:rsidRPr="009C5F11" w14:paraId="6C099FD3" w14:textId="77777777" w:rsidTr="00802F1D">
        <w:tc>
          <w:tcPr>
            <w:tcW w:w="627" w:type="dxa"/>
            <w:shd w:val="clear" w:color="auto" w:fill="D3E6FF"/>
            <w:vAlign w:val="center"/>
          </w:tcPr>
          <w:p w14:paraId="38691883" w14:textId="77777777" w:rsidR="002733CB" w:rsidRPr="009C5F11" w:rsidRDefault="002733CB" w:rsidP="00430626">
            <w:pPr>
              <w:spacing w:before="100" w:beforeAutospacing="1"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2021</w:t>
            </w:r>
          </w:p>
        </w:tc>
        <w:tc>
          <w:tcPr>
            <w:tcW w:w="896" w:type="dxa"/>
            <w:shd w:val="clear" w:color="auto" w:fill="D3E6FF"/>
            <w:vAlign w:val="center"/>
          </w:tcPr>
          <w:p w14:paraId="32DE2EA2" w14:textId="77777777" w:rsidR="002733CB" w:rsidRPr="009C5F11" w:rsidRDefault="002733CB" w:rsidP="00430626">
            <w:pPr>
              <w:spacing w:before="100" w:beforeAutospacing="1" w:after="0" w:line="240" w:lineRule="auto"/>
              <w:jc w:val="both"/>
              <w:rPr>
                <w:rFonts w:ascii="Times New Roman" w:hAnsi="Times New Roman" w:cs="Times New Roman"/>
                <w:sz w:val="20"/>
                <w:szCs w:val="16"/>
                <w:lang w:val="ro-RO"/>
              </w:rPr>
            </w:pPr>
          </w:p>
        </w:tc>
        <w:tc>
          <w:tcPr>
            <w:tcW w:w="1279" w:type="dxa"/>
            <w:shd w:val="clear" w:color="auto" w:fill="D3E6FF"/>
            <w:vAlign w:val="center"/>
          </w:tcPr>
          <w:p w14:paraId="10AFDCEA" w14:textId="77777777" w:rsidR="002733CB" w:rsidRPr="009C5F11" w:rsidRDefault="002733CB" w:rsidP="00430626">
            <w:pPr>
              <w:spacing w:before="100" w:beforeAutospacing="1" w:after="0" w:line="240" w:lineRule="auto"/>
              <w:jc w:val="both"/>
              <w:rPr>
                <w:rFonts w:ascii="Times New Roman" w:hAnsi="Times New Roman" w:cs="Times New Roman"/>
                <w:sz w:val="20"/>
                <w:szCs w:val="16"/>
                <w:lang w:val="ro-RO"/>
              </w:rPr>
            </w:pPr>
          </w:p>
        </w:tc>
        <w:tc>
          <w:tcPr>
            <w:tcW w:w="2409" w:type="dxa"/>
            <w:shd w:val="clear" w:color="auto" w:fill="D3E6FF"/>
            <w:vAlign w:val="center"/>
          </w:tcPr>
          <w:p w14:paraId="45BAAB3D" w14:textId="77777777" w:rsidR="002733CB" w:rsidRPr="009C5F11" w:rsidRDefault="002733CB" w:rsidP="00430626">
            <w:pPr>
              <w:spacing w:before="100" w:beforeAutospacing="1" w:after="0" w:line="240" w:lineRule="auto"/>
              <w:jc w:val="both"/>
              <w:rPr>
                <w:rFonts w:ascii="Times New Roman" w:hAnsi="Times New Roman" w:cs="Times New Roman"/>
                <w:sz w:val="20"/>
                <w:szCs w:val="16"/>
                <w:lang w:val="ro-RO"/>
              </w:rPr>
            </w:pPr>
          </w:p>
        </w:tc>
        <w:tc>
          <w:tcPr>
            <w:tcW w:w="2127" w:type="dxa"/>
            <w:shd w:val="clear" w:color="auto" w:fill="D3E6FF"/>
            <w:vAlign w:val="center"/>
          </w:tcPr>
          <w:p w14:paraId="25481FC6" w14:textId="77777777" w:rsidR="002733CB" w:rsidRPr="009C5F11" w:rsidRDefault="002733CB" w:rsidP="00430626">
            <w:pPr>
              <w:spacing w:before="100" w:beforeAutospacing="1" w:after="0" w:line="240" w:lineRule="auto"/>
              <w:jc w:val="both"/>
              <w:rPr>
                <w:rFonts w:ascii="Times New Roman" w:hAnsi="Times New Roman" w:cs="Times New Roman"/>
                <w:sz w:val="20"/>
                <w:szCs w:val="16"/>
                <w:lang w:val="ro-RO"/>
              </w:rPr>
            </w:pPr>
          </w:p>
        </w:tc>
        <w:tc>
          <w:tcPr>
            <w:tcW w:w="1898" w:type="dxa"/>
            <w:shd w:val="clear" w:color="auto" w:fill="D3E6FF"/>
            <w:vAlign w:val="center"/>
          </w:tcPr>
          <w:p w14:paraId="5AF7B5E3" w14:textId="77777777" w:rsidR="002733CB" w:rsidRPr="009C5F11" w:rsidRDefault="002733CB" w:rsidP="00430626">
            <w:pPr>
              <w:spacing w:before="100" w:beforeAutospacing="1"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100%</w:t>
            </w:r>
          </w:p>
        </w:tc>
      </w:tr>
    </w:tbl>
    <w:bookmarkEnd w:id="86"/>
    <w:p w14:paraId="4845641A" w14:textId="77777777" w:rsidR="002733CB" w:rsidRPr="009C5F11" w:rsidRDefault="002733CB" w:rsidP="002733CB">
      <w:pPr>
        <w:spacing w:after="0" w:line="240" w:lineRule="auto"/>
        <w:jc w:val="both"/>
        <w:rPr>
          <w:rFonts w:ascii="Times New Roman" w:hAnsi="Times New Roman" w:cs="Times New Roman"/>
          <w:i/>
          <w:sz w:val="20"/>
          <w:szCs w:val="17"/>
          <w:lang w:val="ro-RO"/>
        </w:rPr>
      </w:pPr>
      <w:r w:rsidRPr="009C5F11">
        <w:rPr>
          <w:rFonts w:ascii="Times New Roman" w:hAnsi="Times New Roman" w:cs="Times New Roman"/>
          <w:i/>
          <w:sz w:val="20"/>
          <w:szCs w:val="17"/>
          <w:lang w:val="ro-RO"/>
        </w:rPr>
        <w:t xml:space="preserve">* </w:t>
      </w:r>
      <w:r w:rsidR="002D206E" w:rsidRPr="009C5F11">
        <w:rPr>
          <w:rFonts w:ascii="Times New Roman" w:hAnsi="Times New Roman" w:cs="Times New Roman"/>
          <w:i/>
          <w:sz w:val="20"/>
          <w:szCs w:val="17"/>
          <w:lang w:val="ro-RO"/>
        </w:rPr>
        <w:t>indică cerinţa minimă de raportare conform</w:t>
      </w:r>
      <w:r w:rsidRPr="009C5F11">
        <w:rPr>
          <w:rFonts w:ascii="Times New Roman" w:hAnsi="Times New Roman" w:cs="Times New Roman"/>
          <w:i/>
          <w:sz w:val="20"/>
          <w:szCs w:val="17"/>
          <w:lang w:val="ro-RO"/>
        </w:rPr>
        <w:t xml:space="preserve"> </w:t>
      </w:r>
      <w:r w:rsidR="00871B4E" w:rsidRPr="009C5F11">
        <w:rPr>
          <w:rFonts w:ascii="Times New Roman" w:hAnsi="Times New Roman" w:cs="Times New Roman"/>
          <w:i/>
          <w:sz w:val="20"/>
          <w:szCs w:val="17"/>
          <w:lang w:val="ro-RO"/>
        </w:rPr>
        <w:t>DSE</w:t>
      </w:r>
      <w:r w:rsidR="002D206E" w:rsidRPr="009C5F11">
        <w:rPr>
          <w:rFonts w:ascii="Times New Roman" w:hAnsi="Times New Roman" w:cs="Times New Roman"/>
          <w:i/>
          <w:sz w:val="20"/>
          <w:szCs w:val="17"/>
          <w:lang w:val="ro-RO"/>
        </w:rPr>
        <w:t>.</w:t>
      </w:r>
    </w:p>
    <w:p w14:paraId="291E1C6D" w14:textId="77777777" w:rsidR="002733CB" w:rsidRPr="009C5F11" w:rsidRDefault="002733CB" w:rsidP="002733CB">
      <w:pPr>
        <w:spacing w:after="0" w:line="240" w:lineRule="auto"/>
        <w:jc w:val="both"/>
        <w:rPr>
          <w:rFonts w:ascii="Times New Roman" w:hAnsi="Times New Roman" w:cs="Times New Roman"/>
          <w:i/>
          <w:sz w:val="20"/>
          <w:szCs w:val="17"/>
          <w:lang w:val="ro-RO"/>
        </w:rPr>
      </w:pPr>
      <w:r w:rsidRPr="009C5F11">
        <w:rPr>
          <w:rFonts w:ascii="Times New Roman" w:hAnsi="Times New Roman" w:cs="Times New Roman"/>
          <w:i/>
          <w:sz w:val="20"/>
          <w:szCs w:val="17"/>
          <w:lang w:val="ro-RO"/>
        </w:rPr>
        <w:t xml:space="preserve">** </w:t>
      </w:r>
      <w:r w:rsidR="002D206E" w:rsidRPr="009C5F11">
        <w:rPr>
          <w:rFonts w:ascii="Times New Roman" w:hAnsi="Times New Roman" w:cs="Times New Roman"/>
          <w:i/>
          <w:sz w:val="20"/>
          <w:szCs w:val="17"/>
          <w:lang w:val="ro-RO"/>
        </w:rPr>
        <w:t>indică cerinţa minimă de raportare conform</w:t>
      </w:r>
      <w:r w:rsidRPr="009C5F11">
        <w:rPr>
          <w:rFonts w:ascii="Times New Roman" w:hAnsi="Times New Roman" w:cs="Times New Roman"/>
          <w:i/>
          <w:sz w:val="20"/>
          <w:szCs w:val="17"/>
          <w:lang w:val="ro-RO"/>
        </w:rPr>
        <w:t xml:space="preserve"> </w:t>
      </w:r>
      <w:r w:rsidR="00CB011F" w:rsidRPr="009C5F11">
        <w:rPr>
          <w:rFonts w:ascii="Times New Roman" w:hAnsi="Times New Roman" w:cs="Times New Roman"/>
          <w:i/>
          <w:sz w:val="20"/>
          <w:szCs w:val="17"/>
          <w:lang w:val="ro-RO"/>
        </w:rPr>
        <w:t>DEE</w:t>
      </w:r>
      <w:r w:rsidRPr="009C5F11">
        <w:rPr>
          <w:rFonts w:ascii="Times New Roman" w:hAnsi="Times New Roman" w:cs="Times New Roman"/>
          <w:i/>
          <w:sz w:val="20"/>
          <w:szCs w:val="17"/>
          <w:lang w:val="ro-RO"/>
        </w:rPr>
        <w:t xml:space="preserve">, </w:t>
      </w:r>
      <w:r w:rsidR="002D206E" w:rsidRPr="009C5F11">
        <w:rPr>
          <w:rFonts w:ascii="Times New Roman" w:hAnsi="Times New Roman" w:cs="Times New Roman"/>
          <w:i/>
          <w:sz w:val="20"/>
          <w:szCs w:val="17"/>
          <w:lang w:val="ro-RO"/>
        </w:rPr>
        <w:t>în cazul în care există.</w:t>
      </w:r>
      <w:r w:rsidRPr="009C5F11">
        <w:rPr>
          <w:rFonts w:ascii="Times New Roman" w:hAnsi="Times New Roman" w:cs="Times New Roman"/>
          <w:i/>
          <w:sz w:val="20"/>
          <w:szCs w:val="17"/>
          <w:lang w:val="ro-RO"/>
        </w:rPr>
        <w:t xml:space="preserve"> </w:t>
      </w:r>
    </w:p>
    <w:p w14:paraId="0335596B" w14:textId="77777777" w:rsidR="002733CB" w:rsidRPr="009C5F11" w:rsidRDefault="002733CB" w:rsidP="008B0472">
      <w:pPr>
        <w:spacing w:after="0" w:line="240" w:lineRule="auto"/>
        <w:jc w:val="both"/>
        <w:rPr>
          <w:rFonts w:ascii="Times New Roman" w:hAnsi="Times New Roman" w:cs="Times New Roman"/>
          <w:i/>
          <w:sz w:val="20"/>
          <w:szCs w:val="17"/>
          <w:lang w:val="ro-RO"/>
        </w:rPr>
      </w:pPr>
      <w:r w:rsidRPr="009C5F11">
        <w:rPr>
          <w:rFonts w:ascii="Times New Roman" w:hAnsi="Times New Roman" w:cs="Times New Roman"/>
          <w:i/>
          <w:sz w:val="20"/>
          <w:szCs w:val="17"/>
          <w:lang w:val="ro-RO"/>
        </w:rPr>
        <w:t xml:space="preserve"># </w:t>
      </w:r>
      <w:r w:rsidR="002D206E" w:rsidRPr="009C5F11">
        <w:rPr>
          <w:rFonts w:ascii="Times New Roman" w:hAnsi="Times New Roman" w:cs="Times New Roman"/>
          <w:i/>
          <w:sz w:val="20"/>
          <w:szCs w:val="17"/>
          <w:lang w:val="ro-RO"/>
        </w:rPr>
        <w:t>indică cerinţa minimă de raportare conform</w:t>
      </w:r>
      <w:r w:rsidRPr="009C5F11">
        <w:rPr>
          <w:rFonts w:ascii="Times New Roman" w:hAnsi="Times New Roman" w:cs="Times New Roman"/>
          <w:i/>
          <w:sz w:val="20"/>
          <w:szCs w:val="17"/>
          <w:lang w:val="ro-RO"/>
        </w:rPr>
        <w:t xml:space="preserve"> </w:t>
      </w:r>
      <w:r w:rsidR="00D160E1" w:rsidRPr="009C5F11">
        <w:rPr>
          <w:rFonts w:ascii="Times New Roman" w:hAnsi="Times New Roman" w:cs="Times New Roman"/>
          <w:i/>
          <w:sz w:val="20"/>
          <w:szCs w:val="17"/>
          <w:lang w:val="ro-RO"/>
        </w:rPr>
        <w:t>DPEC</w:t>
      </w:r>
      <w:r w:rsidR="002D206E" w:rsidRPr="009C5F11">
        <w:rPr>
          <w:rFonts w:ascii="Times New Roman" w:hAnsi="Times New Roman" w:cs="Times New Roman"/>
          <w:i/>
          <w:sz w:val="20"/>
          <w:szCs w:val="17"/>
          <w:lang w:val="ro-RO"/>
        </w:rPr>
        <w:t>.</w:t>
      </w:r>
    </w:p>
    <w:p w14:paraId="1E95AD65" w14:textId="77777777" w:rsidR="0056089B" w:rsidRPr="009C5F11" w:rsidRDefault="0056089B" w:rsidP="008B0472">
      <w:pPr>
        <w:spacing w:after="0" w:line="240" w:lineRule="auto"/>
        <w:jc w:val="both"/>
        <w:rPr>
          <w:rFonts w:ascii="Times New Roman" w:hAnsi="Times New Roman" w:cs="Times New Roman"/>
          <w:sz w:val="24"/>
          <w:lang w:val="ro-RO"/>
        </w:rPr>
      </w:pPr>
    </w:p>
    <w:p w14:paraId="30B40CDA" w14:textId="77777777" w:rsidR="002733CB" w:rsidRPr="009C5F11" w:rsidRDefault="002733CB" w:rsidP="002733CB">
      <w:pPr>
        <w:jc w:val="both"/>
        <w:rPr>
          <w:rFonts w:ascii="Times New Roman" w:hAnsi="Times New Roman" w:cs="Times New Roman"/>
          <w:sz w:val="24"/>
          <w:lang w:val="ro-RO"/>
        </w:rPr>
        <w:sectPr w:rsidR="002733CB" w:rsidRPr="009C5F11" w:rsidSect="00CF5BD4">
          <w:headerReference w:type="default" r:id="rId19"/>
          <w:pgSz w:w="11900" w:h="16840" w:code="9"/>
          <w:pgMar w:top="1440" w:right="1440" w:bottom="1418" w:left="1440" w:header="720" w:footer="720" w:gutter="0"/>
          <w:cols w:space="720"/>
          <w:docGrid w:linePitch="360"/>
        </w:sectPr>
      </w:pPr>
    </w:p>
    <w:p w14:paraId="065DDCC5" w14:textId="77777777" w:rsidR="002733CB" w:rsidRPr="00D9464A" w:rsidRDefault="002D206E" w:rsidP="00430626">
      <w:pPr>
        <w:pStyle w:val="Titlu1"/>
        <w:rPr>
          <w:rFonts w:ascii="Times New Roman" w:hAnsi="Times New Roman" w:cs="Times New Roman"/>
          <w:noProof w:val="0"/>
          <w:color w:val="000000" w:themeColor="text1"/>
          <w:lang w:val="ro-RO"/>
        </w:rPr>
      </w:pPr>
      <w:bookmarkStart w:id="87" w:name="_Toc322013144"/>
      <w:bookmarkStart w:id="88" w:name="_Toc274298522"/>
      <w:bookmarkStart w:id="89" w:name="_Toc274304008"/>
      <w:bookmarkStart w:id="90" w:name="_Toc319555378"/>
      <w:r w:rsidRPr="00D9464A">
        <w:rPr>
          <w:rFonts w:ascii="Times New Roman" w:hAnsi="Times New Roman" w:cs="Times New Roman"/>
          <w:noProof w:val="0"/>
          <w:color w:val="000000" w:themeColor="text1"/>
          <w:lang w:val="ro-RO"/>
        </w:rPr>
        <w:lastRenderedPageBreak/>
        <w:t>ECONOMII DE ENERGIE PRIMARĂ</w:t>
      </w:r>
      <w:bookmarkEnd w:id="87"/>
      <w:r w:rsidRPr="00D9464A">
        <w:rPr>
          <w:rFonts w:ascii="Times New Roman" w:hAnsi="Times New Roman" w:cs="Times New Roman"/>
          <w:noProof w:val="0"/>
          <w:color w:val="000000" w:themeColor="text1"/>
          <w:lang w:val="ro-RO"/>
        </w:rPr>
        <w:t xml:space="preserve"> </w:t>
      </w:r>
      <w:bookmarkEnd w:id="88"/>
      <w:bookmarkEnd w:id="89"/>
      <w:bookmarkEnd w:id="90"/>
    </w:p>
    <w:p w14:paraId="59EB2651" w14:textId="77777777" w:rsidR="002733CB" w:rsidRPr="00D9464A" w:rsidRDefault="006B3F74" w:rsidP="004163F4">
      <w:pPr>
        <w:pStyle w:val="Titlu2"/>
        <w:rPr>
          <w:rFonts w:ascii="Times New Roman" w:hAnsi="Times New Roman" w:cs="Times New Roman"/>
          <w:color w:val="000000" w:themeColor="text1"/>
          <w:sz w:val="28"/>
          <w:szCs w:val="28"/>
          <w:lang w:val="ro-RO"/>
        </w:rPr>
      </w:pPr>
      <w:bookmarkStart w:id="91" w:name="_Ref274124788"/>
      <w:bookmarkStart w:id="92" w:name="_Toc274298523"/>
      <w:bookmarkStart w:id="93" w:name="_Toc274304009"/>
      <w:bookmarkStart w:id="94" w:name="_Ref275775626"/>
      <w:bookmarkStart w:id="95" w:name="_Ref275812947"/>
      <w:bookmarkStart w:id="96" w:name="_Toc319555379"/>
      <w:bookmarkStart w:id="97" w:name="_Ref319619244"/>
      <w:bookmarkStart w:id="98" w:name="_Toc322013145"/>
      <w:r w:rsidRPr="00D9464A">
        <w:rPr>
          <w:rFonts w:ascii="Times New Roman" w:hAnsi="Times New Roman" w:cs="Times New Roman"/>
          <w:color w:val="000000" w:themeColor="text1"/>
          <w:sz w:val="28"/>
          <w:szCs w:val="28"/>
          <w:lang w:val="ro-RO"/>
        </w:rPr>
        <w:t>Obiective în materie de energie primară</w:t>
      </w:r>
      <w:r w:rsidR="002733CB" w:rsidRPr="00D9464A">
        <w:rPr>
          <w:rFonts w:ascii="Times New Roman" w:hAnsi="Times New Roman" w:cs="Times New Roman"/>
          <w:color w:val="000000" w:themeColor="text1"/>
          <w:sz w:val="28"/>
          <w:szCs w:val="28"/>
          <w:lang w:val="ro-RO"/>
        </w:rPr>
        <w:t xml:space="preserve">, </w:t>
      </w:r>
      <w:r w:rsidRPr="00D9464A">
        <w:rPr>
          <w:rFonts w:ascii="Times New Roman" w:hAnsi="Times New Roman" w:cs="Times New Roman"/>
          <w:color w:val="000000" w:themeColor="text1"/>
          <w:sz w:val="28"/>
          <w:szCs w:val="28"/>
          <w:lang w:val="ro-RO"/>
        </w:rPr>
        <w:t xml:space="preserve">previziuni pentru consumul de energie </w:t>
      </w:r>
      <w:r w:rsidR="002733CB" w:rsidRPr="00D9464A">
        <w:rPr>
          <w:rFonts w:ascii="Times New Roman" w:hAnsi="Times New Roman" w:cs="Times New Roman"/>
          <w:color w:val="000000" w:themeColor="text1"/>
          <w:sz w:val="28"/>
          <w:szCs w:val="28"/>
          <w:lang w:val="ro-RO"/>
        </w:rPr>
        <w:t>primar</w:t>
      </w:r>
      <w:r w:rsidRPr="00D9464A">
        <w:rPr>
          <w:rFonts w:ascii="Times New Roman" w:hAnsi="Times New Roman" w:cs="Times New Roman"/>
          <w:color w:val="000000" w:themeColor="text1"/>
          <w:sz w:val="28"/>
          <w:szCs w:val="28"/>
          <w:lang w:val="ro-RO"/>
        </w:rPr>
        <w:t>ă</w:t>
      </w:r>
      <w:bookmarkEnd w:id="91"/>
      <w:bookmarkEnd w:id="92"/>
      <w:bookmarkEnd w:id="93"/>
      <w:bookmarkEnd w:id="94"/>
      <w:bookmarkEnd w:id="95"/>
      <w:bookmarkEnd w:id="96"/>
      <w:bookmarkEnd w:id="97"/>
      <w:bookmarkEnd w:id="98"/>
    </w:p>
    <w:p w14:paraId="2578FD2A" w14:textId="7563ED2A" w:rsidR="00B808F6" w:rsidRPr="009C5F11" w:rsidRDefault="005619E4"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Secţiunea</w:t>
      </w:r>
      <w:r w:rsidR="002733CB"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1A7D56" w:rsidRPr="009C5F11">
        <w:rPr>
          <w:rFonts w:ascii="Times New Roman" w:hAnsi="Times New Roman" w:cs="Times New Roman"/>
          <w:sz w:val="24"/>
          <w:lang w:val="ro-RO"/>
        </w:rPr>
        <w:instrText xml:space="preserve"> REF _Ref319618209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1.3.1</w:t>
      </w:r>
      <w:r w:rsidR="003A6ADB" w:rsidRPr="009C5F11">
        <w:rPr>
          <w:rFonts w:ascii="Times New Roman" w:hAnsi="Times New Roman" w:cs="Times New Roman"/>
          <w:sz w:val="24"/>
          <w:lang w:val="ro-RO"/>
        </w:rPr>
        <w:fldChar w:fldCharType="end"/>
      </w:r>
      <w:r w:rsidR="009C17DE" w:rsidRPr="009C5F11">
        <w:rPr>
          <w:rFonts w:ascii="Times New Roman" w:hAnsi="Times New Roman" w:cs="Times New Roman"/>
          <w:sz w:val="24"/>
          <w:lang w:val="ro-RO"/>
        </w:rPr>
        <w:t xml:space="preserve"> </w:t>
      </w:r>
      <w:r w:rsidR="002733CB" w:rsidRPr="009C5F11">
        <w:rPr>
          <w:rFonts w:ascii="Times New Roman" w:hAnsi="Times New Roman" w:cs="Times New Roman"/>
          <w:sz w:val="24"/>
          <w:lang w:val="ro-RO"/>
        </w:rPr>
        <w:t>re</w:t>
      </w:r>
      <w:r w:rsidR="006B3F74" w:rsidRPr="009C5F11">
        <w:rPr>
          <w:rFonts w:ascii="Times New Roman" w:hAnsi="Times New Roman" w:cs="Times New Roman"/>
          <w:sz w:val="24"/>
          <w:lang w:val="ro-RO"/>
        </w:rPr>
        <w:t xml:space="preserve">levă </w:t>
      </w:r>
      <w:r w:rsidR="002733CB" w:rsidRPr="009C5F11">
        <w:rPr>
          <w:rFonts w:ascii="Times New Roman" w:hAnsi="Times New Roman" w:cs="Times New Roman"/>
          <w:sz w:val="24"/>
          <w:lang w:val="ro-RO"/>
        </w:rPr>
        <w:t>situa</w:t>
      </w:r>
      <w:r w:rsidR="001A3D16" w:rsidRPr="009C5F11">
        <w:rPr>
          <w:rFonts w:ascii="Times New Roman" w:hAnsi="Times New Roman" w:cs="Times New Roman"/>
          <w:sz w:val="24"/>
          <w:lang w:val="ro-RO"/>
        </w:rPr>
        <w:t>ţia privind</w:t>
      </w:r>
      <w:r w:rsidR="002733CB" w:rsidRPr="009C5F11">
        <w:rPr>
          <w:rFonts w:ascii="Times New Roman" w:hAnsi="Times New Roman" w:cs="Times New Roman"/>
          <w:sz w:val="24"/>
          <w:lang w:val="ro-RO"/>
        </w:rPr>
        <w:t xml:space="preserve"> </w:t>
      </w:r>
      <w:r w:rsidR="001A3D16" w:rsidRPr="009C5F11">
        <w:rPr>
          <w:rFonts w:ascii="Times New Roman" w:hAnsi="Times New Roman" w:cs="Times New Roman"/>
          <w:sz w:val="24"/>
          <w:lang w:val="ro-RO"/>
        </w:rPr>
        <w:t>obiectivele existente în ceea ce priveşte consumul de energie primară</w:t>
      </w:r>
      <w:r w:rsidR="002733CB" w:rsidRPr="009C5F11">
        <w:rPr>
          <w:rFonts w:ascii="Times New Roman" w:hAnsi="Times New Roman" w:cs="Times New Roman"/>
          <w:sz w:val="24"/>
          <w:lang w:val="ro-RO"/>
        </w:rPr>
        <w:t xml:space="preserve">, </w:t>
      </w:r>
      <w:r w:rsidR="001A3D16" w:rsidRPr="009C5F11">
        <w:rPr>
          <w:rFonts w:ascii="Times New Roman" w:hAnsi="Times New Roman" w:cs="Times New Roman"/>
          <w:sz w:val="24"/>
          <w:lang w:val="ro-RO"/>
        </w:rPr>
        <w:t>iar</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Secţiunea</w:t>
      </w:r>
      <w:r w:rsidR="002733CB"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1A7D56" w:rsidRPr="009C5F11">
        <w:rPr>
          <w:rFonts w:ascii="Times New Roman" w:hAnsi="Times New Roman" w:cs="Times New Roman"/>
          <w:sz w:val="24"/>
          <w:lang w:val="ro-RO"/>
        </w:rPr>
        <w:instrText xml:space="preserve"> REF _Ref319618226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1.3.4</w:t>
      </w:r>
      <w:r w:rsidR="003A6ADB" w:rsidRPr="009C5F11">
        <w:rPr>
          <w:rFonts w:ascii="Times New Roman" w:hAnsi="Times New Roman" w:cs="Times New Roman"/>
          <w:sz w:val="24"/>
          <w:lang w:val="ro-RO"/>
        </w:rPr>
        <w:fldChar w:fldCharType="end"/>
      </w:r>
      <w:r w:rsidR="002733CB" w:rsidRPr="009C5F11">
        <w:rPr>
          <w:rFonts w:ascii="Times New Roman" w:hAnsi="Times New Roman" w:cs="Times New Roman"/>
          <w:sz w:val="24"/>
          <w:lang w:val="ro-RO"/>
        </w:rPr>
        <w:t xml:space="preserve"> </w:t>
      </w:r>
      <w:r w:rsidR="00A65A83" w:rsidRPr="009C5F11">
        <w:rPr>
          <w:rFonts w:ascii="Times New Roman" w:hAnsi="Times New Roman" w:cs="Times New Roman"/>
          <w:sz w:val="24"/>
          <w:lang w:val="ro-RO"/>
        </w:rPr>
        <w:t xml:space="preserve">inventariază </w:t>
      </w:r>
      <w:r w:rsidR="001A3D16" w:rsidRPr="009C5F11">
        <w:rPr>
          <w:rFonts w:ascii="Times New Roman" w:hAnsi="Times New Roman" w:cs="Times New Roman"/>
          <w:sz w:val="24"/>
          <w:lang w:val="ro-RO"/>
        </w:rPr>
        <w:t>previziunile pentru consumul de energie primară</w:t>
      </w:r>
      <w:r w:rsidR="002733CB" w:rsidRPr="009C5F11">
        <w:rPr>
          <w:rFonts w:ascii="Times New Roman" w:hAnsi="Times New Roman" w:cs="Times New Roman"/>
          <w:sz w:val="24"/>
          <w:lang w:val="ro-RO"/>
        </w:rPr>
        <w:t>.</w:t>
      </w:r>
    </w:p>
    <w:p w14:paraId="36AFC9A7" w14:textId="2D950B07" w:rsidR="002733CB" w:rsidRPr="009C5F11" w:rsidRDefault="001A3D16"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Previziunile pentru consumul de energie primară se bazează pe</w:t>
      </w:r>
      <w:r w:rsidR="002733CB" w:rsidRPr="009C5F11">
        <w:rPr>
          <w:rFonts w:ascii="Times New Roman" w:hAnsi="Times New Roman" w:cs="Times New Roman"/>
          <w:sz w:val="24"/>
          <w:lang w:val="ro-RO"/>
        </w:rPr>
        <w:t>:</w:t>
      </w:r>
    </w:p>
    <w:p w14:paraId="10D7E044" w14:textId="77777777" w:rsidR="002733CB" w:rsidRPr="009C5F11" w:rsidRDefault="001A3D16"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datele din Balanţa energetică a Republicii Moldova</w:t>
      </w:r>
      <w:r w:rsidR="002733CB" w:rsidRPr="009C5F11">
        <w:rPr>
          <w:rFonts w:ascii="Times New Roman" w:hAnsi="Times New Roman" w:cs="Times New Roman"/>
          <w:sz w:val="24"/>
          <w:lang w:val="ro-RO"/>
        </w:rPr>
        <w:t xml:space="preserve"> 2015</w:t>
      </w:r>
      <w:r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p>
    <w:p w14:paraId="44C346F4" w14:textId="77777777" w:rsidR="002733CB" w:rsidRPr="009C5F11" w:rsidRDefault="001A3D16"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previziunile pentru</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consumul de energie finală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efectuate iniţial în</w:t>
      </w:r>
      <w:r w:rsidR="00334259" w:rsidRPr="009C5F11">
        <w:rPr>
          <w:rFonts w:ascii="Times New Roman" w:hAnsi="Times New Roman" w:cs="Times New Roman"/>
          <w:sz w:val="24"/>
          <w:lang w:val="ro-RO"/>
        </w:rPr>
        <w:t xml:space="preserve"> PNAER</w:t>
      </w:r>
      <w:r w:rsidR="002733CB" w:rsidRPr="009C5F11">
        <w:rPr>
          <w:rFonts w:ascii="Times New Roman" w:hAnsi="Times New Roman" w:cs="Times New Roman"/>
          <w:sz w:val="24"/>
          <w:lang w:val="ro-RO"/>
        </w:rPr>
        <w:t xml:space="preserve"> 2014-2020</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ajust</w:t>
      </w:r>
      <w:r w:rsidR="00334259" w:rsidRPr="009C5F11">
        <w:rPr>
          <w:rFonts w:ascii="Times New Roman" w:hAnsi="Times New Roman" w:cs="Times New Roman"/>
          <w:sz w:val="24"/>
          <w:lang w:val="ro-RO"/>
        </w:rPr>
        <w:t>ate</w:t>
      </w:r>
      <w:r w:rsidR="00321CD5" w:rsidRPr="009C5F11">
        <w:rPr>
          <w:rFonts w:ascii="Times New Roman" w:hAnsi="Times New Roman" w:cs="Times New Roman"/>
          <w:sz w:val="24"/>
          <w:lang w:val="ro-RO"/>
        </w:rPr>
        <w:t xml:space="preserve"> în </w:t>
      </w:r>
      <w:r w:rsidR="00872DC2" w:rsidRPr="009C5F11">
        <w:rPr>
          <w:rFonts w:ascii="Times New Roman" w:hAnsi="Times New Roman" w:cs="Times New Roman"/>
          <w:sz w:val="24"/>
          <w:lang w:val="ro-RO"/>
        </w:rPr>
        <w:t>PNAEE</w:t>
      </w:r>
      <w:r w:rsidR="00334259" w:rsidRPr="009C5F11">
        <w:rPr>
          <w:rFonts w:ascii="Times New Roman" w:hAnsi="Times New Roman" w:cs="Times New Roman"/>
          <w:sz w:val="24"/>
          <w:lang w:val="ro-RO"/>
        </w:rPr>
        <w:t xml:space="preserve"> actual;</w:t>
      </w:r>
    </w:p>
    <w:p w14:paraId="1285C59A" w14:textId="77777777" w:rsidR="002733CB" w:rsidRPr="009C5F11" w:rsidRDefault="00334259"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ipoteza, </w:t>
      </w:r>
      <w:r w:rsidR="00146D3A" w:rsidRPr="009C5F11">
        <w:rPr>
          <w:rFonts w:ascii="Times New Roman" w:hAnsi="Times New Roman" w:cs="Times New Roman"/>
          <w:sz w:val="24"/>
          <w:lang w:val="ro-RO"/>
        </w:rPr>
        <w:t>potrivit</w:t>
      </w:r>
      <w:r w:rsidRPr="009C5F11">
        <w:rPr>
          <w:rFonts w:ascii="Times New Roman" w:hAnsi="Times New Roman" w:cs="Times New Roman"/>
          <w:sz w:val="24"/>
          <w:lang w:val="ro-RO"/>
        </w:rPr>
        <w:t xml:space="preserve"> căreia consumul</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non-energetic </w:t>
      </w:r>
      <w:r w:rsidR="00321CD5" w:rsidRPr="009C5F11">
        <w:rPr>
          <w:rFonts w:ascii="Times New Roman" w:hAnsi="Times New Roman" w:cs="Times New Roman"/>
          <w:sz w:val="24"/>
          <w:lang w:val="ro-RO"/>
        </w:rPr>
        <w:t xml:space="preserve">şi </w:t>
      </w:r>
      <w:r w:rsidR="00BA5A89" w:rsidRPr="009C5F11">
        <w:rPr>
          <w:rFonts w:ascii="Times New Roman" w:hAnsi="Times New Roman" w:cs="Times New Roman"/>
          <w:sz w:val="24"/>
          <w:lang w:val="ro-RO"/>
        </w:rPr>
        <w:t>pierderile</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 distribuţie vor rămâne la nivelul celor din</w:t>
      </w:r>
      <w:r w:rsidR="002733CB" w:rsidRPr="009C5F11">
        <w:rPr>
          <w:rFonts w:ascii="Times New Roman" w:hAnsi="Times New Roman" w:cs="Times New Roman"/>
          <w:sz w:val="24"/>
          <w:lang w:val="ro-RO"/>
        </w:rPr>
        <w:t xml:space="preserve"> 2010-2014</w:t>
      </w:r>
      <w:r w:rsidRPr="009C5F11">
        <w:rPr>
          <w:rFonts w:ascii="Times New Roman" w:hAnsi="Times New Roman" w:cs="Times New Roman"/>
          <w:sz w:val="24"/>
          <w:lang w:val="ro-RO"/>
        </w:rPr>
        <w:t>;</w:t>
      </w:r>
    </w:p>
    <w:p w14:paraId="30FA58F2" w14:textId="77777777" w:rsidR="002733CB" w:rsidRPr="009C5F11" w:rsidRDefault="00334259"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ipoteza, </w:t>
      </w:r>
      <w:r w:rsidR="00146D3A" w:rsidRPr="009C5F11">
        <w:rPr>
          <w:rFonts w:ascii="Times New Roman" w:hAnsi="Times New Roman" w:cs="Times New Roman"/>
          <w:sz w:val="24"/>
          <w:lang w:val="ro-RO"/>
        </w:rPr>
        <w:t>potrivit</w:t>
      </w:r>
      <w:r w:rsidRPr="009C5F11">
        <w:rPr>
          <w:rFonts w:ascii="Times New Roman" w:hAnsi="Times New Roman" w:cs="Times New Roman"/>
          <w:sz w:val="24"/>
          <w:lang w:val="ro-RO"/>
        </w:rPr>
        <w:t xml:space="preserve"> căreia </w:t>
      </w:r>
      <w:r w:rsidR="00A65A83" w:rsidRPr="009C5F11">
        <w:rPr>
          <w:rFonts w:ascii="Times New Roman" w:hAnsi="Times New Roman" w:cs="Times New Roman"/>
          <w:sz w:val="24"/>
          <w:lang w:val="ro-RO"/>
        </w:rPr>
        <w:t>rata</w:t>
      </w:r>
      <w:r w:rsidRPr="009C5F11">
        <w:rPr>
          <w:rFonts w:ascii="Times New Roman" w:hAnsi="Times New Roman" w:cs="Times New Roman"/>
          <w:sz w:val="24"/>
          <w:lang w:val="ro-RO"/>
        </w:rPr>
        <w:t xml:space="preserve"> de </w:t>
      </w:r>
      <w:r w:rsidR="002733CB" w:rsidRPr="009C5F11">
        <w:rPr>
          <w:rFonts w:ascii="Times New Roman" w:hAnsi="Times New Roman" w:cs="Times New Roman"/>
          <w:sz w:val="24"/>
          <w:lang w:val="ro-RO"/>
        </w:rPr>
        <w:t>transforma</w:t>
      </w:r>
      <w:r w:rsidRPr="009C5F11">
        <w:rPr>
          <w:rFonts w:ascii="Times New Roman" w:hAnsi="Times New Roman" w:cs="Times New Roman"/>
          <w:sz w:val="24"/>
          <w:lang w:val="ro-RO"/>
        </w:rPr>
        <w:t>re v</w:t>
      </w:r>
      <w:r w:rsidR="00A65A83"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rămâne aceeaşi</w:t>
      </w:r>
      <w:r w:rsidR="002733CB" w:rsidRPr="009C5F11">
        <w:rPr>
          <w:rFonts w:ascii="Times New Roman" w:hAnsi="Times New Roman" w:cs="Times New Roman"/>
          <w:sz w:val="24"/>
          <w:lang w:val="ro-RO"/>
        </w:rPr>
        <w:t xml:space="preserve"> (~95.5%)</w:t>
      </w:r>
      <w:r w:rsidR="002C7A1A" w:rsidRPr="009C5F11">
        <w:rPr>
          <w:rFonts w:ascii="Times New Roman" w:hAnsi="Times New Roman" w:cs="Times New Roman"/>
          <w:sz w:val="24"/>
          <w:lang w:val="ro-RO"/>
        </w:rPr>
        <w:t>;</w:t>
      </w:r>
    </w:p>
    <w:p w14:paraId="0F331801" w14:textId="77777777" w:rsidR="002733CB" w:rsidRPr="009C5F11" w:rsidRDefault="00C639BC"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economii</w:t>
      </w:r>
      <w:r w:rsidR="00334259" w:rsidRPr="009C5F11">
        <w:rPr>
          <w:rFonts w:ascii="Times New Roman" w:hAnsi="Times New Roman" w:cs="Times New Roman"/>
          <w:sz w:val="24"/>
          <w:lang w:val="ro-RO"/>
        </w:rPr>
        <w:t>le</w:t>
      </w:r>
      <w:r w:rsidR="00321CD5" w:rsidRPr="009C5F11">
        <w:rPr>
          <w:rFonts w:ascii="Times New Roman" w:hAnsi="Times New Roman" w:cs="Times New Roman"/>
          <w:sz w:val="24"/>
          <w:lang w:val="ro-RO"/>
        </w:rPr>
        <w:t xml:space="preserve"> </w:t>
      </w:r>
      <w:r w:rsidR="002C7A1A" w:rsidRPr="009C5F11">
        <w:rPr>
          <w:rFonts w:ascii="Times New Roman" w:hAnsi="Times New Roman" w:cs="Times New Roman"/>
          <w:sz w:val="24"/>
          <w:lang w:val="ro-RO"/>
        </w:rPr>
        <w:t>din reducerea p</w:t>
      </w:r>
      <w:r w:rsidR="00753ED8" w:rsidRPr="009C5F11">
        <w:rPr>
          <w:rFonts w:ascii="Times New Roman" w:hAnsi="Times New Roman" w:cs="Times New Roman"/>
          <w:sz w:val="24"/>
          <w:lang w:val="ro-RO"/>
        </w:rPr>
        <w:t>i</w:t>
      </w:r>
      <w:r w:rsidR="002C7A1A" w:rsidRPr="009C5F11">
        <w:rPr>
          <w:rFonts w:ascii="Times New Roman" w:hAnsi="Times New Roman" w:cs="Times New Roman"/>
          <w:sz w:val="24"/>
          <w:lang w:val="ro-RO"/>
        </w:rPr>
        <w:t>erderilor</w:t>
      </w:r>
      <w:r w:rsidR="00321CD5" w:rsidRPr="009C5F11">
        <w:rPr>
          <w:rFonts w:ascii="Times New Roman" w:hAnsi="Times New Roman" w:cs="Times New Roman"/>
          <w:sz w:val="24"/>
          <w:lang w:val="ro-RO"/>
        </w:rPr>
        <w:t xml:space="preserve"> </w:t>
      </w:r>
      <w:r w:rsidR="002C7A1A" w:rsidRPr="009C5F11">
        <w:rPr>
          <w:rFonts w:ascii="Times New Roman" w:hAnsi="Times New Roman" w:cs="Times New Roman"/>
          <w:sz w:val="24"/>
          <w:lang w:val="ro-RO"/>
        </w:rPr>
        <w:t xml:space="preserve">de </w:t>
      </w:r>
      <w:r w:rsidR="008F7BD5" w:rsidRPr="009C5F11">
        <w:rPr>
          <w:rFonts w:ascii="Times New Roman" w:hAnsi="Times New Roman" w:cs="Times New Roman"/>
          <w:sz w:val="24"/>
          <w:lang w:val="ro-RO"/>
        </w:rPr>
        <w:t>distribuţie</w:t>
      </w:r>
      <w:r w:rsidR="002733CB" w:rsidRPr="009C5F11">
        <w:rPr>
          <w:rFonts w:ascii="Times New Roman" w:hAnsi="Times New Roman" w:cs="Times New Roman"/>
          <w:sz w:val="24"/>
          <w:lang w:val="ro-RO"/>
        </w:rPr>
        <w:t xml:space="preserve"> calculate</w:t>
      </w:r>
      <w:r w:rsidR="00334259" w:rsidRPr="009C5F11">
        <w:rPr>
          <w:rFonts w:ascii="Times New Roman" w:hAnsi="Times New Roman" w:cs="Times New Roman"/>
          <w:sz w:val="24"/>
          <w:lang w:val="ro-RO"/>
        </w:rPr>
        <w:t xml:space="preserve"> pe baza unor obiective </w:t>
      </w:r>
      <w:r w:rsidR="002733CB" w:rsidRPr="009C5F11">
        <w:rPr>
          <w:rFonts w:ascii="Times New Roman" w:hAnsi="Times New Roman" w:cs="Times New Roman"/>
          <w:sz w:val="24"/>
          <w:lang w:val="ro-RO"/>
        </w:rPr>
        <w:t>specific</w:t>
      </w:r>
      <w:r w:rsidR="00334259" w:rsidRPr="009C5F11">
        <w:rPr>
          <w:rFonts w:ascii="Times New Roman" w:hAnsi="Times New Roman" w:cs="Times New Roman"/>
          <w:sz w:val="24"/>
          <w:lang w:val="ro-RO"/>
        </w:rPr>
        <w:t>e</w:t>
      </w:r>
      <w:r w:rsidR="002733CB"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pentru gazele naturale</w:t>
      </w:r>
      <w:r w:rsidR="002733CB"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energia termică</w:t>
      </w:r>
      <w:r w:rsidR="00321CD5" w:rsidRPr="009C5F11">
        <w:rPr>
          <w:rFonts w:ascii="Times New Roman" w:hAnsi="Times New Roman" w:cs="Times New Roman"/>
          <w:sz w:val="24"/>
          <w:lang w:val="ro-RO"/>
        </w:rPr>
        <w:t xml:space="preserve"> şi </w:t>
      </w:r>
      <w:r w:rsidR="00334259" w:rsidRPr="009C5F11">
        <w:rPr>
          <w:rFonts w:ascii="Times New Roman" w:hAnsi="Times New Roman" w:cs="Times New Roman"/>
          <w:sz w:val="24"/>
          <w:lang w:val="ro-RO"/>
        </w:rPr>
        <w:t>energia electrică</w:t>
      </w:r>
      <w:r w:rsidR="002733CB"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 xml:space="preserve">stabilite </w:t>
      </w:r>
      <w:r w:rsidR="002C7A1A" w:rsidRPr="009C5F11">
        <w:rPr>
          <w:rFonts w:ascii="Times New Roman" w:hAnsi="Times New Roman" w:cs="Times New Roman"/>
          <w:sz w:val="24"/>
          <w:lang w:val="ro-RO"/>
        </w:rPr>
        <w:t xml:space="preserve">pentru perioada 2009-2020 </w:t>
      </w:r>
      <w:r w:rsidR="00334259" w:rsidRPr="009C5F11">
        <w:rPr>
          <w:rFonts w:ascii="Times New Roman" w:hAnsi="Times New Roman" w:cs="Times New Roman"/>
          <w:sz w:val="24"/>
          <w:lang w:val="ro-RO"/>
        </w:rPr>
        <w:t>de</w:t>
      </w:r>
      <w:r w:rsidR="00321CD5" w:rsidRPr="009C5F11">
        <w:rPr>
          <w:rFonts w:ascii="Times New Roman" w:hAnsi="Times New Roman" w:cs="Times New Roman"/>
          <w:sz w:val="24"/>
          <w:lang w:val="ro-RO"/>
        </w:rPr>
        <w:t xml:space="preserve"> </w:t>
      </w:r>
      <w:r w:rsidR="001E3482" w:rsidRPr="009C5F11">
        <w:rPr>
          <w:rFonts w:ascii="Times New Roman" w:hAnsi="Times New Roman" w:cs="Times New Roman"/>
          <w:sz w:val="24"/>
          <w:lang w:val="ro-RO"/>
        </w:rPr>
        <w:t>Strategia</w:t>
      </w:r>
      <w:r w:rsidR="002733CB"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 xml:space="preserve">energetică </w:t>
      </w:r>
      <w:r w:rsidR="002733CB" w:rsidRPr="009C5F11">
        <w:rPr>
          <w:rFonts w:ascii="Times New Roman" w:hAnsi="Times New Roman" w:cs="Times New Roman"/>
          <w:sz w:val="24"/>
          <w:lang w:val="ro-RO"/>
        </w:rPr>
        <w:t>2030.</w:t>
      </w:r>
    </w:p>
    <w:p w14:paraId="362C9AE8" w14:textId="77777777" w:rsidR="006F7857" w:rsidRPr="009C5F11" w:rsidRDefault="006F7857" w:rsidP="006F7857">
      <w:pPr>
        <w:pStyle w:val="Listparagraf"/>
        <w:spacing w:after="0" w:line="240" w:lineRule="auto"/>
        <w:ind w:left="1134"/>
        <w:jc w:val="both"/>
        <w:rPr>
          <w:rFonts w:ascii="Times New Roman" w:hAnsi="Times New Roman" w:cs="Times New Roman"/>
          <w:sz w:val="24"/>
          <w:lang w:val="ro-RO"/>
        </w:rPr>
      </w:pPr>
    </w:p>
    <w:p w14:paraId="683F8720" w14:textId="77777777" w:rsidR="002733CB" w:rsidRPr="009C5F11" w:rsidRDefault="00321CD5" w:rsidP="002733CB">
      <w:pPr>
        <w:pStyle w:val="Legend"/>
        <w:keepNext/>
        <w:jc w:val="center"/>
        <w:rPr>
          <w:rFonts w:ascii="Times New Roman" w:hAnsi="Times New Roman" w:cs="Times New Roman"/>
          <w:sz w:val="22"/>
          <w:lang w:val="ro-RO"/>
        </w:rPr>
      </w:pPr>
      <w:bookmarkStart w:id="99" w:name="_Toc322013235"/>
      <w:r w:rsidRPr="009C5F11">
        <w:rPr>
          <w:rFonts w:ascii="Times New Roman" w:hAnsi="Times New Roman" w:cs="Times New Roman"/>
          <w:sz w:val="22"/>
          <w:lang w:val="ro-RO"/>
        </w:rPr>
        <w:t>Tabelul</w:t>
      </w:r>
      <w:r w:rsidR="002733CB"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2733CB"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12</w:t>
      </w:r>
      <w:r w:rsidR="003A6ADB" w:rsidRPr="009C5F11">
        <w:rPr>
          <w:rFonts w:ascii="Times New Roman" w:hAnsi="Times New Roman" w:cs="Times New Roman"/>
          <w:sz w:val="22"/>
          <w:lang w:val="ro-RO"/>
        </w:rPr>
        <w:fldChar w:fldCharType="end"/>
      </w:r>
      <w:r w:rsidR="002733CB" w:rsidRPr="009C5F11">
        <w:rPr>
          <w:rFonts w:ascii="Times New Roman" w:hAnsi="Times New Roman" w:cs="Times New Roman"/>
          <w:sz w:val="22"/>
          <w:lang w:val="ro-RO"/>
        </w:rPr>
        <w:t xml:space="preserve"> - Estima</w:t>
      </w:r>
      <w:r w:rsidR="001A3D16" w:rsidRPr="009C5F11">
        <w:rPr>
          <w:rFonts w:ascii="Times New Roman" w:hAnsi="Times New Roman" w:cs="Times New Roman"/>
          <w:sz w:val="22"/>
          <w:lang w:val="ro-RO"/>
        </w:rPr>
        <w:t>rea</w:t>
      </w:r>
      <w:r w:rsidR="002733CB" w:rsidRPr="009C5F11">
        <w:rPr>
          <w:rFonts w:ascii="Times New Roman" w:hAnsi="Times New Roman" w:cs="Times New Roman"/>
          <w:sz w:val="22"/>
          <w:lang w:val="ro-RO"/>
        </w:rPr>
        <w:t xml:space="preserve"> </w:t>
      </w:r>
      <w:r w:rsidR="001A3D16" w:rsidRPr="009C5F11">
        <w:rPr>
          <w:rFonts w:ascii="Times New Roman" w:hAnsi="Times New Roman" w:cs="Times New Roman"/>
          <w:sz w:val="22"/>
          <w:lang w:val="ro-RO"/>
        </w:rPr>
        <w:t>consumului global de energie primară</w:t>
      </w:r>
      <w:r w:rsidRPr="009C5F11">
        <w:rPr>
          <w:rFonts w:ascii="Times New Roman" w:hAnsi="Times New Roman" w:cs="Times New Roman"/>
          <w:sz w:val="22"/>
          <w:lang w:val="ro-RO"/>
        </w:rPr>
        <w:t xml:space="preserve"> în </w:t>
      </w:r>
      <w:r w:rsidR="002733CB" w:rsidRPr="009C5F11">
        <w:rPr>
          <w:rFonts w:ascii="Times New Roman" w:hAnsi="Times New Roman" w:cs="Times New Roman"/>
          <w:sz w:val="22"/>
          <w:lang w:val="ro-RO"/>
        </w:rPr>
        <w:t>2020</w:t>
      </w:r>
      <w:r w:rsidR="001A3D16" w:rsidRPr="009C5F11">
        <w:rPr>
          <w:rFonts w:ascii="Times New Roman" w:hAnsi="Times New Roman" w:cs="Times New Roman"/>
          <w:sz w:val="22"/>
          <w:lang w:val="ro-RO"/>
        </w:rPr>
        <w:t>.</w:t>
      </w:r>
      <w:bookmarkEnd w:id="99"/>
    </w:p>
    <w:tbl>
      <w:tblPr>
        <w:tblW w:w="0" w:type="auto"/>
        <w:jc w:val="center"/>
        <w:tblBorders>
          <w:top w:val="single" w:sz="8" w:space="0" w:color="0039A6" w:themeColor="accent2"/>
          <w:left w:val="single" w:sz="8" w:space="0" w:color="0039A6" w:themeColor="accent2"/>
          <w:bottom w:val="single" w:sz="8" w:space="0" w:color="0039A6" w:themeColor="accent2"/>
          <w:right w:val="single" w:sz="8" w:space="0" w:color="0039A6" w:themeColor="accent2"/>
          <w:insideH w:val="single" w:sz="8" w:space="0" w:color="0039A6" w:themeColor="accent2"/>
        </w:tblBorders>
        <w:shd w:val="clear" w:color="auto" w:fill="C0504D"/>
        <w:tblLook w:val="04A0" w:firstRow="1" w:lastRow="0" w:firstColumn="1" w:lastColumn="0" w:noHBand="0" w:noVBand="1"/>
      </w:tblPr>
      <w:tblGrid>
        <w:gridCol w:w="4812"/>
        <w:gridCol w:w="1596"/>
        <w:gridCol w:w="1502"/>
        <w:gridCol w:w="1333"/>
      </w:tblGrid>
      <w:tr w:rsidR="001A3D16" w:rsidRPr="009C5F11" w14:paraId="722DC8EE" w14:textId="77777777" w:rsidTr="00FA7218">
        <w:trPr>
          <w:trHeight w:val="466"/>
          <w:jc w:val="center"/>
        </w:trPr>
        <w:tc>
          <w:tcPr>
            <w:tcW w:w="0" w:type="auto"/>
            <w:shd w:val="clear" w:color="auto" w:fill="000080"/>
            <w:vAlign w:val="center"/>
          </w:tcPr>
          <w:p w14:paraId="682FD673" w14:textId="77777777" w:rsidR="002733CB" w:rsidRPr="009C5F11" w:rsidRDefault="002733CB" w:rsidP="00911CDF">
            <w:pPr>
              <w:jc w:val="center"/>
              <w:rPr>
                <w:rFonts w:ascii="Times New Roman" w:eastAsia="Verdana" w:hAnsi="Times New Roman" w:cs="Times New Roman"/>
                <w:b/>
                <w:color w:val="FFFFFF"/>
                <w:sz w:val="20"/>
                <w:szCs w:val="16"/>
                <w:lang w:val="ro-RO" w:eastAsia="sv-SE"/>
              </w:rPr>
            </w:pPr>
            <w:r w:rsidRPr="009C5F11">
              <w:rPr>
                <w:rFonts w:ascii="Times New Roman" w:eastAsia="Verdana" w:hAnsi="Times New Roman" w:cs="Times New Roman"/>
                <w:b/>
                <w:color w:val="FFFFFF"/>
                <w:sz w:val="20"/>
                <w:szCs w:val="16"/>
                <w:lang w:val="ro-RO" w:eastAsia="sv-SE"/>
              </w:rPr>
              <w:t>Indicator</w:t>
            </w:r>
          </w:p>
        </w:tc>
        <w:tc>
          <w:tcPr>
            <w:tcW w:w="0" w:type="auto"/>
            <w:shd w:val="clear" w:color="auto" w:fill="000080"/>
            <w:vAlign w:val="center"/>
          </w:tcPr>
          <w:p w14:paraId="0E42F556" w14:textId="77777777" w:rsidR="002733CB" w:rsidRPr="009C5F11" w:rsidRDefault="001A3D16" w:rsidP="001A3D16">
            <w:pPr>
              <w:jc w:val="center"/>
              <w:rPr>
                <w:rFonts w:ascii="Times New Roman" w:eastAsia="Verdana" w:hAnsi="Times New Roman" w:cs="Times New Roman"/>
                <w:b/>
                <w:color w:val="FFFFFF"/>
                <w:sz w:val="20"/>
                <w:szCs w:val="16"/>
                <w:lang w:val="ro-RO" w:eastAsia="sv-SE"/>
              </w:rPr>
            </w:pPr>
            <w:r w:rsidRPr="009C5F11">
              <w:rPr>
                <w:rFonts w:ascii="Times New Roman" w:eastAsia="Verdana" w:hAnsi="Times New Roman" w:cs="Times New Roman"/>
                <w:b/>
                <w:color w:val="FFFFFF"/>
                <w:sz w:val="20"/>
                <w:szCs w:val="16"/>
                <w:lang w:val="ro-RO" w:eastAsia="sv-SE"/>
              </w:rPr>
              <w:t xml:space="preserve">Scenariul </w:t>
            </w:r>
            <w:r w:rsidR="002733CB" w:rsidRPr="009C5F11">
              <w:rPr>
                <w:rFonts w:ascii="Times New Roman" w:eastAsia="Verdana" w:hAnsi="Times New Roman" w:cs="Times New Roman"/>
                <w:b/>
                <w:color w:val="FFFFFF"/>
                <w:sz w:val="20"/>
                <w:szCs w:val="16"/>
                <w:lang w:val="ro-RO" w:eastAsia="sv-SE"/>
              </w:rPr>
              <w:t xml:space="preserve">BAU, </w:t>
            </w:r>
            <w:r w:rsidR="00E52940" w:rsidRPr="009C5F11">
              <w:rPr>
                <w:rFonts w:ascii="Times New Roman" w:eastAsia="Verdana" w:hAnsi="Times New Roman" w:cs="Times New Roman"/>
                <w:b/>
                <w:color w:val="FFFFFF"/>
                <w:sz w:val="20"/>
                <w:szCs w:val="16"/>
                <w:lang w:val="ro-RO" w:eastAsia="sv-SE"/>
              </w:rPr>
              <w:t>ktep</w:t>
            </w:r>
          </w:p>
        </w:tc>
        <w:tc>
          <w:tcPr>
            <w:tcW w:w="0" w:type="auto"/>
            <w:shd w:val="clear" w:color="auto" w:fill="000080"/>
            <w:vAlign w:val="center"/>
          </w:tcPr>
          <w:p w14:paraId="39CAABE0" w14:textId="77777777" w:rsidR="002733CB" w:rsidRPr="009C5F11" w:rsidRDefault="001A3D16" w:rsidP="001A3D16">
            <w:pPr>
              <w:jc w:val="center"/>
              <w:rPr>
                <w:rFonts w:ascii="Times New Roman" w:eastAsia="Verdana" w:hAnsi="Times New Roman" w:cs="Times New Roman"/>
                <w:b/>
                <w:color w:val="FFFFFF"/>
                <w:sz w:val="20"/>
                <w:szCs w:val="16"/>
                <w:lang w:val="ro-RO" w:eastAsia="sv-SE"/>
              </w:rPr>
            </w:pPr>
            <w:r w:rsidRPr="009C5F11">
              <w:rPr>
                <w:rFonts w:ascii="Times New Roman" w:eastAsia="Verdana" w:hAnsi="Times New Roman" w:cs="Times New Roman"/>
                <w:b/>
                <w:color w:val="FFFFFF"/>
                <w:sz w:val="20"/>
                <w:szCs w:val="16"/>
                <w:lang w:val="ro-RO" w:eastAsia="sv-SE"/>
              </w:rPr>
              <w:t xml:space="preserve">Scenariul </w:t>
            </w:r>
            <w:r w:rsidR="002733CB" w:rsidRPr="009C5F11">
              <w:rPr>
                <w:rFonts w:ascii="Times New Roman" w:eastAsia="Verdana" w:hAnsi="Times New Roman" w:cs="Times New Roman"/>
                <w:b/>
                <w:color w:val="FFFFFF"/>
                <w:sz w:val="20"/>
                <w:szCs w:val="16"/>
                <w:lang w:val="ro-RO" w:eastAsia="sv-SE"/>
              </w:rPr>
              <w:t xml:space="preserve">EE, </w:t>
            </w:r>
            <w:r w:rsidR="00E52940" w:rsidRPr="009C5F11">
              <w:rPr>
                <w:rFonts w:ascii="Times New Roman" w:eastAsia="Verdana" w:hAnsi="Times New Roman" w:cs="Times New Roman"/>
                <w:b/>
                <w:color w:val="FFFFFF"/>
                <w:sz w:val="20"/>
                <w:szCs w:val="16"/>
                <w:lang w:val="ro-RO" w:eastAsia="sv-SE"/>
              </w:rPr>
              <w:t>ktep</w:t>
            </w:r>
          </w:p>
        </w:tc>
        <w:tc>
          <w:tcPr>
            <w:tcW w:w="0" w:type="auto"/>
            <w:shd w:val="clear" w:color="auto" w:fill="000080"/>
            <w:vAlign w:val="center"/>
          </w:tcPr>
          <w:p w14:paraId="2F307CBA" w14:textId="77777777" w:rsidR="002733CB" w:rsidRPr="009C5F11" w:rsidRDefault="001A3D16" w:rsidP="00911CDF">
            <w:pPr>
              <w:jc w:val="center"/>
              <w:rPr>
                <w:rFonts w:ascii="Times New Roman" w:eastAsia="Verdana" w:hAnsi="Times New Roman" w:cs="Times New Roman"/>
                <w:b/>
                <w:color w:val="FFFFFF"/>
                <w:sz w:val="20"/>
                <w:szCs w:val="16"/>
                <w:lang w:val="ro-RO" w:eastAsia="sv-SE"/>
              </w:rPr>
            </w:pPr>
            <w:r w:rsidRPr="009C5F11">
              <w:rPr>
                <w:rFonts w:ascii="Times New Roman" w:eastAsia="Verdana" w:hAnsi="Times New Roman" w:cs="Times New Roman"/>
                <w:b/>
                <w:color w:val="FFFFFF"/>
                <w:sz w:val="20"/>
                <w:szCs w:val="16"/>
                <w:lang w:val="ro-RO" w:eastAsia="sv-SE"/>
              </w:rPr>
              <w:t>Economii</w:t>
            </w:r>
            <w:r w:rsidR="002733CB" w:rsidRPr="009C5F11">
              <w:rPr>
                <w:rFonts w:ascii="Times New Roman" w:eastAsia="Verdana" w:hAnsi="Times New Roman" w:cs="Times New Roman"/>
                <w:b/>
                <w:color w:val="FFFFFF"/>
                <w:sz w:val="20"/>
                <w:szCs w:val="16"/>
                <w:lang w:val="ro-RO" w:eastAsia="sv-SE"/>
              </w:rPr>
              <w:t xml:space="preserve">, </w:t>
            </w:r>
            <w:r w:rsidR="00E52940" w:rsidRPr="009C5F11">
              <w:rPr>
                <w:rFonts w:ascii="Times New Roman" w:eastAsia="Verdana" w:hAnsi="Times New Roman" w:cs="Times New Roman"/>
                <w:b/>
                <w:color w:val="FFFFFF"/>
                <w:sz w:val="20"/>
                <w:szCs w:val="16"/>
                <w:lang w:val="ro-RO" w:eastAsia="sv-SE"/>
              </w:rPr>
              <w:t>ktep</w:t>
            </w:r>
          </w:p>
        </w:tc>
      </w:tr>
      <w:tr w:rsidR="001A3D16" w:rsidRPr="009C5F11" w14:paraId="53256C04" w14:textId="77777777" w:rsidTr="00FA7218">
        <w:trPr>
          <w:trHeight w:val="430"/>
          <w:jc w:val="center"/>
        </w:trPr>
        <w:tc>
          <w:tcPr>
            <w:tcW w:w="0" w:type="auto"/>
            <w:shd w:val="clear" w:color="auto" w:fill="FFFFFF"/>
            <w:vAlign w:val="center"/>
          </w:tcPr>
          <w:p w14:paraId="618238BD" w14:textId="77777777" w:rsidR="002733CB" w:rsidRPr="009C5F11" w:rsidRDefault="001A3D16" w:rsidP="00911CDF">
            <w:pPr>
              <w:jc w:val="center"/>
              <w:rPr>
                <w:rFonts w:ascii="Times New Roman" w:hAnsi="Times New Roman" w:cs="Times New Roman"/>
                <w:b/>
                <w:color w:val="000000"/>
                <w:sz w:val="20"/>
                <w:szCs w:val="16"/>
                <w:lang w:val="ro-RO"/>
              </w:rPr>
            </w:pPr>
            <w:r w:rsidRPr="009C5F11">
              <w:rPr>
                <w:rFonts w:ascii="Times New Roman" w:hAnsi="Times New Roman" w:cs="Times New Roman"/>
                <w:b/>
                <w:color w:val="000000"/>
                <w:sz w:val="20"/>
                <w:szCs w:val="16"/>
                <w:lang w:val="ro-RO"/>
              </w:rPr>
              <w:t>Consumul de energie primară</w:t>
            </w:r>
            <w:r w:rsidR="00321CD5" w:rsidRPr="009C5F11">
              <w:rPr>
                <w:rFonts w:ascii="Times New Roman" w:hAnsi="Times New Roman" w:cs="Times New Roman"/>
                <w:b/>
                <w:color w:val="000000"/>
                <w:sz w:val="20"/>
                <w:szCs w:val="16"/>
                <w:lang w:val="ro-RO"/>
              </w:rPr>
              <w:t xml:space="preserve"> în </w:t>
            </w:r>
            <w:r w:rsidR="002733CB" w:rsidRPr="009C5F11">
              <w:rPr>
                <w:rFonts w:ascii="Times New Roman" w:hAnsi="Times New Roman" w:cs="Times New Roman"/>
                <w:b/>
                <w:color w:val="000000"/>
                <w:sz w:val="20"/>
                <w:szCs w:val="16"/>
                <w:lang w:val="ro-RO"/>
              </w:rPr>
              <w:t>2020</w:t>
            </w:r>
          </w:p>
        </w:tc>
        <w:tc>
          <w:tcPr>
            <w:tcW w:w="0" w:type="auto"/>
            <w:shd w:val="clear" w:color="auto" w:fill="FFFFFF"/>
            <w:vAlign w:val="center"/>
          </w:tcPr>
          <w:p w14:paraId="5BC78240" w14:textId="77777777" w:rsidR="002733CB" w:rsidRPr="009C5F11" w:rsidRDefault="002733CB" w:rsidP="00911CDF">
            <w:pPr>
              <w:jc w:val="center"/>
              <w:rPr>
                <w:rFonts w:ascii="Times New Roman" w:hAnsi="Times New Roman" w:cs="Times New Roman"/>
                <w:b/>
                <w:color w:val="000000"/>
                <w:sz w:val="20"/>
                <w:szCs w:val="16"/>
                <w:lang w:val="ro-RO"/>
              </w:rPr>
            </w:pPr>
            <w:r w:rsidRPr="009C5F11">
              <w:rPr>
                <w:rFonts w:ascii="Times New Roman" w:hAnsi="Times New Roman" w:cs="Times New Roman"/>
                <w:b/>
                <w:color w:val="000000"/>
                <w:sz w:val="20"/>
                <w:szCs w:val="16"/>
                <w:lang w:val="ro-RO"/>
              </w:rPr>
              <w:t>2,683</w:t>
            </w:r>
          </w:p>
        </w:tc>
        <w:tc>
          <w:tcPr>
            <w:tcW w:w="0" w:type="auto"/>
            <w:shd w:val="clear" w:color="auto" w:fill="FFFFFF"/>
            <w:vAlign w:val="center"/>
          </w:tcPr>
          <w:p w14:paraId="0FDCB80E" w14:textId="77777777" w:rsidR="002733CB" w:rsidRPr="009C5F11" w:rsidRDefault="002733CB" w:rsidP="00911CDF">
            <w:pPr>
              <w:jc w:val="center"/>
              <w:rPr>
                <w:rFonts w:ascii="Times New Roman" w:hAnsi="Times New Roman" w:cs="Times New Roman"/>
                <w:b/>
                <w:color w:val="000000"/>
                <w:sz w:val="20"/>
                <w:szCs w:val="16"/>
                <w:lang w:val="ro-RO"/>
              </w:rPr>
            </w:pPr>
            <w:r w:rsidRPr="009C5F11">
              <w:rPr>
                <w:rFonts w:ascii="Times New Roman" w:hAnsi="Times New Roman" w:cs="Times New Roman"/>
                <w:b/>
                <w:color w:val="000000"/>
                <w:sz w:val="20"/>
                <w:szCs w:val="16"/>
                <w:lang w:val="ro-RO"/>
              </w:rPr>
              <w:t>2,463</w:t>
            </w:r>
          </w:p>
        </w:tc>
        <w:tc>
          <w:tcPr>
            <w:tcW w:w="0" w:type="auto"/>
            <w:shd w:val="clear" w:color="auto" w:fill="FFFFFF"/>
            <w:vAlign w:val="center"/>
          </w:tcPr>
          <w:p w14:paraId="218DACA8" w14:textId="77777777" w:rsidR="002733CB" w:rsidRPr="009C5F11" w:rsidRDefault="002733CB" w:rsidP="00911CDF">
            <w:pPr>
              <w:jc w:val="center"/>
              <w:rPr>
                <w:rFonts w:ascii="Times New Roman" w:hAnsi="Times New Roman" w:cs="Times New Roman"/>
                <w:b/>
                <w:color w:val="000000"/>
                <w:sz w:val="20"/>
                <w:szCs w:val="16"/>
                <w:lang w:val="ro-RO"/>
              </w:rPr>
            </w:pPr>
            <w:r w:rsidRPr="009C5F11">
              <w:rPr>
                <w:rFonts w:ascii="Times New Roman" w:hAnsi="Times New Roman" w:cs="Times New Roman"/>
                <w:b/>
                <w:color w:val="000000"/>
                <w:sz w:val="20"/>
                <w:szCs w:val="16"/>
                <w:lang w:val="ro-RO"/>
              </w:rPr>
              <w:t>220</w:t>
            </w:r>
          </w:p>
        </w:tc>
      </w:tr>
      <w:tr w:rsidR="001A3D16" w:rsidRPr="009C5F11" w14:paraId="33F10ADC" w14:textId="77777777" w:rsidTr="00FA7218">
        <w:trPr>
          <w:trHeight w:val="349"/>
          <w:jc w:val="center"/>
        </w:trPr>
        <w:tc>
          <w:tcPr>
            <w:tcW w:w="0" w:type="auto"/>
            <w:shd w:val="clear" w:color="auto" w:fill="FFFFFF"/>
            <w:vAlign w:val="center"/>
          </w:tcPr>
          <w:p w14:paraId="5DADBE20" w14:textId="77777777" w:rsidR="002733CB" w:rsidRPr="009C5F11" w:rsidRDefault="001A3D16" w:rsidP="001A3D16">
            <w:pPr>
              <w:jc w:val="center"/>
              <w:rPr>
                <w:rFonts w:ascii="Times New Roman" w:hAnsi="Times New Roman" w:cs="Times New Roman"/>
                <w:b/>
                <w:color w:val="000000"/>
                <w:sz w:val="20"/>
                <w:szCs w:val="16"/>
                <w:lang w:val="ro-RO"/>
              </w:rPr>
            </w:pPr>
            <w:r w:rsidRPr="009C5F11">
              <w:rPr>
                <w:rFonts w:ascii="Times New Roman" w:hAnsi="Times New Roman" w:cs="Times New Roman"/>
                <w:color w:val="000000"/>
                <w:sz w:val="20"/>
                <w:szCs w:val="16"/>
                <w:lang w:val="ro-RO"/>
              </w:rPr>
              <w:t>P</w:t>
            </w:r>
            <w:r w:rsidR="00BA5A89" w:rsidRPr="009C5F11">
              <w:rPr>
                <w:rFonts w:ascii="Times New Roman" w:hAnsi="Times New Roman" w:cs="Times New Roman"/>
                <w:color w:val="000000"/>
                <w:sz w:val="20"/>
                <w:szCs w:val="16"/>
                <w:lang w:val="ro-RO"/>
              </w:rPr>
              <w:t>ierderile</w:t>
            </w:r>
            <w:r w:rsidRPr="009C5F11">
              <w:rPr>
                <w:rFonts w:ascii="Times New Roman" w:hAnsi="Times New Roman" w:cs="Times New Roman"/>
                <w:color w:val="000000"/>
                <w:sz w:val="20"/>
                <w:szCs w:val="16"/>
                <w:lang w:val="ro-RO"/>
              </w:rPr>
              <w:t xml:space="preserve"> în faza de transformare a energie</w:t>
            </w:r>
            <w:r w:rsidR="00321CD5" w:rsidRPr="009C5F11">
              <w:rPr>
                <w:rFonts w:ascii="Times New Roman" w:hAnsi="Times New Roman" w:cs="Times New Roman"/>
                <w:color w:val="000000"/>
                <w:sz w:val="20"/>
                <w:szCs w:val="16"/>
                <w:lang w:val="ro-RO"/>
              </w:rPr>
              <w:t xml:space="preserve"> şi </w:t>
            </w:r>
            <w:r w:rsidRPr="009C5F11">
              <w:rPr>
                <w:rFonts w:ascii="Times New Roman" w:hAnsi="Times New Roman" w:cs="Times New Roman"/>
                <w:color w:val="000000"/>
                <w:sz w:val="20"/>
                <w:szCs w:val="16"/>
                <w:lang w:val="ro-RO"/>
              </w:rPr>
              <w:t xml:space="preserve">consumul propriu al </w:t>
            </w:r>
            <w:r w:rsidR="00421FA7" w:rsidRPr="009C5F11">
              <w:rPr>
                <w:rFonts w:ascii="Times New Roman" w:hAnsi="Times New Roman" w:cs="Times New Roman"/>
                <w:color w:val="000000"/>
                <w:sz w:val="20"/>
                <w:szCs w:val="16"/>
                <w:lang w:val="ro-RO"/>
              </w:rPr>
              <w:t>sectorul</w:t>
            </w:r>
            <w:r w:rsidRPr="009C5F11">
              <w:rPr>
                <w:rFonts w:ascii="Times New Roman" w:hAnsi="Times New Roman" w:cs="Times New Roman"/>
                <w:color w:val="000000"/>
                <w:sz w:val="20"/>
                <w:szCs w:val="16"/>
                <w:lang w:val="ro-RO"/>
              </w:rPr>
              <w:t>ui</w:t>
            </w:r>
            <w:r w:rsidR="00421FA7" w:rsidRPr="009C5F11">
              <w:rPr>
                <w:rFonts w:ascii="Times New Roman" w:hAnsi="Times New Roman" w:cs="Times New Roman"/>
                <w:color w:val="000000"/>
                <w:sz w:val="20"/>
                <w:szCs w:val="16"/>
                <w:lang w:val="ro-RO"/>
              </w:rPr>
              <w:t xml:space="preserve"> energetic</w:t>
            </w:r>
            <w:r w:rsidRPr="009C5F11">
              <w:rPr>
                <w:rFonts w:ascii="Times New Roman" w:hAnsi="Times New Roman" w:cs="Times New Roman"/>
                <w:color w:val="000000"/>
                <w:sz w:val="20"/>
                <w:szCs w:val="16"/>
                <w:lang w:val="ro-RO"/>
              </w:rPr>
              <w:t xml:space="preserve"> </w:t>
            </w:r>
          </w:p>
        </w:tc>
        <w:tc>
          <w:tcPr>
            <w:tcW w:w="0" w:type="auto"/>
            <w:shd w:val="clear" w:color="auto" w:fill="FFFFFF"/>
            <w:vAlign w:val="center"/>
          </w:tcPr>
          <w:p w14:paraId="6D63C84F" w14:textId="77777777" w:rsidR="002733CB" w:rsidRPr="009C5F11" w:rsidRDefault="002733CB" w:rsidP="00911CDF">
            <w:pPr>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120</w:t>
            </w:r>
          </w:p>
        </w:tc>
        <w:tc>
          <w:tcPr>
            <w:tcW w:w="0" w:type="auto"/>
            <w:shd w:val="clear" w:color="auto" w:fill="FFFFFF"/>
            <w:vAlign w:val="center"/>
          </w:tcPr>
          <w:p w14:paraId="2808741D" w14:textId="77777777" w:rsidR="002733CB" w:rsidRPr="009C5F11" w:rsidRDefault="002733CB" w:rsidP="00911CDF">
            <w:pPr>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109</w:t>
            </w:r>
          </w:p>
        </w:tc>
        <w:tc>
          <w:tcPr>
            <w:tcW w:w="0" w:type="auto"/>
            <w:shd w:val="clear" w:color="auto" w:fill="FFFFFF"/>
            <w:vAlign w:val="center"/>
          </w:tcPr>
          <w:p w14:paraId="675B4849" w14:textId="77777777" w:rsidR="002733CB" w:rsidRPr="009C5F11" w:rsidRDefault="002733CB" w:rsidP="00911CDF">
            <w:pPr>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11</w:t>
            </w:r>
          </w:p>
        </w:tc>
      </w:tr>
      <w:tr w:rsidR="001A3D16" w:rsidRPr="009C5F11" w14:paraId="76923A73" w14:textId="77777777" w:rsidTr="00FA7218">
        <w:trPr>
          <w:trHeight w:val="349"/>
          <w:jc w:val="center"/>
        </w:trPr>
        <w:tc>
          <w:tcPr>
            <w:tcW w:w="0" w:type="auto"/>
            <w:shd w:val="clear" w:color="auto" w:fill="FFFFFF"/>
            <w:vAlign w:val="center"/>
          </w:tcPr>
          <w:p w14:paraId="413A7ACE" w14:textId="77777777" w:rsidR="002733CB" w:rsidRPr="009C5F11" w:rsidRDefault="00D4035F" w:rsidP="00911CDF">
            <w:pPr>
              <w:jc w:val="center"/>
              <w:rPr>
                <w:rFonts w:ascii="Times New Roman" w:hAnsi="Times New Roman" w:cs="Times New Roman"/>
                <w:b/>
                <w:color w:val="000000"/>
                <w:sz w:val="20"/>
                <w:szCs w:val="16"/>
                <w:lang w:val="ro-RO"/>
              </w:rPr>
            </w:pPr>
            <w:r w:rsidRPr="009C5F11">
              <w:rPr>
                <w:rFonts w:ascii="Times New Roman" w:hAnsi="Times New Roman" w:cs="Times New Roman"/>
                <w:color w:val="000000"/>
                <w:sz w:val="20"/>
                <w:szCs w:val="16"/>
                <w:lang w:val="ro-RO"/>
              </w:rPr>
              <w:t>Pierderile</w:t>
            </w:r>
            <w:r w:rsidR="00321CD5" w:rsidRPr="009C5F11">
              <w:rPr>
                <w:rFonts w:ascii="Times New Roman" w:hAnsi="Times New Roman" w:cs="Times New Roman"/>
                <w:color w:val="000000"/>
                <w:sz w:val="20"/>
                <w:szCs w:val="16"/>
                <w:lang w:val="ro-RO"/>
              </w:rPr>
              <w:t xml:space="preserve"> în </w:t>
            </w:r>
            <w:r w:rsidR="008F7BD5" w:rsidRPr="009C5F11">
              <w:rPr>
                <w:rFonts w:ascii="Times New Roman" w:hAnsi="Times New Roman" w:cs="Times New Roman"/>
                <w:color w:val="000000"/>
                <w:sz w:val="20"/>
                <w:szCs w:val="16"/>
                <w:lang w:val="ro-RO"/>
              </w:rPr>
              <w:t>distribuţie</w:t>
            </w:r>
          </w:p>
        </w:tc>
        <w:tc>
          <w:tcPr>
            <w:tcW w:w="0" w:type="auto"/>
            <w:shd w:val="clear" w:color="auto" w:fill="FFFFFF"/>
            <w:vAlign w:val="center"/>
          </w:tcPr>
          <w:p w14:paraId="7B86055A" w14:textId="77777777" w:rsidR="002733CB" w:rsidRPr="009C5F11" w:rsidRDefault="002733CB" w:rsidP="00911CDF">
            <w:pPr>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166</w:t>
            </w:r>
          </w:p>
        </w:tc>
        <w:tc>
          <w:tcPr>
            <w:tcW w:w="0" w:type="auto"/>
            <w:shd w:val="clear" w:color="auto" w:fill="FFFFFF"/>
            <w:vAlign w:val="center"/>
          </w:tcPr>
          <w:p w14:paraId="5F8849B3" w14:textId="77777777" w:rsidR="002733CB" w:rsidRPr="009C5F11" w:rsidRDefault="002733CB" w:rsidP="00911CDF">
            <w:pPr>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125</w:t>
            </w:r>
          </w:p>
        </w:tc>
        <w:tc>
          <w:tcPr>
            <w:tcW w:w="0" w:type="auto"/>
            <w:shd w:val="clear" w:color="auto" w:fill="FFFFFF"/>
            <w:vAlign w:val="center"/>
          </w:tcPr>
          <w:p w14:paraId="0A80498C" w14:textId="77777777" w:rsidR="002733CB" w:rsidRPr="009C5F11" w:rsidRDefault="002733CB" w:rsidP="00911CDF">
            <w:pPr>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41</w:t>
            </w:r>
          </w:p>
        </w:tc>
      </w:tr>
      <w:tr w:rsidR="001A3D16" w:rsidRPr="009C5F11" w14:paraId="1C1BC804" w14:textId="77777777" w:rsidTr="00FA7218">
        <w:trPr>
          <w:trHeight w:val="331"/>
          <w:jc w:val="center"/>
        </w:trPr>
        <w:tc>
          <w:tcPr>
            <w:tcW w:w="0" w:type="auto"/>
            <w:shd w:val="clear" w:color="auto" w:fill="FFFFFF"/>
            <w:vAlign w:val="center"/>
          </w:tcPr>
          <w:p w14:paraId="62D94FA0" w14:textId="77777777" w:rsidR="002733CB" w:rsidRPr="009C5F11" w:rsidRDefault="001A3D16" w:rsidP="00911CDF">
            <w:pPr>
              <w:jc w:val="center"/>
              <w:rPr>
                <w:rFonts w:ascii="Times New Roman" w:hAnsi="Times New Roman" w:cs="Times New Roman"/>
                <w:b/>
                <w:color w:val="000000"/>
                <w:sz w:val="20"/>
                <w:szCs w:val="16"/>
                <w:lang w:val="ro-RO"/>
              </w:rPr>
            </w:pPr>
            <w:r w:rsidRPr="009C5F11">
              <w:rPr>
                <w:rFonts w:ascii="Times New Roman" w:hAnsi="Times New Roman" w:cs="Times New Roman"/>
                <w:color w:val="000000"/>
                <w:sz w:val="20"/>
                <w:szCs w:val="16"/>
                <w:lang w:val="ro-RO"/>
              </w:rPr>
              <w:t>Consumul non-energetic</w:t>
            </w:r>
          </w:p>
        </w:tc>
        <w:tc>
          <w:tcPr>
            <w:tcW w:w="0" w:type="auto"/>
            <w:shd w:val="clear" w:color="auto" w:fill="FFFFFF"/>
            <w:vAlign w:val="center"/>
          </w:tcPr>
          <w:p w14:paraId="45D0A516" w14:textId="77777777" w:rsidR="002733CB" w:rsidRPr="009C5F11" w:rsidRDefault="002733CB" w:rsidP="00911CDF">
            <w:pPr>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39</w:t>
            </w:r>
          </w:p>
        </w:tc>
        <w:tc>
          <w:tcPr>
            <w:tcW w:w="0" w:type="auto"/>
            <w:shd w:val="clear" w:color="auto" w:fill="FFFFFF"/>
            <w:vAlign w:val="center"/>
          </w:tcPr>
          <w:p w14:paraId="705A0F69" w14:textId="77777777" w:rsidR="002733CB" w:rsidRPr="009C5F11" w:rsidRDefault="002733CB" w:rsidP="00911CDF">
            <w:pPr>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39</w:t>
            </w:r>
          </w:p>
        </w:tc>
        <w:tc>
          <w:tcPr>
            <w:tcW w:w="0" w:type="auto"/>
            <w:shd w:val="clear" w:color="auto" w:fill="FFFFFF"/>
            <w:vAlign w:val="center"/>
          </w:tcPr>
          <w:p w14:paraId="4A0E27DB" w14:textId="77777777" w:rsidR="002733CB" w:rsidRPr="009C5F11" w:rsidRDefault="002733CB" w:rsidP="00911CDF">
            <w:pPr>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w:t>
            </w:r>
          </w:p>
        </w:tc>
      </w:tr>
      <w:tr w:rsidR="001A3D16" w:rsidRPr="009C5F11" w14:paraId="157C954B" w14:textId="77777777" w:rsidTr="00FA7218">
        <w:trPr>
          <w:trHeight w:val="340"/>
          <w:jc w:val="center"/>
        </w:trPr>
        <w:tc>
          <w:tcPr>
            <w:tcW w:w="0" w:type="auto"/>
            <w:shd w:val="clear" w:color="auto" w:fill="FFFFFF"/>
            <w:vAlign w:val="center"/>
          </w:tcPr>
          <w:p w14:paraId="70D4F18E" w14:textId="77777777" w:rsidR="002733CB" w:rsidRPr="009C5F11" w:rsidRDefault="001A3D16" w:rsidP="00911CDF">
            <w:pPr>
              <w:jc w:val="center"/>
              <w:rPr>
                <w:rFonts w:ascii="Times New Roman" w:hAnsi="Times New Roman" w:cs="Times New Roman"/>
                <w:b/>
                <w:color w:val="000000"/>
                <w:sz w:val="20"/>
                <w:szCs w:val="16"/>
                <w:lang w:val="ro-RO"/>
              </w:rPr>
            </w:pPr>
            <w:r w:rsidRPr="009C5F11">
              <w:rPr>
                <w:rFonts w:ascii="Times New Roman" w:hAnsi="Times New Roman" w:cs="Times New Roman"/>
                <w:b/>
                <w:color w:val="000000"/>
                <w:sz w:val="20"/>
                <w:szCs w:val="16"/>
                <w:lang w:val="ro-RO"/>
              </w:rPr>
              <w:t>Consumul total de energie finală</w:t>
            </w:r>
          </w:p>
        </w:tc>
        <w:tc>
          <w:tcPr>
            <w:tcW w:w="0" w:type="auto"/>
            <w:shd w:val="clear" w:color="auto" w:fill="FFFFFF"/>
            <w:vAlign w:val="center"/>
          </w:tcPr>
          <w:p w14:paraId="3443C5F4" w14:textId="77777777" w:rsidR="002733CB" w:rsidRPr="009C5F11" w:rsidRDefault="002733CB" w:rsidP="00911CDF">
            <w:pPr>
              <w:jc w:val="center"/>
              <w:rPr>
                <w:rFonts w:ascii="Times New Roman" w:hAnsi="Times New Roman" w:cs="Times New Roman"/>
                <w:b/>
                <w:color w:val="000000"/>
                <w:sz w:val="20"/>
                <w:szCs w:val="16"/>
                <w:lang w:val="ro-RO"/>
              </w:rPr>
            </w:pPr>
            <w:r w:rsidRPr="009C5F11">
              <w:rPr>
                <w:rFonts w:ascii="Times New Roman" w:hAnsi="Times New Roman" w:cs="Times New Roman"/>
                <w:b/>
                <w:color w:val="000000"/>
                <w:sz w:val="20"/>
                <w:szCs w:val="16"/>
                <w:lang w:val="ro-RO"/>
              </w:rPr>
              <w:t>2,357</w:t>
            </w:r>
          </w:p>
        </w:tc>
        <w:tc>
          <w:tcPr>
            <w:tcW w:w="0" w:type="auto"/>
            <w:shd w:val="clear" w:color="auto" w:fill="FFFFFF"/>
            <w:vAlign w:val="center"/>
          </w:tcPr>
          <w:p w14:paraId="270DF4BD" w14:textId="77777777" w:rsidR="002733CB" w:rsidRPr="009C5F11" w:rsidRDefault="002733CB" w:rsidP="00911CDF">
            <w:pPr>
              <w:jc w:val="center"/>
              <w:rPr>
                <w:rFonts w:ascii="Times New Roman" w:hAnsi="Times New Roman" w:cs="Times New Roman"/>
                <w:b/>
                <w:color w:val="000000"/>
                <w:sz w:val="20"/>
                <w:szCs w:val="16"/>
                <w:lang w:val="ro-RO"/>
              </w:rPr>
            </w:pPr>
            <w:r w:rsidRPr="009C5F11">
              <w:rPr>
                <w:rFonts w:ascii="Times New Roman" w:hAnsi="Times New Roman" w:cs="Times New Roman"/>
                <w:b/>
                <w:color w:val="000000"/>
                <w:sz w:val="20"/>
                <w:szCs w:val="16"/>
                <w:lang w:val="ro-RO"/>
              </w:rPr>
              <w:t>2,190</w:t>
            </w:r>
          </w:p>
        </w:tc>
        <w:tc>
          <w:tcPr>
            <w:tcW w:w="0" w:type="auto"/>
            <w:shd w:val="clear" w:color="auto" w:fill="FFFFFF"/>
            <w:vAlign w:val="center"/>
          </w:tcPr>
          <w:p w14:paraId="5D72BAFE" w14:textId="77777777" w:rsidR="002733CB" w:rsidRPr="009C5F11" w:rsidRDefault="002733CB" w:rsidP="00911CDF">
            <w:pPr>
              <w:jc w:val="center"/>
              <w:rPr>
                <w:rFonts w:ascii="Times New Roman" w:hAnsi="Times New Roman" w:cs="Times New Roman"/>
                <w:b/>
                <w:color w:val="000000"/>
                <w:sz w:val="20"/>
                <w:szCs w:val="16"/>
                <w:lang w:val="ro-RO"/>
              </w:rPr>
            </w:pPr>
            <w:r w:rsidRPr="009C5F11">
              <w:rPr>
                <w:rFonts w:ascii="Times New Roman" w:hAnsi="Times New Roman" w:cs="Times New Roman"/>
                <w:b/>
                <w:color w:val="000000"/>
                <w:sz w:val="20"/>
                <w:szCs w:val="16"/>
                <w:lang w:val="ro-RO"/>
              </w:rPr>
              <w:t>167</w:t>
            </w:r>
          </w:p>
        </w:tc>
      </w:tr>
      <w:tr w:rsidR="001A3D16" w:rsidRPr="009C5F11" w14:paraId="6BAE0F6B" w14:textId="77777777" w:rsidTr="00FA7218">
        <w:trPr>
          <w:trHeight w:val="340"/>
          <w:jc w:val="center"/>
        </w:trPr>
        <w:tc>
          <w:tcPr>
            <w:tcW w:w="0" w:type="auto"/>
            <w:shd w:val="clear" w:color="auto" w:fill="FFFFFF"/>
            <w:vAlign w:val="center"/>
          </w:tcPr>
          <w:p w14:paraId="67780AC0" w14:textId="77777777" w:rsidR="002733CB" w:rsidRPr="009C5F11" w:rsidRDefault="001A3D16" w:rsidP="00911CDF">
            <w:pPr>
              <w:jc w:val="center"/>
              <w:rPr>
                <w:rFonts w:ascii="Times New Roman" w:hAnsi="Times New Roman" w:cs="Times New Roman"/>
                <w:b/>
                <w:i/>
                <w:color w:val="000000"/>
                <w:sz w:val="20"/>
                <w:szCs w:val="16"/>
                <w:lang w:val="ro-RO"/>
              </w:rPr>
            </w:pPr>
            <w:r w:rsidRPr="009C5F11">
              <w:rPr>
                <w:rFonts w:ascii="Times New Roman" w:hAnsi="Times New Roman" w:cs="Times New Roman"/>
                <w:i/>
                <w:color w:val="000000"/>
                <w:sz w:val="20"/>
                <w:szCs w:val="16"/>
                <w:lang w:val="ro-RO"/>
              </w:rPr>
              <w:t>Consumul de energie finală</w:t>
            </w:r>
            <w:r w:rsidR="002733CB" w:rsidRPr="009C5F11">
              <w:rPr>
                <w:rFonts w:ascii="Times New Roman" w:hAnsi="Times New Roman" w:cs="Times New Roman"/>
                <w:i/>
                <w:color w:val="000000"/>
                <w:sz w:val="20"/>
                <w:szCs w:val="16"/>
                <w:lang w:val="ro-RO"/>
              </w:rPr>
              <w:t xml:space="preserve">– </w:t>
            </w:r>
            <w:r w:rsidR="0079253D" w:rsidRPr="009C5F11">
              <w:rPr>
                <w:rFonts w:ascii="Times New Roman" w:hAnsi="Times New Roman" w:cs="Times New Roman"/>
                <w:i/>
                <w:color w:val="000000"/>
                <w:sz w:val="20"/>
                <w:szCs w:val="16"/>
                <w:lang w:val="ro-RO"/>
              </w:rPr>
              <w:t>Industrie</w:t>
            </w:r>
          </w:p>
        </w:tc>
        <w:tc>
          <w:tcPr>
            <w:tcW w:w="0" w:type="auto"/>
            <w:shd w:val="clear" w:color="auto" w:fill="FFFFFF"/>
            <w:vAlign w:val="center"/>
          </w:tcPr>
          <w:p w14:paraId="034163E9" w14:textId="63B956C6" w:rsidR="002733CB" w:rsidRPr="009C5F11" w:rsidRDefault="000417A6"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211</w:t>
            </w:r>
          </w:p>
        </w:tc>
        <w:tc>
          <w:tcPr>
            <w:tcW w:w="0" w:type="auto"/>
            <w:shd w:val="clear" w:color="auto" w:fill="FFFFFF"/>
            <w:vAlign w:val="center"/>
          </w:tcPr>
          <w:p w14:paraId="7EA2944B" w14:textId="1936F65F" w:rsidR="002733CB" w:rsidRPr="009C5F11" w:rsidRDefault="000417A6" w:rsidP="00926AA8">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196</w:t>
            </w:r>
          </w:p>
        </w:tc>
        <w:tc>
          <w:tcPr>
            <w:tcW w:w="0" w:type="auto"/>
            <w:shd w:val="clear" w:color="auto" w:fill="FFFFFF"/>
            <w:vAlign w:val="center"/>
          </w:tcPr>
          <w:p w14:paraId="3E1FF95C" w14:textId="6C966450" w:rsidR="002733CB" w:rsidRPr="009C5F11" w:rsidRDefault="000417A6" w:rsidP="00926AA8">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15</w:t>
            </w:r>
          </w:p>
        </w:tc>
      </w:tr>
      <w:tr w:rsidR="001A3D16" w:rsidRPr="009C5F11" w14:paraId="08C687D1" w14:textId="77777777" w:rsidTr="00FA7218">
        <w:trPr>
          <w:trHeight w:val="349"/>
          <w:jc w:val="center"/>
        </w:trPr>
        <w:tc>
          <w:tcPr>
            <w:tcW w:w="0" w:type="auto"/>
            <w:shd w:val="clear" w:color="auto" w:fill="FFFFFF"/>
            <w:vAlign w:val="center"/>
          </w:tcPr>
          <w:p w14:paraId="0F926347" w14:textId="77777777" w:rsidR="002733CB" w:rsidRPr="009C5F11" w:rsidRDefault="001A3D16" w:rsidP="002C7A1A">
            <w:pPr>
              <w:jc w:val="center"/>
              <w:rPr>
                <w:rFonts w:ascii="Times New Roman" w:hAnsi="Times New Roman" w:cs="Times New Roman"/>
                <w:b/>
                <w:i/>
                <w:color w:val="000000"/>
                <w:sz w:val="20"/>
                <w:szCs w:val="16"/>
                <w:lang w:val="ro-RO"/>
              </w:rPr>
            </w:pPr>
            <w:r w:rsidRPr="009C5F11">
              <w:rPr>
                <w:rFonts w:ascii="Times New Roman" w:hAnsi="Times New Roman" w:cs="Times New Roman"/>
                <w:i/>
                <w:color w:val="000000"/>
                <w:sz w:val="20"/>
                <w:szCs w:val="16"/>
                <w:lang w:val="ro-RO"/>
              </w:rPr>
              <w:t>Consumul de energie finală</w:t>
            </w:r>
            <w:r w:rsidR="002733CB" w:rsidRPr="009C5F11">
              <w:rPr>
                <w:rFonts w:ascii="Times New Roman" w:hAnsi="Times New Roman" w:cs="Times New Roman"/>
                <w:i/>
                <w:color w:val="000000"/>
                <w:sz w:val="20"/>
                <w:szCs w:val="16"/>
                <w:lang w:val="ro-RO"/>
              </w:rPr>
              <w:t xml:space="preserve"> – </w:t>
            </w:r>
            <w:r w:rsidR="002C7A1A" w:rsidRPr="009C5F11">
              <w:rPr>
                <w:rFonts w:ascii="Times New Roman" w:hAnsi="Times New Roman" w:cs="Times New Roman"/>
                <w:i/>
                <w:color w:val="000000"/>
                <w:sz w:val="20"/>
                <w:szCs w:val="16"/>
                <w:lang w:val="ro-RO"/>
              </w:rPr>
              <w:t>Sectorul r</w:t>
            </w:r>
            <w:r w:rsidR="0079253D" w:rsidRPr="009C5F11">
              <w:rPr>
                <w:rFonts w:ascii="Times New Roman" w:hAnsi="Times New Roman" w:cs="Times New Roman"/>
                <w:i/>
                <w:color w:val="000000"/>
                <w:sz w:val="20"/>
                <w:szCs w:val="16"/>
                <w:lang w:val="ro-RO"/>
              </w:rPr>
              <w:t>ezidenţial</w:t>
            </w:r>
          </w:p>
        </w:tc>
        <w:tc>
          <w:tcPr>
            <w:tcW w:w="0" w:type="auto"/>
            <w:shd w:val="clear" w:color="auto" w:fill="FFFFFF"/>
            <w:vAlign w:val="center"/>
          </w:tcPr>
          <w:p w14:paraId="7DF74161" w14:textId="60934E0B" w:rsidR="002733CB" w:rsidRPr="009C5F11" w:rsidRDefault="000417A6"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1,018</w:t>
            </w:r>
          </w:p>
        </w:tc>
        <w:tc>
          <w:tcPr>
            <w:tcW w:w="0" w:type="auto"/>
            <w:shd w:val="clear" w:color="auto" w:fill="FFFFFF"/>
            <w:vAlign w:val="center"/>
          </w:tcPr>
          <w:p w14:paraId="119414FC" w14:textId="0E25D4F0" w:rsidR="002733CB" w:rsidRPr="009C5F11" w:rsidRDefault="000417A6"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946</w:t>
            </w:r>
          </w:p>
        </w:tc>
        <w:tc>
          <w:tcPr>
            <w:tcW w:w="0" w:type="auto"/>
            <w:shd w:val="clear" w:color="auto" w:fill="FFFFFF"/>
            <w:vAlign w:val="center"/>
          </w:tcPr>
          <w:p w14:paraId="78F5CD01" w14:textId="5C66C5F7" w:rsidR="002733CB" w:rsidRPr="009C5F11" w:rsidRDefault="000417A6"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72</w:t>
            </w:r>
          </w:p>
        </w:tc>
      </w:tr>
      <w:tr w:rsidR="001A3D16" w:rsidRPr="009C5F11" w14:paraId="069AFFA5" w14:textId="77777777" w:rsidTr="00FA7218">
        <w:trPr>
          <w:trHeight w:val="331"/>
          <w:jc w:val="center"/>
        </w:trPr>
        <w:tc>
          <w:tcPr>
            <w:tcW w:w="0" w:type="auto"/>
            <w:shd w:val="clear" w:color="auto" w:fill="FFFFFF"/>
            <w:vAlign w:val="center"/>
          </w:tcPr>
          <w:p w14:paraId="4355187E" w14:textId="77777777" w:rsidR="002733CB" w:rsidRPr="009C5F11" w:rsidRDefault="001A3D16"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Consumul de energie finală</w:t>
            </w:r>
            <w:r w:rsidR="002733CB" w:rsidRPr="009C5F11">
              <w:rPr>
                <w:rFonts w:ascii="Times New Roman" w:hAnsi="Times New Roman" w:cs="Times New Roman"/>
                <w:i/>
                <w:color w:val="000000"/>
                <w:sz w:val="20"/>
                <w:szCs w:val="16"/>
                <w:lang w:val="ro-RO"/>
              </w:rPr>
              <w:t xml:space="preserve"> – </w:t>
            </w:r>
            <w:r w:rsidR="00421FA7" w:rsidRPr="009C5F11">
              <w:rPr>
                <w:rFonts w:ascii="Times New Roman" w:hAnsi="Times New Roman" w:cs="Times New Roman"/>
                <w:i/>
                <w:color w:val="000000"/>
                <w:sz w:val="20"/>
                <w:szCs w:val="16"/>
                <w:lang w:val="ro-RO"/>
              </w:rPr>
              <w:t>Sectorul public</w:t>
            </w:r>
            <w:r w:rsidR="002733CB" w:rsidRPr="009C5F11">
              <w:rPr>
                <w:rFonts w:ascii="Times New Roman" w:hAnsi="Times New Roman" w:cs="Times New Roman"/>
                <w:i/>
                <w:color w:val="000000"/>
                <w:sz w:val="20"/>
                <w:szCs w:val="16"/>
                <w:lang w:val="ro-RO"/>
              </w:rPr>
              <w:t>/</w:t>
            </w:r>
            <w:r w:rsidR="00FA172F" w:rsidRPr="009C5F11">
              <w:rPr>
                <w:rFonts w:ascii="Times New Roman" w:hAnsi="Times New Roman" w:cs="Times New Roman"/>
                <w:i/>
                <w:color w:val="000000"/>
                <w:sz w:val="20"/>
                <w:szCs w:val="16"/>
                <w:lang w:val="ro-RO"/>
              </w:rPr>
              <w:t>servicii</w:t>
            </w:r>
          </w:p>
        </w:tc>
        <w:tc>
          <w:tcPr>
            <w:tcW w:w="0" w:type="auto"/>
            <w:shd w:val="clear" w:color="auto" w:fill="FFFFFF"/>
            <w:vAlign w:val="center"/>
          </w:tcPr>
          <w:p w14:paraId="32998320" w14:textId="6DC57935" w:rsidR="002733CB" w:rsidRPr="009C5F11" w:rsidRDefault="000417A6"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705</w:t>
            </w:r>
          </w:p>
        </w:tc>
        <w:tc>
          <w:tcPr>
            <w:tcW w:w="0" w:type="auto"/>
            <w:shd w:val="clear" w:color="auto" w:fill="FFFFFF"/>
            <w:vAlign w:val="center"/>
          </w:tcPr>
          <w:p w14:paraId="464824F0" w14:textId="4BC7D659" w:rsidR="002733CB" w:rsidRPr="009C5F11" w:rsidRDefault="000417A6"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655</w:t>
            </w:r>
          </w:p>
        </w:tc>
        <w:tc>
          <w:tcPr>
            <w:tcW w:w="0" w:type="auto"/>
            <w:shd w:val="clear" w:color="auto" w:fill="FFFFFF"/>
            <w:vAlign w:val="center"/>
          </w:tcPr>
          <w:p w14:paraId="58BDDB82" w14:textId="4C76E3FB" w:rsidR="002733CB" w:rsidRPr="009C5F11" w:rsidRDefault="000417A6"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50</w:t>
            </w:r>
          </w:p>
        </w:tc>
      </w:tr>
      <w:tr w:rsidR="001A3D16" w:rsidRPr="009C5F11" w14:paraId="253E3AC3" w14:textId="77777777" w:rsidTr="00FA7218">
        <w:trPr>
          <w:trHeight w:val="331"/>
          <w:jc w:val="center"/>
        </w:trPr>
        <w:tc>
          <w:tcPr>
            <w:tcW w:w="0" w:type="auto"/>
            <w:shd w:val="clear" w:color="auto" w:fill="FFFFFF"/>
            <w:vAlign w:val="center"/>
          </w:tcPr>
          <w:p w14:paraId="034E0242" w14:textId="77777777" w:rsidR="002733CB" w:rsidRPr="009C5F11" w:rsidRDefault="001A3D16" w:rsidP="00911CDF">
            <w:pPr>
              <w:jc w:val="center"/>
              <w:rPr>
                <w:rFonts w:ascii="Times New Roman" w:hAnsi="Times New Roman" w:cs="Times New Roman"/>
                <w:b/>
                <w:i/>
                <w:color w:val="000000"/>
                <w:sz w:val="20"/>
                <w:szCs w:val="16"/>
                <w:lang w:val="ro-RO"/>
              </w:rPr>
            </w:pPr>
            <w:r w:rsidRPr="009C5F11">
              <w:rPr>
                <w:rFonts w:ascii="Times New Roman" w:hAnsi="Times New Roman" w:cs="Times New Roman"/>
                <w:i/>
                <w:color w:val="000000"/>
                <w:sz w:val="20"/>
                <w:szCs w:val="16"/>
                <w:lang w:val="ro-RO"/>
              </w:rPr>
              <w:t>Consumul de energie finală</w:t>
            </w:r>
            <w:r w:rsidR="002733CB" w:rsidRPr="009C5F11">
              <w:rPr>
                <w:rFonts w:ascii="Times New Roman" w:hAnsi="Times New Roman" w:cs="Times New Roman"/>
                <w:i/>
                <w:color w:val="000000"/>
                <w:sz w:val="20"/>
                <w:szCs w:val="16"/>
                <w:lang w:val="ro-RO"/>
              </w:rPr>
              <w:t xml:space="preserve"> - Transport</w:t>
            </w:r>
            <w:r w:rsidRPr="009C5F11">
              <w:rPr>
                <w:rFonts w:ascii="Times New Roman" w:hAnsi="Times New Roman" w:cs="Times New Roman"/>
                <w:i/>
                <w:color w:val="000000"/>
                <w:sz w:val="20"/>
                <w:szCs w:val="16"/>
                <w:lang w:val="ro-RO"/>
              </w:rPr>
              <w:t>uri</w:t>
            </w:r>
          </w:p>
        </w:tc>
        <w:tc>
          <w:tcPr>
            <w:tcW w:w="0" w:type="auto"/>
            <w:shd w:val="clear" w:color="auto" w:fill="FFFFFF"/>
            <w:vAlign w:val="center"/>
          </w:tcPr>
          <w:p w14:paraId="62B962FC" w14:textId="0814F140" w:rsidR="002733CB" w:rsidRPr="009C5F11" w:rsidRDefault="000417A6"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423</w:t>
            </w:r>
          </w:p>
        </w:tc>
        <w:tc>
          <w:tcPr>
            <w:tcW w:w="0" w:type="auto"/>
            <w:shd w:val="clear" w:color="auto" w:fill="FFFFFF"/>
            <w:vAlign w:val="center"/>
          </w:tcPr>
          <w:p w14:paraId="7D17428D" w14:textId="2677C84B" w:rsidR="002733CB" w:rsidRPr="009C5F11" w:rsidRDefault="000417A6"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393</w:t>
            </w:r>
          </w:p>
        </w:tc>
        <w:tc>
          <w:tcPr>
            <w:tcW w:w="0" w:type="auto"/>
            <w:shd w:val="clear" w:color="auto" w:fill="FFFFFF"/>
            <w:vAlign w:val="center"/>
          </w:tcPr>
          <w:p w14:paraId="00610660" w14:textId="77777777" w:rsidR="002733CB" w:rsidRPr="009C5F11" w:rsidRDefault="00926AA8" w:rsidP="00911CDF">
            <w:pPr>
              <w:jc w:val="center"/>
              <w:rPr>
                <w:rFonts w:ascii="Times New Roman" w:hAnsi="Times New Roman" w:cs="Times New Roman"/>
                <w:i/>
                <w:color w:val="000000"/>
                <w:sz w:val="20"/>
                <w:szCs w:val="16"/>
                <w:lang w:val="ro-RO"/>
              </w:rPr>
            </w:pPr>
            <w:r w:rsidRPr="009C5F11">
              <w:rPr>
                <w:rFonts w:ascii="Times New Roman" w:hAnsi="Times New Roman" w:cs="Times New Roman"/>
                <w:i/>
                <w:color w:val="000000"/>
                <w:sz w:val="20"/>
                <w:szCs w:val="16"/>
                <w:lang w:val="ro-RO"/>
              </w:rPr>
              <w:t>30</w:t>
            </w:r>
          </w:p>
        </w:tc>
      </w:tr>
    </w:tbl>
    <w:p w14:paraId="5F6112EC" w14:textId="77777777" w:rsidR="002733CB" w:rsidRPr="009C5F11" w:rsidRDefault="002733CB" w:rsidP="002733CB">
      <w:pPr>
        <w:spacing w:after="0" w:line="240" w:lineRule="auto"/>
        <w:jc w:val="center"/>
        <w:rPr>
          <w:rFonts w:ascii="Times New Roman" w:hAnsi="Times New Roman" w:cs="Times New Roman"/>
          <w:szCs w:val="18"/>
          <w:lang w:val="ro-RO" w:eastAsia="sv-SE"/>
        </w:rPr>
      </w:pPr>
    </w:p>
    <w:p w14:paraId="2A1FC5EC" w14:textId="0FDC7535" w:rsidR="009324F5" w:rsidRPr="009C5F11" w:rsidRDefault="00334DD0" w:rsidP="00087B37">
      <w:pPr>
        <w:pStyle w:val="Listparagraf"/>
        <w:numPr>
          <w:ilvl w:val="0"/>
          <w:numId w:val="210"/>
        </w:numPr>
        <w:spacing w:before="120" w:after="120" w:line="240" w:lineRule="auto"/>
        <w:ind w:left="0" w:firstLine="273"/>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În </w:t>
      </w:r>
      <w:r w:rsidR="00334259" w:rsidRPr="009C5F11">
        <w:rPr>
          <w:rFonts w:ascii="Times New Roman" w:hAnsi="Times New Roman" w:cs="Times New Roman"/>
          <w:sz w:val="24"/>
          <w:lang w:val="ro-RO"/>
        </w:rPr>
        <w:t xml:space="preserve">vederea estimării consumului de </w:t>
      </w:r>
      <w:r w:rsidR="001E3482" w:rsidRPr="009C5F11">
        <w:rPr>
          <w:rFonts w:ascii="Times New Roman" w:hAnsi="Times New Roman" w:cs="Times New Roman"/>
          <w:sz w:val="24"/>
          <w:lang w:val="ro-RO"/>
        </w:rPr>
        <w:t>energie</w:t>
      </w:r>
      <w:r w:rsidR="002733CB" w:rsidRPr="009C5F11">
        <w:rPr>
          <w:rFonts w:ascii="Times New Roman" w:hAnsi="Times New Roman" w:cs="Times New Roman"/>
          <w:sz w:val="24"/>
          <w:lang w:val="ro-RO"/>
        </w:rPr>
        <w:t xml:space="preserve"> </w:t>
      </w:r>
      <w:r w:rsidR="00AC5FEE" w:rsidRPr="009C5F11">
        <w:rPr>
          <w:rFonts w:ascii="Times New Roman" w:hAnsi="Times New Roman" w:cs="Times New Roman"/>
          <w:sz w:val="24"/>
          <w:lang w:val="ro-RO"/>
        </w:rPr>
        <w:t xml:space="preserve">în 2020 </w:t>
      </w:r>
      <w:r w:rsidR="00334259" w:rsidRPr="009C5F11">
        <w:rPr>
          <w:rFonts w:ascii="Times New Roman" w:hAnsi="Times New Roman" w:cs="Times New Roman"/>
          <w:sz w:val="24"/>
          <w:lang w:val="ro-RO"/>
        </w:rPr>
        <w:t xml:space="preserve">pentru fiecare </w:t>
      </w:r>
      <w:r w:rsidR="002733CB" w:rsidRPr="009C5F11">
        <w:rPr>
          <w:rFonts w:ascii="Times New Roman" w:hAnsi="Times New Roman" w:cs="Times New Roman"/>
          <w:sz w:val="24"/>
          <w:lang w:val="ro-RO"/>
        </w:rPr>
        <w:t>sector</w:t>
      </w:r>
      <w:r w:rsidR="00321CD5"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 xml:space="preserve">conform scenariului </w:t>
      </w:r>
      <w:r w:rsidR="00191336" w:rsidRPr="009C5F11">
        <w:rPr>
          <w:rFonts w:ascii="Times New Roman" w:hAnsi="Times New Roman" w:cs="Times New Roman"/>
          <w:sz w:val="24"/>
          <w:lang w:val="ro-RO"/>
        </w:rPr>
        <w:t>BAU</w:t>
      </w:r>
      <w:r w:rsidR="002733CB"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 xml:space="preserve">au fost utilizate consumul estimat de energie </w:t>
      </w:r>
      <w:r w:rsidR="00146D3A" w:rsidRPr="009C5F11">
        <w:rPr>
          <w:rFonts w:ascii="Times New Roman" w:hAnsi="Times New Roman" w:cs="Times New Roman"/>
          <w:sz w:val="24"/>
          <w:lang w:val="ro-RO"/>
        </w:rPr>
        <w:t>primară</w:t>
      </w:r>
      <w:r w:rsidR="00334259" w:rsidRPr="009C5F11">
        <w:rPr>
          <w:rFonts w:ascii="Times New Roman" w:hAnsi="Times New Roman" w:cs="Times New Roman"/>
          <w:sz w:val="24"/>
          <w:lang w:val="ro-RO"/>
        </w:rPr>
        <w:t xml:space="preserve"> şi finală, precum şi divizarea consumului de energie pe sectoare </w:t>
      </w:r>
      <w:r w:rsidR="00603237" w:rsidRPr="009C5F11">
        <w:rPr>
          <w:rFonts w:ascii="Times New Roman" w:hAnsi="Times New Roman" w:cs="Times New Roman"/>
          <w:sz w:val="24"/>
          <w:lang w:val="ro-RO"/>
        </w:rPr>
        <w:t xml:space="preserve">pe parcursul </w:t>
      </w:r>
      <w:r w:rsidR="00334259" w:rsidRPr="009C5F11">
        <w:rPr>
          <w:rFonts w:ascii="Times New Roman" w:hAnsi="Times New Roman" w:cs="Times New Roman"/>
          <w:sz w:val="24"/>
          <w:lang w:val="ro-RO"/>
        </w:rPr>
        <w:t>ultimilor ani</w:t>
      </w:r>
      <w:r w:rsidR="002733CB"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 xml:space="preserve">Procentul mediu pentru fiecare sector a fost calculat pe baza datelor din </w:t>
      </w:r>
      <w:r w:rsidR="001A3D16" w:rsidRPr="009C5F11">
        <w:rPr>
          <w:rFonts w:ascii="Times New Roman" w:hAnsi="Times New Roman" w:cs="Times New Roman"/>
          <w:sz w:val="24"/>
          <w:lang w:val="ro-RO"/>
        </w:rPr>
        <w:t>Balanţa energetică a Republicii Moldova</w:t>
      </w:r>
      <w:r w:rsidR="002733CB" w:rsidRPr="009C5F11">
        <w:rPr>
          <w:rFonts w:ascii="Times New Roman" w:hAnsi="Times New Roman" w:cs="Times New Roman"/>
          <w:sz w:val="24"/>
          <w:lang w:val="ro-RO"/>
        </w:rPr>
        <w:t xml:space="preserve">. </w:t>
      </w:r>
      <w:r w:rsidR="00191336" w:rsidRPr="009C5F11">
        <w:rPr>
          <w:rFonts w:ascii="Times New Roman" w:hAnsi="Times New Roman" w:cs="Times New Roman"/>
          <w:sz w:val="24"/>
          <w:lang w:val="ro-RO"/>
        </w:rPr>
        <w:t>Distribu</w:t>
      </w:r>
      <w:r w:rsidR="00334259" w:rsidRPr="009C5F11">
        <w:rPr>
          <w:rFonts w:ascii="Times New Roman" w:hAnsi="Times New Roman" w:cs="Times New Roman"/>
          <w:sz w:val="24"/>
          <w:lang w:val="ro-RO"/>
        </w:rPr>
        <w:t xml:space="preserve">irea </w:t>
      </w:r>
      <w:r w:rsidR="00C639BC" w:rsidRPr="009C5F11">
        <w:rPr>
          <w:rFonts w:ascii="Times New Roman" w:hAnsi="Times New Roman" w:cs="Times New Roman"/>
          <w:sz w:val="24"/>
          <w:lang w:val="ro-RO"/>
        </w:rPr>
        <w:t>economii</w:t>
      </w:r>
      <w:r w:rsidR="00334259" w:rsidRPr="009C5F11">
        <w:rPr>
          <w:rFonts w:ascii="Times New Roman" w:hAnsi="Times New Roman" w:cs="Times New Roman"/>
          <w:sz w:val="24"/>
          <w:lang w:val="ro-RO"/>
        </w:rPr>
        <w:t xml:space="preserve">lor pe </w:t>
      </w:r>
      <w:r w:rsidR="00BC0247" w:rsidRPr="009C5F11">
        <w:rPr>
          <w:rFonts w:ascii="Times New Roman" w:hAnsi="Times New Roman" w:cs="Times New Roman"/>
          <w:sz w:val="24"/>
          <w:lang w:val="ro-RO"/>
        </w:rPr>
        <w:t>secto</w:t>
      </w:r>
      <w:r w:rsidR="00334259" w:rsidRPr="009C5F11">
        <w:rPr>
          <w:rFonts w:ascii="Times New Roman" w:hAnsi="Times New Roman" w:cs="Times New Roman"/>
          <w:sz w:val="24"/>
          <w:lang w:val="ro-RO"/>
        </w:rPr>
        <w:t>a</w:t>
      </w:r>
      <w:r w:rsidR="00BC0247" w:rsidRPr="009C5F11">
        <w:rPr>
          <w:rFonts w:ascii="Times New Roman" w:hAnsi="Times New Roman" w:cs="Times New Roman"/>
          <w:sz w:val="24"/>
          <w:lang w:val="ro-RO"/>
        </w:rPr>
        <w:t>r</w:t>
      </w:r>
      <w:r w:rsidR="00334259" w:rsidRPr="009C5F11">
        <w:rPr>
          <w:rFonts w:ascii="Times New Roman" w:hAnsi="Times New Roman" w:cs="Times New Roman"/>
          <w:sz w:val="24"/>
          <w:lang w:val="ro-RO"/>
        </w:rPr>
        <w:t>e</w:t>
      </w:r>
      <w:r w:rsidR="00BC0247"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 xml:space="preserve">s-a bazat pe distribuirea realocată pe sectoare </w:t>
      </w:r>
      <w:r w:rsidR="00334259" w:rsidRPr="009C5F11">
        <w:rPr>
          <w:rFonts w:ascii="Times New Roman" w:hAnsi="Times New Roman" w:cs="Times New Roman"/>
          <w:sz w:val="24"/>
          <w:lang w:val="ro-RO"/>
        </w:rPr>
        <w:lastRenderedPageBreak/>
        <w:t xml:space="preserve">după cum este indicat </w:t>
      </w:r>
      <w:r w:rsidR="00321CD5" w:rsidRPr="009C5F11">
        <w:rPr>
          <w:rFonts w:ascii="Times New Roman" w:hAnsi="Times New Roman" w:cs="Times New Roman"/>
          <w:sz w:val="24"/>
          <w:lang w:val="ro-RO"/>
        </w:rPr>
        <w:t xml:space="preserve">în </w:t>
      </w:r>
      <w:r w:rsidR="003A6ADB" w:rsidRPr="009C5F11">
        <w:rPr>
          <w:rFonts w:ascii="Times New Roman" w:hAnsi="Times New Roman" w:cs="Times New Roman"/>
          <w:sz w:val="24"/>
          <w:lang w:val="ro-RO"/>
        </w:rPr>
        <w:fldChar w:fldCharType="begin"/>
      </w:r>
      <w:r w:rsidR="00191336" w:rsidRPr="009C5F11">
        <w:rPr>
          <w:rFonts w:ascii="Times New Roman" w:hAnsi="Times New Roman" w:cs="Times New Roman"/>
          <w:sz w:val="24"/>
          <w:lang w:val="ro-RO"/>
        </w:rPr>
        <w:instrText xml:space="preserve"> REF _Ref319801512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 xml:space="preserve">Tabelul </w:t>
      </w:r>
      <w:r w:rsidR="0014013D" w:rsidRPr="0014013D">
        <w:rPr>
          <w:rFonts w:ascii="Times New Roman" w:hAnsi="Times New Roman" w:cs="Times New Roman"/>
          <w:noProof/>
          <w:sz w:val="24"/>
          <w:lang w:val="ro-RO"/>
        </w:rPr>
        <w:t>2</w:t>
      </w:r>
      <w:r w:rsidR="003A6ADB" w:rsidRPr="009C5F11">
        <w:rPr>
          <w:rFonts w:ascii="Times New Roman" w:hAnsi="Times New Roman" w:cs="Times New Roman"/>
          <w:sz w:val="24"/>
          <w:lang w:val="ro-RO"/>
        </w:rPr>
        <w:fldChar w:fldCharType="end"/>
      </w:r>
      <w:r w:rsidR="00321CD5" w:rsidRPr="009C5F11">
        <w:rPr>
          <w:rFonts w:ascii="Times New Roman" w:hAnsi="Times New Roman" w:cs="Times New Roman"/>
          <w:sz w:val="24"/>
          <w:lang w:val="ro-RO"/>
        </w:rPr>
        <w:t xml:space="preserve"> şi</w:t>
      </w:r>
      <w:r w:rsidR="00334259"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adiţional,</w:t>
      </w:r>
      <w:r w:rsidR="00321CD5" w:rsidRPr="009C5F11">
        <w:rPr>
          <w:rFonts w:ascii="Times New Roman" w:hAnsi="Times New Roman" w:cs="Times New Roman"/>
          <w:sz w:val="24"/>
          <w:lang w:val="ro-RO"/>
        </w:rPr>
        <w:t xml:space="preserve"> în </w:t>
      </w:r>
      <w:r w:rsidR="003A6ADB" w:rsidRPr="009C5F11">
        <w:rPr>
          <w:rFonts w:ascii="Times New Roman" w:hAnsi="Times New Roman" w:cs="Times New Roman"/>
          <w:sz w:val="24"/>
          <w:lang w:val="ro-RO"/>
        </w:rPr>
        <w:fldChar w:fldCharType="begin"/>
      </w:r>
      <w:r w:rsidR="00191336" w:rsidRPr="009C5F11">
        <w:rPr>
          <w:rFonts w:ascii="Times New Roman" w:hAnsi="Times New Roman" w:cs="Times New Roman"/>
          <w:sz w:val="24"/>
          <w:lang w:val="ro-RO"/>
        </w:rPr>
        <w:instrText xml:space="preserve"> REF _Ref319804690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 xml:space="preserve">Tabelul </w:t>
      </w:r>
      <w:r w:rsidR="0014013D" w:rsidRPr="0014013D">
        <w:rPr>
          <w:rFonts w:ascii="Times New Roman" w:hAnsi="Times New Roman" w:cs="Times New Roman"/>
          <w:noProof/>
          <w:sz w:val="24"/>
          <w:lang w:val="ro-RO"/>
        </w:rPr>
        <w:t>8</w:t>
      </w:r>
      <w:r w:rsidR="003A6ADB" w:rsidRPr="009C5F11">
        <w:rPr>
          <w:rFonts w:ascii="Times New Roman" w:hAnsi="Times New Roman" w:cs="Times New Roman"/>
          <w:sz w:val="24"/>
          <w:lang w:val="ro-RO"/>
        </w:rPr>
        <w:fldChar w:fldCharType="end"/>
      </w:r>
      <w:r w:rsidR="00191336" w:rsidRPr="009C5F11">
        <w:rPr>
          <w:rFonts w:ascii="Times New Roman" w:hAnsi="Times New Roman" w:cs="Times New Roman"/>
          <w:sz w:val="24"/>
          <w:lang w:val="ro-RO"/>
        </w:rPr>
        <w:t>.</w:t>
      </w:r>
      <w:r w:rsidR="00010AD1" w:rsidRPr="009C5F11">
        <w:rPr>
          <w:rFonts w:ascii="Times New Roman" w:hAnsi="Times New Roman" w:cs="Times New Roman"/>
          <w:sz w:val="24"/>
          <w:lang w:val="ro-RO"/>
        </w:rPr>
        <w:t xml:space="preserve"> </w:t>
      </w:r>
      <w:r w:rsidR="00BC0247" w:rsidRPr="009C5F11">
        <w:rPr>
          <w:rFonts w:ascii="Times New Roman" w:hAnsi="Times New Roman" w:cs="Times New Roman"/>
          <w:sz w:val="24"/>
          <w:lang w:val="ro-RO"/>
        </w:rPr>
        <w:t>Diferen</w:t>
      </w:r>
      <w:r w:rsidR="00334259" w:rsidRPr="009C5F11">
        <w:rPr>
          <w:rFonts w:ascii="Times New Roman" w:hAnsi="Times New Roman" w:cs="Times New Roman"/>
          <w:sz w:val="24"/>
          <w:lang w:val="ro-RO"/>
        </w:rPr>
        <w:t>ţa dintre</w:t>
      </w:r>
      <w:r w:rsidR="00BC0247"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 xml:space="preserve">obiectivele sectoriale </w:t>
      </w:r>
      <w:r w:rsidR="00BC0247" w:rsidRPr="009C5F11">
        <w:rPr>
          <w:rFonts w:ascii="Times New Roman" w:hAnsi="Times New Roman" w:cs="Times New Roman"/>
          <w:sz w:val="24"/>
          <w:lang w:val="ro-RO"/>
        </w:rPr>
        <w:t xml:space="preserve">BAU </w:t>
      </w:r>
      <w:r w:rsidR="00321CD5" w:rsidRPr="009C5F11">
        <w:rPr>
          <w:rFonts w:ascii="Times New Roman" w:hAnsi="Times New Roman" w:cs="Times New Roman"/>
          <w:sz w:val="24"/>
          <w:lang w:val="ro-RO"/>
        </w:rPr>
        <w:t xml:space="preserve">şi </w:t>
      </w:r>
      <w:r w:rsidR="00C639BC" w:rsidRPr="009C5F11">
        <w:rPr>
          <w:rFonts w:ascii="Times New Roman" w:hAnsi="Times New Roman" w:cs="Times New Roman"/>
          <w:sz w:val="24"/>
          <w:lang w:val="ro-RO"/>
        </w:rPr>
        <w:t>economii</w:t>
      </w:r>
      <w:r w:rsidR="00334259" w:rsidRPr="009C5F11">
        <w:rPr>
          <w:rFonts w:ascii="Times New Roman" w:hAnsi="Times New Roman" w:cs="Times New Roman"/>
          <w:sz w:val="24"/>
          <w:lang w:val="ro-RO"/>
        </w:rPr>
        <w:t xml:space="preserve">le sectoriale preconizate oferă valori pentru scenariul </w:t>
      </w:r>
      <w:r w:rsidR="00BC0247" w:rsidRPr="009C5F11">
        <w:rPr>
          <w:rFonts w:ascii="Times New Roman" w:hAnsi="Times New Roman" w:cs="Times New Roman"/>
          <w:sz w:val="24"/>
          <w:lang w:val="ro-RO"/>
        </w:rPr>
        <w:t xml:space="preserve">EE. </w:t>
      </w:r>
      <w:r w:rsidR="009324F5" w:rsidRPr="009C5F11">
        <w:rPr>
          <w:rFonts w:ascii="Times New Roman" w:hAnsi="Times New Roman" w:cs="Times New Roman"/>
          <w:sz w:val="24"/>
          <w:lang w:val="ro-RO"/>
        </w:rPr>
        <w:br w:type="page"/>
      </w:r>
    </w:p>
    <w:p w14:paraId="1FF8AE93" w14:textId="77777777" w:rsidR="00DB2737" w:rsidRPr="00D9464A" w:rsidRDefault="00DB2737" w:rsidP="002B2EBE">
      <w:pPr>
        <w:spacing w:before="120" w:after="120" w:line="240" w:lineRule="auto"/>
        <w:jc w:val="both"/>
        <w:textAlignment w:val="baseline"/>
        <w:rPr>
          <w:rFonts w:ascii="Times New Roman" w:hAnsi="Times New Roman" w:cs="Times New Roman"/>
          <w:color w:val="000000" w:themeColor="text1"/>
          <w:lang w:val="ro-RO"/>
        </w:rPr>
      </w:pPr>
    </w:p>
    <w:p w14:paraId="224E0DF4" w14:textId="77777777" w:rsidR="002733CB" w:rsidRPr="00D9464A" w:rsidRDefault="002733CB" w:rsidP="004163F4">
      <w:pPr>
        <w:pStyle w:val="Titlu2"/>
        <w:rPr>
          <w:rFonts w:ascii="Times New Roman" w:hAnsi="Times New Roman" w:cs="Times New Roman"/>
          <w:color w:val="000000" w:themeColor="text1"/>
          <w:sz w:val="28"/>
          <w:lang w:val="ro-RO"/>
        </w:rPr>
      </w:pPr>
      <w:bookmarkStart w:id="100" w:name="_Toc274298524"/>
      <w:bookmarkStart w:id="101" w:name="_Toc274304010"/>
      <w:bookmarkStart w:id="102" w:name="_Ref275775533"/>
      <w:bookmarkStart w:id="103" w:name="_Toc319555380"/>
      <w:bookmarkStart w:id="104" w:name="_Ref319619247"/>
      <w:bookmarkStart w:id="105" w:name="_Toc322013146"/>
      <w:r w:rsidRPr="00D9464A">
        <w:rPr>
          <w:rFonts w:ascii="Times New Roman" w:hAnsi="Times New Roman" w:cs="Times New Roman"/>
          <w:color w:val="000000" w:themeColor="text1"/>
          <w:sz w:val="28"/>
          <w:lang w:val="ro-RO"/>
        </w:rPr>
        <w:t>List</w:t>
      </w:r>
      <w:r w:rsidR="00334259" w:rsidRPr="00D9464A">
        <w:rPr>
          <w:rFonts w:ascii="Times New Roman" w:hAnsi="Times New Roman" w:cs="Times New Roman"/>
          <w:color w:val="000000" w:themeColor="text1"/>
          <w:sz w:val="28"/>
          <w:lang w:val="ro-RO"/>
        </w:rPr>
        <w:t>a</w:t>
      </w:r>
      <w:r w:rsidRPr="00D9464A">
        <w:rPr>
          <w:rFonts w:ascii="Times New Roman" w:hAnsi="Times New Roman" w:cs="Times New Roman"/>
          <w:color w:val="000000" w:themeColor="text1"/>
          <w:sz w:val="28"/>
          <w:lang w:val="ro-RO"/>
        </w:rPr>
        <w:t xml:space="preserve"> strategi</w:t>
      </w:r>
      <w:r w:rsidR="00334259" w:rsidRPr="00D9464A">
        <w:rPr>
          <w:rFonts w:ascii="Times New Roman" w:hAnsi="Times New Roman" w:cs="Times New Roman"/>
          <w:color w:val="000000" w:themeColor="text1"/>
          <w:sz w:val="28"/>
          <w:lang w:val="ro-RO"/>
        </w:rPr>
        <w:t xml:space="preserve">ilor </w:t>
      </w:r>
      <w:r w:rsidR="00EE50A1" w:rsidRPr="00D9464A">
        <w:rPr>
          <w:rFonts w:ascii="Times New Roman" w:hAnsi="Times New Roman" w:cs="Times New Roman"/>
          <w:color w:val="000000" w:themeColor="text1"/>
          <w:sz w:val="28"/>
          <w:lang w:val="ro-RO"/>
        </w:rPr>
        <w:t>care abordează</w:t>
      </w:r>
      <w:r w:rsidRPr="00D9464A">
        <w:rPr>
          <w:rFonts w:ascii="Times New Roman" w:hAnsi="Times New Roman" w:cs="Times New Roman"/>
          <w:color w:val="000000" w:themeColor="text1"/>
          <w:sz w:val="28"/>
          <w:lang w:val="ro-RO"/>
        </w:rPr>
        <w:t xml:space="preserve"> </w:t>
      </w:r>
      <w:r w:rsidR="00334259" w:rsidRPr="00D9464A">
        <w:rPr>
          <w:rFonts w:ascii="Times New Roman" w:hAnsi="Times New Roman" w:cs="Times New Roman"/>
          <w:color w:val="000000" w:themeColor="text1"/>
          <w:sz w:val="28"/>
          <w:lang w:val="ro-RO"/>
        </w:rPr>
        <w:t>economii</w:t>
      </w:r>
      <w:r w:rsidR="00EE50A1" w:rsidRPr="00D9464A">
        <w:rPr>
          <w:rFonts w:ascii="Times New Roman" w:hAnsi="Times New Roman" w:cs="Times New Roman"/>
          <w:color w:val="000000" w:themeColor="text1"/>
          <w:sz w:val="28"/>
          <w:lang w:val="ro-RO"/>
        </w:rPr>
        <w:t>le</w:t>
      </w:r>
      <w:r w:rsidR="00334259" w:rsidRPr="00D9464A">
        <w:rPr>
          <w:rFonts w:ascii="Times New Roman" w:hAnsi="Times New Roman" w:cs="Times New Roman"/>
          <w:color w:val="000000" w:themeColor="text1"/>
          <w:sz w:val="28"/>
          <w:lang w:val="ro-RO"/>
        </w:rPr>
        <w:t xml:space="preserve"> de energie primară</w:t>
      </w:r>
      <w:bookmarkEnd w:id="100"/>
      <w:bookmarkEnd w:id="101"/>
      <w:bookmarkEnd w:id="102"/>
      <w:bookmarkEnd w:id="103"/>
      <w:bookmarkEnd w:id="104"/>
      <w:bookmarkEnd w:id="105"/>
    </w:p>
    <w:p w14:paraId="277A073C" w14:textId="17892EF3" w:rsidR="002733CB" w:rsidRPr="009C5F11" w:rsidRDefault="005619E4"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Secţiunea</w:t>
      </w:r>
      <w:r w:rsidR="002B2EBE"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2B2EBE" w:rsidRPr="009C5F11">
        <w:rPr>
          <w:rFonts w:ascii="Times New Roman" w:hAnsi="Times New Roman" w:cs="Times New Roman"/>
          <w:sz w:val="24"/>
          <w:lang w:val="ro-RO"/>
        </w:rPr>
        <w:instrText xml:space="preserve"> REF _Ref319618521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1.3.1</w:t>
      </w:r>
      <w:r w:rsidR="003A6ADB" w:rsidRPr="009C5F11">
        <w:rPr>
          <w:rFonts w:ascii="Times New Roman" w:hAnsi="Times New Roman" w:cs="Times New Roman"/>
          <w:sz w:val="24"/>
          <w:lang w:val="ro-RO"/>
        </w:rPr>
        <w:fldChar w:fldCharType="end"/>
      </w:r>
      <w:r w:rsidR="002733CB" w:rsidRPr="009C5F11">
        <w:rPr>
          <w:rFonts w:ascii="Times New Roman" w:hAnsi="Times New Roman" w:cs="Times New Roman"/>
          <w:sz w:val="24"/>
          <w:lang w:val="ro-RO"/>
        </w:rPr>
        <w:t xml:space="preserve"> </w:t>
      </w:r>
      <w:r w:rsidR="00EE50A1" w:rsidRPr="009C5F11">
        <w:rPr>
          <w:rFonts w:ascii="Times New Roman" w:hAnsi="Times New Roman" w:cs="Times New Roman"/>
          <w:sz w:val="24"/>
          <w:lang w:val="ro-RO"/>
        </w:rPr>
        <w:t xml:space="preserve">oferă sumarul strategiilor naţionale şi a planurilor existente care se axează pe promovarea </w:t>
      </w:r>
      <w:r w:rsidR="004424A0" w:rsidRPr="009C5F11">
        <w:rPr>
          <w:rFonts w:ascii="Times New Roman" w:hAnsi="Times New Roman" w:cs="Times New Roman"/>
          <w:sz w:val="24"/>
          <w:lang w:val="ro-RO"/>
        </w:rPr>
        <w:t>economii</w:t>
      </w:r>
      <w:r w:rsidR="00EE50A1" w:rsidRPr="009C5F11">
        <w:rPr>
          <w:rFonts w:ascii="Times New Roman" w:hAnsi="Times New Roman" w:cs="Times New Roman"/>
          <w:sz w:val="24"/>
          <w:lang w:val="ro-RO"/>
        </w:rPr>
        <w:t>lor</w:t>
      </w:r>
      <w:r w:rsidR="004424A0" w:rsidRPr="009C5F11">
        <w:rPr>
          <w:rFonts w:ascii="Times New Roman" w:hAnsi="Times New Roman" w:cs="Times New Roman"/>
          <w:sz w:val="24"/>
          <w:lang w:val="ro-RO"/>
        </w:rPr>
        <w:t xml:space="preserve"> de energie</w:t>
      </w:r>
      <w:r w:rsidR="00321CD5" w:rsidRPr="009C5F11">
        <w:rPr>
          <w:rFonts w:ascii="Times New Roman" w:hAnsi="Times New Roman" w:cs="Times New Roman"/>
          <w:sz w:val="24"/>
          <w:lang w:val="ro-RO"/>
        </w:rPr>
        <w:t xml:space="preserve"> şi </w:t>
      </w:r>
      <w:r w:rsidR="00EE50A1" w:rsidRPr="009C5F11">
        <w:rPr>
          <w:rFonts w:ascii="Times New Roman" w:hAnsi="Times New Roman" w:cs="Times New Roman"/>
          <w:sz w:val="24"/>
          <w:lang w:val="ro-RO"/>
        </w:rPr>
        <w:t>au un</w:t>
      </w:r>
      <w:r w:rsidR="002733CB" w:rsidRPr="009C5F11">
        <w:rPr>
          <w:rFonts w:ascii="Times New Roman" w:hAnsi="Times New Roman" w:cs="Times New Roman"/>
          <w:sz w:val="24"/>
          <w:lang w:val="ro-RO"/>
        </w:rPr>
        <w:t xml:space="preserve"> impact </w:t>
      </w:r>
      <w:r w:rsidR="00EE50A1" w:rsidRPr="009C5F11">
        <w:rPr>
          <w:rFonts w:ascii="Times New Roman" w:hAnsi="Times New Roman" w:cs="Times New Roman"/>
          <w:sz w:val="24"/>
          <w:lang w:val="ro-RO"/>
        </w:rPr>
        <w:t>asupra cererii de energie primară</w:t>
      </w:r>
      <w:r w:rsidR="002733CB" w:rsidRPr="009C5F11">
        <w:rPr>
          <w:rFonts w:ascii="Times New Roman" w:hAnsi="Times New Roman" w:cs="Times New Roman"/>
          <w:sz w:val="24"/>
          <w:lang w:val="ro-RO"/>
        </w:rPr>
        <w:t>.</w:t>
      </w:r>
      <w:r w:rsidR="00C53930" w:rsidRPr="009C5F11">
        <w:rPr>
          <w:rFonts w:ascii="Times New Roman" w:hAnsi="Times New Roman" w:cs="Times New Roman"/>
          <w:sz w:val="24"/>
          <w:lang w:val="ro-RO"/>
        </w:rPr>
        <w:t xml:space="preserve"> </w:t>
      </w:r>
      <w:r w:rsidR="00AC5FEE" w:rsidRPr="009C5F11">
        <w:rPr>
          <w:rFonts w:ascii="Times New Roman" w:hAnsi="Times New Roman" w:cs="Times New Roman"/>
          <w:sz w:val="24"/>
          <w:lang w:val="ro-RO"/>
        </w:rPr>
        <w:t>Din o</w:t>
      </w:r>
      <w:r w:rsidR="00EE50A1" w:rsidRPr="009C5F11">
        <w:rPr>
          <w:rFonts w:ascii="Times New Roman" w:hAnsi="Times New Roman" w:cs="Times New Roman"/>
          <w:sz w:val="24"/>
          <w:lang w:val="ro-RO"/>
        </w:rPr>
        <w:t xml:space="preserve">biectivele </w:t>
      </w:r>
      <w:r w:rsidR="00C53930" w:rsidRPr="009C5F11">
        <w:rPr>
          <w:rFonts w:ascii="Times New Roman" w:hAnsi="Times New Roman" w:cs="Times New Roman"/>
          <w:sz w:val="24"/>
          <w:lang w:val="ro-RO"/>
        </w:rPr>
        <w:t>indicate</w:t>
      </w:r>
      <w:r w:rsidR="00321CD5" w:rsidRPr="009C5F11">
        <w:rPr>
          <w:rFonts w:ascii="Times New Roman" w:hAnsi="Times New Roman" w:cs="Times New Roman"/>
          <w:sz w:val="24"/>
          <w:lang w:val="ro-RO"/>
        </w:rPr>
        <w:t xml:space="preserve"> în </w:t>
      </w:r>
      <w:r w:rsidR="00672E6E" w:rsidRPr="009C5F11">
        <w:rPr>
          <w:rFonts w:ascii="Times New Roman" w:hAnsi="Times New Roman" w:cs="Times New Roman"/>
          <w:sz w:val="24"/>
          <w:lang w:val="ro-RO"/>
        </w:rPr>
        <w:fldChar w:fldCharType="begin"/>
      </w:r>
      <w:r w:rsidR="00672E6E" w:rsidRPr="009C5F11">
        <w:rPr>
          <w:rFonts w:ascii="Times New Roman" w:hAnsi="Times New Roman" w:cs="Times New Roman"/>
          <w:sz w:val="24"/>
          <w:lang w:val="ro-RO"/>
        </w:rPr>
        <w:instrText xml:space="preserve"> REF _Ref319614716 \h  \* MERGEFORMAT </w:instrText>
      </w:r>
      <w:r w:rsidR="00672E6E" w:rsidRPr="009C5F11">
        <w:rPr>
          <w:rFonts w:ascii="Times New Roman" w:hAnsi="Times New Roman" w:cs="Times New Roman"/>
          <w:sz w:val="24"/>
          <w:lang w:val="ro-RO"/>
        </w:rPr>
      </w:r>
      <w:r w:rsidR="00672E6E"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5</w:t>
      </w:r>
      <w:r w:rsidR="00672E6E" w:rsidRPr="009C5F11">
        <w:rPr>
          <w:rFonts w:ascii="Times New Roman" w:hAnsi="Times New Roman" w:cs="Times New Roman"/>
          <w:sz w:val="24"/>
          <w:lang w:val="ro-RO"/>
        </w:rPr>
        <w:fldChar w:fldCharType="end"/>
      </w:r>
      <w:r w:rsidR="002733CB" w:rsidRPr="009C5F11">
        <w:rPr>
          <w:rFonts w:ascii="Times New Roman" w:hAnsi="Times New Roman" w:cs="Times New Roman"/>
          <w:sz w:val="24"/>
          <w:lang w:val="ro-RO"/>
        </w:rPr>
        <w:t xml:space="preserve">, </w:t>
      </w:r>
      <w:r w:rsidR="00AC5FEE" w:rsidRPr="009C5F11">
        <w:rPr>
          <w:rFonts w:ascii="Times New Roman" w:hAnsi="Times New Roman" w:cs="Times New Roman"/>
          <w:sz w:val="24"/>
          <w:lang w:val="ro-RO"/>
        </w:rPr>
        <w:t xml:space="preserve">cele din </w:t>
      </w:r>
      <w:r w:rsidR="00EE50A1" w:rsidRPr="009C5F11">
        <w:rPr>
          <w:rFonts w:ascii="Times New Roman" w:hAnsi="Times New Roman" w:cs="Times New Roman"/>
          <w:sz w:val="24"/>
          <w:lang w:val="ro-RO"/>
        </w:rPr>
        <w:t>rândurile</w:t>
      </w:r>
      <w:r w:rsidR="002733CB" w:rsidRPr="009C5F11">
        <w:rPr>
          <w:rFonts w:ascii="Times New Roman" w:hAnsi="Times New Roman" w:cs="Times New Roman"/>
          <w:sz w:val="24"/>
          <w:lang w:val="ro-RO"/>
        </w:rPr>
        <w:t xml:space="preserve"> 1</w:t>
      </w:r>
      <w:r w:rsidR="00EE50A1"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2, 5</w:t>
      </w:r>
      <w:r w:rsidR="00EE50A1" w:rsidRPr="009C5F11">
        <w:rPr>
          <w:rFonts w:ascii="Times New Roman" w:hAnsi="Times New Roman" w:cs="Times New Roman"/>
          <w:sz w:val="24"/>
          <w:lang w:val="ro-RO"/>
        </w:rPr>
        <w:t xml:space="preserve"> indică energia primară</w:t>
      </w:r>
      <w:r w:rsidR="002733CB" w:rsidRPr="009C5F11">
        <w:rPr>
          <w:rFonts w:ascii="Times New Roman" w:hAnsi="Times New Roman" w:cs="Times New Roman"/>
          <w:sz w:val="24"/>
          <w:lang w:val="ro-RO"/>
        </w:rPr>
        <w:t xml:space="preserve">, </w:t>
      </w:r>
      <w:r w:rsidR="00AC5FEE" w:rsidRPr="009C5F11">
        <w:rPr>
          <w:rFonts w:ascii="Times New Roman" w:hAnsi="Times New Roman" w:cs="Times New Roman"/>
          <w:sz w:val="24"/>
          <w:lang w:val="ro-RO"/>
        </w:rPr>
        <w:t xml:space="preserve">din </w:t>
      </w:r>
      <w:r w:rsidR="00EE50A1" w:rsidRPr="009C5F11">
        <w:rPr>
          <w:rFonts w:ascii="Times New Roman" w:hAnsi="Times New Roman" w:cs="Times New Roman"/>
          <w:sz w:val="24"/>
          <w:lang w:val="ro-RO"/>
        </w:rPr>
        <w:t>rândurile</w:t>
      </w:r>
      <w:r w:rsidR="002733CB" w:rsidRPr="009C5F11">
        <w:rPr>
          <w:rFonts w:ascii="Times New Roman" w:hAnsi="Times New Roman" w:cs="Times New Roman"/>
          <w:sz w:val="24"/>
          <w:lang w:val="ro-RO"/>
        </w:rPr>
        <w:t xml:space="preserve"> 7, 8, 9 </w:t>
      </w:r>
      <w:r w:rsidR="00EE50A1" w:rsidRPr="009C5F11">
        <w:rPr>
          <w:rFonts w:ascii="Times New Roman" w:hAnsi="Times New Roman" w:cs="Times New Roman"/>
          <w:sz w:val="24"/>
          <w:lang w:val="ro-RO"/>
        </w:rPr>
        <w:t>indică pierderile de</w:t>
      </w:r>
      <w:r w:rsidR="002733CB" w:rsidRPr="009C5F11">
        <w:rPr>
          <w:rFonts w:ascii="Times New Roman" w:hAnsi="Times New Roman" w:cs="Times New Roman"/>
          <w:sz w:val="24"/>
          <w:lang w:val="ro-RO"/>
        </w:rPr>
        <w:t xml:space="preserve"> </w:t>
      </w:r>
      <w:r w:rsidR="008F7BD5" w:rsidRPr="009C5F11">
        <w:rPr>
          <w:rFonts w:ascii="Times New Roman" w:hAnsi="Times New Roman" w:cs="Times New Roman"/>
          <w:sz w:val="24"/>
          <w:lang w:val="ro-RO"/>
        </w:rPr>
        <w:t>distribuţie</w:t>
      </w:r>
      <w:r w:rsidR="00EE50A1" w:rsidRPr="009C5F11">
        <w:rPr>
          <w:rFonts w:ascii="Times New Roman" w:hAnsi="Times New Roman" w:cs="Times New Roman"/>
          <w:sz w:val="24"/>
          <w:lang w:val="ro-RO"/>
        </w:rPr>
        <w:t xml:space="preserve">, iar </w:t>
      </w:r>
      <w:r w:rsidR="00AC5FEE" w:rsidRPr="009C5F11">
        <w:rPr>
          <w:rFonts w:ascii="Times New Roman" w:hAnsi="Times New Roman" w:cs="Times New Roman"/>
          <w:sz w:val="24"/>
          <w:lang w:val="ro-RO"/>
        </w:rPr>
        <w:t xml:space="preserve">cele din </w:t>
      </w:r>
      <w:r w:rsidR="00EE50A1" w:rsidRPr="009C5F11">
        <w:rPr>
          <w:rFonts w:ascii="Times New Roman" w:hAnsi="Times New Roman" w:cs="Times New Roman"/>
          <w:sz w:val="24"/>
          <w:lang w:val="ro-RO"/>
        </w:rPr>
        <w:t>rândurile</w:t>
      </w:r>
      <w:r w:rsidR="00321CD5" w:rsidRPr="009C5F11">
        <w:rPr>
          <w:rFonts w:ascii="Times New Roman" w:hAnsi="Times New Roman" w:cs="Times New Roman"/>
          <w:sz w:val="24"/>
          <w:lang w:val="ro-RO"/>
        </w:rPr>
        <w:t xml:space="preserve"> </w:t>
      </w:r>
      <w:r w:rsidR="002733CB" w:rsidRPr="009C5F11">
        <w:rPr>
          <w:rFonts w:ascii="Times New Roman" w:hAnsi="Times New Roman" w:cs="Times New Roman"/>
          <w:sz w:val="24"/>
          <w:lang w:val="ro-RO"/>
        </w:rPr>
        <w:t>13,</w:t>
      </w:r>
      <w:r w:rsidR="004B4D75" w:rsidRPr="009C5F11">
        <w:rPr>
          <w:rFonts w:ascii="Times New Roman" w:hAnsi="Times New Roman" w:cs="Times New Roman"/>
          <w:sz w:val="24"/>
          <w:lang w:val="ro-RO"/>
        </w:rPr>
        <w:t xml:space="preserve"> </w:t>
      </w:r>
      <w:r w:rsidR="002733CB" w:rsidRPr="009C5F11">
        <w:rPr>
          <w:rFonts w:ascii="Times New Roman" w:hAnsi="Times New Roman" w:cs="Times New Roman"/>
          <w:sz w:val="24"/>
          <w:lang w:val="ro-RO"/>
        </w:rPr>
        <w:t>14,</w:t>
      </w:r>
      <w:r w:rsidR="004B4D75" w:rsidRPr="009C5F11">
        <w:rPr>
          <w:rFonts w:ascii="Times New Roman" w:hAnsi="Times New Roman" w:cs="Times New Roman"/>
          <w:sz w:val="24"/>
          <w:lang w:val="ro-RO"/>
        </w:rPr>
        <w:t xml:space="preserve"> </w:t>
      </w:r>
      <w:r w:rsidR="002733CB" w:rsidRPr="009C5F11">
        <w:rPr>
          <w:rFonts w:ascii="Times New Roman" w:hAnsi="Times New Roman" w:cs="Times New Roman"/>
          <w:sz w:val="24"/>
          <w:lang w:val="ro-RO"/>
        </w:rPr>
        <w:t>15,</w:t>
      </w:r>
      <w:r w:rsidR="004B4D75" w:rsidRPr="009C5F11">
        <w:rPr>
          <w:rFonts w:ascii="Times New Roman" w:hAnsi="Times New Roman" w:cs="Times New Roman"/>
          <w:sz w:val="24"/>
          <w:lang w:val="ro-RO"/>
        </w:rPr>
        <w:t xml:space="preserve"> </w:t>
      </w:r>
      <w:r w:rsidR="002733CB" w:rsidRPr="009C5F11">
        <w:rPr>
          <w:rFonts w:ascii="Times New Roman" w:hAnsi="Times New Roman" w:cs="Times New Roman"/>
          <w:sz w:val="24"/>
          <w:lang w:val="ro-RO"/>
        </w:rPr>
        <w:t xml:space="preserve">16 </w:t>
      </w:r>
      <w:r w:rsidR="00EE50A1" w:rsidRPr="009C5F11">
        <w:rPr>
          <w:rFonts w:ascii="Times New Roman" w:hAnsi="Times New Roman" w:cs="Times New Roman"/>
          <w:sz w:val="24"/>
          <w:lang w:val="ro-RO"/>
        </w:rPr>
        <w:t>indică</w:t>
      </w:r>
      <w:r w:rsidR="002733CB" w:rsidRPr="009C5F11">
        <w:rPr>
          <w:rFonts w:ascii="Times New Roman" w:hAnsi="Times New Roman" w:cs="Times New Roman"/>
          <w:sz w:val="24"/>
          <w:lang w:val="ro-RO"/>
        </w:rPr>
        <w:t xml:space="preserve"> </w:t>
      </w:r>
      <w:r w:rsidR="00AC5FEE" w:rsidRPr="009C5F11">
        <w:rPr>
          <w:rFonts w:ascii="Times New Roman" w:hAnsi="Times New Roman" w:cs="Times New Roman"/>
          <w:sz w:val="24"/>
          <w:lang w:val="ro-RO"/>
        </w:rPr>
        <w:t xml:space="preserve">pierderile în faza de </w:t>
      </w:r>
      <w:r w:rsidR="002733CB" w:rsidRPr="009C5F11">
        <w:rPr>
          <w:rFonts w:ascii="Times New Roman" w:hAnsi="Times New Roman" w:cs="Times New Roman"/>
          <w:sz w:val="24"/>
          <w:lang w:val="ro-RO"/>
        </w:rPr>
        <w:t>transforma</w:t>
      </w:r>
      <w:r w:rsidR="00EE50A1" w:rsidRPr="009C5F11">
        <w:rPr>
          <w:rFonts w:ascii="Times New Roman" w:hAnsi="Times New Roman" w:cs="Times New Roman"/>
          <w:sz w:val="24"/>
          <w:lang w:val="ro-RO"/>
        </w:rPr>
        <w:t>re</w:t>
      </w:r>
      <w:r w:rsidR="00AC5FEE" w:rsidRPr="009C5F11">
        <w:rPr>
          <w:rFonts w:ascii="Times New Roman" w:hAnsi="Times New Roman" w:cs="Times New Roman"/>
          <w:sz w:val="24"/>
          <w:lang w:val="ro-RO"/>
        </w:rPr>
        <w:t xml:space="preserve"> </w:t>
      </w:r>
      <w:r w:rsidR="00EE50A1" w:rsidRPr="009C5F11">
        <w:rPr>
          <w:rFonts w:ascii="Times New Roman" w:hAnsi="Times New Roman" w:cs="Times New Roman"/>
          <w:sz w:val="24"/>
          <w:lang w:val="ro-RO"/>
        </w:rPr>
        <w:t xml:space="preserve">a </w:t>
      </w:r>
      <w:r w:rsidR="00AC5FEE" w:rsidRPr="009C5F11">
        <w:rPr>
          <w:rFonts w:ascii="Times New Roman" w:hAnsi="Times New Roman" w:cs="Times New Roman"/>
          <w:sz w:val="24"/>
          <w:lang w:val="ro-RO"/>
        </w:rPr>
        <w:t>energiei</w:t>
      </w:r>
      <w:r w:rsidR="00EE50A1" w:rsidRPr="009C5F11">
        <w:rPr>
          <w:rFonts w:ascii="Times New Roman" w:hAnsi="Times New Roman" w:cs="Times New Roman"/>
          <w:sz w:val="24"/>
          <w:lang w:val="ro-RO"/>
        </w:rPr>
        <w:t xml:space="preserve"> primar</w:t>
      </w:r>
      <w:r w:rsidR="00AC5FEE" w:rsidRPr="009C5F11">
        <w:rPr>
          <w:rFonts w:ascii="Times New Roman" w:hAnsi="Times New Roman" w:cs="Times New Roman"/>
          <w:sz w:val="24"/>
          <w:lang w:val="ro-RO"/>
        </w:rPr>
        <w:t>e</w:t>
      </w:r>
      <w:r w:rsidR="002733CB" w:rsidRPr="009C5F11">
        <w:rPr>
          <w:rFonts w:ascii="Times New Roman" w:hAnsi="Times New Roman" w:cs="Times New Roman"/>
          <w:sz w:val="24"/>
          <w:lang w:val="ro-RO"/>
        </w:rPr>
        <w:t>.</w:t>
      </w:r>
    </w:p>
    <w:p w14:paraId="0F74481D" w14:textId="77777777" w:rsidR="00DB2737" w:rsidRPr="009C5F11" w:rsidRDefault="00DB2737" w:rsidP="002B2EBE">
      <w:pPr>
        <w:spacing w:before="120" w:after="120" w:line="240" w:lineRule="auto"/>
        <w:jc w:val="both"/>
        <w:textAlignment w:val="baseline"/>
        <w:rPr>
          <w:rFonts w:ascii="Times New Roman" w:hAnsi="Times New Roman" w:cs="Times New Roman"/>
          <w:sz w:val="24"/>
          <w:lang w:val="ro-RO"/>
        </w:rPr>
      </w:pPr>
    </w:p>
    <w:p w14:paraId="7AFF46AA" w14:textId="77777777" w:rsidR="002733CB" w:rsidRPr="00D9464A" w:rsidRDefault="00D518F0" w:rsidP="004163F4">
      <w:pPr>
        <w:pStyle w:val="Titlu2"/>
        <w:rPr>
          <w:rFonts w:ascii="Times New Roman" w:hAnsi="Times New Roman" w:cs="Times New Roman"/>
          <w:color w:val="000000" w:themeColor="text1"/>
          <w:sz w:val="28"/>
          <w:lang w:val="ro-RO"/>
        </w:rPr>
      </w:pPr>
      <w:bookmarkStart w:id="106" w:name="_Ref274126252"/>
      <w:bookmarkStart w:id="107" w:name="_Toc274298525"/>
      <w:bookmarkStart w:id="108" w:name="_Toc274304011"/>
      <w:bookmarkStart w:id="109" w:name="_Toc319555381"/>
      <w:bookmarkStart w:id="110" w:name="_Toc322013147"/>
      <w:r w:rsidRPr="00D9464A">
        <w:rPr>
          <w:rFonts w:ascii="Times New Roman" w:hAnsi="Times New Roman" w:cs="Times New Roman"/>
          <w:color w:val="000000" w:themeColor="text1"/>
          <w:sz w:val="28"/>
          <w:lang w:val="ro-RO"/>
        </w:rPr>
        <w:t>Măsuri</w:t>
      </w:r>
      <w:r w:rsidR="002733CB" w:rsidRPr="00D9464A">
        <w:rPr>
          <w:rFonts w:ascii="Times New Roman" w:hAnsi="Times New Roman" w:cs="Times New Roman"/>
          <w:color w:val="000000" w:themeColor="text1"/>
          <w:sz w:val="28"/>
          <w:lang w:val="ro-RO"/>
        </w:rPr>
        <w:t xml:space="preserve"> </w:t>
      </w:r>
      <w:r w:rsidR="00334259" w:rsidRPr="00D9464A">
        <w:rPr>
          <w:rFonts w:ascii="Times New Roman" w:hAnsi="Times New Roman" w:cs="Times New Roman"/>
          <w:color w:val="000000" w:themeColor="text1"/>
          <w:sz w:val="28"/>
          <w:lang w:val="ro-RO"/>
        </w:rPr>
        <w:t>pentru economi</w:t>
      </w:r>
      <w:r w:rsidR="00AC5FEE" w:rsidRPr="00D9464A">
        <w:rPr>
          <w:rFonts w:ascii="Times New Roman" w:hAnsi="Times New Roman" w:cs="Times New Roman"/>
          <w:color w:val="000000" w:themeColor="text1"/>
          <w:sz w:val="28"/>
          <w:lang w:val="ro-RO"/>
        </w:rPr>
        <w:t>sirea</w:t>
      </w:r>
      <w:r w:rsidR="00334259" w:rsidRPr="00D9464A">
        <w:rPr>
          <w:rFonts w:ascii="Times New Roman" w:hAnsi="Times New Roman" w:cs="Times New Roman"/>
          <w:color w:val="000000" w:themeColor="text1"/>
          <w:sz w:val="28"/>
          <w:lang w:val="ro-RO"/>
        </w:rPr>
        <w:t xml:space="preserve"> energie</w:t>
      </w:r>
      <w:r w:rsidR="00AC5FEE" w:rsidRPr="00D9464A">
        <w:rPr>
          <w:rFonts w:ascii="Times New Roman" w:hAnsi="Times New Roman" w:cs="Times New Roman"/>
          <w:color w:val="000000" w:themeColor="text1"/>
          <w:sz w:val="28"/>
          <w:lang w:val="ro-RO"/>
        </w:rPr>
        <w:t>i</w:t>
      </w:r>
      <w:r w:rsidR="00334259" w:rsidRPr="00D9464A">
        <w:rPr>
          <w:rFonts w:ascii="Times New Roman" w:hAnsi="Times New Roman" w:cs="Times New Roman"/>
          <w:color w:val="000000" w:themeColor="text1"/>
          <w:sz w:val="28"/>
          <w:lang w:val="ro-RO"/>
        </w:rPr>
        <w:t xml:space="preserve"> primar</w:t>
      </w:r>
      <w:bookmarkEnd w:id="106"/>
      <w:bookmarkEnd w:id="107"/>
      <w:bookmarkEnd w:id="108"/>
      <w:bookmarkEnd w:id="109"/>
      <w:r w:rsidR="00AC5FEE" w:rsidRPr="00D9464A">
        <w:rPr>
          <w:rFonts w:ascii="Times New Roman" w:hAnsi="Times New Roman" w:cs="Times New Roman"/>
          <w:color w:val="000000" w:themeColor="text1"/>
          <w:sz w:val="28"/>
          <w:lang w:val="ro-RO"/>
        </w:rPr>
        <w:t>e</w:t>
      </w:r>
      <w:bookmarkEnd w:id="110"/>
    </w:p>
    <w:p w14:paraId="2E46E890" w14:textId="572BDC5B" w:rsidR="002733CB" w:rsidRPr="009C5F11" w:rsidRDefault="00127723"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bookmarkStart w:id="111" w:name="_Toc274298526"/>
      <w:bookmarkStart w:id="112" w:name="_Toc274304012"/>
      <w:bookmarkStart w:id="113" w:name="_Ref275790677"/>
      <w:r w:rsidRPr="009C5F11">
        <w:rPr>
          <w:rFonts w:ascii="Times New Roman" w:hAnsi="Times New Roman" w:cs="Times New Roman"/>
          <w:sz w:val="24"/>
          <w:lang w:val="ro-RO"/>
        </w:rPr>
        <w:t>Capitolul</w:t>
      </w:r>
      <w:r w:rsidR="002733CB" w:rsidRPr="009C5F11">
        <w:rPr>
          <w:rFonts w:ascii="Times New Roman" w:hAnsi="Times New Roman" w:cs="Times New Roman"/>
          <w:sz w:val="24"/>
          <w:lang w:val="ro-RO"/>
        </w:rPr>
        <w:t xml:space="preserve"> </w:t>
      </w:r>
      <w:r w:rsidR="00EE50A1" w:rsidRPr="009C5F11">
        <w:rPr>
          <w:rFonts w:ascii="Times New Roman" w:hAnsi="Times New Roman" w:cs="Times New Roman"/>
          <w:sz w:val="24"/>
          <w:lang w:val="ro-RO"/>
        </w:rPr>
        <w:t xml:space="preserve">prezent </w:t>
      </w:r>
      <w:r w:rsidR="008648CE" w:rsidRPr="009C5F11">
        <w:rPr>
          <w:rFonts w:ascii="Times New Roman" w:hAnsi="Times New Roman" w:cs="Times New Roman"/>
          <w:sz w:val="24"/>
          <w:lang w:val="ro-RO"/>
        </w:rPr>
        <w:t>rezum</w:t>
      </w:r>
      <w:r w:rsidR="00EE50A1" w:rsidRPr="009C5F11">
        <w:rPr>
          <w:rFonts w:ascii="Times New Roman" w:hAnsi="Times New Roman" w:cs="Times New Roman"/>
          <w:sz w:val="24"/>
          <w:lang w:val="ro-RO"/>
        </w:rPr>
        <w:t xml:space="preserve">ă </w:t>
      </w:r>
      <w:r w:rsidR="00E10BE5" w:rsidRPr="009C5F11">
        <w:rPr>
          <w:rFonts w:ascii="Times New Roman" w:hAnsi="Times New Roman" w:cs="Times New Roman"/>
          <w:sz w:val="24"/>
          <w:lang w:val="ro-RO"/>
        </w:rPr>
        <w:t>măsuri</w:t>
      </w:r>
      <w:r w:rsidR="00EE50A1" w:rsidRPr="009C5F11">
        <w:rPr>
          <w:rFonts w:ascii="Times New Roman" w:hAnsi="Times New Roman" w:cs="Times New Roman"/>
          <w:sz w:val="24"/>
          <w:lang w:val="ro-RO"/>
        </w:rPr>
        <w:t>le de abordarea a potenţialului de economisire a energie</w:t>
      </w:r>
      <w:r w:rsidR="008648CE" w:rsidRPr="009C5F11">
        <w:rPr>
          <w:rFonts w:ascii="Times New Roman" w:hAnsi="Times New Roman" w:cs="Times New Roman"/>
          <w:sz w:val="24"/>
          <w:lang w:val="ro-RO"/>
        </w:rPr>
        <w:t>i</w:t>
      </w:r>
      <w:r w:rsidR="00EE50A1" w:rsidRPr="009C5F11">
        <w:rPr>
          <w:rFonts w:ascii="Times New Roman" w:hAnsi="Times New Roman" w:cs="Times New Roman"/>
          <w:sz w:val="24"/>
          <w:lang w:val="ro-RO"/>
        </w:rPr>
        <w:t xml:space="preserve"> primare</w:t>
      </w:r>
      <w:r w:rsidR="002733CB"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inclusiv</w:t>
      </w:r>
      <w:r w:rsidR="002733CB"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002733CB" w:rsidRPr="009C5F11">
        <w:rPr>
          <w:rFonts w:ascii="Times New Roman" w:hAnsi="Times New Roman" w:cs="Times New Roman"/>
          <w:sz w:val="24"/>
          <w:lang w:val="ro-RO"/>
        </w:rPr>
        <w:t xml:space="preserve"> </w:t>
      </w:r>
      <w:r w:rsidR="00EE50A1" w:rsidRPr="009C5F11">
        <w:rPr>
          <w:rFonts w:ascii="Times New Roman" w:hAnsi="Times New Roman" w:cs="Times New Roman"/>
          <w:sz w:val="24"/>
          <w:lang w:val="ro-RO"/>
        </w:rPr>
        <w:t xml:space="preserve">din perspectiva </w:t>
      </w:r>
      <w:r w:rsidR="008648CE" w:rsidRPr="009C5F11">
        <w:rPr>
          <w:rFonts w:ascii="Times New Roman" w:hAnsi="Times New Roman" w:cs="Times New Roman"/>
          <w:sz w:val="24"/>
          <w:lang w:val="ro-RO"/>
        </w:rPr>
        <w:t>a</w:t>
      </w:r>
      <w:r w:rsidR="00102D51" w:rsidRPr="009C5F11">
        <w:rPr>
          <w:rFonts w:ascii="Times New Roman" w:hAnsi="Times New Roman" w:cs="Times New Roman"/>
          <w:sz w:val="24"/>
          <w:lang w:val="ro-RO"/>
        </w:rPr>
        <w:t>provizionarii</w:t>
      </w:r>
      <w:r w:rsidR="008648CE" w:rsidRPr="009C5F11">
        <w:rPr>
          <w:rFonts w:ascii="Times New Roman" w:hAnsi="Times New Roman" w:cs="Times New Roman"/>
          <w:sz w:val="24"/>
          <w:lang w:val="ro-RO"/>
        </w:rPr>
        <w:t xml:space="preserve"> cu energie</w:t>
      </w:r>
      <w:r w:rsidR="00321CD5" w:rsidRPr="009C5F11">
        <w:rPr>
          <w:rFonts w:ascii="Times New Roman" w:hAnsi="Times New Roman" w:cs="Times New Roman"/>
          <w:sz w:val="24"/>
          <w:lang w:val="ro-RO"/>
        </w:rPr>
        <w:t xml:space="preserve"> şi </w:t>
      </w:r>
      <w:r w:rsidR="008648CE" w:rsidRPr="009C5F11">
        <w:rPr>
          <w:rFonts w:ascii="Times New Roman" w:hAnsi="Times New Roman" w:cs="Times New Roman"/>
          <w:sz w:val="24"/>
          <w:lang w:val="ro-RO"/>
        </w:rPr>
        <w:t xml:space="preserve">a </w:t>
      </w:r>
      <w:r w:rsidR="008F7BD5" w:rsidRPr="009C5F11">
        <w:rPr>
          <w:rFonts w:ascii="Times New Roman" w:hAnsi="Times New Roman" w:cs="Times New Roman"/>
          <w:sz w:val="24"/>
          <w:lang w:val="ro-RO"/>
        </w:rPr>
        <w:t>transport</w:t>
      </w:r>
      <w:r w:rsidR="00EE50A1" w:rsidRPr="009C5F11">
        <w:rPr>
          <w:rFonts w:ascii="Times New Roman" w:hAnsi="Times New Roman" w:cs="Times New Roman"/>
          <w:sz w:val="24"/>
          <w:lang w:val="ro-RO"/>
        </w:rPr>
        <w:t>ului</w:t>
      </w:r>
      <w:r w:rsidR="002733CB" w:rsidRPr="009C5F11">
        <w:rPr>
          <w:rFonts w:ascii="Times New Roman" w:hAnsi="Times New Roman" w:cs="Times New Roman"/>
          <w:sz w:val="24"/>
          <w:lang w:val="ro-RO"/>
        </w:rPr>
        <w:t>/</w:t>
      </w:r>
      <w:r w:rsidR="008F7BD5" w:rsidRPr="009C5F11">
        <w:rPr>
          <w:rFonts w:ascii="Times New Roman" w:hAnsi="Times New Roman" w:cs="Times New Roman"/>
          <w:sz w:val="24"/>
          <w:lang w:val="ro-RO"/>
        </w:rPr>
        <w:t>distribuţie</w:t>
      </w:r>
      <w:r w:rsidR="00EE50A1" w:rsidRPr="009C5F11">
        <w:rPr>
          <w:rFonts w:ascii="Times New Roman" w:hAnsi="Times New Roman" w:cs="Times New Roman"/>
          <w:sz w:val="24"/>
          <w:lang w:val="ro-RO"/>
        </w:rPr>
        <w:t>i</w:t>
      </w:r>
      <w:r w:rsidR="002733CB" w:rsidRPr="009C5F11">
        <w:rPr>
          <w:rFonts w:ascii="Times New Roman" w:hAnsi="Times New Roman" w:cs="Times New Roman"/>
          <w:sz w:val="24"/>
          <w:lang w:val="ro-RO"/>
        </w:rPr>
        <w:t xml:space="preserve"> </w:t>
      </w:r>
      <w:r w:rsidR="00EE50A1" w:rsidRPr="009C5F11">
        <w:rPr>
          <w:rFonts w:ascii="Times New Roman" w:hAnsi="Times New Roman" w:cs="Times New Roman"/>
          <w:sz w:val="24"/>
          <w:lang w:val="ro-RO"/>
        </w:rPr>
        <w:t>de</w:t>
      </w:r>
      <w:r w:rsidR="002733CB" w:rsidRPr="009C5F11">
        <w:rPr>
          <w:rFonts w:ascii="Times New Roman" w:hAnsi="Times New Roman" w:cs="Times New Roman"/>
          <w:sz w:val="24"/>
          <w:lang w:val="ro-RO"/>
        </w:rPr>
        <w:t xml:space="preserve"> </w:t>
      </w:r>
      <w:r w:rsidR="001E3482" w:rsidRPr="009C5F11">
        <w:rPr>
          <w:rFonts w:ascii="Times New Roman" w:hAnsi="Times New Roman" w:cs="Times New Roman"/>
          <w:sz w:val="24"/>
          <w:lang w:val="ro-RO"/>
        </w:rPr>
        <w:t>energie</w:t>
      </w:r>
      <w:r w:rsidR="002733CB" w:rsidRPr="009C5F11">
        <w:rPr>
          <w:rFonts w:ascii="Times New Roman" w:hAnsi="Times New Roman" w:cs="Times New Roman"/>
          <w:sz w:val="24"/>
          <w:lang w:val="ro-RO"/>
        </w:rPr>
        <w:t>.</w:t>
      </w:r>
    </w:p>
    <w:p w14:paraId="71549914" w14:textId="77777777" w:rsidR="00DB2737" w:rsidRPr="009C5F11" w:rsidRDefault="00DB2737" w:rsidP="00C476A7">
      <w:pPr>
        <w:spacing w:before="120" w:after="120" w:line="240" w:lineRule="auto"/>
        <w:jc w:val="both"/>
        <w:textAlignment w:val="baseline"/>
        <w:rPr>
          <w:rFonts w:ascii="Times New Roman" w:hAnsi="Times New Roman" w:cs="Times New Roman"/>
          <w:sz w:val="24"/>
          <w:lang w:val="ro-RO"/>
        </w:rPr>
      </w:pPr>
    </w:p>
    <w:p w14:paraId="55817A04" w14:textId="266FEFF9" w:rsidR="002733CB" w:rsidRPr="00D9464A" w:rsidRDefault="00334259" w:rsidP="00102D51">
      <w:pPr>
        <w:pStyle w:val="Titlu3"/>
        <w:rPr>
          <w:rFonts w:ascii="Times New Roman" w:hAnsi="Times New Roman" w:cs="Times New Roman"/>
          <w:b/>
          <w:color w:val="000000" w:themeColor="text1"/>
          <w:sz w:val="28"/>
          <w:lang w:val="ro-RO"/>
        </w:rPr>
      </w:pPr>
      <w:bookmarkStart w:id="114" w:name="_Toc319555382"/>
      <w:bookmarkStart w:id="115" w:name="_Toc322013148"/>
      <w:r w:rsidRPr="00D9464A">
        <w:rPr>
          <w:rFonts w:ascii="Times New Roman" w:hAnsi="Times New Roman" w:cs="Times New Roman"/>
          <w:b/>
          <w:color w:val="000000" w:themeColor="text1"/>
          <w:sz w:val="28"/>
          <w:lang w:val="ro-RO"/>
        </w:rPr>
        <w:t>Măsuri pentru economisirea energiei</w:t>
      </w:r>
      <w:r w:rsidR="002733CB" w:rsidRPr="00D9464A">
        <w:rPr>
          <w:rFonts w:ascii="Times New Roman" w:hAnsi="Times New Roman" w:cs="Times New Roman"/>
          <w:b/>
          <w:color w:val="000000" w:themeColor="text1"/>
          <w:sz w:val="28"/>
          <w:lang w:val="ro-RO"/>
        </w:rPr>
        <w:t xml:space="preserve"> </w:t>
      </w:r>
      <w:bookmarkEnd w:id="111"/>
      <w:bookmarkEnd w:id="112"/>
      <w:bookmarkEnd w:id="113"/>
      <w:bookmarkEnd w:id="114"/>
      <w:r w:rsidR="00102D51" w:rsidRPr="00D9464A">
        <w:rPr>
          <w:rFonts w:ascii="Times New Roman" w:hAnsi="Times New Roman" w:cs="Times New Roman"/>
          <w:b/>
          <w:color w:val="000000" w:themeColor="text1"/>
          <w:sz w:val="28"/>
          <w:lang w:val="ro-RO"/>
        </w:rPr>
        <w:t>în domeniul</w:t>
      </w:r>
      <w:r w:rsidR="00EE50A1" w:rsidRPr="00D9464A">
        <w:rPr>
          <w:rFonts w:ascii="Times New Roman" w:hAnsi="Times New Roman" w:cs="Times New Roman"/>
          <w:b/>
          <w:color w:val="000000" w:themeColor="text1"/>
          <w:sz w:val="28"/>
          <w:lang w:val="ro-RO"/>
        </w:rPr>
        <w:t xml:space="preserve"> </w:t>
      </w:r>
      <w:r w:rsidR="00102D51" w:rsidRPr="00D9464A">
        <w:rPr>
          <w:rFonts w:ascii="Times New Roman" w:hAnsi="Times New Roman" w:cs="Times New Roman"/>
          <w:b/>
          <w:color w:val="000000" w:themeColor="text1"/>
          <w:sz w:val="28"/>
          <w:lang w:val="ro-RO"/>
        </w:rPr>
        <w:t>aprovizionării</w:t>
      </w:r>
      <w:bookmarkEnd w:id="115"/>
    </w:p>
    <w:p w14:paraId="6332DF11" w14:textId="558FE9D6" w:rsidR="002733CB" w:rsidRPr="009C5F11" w:rsidRDefault="00872DC2"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bookmarkStart w:id="116" w:name="_Toc274298527"/>
      <w:bookmarkStart w:id="117" w:name="_Toc274304013"/>
      <w:r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2013 – 2015 include </w:t>
      </w:r>
      <w:r w:rsidR="00E10BE5" w:rsidRPr="009C5F11">
        <w:rPr>
          <w:rFonts w:ascii="Times New Roman" w:hAnsi="Times New Roman" w:cs="Times New Roman"/>
          <w:sz w:val="24"/>
          <w:lang w:val="ro-RO"/>
        </w:rPr>
        <w:t>măsuri</w:t>
      </w:r>
      <w:r w:rsidR="002733CB" w:rsidRPr="009C5F11">
        <w:rPr>
          <w:rFonts w:ascii="Times New Roman" w:hAnsi="Times New Roman" w:cs="Times New Roman"/>
          <w:sz w:val="24"/>
          <w:lang w:val="ro-RO"/>
        </w:rPr>
        <w:t xml:space="preserve"> </w:t>
      </w:r>
      <w:r w:rsidR="00EE50A1" w:rsidRPr="009C5F11">
        <w:rPr>
          <w:rFonts w:ascii="Times New Roman" w:hAnsi="Times New Roman" w:cs="Times New Roman"/>
          <w:sz w:val="24"/>
          <w:lang w:val="ro-RO"/>
        </w:rPr>
        <w:t xml:space="preserve">ce cad </w:t>
      </w:r>
      <w:r w:rsidR="008648CE" w:rsidRPr="009C5F11">
        <w:rPr>
          <w:rFonts w:ascii="Times New Roman" w:hAnsi="Times New Roman" w:cs="Times New Roman"/>
          <w:sz w:val="24"/>
          <w:lang w:val="ro-RO"/>
        </w:rPr>
        <w:t>in afara</w:t>
      </w:r>
      <w:r w:rsidR="00EE50A1" w:rsidRPr="009C5F11">
        <w:rPr>
          <w:rFonts w:ascii="Times New Roman" w:hAnsi="Times New Roman" w:cs="Times New Roman"/>
          <w:sz w:val="24"/>
          <w:lang w:val="ro-RO"/>
        </w:rPr>
        <w:t xml:space="preserve"> sferei de aplicare a </w:t>
      </w:r>
      <w:r w:rsidR="00871B4E" w:rsidRPr="009C5F11">
        <w:rPr>
          <w:rFonts w:ascii="Times New Roman" w:hAnsi="Times New Roman" w:cs="Times New Roman"/>
          <w:sz w:val="24"/>
          <w:lang w:val="ro-RO"/>
        </w:rPr>
        <w:t>DSE</w:t>
      </w:r>
      <w:r w:rsidR="00503694" w:rsidRPr="009C5F11">
        <w:rPr>
          <w:rFonts w:ascii="Times New Roman" w:hAnsi="Times New Roman" w:cs="Times New Roman"/>
          <w:sz w:val="24"/>
          <w:lang w:val="ro-RO"/>
        </w:rPr>
        <w:t xml:space="preserve">, </w:t>
      </w:r>
      <w:r w:rsidR="00102D51" w:rsidRPr="009C5F11">
        <w:rPr>
          <w:rFonts w:ascii="Times New Roman" w:hAnsi="Times New Roman" w:cs="Times New Roman"/>
          <w:sz w:val="24"/>
          <w:lang w:val="ro-RO"/>
        </w:rPr>
        <w:t xml:space="preserve">şi </w:t>
      </w:r>
      <w:r w:rsidR="00503694" w:rsidRPr="009C5F11">
        <w:rPr>
          <w:rFonts w:ascii="Times New Roman" w:hAnsi="Times New Roman" w:cs="Times New Roman"/>
          <w:sz w:val="24"/>
          <w:lang w:val="ro-RO"/>
        </w:rPr>
        <w:t xml:space="preserve">care, în mod special, se referă la </w:t>
      </w:r>
      <w:r w:rsidR="00C639BC" w:rsidRPr="009C5F11">
        <w:rPr>
          <w:rFonts w:ascii="Times New Roman" w:hAnsi="Times New Roman" w:cs="Times New Roman"/>
          <w:sz w:val="24"/>
          <w:lang w:val="ro-RO"/>
        </w:rPr>
        <w:t>economii</w:t>
      </w:r>
      <w:r w:rsidR="00503694" w:rsidRPr="009C5F11">
        <w:rPr>
          <w:rFonts w:ascii="Times New Roman" w:hAnsi="Times New Roman" w:cs="Times New Roman"/>
          <w:sz w:val="24"/>
          <w:lang w:val="ro-RO"/>
        </w:rPr>
        <w:t xml:space="preserve">le ce pot fi obţinute în faza de </w:t>
      </w:r>
      <w:r w:rsidR="002733CB" w:rsidRPr="009C5F11">
        <w:rPr>
          <w:rFonts w:ascii="Times New Roman" w:hAnsi="Times New Roman" w:cs="Times New Roman"/>
          <w:sz w:val="24"/>
          <w:lang w:val="ro-RO"/>
        </w:rPr>
        <w:t>transforma</w:t>
      </w:r>
      <w:r w:rsidR="00503694" w:rsidRPr="009C5F11">
        <w:rPr>
          <w:rFonts w:ascii="Times New Roman" w:hAnsi="Times New Roman" w:cs="Times New Roman"/>
          <w:sz w:val="24"/>
          <w:lang w:val="ro-RO"/>
        </w:rPr>
        <w:t>re</w:t>
      </w:r>
      <w:r w:rsidR="00321CD5" w:rsidRPr="009C5F11">
        <w:rPr>
          <w:rFonts w:ascii="Times New Roman" w:hAnsi="Times New Roman" w:cs="Times New Roman"/>
          <w:sz w:val="24"/>
          <w:lang w:val="ro-RO"/>
        </w:rPr>
        <w:t xml:space="preserve"> şi </w:t>
      </w:r>
      <w:r w:rsidR="008F7BD5" w:rsidRPr="009C5F11">
        <w:rPr>
          <w:rFonts w:ascii="Times New Roman" w:hAnsi="Times New Roman" w:cs="Times New Roman"/>
          <w:sz w:val="24"/>
          <w:lang w:val="ro-RO"/>
        </w:rPr>
        <w:t>distribuţie</w:t>
      </w:r>
      <w:r w:rsidR="002733CB" w:rsidRPr="009C5F11">
        <w:rPr>
          <w:rFonts w:ascii="Times New Roman" w:hAnsi="Times New Roman" w:cs="Times New Roman"/>
          <w:sz w:val="24"/>
          <w:lang w:val="ro-RO"/>
        </w:rPr>
        <w:t>:</w:t>
      </w:r>
    </w:p>
    <w:p w14:paraId="31A4736E" w14:textId="77777777" w:rsidR="002733CB" w:rsidRPr="009C5F11" w:rsidRDefault="00503694"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Programe de e</w:t>
      </w:r>
      <w:r w:rsidR="00FD5F1C" w:rsidRPr="009C5F11">
        <w:rPr>
          <w:rFonts w:ascii="Times New Roman" w:hAnsi="Times New Roman" w:cs="Times New Roman"/>
          <w:sz w:val="24"/>
          <w:lang w:val="ro-RO"/>
        </w:rPr>
        <w:t>ficienţ</w:t>
      </w:r>
      <w:r w:rsidRPr="009C5F11">
        <w:rPr>
          <w:rFonts w:ascii="Times New Roman" w:hAnsi="Times New Roman" w:cs="Times New Roman"/>
          <w:sz w:val="24"/>
          <w:lang w:val="ro-RO"/>
        </w:rPr>
        <w:t>ă</w:t>
      </w:r>
      <w:r w:rsidR="00FD5F1C" w:rsidRPr="009C5F11">
        <w:rPr>
          <w:rFonts w:ascii="Times New Roman" w:hAnsi="Times New Roman" w:cs="Times New Roman"/>
          <w:sz w:val="24"/>
          <w:lang w:val="ro-RO"/>
        </w:rPr>
        <w:t xml:space="preserve"> energetică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w:t>
      </w:r>
      <w:r w:rsidR="002733CB" w:rsidRPr="009C5F11">
        <w:rPr>
          <w:rFonts w:ascii="Times New Roman" w:hAnsi="Times New Roman" w:cs="Times New Roman"/>
          <w:sz w:val="24"/>
          <w:lang w:val="ro-RO"/>
        </w:rPr>
        <w:t>transport</w:t>
      </w:r>
      <w:r w:rsidRPr="009C5F11">
        <w:rPr>
          <w:rFonts w:ascii="Times New Roman" w:hAnsi="Times New Roman" w:cs="Times New Roman"/>
          <w:sz w:val="24"/>
          <w:lang w:val="ro-RO"/>
        </w:rPr>
        <w:t>ul</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distribuţia energiei electrice </w:t>
      </w:r>
      <w:r w:rsidR="002733CB" w:rsidRPr="009C5F11">
        <w:rPr>
          <w:rFonts w:ascii="Times New Roman" w:hAnsi="Times New Roman" w:cs="Times New Roman"/>
          <w:sz w:val="24"/>
          <w:lang w:val="ro-RO"/>
        </w:rPr>
        <w:t>(art.98);</w:t>
      </w:r>
    </w:p>
    <w:p w14:paraId="0CED1E27" w14:textId="77777777" w:rsidR="002733CB" w:rsidRPr="009C5F11" w:rsidRDefault="00503694"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Contorizarea/Evidenţa consumului de gaze naturale la consumatorii finali </w:t>
      </w:r>
      <w:r w:rsidR="002733CB" w:rsidRPr="009C5F11">
        <w:rPr>
          <w:rFonts w:ascii="Times New Roman" w:hAnsi="Times New Roman" w:cs="Times New Roman"/>
          <w:sz w:val="24"/>
          <w:lang w:val="ro-RO"/>
        </w:rPr>
        <w:t>(art.99);</w:t>
      </w:r>
    </w:p>
    <w:p w14:paraId="7FAA73D0" w14:textId="77777777" w:rsidR="002733CB" w:rsidRPr="009C5F11" w:rsidRDefault="00503694"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Elaborarea cadrului juridic şi normativ şi crearea sistemului de monitorizare pentru sectorul termoenergetic </w:t>
      </w:r>
      <w:r w:rsidR="002733CB" w:rsidRPr="009C5F11">
        <w:rPr>
          <w:rFonts w:ascii="Times New Roman" w:hAnsi="Times New Roman" w:cs="Times New Roman"/>
          <w:sz w:val="24"/>
          <w:lang w:val="ro-RO"/>
        </w:rPr>
        <w:t>(art.100);</w:t>
      </w:r>
    </w:p>
    <w:p w14:paraId="4929F4DD" w14:textId="77777777" w:rsidR="002733CB" w:rsidRPr="009C5F11" w:rsidRDefault="00503694"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Programe de eficienţă energetică în sectorul termoenergetic </w:t>
      </w:r>
      <w:r w:rsidR="002733CB" w:rsidRPr="009C5F11">
        <w:rPr>
          <w:rFonts w:ascii="Times New Roman" w:hAnsi="Times New Roman" w:cs="Times New Roman"/>
          <w:sz w:val="24"/>
          <w:lang w:val="ro-RO"/>
        </w:rPr>
        <w:t>(</w:t>
      </w:r>
      <w:r w:rsidRPr="009C5F11">
        <w:rPr>
          <w:rFonts w:ascii="Times New Roman" w:hAnsi="Times New Roman" w:cs="Times New Roman"/>
          <w:sz w:val="24"/>
          <w:lang w:val="ro-RO"/>
        </w:rPr>
        <w:t>art.</w:t>
      </w:r>
      <w:r w:rsidR="002733CB" w:rsidRPr="009C5F11">
        <w:rPr>
          <w:rFonts w:ascii="Times New Roman" w:hAnsi="Times New Roman" w:cs="Times New Roman"/>
          <w:sz w:val="24"/>
          <w:lang w:val="ro-RO"/>
        </w:rPr>
        <w:t>101)</w:t>
      </w:r>
      <w:r w:rsidRPr="009C5F11">
        <w:rPr>
          <w:rFonts w:ascii="Times New Roman" w:hAnsi="Times New Roman" w:cs="Times New Roman"/>
          <w:sz w:val="24"/>
          <w:lang w:val="ro-RO"/>
        </w:rPr>
        <w:t>.</w:t>
      </w:r>
    </w:p>
    <w:p w14:paraId="69A39754" w14:textId="77777777" w:rsidR="002733CB" w:rsidRPr="009C5F11" w:rsidRDefault="00503694" w:rsidP="00C476A7">
      <w:p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Trebuie de menţionat</w:t>
      </w:r>
      <w:r w:rsidR="00102D51" w:rsidRPr="009C5F11">
        <w:rPr>
          <w:rFonts w:ascii="Times New Roman" w:hAnsi="Times New Roman" w:cs="Times New Roman"/>
          <w:sz w:val="24"/>
          <w:lang w:val="ro-RO"/>
        </w:rPr>
        <w:t>e două</w:t>
      </w:r>
      <w:r w:rsidRPr="009C5F11">
        <w:rPr>
          <w:rFonts w:ascii="Times New Roman" w:hAnsi="Times New Roman" w:cs="Times New Roman"/>
          <w:sz w:val="24"/>
          <w:lang w:val="ro-RO"/>
        </w:rPr>
        <w:t xml:space="preserve"> aspect</w:t>
      </w:r>
      <w:r w:rsidR="00F577AE"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în acest context</w:t>
      </w:r>
      <w:r w:rsidR="002733CB" w:rsidRPr="009C5F11">
        <w:rPr>
          <w:rFonts w:ascii="Times New Roman" w:hAnsi="Times New Roman" w:cs="Times New Roman"/>
          <w:sz w:val="24"/>
          <w:lang w:val="ro-RO"/>
        </w:rPr>
        <w:t xml:space="preserve">: </w:t>
      </w:r>
    </w:p>
    <w:p w14:paraId="43F15193" w14:textId="77777777" w:rsidR="002733CB" w:rsidRPr="009C5F11" w:rsidRDefault="00D81664"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A</w:t>
      </w:r>
      <w:r w:rsidR="002733CB" w:rsidRPr="009C5F11">
        <w:rPr>
          <w:rFonts w:ascii="Times New Roman" w:hAnsi="Times New Roman" w:cs="Times New Roman"/>
          <w:sz w:val="24"/>
          <w:lang w:val="ro-RO"/>
        </w:rPr>
        <w:t>rt. 99</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 xml:space="preserve">100 </w:t>
      </w:r>
      <w:r w:rsidR="00503694" w:rsidRPr="009C5F11">
        <w:rPr>
          <w:rFonts w:ascii="Times New Roman" w:hAnsi="Times New Roman" w:cs="Times New Roman"/>
          <w:sz w:val="24"/>
          <w:lang w:val="ro-RO"/>
        </w:rPr>
        <w:t>prevăd</w:t>
      </w:r>
      <w:r w:rsidR="002733CB"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002733CB" w:rsidRPr="009C5F11">
        <w:rPr>
          <w:rFonts w:ascii="Times New Roman" w:hAnsi="Times New Roman" w:cs="Times New Roman"/>
          <w:sz w:val="24"/>
          <w:lang w:val="ro-RO"/>
        </w:rPr>
        <w:t xml:space="preserve"> </w:t>
      </w:r>
      <w:r w:rsidR="00503694" w:rsidRPr="009C5F11">
        <w:rPr>
          <w:rFonts w:ascii="Times New Roman" w:hAnsi="Times New Roman" w:cs="Times New Roman"/>
          <w:sz w:val="24"/>
          <w:lang w:val="ro-RO"/>
        </w:rPr>
        <w:t>care ajută mai degrabă la</w:t>
      </w:r>
      <w:r w:rsidR="002733CB" w:rsidRPr="009C5F11">
        <w:rPr>
          <w:rFonts w:ascii="Times New Roman" w:hAnsi="Times New Roman" w:cs="Times New Roman"/>
          <w:sz w:val="24"/>
          <w:lang w:val="ro-RO"/>
        </w:rPr>
        <w:t xml:space="preserve"> delimita</w:t>
      </w:r>
      <w:r w:rsidR="00503694" w:rsidRPr="009C5F11">
        <w:rPr>
          <w:rFonts w:ascii="Times New Roman" w:hAnsi="Times New Roman" w:cs="Times New Roman"/>
          <w:sz w:val="24"/>
          <w:lang w:val="ro-RO"/>
        </w:rPr>
        <w:t xml:space="preserve">rea </w:t>
      </w:r>
      <w:r w:rsidR="00BA5A89" w:rsidRPr="009C5F11">
        <w:rPr>
          <w:rFonts w:ascii="Times New Roman" w:hAnsi="Times New Roman" w:cs="Times New Roman"/>
          <w:sz w:val="24"/>
          <w:lang w:val="ro-RO"/>
        </w:rPr>
        <w:t>pierderil</w:t>
      </w:r>
      <w:r w:rsidR="00503694" w:rsidRPr="009C5F11">
        <w:rPr>
          <w:rFonts w:ascii="Times New Roman" w:hAnsi="Times New Roman" w:cs="Times New Roman"/>
          <w:sz w:val="24"/>
          <w:lang w:val="ro-RO"/>
        </w:rPr>
        <w:t>or</w:t>
      </w:r>
      <w:r w:rsidR="00321CD5" w:rsidRPr="009C5F11">
        <w:rPr>
          <w:rFonts w:ascii="Times New Roman" w:hAnsi="Times New Roman" w:cs="Times New Roman"/>
          <w:sz w:val="24"/>
          <w:lang w:val="ro-RO"/>
        </w:rPr>
        <w:t xml:space="preserve"> </w:t>
      </w:r>
      <w:r w:rsidR="00503694" w:rsidRPr="009C5F11">
        <w:rPr>
          <w:rFonts w:ascii="Times New Roman" w:hAnsi="Times New Roman" w:cs="Times New Roman"/>
          <w:sz w:val="24"/>
          <w:lang w:val="ro-RO"/>
        </w:rPr>
        <w:t>de</w:t>
      </w:r>
      <w:r w:rsidR="00321CD5" w:rsidRPr="009C5F11">
        <w:rPr>
          <w:rFonts w:ascii="Times New Roman" w:hAnsi="Times New Roman" w:cs="Times New Roman"/>
          <w:sz w:val="24"/>
          <w:lang w:val="ro-RO"/>
        </w:rPr>
        <w:t xml:space="preserve"> </w:t>
      </w:r>
      <w:r w:rsidR="008F7BD5" w:rsidRPr="009C5F11">
        <w:rPr>
          <w:rFonts w:ascii="Times New Roman" w:hAnsi="Times New Roman" w:cs="Times New Roman"/>
          <w:sz w:val="24"/>
          <w:lang w:val="ro-RO"/>
        </w:rPr>
        <w:t>distribuţie</w:t>
      </w:r>
      <w:r w:rsidR="002733CB" w:rsidRPr="009C5F11">
        <w:rPr>
          <w:rFonts w:ascii="Times New Roman" w:hAnsi="Times New Roman" w:cs="Times New Roman"/>
          <w:sz w:val="24"/>
          <w:lang w:val="ro-RO"/>
        </w:rPr>
        <w:t xml:space="preserve"> (</w:t>
      </w:r>
      <w:r w:rsidR="00503694" w:rsidRPr="009C5F11">
        <w:rPr>
          <w:rFonts w:ascii="Times New Roman" w:hAnsi="Times New Roman" w:cs="Times New Roman"/>
          <w:sz w:val="24"/>
          <w:lang w:val="ro-RO"/>
        </w:rPr>
        <w:t>conexe consumului de energie primară</w:t>
      </w:r>
      <w:r w:rsidR="002733CB" w:rsidRPr="009C5F11">
        <w:rPr>
          <w:rFonts w:ascii="Times New Roman" w:hAnsi="Times New Roman" w:cs="Times New Roman"/>
          <w:sz w:val="24"/>
          <w:lang w:val="ro-RO"/>
        </w:rPr>
        <w:t xml:space="preserve">) </w:t>
      </w:r>
      <w:r w:rsidR="00503694" w:rsidRPr="009C5F11">
        <w:rPr>
          <w:rFonts w:ascii="Times New Roman" w:hAnsi="Times New Roman" w:cs="Times New Roman"/>
          <w:sz w:val="24"/>
          <w:lang w:val="ro-RO"/>
        </w:rPr>
        <w:t xml:space="preserve">de </w:t>
      </w:r>
      <w:r w:rsidR="00334259" w:rsidRPr="009C5F11">
        <w:rPr>
          <w:rFonts w:ascii="Times New Roman" w:hAnsi="Times New Roman" w:cs="Times New Roman"/>
          <w:sz w:val="24"/>
          <w:lang w:val="ro-RO"/>
        </w:rPr>
        <w:t>consumul</w:t>
      </w:r>
      <w:r w:rsidR="00503694" w:rsidRPr="009C5F11">
        <w:rPr>
          <w:rFonts w:ascii="Times New Roman" w:hAnsi="Times New Roman" w:cs="Times New Roman"/>
          <w:sz w:val="24"/>
          <w:lang w:val="ro-RO"/>
        </w:rPr>
        <w:t xml:space="preserve"> de energie finală</w:t>
      </w:r>
      <w:r w:rsidR="002733CB" w:rsidRPr="009C5F11">
        <w:rPr>
          <w:rFonts w:ascii="Times New Roman" w:hAnsi="Times New Roman" w:cs="Times New Roman"/>
          <w:sz w:val="24"/>
          <w:lang w:val="ro-RO"/>
        </w:rPr>
        <w:t>;</w:t>
      </w:r>
    </w:p>
    <w:p w14:paraId="1BD34900" w14:textId="77777777" w:rsidR="002733CB" w:rsidRPr="009C5F11" w:rsidRDefault="00503694"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Nu sunt preconizate măsuri privind cogenerarea</w:t>
      </w:r>
      <w:r w:rsidR="00D81664"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care cade sub incidenţa sferei de aplicare a </w:t>
      </w:r>
      <w:r w:rsidR="00871B4E" w:rsidRPr="009C5F11">
        <w:rPr>
          <w:rFonts w:ascii="Times New Roman" w:hAnsi="Times New Roman" w:cs="Times New Roman"/>
          <w:sz w:val="24"/>
          <w:lang w:val="ro-RO"/>
        </w:rPr>
        <w:t>DSE</w:t>
      </w:r>
      <w:r w:rsidR="002733CB" w:rsidRPr="009C5F11">
        <w:rPr>
          <w:rFonts w:ascii="Times New Roman" w:hAnsi="Times New Roman" w:cs="Times New Roman"/>
          <w:sz w:val="24"/>
          <w:lang w:val="ro-RO"/>
        </w:rPr>
        <w:t>.</w:t>
      </w:r>
    </w:p>
    <w:p w14:paraId="7698EA6C" w14:textId="77777777" w:rsidR="00031CDF" w:rsidRPr="009C5F11" w:rsidRDefault="00872DC2"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2016 – 2018 </w:t>
      </w:r>
      <w:r w:rsidR="00F577AE" w:rsidRPr="009C5F11">
        <w:rPr>
          <w:rFonts w:ascii="Times New Roman" w:hAnsi="Times New Roman" w:cs="Times New Roman"/>
          <w:sz w:val="24"/>
          <w:lang w:val="ro-RO"/>
        </w:rPr>
        <w:t>a preluat</w:t>
      </w:r>
      <w:r w:rsidR="00334259" w:rsidRPr="009C5F11">
        <w:rPr>
          <w:rFonts w:ascii="Times New Roman" w:hAnsi="Times New Roman" w:cs="Times New Roman"/>
          <w:sz w:val="24"/>
          <w:lang w:val="ro-RO"/>
        </w:rPr>
        <w:t xml:space="preserve"> toate</w:t>
      </w:r>
      <w:r w:rsidR="002733CB"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00334259" w:rsidRPr="009C5F11">
        <w:rPr>
          <w:rFonts w:ascii="Times New Roman" w:hAnsi="Times New Roman" w:cs="Times New Roman"/>
          <w:sz w:val="24"/>
          <w:lang w:val="ro-RO"/>
        </w:rPr>
        <w:t>le</w:t>
      </w:r>
      <w:r w:rsidR="002733CB" w:rsidRPr="009C5F11">
        <w:rPr>
          <w:rFonts w:ascii="Times New Roman" w:hAnsi="Times New Roman" w:cs="Times New Roman"/>
          <w:sz w:val="24"/>
          <w:lang w:val="ro-RO"/>
        </w:rPr>
        <w:t xml:space="preserve"> </w:t>
      </w:r>
      <w:r w:rsidR="00503694" w:rsidRPr="009C5F11">
        <w:rPr>
          <w:rFonts w:ascii="Times New Roman" w:hAnsi="Times New Roman" w:cs="Times New Roman"/>
          <w:sz w:val="24"/>
          <w:lang w:val="ro-RO"/>
        </w:rPr>
        <w:t xml:space="preserve">anterioare </w:t>
      </w:r>
      <w:r w:rsidR="00102D51" w:rsidRPr="009C5F11">
        <w:rPr>
          <w:rFonts w:ascii="Times New Roman" w:hAnsi="Times New Roman" w:cs="Times New Roman"/>
          <w:sz w:val="24"/>
          <w:lang w:val="ro-RO"/>
        </w:rPr>
        <w:t>în domeniul a</w:t>
      </w:r>
      <w:r w:rsidR="00B30FFD" w:rsidRPr="009C5F11">
        <w:rPr>
          <w:rFonts w:ascii="Times New Roman" w:hAnsi="Times New Roman" w:cs="Times New Roman"/>
          <w:sz w:val="24"/>
          <w:lang w:val="ro-RO"/>
        </w:rPr>
        <w:t>provizion</w:t>
      </w:r>
      <w:r w:rsidR="00102D51" w:rsidRPr="009C5F11">
        <w:rPr>
          <w:rFonts w:ascii="Times New Roman" w:hAnsi="Times New Roman" w:cs="Times New Roman"/>
          <w:sz w:val="24"/>
          <w:lang w:val="ro-RO"/>
        </w:rPr>
        <w:t xml:space="preserve">ării </w:t>
      </w:r>
      <w:r w:rsidR="002733CB" w:rsidRPr="009C5F11">
        <w:rPr>
          <w:rFonts w:ascii="Times New Roman" w:hAnsi="Times New Roman" w:cs="Times New Roman"/>
          <w:sz w:val="24"/>
          <w:lang w:val="ro-RO"/>
        </w:rPr>
        <w:t xml:space="preserve">(E1 </w:t>
      </w:r>
      <w:r w:rsidR="00334259" w:rsidRPr="009C5F11">
        <w:rPr>
          <w:rFonts w:ascii="Times New Roman" w:hAnsi="Times New Roman" w:cs="Times New Roman"/>
          <w:sz w:val="24"/>
          <w:lang w:val="ro-RO"/>
        </w:rPr>
        <w:t xml:space="preserve">reprezintă </w:t>
      </w:r>
      <w:r w:rsidR="002733CB" w:rsidRPr="009C5F11">
        <w:rPr>
          <w:rFonts w:ascii="Times New Roman" w:hAnsi="Times New Roman" w:cs="Times New Roman"/>
          <w:sz w:val="24"/>
          <w:lang w:val="ro-RO"/>
        </w:rPr>
        <w:t xml:space="preserve">art.98, E3 </w:t>
      </w:r>
      <w:r w:rsidR="00334259"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art.99, E4 </w:t>
      </w:r>
      <w:r w:rsidR="00334259"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art.100, E5 </w:t>
      </w:r>
      <w:r w:rsidR="00334259"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art.101)</w:t>
      </w:r>
      <w:r w:rsidR="00321CD5" w:rsidRPr="009C5F11">
        <w:rPr>
          <w:rFonts w:ascii="Times New Roman" w:hAnsi="Times New Roman" w:cs="Times New Roman"/>
          <w:sz w:val="24"/>
          <w:lang w:val="ro-RO"/>
        </w:rPr>
        <w:t xml:space="preserve"> şi </w:t>
      </w:r>
      <w:r w:rsidR="00334259" w:rsidRPr="009C5F11">
        <w:rPr>
          <w:rFonts w:ascii="Times New Roman" w:hAnsi="Times New Roman" w:cs="Times New Roman"/>
          <w:sz w:val="24"/>
          <w:lang w:val="ro-RO"/>
        </w:rPr>
        <w:t xml:space="preserve">include 2 </w:t>
      </w:r>
      <w:r w:rsidR="00E10BE5" w:rsidRPr="009C5F11">
        <w:rPr>
          <w:rFonts w:ascii="Times New Roman" w:hAnsi="Times New Roman" w:cs="Times New Roman"/>
          <w:sz w:val="24"/>
          <w:lang w:val="ro-RO"/>
        </w:rPr>
        <w:t>măsuri</w:t>
      </w:r>
      <w:r w:rsidR="00334259" w:rsidRPr="009C5F11">
        <w:rPr>
          <w:rFonts w:ascii="Times New Roman" w:hAnsi="Times New Roman" w:cs="Times New Roman"/>
          <w:sz w:val="24"/>
          <w:lang w:val="ro-RO"/>
        </w:rPr>
        <w:t xml:space="preserve"> noi:</w:t>
      </w:r>
      <w:r w:rsidR="002733CB" w:rsidRPr="009C5F11">
        <w:rPr>
          <w:rFonts w:ascii="Times New Roman" w:hAnsi="Times New Roman" w:cs="Times New Roman"/>
          <w:sz w:val="24"/>
          <w:lang w:val="ro-RO"/>
        </w:rPr>
        <w:t xml:space="preserve"> E2</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 xml:space="preserve">E6, </w:t>
      </w:r>
      <w:r w:rsidR="00334259" w:rsidRPr="009C5F11">
        <w:rPr>
          <w:rFonts w:ascii="Times New Roman" w:hAnsi="Times New Roman" w:cs="Times New Roman"/>
          <w:sz w:val="24"/>
          <w:lang w:val="ro-RO"/>
        </w:rPr>
        <w:t>ultima abordând</w:t>
      </w:r>
      <w:r w:rsidR="002733CB" w:rsidRPr="009C5F11">
        <w:rPr>
          <w:rFonts w:ascii="Times New Roman" w:hAnsi="Times New Roman" w:cs="Times New Roman"/>
          <w:sz w:val="24"/>
          <w:lang w:val="ro-RO"/>
        </w:rPr>
        <w:t xml:space="preserve"> “</w:t>
      </w:r>
      <w:r w:rsidR="005F4F17" w:rsidRPr="009C5F11">
        <w:rPr>
          <w:rFonts w:ascii="Times New Roman" w:hAnsi="Times New Roman" w:cs="Times New Roman"/>
          <w:sz w:val="24"/>
          <w:lang w:val="ro-RO"/>
        </w:rPr>
        <w:t xml:space="preserve">Evaluarea cuprinzătoare a potenţialului pentru aplicarea cogenerării de înaltă eficiență și a termoficării și răcirii centralizate eficiente </w:t>
      </w:r>
      <w:r w:rsidR="002733CB" w:rsidRPr="009C5F11">
        <w:rPr>
          <w:rFonts w:ascii="Times New Roman" w:hAnsi="Times New Roman" w:cs="Times New Roman"/>
          <w:sz w:val="24"/>
          <w:lang w:val="ro-RO"/>
        </w:rPr>
        <w:t>”.</w:t>
      </w:r>
    </w:p>
    <w:p w14:paraId="7806345B" w14:textId="77777777" w:rsidR="00031CDF" w:rsidRPr="009C5F11" w:rsidRDefault="00503694"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Împreună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aceste</w:t>
      </w:r>
      <w:r w:rsidR="002733CB" w:rsidRPr="009C5F11">
        <w:rPr>
          <w:rFonts w:ascii="Times New Roman" w:hAnsi="Times New Roman" w:cs="Times New Roman"/>
          <w:sz w:val="24"/>
          <w:lang w:val="ro-RO"/>
        </w:rPr>
        <w:t xml:space="preserve"> 6 </w:t>
      </w:r>
      <w:r w:rsidR="00E10BE5" w:rsidRPr="009C5F11">
        <w:rPr>
          <w:rFonts w:ascii="Times New Roman" w:hAnsi="Times New Roman" w:cs="Times New Roman"/>
          <w:sz w:val="24"/>
          <w:lang w:val="ro-RO"/>
        </w:rPr>
        <w:t>măsuri</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indică potenţialul de </w:t>
      </w:r>
      <w:r w:rsidR="00C639BC" w:rsidRPr="009C5F11">
        <w:rPr>
          <w:rFonts w:ascii="Times New Roman" w:hAnsi="Times New Roman" w:cs="Times New Roman"/>
          <w:sz w:val="24"/>
          <w:lang w:val="ro-RO"/>
        </w:rPr>
        <w:t>economii</w:t>
      </w:r>
      <w:r w:rsidR="00321CD5" w:rsidRPr="009C5F11">
        <w:rPr>
          <w:rFonts w:ascii="Times New Roman" w:hAnsi="Times New Roman" w:cs="Times New Roman"/>
          <w:sz w:val="24"/>
          <w:lang w:val="ro-RO"/>
        </w:rPr>
        <w:t xml:space="preserve"> în </w:t>
      </w:r>
      <w:r w:rsidR="002733CB" w:rsidRPr="009C5F11">
        <w:rPr>
          <w:rFonts w:ascii="Times New Roman" w:hAnsi="Times New Roman" w:cs="Times New Roman"/>
          <w:sz w:val="24"/>
          <w:lang w:val="ro-RO"/>
        </w:rPr>
        <w:t xml:space="preserve">2020 </w:t>
      </w:r>
      <w:r w:rsidRPr="009C5F11">
        <w:rPr>
          <w:rFonts w:ascii="Times New Roman" w:hAnsi="Times New Roman" w:cs="Times New Roman"/>
          <w:sz w:val="24"/>
          <w:lang w:val="ro-RO"/>
        </w:rPr>
        <w:t>în mărime de</w:t>
      </w:r>
      <w:r w:rsidR="002733CB" w:rsidRPr="009C5F11">
        <w:rPr>
          <w:rFonts w:ascii="Times New Roman" w:hAnsi="Times New Roman" w:cs="Times New Roman"/>
          <w:sz w:val="24"/>
          <w:lang w:val="ro-RO"/>
        </w:rPr>
        <w:t xml:space="preserve"> </w:t>
      </w:r>
      <w:r w:rsidR="004D461D" w:rsidRPr="009C5F11">
        <w:rPr>
          <w:rFonts w:ascii="Times New Roman" w:hAnsi="Times New Roman" w:cs="Times New Roman"/>
          <w:sz w:val="24"/>
          <w:lang w:val="ro-RO"/>
        </w:rPr>
        <w:t>58.47</w:t>
      </w:r>
      <w:r w:rsidR="002733CB" w:rsidRPr="009C5F11">
        <w:rPr>
          <w:rFonts w:ascii="Times New Roman" w:hAnsi="Times New Roman" w:cs="Times New Roman"/>
          <w:sz w:val="24"/>
          <w:lang w:val="ro-RO"/>
        </w:rPr>
        <w:t xml:space="preserve"> </w:t>
      </w:r>
      <w:r w:rsidR="00E52940" w:rsidRPr="009C5F11">
        <w:rPr>
          <w:rFonts w:ascii="Times New Roman" w:hAnsi="Times New Roman" w:cs="Times New Roman"/>
          <w:sz w:val="24"/>
          <w:lang w:val="ro-RO"/>
        </w:rPr>
        <w:t>ktep</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în timp ce economiile estimate pentru anul 2016 constituie</w:t>
      </w:r>
      <w:r w:rsidR="002733CB" w:rsidRPr="009C5F11">
        <w:rPr>
          <w:rFonts w:ascii="Times New Roman" w:hAnsi="Times New Roman" w:cs="Times New Roman"/>
          <w:sz w:val="24"/>
          <w:lang w:val="ro-RO"/>
        </w:rPr>
        <w:t xml:space="preserve"> 1</w:t>
      </w:r>
      <w:r w:rsidR="004D461D" w:rsidRPr="009C5F11">
        <w:rPr>
          <w:rFonts w:ascii="Times New Roman" w:hAnsi="Times New Roman" w:cs="Times New Roman"/>
          <w:sz w:val="24"/>
          <w:lang w:val="ro-RO"/>
        </w:rPr>
        <w:t>2</w:t>
      </w:r>
      <w:r w:rsidR="002733CB" w:rsidRPr="009C5F11">
        <w:rPr>
          <w:rFonts w:ascii="Times New Roman" w:hAnsi="Times New Roman" w:cs="Times New Roman"/>
          <w:sz w:val="24"/>
          <w:lang w:val="ro-RO"/>
        </w:rPr>
        <w:t>.</w:t>
      </w:r>
      <w:r w:rsidR="004D461D" w:rsidRPr="009C5F11">
        <w:rPr>
          <w:rFonts w:ascii="Times New Roman" w:hAnsi="Times New Roman" w:cs="Times New Roman"/>
          <w:sz w:val="24"/>
          <w:lang w:val="ro-RO"/>
        </w:rPr>
        <w:t>72</w:t>
      </w:r>
      <w:r w:rsidR="002733CB" w:rsidRPr="009C5F11">
        <w:rPr>
          <w:rFonts w:ascii="Times New Roman" w:hAnsi="Times New Roman" w:cs="Times New Roman"/>
          <w:sz w:val="24"/>
          <w:lang w:val="ro-RO"/>
        </w:rPr>
        <w:t xml:space="preserve"> </w:t>
      </w:r>
      <w:r w:rsidR="00E52940" w:rsidRPr="009C5F11">
        <w:rPr>
          <w:rFonts w:ascii="Times New Roman" w:hAnsi="Times New Roman" w:cs="Times New Roman"/>
          <w:sz w:val="24"/>
          <w:lang w:val="ro-RO"/>
        </w:rPr>
        <w:t>ktep</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după cum este prezentat în T</w:t>
      </w:r>
      <w:r w:rsidR="002733CB" w:rsidRPr="009C5F11">
        <w:rPr>
          <w:rFonts w:ascii="Times New Roman" w:hAnsi="Times New Roman" w:cs="Times New Roman"/>
          <w:sz w:val="24"/>
          <w:lang w:val="ro-RO"/>
        </w:rPr>
        <w:t>ab</w:t>
      </w:r>
      <w:r w:rsidRPr="009C5F11">
        <w:rPr>
          <w:rFonts w:ascii="Times New Roman" w:hAnsi="Times New Roman" w:cs="Times New Roman"/>
          <w:sz w:val="24"/>
          <w:lang w:val="ro-RO"/>
        </w:rPr>
        <w:t>e</w:t>
      </w:r>
      <w:r w:rsidR="002733CB" w:rsidRPr="009C5F11">
        <w:rPr>
          <w:rFonts w:ascii="Times New Roman" w:hAnsi="Times New Roman" w:cs="Times New Roman"/>
          <w:sz w:val="24"/>
          <w:lang w:val="ro-RO"/>
        </w:rPr>
        <w:t>l</w:t>
      </w:r>
      <w:r w:rsidRPr="009C5F11">
        <w:rPr>
          <w:rFonts w:ascii="Times New Roman" w:hAnsi="Times New Roman" w:cs="Times New Roman"/>
          <w:sz w:val="24"/>
          <w:lang w:val="ro-RO"/>
        </w:rPr>
        <w:t>ul</w:t>
      </w:r>
      <w:r w:rsidR="002733CB" w:rsidRPr="009C5F11">
        <w:rPr>
          <w:rFonts w:ascii="Times New Roman" w:hAnsi="Times New Roman" w:cs="Times New Roman"/>
          <w:sz w:val="24"/>
          <w:lang w:val="ro-RO"/>
        </w:rPr>
        <w:t xml:space="preserve"> 8.</w:t>
      </w:r>
    </w:p>
    <w:p w14:paraId="74AA449D" w14:textId="21137B33" w:rsidR="002733CB" w:rsidRPr="009C5F11" w:rsidRDefault="00503694"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Măsurile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sunt condiţionate de</w:t>
      </w:r>
      <w:r w:rsidR="002733CB" w:rsidRPr="009C5F11">
        <w:rPr>
          <w:rFonts w:ascii="Times New Roman" w:hAnsi="Times New Roman" w:cs="Times New Roman"/>
          <w:sz w:val="24"/>
          <w:lang w:val="ro-RO"/>
        </w:rPr>
        <w:t>:</w:t>
      </w:r>
    </w:p>
    <w:p w14:paraId="43173D7C" w14:textId="77777777" w:rsidR="002733CB" w:rsidRPr="009C5F11" w:rsidRDefault="00503694"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Strategia energetică a Republicii Moldova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până în anul</w:t>
      </w:r>
      <w:r w:rsidR="002733CB" w:rsidRPr="009C5F11">
        <w:rPr>
          <w:rFonts w:ascii="Times New Roman" w:hAnsi="Times New Roman" w:cs="Times New Roman"/>
          <w:sz w:val="24"/>
          <w:lang w:val="ro-RO"/>
        </w:rPr>
        <w:t xml:space="preserve"> 2030 </w:t>
      </w:r>
      <w:r w:rsidRPr="009C5F11">
        <w:rPr>
          <w:rFonts w:ascii="Times New Roman" w:hAnsi="Times New Roman" w:cs="Times New Roman"/>
          <w:sz w:val="24"/>
          <w:lang w:val="ro-RO"/>
        </w:rPr>
        <w:t xml:space="preserve">care prevede </w:t>
      </w:r>
      <w:r w:rsidR="00C639BC" w:rsidRPr="009C5F11">
        <w:rPr>
          <w:rFonts w:ascii="Times New Roman" w:hAnsi="Times New Roman" w:cs="Times New Roman"/>
          <w:sz w:val="24"/>
          <w:lang w:val="ro-RO"/>
        </w:rPr>
        <w:t>economii</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din reducerea </w:t>
      </w:r>
      <w:r w:rsidR="00BA5A89" w:rsidRPr="009C5F11">
        <w:rPr>
          <w:rFonts w:ascii="Times New Roman" w:hAnsi="Times New Roman" w:cs="Times New Roman"/>
          <w:sz w:val="24"/>
          <w:lang w:val="ro-RO"/>
        </w:rPr>
        <w:t>pierderil</w:t>
      </w:r>
      <w:r w:rsidRPr="009C5F11">
        <w:rPr>
          <w:rFonts w:ascii="Times New Roman" w:hAnsi="Times New Roman" w:cs="Times New Roman"/>
          <w:sz w:val="24"/>
          <w:lang w:val="ro-RO"/>
        </w:rPr>
        <w:t>or în reţe</w:t>
      </w:r>
      <w:r w:rsidR="004961F2" w:rsidRPr="009C5F11">
        <w:rPr>
          <w:rFonts w:ascii="Times New Roman" w:hAnsi="Times New Roman" w:cs="Times New Roman"/>
          <w:sz w:val="24"/>
          <w:lang w:val="ro-RO"/>
        </w:rPr>
        <w:t>le</w:t>
      </w:r>
      <w:r w:rsidR="002733CB" w:rsidRPr="009C5F11">
        <w:rPr>
          <w:rFonts w:ascii="Times New Roman" w:hAnsi="Times New Roman" w:cs="Times New Roman"/>
          <w:sz w:val="24"/>
          <w:lang w:val="ro-RO"/>
        </w:rPr>
        <w:t>;</w:t>
      </w:r>
    </w:p>
    <w:p w14:paraId="6D9EA106" w14:textId="77777777" w:rsidR="00E01D46" w:rsidRPr="009C5F11" w:rsidRDefault="00503694" w:rsidP="00334F3B">
      <w:pPr>
        <w:pStyle w:val="Listparagraf"/>
        <w:numPr>
          <w:ilvl w:val="0"/>
          <w:numId w:val="168"/>
        </w:numPr>
        <w:spacing w:after="0" w:line="240" w:lineRule="auto"/>
        <w:ind w:left="1134" w:hanging="425"/>
        <w:jc w:val="both"/>
        <w:rPr>
          <w:rFonts w:ascii="Times New Roman" w:hAnsi="Times New Roman" w:cs="Times New Roman"/>
          <w:sz w:val="24"/>
          <w:lang w:val="ro-RO"/>
        </w:rPr>
      </w:pPr>
      <w:r w:rsidRPr="009C5F11">
        <w:rPr>
          <w:rFonts w:ascii="Times New Roman" w:hAnsi="Times New Roman" w:cs="Times New Roman"/>
          <w:sz w:val="24"/>
          <w:lang w:val="ro-RO"/>
        </w:rPr>
        <w:t xml:space="preserve">Două </w:t>
      </w:r>
      <w:r w:rsidR="00E10BE5" w:rsidRPr="009C5F11">
        <w:rPr>
          <w:rFonts w:ascii="Times New Roman" w:hAnsi="Times New Roman" w:cs="Times New Roman"/>
          <w:sz w:val="24"/>
          <w:lang w:val="ro-RO"/>
        </w:rPr>
        <w:t>proiecte</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sectorul termoenergetic realizate </w:t>
      </w:r>
      <w:r w:rsidR="00321CD5" w:rsidRPr="009C5F11">
        <w:rPr>
          <w:rFonts w:ascii="Times New Roman" w:hAnsi="Times New Roman" w:cs="Times New Roman"/>
          <w:sz w:val="24"/>
          <w:lang w:val="ro-RO"/>
        </w:rPr>
        <w:t xml:space="preserve">în </w:t>
      </w:r>
      <w:r w:rsidRPr="009C5F11">
        <w:rPr>
          <w:rFonts w:ascii="Times New Roman" w:hAnsi="Times New Roman" w:cs="Times New Roman"/>
          <w:sz w:val="24"/>
          <w:lang w:val="ro-RO"/>
        </w:rPr>
        <w:t>2 oraşe principale</w:t>
      </w:r>
      <w:r w:rsidR="002733CB"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Chişinău</w:t>
      </w:r>
      <w:r w:rsidR="002733CB" w:rsidRPr="009C5F11">
        <w:rPr>
          <w:rFonts w:ascii="Times New Roman" w:hAnsi="Times New Roman" w:cs="Times New Roman"/>
          <w:sz w:val="24"/>
          <w:lang w:val="ro-RO"/>
        </w:rPr>
        <w:t xml:space="preserve"> (</w:t>
      </w:r>
      <w:r w:rsidR="00AA45D2" w:rsidRPr="009C5F11">
        <w:rPr>
          <w:rFonts w:ascii="Times New Roman" w:hAnsi="Times New Roman" w:cs="Times New Roman"/>
          <w:sz w:val="24"/>
          <w:lang w:val="ro-RO"/>
        </w:rPr>
        <w:t>finanţat de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BIRD</w:t>
      </w:r>
      <w:r w:rsidR="002733CB"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şi </w:t>
      </w:r>
      <w:r w:rsidR="00210C2C" w:rsidRPr="009C5F11">
        <w:rPr>
          <w:rFonts w:ascii="Times New Roman" w:hAnsi="Times New Roman" w:cs="Times New Roman"/>
          <w:sz w:val="24"/>
          <w:lang w:val="ro-RO"/>
        </w:rPr>
        <w:t>Bălţi</w:t>
      </w:r>
      <w:r w:rsidR="002733CB" w:rsidRPr="009C5F11">
        <w:rPr>
          <w:rFonts w:ascii="Times New Roman" w:hAnsi="Times New Roman" w:cs="Times New Roman"/>
          <w:sz w:val="24"/>
          <w:lang w:val="ro-RO"/>
        </w:rPr>
        <w:t xml:space="preserve"> (</w:t>
      </w:r>
      <w:r w:rsidR="00AA45D2" w:rsidRPr="009C5F11">
        <w:rPr>
          <w:rFonts w:ascii="Times New Roman" w:hAnsi="Times New Roman" w:cs="Times New Roman"/>
          <w:sz w:val="24"/>
          <w:lang w:val="ro-RO"/>
        </w:rPr>
        <w:t>finanţat de</w:t>
      </w:r>
      <w:r w:rsidR="002733CB"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BERD</w:t>
      </w:r>
      <w:r w:rsidR="002733CB" w:rsidRPr="009C5F11">
        <w:rPr>
          <w:rFonts w:ascii="Times New Roman" w:hAnsi="Times New Roman" w:cs="Times New Roman"/>
          <w:sz w:val="24"/>
          <w:lang w:val="ro-RO"/>
        </w:rPr>
        <w:t>);</w:t>
      </w:r>
    </w:p>
    <w:p w14:paraId="7994615B" w14:textId="77777777" w:rsidR="002733CB" w:rsidRPr="009C5F11" w:rsidRDefault="00CD7240" w:rsidP="00334F3B">
      <w:pPr>
        <w:pStyle w:val="Listparagraf"/>
        <w:numPr>
          <w:ilvl w:val="1"/>
          <w:numId w:val="168"/>
        </w:numPr>
        <w:spacing w:after="0" w:line="240" w:lineRule="auto"/>
        <w:jc w:val="both"/>
        <w:rPr>
          <w:rFonts w:ascii="Times New Roman" w:hAnsi="Times New Roman" w:cs="Times New Roman"/>
          <w:sz w:val="24"/>
          <w:lang w:val="ro-RO"/>
        </w:rPr>
      </w:pPr>
      <w:r w:rsidRPr="009C5F11">
        <w:rPr>
          <w:rFonts w:ascii="Times New Roman" w:hAnsi="Times New Roman" w:cs="Times New Roman"/>
          <w:sz w:val="24"/>
          <w:lang w:val="ro-RO"/>
        </w:rPr>
        <w:lastRenderedPageBreak/>
        <w:t>Proiectul</w:t>
      </w:r>
      <w:r w:rsidR="00321CD5" w:rsidRPr="009C5F11">
        <w:rPr>
          <w:rFonts w:ascii="Times New Roman" w:hAnsi="Times New Roman" w:cs="Times New Roman"/>
          <w:sz w:val="24"/>
          <w:lang w:val="ro-RO"/>
        </w:rPr>
        <w:t xml:space="preserve"> </w:t>
      </w:r>
      <w:r w:rsidR="00503694" w:rsidRPr="009C5F11">
        <w:rPr>
          <w:rFonts w:ascii="Times New Roman" w:hAnsi="Times New Roman" w:cs="Times New Roman"/>
          <w:sz w:val="24"/>
          <w:lang w:val="ro-RO"/>
        </w:rPr>
        <w:t xml:space="preserve">realizat </w:t>
      </w:r>
      <w:r w:rsidR="00321CD5" w:rsidRPr="009C5F11">
        <w:rPr>
          <w:rFonts w:ascii="Times New Roman" w:hAnsi="Times New Roman" w:cs="Times New Roman"/>
          <w:sz w:val="24"/>
          <w:lang w:val="ro-RO"/>
        </w:rPr>
        <w:t xml:space="preserve">în </w:t>
      </w:r>
      <w:r w:rsidR="00AA0566" w:rsidRPr="009C5F11">
        <w:rPr>
          <w:rFonts w:ascii="Times New Roman" w:hAnsi="Times New Roman" w:cs="Times New Roman"/>
          <w:sz w:val="24"/>
          <w:lang w:val="ro-RO"/>
        </w:rPr>
        <w:t>Chişinău</w:t>
      </w:r>
      <w:r w:rsidR="002733CB" w:rsidRPr="009C5F11">
        <w:rPr>
          <w:rFonts w:ascii="Times New Roman" w:hAnsi="Times New Roman" w:cs="Times New Roman"/>
          <w:sz w:val="24"/>
          <w:lang w:val="ro-RO"/>
        </w:rPr>
        <w:t xml:space="preserve"> </w:t>
      </w:r>
      <w:r w:rsidR="00503694" w:rsidRPr="009C5F11">
        <w:rPr>
          <w:rFonts w:ascii="Times New Roman" w:hAnsi="Times New Roman" w:cs="Times New Roman"/>
          <w:sz w:val="24"/>
          <w:lang w:val="ro-RO"/>
        </w:rPr>
        <w:t>este</w:t>
      </w:r>
      <w:r w:rsidR="002733CB" w:rsidRPr="009C5F11">
        <w:rPr>
          <w:rFonts w:ascii="Times New Roman" w:hAnsi="Times New Roman" w:cs="Times New Roman"/>
          <w:sz w:val="24"/>
          <w:lang w:val="ro-RO"/>
        </w:rPr>
        <w:t xml:space="preserve"> complex, </w:t>
      </w:r>
      <w:r w:rsidR="00C639BC" w:rsidRPr="009C5F11">
        <w:rPr>
          <w:rFonts w:ascii="Times New Roman" w:hAnsi="Times New Roman" w:cs="Times New Roman"/>
          <w:sz w:val="24"/>
          <w:lang w:val="ro-RO"/>
        </w:rPr>
        <w:t>economii</w:t>
      </w:r>
      <w:r w:rsidR="00503694" w:rsidRPr="009C5F11">
        <w:rPr>
          <w:rFonts w:ascii="Times New Roman" w:hAnsi="Times New Roman" w:cs="Times New Roman"/>
          <w:sz w:val="24"/>
          <w:lang w:val="ro-RO"/>
        </w:rPr>
        <w:t xml:space="preserve">le scontate fiind obţinute din </w:t>
      </w:r>
      <w:r w:rsidR="002733CB" w:rsidRPr="009C5F11">
        <w:rPr>
          <w:rFonts w:ascii="Times New Roman" w:hAnsi="Times New Roman" w:cs="Times New Roman"/>
          <w:sz w:val="24"/>
          <w:lang w:val="ro-RO"/>
        </w:rPr>
        <w:t>reduc</w:t>
      </w:r>
      <w:r w:rsidR="00503694" w:rsidRPr="009C5F11">
        <w:rPr>
          <w:rFonts w:ascii="Times New Roman" w:hAnsi="Times New Roman" w:cs="Times New Roman"/>
          <w:sz w:val="24"/>
          <w:lang w:val="ro-RO"/>
        </w:rPr>
        <w:t>erea</w:t>
      </w:r>
      <w:r w:rsidR="002733CB" w:rsidRPr="009C5F11">
        <w:rPr>
          <w:rFonts w:ascii="Times New Roman" w:hAnsi="Times New Roman" w:cs="Times New Roman"/>
          <w:sz w:val="24"/>
          <w:lang w:val="ro-RO"/>
        </w:rPr>
        <w:t xml:space="preserve"> </w:t>
      </w:r>
      <w:r w:rsidR="00BA5A89" w:rsidRPr="009C5F11">
        <w:rPr>
          <w:rFonts w:ascii="Times New Roman" w:hAnsi="Times New Roman" w:cs="Times New Roman"/>
          <w:sz w:val="24"/>
          <w:lang w:val="ro-RO"/>
        </w:rPr>
        <w:t>pierderil</w:t>
      </w:r>
      <w:r w:rsidR="00503694" w:rsidRPr="009C5F11">
        <w:rPr>
          <w:rFonts w:ascii="Times New Roman" w:hAnsi="Times New Roman" w:cs="Times New Roman"/>
          <w:sz w:val="24"/>
          <w:lang w:val="ro-RO"/>
        </w:rPr>
        <w:t>or</w:t>
      </w:r>
      <w:r w:rsidR="002733CB" w:rsidRPr="009C5F11">
        <w:rPr>
          <w:rFonts w:ascii="Times New Roman" w:hAnsi="Times New Roman" w:cs="Times New Roman"/>
          <w:sz w:val="24"/>
          <w:lang w:val="ro-RO"/>
        </w:rPr>
        <w:t xml:space="preserve">, </w:t>
      </w:r>
      <w:r w:rsidR="00503694" w:rsidRPr="009C5F11">
        <w:rPr>
          <w:rFonts w:ascii="Times New Roman" w:hAnsi="Times New Roman" w:cs="Times New Roman"/>
          <w:sz w:val="24"/>
          <w:lang w:val="ro-RO"/>
        </w:rPr>
        <w:t>modificarea</w:t>
      </w:r>
      <w:r w:rsidR="002733CB" w:rsidRPr="009C5F11">
        <w:rPr>
          <w:rFonts w:ascii="Times New Roman" w:hAnsi="Times New Roman" w:cs="Times New Roman"/>
          <w:sz w:val="24"/>
          <w:lang w:val="ro-RO"/>
        </w:rPr>
        <w:t xml:space="preserve"> transform</w:t>
      </w:r>
      <w:r w:rsidR="00503694" w:rsidRPr="009C5F11">
        <w:rPr>
          <w:rFonts w:ascii="Times New Roman" w:hAnsi="Times New Roman" w:cs="Times New Roman"/>
          <w:sz w:val="24"/>
          <w:lang w:val="ro-RO"/>
        </w:rPr>
        <w:t>ării</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reduc</w:t>
      </w:r>
      <w:r w:rsidR="00503694" w:rsidRPr="009C5F11">
        <w:rPr>
          <w:rFonts w:ascii="Times New Roman" w:hAnsi="Times New Roman" w:cs="Times New Roman"/>
          <w:sz w:val="24"/>
          <w:lang w:val="ro-RO"/>
        </w:rPr>
        <w:t>er</w:t>
      </w:r>
      <w:r w:rsidR="00F577AE" w:rsidRPr="009C5F11">
        <w:rPr>
          <w:rFonts w:ascii="Times New Roman" w:hAnsi="Times New Roman" w:cs="Times New Roman"/>
          <w:sz w:val="24"/>
          <w:lang w:val="ro-RO"/>
        </w:rPr>
        <w:t>ea</w:t>
      </w:r>
      <w:r w:rsidR="00503694" w:rsidRPr="009C5F11">
        <w:rPr>
          <w:rFonts w:ascii="Times New Roman" w:hAnsi="Times New Roman" w:cs="Times New Roman"/>
          <w:sz w:val="24"/>
          <w:lang w:val="ro-RO"/>
        </w:rPr>
        <w:t xml:space="preserve"> consumului de gaze naturale </w:t>
      </w:r>
      <w:r w:rsidR="00321CD5" w:rsidRPr="009C5F11">
        <w:rPr>
          <w:rFonts w:ascii="Times New Roman" w:hAnsi="Times New Roman" w:cs="Times New Roman"/>
          <w:sz w:val="24"/>
          <w:lang w:val="ro-RO"/>
        </w:rPr>
        <w:t xml:space="preserve">şi </w:t>
      </w:r>
      <w:r w:rsidR="00334259" w:rsidRPr="009C5F11">
        <w:rPr>
          <w:rFonts w:ascii="Times New Roman" w:hAnsi="Times New Roman" w:cs="Times New Roman"/>
          <w:sz w:val="24"/>
          <w:lang w:val="ro-RO"/>
        </w:rPr>
        <w:t>energi</w:t>
      </w:r>
      <w:r w:rsidR="00503694" w:rsidRPr="009C5F11">
        <w:rPr>
          <w:rFonts w:ascii="Times New Roman" w:hAnsi="Times New Roman" w:cs="Times New Roman"/>
          <w:sz w:val="24"/>
          <w:lang w:val="ro-RO"/>
        </w:rPr>
        <w:t>e</w:t>
      </w:r>
      <w:r w:rsidR="00334259" w:rsidRPr="009C5F11">
        <w:rPr>
          <w:rFonts w:ascii="Times New Roman" w:hAnsi="Times New Roman" w:cs="Times New Roman"/>
          <w:sz w:val="24"/>
          <w:lang w:val="ro-RO"/>
        </w:rPr>
        <w:t xml:space="preserve"> electrică</w:t>
      </w:r>
      <w:r w:rsidR="002733CB" w:rsidRPr="009C5F11">
        <w:rPr>
          <w:rFonts w:ascii="Times New Roman" w:hAnsi="Times New Roman" w:cs="Times New Roman"/>
          <w:sz w:val="24"/>
          <w:lang w:val="ro-RO"/>
        </w:rPr>
        <w:t>.</w:t>
      </w:r>
    </w:p>
    <w:p w14:paraId="4C67DBC4" w14:textId="77777777" w:rsidR="00DB2737" w:rsidRPr="009C5F11" w:rsidRDefault="00DB2737" w:rsidP="00DB2737">
      <w:pPr>
        <w:pStyle w:val="Listparagraf"/>
        <w:spacing w:after="0" w:line="240" w:lineRule="auto"/>
        <w:ind w:left="2203"/>
        <w:jc w:val="both"/>
        <w:rPr>
          <w:rFonts w:ascii="Times New Roman" w:hAnsi="Times New Roman" w:cs="Times New Roman"/>
          <w:sz w:val="24"/>
          <w:lang w:val="ro-RO"/>
        </w:rPr>
      </w:pPr>
    </w:p>
    <w:p w14:paraId="4766C3D9" w14:textId="4DDE4AD5" w:rsidR="002733CB" w:rsidRPr="00D9464A" w:rsidRDefault="00334259" w:rsidP="002733CB">
      <w:pPr>
        <w:pStyle w:val="Titlu3"/>
        <w:keepLines/>
        <w:tabs>
          <w:tab w:val="num" w:pos="720"/>
          <w:tab w:val="right" w:pos="8504"/>
        </w:tabs>
        <w:spacing w:before="120" w:line="280" w:lineRule="exact"/>
        <w:ind w:left="720" w:hanging="720"/>
        <w:jc w:val="both"/>
        <w:rPr>
          <w:rFonts w:ascii="Times New Roman" w:hAnsi="Times New Roman" w:cs="Times New Roman"/>
          <w:b/>
          <w:color w:val="000000" w:themeColor="text1"/>
          <w:sz w:val="28"/>
          <w:lang w:val="ro-RO"/>
        </w:rPr>
      </w:pPr>
      <w:bookmarkStart w:id="118" w:name="_Toc319555383"/>
      <w:bookmarkStart w:id="119" w:name="_Toc322013149"/>
      <w:r w:rsidRPr="00D9464A">
        <w:rPr>
          <w:rFonts w:ascii="Times New Roman" w:hAnsi="Times New Roman" w:cs="Times New Roman"/>
          <w:b/>
          <w:color w:val="000000" w:themeColor="text1"/>
          <w:sz w:val="28"/>
          <w:lang w:val="ro-RO"/>
        </w:rPr>
        <w:t>Măsuri pentru economisirea energiei</w:t>
      </w:r>
      <w:r w:rsidR="00321CD5" w:rsidRPr="00D9464A">
        <w:rPr>
          <w:rFonts w:ascii="Times New Roman" w:hAnsi="Times New Roman" w:cs="Times New Roman"/>
          <w:b/>
          <w:color w:val="000000" w:themeColor="text1"/>
          <w:sz w:val="28"/>
          <w:lang w:val="ro-RO"/>
        </w:rPr>
        <w:t xml:space="preserve"> în </w:t>
      </w:r>
      <w:r w:rsidR="00503694" w:rsidRPr="00D9464A">
        <w:rPr>
          <w:rFonts w:ascii="Times New Roman" w:hAnsi="Times New Roman" w:cs="Times New Roman"/>
          <w:b/>
          <w:color w:val="000000" w:themeColor="text1"/>
          <w:sz w:val="28"/>
          <w:lang w:val="ro-RO"/>
        </w:rPr>
        <w:t>faza de</w:t>
      </w:r>
      <w:r w:rsidR="002733CB" w:rsidRPr="00D9464A">
        <w:rPr>
          <w:rFonts w:ascii="Times New Roman" w:hAnsi="Times New Roman" w:cs="Times New Roman"/>
          <w:b/>
          <w:color w:val="000000" w:themeColor="text1"/>
          <w:sz w:val="28"/>
          <w:lang w:val="ro-RO"/>
        </w:rPr>
        <w:t xml:space="preserve"> transforma</w:t>
      </w:r>
      <w:r w:rsidR="00503694" w:rsidRPr="00D9464A">
        <w:rPr>
          <w:rFonts w:ascii="Times New Roman" w:hAnsi="Times New Roman" w:cs="Times New Roman"/>
          <w:b/>
          <w:color w:val="000000" w:themeColor="text1"/>
          <w:sz w:val="28"/>
          <w:lang w:val="ro-RO"/>
        </w:rPr>
        <w:t>re</w:t>
      </w:r>
      <w:r w:rsidR="002733CB" w:rsidRPr="00D9464A">
        <w:rPr>
          <w:rFonts w:ascii="Times New Roman" w:hAnsi="Times New Roman" w:cs="Times New Roman"/>
          <w:b/>
          <w:color w:val="000000" w:themeColor="text1"/>
          <w:sz w:val="28"/>
          <w:lang w:val="ro-RO"/>
        </w:rPr>
        <w:t xml:space="preserve">, </w:t>
      </w:r>
      <w:r w:rsidR="008F7BD5" w:rsidRPr="00D9464A">
        <w:rPr>
          <w:rFonts w:ascii="Times New Roman" w:hAnsi="Times New Roman" w:cs="Times New Roman"/>
          <w:b/>
          <w:color w:val="000000" w:themeColor="text1"/>
          <w:sz w:val="28"/>
          <w:lang w:val="ro-RO"/>
        </w:rPr>
        <w:t>transport</w:t>
      </w:r>
      <w:r w:rsidR="00321CD5" w:rsidRPr="00D9464A">
        <w:rPr>
          <w:rFonts w:ascii="Times New Roman" w:hAnsi="Times New Roman" w:cs="Times New Roman"/>
          <w:b/>
          <w:color w:val="000000" w:themeColor="text1"/>
          <w:sz w:val="28"/>
          <w:lang w:val="ro-RO"/>
        </w:rPr>
        <w:t xml:space="preserve"> şi </w:t>
      </w:r>
      <w:r w:rsidR="008F7BD5" w:rsidRPr="00D9464A">
        <w:rPr>
          <w:rFonts w:ascii="Times New Roman" w:hAnsi="Times New Roman" w:cs="Times New Roman"/>
          <w:b/>
          <w:color w:val="000000" w:themeColor="text1"/>
          <w:sz w:val="28"/>
          <w:lang w:val="ro-RO"/>
        </w:rPr>
        <w:t>distribuţie</w:t>
      </w:r>
      <w:bookmarkEnd w:id="116"/>
      <w:bookmarkEnd w:id="117"/>
      <w:bookmarkEnd w:id="118"/>
      <w:r w:rsidR="00503694" w:rsidRPr="00D9464A">
        <w:rPr>
          <w:rFonts w:ascii="Times New Roman" w:hAnsi="Times New Roman" w:cs="Times New Roman"/>
          <w:b/>
          <w:color w:val="000000" w:themeColor="text1"/>
          <w:sz w:val="28"/>
          <w:lang w:val="ro-RO"/>
        </w:rPr>
        <w:t xml:space="preserve"> a energiei.</w:t>
      </w:r>
      <w:bookmarkEnd w:id="119"/>
    </w:p>
    <w:p w14:paraId="4C7426E9" w14:textId="18C05ED4" w:rsidR="002733CB" w:rsidRPr="009C5F11" w:rsidRDefault="00BB53F1"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Mai jos </w:t>
      </w:r>
      <w:r w:rsidR="00895246" w:rsidRPr="009C5F11">
        <w:rPr>
          <w:rFonts w:ascii="Times New Roman" w:hAnsi="Times New Roman" w:cs="Times New Roman"/>
          <w:sz w:val="24"/>
          <w:lang w:val="ro-RO"/>
        </w:rPr>
        <w:t>sunt</w:t>
      </w:r>
      <w:r w:rsidRPr="009C5F11">
        <w:rPr>
          <w:rFonts w:ascii="Times New Roman" w:hAnsi="Times New Roman" w:cs="Times New Roman"/>
          <w:sz w:val="24"/>
          <w:lang w:val="ro-RO"/>
        </w:rPr>
        <w:t xml:space="preserve"> inclus</w:t>
      </w:r>
      <w:r w:rsidR="00895246"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informaţii despre măsuri </w:t>
      </w:r>
      <w:r w:rsidR="002733CB" w:rsidRPr="009C5F11">
        <w:rPr>
          <w:rFonts w:ascii="Times New Roman" w:hAnsi="Times New Roman" w:cs="Times New Roman"/>
          <w:sz w:val="24"/>
          <w:lang w:val="ro-RO"/>
        </w:rPr>
        <w:t>important</w:t>
      </w:r>
      <w:r w:rsidRPr="009C5F11">
        <w:rPr>
          <w:rFonts w:ascii="Times New Roman" w:hAnsi="Times New Roman" w:cs="Times New Roman"/>
          <w:sz w:val="24"/>
          <w:lang w:val="ro-RO"/>
        </w:rPr>
        <w:t xml:space="preserve">e realizate </w:t>
      </w:r>
      <w:r w:rsidR="00223DAC" w:rsidRPr="009C5F11">
        <w:rPr>
          <w:rFonts w:ascii="Times New Roman" w:hAnsi="Times New Roman" w:cs="Times New Roman"/>
          <w:sz w:val="24"/>
          <w:lang w:val="ro-RO"/>
        </w:rPr>
        <w:t>în Republica Moldova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pentru abordarea potenţialului </w:t>
      </w:r>
      <w:r w:rsidR="00127E34" w:rsidRPr="009C5F11">
        <w:rPr>
          <w:rFonts w:ascii="Times New Roman" w:hAnsi="Times New Roman" w:cs="Times New Roman"/>
          <w:sz w:val="24"/>
          <w:lang w:val="ro-RO"/>
        </w:rPr>
        <w:t>de reducere a consumului energetic</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în faza de transformare, transport şi distribuţie a energiei</w:t>
      </w:r>
      <w:r w:rsidR="002733CB" w:rsidRPr="009C5F11">
        <w:rPr>
          <w:rFonts w:ascii="Times New Roman" w:hAnsi="Times New Roman" w:cs="Times New Roman"/>
          <w:sz w:val="24"/>
          <w:lang w:val="ro-RO"/>
        </w:rPr>
        <w:t xml:space="preserve">. </w:t>
      </w:r>
    </w:p>
    <w:p w14:paraId="1F0592A3" w14:textId="77777777" w:rsidR="00DB2737" w:rsidRPr="009C5F11" w:rsidRDefault="00DB2737" w:rsidP="005271E3">
      <w:pPr>
        <w:spacing w:before="120" w:after="120" w:line="240" w:lineRule="auto"/>
        <w:jc w:val="both"/>
        <w:textAlignment w:val="baseline"/>
        <w:rPr>
          <w:rFonts w:ascii="Times New Roman" w:hAnsi="Times New Roman" w:cs="Times New Roman"/>
          <w:sz w:val="24"/>
          <w:lang w:val="ro-RO"/>
        </w:rPr>
      </w:pPr>
    </w:p>
    <w:p w14:paraId="33D73076" w14:textId="77777777" w:rsidR="002733CB" w:rsidRPr="00D9464A" w:rsidRDefault="00723D97" w:rsidP="00DE7EA0">
      <w:pPr>
        <w:pStyle w:val="Titlu4"/>
        <w:rPr>
          <w:rFonts w:ascii="Times New Roman" w:hAnsi="Times New Roman" w:cs="Times New Roman"/>
          <w:b/>
          <w:color w:val="000000" w:themeColor="text1"/>
          <w:sz w:val="28"/>
          <w:lang w:val="ro-RO"/>
        </w:rPr>
      </w:pPr>
      <w:bookmarkStart w:id="120" w:name="_Toc322013150"/>
      <w:bookmarkStart w:id="121" w:name="_Toc319555384"/>
      <w:bookmarkStart w:id="122" w:name="_Toc274298528"/>
      <w:bookmarkStart w:id="123" w:name="_Toc274304014"/>
      <w:r w:rsidRPr="00D9464A">
        <w:rPr>
          <w:rFonts w:ascii="Times New Roman" w:hAnsi="Times New Roman" w:cs="Times New Roman"/>
          <w:b/>
          <w:color w:val="000000" w:themeColor="text1"/>
          <w:sz w:val="28"/>
          <w:lang w:val="ro-RO"/>
        </w:rPr>
        <w:t>Criterii de eficienţă energetică în tarifele şi reg</w:t>
      </w:r>
      <w:r w:rsidR="004E2D38" w:rsidRPr="00D9464A">
        <w:rPr>
          <w:rFonts w:ascii="Times New Roman" w:hAnsi="Times New Roman" w:cs="Times New Roman"/>
          <w:b/>
          <w:color w:val="000000" w:themeColor="text1"/>
          <w:sz w:val="28"/>
          <w:lang w:val="ro-RO"/>
        </w:rPr>
        <w:t>ulamentele privind</w:t>
      </w:r>
      <w:r w:rsidRPr="00D9464A">
        <w:rPr>
          <w:rFonts w:ascii="Times New Roman" w:hAnsi="Times New Roman" w:cs="Times New Roman"/>
          <w:b/>
          <w:color w:val="000000" w:themeColor="text1"/>
          <w:sz w:val="28"/>
          <w:lang w:val="ro-RO"/>
        </w:rPr>
        <w:t xml:space="preserve"> reţea</w:t>
      </w:r>
      <w:r w:rsidR="004E2D38" w:rsidRPr="00D9464A">
        <w:rPr>
          <w:rFonts w:ascii="Times New Roman" w:hAnsi="Times New Roman" w:cs="Times New Roman"/>
          <w:b/>
          <w:color w:val="000000" w:themeColor="text1"/>
          <w:sz w:val="28"/>
          <w:lang w:val="ro-RO"/>
        </w:rPr>
        <w:t>ua</w:t>
      </w:r>
      <w:bookmarkEnd w:id="120"/>
      <w:r w:rsidRPr="00D9464A">
        <w:rPr>
          <w:rFonts w:ascii="Times New Roman" w:hAnsi="Times New Roman" w:cs="Times New Roman"/>
          <w:b/>
          <w:color w:val="000000" w:themeColor="text1"/>
          <w:sz w:val="28"/>
          <w:lang w:val="ro-RO"/>
        </w:rPr>
        <w:t xml:space="preserve"> </w:t>
      </w:r>
      <w:bookmarkEnd w:id="121"/>
    </w:p>
    <w:p w14:paraId="616AF003" w14:textId="3EF2E13E" w:rsidR="002733CB" w:rsidRPr="009C5F11" w:rsidRDefault="000A4CC7"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Legea</w:t>
      </w:r>
      <w:r w:rsidR="002733CB" w:rsidRPr="009C5F11">
        <w:rPr>
          <w:rFonts w:ascii="Times New Roman" w:hAnsi="Times New Roman" w:cs="Times New Roman"/>
          <w:sz w:val="24"/>
          <w:lang w:val="ro-RO"/>
        </w:rPr>
        <w:t xml:space="preserve"> </w:t>
      </w:r>
      <w:r w:rsidR="00723D97" w:rsidRPr="009C5F11">
        <w:rPr>
          <w:rFonts w:ascii="Times New Roman" w:hAnsi="Times New Roman" w:cs="Times New Roman"/>
          <w:sz w:val="24"/>
          <w:lang w:val="ro-RO"/>
        </w:rPr>
        <w:t xml:space="preserve">cu privire la energia electrică nr. </w:t>
      </w:r>
      <w:r w:rsidR="002733CB" w:rsidRPr="009C5F11">
        <w:rPr>
          <w:rFonts w:ascii="Times New Roman" w:hAnsi="Times New Roman" w:cs="Times New Roman"/>
          <w:sz w:val="24"/>
          <w:lang w:val="ro-RO"/>
        </w:rPr>
        <w:t>124 d</w:t>
      </w:r>
      <w:r w:rsidR="00723D97" w:rsidRPr="009C5F11">
        <w:rPr>
          <w:rFonts w:ascii="Times New Roman" w:hAnsi="Times New Roman" w:cs="Times New Roman"/>
          <w:sz w:val="24"/>
          <w:lang w:val="ro-RO"/>
        </w:rPr>
        <w:t>in</w:t>
      </w:r>
      <w:r w:rsidR="002733CB" w:rsidRPr="009C5F11">
        <w:rPr>
          <w:rFonts w:ascii="Times New Roman" w:hAnsi="Times New Roman" w:cs="Times New Roman"/>
          <w:sz w:val="24"/>
          <w:lang w:val="ro-RO"/>
        </w:rPr>
        <w:t xml:space="preserve"> 23.12.</w:t>
      </w:r>
      <w:r w:rsidR="00723D97" w:rsidRPr="009C5F11">
        <w:rPr>
          <w:rFonts w:ascii="Times New Roman" w:hAnsi="Times New Roman" w:cs="Times New Roman"/>
          <w:sz w:val="24"/>
          <w:lang w:val="ro-RO"/>
        </w:rPr>
        <w:t xml:space="preserve">2009 </w:t>
      </w:r>
      <w:r w:rsidR="004E2D38" w:rsidRPr="009C5F11">
        <w:rPr>
          <w:rFonts w:ascii="Times New Roman" w:hAnsi="Times New Roman" w:cs="Times New Roman"/>
          <w:sz w:val="24"/>
          <w:lang w:val="ro-RO"/>
        </w:rPr>
        <w:t xml:space="preserve">republicata in 23.05.2014 </w:t>
      </w:r>
      <w:r w:rsidR="00723D97" w:rsidRPr="009C5F11">
        <w:rPr>
          <w:rFonts w:ascii="Times New Roman" w:hAnsi="Times New Roman" w:cs="Times New Roman"/>
          <w:sz w:val="24"/>
          <w:lang w:val="ro-RO"/>
        </w:rPr>
        <w:t>prevede următoarele</w:t>
      </w:r>
      <w:r w:rsidR="002733CB" w:rsidRPr="009C5F11">
        <w:rPr>
          <w:rFonts w:ascii="Times New Roman" w:hAnsi="Times New Roman" w:cs="Times New Roman"/>
          <w:sz w:val="24"/>
          <w:lang w:val="ro-RO"/>
        </w:rPr>
        <w:t>:</w:t>
      </w:r>
    </w:p>
    <w:p w14:paraId="5E86986D" w14:textId="77777777" w:rsidR="002733CB" w:rsidRPr="009C5F11" w:rsidRDefault="000A4CC7" w:rsidP="003527BA">
      <w:pPr>
        <w:spacing w:before="120" w:after="120" w:line="240" w:lineRule="auto"/>
        <w:ind w:firstLine="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Articolul</w:t>
      </w:r>
      <w:r w:rsidR="002733CB" w:rsidRPr="009C5F11">
        <w:rPr>
          <w:rFonts w:ascii="Times New Roman" w:hAnsi="Times New Roman" w:cs="Times New Roman"/>
          <w:i/>
          <w:szCs w:val="18"/>
          <w:lang w:val="ro-RO"/>
        </w:rPr>
        <w:t xml:space="preserve"> 35 </w:t>
      </w:r>
      <w:r w:rsidR="00723D97" w:rsidRPr="009C5F11">
        <w:rPr>
          <w:rFonts w:ascii="Times New Roman" w:hAnsi="Times New Roman" w:cs="Times New Roman"/>
          <w:i/>
          <w:szCs w:val="18"/>
          <w:lang w:val="ro-RO"/>
        </w:rPr>
        <w:t xml:space="preserve">alineatul </w:t>
      </w:r>
      <w:r w:rsidR="002733CB" w:rsidRPr="009C5F11">
        <w:rPr>
          <w:rFonts w:ascii="Times New Roman" w:hAnsi="Times New Roman" w:cs="Times New Roman"/>
          <w:i/>
          <w:szCs w:val="18"/>
          <w:lang w:val="ro-RO"/>
        </w:rPr>
        <w:t>(1)</w:t>
      </w:r>
      <w:r w:rsidR="00723D97" w:rsidRPr="009C5F11">
        <w:rPr>
          <w:rFonts w:ascii="Times New Roman" w:hAnsi="Times New Roman" w:cs="Times New Roman"/>
          <w:i/>
          <w:szCs w:val="18"/>
          <w:lang w:val="ro-RO"/>
        </w:rPr>
        <w:t>:</w:t>
      </w:r>
      <w:r w:rsidR="002733CB" w:rsidRPr="009C5F11">
        <w:rPr>
          <w:rFonts w:ascii="Times New Roman" w:hAnsi="Times New Roman" w:cs="Times New Roman"/>
          <w:i/>
          <w:szCs w:val="18"/>
          <w:lang w:val="ro-RO"/>
        </w:rPr>
        <w:t xml:space="preserve"> </w:t>
      </w:r>
      <w:r w:rsidR="00723D97" w:rsidRPr="009C5F11">
        <w:rPr>
          <w:rFonts w:ascii="Times New Roman" w:eastAsia="Times New Roman" w:hAnsi="Times New Roman" w:cs="Times New Roman"/>
          <w:i/>
          <w:color w:val="000000"/>
          <w:szCs w:val="18"/>
          <w:lang w:val="ro-RO"/>
        </w:rPr>
        <w:t>Operatorul reţelei de transport şi de sistem este obligat</w:t>
      </w:r>
      <w:r w:rsidR="002733CB" w:rsidRPr="009C5F11">
        <w:rPr>
          <w:rFonts w:ascii="Times New Roman" w:hAnsi="Times New Roman" w:cs="Times New Roman"/>
          <w:i/>
          <w:szCs w:val="18"/>
          <w:lang w:val="ro-RO"/>
        </w:rPr>
        <w:t>:</w:t>
      </w:r>
    </w:p>
    <w:p w14:paraId="6C9278AB" w14:textId="77777777" w:rsidR="002733CB" w:rsidRPr="009C5F11" w:rsidRDefault="002733CB" w:rsidP="003527BA">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b) </w:t>
      </w:r>
      <w:r w:rsidR="00723D97" w:rsidRPr="009C5F11">
        <w:rPr>
          <w:rFonts w:ascii="Times New Roman" w:eastAsia="Times New Roman" w:hAnsi="Times New Roman" w:cs="Times New Roman"/>
          <w:i/>
          <w:color w:val="000000"/>
          <w:szCs w:val="18"/>
          <w:lang w:val="ro-RO"/>
        </w:rPr>
        <w:t>să exploateze, să întreţină, să retehnologizeze, să reabiliteze şi să extindă reţelele electrice de transport, inclusiv interconectorii, în condiţii de eficienţă economică şi să presteze serviciul de transport al energiei electrice la destinaţie, conform clauzelor contractului încheiat între părţi şi condiţiilor stipulate în licenţă şi în regulamentele aprobate de Agenţie</w:t>
      </w:r>
      <w:r w:rsidRPr="009C5F11">
        <w:rPr>
          <w:rFonts w:ascii="Times New Roman" w:hAnsi="Times New Roman" w:cs="Times New Roman"/>
          <w:i/>
          <w:szCs w:val="18"/>
          <w:lang w:val="ro-RO"/>
        </w:rPr>
        <w:t>.</w:t>
      </w:r>
      <w:r w:rsidRPr="009C5F11">
        <w:rPr>
          <w:rFonts w:ascii="Times New Roman" w:hAnsi="Times New Roman" w:cs="Times New Roman"/>
          <w:i/>
          <w:szCs w:val="18"/>
          <w:u w:val="single"/>
          <w:lang w:val="ro-RO"/>
        </w:rPr>
        <w:t xml:space="preserve"> </w:t>
      </w:r>
      <w:r w:rsidR="00723D97" w:rsidRPr="009C5F11">
        <w:rPr>
          <w:rFonts w:ascii="Times New Roman" w:eastAsia="Times New Roman" w:hAnsi="Times New Roman" w:cs="Times New Roman"/>
          <w:i/>
          <w:color w:val="000000"/>
          <w:szCs w:val="18"/>
          <w:u w:val="single"/>
          <w:lang w:val="ro-RO"/>
        </w:rPr>
        <w:t>La exploatarea, întreţinerea, retehnologizarea, reabilitarea şi extinderea reţelei electrice de transport, operatorul reţelei de transport şi de sistem va aplica în mod obligatoriu metode moderne de management al eficienţei energetice/gestionare a cererii</w:t>
      </w:r>
      <w:r w:rsidRPr="009C5F11">
        <w:rPr>
          <w:rFonts w:ascii="Times New Roman" w:hAnsi="Times New Roman" w:cs="Times New Roman"/>
          <w:i/>
          <w:szCs w:val="18"/>
          <w:u w:val="single"/>
          <w:lang w:val="ro-RO"/>
        </w:rPr>
        <w:t>…”</w:t>
      </w:r>
    </w:p>
    <w:p w14:paraId="4A2C279D" w14:textId="0B184E42" w:rsidR="002733CB" w:rsidRPr="009C5F11" w:rsidRDefault="00723D97"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Legea cu privire la </w:t>
      </w:r>
      <w:r w:rsidR="004E2D38" w:rsidRPr="009C5F11">
        <w:rPr>
          <w:rFonts w:ascii="Times New Roman" w:hAnsi="Times New Roman" w:cs="Times New Roman"/>
          <w:sz w:val="24"/>
          <w:lang w:val="ro-RO"/>
        </w:rPr>
        <w:t>gazele naturale</w:t>
      </w:r>
      <w:r w:rsidRPr="009C5F11">
        <w:rPr>
          <w:rFonts w:ascii="Times New Roman" w:hAnsi="Times New Roman" w:cs="Times New Roman"/>
          <w:sz w:val="24"/>
          <w:lang w:val="ro-RO"/>
        </w:rPr>
        <w:t xml:space="preserve"> nr. 12</w:t>
      </w:r>
      <w:r w:rsidR="004E2D38" w:rsidRPr="009C5F11">
        <w:rPr>
          <w:rFonts w:ascii="Times New Roman" w:hAnsi="Times New Roman" w:cs="Times New Roman"/>
          <w:sz w:val="24"/>
          <w:lang w:val="ro-RO"/>
        </w:rPr>
        <w:t>3</w:t>
      </w:r>
      <w:r w:rsidRPr="009C5F11">
        <w:rPr>
          <w:rFonts w:ascii="Times New Roman" w:hAnsi="Times New Roman" w:cs="Times New Roman"/>
          <w:sz w:val="24"/>
          <w:lang w:val="ro-RO"/>
        </w:rPr>
        <w:t xml:space="preserve"> din 23.12.2009</w:t>
      </w:r>
      <w:r w:rsidR="002733CB" w:rsidRPr="009C5F11">
        <w:rPr>
          <w:rFonts w:ascii="Times New Roman" w:hAnsi="Times New Roman" w:cs="Times New Roman"/>
          <w:sz w:val="24"/>
          <w:lang w:val="ro-RO"/>
        </w:rPr>
        <w:t xml:space="preserve"> stipul</w:t>
      </w:r>
      <w:r w:rsidRPr="009C5F11">
        <w:rPr>
          <w:rFonts w:ascii="Times New Roman" w:hAnsi="Times New Roman" w:cs="Times New Roman"/>
          <w:sz w:val="24"/>
          <w:lang w:val="ro-RO"/>
        </w:rPr>
        <w:t>ează următoarele</w:t>
      </w:r>
      <w:r w:rsidR="002733CB" w:rsidRPr="009C5F11">
        <w:rPr>
          <w:rFonts w:ascii="Times New Roman" w:hAnsi="Times New Roman" w:cs="Times New Roman"/>
          <w:sz w:val="24"/>
          <w:lang w:val="ro-RO"/>
        </w:rPr>
        <w:t>:</w:t>
      </w:r>
    </w:p>
    <w:p w14:paraId="1AF896AB" w14:textId="77777777" w:rsidR="003527BA" w:rsidRPr="009C5F11" w:rsidRDefault="002733CB" w:rsidP="003527BA">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Art. 3</w:t>
      </w:r>
      <w:r w:rsidR="00144D3F" w:rsidRPr="009C5F11">
        <w:rPr>
          <w:rFonts w:ascii="Times New Roman" w:hAnsi="Times New Roman" w:cs="Times New Roman"/>
          <w:i/>
          <w:szCs w:val="18"/>
          <w:lang w:val="ro-RO"/>
        </w:rPr>
        <w:t>7 alineatul (1).</w:t>
      </w:r>
      <w:r w:rsidRPr="009C5F11">
        <w:rPr>
          <w:rFonts w:ascii="Times New Roman" w:hAnsi="Times New Roman" w:cs="Times New Roman"/>
          <w:i/>
          <w:szCs w:val="18"/>
          <w:lang w:val="ro-RO"/>
        </w:rPr>
        <w:t xml:space="preserve"> </w:t>
      </w:r>
      <w:r w:rsidR="005506C6" w:rsidRPr="009C5F11">
        <w:rPr>
          <w:rFonts w:ascii="Times New Roman" w:eastAsia="Times New Roman" w:hAnsi="Times New Roman" w:cs="Times New Roman"/>
          <w:i/>
          <w:color w:val="000000"/>
          <w:szCs w:val="18"/>
          <w:lang w:val="ro-RO"/>
        </w:rPr>
        <w:t>Operatorii reţelelor de distribuţie sunt obligaţi</w:t>
      </w:r>
      <w:r w:rsidRPr="009C5F11">
        <w:rPr>
          <w:rFonts w:ascii="Times New Roman" w:hAnsi="Times New Roman" w:cs="Times New Roman"/>
          <w:i/>
          <w:szCs w:val="18"/>
          <w:lang w:val="ro-RO"/>
        </w:rPr>
        <w:t xml:space="preserve">: </w:t>
      </w:r>
    </w:p>
    <w:p w14:paraId="4DB8CF6C" w14:textId="77777777" w:rsidR="002733CB" w:rsidRPr="009C5F11" w:rsidRDefault="002733CB" w:rsidP="003527BA">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a) …. </w:t>
      </w:r>
      <w:r w:rsidR="005506C6" w:rsidRPr="009C5F11">
        <w:rPr>
          <w:rFonts w:ascii="Times New Roman" w:eastAsia="Times New Roman" w:hAnsi="Times New Roman" w:cs="Times New Roman"/>
          <w:i/>
          <w:color w:val="000000"/>
          <w:szCs w:val="18"/>
          <w:lang w:val="ro-RO"/>
        </w:rPr>
        <w:t xml:space="preserve">La exploatarea, </w:t>
      </w:r>
      <w:r w:rsidR="00D37C5E" w:rsidRPr="009C5F11">
        <w:rPr>
          <w:rFonts w:ascii="Times New Roman" w:eastAsia="Times New Roman" w:hAnsi="Times New Roman" w:cs="Times New Roman"/>
          <w:i/>
          <w:color w:val="000000"/>
          <w:szCs w:val="18"/>
          <w:lang w:val="ro-RO"/>
        </w:rPr>
        <w:t xml:space="preserve">la </w:t>
      </w:r>
      <w:r w:rsidR="005506C6" w:rsidRPr="009C5F11">
        <w:rPr>
          <w:rFonts w:ascii="Times New Roman" w:eastAsia="Times New Roman" w:hAnsi="Times New Roman" w:cs="Times New Roman"/>
          <w:i/>
          <w:color w:val="000000"/>
          <w:szCs w:val="18"/>
          <w:lang w:val="ro-RO"/>
        </w:rPr>
        <w:t>întreţinerea, retehnologizarea, reabilitarea şi la extinderea reţelelor de distribuţie</w:t>
      </w:r>
      <w:r w:rsidR="00D37C5E" w:rsidRPr="009C5F11">
        <w:rPr>
          <w:rFonts w:ascii="Times New Roman" w:hAnsi="Times New Roman" w:cs="Times New Roman"/>
          <w:sz w:val="24"/>
          <w:lang w:val="ro-RO"/>
        </w:rPr>
        <w:t xml:space="preserve"> </w:t>
      </w:r>
      <w:r w:rsidR="00D37C5E" w:rsidRPr="009C5F11">
        <w:rPr>
          <w:rFonts w:ascii="Times New Roman" w:eastAsia="Times New Roman" w:hAnsi="Times New Roman" w:cs="Times New Roman"/>
          <w:i/>
          <w:color w:val="000000"/>
          <w:szCs w:val="18"/>
          <w:lang w:val="ro-RO"/>
        </w:rPr>
        <w:t>a gazelor naturale</w:t>
      </w:r>
      <w:r w:rsidR="005506C6" w:rsidRPr="009C5F11">
        <w:rPr>
          <w:rFonts w:ascii="Times New Roman" w:eastAsia="Times New Roman" w:hAnsi="Times New Roman" w:cs="Times New Roman"/>
          <w:i/>
          <w:color w:val="000000"/>
          <w:szCs w:val="18"/>
          <w:lang w:val="ro-RO"/>
        </w:rPr>
        <w:t xml:space="preserve">, operatorii reţelelor de distribuţie </w:t>
      </w:r>
      <w:r w:rsidR="005506C6" w:rsidRPr="009C5F11">
        <w:rPr>
          <w:rFonts w:ascii="Times New Roman" w:eastAsia="Times New Roman" w:hAnsi="Times New Roman" w:cs="Times New Roman"/>
          <w:i/>
          <w:color w:val="000000"/>
          <w:szCs w:val="18"/>
          <w:u w:val="single"/>
          <w:lang w:val="ro-RO"/>
        </w:rPr>
        <w:t>vor aplica în mod obligatoriu metode moderne de management al eficienţei energetice/gestionare a cererii</w:t>
      </w:r>
      <w:r w:rsidR="005506C6" w:rsidRPr="009C5F11">
        <w:rPr>
          <w:rFonts w:ascii="Times New Roman" w:eastAsia="Times New Roman" w:hAnsi="Times New Roman" w:cs="Times New Roman"/>
          <w:i/>
          <w:color w:val="000000"/>
          <w:szCs w:val="18"/>
          <w:lang w:val="ro-RO"/>
        </w:rPr>
        <w:t xml:space="preserve">. </w:t>
      </w:r>
    </w:p>
    <w:p w14:paraId="09A414A3" w14:textId="77777777" w:rsidR="00031CDF" w:rsidRPr="009C5F11" w:rsidRDefault="000203D0"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Unicul aspect ce poate fi menţionat cu privire la reglementarea tarifelor existente este că acesta </w:t>
      </w:r>
      <w:r w:rsidR="002733CB" w:rsidRPr="009C5F11">
        <w:rPr>
          <w:rFonts w:ascii="Times New Roman" w:hAnsi="Times New Roman" w:cs="Times New Roman"/>
          <w:sz w:val="24"/>
          <w:lang w:val="ro-RO"/>
        </w:rPr>
        <w:t>introduce</w:t>
      </w:r>
      <w:r w:rsidRPr="009C5F11">
        <w:rPr>
          <w:rFonts w:ascii="Times New Roman" w:hAnsi="Times New Roman" w:cs="Times New Roman"/>
          <w:sz w:val="24"/>
          <w:lang w:val="ro-RO"/>
        </w:rPr>
        <w:t xml:space="preserve"> </w:t>
      </w:r>
      <w:r w:rsidR="00D37C5E" w:rsidRPr="009C5F11">
        <w:rPr>
          <w:rFonts w:ascii="Times New Roman" w:hAnsi="Times New Roman" w:cs="Times New Roman"/>
          <w:sz w:val="24"/>
          <w:lang w:val="ro-RO"/>
        </w:rPr>
        <w:t>reflectarea</w:t>
      </w:r>
      <w:r w:rsidRPr="009C5F11">
        <w:rPr>
          <w:rFonts w:ascii="Times New Roman" w:hAnsi="Times New Roman" w:cs="Times New Roman"/>
          <w:sz w:val="24"/>
          <w:lang w:val="ro-RO"/>
        </w:rPr>
        <w:t xml:space="preserve"> costurilor</w:t>
      </w:r>
      <w:r w:rsidR="00321CD5" w:rsidRPr="009C5F11">
        <w:rPr>
          <w:rFonts w:ascii="Times New Roman" w:hAnsi="Times New Roman" w:cs="Times New Roman"/>
          <w:sz w:val="24"/>
          <w:lang w:val="ro-RO"/>
        </w:rPr>
        <w:t xml:space="preserve"> şi</w:t>
      </w:r>
      <w:r w:rsidRPr="009C5F11">
        <w:rPr>
          <w:rFonts w:ascii="Times New Roman" w:hAnsi="Times New Roman" w:cs="Times New Roman"/>
          <w:sz w:val="24"/>
          <w:lang w:val="ro-RO"/>
        </w:rPr>
        <w:t>, prin urmare,</w:t>
      </w:r>
      <w:r w:rsidR="002733CB"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economii</w:t>
      </w:r>
      <w:r w:rsidRPr="009C5F11">
        <w:rPr>
          <w:rFonts w:ascii="Times New Roman" w:hAnsi="Times New Roman" w:cs="Times New Roman"/>
          <w:sz w:val="24"/>
          <w:lang w:val="ro-RO"/>
        </w:rPr>
        <w:t xml:space="preserve">le sunt </w:t>
      </w:r>
      <w:r w:rsidR="002733CB" w:rsidRPr="009C5F11">
        <w:rPr>
          <w:rFonts w:ascii="Times New Roman" w:hAnsi="Times New Roman" w:cs="Times New Roman"/>
          <w:sz w:val="24"/>
          <w:lang w:val="ro-RO"/>
        </w:rPr>
        <w:t xml:space="preserve">generate </w:t>
      </w:r>
      <w:r w:rsidR="00080395" w:rsidRPr="009C5F11">
        <w:rPr>
          <w:rFonts w:ascii="Times New Roman" w:hAnsi="Times New Roman" w:cs="Times New Roman"/>
          <w:sz w:val="24"/>
          <w:lang w:val="ro-RO"/>
        </w:rPr>
        <w:t>pe baza</w:t>
      </w:r>
      <w:r w:rsidRPr="009C5F11">
        <w:rPr>
          <w:rFonts w:ascii="Times New Roman" w:hAnsi="Times New Roman" w:cs="Times New Roman"/>
          <w:sz w:val="24"/>
          <w:lang w:val="ro-RO"/>
        </w:rPr>
        <w:t xml:space="preserve"> reducerii consumului de </w:t>
      </w:r>
      <w:r w:rsidR="00E75612" w:rsidRPr="009C5F11">
        <w:rPr>
          <w:rFonts w:ascii="Times New Roman" w:hAnsi="Times New Roman" w:cs="Times New Roman"/>
          <w:sz w:val="24"/>
          <w:lang w:val="ro-RO"/>
        </w:rPr>
        <w:t>energie electric</w:t>
      </w:r>
      <w:r w:rsidRPr="009C5F11">
        <w:rPr>
          <w:rFonts w:ascii="Times New Roman" w:hAnsi="Times New Roman" w:cs="Times New Roman"/>
          <w:sz w:val="24"/>
          <w:lang w:val="ro-RO"/>
        </w:rPr>
        <w:t>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 de altă parte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acest fapt ar putea fi interpretat mai degrabă ca o dovadă a sărăciei energetice, decât </w:t>
      </w:r>
      <w:r w:rsidR="00080395" w:rsidRPr="009C5F11">
        <w:rPr>
          <w:rFonts w:ascii="Times New Roman" w:hAnsi="Times New Roman" w:cs="Times New Roman"/>
          <w:sz w:val="24"/>
          <w:lang w:val="ro-RO"/>
        </w:rPr>
        <w:t xml:space="preserve">ca </w:t>
      </w:r>
      <w:r w:rsidRPr="009C5F11">
        <w:rPr>
          <w:rFonts w:ascii="Times New Roman" w:hAnsi="Times New Roman" w:cs="Times New Roman"/>
          <w:sz w:val="24"/>
          <w:lang w:val="ro-RO"/>
        </w:rPr>
        <w:t>o optimizare reală</w:t>
      </w:r>
      <w:r w:rsidR="00031CDF" w:rsidRPr="009C5F11">
        <w:rPr>
          <w:rFonts w:ascii="Times New Roman" w:hAnsi="Times New Roman" w:cs="Times New Roman"/>
          <w:sz w:val="24"/>
          <w:lang w:val="ro-RO"/>
        </w:rPr>
        <w:t>.</w:t>
      </w:r>
    </w:p>
    <w:p w14:paraId="2EDC142D" w14:textId="04DAD8B4" w:rsidR="002733CB" w:rsidRPr="009C5F11" w:rsidRDefault="000203D0"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De asemenea, vom </w:t>
      </w:r>
      <w:r w:rsidR="00146D3A" w:rsidRPr="009C5F11">
        <w:rPr>
          <w:rFonts w:ascii="Times New Roman" w:hAnsi="Times New Roman" w:cs="Times New Roman"/>
          <w:sz w:val="24"/>
          <w:lang w:val="ro-RO"/>
        </w:rPr>
        <w:t>menționa</w:t>
      </w:r>
      <w:r w:rsidRPr="009C5F11">
        <w:rPr>
          <w:rFonts w:ascii="Times New Roman" w:hAnsi="Times New Roman" w:cs="Times New Roman"/>
          <w:sz w:val="24"/>
          <w:lang w:val="ro-RO"/>
        </w:rPr>
        <w:t xml:space="preserve"> diferenţierea tarifară stabilită pentru consumul pe timp de zi şi pe timp de noapte, ceea c</w:t>
      </w:r>
      <w:r w:rsidR="00D37C5E"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contribui</w:t>
      </w:r>
      <w:r w:rsidR="00D37C5E"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la nivelarea curbei </w:t>
      </w:r>
      <w:r w:rsidR="00D37C5E" w:rsidRPr="009C5F11">
        <w:rPr>
          <w:rFonts w:ascii="Times New Roman" w:hAnsi="Times New Roman" w:cs="Times New Roman"/>
          <w:sz w:val="24"/>
          <w:lang w:val="ro-RO"/>
        </w:rPr>
        <w:t xml:space="preserve">zilnice de </w:t>
      </w:r>
      <w:r w:rsidRPr="009C5F11">
        <w:rPr>
          <w:rFonts w:ascii="Times New Roman" w:hAnsi="Times New Roman" w:cs="Times New Roman"/>
          <w:sz w:val="24"/>
          <w:lang w:val="ro-RO"/>
        </w:rPr>
        <w:t xml:space="preserve">consum </w:t>
      </w:r>
      <w:r w:rsidR="002733CB" w:rsidRPr="009C5F11">
        <w:rPr>
          <w:rFonts w:ascii="Times New Roman" w:hAnsi="Times New Roman" w:cs="Times New Roman"/>
          <w:sz w:val="24"/>
          <w:lang w:val="ro-RO"/>
        </w:rPr>
        <w:t xml:space="preserve">. </w:t>
      </w:r>
      <w:r w:rsidR="005506C6" w:rsidRPr="009C5F11">
        <w:rPr>
          <w:rFonts w:ascii="Times New Roman" w:hAnsi="Times New Roman" w:cs="Times New Roman"/>
          <w:sz w:val="24"/>
          <w:lang w:val="ro-RO"/>
        </w:rPr>
        <w:t>Mai multe detalii cu privire la situaţia actuală sunt incluse în</w:t>
      </w:r>
      <w:r w:rsidR="002733CB" w:rsidRPr="009C5F11">
        <w:rPr>
          <w:rFonts w:ascii="Times New Roman" w:hAnsi="Times New Roman" w:cs="Times New Roman"/>
          <w:sz w:val="24"/>
          <w:lang w:val="ro-RO"/>
        </w:rPr>
        <w:t xml:space="preserve"> </w:t>
      </w:r>
      <w:r w:rsidR="005619E4" w:rsidRPr="009C5F11">
        <w:rPr>
          <w:rFonts w:ascii="Times New Roman" w:hAnsi="Times New Roman" w:cs="Times New Roman"/>
          <w:sz w:val="24"/>
          <w:lang w:val="ro-RO"/>
        </w:rPr>
        <w:t>Secţiunea</w:t>
      </w:r>
      <w:r w:rsidR="00A3512F"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A3512F" w:rsidRPr="009C5F11">
        <w:rPr>
          <w:rFonts w:ascii="Times New Roman" w:hAnsi="Times New Roman" w:cs="Times New Roman"/>
          <w:sz w:val="24"/>
          <w:lang w:val="ro-RO"/>
        </w:rPr>
        <w:instrText xml:space="preserve"> REF _Ref319619027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4.10.1</w:t>
      </w:r>
      <w:r w:rsidR="003A6ADB" w:rsidRPr="009C5F11">
        <w:rPr>
          <w:rFonts w:ascii="Times New Roman" w:hAnsi="Times New Roman" w:cs="Times New Roman"/>
          <w:sz w:val="24"/>
          <w:lang w:val="ro-RO"/>
        </w:rPr>
        <w:fldChar w:fldCharType="end"/>
      </w:r>
      <w:r w:rsidR="002733CB" w:rsidRPr="009C5F11">
        <w:rPr>
          <w:rFonts w:ascii="Times New Roman" w:hAnsi="Times New Roman" w:cs="Times New Roman"/>
          <w:sz w:val="24"/>
          <w:lang w:val="ro-RO"/>
        </w:rPr>
        <w:t>.</w:t>
      </w:r>
    </w:p>
    <w:p w14:paraId="4BFEC5B5" w14:textId="77777777" w:rsidR="00DB2737" w:rsidRPr="009C5F11" w:rsidRDefault="00DB2737" w:rsidP="004A1E61">
      <w:pPr>
        <w:spacing w:before="120" w:after="120" w:line="240" w:lineRule="auto"/>
        <w:jc w:val="both"/>
        <w:textAlignment w:val="baseline"/>
        <w:rPr>
          <w:rFonts w:ascii="Times New Roman" w:hAnsi="Times New Roman" w:cs="Times New Roman"/>
          <w:sz w:val="24"/>
          <w:lang w:val="ro-RO"/>
        </w:rPr>
      </w:pPr>
    </w:p>
    <w:p w14:paraId="07F395E9" w14:textId="77777777" w:rsidR="002733CB" w:rsidRPr="00D9464A" w:rsidRDefault="00D518F0" w:rsidP="00DE7EA0">
      <w:pPr>
        <w:pStyle w:val="Titlu4"/>
        <w:rPr>
          <w:rFonts w:ascii="Times New Roman" w:hAnsi="Times New Roman" w:cs="Times New Roman"/>
          <w:b/>
          <w:color w:val="000000" w:themeColor="text1"/>
          <w:sz w:val="28"/>
          <w:lang w:val="ro-RO"/>
        </w:rPr>
      </w:pPr>
      <w:bookmarkStart w:id="124" w:name="_Toc319555385"/>
      <w:bookmarkStart w:id="125" w:name="_Toc322013151"/>
      <w:r w:rsidRPr="00D9464A">
        <w:rPr>
          <w:rFonts w:ascii="Times New Roman" w:hAnsi="Times New Roman" w:cs="Times New Roman"/>
          <w:b/>
          <w:color w:val="000000" w:themeColor="text1"/>
          <w:sz w:val="28"/>
          <w:lang w:val="ro-RO"/>
        </w:rPr>
        <w:t>Măsuri</w:t>
      </w:r>
      <w:r w:rsidR="002733CB" w:rsidRPr="00D9464A">
        <w:rPr>
          <w:rFonts w:ascii="Times New Roman" w:hAnsi="Times New Roman" w:cs="Times New Roman"/>
          <w:b/>
          <w:color w:val="000000" w:themeColor="text1"/>
          <w:sz w:val="28"/>
          <w:lang w:val="ro-RO"/>
        </w:rPr>
        <w:t xml:space="preserve"> </w:t>
      </w:r>
      <w:r w:rsidR="000203D0" w:rsidRPr="00D9464A">
        <w:rPr>
          <w:rFonts w:ascii="Times New Roman" w:hAnsi="Times New Roman" w:cs="Times New Roman"/>
          <w:b/>
          <w:color w:val="000000" w:themeColor="text1"/>
          <w:sz w:val="28"/>
          <w:lang w:val="ro-RO"/>
        </w:rPr>
        <w:t>de</w:t>
      </w:r>
      <w:r w:rsidR="002733CB" w:rsidRPr="00D9464A">
        <w:rPr>
          <w:rFonts w:ascii="Times New Roman" w:hAnsi="Times New Roman" w:cs="Times New Roman"/>
          <w:b/>
          <w:color w:val="000000" w:themeColor="text1"/>
          <w:sz w:val="28"/>
          <w:lang w:val="ro-RO"/>
        </w:rPr>
        <w:t xml:space="preserve"> facilita</w:t>
      </w:r>
      <w:r w:rsidR="000203D0" w:rsidRPr="00D9464A">
        <w:rPr>
          <w:rFonts w:ascii="Times New Roman" w:hAnsi="Times New Roman" w:cs="Times New Roman"/>
          <w:b/>
          <w:color w:val="000000" w:themeColor="text1"/>
          <w:sz w:val="28"/>
          <w:lang w:val="ro-RO"/>
        </w:rPr>
        <w:t>r</w:t>
      </w:r>
      <w:r w:rsidR="002733CB" w:rsidRPr="00D9464A">
        <w:rPr>
          <w:rFonts w:ascii="Times New Roman" w:hAnsi="Times New Roman" w:cs="Times New Roman"/>
          <w:b/>
          <w:color w:val="000000" w:themeColor="text1"/>
          <w:sz w:val="28"/>
          <w:lang w:val="ro-RO"/>
        </w:rPr>
        <w:t>e</w:t>
      </w:r>
      <w:r w:rsidR="00321CD5" w:rsidRPr="00D9464A">
        <w:rPr>
          <w:rFonts w:ascii="Times New Roman" w:hAnsi="Times New Roman" w:cs="Times New Roman"/>
          <w:b/>
          <w:color w:val="000000" w:themeColor="text1"/>
          <w:sz w:val="28"/>
          <w:lang w:val="ro-RO"/>
        </w:rPr>
        <w:t xml:space="preserve"> şi </w:t>
      </w:r>
      <w:r w:rsidR="002733CB" w:rsidRPr="00D9464A">
        <w:rPr>
          <w:rFonts w:ascii="Times New Roman" w:hAnsi="Times New Roman" w:cs="Times New Roman"/>
          <w:b/>
          <w:color w:val="000000" w:themeColor="text1"/>
          <w:sz w:val="28"/>
          <w:lang w:val="ro-RO"/>
        </w:rPr>
        <w:t>promo</w:t>
      </w:r>
      <w:r w:rsidR="000203D0" w:rsidRPr="00D9464A">
        <w:rPr>
          <w:rFonts w:ascii="Times New Roman" w:hAnsi="Times New Roman" w:cs="Times New Roman"/>
          <w:b/>
          <w:color w:val="000000" w:themeColor="text1"/>
          <w:sz w:val="28"/>
          <w:lang w:val="ro-RO"/>
        </w:rPr>
        <w:t>var</w:t>
      </w:r>
      <w:r w:rsidR="002733CB" w:rsidRPr="00D9464A">
        <w:rPr>
          <w:rFonts w:ascii="Times New Roman" w:hAnsi="Times New Roman" w:cs="Times New Roman"/>
          <w:b/>
          <w:color w:val="000000" w:themeColor="text1"/>
          <w:sz w:val="28"/>
          <w:lang w:val="ro-RO"/>
        </w:rPr>
        <w:t xml:space="preserve">e </w:t>
      </w:r>
      <w:bookmarkEnd w:id="124"/>
      <w:r w:rsidR="000203D0" w:rsidRPr="00D9464A">
        <w:rPr>
          <w:rFonts w:ascii="Times New Roman" w:hAnsi="Times New Roman" w:cs="Times New Roman"/>
          <w:b/>
          <w:color w:val="000000" w:themeColor="text1"/>
          <w:sz w:val="28"/>
          <w:lang w:val="ro-RO"/>
        </w:rPr>
        <w:t>a răspuns</w:t>
      </w:r>
      <w:r w:rsidR="00AB733A" w:rsidRPr="00D9464A">
        <w:rPr>
          <w:rFonts w:ascii="Times New Roman" w:hAnsi="Times New Roman" w:cs="Times New Roman"/>
          <w:b/>
          <w:color w:val="000000" w:themeColor="text1"/>
          <w:sz w:val="28"/>
          <w:lang w:val="ro-RO"/>
        </w:rPr>
        <w:t>ului</w:t>
      </w:r>
      <w:r w:rsidR="000203D0" w:rsidRPr="00D9464A">
        <w:rPr>
          <w:rFonts w:ascii="Times New Roman" w:hAnsi="Times New Roman" w:cs="Times New Roman"/>
          <w:b/>
          <w:color w:val="000000" w:themeColor="text1"/>
          <w:sz w:val="28"/>
          <w:lang w:val="ro-RO"/>
        </w:rPr>
        <w:t xml:space="preserve"> la cerere</w:t>
      </w:r>
      <w:bookmarkEnd w:id="125"/>
      <w:r w:rsidR="002733CB" w:rsidRPr="00D9464A">
        <w:rPr>
          <w:rFonts w:ascii="Times New Roman" w:hAnsi="Times New Roman" w:cs="Times New Roman"/>
          <w:b/>
          <w:color w:val="000000" w:themeColor="text1"/>
          <w:sz w:val="28"/>
          <w:lang w:val="ro-RO"/>
        </w:rPr>
        <w:t xml:space="preserve"> </w:t>
      </w:r>
    </w:p>
    <w:p w14:paraId="580BFA3F" w14:textId="77777777" w:rsidR="00031CDF" w:rsidRPr="009C5F11" w:rsidRDefault="000203D0"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În pofida </w:t>
      </w:r>
      <w:r w:rsidR="00AB733A" w:rsidRPr="009C5F11">
        <w:rPr>
          <w:rFonts w:ascii="Times New Roman" w:hAnsi="Times New Roman" w:cs="Times New Roman"/>
          <w:sz w:val="24"/>
          <w:lang w:val="ro-RO"/>
        </w:rPr>
        <w:t xml:space="preserve">deschiderii </w:t>
      </w:r>
      <w:r w:rsidRPr="009C5F11">
        <w:rPr>
          <w:rFonts w:ascii="Times New Roman" w:hAnsi="Times New Roman" w:cs="Times New Roman"/>
          <w:sz w:val="24"/>
          <w:lang w:val="ro-RO"/>
        </w:rPr>
        <w:t xml:space="preserve"> faţă de concurenţă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piaţa de</w:t>
      </w:r>
      <w:r w:rsidR="002733CB"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energi</w:t>
      </w:r>
      <w:r w:rsidRPr="009C5F11">
        <w:rPr>
          <w:rFonts w:ascii="Times New Roman" w:hAnsi="Times New Roman" w:cs="Times New Roman"/>
          <w:sz w:val="24"/>
          <w:lang w:val="ro-RO"/>
        </w:rPr>
        <w:t>e</w:t>
      </w:r>
      <w:r w:rsidR="00334259" w:rsidRPr="009C5F11">
        <w:rPr>
          <w:rFonts w:ascii="Times New Roman" w:hAnsi="Times New Roman" w:cs="Times New Roman"/>
          <w:sz w:val="24"/>
          <w:lang w:val="ro-RO"/>
        </w:rPr>
        <w:t xml:space="preserve"> electrică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din</w:t>
      </w:r>
      <w:r w:rsidR="00223DAC" w:rsidRPr="009C5F11">
        <w:rPr>
          <w:rFonts w:ascii="Times New Roman" w:hAnsi="Times New Roman" w:cs="Times New Roman"/>
          <w:sz w:val="24"/>
          <w:lang w:val="ro-RO"/>
        </w:rPr>
        <w:t xml:space="preserve"> Republica Moldova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nu este suficient dezvoltată </w:t>
      </w:r>
      <w:r w:rsidR="00080395" w:rsidRPr="009C5F11">
        <w:rPr>
          <w:rFonts w:ascii="Times New Roman" w:hAnsi="Times New Roman" w:cs="Times New Roman"/>
          <w:sz w:val="24"/>
          <w:lang w:val="ro-RO"/>
        </w:rPr>
        <w:t xml:space="preserve">ca </w:t>
      </w:r>
      <w:r w:rsidRPr="009C5F11">
        <w:rPr>
          <w:rFonts w:ascii="Times New Roman" w:hAnsi="Times New Roman" w:cs="Times New Roman"/>
          <w:sz w:val="24"/>
          <w:lang w:val="ro-RO"/>
        </w:rPr>
        <w:t xml:space="preserve">să asigure condiţii de răspuns la cerere, în timp ce piaţa naţională </w:t>
      </w:r>
      <w:r w:rsidR="00C43537" w:rsidRPr="009C5F11">
        <w:rPr>
          <w:rFonts w:ascii="Times New Roman" w:hAnsi="Times New Roman" w:cs="Times New Roman"/>
          <w:sz w:val="24"/>
          <w:lang w:val="ro-RO"/>
        </w:rPr>
        <w:t xml:space="preserve">de </w:t>
      </w:r>
      <w:r w:rsidRPr="009C5F11">
        <w:rPr>
          <w:rFonts w:ascii="Times New Roman" w:hAnsi="Times New Roman" w:cs="Times New Roman"/>
          <w:sz w:val="24"/>
          <w:lang w:val="ro-RO"/>
        </w:rPr>
        <w:t>echilibrare lipseşte</w:t>
      </w:r>
      <w:r w:rsidR="00C43537" w:rsidRPr="009C5F11">
        <w:rPr>
          <w:rFonts w:ascii="Times New Roman" w:hAnsi="Times New Roman" w:cs="Times New Roman"/>
          <w:sz w:val="24"/>
          <w:lang w:val="ro-RO"/>
        </w:rPr>
        <w:t xml:space="preserve">, </w:t>
      </w:r>
      <w:r w:rsidR="00AB733A" w:rsidRPr="009C5F11">
        <w:rPr>
          <w:rFonts w:ascii="Times New Roman" w:hAnsi="Times New Roman" w:cs="Times New Roman"/>
          <w:sz w:val="24"/>
          <w:lang w:val="ro-RO"/>
        </w:rPr>
        <w:t>energia de echilibrare</w:t>
      </w:r>
      <w:r w:rsidR="00080395" w:rsidRPr="009C5F11">
        <w:rPr>
          <w:rFonts w:ascii="Times New Roman" w:hAnsi="Times New Roman" w:cs="Times New Roman"/>
          <w:sz w:val="24"/>
          <w:lang w:val="ro-RO"/>
        </w:rPr>
        <w:t xml:space="preserve"> </w:t>
      </w:r>
      <w:r w:rsidR="00C43537" w:rsidRPr="009C5F11">
        <w:rPr>
          <w:rFonts w:ascii="Times New Roman" w:hAnsi="Times New Roman" w:cs="Times New Roman"/>
          <w:sz w:val="24"/>
          <w:lang w:val="ro-RO"/>
        </w:rPr>
        <w:t>fiind achiziţionată din Uc</w:t>
      </w:r>
      <w:r w:rsidR="002733CB" w:rsidRPr="009C5F11">
        <w:rPr>
          <w:rFonts w:ascii="Times New Roman" w:hAnsi="Times New Roman" w:cs="Times New Roman"/>
          <w:sz w:val="24"/>
          <w:lang w:val="ro-RO"/>
        </w:rPr>
        <w:t>rain</w:t>
      </w:r>
      <w:r w:rsidR="00C43537" w:rsidRPr="009C5F11">
        <w:rPr>
          <w:rFonts w:ascii="Times New Roman" w:hAnsi="Times New Roman" w:cs="Times New Roman"/>
          <w:sz w:val="24"/>
          <w:lang w:val="ro-RO"/>
        </w:rPr>
        <w:t>a</w:t>
      </w:r>
      <w:r w:rsidR="002733CB" w:rsidRPr="009C5F11">
        <w:rPr>
          <w:rFonts w:ascii="Times New Roman" w:hAnsi="Times New Roman" w:cs="Times New Roman"/>
          <w:sz w:val="24"/>
          <w:lang w:val="ro-RO"/>
        </w:rPr>
        <w:t>.</w:t>
      </w:r>
    </w:p>
    <w:p w14:paraId="4C4F0BB5" w14:textId="5E8C37EC" w:rsidR="002733CB" w:rsidRPr="009C5F11" w:rsidRDefault="00401F29"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Cu toate acestea</w:t>
      </w:r>
      <w:r w:rsidR="006645C2" w:rsidRPr="009C5F11">
        <w:rPr>
          <w:rFonts w:ascii="Times New Roman" w:hAnsi="Times New Roman" w:cs="Times New Roman"/>
          <w:sz w:val="24"/>
          <w:lang w:val="ro-RO"/>
        </w:rPr>
        <w:t>, atât</w:t>
      </w:r>
      <w:r w:rsidR="002733CB" w:rsidRPr="009C5F11">
        <w:rPr>
          <w:rFonts w:ascii="Times New Roman" w:hAnsi="Times New Roman" w:cs="Times New Roman"/>
          <w:sz w:val="24"/>
          <w:lang w:val="ro-RO"/>
        </w:rPr>
        <w:t xml:space="preserve"> </w:t>
      </w:r>
      <w:r w:rsidR="00055095" w:rsidRPr="009C5F11">
        <w:rPr>
          <w:rFonts w:ascii="Times New Roman" w:hAnsi="Times New Roman" w:cs="Times New Roman"/>
          <w:sz w:val="24"/>
          <w:lang w:val="ro-RO"/>
        </w:rPr>
        <w:t xml:space="preserve">Legea </w:t>
      </w:r>
      <w:r w:rsidR="005506C6" w:rsidRPr="009C5F11">
        <w:rPr>
          <w:rFonts w:ascii="Times New Roman" w:hAnsi="Times New Roman" w:cs="Times New Roman"/>
          <w:sz w:val="24"/>
          <w:lang w:val="ro-RO"/>
        </w:rPr>
        <w:t xml:space="preserve">nr. </w:t>
      </w:r>
      <w:r w:rsidR="002733CB" w:rsidRPr="009C5F11">
        <w:rPr>
          <w:rFonts w:ascii="Times New Roman" w:hAnsi="Times New Roman" w:cs="Times New Roman"/>
          <w:sz w:val="24"/>
          <w:lang w:val="ro-RO"/>
        </w:rPr>
        <w:t>123 d</w:t>
      </w:r>
      <w:r w:rsidR="005506C6" w:rsidRPr="009C5F11">
        <w:rPr>
          <w:rFonts w:ascii="Times New Roman" w:hAnsi="Times New Roman" w:cs="Times New Roman"/>
          <w:sz w:val="24"/>
          <w:lang w:val="ro-RO"/>
        </w:rPr>
        <w:t>in</w:t>
      </w:r>
      <w:r w:rsidR="002733CB" w:rsidRPr="009C5F11">
        <w:rPr>
          <w:rFonts w:ascii="Times New Roman" w:hAnsi="Times New Roman" w:cs="Times New Roman"/>
          <w:sz w:val="24"/>
          <w:lang w:val="ro-RO"/>
        </w:rPr>
        <w:t xml:space="preserve"> 23.12.2009</w:t>
      </w:r>
      <w:r w:rsidR="00F85310" w:rsidRPr="009C5F11">
        <w:rPr>
          <w:rFonts w:ascii="Times New Roman" w:hAnsi="Times New Roman" w:cs="Times New Roman"/>
          <w:sz w:val="24"/>
          <w:lang w:val="ro-RO"/>
        </w:rPr>
        <w:t xml:space="preserve"> cu privire la gazele naturale</w:t>
      </w:r>
      <w:r w:rsidR="002733CB" w:rsidRPr="009C5F11">
        <w:rPr>
          <w:rFonts w:ascii="Times New Roman" w:hAnsi="Times New Roman" w:cs="Times New Roman"/>
          <w:sz w:val="24"/>
          <w:lang w:val="ro-RO"/>
        </w:rPr>
        <w:t xml:space="preserve">, </w:t>
      </w:r>
      <w:r w:rsidR="006645C2" w:rsidRPr="009C5F11">
        <w:rPr>
          <w:rFonts w:ascii="Times New Roman" w:hAnsi="Times New Roman" w:cs="Times New Roman"/>
          <w:sz w:val="24"/>
          <w:lang w:val="ro-RO"/>
        </w:rPr>
        <w:t>cât</w:t>
      </w:r>
      <w:r w:rsidR="00421FA7" w:rsidRPr="009C5F11">
        <w:rPr>
          <w:rFonts w:ascii="Times New Roman" w:hAnsi="Times New Roman" w:cs="Times New Roman"/>
          <w:sz w:val="24"/>
          <w:lang w:val="ro-RO"/>
        </w:rPr>
        <w:t xml:space="preserve"> şi</w:t>
      </w:r>
      <w:r w:rsidR="002733CB" w:rsidRPr="009C5F11">
        <w:rPr>
          <w:rFonts w:ascii="Times New Roman" w:hAnsi="Times New Roman" w:cs="Times New Roman"/>
          <w:sz w:val="24"/>
          <w:lang w:val="ro-RO"/>
        </w:rPr>
        <w:t xml:space="preserve"> </w:t>
      </w:r>
      <w:r w:rsidR="00055095" w:rsidRPr="009C5F11">
        <w:rPr>
          <w:rFonts w:ascii="Times New Roman" w:hAnsi="Times New Roman" w:cs="Times New Roman"/>
          <w:sz w:val="24"/>
          <w:lang w:val="ro-RO"/>
        </w:rPr>
        <w:t xml:space="preserve">Legea </w:t>
      </w:r>
      <w:r w:rsidR="00F85310" w:rsidRPr="009C5F11">
        <w:rPr>
          <w:rFonts w:ascii="Times New Roman" w:hAnsi="Times New Roman" w:cs="Times New Roman"/>
          <w:sz w:val="24"/>
          <w:lang w:val="ro-RO"/>
        </w:rPr>
        <w:t xml:space="preserve">nr. </w:t>
      </w:r>
      <w:r w:rsidR="002733CB" w:rsidRPr="009C5F11">
        <w:rPr>
          <w:rFonts w:ascii="Times New Roman" w:hAnsi="Times New Roman" w:cs="Times New Roman"/>
          <w:sz w:val="24"/>
          <w:lang w:val="ro-RO"/>
        </w:rPr>
        <w:t>124 d</w:t>
      </w:r>
      <w:r w:rsidR="00F85310" w:rsidRPr="009C5F11">
        <w:rPr>
          <w:rFonts w:ascii="Times New Roman" w:hAnsi="Times New Roman" w:cs="Times New Roman"/>
          <w:sz w:val="24"/>
          <w:lang w:val="ro-RO"/>
        </w:rPr>
        <w:t>in</w:t>
      </w:r>
      <w:r w:rsidR="002733CB" w:rsidRPr="009C5F11">
        <w:rPr>
          <w:rFonts w:ascii="Times New Roman" w:hAnsi="Times New Roman" w:cs="Times New Roman"/>
          <w:sz w:val="24"/>
          <w:lang w:val="ro-RO"/>
        </w:rPr>
        <w:t xml:space="preserve"> 23.12.2009</w:t>
      </w:r>
      <w:r w:rsidR="00F85310" w:rsidRPr="009C5F11">
        <w:rPr>
          <w:rFonts w:ascii="Times New Roman" w:hAnsi="Times New Roman" w:cs="Times New Roman"/>
          <w:sz w:val="24"/>
          <w:lang w:val="ro-RO"/>
        </w:rPr>
        <w:t xml:space="preserve"> cu privire la</w:t>
      </w:r>
      <w:r w:rsidR="002733CB"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energia electrică</w:t>
      </w:r>
      <w:r w:rsidR="002733CB" w:rsidRPr="009C5F11">
        <w:rPr>
          <w:rFonts w:ascii="Times New Roman" w:hAnsi="Times New Roman" w:cs="Times New Roman"/>
          <w:sz w:val="24"/>
          <w:lang w:val="ro-RO"/>
        </w:rPr>
        <w:t>, republi</w:t>
      </w:r>
      <w:r w:rsidR="00F85310" w:rsidRPr="009C5F11">
        <w:rPr>
          <w:rFonts w:ascii="Times New Roman" w:hAnsi="Times New Roman" w:cs="Times New Roman"/>
          <w:sz w:val="24"/>
          <w:lang w:val="ro-RO"/>
        </w:rPr>
        <w:t>cat</w:t>
      </w:r>
      <w:r w:rsidR="00AB733A" w:rsidRPr="009C5F11">
        <w:rPr>
          <w:rFonts w:ascii="Times New Roman" w:hAnsi="Times New Roman" w:cs="Times New Roman"/>
          <w:sz w:val="24"/>
          <w:lang w:val="ro-RO"/>
        </w:rPr>
        <w:t>a</w:t>
      </w:r>
      <w:r w:rsidR="00F85310" w:rsidRPr="009C5F11">
        <w:rPr>
          <w:rFonts w:ascii="Times New Roman" w:hAnsi="Times New Roman" w:cs="Times New Roman"/>
          <w:sz w:val="24"/>
          <w:lang w:val="ro-RO"/>
        </w:rPr>
        <w:t xml:space="preserve"> pe data de</w:t>
      </w:r>
      <w:r w:rsidR="00321CD5" w:rsidRPr="009C5F11">
        <w:rPr>
          <w:rFonts w:ascii="Times New Roman" w:hAnsi="Times New Roman" w:cs="Times New Roman"/>
          <w:sz w:val="24"/>
          <w:lang w:val="ro-RO"/>
        </w:rPr>
        <w:t xml:space="preserve"> </w:t>
      </w:r>
      <w:r w:rsidR="002733CB" w:rsidRPr="009C5F11">
        <w:rPr>
          <w:rFonts w:ascii="Times New Roman" w:hAnsi="Times New Roman" w:cs="Times New Roman"/>
          <w:sz w:val="24"/>
          <w:lang w:val="ro-RO"/>
        </w:rPr>
        <w:t xml:space="preserve">23.05.2014 </w:t>
      </w:r>
      <w:r w:rsidR="00F85310" w:rsidRPr="009C5F11">
        <w:rPr>
          <w:rFonts w:ascii="Times New Roman" w:hAnsi="Times New Roman" w:cs="Times New Roman"/>
          <w:sz w:val="24"/>
          <w:lang w:val="ro-RO"/>
        </w:rPr>
        <w:t>oferă aceeaşi definiţie</w:t>
      </w:r>
      <w:r w:rsidR="002733CB" w:rsidRPr="009C5F11">
        <w:rPr>
          <w:rFonts w:ascii="Times New Roman" w:hAnsi="Times New Roman" w:cs="Times New Roman"/>
          <w:sz w:val="24"/>
          <w:lang w:val="ro-RO"/>
        </w:rPr>
        <w:t>:</w:t>
      </w:r>
    </w:p>
    <w:p w14:paraId="0F80FF31" w14:textId="77777777" w:rsidR="002733CB" w:rsidRPr="009C5F11" w:rsidRDefault="002733CB" w:rsidP="004A1E61">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w:t>
      </w:r>
      <w:r w:rsidR="00C43537" w:rsidRPr="009C5F11">
        <w:rPr>
          <w:rFonts w:ascii="Times New Roman" w:eastAsia="Times New Roman" w:hAnsi="Times New Roman" w:cs="Times New Roman"/>
          <w:i/>
          <w:iCs/>
          <w:color w:val="000000"/>
          <w:szCs w:val="18"/>
          <w:lang w:val="ro-RO"/>
        </w:rPr>
        <w:t xml:space="preserve"> management al eficienţei energetice/gestionare a cererii</w:t>
      </w:r>
      <w:r w:rsidR="00C43537"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 xml:space="preserve"> </w:t>
      </w:r>
      <w:r w:rsidR="00C43537" w:rsidRPr="009C5F11">
        <w:rPr>
          <w:rFonts w:ascii="Times New Roman" w:eastAsia="Times New Roman" w:hAnsi="Times New Roman" w:cs="Times New Roman"/>
          <w:i/>
          <w:color w:val="000000"/>
          <w:szCs w:val="18"/>
          <w:lang w:val="ro-RO"/>
        </w:rPr>
        <w:t xml:space="preserve">abordare globală sau integrală în scopul influenţării volumului şi capacităţii, programării consumului de energie electrică </w:t>
      </w:r>
      <w:r w:rsidR="00C43537" w:rsidRPr="009C5F11">
        <w:rPr>
          <w:rFonts w:ascii="Times New Roman" w:eastAsia="Times New Roman" w:hAnsi="Times New Roman" w:cs="Times New Roman"/>
          <w:i/>
          <w:color w:val="000000"/>
          <w:szCs w:val="18"/>
          <w:lang w:val="ro-RO"/>
        </w:rPr>
        <w:lastRenderedPageBreak/>
        <w:t xml:space="preserve">pentru reducerea consumului de energie electrică primară şi a volumelor de energie livrate de sursele de </w:t>
      </w:r>
      <w:r w:rsidR="00146D3A" w:rsidRPr="009C5F11">
        <w:rPr>
          <w:rFonts w:ascii="Times New Roman" w:eastAsia="Times New Roman" w:hAnsi="Times New Roman" w:cs="Times New Roman"/>
          <w:i/>
          <w:color w:val="000000"/>
          <w:szCs w:val="18"/>
          <w:lang w:val="ro-RO"/>
        </w:rPr>
        <w:t>vârf</w:t>
      </w:r>
      <w:r w:rsidR="00C43537" w:rsidRPr="009C5F11">
        <w:rPr>
          <w:rFonts w:ascii="Times New Roman" w:eastAsia="Times New Roman" w:hAnsi="Times New Roman" w:cs="Times New Roman"/>
          <w:i/>
          <w:color w:val="000000"/>
          <w:szCs w:val="18"/>
          <w:lang w:val="ro-RO"/>
        </w:rPr>
        <w:t xml:space="preserve"> prin acordare de prioritate investiţiilor în măsurile de eficienţă energetică sau în alte măsuri, precum ar fi contractele de alimentare întreruptibilă cu energie, investiţiile pentru creşterea capacităţii de producere, dacă acestea se dovedesc a fi cele mai eficiente şi economice opţiuni, </w:t>
      </w:r>
      <w:r w:rsidR="00146D3A" w:rsidRPr="009C5F11">
        <w:rPr>
          <w:rFonts w:ascii="Times New Roman" w:eastAsia="Times New Roman" w:hAnsi="Times New Roman" w:cs="Times New Roman"/>
          <w:i/>
          <w:color w:val="000000"/>
          <w:szCs w:val="18"/>
          <w:lang w:val="ro-RO"/>
        </w:rPr>
        <w:t>avându-se</w:t>
      </w:r>
      <w:r w:rsidR="00C43537" w:rsidRPr="009C5F11">
        <w:rPr>
          <w:rFonts w:ascii="Times New Roman" w:eastAsia="Times New Roman" w:hAnsi="Times New Roman" w:cs="Times New Roman"/>
          <w:i/>
          <w:color w:val="000000"/>
          <w:szCs w:val="18"/>
          <w:lang w:val="ro-RO"/>
        </w:rPr>
        <w:t xml:space="preserve"> în vedere impactul pozitiv pe care îl are economia consumului de energie asupra mediului, asupra securităţii alimentării cu energie electrică, precum şi asupra costurilor de distribuţie a </w:t>
      </w:r>
      <w:r w:rsidR="00AB733A" w:rsidRPr="009C5F11">
        <w:rPr>
          <w:rFonts w:ascii="Times New Roman" w:eastAsia="Times New Roman" w:hAnsi="Times New Roman" w:cs="Times New Roman"/>
          <w:i/>
          <w:color w:val="000000"/>
          <w:szCs w:val="18"/>
          <w:lang w:val="ro-RO"/>
        </w:rPr>
        <w:t xml:space="preserve">gazelor naturale / </w:t>
      </w:r>
      <w:r w:rsidR="00C43537" w:rsidRPr="009C5F11">
        <w:rPr>
          <w:rFonts w:ascii="Times New Roman" w:eastAsia="Times New Roman" w:hAnsi="Times New Roman" w:cs="Times New Roman"/>
          <w:i/>
          <w:color w:val="000000"/>
          <w:szCs w:val="18"/>
          <w:lang w:val="ro-RO"/>
        </w:rPr>
        <w:t>energiei electrice aferente acestor măsuri</w:t>
      </w:r>
      <w:r w:rsidRPr="009C5F11">
        <w:rPr>
          <w:rFonts w:ascii="Times New Roman" w:hAnsi="Times New Roman" w:cs="Times New Roman"/>
          <w:i/>
          <w:szCs w:val="18"/>
          <w:lang w:val="ro-RO"/>
        </w:rPr>
        <w:t>;</w:t>
      </w:r>
    </w:p>
    <w:p w14:paraId="62CAA582" w14:textId="77777777" w:rsidR="00DB2737" w:rsidRPr="009C5F11" w:rsidRDefault="00DB2737" w:rsidP="004A1E61">
      <w:pPr>
        <w:spacing w:before="120" w:after="120" w:line="240" w:lineRule="auto"/>
        <w:ind w:left="708"/>
        <w:jc w:val="both"/>
        <w:textAlignment w:val="baseline"/>
        <w:rPr>
          <w:rFonts w:ascii="Times New Roman" w:hAnsi="Times New Roman" w:cs="Times New Roman"/>
          <w:b/>
          <w:i/>
          <w:szCs w:val="18"/>
          <w:lang w:val="ro-RO"/>
        </w:rPr>
      </w:pPr>
    </w:p>
    <w:p w14:paraId="133C5A99" w14:textId="77777777" w:rsidR="002733CB" w:rsidRPr="00D9464A" w:rsidRDefault="00FD5F1C" w:rsidP="00DE7EA0">
      <w:pPr>
        <w:pStyle w:val="Titlu4"/>
        <w:rPr>
          <w:rFonts w:ascii="Times New Roman" w:hAnsi="Times New Roman" w:cs="Times New Roman"/>
          <w:b/>
          <w:color w:val="000000" w:themeColor="text1"/>
          <w:sz w:val="28"/>
          <w:lang w:val="ro-RO"/>
        </w:rPr>
      </w:pPr>
      <w:bookmarkStart w:id="126" w:name="_Toc322013152"/>
      <w:bookmarkStart w:id="127" w:name="_Toc319555386"/>
      <w:r w:rsidRPr="00D9464A">
        <w:rPr>
          <w:rFonts w:ascii="Times New Roman" w:hAnsi="Times New Roman" w:cs="Times New Roman"/>
          <w:b/>
          <w:color w:val="000000" w:themeColor="text1"/>
          <w:sz w:val="28"/>
          <w:lang w:val="ro-RO"/>
        </w:rPr>
        <w:t>Eficienţa energetică</w:t>
      </w:r>
      <w:r w:rsidR="00321CD5" w:rsidRPr="00D9464A">
        <w:rPr>
          <w:rFonts w:ascii="Times New Roman" w:hAnsi="Times New Roman" w:cs="Times New Roman"/>
          <w:b/>
          <w:color w:val="000000" w:themeColor="text1"/>
          <w:sz w:val="28"/>
          <w:lang w:val="ro-RO"/>
        </w:rPr>
        <w:t xml:space="preserve"> în </w:t>
      </w:r>
      <w:r w:rsidR="00381715" w:rsidRPr="00D9464A">
        <w:rPr>
          <w:rFonts w:ascii="Times New Roman" w:hAnsi="Times New Roman" w:cs="Times New Roman"/>
          <w:b/>
          <w:color w:val="000000" w:themeColor="text1"/>
          <w:sz w:val="28"/>
          <w:lang w:val="ro-RO"/>
        </w:rPr>
        <w:t>proiectarea şi exploatarea reţelelor</w:t>
      </w:r>
      <w:bookmarkEnd w:id="126"/>
      <w:r w:rsidR="00381715" w:rsidRPr="00D9464A">
        <w:rPr>
          <w:rFonts w:ascii="Times New Roman" w:hAnsi="Times New Roman" w:cs="Times New Roman"/>
          <w:b/>
          <w:color w:val="000000" w:themeColor="text1"/>
          <w:sz w:val="28"/>
          <w:lang w:val="ro-RO"/>
        </w:rPr>
        <w:t xml:space="preserve"> </w:t>
      </w:r>
      <w:bookmarkEnd w:id="127"/>
    </w:p>
    <w:p w14:paraId="175B8D8D" w14:textId="77777777" w:rsidR="00031CDF" w:rsidRPr="009C5F11" w:rsidRDefault="00146D3A"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Actualmente, nu există o evaluare a potenţialului de eficienţă energetică </w:t>
      </w:r>
      <w:r w:rsidR="00AB733A"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infrastructur</w:t>
      </w:r>
      <w:r w:rsidR="0014452C" w:rsidRPr="009C5F11">
        <w:rPr>
          <w:rFonts w:ascii="Times New Roman" w:hAnsi="Times New Roman" w:cs="Times New Roman"/>
          <w:sz w:val="24"/>
          <w:lang w:val="ro-RO"/>
        </w:rPr>
        <w:t>ii</w:t>
      </w:r>
      <w:r w:rsidRPr="009C5F11">
        <w:rPr>
          <w:rFonts w:ascii="Times New Roman" w:hAnsi="Times New Roman" w:cs="Times New Roman"/>
          <w:sz w:val="24"/>
          <w:lang w:val="ro-RO"/>
        </w:rPr>
        <w:t xml:space="preserve"> de furnizare a gazelor naturale şi energiei electrice, în special referitoare la transportul, distribuţia, gesti</w:t>
      </w:r>
      <w:r w:rsidR="0014452C" w:rsidRPr="009C5F11">
        <w:rPr>
          <w:rFonts w:ascii="Times New Roman" w:hAnsi="Times New Roman" w:cs="Times New Roman"/>
          <w:sz w:val="24"/>
          <w:lang w:val="ro-RO"/>
        </w:rPr>
        <w:t>unea</w:t>
      </w:r>
      <w:r w:rsidRPr="009C5F11">
        <w:rPr>
          <w:rFonts w:ascii="Times New Roman" w:hAnsi="Times New Roman" w:cs="Times New Roman"/>
          <w:sz w:val="24"/>
          <w:lang w:val="ro-RO"/>
        </w:rPr>
        <w:t xml:space="preserve"> sarcinii şi interoperabilitatea, </w:t>
      </w:r>
      <w:r w:rsidR="0014452C" w:rsidRPr="009C5F11">
        <w:rPr>
          <w:rFonts w:ascii="Times New Roman" w:hAnsi="Times New Roman" w:cs="Times New Roman"/>
          <w:sz w:val="24"/>
          <w:lang w:val="ro-RO"/>
        </w:rPr>
        <w:t xml:space="preserve">precum </w:t>
      </w:r>
      <w:r w:rsidRPr="009C5F11">
        <w:rPr>
          <w:rFonts w:ascii="Times New Roman" w:hAnsi="Times New Roman" w:cs="Times New Roman"/>
          <w:sz w:val="24"/>
          <w:lang w:val="ro-RO"/>
        </w:rPr>
        <w:t xml:space="preserve">şi conectarea la instalaţiile </w:t>
      </w:r>
      <w:r w:rsidR="0014452C" w:rsidRPr="009C5F11">
        <w:rPr>
          <w:rFonts w:ascii="Times New Roman" w:hAnsi="Times New Roman" w:cs="Times New Roman"/>
          <w:sz w:val="24"/>
          <w:lang w:val="ro-RO"/>
        </w:rPr>
        <w:t>care produc</w:t>
      </w:r>
      <w:r w:rsidRPr="009C5F11">
        <w:rPr>
          <w:rFonts w:ascii="Times New Roman" w:hAnsi="Times New Roman" w:cs="Times New Roman"/>
          <w:sz w:val="24"/>
          <w:lang w:val="ro-RO"/>
        </w:rPr>
        <w:t xml:space="preserve"> energie, inclusiv posibilităţile de acces </w:t>
      </w:r>
      <w:r w:rsidR="0014452C" w:rsidRPr="009C5F11">
        <w:rPr>
          <w:rFonts w:ascii="Times New Roman" w:hAnsi="Times New Roman" w:cs="Times New Roman"/>
          <w:sz w:val="24"/>
          <w:lang w:val="ro-RO"/>
        </w:rPr>
        <w:t>pentru</w:t>
      </w:r>
      <w:r w:rsidRPr="009C5F11">
        <w:rPr>
          <w:rFonts w:ascii="Times New Roman" w:hAnsi="Times New Roman" w:cs="Times New Roman"/>
          <w:sz w:val="24"/>
          <w:lang w:val="ro-RO"/>
        </w:rPr>
        <w:t xml:space="preserve"> </w:t>
      </w:r>
      <w:r w:rsidR="0014452C" w:rsidRPr="009C5F11">
        <w:rPr>
          <w:rFonts w:ascii="Times New Roman" w:hAnsi="Times New Roman" w:cs="Times New Roman"/>
          <w:sz w:val="24"/>
          <w:lang w:val="ro-RO"/>
        </w:rPr>
        <w:t>micro-</w:t>
      </w:r>
      <w:r w:rsidRPr="009C5F11">
        <w:rPr>
          <w:rFonts w:ascii="Times New Roman" w:hAnsi="Times New Roman" w:cs="Times New Roman"/>
          <w:sz w:val="24"/>
          <w:lang w:val="ro-RO"/>
        </w:rPr>
        <w:t>generatoarel</w:t>
      </w:r>
      <w:r w:rsidR="0014452C"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de energie. </w:t>
      </w:r>
    </w:p>
    <w:p w14:paraId="294DE671" w14:textId="77777777" w:rsidR="00031CDF" w:rsidRPr="009C5F11" w:rsidRDefault="009C776A"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Republica Moldova se axează pe dezvoltarea unor interconexiuni durabile şi sigure cu </w:t>
      </w:r>
      <w:r w:rsidR="0014452C" w:rsidRPr="009C5F11">
        <w:rPr>
          <w:rFonts w:ascii="Times New Roman" w:hAnsi="Times New Roman" w:cs="Times New Roman"/>
          <w:sz w:val="24"/>
          <w:lang w:val="ro-RO"/>
        </w:rPr>
        <w:t>statele membre</w:t>
      </w:r>
      <w:r w:rsidRPr="009C5F11">
        <w:rPr>
          <w:rFonts w:ascii="Times New Roman" w:hAnsi="Times New Roman" w:cs="Times New Roman"/>
          <w:sz w:val="24"/>
          <w:lang w:val="ro-RO"/>
        </w:rPr>
        <w:t xml:space="preserve"> UE</w:t>
      </w:r>
      <w:r w:rsidR="00321CD5" w:rsidRPr="009C5F11">
        <w:rPr>
          <w:rFonts w:ascii="Times New Roman" w:hAnsi="Times New Roman" w:cs="Times New Roman"/>
          <w:sz w:val="24"/>
          <w:lang w:val="ro-RO"/>
        </w:rPr>
        <w:t xml:space="preserve"> şi </w:t>
      </w:r>
      <w:r w:rsidR="0014452C" w:rsidRPr="009C5F11">
        <w:rPr>
          <w:rFonts w:ascii="Times New Roman" w:hAnsi="Times New Roman" w:cs="Times New Roman"/>
          <w:sz w:val="24"/>
          <w:lang w:val="ro-RO"/>
        </w:rPr>
        <w:t xml:space="preserve">partile contractante din </w:t>
      </w:r>
      <w:r w:rsidR="002733CB" w:rsidRPr="009C5F11">
        <w:rPr>
          <w:rFonts w:ascii="Times New Roman" w:hAnsi="Times New Roman" w:cs="Times New Roman"/>
          <w:sz w:val="24"/>
          <w:lang w:val="ro-RO"/>
        </w:rPr>
        <w:t xml:space="preserve">EnC, </w:t>
      </w:r>
      <w:r w:rsidRPr="009C5F11">
        <w:rPr>
          <w:rFonts w:ascii="Times New Roman" w:hAnsi="Times New Roman" w:cs="Times New Roman"/>
          <w:sz w:val="24"/>
          <w:lang w:val="ro-RO"/>
        </w:rPr>
        <w:t xml:space="preserve">care vor fi realizate prin reţele de interconexiune cu </w:t>
      </w:r>
      <w:r w:rsidR="00381715" w:rsidRPr="009C5F11">
        <w:rPr>
          <w:rFonts w:ascii="Times New Roman" w:hAnsi="Times New Roman" w:cs="Times New Roman"/>
          <w:sz w:val="24"/>
          <w:lang w:val="ro-RO"/>
        </w:rPr>
        <w:t>România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acest sens au fost adoptate 2 </w:t>
      </w:r>
      <w:r w:rsidR="003826B8" w:rsidRPr="009C5F11">
        <w:rPr>
          <w:rFonts w:ascii="Times New Roman" w:hAnsi="Times New Roman" w:cs="Times New Roman"/>
          <w:sz w:val="24"/>
          <w:lang w:val="ro-RO"/>
        </w:rPr>
        <w:t>documente</w:t>
      </w:r>
      <w:r w:rsidRPr="009C5F11">
        <w:rPr>
          <w:rFonts w:ascii="Times New Roman" w:hAnsi="Times New Roman" w:cs="Times New Roman"/>
          <w:sz w:val="24"/>
          <w:lang w:val="ro-RO"/>
        </w:rPr>
        <w:t xml:space="preserve"> principale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foile de parcurs</w:t>
      </w:r>
      <w:r w:rsidR="00080395"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w:t>
      </w:r>
      <w:r w:rsidR="00334DD0" w:rsidRPr="009C5F11">
        <w:rPr>
          <w:rFonts w:ascii="Times New Roman" w:hAnsi="Times New Roman" w:cs="Times New Roman"/>
          <w:sz w:val="24"/>
          <w:lang w:val="ro-RO"/>
        </w:rPr>
        <w:t>aprobat</w:t>
      </w:r>
      <w:r w:rsidRPr="009C5F11">
        <w:rPr>
          <w:rFonts w:ascii="Times New Roman" w:hAnsi="Times New Roman" w:cs="Times New Roman"/>
          <w:sz w:val="24"/>
          <w:lang w:val="ro-RO"/>
        </w:rPr>
        <w:t>e</w:t>
      </w:r>
      <w:r w:rsidR="00334DD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prin Hotărârea Guvernului nr</w:t>
      </w:r>
      <w:r w:rsidR="002733CB"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w:t>
      </w:r>
      <w:r w:rsidR="002733CB" w:rsidRPr="009C5F11">
        <w:rPr>
          <w:rFonts w:ascii="Times New Roman" w:hAnsi="Times New Roman" w:cs="Times New Roman"/>
          <w:sz w:val="24"/>
          <w:lang w:val="ro-RO"/>
        </w:rPr>
        <w:t xml:space="preserve">409 </w:t>
      </w:r>
      <w:r w:rsidRPr="009C5F11">
        <w:rPr>
          <w:rFonts w:ascii="Times New Roman" w:hAnsi="Times New Roman" w:cs="Times New Roman"/>
          <w:sz w:val="24"/>
          <w:lang w:val="ro-RO"/>
        </w:rPr>
        <w:t>din</w:t>
      </w:r>
      <w:r w:rsidR="002733CB" w:rsidRPr="009C5F11">
        <w:rPr>
          <w:rFonts w:ascii="Times New Roman" w:hAnsi="Times New Roman" w:cs="Times New Roman"/>
          <w:sz w:val="24"/>
          <w:lang w:val="ro-RO"/>
        </w:rPr>
        <w:t xml:space="preserve"> 16 </w:t>
      </w:r>
      <w:r w:rsidR="000A4CC7" w:rsidRPr="009C5F11">
        <w:rPr>
          <w:rFonts w:ascii="Times New Roman" w:hAnsi="Times New Roman" w:cs="Times New Roman"/>
          <w:sz w:val="24"/>
          <w:lang w:val="ro-RO"/>
        </w:rPr>
        <w:t>iunie</w:t>
      </w:r>
      <w:r w:rsidR="002733CB" w:rsidRPr="009C5F11">
        <w:rPr>
          <w:rFonts w:ascii="Times New Roman" w:hAnsi="Times New Roman" w:cs="Times New Roman"/>
          <w:sz w:val="24"/>
          <w:lang w:val="ro-RO"/>
        </w:rPr>
        <w:t xml:space="preserve"> 2015</w:t>
      </w:r>
      <w:r w:rsidR="00080395"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pre</w:t>
      </w:r>
      <w:r w:rsidRPr="009C5F11">
        <w:rPr>
          <w:rFonts w:ascii="Times New Roman" w:hAnsi="Times New Roman" w:cs="Times New Roman"/>
          <w:sz w:val="24"/>
          <w:lang w:val="ro-RO"/>
        </w:rPr>
        <w:t>zintă</w:t>
      </w:r>
      <w:r w:rsidR="002733CB" w:rsidRPr="009C5F11">
        <w:rPr>
          <w:rFonts w:ascii="Times New Roman" w:hAnsi="Times New Roman" w:cs="Times New Roman"/>
          <w:sz w:val="24"/>
          <w:lang w:val="ro-RO"/>
        </w:rPr>
        <w:t xml:space="preserve"> intercone</w:t>
      </w:r>
      <w:r w:rsidRPr="009C5F11">
        <w:rPr>
          <w:rFonts w:ascii="Times New Roman" w:hAnsi="Times New Roman" w:cs="Times New Roman"/>
          <w:sz w:val="24"/>
          <w:lang w:val="ro-RO"/>
        </w:rPr>
        <w:t>xiunile</w:t>
      </w:r>
      <w:r w:rsidR="002733CB" w:rsidRPr="009C5F11">
        <w:rPr>
          <w:rFonts w:ascii="Times New Roman" w:hAnsi="Times New Roman" w:cs="Times New Roman"/>
          <w:sz w:val="24"/>
          <w:lang w:val="ro-RO"/>
        </w:rPr>
        <w:t xml:space="preserve"> </w:t>
      </w:r>
      <w:r w:rsidR="00D62784" w:rsidRPr="009C5F11">
        <w:rPr>
          <w:rFonts w:ascii="Times New Roman" w:hAnsi="Times New Roman" w:cs="Times New Roman"/>
          <w:sz w:val="24"/>
          <w:lang w:val="ro-RO"/>
        </w:rPr>
        <w:t>în conformitate cu</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Strategia energetică a Republicii</w:t>
      </w:r>
      <w:r w:rsidR="002733CB" w:rsidRPr="009C5F11">
        <w:rPr>
          <w:rFonts w:ascii="Times New Roman" w:hAnsi="Times New Roman" w:cs="Times New Roman"/>
          <w:sz w:val="24"/>
          <w:lang w:val="ro-RO"/>
        </w:rPr>
        <w:t xml:space="preserve"> Moldova </w:t>
      </w:r>
      <w:r w:rsidRPr="009C5F11">
        <w:rPr>
          <w:rFonts w:ascii="Times New Roman" w:hAnsi="Times New Roman" w:cs="Times New Roman"/>
          <w:sz w:val="24"/>
          <w:lang w:val="ro-RO"/>
        </w:rPr>
        <w:t>până în anul</w:t>
      </w:r>
      <w:r w:rsidR="002733CB" w:rsidRPr="009C5F11">
        <w:rPr>
          <w:rFonts w:ascii="Times New Roman" w:hAnsi="Times New Roman" w:cs="Times New Roman"/>
          <w:sz w:val="24"/>
          <w:lang w:val="ro-RO"/>
        </w:rPr>
        <w:t xml:space="preserve"> 2030 </w:t>
      </w:r>
      <w:r w:rsidRPr="009C5F11">
        <w:rPr>
          <w:rFonts w:ascii="Times New Roman" w:hAnsi="Times New Roman" w:cs="Times New Roman"/>
          <w:sz w:val="24"/>
          <w:lang w:val="ro-RO"/>
        </w:rPr>
        <w:t>în calitate de obiectiv cheie pentru asigurarea dezvoltării unei pieţe energetice cu adevărat competitive</w:t>
      </w:r>
      <w:r w:rsidR="002733CB" w:rsidRPr="009C5F11">
        <w:rPr>
          <w:rFonts w:ascii="Times New Roman" w:hAnsi="Times New Roman" w:cs="Times New Roman"/>
          <w:sz w:val="24"/>
          <w:lang w:val="ro-RO"/>
        </w:rPr>
        <w:t>.</w:t>
      </w:r>
    </w:p>
    <w:p w14:paraId="60C8B97D" w14:textId="2C8E576A" w:rsidR="002733CB" w:rsidRPr="009C5F11" w:rsidRDefault="00401F29"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Cu toate acestea</w:t>
      </w:r>
      <w:r w:rsidR="002733CB" w:rsidRPr="009C5F11">
        <w:rPr>
          <w:rFonts w:ascii="Times New Roman" w:hAnsi="Times New Roman" w:cs="Times New Roman"/>
          <w:sz w:val="24"/>
          <w:lang w:val="ro-RO"/>
        </w:rPr>
        <w:t xml:space="preserve">, </w:t>
      </w:r>
      <w:r w:rsidR="006645C2" w:rsidRPr="009C5F11">
        <w:rPr>
          <w:rFonts w:ascii="Times New Roman" w:hAnsi="Times New Roman" w:cs="Times New Roman"/>
          <w:sz w:val="24"/>
          <w:lang w:val="ro-RO"/>
        </w:rPr>
        <w:t>noua măsură inclusă</w:t>
      </w:r>
      <w:r w:rsidR="00321CD5" w:rsidRPr="009C5F11">
        <w:rPr>
          <w:rFonts w:ascii="Times New Roman" w:hAnsi="Times New Roman" w:cs="Times New Roman"/>
          <w:sz w:val="24"/>
          <w:lang w:val="ro-RO"/>
        </w:rPr>
        <w:t xml:space="preserve"> în </w:t>
      </w:r>
      <w:r w:rsidR="00872DC2"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2016-2018 </w:t>
      </w:r>
      <w:r w:rsidR="002733CB" w:rsidRPr="009C5F11">
        <w:rPr>
          <w:rFonts w:ascii="Times New Roman" w:hAnsi="Times New Roman" w:cs="Times New Roman"/>
          <w:i/>
          <w:sz w:val="24"/>
          <w:u w:val="single"/>
          <w:lang w:val="ro-RO"/>
        </w:rPr>
        <w:t xml:space="preserve">H1 </w:t>
      </w:r>
      <w:r w:rsidR="006A096E" w:rsidRPr="009C5F11">
        <w:rPr>
          <w:rFonts w:ascii="Times New Roman" w:hAnsi="Times New Roman" w:cs="Times New Roman"/>
          <w:i/>
          <w:sz w:val="24"/>
          <w:u w:val="single"/>
          <w:lang w:val="ro-RO"/>
        </w:rPr>
        <w:t xml:space="preserve">Evaluarea potenţialului </w:t>
      </w:r>
      <w:r w:rsidR="00127E34" w:rsidRPr="009C5F11">
        <w:rPr>
          <w:rFonts w:ascii="Times New Roman" w:hAnsi="Times New Roman" w:cs="Times New Roman"/>
          <w:i/>
          <w:sz w:val="24"/>
          <w:u w:val="single"/>
          <w:lang w:val="ro-RO"/>
        </w:rPr>
        <w:t>de reducere a consumului energetic</w:t>
      </w:r>
      <w:r w:rsidR="006A096E" w:rsidRPr="009C5F11">
        <w:rPr>
          <w:rFonts w:ascii="Times New Roman" w:hAnsi="Times New Roman" w:cs="Times New Roman"/>
          <w:i/>
          <w:sz w:val="24"/>
          <w:u w:val="single"/>
          <w:lang w:val="ro-RO"/>
        </w:rPr>
        <w:t xml:space="preserve"> pentru Republica Moldova</w:t>
      </w:r>
      <w:r w:rsidR="002733CB" w:rsidRPr="009C5F11">
        <w:rPr>
          <w:rFonts w:ascii="Times New Roman" w:hAnsi="Times New Roman" w:cs="Times New Roman"/>
          <w:sz w:val="24"/>
          <w:lang w:val="ro-RO"/>
        </w:rPr>
        <w:t xml:space="preserve"> </w:t>
      </w:r>
      <w:r w:rsidR="006645C2" w:rsidRPr="009C5F11">
        <w:rPr>
          <w:rFonts w:ascii="Times New Roman" w:hAnsi="Times New Roman" w:cs="Times New Roman"/>
          <w:sz w:val="24"/>
          <w:lang w:val="ro-RO"/>
        </w:rPr>
        <w:t>îşi propune să abordeze dispoziţiile A</w:t>
      </w:r>
      <w:r w:rsidR="002733CB" w:rsidRPr="009C5F11">
        <w:rPr>
          <w:rFonts w:ascii="Times New Roman" w:hAnsi="Times New Roman" w:cs="Times New Roman"/>
          <w:sz w:val="24"/>
          <w:lang w:val="ro-RO"/>
        </w:rPr>
        <w:t>rt</w:t>
      </w:r>
      <w:r w:rsidR="006645C2" w:rsidRPr="009C5F11">
        <w:rPr>
          <w:rFonts w:ascii="Times New Roman" w:hAnsi="Times New Roman" w:cs="Times New Roman"/>
          <w:sz w:val="24"/>
          <w:lang w:val="ro-RO"/>
        </w:rPr>
        <w:t xml:space="preserve">icolului </w:t>
      </w:r>
      <w:r w:rsidR="002733CB" w:rsidRPr="009C5F11">
        <w:rPr>
          <w:rFonts w:ascii="Times New Roman" w:hAnsi="Times New Roman" w:cs="Times New Roman"/>
          <w:sz w:val="24"/>
          <w:lang w:val="ro-RO"/>
        </w:rPr>
        <w:t xml:space="preserve">15 </w:t>
      </w:r>
      <w:r w:rsidR="00421FA7" w:rsidRPr="009C5F11">
        <w:rPr>
          <w:rFonts w:ascii="Times New Roman" w:hAnsi="Times New Roman" w:cs="Times New Roman"/>
          <w:sz w:val="24"/>
          <w:lang w:val="ro-RO"/>
        </w:rPr>
        <w:t>din DEE</w:t>
      </w:r>
      <w:r w:rsidR="002733CB" w:rsidRPr="009C5F11">
        <w:rPr>
          <w:rFonts w:ascii="Times New Roman" w:hAnsi="Times New Roman" w:cs="Times New Roman"/>
          <w:sz w:val="24"/>
          <w:lang w:val="ro-RO"/>
        </w:rPr>
        <w:t>.</w:t>
      </w:r>
    </w:p>
    <w:p w14:paraId="0F80DCAF" w14:textId="77777777" w:rsidR="00DB2737" w:rsidRPr="009C5F11" w:rsidRDefault="00DB2737" w:rsidP="00F934DD">
      <w:pPr>
        <w:spacing w:before="120" w:after="120" w:line="240" w:lineRule="auto"/>
        <w:jc w:val="both"/>
        <w:textAlignment w:val="baseline"/>
        <w:rPr>
          <w:rFonts w:ascii="Times New Roman" w:hAnsi="Times New Roman" w:cs="Times New Roman"/>
          <w:sz w:val="24"/>
          <w:lang w:val="ro-RO"/>
        </w:rPr>
      </w:pPr>
    </w:p>
    <w:bookmarkEnd w:id="122"/>
    <w:bookmarkEnd w:id="123"/>
    <w:p w14:paraId="1FC840BC" w14:textId="77777777" w:rsidR="002733CB" w:rsidRPr="00D9464A" w:rsidRDefault="002733CB" w:rsidP="00430626">
      <w:pPr>
        <w:pStyle w:val="Titlu1"/>
        <w:rPr>
          <w:rFonts w:ascii="Times New Roman" w:hAnsi="Times New Roman" w:cs="Times New Roman"/>
          <w:noProof w:val="0"/>
          <w:color w:val="000000" w:themeColor="text1"/>
          <w:lang w:val="ro-RO"/>
        </w:rPr>
      </w:pPr>
      <w:r w:rsidRPr="009C5F11">
        <w:rPr>
          <w:rFonts w:ascii="Times New Roman" w:hAnsi="Times New Roman" w:cs="Times New Roman"/>
          <w:noProof w:val="0"/>
          <w:sz w:val="36"/>
          <w:lang w:val="ro-RO"/>
        </w:rPr>
        <w:br w:type="page"/>
      </w:r>
      <w:bookmarkStart w:id="128" w:name="_Toc274298529"/>
      <w:bookmarkStart w:id="129" w:name="_Toc274304015"/>
      <w:bookmarkStart w:id="130" w:name="_Ref275777301"/>
      <w:bookmarkStart w:id="131" w:name="_Toc322013154"/>
      <w:bookmarkStart w:id="132" w:name="_Toc319555388"/>
      <w:r w:rsidR="004763DD" w:rsidRPr="00D9464A">
        <w:rPr>
          <w:rFonts w:ascii="Times New Roman" w:hAnsi="Times New Roman" w:cs="Times New Roman"/>
          <w:noProof w:val="0"/>
          <w:color w:val="000000" w:themeColor="text1"/>
          <w:lang w:val="ro-RO"/>
        </w:rPr>
        <w:lastRenderedPageBreak/>
        <w:t xml:space="preserve">ECONOMII DE ENERGIE FINALĂ ÎN SECTOARELE </w:t>
      </w:r>
      <w:r w:rsidR="00753ED8" w:rsidRPr="00D9464A">
        <w:rPr>
          <w:rFonts w:ascii="Times New Roman" w:hAnsi="Times New Roman" w:cs="Times New Roman"/>
          <w:noProof w:val="0"/>
          <w:color w:val="000000" w:themeColor="text1"/>
          <w:lang w:val="ro-RO"/>
        </w:rPr>
        <w:t>DE CONSUM</w:t>
      </w:r>
      <w:r w:rsidR="004763DD" w:rsidRPr="00D9464A">
        <w:rPr>
          <w:rFonts w:ascii="Times New Roman" w:hAnsi="Times New Roman" w:cs="Times New Roman"/>
          <w:noProof w:val="0"/>
          <w:color w:val="000000" w:themeColor="text1"/>
          <w:lang w:val="ro-RO"/>
        </w:rPr>
        <w:t xml:space="preserve"> FINAL</w:t>
      </w:r>
      <w:bookmarkEnd w:id="128"/>
      <w:bookmarkEnd w:id="129"/>
      <w:bookmarkEnd w:id="130"/>
      <w:bookmarkEnd w:id="131"/>
      <w:r w:rsidR="004763DD" w:rsidRPr="00D9464A">
        <w:rPr>
          <w:rFonts w:ascii="Times New Roman" w:hAnsi="Times New Roman" w:cs="Times New Roman"/>
          <w:noProof w:val="0"/>
          <w:color w:val="000000" w:themeColor="text1"/>
          <w:lang w:val="ro-RO"/>
        </w:rPr>
        <w:t xml:space="preserve"> </w:t>
      </w:r>
      <w:bookmarkEnd w:id="132"/>
    </w:p>
    <w:p w14:paraId="606821B8" w14:textId="77777777" w:rsidR="002733CB" w:rsidRPr="00D9464A" w:rsidRDefault="0014452C" w:rsidP="00987292">
      <w:pPr>
        <w:pStyle w:val="Titlu2"/>
        <w:rPr>
          <w:rFonts w:ascii="Times New Roman" w:hAnsi="Times New Roman" w:cs="Times New Roman"/>
          <w:color w:val="000000" w:themeColor="text1"/>
          <w:sz w:val="28"/>
          <w:szCs w:val="28"/>
          <w:lang w:val="ro-RO"/>
        </w:rPr>
      </w:pPr>
      <w:bookmarkStart w:id="133" w:name="_Toc322013155"/>
      <w:bookmarkStart w:id="134" w:name="_Ref274125218"/>
      <w:bookmarkStart w:id="135" w:name="_Toc274298530"/>
      <w:bookmarkStart w:id="136" w:name="_Toc274304016"/>
      <w:bookmarkStart w:id="137" w:name="_Toc319555389"/>
      <w:r w:rsidRPr="00D9464A">
        <w:rPr>
          <w:rFonts w:ascii="Times New Roman" w:hAnsi="Times New Roman" w:cs="Times New Roman"/>
          <w:color w:val="000000" w:themeColor="text1"/>
          <w:sz w:val="28"/>
          <w:szCs w:val="28"/>
          <w:lang w:val="ro-RO"/>
        </w:rPr>
        <w:t>Examinarea</w:t>
      </w:r>
      <w:r w:rsidR="004763DD" w:rsidRPr="00D9464A">
        <w:rPr>
          <w:rFonts w:ascii="Times New Roman" w:hAnsi="Times New Roman" w:cs="Times New Roman"/>
          <w:color w:val="000000" w:themeColor="text1"/>
          <w:sz w:val="28"/>
          <w:szCs w:val="28"/>
          <w:lang w:val="ro-RO"/>
        </w:rPr>
        <w:t xml:space="preserve"> o</w:t>
      </w:r>
      <w:r w:rsidR="00204033" w:rsidRPr="00D9464A">
        <w:rPr>
          <w:rFonts w:ascii="Times New Roman" w:hAnsi="Times New Roman" w:cs="Times New Roman"/>
          <w:color w:val="000000" w:themeColor="text1"/>
          <w:sz w:val="28"/>
          <w:szCs w:val="28"/>
          <w:lang w:val="ro-RO"/>
        </w:rPr>
        <w:t>biectiv</w:t>
      </w:r>
      <w:r w:rsidR="00B225DB" w:rsidRPr="00D9464A">
        <w:rPr>
          <w:rFonts w:ascii="Times New Roman" w:hAnsi="Times New Roman" w:cs="Times New Roman"/>
          <w:color w:val="000000" w:themeColor="text1"/>
          <w:sz w:val="28"/>
          <w:szCs w:val="28"/>
          <w:lang w:val="ro-RO"/>
        </w:rPr>
        <w:t>elor</w:t>
      </w:r>
      <w:r w:rsidR="00204033" w:rsidRPr="00D9464A">
        <w:rPr>
          <w:rFonts w:ascii="Times New Roman" w:hAnsi="Times New Roman" w:cs="Times New Roman"/>
          <w:color w:val="000000" w:themeColor="text1"/>
          <w:sz w:val="28"/>
          <w:szCs w:val="28"/>
          <w:lang w:val="ro-RO"/>
        </w:rPr>
        <w:t xml:space="preserve"> de economi</w:t>
      </w:r>
      <w:r w:rsidR="00B225DB" w:rsidRPr="00D9464A">
        <w:rPr>
          <w:rFonts w:ascii="Times New Roman" w:hAnsi="Times New Roman" w:cs="Times New Roman"/>
          <w:color w:val="000000" w:themeColor="text1"/>
          <w:sz w:val="28"/>
          <w:szCs w:val="28"/>
          <w:lang w:val="ro-RO"/>
        </w:rPr>
        <w:t>sir</w:t>
      </w:r>
      <w:r w:rsidR="00204033" w:rsidRPr="00D9464A">
        <w:rPr>
          <w:rFonts w:ascii="Times New Roman" w:hAnsi="Times New Roman" w:cs="Times New Roman"/>
          <w:color w:val="000000" w:themeColor="text1"/>
          <w:sz w:val="28"/>
          <w:szCs w:val="28"/>
          <w:lang w:val="ro-RO"/>
        </w:rPr>
        <w:t>e a energiei finale</w:t>
      </w:r>
      <w:r w:rsidR="00321CD5" w:rsidRPr="00D9464A">
        <w:rPr>
          <w:rFonts w:ascii="Times New Roman" w:hAnsi="Times New Roman" w:cs="Times New Roman"/>
          <w:color w:val="000000" w:themeColor="text1"/>
          <w:sz w:val="28"/>
          <w:szCs w:val="28"/>
          <w:lang w:val="ro-RO"/>
        </w:rPr>
        <w:t xml:space="preserve"> şi </w:t>
      </w:r>
      <w:r w:rsidR="004763DD" w:rsidRPr="00D9464A">
        <w:rPr>
          <w:rFonts w:ascii="Times New Roman" w:hAnsi="Times New Roman" w:cs="Times New Roman"/>
          <w:color w:val="000000" w:themeColor="text1"/>
          <w:sz w:val="28"/>
          <w:szCs w:val="28"/>
          <w:lang w:val="ro-RO"/>
        </w:rPr>
        <w:t>rezultatele economi</w:t>
      </w:r>
      <w:r w:rsidR="00B225DB" w:rsidRPr="00D9464A">
        <w:rPr>
          <w:rFonts w:ascii="Times New Roman" w:hAnsi="Times New Roman" w:cs="Times New Roman"/>
          <w:color w:val="000000" w:themeColor="text1"/>
          <w:sz w:val="28"/>
          <w:szCs w:val="28"/>
          <w:lang w:val="ro-RO"/>
        </w:rPr>
        <w:t>sirii</w:t>
      </w:r>
      <w:r w:rsidR="004763DD" w:rsidRPr="00D9464A">
        <w:rPr>
          <w:rFonts w:ascii="Times New Roman" w:hAnsi="Times New Roman" w:cs="Times New Roman"/>
          <w:color w:val="000000" w:themeColor="text1"/>
          <w:sz w:val="28"/>
          <w:szCs w:val="28"/>
          <w:lang w:val="ro-RO"/>
        </w:rPr>
        <w:t xml:space="preserve"> de energie finală</w:t>
      </w:r>
      <w:bookmarkEnd w:id="133"/>
      <w:r w:rsidR="002733CB" w:rsidRPr="00D9464A">
        <w:rPr>
          <w:rFonts w:ascii="Times New Roman" w:hAnsi="Times New Roman" w:cs="Times New Roman"/>
          <w:color w:val="000000" w:themeColor="text1"/>
          <w:sz w:val="28"/>
          <w:szCs w:val="28"/>
          <w:lang w:val="ro-RO"/>
        </w:rPr>
        <w:t xml:space="preserve"> </w:t>
      </w:r>
      <w:bookmarkEnd w:id="134"/>
      <w:bookmarkEnd w:id="135"/>
      <w:bookmarkEnd w:id="136"/>
      <w:bookmarkEnd w:id="137"/>
    </w:p>
    <w:p w14:paraId="15E27D3E" w14:textId="5AB81C40" w:rsidR="002733CB" w:rsidRPr="009C5F11" w:rsidRDefault="001A00C0"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bookmarkStart w:id="138" w:name="_Ref274124827"/>
      <w:bookmarkStart w:id="139" w:name="_Toc274298531"/>
      <w:bookmarkStart w:id="140" w:name="_Toc274304017"/>
      <w:bookmarkStart w:id="141" w:name="_Ref275813075"/>
      <w:bookmarkStart w:id="142" w:name="_Ref275814391"/>
      <w:r w:rsidRPr="009C5F11">
        <w:rPr>
          <w:rFonts w:ascii="Times New Roman" w:hAnsi="Times New Roman" w:cs="Times New Roman"/>
          <w:sz w:val="24"/>
          <w:lang w:val="ro-RO"/>
        </w:rPr>
        <w:t xml:space="preserve">În </w:t>
      </w:r>
      <w:r w:rsidR="005619E4" w:rsidRPr="009C5F11">
        <w:rPr>
          <w:rFonts w:ascii="Times New Roman" w:hAnsi="Times New Roman" w:cs="Times New Roman"/>
          <w:sz w:val="24"/>
          <w:lang w:val="ro-RO"/>
        </w:rPr>
        <w:t>Secţiunea</w:t>
      </w:r>
      <w:r w:rsidR="0052720E"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52720E" w:rsidRPr="009C5F11">
        <w:rPr>
          <w:rFonts w:ascii="Times New Roman" w:hAnsi="Times New Roman" w:cs="Times New Roman"/>
          <w:sz w:val="24"/>
          <w:lang w:val="ro-RO"/>
        </w:rPr>
        <w:instrText xml:space="preserve"> REF _Ref319619441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1.3.1</w:t>
      </w:r>
      <w:r w:rsidR="003A6ADB" w:rsidRPr="009C5F11">
        <w:rPr>
          <w:rFonts w:ascii="Times New Roman" w:hAnsi="Times New Roman" w:cs="Times New Roman"/>
          <w:sz w:val="24"/>
          <w:lang w:val="ro-RO"/>
        </w:rPr>
        <w:fldChar w:fldCharType="end"/>
      </w:r>
      <w:r w:rsidR="0052720E"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este prezentat sumarul strategiilor </w:t>
      </w:r>
      <w:r w:rsidR="00B40A7C" w:rsidRPr="009C5F11">
        <w:rPr>
          <w:rFonts w:ascii="Times New Roman" w:hAnsi="Times New Roman" w:cs="Times New Roman"/>
          <w:sz w:val="24"/>
          <w:lang w:val="ro-RO"/>
        </w:rPr>
        <w:t>şi planurilor naţionale</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 xml:space="preserve">existente axate pe </w:t>
      </w:r>
      <w:r w:rsidR="00146D3A" w:rsidRPr="009C5F11">
        <w:rPr>
          <w:rFonts w:ascii="Times New Roman" w:hAnsi="Times New Roman" w:cs="Times New Roman"/>
          <w:sz w:val="24"/>
          <w:lang w:val="ro-RO"/>
        </w:rPr>
        <w:t>promovarea</w:t>
      </w:r>
      <w:r w:rsidR="002733CB" w:rsidRPr="009C5F11">
        <w:rPr>
          <w:rFonts w:ascii="Times New Roman" w:hAnsi="Times New Roman" w:cs="Times New Roman"/>
          <w:sz w:val="24"/>
          <w:lang w:val="ro-RO"/>
        </w:rPr>
        <w:t xml:space="preserve"> </w:t>
      </w:r>
      <w:r w:rsidR="004424A0" w:rsidRPr="009C5F11">
        <w:rPr>
          <w:rFonts w:ascii="Times New Roman" w:hAnsi="Times New Roman" w:cs="Times New Roman"/>
          <w:sz w:val="24"/>
          <w:lang w:val="ro-RO"/>
        </w:rPr>
        <w:t>economii</w:t>
      </w:r>
      <w:r w:rsidR="00B40A7C" w:rsidRPr="009C5F11">
        <w:rPr>
          <w:rFonts w:ascii="Times New Roman" w:hAnsi="Times New Roman" w:cs="Times New Roman"/>
          <w:sz w:val="24"/>
          <w:lang w:val="ro-RO"/>
        </w:rPr>
        <w:t>lor</w:t>
      </w:r>
      <w:r w:rsidR="004424A0" w:rsidRPr="009C5F11">
        <w:rPr>
          <w:rFonts w:ascii="Times New Roman" w:hAnsi="Times New Roman" w:cs="Times New Roman"/>
          <w:sz w:val="24"/>
          <w:lang w:val="ro-RO"/>
        </w:rPr>
        <w:t xml:space="preserve"> de energie</w:t>
      </w:r>
      <w:r w:rsidR="00321CD5" w:rsidRPr="009C5F11">
        <w:rPr>
          <w:rFonts w:ascii="Times New Roman" w:hAnsi="Times New Roman" w:cs="Times New Roman"/>
          <w:sz w:val="24"/>
          <w:lang w:val="ro-RO"/>
        </w:rPr>
        <w:t xml:space="preserve"> şi </w:t>
      </w:r>
      <w:r w:rsidR="00B40A7C" w:rsidRPr="009C5F11">
        <w:rPr>
          <w:rFonts w:ascii="Times New Roman" w:hAnsi="Times New Roman" w:cs="Times New Roman"/>
          <w:sz w:val="24"/>
          <w:lang w:val="ro-RO"/>
        </w:rPr>
        <w:t>au un</w:t>
      </w:r>
      <w:r w:rsidR="002733CB" w:rsidRPr="009C5F11">
        <w:rPr>
          <w:rFonts w:ascii="Times New Roman" w:hAnsi="Times New Roman" w:cs="Times New Roman"/>
          <w:sz w:val="24"/>
          <w:lang w:val="ro-RO"/>
        </w:rPr>
        <w:t xml:space="preserve"> impact </w:t>
      </w:r>
      <w:r w:rsidR="00B40A7C" w:rsidRPr="009C5F11">
        <w:rPr>
          <w:rFonts w:ascii="Times New Roman" w:hAnsi="Times New Roman" w:cs="Times New Roman"/>
          <w:sz w:val="24"/>
          <w:lang w:val="ro-RO"/>
        </w:rPr>
        <w:t>asupra cererii de energie primară</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 xml:space="preserve">De asemenea, Secţiunea </w:t>
      </w:r>
      <w:r w:rsidR="002733CB" w:rsidRPr="009C5F11">
        <w:rPr>
          <w:rFonts w:ascii="Times New Roman" w:hAnsi="Times New Roman" w:cs="Times New Roman"/>
          <w:sz w:val="24"/>
          <w:lang w:val="ro-RO"/>
        </w:rPr>
        <w:t xml:space="preserve">include </w:t>
      </w:r>
      <w:r w:rsidR="00B40A7C" w:rsidRPr="009C5F11">
        <w:rPr>
          <w:rFonts w:ascii="Times New Roman" w:hAnsi="Times New Roman" w:cs="Times New Roman"/>
          <w:sz w:val="24"/>
          <w:lang w:val="ro-RO"/>
        </w:rPr>
        <w:t>informaţii</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despre</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 xml:space="preserve">obiectivele existente de </w:t>
      </w:r>
      <w:r w:rsidR="007920A4" w:rsidRPr="009C5F11">
        <w:rPr>
          <w:rFonts w:ascii="Times New Roman" w:hAnsi="Times New Roman" w:cs="Times New Roman"/>
          <w:sz w:val="24"/>
          <w:lang w:val="ro-RO"/>
        </w:rPr>
        <w:t>economisire a</w:t>
      </w:r>
      <w:r w:rsidR="00B40A7C" w:rsidRPr="009C5F11">
        <w:rPr>
          <w:rFonts w:ascii="Times New Roman" w:hAnsi="Times New Roman" w:cs="Times New Roman"/>
          <w:sz w:val="24"/>
          <w:lang w:val="ro-RO"/>
        </w:rPr>
        <w:t xml:space="preserve"> energie</w:t>
      </w:r>
      <w:r w:rsidR="007920A4" w:rsidRPr="009C5F11">
        <w:rPr>
          <w:rFonts w:ascii="Times New Roman" w:hAnsi="Times New Roman" w:cs="Times New Roman"/>
          <w:sz w:val="24"/>
          <w:lang w:val="ro-RO"/>
        </w:rPr>
        <w:t>i</w:t>
      </w:r>
      <w:r w:rsidR="00321CD5" w:rsidRPr="009C5F11">
        <w:rPr>
          <w:rFonts w:ascii="Times New Roman" w:hAnsi="Times New Roman" w:cs="Times New Roman"/>
          <w:sz w:val="24"/>
          <w:lang w:val="ro-RO"/>
        </w:rPr>
        <w:t xml:space="preserve"> </w:t>
      </w:r>
      <w:r w:rsidR="007920A4" w:rsidRPr="009C5F11">
        <w:rPr>
          <w:rFonts w:ascii="Times New Roman" w:hAnsi="Times New Roman" w:cs="Times New Roman"/>
          <w:sz w:val="24"/>
          <w:lang w:val="ro-RO"/>
        </w:rPr>
        <w:t xml:space="preserve">finale </w:t>
      </w:r>
      <w:r w:rsidR="00321CD5" w:rsidRPr="009C5F11">
        <w:rPr>
          <w:rFonts w:ascii="Times New Roman" w:hAnsi="Times New Roman" w:cs="Times New Roman"/>
          <w:sz w:val="24"/>
          <w:lang w:val="ro-RO"/>
        </w:rPr>
        <w:t xml:space="preserve">şi </w:t>
      </w:r>
      <w:r w:rsidR="00B40A7C" w:rsidRPr="009C5F11">
        <w:rPr>
          <w:rFonts w:ascii="Times New Roman" w:hAnsi="Times New Roman" w:cs="Times New Roman"/>
          <w:sz w:val="24"/>
          <w:lang w:val="ro-RO"/>
        </w:rPr>
        <w:t xml:space="preserve">despre rezultatele </w:t>
      </w:r>
      <w:r w:rsidR="00B225DB" w:rsidRPr="009C5F11">
        <w:rPr>
          <w:rFonts w:ascii="Times New Roman" w:hAnsi="Times New Roman" w:cs="Times New Roman"/>
          <w:sz w:val="24"/>
          <w:lang w:val="ro-RO"/>
        </w:rPr>
        <w:t>obtinute</w:t>
      </w:r>
      <w:r w:rsidR="002733CB" w:rsidRPr="009C5F11">
        <w:rPr>
          <w:rFonts w:ascii="Times New Roman" w:hAnsi="Times New Roman" w:cs="Times New Roman"/>
          <w:sz w:val="24"/>
          <w:lang w:val="ro-RO"/>
        </w:rPr>
        <w:t>.</w:t>
      </w:r>
    </w:p>
    <w:p w14:paraId="2CEB6E7E" w14:textId="77777777" w:rsidR="005977E5" w:rsidRPr="009C5F11" w:rsidRDefault="005977E5" w:rsidP="0052720E">
      <w:pPr>
        <w:spacing w:before="120" w:after="120" w:line="240" w:lineRule="auto"/>
        <w:jc w:val="both"/>
        <w:textAlignment w:val="baseline"/>
        <w:rPr>
          <w:rFonts w:ascii="Times New Roman" w:hAnsi="Times New Roman" w:cs="Times New Roman"/>
          <w:sz w:val="24"/>
          <w:lang w:val="ro-RO"/>
        </w:rPr>
      </w:pPr>
    </w:p>
    <w:p w14:paraId="5EFAAFBD" w14:textId="273F35D2" w:rsidR="002733CB" w:rsidRPr="00D9464A" w:rsidRDefault="00B40A7C" w:rsidP="00987292">
      <w:pPr>
        <w:pStyle w:val="Titlu3"/>
        <w:rPr>
          <w:rFonts w:ascii="Times New Roman" w:hAnsi="Times New Roman" w:cs="Times New Roman"/>
          <w:b/>
          <w:color w:val="000000" w:themeColor="text1"/>
          <w:sz w:val="28"/>
          <w:lang w:val="ro-RO"/>
        </w:rPr>
      </w:pPr>
      <w:bookmarkStart w:id="143" w:name="_Toc319555390"/>
      <w:bookmarkStart w:id="144" w:name="_Toc322013156"/>
      <w:r w:rsidRPr="00D9464A">
        <w:rPr>
          <w:rFonts w:ascii="Times New Roman" w:hAnsi="Times New Roman" w:cs="Times New Roman"/>
          <w:b/>
          <w:color w:val="000000" w:themeColor="text1"/>
          <w:sz w:val="28"/>
          <w:lang w:val="ro-RO"/>
        </w:rPr>
        <w:t xml:space="preserve">Obiectivul naţional global de </w:t>
      </w:r>
      <w:r w:rsidR="007920A4" w:rsidRPr="00D9464A">
        <w:rPr>
          <w:rFonts w:ascii="Times New Roman" w:hAnsi="Times New Roman" w:cs="Times New Roman"/>
          <w:b/>
          <w:color w:val="000000" w:themeColor="text1"/>
          <w:sz w:val="28"/>
          <w:lang w:val="ro-RO"/>
        </w:rPr>
        <w:t>economisire a energiei de către</w:t>
      </w:r>
      <w:r w:rsidRPr="00D9464A">
        <w:rPr>
          <w:rFonts w:ascii="Times New Roman" w:hAnsi="Times New Roman" w:cs="Times New Roman"/>
          <w:b/>
          <w:color w:val="000000" w:themeColor="text1"/>
          <w:sz w:val="28"/>
          <w:lang w:val="ro-RO"/>
        </w:rPr>
        <w:t xml:space="preserve"> utilizatorii finali şi progresul atins </w:t>
      </w:r>
      <w:bookmarkEnd w:id="138"/>
      <w:bookmarkEnd w:id="139"/>
      <w:bookmarkEnd w:id="140"/>
      <w:bookmarkEnd w:id="141"/>
      <w:bookmarkEnd w:id="142"/>
      <w:bookmarkEnd w:id="143"/>
      <w:r w:rsidR="007920A4" w:rsidRPr="00D9464A">
        <w:rPr>
          <w:rFonts w:ascii="Times New Roman" w:hAnsi="Times New Roman" w:cs="Times New Roman"/>
          <w:b/>
          <w:color w:val="000000" w:themeColor="text1"/>
          <w:sz w:val="28"/>
          <w:lang w:val="ro-RO"/>
        </w:rPr>
        <w:t>în această direcţie</w:t>
      </w:r>
      <w:bookmarkEnd w:id="144"/>
    </w:p>
    <w:p w14:paraId="5234C8F0" w14:textId="64209931" w:rsidR="002733CB" w:rsidRPr="009C5F11" w:rsidRDefault="005619E4"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Secţiunea</w:t>
      </w:r>
      <w:r w:rsidR="001C4CFB"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1C4CFB" w:rsidRPr="009C5F11">
        <w:rPr>
          <w:rFonts w:ascii="Times New Roman" w:hAnsi="Times New Roman" w:cs="Times New Roman"/>
          <w:sz w:val="24"/>
          <w:lang w:val="ro-RO"/>
        </w:rPr>
        <w:instrText xml:space="preserve"> REF _Ref319619485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1.3.5</w:t>
      </w:r>
      <w:r w:rsidR="003A6ADB" w:rsidRPr="009C5F11">
        <w:rPr>
          <w:rFonts w:ascii="Times New Roman" w:hAnsi="Times New Roman" w:cs="Times New Roman"/>
          <w:sz w:val="24"/>
          <w:lang w:val="ro-RO"/>
        </w:rPr>
        <w:fldChar w:fldCharType="end"/>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prezintă</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informaţii</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 xml:space="preserve">explicite cu privire la </w:t>
      </w:r>
      <w:r w:rsidR="002733CB" w:rsidRPr="009C5F11">
        <w:rPr>
          <w:rFonts w:ascii="Times New Roman" w:hAnsi="Times New Roman" w:cs="Times New Roman"/>
          <w:sz w:val="24"/>
          <w:lang w:val="ro-RO"/>
        </w:rPr>
        <w:t>progres</w:t>
      </w:r>
      <w:r w:rsidR="00845BBB" w:rsidRPr="009C5F11">
        <w:rPr>
          <w:rFonts w:ascii="Times New Roman" w:hAnsi="Times New Roman" w:cs="Times New Roman"/>
          <w:sz w:val="24"/>
          <w:lang w:val="ro-RO"/>
        </w:rPr>
        <w:t>ul</w:t>
      </w:r>
      <w:r w:rsidR="00B40A7C" w:rsidRPr="009C5F11">
        <w:rPr>
          <w:rFonts w:ascii="Times New Roman" w:hAnsi="Times New Roman" w:cs="Times New Roman"/>
          <w:sz w:val="24"/>
          <w:lang w:val="ro-RO"/>
        </w:rPr>
        <w:t xml:space="preserve"> atins în ceea ce ţine de obiectivele de </w:t>
      </w:r>
      <w:r w:rsidR="00845BBB" w:rsidRPr="009C5F11">
        <w:rPr>
          <w:rFonts w:ascii="Times New Roman" w:hAnsi="Times New Roman" w:cs="Times New Roman"/>
          <w:sz w:val="24"/>
          <w:lang w:val="ro-RO"/>
        </w:rPr>
        <w:t>economisire a</w:t>
      </w:r>
      <w:r w:rsidR="00B40A7C" w:rsidRPr="009C5F11">
        <w:rPr>
          <w:rFonts w:ascii="Times New Roman" w:hAnsi="Times New Roman" w:cs="Times New Roman"/>
          <w:sz w:val="24"/>
          <w:lang w:val="ro-RO"/>
        </w:rPr>
        <w:t xml:space="preserve"> energie</w:t>
      </w:r>
      <w:r w:rsidR="00845BBB" w:rsidRPr="009C5F11">
        <w:rPr>
          <w:rFonts w:ascii="Times New Roman" w:hAnsi="Times New Roman" w:cs="Times New Roman"/>
          <w:sz w:val="24"/>
          <w:lang w:val="ro-RO"/>
        </w:rPr>
        <w:t>i</w:t>
      </w:r>
      <w:r w:rsidR="00321CD5" w:rsidRPr="009C5F11">
        <w:rPr>
          <w:rFonts w:ascii="Times New Roman" w:hAnsi="Times New Roman" w:cs="Times New Roman"/>
          <w:sz w:val="24"/>
          <w:lang w:val="ro-RO"/>
        </w:rPr>
        <w:t xml:space="preserve"> în </w:t>
      </w:r>
      <w:r w:rsidR="002733CB" w:rsidRPr="009C5F11">
        <w:rPr>
          <w:rFonts w:ascii="Times New Roman" w:hAnsi="Times New Roman" w:cs="Times New Roman"/>
          <w:sz w:val="24"/>
          <w:lang w:val="ro-RO"/>
        </w:rPr>
        <w:t>2016</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20</w:t>
      </w:r>
      <w:r w:rsidR="00B225DB" w:rsidRPr="009C5F11">
        <w:rPr>
          <w:rFonts w:ascii="Times New Roman" w:hAnsi="Times New Roman" w:cs="Times New Roman"/>
          <w:sz w:val="24"/>
          <w:lang w:val="ro-RO"/>
        </w:rPr>
        <w:t>20</w:t>
      </w:r>
      <w:r w:rsidR="002733CB" w:rsidRPr="009C5F11">
        <w:rPr>
          <w:rFonts w:ascii="Times New Roman" w:hAnsi="Times New Roman" w:cs="Times New Roman"/>
          <w:sz w:val="24"/>
          <w:lang w:val="ro-RO"/>
        </w:rPr>
        <w:t xml:space="preserve"> </w:t>
      </w:r>
      <w:r w:rsidR="00845BBB" w:rsidRPr="009C5F11">
        <w:rPr>
          <w:rFonts w:ascii="Times New Roman" w:hAnsi="Times New Roman" w:cs="Times New Roman"/>
          <w:sz w:val="24"/>
          <w:lang w:val="ro-RO"/>
        </w:rPr>
        <w:t>în temeiul Articolului 4</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din</w:t>
      </w:r>
      <w:r w:rsidR="002733CB"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DSE</w:t>
      </w:r>
      <w:r w:rsidR="002733CB" w:rsidRPr="009C5F11">
        <w:rPr>
          <w:rFonts w:ascii="Times New Roman" w:hAnsi="Times New Roman" w:cs="Times New Roman"/>
          <w:sz w:val="24"/>
          <w:lang w:val="ro-RO"/>
        </w:rPr>
        <w:t xml:space="preserve">. </w:t>
      </w:r>
      <w:r w:rsidR="00334DD0" w:rsidRPr="009C5F11">
        <w:rPr>
          <w:rFonts w:ascii="Times New Roman" w:hAnsi="Times New Roman" w:cs="Times New Roman"/>
          <w:sz w:val="24"/>
          <w:lang w:val="ro-RO"/>
        </w:rPr>
        <w:t xml:space="preserve">În </w:t>
      </w:r>
      <w:r w:rsidR="00B40A7C" w:rsidRPr="009C5F11">
        <w:rPr>
          <w:rFonts w:ascii="Times New Roman" w:hAnsi="Times New Roman" w:cs="Times New Roman"/>
          <w:sz w:val="24"/>
          <w:lang w:val="ro-RO"/>
        </w:rPr>
        <w:t xml:space="preserve">vederea </w:t>
      </w:r>
      <w:r w:rsidR="002733CB" w:rsidRPr="009C5F11">
        <w:rPr>
          <w:rFonts w:ascii="Times New Roman" w:hAnsi="Times New Roman" w:cs="Times New Roman"/>
          <w:sz w:val="24"/>
          <w:lang w:val="ro-RO"/>
        </w:rPr>
        <w:t>facilit</w:t>
      </w:r>
      <w:r w:rsidR="00B40A7C" w:rsidRPr="009C5F11">
        <w:rPr>
          <w:rFonts w:ascii="Times New Roman" w:hAnsi="Times New Roman" w:cs="Times New Roman"/>
          <w:sz w:val="24"/>
          <w:lang w:val="ro-RO"/>
        </w:rPr>
        <w:t>ării analizei ulterioare</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 xml:space="preserve">în tabelul din continuare am inclus o privire de ansamblu asupra </w:t>
      </w:r>
      <w:r w:rsidR="004424A0" w:rsidRPr="009C5F11">
        <w:rPr>
          <w:rFonts w:ascii="Times New Roman" w:hAnsi="Times New Roman" w:cs="Times New Roman"/>
          <w:sz w:val="24"/>
          <w:lang w:val="ro-RO"/>
        </w:rPr>
        <w:t>economii</w:t>
      </w:r>
      <w:r w:rsidR="00B40A7C" w:rsidRPr="009C5F11">
        <w:rPr>
          <w:rFonts w:ascii="Times New Roman" w:hAnsi="Times New Roman" w:cs="Times New Roman"/>
          <w:sz w:val="24"/>
          <w:lang w:val="ro-RO"/>
        </w:rPr>
        <w:t>lor</w:t>
      </w:r>
      <w:r w:rsidR="004424A0" w:rsidRPr="009C5F11">
        <w:rPr>
          <w:rFonts w:ascii="Times New Roman" w:hAnsi="Times New Roman" w:cs="Times New Roman"/>
          <w:sz w:val="24"/>
          <w:lang w:val="ro-RO"/>
        </w:rPr>
        <w:t xml:space="preserve"> de energie</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finală obţinute şi prevăzute</w:t>
      </w:r>
      <w:r w:rsidR="002733CB" w:rsidRPr="009C5F11">
        <w:rPr>
          <w:rFonts w:ascii="Times New Roman" w:hAnsi="Times New Roman" w:cs="Times New Roman"/>
          <w:sz w:val="24"/>
          <w:lang w:val="ro-RO"/>
        </w:rPr>
        <w:t>.</w:t>
      </w:r>
    </w:p>
    <w:p w14:paraId="4E0D92E0" w14:textId="77777777" w:rsidR="005977E5" w:rsidRPr="009C5F11" w:rsidRDefault="005977E5" w:rsidP="001C4CFB">
      <w:pPr>
        <w:spacing w:before="120" w:after="120" w:line="240" w:lineRule="auto"/>
        <w:jc w:val="both"/>
        <w:textAlignment w:val="baseline"/>
        <w:rPr>
          <w:rFonts w:ascii="Times New Roman" w:hAnsi="Times New Roman" w:cs="Times New Roman"/>
          <w:sz w:val="24"/>
          <w:lang w:val="ro-RO"/>
        </w:rPr>
      </w:pPr>
    </w:p>
    <w:p w14:paraId="79C88698" w14:textId="77777777" w:rsidR="001C4CFB" w:rsidRPr="009C5F11" w:rsidRDefault="00321CD5" w:rsidP="007B612C">
      <w:pPr>
        <w:pStyle w:val="Legend"/>
        <w:keepNext/>
        <w:jc w:val="center"/>
        <w:rPr>
          <w:rFonts w:ascii="Times New Roman" w:hAnsi="Times New Roman" w:cs="Times New Roman"/>
          <w:sz w:val="22"/>
          <w:lang w:val="ro-RO"/>
        </w:rPr>
      </w:pPr>
      <w:bookmarkStart w:id="145" w:name="_Toc322013236"/>
      <w:r w:rsidRPr="009C5F11">
        <w:rPr>
          <w:rFonts w:ascii="Times New Roman" w:hAnsi="Times New Roman" w:cs="Times New Roman"/>
          <w:sz w:val="22"/>
          <w:lang w:val="ro-RO"/>
        </w:rPr>
        <w:t>Tabelul</w:t>
      </w:r>
      <w:r w:rsidR="001C4CFB"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1C4CFB"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13</w:t>
      </w:r>
      <w:r w:rsidR="003A6ADB" w:rsidRPr="009C5F11">
        <w:rPr>
          <w:rFonts w:ascii="Times New Roman" w:hAnsi="Times New Roman" w:cs="Times New Roman"/>
          <w:sz w:val="22"/>
          <w:lang w:val="ro-RO"/>
        </w:rPr>
        <w:fldChar w:fldCharType="end"/>
      </w:r>
      <w:r w:rsidR="001C4CFB" w:rsidRPr="009C5F11">
        <w:rPr>
          <w:rFonts w:ascii="Times New Roman" w:hAnsi="Times New Roman" w:cs="Times New Roman"/>
          <w:sz w:val="22"/>
          <w:lang w:val="ro-RO"/>
        </w:rPr>
        <w:t xml:space="preserve"> </w:t>
      </w:r>
      <w:r w:rsidR="00204033" w:rsidRPr="009C5F11">
        <w:rPr>
          <w:rFonts w:ascii="Times New Roman" w:hAnsi="Times New Roman" w:cs="Times New Roman"/>
          <w:sz w:val="22"/>
          <w:lang w:val="ro-RO"/>
        </w:rPr>
        <w:t>–</w:t>
      </w:r>
      <w:r w:rsidR="001C4CFB" w:rsidRPr="009C5F11">
        <w:rPr>
          <w:rFonts w:ascii="Times New Roman" w:hAnsi="Times New Roman" w:cs="Times New Roman"/>
          <w:sz w:val="22"/>
          <w:lang w:val="ro-RO"/>
        </w:rPr>
        <w:t xml:space="preserve"> </w:t>
      </w:r>
      <w:r w:rsidR="00204033" w:rsidRPr="009C5F11">
        <w:rPr>
          <w:rFonts w:ascii="Times New Roman" w:hAnsi="Times New Roman" w:cs="Times New Roman"/>
          <w:sz w:val="22"/>
          <w:lang w:val="ro-RO"/>
        </w:rPr>
        <w:t xml:space="preserve">Privire de </w:t>
      </w:r>
      <w:r w:rsidR="00B40A7C" w:rsidRPr="009C5F11">
        <w:rPr>
          <w:rFonts w:ascii="Times New Roman" w:hAnsi="Times New Roman" w:cs="Times New Roman"/>
          <w:sz w:val="22"/>
          <w:lang w:val="ro-RO"/>
        </w:rPr>
        <w:t>ansamblu</w:t>
      </w:r>
      <w:r w:rsidR="00204033" w:rsidRPr="009C5F11">
        <w:rPr>
          <w:rFonts w:ascii="Times New Roman" w:hAnsi="Times New Roman" w:cs="Times New Roman"/>
          <w:sz w:val="22"/>
          <w:lang w:val="ro-RO"/>
        </w:rPr>
        <w:t xml:space="preserve"> asupra </w:t>
      </w:r>
      <w:r w:rsidR="00F231AC" w:rsidRPr="009C5F11">
        <w:rPr>
          <w:rFonts w:ascii="Times New Roman" w:hAnsi="Times New Roman" w:cs="Times New Roman"/>
          <w:sz w:val="22"/>
          <w:lang w:val="ro-RO"/>
        </w:rPr>
        <w:t>economii</w:t>
      </w:r>
      <w:r w:rsidR="00204033" w:rsidRPr="009C5F11">
        <w:rPr>
          <w:rFonts w:ascii="Times New Roman" w:hAnsi="Times New Roman" w:cs="Times New Roman"/>
          <w:sz w:val="22"/>
          <w:lang w:val="ro-RO"/>
        </w:rPr>
        <w:t>lor</w:t>
      </w:r>
      <w:r w:rsidR="00F231AC" w:rsidRPr="009C5F11">
        <w:rPr>
          <w:rFonts w:ascii="Times New Roman" w:hAnsi="Times New Roman" w:cs="Times New Roman"/>
          <w:sz w:val="22"/>
          <w:lang w:val="ro-RO"/>
        </w:rPr>
        <w:t xml:space="preserve"> de energie finală</w:t>
      </w:r>
      <w:r w:rsidR="001C4CFB" w:rsidRPr="009C5F11">
        <w:rPr>
          <w:rFonts w:ascii="Times New Roman" w:hAnsi="Times New Roman" w:cs="Times New Roman"/>
          <w:sz w:val="22"/>
          <w:lang w:val="ro-RO"/>
        </w:rPr>
        <w:t xml:space="preserve"> </w:t>
      </w:r>
      <w:r w:rsidR="00B40A7C" w:rsidRPr="009C5F11">
        <w:rPr>
          <w:rFonts w:ascii="Times New Roman" w:hAnsi="Times New Roman" w:cs="Times New Roman"/>
          <w:sz w:val="22"/>
          <w:lang w:val="ro-RO"/>
        </w:rPr>
        <w:t xml:space="preserve">rezultante </w:t>
      </w:r>
      <w:r w:rsidR="00204033" w:rsidRPr="009C5F11">
        <w:rPr>
          <w:rFonts w:ascii="Times New Roman" w:hAnsi="Times New Roman" w:cs="Times New Roman"/>
          <w:sz w:val="22"/>
          <w:lang w:val="ro-RO"/>
        </w:rPr>
        <w:t>din</w:t>
      </w:r>
      <w:r w:rsidR="001C4CFB" w:rsidRPr="009C5F11">
        <w:rPr>
          <w:rFonts w:ascii="Times New Roman" w:hAnsi="Times New Roman" w:cs="Times New Roman"/>
          <w:sz w:val="22"/>
          <w:lang w:val="ro-RO"/>
        </w:rPr>
        <w:t xml:space="preserve"> </w:t>
      </w:r>
      <w:r w:rsidR="00E10BE5" w:rsidRPr="009C5F11">
        <w:rPr>
          <w:rFonts w:ascii="Times New Roman" w:hAnsi="Times New Roman" w:cs="Times New Roman"/>
          <w:sz w:val="22"/>
          <w:lang w:val="ro-RO"/>
        </w:rPr>
        <w:t>măsuri</w:t>
      </w:r>
      <w:r w:rsidR="00204033" w:rsidRPr="009C5F11">
        <w:rPr>
          <w:rFonts w:ascii="Times New Roman" w:hAnsi="Times New Roman" w:cs="Times New Roman"/>
          <w:sz w:val="22"/>
          <w:lang w:val="ro-RO"/>
        </w:rPr>
        <w:t xml:space="preserve">le </w:t>
      </w:r>
      <w:r w:rsidR="00871B4E" w:rsidRPr="009C5F11">
        <w:rPr>
          <w:rFonts w:ascii="Times New Roman" w:hAnsi="Times New Roman" w:cs="Times New Roman"/>
          <w:sz w:val="22"/>
          <w:lang w:val="ro-RO"/>
        </w:rPr>
        <w:t>DSE</w:t>
      </w:r>
      <w:r w:rsidR="00204033" w:rsidRPr="009C5F11">
        <w:rPr>
          <w:rFonts w:ascii="Times New Roman" w:hAnsi="Times New Roman" w:cs="Times New Roman"/>
          <w:sz w:val="22"/>
          <w:lang w:val="ro-RO"/>
        </w:rPr>
        <w:t>.</w:t>
      </w:r>
      <w:bookmarkEnd w:id="145"/>
    </w:p>
    <w:tbl>
      <w:tblPr>
        <w:tblW w:w="8991"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322"/>
        <w:gridCol w:w="1530"/>
        <w:gridCol w:w="1800"/>
        <w:gridCol w:w="1295"/>
        <w:gridCol w:w="2044"/>
      </w:tblGrid>
      <w:tr w:rsidR="002733CB" w:rsidRPr="009C5F11" w14:paraId="7CD522FC" w14:textId="77777777" w:rsidTr="00B40DB5">
        <w:trPr>
          <w:jc w:val="center"/>
        </w:trPr>
        <w:tc>
          <w:tcPr>
            <w:tcW w:w="2322" w:type="dxa"/>
            <w:shd w:val="clear" w:color="auto" w:fill="000080"/>
          </w:tcPr>
          <w:p w14:paraId="1CE072A7" w14:textId="77777777" w:rsidR="002733CB" w:rsidRPr="009C5F11" w:rsidRDefault="002733CB" w:rsidP="00430626">
            <w:pPr>
              <w:spacing w:after="0" w:line="360" w:lineRule="auto"/>
              <w:jc w:val="both"/>
              <w:rPr>
                <w:rFonts w:ascii="Times New Roman" w:hAnsi="Times New Roman" w:cs="Times New Roman"/>
                <w:i/>
                <w:sz w:val="20"/>
                <w:szCs w:val="16"/>
                <w:lang w:val="ro-RO"/>
              </w:rPr>
            </w:pPr>
          </w:p>
        </w:tc>
        <w:tc>
          <w:tcPr>
            <w:tcW w:w="3330" w:type="dxa"/>
            <w:gridSpan w:val="2"/>
            <w:shd w:val="clear" w:color="auto" w:fill="000080"/>
          </w:tcPr>
          <w:p w14:paraId="699B26D7" w14:textId="77777777" w:rsidR="002733CB" w:rsidRPr="009C5F11" w:rsidRDefault="00204033" w:rsidP="00B40DB5">
            <w:pPr>
              <w:spacing w:after="0" w:line="360" w:lineRule="auto"/>
              <w:rPr>
                <w:rFonts w:ascii="Times New Roman" w:hAnsi="Times New Roman" w:cs="Times New Roman"/>
                <w:b/>
                <w:i/>
                <w:sz w:val="20"/>
                <w:szCs w:val="16"/>
                <w:lang w:val="ro-RO"/>
              </w:rPr>
            </w:pPr>
            <w:r w:rsidRPr="009C5F11">
              <w:rPr>
                <w:rFonts w:ascii="Times New Roman" w:hAnsi="Times New Roman" w:cs="Times New Roman"/>
                <w:b/>
                <w:i/>
                <w:sz w:val="20"/>
                <w:szCs w:val="16"/>
                <w:lang w:val="ro-RO"/>
              </w:rPr>
              <w:t>Obiectiv de economie a energiei finale</w:t>
            </w:r>
          </w:p>
        </w:tc>
        <w:tc>
          <w:tcPr>
            <w:tcW w:w="3339" w:type="dxa"/>
            <w:gridSpan w:val="2"/>
            <w:shd w:val="clear" w:color="auto" w:fill="000080"/>
          </w:tcPr>
          <w:p w14:paraId="002DEC76" w14:textId="77777777" w:rsidR="002733CB" w:rsidRPr="009C5F11" w:rsidRDefault="00B40A7C" w:rsidP="00B40DB5">
            <w:pPr>
              <w:spacing w:after="0" w:line="360" w:lineRule="auto"/>
              <w:rPr>
                <w:rFonts w:ascii="Times New Roman" w:hAnsi="Times New Roman" w:cs="Times New Roman"/>
                <w:b/>
                <w:i/>
                <w:sz w:val="20"/>
                <w:szCs w:val="16"/>
                <w:lang w:val="ro-RO"/>
              </w:rPr>
            </w:pPr>
            <w:r w:rsidRPr="009C5F11">
              <w:rPr>
                <w:rFonts w:ascii="Times New Roman" w:hAnsi="Times New Roman" w:cs="Times New Roman"/>
                <w:b/>
                <w:i/>
                <w:sz w:val="20"/>
                <w:szCs w:val="16"/>
                <w:lang w:val="ro-RO"/>
              </w:rPr>
              <w:t>E</w:t>
            </w:r>
            <w:r w:rsidR="004424A0" w:rsidRPr="009C5F11">
              <w:rPr>
                <w:rFonts w:ascii="Times New Roman" w:hAnsi="Times New Roman" w:cs="Times New Roman"/>
                <w:b/>
                <w:i/>
                <w:sz w:val="20"/>
                <w:szCs w:val="16"/>
                <w:lang w:val="ro-RO"/>
              </w:rPr>
              <w:t>conomii</w:t>
            </w:r>
            <w:r w:rsidRPr="009C5F11">
              <w:rPr>
                <w:rFonts w:ascii="Times New Roman" w:hAnsi="Times New Roman" w:cs="Times New Roman"/>
                <w:b/>
                <w:i/>
                <w:sz w:val="20"/>
                <w:szCs w:val="16"/>
                <w:lang w:val="ro-RO"/>
              </w:rPr>
              <w:t xml:space="preserve"> </w:t>
            </w:r>
            <w:r w:rsidR="004424A0" w:rsidRPr="009C5F11">
              <w:rPr>
                <w:rFonts w:ascii="Times New Roman" w:hAnsi="Times New Roman" w:cs="Times New Roman"/>
                <w:b/>
                <w:i/>
                <w:sz w:val="20"/>
                <w:szCs w:val="16"/>
                <w:lang w:val="ro-RO"/>
              </w:rPr>
              <w:t>de energie</w:t>
            </w:r>
            <w:r w:rsidR="002733CB" w:rsidRPr="009C5F11">
              <w:rPr>
                <w:rFonts w:ascii="Times New Roman" w:hAnsi="Times New Roman" w:cs="Times New Roman"/>
                <w:b/>
                <w:i/>
                <w:sz w:val="20"/>
                <w:szCs w:val="16"/>
                <w:lang w:val="ro-RO"/>
              </w:rPr>
              <w:t xml:space="preserve"> </w:t>
            </w:r>
            <w:r w:rsidRPr="009C5F11">
              <w:rPr>
                <w:rFonts w:ascii="Times New Roman" w:hAnsi="Times New Roman" w:cs="Times New Roman"/>
                <w:b/>
                <w:i/>
                <w:sz w:val="20"/>
                <w:szCs w:val="16"/>
                <w:lang w:val="ro-RO"/>
              </w:rPr>
              <w:t xml:space="preserve">finală obţinute sau prevăzute </w:t>
            </w:r>
          </w:p>
        </w:tc>
      </w:tr>
      <w:tr w:rsidR="002733CB" w:rsidRPr="009C5F11" w14:paraId="0C362C7F" w14:textId="77777777" w:rsidTr="00B40DB5">
        <w:trPr>
          <w:jc w:val="center"/>
        </w:trPr>
        <w:tc>
          <w:tcPr>
            <w:tcW w:w="2322" w:type="dxa"/>
            <w:shd w:val="clear" w:color="auto" w:fill="99CCFF"/>
          </w:tcPr>
          <w:p w14:paraId="17AC1FA0" w14:textId="77777777" w:rsidR="002733CB" w:rsidRPr="009C5F11" w:rsidRDefault="002733CB" w:rsidP="00430626">
            <w:pPr>
              <w:spacing w:after="0" w:line="360" w:lineRule="auto"/>
              <w:jc w:val="both"/>
              <w:rPr>
                <w:rFonts w:ascii="Times New Roman" w:hAnsi="Times New Roman" w:cs="Times New Roman"/>
                <w:i/>
                <w:sz w:val="20"/>
                <w:szCs w:val="16"/>
                <w:lang w:val="ro-RO"/>
              </w:rPr>
            </w:pPr>
          </w:p>
        </w:tc>
        <w:tc>
          <w:tcPr>
            <w:tcW w:w="1530" w:type="dxa"/>
            <w:shd w:val="clear" w:color="auto" w:fill="99CCFF"/>
          </w:tcPr>
          <w:p w14:paraId="41460B93" w14:textId="77777777" w:rsidR="00B225DB" w:rsidRPr="009C5F11" w:rsidRDefault="00204033"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în valoare absolută</w:t>
            </w:r>
            <w:r w:rsidR="002733CB" w:rsidRPr="009C5F11">
              <w:rPr>
                <w:rFonts w:ascii="Times New Roman" w:hAnsi="Times New Roman" w:cs="Times New Roman"/>
                <w:i/>
                <w:sz w:val="20"/>
                <w:szCs w:val="16"/>
                <w:lang w:val="ro-RO"/>
              </w:rPr>
              <w:t xml:space="preserve">, </w:t>
            </w:r>
          </w:p>
          <w:p w14:paraId="3736E710" w14:textId="77777777" w:rsidR="002733CB" w:rsidRPr="009C5F11" w:rsidRDefault="00E52940"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ktep</w:t>
            </w:r>
          </w:p>
        </w:tc>
        <w:tc>
          <w:tcPr>
            <w:tcW w:w="1800" w:type="dxa"/>
            <w:shd w:val="clear" w:color="auto" w:fill="99CCFF"/>
          </w:tcPr>
          <w:p w14:paraId="504B106D" w14:textId="77777777" w:rsidR="00B225DB" w:rsidRPr="009C5F11" w:rsidRDefault="00A74B8C"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Procent</w:t>
            </w:r>
            <w:r w:rsidR="002733CB" w:rsidRPr="009C5F11">
              <w:rPr>
                <w:rFonts w:ascii="Times New Roman" w:hAnsi="Times New Roman" w:cs="Times New Roman"/>
                <w:i/>
                <w:sz w:val="20"/>
                <w:szCs w:val="16"/>
                <w:lang w:val="ro-RO"/>
              </w:rPr>
              <w:t xml:space="preserve"> (%)</w:t>
            </w:r>
          </w:p>
          <w:p w14:paraId="6AC2079A" w14:textId="77777777" w:rsidR="002733CB" w:rsidRPr="009C5F11" w:rsidRDefault="002733CB"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w:t>
            </w:r>
            <w:r w:rsidR="00B40A7C" w:rsidRPr="009C5F11">
              <w:rPr>
                <w:rFonts w:ascii="Times New Roman" w:hAnsi="Times New Roman" w:cs="Times New Roman"/>
                <w:i/>
                <w:sz w:val="20"/>
                <w:szCs w:val="16"/>
                <w:lang w:val="ro-RO"/>
              </w:rPr>
              <w:t>în comparaţie cu consumul</w:t>
            </w:r>
            <w:r w:rsidR="00204033" w:rsidRPr="009C5F11">
              <w:rPr>
                <w:rFonts w:ascii="Times New Roman" w:hAnsi="Times New Roman" w:cs="Times New Roman"/>
                <w:i/>
                <w:sz w:val="20"/>
                <w:szCs w:val="16"/>
                <w:lang w:val="ro-RO"/>
              </w:rPr>
              <w:t xml:space="preserve"> de referinţă din DSE</w:t>
            </w:r>
            <w:r w:rsidRPr="009C5F11">
              <w:rPr>
                <w:rFonts w:ascii="Times New Roman" w:hAnsi="Times New Roman" w:cs="Times New Roman"/>
                <w:i/>
                <w:sz w:val="20"/>
                <w:szCs w:val="16"/>
                <w:lang w:val="ro-RO"/>
              </w:rPr>
              <w:t>)</w:t>
            </w:r>
          </w:p>
        </w:tc>
        <w:tc>
          <w:tcPr>
            <w:tcW w:w="1295" w:type="dxa"/>
            <w:shd w:val="clear" w:color="auto" w:fill="99CCFF"/>
          </w:tcPr>
          <w:p w14:paraId="30AA8F44" w14:textId="77777777" w:rsidR="00B225DB" w:rsidRPr="009C5F11" w:rsidRDefault="00204033"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în valoare absolută</w:t>
            </w:r>
            <w:r w:rsidR="002733CB" w:rsidRPr="009C5F11">
              <w:rPr>
                <w:rFonts w:ascii="Times New Roman" w:hAnsi="Times New Roman" w:cs="Times New Roman"/>
                <w:i/>
                <w:sz w:val="20"/>
                <w:szCs w:val="16"/>
                <w:lang w:val="ro-RO"/>
              </w:rPr>
              <w:t xml:space="preserve">, </w:t>
            </w:r>
          </w:p>
          <w:p w14:paraId="1A46E1E5" w14:textId="77777777" w:rsidR="002733CB" w:rsidRPr="009C5F11" w:rsidRDefault="00E52940"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ktep</w:t>
            </w:r>
          </w:p>
        </w:tc>
        <w:tc>
          <w:tcPr>
            <w:tcW w:w="2044" w:type="dxa"/>
            <w:shd w:val="clear" w:color="auto" w:fill="99CCFF"/>
          </w:tcPr>
          <w:p w14:paraId="2C54DEE4" w14:textId="77777777" w:rsidR="00B225DB" w:rsidRPr="009C5F11" w:rsidRDefault="00A74B8C"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Procent</w:t>
            </w:r>
            <w:r w:rsidR="002733CB" w:rsidRPr="009C5F11">
              <w:rPr>
                <w:rFonts w:ascii="Times New Roman" w:hAnsi="Times New Roman" w:cs="Times New Roman"/>
                <w:i/>
                <w:sz w:val="20"/>
                <w:szCs w:val="16"/>
                <w:lang w:val="ro-RO"/>
              </w:rPr>
              <w:t xml:space="preserve"> (%)</w:t>
            </w:r>
          </w:p>
          <w:p w14:paraId="4EF79C5B" w14:textId="77777777" w:rsidR="002733CB" w:rsidRPr="009C5F11" w:rsidRDefault="002733CB" w:rsidP="00B40DB5">
            <w:pPr>
              <w:spacing w:after="0" w:line="240" w:lineRule="auto"/>
              <w:rPr>
                <w:rFonts w:ascii="Times New Roman" w:hAnsi="Times New Roman" w:cs="Times New Roman"/>
                <w:i/>
                <w:sz w:val="20"/>
                <w:szCs w:val="16"/>
                <w:lang w:val="ro-RO"/>
              </w:rPr>
            </w:pPr>
            <w:r w:rsidRPr="009C5F11">
              <w:rPr>
                <w:rFonts w:ascii="Times New Roman" w:hAnsi="Times New Roman" w:cs="Times New Roman"/>
                <w:i/>
                <w:sz w:val="20"/>
                <w:szCs w:val="16"/>
                <w:lang w:val="ro-RO"/>
              </w:rPr>
              <w:t>(</w:t>
            </w:r>
            <w:r w:rsidR="00B40A7C" w:rsidRPr="009C5F11">
              <w:rPr>
                <w:rFonts w:ascii="Times New Roman" w:hAnsi="Times New Roman" w:cs="Times New Roman"/>
                <w:i/>
                <w:sz w:val="20"/>
                <w:szCs w:val="16"/>
                <w:lang w:val="ro-RO"/>
              </w:rPr>
              <w:t>în comparaţie cu consumul</w:t>
            </w:r>
            <w:r w:rsidR="00204033" w:rsidRPr="009C5F11">
              <w:rPr>
                <w:rFonts w:ascii="Times New Roman" w:hAnsi="Times New Roman" w:cs="Times New Roman"/>
                <w:i/>
                <w:sz w:val="20"/>
                <w:szCs w:val="16"/>
                <w:lang w:val="ro-RO"/>
              </w:rPr>
              <w:t xml:space="preserve"> de referinţă din DSE</w:t>
            </w:r>
            <w:r w:rsidRPr="009C5F11">
              <w:rPr>
                <w:rFonts w:ascii="Times New Roman" w:hAnsi="Times New Roman" w:cs="Times New Roman"/>
                <w:i/>
                <w:sz w:val="20"/>
                <w:szCs w:val="16"/>
                <w:lang w:val="ro-RO"/>
              </w:rPr>
              <w:t>)</w:t>
            </w:r>
          </w:p>
        </w:tc>
      </w:tr>
      <w:tr w:rsidR="002733CB" w:rsidRPr="009C5F11" w14:paraId="5B375879" w14:textId="77777777" w:rsidTr="00B40DB5">
        <w:trPr>
          <w:jc w:val="center"/>
        </w:trPr>
        <w:tc>
          <w:tcPr>
            <w:tcW w:w="2322" w:type="dxa"/>
            <w:shd w:val="clear" w:color="auto" w:fill="D3E6FE"/>
          </w:tcPr>
          <w:p w14:paraId="1555CB06" w14:textId="77777777" w:rsidR="000225BA" w:rsidRPr="009C5F11" w:rsidRDefault="002733CB" w:rsidP="00B40DB5">
            <w:pPr>
              <w:spacing w:after="0" w:line="36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 xml:space="preserve">2016 </w:t>
            </w:r>
          </w:p>
          <w:p w14:paraId="175A5237" w14:textId="77777777" w:rsidR="002733CB" w:rsidRPr="009C5F11" w:rsidRDefault="002733CB" w:rsidP="00B40DB5">
            <w:pPr>
              <w:spacing w:after="0" w:line="36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w:t>
            </w:r>
            <w:r w:rsidR="00204033" w:rsidRPr="009C5F11">
              <w:rPr>
                <w:rFonts w:ascii="Times New Roman" w:hAnsi="Times New Roman" w:cs="Times New Roman"/>
                <w:b/>
                <w:sz w:val="20"/>
                <w:szCs w:val="16"/>
                <w:lang w:val="ro-RO"/>
              </w:rPr>
              <w:t xml:space="preserve">perioada </w:t>
            </w:r>
            <w:r w:rsidRPr="009C5F11">
              <w:rPr>
                <w:rFonts w:ascii="Times New Roman" w:hAnsi="Times New Roman" w:cs="Times New Roman"/>
                <w:b/>
                <w:sz w:val="20"/>
                <w:szCs w:val="16"/>
                <w:lang w:val="ro-RO"/>
              </w:rPr>
              <w:t>interim</w:t>
            </w:r>
            <w:r w:rsidR="00204033" w:rsidRPr="009C5F11">
              <w:rPr>
                <w:rFonts w:ascii="Times New Roman" w:hAnsi="Times New Roman" w:cs="Times New Roman"/>
                <w:b/>
                <w:sz w:val="20"/>
                <w:szCs w:val="16"/>
                <w:lang w:val="ro-RO"/>
              </w:rPr>
              <w:t>ară</w:t>
            </w:r>
            <w:r w:rsidRPr="009C5F11">
              <w:rPr>
                <w:rFonts w:ascii="Times New Roman" w:hAnsi="Times New Roman" w:cs="Times New Roman"/>
                <w:b/>
                <w:sz w:val="20"/>
                <w:szCs w:val="16"/>
                <w:lang w:val="ro-RO"/>
              </w:rPr>
              <w:t>)</w:t>
            </w:r>
          </w:p>
        </w:tc>
        <w:tc>
          <w:tcPr>
            <w:tcW w:w="1530" w:type="dxa"/>
            <w:shd w:val="clear" w:color="auto" w:fill="D3E6FE"/>
          </w:tcPr>
          <w:p w14:paraId="7F10C1D2" w14:textId="77777777" w:rsidR="002733CB" w:rsidRPr="009C5F11" w:rsidRDefault="002733CB" w:rsidP="00430626">
            <w:pPr>
              <w:spacing w:after="0" w:line="36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92.9</w:t>
            </w:r>
          </w:p>
        </w:tc>
        <w:tc>
          <w:tcPr>
            <w:tcW w:w="1800" w:type="dxa"/>
            <w:shd w:val="clear" w:color="auto" w:fill="D3E6FE"/>
          </w:tcPr>
          <w:p w14:paraId="40E89E2F" w14:textId="77777777" w:rsidR="002733CB" w:rsidRPr="009C5F11" w:rsidRDefault="002733CB" w:rsidP="00430626">
            <w:pPr>
              <w:spacing w:after="0" w:line="36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5</w:t>
            </w:r>
          </w:p>
        </w:tc>
        <w:tc>
          <w:tcPr>
            <w:tcW w:w="1295" w:type="dxa"/>
            <w:shd w:val="clear" w:color="auto" w:fill="D3E6FE"/>
          </w:tcPr>
          <w:p w14:paraId="37094585" w14:textId="77777777" w:rsidR="002733CB" w:rsidRPr="009C5F11" w:rsidRDefault="002733CB" w:rsidP="00430626">
            <w:pPr>
              <w:spacing w:after="0" w:line="36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30.0</w:t>
            </w:r>
          </w:p>
        </w:tc>
        <w:tc>
          <w:tcPr>
            <w:tcW w:w="2044" w:type="dxa"/>
            <w:shd w:val="clear" w:color="auto" w:fill="D3E6FE"/>
          </w:tcPr>
          <w:p w14:paraId="79BCCDFD" w14:textId="77777777" w:rsidR="002733CB" w:rsidRPr="009C5F11" w:rsidRDefault="002733CB" w:rsidP="00430626">
            <w:pPr>
              <w:spacing w:after="0" w:line="36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1.6</w:t>
            </w:r>
          </w:p>
        </w:tc>
      </w:tr>
      <w:tr w:rsidR="002733CB" w:rsidRPr="009C5F11" w14:paraId="78F416DB" w14:textId="77777777" w:rsidTr="00B40DB5">
        <w:trPr>
          <w:jc w:val="center"/>
        </w:trPr>
        <w:tc>
          <w:tcPr>
            <w:tcW w:w="2322" w:type="dxa"/>
            <w:shd w:val="clear" w:color="auto" w:fill="D3E6FE"/>
          </w:tcPr>
          <w:p w14:paraId="7549F3A5" w14:textId="77777777" w:rsidR="000225BA" w:rsidRPr="009C5F11" w:rsidRDefault="002733CB" w:rsidP="00B40DB5">
            <w:pPr>
              <w:spacing w:after="0" w:line="36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 xml:space="preserve">2020 </w:t>
            </w:r>
          </w:p>
          <w:p w14:paraId="3114EB0B" w14:textId="77777777" w:rsidR="002733CB" w:rsidRPr="009C5F11" w:rsidRDefault="002733CB" w:rsidP="00B40DB5">
            <w:pPr>
              <w:spacing w:after="0" w:line="360" w:lineRule="auto"/>
              <w:rPr>
                <w:rFonts w:ascii="Times New Roman" w:hAnsi="Times New Roman" w:cs="Times New Roman"/>
                <w:b/>
                <w:sz w:val="20"/>
                <w:szCs w:val="16"/>
                <w:lang w:val="ro-RO"/>
              </w:rPr>
            </w:pPr>
            <w:r w:rsidRPr="009C5F11">
              <w:rPr>
                <w:rFonts w:ascii="Times New Roman" w:hAnsi="Times New Roman" w:cs="Times New Roman"/>
                <w:b/>
                <w:sz w:val="20"/>
                <w:szCs w:val="16"/>
                <w:lang w:val="ro-RO"/>
              </w:rPr>
              <w:t>(</w:t>
            </w:r>
            <w:r w:rsidR="00204033" w:rsidRPr="009C5F11">
              <w:rPr>
                <w:rFonts w:ascii="Times New Roman" w:hAnsi="Times New Roman" w:cs="Times New Roman"/>
                <w:b/>
                <w:sz w:val="20"/>
                <w:szCs w:val="16"/>
                <w:lang w:val="ro-RO"/>
              </w:rPr>
              <w:t xml:space="preserve">perioada </w:t>
            </w:r>
            <w:r w:rsidR="00B40A7C" w:rsidRPr="009C5F11">
              <w:rPr>
                <w:rFonts w:ascii="Times New Roman" w:hAnsi="Times New Roman" w:cs="Times New Roman"/>
                <w:b/>
                <w:sz w:val="20"/>
                <w:szCs w:val="16"/>
                <w:lang w:val="ro-RO"/>
              </w:rPr>
              <w:t>deplin</w:t>
            </w:r>
            <w:r w:rsidR="00204033" w:rsidRPr="009C5F11">
              <w:rPr>
                <w:rFonts w:ascii="Times New Roman" w:hAnsi="Times New Roman" w:cs="Times New Roman"/>
                <w:b/>
                <w:sz w:val="20"/>
                <w:szCs w:val="16"/>
                <w:lang w:val="ro-RO"/>
              </w:rPr>
              <w:t>ă</w:t>
            </w:r>
            <w:r w:rsidRPr="009C5F11">
              <w:rPr>
                <w:rFonts w:ascii="Times New Roman" w:hAnsi="Times New Roman" w:cs="Times New Roman"/>
                <w:b/>
                <w:sz w:val="20"/>
                <w:szCs w:val="16"/>
                <w:lang w:val="ro-RO"/>
              </w:rPr>
              <w:t>)</w:t>
            </w:r>
          </w:p>
        </w:tc>
        <w:tc>
          <w:tcPr>
            <w:tcW w:w="1530" w:type="dxa"/>
            <w:shd w:val="clear" w:color="auto" w:fill="D3E6FE"/>
          </w:tcPr>
          <w:p w14:paraId="0A89C045" w14:textId="77777777" w:rsidR="002733CB" w:rsidRPr="009C5F11" w:rsidRDefault="002733CB" w:rsidP="00430626">
            <w:pPr>
              <w:spacing w:after="0" w:line="36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167.2</w:t>
            </w:r>
          </w:p>
        </w:tc>
        <w:tc>
          <w:tcPr>
            <w:tcW w:w="1800" w:type="dxa"/>
            <w:shd w:val="clear" w:color="auto" w:fill="D3E6FE"/>
          </w:tcPr>
          <w:p w14:paraId="61A1BE2D" w14:textId="77777777" w:rsidR="002733CB" w:rsidRPr="009C5F11" w:rsidRDefault="002733CB" w:rsidP="00430626">
            <w:pPr>
              <w:spacing w:after="0" w:line="36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9</w:t>
            </w:r>
          </w:p>
        </w:tc>
        <w:tc>
          <w:tcPr>
            <w:tcW w:w="1295" w:type="dxa"/>
            <w:shd w:val="clear" w:color="auto" w:fill="D3E6FE"/>
          </w:tcPr>
          <w:p w14:paraId="1509BD82" w14:textId="77777777" w:rsidR="002733CB" w:rsidRPr="009C5F11" w:rsidRDefault="002733CB" w:rsidP="00430626">
            <w:pPr>
              <w:spacing w:after="0" w:line="36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176.3</w:t>
            </w:r>
          </w:p>
        </w:tc>
        <w:tc>
          <w:tcPr>
            <w:tcW w:w="2044" w:type="dxa"/>
            <w:shd w:val="clear" w:color="auto" w:fill="D3E6FE"/>
          </w:tcPr>
          <w:p w14:paraId="31B7F30D" w14:textId="77777777" w:rsidR="002733CB" w:rsidRPr="009C5F11" w:rsidRDefault="002733CB" w:rsidP="00430626">
            <w:pPr>
              <w:spacing w:after="0" w:line="360" w:lineRule="auto"/>
              <w:jc w:val="both"/>
              <w:rPr>
                <w:rFonts w:ascii="Times New Roman" w:hAnsi="Times New Roman" w:cs="Times New Roman"/>
                <w:i/>
                <w:sz w:val="20"/>
                <w:szCs w:val="16"/>
                <w:lang w:val="ro-RO"/>
              </w:rPr>
            </w:pPr>
            <w:r w:rsidRPr="009C5F11">
              <w:rPr>
                <w:rFonts w:ascii="Times New Roman" w:hAnsi="Times New Roman" w:cs="Times New Roman"/>
                <w:i/>
                <w:sz w:val="20"/>
                <w:szCs w:val="16"/>
                <w:lang w:val="ro-RO"/>
              </w:rPr>
              <w:t>9.5</w:t>
            </w:r>
          </w:p>
        </w:tc>
      </w:tr>
    </w:tbl>
    <w:p w14:paraId="471DC74B" w14:textId="77777777" w:rsidR="002733CB" w:rsidRPr="009C5F11" w:rsidRDefault="002733CB" w:rsidP="002733CB">
      <w:pPr>
        <w:spacing w:before="120" w:after="120" w:line="240" w:lineRule="auto"/>
        <w:jc w:val="both"/>
        <w:rPr>
          <w:rFonts w:ascii="Times New Roman" w:hAnsi="Times New Roman" w:cs="Times New Roman"/>
          <w:sz w:val="24"/>
          <w:lang w:val="ro-RO"/>
        </w:rPr>
      </w:pPr>
    </w:p>
    <w:p w14:paraId="5C736C46" w14:textId="77777777" w:rsidR="002733CB" w:rsidRPr="00D9464A" w:rsidRDefault="00B40A7C" w:rsidP="00987292">
      <w:pPr>
        <w:pStyle w:val="Titlu4"/>
        <w:rPr>
          <w:rFonts w:ascii="Times New Roman" w:hAnsi="Times New Roman" w:cs="Times New Roman"/>
          <w:b/>
          <w:color w:val="000000" w:themeColor="text1"/>
          <w:sz w:val="28"/>
          <w:lang w:val="ro-RO"/>
        </w:rPr>
      </w:pPr>
      <w:bookmarkStart w:id="146" w:name="_Toc322013157"/>
      <w:bookmarkStart w:id="147" w:name="_Toc274304018"/>
      <w:bookmarkStart w:id="148" w:name="_Toc319555391"/>
      <w:bookmarkStart w:id="149" w:name="_Ref319761926"/>
      <w:bookmarkStart w:id="150" w:name="_Ref319761935"/>
      <w:r w:rsidRPr="00D9464A">
        <w:rPr>
          <w:rFonts w:ascii="Times New Roman" w:hAnsi="Times New Roman" w:cs="Times New Roman"/>
          <w:b/>
          <w:color w:val="000000" w:themeColor="text1"/>
          <w:sz w:val="28"/>
          <w:lang w:val="ro-RO"/>
        </w:rPr>
        <w:t xml:space="preserve">Realizarea obiectivului intermediar (2016) de </w:t>
      </w:r>
      <w:r w:rsidR="00845BBB" w:rsidRPr="00D9464A">
        <w:rPr>
          <w:rFonts w:ascii="Times New Roman" w:hAnsi="Times New Roman" w:cs="Times New Roman"/>
          <w:b/>
          <w:color w:val="000000" w:themeColor="text1"/>
          <w:sz w:val="28"/>
          <w:lang w:val="ro-RO"/>
        </w:rPr>
        <w:t>economisire a energiei</w:t>
      </w:r>
      <w:r w:rsidRPr="00D9464A">
        <w:rPr>
          <w:rFonts w:ascii="Times New Roman" w:hAnsi="Times New Roman" w:cs="Times New Roman"/>
          <w:b/>
          <w:color w:val="000000" w:themeColor="text1"/>
          <w:sz w:val="28"/>
          <w:lang w:val="ro-RO"/>
        </w:rPr>
        <w:t xml:space="preserve"> la nivelul utilizatorilor finali</w:t>
      </w:r>
      <w:bookmarkEnd w:id="146"/>
      <w:r w:rsidRPr="00D9464A">
        <w:rPr>
          <w:rFonts w:ascii="Times New Roman" w:hAnsi="Times New Roman" w:cs="Times New Roman"/>
          <w:b/>
          <w:color w:val="000000" w:themeColor="text1"/>
          <w:sz w:val="28"/>
          <w:lang w:val="ro-RO"/>
        </w:rPr>
        <w:t xml:space="preserve"> </w:t>
      </w:r>
      <w:bookmarkEnd w:id="147"/>
      <w:bookmarkEnd w:id="148"/>
      <w:bookmarkEnd w:id="149"/>
      <w:bookmarkEnd w:id="150"/>
    </w:p>
    <w:p w14:paraId="530DA613" w14:textId="5D4E0A6F" w:rsidR="002733CB" w:rsidRPr="009C5F11" w:rsidRDefault="00B40A7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Obiectivul</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stabilit pentru anul</w:t>
      </w:r>
      <w:r w:rsidR="002733CB" w:rsidRPr="009C5F11">
        <w:rPr>
          <w:rFonts w:ascii="Times New Roman" w:hAnsi="Times New Roman" w:cs="Times New Roman"/>
          <w:sz w:val="24"/>
          <w:lang w:val="ro-RO"/>
        </w:rPr>
        <w:t xml:space="preserve"> 2016 </w:t>
      </w:r>
      <w:r w:rsidR="00AF065C" w:rsidRPr="009C5F11">
        <w:rPr>
          <w:rFonts w:ascii="Times New Roman" w:hAnsi="Times New Roman" w:cs="Times New Roman"/>
          <w:sz w:val="24"/>
          <w:lang w:val="ro-RO"/>
        </w:rPr>
        <w:t>este de</w:t>
      </w:r>
      <w:r w:rsidR="002733CB" w:rsidRPr="009C5F11">
        <w:rPr>
          <w:rFonts w:ascii="Times New Roman" w:hAnsi="Times New Roman" w:cs="Times New Roman"/>
          <w:sz w:val="24"/>
          <w:lang w:val="ro-RO"/>
        </w:rPr>
        <w:t xml:space="preserve"> 92.</w:t>
      </w:r>
      <w:r w:rsidR="008920C2" w:rsidRPr="009C5F11">
        <w:rPr>
          <w:rFonts w:ascii="Times New Roman" w:hAnsi="Times New Roman" w:cs="Times New Roman"/>
          <w:sz w:val="24"/>
          <w:lang w:val="ro-RO"/>
        </w:rPr>
        <w:t xml:space="preserve">9 </w:t>
      </w:r>
      <w:r w:rsidR="00E52940" w:rsidRPr="009C5F11">
        <w:rPr>
          <w:rFonts w:ascii="Times New Roman" w:hAnsi="Times New Roman" w:cs="Times New Roman"/>
          <w:sz w:val="24"/>
          <w:lang w:val="ro-RO"/>
        </w:rPr>
        <w:t>ktep</w:t>
      </w:r>
      <w:r w:rsidR="002733CB" w:rsidRPr="009C5F11">
        <w:rPr>
          <w:rFonts w:ascii="Times New Roman" w:hAnsi="Times New Roman" w:cs="Times New Roman"/>
          <w:sz w:val="24"/>
          <w:lang w:val="ro-RO"/>
        </w:rPr>
        <w:t xml:space="preserve">. </w:t>
      </w:r>
      <w:r w:rsidR="00146D3A" w:rsidRPr="009C5F11">
        <w:rPr>
          <w:rFonts w:ascii="Times New Roman" w:hAnsi="Times New Roman" w:cs="Times New Roman"/>
          <w:sz w:val="24"/>
          <w:lang w:val="ro-RO"/>
        </w:rPr>
        <w:t>Pornind</w:t>
      </w:r>
      <w:r w:rsidRPr="009C5F11">
        <w:rPr>
          <w:rFonts w:ascii="Times New Roman" w:hAnsi="Times New Roman" w:cs="Times New Roman"/>
          <w:sz w:val="24"/>
          <w:lang w:val="ro-RO"/>
        </w:rPr>
        <w:t xml:space="preserve"> de la informaţiile disponibile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Republica Moldova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poate</w:t>
      </w:r>
      <w:r w:rsidR="002733CB" w:rsidRPr="009C5F11">
        <w:rPr>
          <w:rFonts w:ascii="Times New Roman" w:hAnsi="Times New Roman" w:cs="Times New Roman"/>
          <w:sz w:val="24"/>
          <w:lang w:val="ro-RO"/>
        </w:rPr>
        <w:t xml:space="preserve"> </w:t>
      </w:r>
      <w:r w:rsidR="001E3482" w:rsidRPr="009C5F11">
        <w:rPr>
          <w:rFonts w:ascii="Times New Roman" w:hAnsi="Times New Roman" w:cs="Times New Roman"/>
          <w:sz w:val="24"/>
          <w:lang w:val="ro-RO"/>
        </w:rPr>
        <w:t>raport</w:t>
      </w:r>
      <w:r w:rsidRPr="009C5F11">
        <w:rPr>
          <w:rFonts w:ascii="Times New Roman" w:hAnsi="Times New Roman" w:cs="Times New Roman"/>
          <w:sz w:val="24"/>
          <w:lang w:val="ro-RO"/>
        </w:rPr>
        <w:t>a circa</w:t>
      </w:r>
      <w:r w:rsidR="002733CB" w:rsidRPr="009C5F11">
        <w:rPr>
          <w:rFonts w:ascii="Times New Roman" w:hAnsi="Times New Roman" w:cs="Times New Roman"/>
          <w:sz w:val="24"/>
          <w:lang w:val="ro-RO"/>
        </w:rPr>
        <w:t xml:space="preserve"> 30</w:t>
      </w:r>
      <w:r w:rsidR="00851C3E" w:rsidRPr="009C5F11">
        <w:rPr>
          <w:rFonts w:ascii="Times New Roman" w:hAnsi="Times New Roman" w:cs="Times New Roman"/>
          <w:sz w:val="24"/>
          <w:lang w:val="ro-RO"/>
        </w:rPr>
        <w:t xml:space="preserve"> </w:t>
      </w:r>
      <w:r w:rsidR="00E52940" w:rsidRPr="009C5F11">
        <w:rPr>
          <w:rFonts w:ascii="Times New Roman" w:hAnsi="Times New Roman" w:cs="Times New Roman"/>
          <w:sz w:val="24"/>
          <w:lang w:val="ro-RO"/>
        </w:rPr>
        <w:t>ktep</w:t>
      </w:r>
      <w:r w:rsidR="002733CB" w:rsidRPr="009C5F11">
        <w:rPr>
          <w:rFonts w:ascii="Times New Roman" w:hAnsi="Times New Roman" w:cs="Times New Roman"/>
          <w:sz w:val="24"/>
          <w:lang w:val="ro-RO"/>
        </w:rPr>
        <w:t xml:space="preserve"> </w:t>
      </w:r>
      <w:r w:rsidR="00F231AC" w:rsidRPr="009C5F11">
        <w:rPr>
          <w:rFonts w:ascii="Times New Roman" w:hAnsi="Times New Roman" w:cs="Times New Roman"/>
          <w:sz w:val="24"/>
          <w:lang w:val="ro-RO"/>
        </w:rPr>
        <w:t>economii de energie finală</w:t>
      </w:r>
      <w:r w:rsidR="00321CD5" w:rsidRPr="009C5F11">
        <w:rPr>
          <w:rFonts w:ascii="Times New Roman" w:hAnsi="Times New Roman" w:cs="Times New Roman"/>
          <w:sz w:val="24"/>
          <w:lang w:val="ro-RO"/>
        </w:rPr>
        <w:t xml:space="preserve"> în </w:t>
      </w:r>
      <w:r w:rsidR="002733CB" w:rsidRPr="009C5F11">
        <w:rPr>
          <w:rFonts w:ascii="Times New Roman" w:hAnsi="Times New Roman" w:cs="Times New Roman"/>
          <w:sz w:val="24"/>
          <w:lang w:val="ro-RO"/>
        </w:rPr>
        <w:t>2016</w:t>
      </w:r>
      <w:r w:rsidR="00845BBB"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ceea ce corespunde ap</w:t>
      </w:r>
      <w:r w:rsidR="002733CB" w:rsidRPr="009C5F11">
        <w:rPr>
          <w:rFonts w:ascii="Times New Roman" w:hAnsi="Times New Roman" w:cs="Times New Roman"/>
          <w:sz w:val="24"/>
          <w:lang w:val="ro-RO"/>
        </w:rPr>
        <w:t>rox</w:t>
      </w:r>
      <w:r w:rsidR="00851C3E" w:rsidRPr="009C5F11">
        <w:rPr>
          <w:rFonts w:ascii="Times New Roman" w:hAnsi="Times New Roman" w:cs="Times New Roman"/>
          <w:sz w:val="24"/>
          <w:lang w:val="ro-RO"/>
        </w:rPr>
        <w:t>imat</w:t>
      </w:r>
      <w:r w:rsidRPr="009C5F11">
        <w:rPr>
          <w:rFonts w:ascii="Times New Roman" w:hAnsi="Times New Roman" w:cs="Times New Roman"/>
          <w:sz w:val="24"/>
          <w:lang w:val="ro-RO"/>
        </w:rPr>
        <w:t>iv unei treimi din volumele de economii preconizate</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 xml:space="preserve">1.6% </w:t>
      </w:r>
      <w:r w:rsidRPr="009C5F11">
        <w:rPr>
          <w:rFonts w:ascii="Times New Roman" w:hAnsi="Times New Roman" w:cs="Times New Roman"/>
          <w:sz w:val="24"/>
          <w:lang w:val="ro-RO"/>
        </w:rPr>
        <w:t>din consumul de referinţă stabilit de</w:t>
      </w:r>
      <w:r w:rsidR="002733CB"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DSE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Cel mai probabil</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economiile efective sunt mai mari, dat fiind faptul că nu toate proiectele au raportat AEE în timp util rezultatele obţinute</w:t>
      </w:r>
      <w:r w:rsidR="002733CB" w:rsidRPr="009C5F11">
        <w:rPr>
          <w:rFonts w:ascii="Times New Roman" w:hAnsi="Times New Roman" w:cs="Times New Roman"/>
          <w:sz w:val="24"/>
          <w:lang w:val="ro-RO"/>
        </w:rPr>
        <w:t xml:space="preserve">. </w:t>
      </w:r>
      <w:r w:rsidR="00334DD0" w:rsidRPr="009C5F11">
        <w:rPr>
          <w:rFonts w:ascii="Times New Roman" w:hAnsi="Times New Roman" w:cs="Times New Roman"/>
          <w:sz w:val="24"/>
          <w:lang w:val="ro-RO"/>
        </w:rPr>
        <w:t xml:space="preserve">În </w:t>
      </w:r>
      <w:r w:rsidRPr="009C5F11">
        <w:rPr>
          <w:rFonts w:ascii="Times New Roman" w:hAnsi="Times New Roman" w:cs="Times New Roman"/>
          <w:sz w:val="24"/>
          <w:lang w:val="ro-RO"/>
        </w:rPr>
        <w:t>orice caz</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obiectivul intermediar</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nu a fost atins</w:t>
      </w:r>
      <w:r w:rsidR="002733CB"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mai jos</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fiind incluse câteva dintre motivele principale</w:t>
      </w:r>
      <w:r w:rsidR="002733CB" w:rsidRPr="009C5F11">
        <w:rPr>
          <w:rFonts w:ascii="Times New Roman" w:hAnsi="Times New Roman" w:cs="Times New Roman"/>
          <w:sz w:val="24"/>
          <w:lang w:val="ro-RO"/>
        </w:rPr>
        <w:t>:</w:t>
      </w:r>
    </w:p>
    <w:p w14:paraId="4DA90F47" w14:textId="77777777" w:rsidR="002733CB" w:rsidRPr="009C5F11" w:rsidRDefault="00B40A7C"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b/>
          <w:sz w:val="24"/>
          <w:lang w:val="ro-RO"/>
        </w:rPr>
        <w:t>Sectorul r</w:t>
      </w:r>
      <w:r w:rsidR="0079253D" w:rsidRPr="009C5F11">
        <w:rPr>
          <w:rFonts w:ascii="Times New Roman" w:hAnsi="Times New Roman" w:cs="Times New Roman"/>
          <w:b/>
          <w:sz w:val="24"/>
          <w:lang w:val="ro-RO"/>
        </w:rPr>
        <w:t>ezidenţial</w:t>
      </w:r>
      <w:r w:rsidR="002733CB" w:rsidRPr="009C5F11">
        <w:rPr>
          <w:rFonts w:ascii="Times New Roman" w:hAnsi="Times New Roman" w:cs="Times New Roman"/>
          <w:b/>
          <w:sz w:val="24"/>
          <w:lang w:val="ro-RO"/>
        </w:rPr>
        <w:t xml:space="preserve">/public: </w:t>
      </w:r>
      <w:r w:rsidR="005E7974" w:rsidRPr="009C5F11">
        <w:rPr>
          <w:rFonts w:ascii="Times New Roman" w:hAnsi="Times New Roman" w:cs="Times New Roman"/>
          <w:sz w:val="24"/>
          <w:lang w:val="ro-RO"/>
        </w:rPr>
        <w:t>Deocamdată nu au fost puse în aplicare Strategia</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de renovare a</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 xml:space="preserve">clădirilor </w:t>
      </w:r>
      <w:r w:rsidR="002733CB" w:rsidRPr="009C5F11">
        <w:rPr>
          <w:rFonts w:ascii="Times New Roman" w:hAnsi="Times New Roman" w:cs="Times New Roman"/>
          <w:sz w:val="24"/>
          <w:lang w:val="ro-RO"/>
        </w:rPr>
        <w:t>(</w:t>
      </w:r>
      <w:r w:rsidR="00AB1710" w:rsidRPr="009C5F11">
        <w:rPr>
          <w:rFonts w:ascii="Times New Roman" w:hAnsi="Times New Roman" w:cs="Times New Roman"/>
          <w:sz w:val="24"/>
          <w:lang w:val="ro-RO"/>
        </w:rPr>
        <w:t>rezidenţial</w:t>
      </w:r>
      <w:r w:rsidR="005E7974"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public</w:t>
      </w:r>
      <w:r w:rsidR="005E7974" w:rsidRPr="009C5F11">
        <w:rPr>
          <w:rFonts w:ascii="Times New Roman" w:hAnsi="Times New Roman" w:cs="Times New Roman"/>
          <w:sz w:val="24"/>
          <w:lang w:val="ro-RO"/>
        </w:rPr>
        <w:t>e</w:t>
      </w:r>
      <w:r w:rsidR="002733CB" w:rsidRPr="009C5F11">
        <w:rPr>
          <w:rFonts w:ascii="Times New Roman" w:hAnsi="Times New Roman" w:cs="Times New Roman"/>
          <w:sz w:val="24"/>
          <w:lang w:val="ro-RO"/>
        </w:rPr>
        <w:t>)</w:t>
      </w:r>
      <w:r w:rsidR="005E7974"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Metodologia</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 xml:space="preserve">pentru </w:t>
      </w:r>
      <w:r w:rsidR="00146D3A" w:rsidRPr="009C5F11">
        <w:rPr>
          <w:rFonts w:ascii="Times New Roman" w:hAnsi="Times New Roman" w:cs="Times New Roman"/>
          <w:sz w:val="24"/>
          <w:lang w:val="ro-RO"/>
        </w:rPr>
        <w:t>calcularea</w:t>
      </w:r>
      <w:r w:rsidR="005E7974" w:rsidRPr="009C5F11">
        <w:rPr>
          <w:rFonts w:ascii="Times New Roman" w:hAnsi="Times New Roman" w:cs="Times New Roman"/>
          <w:sz w:val="24"/>
          <w:lang w:val="ro-RO"/>
        </w:rPr>
        <w:t xml:space="preserve"> nivelurilor optime</w:t>
      </w:r>
      <w:r w:rsidR="00321CD5" w:rsidRPr="009C5F11">
        <w:rPr>
          <w:rFonts w:ascii="Times New Roman" w:hAnsi="Times New Roman" w:cs="Times New Roman"/>
          <w:sz w:val="24"/>
          <w:lang w:val="ro-RO"/>
        </w:rPr>
        <w:t xml:space="preserve"> </w:t>
      </w:r>
      <w:r w:rsidR="00AF065C" w:rsidRPr="009C5F11">
        <w:rPr>
          <w:rFonts w:ascii="Times New Roman" w:hAnsi="Times New Roman" w:cs="Times New Roman"/>
          <w:sz w:val="24"/>
          <w:lang w:val="ro-RO"/>
        </w:rPr>
        <w:t>din punctul de vedere al</w:t>
      </w:r>
      <w:r w:rsidR="005E7974" w:rsidRPr="009C5F11">
        <w:rPr>
          <w:rFonts w:ascii="Times New Roman" w:hAnsi="Times New Roman" w:cs="Times New Roman"/>
          <w:sz w:val="24"/>
          <w:lang w:val="ro-RO"/>
        </w:rPr>
        <w:t xml:space="preserve"> costuri</w:t>
      </w:r>
      <w:r w:rsidR="00AF065C" w:rsidRPr="009C5F11">
        <w:rPr>
          <w:rFonts w:ascii="Times New Roman" w:hAnsi="Times New Roman" w:cs="Times New Roman"/>
          <w:sz w:val="24"/>
          <w:lang w:val="ro-RO"/>
        </w:rPr>
        <w:t>lor</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cerinţele minime</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p</w:t>
      </w:r>
      <w:r w:rsidR="00AF065C" w:rsidRPr="009C5F11">
        <w:rPr>
          <w:rFonts w:ascii="Times New Roman" w:hAnsi="Times New Roman" w:cs="Times New Roman"/>
          <w:sz w:val="24"/>
          <w:lang w:val="ro-RO"/>
        </w:rPr>
        <w:t>entru</w:t>
      </w:r>
      <w:r w:rsidR="002733CB" w:rsidRPr="009C5F11">
        <w:rPr>
          <w:rFonts w:ascii="Times New Roman" w:hAnsi="Times New Roman" w:cs="Times New Roman"/>
          <w:sz w:val="24"/>
          <w:lang w:val="ro-RO"/>
        </w:rPr>
        <w:t xml:space="preserve"> </w:t>
      </w:r>
      <w:r w:rsidR="004424A0" w:rsidRPr="009C5F11">
        <w:rPr>
          <w:rFonts w:ascii="Times New Roman" w:hAnsi="Times New Roman" w:cs="Times New Roman"/>
          <w:sz w:val="24"/>
          <w:lang w:val="ro-RO"/>
        </w:rPr>
        <w:t>performanţ</w:t>
      </w:r>
      <w:r w:rsidR="005E7974" w:rsidRPr="009C5F11">
        <w:rPr>
          <w:rFonts w:ascii="Times New Roman" w:hAnsi="Times New Roman" w:cs="Times New Roman"/>
          <w:sz w:val="24"/>
          <w:lang w:val="ro-RO"/>
        </w:rPr>
        <w:t>a</w:t>
      </w:r>
      <w:r w:rsidR="004424A0" w:rsidRPr="009C5F11">
        <w:rPr>
          <w:rFonts w:ascii="Times New Roman" w:hAnsi="Times New Roman" w:cs="Times New Roman"/>
          <w:sz w:val="24"/>
          <w:lang w:val="ro-RO"/>
        </w:rPr>
        <w:t xml:space="preserve"> energetic</w:t>
      </w:r>
      <w:r w:rsidR="005E7974" w:rsidRPr="009C5F11">
        <w:rPr>
          <w:rFonts w:ascii="Times New Roman" w:hAnsi="Times New Roman" w:cs="Times New Roman"/>
          <w:sz w:val="24"/>
          <w:lang w:val="ro-RO"/>
        </w:rPr>
        <w:t>ă</w:t>
      </w:r>
      <w:r w:rsidR="004424A0" w:rsidRPr="009C5F11">
        <w:rPr>
          <w:rFonts w:ascii="Times New Roman" w:hAnsi="Times New Roman" w:cs="Times New Roman"/>
          <w:sz w:val="24"/>
          <w:lang w:val="ro-RO"/>
        </w:rPr>
        <w:t xml:space="preserve"> a clădirilor</w:t>
      </w:r>
      <w:r w:rsidR="00321CD5" w:rsidRPr="009C5F11">
        <w:rPr>
          <w:rFonts w:ascii="Times New Roman" w:hAnsi="Times New Roman" w:cs="Times New Roman"/>
          <w:sz w:val="24"/>
          <w:lang w:val="ro-RO"/>
        </w:rPr>
        <w:t xml:space="preserve"> şi </w:t>
      </w:r>
      <w:r w:rsidR="005E7974" w:rsidRPr="009C5F11">
        <w:rPr>
          <w:rFonts w:ascii="Times New Roman" w:hAnsi="Times New Roman" w:cs="Times New Roman"/>
          <w:sz w:val="24"/>
          <w:lang w:val="ro-RO"/>
        </w:rPr>
        <w:t>a componentelor acestora</w:t>
      </w:r>
      <w:r w:rsidR="00845BBB" w:rsidRPr="009C5F11">
        <w:rPr>
          <w:rFonts w:ascii="Times New Roman" w:hAnsi="Times New Roman" w:cs="Times New Roman"/>
          <w:sz w:val="24"/>
          <w:lang w:val="ro-RO"/>
        </w:rPr>
        <w:t>;</w:t>
      </w:r>
    </w:p>
    <w:p w14:paraId="69BBF19B" w14:textId="77777777" w:rsidR="002733CB" w:rsidRPr="009C5F11" w:rsidRDefault="00B40A7C"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b/>
          <w:sz w:val="24"/>
          <w:lang w:val="ro-RO"/>
        </w:rPr>
        <w:lastRenderedPageBreak/>
        <w:t>Sectorul r</w:t>
      </w:r>
      <w:r w:rsidR="0079253D" w:rsidRPr="009C5F11">
        <w:rPr>
          <w:rFonts w:ascii="Times New Roman" w:hAnsi="Times New Roman" w:cs="Times New Roman"/>
          <w:b/>
          <w:sz w:val="24"/>
          <w:lang w:val="ro-RO"/>
        </w:rPr>
        <w:t>ezidenţial</w:t>
      </w:r>
      <w:r w:rsidR="002733CB" w:rsidRPr="009C5F11">
        <w:rPr>
          <w:rFonts w:ascii="Times New Roman" w:hAnsi="Times New Roman" w:cs="Times New Roman"/>
          <w:b/>
          <w:sz w:val="24"/>
          <w:lang w:val="ro-RO"/>
        </w:rPr>
        <w:t>:</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Cadrul juridic/</w:t>
      </w:r>
      <w:r w:rsidR="00146D3A" w:rsidRPr="009C5F11">
        <w:rPr>
          <w:rFonts w:ascii="Times New Roman" w:hAnsi="Times New Roman" w:cs="Times New Roman"/>
          <w:sz w:val="24"/>
          <w:lang w:val="ro-RO"/>
        </w:rPr>
        <w:t>regulatoriu pentru</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sectorul rezidenţial</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 xml:space="preserve">care ar putea contribui la obţinerea unor </w:t>
      </w:r>
      <w:r w:rsidR="00C639BC" w:rsidRPr="009C5F11">
        <w:rPr>
          <w:rFonts w:ascii="Times New Roman" w:hAnsi="Times New Roman" w:cs="Times New Roman"/>
          <w:sz w:val="24"/>
          <w:lang w:val="ro-RO"/>
        </w:rPr>
        <w:t>economii</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 xml:space="preserve">relevante este în curs de elaborare. Prin urmare, nu au fost realizate acţiuni asociate cu </w:t>
      </w:r>
      <w:r w:rsidR="00C639BC" w:rsidRPr="009C5F11">
        <w:rPr>
          <w:rFonts w:ascii="Times New Roman" w:hAnsi="Times New Roman" w:cs="Times New Roman"/>
          <w:sz w:val="24"/>
          <w:lang w:val="ro-RO"/>
        </w:rPr>
        <w:t>economii</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reale. Nu a fost pus în aplicare un regulament privind proiectarea ecologică</w:t>
      </w:r>
      <w:r w:rsidR="002733CB" w:rsidRPr="009C5F11">
        <w:rPr>
          <w:rFonts w:ascii="Times New Roman" w:hAnsi="Times New Roman" w:cs="Times New Roman"/>
          <w:sz w:val="24"/>
          <w:lang w:val="ro-RO"/>
        </w:rPr>
        <w:t>.</w:t>
      </w:r>
    </w:p>
    <w:p w14:paraId="6A30A6D7" w14:textId="77777777" w:rsidR="002733CB" w:rsidRPr="009C5F11" w:rsidRDefault="00B40A7C"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b/>
          <w:sz w:val="24"/>
          <w:lang w:val="ro-RO"/>
        </w:rPr>
        <w:t>Sectorul p</w:t>
      </w:r>
      <w:r w:rsidR="002733CB" w:rsidRPr="009C5F11">
        <w:rPr>
          <w:rFonts w:ascii="Times New Roman" w:hAnsi="Times New Roman" w:cs="Times New Roman"/>
          <w:b/>
          <w:sz w:val="24"/>
          <w:lang w:val="ro-RO"/>
        </w:rPr>
        <w:t>ublic</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În procesul de întocmire a primului</w:t>
      </w:r>
      <w:r w:rsidR="002733CB" w:rsidRPr="009C5F11">
        <w:rPr>
          <w:rFonts w:ascii="Times New Roman" w:hAnsi="Times New Roman" w:cs="Times New Roman"/>
          <w:sz w:val="24"/>
          <w:lang w:val="ro-RO"/>
        </w:rPr>
        <w:t xml:space="preserve"> </w:t>
      </w:r>
      <w:r w:rsidR="00872DC2"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2013-2015 </w:t>
      </w:r>
      <w:r w:rsidR="00EB460D" w:rsidRPr="009C5F11">
        <w:rPr>
          <w:rFonts w:ascii="Times New Roman" w:hAnsi="Times New Roman" w:cs="Times New Roman"/>
          <w:sz w:val="24"/>
          <w:lang w:val="ro-RO"/>
        </w:rPr>
        <w:t>nu s-a ţinut cont de îmbunătăţirile potenţiale</w:t>
      </w:r>
      <w:r w:rsidR="00321CD5"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 xml:space="preserve">din </w:t>
      </w:r>
      <w:r w:rsidR="00F43616" w:rsidRPr="009C5F11">
        <w:rPr>
          <w:rFonts w:ascii="Times New Roman" w:hAnsi="Times New Roman" w:cs="Times New Roman"/>
          <w:sz w:val="24"/>
          <w:lang w:val="ro-RO"/>
        </w:rPr>
        <w:t xml:space="preserve">infrastructura </w:t>
      </w:r>
      <w:r w:rsidR="00AF065C" w:rsidRPr="009C5F11">
        <w:rPr>
          <w:rFonts w:ascii="Times New Roman" w:hAnsi="Times New Roman" w:cs="Times New Roman"/>
          <w:sz w:val="24"/>
          <w:lang w:val="ro-RO"/>
        </w:rPr>
        <w:t xml:space="preserve">pentru </w:t>
      </w:r>
      <w:r w:rsidR="00845BBB" w:rsidRPr="009C5F11">
        <w:rPr>
          <w:rFonts w:ascii="Times New Roman" w:hAnsi="Times New Roman" w:cs="Times New Roman"/>
          <w:sz w:val="24"/>
          <w:lang w:val="ro-RO"/>
        </w:rPr>
        <w:t>ap</w:t>
      </w:r>
      <w:r w:rsidR="00AF065C" w:rsidRPr="009C5F11">
        <w:rPr>
          <w:rFonts w:ascii="Times New Roman" w:hAnsi="Times New Roman" w:cs="Times New Roman"/>
          <w:sz w:val="24"/>
          <w:lang w:val="ro-RO"/>
        </w:rPr>
        <w:t>a</w:t>
      </w:r>
      <w:r w:rsidR="00321CD5" w:rsidRPr="009C5F11">
        <w:rPr>
          <w:rFonts w:ascii="Times New Roman" w:hAnsi="Times New Roman" w:cs="Times New Roman"/>
          <w:sz w:val="24"/>
          <w:lang w:val="ro-RO"/>
        </w:rPr>
        <w:t xml:space="preserve"> şi </w:t>
      </w:r>
      <w:r w:rsidR="00EB460D" w:rsidRPr="009C5F11">
        <w:rPr>
          <w:rFonts w:ascii="Times New Roman" w:hAnsi="Times New Roman" w:cs="Times New Roman"/>
          <w:sz w:val="24"/>
          <w:lang w:val="ro-RO"/>
        </w:rPr>
        <w:t>iluminatul stradal</w:t>
      </w:r>
      <w:r w:rsidR="002733CB" w:rsidRPr="009C5F11">
        <w:rPr>
          <w:rFonts w:ascii="Times New Roman" w:hAnsi="Times New Roman" w:cs="Times New Roman"/>
          <w:sz w:val="24"/>
          <w:lang w:val="ro-RO"/>
        </w:rPr>
        <w:t xml:space="preserve">. </w:t>
      </w:r>
      <w:r w:rsidR="00360BED" w:rsidRPr="009C5F11">
        <w:rPr>
          <w:rFonts w:ascii="Times New Roman" w:hAnsi="Times New Roman" w:cs="Times New Roman"/>
          <w:sz w:val="24"/>
          <w:lang w:val="ro-RO"/>
        </w:rPr>
        <w:t xml:space="preserve">Pe parcursul </w:t>
      </w:r>
      <w:r w:rsidR="00C87887" w:rsidRPr="009C5F11">
        <w:rPr>
          <w:rFonts w:ascii="Times New Roman" w:hAnsi="Times New Roman" w:cs="Times New Roman"/>
          <w:sz w:val="24"/>
          <w:lang w:val="ro-RO"/>
        </w:rPr>
        <w:t xml:space="preserve">primei </w:t>
      </w:r>
      <w:r w:rsidR="00EB460D" w:rsidRPr="009C5F11">
        <w:rPr>
          <w:rFonts w:ascii="Times New Roman" w:hAnsi="Times New Roman" w:cs="Times New Roman"/>
          <w:sz w:val="24"/>
          <w:lang w:val="ro-RO"/>
        </w:rPr>
        <w:t>perioade  câteva</w:t>
      </w:r>
      <w:r w:rsidR="002733CB"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proiecte</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 xml:space="preserve">de iniţiativă realizate </w:t>
      </w:r>
      <w:r w:rsidR="00321CD5" w:rsidRPr="009C5F11">
        <w:rPr>
          <w:rFonts w:ascii="Times New Roman" w:hAnsi="Times New Roman" w:cs="Times New Roman"/>
          <w:sz w:val="24"/>
          <w:lang w:val="ro-RO"/>
        </w:rPr>
        <w:t xml:space="preserve">în </w:t>
      </w:r>
      <w:r w:rsidR="00EB460D" w:rsidRPr="009C5F11">
        <w:rPr>
          <w:rFonts w:ascii="Times New Roman" w:hAnsi="Times New Roman" w:cs="Times New Roman"/>
          <w:sz w:val="24"/>
          <w:lang w:val="ro-RO"/>
        </w:rPr>
        <w:t>domeniul vizat au</w:t>
      </w:r>
      <w:r w:rsidR="002733CB" w:rsidRPr="009C5F11">
        <w:rPr>
          <w:rFonts w:ascii="Times New Roman" w:hAnsi="Times New Roman" w:cs="Times New Roman"/>
          <w:sz w:val="24"/>
          <w:lang w:val="ro-RO"/>
        </w:rPr>
        <w:t xml:space="preserve"> demonstrat</w:t>
      </w:r>
      <w:r w:rsidR="00EB460D" w:rsidRPr="009C5F11">
        <w:rPr>
          <w:rFonts w:ascii="Times New Roman" w:hAnsi="Times New Roman" w:cs="Times New Roman"/>
          <w:sz w:val="24"/>
          <w:lang w:val="ro-RO"/>
        </w:rPr>
        <w:t xml:space="preserve"> un raport </w:t>
      </w:r>
      <w:r w:rsidR="002733CB" w:rsidRPr="009C5F11">
        <w:rPr>
          <w:rFonts w:ascii="Times New Roman" w:hAnsi="Times New Roman" w:cs="Times New Roman"/>
          <w:sz w:val="24"/>
          <w:lang w:val="ro-RO"/>
        </w:rPr>
        <w:t>cost</w:t>
      </w:r>
      <w:r w:rsidR="00EB460D" w:rsidRPr="009C5F11">
        <w:rPr>
          <w:rFonts w:ascii="Times New Roman" w:hAnsi="Times New Roman" w:cs="Times New Roman"/>
          <w:sz w:val="24"/>
          <w:lang w:val="ro-RO"/>
        </w:rPr>
        <w:t>/</w:t>
      </w:r>
      <w:r w:rsidR="002733CB" w:rsidRPr="009C5F11">
        <w:rPr>
          <w:rFonts w:ascii="Times New Roman" w:hAnsi="Times New Roman" w:cs="Times New Roman"/>
          <w:sz w:val="24"/>
          <w:lang w:val="ro-RO"/>
        </w:rPr>
        <w:t>eficien</w:t>
      </w:r>
      <w:r w:rsidR="00EB460D" w:rsidRPr="009C5F11">
        <w:rPr>
          <w:rFonts w:ascii="Times New Roman" w:hAnsi="Times New Roman" w:cs="Times New Roman"/>
          <w:sz w:val="24"/>
          <w:lang w:val="ro-RO"/>
        </w:rPr>
        <w:t>ţă</w:t>
      </w:r>
      <w:r w:rsidR="00321CD5"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 xml:space="preserve">atractiv </w:t>
      </w:r>
      <w:r w:rsidR="00321CD5" w:rsidRPr="009C5F11">
        <w:rPr>
          <w:rFonts w:ascii="Times New Roman" w:hAnsi="Times New Roman" w:cs="Times New Roman"/>
          <w:sz w:val="24"/>
          <w:lang w:val="ro-RO"/>
        </w:rPr>
        <w:t xml:space="preserve">şi </w:t>
      </w:r>
      <w:r w:rsidR="00EB460D" w:rsidRPr="009C5F11">
        <w:rPr>
          <w:rFonts w:ascii="Times New Roman" w:hAnsi="Times New Roman" w:cs="Times New Roman"/>
          <w:sz w:val="24"/>
          <w:lang w:val="ro-RO"/>
        </w:rPr>
        <w:t xml:space="preserve">un potenţial </w:t>
      </w:r>
      <w:r w:rsidR="002733CB" w:rsidRPr="009C5F11">
        <w:rPr>
          <w:rFonts w:ascii="Times New Roman" w:hAnsi="Times New Roman" w:cs="Times New Roman"/>
          <w:sz w:val="24"/>
          <w:lang w:val="ro-RO"/>
        </w:rPr>
        <w:t>considerab</w:t>
      </w:r>
      <w:r w:rsidR="00EB460D" w:rsidRPr="009C5F11">
        <w:rPr>
          <w:rFonts w:ascii="Times New Roman" w:hAnsi="Times New Roman" w:cs="Times New Roman"/>
          <w:sz w:val="24"/>
          <w:lang w:val="ro-RO"/>
        </w:rPr>
        <w:t>i</w:t>
      </w:r>
      <w:r w:rsidR="002733CB" w:rsidRPr="009C5F11">
        <w:rPr>
          <w:rFonts w:ascii="Times New Roman" w:hAnsi="Times New Roman" w:cs="Times New Roman"/>
          <w:sz w:val="24"/>
          <w:lang w:val="ro-RO"/>
        </w:rPr>
        <w:t xml:space="preserve">l </w:t>
      </w:r>
      <w:r w:rsidR="00EB460D" w:rsidRPr="009C5F11">
        <w:rPr>
          <w:rFonts w:ascii="Times New Roman" w:hAnsi="Times New Roman" w:cs="Times New Roman"/>
          <w:sz w:val="24"/>
          <w:lang w:val="ro-RO"/>
        </w:rPr>
        <w:t>al acestor</w:t>
      </w:r>
      <w:r w:rsidR="002733CB"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00321CD5" w:rsidRPr="009C5F11">
        <w:rPr>
          <w:rFonts w:ascii="Times New Roman" w:hAnsi="Times New Roman" w:cs="Times New Roman"/>
          <w:sz w:val="24"/>
          <w:lang w:val="ro-RO"/>
        </w:rPr>
        <w:t xml:space="preserve"> </w:t>
      </w:r>
      <w:r w:rsidR="00223DAC" w:rsidRPr="009C5F11">
        <w:rPr>
          <w:rFonts w:ascii="Times New Roman" w:hAnsi="Times New Roman" w:cs="Times New Roman"/>
          <w:sz w:val="24"/>
          <w:lang w:val="ro-RO"/>
        </w:rPr>
        <w:t>în Republica Moldova</w:t>
      </w:r>
      <w:r w:rsidR="00845BBB" w:rsidRPr="009C5F11">
        <w:rPr>
          <w:rFonts w:ascii="Times New Roman" w:hAnsi="Times New Roman" w:cs="Times New Roman"/>
          <w:sz w:val="24"/>
          <w:lang w:val="ro-RO"/>
        </w:rPr>
        <w:t>;</w:t>
      </w:r>
    </w:p>
    <w:p w14:paraId="677D76A5" w14:textId="48455C9E" w:rsidR="002733CB" w:rsidRPr="009C5F11" w:rsidRDefault="00B40A7C" w:rsidP="00334F3B">
      <w:pPr>
        <w:pStyle w:val="Listparagraf"/>
        <w:numPr>
          <w:ilvl w:val="0"/>
          <w:numId w:val="168"/>
        </w:numPr>
        <w:spacing w:before="120" w:after="120" w:line="240" w:lineRule="auto"/>
        <w:ind w:left="1170" w:hanging="450"/>
        <w:contextualSpacing w:val="0"/>
        <w:jc w:val="both"/>
        <w:rPr>
          <w:rFonts w:ascii="Times New Roman" w:hAnsi="Times New Roman" w:cs="Times New Roman"/>
          <w:sz w:val="24"/>
          <w:lang w:val="ro-RO"/>
        </w:rPr>
      </w:pPr>
      <w:r w:rsidRPr="009C5F11">
        <w:rPr>
          <w:rFonts w:ascii="Times New Roman" w:hAnsi="Times New Roman" w:cs="Times New Roman"/>
          <w:b/>
          <w:sz w:val="24"/>
          <w:lang w:val="ro-RO"/>
        </w:rPr>
        <w:t>Sectorul i</w:t>
      </w:r>
      <w:r w:rsidR="0079253D" w:rsidRPr="009C5F11">
        <w:rPr>
          <w:rFonts w:ascii="Times New Roman" w:hAnsi="Times New Roman" w:cs="Times New Roman"/>
          <w:b/>
          <w:sz w:val="24"/>
          <w:lang w:val="ro-RO"/>
        </w:rPr>
        <w:t>ndustrie</w:t>
      </w:r>
      <w:r w:rsidR="002733CB" w:rsidRPr="009C5F11">
        <w:rPr>
          <w:rFonts w:ascii="Times New Roman" w:hAnsi="Times New Roman" w:cs="Times New Roman"/>
          <w:b/>
          <w:sz w:val="24"/>
          <w:lang w:val="ro-RO"/>
        </w:rPr>
        <w:t xml:space="preserve">: </w:t>
      </w:r>
      <w:r w:rsidR="005E7974" w:rsidRPr="009C5F11">
        <w:rPr>
          <w:rFonts w:ascii="Times New Roman" w:hAnsi="Times New Roman" w:cs="Times New Roman"/>
          <w:sz w:val="24"/>
          <w:lang w:val="ro-RO"/>
        </w:rPr>
        <w:t>Dimensiun</w:t>
      </w:r>
      <w:r w:rsidR="00C87887" w:rsidRPr="009C5F11">
        <w:rPr>
          <w:rFonts w:ascii="Times New Roman" w:hAnsi="Times New Roman" w:cs="Times New Roman"/>
          <w:sz w:val="24"/>
          <w:lang w:val="ro-RO"/>
        </w:rPr>
        <w:t>ea</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sectorului industrial</w:t>
      </w:r>
      <w:r w:rsidR="00321CD5" w:rsidRPr="009C5F11">
        <w:rPr>
          <w:rFonts w:ascii="Times New Roman" w:hAnsi="Times New Roman" w:cs="Times New Roman"/>
          <w:sz w:val="24"/>
          <w:lang w:val="ro-RO"/>
        </w:rPr>
        <w:t xml:space="preserve"> </w:t>
      </w:r>
      <w:r w:rsidR="00C87887" w:rsidRPr="009C5F11">
        <w:rPr>
          <w:rFonts w:ascii="Times New Roman" w:hAnsi="Times New Roman" w:cs="Times New Roman"/>
          <w:sz w:val="24"/>
          <w:lang w:val="ro-RO"/>
        </w:rPr>
        <w:t>î</w:t>
      </w:r>
      <w:r w:rsidR="00223DAC" w:rsidRPr="009C5F11">
        <w:rPr>
          <w:rFonts w:ascii="Times New Roman" w:hAnsi="Times New Roman" w:cs="Times New Roman"/>
          <w:sz w:val="24"/>
          <w:lang w:val="ro-RO"/>
        </w:rPr>
        <w:t>n Republica Moldova</w:t>
      </w:r>
      <w:r w:rsidR="002733CB" w:rsidRPr="009C5F11">
        <w:rPr>
          <w:rFonts w:ascii="Times New Roman" w:hAnsi="Times New Roman" w:cs="Times New Roman"/>
          <w:sz w:val="24"/>
          <w:lang w:val="ro-RO"/>
        </w:rPr>
        <w:t xml:space="preserve"> </w:t>
      </w:r>
      <w:r w:rsidR="00C87887" w:rsidRPr="009C5F11">
        <w:rPr>
          <w:rFonts w:ascii="Times New Roman" w:hAnsi="Times New Roman" w:cs="Times New Roman"/>
          <w:sz w:val="24"/>
          <w:lang w:val="ro-RO"/>
        </w:rPr>
        <w:t>este</w:t>
      </w:r>
      <w:r w:rsidR="005E7974" w:rsidRPr="009C5F11">
        <w:rPr>
          <w:rFonts w:ascii="Times New Roman" w:hAnsi="Times New Roman" w:cs="Times New Roman"/>
          <w:sz w:val="24"/>
          <w:lang w:val="ro-RO"/>
        </w:rPr>
        <w:t xml:space="preserve"> limitat</w:t>
      </w:r>
      <w:r w:rsidR="00C87887" w:rsidRPr="009C5F11">
        <w:rPr>
          <w:rFonts w:ascii="Times New Roman" w:hAnsi="Times New Roman" w:cs="Times New Roman"/>
          <w:sz w:val="24"/>
          <w:lang w:val="ro-RO"/>
        </w:rPr>
        <w:t>ă</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Prin urmare</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 xml:space="preserve">chiar dacă presupunem că fondurile necesare </w:t>
      </w:r>
      <w:r w:rsidR="002733CB" w:rsidRPr="009C5F11">
        <w:rPr>
          <w:rFonts w:ascii="Times New Roman" w:hAnsi="Times New Roman" w:cs="Times New Roman"/>
          <w:sz w:val="24"/>
          <w:lang w:val="ro-RO"/>
        </w:rPr>
        <w:t>(</w:t>
      </w:r>
      <w:r w:rsidR="00EB460D" w:rsidRPr="009C5F11">
        <w:rPr>
          <w:rFonts w:ascii="Times New Roman" w:hAnsi="Times New Roman" w:cs="Times New Roman"/>
          <w:sz w:val="24"/>
          <w:lang w:val="ro-RO"/>
        </w:rPr>
        <w:t>sub formă de</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granturi</w:t>
      </w:r>
      <w:r w:rsidR="00321CD5" w:rsidRPr="009C5F11">
        <w:rPr>
          <w:rFonts w:ascii="Times New Roman" w:hAnsi="Times New Roman" w:cs="Times New Roman"/>
          <w:sz w:val="24"/>
          <w:lang w:val="ro-RO"/>
        </w:rPr>
        <w:t xml:space="preserve"> şi </w:t>
      </w:r>
      <w:r w:rsidR="00EB460D" w:rsidRPr="009C5F11">
        <w:rPr>
          <w:rFonts w:ascii="Times New Roman" w:hAnsi="Times New Roman" w:cs="Times New Roman"/>
          <w:sz w:val="24"/>
          <w:lang w:val="ro-RO"/>
        </w:rPr>
        <w:t>împrumuturi preferenţiale</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sunt disponibile</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 xml:space="preserve">potenţialul </w:t>
      </w:r>
      <w:r w:rsidR="00C87887" w:rsidRPr="009C5F11">
        <w:rPr>
          <w:rFonts w:ascii="Times New Roman" w:hAnsi="Times New Roman" w:cs="Times New Roman"/>
          <w:sz w:val="24"/>
          <w:lang w:val="ro-RO"/>
        </w:rPr>
        <w:t xml:space="preserve">încă </w:t>
      </w:r>
      <w:r w:rsidR="00EB460D" w:rsidRPr="009C5F11">
        <w:rPr>
          <w:rFonts w:ascii="Times New Roman" w:hAnsi="Times New Roman" w:cs="Times New Roman"/>
          <w:sz w:val="24"/>
          <w:lang w:val="ro-RO"/>
        </w:rPr>
        <w:t xml:space="preserve">neexploatat </w:t>
      </w:r>
      <w:r w:rsidR="00C87887" w:rsidRPr="009C5F11">
        <w:rPr>
          <w:rFonts w:ascii="Times New Roman" w:hAnsi="Times New Roman" w:cs="Times New Roman"/>
          <w:sz w:val="24"/>
          <w:lang w:val="ro-RO"/>
        </w:rPr>
        <w:t>de</w:t>
      </w:r>
      <w:r w:rsidR="002733CB" w:rsidRPr="009C5F11">
        <w:rPr>
          <w:rFonts w:ascii="Times New Roman" w:hAnsi="Times New Roman" w:cs="Times New Roman"/>
          <w:sz w:val="24"/>
          <w:lang w:val="ro-RO"/>
        </w:rPr>
        <w:t xml:space="preserve"> </w:t>
      </w:r>
      <w:r w:rsidR="004424A0" w:rsidRPr="009C5F11">
        <w:rPr>
          <w:rFonts w:ascii="Times New Roman" w:hAnsi="Times New Roman" w:cs="Times New Roman"/>
          <w:sz w:val="24"/>
          <w:lang w:val="ro-RO"/>
        </w:rPr>
        <w:t>economi</w:t>
      </w:r>
      <w:r w:rsidR="00C87887" w:rsidRPr="009C5F11">
        <w:rPr>
          <w:rFonts w:ascii="Times New Roman" w:hAnsi="Times New Roman" w:cs="Times New Roman"/>
          <w:sz w:val="24"/>
          <w:lang w:val="ro-RO"/>
        </w:rPr>
        <w:t>sire</w:t>
      </w:r>
      <w:r w:rsidR="004424A0" w:rsidRPr="009C5F11">
        <w:rPr>
          <w:rFonts w:ascii="Times New Roman" w:hAnsi="Times New Roman" w:cs="Times New Roman"/>
          <w:sz w:val="24"/>
          <w:lang w:val="ro-RO"/>
        </w:rPr>
        <w:t xml:space="preserve"> </w:t>
      </w:r>
      <w:r w:rsidR="00C87887" w:rsidRPr="009C5F11">
        <w:rPr>
          <w:rFonts w:ascii="Times New Roman" w:hAnsi="Times New Roman" w:cs="Times New Roman"/>
          <w:sz w:val="24"/>
          <w:lang w:val="ro-RO"/>
        </w:rPr>
        <w:t>a</w:t>
      </w:r>
      <w:r w:rsidR="004424A0" w:rsidRPr="009C5F11">
        <w:rPr>
          <w:rFonts w:ascii="Times New Roman" w:hAnsi="Times New Roman" w:cs="Times New Roman"/>
          <w:sz w:val="24"/>
          <w:lang w:val="ro-RO"/>
        </w:rPr>
        <w:t xml:space="preserve"> energie</w:t>
      </w:r>
      <w:r w:rsidR="00C87887" w:rsidRPr="009C5F11">
        <w:rPr>
          <w:rFonts w:ascii="Times New Roman" w:hAnsi="Times New Roman" w:cs="Times New Roman"/>
          <w:sz w:val="24"/>
          <w:lang w:val="ro-RO"/>
        </w:rPr>
        <w:t>i</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este limitat</w:t>
      </w:r>
      <w:r w:rsidR="00321CD5" w:rsidRPr="009C5F11">
        <w:rPr>
          <w:rFonts w:ascii="Times New Roman" w:hAnsi="Times New Roman" w:cs="Times New Roman"/>
          <w:sz w:val="24"/>
          <w:lang w:val="ro-RO"/>
        </w:rPr>
        <w:t xml:space="preserve"> şi </w:t>
      </w:r>
      <w:r w:rsidR="00C87887" w:rsidRPr="009C5F11">
        <w:rPr>
          <w:rFonts w:ascii="Times New Roman" w:hAnsi="Times New Roman" w:cs="Times New Roman"/>
          <w:sz w:val="24"/>
          <w:lang w:val="ro-RO"/>
        </w:rPr>
        <w:t xml:space="preserve">cel </w:t>
      </w:r>
      <w:r w:rsidR="00EB460D" w:rsidRPr="009C5F11">
        <w:rPr>
          <w:rFonts w:ascii="Times New Roman" w:hAnsi="Times New Roman" w:cs="Times New Roman"/>
          <w:sz w:val="24"/>
          <w:lang w:val="ro-RO"/>
        </w:rPr>
        <w:t>mai probabil nu va atinge obiectivul sectorial calculat iniţial</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Acesta este unul dintre motivele care au impus Republic</w:t>
      </w:r>
      <w:r w:rsidR="00C87887" w:rsidRPr="009C5F11">
        <w:rPr>
          <w:rFonts w:ascii="Times New Roman" w:hAnsi="Times New Roman" w:cs="Times New Roman"/>
          <w:sz w:val="24"/>
          <w:lang w:val="ro-RO"/>
        </w:rPr>
        <w:t>ii</w:t>
      </w:r>
      <w:r w:rsidR="002733CB" w:rsidRPr="009C5F11">
        <w:rPr>
          <w:rFonts w:ascii="Times New Roman" w:hAnsi="Times New Roman" w:cs="Times New Roman"/>
          <w:sz w:val="24"/>
          <w:lang w:val="ro-RO"/>
        </w:rPr>
        <w:t xml:space="preserve"> Moldova </w:t>
      </w:r>
      <w:r w:rsidR="00EB460D" w:rsidRPr="009C5F11">
        <w:rPr>
          <w:rFonts w:ascii="Times New Roman" w:hAnsi="Times New Roman" w:cs="Times New Roman"/>
          <w:sz w:val="24"/>
          <w:lang w:val="ro-RO"/>
        </w:rPr>
        <w:t>să</w:t>
      </w:r>
      <w:r w:rsidR="002733CB" w:rsidRPr="009C5F11">
        <w:rPr>
          <w:rFonts w:ascii="Times New Roman" w:hAnsi="Times New Roman" w:cs="Times New Roman"/>
          <w:sz w:val="24"/>
          <w:lang w:val="ro-RO"/>
        </w:rPr>
        <w:t xml:space="preserve"> realoce </w:t>
      </w:r>
      <w:r w:rsidR="00EB460D" w:rsidRPr="009C5F11">
        <w:rPr>
          <w:rFonts w:ascii="Times New Roman" w:hAnsi="Times New Roman" w:cs="Times New Roman"/>
          <w:sz w:val="24"/>
          <w:lang w:val="ro-RO"/>
        </w:rPr>
        <w:t>obiectivele sectoriale</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ajustându-le în funcţie de circumstanţele interne</w:t>
      </w:r>
      <w:r w:rsidR="002733CB"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rezulta</w:t>
      </w:r>
      <w:r w:rsidR="00EB460D" w:rsidRPr="009C5F11">
        <w:rPr>
          <w:rFonts w:ascii="Times New Roman" w:hAnsi="Times New Roman" w:cs="Times New Roman"/>
          <w:sz w:val="24"/>
          <w:lang w:val="ro-RO"/>
        </w:rPr>
        <w:t>n</w:t>
      </w:r>
      <w:r w:rsidR="00E10BE5" w:rsidRPr="009C5F11">
        <w:rPr>
          <w:rFonts w:ascii="Times New Roman" w:hAnsi="Times New Roman" w:cs="Times New Roman"/>
          <w:sz w:val="24"/>
          <w:lang w:val="ro-RO"/>
        </w:rPr>
        <w:t>te</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din</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 xml:space="preserve">evaluarea </w:t>
      </w:r>
      <w:r w:rsidR="00D4035F"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2013-2015 </w:t>
      </w:r>
      <w:r w:rsidR="00321CD5" w:rsidRPr="009C5F11">
        <w:rPr>
          <w:rFonts w:ascii="Times New Roman" w:hAnsi="Times New Roman" w:cs="Times New Roman"/>
          <w:sz w:val="24"/>
          <w:lang w:val="ro-RO"/>
        </w:rPr>
        <w:t xml:space="preserve">şi </w:t>
      </w:r>
      <w:r w:rsidR="00EB460D" w:rsidRPr="009C5F11">
        <w:rPr>
          <w:rFonts w:ascii="Times New Roman" w:hAnsi="Times New Roman" w:cs="Times New Roman"/>
          <w:sz w:val="24"/>
          <w:lang w:val="ro-RO"/>
        </w:rPr>
        <w:t>potenţialul neexploatat de eficienţă energetică din sector</w:t>
      </w:r>
      <w:r w:rsidR="0058517B" w:rsidRPr="009C5F11">
        <w:rPr>
          <w:rFonts w:ascii="Times New Roman" w:hAnsi="Times New Roman" w:cs="Times New Roman"/>
          <w:sz w:val="24"/>
          <w:lang w:val="ro-RO"/>
        </w:rPr>
        <w:t xml:space="preserve"> </w:t>
      </w:r>
      <w:r w:rsidR="00AF77EE" w:rsidRPr="009C5F11">
        <w:rPr>
          <w:rFonts w:ascii="Times New Roman" w:hAnsi="Times New Roman" w:cs="Times New Roman"/>
          <w:sz w:val="24"/>
          <w:lang w:val="ro-RO"/>
        </w:rPr>
        <w:t>(a se vedea</w:t>
      </w:r>
      <w:r w:rsidR="0058517B"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58517B" w:rsidRPr="009C5F11">
        <w:rPr>
          <w:rFonts w:ascii="Times New Roman" w:hAnsi="Times New Roman" w:cs="Times New Roman"/>
          <w:sz w:val="24"/>
          <w:lang w:val="ro-RO"/>
        </w:rPr>
        <w:instrText xml:space="preserve"> REF _Ref319801512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 xml:space="preserve">Tabelul </w:t>
      </w:r>
      <w:r w:rsidR="0014013D" w:rsidRPr="0014013D">
        <w:rPr>
          <w:rFonts w:ascii="Times New Roman" w:hAnsi="Times New Roman" w:cs="Times New Roman"/>
          <w:noProof/>
          <w:sz w:val="24"/>
          <w:lang w:val="ro-RO"/>
        </w:rPr>
        <w:t>2</w:t>
      </w:r>
      <w:r w:rsidR="003A6ADB" w:rsidRPr="009C5F11">
        <w:rPr>
          <w:rFonts w:ascii="Times New Roman" w:hAnsi="Times New Roman" w:cs="Times New Roman"/>
          <w:sz w:val="24"/>
          <w:lang w:val="ro-RO"/>
        </w:rPr>
        <w:fldChar w:fldCharType="end"/>
      </w:r>
      <w:r w:rsidR="00321CD5" w:rsidRPr="009C5F11">
        <w:rPr>
          <w:rFonts w:ascii="Times New Roman" w:hAnsi="Times New Roman" w:cs="Times New Roman"/>
          <w:sz w:val="24"/>
          <w:lang w:val="ro-RO"/>
        </w:rPr>
        <w:t xml:space="preserve"> şi </w:t>
      </w:r>
      <w:r w:rsidR="003A6ADB" w:rsidRPr="009C5F11">
        <w:rPr>
          <w:rFonts w:ascii="Times New Roman" w:hAnsi="Times New Roman" w:cs="Times New Roman"/>
          <w:sz w:val="24"/>
          <w:lang w:val="ro-RO"/>
        </w:rPr>
        <w:fldChar w:fldCharType="begin"/>
      </w:r>
      <w:r w:rsidR="0058517B" w:rsidRPr="009C5F11">
        <w:rPr>
          <w:rFonts w:ascii="Times New Roman" w:hAnsi="Times New Roman" w:cs="Times New Roman"/>
          <w:sz w:val="24"/>
          <w:lang w:val="ro-RO"/>
        </w:rPr>
        <w:instrText xml:space="preserve"> REF _Ref319804690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 xml:space="preserve">Tabelul </w:t>
      </w:r>
      <w:r w:rsidR="0014013D" w:rsidRPr="0014013D">
        <w:rPr>
          <w:rFonts w:ascii="Times New Roman" w:hAnsi="Times New Roman" w:cs="Times New Roman"/>
          <w:noProof/>
          <w:sz w:val="24"/>
          <w:lang w:val="ro-RO"/>
        </w:rPr>
        <w:t>8</w:t>
      </w:r>
      <w:r w:rsidR="003A6ADB" w:rsidRPr="009C5F11">
        <w:rPr>
          <w:rFonts w:ascii="Times New Roman" w:hAnsi="Times New Roman" w:cs="Times New Roman"/>
          <w:sz w:val="24"/>
          <w:lang w:val="ro-RO"/>
        </w:rPr>
        <w:fldChar w:fldCharType="end"/>
      </w:r>
      <w:r w:rsidR="0058517B" w:rsidRPr="009C5F11">
        <w:rPr>
          <w:rFonts w:ascii="Times New Roman" w:hAnsi="Times New Roman" w:cs="Times New Roman"/>
          <w:sz w:val="24"/>
          <w:lang w:val="ro-RO"/>
        </w:rPr>
        <w:t>)</w:t>
      </w:r>
      <w:r w:rsidR="00845BBB" w:rsidRPr="009C5F11">
        <w:rPr>
          <w:rFonts w:ascii="Times New Roman" w:hAnsi="Times New Roman" w:cs="Times New Roman"/>
          <w:sz w:val="24"/>
          <w:lang w:val="ro-RO"/>
        </w:rPr>
        <w:t>;</w:t>
      </w:r>
    </w:p>
    <w:p w14:paraId="533D9166" w14:textId="77777777" w:rsidR="002733CB" w:rsidRPr="009C5F11" w:rsidRDefault="00B40A7C"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b/>
          <w:sz w:val="24"/>
          <w:lang w:val="ro-RO"/>
        </w:rPr>
        <w:t>Sectorul t</w:t>
      </w:r>
      <w:r w:rsidR="002733CB" w:rsidRPr="009C5F11">
        <w:rPr>
          <w:rFonts w:ascii="Times New Roman" w:hAnsi="Times New Roman" w:cs="Times New Roman"/>
          <w:b/>
          <w:sz w:val="24"/>
          <w:lang w:val="ro-RO"/>
        </w:rPr>
        <w:t>ransport</w:t>
      </w:r>
      <w:r w:rsidRPr="009C5F11">
        <w:rPr>
          <w:rFonts w:ascii="Times New Roman" w:hAnsi="Times New Roman" w:cs="Times New Roman"/>
          <w:b/>
          <w:sz w:val="24"/>
          <w:lang w:val="ro-RO"/>
        </w:rPr>
        <w:t>uri</w:t>
      </w:r>
      <w:r w:rsidR="002733CB" w:rsidRPr="009C5F11">
        <w:rPr>
          <w:rFonts w:ascii="Times New Roman" w:hAnsi="Times New Roman" w:cs="Times New Roman"/>
          <w:b/>
          <w:sz w:val="24"/>
          <w:lang w:val="ro-RO"/>
        </w:rPr>
        <w:t xml:space="preserve">: </w:t>
      </w:r>
      <w:r w:rsidR="00503694" w:rsidRPr="009C5F11">
        <w:rPr>
          <w:rFonts w:ascii="Times New Roman" w:hAnsi="Times New Roman" w:cs="Times New Roman"/>
          <w:sz w:val="24"/>
          <w:lang w:val="ro-RO"/>
        </w:rPr>
        <w:t>Măsurile</w:t>
      </w:r>
      <w:r w:rsidR="00321CD5"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pentru</w:t>
      </w:r>
      <w:r w:rsidR="00321CD5" w:rsidRPr="009C5F11">
        <w:rPr>
          <w:rFonts w:ascii="Times New Roman" w:hAnsi="Times New Roman" w:cs="Times New Roman"/>
          <w:sz w:val="24"/>
          <w:lang w:val="ro-RO"/>
        </w:rPr>
        <w:t xml:space="preserve"> </w:t>
      </w:r>
      <w:r w:rsidR="00D74B9A" w:rsidRPr="009C5F11">
        <w:rPr>
          <w:rFonts w:ascii="Times New Roman" w:hAnsi="Times New Roman" w:cs="Times New Roman"/>
          <w:sz w:val="24"/>
          <w:lang w:val="ro-RO"/>
        </w:rPr>
        <w:t>sectorul transporturilor</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 xml:space="preserve">unul cu un </w:t>
      </w:r>
      <w:r w:rsidR="00146D3A" w:rsidRPr="009C5F11">
        <w:rPr>
          <w:rFonts w:ascii="Times New Roman" w:hAnsi="Times New Roman" w:cs="Times New Roman"/>
          <w:sz w:val="24"/>
          <w:lang w:val="ro-RO"/>
        </w:rPr>
        <w:t>potențial</w:t>
      </w:r>
      <w:r w:rsidR="00EB460D" w:rsidRPr="009C5F11">
        <w:rPr>
          <w:rFonts w:ascii="Times New Roman" w:hAnsi="Times New Roman" w:cs="Times New Roman"/>
          <w:sz w:val="24"/>
          <w:lang w:val="ro-RO"/>
        </w:rPr>
        <w:t xml:space="preserve"> semnificativ</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 xml:space="preserve">s-au axat pe elaborarea strategiei sectoriale şi pe mobilizarea fondurilor necesare. Până în prezent nu au fost realizate </w:t>
      </w:r>
      <w:r w:rsidR="008F7BD5" w:rsidRPr="009C5F11">
        <w:rPr>
          <w:rFonts w:ascii="Times New Roman" w:hAnsi="Times New Roman" w:cs="Times New Roman"/>
          <w:sz w:val="24"/>
          <w:lang w:val="ro-RO"/>
        </w:rPr>
        <w:t>acţiuni</w:t>
      </w:r>
      <w:r w:rsidR="002733CB" w:rsidRPr="009C5F11">
        <w:rPr>
          <w:rFonts w:ascii="Times New Roman" w:hAnsi="Times New Roman" w:cs="Times New Roman"/>
          <w:sz w:val="24"/>
          <w:lang w:val="ro-RO"/>
        </w:rPr>
        <w:t xml:space="preserve"> asociate</w:t>
      </w:r>
      <w:r w:rsidR="00EB460D" w:rsidRPr="009C5F11">
        <w:rPr>
          <w:rFonts w:ascii="Times New Roman" w:hAnsi="Times New Roman" w:cs="Times New Roman"/>
          <w:sz w:val="24"/>
          <w:lang w:val="ro-RO"/>
        </w:rPr>
        <w:t xml:space="preserve"> cu economii reale </w:t>
      </w:r>
      <w:r w:rsidR="002733CB" w:rsidRPr="009C5F11">
        <w:rPr>
          <w:rFonts w:ascii="Times New Roman" w:hAnsi="Times New Roman" w:cs="Times New Roman"/>
          <w:sz w:val="24"/>
          <w:lang w:val="ro-RO"/>
        </w:rPr>
        <w:t>(</w:t>
      </w:r>
      <w:r w:rsidR="00EB460D" w:rsidRPr="009C5F11">
        <w:rPr>
          <w:rFonts w:ascii="Times New Roman" w:hAnsi="Times New Roman" w:cs="Times New Roman"/>
          <w:sz w:val="24"/>
          <w:lang w:val="ro-RO"/>
        </w:rPr>
        <w:t>cu excepţia a câtorva proiecte mici</w:t>
      </w:r>
      <w:r w:rsidR="002733CB" w:rsidRPr="009C5F11">
        <w:rPr>
          <w:rFonts w:ascii="Times New Roman" w:hAnsi="Times New Roman" w:cs="Times New Roman"/>
          <w:sz w:val="24"/>
          <w:lang w:val="ro-RO"/>
        </w:rPr>
        <w:t>)</w:t>
      </w:r>
      <w:r w:rsidR="00845BBB" w:rsidRPr="009C5F11">
        <w:rPr>
          <w:rFonts w:ascii="Times New Roman" w:hAnsi="Times New Roman" w:cs="Times New Roman"/>
          <w:sz w:val="24"/>
          <w:lang w:val="ro-RO"/>
        </w:rPr>
        <w:t>;</w:t>
      </w:r>
    </w:p>
    <w:p w14:paraId="7BFFE0C0" w14:textId="77777777" w:rsidR="002733CB" w:rsidRPr="009C5F11" w:rsidRDefault="00204033"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b/>
          <w:sz w:val="24"/>
          <w:lang w:val="ro-RO"/>
        </w:rPr>
        <w:t>O</w:t>
      </w:r>
      <w:r w:rsidR="00305ADC" w:rsidRPr="009C5F11">
        <w:rPr>
          <w:rFonts w:ascii="Times New Roman" w:hAnsi="Times New Roman" w:cs="Times New Roman"/>
          <w:b/>
          <w:sz w:val="24"/>
          <w:lang w:val="ro-RO"/>
        </w:rPr>
        <w:t>rizontal</w:t>
      </w:r>
      <w:r w:rsidR="002733CB" w:rsidRPr="009C5F11">
        <w:rPr>
          <w:rFonts w:ascii="Times New Roman" w:hAnsi="Times New Roman" w:cs="Times New Roman"/>
          <w:b/>
          <w:sz w:val="24"/>
          <w:lang w:val="ro-RO"/>
        </w:rPr>
        <w:t xml:space="preserve"> (public/</w:t>
      </w:r>
      <w:r w:rsidR="00AB1710" w:rsidRPr="009C5F11">
        <w:rPr>
          <w:rFonts w:ascii="Times New Roman" w:hAnsi="Times New Roman" w:cs="Times New Roman"/>
          <w:b/>
          <w:sz w:val="24"/>
          <w:lang w:val="ro-RO"/>
        </w:rPr>
        <w:t>rezidenţial</w:t>
      </w:r>
      <w:r w:rsidR="002733CB" w:rsidRPr="009C5F11">
        <w:rPr>
          <w:rFonts w:ascii="Times New Roman" w:hAnsi="Times New Roman" w:cs="Times New Roman"/>
          <w:b/>
          <w:sz w:val="24"/>
          <w:lang w:val="ro-RO"/>
        </w:rPr>
        <w:t>/industr</w:t>
      </w:r>
      <w:r w:rsidRPr="009C5F11">
        <w:rPr>
          <w:rFonts w:ascii="Times New Roman" w:hAnsi="Times New Roman" w:cs="Times New Roman"/>
          <w:b/>
          <w:sz w:val="24"/>
          <w:lang w:val="ro-RO"/>
        </w:rPr>
        <w:t>ie</w:t>
      </w:r>
      <w:r w:rsidR="002733CB" w:rsidRPr="009C5F11">
        <w:rPr>
          <w:rFonts w:ascii="Times New Roman" w:hAnsi="Times New Roman" w:cs="Times New Roman"/>
          <w:b/>
          <w:sz w:val="24"/>
          <w:lang w:val="ro-RO"/>
        </w:rPr>
        <w:t xml:space="preserve">): </w:t>
      </w:r>
      <w:r w:rsidR="00B40A7C" w:rsidRPr="009C5F11">
        <w:rPr>
          <w:rFonts w:ascii="Times New Roman" w:hAnsi="Times New Roman" w:cs="Times New Roman"/>
          <w:sz w:val="24"/>
          <w:lang w:val="ro-RO"/>
        </w:rPr>
        <w:t xml:space="preserve">Pe parcursul perioadei de raportare 2013-2015 nu au fost </w:t>
      </w:r>
      <w:r w:rsidR="005E7974" w:rsidRPr="009C5F11">
        <w:rPr>
          <w:rFonts w:ascii="Times New Roman" w:hAnsi="Times New Roman" w:cs="Times New Roman"/>
          <w:sz w:val="24"/>
          <w:lang w:val="ro-RO"/>
        </w:rPr>
        <w:t xml:space="preserve">observate evoluţii majore pe piaţa </w:t>
      </w:r>
      <w:r w:rsidR="002733CB" w:rsidRPr="009C5F11">
        <w:rPr>
          <w:rFonts w:ascii="Times New Roman" w:hAnsi="Times New Roman" w:cs="Times New Roman"/>
          <w:sz w:val="24"/>
          <w:lang w:val="ro-RO"/>
        </w:rPr>
        <w:t>ESCO.</w:t>
      </w:r>
    </w:p>
    <w:p w14:paraId="225E18C4" w14:textId="77777777" w:rsidR="002733CB" w:rsidRPr="009C5F11" w:rsidRDefault="00204033"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b/>
          <w:sz w:val="24"/>
          <w:lang w:val="ro-RO"/>
        </w:rPr>
        <w:t>O</w:t>
      </w:r>
      <w:r w:rsidR="00305ADC" w:rsidRPr="009C5F11">
        <w:rPr>
          <w:rFonts w:ascii="Times New Roman" w:hAnsi="Times New Roman" w:cs="Times New Roman"/>
          <w:b/>
          <w:sz w:val="24"/>
          <w:lang w:val="ro-RO"/>
        </w:rPr>
        <w:t>rizontal</w:t>
      </w:r>
      <w:r w:rsidR="002733CB" w:rsidRPr="009C5F11">
        <w:rPr>
          <w:rFonts w:ascii="Times New Roman" w:hAnsi="Times New Roman" w:cs="Times New Roman"/>
          <w:b/>
          <w:sz w:val="24"/>
          <w:lang w:val="ro-RO"/>
        </w:rPr>
        <w:t xml:space="preserve">: </w:t>
      </w:r>
      <w:r w:rsidR="00B40A7C" w:rsidRPr="009C5F11">
        <w:rPr>
          <w:rFonts w:ascii="Times New Roman" w:hAnsi="Times New Roman" w:cs="Times New Roman"/>
          <w:sz w:val="24"/>
          <w:lang w:val="ro-RO"/>
        </w:rPr>
        <w:t>Sistemul de monitorizare</w:t>
      </w:r>
      <w:r w:rsidR="00321CD5" w:rsidRPr="009C5F11">
        <w:rPr>
          <w:rFonts w:ascii="Times New Roman" w:hAnsi="Times New Roman" w:cs="Times New Roman"/>
          <w:sz w:val="24"/>
          <w:lang w:val="ro-RO"/>
        </w:rPr>
        <w:t xml:space="preserve"> şi </w:t>
      </w:r>
      <w:r w:rsidR="00B40A7C" w:rsidRPr="009C5F11">
        <w:rPr>
          <w:rFonts w:ascii="Times New Roman" w:hAnsi="Times New Roman" w:cs="Times New Roman"/>
          <w:sz w:val="24"/>
          <w:lang w:val="ro-RO"/>
        </w:rPr>
        <w:t>verificare</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încă nu este pus în aplicare</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fiind propus ca</w:t>
      </w:r>
      <w:r w:rsidR="002733CB" w:rsidRPr="009C5F11">
        <w:rPr>
          <w:rFonts w:ascii="Times New Roman" w:hAnsi="Times New Roman" w:cs="Times New Roman"/>
          <w:sz w:val="24"/>
          <w:lang w:val="ro-RO"/>
        </w:rPr>
        <w:t xml:space="preserve"> </w:t>
      </w:r>
      <w:r w:rsidR="008F06C4" w:rsidRPr="009C5F11">
        <w:rPr>
          <w:rFonts w:ascii="Times New Roman" w:hAnsi="Times New Roman" w:cs="Times New Roman"/>
          <w:sz w:val="24"/>
          <w:lang w:val="ro-RO"/>
        </w:rPr>
        <w:t>o măsură</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în</w:t>
      </w:r>
      <w:r w:rsidR="002733CB" w:rsidRPr="009C5F11">
        <w:rPr>
          <w:rFonts w:ascii="Times New Roman" w:hAnsi="Times New Roman" w:cs="Times New Roman"/>
          <w:sz w:val="24"/>
          <w:lang w:val="ro-RO"/>
        </w:rPr>
        <w:t xml:space="preserve"> </w:t>
      </w:r>
      <w:r w:rsidR="003A5D93" w:rsidRPr="009C5F11">
        <w:rPr>
          <w:rFonts w:ascii="Times New Roman" w:hAnsi="Times New Roman" w:cs="Times New Roman"/>
          <w:sz w:val="24"/>
          <w:lang w:val="ro-RO"/>
        </w:rPr>
        <w:t>cel de al doilea PNAEE</w:t>
      </w:r>
      <w:r w:rsidR="002733CB" w:rsidRPr="009C5F11">
        <w:rPr>
          <w:rFonts w:ascii="Times New Roman" w:hAnsi="Times New Roman" w:cs="Times New Roman"/>
          <w:sz w:val="24"/>
          <w:lang w:val="ro-RO"/>
        </w:rPr>
        <w:t>).</w:t>
      </w:r>
    </w:p>
    <w:p w14:paraId="0EE8EA27" w14:textId="158A80A4" w:rsidR="002733CB" w:rsidRPr="009C5F11" w:rsidRDefault="00B40A7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Pe baza</w:t>
      </w:r>
      <w:r w:rsidR="002733CB"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rezultate</w:t>
      </w:r>
      <w:r w:rsidRPr="009C5F11">
        <w:rPr>
          <w:rFonts w:ascii="Times New Roman" w:hAnsi="Times New Roman" w:cs="Times New Roman"/>
          <w:sz w:val="24"/>
          <w:lang w:val="ro-RO"/>
        </w:rPr>
        <w:t xml:space="preserve">lor evaluării </w:t>
      </w:r>
      <w:r w:rsidR="00D4035F"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2013-2015</w:t>
      </w:r>
      <w:r w:rsidR="00845BBB"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unele </w:t>
      </w:r>
      <w:r w:rsidR="00E10BE5" w:rsidRPr="009C5F11">
        <w:rPr>
          <w:rFonts w:ascii="Times New Roman" w:hAnsi="Times New Roman" w:cs="Times New Roman"/>
          <w:sz w:val="24"/>
          <w:lang w:val="ro-RO"/>
        </w:rPr>
        <w:t>măsuri</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au fost eliminate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iar altele au fost ajustate şi dezvoltate. De asemenea, au fost incluse </w:t>
      </w:r>
      <w:r w:rsidR="00146D3A" w:rsidRPr="009C5F11">
        <w:rPr>
          <w:rFonts w:ascii="Times New Roman" w:hAnsi="Times New Roman" w:cs="Times New Roman"/>
          <w:sz w:val="24"/>
          <w:lang w:val="ro-RO"/>
        </w:rPr>
        <w:t>câteva</w:t>
      </w:r>
      <w:r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Pr="009C5F11">
        <w:rPr>
          <w:rFonts w:ascii="Times New Roman" w:hAnsi="Times New Roman" w:cs="Times New Roman"/>
          <w:sz w:val="24"/>
          <w:lang w:val="ro-RO"/>
        </w:rPr>
        <w:t xml:space="preserve"> noi.</w:t>
      </w:r>
    </w:p>
    <w:p w14:paraId="186B9092" w14:textId="77777777" w:rsidR="00FE724D" w:rsidRPr="009C5F11" w:rsidRDefault="00FE724D" w:rsidP="00EF39F4">
      <w:pPr>
        <w:spacing w:before="120" w:after="120" w:line="240" w:lineRule="auto"/>
        <w:jc w:val="both"/>
        <w:textAlignment w:val="baseline"/>
        <w:rPr>
          <w:rFonts w:ascii="Times New Roman" w:hAnsi="Times New Roman" w:cs="Times New Roman"/>
          <w:sz w:val="24"/>
          <w:lang w:val="ro-RO"/>
        </w:rPr>
      </w:pPr>
    </w:p>
    <w:p w14:paraId="7195DF91" w14:textId="77777777" w:rsidR="002733CB" w:rsidRPr="00D9464A" w:rsidRDefault="00B40A7C" w:rsidP="00987292">
      <w:pPr>
        <w:pStyle w:val="Titlu4"/>
        <w:rPr>
          <w:rFonts w:ascii="Times New Roman" w:hAnsi="Times New Roman" w:cs="Times New Roman"/>
          <w:b/>
          <w:color w:val="000000" w:themeColor="text1"/>
          <w:sz w:val="28"/>
          <w:lang w:val="ro-RO"/>
        </w:rPr>
      </w:pPr>
      <w:bookmarkStart w:id="151" w:name="_Toc274304019"/>
      <w:bookmarkStart w:id="152" w:name="_Toc319555392"/>
      <w:bookmarkStart w:id="153" w:name="_Toc322013158"/>
      <w:r w:rsidRPr="00D9464A">
        <w:rPr>
          <w:rFonts w:ascii="Times New Roman" w:hAnsi="Times New Roman" w:cs="Times New Roman"/>
          <w:b/>
          <w:color w:val="000000" w:themeColor="text1"/>
          <w:sz w:val="28"/>
          <w:lang w:val="ro-RO"/>
        </w:rPr>
        <w:t>Economiile preconizate</w:t>
      </w:r>
      <w:r w:rsidR="00321CD5" w:rsidRPr="00D9464A">
        <w:rPr>
          <w:rFonts w:ascii="Times New Roman" w:hAnsi="Times New Roman" w:cs="Times New Roman"/>
          <w:b/>
          <w:color w:val="000000" w:themeColor="text1"/>
          <w:sz w:val="28"/>
          <w:lang w:val="ro-RO"/>
        </w:rPr>
        <w:t xml:space="preserve"> </w:t>
      </w:r>
      <w:r w:rsidRPr="00D9464A">
        <w:rPr>
          <w:rFonts w:ascii="Times New Roman" w:hAnsi="Times New Roman" w:cs="Times New Roman"/>
          <w:b/>
          <w:color w:val="000000" w:themeColor="text1"/>
          <w:sz w:val="28"/>
          <w:lang w:val="ro-RO"/>
        </w:rPr>
        <w:t>în raport cu obiectivul global pentru anul 2020 stabilit la nivelul consumatorilor finali</w:t>
      </w:r>
      <w:bookmarkEnd w:id="151"/>
      <w:bookmarkEnd w:id="152"/>
      <w:bookmarkEnd w:id="153"/>
    </w:p>
    <w:p w14:paraId="2585D4F9" w14:textId="77777777" w:rsidR="00031CDF" w:rsidRPr="009C5F11" w:rsidRDefault="00B40A7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În cadrul PNAEE 2013-2015 nu a fost stabilit nici un obiectiv pentru anul</w:t>
      </w:r>
      <w:r w:rsidR="002733CB" w:rsidRPr="009C5F11">
        <w:rPr>
          <w:rFonts w:ascii="Times New Roman" w:hAnsi="Times New Roman" w:cs="Times New Roman"/>
          <w:sz w:val="24"/>
          <w:lang w:val="ro-RO"/>
        </w:rPr>
        <w:t xml:space="preserve"> 2020. </w:t>
      </w:r>
      <w:r w:rsidRPr="009C5F11">
        <w:rPr>
          <w:rFonts w:ascii="Times New Roman" w:hAnsi="Times New Roman" w:cs="Times New Roman"/>
          <w:sz w:val="24"/>
          <w:lang w:val="ro-RO"/>
        </w:rPr>
        <w:t xml:space="preserve">Prin urmare, obiectivul </w:t>
      </w:r>
      <w:r w:rsidR="002733CB" w:rsidRPr="009C5F11">
        <w:rPr>
          <w:rFonts w:ascii="Times New Roman" w:hAnsi="Times New Roman" w:cs="Times New Roman"/>
          <w:sz w:val="24"/>
          <w:lang w:val="ro-RO"/>
        </w:rPr>
        <w:t xml:space="preserve">indicativ 2020 </w:t>
      </w:r>
      <w:r w:rsidRPr="009C5F11">
        <w:rPr>
          <w:rFonts w:ascii="Times New Roman" w:hAnsi="Times New Roman" w:cs="Times New Roman"/>
          <w:sz w:val="24"/>
          <w:lang w:val="ro-RO"/>
        </w:rPr>
        <w:t>a fost propus în</w:t>
      </w:r>
      <w:r w:rsidR="00321CD5" w:rsidRPr="009C5F11">
        <w:rPr>
          <w:rFonts w:ascii="Times New Roman" w:hAnsi="Times New Roman" w:cs="Times New Roman"/>
          <w:sz w:val="24"/>
          <w:lang w:val="ro-RO"/>
        </w:rPr>
        <w:t xml:space="preserve"> </w:t>
      </w:r>
      <w:r w:rsidR="00D4035F"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2016-20</w:t>
      </w:r>
      <w:r w:rsidR="00C87887" w:rsidRPr="009C5F11">
        <w:rPr>
          <w:rFonts w:ascii="Times New Roman" w:hAnsi="Times New Roman" w:cs="Times New Roman"/>
          <w:sz w:val="24"/>
          <w:lang w:val="ro-RO"/>
        </w:rPr>
        <w:t>18</w:t>
      </w:r>
      <w:r w:rsidR="002733CB" w:rsidRPr="009C5F11">
        <w:rPr>
          <w:rFonts w:ascii="Times New Roman" w:hAnsi="Times New Roman" w:cs="Times New Roman"/>
          <w:sz w:val="24"/>
          <w:lang w:val="ro-RO"/>
        </w:rPr>
        <w:t xml:space="preserve"> </w:t>
      </w:r>
      <w:r w:rsidR="00845BBB" w:rsidRPr="009C5F11">
        <w:rPr>
          <w:rFonts w:ascii="Times New Roman" w:hAnsi="Times New Roman" w:cs="Times New Roman"/>
          <w:sz w:val="24"/>
          <w:lang w:val="ro-RO"/>
        </w:rPr>
        <w:t>în temeiul</w:t>
      </w:r>
      <w:r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DSE</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mărime de </w:t>
      </w:r>
      <w:r w:rsidR="002733CB" w:rsidRPr="009C5F11">
        <w:rPr>
          <w:rFonts w:ascii="Times New Roman" w:hAnsi="Times New Roman" w:cs="Times New Roman"/>
          <w:sz w:val="24"/>
          <w:lang w:val="ro-RO"/>
        </w:rPr>
        <w:t xml:space="preserve">167.2 </w:t>
      </w:r>
      <w:r w:rsidR="00E52940" w:rsidRPr="009C5F11">
        <w:rPr>
          <w:rFonts w:ascii="Times New Roman" w:hAnsi="Times New Roman" w:cs="Times New Roman"/>
          <w:sz w:val="24"/>
          <w:lang w:val="ro-RO"/>
        </w:rPr>
        <w:t>ktep</w:t>
      </w:r>
      <w:r w:rsidR="002733CB" w:rsidRPr="009C5F11">
        <w:rPr>
          <w:rFonts w:ascii="Times New Roman" w:hAnsi="Times New Roman" w:cs="Times New Roman"/>
          <w:sz w:val="24"/>
          <w:lang w:val="ro-RO"/>
        </w:rPr>
        <w:t>.</w:t>
      </w:r>
    </w:p>
    <w:p w14:paraId="528F1FBB" w14:textId="1A4818B8" w:rsidR="002733CB" w:rsidRPr="009C5F11" w:rsidRDefault="00503694"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Măsurile</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propuse</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pentru perioada</w:t>
      </w:r>
      <w:r w:rsidR="002733CB" w:rsidRPr="009C5F11">
        <w:rPr>
          <w:rFonts w:ascii="Times New Roman" w:hAnsi="Times New Roman" w:cs="Times New Roman"/>
          <w:sz w:val="24"/>
          <w:lang w:val="ro-RO"/>
        </w:rPr>
        <w:t xml:space="preserve"> 2016-2018</w:t>
      </w:r>
      <w:r w:rsidR="00845BBB" w:rsidRPr="009C5F11">
        <w:rPr>
          <w:rFonts w:ascii="Times New Roman" w:hAnsi="Times New Roman" w:cs="Times New Roman"/>
          <w:sz w:val="24"/>
          <w:lang w:val="ro-RO"/>
        </w:rPr>
        <w:t xml:space="preserve">, în cazul în care sunt </w:t>
      </w:r>
      <w:r w:rsidR="001B3DCF" w:rsidRPr="009C5F11">
        <w:rPr>
          <w:rFonts w:ascii="Times New Roman" w:hAnsi="Times New Roman" w:cs="Times New Roman"/>
          <w:sz w:val="24"/>
          <w:lang w:val="ro-RO"/>
        </w:rPr>
        <w:t>implementat</w:t>
      </w:r>
      <w:r w:rsidR="00845BBB" w:rsidRPr="009C5F11">
        <w:rPr>
          <w:rFonts w:ascii="Times New Roman" w:hAnsi="Times New Roman" w:cs="Times New Roman"/>
          <w:sz w:val="24"/>
          <w:lang w:val="ro-RO"/>
        </w:rPr>
        <w:t>e</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şi,</w:t>
      </w:r>
      <w:r w:rsidR="00321CD5"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 xml:space="preserve">în unele cazuri, aceste măsuri vor fi continuate </w:t>
      </w:r>
      <w:r w:rsidR="00321CD5" w:rsidRPr="009C5F11">
        <w:rPr>
          <w:rFonts w:ascii="Times New Roman" w:hAnsi="Times New Roman" w:cs="Times New Roman"/>
          <w:sz w:val="24"/>
          <w:lang w:val="ro-RO"/>
        </w:rPr>
        <w:t xml:space="preserve">în </w:t>
      </w:r>
      <w:r w:rsidR="002733CB" w:rsidRPr="009C5F11">
        <w:rPr>
          <w:rFonts w:ascii="Times New Roman" w:hAnsi="Times New Roman" w:cs="Times New Roman"/>
          <w:sz w:val="24"/>
          <w:lang w:val="ro-RO"/>
        </w:rPr>
        <w:t>2019-2020)</w:t>
      </w:r>
      <w:r w:rsidR="00321CD5" w:rsidRPr="009C5F11">
        <w:rPr>
          <w:rFonts w:ascii="Times New Roman" w:hAnsi="Times New Roman" w:cs="Times New Roman"/>
          <w:sz w:val="24"/>
          <w:lang w:val="ro-RO"/>
        </w:rPr>
        <w:t xml:space="preserve"> </w:t>
      </w:r>
      <w:r w:rsidR="00C87887" w:rsidRPr="009C5F11">
        <w:rPr>
          <w:rFonts w:ascii="Times New Roman" w:hAnsi="Times New Roman" w:cs="Times New Roman"/>
          <w:sz w:val="24"/>
          <w:lang w:val="ro-RO"/>
        </w:rPr>
        <w:t>cu succes</w:t>
      </w:r>
      <w:r w:rsidR="00EB460D" w:rsidRPr="009C5F11">
        <w:rPr>
          <w:rFonts w:ascii="Times New Roman" w:hAnsi="Times New Roman" w:cs="Times New Roman"/>
          <w:sz w:val="24"/>
          <w:lang w:val="ro-RO"/>
        </w:rPr>
        <w:t xml:space="preserve"> vor acoperi </w:t>
      </w:r>
      <w:r w:rsidR="00C87887" w:rsidRPr="009C5F11">
        <w:rPr>
          <w:rFonts w:ascii="Times New Roman" w:hAnsi="Times New Roman" w:cs="Times New Roman"/>
          <w:sz w:val="24"/>
          <w:lang w:val="ro-RO"/>
        </w:rPr>
        <w:t>în totalitate</w:t>
      </w:r>
      <w:r w:rsidR="00EB460D" w:rsidRPr="009C5F11">
        <w:rPr>
          <w:rFonts w:ascii="Times New Roman" w:hAnsi="Times New Roman" w:cs="Times New Roman"/>
          <w:sz w:val="24"/>
          <w:lang w:val="ro-RO"/>
        </w:rPr>
        <w:t xml:space="preserve"> discrepanţa şi-i vor permite Republicii</w:t>
      </w:r>
      <w:r w:rsidR="002733CB" w:rsidRPr="009C5F11">
        <w:rPr>
          <w:rFonts w:ascii="Times New Roman" w:hAnsi="Times New Roman" w:cs="Times New Roman"/>
          <w:sz w:val="24"/>
          <w:lang w:val="ro-RO"/>
        </w:rPr>
        <w:t xml:space="preserve"> Moldova </w:t>
      </w:r>
      <w:r w:rsidR="00EB460D" w:rsidRPr="009C5F11">
        <w:rPr>
          <w:rFonts w:ascii="Times New Roman" w:hAnsi="Times New Roman" w:cs="Times New Roman"/>
          <w:sz w:val="24"/>
          <w:lang w:val="ro-RO"/>
        </w:rPr>
        <w:t>să atingă obiectivul stabilit de</w:t>
      </w:r>
      <w:r w:rsidR="002733CB"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DSE</w:t>
      </w:r>
      <w:r w:rsidR="002733CB" w:rsidRPr="009C5F11">
        <w:rPr>
          <w:rFonts w:ascii="Times New Roman" w:hAnsi="Times New Roman" w:cs="Times New Roman"/>
          <w:sz w:val="24"/>
          <w:lang w:val="ro-RO"/>
        </w:rPr>
        <w:t xml:space="preserve">. </w:t>
      </w:r>
      <w:r w:rsidR="00EB460D" w:rsidRPr="009C5F11">
        <w:rPr>
          <w:rFonts w:ascii="Times New Roman" w:hAnsi="Times New Roman" w:cs="Times New Roman"/>
          <w:sz w:val="24"/>
          <w:lang w:val="ro-RO"/>
        </w:rPr>
        <w:t xml:space="preserve">În continuare </w:t>
      </w:r>
      <w:r w:rsidR="00891C60" w:rsidRPr="009C5F11">
        <w:rPr>
          <w:rFonts w:ascii="Times New Roman" w:hAnsi="Times New Roman" w:cs="Times New Roman"/>
          <w:sz w:val="24"/>
          <w:lang w:val="ro-RO"/>
        </w:rPr>
        <w:t>sunt</w:t>
      </w:r>
      <w:r w:rsidR="00EB460D" w:rsidRPr="009C5F11">
        <w:rPr>
          <w:rFonts w:ascii="Times New Roman" w:hAnsi="Times New Roman" w:cs="Times New Roman"/>
          <w:sz w:val="24"/>
          <w:lang w:val="ro-RO"/>
        </w:rPr>
        <w:t xml:space="preserve"> inclus</w:t>
      </w:r>
      <w:r w:rsidR="00891C60" w:rsidRPr="009C5F11">
        <w:rPr>
          <w:rFonts w:ascii="Times New Roman" w:hAnsi="Times New Roman" w:cs="Times New Roman"/>
          <w:sz w:val="24"/>
          <w:lang w:val="ro-RO"/>
        </w:rPr>
        <w:t>e</w:t>
      </w:r>
      <w:r w:rsidR="00EB460D" w:rsidRPr="009C5F11">
        <w:rPr>
          <w:rFonts w:ascii="Times New Roman" w:hAnsi="Times New Roman" w:cs="Times New Roman"/>
          <w:sz w:val="24"/>
          <w:lang w:val="ro-RO"/>
        </w:rPr>
        <w:t xml:space="preserve"> câteva aspecte considerate a fi extrem de importante care urmează să fie monitorizate atent </w:t>
      </w:r>
      <w:r w:rsidR="00603237" w:rsidRPr="009C5F11">
        <w:rPr>
          <w:rFonts w:ascii="Times New Roman" w:hAnsi="Times New Roman" w:cs="Times New Roman"/>
          <w:sz w:val="24"/>
          <w:lang w:val="ro-RO"/>
        </w:rPr>
        <w:t xml:space="preserve">pe parcursul </w:t>
      </w:r>
      <w:r w:rsidR="00EB460D" w:rsidRPr="009C5F11">
        <w:rPr>
          <w:rFonts w:ascii="Times New Roman" w:hAnsi="Times New Roman" w:cs="Times New Roman"/>
          <w:sz w:val="24"/>
          <w:lang w:val="ro-RO"/>
        </w:rPr>
        <w:t>implementării următorului</w:t>
      </w:r>
      <w:r w:rsidR="002733CB" w:rsidRPr="009C5F11">
        <w:rPr>
          <w:rFonts w:ascii="Times New Roman" w:hAnsi="Times New Roman" w:cs="Times New Roman"/>
          <w:sz w:val="24"/>
          <w:lang w:val="ro-RO"/>
        </w:rPr>
        <w:t xml:space="preserve"> </w:t>
      </w:r>
      <w:r w:rsidR="00872DC2"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w:t>
      </w:r>
    </w:p>
    <w:p w14:paraId="57C124CB" w14:textId="77777777" w:rsidR="002733CB" w:rsidRPr="009C5F11" w:rsidRDefault="00891C60" w:rsidP="00334F3B">
      <w:pPr>
        <w:pStyle w:val="Listparagraf"/>
        <w:numPr>
          <w:ilvl w:val="0"/>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Elaborarea în timp util a c</w:t>
      </w:r>
      <w:r w:rsidR="00397686" w:rsidRPr="009C5F11">
        <w:rPr>
          <w:rFonts w:ascii="Times New Roman" w:hAnsi="Times New Roman" w:cs="Times New Roman"/>
          <w:sz w:val="24"/>
          <w:lang w:val="ro-RO"/>
        </w:rPr>
        <w:t>adrul</w:t>
      </w:r>
      <w:r w:rsidRPr="009C5F11">
        <w:rPr>
          <w:rFonts w:ascii="Times New Roman" w:hAnsi="Times New Roman" w:cs="Times New Roman"/>
          <w:sz w:val="24"/>
          <w:lang w:val="ro-RO"/>
        </w:rPr>
        <w:t>ui</w:t>
      </w:r>
      <w:r w:rsidR="00397686" w:rsidRPr="009C5F11">
        <w:rPr>
          <w:rFonts w:ascii="Times New Roman" w:hAnsi="Times New Roman" w:cs="Times New Roman"/>
          <w:sz w:val="24"/>
          <w:lang w:val="ro-RO"/>
        </w:rPr>
        <w:t xml:space="preserve"> legislativ/normativ</w:t>
      </w:r>
      <w:r w:rsidR="002733CB" w:rsidRPr="009C5F11">
        <w:rPr>
          <w:rFonts w:ascii="Times New Roman" w:hAnsi="Times New Roman" w:cs="Times New Roman"/>
          <w:sz w:val="24"/>
          <w:lang w:val="ro-RO"/>
        </w:rPr>
        <w:t xml:space="preserve"> :</w:t>
      </w:r>
    </w:p>
    <w:p w14:paraId="27AD741D" w14:textId="77777777" w:rsidR="002733CB" w:rsidRPr="009C5F11" w:rsidRDefault="005E7974" w:rsidP="00334F3B">
      <w:pPr>
        <w:pStyle w:val="Listparagraf"/>
        <w:numPr>
          <w:ilvl w:val="1"/>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Strategia</w:t>
      </w:r>
      <w:r w:rsidR="002733CB" w:rsidRPr="009C5F11">
        <w:rPr>
          <w:rFonts w:ascii="Times New Roman" w:hAnsi="Times New Roman" w:cs="Times New Roman"/>
          <w:sz w:val="24"/>
          <w:lang w:val="ro-RO"/>
        </w:rPr>
        <w:t xml:space="preserve"> </w:t>
      </w:r>
      <w:r w:rsidR="00397686" w:rsidRPr="009C5F11">
        <w:rPr>
          <w:rFonts w:ascii="Times New Roman" w:hAnsi="Times New Roman" w:cs="Times New Roman"/>
          <w:sz w:val="24"/>
          <w:lang w:val="ro-RO"/>
        </w:rPr>
        <w:t>pentru renovarea clădirilor</w:t>
      </w:r>
      <w:r w:rsidR="002733CB"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rezidenţial</w:t>
      </w:r>
      <w:r w:rsidR="00397686"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public</w:t>
      </w:r>
      <w:r w:rsidR="00397686" w:rsidRPr="009C5F11">
        <w:rPr>
          <w:rFonts w:ascii="Times New Roman" w:hAnsi="Times New Roman" w:cs="Times New Roman"/>
          <w:sz w:val="24"/>
          <w:lang w:val="ro-RO"/>
        </w:rPr>
        <w:t>e</w:t>
      </w:r>
      <w:r w:rsidR="002733CB" w:rsidRPr="009C5F11">
        <w:rPr>
          <w:rFonts w:ascii="Times New Roman" w:hAnsi="Times New Roman" w:cs="Times New Roman"/>
          <w:sz w:val="24"/>
          <w:lang w:val="ro-RO"/>
        </w:rPr>
        <w:t>)</w:t>
      </w:r>
      <w:r w:rsidR="00397686" w:rsidRPr="009C5F11">
        <w:rPr>
          <w:rFonts w:ascii="Times New Roman" w:hAnsi="Times New Roman" w:cs="Times New Roman"/>
          <w:sz w:val="24"/>
          <w:lang w:val="ro-RO"/>
        </w:rPr>
        <w:t>;</w:t>
      </w:r>
    </w:p>
    <w:p w14:paraId="444C3362" w14:textId="77777777" w:rsidR="002733CB" w:rsidRPr="009C5F11" w:rsidRDefault="00397686" w:rsidP="00334F3B">
      <w:pPr>
        <w:pStyle w:val="Listparagraf"/>
        <w:numPr>
          <w:ilvl w:val="1"/>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Metodologia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w:t>
      </w:r>
      <w:r w:rsidR="002733CB" w:rsidRPr="009C5F11">
        <w:rPr>
          <w:rFonts w:ascii="Times New Roman" w:hAnsi="Times New Roman" w:cs="Times New Roman"/>
          <w:sz w:val="24"/>
          <w:lang w:val="ro-RO"/>
        </w:rPr>
        <w:t xml:space="preserve"> calcul</w:t>
      </w:r>
      <w:r w:rsidRPr="009C5F11">
        <w:rPr>
          <w:rFonts w:ascii="Times New Roman" w:hAnsi="Times New Roman" w:cs="Times New Roman"/>
          <w:sz w:val="24"/>
          <w:lang w:val="ro-RO"/>
        </w:rPr>
        <w:t xml:space="preserve"> al</w:t>
      </w:r>
      <w:r w:rsidR="00891C6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nivelurilor optime</w:t>
      </w:r>
      <w:r w:rsidR="00321CD5" w:rsidRPr="009C5F11">
        <w:rPr>
          <w:rFonts w:ascii="Times New Roman" w:hAnsi="Times New Roman" w:cs="Times New Roman"/>
          <w:sz w:val="24"/>
          <w:lang w:val="ro-RO"/>
        </w:rPr>
        <w:t xml:space="preserve"> </w:t>
      </w:r>
      <w:r w:rsidR="00891C60" w:rsidRPr="009C5F11">
        <w:rPr>
          <w:rFonts w:ascii="Times New Roman" w:hAnsi="Times New Roman" w:cs="Times New Roman"/>
          <w:sz w:val="24"/>
          <w:lang w:val="ro-RO"/>
        </w:rPr>
        <w:t xml:space="preserve">din punctul de vedere al </w:t>
      </w:r>
      <w:r w:rsidR="00146D3A" w:rsidRPr="009C5F11">
        <w:rPr>
          <w:rFonts w:ascii="Times New Roman" w:hAnsi="Times New Roman" w:cs="Times New Roman"/>
          <w:sz w:val="24"/>
          <w:lang w:val="ro-RO"/>
        </w:rPr>
        <w:t>costuri</w:t>
      </w:r>
      <w:r w:rsidR="00891C60" w:rsidRPr="009C5F11">
        <w:rPr>
          <w:rFonts w:ascii="Times New Roman" w:hAnsi="Times New Roman" w:cs="Times New Roman"/>
          <w:sz w:val="24"/>
          <w:lang w:val="ro-RO"/>
        </w:rPr>
        <w:t>lor</w:t>
      </w:r>
      <w:r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cerinţele minime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pentru performanţa energetică a clădirilor şi a componentelor acestora;</w:t>
      </w:r>
      <w:r w:rsidR="002733CB" w:rsidRPr="009C5F11">
        <w:rPr>
          <w:rFonts w:ascii="Times New Roman" w:hAnsi="Times New Roman" w:cs="Times New Roman"/>
          <w:sz w:val="24"/>
          <w:lang w:val="ro-RO"/>
        </w:rPr>
        <w:t xml:space="preserve"> </w:t>
      </w:r>
    </w:p>
    <w:p w14:paraId="3A5C0EF1" w14:textId="77777777" w:rsidR="002733CB" w:rsidRPr="009C5F11" w:rsidRDefault="00397686" w:rsidP="00334F3B">
      <w:pPr>
        <w:pStyle w:val="Listparagraf"/>
        <w:numPr>
          <w:ilvl w:val="1"/>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lastRenderedPageBreak/>
        <w:t>Regulamentele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privind</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proiectarea ecologică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înlesniri</w:t>
      </w:r>
      <w:r w:rsidR="00845BBB" w:rsidRPr="009C5F11">
        <w:rPr>
          <w:rFonts w:ascii="Times New Roman" w:hAnsi="Times New Roman" w:cs="Times New Roman"/>
          <w:sz w:val="24"/>
          <w:lang w:val="ro-RO"/>
        </w:rPr>
        <w:t>le</w:t>
      </w:r>
      <w:r w:rsidRPr="009C5F11">
        <w:rPr>
          <w:rFonts w:ascii="Times New Roman" w:hAnsi="Times New Roman" w:cs="Times New Roman"/>
          <w:sz w:val="24"/>
          <w:lang w:val="ro-RO"/>
        </w:rPr>
        <w:t xml:space="preserve"> fiscale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vamale</w:t>
      </w:r>
      <w:r w:rsidR="002733CB" w:rsidRPr="009C5F11">
        <w:rPr>
          <w:rFonts w:ascii="Times New Roman" w:hAnsi="Times New Roman" w:cs="Times New Roman"/>
          <w:sz w:val="24"/>
          <w:lang w:val="ro-RO"/>
        </w:rPr>
        <w:t xml:space="preserve"> </w:t>
      </w:r>
      <w:r w:rsidR="00891C60" w:rsidRPr="009C5F11">
        <w:rPr>
          <w:rFonts w:ascii="Times New Roman" w:hAnsi="Times New Roman" w:cs="Times New Roman"/>
          <w:sz w:val="24"/>
          <w:lang w:val="ro-RO"/>
        </w:rPr>
        <w:t>in domeniul eficientei</w:t>
      </w:r>
      <w:r w:rsidRPr="009C5F11">
        <w:rPr>
          <w:rFonts w:ascii="Times New Roman" w:hAnsi="Times New Roman" w:cs="Times New Roman"/>
          <w:sz w:val="24"/>
          <w:lang w:val="ro-RO"/>
        </w:rPr>
        <w:t xml:space="preserve"> energ</w:t>
      </w:r>
      <w:r w:rsidR="00891C60" w:rsidRPr="009C5F11">
        <w:rPr>
          <w:rFonts w:ascii="Times New Roman" w:hAnsi="Times New Roman" w:cs="Times New Roman"/>
          <w:sz w:val="24"/>
          <w:lang w:val="ro-RO"/>
        </w:rPr>
        <w:t>etice</w:t>
      </w:r>
      <w:r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p>
    <w:p w14:paraId="78B6134E" w14:textId="77777777" w:rsidR="002733CB" w:rsidRPr="009C5F11" w:rsidRDefault="00891C60" w:rsidP="00334F3B">
      <w:pPr>
        <w:pStyle w:val="Listparagraf"/>
        <w:numPr>
          <w:ilvl w:val="0"/>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Disponibilitatea f</w:t>
      </w:r>
      <w:r w:rsidR="00397686" w:rsidRPr="009C5F11">
        <w:rPr>
          <w:rFonts w:ascii="Times New Roman" w:hAnsi="Times New Roman" w:cs="Times New Roman"/>
          <w:sz w:val="24"/>
          <w:lang w:val="ro-RO"/>
        </w:rPr>
        <w:t>onduril</w:t>
      </w:r>
      <w:r w:rsidRPr="009C5F11">
        <w:rPr>
          <w:rFonts w:ascii="Times New Roman" w:hAnsi="Times New Roman" w:cs="Times New Roman"/>
          <w:sz w:val="24"/>
          <w:lang w:val="ro-RO"/>
        </w:rPr>
        <w:t>or</w:t>
      </w:r>
      <w:r w:rsidR="00397686" w:rsidRPr="009C5F11">
        <w:rPr>
          <w:rFonts w:ascii="Times New Roman" w:hAnsi="Times New Roman" w:cs="Times New Roman"/>
          <w:sz w:val="24"/>
          <w:lang w:val="ro-RO"/>
        </w:rPr>
        <w:t xml:space="preserve"> necesare </w:t>
      </w:r>
      <w:r w:rsidRPr="009C5F11">
        <w:rPr>
          <w:rFonts w:ascii="Times New Roman" w:hAnsi="Times New Roman" w:cs="Times New Roman"/>
          <w:sz w:val="24"/>
          <w:lang w:val="ro-RO"/>
        </w:rPr>
        <w:t>şi alocarea lor</w:t>
      </w:r>
      <w:r w:rsidR="00397686" w:rsidRPr="009C5F11">
        <w:rPr>
          <w:rFonts w:ascii="Times New Roman" w:hAnsi="Times New Roman" w:cs="Times New Roman"/>
          <w:sz w:val="24"/>
          <w:lang w:val="ro-RO"/>
        </w:rPr>
        <w:t xml:space="preserve"> pentru realizarea </w:t>
      </w:r>
      <w:r w:rsidR="00E10BE5" w:rsidRPr="009C5F11">
        <w:rPr>
          <w:rFonts w:ascii="Times New Roman" w:hAnsi="Times New Roman" w:cs="Times New Roman"/>
          <w:sz w:val="24"/>
          <w:lang w:val="ro-RO"/>
        </w:rPr>
        <w:t>măsuri</w:t>
      </w:r>
      <w:r w:rsidR="00397686" w:rsidRPr="009C5F11">
        <w:rPr>
          <w:rFonts w:ascii="Times New Roman" w:hAnsi="Times New Roman" w:cs="Times New Roman"/>
          <w:sz w:val="24"/>
          <w:lang w:val="ro-RO"/>
        </w:rPr>
        <w:t>lor propuse</w:t>
      </w:r>
      <w:r w:rsidR="002733CB" w:rsidRPr="009C5F11">
        <w:rPr>
          <w:rFonts w:ascii="Times New Roman" w:hAnsi="Times New Roman" w:cs="Times New Roman"/>
          <w:sz w:val="24"/>
          <w:lang w:val="ro-RO"/>
        </w:rPr>
        <w:t>:</w:t>
      </w:r>
    </w:p>
    <w:p w14:paraId="7C0F9CC8" w14:textId="77777777" w:rsidR="002733CB" w:rsidRPr="009C5F11" w:rsidRDefault="00397686" w:rsidP="00334F3B">
      <w:pPr>
        <w:pStyle w:val="Listparagraf"/>
        <w:numPr>
          <w:ilvl w:val="1"/>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În s</w:t>
      </w:r>
      <w:r w:rsidR="00421FA7" w:rsidRPr="009C5F11">
        <w:rPr>
          <w:rFonts w:ascii="Times New Roman" w:hAnsi="Times New Roman" w:cs="Times New Roman"/>
          <w:sz w:val="24"/>
          <w:lang w:val="ro-RO"/>
        </w:rPr>
        <w:t>ectorul rezidenţial</w:t>
      </w:r>
      <w:r w:rsidR="002733CB" w:rsidRPr="009C5F11">
        <w:rPr>
          <w:rFonts w:ascii="Times New Roman" w:hAnsi="Times New Roman" w:cs="Times New Roman"/>
          <w:sz w:val="24"/>
          <w:lang w:val="ro-RO"/>
        </w:rPr>
        <w:t xml:space="preserve">: </w:t>
      </w:r>
    </w:p>
    <w:p w14:paraId="7DFE91D3" w14:textId="77777777" w:rsidR="002733CB" w:rsidRPr="009C5F11" w:rsidRDefault="004424A0" w:rsidP="00334F3B">
      <w:pPr>
        <w:pStyle w:val="Listparagraf"/>
        <w:numPr>
          <w:ilvl w:val="2"/>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MoREEFF</w:t>
      </w:r>
      <w:r w:rsidR="002733CB" w:rsidRPr="009C5F11">
        <w:rPr>
          <w:rFonts w:ascii="Times New Roman" w:hAnsi="Times New Roman" w:cs="Times New Roman"/>
          <w:sz w:val="24"/>
          <w:lang w:val="ro-RO"/>
        </w:rPr>
        <w:t xml:space="preserve"> I</w:t>
      </w:r>
      <w:r w:rsidR="00FE7262" w:rsidRPr="009C5F11">
        <w:rPr>
          <w:rFonts w:ascii="Times New Roman" w:hAnsi="Times New Roman" w:cs="Times New Roman"/>
          <w:sz w:val="24"/>
          <w:lang w:val="ro-RO"/>
        </w:rPr>
        <w:t>I</w:t>
      </w:r>
      <w:r w:rsidR="002733CB" w:rsidRPr="009C5F11">
        <w:rPr>
          <w:rFonts w:ascii="Times New Roman" w:hAnsi="Times New Roman" w:cs="Times New Roman"/>
          <w:sz w:val="24"/>
          <w:lang w:val="ro-RO"/>
        </w:rPr>
        <w:t xml:space="preserve"> </w:t>
      </w:r>
      <w:r w:rsidR="00397686" w:rsidRPr="009C5F11">
        <w:rPr>
          <w:rFonts w:ascii="Times New Roman" w:hAnsi="Times New Roman" w:cs="Times New Roman"/>
          <w:sz w:val="24"/>
          <w:lang w:val="ro-RO"/>
        </w:rPr>
        <w:t>este finalizat cu succes;</w:t>
      </w:r>
      <w:r w:rsidR="002733CB" w:rsidRPr="009C5F11">
        <w:rPr>
          <w:rFonts w:ascii="Times New Roman" w:hAnsi="Times New Roman" w:cs="Times New Roman"/>
          <w:sz w:val="24"/>
          <w:lang w:val="ro-RO"/>
        </w:rPr>
        <w:t xml:space="preserve"> </w:t>
      </w:r>
    </w:p>
    <w:p w14:paraId="2A2D3E85" w14:textId="77777777" w:rsidR="002733CB" w:rsidRPr="009C5F11" w:rsidRDefault="004424A0" w:rsidP="00334F3B">
      <w:pPr>
        <w:pStyle w:val="Listparagraf"/>
        <w:numPr>
          <w:ilvl w:val="2"/>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MoREEFF</w:t>
      </w:r>
      <w:r w:rsidR="002733CB" w:rsidRPr="009C5F11">
        <w:rPr>
          <w:rFonts w:ascii="Times New Roman" w:hAnsi="Times New Roman" w:cs="Times New Roman"/>
          <w:sz w:val="24"/>
          <w:lang w:val="ro-RO"/>
        </w:rPr>
        <w:t xml:space="preserve"> II</w:t>
      </w:r>
      <w:r w:rsidR="00FE7262" w:rsidRPr="009C5F11">
        <w:rPr>
          <w:rFonts w:ascii="Times New Roman" w:hAnsi="Times New Roman" w:cs="Times New Roman"/>
          <w:sz w:val="24"/>
          <w:lang w:val="ro-RO"/>
        </w:rPr>
        <w:t>I</w:t>
      </w:r>
      <w:r w:rsidR="00321CD5" w:rsidRPr="009C5F11">
        <w:rPr>
          <w:rFonts w:ascii="Times New Roman" w:hAnsi="Times New Roman" w:cs="Times New Roman"/>
          <w:sz w:val="24"/>
          <w:lang w:val="ro-RO"/>
        </w:rPr>
        <w:t xml:space="preserve"> sau </w:t>
      </w:r>
      <w:r w:rsidR="00397686" w:rsidRPr="009C5F11">
        <w:rPr>
          <w:rFonts w:ascii="Times New Roman" w:hAnsi="Times New Roman" w:cs="Times New Roman"/>
          <w:sz w:val="24"/>
          <w:lang w:val="ro-RO"/>
        </w:rPr>
        <w:t>o facilitate de aceeaşi anvergură este lansată;</w:t>
      </w:r>
    </w:p>
    <w:p w14:paraId="24C43954" w14:textId="77777777" w:rsidR="002733CB" w:rsidRPr="009C5F11" w:rsidRDefault="00AA0566" w:rsidP="00334F3B">
      <w:pPr>
        <w:pStyle w:val="Listparagraf"/>
        <w:numPr>
          <w:ilvl w:val="2"/>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FEE</w:t>
      </w:r>
      <w:r w:rsidR="002733CB" w:rsidRPr="009C5F11">
        <w:rPr>
          <w:rFonts w:ascii="Times New Roman" w:hAnsi="Times New Roman" w:cs="Times New Roman"/>
          <w:sz w:val="24"/>
          <w:lang w:val="ro-RO"/>
        </w:rPr>
        <w:t xml:space="preserve"> </w:t>
      </w:r>
      <w:r w:rsidR="00397686" w:rsidRPr="009C5F11">
        <w:rPr>
          <w:rFonts w:ascii="Times New Roman" w:hAnsi="Times New Roman" w:cs="Times New Roman"/>
          <w:sz w:val="24"/>
          <w:lang w:val="ro-RO"/>
        </w:rPr>
        <w:t>lansează</w:t>
      </w:r>
      <w:r w:rsidR="002733CB" w:rsidRPr="009C5F11">
        <w:rPr>
          <w:rFonts w:ascii="Times New Roman" w:hAnsi="Times New Roman" w:cs="Times New Roman"/>
          <w:sz w:val="24"/>
          <w:lang w:val="ro-RO"/>
        </w:rPr>
        <w:t xml:space="preserve"> </w:t>
      </w:r>
      <w:r w:rsidR="00397686" w:rsidRPr="009C5F11">
        <w:rPr>
          <w:rFonts w:ascii="Times New Roman" w:hAnsi="Times New Roman" w:cs="Times New Roman"/>
          <w:sz w:val="24"/>
          <w:lang w:val="ro-RO"/>
        </w:rPr>
        <w:t>un nou</w:t>
      </w:r>
      <w:r w:rsidR="002733CB" w:rsidRPr="009C5F11">
        <w:rPr>
          <w:rFonts w:ascii="Times New Roman" w:hAnsi="Times New Roman" w:cs="Times New Roman"/>
          <w:sz w:val="24"/>
          <w:lang w:val="ro-RO"/>
        </w:rPr>
        <w:t xml:space="preserve"> program </w:t>
      </w:r>
      <w:r w:rsidR="00397686" w:rsidRPr="009C5F11">
        <w:rPr>
          <w:rFonts w:ascii="Times New Roman" w:hAnsi="Times New Roman" w:cs="Times New Roman"/>
          <w:sz w:val="24"/>
          <w:lang w:val="ro-RO"/>
        </w:rPr>
        <w:t>de asistenţă pentru sectorul rezidenţial</w:t>
      </w:r>
      <w:r w:rsidR="002733CB" w:rsidRPr="009C5F11">
        <w:rPr>
          <w:rFonts w:ascii="Times New Roman" w:hAnsi="Times New Roman" w:cs="Times New Roman"/>
          <w:sz w:val="24"/>
          <w:lang w:val="ro-RO"/>
        </w:rPr>
        <w:t>. GGF</w:t>
      </w:r>
      <w:r w:rsidR="00321CD5" w:rsidRPr="009C5F11">
        <w:rPr>
          <w:rFonts w:ascii="Times New Roman" w:hAnsi="Times New Roman" w:cs="Times New Roman"/>
          <w:sz w:val="24"/>
          <w:lang w:val="ro-RO"/>
        </w:rPr>
        <w:t xml:space="preserve"> sau </w:t>
      </w:r>
      <w:r w:rsidR="00397686" w:rsidRPr="009C5F11">
        <w:rPr>
          <w:rFonts w:ascii="Times New Roman" w:hAnsi="Times New Roman" w:cs="Times New Roman"/>
          <w:sz w:val="24"/>
          <w:lang w:val="ro-RO"/>
        </w:rPr>
        <w:t xml:space="preserve">orice altă entitate internaţională sprijină </w:t>
      </w:r>
      <w:r w:rsidRPr="009C5F11">
        <w:rPr>
          <w:rFonts w:ascii="Times New Roman" w:hAnsi="Times New Roman" w:cs="Times New Roman"/>
          <w:sz w:val="24"/>
          <w:lang w:val="ro-RO"/>
        </w:rPr>
        <w:t>FEE</w:t>
      </w:r>
      <w:r w:rsidR="00321CD5" w:rsidRPr="009C5F11">
        <w:rPr>
          <w:rFonts w:ascii="Times New Roman" w:hAnsi="Times New Roman" w:cs="Times New Roman"/>
          <w:sz w:val="24"/>
          <w:lang w:val="ro-RO"/>
        </w:rPr>
        <w:t xml:space="preserve"> în </w:t>
      </w:r>
      <w:r w:rsidR="00397686" w:rsidRPr="009C5F11">
        <w:rPr>
          <w:rFonts w:ascii="Times New Roman" w:hAnsi="Times New Roman" w:cs="Times New Roman"/>
          <w:sz w:val="24"/>
          <w:lang w:val="ro-RO"/>
        </w:rPr>
        <w:t>realizarea acestei</w:t>
      </w:r>
      <w:r w:rsidR="002733CB" w:rsidRPr="009C5F11">
        <w:rPr>
          <w:rFonts w:ascii="Times New Roman" w:hAnsi="Times New Roman" w:cs="Times New Roman"/>
          <w:sz w:val="24"/>
          <w:lang w:val="ro-RO"/>
        </w:rPr>
        <w:t xml:space="preserve"> </w:t>
      </w:r>
      <w:r w:rsidR="00146D3A" w:rsidRPr="009C5F11">
        <w:rPr>
          <w:rFonts w:ascii="Times New Roman" w:hAnsi="Times New Roman" w:cs="Times New Roman"/>
          <w:sz w:val="24"/>
          <w:lang w:val="ro-RO"/>
        </w:rPr>
        <w:t>inițiative</w:t>
      </w:r>
      <w:r w:rsidR="002733CB" w:rsidRPr="009C5F11">
        <w:rPr>
          <w:rFonts w:ascii="Times New Roman" w:hAnsi="Times New Roman" w:cs="Times New Roman"/>
          <w:sz w:val="24"/>
          <w:lang w:val="ro-RO"/>
        </w:rPr>
        <w:t xml:space="preserve">, </w:t>
      </w:r>
      <w:r w:rsidR="00397686" w:rsidRPr="009C5F11">
        <w:rPr>
          <w:rFonts w:ascii="Times New Roman" w:hAnsi="Times New Roman" w:cs="Times New Roman"/>
          <w:sz w:val="24"/>
          <w:lang w:val="ro-RO"/>
        </w:rPr>
        <w:t xml:space="preserve">sporind finanţarea disponibilă </w:t>
      </w:r>
      <w:r w:rsidR="003A5D89" w:rsidRPr="009C5F11">
        <w:rPr>
          <w:rFonts w:ascii="Times New Roman" w:hAnsi="Times New Roman" w:cs="Times New Roman"/>
          <w:sz w:val="24"/>
          <w:lang w:val="ro-RO"/>
        </w:rPr>
        <w:t>până la</w:t>
      </w:r>
      <w:r w:rsidR="002733CB" w:rsidRPr="009C5F11">
        <w:rPr>
          <w:rFonts w:ascii="Times New Roman" w:hAnsi="Times New Roman" w:cs="Times New Roman"/>
          <w:sz w:val="24"/>
          <w:lang w:val="ro-RO"/>
        </w:rPr>
        <w:t xml:space="preserve"> 60</w:t>
      </w:r>
      <w:r w:rsidR="00397686"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 xml:space="preserve">milioane </w:t>
      </w:r>
      <w:r w:rsidR="00397686" w:rsidRPr="009C5F11">
        <w:rPr>
          <w:rFonts w:ascii="Times New Roman" w:hAnsi="Times New Roman" w:cs="Times New Roman"/>
          <w:sz w:val="24"/>
          <w:lang w:val="ro-RO"/>
        </w:rPr>
        <w:t xml:space="preserve">de </w:t>
      </w:r>
      <w:r w:rsidR="00421FA7" w:rsidRPr="009C5F11">
        <w:rPr>
          <w:rFonts w:ascii="Times New Roman" w:hAnsi="Times New Roman" w:cs="Times New Roman"/>
          <w:sz w:val="24"/>
          <w:lang w:val="ro-RO"/>
        </w:rPr>
        <w:t>euro</w:t>
      </w:r>
      <w:r w:rsidR="00397686" w:rsidRPr="009C5F11">
        <w:rPr>
          <w:rFonts w:ascii="Times New Roman" w:hAnsi="Times New Roman" w:cs="Times New Roman"/>
          <w:sz w:val="24"/>
          <w:lang w:val="ro-RO"/>
        </w:rPr>
        <w:t>;</w:t>
      </w:r>
    </w:p>
    <w:p w14:paraId="16D80A29" w14:textId="77777777" w:rsidR="002733CB" w:rsidRPr="009C5F11" w:rsidRDefault="00397686" w:rsidP="00334F3B">
      <w:pPr>
        <w:pStyle w:val="Listparagraf"/>
        <w:numPr>
          <w:ilvl w:val="2"/>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Regulamentul privind etichetarea energetică.</w:t>
      </w:r>
    </w:p>
    <w:p w14:paraId="790A74AC" w14:textId="77777777" w:rsidR="002733CB" w:rsidRPr="009C5F11" w:rsidRDefault="00397686" w:rsidP="00334F3B">
      <w:pPr>
        <w:pStyle w:val="Listparagraf"/>
        <w:numPr>
          <w:ilvl w:val="1"/>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În s</w:t>
      </w:r>
      <w:r w:rsidR="00421FA7" w:rsidRPr="009C5F11">
        <w:rPr>
          <w:rFonts w:ascii="Times New Roman" w:hAnsi="Times New Roman" w:cs="Times New Roman"/>
          <w:sz w:val="24"/>
          <w:lang w:val="ro-RO"/>
        </w:rPr>
        <w:t>ectorul public</w:t>
      </w:r>
      <w:r w:rsidR="002733CB" w:rsidRPr="009C5F11">
        <w:rPr>
          <w:rFonts w:ascii="Times New Roman" w:hAnsi="Times New Roman" w:cs="Times New Roman"/>
          <w:sz w:val="24"/>
          <w:lang w:val="ro-RO"/>
        </w:rPr>
        <w:t>:</w:t>
      </w:r>
    </w:p>
    <w:p w14:paraId="212AEA04" w14:textId="77777777" w:rsidR="002733CB" w:rsidRPr="009C5F11" w:rsidRDefault="00AA0566" w:rsidP="00334F3B">
      <w:pPr>
        <w:pStyle w:val="Listparagraf"/>
        <w:numPr>
          <w:ilvl w:val="2"/>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FEE</w:t>
      </w:r>
      <w:r w:rsidR="00321CD5" w:rsidRPr="009C5F11">
        <w:rPr>
          <w:rFonts w:ascii="Times New Roman" w:hAnsi="Times New Roman" w:cs="Times New Roman"/>
          <w:sz w:val="24"/>
          <w:lang w:val="ro-RO"/>
        </w:rPr>
        <w:t xml:space="preserve"> şi </w:t>
      </w:r>
      <w:r w:rsidR="00F53252" w:rsidRPr="009C5F11">
        <w:rPr>
          <w:rFonts w:ascii="Times New Roman" w:hAnsi="Times New Roman" w:cs="Times New Roman"/>
          <w:sz w:val="24"/>
          <w:lang w:val="ro-RO"/>
        </w:rPr>
        <w:t>FISM</w:t>
      </w:r>
      <w:r w:rsidR="002733CB" w:rsidRPr="009C5F11">
        <w:rPr>
          <w:rFonts w:ascii="Times New Roman" w:hAnsi="Times New Roman" w:cs="Times New Roman"/>
          <w:sz w:val="24"/>
          <w:lang w:val="ro-RO"/>
        </w:rPr>
        <w:t xml:space="preserve"> </w:t>
      </w:r>
      <w:r w:rsidR="00397686" w:rsidRPr="009C5F11">
        <w:rPr>
          <w:rFonts w:ascii="Times New Roman" w:hAnsi="Times New Roman" w:cs="Times New Roman"/>
          <w:sz w:val="24"/>
          <w:lang w:val="ro-RO"/>
        </w:rPr>
        <w:t xml:space="preserve">reuşesc să </w:t>
      </w:r>
      <w:r w:rsidR="00845BBB" w:rsidRPr="009C5F11">
        <w:rPr>
          <w:rFonts w:ascii="Times New Roman" w:hAnsi="Times New Roman" w:cs="Times New Roman"/>
          <w:sz w:val="24"/>
          <w:lang w:val="ro-RO"/>
        </w:rPr>
        <w:t>atingă</w:t>
      </w:r>
      <w:r w:rsidR="00397686" w:rsidRPr="009C5F11">
        <w:rPr>
          <w:rFonts w:ascii="Times New Roman" w:hAnsi="Times New Roman" w:cs="Times New Roman"/>
          <w:sz w:val="24"/>
          <w:lang w:val="ro-RO"/>
        </w:rPr>
        <w:t xml:space="preserve"> acelaşi nivel de </w:t>
      </w:r>
      <w:r w:rsidR="00845BBB" w:rsidRPr="009C5F11">
        <w:rPr>
          <w:rFonts w:ascii="Times New Roman" w:hAnsi="Times New Roman" w:cs="Times New Roman"/>
          <w:sz w:val="24"/>
          <w:lang w:val="ro-RO"/>
        </w:rPr>
        <w:t>succes</w:t>
      </w:r>
      <w:r w:rsidR="00397686" w:rsidRPr="009C5F11">
        <w:rPr>
          <w:rFonts w:ascii="Times New Roman" w:hAnsi="Times New Roman" w:cs="Times New Roman"/>
          <w:sz w:val="24"/>
          <w:lang w:val="ro-RO"/>
        </w:rPr>
        <w:t xml:space="preserve"> ca pe parcursul anilor </w:t>
      </w:r>
      <w:r w:rsidR="002733CB" w:rsidRPr="009C5F11">
        <w:rPr>
          <w:rFonts w:ascii="Times New Roman" w:hAnsi="Times New Roman" w:cs="Times New Roman"/>
          <w:sz w:val="24"/>
          <w:lang w:val="ro-RO"/>
        </w:rPr>
        <w:t>2013-2015</w:t>
      </w:r>
      <w:r w:rsidR="00397686" w:rsidRPr="009C5F11">
        <w:rPr>
          <w:rFonts w:ascii="Times New Roman" w:hAnsi="Times New Roman" w:cs="Times New Roman"/>
          <w:sz w:val="24"/>
          <w:lang w:val="ro-RO"/>
        </w:rPr>
        <w:t>;</w:t>
      </w:r>
    </w:p>
    <w:p w14:paraId="066054ED" w14:textId="77777777" w:rsidR="002733CB" w:rsidRPr="009C5F11" w:rsidRDefault="002733CB" w:rsidP="00334F3B">
      <w:pPr>
        <w:pStyle w:val="Listparagraf"/>
        <w:numPr>
          <w:ilvl w:val="2"/>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E5P </w:t>
      </w:r>
      <w:r w:rsidR="00397686" w:rsidRPr="009C5F11">
        <w:rPr>
          <w:rFonts w:ascii="Times New Roman" w:hAnsi="Times New Roman" w:cs="Times New Roman"/>
          <w:sz w:val="24"/>
          <w:lang w:val="ro-RO"/>
        </w:rPr>
        <w:t>lansează</w:t>
      </w:r>
      <w:r w:rsidRPr="009C5F11">
        <w:rPr>
          <w:rFonts w:ascii="Times New Roman" w:hAnsi="Times New Roman" w:cs="Times New Roman"/>
          <w:sz w:val="24"/>
          <w:lang w:val="ro-RO"/>
        </w:rPr>
        <w:t xml:space="preserve"> </w:t>
      </w:r>
      <w:r w:rsidR="00D77687" w:rsidRPr="009C5F11">
        <w:rPr>
          <w:rFonts w:ascii="Times New Roman" w:hAnsi="Times New Roman" w:cs="Times New Roman"/>
          <w:sz w:val="24"/>
          <w:lang w:val="ro-RO"/>
        </w:rPr>
        <w:t>activităţi</w:t>
      </w:r>
      <w:r w:rsidR="00321CD5" w:rsidRPr="009C5F11">
        <w:rPr>
          <w:rFonts w:ascii="Times New Roman" w:hAnsi="Times New Roman" w:cs="Times New Roman"/>
          <w:sz w:val="24"/>
          <w:lang w:val="ro-RO"/>
        </w:rPr>
        <w:t xml:space="preserve"> </w:t>
      </w:r>
      <w:r w:rsidR="00223DAC" w:rsidRPr="009C5F11">
        <w:rPr>
          <w:rFonts w:ascii="Times New Roman" w:hAnsi="Times New Roman" w:cs="Times New Roman"/>
          <w:sz w:val="24"/>
          <w:lang w:val="ro-RO"/>
        </w:rPr>
        <w:t>în Republica Moldova</w:t>
      </w:r>
      <w:r w:rsidR="00397686" w:rsidRPr="009C5F11">
        <w:rPr>
          <w:rFonts w:ascii="Times New Roman" w:hAnsi="Times New Roman" w:cs="Times New Roman"/>
          <w:sz w:val="24"/>
          <w:lang w:val="ro-RO"/>
        </w:rPr>
        <w:t>;</w:t>
      </w:r>
    </w:p>
    <w:p w14:paraId="38A6C7CA" w14:textId="77777777" w:rsidR="002733CB" w:rsidRPr="009C5F11" w:rsidRDefault="00334DD0" w:rsidP="00334F3B">
      <w:pPr>
        <w:pStyle w:val="Listparagraf"/>
        <w:numPr>
          <w:ilvl w:val="2"/>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În </w:t>
      </w:r>
      <w:r w:rsidR="00F43616" w:rsidRPr="009C5F11">
        <w:rPr>
          <w:rFonts w:ascii="Times New Roman" w:hAnsi="Times New Roman" w:cs="Times New Roman"/>
          <w:sz w:val="24"/>
          <w:lang w:val="ro-RO"/>
        </w:rPr>
        <w:t xml:space="preserve">infrastructura </w:t>
      </w:r>
      <w:r w:rsidR="00845BBB" w:rsidRPr="009C5F11">
        <w:rPr>
          <w:rFonts w:ascii="Times New Roman" w:hAnsi="Times New Roman" w:cs="Times New Roman"/>
          <w:sz w:val="24"/>
          <w:lang w:val="ro-RO"/>
        </w:rPr>
        <w:t>apei</w:t>
      </w:r>
      <w:r w:rsidR="002733CB"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implementarea</w:t>
      </w:r>
      <w:r w:rsidR="002733CB" w:rsidRPr="009C5F11">
        <w:rPr>
          <w:rFonts w:ascii="Times New Roman" w:hAnsi="Times New Roman" w:cs="Times New Roman"/>
          <w:sz w:val="24"/>
          <w:lang w:val="ro-RO"/>
        </w:rPr>
        <w:t xml:space="preserve"> </w:t>
      </w:r>
      <w:r w:rsidR="00397686" w:rsidRPr="009C5F11">
        <w:rPr>
          <w:rFonts w:ascii="Times New Roman" w:hAnsi="Times New Roman" w:cs="Times New Roman"/>
          <w:sz w:val="24"/>
          <w:lang w:val="ro-RO"/>
        </w:rPr>
        <w:t>cu succes a planului de investiţii prioritare de 5 ani pentru Apa Canal Chişinău (ACC) în perioada</w:t>
      </w:r>
      <w:r w:rsidR="002733CB" w:rsidRPr="009C5F11">
        <w:rPr>
          <w:rFonts w:ascii="Times New Roman" w:hAnsi="Times New Roman" w:cs="Times New Roman"/>
          <w:sz w:val="24"/>
          <w:lang w:val="ro-RO"/>
        </w:rPr>
        <w:t xml:space="preserve"> 2015-2019</w:t>
      </w:r>
      <w:r w:rsidR="00397686" w:rsidRPr="009C5F11">
        <w:rPr>
          <w:rFonts w:ascii="Times New Roman" w:hAnsi="Times New Roman" w:cs="Times New Roman"/>
          <w:sz w:val="24"/>
          <w:lang w:val="ro-RO"/>
        </w:rPr>
        <w:t xml:space="preserve">. </w:t>
      </w:r>
    </w:p>
    <w:p w14:paraId="714B52FE" w14:textId="77777777" w:rsidR="002733CB" w:rsidRPr="009C5F11" w:rsidRDefault="00397686" w:rsidP="00334F3B">
      <w:pPr>
        <w:pStyle w:val="Listparagraf"/>
        <w:numPr>
          <w:ilvl w:val="1"/>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În s</w:t>
      </w:r>
      <w:r w:rsidR="00204033" w:rsidRPr="009C5F11">
        <w:rPr>
          <w:rFonts w:ascii="Times New Roman" w:hAnsi="Times New Roman" w:cs="Times New Roman"/>
          <w:sz w:val="24"/>
          <w:lang w:val="ro-RO"/>
        </w:rPr>
        <w:t>ectorul transporturi</w:t>
      </w:r>
      <w:r w:rsidR="002733CB" w:rsidRPr="009C5F11">
        <w:rPr>
          <w:rFonts w:ascii="Times New Roman" w:hAnsi="Times New Roman" w:cs="Times New Roman"/>
          <w:sz w:val="24"/>
          <w:lang w:val="ro-RO"/>
        </w:rPr>
        <w:t>:</w:t>
      </w:r>
    </w:p>
    <w:p w14:paraId="71BBC678" w14:textId="77777777" w:rsidR="002733CB" w:rsidRPr="009C5F11" w:rsidRDefault="00397686" w:rsidP="00334F3B">
      <w:pPr>
        <w:pStyle w:val="Listparagraf"/>
        <w:numPr>
          <w:ilvl w:val="2"/>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M</w:t>
      </w:r>
      <w:r w:rsidR="00E10BE5" w:rsidRPr="009C5F11">
        <w:rPr>
          <w:rFonts w:ascii="Times New Roman" w:hAnsi="Times New Roman" w:cs="Times New Roman"/>
          <w:sz w:val="24"/>
          <w:lang w:val="ro-RO"/>
        </w:rPr>
        <w:t>ăsuri</w:t>
      </w:r>
      <w:r w:rsidRPr="009C5F11">
        <w:rPr>
          <w:rFonts w:ascii="Times New Roman" w:hAnsi="Times New Roman" w:cs="Times New Roman"/>
          <w:sz w:val="24"/>
          <w:lang w:val="ro-RO"/>
        </w:rPr>
        <w:t xml:space="preserve">le propuse sunt </w:t>
      </w:r>
      <w:r w:rsidR="001B3DCF" w:rsidRPr="009C5F11">
        <w:rPr>
          <w:rFonts w:ascii="Times New Roman" w:hAnsi="Times New Roman" w:cs="Times New Roman"/>
          <w:sz w:val="24"/>
          <w:lang w:val="ro-RO"/>
        </w:rPr>
        <w:t>implementat</w:t>
      </w:r>
      <w:r w:rsidRPr="009C5F11">
        <w:rPr>
          <w:rFonts w:ascii="Times New Roman" w:hAnsi="Times New Roman" w:cs="Times New Roman"/>
          <w:sz w:val="24"/>
          <w:lang w:val="ro-RO"/>
        </w:rPr>
        <w: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transportul feroviar, </w:t>
      </w:r>
      <w:r w:rsidR="002733CB" w:rsidRPr="009C5F11">
        <w:rPr>
          <w:rFonts w:ascii="Times New Roman" w:hAnsi="Times New Roman" w:cs="Times New Roman"/>
          <w:sz w:val="24"/>
          <w:lang w:val="ro-RO"/>
        </w:rPr>
        <w:t>infrastructur</w:t>
      </w:r>
      <w:r w:rsidRPr="009C5F11">
        <w:rPr>
          <w:rFonts w:ascii="Times New Roman" w:hAnsi="Times New Roman" w:cs="Times New Roman"/>
          <w:sz w:val="24"/>
          <w:lang w:val="ro-RO"/>
        </w:rPr>
        <w:t xml:space="preserve">a pentru biciclişti </w:t>
      </w:r>
      <w:r w:rsidR="00845BBB" w:rsidRPr="009C5F11">
        <w:rPr>
          <w:rFonts w:ascii="Times New Roman" w:hAnsi="Times New Roman" w:cs="Times New Roman"/>
          <w:sz w:val="24"/>
          <w:lang w:val="ro-RO"/>
        </w:rPr>
        <w:t>di</w:t>
      </w:r>
      <w:r w:rsidR="00321CD5" w:rsidRPr="009C5F11">
        <w:rPr>
          <w:rFonts w:ascii="Times New Roman" w:hAnsi="Times New Roman" w:cs="Times New Roman"/>
          <w:sz w:val="24"/>
          <w:lang w:val="ro-RO"/>
        </w:rPr>
        <w:t xml:space="preserve">n </w:t>
      </w:r>
      <w:r w:rsidR="00AA0566" w:rsidRPr="009C5F11">
        <w:rPr>
          <w:rFonts w:ascii="Times New Roman" w:hAnsi="Times New Roman" w:cs="Times New Roman"/>
          <w:sz w:val="24"/>
          <w:lang w:val="ro-RO"/>
        </w:rPr>
        <w:t>Chişinău</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măsuri de gestionare a </w:t>
      </w:r>
      <w:r w:rsidR="002733CB" w:rsidRPr="009C5F11">
        <w:rPr>
          <w:rFonts w:ascii="Times New Roman" w:hAnsi="Times New Roman" w:cs="Times New Roman"/>
          <w:sz w:val="24"/>
          <w:lang w:val="ro-RO"/>
        </w:rPr>
        <w:t>trafic</w:t>
      </w:r>
      <w:r w:rsidRPr="009C5F11">
        <w:rPr>
          <w:rFonts w:ascii="Times New Roman" w:hAnsi="Times New Roman" w:cs="Times New Roman"/>
          <w:sz w:val="24"/>
          <w:lang w:val="ro-RO"/>
        </w:rPr>
        <w:t>ului</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taxe</w:t>
      </w:r>
      <w:r w:rsidRPr="009C5F11">
        <w:rPr>
          <w:rFonts w:ascii="Times New Roman" w:hAnsi="Times New Roman" w:cs="Times New Roman"/>
          <w:sz w:val="24"/>
          <w:lang w:val="ro-RO"/>
        </w:rPr>
        <w:t xml:space="preserve"> pentru emisiile </w:t>
      </w:r>
      <w:r w:rsidR="002733CB" w:rsidRPr="009C5F11">
        <w:rPr>
          <w:rFonts w:ascii="Times New Roman" w:hAnsi="Times New Roman" w:cs="Times New Roman"/>
          <w:sz w:val="24"/>
          <w:lang w:val="ro-RO"/>
        </w:rPr>
        <w:t>vehic</w:t>
      </w:r>
      <w:r w:rsidR="00346533" w:rsidRPr="009C5F11">
        <w:rPr>
          <w:rFonts w:ascii="Times New Roman" w:hAnsi="Times New Roman" w:cs="Times New Roman"/>
          <w:sz w:val="24"/>
          <w:lang w:val="ro-RO"/>
        </w:rPr>
        <w:t>u</w:t>
      </w:r>
      <w:r w:rsidR="002733CB" w:rsidRPr="009C5F11">
        <w:rPr>
          <w:rFonts w:ascii="Times New Roman" w:hAnsi="Times New Roman" w:cs="Times New Roman"/>
          <w:sz w:val="24"/>
          <w:lang w:val="ro-RO"/>
        </w:rPr>
        <w:t>le</w:t>
      </w:r>
      <w:r w:rsidR="00346533" w:rsidRPr="009C5F11">
        <w:rPr>
          <w:rFonts w:ascii="Times New Roman" w:hAnsi="Times New Roman" w:cs="Times New Roman"/>
          <w:sz w:val="24"/>
          <w:lang w:val="ro-RO"/>
        </w:rPr>
        <w:t>lor</w:t>
      </w:r>
      <w:r w:rsidR="002733CB" w:rsidRPr="009C5F11">
        <w:rPr>
          <w:rFonts w:ascii="Times New Roman" w:hAnsi="Times New Roman" w:cs="Times New Roman"/>
          <w:sz w:val="24"/>
          <w:lang w:val="ro-RO"/>
        </w:rPr>
        <w:t>)</w:t>
      </w:r>
      <w:r w:rsidR="00346533" w:rsidRPr="009C5F11">
        <w:rPr>
          <w:rFonts w:ascii="Times New Roman" w:hAnsi="Times New Roman" w:cs="Times New Roman"/>
          <w:sz w:val="24"/>
          <w:lang w:val="ro-RO"/>
        </w:rPr>
        <w:t>.</w:t>
      </w:r>
    </w:p>
    <w:p w14:paraId="4BB9CE86" w14:textId="77777777" w:rsidR="002733CB" w:rsidRPr="009C5F11" w:rsidRDefault="00397686" w:rsidP="00334F3B">
      <w:pPr>
        <w:pStyle w:val="Listparagraf"/>
        <w:numPr>
          <w:ilvl w:val="1"/>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În s</w:t>
      </w:r>
      <w:r w:rsidR="00AA0566" w:rsidRPr="009C5F11">
        <w:rPr>
          <w:rFonts w:ascii="Times New Roman" w:hAnsi="Times New Roman" w:cs="Times New Roman"/>
          <w:sz w:val="24"/>
          <w:lang w:val="ro-RO"/>
        </w:rPr>
        <w:t>ectorul industrial</w:t>
      </w:r>
      <w:r w:rsidR="002733CB" w:rsidRPr="009C5F11">
        <w:rPr>
          <w:rFonts w:ascii="Times New Roman" w:hAnsi="Times New Roman" w:cs="Times New Roman"/>
          <w:sz w:val="24"/>
          <w:lang w:val="ro-RO"/>
        </w:rPr>
        <w:t>:</w:t>
      </w:r>
    </w:p>
    <w:p w14:paraId="3234B7EF" w14:textId="77777777" w:rsidR="002733CB" w:rsidRPr="009C5F11" w:rsidRDefault="002733CB" w:rsidP="00334F3B">
      <w:pPr>
        <w:pStyle w:val="Listparagraf"/>
        <w:numPr>
          <w:ilvl w:val="2"/>
          <w:numId w:val="168"/>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MoSEFF III </w:t>
      </w:r>
      <w:r w:rsidR="00397686" w:rsidRPr="009C5F11">
        <w:rPr>
          <w:rFonts w:ascii="Times New Roman" w:hAnsi="Times New Roman" w:cs="Times New Roman"/>
          <w:sz w:val="24"/>
          <w:lang w:val="ro-RO"/>
        </w:rPr>
        <w:t>este lansat.</w:t>
      </w:r>
    </w:p>
    <w:p w14:paraId="2B8109B7" w14:textId="77777777" w:rsidR="002733CB" w:rsidRPr="009C5F11" w:rsidRDefault="00EA007D"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Obligaţiile de raportare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ale operatorilor de pe piaţă sunt puse în aplicare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AEE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poate obţine un tablou clar cu privire la situaţia actuală din sector; </w:t>
      </w:r>
    </w:p>
    <w:p w14:paraId="105E8CAC" w14:textId="77777777" w:rsidR="002733CB" w:rsidRPr="009C5F11" w:rsidRDefault="00EA007D"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Sistemul de m</w:t>
      </w:r>
      <w:r w:rsidR="00B40A7C" w:rsidRPr="009C5F11">
        <w:rPr>
          <w:rFonts w:ascii="Times New Roman" w:hAnsi="Times New Roman" w:cs="Times New Roman"/>
          <w:sz w:val="24"/>
          <w:lang w:val="ro-RO"/>
        </w:rPr>
        <w:t>onitorizare</w:t>
      </w:r>
      <w:r w:rsidR="00321CD5" w:rsidRPr="009C5F11">
        <w:rPr>
          <w:rFonts w:ascii="Times New Roman" w:hAnsi="Times New Roman" w:cs="Times New Roman"/>
          <w:sz w:val="24"/>
          <w:lang w:val="ro-RO"/>
        </w:rPr>
        <w:t xml:space="preserve"> şi </w:t>
      </w:r>
      <w:r w:rsidR="00B40A7C" w:rsidRPr="009C5F11">
        <w:rPr>
          <w:rFonts w:ascii="Times New Roman" w:hAnsi="Times New Roman" w:cs="Times New Roman"/>
          <w:sz w:val="24"/>
          <w:lang w:val="ro-RO"/>
        </w:rPr>
        <w:t>verificare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este pus în funcţiune şi este operaţional. </w:t>
      </w:r>
    </w:p>
    <w:p w14:paraId="16475823" w14:textId="77777777" w:rsidR="00FE724D" w:rsidRPr="009C5F11" w:rsidRDefault="00FE724D" w:rsidP="00FE724D">
      <w:pPr>
        <w:pStyle w:val="Listparagraf"/>
        <w:spacing w:before="120" w:after="120" w:line="240" w:lineRule="auto"/>
        <w:ind w:left="1134"/>
        <w:contextualSpacing w:val="0"/>
        <w:jc w:val="both"/>
        <w:rPr>
          <w:rFonts w:ascii="Times New Roman" w:hAnsi="Times New Roman" w:cs="Times New Roman"/>
          <w:sz w:val="24"/>
          <w:lang w:val="ro-RO"/>
        </w:rPr>
      </w:pPr>
    </w:p>
    <w:p w14:paraId="4A0CEC4A" w14:textId="77777777" w:rsidR="002733CB" w:rsidRPr="00D9464A" w:rsidRDefault="00EA007D" w:rsidP="00987292">
      <w:pPr>
        <w:pStyle w:val="Titlu3"/>
        <w:rPr>
          <w:rFonts w:ascii="Times New Roman" w:hAnsi="Times New Roman" w:cs="Times New Roman"/>
          <w:b/>
          <w:color w:val="000000" w:themeColor="text1"/>
          <w:sz w:val="28"/>
          <w:lang w:val="ro-RO"/>
        </w:rPr>
      </w:pPr>
      <w:bookmarkStart w:id="154" w:name="_Toc322013159"/>
      <w:bookmarkStart w:id="155" w:name="_Toc274298532"/>
      <w:bookmarkStart w:id="156" w:name="_Toc274304020"/>
      <w:bookmarkStart w:id="157" w:name="_Ref275814393"/>
      <w:bookmarkStart w:id="158" w:name="_Toc319555393"/>
      <w:r w:rsidRPr="00D9464A">
        <w:rPr>
          <w:rFonts w:ascii="Times New Roman" w:hAnsi="Times New Roman" w:cs="Times New Roman"/>
          <w:b/>
          <w:color w:val="000000" w:themeColor="text1"/>
          <w:sz w:val="28"/>
          <w:lang w:val="ro-RO"/>
        </w:rPr>
        <w:t>Obiectivul naţional pentru clădirile al căror consum de energie este aproape egal cu zero</w:t>
      </w:r>
      <w:bookmarkEnd w:id="154"/>
      <w:r w:rsidRPr="00D9464A">
        <w:rPr>
          <w:rFonts w:ascii="Times New Roman" w:hAnsi="Times New Roman" w:cs="Times New Roman"/>
          <w:b/>
          <w:color w:val="000000" w:themeColor="text1"/>
          <w:sz w:val="28"/>
          <w:lang w:val="ro-RO"/>
        </w:rPr>
        <w:t xml:space="preserve"> </w:t>
      </w:r>
      <w:bookmarkEnd w:id="155"/>
      <w:bookmarkEnd w:id="156"/>
      <w:bookmarkEnd w:id="157"/>
      <w:bookmarkEnd w:id="158"/>
    </w:p>
    <w:p w14:paraId="3F3B6F7E" w14:textId="77777777" w:rsidR="00031CDF" w:rsidRPr="009C5F11" w:rsidRDefault="00EA007D"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bookmarkStart w:id="159" w:name="_Toc274298533"/>
      <w:bookmarkStart w:id="160" w:name="_Toc274304021"/>
      <w:bookmarkStart w:id="161" w:name="_Ref275814395"/>
      <w:r w:rsidRPr="009C5F11">
        <w:rPr>
          <w:rFonts w:ascii="Times New Roman" w:hAnsi="Times New Roman" w:cs="Times New Roman"/>
          <w:sz w:val="24"/>
          <w:lang w:val="ro-RO"/>
        </w:rPr>
        <w:t xml:space="preserve">Obligaţiile în privinţa clădirilor al căror consum de energie este aproape egal cu zero stabilite de Directiva 2010/31/UE urmează a fi respectate în forma în care acestea sunt incorporate şi adaptate de Decizia </w:t>
      </w:r>
      <w:r w:rsidR="002733CB" w:rsidRPr="009C5F11">
        <w:rPr>
          <w:rFonts w:ascii="Times New Roman" w:hAnsi="Times New Roman" w:cs="Times New Roman"/>
          <w:sz w:val="24"/>
          <w:lang w:val="ro-RO"/>
        </w:rPr>
        <w:t>2010/02/MC-EnC.</w:t>
      </w:r>
    </w:p>
    <w:p w14:paraId="0555C2EC" w14:textId="77777777" w:rsidR="00031CDF" w:rsidRPr="009C5F11" w:rsidRDefault="00EA007D"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Din anul</w:t>
      </w:r>
      <w:r w:rsidR="00DE2495" w:rsidRPr="009C5F11">
        <w:rPr>
          <w:rFonts w:ascii="Times New Roman" w:hAnsi="Times New Roman" w:cs="Times New Roman"/>
          <w:sz w:val="24"/>
          <w:lang w:val="ro-RO"/>
        </w:rPr>
        <w:t xml:space="preserve"> 2014</w:t>
      </w:r>
      <w:r w:rsidRPr="009C5F11">
        <w:rPr>
          <w:rFonts w:ascii="Times New Roman" w:hAnsi="Times New Roman" w:cs="Times New Roman"/>
          <w:sz w:val="24"/>
          <w:lang w:val="ro-RO"/>
        </w:rPr>
        <w:t>,</w:t>
      </w:r>
      <w:r w:rsidR="00DE2495" w:rsidRPr="009C5F11">
        <w:rPr>
          <w:rFonts w:ascii="Times New Roman" w:hAnsi="Times New Roman" w:cs="Times New Roman"/>
          <w:sz w:val="24"/>
          <w:lang w:val="ro-RO"/>
        </w:rPr>
        <w:t xml:space="preserve"> </w:t>
      </w:r>
      <w:r w:rsidR="00F03954" w:rsidRPr="009C5F11">
        <w:rPr>
          <w:rFonts w:ascii="Times New Roman" w:hAnsi="Times New Roman" w:cs="Times New Roman"/>
          <w:sz w:val="24"/>
          <w:lang w:val="ro-RO"/>
        </w:rPr>
        <w:t>Legea privind performanţa</w:t>
      </w:r>
      <w:r w:rsidRPr="009C5F11">
        <w:rPr>
          <w:rFonts w:ascii="Times New Roman" w:hAnsi="Times New Roman" w:cs="Times New Roman"/>
          <w:sz w:val="24"/>
          <w:lang w:val="ro-RO"/>
        </w:rPr>
        <w:t xml:space="preserve"> energetică a clădirilor</w:t>
      </w:r>
      <w:r w:rsidR="00DE249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(nr. 128 din </w:t>
      </w:r>
      <w:r w:rsidR="00F03954" w:rsidRPr="009C5F11">
        <w:rPr>
          <w:rFonts w:ascii="Times New Roman" w:hAnsi="Times New Roman" w:cs="Times New Roman"/>
          <w:sz w:val="24"/>
          <w:lang w:val="ro-RO"/>
        </w:rPr>
        <w:t>11.07.2014</w:t>
      </w:r>
      <w:r w:rsidRPr="009C5F11">
        <w:rPr>
          <w:rFonts w:ascii="Times New Roman" w:hAnsi="Times New Roman" w:cs="Times New Roman"/>
          <w:sz w:val="24"/>
          <w:lang w:val="ro-RO"/>
        </w:rPr>
        <w:t xml:space="preserve">) a devenit documentul central </w:t>
      </w:r>
      <w:r w:rsidR="00125D15" w:rsidRPr="009C5F11">
        <w:rPr>
          <w:rFonts w:ascii="Times New Roman" w:hAnsi="Times New Roman" w:cs="Times New Roman"/>
          <w:sz w:val="24"/>
          <w:lang w:val="ro-RO"/>
        </w:rPr>
        <w:t>pentru</w:t>
      </w:r>
      <w:r w:rsidR="00DE2495" w:rsidRPr="009C5F11">
        <w:rPr>
          <w:rFonts w:ascii="Times New Roman" w:hAnsi="Times New Roman" w:cs="Times New Roman"/>
          <w:sz w:val="24"/>
          <w:lang w:val="ro-RO"/>
        </w:rPr>
        <w:t xml:space="preserve"> sector. </w:t>
      </w:r>
      <w:r w:rsidR="00401F29" w:rsidRPr="009C5F11">
        <w:rPr>
          <w:rFonts w:ascii="Times New Roman" w:hAnsi="Times New Roman" w:cs="Times New Roman"/>
          <w:sz w:val="24"/>
          <w:lang w:val="ro-RO"/>
        </w:rPr>
        <w:t>Cu toate acestea</w:t>
      </w:r>
      <w:r w:rsidR="00DE2495" w:rsidRPr="009C5F11">
        <w:rPr>
          <w:rFonts w:ascii="Times New Roman" w:hAnsi="Times New Roman" w:cs="Times New Roman"/>
          <w:sz w:val="24"/>
          <w:lang w:val="ro-RO"/>
        </w:rPr>
        <w:t xml:space="preserve">, </w:t>
      </w:r>
      <w:r w:rsidR="00891C60" w:rsidRPr="009C5F11">
        <w:rPr>
          <w:rFonts w:ascii="Times New Roman" w:hAnsi="Times New Roman" w:cs="Times New Roman"/>
          <w:sz w:val="24"/>
          <w:lang w:val="ro-RO"/>
        </w:rPr>
        <w:t xml:space="preserve">chiar şi </w:t>
      </w:r>
      <w:r w:rsidRPr="009C5F11">
        <w:rPr>
          <w:rFonts w:ascii="Times New Roman" w:hAnsi="Times New Roman" w:cs="Times New Roman"/>
          <w:sz w:val="24"/>
          <w:lang w:val="ro-RO"/>
        </w:rPr>
        <w:t>până la intrarea în vigoare a legii</w:t>
      </w:r>
      <w:r w:rsidR="00DE249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legislaţia naţională</w:t>
      </w:r>
      <w:r w:rsidR="00DE249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prevedea un set de dispoziţii în acest sens</w:t>
      </w:r>
      <w:r w:rsidR="00DE2495" w:rsidRPr="009C5F11">
        <w:rPr>
          <w:rFonts w:ascii="Times New Roman" w:hAnsi="Times New Roman" w:cs="Times New Roman"/>
          <w:sz w:val="24"/>
          <w:lang w:val="ro-RO"/>
        </w:rPr>
        <w:t>.</w:t>
      </w:r>
    </w:p>
    <w:p w14:paraId="0E1FDC50" w14:textId="46239926" w:rsidR="00770E44" w:rsidRPr="009C5F11" w:rsidRDefault="001B1A25"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În conformitate cu</w:t>
      </w:r>
      <w:r w:rsidR="00770E44" w:rsidRPr="009C5F11">
        <w:rPr>
          <w:rFonts w:ascii="Times New Roman" w:hAnsi="Times New Roman" w:cs="Times New Roman"/>
          <w:sz w:val="24"/>
          <w:lang w:val="ro-RO"/>
        </w:rPr>
        <w:t xml:space="preserve"> </w:t>
      </w:r>
      <w:r w:rsidR="00204033" w:rsidRPr="009C5F11">
        <w:rPr>
          <w:rFonts w:ascii="Times New Roman" w:hAnsi="Times New Roman" w:cs="Times New Roman"/>
          <w:i/>
          <w:sz w:val="24"/>
          <w:u w:val="single"/>
          <w:lang w:val="ro-RO"/>
        </w:rPr>
        <w:t>Programul naţional pentru eficienţă energetică</w:t>
      </w:r>
      <w:r w:rsidR="00770E44" w:rsidRPr="009C5F11">
        <w:rPr>
          <w:rFonts w:ascii="Times New Roman" w:hAnsi="Times New Roman" w:cs="Times New Roman"/>
          <w:i/>
          <w:sz w:val="24"/>
          <w:u w:val="single"/>
          <w:lang w:val="ro-RO"/>
        </w:rPr>
        <w:t xml:space="preserve"> 2011-2020</w:t>
      </w:r>
      <w:r w:rsidR="00770E44" w:rsidRPr="009C5F11">
        <w:rPr>
          <w:rFonts w:ascii="Times New Roman" w:hAnsi="Times New Roman" w:cs="Times New Roman"/>
          <w:sz w:val="24"/>
          <w:lang w:val="ro-RO"/>
        </w:rPr>
        <w:t xml:space="preserve">, </w:t>
      </w:r>
      <w:r w:rsidR="00127723" w:rsidRPr="009C5F11">
        <w:rPr>
          <w:rFonts w:ascii="Times New Roman" w:hAnsi="Times New Roman" w:cs="Times New Roman"/>
          <w:sz w:val="24"/>
          <w:lang w:val="ro-RO"/>
        </w:rPr>
        <w:t>Capitolul</w:t>
      </w:r>
      <w:r w:rsidR="00770E44" w:rsidRPr="009C5F11">
        <w:rPr>
          <w:rFonts w:ascii="Times New Roman" w:hAnsi="Times New Roman" w:cs="Times New Roman"/>
          <w:sz w:val="24"/>
          <w:lang w:val="ro-RO"/>
        </w:rPr>
        <w:t xml:space="preserve"> VI, “</w:t>
      </w:r>
      <w:r w:rsidR="003A2F50" w:rsidRPr="009C5F11">
        <w:rPr>
          <w:rFonts w:ascii="Times New Roman" w:hAnsi="Times New Roman" w:cs="Times New Roman"/>
          <w:sz w:val="24"/>
          <w:lang w:val="ro-RO"/>
        </w:rPr>
        <w:t>Sectorul construcţii</w:t>
      </w:r>
      <w:r w:rsidR="00A322B4" w:rsidRPr="009C5F11">
        <w:rPr>
          <w:rFonts w:ascii="Times New Roman" w:hAnsi="Times New Roman" w:cs="Times New Roman"/>
          <w:sz w:val="24"/>
          <w:lang w:val="ro-RO"/>
        </w:rPr>
        <w:t>lor</w:t>
      </w:r>
      <w:r w:rsidR="00770E44" w:rsidRPr="009C5F11">
        <w:rPr>
          <w:rFonts w:ascii="Times New Roman" w:hAnsi="Times New Roman" w:cs="Times New Roman"/>
          <w:sz w:val="24"/>
          <w:lang w:val="ro-RO"/>
        </w:rPr>
        <w:t xml:space="preserve">”, </w:t>
      </w:r>
      <w:r w:rsidR="00A322B4" w:rsidRPr="009C5F11">
        <w:rPr>
          <w:rFonts w:ascii="Times New Roman" w:hAnsi="Times New Roman" w:cs="Times New Roman"/>
          <w:sz w:val="24"/>
          <w:lang w:val="ro-RO"/>
        </w:rPr>
        <w:t>punctul</w:t>
      </w:r>
      <w:r w:rsidR="00770E44" w:rsidRPr="009C5F11">
        <w:rPr>
          <w:rFonts w:ascii="Times New Roman" w:hAnsi="Times New Roman" w:cs="Times New Roman"/>
          <w:sz w:val="24"/>
          <w:lang w:val="ro-RO"/>
        </w:rPr>
        <w:t xml:space="preserve"> 7 “</w:t>
      </w:r>
      <w:r w:rsidR="00A322B4" w:rsidRPr="009C5F11">
        <w:rPr>
          <w:rFonts w:ascii="Times New Roman" w:hAnsi="Times New Roman" w:cs="Times New Roman"/>
          <w:sz w:val="24"/>
          <w:lang w:val="ro-RO"/>
        </w:rPr>
        <w:t>Clădiri cu consum energetic aproape egal cu zero</w:t>
      </w:r>
      <w:r w:rsidR="00770E44" w:rsidRPr="009C5F11">
        <w:rPr>
          <w:rFonts w:ascii="Times New Roman" w:hAnsi="Times New Roman" w:cs="Times New Roman"/>
          <w:sz w:val="24"/>
          <w:lang w:val="ro-RO"/>
        </w:rPr>
        <w:t xml:space="preserve">”, </w:t>
      </w:r>
      <w:r w:rsidR="00A322B4" w:rsidRPr="009C5F11">
        <w:rPr>
          <w:rFonts w:ascii="Times New Roman" w:hAnsi="Times New Roman" w:cs="Times New Roman"/>
          <w:sz w:val="24"/>
          <w:lang w:val="ro-RO"/>
        </w:rPr>
        <w:t>autoritatea publică centrală responsabilă pentru gestionarea sectorului construcţiilor urmează să elaboreze 2 documente strategice</w:t>
      </w:r>
      <w:r w:rsidR="00770E44" w:rsidRPr="009C5F11">
        <w:rPr>
          <w:rFonts w:ascii="Times New Roman" w:hAnsi="Times New Roman" w:cs="Times New Roman"/>
          <w:sz w:val="24"/>
          <w:lang w:val="ro-RO"/>
        </w:rPr>
        <w:t xml:space="preserve">: </w:t>
      </w:r>
    </w:p>
    <w:p w14:paraId="7753A5E7" w14:textId="77777777" w:rsidR="00770E44" w:rsidRPr="009C5F11" w:rsidRDefault="00A322B4" w:rsidP="00604FAB">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lastRenderedPageBreak/>
        <w:t>”</w:t>
      </w:r>
      <w:r w:rsidRPr="009C5F11">
        <w:rPr>
          <w:rFonts w:ascii="Times New Roman" w:eastAsia="Times New Roman" w:hAnsi="Times New Roman" w:cs="Times New Roman"/>
          <w:i/>
          <w:color w:val="000000"/>
          <w:szCs w:val="18"/>
          <w:lang w:val="ro-RO"/>
        </w:rPr>
        <w:t>un program pentru majorarea treptată a numărului de clădiri cu consumul energetic aproape de zero în sectorul public</w:t>
      </w:r>
      <w:r w:rsidR="00770E44" w:rsidRPr="009C5F11">
        <w:rPr>
          <w:rFonts w:ascii="Times New Roman" w:hAnsi="Times New Roman" w:cs="Times New Roman"/>
          <w:i/>
          <w:szCs w:val="18"/>
          <w:lang w:val="ro-RO"/>
        </w:rPr>
        <w:t>”</w:t>
      </w:r>
      <w:r w:rsidRPr="009C5F11">
        <w:rPr>
          <w:rFonts w:ascii="Times New Roman" w:hAnsi="Times New Roman" w:cs="Times New Roman"/>
          <w:i/>
          <w:szCs w:val="18"/>
          <w:lang w:val="ro-RO"/>
        </w:rPr>
        <w:t>;</w:t>
      </w:r>
      <w:r w:rsidR="00770E44" w:rsidRPr="009C5F11">
        <w:rPr>
          <w:rFonts w:ascii="Times New Roman" w:hAnsi="Times New Roman" w:cs="Times New Roman"/>
          <w:i/>
          <w:szCs w:val="18"/>
          <w:lang w:val="ro-RO"/>
        </w:rPr>
        <w:t xml:space="preserve"> </w:t>
      </w:r>
    </w:p>
    <w:p w14:paraId="5F107BA3" w14:textId="77777777" w:rsidR="00770E44" w:rsidRPr="009C5F11" w:rsidRDefault="00770E44" w:rsidP="00604FAB">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w:t>
      </w:r>
      <w:r w:rsidR="00A322B4" w:rsidRPr="009C5F11">
        <w:rPr>
          <w:rFonts w:ascii="Times New Roman" w:eastAsia="Times New Roman" w:hAnsi="Times New Roman" w:cs="Times New Roman"/>
          <w:i/>
          <w:color w:val="000000"/>
          <w:szCs w:val="18"/>
          <w:lang w:val="ro-RO"/>
        </w:rPr>
        <w:t>un plan naţional pentru majorarea treptată a numărului de clădiri, altele decât cele cu destinaţie publică, cu consumul de energie aproape egal cu zero</w:t>
      </w:r>
      <w:r w:rsidR="00A322B4" w:rsidRPr="009C5F11">
        <w:rPr>
          <w:rFonts w:ascii="Times New Roman" w:eastAsia="Times New Roman" w:hAnsi="Times New Roman" w:cs="Times New Roman"/>
          <w:i/>
          <w:szCs w:val="18"/>
          <w:lang w:val="ro-RO"/>
        </w:rPr>
        <w:t xml:space="preserve">. </w:t>
      </w:r>
      <w:r w:rsidR="00A322B4" w:rsidRPr="009C5F11">
        <w:rPr>
          <w:rFonts w:ascii="Times New Roman" w:eastAsia="Times New Roman" w:hAnsi="Times New Roman" w:cs="Times New Roman"/>
          <w:i/>
          <w:color w:val="000000"/>
          <w:szCs w:val="18"/>
          <w:lang w:val="ro-RO"/>
        </w:rPr>
        <w:t>Planul va cuprinde obiectivele intermediare privind îmbunătăţirea performanţei energetice a clădirilor noi până în anul 2015, informaţii privind politicile şi măsurile financiare sau de altă natură, inclusiv detalii privind cerinţele şi măsurile naţionale referitoare la utilizarea energiei din surse regenerabile în clădirile noi şi clădirile existente supuse renovărilor majore</w:t>
      </w:r>
      <w:r w:rsidRPr="009C5F11">
        <w:rPr>
          <w:rFonts w:ascii="Times New Roman" w:hAnsi="Times New Roman" w:cs="Times New Roman"/>
          <w:i/>
          <w:szCs w:val="18"/>
          <w:lang w:val="ro-RO"/>
        </w:rPr>
        <w:t>”.</w:t>
      </w:r>
    </w:p>
    <w:p w14:paraId="16640BA3" w14:textId="77777777" w:rsidR="00FB73C0" w:rsidRPr="009C5F11" w:rsidRDefault="00FB73C0" w:rsidP="00604FAB">
      <w:pPr>
        <w:spacing w:before="120" w:after="120" w:line="240" w:lineRule="auto"/>
        <w:jc w:val="both"/>
        <w:textAlignment w:val="baseline"/>
        <w:rPr>
          <w:rFonts w:ascii="Times New Roman" w:hAnsi="Times New Roman" w:cs="Times New Roman"/>
          <w:sz w:val="24"/>
          <w:lang w:val="ro-RO"/>
        </w:rPr>
      </w:pPr>
    </w:p>
    <w:p w14:paraId="171F2384" w14:textId="2FF6A7F0" w:rsidR="00770E44" w:rsidRPr="009C5F11" w:rsidRDefault="00204033"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Programul naţional pentru eficienţă energetică</w:t>
      </w:r>
      <w:r w:rsidR="00770E44" w:rsidRPr="009C5F11">
        <w:rPr>
          <w:rFonts w:ascii="Times New Roman" w:hAnsi="Times New Roman" w:cs="Times New Roman"/>
          <w:sz w:val="24"/>
          <w:lang w:val="ro-RO"/>
        </w:rPr>
        <w:t xml:space="preserve"> 2011-2020 </w:t>
      </w:r>
      <w:r w:rsidRPr="009C5F11">
        <w:rPr>
          <w:rFonts w:ascii="Times New Roman" w:hAnsi="Times New Roman" w:cs="Times New Roman"/>
          <w:sz w:val="24"/>
          <w:lang w:val="ro-RO"/>
        </w:rPr>
        <w:t>stabileşte următorul obiectiv</w:t>
      </w:r>
      <w:r w:rsidR="00770E44" w:rsidRPr="009C5F11">
        <w:rPr>
          <w:rFonts w:ascii="Times New Roman" w:hAnsi="Times New Roman" w:cs="Times New Roman"/>
          <w:sz w:val="24"/>
          <w:lang w:val="ro-RO"/>
        </w:rPr>
        <w:t>:</w:t>
      </w:r>
    </w:p>
    <w:p w14:paraId="20A23461" w14:textId="77777777" w:rsidR="00770E44" w:rsidRPr="009C5F11" w:rsidRDefault="00770E44" w:rsidP="00604FAB">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w:t>
      </w:r>
      <w:r w:rsidR="008D3BD0" w:rsidRPr="009C5F11">
        <w:rPr>
          <w:rFonts w:ascii="Times New Roman" w:eastAsia="Times New Roman" w:hAnsi="Times New Roman" w:cs="Times New Roman"/>
          <w:i/>
          <w:color w:val="000000"/>
          <w:szCs w:val="18"/>
          <w:lang w:val="ro-RO"/>
        </w:rPr>
        <w:t>Începând cu 31 decembrie 2018, clădirile noi ocupate şi deţinute de autorităţile publice vor fi clădiri al căror consum de energie este aproape egal cu zero</w:t>
      </w:r>
      <w:r w:rsidRPr="009C5F11">
        <w:rPr>
          <w:rFonts w:ascii="Times New Roman" w:hAnsi="Times New Roman" w:cs="Times New Roman"/>
          <w:i/>
          <w:szCs w:val="18"/>
          <w:lang w:val="ro-RO"/>
        </w:rPr>
        <w:t>.”</w:t>
      </w:r>
    </w:p>
    <w:p w14:paraId="09C03446" w14:textId="77777777" w:rsidR="00FB73C0" w:rsidRPr="009C5F11" w:rsidRDefault="00FB73C0" w:rsidP="00604FAB">
      <w:pPr>
        <w:spacing w:before="120" w:after="120" w:line="240" w:lineRule="auto"/>
        <w:jc w:val="both"/>
        <w:textAlignment w:val="baseline"/>
        <w:rPr>
          <w:rFonts w:ascii="Times New Roman" w:eastAsia="Times New Roman" w:hAnsi="Times New Roman" w:cs="Times New Roman"/>
          <w:sz w:val="24"/>
          <w:lang w:val="ro-RO"/>
        </w:rPr>
      </w:pPr>
    </w:p>
    <w:p w14:paraId="179BD816" w14:textId="77777777" w:rsidR="00031CDF" w:rsidRPr="009C5F11" w:rsidRDefault="008D3BD0"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eastAsia="Times New Roman" w:hAnsi="Times New Roman" w:cs="Times New Roman"/>
          <w:sz w:val="24"/>
          <w:lang w:val="ro-RO"/>
        </w:rPr>
        <w:t>Această dispoziţie din PNEE 2011-2020 pune în aplicare cerinţele prevăzute la Articolul 9 alineatul 1 litera (b) din DPEC în redacţia existentă, fără a examina adaptarea ulterioară a acesteia cadrului Comunităţii Energetice stabilit prin Decizia 2010/02/MC-EnC.</w:t>
      </w:r>
    </w:p>
    <w:p w14:paraId="7378C119" w14:textId="77777777" w:rsidR="00031CDF" w:rsidRPr="009C5F11" w:rsidRDefault="00204033"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Planul naţional de acţiuni în domeniul eficienţei energetice</w:t>
      </w:r>
      <w:r w:rsidR="00770E44" w:rsidRPr="009C5F11">
        <w:rPr>
          <w:rFonts w:ascii="Times New Roman" w:hAnsi="Times New Roman" w:cs="Times New Roman"/>
          <w:sz w:val="24"/>
          <w:lang w:val="ro-RO"/>
        </w:rPr>
        <w:t xml:space="preserve"> 2013-2015 </w:t>
      </w:r>
      <w:r w:rsidR="008D3BD0" w:rsidRPr="009C5F11">
        <w:rPr>
          <w:rFonts w:ascii="Times New Roman" w:eastAsia="Times New Roman" w:hAnsi="Times New Roman" w:cs="Times New Roman"/>
          <w:sz w:val="24"/>
          <w:lang w:val="ro-RO"/>
        </w:rPr>
        <w:t xml:space="preserve">a preluat obiectivul PNEE 2011-2020, dar nu şi dispoziţiile referitoare la existenţa unui program naţional şi a unui plan naţional </w:t>
      </w:r>
      <w:r w:rsidR="008D3BD0" w:rsidRPr="009C5F11">
        <w:rPr>
          <w:rFonts w:ascii="Times New Roman" w:eastAsia="Times New Roman" w:hAnsi="Times New Roman" w:cs="Times New Roman"/>
          <w:color w:val="000000"/>
          <w:sz w:val="24"/>
          <w:lang w:val="ro-RO"/>
        </w:rPr>
        <w:t xml:space="preserve">pentru </w:t>
      </w:r>
      <w:r w:rsidR="00125D15" w:rsidRPr="009C5F11">
        <w:rPr>
          <w:rFonts w:ascii="Times New Roman" w:eastAsia="Times New Roman" w:hAnsi="Times New Roman" w:cs="Times New Roman"/>
          <w:color w:val="000000"/>
          <w:sz w:val="24"/>
          <w:lang w:val="ro-RO"/>
        </w:rPr>
        <w:t>creşterea</w:t>
      </w:r>
      <w:r w:rsidR="008D3BD0" w:rsidRPr="009C5F11">
        <w:rPr>
          <w:rFonts w:ascii="Times New Roman" w:eastAsia="Times New Roman" w:hAnsi="Times New Roman" w:cs="Times New Roman"/>
          <w:color w:val="000000"/>
          <w:sz w:val="24"/>
          <w:lang w:val="ro-RO"/>
        </w:rPr>
        <w:t xml:space="preserve"> treptată a numărului de clădiri cu consumul energetic aproape de zero</w:t>
      </w:r>
      <w:r w:rsidR="008D3BD0" w:rsidRPr="009C5F11">
        <w:rPr>
          <w:rFonts w:ascii="Times New Roman" w:eastAsia="Times New Roman" w:hAnsi="Times New Roman" w:cs="Times New Roman"/>
          <w:sz w:val="24"/>
          <w:lang w:val="ro-RO"/>
        </w:rPr>
        <w:t>. Cu toate acestea, PNAEE include activităţi în cadrul măsurii “</w:t>
      </w:r>
      <w:r w:rsidR="008D3BD0" w:rsidRPr="009C5F11">
        <w:rPr>
          <w:rFonts w:ascii="Times New Roman" w:hAnsi="Times New Roman" w:cs="Times New Roman"/>
          <w:sz w:val="24"/>
          <w:lang w:val="ro-RO"/>
        </w:rPr>
        <w:t>Promovarea clădirilor al căror consum de energie este aproape egal cu zero</w:t>
      </w:r>
      <w:r w:rsidR="008D3BD0" w:rsidRPr="009C5F11">
        <w:rPr>
          <w:rFonts w:ascii="Times New Roman" w:eastAsia="Times New Roman" w:hAnsi="Times New Roman" w:cs="Times New Roman"/>
          <w:sz w:val="24"/>
          <w:lang w:val="ro-RO"/>
        </w:rPr>
        <w:t xml:space="preserve">”, inclusiv </w:t>
      </w:r>
      <w:r w:rsidR="008D3BD0" w:rsidRPr="009C5F11">
        <w:rPr>
          <w:rFonts w:ascii="Times New Roman" w:hAnsi="Times New Roman" w:cs="Times New Roman"/>
          <w:sz w:val="24"/>
          <w:lang w:val="ro-RO"/>
        </w:rPr>
        <w:t>elaborarea caietului de sarcini pentru efectuarea unui studiu de fezabilitate privind clădirile al căror consum de energie este aproape egal cu zero</w:t>
      </w:r>
      <w:r w:rsidR="008D3BD0" w:rsidRPr="009C5F11">
        <w:rPr>
          <w:rFonts w:ascii="Times New Roman" w:eastAsia="Times New Roman" w:hAnsi="Times New Roman" w:cs="Times New Roman"/>
          <w:sz w:val="24"/>
          <w:lang w:val="ro-RO"/>
        </w:rPr>
        <w:t xml:space="preserve"> şi </w:t>
      </w:r>
      <w:r w:rsidR="008D3BD0" w:rsidRPr="009C5F11">
        <w:rPr>
          <w:rFonts w:ascii="Times New Roman" w:hAnsi="Times New Roman" w:cs="Times New Roman"/>
          <w:sz w:val="24"/>
          <w:lang w:val="ro-RO"/>
        </w:rPr>
        <w:t>elaborarea unui studiu de fezabilitate privind clădirile al căror consum de energie este aproape egal cu zero</w:t>
      </w:r>
      <w:r w:rsidR="008D3BD0" w:rsidRPr="009C5F11">
        <w:rPr>
          <w:rFonts w:ascii="Times New Roman" w:eastAsia="Times New Roman" w:hAnsi="Times New Roman" w:cs="Times New Roman"/>
          <w:sz w:val="24"/>
          <w:lang w:val="ro-RO"/>
        </w:rPr>
        <w:t>.</w:t>
      </w:r>
      <w:r w:rsidR="00770E44" w:rsidRPr="009C5F11">
        <w:rPr>
          <w:rFonts w:ascii="Times New Roman" w:hAnsi="Times New Roman" w:cs="Times New Roman"/>
          <w:sz w:val="24"/>
          <w:lang w:val="ro-RO"/>
        </w:rPr>
        <w:t xml:space="preserve"> </w:t>
      </w:r>
    </w:p>
    <w:p w14:paraId="081F9C1A" w14:textId="7A94C2BB" w:rsidR="00770E44" w:rsidRPr="009C5F11" w:rsidRDefault="008D3BD0"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eastAsia="Times New Roman" w:hAnsi="Times New Roman" w:cs="Times New Roman"/>
          <w:sz w:val="24"/>
          <w:lang w:val="ro-RO"/>
        </w:rPr>
        <w:t xml:space="preserve">Printre măsurile planificate pentru trimestrul IV 2013, </w:t>
      </w:r>
      <w:r w:rsidRPr="009C5F11">
        <w:rPr>
          <w:rFonts w:ascii="Times New Roman" w:eastAsia="Times New Roman" w:hAnsi="Times New Roman" w:cs="Times New Roman"/>
          <w:i/>
          <w:sz w:val="24"/>
          <w:u w:val="single"/>
          <w:lang w:val="ro-RO"/>
        </w:rPr>
        <w:t>Foaia de parcurs pentru eficienţa energetică a clădirilor</w:t>
      </w:r>
      <w:r w:rsidRPr="009C5F11">
        <w:rPr>
          <w:rFonts w:ascii="Times New Roman" w:eastAsia="Times New Roman" w:hAnsi="Times New Roman" w:cs="Times New Roman"/>
          <w:sz w:val="24"/>
          <w:lang w:val="ro-RO"/>
        </w:rPr>
        <w:t>, adoptată în 2012, prevede elaborarea</w:t>
      </w:r>
      <w:r w:rsidR="00770E44" w:rsidRPr="009C5F11">
        <w:rPr>
          <w:rFonts w:ascii="Times New Roman" w:hAnsi="Times New Roman" w:cs="Times New Roman"/>
          <w:sz w:val="24"/>
          <w:lang w:val="ro-RO"/>
        </w:rPr>
        <w:t>:</w:t>
      </w:r>
    </w:p>
    <w:p w14:paraId="3FB43869" w14:textId="77777777" w:rsidR="008D3BD0" w:rsidRPr="009C5F11" w:rsidRDefault="008D3BD0" w:rsidP="00531098">
      <w:pPr>
        <w:pStyle w:val="Listparagraf"/>
        <w:numPr>
          <w:ilvl w:val="0"/>
          <w:numId w:val="21"/>
        </w:numPr>
        <w:autoSpaceDE w:val="0"/>
        <w:autoSpaceDN w:val="0"/>
        <w:adjustRightInd w:val="0"/>
        <w:spacing w:before="240"/>
        <w:jc w:val="both"/>
        <w:rPr>
          <w:rFonts w:ascii="Times New Roman" w:eastAsia="Times New Roman" w:hAnsi="Times New Roman" w:cs="Times New Roman"/>
          <w:sz w:val="24"/>
          <w:lang w:val="ro-RO"/>
        </w:rPr>
      </w:pPr>
      <w:r w:rsidRPr="009C5F11">
        <w:rPr>
          <w:rFonts w:ascii="Times New Roman" w:eastAsia="Times New Roman" w:hAnsi="Times New Roman" w:cs="Times New Roman"/>
          <w:sz w:val="24"/>
          <w:lang w:val="ro-RO"/>
        </w:rPr>
        <w:t>unui document strategic unic: planul de acţiuni,</w:t>
      </w:r>
    </w:p>
    <w:p w14:paraId="7FE4D900" w14:textId="77777777" w:rsidR="008D3BD0" w:rsidRPr="009C5F11" w:rsidRDefault="00014D6B" w:rsidP="00531098">
      <w:pPr>
        <w:pStyle w:val="Listparagraf"/>
        <w:numPr>
          <w:ilvl w:val="0"/>
          <w:numId w:val="21"/>
        </w:numPr>
        <w:autoSpaceDE w:val="0"/>
        <w:autoSpaceDN w:val="0"/>
        <w:adjustRightInd w:val="0"/>
        <w:spacing w:before="240"/>
        <w:jc w:val="both"/>
        <w:rPr>
          <w:rFonts w:ascii="Times New Roman" w:eastAsia="Times New Roman" w:hAnsi="Times New Roman" w:cs="Times New Roman"/>
          <w:sz w:val="24"/>
          <w:lang w:val="ro-RO"/>
        </w:rPr>
      </w:pPr>
      <w:r w:rsidRPr="009C5F11">
        <w:rPr>
          <w:rFonts w:ascii="Times New Roman" w:eastAsia="Times New Roman" w:hAnsi="Times New Roman" w:cs="Times New Roman"/>
          <w:sz w:val="24"/>
          <w:lang w:val="ro-RO"/>
        </w:rPr>
        <w:t xml:space="preserve">a </w:t>
      </w:r>
      <w:r w:rsidR="008D3BD0" w:rsidRPr="009C5F11">
        <w:rPr>
          <w:rFonts w:ascii="Times New Roman" w:eastAsia="Times New Roman" w:hAnsi="Times New Roman" w:cs="Times New Roman"/>
          <w:sz w:val="24"/>
          <w:lang w:val="ro-RO"/>
        </w:rPr>
        <w:t xml:space="preserve">unui studiu de fezabilitate privind utilizarea </w:t>
      </w:r>
      <w:r w:rsidR="00610318" w:rsidRPr="009C5F11">
        <w:rPr>
          <w:rFonts w:ascii="Times New Roman" w:eastAsia="Times New Roman" w:hAnsi="Times New Roman" w:cs="Times New Roman"/>
          <w:sz w:val="24"/>
          <w:lang w:val="ro-RO"/>
        </w:rPr>
        <w:t>ESR</w:t>
      </w:r>
      <w:r w:rsidR="008D3BD0" w:rsidRPr="009C5F11">
        <w:rPr>
          <w:rFonts w:ascii="Times New Roman" w:eastAsia="Times New Roman" w:hAnsi="Times New Roman" w:cs="Times New Roman"/>
          <w:sz w:val="24"/>
          <w:lang w:val="ro-RO"/>
        </w:rPr>
        <w:t xml:space="preserve"> pentru promovarea </w:t>
      </w:r>
      <w:r w:rsidR="008D3BD0" w:rsidRPr="009C5F11">
        <w:rPr>
          <w:rFonts w:ascii="Times New Roman" w:hAnsi="Times New Roman" w:cs="Times New Roman"/>
          <w:sz w:val="24"/>
          <w:lang w:val="ro-RO"/>
        </w:rPr>
        <w:t>clădirilor al căror consum de energie este aproape egal cu zero,</w:t>
      </w:r>
      <w:r w:rsidR="008D3BD0" w:rsidRPr="009C5F11">
        <w:rPr>
          <w:rFonts w:ascii="Times New Roman" w:eastAsia="Times New Roman" w:hAnsi="Times New Roman" w:cs="Times New Roman"/>
          <w:sz w:val="24"/>
          <w:lang w:val="ro-RO"/>
        </w:rPr>
        <w:t xml:space="preserve"> şi </w:t>
      </w:r>
    </w:p>
    <w:p w14:paraId="5E959CB8" w14:textId="77777777" w:rsidR="00031CDF" w:rsidRPr="009C5F11" w:rsidRDefault="00014D6B" w:rsidP="00031CDF">
      <w:pPr>
        <w:pStyle w:val="Listparagraf"/>
        <w:numPr>
          <w:ilvl w:val="0"/>
          <w:numId w:val="21"/>
        </w:numPr>
        <w:autoSpaceDE w:val="0"/>
        <w:autoSpaceDN w:val="0"/>
        <w:adjustRightInd w:val="0"/>
        <w:spacing w:before="240"/>
        <w:jc w:val="both"/>
        <w:rPr>
          <w:rFonts w:ascii="Times New Roman" w:eastAsia="Times New Roman" w:hAnsi="Times New Roman" w:cs="Times New Roman"/>
          <w:sz w:val="24"/>
          <w:lang w:val="ro-RO"/>
        </w:rPr>
      </w:pPr>
      <w:r w:rsidRPr="009C5F11">
        <w:rPr>
          <w:rFonts w:ascii="Times New Roman" w:eastAsia="Times New Roman" w:hAnsi="Times New Roman" w:cs="Times New Roman"/>
          <w:sz w:val="24"/>
          <w:lang w:val="ro-RO"/>
        </w:rPr>
        <w:t xml:space="preserve">a </w:t>
      </w:r>
      <w:r w:rsidR="00125D15" w:rsidRPr="009C5F11">
        <w:rPr>
          <w:rFonts w:ascii="Times New Roman" w:eastAsia="Times New Roman" w:hAnsi="Times New Roman" w:cs="Times New Roman"/>
          <w:sz w:val="24"/>
          <w:lang w:val="ro-RO"/>
        </w:rPr>
        <w:t>unei</w:t>
      </w:r>
      <w:r w:rsidR="008D3BD0" w:rsidRPr="009C5F11">
        <w:rPr>
          <w:rFonts w:ascii="Times New Roman" w:eastAsia="Times New Roman" w:hAnsi="Times New Roman" w:cs="Times New Roman"/>
          <w:sz w:val="24"/>
          <w:lang w:val="ro-RO"/>
        </w:rPr>
        <w:t xml:space="preserve"> list</w:t>
      </w:r>
      <w:r w:rsidR="00125D15" w:rsidRPr="009C5F11">
        <w:rPr>
          <w:rFonts w:ascii="Times New Roman" w:eastAsia="Times New Roman" w:hAnsi="Times New Roman" w:cs="Times New Roman"/>
          <w:sz w:val="24"/>
          <w:lang w:val="ro-RO"/>
        </w:rPr>
        <w:t>e</w:t>
      </w:r>
      <w:r w:rsidR="008D3BD0" w:rsidRPr="009C5F11">
        <w:rPr>
          <w:rFonts w:ascii="Times New Roman" w:eastAsia="Times New Roman" w:hAnsi="Times New Roman" w:cs="Times New Roman"/>
          <w:sz w:val="24"/>
          <w:lang w:val="ro-RO"/>
        </w:rPr>
        <w:t xml:space="preserve"> a măsurilor existente şi, în funcţie de caz, </w:t>
      </w:r>
      <w:r w:rsidR="00125D15" w:rsidRPr="009C5F11">
        <w:rPr>
          <w:rFonts w:ascii="Times New Roman" w:eastAsia="Times New Roman" w:hAnsi="Times New Roman" w:cs="Times New Roman"/>
          <w:sz w:val="24"/>
          <w:lang w:val="ro-RO"/>
        </w:rPr>
        <w:t>a unei</w:t>
      </w:r>
      <w:r w:rsidR="008D3BD0" w:rsidRPr="009C5F11">
        <w:rPr>
          <w:rFonts w:ascii="Times New Roman" w:eastAsia="Times New Roman" w:hAnsi="Times New Roman" w:cs="Times New Roman"/>
          <w:sz w:val="24"/>
          <w:lang w:val="ro-RO"/>
        </w:rPr>
        <w:t xml:space="preserve"> list</w:t>
      </w:r>
      <w:r w:rsidR="00125D15" w:rsidRPr="009C5F11">
        <w:rPr>
          <w:rFonts w:ascii="Times New Roman" w:eastAsia="Times New Roman" w:hAnsi="Times New Roman" w:cs="Times New Roman"/>
          <w:sz w:val="24"/>
          <w:lang w:val="ro-RO"/>
        </w:rPr>
        <w:t>e</w:t>
      </w:r>
      <w:r w:rsidR="008D3BD0" w:rsidRPr="009C5F11">
        <w:rPr>
          <w:rFonts w:ascii="Times New Roman" w:eastAsia="Times New Roman" w:hAnsi="Times New Roman" w:cs="Times New Roman"/>
          <w:sz w:val="24"/>
          <w:lang w:val="ro-RO"/>
        </w:rPr>
        <w:t xml:space="preserve"> a măsurilor şi instrumentelor propuse, inclusiv a celor de natură financiară, altele decât cele prevăzute de Directivă, dar care promovează obiectivele Directivei.</w:t>
      </w:r>
    </w:p>
    <w:p w14:paraId="4590F7CD" w14:textId="77777777" w:rsidR="004F049F" w:rsidRPr="009C5F11" w:rsidRDefault="00F03954" w:rsidP="00087B37">
      <w:pPr>
        <w:pStyle w:val="Listparagraf"/>
        <w:numPr>
          <w:ilvl w:val="0"/>
          <w:numId w:val="210"/>
        </w:numPr>
        <w:autoSpaceDE w:val="0"/>
        <w:autoSpaceDN w:val="0"/>
        <w:adjustRightInd w:val="0"/>
        <w:spacing w:before="240"/>
        <w:ind w:left="0" w:firstLine="284"/>
        <w:jc w:val="both"/>
        <w:rPr>
          <w:rFonts w:ascii="Times New Roman" w:eastAsia="Times New Roman" w:hAnsi="Times New Roman" w:cs="Times New Roman"/>
          <w:sz w:val="24"/>
          <w:lang w:val="ro-RO"/>
        </w:rPr>
      </w:pPr>
      <w:r w:rsidRPr="009C5F11">
        <w:rPr>
          <w:rFonts w:ascii="Times New Roman" w:hAnsi="Times New Roman" w:cs="Times New Roman"/>
          <w:sz w:val="24"/>
          <w:lang w:val="ro-RO"/>
        </w:rPr>
        <w:t xml:space="preserve">Articolul 2 Capitolul I din Legea nr. 128 din 11.07.2014 privind performanţa energetică a clădirilor îmbină dispoziţiile celor două documente strategice anterioare şi stipulează doar existenţa unui plan naţional pentru creşterea numărului de clădiri al căror consum de energie este aproape egal cu zero (litera f). Articolul 5 Capitolul II şi Articolul 15 alineatul (3) Capitolul III enunţă printre atribuţiile Guvernului în domeniul eficienţei energetice a clădirilor aprobarea programelor şi planurilor naţionale de acţiuni privind îmbunătăţirea performanţei energetice a clădirilor, inclusiv Planul naţional pentru creşterea numărului de clădiri al căror consum de energie este aproape egal cu zero (litera b), în timp ce Articolul 7 Capitolul II </w:t>
      </w:r>
      <w:r w:rsidR="00014D6B" w:rsidRPr="009C5F11">
        <w:rPr>
          <w:rFonts w:ascii="Times New Roman" w:hAnsi="Times New Roman" w:cs="Times New Roman"/>
          <w:sz w:val="24"/>
          <w:lang w:val="ro-RO"/>
        </w:rPr>
        <w:t>atribuie</w:t>
      </w:r>
      <w:r w:rsidRPr="009C5F11">
        <w:rPr>
          <w:rFonts w:ascii="Times New Roman" w:hAnsi="Times New Roman" w:cs="Times New Roman"/>
          <w:sz w:val="24"/>
          <w:lang w:val="ro-RO"/>
        </w:rPr>
        <w:t xml:space="preserve"> autorit</w:t>
      </w:r>
      <w:r w:rsidR="00014D6B" w:rsidRPr="009C5F11">
        <w:rPr>
          <w:rFonts w:ascii="Times New Roman" w:hAnsi="Times New Roman" w:cs="Times New Roman"/>
          <w:sz w:val="24"/>
          <w:lang w:val="ro-RO"/>
        </w:rPr>
        <w:t>ăţii</w:t>
      </w:r>
      <w:r w:rsidRPr="009C5F11">
        <w:rPr>
          <w:rFonts w:ascii="Times New Roman" w:hAnsi="Times New Roman" w:cs="Times New Roman"/>
          <w:sz w:val="24"/>
          <w:lang w:val="ro-RO"/>
        </w:rPr>
        <w:t xml:space="preserve"> public</w:t>
      </w:r>
      <w:r w:rsidR="00014D6B"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în domeniul eficienţei energetice </w:t>
      </w:r>
      <w:r w:rsidR="00014D6B" w:rsidRPr="009C5F11">
        <w:rPr>
          <w:rFonts w:ascii="Times New Roman" w:hAnsi="Times New Roman" w:cs="Times New Roman"/>
          <w:sz w:val="24"/>
          <w:lang w:val="ro-RO"/>
        </w:rPr>
        <w:t>si</w:t>
      </w:r>
      <w:r w:rsidRPr="009C5F11">
        <w:rPr>
          <w:rFonts w:ascii="Times New Roman" w:hAnsi="Times New Roman" w:cs="Times New Roman"/>
          <w:sz w:val="24"/>
          <w:lang w:val="ro-RO"/>
        </w:rPr>
        <w:t xml:space="preserve"> organismul</w:t>
      </w:r>
      <w:r w:rsidR="00014D6B" w:rsidRPr="009C5F11">
        <w:rPr>
          <w:rFonts w:ascii="Times New Roman" w:hAnsi="Times New Roman" w:cs="Times New Roman"/>
          <w:sz w:val="24"/>
          <w:lang w:val="ro-RO"/>
        </w:rPr>
        <w:t>ui</w:t>
      </w:r>
      <w:r w:rsidRPr="009C5F11">
        <w:rPr>
          <w:rFonts w:ascii="Times New Roman" w:hAnsi="Times New Roman" w:cs="Times New Roman"/>
          <w:sz w:val="24"/>
          <w:lang w:val="ro-RO"/>
        </w:rPr>
        <w:t xml:space="preserve"> central de specialitate al administraţiei publice în domeniul construcţiilor, </w:t>
      </w:r>
      <w:r w:rsidR="00014D6B" w:rsidRPr="009C5F11">
        <w:rPr>
          <w:rFonts w:ascii="Times New Roman" w:hAnsi="Times New Roman" w:cs="Times New Roman"/>
          <w:sz w:val="24"/>
          <w:lang w:val="ro-RO"/>
        </w:rPr>
        <w:t xml:space="preserve">sarcina elaborarii </w:t>
      </w:r>
      <w:r w:rsidRPr="009C5F11">
        <w:rPr>
          <w:rFonts w:ascii="Times New Roman" w:hAnsi="Times New Roman" w:cs="Times New Roman"/>
          <w:sz w:val="24"/>
          <w:lang w:val="ro-RO"/>
        </w:rPr>
        <w:t>programe</w:t>
      </w:r>
      <w:r w:rsidR="00014D6B" w:rsidRPr="009C5F11">
        <w:rPr>
          <w:rFonts w:ascii="Times New Roman" w:hAnsi="Times New Roman" w:cs="Times New Roman"/>
          <w:sz w:val="24"/>
          <w:lang w:val="ro-RO"/>
        </w:rPr>
        <w:t>lor</w:t>
      </w:r>
      <w:r w:rsidRPr="009C5F11">
        <w:rPr>
          <w:rFonts w:ascii="Times New Roman" w:hAnsi="Times New Roman" w:cs="Times New Roman"/>
          <w:sz w:val="24"/>
          <w:lang w:val="ro-RO"/>
        </w:rPr>
        <w:t xml:space="preserve"> şi planuri</w:t>
      </w:r>
      <w:r w:rsidR="00014D6B" w:rsidRPr="009C5F11">
        <w:rPr>
          <w:rFonts w:ascii="Times New Roman" w:hAnsi="Times New Roman" w:cs="Times New Roman"/>
          <w:sz w:val="24"/>
          <w:lang w:val="ro-RO"/>
        </w:rPr>
        <w:t>lor</w:t>
      </w:r>
      <w:r w:rsidRPr="009C5F11">
        <w:rPr>
          <w:rFonts w:ascii="Times New Roman" w:hAnsi="Times New Roman" w:cs="Times New Roman"/>
          <w:sz w:val="24"/>
          <w:lang w:val="ro-RO"/>
        </w:rPr>
        <w:t xml:space="preserve"> naţionale de acţiuni privind îmbunătăţirea performanţei energetice a clădirilor, inclusiv Planul naţional pentru creşterea numărului de clădiri al căror consum de energie este aproape egal cu zero (litera c). </w:t>
      </w:r>
    </w:p>
    <w:p w14:paraId="0AD4C87E" w14:textId="657F3EB3" w:rsidR="002733CB" w:rsidRPr="009C5F11" w:rsidRDefault="00F03954" w:rsidP="00087B37">
      <w:pPr>
        <w:pStyle w:val="Listparagraf"/>
        <w:numPr>
          <w:ilvl w:val="0"/>
          <w:numId w:val="210"/>
        </w:numPr>
        <w:autoSpaceDE w:val="0"/>
        <w:autoSpaceDN w:val="0"/>
        <w:adjustRightInd w:val="0"/>
        <w:spacing w:before="240"/>
        <w:ind w:left="0" w:firstLine="284"/>
        <w:jc w:val="both"/>
        <w:rPr>
          <w:rFonts w:ascii="Times New Roman" w:eastAsia="Times New Roman" w:hAnsi="Times New Roman" w:cs="Times New Roman"/>
          <w:sz w:val="24"/>
          <w:lang w:val="ro-RO"/>
        </w:rPr>
      </w:pPr>
      <w:r w:rsidRPr="009C5F11">
        <w:rPr>
          <w:rFonts w:ascii="Times New Roman" w:hAnsi="Times New Roman" w:cs="Times New Roman"/>
          <w:sz w:val="24"/>
          <w:lang w:val="ro-RO"/>
        </w:rPr>
        <w:lastRenderedPageBreak/>
        <w:t>Obiectivele diferenţiate conform categoriei clădirii, stabilite de Lege (Articolul 15 alineatele (1) şi (2) Capitolul III) reprezintă o ajustare a dispoziţiil</w:t>
      </w:r>
      <w:r w:rsidR="00C94FD0" w:rsidRPr="009C5F11">
        <w:rPr>
          <w:rFonts w:ascii="Times New Roman" w:hAnsi="Times New Roman" w:cs="Times New Roman"/>
          <w:sz w:val="24"/>
          <w:lang w:val="ro-RO"/>
        </w:rPr>
        <w:t>or</w:t>
      </w:r>
      <w:r w:rsidRPr="009C5F11">
        <w:rPr>
          <w:rFonts w:ascii="Times New Roman" w:hAnsi="Times New Roman" w:cs="Times New Roman"/>
          <w:sz w:val="24"/>
          <w:lang w:val="ro-RO"/>
        </w:rPr>
        <w:t xml:space="preserve"> PNEE 2011-2020 în concordanţă cu obligaţiile privind clădirile al căror consum de energie este aproape egal cu zero prevăzute de Directiva 2010/31/UE </w:t>
      </w:r>
      <w:r w:rsidR="00C94FD0" w:rsidRPr="009C5F11">
        <w:rPr>
          <w:rFonts w:ascii="Times New Roman" w:hAnsi="Times New Roman" w:cs="Times New Roman"/>
          <w:sz w:val="24"/>
          <w:lang w:val="ro-RO"/>
        </w:rPr>
        <w:t>după</w:t>
      </w:r>
      <w:r w:rsidRPr="009C5F11">
        <w:rPr>
          <w:rFonts w:ascii="Times New Roman" w:hAnsi="Times New Roman" w:cs="Times New Roman"/>
          <w:sz w:val="24"/>
          <w:lang w:val="ro-RO"/>
        </w:rPr>
        <w:t xml:space="preserve"> </w:t>
      </w:r>
      <w:r w:rsidR="00C94FD0" w:rsidRPr="009C5F11">
        <w:rPr>
          <w:rFonts w:ascii="Times New Roman" w:hAnsi="Times New Roman" w:cs="Times New Roman"/>
          <w:sz w:val="24"/>
          <w:lang w:val="ro-RO"/>
        </w:rPr>
        <w:t xml:space="preserve">cum </w:t>
      </w:r>
      <w:r w:rsidRPr="009C5F11">
        <w:rPr>
          <w:rFonts w:ascii="Times New Roman" w:hAnsi="Times New Roman" w:cs="Times New Roman"/>
          <w:sz w:val="24"/>
          <w:lang w:val="ro-RO"/>
        </w:rPr>
        <w:t>acestea sunt incorporate şi adaptate prin Decizia Consiliului Ministerial 2010/02/MC-EnC:</w:t>
      </w:r>
    </w:p>
    <w:p w14:paraId="201C41E6" w14:textId="77777777" w:rsidR="002733CB" w:rsidRPr="009C5F11" w:rsidRDefault="00F03954"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După 30 iunie 2019, clădirile publice noi trebuie să fie clădiri al căror consum de energie este aproape egal cu zero;</w:t>
      </w:r>
    </w:p>
    <w:p w14:paraId="7718C9E7" w14:textId="77777777" w:rsidR="002733CB" w:rsidRPr="009C5F11" w:rsidRDefault="00F03954"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După 30 iunie 2021, toate clădirile noi trebuie să fie clădiri al căror consum de energie este aproape egal cu zero</w:t>
      </w:r>
      <w:r w:rsidR="002733CB" w:rsidRPr="009C5F11">
        <w:rPr>
          <w:rFonts w:ascii="Times New Roman" w:hAnsi="Times New Roman" w:cs="Times New Roman"/>
          <w:sz w:val="24"/>
          <w:lang w:val="ro-RO"/>
        </w:rPr>
        <w:t>.</w:t>
      </w:r>
    </w:p>
    <w:p w14:paraId="0D068959" w14:textId="77777777" w:rsidR="00BC16FF" w:rsidRPr="009C5F11" w:rsidRDefault="00BC16FF" w:rsidP="00BC16FF">
      <w:pPr>
        <w:pStyle w:val="Listparagraf"/>
        <w:spacing w:before="120" w:after="120" w:line="240" w:lineRule="auto"/>
        <w:ind w:left="1134"/>
        <w:contextualSpacing w:val="0"/>
        <w:jc w:val="both"/>
        <w:rPr>
          <w:rFonts w:ascii="Times New Roman" w:hAnsi="Times New Roman" w:cs="Times New Roman"/>
          <w:sz w:val="24"/>
          <w:lang w:val="ro-RO"/>
        </w:rPr>
      </w:pPr>
    </w:p>
    <w:p w14:paraId="4ECFDA7F" w14:textId="77777777" w:rsidR="002733CB" w:rsidRPr="009C5F11" w:rsidRDefault="00321CD5" w:rsidP="00933301">
      <w:pPr>
        <w:pStyle w:val="Legend"/>
        <w:keepNext/>
        <w:jc w:val="center"/>
        <w:rPr>
          <w:rFonts w:ascii="Times New Roman" w:hAnsi="Times New Roman" w:cs="Times New Roman"/>
          <w:sz w:val="22"/>
          <w:lang w:val="ro-RO"/>
        </w:rPr>
      </w:pPr>
      <w:bookmarkStart w:id="162" w:name="_Toc322013237"/>
      <w:r w:rsidRPr="009C5F11">
        <w:rPr>
          <w:rFonts w:ascii="Times New Roman" w:hAnsi="Times New Roman" w:cs="Times New Roman"/>
          <w:sz w:val="22"/>
          <w:lang w:val="ro-RO"/>
        </w:rPr>
        <w:t>Tabelul</w:t>
      </w:r>
      <w:r w:rsidR="002733CB"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2733CB"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14</w:t>
      </w:r>
      <w:r w:rsidR="003A6ADB" w:rsidRPr="009C5F11">
        <w:rPr>
          <w:rFonts w:ascii="Times New Roman" w:hAnsi="Times New Roman" w:cs="Times New Roman"/>
          <w:sz w:val="22"/>
          <w:lang w:val="ro-RO"/>
        </w:rPr>
        <w:fldChar w:fldCharType="end"/>
      </w:r>
      <w:r w:rsidR="002733CB" w:rsidRPr="009C5F11">
        <w:rPr>
          <w:rFonts w:ascii="Times New Roman" w:hAnsi="Times New Roman" w:cs="Times New Roman"/>
          <w:sz w:val="22"/>
          <w:lang w:val="ro-RO"/>
        </w:rPr>
        <w:t xml:space="preserve"> - </w:t>
      </w:r>
      <w:r w:rsidR="00323653" w:rsidRPr="009C5F11">
        <w:rPr>
          <w:rFonts w:ascii="Times New Roman" w:hAnsi="Times New Roman" w:cs="Times New Roman"/>
          <w:sz w:val="22"/>
          <w:lang w:val="ro-RO"/>
        </w:rPr>
        <w:t>O</w:t>
      </w:r>
      <w:r w:rsidR="00204033" w:rsidRPr="009C5F11">
        <w:rPr>
          <w:rFonts w:ascii="Times New Roman" w:hAnsi="Times New Roman" w:cs="Times New Roman"/>
          <w:sz w:val="22"/>
          <w:lang w:val="ro-RO"/>
        </w:rPr>
        <w:t>biective</w:t>
      </w:r>
      <w:r w:rsidR="00323653" w:rsidRPr="009C5F11">
        <w:rPr>
          <w:rFonts w:ascii="Times New Roman" w:hAnsi="Times New Roman" w:cs="Times New Roman"/>
          <w:sz w:val="22"/>
          <w:lang w:val="ro-RO"/>
        </w:rPr>
        <w:t>le</w:t>
      </w:r>
      <w:r w:rsidR="002733CB" w:rsidRPr="009C5F11">
        <w:rPr>
          <w:rFonts w:ascii="Times New Roman" w:hAnsi="Times New Roman" w:cs="Times New Roman"/>
          <w:sz w:val="22"/>
          <w:lang w:val="ro-RO"/>
        </w:rPr>
        <w:t xml:space="preserve"> </w:t>
      </w:r>
      <w:r w:rsidR="00323653" w:rsidRPr="009C5F11">
        <w:rPr>
          <w:rFonts w:ascii="Times New Roman" w:eastAsia="Times New Roman" w:hAnsi="Times New Roman" w:cs="Times New Roman"/>
          <w:sz w:val="22"/>
          <w:lang w:val="ro-RO"/>
        </w:rPr>
        <w:t xml:space="preserve">naţionale pentru </w:t>
      </w:r>
      <w:r w:rsidR="00323653" w:rsidRPr="009C5F11">
        <w:rPr>
          <w:rFonts w:ascii="Times New Roman" w:eastAsia="Times New Roman" w:hAnsi="Times New Roman" w:cs="Times New Roman"/>
          <w:color w:val="000000"/>
          <w:sz w:val="22"/>
          <w:lang w:val="ro-RO"/>
        </w:rPr>
        <w:t>clădirile</w:t>
      </w:r>
      <w:r w:rsidR="00323653" w:rsidRPr="009C5F11">
        <w:rPr>
          <w:rFonts w:ascii="Times New Roman" w:eastAsia="Times New Roman" w:hAnsi="Times New Roman" w:cs="Times New Roman"/>
          <w:color w:val="000000"/>
          <w:sz w:val="22"/>
          <w:lang w:val="ro-RO"/>
        </w:rPr>
        <w:br/>
        <w:t xml:space="preserve">al căror </w:t>
      </w:r>
      <w:r w:rsidR="00323653" w:rsidRPr="009C5F11">
        <w:rPr>
          <w:rFonts w:ascii="Times New Roman" w:hAnsi="Times New Roman" w:cs="Times New Roman"/>
          <w:sz w:val="22"/>
          <w:lang w:val="ro-RO"/>
        </w:rPr>
        <w:t>consum de energie este aproape egal cu zero.</w:t>
      </w:r>
      <w:bookmarkEnd w:id="162"/>
      <w:r w:rsidR="00323653" w:rsidRPr="009C5F11">
        <w:rPr>
          <w:rFonts w:ascii="Times New Roman" w:hAnsi="Times New Roman" w:cs="Times New Roman"/>
          <w:sz w:val="22"/>
          <w:lang w:val="ro-RO"/>
        </w:rPr>
        <w:t xml:space="preserve"> </w:t>
      </w:r>
    </w:p>
    <w:tbl>
      <w:tblPr>
        <w:tblW w:w="0" w:type="auto"/>
        <w:jc w:val="center"/>
        <w:tblBorders>
          <w:top w:val="single" w:sz="8" w:space="0" w:color="0039A6" w:themeColor="accent2"/>
          <w:left w:val="single" w:sz="8" w:space="0" w:color="0039A6" w:themeColor="accent2"/>
          <w:bottom w:val="single" w:sz="8" w:space="0" w:color="0039A6" w:themeColor="accent2"/>
          <w:right w:val="single" w:sz="8" w:space="0" w:color="0039A6" w:themeColor="accent2"/>
          <w:insideH w:val="single" w:sz="8" w:space="0" w:color="0039A6" w:themeColor="accent2"/>
        </w:tblBorders>
        <w:shd w:val="clear" w:color="auto" w:fill="FFFFFF"/>
        <w:tblLook w:val="04A0" w:firstRow="1" w:lastRow="0" w:firstColumn="1" w:lastColumn="0" w:noHBand="0" w:noVBand="1"/>
      </w:tblPr>
      <w:tblGrid>
        <w:gridCol w:w="2349"/>
        <w:gridCol w:w="2019"/>
        <w:gridCol w:w="2451"/>
        <w:gridCol w:w="2424"/>
      </w:tblGrid>
      <w:tr w:rsidR="008E7AD5" w:rsidRPr="009C5F11" w14:paraId="2DA1340C" w14:textId="77777777" w:rsidTr="008E7AD5">
        <w:trPr>
          <w:trHeight w:val="341"/>
          <w:jc w:val="center"/>
        </w:trPr>
        <w:tc>
          <w:tcPr>
            <w:tcW w:w="2417" w:type="dxa"/>
            <w:shd w:val="clear" w:color="auto" w:fill="000080"/>
          </w:tcPr>
          <w:p w14:paraId="16FE18B3" w14:textId="77777777" w:rsidR="002733CB" w:rsidRPr="009C5F11" w:rsidRDefault="00204033" w:rsidP="00430626">
            <w:pPr>
              <w:autoSpaceDE w:val="0"/>
              <w:autoSpaceDN w:val="0"/>
              <w:adjustRightInd w:val="0"/>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Perioada</w:t>
            </w:r>
          </w:p>
        </w:tc>
        <w:tc>
          <w:tcPr>
            <w:tcW w:w="2070" w:type="dxa"/>
            <w:shd w:val="clear" w:color="auto" w:fill="000080"/>
          </w:tcPr>
          <w:p w14:paraId="2D064759" w14:textId="77777777" w:rsidR="002733CB" w:rsidRPr="009C5F11" w:rsidRDefault="00323653" w:rsidP="00B40DB5">
            <w:pPr>
              <w:autoSpaceDE w:val="0"/>
              <w:autoSpaceDN w:val="0"/>
              <w:adjustRightInd w:val="0"/>
              <w:rPr>
                <w:rFonts w:ascii="Times New Roman" w:hAnsi="Times New Roman" w:cs="Times New Roman"/>
                <w:color w:val="FFFFFF"/>
                <w:sz w:val="20"/>
                <w:szCs w:val="16"/>
                <w:lang w:val="ro-RO"/>
              </w:rPr>
            </w:pPr>
            <w:r w:rsidRPr="009C5F11">
              <w:rPr>
                <w:rFonts w:ascii="Times New Roman" w:eastAsia="Times New Roman" w:hAnsi="Times New Roman" w:cs="Times New Roman"/>
                <w:b/>
                <w:color w:val="FFFFFF" w:themeColor="background1"/>
                <w:sz w:val="20"/>
                <w:szCs w:val="16"/>
                <w:lang w:val="ro-RO"/>
              </w:rPr>
              <w:t>Clădiri existente – obiectiv exprimat în procente din numărul total de clădiri renovate</w:t>
            </w:r>
          </w:p>
        </w:tc>
        <w:tc>
          <w:tcPr>
            <w:tcW w:w="2520" w:type="dxa"/>
            <w:shd w:val="clear" w:color="auto" w:fill="000080"/>
          </w:tcPr>
          <w:p w14:paraId="64EBDD46" w14:textId="77777777" w:rsidR="002733CB" w:rsidRPr="009C5F11" w:rsidRDefault="00323653" w:rsidP="00B40DB5">
            <w:pPr>
              <w:autoSpaceDE w:val="0"/>
              <w:autoSpaceDN w:val="0"/>
              <w:adjustRightInd w:val="0"/>
              <w:rPr>
                <w:rFonts w:ascii="Times New Roman" w:hAnsi="Times New Roman" w:cs="Times New Roman"/>
                <w:color w:val="FFFFFF"/>
                <w:sz w:val="20"/>
                <w:szCs w:val="16"/>
                <w:lang w:val="ro-RO"/>
              </w:rPr>
            </w:pPr>
            <w:r w:rsidRPr="009C5F11">
              <w:rPr>
                <w:rFonts w:ascii="Times New Roman" w:eastAsia="Times New Roman" w:hAnsi="Times New Roman" w:cs="Times New Roman"/>
                <w:b/>
                <w:color w:val="FFFFFF" w:themeColor="background1"/>
                <w:sz w:val="20"/>
                <w:szCs w:val="16"/>
                <w:lang w:val="ro-RO"/>
              </w:rPr>
              <w:t>Clădiri publice noi – obiectiv exprimat în procente din numărul total de clădiri nou construite</w:t>
            </w:r>
          </w:p>
        </w:tc>
        <w:tc>
          <w:tcPr>
            <w:tcW w:w="2491" w:type="dxa"/>
            <w:shd w:val="clear" w:color="auto" w:fill="000080"/>
          </w:tcPr>
          <w:p w14:paraId="4794AC42" w14:textId="77777777" w:rsidR="002733CB" w:rsidRPr="009C5F11" w:rsidRDefault="00323653" w:rsidP="00B40DB5">
            <w:pPr>
              <w:autoSpaceDE w:val="0"/>
              <w:autoSpaceDN w:val="0"/>
              <w:adjustRightInd w:val="0"/>
              <w:rPr>
                <w:rFonts w:ascii="Times New Roman" w:hAnsi="Times New Roman" w:cs="Times New Roman"/>
                <w:color w:val="FFFFFF"/>
                <w:sz w:val="20"/>
                <w:szCs w:val="16"/>
                <w:lang w:val="ro-RO"/>
              </w:rPr>
            </w:pPr>
            <w:r w:rsidRPr="009C5F11">
              <w:rPr>
                <w:rFonts w:ascii="Times New Roman" w:eastAsia="Times New Roman" w:hAnsi="Times New Roman" w:cs="Times New Roman"/>
                <w:b/>
                <w:color w:val="FFFFFF" w:themeColor="background1"/>
                <w:sz w:val="20"/>
                <w:szCs w:val="16"/>
                <w:lang w:val="ro-RO"/>
              </w:rPr>
              <w:t>Clădiri noi – obiectiv exprimat în procente din numărul total de clădiri nou construite</w:t>
            </w:r>
          </w:p>
        </w:tc>
      </w:tr>
      <w:tr w:rsidR="002733CB" w:rsidRPr="009C5F11" w14:paraId="185FD7B3" w14:textId="77777777" w:rsidTr="008E7AD5">
        <w:trPr>
          <w:trHeight w:val="97"/>
          <w:jc w:val="center"/>
        </w:trPr>
        <w:tc>
          <w:tcPr>
            <w:tcW w:w="2417" w:type="dxa"/>
            <w:shd w:val="clear" w:color="auto" w:fill="FFFFFF"/>
          </w:tcPr>
          <w:p w14:paraId="1C56828F" w14:textId="77777777" w:rsidR="002733CB" w:rsidRPr="009C5F11" w:rsidRDefault="002733CB" w:rsidP="00430626">
            <w:pPr>
              <w:autoSpaceDE w:val="0"/>
              <w:autoSpaceDN w:val="0"/>
              <w:adjustRightInd w:val="0"/>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2015</w:t>
            </w:r>
          </w:p>
        </w:tc>
        <w:tc>
          <w:tcPr>
            <w:tcW w:w="2070" w:type="dxa"/>
            <w:shd w:val="clear" w:color="auto" w:fill="FFFFFF"/>
          </w:tcPr>
          <w:p w14:paraId="3DDB6564" w14:textId="77777777" w:rsidR="002733CB" w:rsidRPr="009C5F11" w:rsidRDefault="002733CB" w:rsidP="00430626">
            <w:pPr>
              <w:autoSpaceDE w:val="0"/>
              <w:autoSpaceDN w:val="0"/>
              <w:adjustRightInd w:val="0"/>
              <w:jc w:val="both"/>
              <w:rPr>
                <w:rFonts w:ascii="Times New Roman" w:hAnsi="Times New Roman" w:cs="Times New Roman"/>
                <w:sz w:val="20"/>
                <w:szCs w:val="16"/>
                <w:lang w:val="ro-RO"/>
              </w:rPr>
            </w:pPr>
          </w:p>
        </w:tc>
        <w:tc>
          <w:tcPr>
            <w:tcW w:w="2520" w:type="dxa"/>
            <w:shd w:val="clear" w:color="auto" w:fill="FFFFFF"/>
          </w:tcPr>
          <w:p w14:paraId="24CD8512" w14:textId="77777777" w:rsidR="002733CB" w:rsidRPr="009C5F11" w:rsidRDefault="002733CB" w:rsidP="00430626">
            <w:pPr>
              <w:autoSpaceDE w:val="0"/>
              <w:autoSpaceDN w:val="0"/>
              <w:adjustRightInd w:val="0"/>
              <w:jc w:val="both"/>
              <w:rPr>
                <w:rFonts w:ascii="Times New Roman" w:hAnsi="Times New Roman" w:cs="Times New Roman"/>
                <w:sz w:val="20"/>
                <w:szCs w:val="16"/>
                <w:lang w:val="ro-RO"/>
              </w:rPr>
            </w:pPr>
          </w:p>
        </w:tc>
        <w:tc>
          <w:tcPr>
            <w:tcW w:w="2491" w:type="dxa"/>
            <w:shd w:val="clear" w:color="auto" w:fill="FFFFFF"/>
          </w:tcPr>
          <w:p w14:paraId="7B76D1E9" w14:textId="77777777" w:rsidR="002733CB" w:rsidRPr="009C5F11" w:rsidRDefault="002733CB" w:rsidP="00430626">
            <w:pPr>
              <w:autoSpaceDE w:val="0"/>
              <w:autoSpaceDN w:val="0"/>
              <w:adjustRightInd w:val="0"/>
              <w:jc w:val="both"/>
              <w:rPr>
                <w:rFonts w:ascii="Times New Roman" w:hAnsi="Times New Roman" w:cs="Times New Roman"/>
                <w:sz w:val="20"/>
                <w:szCs w:val="16"/>
                <w:lang w:val="ro-RO"/>
              </w:rPr>
            </w:pPr>
          </w:p>
        </w:tc>
      </w:tr>
      <w:tr w:rsidR="002733CB" w:rsidRPr="009C5F11" w14:paraId="14EC7675" w14:textId="77777777" w:rsidTr="008E7AD5">
        <w:trPr>
          <w:trHeight w:val="97"/>
          <w:jc w:val="center"/>
        </w:trPr>
        <w:tc>
          <w:tcPr>
            <w:tcW w:w="2417" w:type="dxa"/>
            <w:shd w:val="clear" w:color="auto" w:fill="FFFFFF"/>
          </w:tcPr>
          <w:p w14:paraId="2FE2B1D7" w14:textId="77777777" w:rsidR="002733CB" w:rsidRPr="009C5F11" w:rsidRDefault="00323653" w:rsidP="00430626">
            <w:pPr>
              <w:autoSpaceDE w:val="0"/>
              <w:autoSpaceDN w:val="0"/>
              <w:adjustRightInd w:val="0"/>
              <w:jc w:val="both"/>
              <w:rPr>
                <w:rFonts w:ascii="Times New Roman" w:hAnsi="Times New Roman" w:cs="Times New Roman"/>
                <w:sz w:val="20"/>
                <w:szCs w:val="16"/>
                <w:lang w:val="ro-RO"/>
              </w:rPr>
            </w:pPr>
            <w:r w:rsidRPr="009C5F11">
              <w:rPr>
                <w:rFonts w:ascii="Times New Roman" w:eastAsia="Times New Roman" w:hAnsi="Times New Roman" w:cs="Times New Roman"/>
                <w:sz w:val="20"/>
                <w:szCs w:val="16"/>
                <w:lang w:val="ro-RO"/>
              </w:rPr>
              <w:t>din 30 iunie 2019</w:t>
            </w:r>
          </w:p>
        </w:tc>
        <w:tc>
          <w:tcPr>
            <w:tcW w:w="2070" w:type="dxa"/>
            <w:shd w:val="clear" w:color="auto" w:fill="FFFFFF"/>
          </w:tcPr>
          <w:p w14:paraId="26CD4758" w14:textId="77777777" w:rsidR="002733CB" w:rsidRPr="009C5F11" w:rsidRDefault="002733CB" w:rsidP="00430626">
            <w:pPr>
              <w:autoSpaceDE w:val="0"/>
              <w:autoSpaceDN w:val="0"/>
              <w:adjustRightInd w:val="0"/>
              <w:jc w:val="both"/>
              <w:rPr>
                <w:rFonts w:ascii="Times New Roman" w:hAnsi="Times New Roman" w:cs="Times New Roman"/>
                <w:sz w:val="20"/>
                <w:szCs w:val="16"/>
                <w:lang w:val="ro-RO"/>
              </w:rPr>
            </w:pPr>
          </w:p>
        </w:tc>
        <w:tc>
          <w:tcPr>
            <w:tcW w:w="2520" w:type="dxa"/>
            <w:shd w:val="clear" w:color="auto" w:fill="FFFFFF"/>
          </w:tcPr>
          <w:p w14:paraId="2C36C453" w14:textId="77777777" w:rsidR="002733CB" w:rsidRPr="009C5F11" w:rsidRDefault="002733CB" w:rsidP="00430626">
            <w:pPr>
              <w:autoSpaceDE w:val="0"/>
              <w:autoSpaceDN w:val="0"/>
              <w:adjustRightInd w:val="0"/>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100%</w:t>
            </w:r>
          </w:p>
        </w:tc>
        <w:tc>
          <w:tcPr>
            <w:tcW w:w="2491" w:type="dxa"/>
            <w:shd w:val="clear" w:color="auto" w:fill="FFFFFF"/>
          </w:tcPr>
          <w:p w14:paraId="4C167753" w14:textId="77777777" w:rsidR="002733CB" w:rsidRPr="009C5F11" w:rsidRDefault="002733CB" w:rsidP="00430626">
            <w:pPr>
              <w:autoSpaceDE w:val="0"/>
              <w:autoSpaceDN w:val="0"/>
              <w:adjustRightInd w:val="0"/>
              <w:jc w:val="both"/>
              <w:rPr>
                <w:rFonts w:ascii="Times New Roman" w:hAnsi="Times New Roman" w:cs="Times New Roman"/>
                <w:sz w:val="20"/>
                <w:szCs w:val="16"/>
                <w:lang w:val="ro-RO"/>
              </w:rPr>
            </w:pPr>
          </w:p>
        </w:tc>
      </w:tr>
      <w:tr w:rsidR="002733CB" w:rsidRPr="009C5F11" w14:paraId="7328A80B" w14:textId="77777777" w:rsidTr="008E7AD5">
        <w:trPr>
          <w:jc w:val="center"/>
        </w:trPr>
        <w:tc>
          <w:tcPr>
            <w:tcW w:w="2417" w:type="dxa"/>
            <w:shd w:val="clear" w:color="auto" w:fill="FFFFFF"/>
          </w:tcPr>
          <w:p w14:paraId="4E892F09" w14:textId="77777777" w:rsidR="002733CB" w:rsidRPr="009C5F11" w:rsidRDefault="00323653" w:rsidP="00323653">
            <w:pPr>
              <w:autoSpaceDE w:val="0"/>
              <w:autoSpaceDN w:val="0"/>
              <w:adjustRightInd w:val="0"/>
              <w:jc w:val="both"/>
              <w:rPr>
                <w:rFonts w:ascii="Times New Roman" w:hAnsi="Times New Roman" w:cs="Times New Roman"/>
                <w:sz w:val="20"/>
                <w:szCs w:val="16"/>
                <w:lang w:val="ro-RO"/>
              </w:rPr>
            </w:pPr>
            <w:r w:rsidRPr="009C5F11">
              <w:rPr>
                <w:rFonts w:ascii="Times New Roman" w:eastAsia="Times New Roman" w:hAnsi="Times New Roman" w:cs="Times New Roman"/>
                <w:sz w:val="20"/>
                <w:szCs w:val="16"/>
                <w:lang w:val="ro-RO"/>
              </w:rPr>
              <w:t xml:space="preserve">din 30 iunie </w:t>
            </w:r>
            <w:r w:rsidR="002733CB" w:rsidRPr="009C5F11">
              <w:rPr>
                <w:rFonts w:ascii="Times New Roman" w:hAnsi="Times New Roman" w:cs="Times New Roman"/>
                <w:sz w:val="20"/>
                <w:szCs w:val="16"/>
                <w:lang w:val="ro-RO"/>
              </w:rPr>
              <w:t>2021</w:t>
            </w:r>
          </w:p>
        </w:tc>
        <w:tc>
          <w:tcPr>
            <w:tcW w:w="2070" w:type="dxa"/>
            <w:shd w:val="clear" w:color="auto" w:fill="FFFFFF"/>
          </w:tcPr>
          <w:p w14:paraId="7FDE3F83" w14:textId="77777777" w:rsidR="002733CB" w:rsidRPr="009C5F11" w:rsidRDefault="002733CB" w:rsidP="00430626">
            <w:pPr>
              <w:autoSpaceDE w:val="0"/>
              <w:autoSpaceDN w:val="0"/>
              <w:adjustRightInd w:val="0"/>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10%</w:t>
            </w:r>
          </w:p>
        </w:tc>
        <w:tc>
          <w:tcPr>
            <w:tcW w:w="2520" w:type="dxa"/>
            <w:shd w:val="clear" w:color="auto" w:fill="FFFFFF"/>
          </w:tcPr>
          <w:p w14:paraId="0C377D3A" w14:textId="77777777" w:rsidR="002733CB" w:rsidRPr="009C5F11" w:rsidRDefault="002733CB" w:rsidP="00430626">
            <w:pPr>
              <w:autoSpaceDE w:val="0"/>
              <w:autoSpaceDN w:val="0"/>
              <w:adjustRightInd w:val="0"/>
              <w:jc w:val="both"/>
              <w:rPr>
                <w:rFonts w:ascii="Times New Roman" w:hAnsi="Times New Roman" w:cs="Times New Roman"/>
                <w:sz w:val="20"/>
                <w:szCs w:val="16"/>
                <w:lang w:val="ro-RO"/>
              </w:rPr>
            </w:pPr>
          </w:p>
        </w:tc>
        <w:tc>
          <w:tcPr>
            <w:tcW w:w="2491" w:type="dxa"/>
            <w:shd w:val="clear" w:color="auto" w:fill="FFFFFF"/>
          </w:tcPr>
          <w:p w14:paraId="47CBDEA1" w14:textId="77777777" w:rsidR="002733CB" w:rsidRPr="009C5F11" w:rsidRDefault="002733CB" w:rsidP="00430626">
            <w:pPr>
              <w:autoSpaceDE w:val="0"/>
              <w:autoSpaceDN w:val="0"/>
              <w:adjustRightInd w:val="0"/>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100%</w:t>
            </w:r>
          </w:p>
        </w:tc>
      </w:tr>
    </w:tbl>
    <w:p w14:paraId="79C39ADD" w14:textId="77777777" w:rsidR="002733CB" w:rsidRPr="009C5F11" w:rsidRDefault="002733CB" w:rsidP="002733CB">
      <w:pPr>
        <w:jc w:val="both"/>
        <w:rPr>
          <w:rFonts w:ascii="Times New Roman" w:hAnsi="Times New Roman" w:cs="Times New Roman"/>
          <w:sz w:val="24"/>
          <w:lang w:val="ro-RO"/>
        </w:rPr>
      </w:pPr>
    </w:p>
    <w:p w14:paraId="60190DA3" w14:textId="63E76254" w:rsidR="002733CB" w:rsidRPr="00D9464A" w:rsidRDefault="00323653" w:rsidP="00903D44">
      <w:pPr>
        <w:pStyle w:val="Titlu3"/>
        <w:rPr>
          <w:rFonts w:ascii="Times New Roman" w:hAnsi="Times New Roman" w:cs="Times New Roman"/>
          <w:b/>
          <w:color w:val="000000" w:themeColor="text1"/>
          <w:sz w:val="28"/>
          <w:lang w:val="ro-RO"/>
        </w:rPr>
      </w:pPr>
      <w:bookmarkStart w:id="163" w:name="_Toc322013160"/>
      <w:bookmarkStart w:id="164" w:name="_Toc319555394"/>
      <w:r w:rsidRPr="00D9464A">
        <w:rPr>
          <w:rFonts w:ascii="Times New Roman" w:hAnsi="Times New Roman" w:cs="Times New Roman"/>
          <w:b/>
          <w:color w:val="000000" w:themeColor="text1"/>
          <w:sz w:val="28"/>
          <w:lang w:val="ro-RO"/>
        </w:rPr>
        <w:t>Alte</w:t>
      </w:r>
      <w:r w:rsidR="002733CB" w:rsidRPr="00D9464A">
        <w:rPr>
          <w:rFonts w:ascii="Times New Roman" w:hAnsi="Times New Roman" w:cs="Times New Roman"/>
          <w:b/>
          <w:color w:val="000000" w:themeColor="text1"/>
          <w:sz w:val="28"/>
          <w:lang w:val="ro-RO"/>
        </w:rPr>
        <w:t xml:space="preserve"> </w:t>
      </w:r>
      <w:r w:rsidR="00204033" w:rsidRPr="00D9464A">
        <w:rPr>
          <w:rFonts w:ascii="Times New Roman" w:hAnsi="Times New Roman" w:cs="Times New Roman"/>
          <w:b/>
          <w:color w:val="000000" w:themeColor="text1"/>
          <w:sz w:val="28"/>
          <w:lang w:val="ro-RO"/>
        </w:rPr>
        <w:t>obiective</w:t>
      </w:r>
      <w:r w:rsidR="002733CB" w:rsidRPr="00D9464A">
        <w:rPr>
          <w:rFonts w:ascii="Times New Roman" w:hAnsi="Times New Roman" w:cs="Times New Roman"/>
          <w:b/>
          <w:color w:val="000000" w:themeColor="text1"/>
          <w:sz w:val="28"/>
          <w:lang w:val="ro-RO"/>
        </w:rPr>
        <w:t xml:space="preserve"> </w:t>
      </w:r>
      <w:r w:rsidR="000126A5" w:rsidRPr="00D9464A">
        <w:rPr>
          <w:rFonts w:ascii="Times New Roman" w:hAnsi="Times New Roman" w:cs="Times New Roman"/>
          <w:b/>
          <w:color w:val="000000" w:themeColor="text1"/>
          <w:sz w:val="28"/>
          <w:lang w:val="ro-RO"/>
        </w:rPr>
        <w:t>şi/sau</w:t>
      </w:r>
      <w:r w:rsidR="002733CB" w:rsidRPr="00D9464A">
        <w:rPr>
          <w:rFonts w:ascii="Times New Roman" w:hAnsi="Times New Roman" w:cs="Times New Roman"/>
          <w:b/>
          <w:color w:val="000000" w:themeColor="text1"/>
          <w:sz w:val="28"/>
          <w:lang w:val="ro-RO"/>
        </w:rPr>
        <w:t xml:space="preserve"> </w:t>
      </w:r>
      <w:r w:rsidRPr="00D9464A">
        <w:rPr>
          <w:rFonts w:ascii="Times New Roman" w:hAnsi="Times New Roman" w:cs="Times New Roman"/>
          <w:b/>
          <w:color w:val="000000" w:themeColor="text1"/>
          <w:sz w:val="28"/>
          <w:lang w:val="ro-RO"/>
        </w:rPr>
        <w:t xml:space="preserve">previziuni şi rezultate în materie de </w:t>
      </w:r>
      <w:r w:rsidR="004763DD" w:rsidRPr="00D9464A">
        <w:rPr>
          <w:rFonts w:ascii="Times New Roman" w:hAnsi="Times New Roman" w:cs="Times New Roman"/>
          <w:b/>
          <w:color w:val="000000" w:themeColor="text1"/>
          <w:sz w:val="28"/>
          <w:lang w:val="ro-RO"/>
        </w:rPr>
        <w:t>economii de energie finală</w:t>
      </w:r>
      <w:bookmarkEnd w:id="163"/>
      <w:r w:rsidR="002733CB" w:rsidRPr="00D9464A">
        <w:rPr>
          <w:rFonts w:ascii="Times New Roman" w:hAnsi="Times New Roman" w:cs="Times New Roman"/>
          <w:b/>
          <w:color w:val="000000" w:themeColor="text1"/>
          <w:sz w:val="28"/>
          <w:lang w:val="ro-RO"/>
        </w:rPr>
        <w:t xml:space="preserve"> </w:t>
      </w:r>
      <w:bookmarkEnd w:id="159"/>
      <w:bookmarkEnd w:id="160"/>
      <w:bookmarkEnd w:id="161"/>
      <w:bookmarkEnd w:id="164"/>
    </w:p>
    <w:p w14:paraId="3C2D2212" w14:textId="27FEFA82" w:rsidR="002733CB" w:rsidRPr="009C5F11" w:rsidRDefault="00323653"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Obiectivele în materie de economii de energie pe sectoare sunt prezentate şi explicate </w:t>
      </w:r>
      <w:r w:rsidR="00321CD5" w:rsidRPr="009C5F11">
        <w:rPr>
          <w:rFonts w:ascii="Times New Roman" w:hAnsi="Times New Roman" w:cs="Times New Roman"/>
          <w:sz w:val="24"/>
          <w:lang w:val="ro-RO"/>
        </w:rPr>
        <w:t xml:space="preserve">în </w:t>
      </w:r>
      <w:r w:rsidR="003A6ADB" w:rsidRPr="009C5F11">
        <w:rPr>
          <w:rFonts w:ascii="Times New Roman" w:hAnsi="Times New Roman" w:cs="Times New Roman"/>
          <w:sz w:val="24"/>
          <w:lang w:val="ro-RO"/>
        </w:rPr>
        <w:fldChar w:fldCharType="begin"/>
      </w:r>
      <w:r w:rsidR="000959D4" w:rsidRPr="009C5F11">
        <w:rPr>
          <w:rFonts w:ascii="Times New Roman" w:hAnsi="Times New Roman" w:cs="Times New Roman"/>
          <w:sz w:val="24"/>
          <w:lang w:val="ro-RO"/>
        </w:rPr>
        <w:instrText xml:space="preserve"> REF _Ref319617117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10</w:t>
      </w:r>
      <w:r w:rsidR="003A6ADB" w:rsidRPr="009C5F11">
        <w:rPr>
          <w:rFonts w:ascii="Times New Roman" w:hAnsi="Times New Roman" w:cs="Times New Roman"/>
          <w:sz w:val="24"/>
          <w:lang w:val="ro-RO"/>
        </w:rPr>
        <w:fldChar w:fldCharType="end"/>
      </w:r>
      <w:r w:rsidR="00BC16FF" w:rsidRPr="009C5F11">
        <w:rPr>
          <w:rFonts w:ascii="Times New Roman" w:hAnsi="Times New Roman" w:cs="Times New Roman"/>
          <w:sz w:val="24"/>
          <w:lang w:val="ro-RO"/>
        </w:rPr>
        <w:t>.</w:t>
      </w:r>
    </w:p>
    <w:p w14:paraId="2A80F00C" w14:textId="77777777" w:rsidR="002733CB" w:rsidRPr="009C5F11" w:rsidRDefault="002733CB" w:rsidP="00761F08">
      <w:pPr>
        <w:pStyle w:val="Titlu2"/>
        <w:rPr>
          <w:rFonts w:ascii="Times New Roman" w:hAnsi="Times New Roman" w:cs="Times New Roman"/>
          <w:sz w:val="32"/>
          <w:lang w:val="ro-RO"/>
        </w:rPr>
      </w:pPr>
      <w:bookmarkStart w:id="165" w:name="_Ref275780448"/>
      <w:bookmarkStart w:id="166" w:name="_Ref272702416"/>
      <w:bookmarkStart w:id="167" w:name="_Toc274298534"/>
      <w:bookmarkStart w:id="168" w:name="_Toc274304022"/>
      <w:r w:rsidRPr="009C5F11">
        <w:rPr>
          <w:rFonts w:ascii="Times New Roman" w:hAnsi="Times New Roman" w:cs="Times New Roman"/>
          <w:sz w:val="32"/>
          <w:lang w:val="ro-RO"/>
        </w:rPr>
        <w:br w:type="page"/>
      </w:r>
      <w:bookmarkStart w:id="169" w:name="_Toc322013161"/>
      <w:bookmarkStart w:id="170" w:name="_Toc319555395"/>
      <w:bookmarkStart w:id="171" w:name="_Ref319619268"/>
      <w:r w:rsidRPr="00D9464A">
        <w:rPr>
          <w:rFonts w:ascii="Times New Roman" w:hAnsi="Times New Roman" w:cs="Times New Roman"/>
          <w:color w:val="000000" w:themeColor="text1"/>
          <w:sz w:val="28"/>
          <w:lang w:val="ro-RO"/>
        </w:rPr>
        <w:lastRenderedPageBreak/>
        <w:t>List</w:t>
      </w:r>
      <w:r w:rsidR="00204033" w:rsidRPr="00D9464A">
        <w:rPr>
          <w:rFonts w:ascii="Times New Roman" w:hAnsi="Times New Roman" w:cs="Times New Roman"/>
          <w:color w:val="000000" w:themeColor="text1"/>
          <w:sz w:val="28"/>
          <w:lang w:val="ro-RO"/>
        </w:rPr>
        <w:t>a</w:t>
      </w:r>
      <w:r w:rsidRPr="00D9464A">
        <w:rPr>
          <w:rFonts w:ascii="Times New Roman" w:hAnsi="Times New Roman" w:cs="Times New Roman"/>
          <w:color w:val="000000" w:themeColor="text1"/>
          <w:sz w:val="28"/>
          <w:lang w:val="ro-RO"/>
        </w:rPr>
        <w:t xml:space="preserve"> strategi</w:t>
      </w:r>
      <w:r w:rsidR="00204033" w:rsidRPr="00D9464A">
        <w:rPr>
          <w:rFonts w:ascii="Times New Roman" w:hAnsi="Times New Roman" w:cs="Times New Roman"/>
          <w:color w:val="000000" w:themeColor="text1"/>
          <w:sz w:val="28"/>
          <w:lang w:val="ro-RO"/>
        </w:rPr>
        <w:t>ilor cu</w:t>
      </w:r>
      <w:r w:rsidRPr="00D9464A">
        <w:rPr>
          <w:rFonts w:ascii="Times New Roman" w:hAnsi="Times New Roman" w:cs="Times New Roman"/>
          <w:color w:val="000000" w:themeColor="text1"/>
          <w:sz w:val="28"/>
          <w:lang w:val="ro-RO"/>
        </w:rPr>
        <w:t xml:space="preserve"> impact </w:t>
      </w:r>
      <w:r w:rsidR="00204033" w:rsidRPr="00D9464A">
        <w:rPr>
          <w:rFonts w:ascii="Times New Roman" w:hAnsi="Times New Roman" w:cs="Times New Roman"/>
          <w:color w:val="000000" w:themeColor="text1"/>
          <w:sz w:val="28"/>
          <w:lang w:val="ro-RO"/>
        </w:rPr>
        <w:t>asupra cererii de</w:t>
      </w:r>
      <w:r w:rsidRPr="00D9464A">
        <w:rPr>
          <w:rFonts w:ascii="Times New Roman" w:hAnsi="Times New Roman" w:cs="Times New Roman"/>
          <w:color w:val="000000" w:themeColor="text1"/>
          <w:sz w:val="28"/>
          <w:lang w:val="ro-RO"/>
        </w:rPr>
        <w:t xml:space="preserve"> </w:t>
      </w:r>
      <w:r w:rsidR="001E3482" w:rsidRPr="00D9464A">
        <w:rPr>
          <w:rFonts w:ascii="Times New Roman" w:hAnsi="Times New Roman" w:cs="Times New Roman"/>
          <w:color w:val="000000" w:themeColor="text1"/>
          <w:sz w:val="28"/>
          <w:lang w:val="ro-RO"/>
        </w:rPr>
        <w:t>energie</w:t>
      </w:r>
      <w:r w:rsidR="00204033" w:rsidRPr="00D9464A">
        <w:rPr>
          <w:rFonts w:ascii="Times New Roman" w:hAnsi="Times New Roman" w:cs="Times New Roman"/>
          <w:color w:val="000000" w:themeColor="text1"/>
          <w:sz w:val="28"/>
          <w:lang w:val="ro-RO"/>
        </w:rPr>
        <w:t xml:space="preserve"> finală</w:t>
      </w:r>
      <w:bookmarkEnd w:id="169"/>
      <w:r w:rsidRPr="00D9464A">
        <w:rPr>
          <w:rFonts w:ascii="Times New Roman" w:hAnsi="Times New Roman" w:cs="Times New Roman"/>
          <w:color w:val="000000" w:themeColor="text1"/>
          <w:sz w:val="28"/>
          <w:lang w:val="ro-RO"/>
        </w:rPr>
        <w:t xml:space="preserve"> </w:t>
      </w:r>
      <w:bookmarkEnd w:id="165"/>
      <w:bookmarkEnd w:id="170"/>
      <w:bookmarkEnd w:id="171"/>
    </w:p>
    <w:p w14:paraId="2F85B83A" w14:textId="7BDD1049" w:rsidR="002733CB" w:rsidRPr="009C5F11" w:rsidRDefault="005619E4"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Secţiunea</w:t>
      </w:r>
      <w:r w:rsidR="00193943"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193943" w:rsidRPr="009C5F11">
        <w:rPr>
          <w:rFonts w:ascii="Times New Roman" w:hAnsi="Times New Roman" w:cs="Times New Roman"/>
          <w:sz w:val="24"/>
          <w:lang w:val="ro-RO"/>
        </w:rPr>
        <w:instrText xml:space="preserve"> REF _Ref319620205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1.3.1</w:t>
      </w:r>
      <w:r w:rsidR="003A6ADB" w:rsidRPr="009C5F11">
        <w:rPr>
          <w:rFonts w:ascii="Times New Roman" w:hAnsi="Times New Roman" w:cs="Times New Roman"/>
          <w:sz w:val="24"/>
          <w:lang w:val="ro-RO"/>
        </w:rPr>
        <w:fldChar w:fldCharType="end"/>
      </w:r>
      <w:r w:rsidR="002733CB" w:rsidRPr="009C5F11">
        <w:rPr>
          <w:rFonts w:ascii="Times New Roman" w:hAnsi="Times New Roman" w:cs="Times New Roman"/>
          <w:sz w:val="24"/>
          <w:lang w:val="ro-RO"/>
        </w:rPr>
        <w:t xml:space="preserve"> </w:t>
      </w:r>
      <w:r w:rsidR="0085527E" w:rsidRPr="009C5F11">
        <w:rPr>
          <w:rFonts w:ascii="Times New Roman" w:hAnsi="Times New Roman" w:cs="Times New Roman"/>
          <w:sz w:val="24"/>
          <w:lang w:val="ro-RO"/>
        </w:rPr>
        <w:t xml:space="preserve">ce </w:t>
      </w:r>
      <w:r w:rsidR="00204033" w:rsidRPr="009C5F11">
        <w:rPr>
          <w:rFonts w:ascii="Times New Roman" w:hAnsi="Times New Roman" w:cs="Times New Roman"/>
          <w:sz w:val="24"/>
          <w:lang w:val="ro-RO"/>
        </w:rPr>
        <w:t>relevă</w:t>
      </w:r>
      <w:r w:rsidR="002733CB" w:rsidRPr="009C5F11">
        <w:rPr>
          <w:rFonts w:ascii="Times New Roman" w:hAnsi="Times New Roman" w:cs="Times New Roman"/>
          <w:sz w:val="24"/>
          <w:lang w:val="ro-RO"/>
        </w:rPr>
        <w:t xml:space="preserve"> </w:t>
      </w:r>
      <w:r w:rsidR="00323653" w:rsidRPr="009C5F11">
        <w:rPr>
          <w:rFonts w:ascii="Times New Roman" w:hAnsi="Times New Roman" w:cs="Times New Roman"/>
          <w:sz w:val="24"/>
          <w:lang w:val="ro-RO"/>
        </w:rPr>
        <w:t>situaţia</w:t>
      </w:r>
      <w:r w:rsidR="002733CB" w:rsidRPr="009C5F11">
        <w:rPr>
          <w:rFonts w:ascii="Times New Roman" w:hAnsi="Times New Roman" w:cs="Times New Roman"/>
          <w:sz w:val="24"/>
          <w:lang w:val="ro-RO"/>
        </w:rPr>
        <w:t xml:space="preserve"> </w:t>
      </w:r>
      <w:r w:rsidR="00323653" w:rsidRPr="009C5F11">
        <w:rPr>
          <w:rFonts w:ascii="Times New Roman" w:hAnsi="Times New Roman" w:cs="Times New Roman"/>
          <w:sz w:val="24"/>
          <w:lang w:val="ro-RO"/>
        </w:rPr>
        <w:t>privind obiectivele existente</w:t>
      </w:r>
      <w:r w:rsidR="00321CD5" w:rsidRPr="009C5F11">
        <w:rPr>
          <w:rFonts w:ascii="Times New Roman" w:hAnsi="Times New Roman" w:cs="Times New Roman"/>
          <w:sz w:val="24"/>
          <w:lang w:val="ro-RO"/>
        </w:rPr>
        <w:t xml:space="preserve"> </w:t>
      </w:r>
      <w:r w:rsidR="00323653" w:rsidRPr="009C5F11">
        <w:rPr>
          <w:rFonts w:ascii="Times New Roman" w:hAnsi="Times New Roman" w:cs="Times New Roman"/>
          <w:sz w:val="24"/>
          <w:lang w:val="ro-RO"/>
        </w:rPr>
        <w:t>stabilite pentru</w:t>
      </w:r>
      <w:r w:rsidR="00321CD5" w:rsidRPr="009C5F11">
        <w:rPr>
          <w:rFonts w:ascii="Times New Roman" w:hAnsi="Times New Roman" w:cs="Times New Roman"/>
          <w:sz w:val="24"/>
          <w:lang w:val="ro-RO"/>
        </w:rPr>
        <w:t xml:space="preserve"> </w:t>
      </w:r>
      <w:r w:rsidR="001A3D16" w:rsidRPr="009C5F11">
        <w:rPr>
          <w:rFonts w:ascii="Times New Roman" w:hAnsi="Times New Roman" w:cs="Times New Roman"/>
          <w:sz w:val="24"/>
          <w:lang w:val="ro-RO"/>
        </w:rPr>
        <w:t>consumul de energie finală</w:t>
      </w:r>
      <w:r w:rsidR="0085527E" w:rsidRPr="009C5F11">
        <w:rPr>
          <w:rFonts w:ascii="Times New Roman" w:hAnsi="Times New Roman" w:cs="Times New Roman"/>
          <w:sz w:val="24"/>
          <w:lang w:val="ro-RO"/>
        </w:rPr>
        <w:t xml:space="preserve"> listeaza de asemenea strategiile tarii</w:t>
      </w:r>
      <w:r w:rsidR="002733CB" w:rsidRPr="009C5F11">
        <w:rPr>
          <w:rFonts w:ascii="Times New Roman" w:hAnsi="Times New Roman" w:cs="Times New Roman"/>
          <w:sz w:val="24"/>
          <w:lang w:val="ro-RO"/>
        </w:rPr>
        <w:t>.</w:t>
      </w:r>
    </w:p>
    <w:p w14:paraId="37F967EE" w14:textId="77777777" w:rsidR="00162F4F" w:rsidRPr="009C5F11" w:rsidRDefault="00162F4F" w:rsidP="00933301">
      <w:pPr>
        <w:spacing w:before="120" w:after="120" w:line="240" w:lineRule="auto"/>
        <w:jc w:val="both"/>
        <w:textAlignment w:val="baseline"/>
        <w:rPr>
          <w:rFonts w:ascii="Times New Roman" w:hAnsi="Times New Roman" w:cs="Times New Roman"/>
          <w:sz w:val="24"/>
          <w:lang w:val="ro-RO"/>
        </w:rPr>
      </w:pPr>
    </w:p>
    <w:p w14:paraId="7614EDA6" w14:textId="35908CE1" w:rsidR="00BC16FF" w:rsidRPr="00D9464A" w:rsidRDefault="00323653" w:rsidP="00BC16FF">
      <w:pPr>
        <w:pStyle w:val="Titlu2"/>
        <w:rPr>
          <w:rFonts w:ascii="Times New Roman" w:hAnsi="Times New Roman" w:cs="Times New Roman"/>
          <w:color w:val="000000" w:themeColor="text1"/>
          <w:sz w:val="28"/>
          <w:lang w:val="ro-RO"/>
        </w:rPr>
      </w:pPr>
      <w:bookmarkStart w:id="172" w:name="_Toc319555396"/>
      <w:bookmarkStart w:id="173" w:name="_Toc322013162"/>
      <w:r w:rsidRPr="00D9464A">
        <w:rPr>
          <w:rFonts w:ascii="Times New Roman" w:hAnsi="Times New Roman" w:cs="Times New Roman"/>
          <w:color w:val="000000" w:themeColor="text1"/>
          <w:sz w:val="28"/>
          <w:lang w:val="ro-RO"/>
        </w:rPr>
        <w:t>Măsuri la nivel de utilizare finală</w:t>
      </w:r>
      <w:r w:rsidR="00321CD5" w:rsidRPr="00D9464A">
        <w:rPr>
          <w:rFonts w:ascii="Times New Roman" w:hAnsi="Times New Roman" w:cs="Times New Roman"/>
          <w:color w:val="000000" w:themeColor="text1"/>
          <w:sz w:val="28"/>
          <w:lang w:val="ro-RO"/>
        </w:rPr>
        <w:t xml:space="preserve"> şi </w:t>
      </w:r>
      <w:r w:rsidRPr="00D9464A">
        <w:rPr>
          <w:rFonts w:ascii="Times New Roman" w:hAnsi="Times New Roman" w:cs="Times New Roman"/>
          <w:color w:val="000000" w:themeColor="text1"/>
          <w:sz w:val="28"/>
          <w:lang w:val="ro-RO"/>
        </w:rPr>
        <w:t>economii de energie finală</w:t>
      </w:r>
      <w:bookmarkEnd w:id="166"/>
      <w:bookmarkEnd w:id="167"/>
      <w:bookmarkEnd w:id="168"/>
      <w:bookmarkEnd w:id="172"/>
      <w:bookmarkEnd w:id="173"/>
    </w:p>
    <w:p w14:paraId="1BEDF17E" w14:textId="77777777" w:rsidR="002733CB" w:rsidRPr="00D9464A" w:rsidRDefault="00204033" w:rsidP="00761F08">
      <w:pPr>
        <w:pStyle w:val="Titlu3"/>
        <w:rPr>
          <w:rFonts w:ascii="Times New Roman" w:hAnsi="Times New Roman" w:cs="Times New Roman"/>
          <w:b/>
          <w:color w:val="000000" w:themeColor="text1"/>
          <w:sz w:val="28"/>
          <w:lang w:val="ro-RO"/>
        </w:rPr>
      </w:pPr>
      <w:bookmarkStart w:id="174" w:name="_Toc322013163"/>
      <w:r w:rsidRPr="00D9464A">
        <w:rPr>
          <w:rFonts w:ascii="Times New Roman" w:hAnsi="Times New Roman" w:cs="Times New Roman"/>
          <w:b/>
          <w:color w:val="000000" w:themeColor="text1"/>
          <w:sz w:val="28"/>
          <w:lang w:val="ro-RO"/>
        </w:rPr>
        <w:t>Metodologia de calcul</w:t>
      </w:r>
      <w:bookmarkEnd w:id="174"/>
    </w:p>
    <w:p w14:paraId="622790C9" w14:textId="77777777" w:rsidR="00BF7FFC" w:rsidRPr="009C5F11" w:rsidRDefault="0018467E"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Partea centrală a </w:t>
      </w:r>
      <w:r w:rsidR="00872DC2"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2016-2018 </w:t>
      </w:r>
      <w:r w:rsidRPr="009C5F11">
        <w:rPr>
          <w:rFonts w:ascii="Times New Roman" w:hAnsi="Times New Roman" w:cs="Times New Roman"/>
          <w:sz w:val="24"/>
          <w:lang w:val="ro-RO"/>
        </w:rPr>
        <w:t>este</w:t>
      </w:r>
      <w:r w:rsidR="002733CB" w:rsidRPr="009C5F11">
        <w:rPr>
          <w:rFonts w:ascii="Times New Roman" w:hAnsi="Times New Roman" w:cs="Times New Roman"/>
          <w:sz w:val="24"/>
          <w:lang w:val="ro-RO"/>
        </w:rPr>
        <w:t xml:space="preserve"> list</w:t>
      </w:r>
      <w:r w:rsidRPr="009C5F11">
        <w:rPr>
          <w:rFonts w:ascii="Times New Roman" w:hAnsi="Times New Roman" w:cs="Times New Roman"/>
          <w:sz w:val="24"/>
          <w:lang w:val="ro-RO"/>
        </w:rPr>
        <w:t>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de </w:t>
      </w:r>
      <w:r w:rsidR="003A5D93" w:rsidRPr="009C5F11">
        <w:rPr>
          <w:rFonts w:ascii="Times New Roman" w:hAnsi="Times New Roman" w:cs="Times New Roman"/>
          <w:sz w:val="24"/>
          <w:lang w:val="ro-RO"/>
        </w:rPr>
        <w:t>măsuri</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care să asigure </w:t>
      </w:r>
      <w:r w:rsidR="00125D15" w:rsidRPr="009C5F11">
        <w:rPr>
          <w:rFonts w:ascii="Times New Roman" w:hAnsi="Times New Roman" w:cs="Times New Roman"/>
          <w:sz w:val="24"/>
          <w:lang w:val="ro-RO"/>
        </w:rPr>
        <w:t>reducerea consumului de</w:t>
      </w:r>
      <w:r w:rsidRPr="009C5F11">
        <w:rPr>
          <w:rFonts w:ascii="Times New Roman" w:hAnsi="Times New Roman" w:cs="Times New Roman"/>
          <w:sz w:val="24"/>
          <w:lang w:val="ro-RO"/>
        </w:rPr>
        <w:t xml:space="preserve"> energie primar</w:t>
      </w:r>
      <w:r w:rsidR="00125D15" w:rsidRPr="009C5F11">
        <w:rPr>
          <w:rFonts w:ascii="Times New Roman" w:hAnsi="Times New Roman" w:cs="Times New Roman"/>
          <w:sz w:val="24"/>
          <w:lang w:val="ro-RO"/>
        </w:rPr>
        <w:t>ă</w:t>
      </w:r>
      <w:r w:rsidRPr="009C5F11">
        <w:rPr>
          <w:rFonts w:ascii="Times New Roman" w:hAnsi="Times New Roman" w:cs="Times New Roman"/>
          <w:sz w:val="24"/>
          <w:lang w:val="ro-RO"/>
        </w:rPr>
        <w:t xml:space="preserve"> şi final</w:t>
      </w:r>
      <w:r w:rsidR="00125D15" w:rsidRPr="009C5F11">
        <w:rPr>
          <w:rFonts w:ascii="Times New Roman" w:hAnsi="Times New Roman" w:cs="Times New Roman"/>
          <w:sz w:val="24"/>
          <w:lang w:val="ro-RO"/>
        </w:rPr>
        <w:t>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Lista include </w:t>
      </w:r>
      <w:r w:rsidR="00E10BE5" w:rsidRPr="009C5F11">
        <w:rPr>
          <w:rFonts w:ascii="Times New Roman" w:hAnsi="Times New Roman" w:cs="Times New Roman"/>
          <w:sz w:val="24"/>
          <w:lang w:val="ro-RO"/>
        </w:rPr>
        <w:t>măsuri</w:t>
      </w:r>
      <w:r w:rsidRPr="009C5F11">
        <w:rPr>
          <w:rFonts w:ascii="Times New Roman" w:hAnsi="Times New Roman" w:cs="Times New Roman"/>
          <w:sz w:val="24"/>
          <w:lang w:val="ro-RO"/>
        </w:rPr>
        <w:t xml:space="preserve"> ce au o continuare din </w:t>
      </w:r>
      <w:r w:rsidR="00872DC2" w:rsidRPr="009C5F11">
        <w:rPr>
          <w:rFonts w:ascii="Times New Roman" w:hAnsi="Times New Roman" w:cs="Times New Roman"/>
          <w:sz w:val="24"/>
          <w:lang w:val="ro-RO"/>
        </w:rPr>
        <w:t>PNAEE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precedent, </w:t>
      </w:r>
      <w:r w:rsidR="00421FA7" w:rsidRPr="009C5F11">
        <w:rPr>
          <w:rFonts w:ascii="Times New Roman" w:hAnsi="Times New Roman" w:cs="Times New Roman"/>
          <w:sz w:val="24"/>
          <w:lang w:val="ro-RO"/>
        </w:rPr>
        <w:t>precum şi</w:t>
      </w:r>
      <w:r w:rsidR="002733CB"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Pr="009C5F11">
        <w:rPr>
          <w:rFonts w:ascii="Times New Roman" w:hAnsi="Times New Roman" w:cs="Times New Roman"/>
          <w:sz w:val="24"/>
          <w:lang w:val="ro-RO"/>
        </w:rPr>
        <w:t xml:space="preserve"> nou-introduse</w:t>
      </w:r>
      <w:r w:rsidR="002733CB" w:rsidRPr="009C5F11">
        <w:rPr>
          <w:rFonts w:ascii="Times New Roman" w:hAnsi="Times New Roman" w:cs="Times New Roman"/>
          <w:sz w:val="24"/>
          <w:lang w:val="ro-RO"/>
        </w:rPr>
        <w:t xml:space="preserve">. </w:t>
      </w:r>
      <w:r w:rsidR="001B1A25" w:rsidRPr="009C5F11">
        <w:rPr>
          <w:rFonts w:ascii="Times New Roman" w:hAnsi="Times New Roman" w:cs="Times New Roman"/>
          <w:sz w:val="24"/>
          <w:lang w:val="ro-RO"/>
        </w:rPr>
        <w:t>În conformitate cu</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modelele recomandate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au fost abordate atât </w:t>
      </w:r>
      <w:r w:rsidR="00B40A7C" w:rsidRPr="009C5F11">
        <w:rPr>
          <w:rFonts w:ascii="Times New Roman" w:hAnsi="Times New Roman" w:cs="Times New Roman"/>
          <w:sz w:val="24"/>
          <w:lang w:val="ro-RO"/>
        </w:rPr>
        <w:t>obiectivul</w:t>
      </w:r>
      <w:r w:rsidRPr="009C5F11">
        <w:rPr>
          <w:rFonts w:ascii="Times New Roman" w:hAnsi="Times New Roman" w:cs="Times New Roman"/>
          <w:sz w:val="24"/>
          <w:lang w:val="ro-RO"/>
        </w:rPr>
        <w:t xml:space="preserve"> intermediar, cât şi cel</w:t>
      </w:r>
      <w:r w:rsidR="00321CD5" w:rsidRPr="009C5F11">
        <w:rPr>
          <w:rFonts w:ascii="Times New Roman" w:hAnsi="Times New Roman" w:cs="Times New Roman"/>
          <w:sz w:val="24"/>
          <w:lang w:val="ro-RO"/>
        </w:rPr>
        <w:t xml:space="preserve"> </w:t>
      </w:r>
      <w:r w:rsidR="002733CB" w:rsidRPr="009C5F11">
        <w:rPr>
          <w:rFonts w:ascii="Times New Roman" w:hAnsi="Times New Roman" w:cs="Times New Roman"/>
          <w:sz w:val="24"/>
          <w:lang w:val="ro-RO"/>
        </w:rPr>
        <w:t xml:space="preserve">final </w:t>
      </w:r>
      <w:r w:rsidRPr="009C5F11">
        <w:rPr>
          <w:rFonts w:ascii="Times New Roman" w:hAnsi="Times New Roman" w:cs="Times New Roman"/>
          <w:sz w:val="24"/>
          <w:lang w:val="ro-RO"/>
        </w:rPr>
        <w:t xml:space="preserve">în vederea estimării volumului de economii obţinute sau </w:t>
      </w:r>
      <w:r w:rsidR="0056205E" w:rsidRPr="009C5F11">
        <w:rPr>
          <w:rFonts w:ascii="Times New Roman" w:hAnsi="Times New Roman" w:cs="Times New Roman"/>
          <w:sz w:val="24"/>
          <w:lang w:val="ro-RO"/>
        </w:rPr>
        <w:t>aşteptate</w:t>
      </w:r>
      <w:r w:rsidR="002733CB" w:rsidRPr="009C5F11">
        <w:rPr>
          <w:rFonts w:ascii="Times New Roman" w:hAnsi="Times New Roman" w:cs="Times New Roman"/>
          <w:sz w:val="24"/>
          <w:lang w:val="ro-RO"/>
        </w:rPr>
        <w:t>.</w:t>
      </w:r>
    </w:p>
    <w:p w14:paraId="0F722BA5" w14:textId="22EA5E11" w:rsidR="002733CB" w:rsidRPr="009C5F11" w:rsidRDefault="0018467E"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Această </w:t>
      </w:r>
      <w:r w:rsidR="002733CB" w:rsidRPr="009C5F11">
        <w:rPr>
          <w:rFonts w:ascii="Times New Roman" w:hAnsi="Times New Roman" w:cs="Times New Roman"/>
          <w:sz w:val="24"/>
          <w:lang w:val="ro-RO"/>
        </w:rPr>
        <w:t>list</w:t>
      </w:r>
      <w:r w:rsidRPr="009C5F11">
        <w:rPr>
          <w:rFonts w:ascii="Times New Roman" w:hAnsi="Times New Roman" w:cs="Times New Roman"/>
          <w:sz w:val="24"/>
          <w:lang w:val="ro-RO"/>
        </w:rPr>
        <w:t xml:space="preserve">ă ar trebui să asigure că </w:t>
      </w:r>
      <w:r w:rsidR="00204033" w:rsidRPr="009C5F11">
        <w:rPr>
          <w:rFonts w:ascii="Times New Roman" w:hAnsi="Times New Roman" w:cs="Times New Roman"/>
          <w:sz w:val="24"/>
          <w:lang w:val="ro-RO"/>
        </w:rPr>
        <w:t>obiective</w:t>
      </w:r>
      <w:r w:rsidRPr="009C5F11">
        <w:rPr>
          <w:rFonts w:ascii="Times New Roman" w:hAnsi="Times New Roman" w:cs="Times New Roman"/>
          <w:sz w:val="24"/>
          <w:lang w:val="ro-RO"/>
        </w:rPr>
        <w:t>le calculate</w:t>
      </w:r>
      <w:r w:rsidR="002733CB" w:rsidRPr="009C5F11">
        <w:rPr>
          <w:rFonts w:ascii="Times New Roman" w:hAnsi="Times New Roman" w:cs="Times New Roman"/>
          <w:sz w:val="24"/>
          <w:lang w:val="ro-RO"/>
        </w:rPr>
        <w:t xml:space="preserve"> </w:t>
      </w:r>
      <w:r w:rsidR="00D62784" w:rsidRPr="009C5F11">
        <w:rPr>
          <w:rFonts w:ascii="Times New Roman" w:hAnsi="Times New Roman" w:cs="Times New Roman"/>
          <w:sz w:val="24"/>
          <w:lang w:val="ro-RO"/>
        </w:rPr>
        <w:t>în conformitate cu</w:t>
      </w:r>
      <w:r w:rsidR="002733CB"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Anexa</w:t>
      </w:r>
      <w:r w:rsidR="002733CB" w:rsidRPr="009C5F11">
        <w:rPr>
          <w:rFonts w:ascii="Times New Roman" w:hAnsi="Times New Roman" w:cs="Times New Roman"/>
          <w:sz w:val="24"/>
          <w:lang w:val="ro-RO"/>
        </w:rPr>
        <w:t xml:space="preserve"> I </w:t>
      </w:r>
      <w:r w:rsidR="00323653" w:rsidRPr="009C5F11">
        <w:rPr>
          <w:rFonts w:ascii="Times New Roman" w:hAnsi="Times New Roman" w:cs="Times New Roman"/>
          <w:sz w:val="24"/>
          <w:lang w:val="ro-RO"/>
        </w:rPr>
        <w:t>la</w:t>
      </w:r>
      <w:r w:rsidR="002733CB"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DSE</w:t>
      </w:r>
      <w:r w:rsidR="002733CB" w:rsidRPr="009C5F11">
        <w:rPr>
          <w:rFonts w:ascii="Times New Roman" w:hAnsi="Times New Roman" w:cs="Times New Roman"/>
          <w:sz w:val="24"/>
          <w:lang w:val="ro-RO"/>
        </w:rPr>
        <w:t xml:space="preserve"> </w:t>
      </w:r>
      <w:r w:rsidR="00323653" w:rsidRPr="009C5F11">
        <w:rPr>
          <w:rFonts w:ascii="Times New Roman" w:hAnsi="Times New Roman" w:cs="Times New Roman"/>
          <w:sz w:val="24"/>
          <w:lang w:val="ro-RO"/>
        </w:rPr>
        <w:t>sunt realizabile prin</w:t>
      </w:r>
      <w:r w:rsidR="002733CB" w:rsidRPr="009C5F11">
        <w:rPr>
          <w:rFonts w:ascii="Times New Roman" w:hAnsi="Times New Roman" w:cs="Times New Roman"/>
          <w:sz w:val="24"/>
          <w:lang w:val="ro-RO"/>
        </w:rPr>
        <w:t>:</w:t>
      </w:r>
    </w:p>
    <w:p w14:paraId="2A012572" w14:textId="77777777" w:rsidR="002733CB" w:rsidRPr="009C5F11" w:rsidRDefault="00E10BE5"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măsuri</w:t>
      </w:r>
      <w:r w:rsidR="002733CB" w:rsidRPr="009C5F11">
        <w:rPr>
          <w:rFonts w:ascii="Times New Roman" w:hAnsi="Times New Roman" w:cs="Times New Roman"/>
          <w:sz w:val="24"/>
          <w:lang w:val="ro-RO"/>
        </w:rPr>
        <w:t xml:space="preserve"> </w:t>
      </w:r>
      <w:r w:rsidR="0018467E" w:rsidRPr="009C5F11">
        <w:rPr>
          <w:rFonts w:ascii="Times New Roman" w:hAnsi="Times New Roman" w:cs="Times New Roman"/>
          <w:sz w:val="24"/>
          <w:lang w:val="ro-RO"/>
        </w:rPr>
        <w:t xml:space="preserve">care </w:t>
      </w:r>
      <w:r w:rsidR="00125D15" w:rsidRPr="009C5F11">
        <w:rPr>
          <w:rFonts w:ascii="Times New Roman" w:hAnsi="Times New Roman" w:cs="Times New Roman"/>
          <w:sz w:val="24"/>
          <w:lang w:val="ro-RO"/>
        </w:rPr>
        <w:t>generează</w:t>
      </w:r>
      <w:r w:rsidR="0018467E"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economii</w:t>
      </w:r>
      <w:r w:rsidR="00321CD5" w:rsidRPr="009C5F11">
        <w:rPr>
          <w:rFonts w:ascii="Times New Roman" w:hAnsi="Times New Roman" w:cs="Times New Roman"/>
          <w:sz w:val="24"/>
          <w:lang w:val="ro-RO"/>
        </w:rPr>
        <w:t xml:space="preserve"> </w:t>
      </w:r>
      <w:r w:rsidR="0018467E" w:rsidRPr="009C5F11">
        <w:rPr>
          <w:rFonts w:ascii="Times New Roman" w:hAnsi="Times New Roman" w:cs="Times New Roman"/>
          <w:sz w:val="24"/>
          <w:lang w:val="ro-RO"/>
        </w:rPr>
        <w:t>directe;</w:t>
      </w:r>
      <w:r w:rsidR="0056205E"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şi </w:t>
      </w:r>
    </w:p>
    <w:p w14:paraId="09064B5A" w14:textId="77777777" w:rsidR="002733CB" w:rsidRPr="009C5F11" w:rsidRDefault="00E10BE5"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măsuri</w:t>
      </w:r>
      <w:r w:rsidR="002733CB" w:rsidRPr="009C5F11">
        <w:rPr>
          <w:rFonts w:ascii="Times New Roman" w:hAnsi="Times New Roman" w:cs="Times New Roman"/>
          <w:sz w:val="24"/>
          <w:lang w:val="ro-RO"/>
        </w:rPr>
        <w:t xml:space="preserve"> </w:t>
      </w:r>
      <w:r w:rsidR="0018467E" w:rsidRPr="009C5F11">
        <w:rPr>
          <w:rFonts w:ascii="Times New Roman" w:hAnsi="Times New Roman" w:cs="Times New Roman"/>
          <w:sz w:val="24"/>
          <w:lang w:val="ro-RO"/>
        </w:rPr>
        <w:t xml:space="preserve">care nu </w:t>
      </w:r>
      <w:r w:rsidR="00125D15" w:rsidRPr="009C5F11">
        <w:rPr>
          <w:rFonts w:ascii="Times New Roman" w:hAnsi="Times New Roman" w:cs="Times New Roman"/>
          <w:sz w:val="24"/>
          <w:lang w:val="ro-RO"/>
        </w:rPr>
        <w:t>generează</w:t>
      </w:r>
      <w:r w:rsidR="0018467E" w:rsidRPr="009C5F11">
        <w:rPr>
          <w:rFonts w:ascii="Times New Roman" w:hAnsi="Times New Roman" w:cs="Times New Roman"/>
          <w:sz w:val="24"/>
          <w:lang w:val="ro-RO"/>
        </w:rPr>
        <w:t xml:space="preserve"> economii directe, dar care oferă condiţii pentru ca alte măsuri să fie eficace</w:t>
      </w:r>
      <w:r w:rsidR="002733CB" w:rsidRPr="009C5F11">
        <w:rPr>
          <w:rFonts w:ascii="Times New Roman" w:hAnsi="Times New Roman" w:cs="Times New Roman"/>
          <w:sz w:val="24"/>
          <w:lang w:val="ro-RO"/>
        </w:rPr>
        <w:t>.</w:t>
      </w:r>
    </w:p>
    <w:p w14:paraId="098C4DD3" w14:textId="77777777" w:rsidR="00BF7FFC" w:rsidRPr="009C5F11" w:rsidRDefault="0018467E"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Până în anul</w:t>
      </w:r>
      <w:r w:rsidR="002733CB" w:rsidRPr="009C5F11">
        <w:rPr>
          <w:rFonts w:ascii="Times New Roman" w:hAnsi="Times New Roman" w:cs="Times New Roman"/>
          <w:sz w:val="24"/>
          <w:lang w:val="ro-RO"/>
        </w:rPr>
        <w:t xml:space="preserve"> 2013 </w:t>
      </w:r>
      <w:r w:rsidRPr="009C5F11">
        <w:rPr>
          <w:rFonts w:ascii="Times New Roman" w:hAnsi="Times New Roman" w:cs="Times New Roman"/>
          <w:sz w:val="24"/>
          <w:lang w:val="ro-RO"/>
        </w:rPr>
        <w:t xml:space="preserve">nu a existat </w:t>
      </w:r>
      <w:r w:rsidR="00125D15" w:rsidRPr="009C5F11">
        <w:rPr>
          <w:rFonts w:ascii="Times New Roman" w:hAnsi="Times New Roman" w:cs="Times New Roman"/>
          <w:sz w:val="24"/>
          <w:lang w:val="ro-RO"/>
        </w:rPr>
        <w:t xml:space="preserve">un </w:t>
      </w:r>
      <w:r w:rsidRPr="009C5F11">
        <w:rPr>
          <w:rFonts w:ascii="Times New Roman" w:hAnsi="Times New Roman" w:cs="Times New Roman"/>
          <w:sz w:val="24"/>
          <w:lang w:val="ro-RO"/>
        </w:rPr>
        <w:t>format concret</w:t>
      </w:r>
      <w:r w:rsidR="00125D15" w:rsidRPr="009C5F11">
        <w:rPr>
          <w:rFonts w:ascii="Times New Roman" w:hAnsi="Times New Roman" w:cs="Times New Roman"/>
          <w:sz w:val="24"/>
          <w:lang w:val="ro-RO"/>
        </w:rPr>
        <w:t xml:space="preserve"> de raportare sau </w:t>
      </w:r>
      <w:r w:rsidR="0056205E" w:rsidRPr="009C5F11">
        <w:rPr>
          <w:rFonts w:ascii="Times New Roman" w:hAnsi="Times New Roman" w:cs="Times New Roman"/>
          <w:sz w:val="24"/>
          <w:lang w:val="ro-RO"/>
        </w:rPr>
        <w:t xml:space="preserve">un </w:t>
      </w:r>
      <w:r w:rsidR="00125D15" w:rsidRPr="009C5F11">
        <w:rPr>
          <w:rFonts w:ascii="Times New Roman" w:hAnsi="Times New Roman" w:cs="Times New Roman"/>
          <w:sz w:val="24"/>
          <w:lang w:val="ro-RO"/>
        </w:rPr>
        <w:t>sistem</w:t>
      </w:r>
      <w:r w:rsidRPr="009C5F11">
        <w:rPr>
          <w:rFonts w:ascii="Times New Roman" w:hAnsi="Times New Roman" w:cs="Times New Roman"/>
          <w:sz w:val="24"/>
          <w:lang w:val="ro-RO"/>
        </w:rPr>
        <w:t xml:space="preserve"> de raportare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 fapt, raportarea se făcea în funcţie de datele disponibile la moment</w:t>
      </w:r>
      <w:r w:rsidR="00C8619D" w:rsidRPr="009C5F11">
        <w:rPr>
          <w:rFonts w:ascii="Times New Roman" w:hAnsi="Times New Roman" w:cs="Times New Roman"/>
          <w:sz w:val="24"/>
          <w:lang w:val="ro-RO"/>
        </w:rPr>
        <w:t>ul respectiv</w:t>
      </w:r>
      <w:r w:rsidRPr="009C5F11">
        <w:rPr>
          <w:rFonts w:ascii="Times New Roman" w:hAnsi="Times New Roman" w:cs="Times New Roman"/>
          <w:sz w:val="24"/>
          <w:lang w:val="ro-RO"/>
        </w:rPr>
        <w:t>, având la bază reuniunile organizate de părţile vizate</w:t>
      </w:r>
      <w:r w:rsidR="002733CB" w:rsidRPr="009C5F11">
        <w:rPr>
          <w:rFonts w:ascii="Times New Roman" w:hAnsi="Times New Roman" w:cs="Times New Roman"/>
          <w:sz w:val="24"/>
          <w:lang w:val="ro-RO"/>
        </w:rPr>
        <w:t xml:space="preserve">. </w:t>
      </w:r>
    </w:p>
    <w:p w14:paraId="4E94A57E" w14:textId="77777777" w:rsidR="00BF7FFC" w:rsidRPr="009C5F11" w:rsidRDefault="00C8619D"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Principiul global director pentru programul de monitorizare şi evaluare (M&amp;E) al </w:t>
      </w:r>
      <w:r w:rsidR="00EA007D" w:rsidRPr="009C5F11">
        <w:rPr>
          <w:rFonts w:ascii="Times New Roman" w:hAnsi="Times New Roman" w:cs="Times New Roman"/>
          <w:sz w:val="24"/>
          <w:lang w:val="ro-RO"/>
        </w:rPr>
        <w:t>AEE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rezidă pe </w:t>
      </w:r>
      <w:r w:rsidR="00210C2C" w:rsidRPr="009C5F11">
        <w:rPr>
          <w:rFonts w:ascii="Times New Roman" w:hAnsi="Times New Roman" w:cs="Times New Roman"/>
          <w:sz w:val="24"/>
          <w:lang w:val="ro-RO"/>
        </w:rPr>
        <w:t>monitorizare</w:t>
      </w:r>
      <w:r w:rsidRPr="009C5F11">
        <w:rPr>
          <w:rFonts w:ascii="Times New Roman" w:hAnsi="Times New Roman" w:cs="Times New Roman"/>
          <w:sz w:val="24"/>
          <w:lang w:val="ro-RO"/>
        </w:rPr>
        <w:t>a bazată pe rezultate</w:t>
      </w:r>
      <w:r w:rsidR="002733CB" w:rsidRPr="009C5F11">
        <w:rPr>
          <w:rFonts w:ascii="Times New Roman" w:hAnsi="Times New Roman" w:cs="Times New Roman"/>
          <w:sz w:val="24"/>
          <w:lang w:val="ro-RO"/>
        </w:rPr>
        <w:t xml:space="preserve"> (</w:t>
      </w:r>
      <w:r w:rsidR="00125D15" w:rsidRPr="009C5F11">
        <w:rPr>
          <w:rFonts w:ascii="Times New Roman" w:hAnsi="Times New Roman" w:cs="Times New Roman"/>
          <w:sz w:val="24"/>
          <w:lang w:val="ro-RO"/>
        </w:rPr>
        <w:t>MBR</w:t>
      </w:r>
      <w:r w:rsidR="002733CB" w:rsidRPr="009C5F11">
        <w:rPr>
          <w:rFonts w:ascii="Times New Roman" w:hAnsi="Times New Roman" w:cs="Times New Roman"/>
          <w:sz w:val="24"/>
          <w:lang w:val="ro-RO"/>
        </w:rPr>
        <w:t>), indic</w:t>
      </w:r>
      <w:r w:rsidRPr="009C5F11">
        <w:rPr>
          <w:rFonts w:ascii="Times New Roman" w:hAnsi="Times New Roman" w:cs="Times New Roman"/>
          <w:sz w:val="24"/>
          <w:lang w:val="ro-RO"/>
        </w:rPr>
        <w:t xml:space="preserve">ând faptul că orice proces de </w:t>
      </w:r>
      <w:r w:rsidR="00210C2C" w:rsidRPr="009C5F11">
        <w:rPr>
          <w:rFonts w:ascii="Times New Roman" w:hAnsi="Times New Roman" w:cs="Times New Roman"/>
          <w:sz w:val="24"/>
          <w:lang w:val="ro-RO"/>
        </w:rPr>
        <w:t>monitorizare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ar trebui să se axeze mai degrabă pe rezultatele efective obţinute cu eforturile depuse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decât pe contribuţiile/intrările folosite de </w:t>
      </w:r>
      <w:r w:rsidR="00E10BE5" w:rsidRPr="009C5F11">
        <w:rPr>
          <w:rFonts w:ascii="Times New Roman" w:hAnsi="Times New Roman" w:cs="Times New Roman"/>
          <w:sz w:val="24"/>
          <w:lang w:val="ro-RO"/>
        </w:rPr>
        <w:t>proiecte</w:t>
      </w:r>
      <w:r w:rsidR="00321CD5" w:rsidRPr="009C5F11">
        <w:rPr>
          <w:rFonts w:ascii="Times New Roman" w:hAnsi="Times New Roman" w:cs="Times New Roman"/>
          <w:sz w:val="24"/>
          <w:lang w:val="ro-RO"/>
        </w:rPr>
        <w:t xml:space="preserve"> şi </w:t>
      </w:r>
      <w:r w:rsidR="00421FA7" w:rsidRPr="009C5F11">
        <w:rPr>
          <w:rFonts w:ascii="Times New Roman" w:hAnsi="Times New Roman" w:cs="Times New Roman"/>
          <w:sz w:val="24"/>
          <w:lang w:val="ro-RO"/>
        </w:rPr>
        <w:t>programe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Sistemul de raportare</w:t>
      </w:r>
      <w:r w:rsidR="00177E9C"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îşi propune să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asigure produse/ieşiri pentru evaluarea rezultatelor finale şi a impactului în timp</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Indicatorii de performanţă</w:t>
      </w:r>
      <w:r w:rsidR="002733CB" w:rsidRPr="009C5F11">
        <w:rPr>
          <w:rFonts w:ascii="Times New Roman" w:hAnsi="Times New Roman" w:cs="Times New Roman"/>
          <w:sz w:val="24"/>
          <w:lang w:val="ro-RO"/>
        </w:rPr>
        <w:t xml:space="preserve"> serve</w:t>
      </w:r>
      <w:r w:rsidRPr="009C5F11">
        <w:rPr>
          <w:rFonts w:ascii="Times New Roman" w:hAnsi="Times New Roman" w:cs="Times New Roman"/>
          <w:sz w:val="24"/>
          <w:lang w:val="ro-RO"/>
        </w:rPr>
        <w:t>sc pentru a</w:t>
      </w:r>
      <w:r w:rsidR="007432D0" w:rsidRPr="009C5F11">
        <w:rPr>
          <w:rFonts w:ascii="Times New Roman" w:hAnsi="Times New Roman" w:cs="Times New Roman"/>
          <w:sz w:val="24"/>
          <w:lang w:val="ro-RO"/>
        </w:rPr>
        <w:t xml:space="preserve"> capta în mod </w:t>
      </w:r>
      <w:r w:rsidR="002733CB" w:rsidRPr="009C5F11">
        <w:rPr>
          <w:rFonts w:ascii="Times New Roman" w:hAnsi="Times New Roman" w:cs="Times New Roman"/>
          <w:sz w:val="24"/>
          <w:lang w:val="ro-RO"/>
        </w:rPr>
        <w:t xml:space="preserve">explicit </w:t>
      </w:r>
      <w:r w:rsidR="00125D15" w:rsidRPr="009C5F11">
        <w:rPr>
          <w:rFonts w:ascii="Times New Roman" w:hAnsi="Times New Roman" w:cs="Times New Roman"/>
          <w:sz w:val="24"/>
          <w:lang w:val="ro-RO"/>
        </w:rPr>
        <w:t>realizarea</w:t>
      </w:r>
      <w:r w:rsidR="007432D0" w:rsidRPr="009C5F11">
        <w:rPr>
          <w:rFonts w:ascii="Times New Roman" w:hAnsi="Times New Roman" w:cs="Times New Roman"/>
          <w:sz w:val="24"/>
          <w:lang w:val="ro-RO"/>
        </w:rPr>
        <w:t xml:space="preserve"> </w:t>
      </w:r>
      <w:r w:rsidR="00D77687" w:rsidRPr="009C5F11">
        <w:rPr>
          <w:rFonts w:ascii="Times New Roman" w:hAnsi="Times New Roman" w:cs="Times New Roman"/>
          <w:sz w:val="24"/>
          <w:lang w:val="ro-RO"/>
        </w:rPr>
        <w:t>activităţi</w:t>
      </w:r>
      <w:r w:rsidR="007432D0" w:rsidRPr="009C5F11">
        <w:rPr>
          <w:rFonts w:ascii="Times New Roman" w:hAnsi="Times New Roman" w:cs="Times New Roman"/>
          <w:sz w:val="24"/>
          <w:lang w:val="ro-RO"/>
        </w:rPr>
        <w:t>l</w:t>
      </w:r>
      <w:r w:rsidR="00125D15" w:rsidRPr="009C5F11">
        <w:rPr>
          <w:rFonts w:ascii="Times New Roman" w:hAnsi="Times New Roman" w:cs="Times New Roman"/>
          <w:sz w:val="24"/>
          <w:lang w:val="ro-RO"/>
        </w:rPr>
        <w:t>or şi obţinerea</w:t>
      </w:r>
      <w:r w:rsidR="007432D0" w:rsidRPr="009C5F11">
        <w:rPr>
          <w:rFonts w:ascii="Times New Roman" w:hAnsi="Times New Roman" w:cs="Times New Roman"/>
          <w:sz w:val="24"/>
          <w:lang w:val="ro-RO"/>
        </w:rPr>
        <w:t xml:space="preserve"> produsel</w:t>
      </w:r>
      <w:r w:rsidR="00125D15" w:rsidRPr="009C5F11">
        <w:rPr>
          <w:rFonts w:ascii="Times New Roman" w:hAnsi="Times New Roman" w:cs="Times New Roman"/>
          <w:sz w:val="24"/>
          <w:lang w:val="ro-RO"/>
        </w:rPr>
        <w:t>or/ieşirilor</w:t>
      </w:r>
      <w:r w:rsidR="002733CB" w:rsidRPr="009C5F11">
        <w:rPr>
          <w:rFonts w:ascii="Times New Roman" w:hAnsi="Times New Roman" w:cs="Times New Roman"/>
          <w:sz w:val="24"/>
          <w:lang w:val="ro-RO"/>
        </w:rPr>
        <w:t xml:space="preserve">. </w:t>
      </w:r>
      <w:r w:rsidR="00D27C3A" w:rsidRPr="009C5F11">
        <w:rPr>
          <w:rFonts w:ascii="Times New Roman" w:hAnsi="Times New Roman" w:cs="Times New Roman"/>
          <w:sz w:val="24"/>
          <w:lang w:val="ro-RO"/>
        </w:rPr>
        <w:t>Pentru ca</w:t>
      </w:r>
      <w:r w:rsidR="002733CB" w:rsidRPr="009C5F11">
        <w:rPr>
          <w:rFonts w:ascii="Times New Roman" w:hAnsi="Times New Roman" w:cs="Times New Roman"/>
          <w:sz w:val="24"/>
          <w:lang w:val="ro-RO"/>
        </w:rPr>
        <w:t xml:space="preserve"> </w:t>
      </w:r>
      <w:r w:rsidR="00210C2C" w:rsidRPr="009C5F11">
        <w:rPr>
          <w:rFonts w:ascii="Times New Roman" w:hAnsi="Times New Roman" w:cs="Times New Roman"/>
          <w:sz w:val="24"/>
          <w:lang w:val="ro-RO"/>
        </w:rPr>
        <w:t>sistemul de monitorizare</w:t>
      </w:r>
      <w:r w:rsidR="002733CB" w:rsidRPr="009C5F11">
        <w:rPr>
          <w:rFonts w:ascii="Times New Roman" w:hAnsi="Times New Roman" w:cs="Times New Roman"/>
          <w:sz w:val="24"/>
          <w:lang w:val="ro-RO"/>
        </w:rPr>
        <w:t xml:space="preserve"> </w:t>
      </w:r>
      <w:r w:rsidR="00D27C3A" w:rsidRPr="009C5F11">
        <w:rPr>
          <w:rFonts w:ascii="Times New Roman" w:hAnsi="Times New Roman" w:cs="Times New Roman"/>
          <w:sz w:val="24"/>
          <w:lang w:val="ro-RO"/>
        </w:rPr>
        <w:t>să devină un instrument util</w:t>
      </w:r>
      <w:r w:rsidR="00321CD5" w:rsidRPr="009C5F11">
        <w:rPr>
          <w:rFonts w:ascii="Times New Roman" w:hAnsi="Times New Roman" w:cs="Times New Roman"/>
          <w:sz w:val="24"/>
          <w:lang w:val="ro-RO"/>
        </w:rPr>
        <w:t xml:space="preserve"> </w:t>
      </w:r>
      <w:r w:rsidR="00D27C3A" w:rsidRPr="009C5F11">
        <w:rPr>
          <w:rFonts w:ascii="Times New Roman" w:hAnsi="Times New Roman" w:cs="Times New Roman"/>
          <w:sz w:val="24"/>
          <w:lang w:val="ro-RO"/>
        </w:rPr>
        <w:t>care să economisească timpul</w:t>
      </w:r>
      <w:r w:rsidR="002733CB" w:rsidRPr="009C5F11">
        <w:rPr>
          <w:rFonts w:ascii="Times New Roman" w:hAnsi="Times New Roman" w:cs="Times New Roman"/>
          <w:sz w:val="24"/>
          <w:lang w:val="ro-RO"/>
        </w:rPr>
        <w:t xml:space="preserve">, </w:t>
      </w:r>
      <w:r w:rsidR="00D27C3A" w:rsidRPr="009C5F11">
        <w:rPr>
          <w:rFonts w:ascii="Times New Roman" w:hAnsi="Times New Roman" w:cs="Times New Roman"/>
          <w:sz w:val="24"/>
          <w:lang w:val="ro-RO"/>
        </w:rPr>
        <w:t>aceşti</w:t>
      </w:r>
      <w:r w:rsidR="002733CB" w:rsidRPr="009C5F11">
        <w:rPr>
          <w:rFonts w:ascii="Times New Roman" w:hAnsi="Times New Roman" w:cs="Times New Roman"/>
          <w:sz w:val="24"/>
          <w:lang w:val="ro-RO"/>
        </w:rPr>
        <w:t xml:space="preserve"> </w:t>
      </w:r>
      <w:r w:rsidR="00D27C3A" w:rsidRPr="009C5F11">
        <w:rPr>
          <w:rFonts w:ascii="Times New Roman" w:hAnsi="Times New Roman" w:cs="Times New Roman"/>
          <w:sz w:val="24"/>
          <w:lang w:val="ro-RO"/>
        </w:rPr>
        <w:t>indicatori</w:t>
      </w:r>
      <w:r w:rsidR="002733CB" w:rsidRPr="009C5F11">
        <w:rPr>
          <w:rFonts w:ascii="Times New Roman" w:hAnsi="Times New Roman" w:cs="Times New Roman"/>
          <w:sz w:val="24"/>
          <w:lang w:val="ro-RO"/>
        </w:rPr>
        <w:t xml:space="preserve"> </w:t>
      </w:r>
      <w:r w:rsidR="00D27C3A" w:rsidRPr="009C5F11">
        <w:rPr>
          <w:rFonts w:ascii="Times New Roman" w:hAnsi="Times New Roman" w:cs="Times New Roman"/>
          <w:sz w:val="24"/>
          <w:lang w:val="ro-RO"/>
        </w:rPr>
        <w:t>ar trebui să fie</w:t>
      </w:r>
      <w:r w:rsidR="002733CB" w:rsidRPr="009C5F11">
        <w:rPr>
          <w:rFonts w:ascii="Times New Roman" w:hAnsi="Times New Roman" w:cs="Times New Roman"/>
          <w:sz w:val="24"/>
          <w:lang w:val="ro-RO"/>
        </w:rPr>
        <w:t xml:space="preserve"> specific</w:t>
      </w:r>
      <w:r w:rsidR="00D27C3A" w:rsidRPr="009C5F11">
        <w:rPr>
          <w:rFonts w:ascii="Times New Roman" w:hAnsi="Times New Roman" w:cs="Times New Roman"/>
          <w:sz w:val="24"/>
          <w:lang w:val="ro-RO"/>
        </w:rPr>
        <w:t>i</w:t>
      </w:r>
      <w:r w:rsidR="002733CB" w:rsidRPr="009C5F11">
        <w:rPr>
          <w:rFonts w:ascii="Times New Roman" w:hAnsi="Times New Roman" w:cs="Times New Roman"/>
          <w:sz w:val="24"/>
          <w:lang w:val="ro-RO"/>
        </w:rPr>
        <w:t>, m</w:t>
      </w:r>
      <w:r w:rsidR="00D27C3A" w:rsidRPr="009C5F11">
        <w:rPr>
          <w:rFonts w:ascii="Times New Roman" w:hAnsi="Times New Roman" w:cs="Times New Roman"/>
          <w:sz w:val="24"/>
          <w:lang w:val="ro-RO"/>
        </w:rPr>
        <w:t>ă</w:t>
      </w:r>
      <w:r w:rsidR="002733CB" w:rsidRPr="009C5F11">
        <w:rPr>
          <w:rFonts w:ascii="Times New Roman" w:hAnsi="Times New Roman" w:cs="Times New Roman"/>
          <w:sz w:val="24"/>
          <w:lang w:val="ro-RO"/>
        </w:rPr>
        <w:t>surab</w:t>
      </w:r>
      <w:r w:rsidR="00D27C3A" w:rsidRPr="009C5F11">
        <w:rPr>
          <w:rFonts w:ascii="Times New Roman" w:hAnsi="Times New Roman" w:cs="Times New Roman"/>
          <w:sz w:val="24"/>
          <w:lang w:val="ro-RO"/>
        </w:rPr>
        <w:t>i</w:t>
      </w:r>
      <w:r w:rsidR="002733CB" w:rsidRPr="009C5F11">
        <w:rPr>
          <w:rFonts w:ascii="Times New Roman" w:hAnsi="Times New Roman" w:cs="Times New Roman"/>
          <w:sz w:val="24"/>
          <w:lang w:val="ro-RO"/>
        </w:rPr>
        <w:t>l</w:t>
      </w:r>
      <w:r w:rsidR="00D27C3A" w:rsidRPr="009C5F11">
        <w:rPr>
          <w:rFonts w:ascii="Times New Roman" w:hAnsi="Times New Roman" w:cs="Times New Roman"/>
          <w:sz w:val="24"/>
          <w:lang w:val="ro-RO"/>
        </w:rPr>
        <w:t>i</w:t>
      </w:r>
      <w:r w:rsidR="002733CB" w:rsidRPr="009C5F11">
        <w:rPr>
          <w:rFonts w:ascii="Times New Roman" w:hAnsi="Times New Roman" w:cs="Times New Roman"/>
          <w:sz w:val="24"/>
          <w:lang w:val="ro-RO"/>
        </w:rPr>
        <w:t xml:space="preserve">, </w:t>
      </w:r>
      <w:r w:rsidR="00D27C3A" w:rsidRPr="009C5F11">
        <w:rPr>
          <w:rFonts w:ascii="Times New Roman" w:hAnsi="Times New Roman" w:cs="Times New Roman"/>
          <w:sz w:val="24"/>
          <w:lang w:val="ro-RO"/>
        </w:rPr>
        <w:t>realizabili</w:t>
      </w:r>
      <w:r w:rsidR="002733CB" w:rsidRPr="009C5F11">
        <w:rPr>
          <w:rFonts w:ascii="Times New Roman" w:hAnsi="Times New Roman" w:cs="Times New Roman"/>
          <w:sz w:val="24"/>
          <w:lang w:val="ro-RO"/>
        </w:rPr>
        <w:t>, relevan</w:t>
      </w:r>
      <w:r w:rsidR="00D27C3A" w:rsidRPr="009C5F11">
        <w:rPr>
          <w:rFonts w:ascii="Times New Roman" w:hAnsi="Times New Roman" w:cs="Times New Roman"/>
          <w:sz w:val="24"/>
          <w:lang w:val="ro-RO"/>
        </w:rPr>
        <w:t>ţi</w:t>
      </w:r>
      <w:r w:rsidR="00321CD5" w:rsidRPr="009C5F11">
        <w:rPr>
          <w:rFonts w:ascii="Times New Roman" w:hAnsi="Times New Roman" w:cs="Times New Roman"/>
          <w:sz w:val="24"/>
          <w:lang w:val="ro-RO"/>
        </w:rPr>
        <w:t xml:space="preserve"> şi </w:t>
      </w:r>
      <w:r w:rsidR="00D27C3A" w:rsidRPr="009C5F11">
        <w:rPr>
          <w:rFonts w:ascii="Times New Roman" w:hAnsi="Times New Roman" w:cs="Times New Roman"/>
          <w:sz w:val="24"/>
          <w:lang w:val="ro-RO"/>
        </w:rPr>
        <w:t>prompţi</w:t>
      </w:r>
      <w:r w:rsidR="002733CB" w:rsidRPr="009C5F11">
        <w:rPr>
          <w:rFonts w:ascii="Times New Roman" w:hAnsi="Times New Roman" w:cs="Times New Roman"/>
          <w:sz w:val="24"/>
          <w:lang w:val="ro-RO"/>
        </w:rPr>
        <w:t xml:space="preserve"> (SMART).</w:t>
      </w:r>
    </w:p>
    <w:p w14:paraId="47E77C4C" w14:textId="379DA951" w:rsidR="002733CB" w:rsidRPr="009C5F11" w:rsidRDefault="00D27C3A"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S</w:t>
      </w:r>
      <w:r w:rsidR="002733CB" w:rsidRPr="009C5F11">
        <w:rPr>
          <w:rFonts w:ascii="Times New Roman" w:hAnsi="Times New Roman" w:cs="Times New Roman"/>
          <w:sz w:val="24"/>
          <w:lang w:val="ro-RO"/>
        </w:rPr>
        <w:t>tructur</w:t>
      </w:r>
      <w:r w:rsidRPr="009C5F11">
        <w:rPr>
          <w:rFonts w:ascii="Times New Roman" w:hAnsi="Times New Roman" w:cs="Times New Roman"/>
          <w:sz w:val="24"/>
          <w:lang w:val="ro-RO"/>
        </w:rPr>
        <w:t>a</w:t>
      </w:r>
      <w:r w:rsidR="00321CD5" w:rsidRPr="009C5F11">
        <w:rPr>
          <w:rFonts w:ascii="Times New Roman" w:hAnsi="Times New Roman" w:cs="Times New Roman"/>
          <w:sz w:val="24"/>
          <w:lang w:val="ro-RO"/>
        </w:rPr>
        <w:t xml:space="preserve"> </w:t>
      </w:r>
      <w:r w:rsidR="00177E9C" w:rsidRPr="009C5F11">
        <w:rPr>
          <w:rFonts w:ascii="Times New Roman" w:hAnsi="Times New Roman" w:cs="Times New Roman"/>
          <w:sz w:val="24"/>
          <w:lang w:val="ro-RO"/>
        </w:rPr>
        <w:t>sistem</w:t>
      </w:r>
      <w:r w:rsidRPr="009C5F11">
        <w:rPr>
          <w:rFonts w:ascii="Times New Roman" w:hAnsi="Times New Roman" w:cs="Times New Roman"/>
          <w:sz w:val="24"/>
          <w:lang w:val="ro-RO"/>
        </w:rPr>
        <w:t>ului de raportare al</w:t>
      </w:r>
      <w:r w:rsidR="002733CB"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AEE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se bazează pe o combinare a raportării </w:t>
      </w:r>
      <w:r w:rsidR="002733CB" w:rsidRPr="009C5F11">
        <w:rPr>
          <w:rFonts w:ascii="Times New Roman" w:hAnsi="Times New Roman" w:cs="Times New Roman"/>
          <w:sz w:val="24"/>
          <w:lang w:val="ro-RO"/>
        </w:rPr>
        <w:t>bottom-up</w:t>
      </w:r>
      <w:r w:rsidR="00321CD5" w:rsidRPr="009C5F11">
        <w:rPr>
          <w:rFonts w:ascii="Times New Roman" w:hAnsi="Times New Roman" w:cs="Times New Roman"/>
          <w:sz w:val="24"/>
          <w:lang w:val="ro-RO"/>
        </w:rPr>
        <w:t xml:space="preserve"> şi </w:t>
      </w:r>
      <w:r w:rsidR="002733CB" w:rsidRPr="009C5F11">
        <w:rPr>
          <w:rFonts w:ascii="Times New Roman" w:hAnsi="Times New Roman" w:cs="Times New Roman"/>
          <w:sz w:val="24"/>
          <w:lang w:val="ro-RO"/>
        </w:rPr>
        <w:t xml:space="preserve">top-down. </w:t>
      </w:r>
      <w:r w:rsidRPr="009C5F11">
        <w:rPr>
          <w:rFonts w:ascii="Times New Roman" w:hAnsi="Times New Roman" w:cs="Times New Roman"/>
          <w:sz w:val="24"/>
          <w:lang w:val="ro-RO"/>
        </w:rPr>
        <w:t>Abordarea b</w:t>
      </w:r>
      <w:r w:rsidR="002733CB" w:rsidRPr="009C5F11">
        <w:rPr>
          <w:rFonts w:ascii="Times New Roman" w:hAnsi="Times New Roman" w:cs="Times New Roman"/>
          <w:sz w:val="24"/>
          <w:lang w:val="ro-RO"/>
        </w:rPr>
        <w:t>ottom-up impli</w:t>
      </w:r>
      <w:r w:rsidRPr="009C5F11">
        <w:rPr>
          <w:rFonts w:ascii="Times New Roman" w:hAnsi="Times New Roman" w:cs="Times New Roman"/>
          <w:sz w:val="24"/>
          <w:lang w:val="ro-RO"/>
        </w:rPr>
        <w:t>că</w:t>
      </w:r>
      <w:r w:rsidR="002733CB" w:rsidRPr="009C5F11">
        <w:rPr>
          <w:rFonts w:ascii="Times New Roman" w:hAnsi="Times New Roman" w:cs="Times New Roman"/>
          <w:sz w:val="24"/>
          <w:lang w:val="ro-RO"/>
        </w:rPr>
        <w:t>:</w:t>
      </w:r>
    </w:p>
    <w:p w14:paraId="169852D1" w14:textId="77777777" w:rsidR="002733CB" w:rsidRPr="009C5F11" w:rsidRDefault="007F6775"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raportarea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din partea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managerilor locali</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a organismelor de implementare</w:t>
      </w:r>
      <w:r w:rsidR="002733CB" w:rsidRPr="009C5F11">
        <w:rPr>
          <w:rFonts w:ascii="Times New Roman" w:hAnsi="Times New Roman" w:cs="Times New Roman"/>
          <w:sz w:val="24"/>
          <w:lang w:val="ro-RO"/>
        </w:rPr>
        <w:t xml:space="preserve"> </w:t>
      </w:r>
      <w:r w:rsidR="00125D15" w:rsidRPr="009C5F11">
        <w:rPr>
          <w:rFonts w:ascii="Times New Roman" w:hAnsi="Times New Roman" w:cs="Times New Roman"/>
          <w:sz w:val="24"/>
          <w:lang w:val="ro-RO"/>
        </w:rPr>
        <w:t>cu privire la</w:t>
      </w:r>
      <w:r w:rsidRPr="009C5F11">
        <w:rPr>
          <w:rFonts w:ascii="Times New Roman" w:hAnsi="Times New Roman" w:cs="Times New Roman"/>
          <w:sz w:val="24"/>
          <w:lang w:val="ro-RO"/>
        </w:rPr>
        <w:t xml:space="preserve"> proiectele </w:t>
      </w:r>
      <w:r w:rsidR="000C7BEC" w:rsidRPr="009C5F11">
        <w:rPr>
          <w:rFonts w:ascii="Times New Roman" w:hAnsi="Times New Roman" w:cs="Times New Roman"/>
          <w:sz w:val="24"/>
          <w:lang w:val="ro-RO"/>
        </w:rPr>
        <w:t>în derulare</w:t>
      </w:r>
      <w:r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precum şi</w:t>
      </w:r>
      <w:r w:rsidR="002733CB" w:rsidRPr="009C5F11">
        <w:rPr>
          <w:rFonts w:ascii="Times New Roman" w:hAnsi="Times New Roman" w:cs="Times New Roman"/>
          <w:sz w:val="24"/>
          <w:lang w:val="ro-RO"/>
        </w:rPr>
        <w:t xml:space="preserve"> </w:t>
      </w:r>
    </w:p>
    <w:p w14:paraId="6CADE248" w14:textId="77777777" w:rsidR="002733CB" w:rsidRPr="009C5F11" w:rsidRDefault="007F6775" w:rsidP="00334F3B">
      <w:pPr>
        <w:pStyle w:val="Listparagraf"/>
        <w:numPr>
          <w:ilvl w:val="0"/>
          <w:numId w:val="168"/>
        </w:numPr>
        <w:spacing w:before="120" w:after="120" w:line="240" w:lineRule="auto"/>
        <w:ind w:left="1134" w:hanging="425"/>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actualizări de la ministere şi alte entităţi despre progresul atins în punerea în aplicare a Tratatului şi a legislaţiei</w:t>
      </w:r>
      <w:r w:rsidR="002733CB" w:rsidRPr="009C5F11">
        <w:rPr>
          <w:rFonts w:ascii="Times New Roman" w:hAnsi="Times New Roman" w:cs="Times New Roman"/>
          <w:sz w:val="24"/>
          <w:lang w:val="ro-RO"/>
        </w:rPr>
        <w:t xml:space="preserve">. </w:t>
      </w:r>
    </w:p>
    <w:p w14:paraId="30D9FB55" w14:textId="77777777" w:rsidR="00BF7FFC" w:rsidRPr="009C5F11" w:rsidRDefault="00125D15"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Pentru evaluarea top-down sunt utilizate d</w:t>
      </w:r>
      <w:r w:rsidR="007F6775" w:rsidRPr="009C5F11">
        <w:rPr>
          <w:rFonts w:ascii="Times New Roman" w:hAnsi="Times New Roman" w:cs="Times New Roman"/>
          <w:sz w:val="24"/>
          <w:lang w:val="ro-RO"/>
        </w:rPr>
        <w:t>ate s</w:t>
      </w:r>
      <w:r w:rsidR="002733CB" w:rsidRPr="009C5F11">
        <w:rPr>
          <w:rFonts w:ascii="Times New Roman" w:hAnsi="Times New Roman" w:cs="Times New Roman"/>
          <w:sz w:val="24"/>
          <w:lang w:val="ro-RO"/>
        </w:rPr>
        <w:t>tatistic</w:t>
      </w:r>
      <w:r w:rsidR="007F6775" w:rsidRPr="009C5F11">
        <w:rPr>
          <w:rFonts w:ascii="Times New Roman" w:hAnsi="Times New Roman" w:cs="Times New Roman"/>
          <w:sz w:val="24"/>
          <w:lang w:val="ro-RO"/>
        </w:rPr>
        <w: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referitoare la</w:t>
      </w:r>
      <w:r w:rsidR="002733CB" w:rsidRPr="009C5F11">
        <w:rPr>
          <w:rFonts w:ascii="Times New Roman" w:hAnsi="Times New Roman" w:cs="Times New Roman"/>
          <w:sz w:val="24"/>
          <w:lang w:val="ro-RO"/>
        </w:rPr>
        <w:t xml:space="preserve"> </w:t>
      </w:r>
      <w:r w:rsidR="00D27C3A" w:rsidRPr="009C5F11">
        <w:rPr>
          <w:rFonts w:ascii="Times New Roman" w:hAnsi="Times New Roman" w:cs="Times New Roman"/>
          <w:sz w:val="24"/>
          <w:lang w:val="ro-RO"/>
        </w:rPr>
        <w:t>indicatori</w:t>
      </w:r>
      <w:r w:rsidR="007F6775" w:rsidRPr="009C5F11">
        <w:rPr>
          <w:rFonts w:ascii="Times New Roman" w:hAnsi="Times New Roman" w:cs="Times New Roman"/>
          <w:sz w:val="24"/>
          <w:lang w:val="ro-RO"/>
        </w:rPr>
        <w:t>i de performanţă</w:t>
      </w:r>
      <w:r w:rsidR="002733CB" w:rsidRPr="009C5F11">
        <w:rPr>
          <w:rFonts w:ascii="Times New Roman" w:hAnsi="Times New Roman" w:cs="Times New Roman"/>
          <w:sz w:val="24"/>
          <w:lang w:val="ro-RO"/>
        </w:rPr>
        <w:t>.</w:t>
      </w:r>
    </w:p>
    <w:p w14:paraId="656C5886" w14:textId="77777777" w:rsidR="00BF7FFC" w:rsidRPr="009C5F11" w:rsidRDefault="007F6775"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Cât priveşte raportarea </w:t>
      </w:r>
      <w:r w:rsidR="002733CB" w:rsidRPr="009C5F11">
        <w:rPr>
          <w:rFonts w:ascii="Times New Roman" w:hAnsi="Times New Roman" w:cs="Times New Roman"/>
          <w:sz w:val="24"/>
          <w:lang w:val="ro-RO"/>
        </w:rPr>
        <w:t>bottom-up</w:t>
      </w:r>
      <w:r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baza de date gestionează datele primite</w:t>
      </w:r>
      <w:r w:rsidR="006932C8"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despre </w:t>
      </w:r>
      <w:r w:rsidR="008F7BD5" w:rsidRPr="009C5F11">
        <w:rPr>
          <w:rFonts w:ascii="Times New Roman" w:hAnsi="Times New Roman" w:cs="Times New Roman"/>
          <w:sz w:val="24"/>
          <w:lang w:val="ro-RO"/>
        </w:rPr>
        <w:t>acţiunile</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realizate </w:t>
      </w:r>
      <w:r w:rsidR="00321CD5" w:rsidRPr="009C5F11">
        <w:rPr>
          <w:rFonts w:ascii="Times New Roman" w:hAnsi="Times New Roman" w:cs="Times New Roman"/>
          <w:sz w:val="24"/>
          <w:lang w:val="ro-RO"/>
        </w:rPr>
        <w:t xml:space="preserve">şi </w:t>
      </w:r>
      <w:r w:rsidRPr="009C5F11">
        <w:rPr>
          <w:rFonts w:ascii="Times New Roman" w:hAnsi="Times New Roman" w:cs="Times New Roman"/>
          <w:sz w:val="24"/>
          <w:lang w:val="ro-RO"/>
        </w:rPr>
        <w:t xml:space="preserve">proiectele </w:t>
      </w:r>
      <w:r w:rsidR="00532A33" w:rsidRPr="009C5F11">
        <w:rPr>
          <w:rFonts w:ascii="Times New Roman" w:hAnsi="Times New Roman" w:cs="Times New Roman"/>
          <w:sz w:val="24"/>
          <w:lang w:val="ro-RO"/>
        </w:rPr>
        <w:t>implementa</w:t>
      </w:r>
      <w:r w:rsidRPr="009C5F11">
        <w:rPr>
          <w:rFonts w:ascii="Times New Roman" w:hAnsi="Times New Roman" w:cs="Times New Roman"/>
          <w:sz w:val="24"/>
          <w:lang w:val="ro-RO"/>
        </w:rPr>
        <w:t xml:space="preserve">te, </w:t>
      </w:r>
      <w:r w:rsidR="002733CB" w:rsidRPr="009C5F11">
        <w:rPr>
          <w:rFonts w:ascii="Times New Roman" w:hAnsi="Times New Roman" w:cs="Times New Roman"/>
          <w:sz w:val="24"/>
          <w:lang w:val="ro-RO"/>
        </w:rPr>
        <w:t>structur</w:t>
      </w:r>
      <w:r w:rsidRPr="009C5F11">
        <w:rPr>
          <w:rFonts w:ascii="Times New Roman" w:hAnsi="Times New Roman" w:cs="Times New Roman"/>
          <w:sz w:val="24"/>
          <w:lang w:val="ro-RO"/>
        </w:rPr>
        <w:t>ându-le pentru compilarea şi raportarea ulterioară</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Nu poate fi garantat</w:t>
      </w:r>
      <w:r w:rsidR="006932C8" w:rsidRPr="009C5F11">
        <w:rPr>
          <w:rFonts w:ascii="Times New Roman" w:hAnsi="Times New Roman" w:cs="Times New Roman"/>
          <w:sz w:val="24"/>
          <w:lang w:val="ro-RO"/>
        </w:rPr>
        <w:t xml:space="preserve">ă completitudinea </w:t>
      </w:r>
      <w:r w:rsidRPr="009C5F11">
        <w:rPr>
          <w:rFonts w:ascii="Times New Roman" w:hAnsi="Times New Roman" w:cs="Times New Roman"/>
          <w:sz w:val="24"/>
          <w:lang w:val="ro-RO"/>
        </w:rPr>
        <w:t>acest</w:t>
      </w:r>
      <w:r w:rsidR="006932C8" w:rsidRPr="009C5F11">
        <w:rPr>
          <w:rFonts w:ascii="Times New Roman" w:hAnsi="Times New Roman" w:cs="Times New Roman"/>
          <w:sz w:val="24"/>
          <w:lang w:val="ro-RO"/>
        </w:rPr>
        <w:t>ei baze</w:t>
      </w:r>
      <w:r w:rsidRPr="009C5F11">
        <w:rPr>
          <w:rFonts w:ascii="Times New Roman" w:hAnsi="Times New Roman" w:cs="Times New Roman"/>
          <w:sz w:val="24"/>
          <w:lang w:val="ro-RO"/>
        </w:rPr>
        <w:t xml:space="preserve"> de date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Ar putea exista anumite iniţiative</w:t>
      </w:r>
      <w:r w:rsidR="00321CD5" w:rsidRPr="009C5F11">
        <w:rPr>
          <w:rFonts w:ascii="Times New Roman" w:hAnsi="Times New Roman" w:cs="Times New Roman"/>
          <w:sz w:val="24"/>
          <w:lang w:val="ro-RO"/>
        </w:rPr>
        <w:t xml:space="preserve"> în </w:t>
      </w:r>
      <w:r w:rsidR="00B40A7C" w:rsidRPr="009C5F11">
        <w:rPr>
          <w:rFonts w:ascii="Times New Roman" w:hAnsi="Times New Roman" w:cs="Times New Roman"/>
          <w:sz w:val="24"/>
          <w:lang w:val="ro-RO"/>
        </w:rPr>
        <w:t>Republica Moldova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care sunt finanţate în totalitate de proprietarii bunurilor imobile </w:t>
      </w:r>
      <w:r w:rsidR="00321CD5" w:rsidRPr="009C5F11">
        <w:rPr>
          <w:rFonts w:ascii="Times New Roman" w:hAnsi="Times New Roman" w:cs="Times New Roman"/>
          <w:sz w:val="24"/>
          <w:lang w:val="ro-RO"/>
        </w:rPr>
        <w:t xml:space="preserve">sau </w:t>
      </w:r>
      <w:r w:rsidRPr="009C5F11">
        <w:rPr>
          <w:rFonts w:ascii="Times New Roman" w:hAnsi="Times New Roman" w:cs="Times New Roman"/>
          <w:sz w:val="24"/>
          <w:lang w:val="ro-RO"/>
        </w:rPr>
        <w:t xml:space="preserve">de </w:t>
      </w:r>
      <w:r w:rsidR="002733CB" w:rsidRPr="009C5F11">
        <w:rPr>
          <w:rFonts w:ascii="Times New Roman" w:hAnsi="Times New Roman" w:cs="Times New Roman"/>
          <w:sz w:val="24"/>
          <w:lang w:val="ro-RO"/>
        </w:rPr>
        <w:t>industri</w:t>
      </w:r>
      <w:r w:rsidRPr="009C5F11">
        <w:rPr>
          <w:rFonts w:ascii="Times New Roman" w:hAnsi="Times New Roman" w:cs="Times New Roman"/>
          <w:sz w:val="24"/>
          <w:lang w:val="ro-RO"/>
        </w:rPr>
        <w:t>i</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care nu</w:t>
      </w:r>
      <w:r w:rsidR="002733CB" w:rsidRPr="009C5F11">
        <w:rPr>
          <w:rFonts w:ascii="Times New Roman" w:hAnsi="Times New Roman" w:cs="Times New Roman"/>
          <w:sz w:val="24"/>
          <w:lang w:val="ro-RO"/>
        </w:rPr>
        <w:t xml:space="preserve"> </w:t>
      </w:r>
      <w:r w:rsidR="001E3482" w:rsidRPr="009C5F11">
        <w:rPr>
          <w:rFonts w:ascii="Times New Roman" w:hAnsi="Times New Roman" w:cs="Times New Roman"/>
          <w:sz w:val="24"/>
          <w:lang w:val="ro-RO"/>
        </w:rPr>
        <w:t>raport</w:t>
      </w:r>
      <w:r w:rsidRPr="009C5F11">
        <w:rPr>
          <w:rFonts w:ascii="Times New Roman" w:hAnsi="Times New Roman" w:cs="Times New Roman"/>
          <w:sz w:val="24"/>
          <w:lang w:val="ro-RO"/>
        </w:rPr>
        <w:t xml:space="preserve">ează </w:t>
      </w:r>
      <w:r w:rsidR="006932C8" w:rsidRPr="009C5F11">
        <w:rPr>
          <w:rFonts w:ascii="Times New Roman" w:hAnsi="Times New Roman" w:cs="Times New Roman"/>
          <w:sz w:val="24"/>
          <w:lang w:val="ro-RO"/>
        </w:rPr>
        <w:t>după cum se presupune</w:t>
      </w:r>
      <w:r w:rsidR="002733CB" w:rsidRPr="009C5F11">
        <w:rPr>
          <w:rFonts w:ascii="Times New Roman" w:hAnsi="Times New Roman" w:cs="Times New Roman"/>
          <w:sz w:val="24"/>
          <w:lang w:val="ro-RO"/>
        </w:rPr>
        <w:t>.</w:t>
      </w:r>
    </w:p>
    <w:p w14:paraId="7FBD931B" w14:textId="77777777" w:rsidR="00BF7FFC" w:rsidRPr="009C5F11" w:rsidRDefault="002733CB"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Practic, </w:t>
      </w:r>
      <w:r w:rsidR="00321CD5" w:rsidRPr="009C5F11">
        <w:rPr>
          <w:rFonts w:ascii="Times New Roman" w:hAnsi="Times New Roman" w:cs="Times New Roman"/>
          <w:sz w:val="24"/>
          <w:lang w:val="ro-RO"/>
        </w:rPr>
        <w:t>Agenţia pentru Eficienţă Energetică</w:t>
      </w:r>
      <w:r w:rsidRPr="009C5F11">
        <w:rPr>
          <w:rFonts w:ascii="Times New Roman" w:hAnsi="Times New Roman" w:cs="Times New Roman"/>
          <w:sz w:val="24"/>
          <w:lang w:val="ro-RO"/>
        </w:rPr>
        <w:t xml:space="preserve"> </w:t>
      </w:r>
      <w:r w:rsidR="007F6775" w:rsidRPr="009C5F11">
        <w:rPr>
          <w:rFonts w:ascii="Times New Roman" w:hAnsi="Times New Roman" w:cs="Times New Roman"/>
          <w:sz w:val="24"/>
          <w:lang w:val="ro-RO"/>
        </w:rPr>
        <w:t>încearcă să elaboreze un instrument cu ajutorul căruia managerii locali</w:t>
      </w:r>
      <w:r w:rsidRPr="009C5F11">
        <w:rPr>
          <w:rFonts w:ascii="Times New Roman" w:hAnsi="Times New Roman" w:cs="Times New Roman"/>
          <w:sz w:val="24"/>
          <w:lang w:val="ro-RO"/>
        </w:rPr>
        <w:t>, industri</w:t>
      </w:r>
      <w:r w:rsidR="007F6775" w:rsidRPr="009C5F11">
        <w:rPr>
          <w:rFonts w:ascii="Times New Roman" w:hAnsi="Times New Roman" w:cs="Times New Roman"/>
          <w:sz w:val="24"/>
          <w:lang w:val="ro-RO"/>
        </w:rPr>
        <w:t>ile</w:t>
      </w:r>
      <w:r w:rsidR="00321CD5" w:rsidRPr="009C5F11">
        <w:rPr>
          <w:rFonts w:ascii="Times New Roman" w:hAnsi="Times New Roman" w:cs="Times New Roman"/>
          <w:sz w:val="24"/>
          <w:lang w:val="ro-RO"/>
        </w:rPr>
        <w:t xml:space="preserve"> sau </w:t>
      </w:r>
      <w:r w:rsidR="007F6775" w:rsidRPr="009C5F11">
        <w:rPr>
          <w:rFonts w:ascii="Times New Roman" w:hAnsi="Times New Roman" w:cs="Times New Roman"/>
          <w:sz w:val="24"/>
          <w:lang w:val="ro-RO"/>
        </w:rPr>
        <w:t>organismele de implementare</w:t>
      </w:r>
      <w:r w:rsidRPr="009C5F11">
        <w:rPr>
          <w:rFonts w:ascii="Times New Roman" w:hAnsi="Times New Roman" w:cs="Times New Roman"/>
          <w:sz w:val="24"/>
          <w:lang w:val="ro-RO"/>
        </w:rPr>
        <w:t xml:space="preserve"> </w:t>
      </w:r>
      <w:r w:rsidR="007F6775" w:rsidRPr="009C5F11">
        <w:rPr>
          <w:rFonts w:ascii="Times New Roman" w:hAnsi="Times New Roman" w:cs="Times New Roman"/>
          <w:sz w:val="24"/>
          <w:lang w:val="ro-RO"/>
        </w:rPr>
        <w:t>să poat</w:t>
      </w:r>
      <w:r w:rsidR="006932C8" w:rsidRPr="009C5F11">
        <w:rPr>
          <w:rFonts w:ascii="Times New Roman" w:hAnsi="Times New Roman" w:cs="Times New Roman"/>
          <w:sz w:val="24"/>
          <w:lang w:val="ro-RO"/>
        </w:rPr>
        <w:t>ă</w:t>
      </w:r>
      <w:r w:rsidR="007F6775" w:rsidRPr="009C5F11">
        <w:rPr>
          <w:rFonts w:ascii="Times New Roman" w:hAnsi="Times New Roman" w:cs="Times New Roman"/>
          <w:sz w:val="24"/>
          <w:lang w:val="ro-RO"/>
        </w:rPr>
        <w:t xml:space="preserve"> introduce </w:t>
      </w:r>
      <w:r w:rsidR="006932C8" w:rsidRPr="009C5F11">
        <w:rPr>
          <w:rFonts w:ascii="Times New Roman" w:hAnsi="Times New Roman" w:cs="Times New Roman"/>
          <w:sz w:val="24"/>
          <w:lang w:val="ro-RO"/>
        </w:rPr>
        <w:t xml:space="preserve">sistematic şi </w:t>
      </w:r>
      <w:r w:rsidR="007F6775" w:rsidRPr="009C5F11">
        <w:rPr>
          <w:rFonts w:ascii="Times New Roman" w:hAnsi="Times New Roman" w:cs="Times New Roman"/>
          <w:sz w:val="24"/>
          <w:lang w:val="ro-RO"/>
        </w:rPr>
        <w:t xml:space="preserve">de sine stătător </w:t>
      </w:r>
      <w:r w:rsidR="006932C8" w:rsidRPr="009C5F11">
        <w:rPr>
          <w:rFonts w:ascii="Times New Roman" w:hAnsi="Times New Roman" w:cs="Times New Roman"/>
          <w:sz w:val="24"/>
          <w:lang w:val="ro-RO"/>
        </w:rPr>
        <w:t>informaţiile</w:t>
      </w:r>
      <w:r w:rsidR="007F6775" w:rsidRPr="009C5F11">
        <w:rPr>
          <w:rFonts w:ascii="Times New Roman" w:hAnsi="Times New Roman" w:cs="Times New Roman"/>
          <w:sz w:val="24"/>
          <w:lang w:val="ro-RO"/>
        </w:rPr>
        <w:t xml:space="preserve"> </w:t>
      </w:r>
      <w:r w:rsidR="006932C8" w:rsidRPr="009C5F11">
        <w:rPr>
          <w:rFonts w:ascii="Times New Roman" w:hAnsi="Times New Roman" w:cs="Times New Roman"/>
          <w:sz w:val="24"/>
          <w:lang w:val="ro-RO"/>
        </w:rPr>
        <w:t>în baza de date</w:t>
      </w:r>
      <w:r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AEE</w:t>
      </w:r>
      <w:r w:rsidRPr="009C5F11">
        <w:rPr>
          <w:rFonts w:ascii="Times New Roman" w:hAnsi="Times New Roman" w:cs="Times New Roman"/>
          <w:sz w:val="24"/>
          <w:lang w:val="ro-RO"/>
        </w:rPr>
        <w:t xml:space="preserve"> </w:t>
      </w:r>
      <w:r w:rsidR="006932C8" w:rsidRPr="009C5F11">
        <w:rPr>
          <w:rFonts w:ascii="Times New Roman" w:hAnsi="Times New Roman" w:cs="Times New Roman"/>
          <w:sz w:val="24"/>
          <w:lang w:val="ro-RO"/>
        </w:rPr>
        <w:t>îşi</w:t>
      </w:r>
      <w:r w:rsidR="007F6775" w:rsidRPr="009C5F11">
        <w:rPr>
          <w:rFonts w:ascii="Times New Roman" w:hAnsi="Times New Roman" w:cs="Times New Roman"/>
          <w:sz w:val="24"/>
          <w:lang w:val="ro-RO"/>
        </w:rPr>
        <w:t xml:space="preserve"> propune să </w:t>
      </w:r>
      <w:r w:rsidR="007F6775" w:rsidRPr="009C5F11">
        <w:rPr>
          <w:rFonts w:ascii="Times New Roman" w:hAnsi="Times New Roman" w:cs="Times New Roman"/>
          <w:sz w:val="24"/>
          <w:lang w:val="ro-RO"/>
        </w:rPr>
        <w:lastRenderedPageBreak/>
        <w:t>asigure calitatea intrărilor de date</w:t>
      </w:r>
      <w:r w:rsidRPr="009C5F11">
        <w:rPr>
          <w:rFonts w:ascii="Times New Roman" w:hAnsi="Times New Roman" w:cs="Times New Roman"/>
          <w:sz w:val="24"/>
          <w:lang w:val="ro-RO"/>
        </w:rPr>
        <w:t xml:space="preserve">. </w:t>
      </w:r>
      <w:r w:rsidR="007F6775" w:rsidRPr="009C5F11">
        <w:rPr>
          <w:rFonts w:ascii="Times New Roman" w:hAnsi="Times New Roman" w:cs="Times New Roman"/>
          <w:sz w:val="24"/>
          <w:lang w:val="ro-RO"/>
        </w:rPr>
        <w:t>De exemplu,</w:t>
      </w:r>
      <w:r w:rsidRPr="009C5F11">
        <w:rPr>
          <w:rFonts w:ascii="Times New Roman" w:hAnsi="Times New Roman" w:cs="Times New Roman"/>
          <w:sz w:val="24"/>
          <w:lang w:val="ro-RO"/>
        </w:rPr>
        <w:t xml:space="preserve"> </w:t>
      </w:r>
      <w:r w:rsidR="007F6775" w:rsidRPr="009C5F11">
        <w:rPr>
          <w:rFonts w:ascii="Times New Roman" w:hAnsi="Times New Roman" w:cs="Times New Roman"/>
          <w:sz w:val="24"/>
          <w:lang w:val="ro-RO"/>
        </w:rPr>
        <w:t>Agenţia</w:t>
      </w:r>
      <w:r w:rsidRPr="009C5F11">
        <w:rPr>
          <w:rFonts w:ascii="Times New Roman" w:hAnsi="Times New Roman" w:cs="Times New Roman"/>
          <w:sz w:val="24"/>
          <w:lang w:val="ro-RO"/>
        </w:rPr>
        <w:t xml:space="preserve"> </w:t>
      </w:r>
      <w:r w:rsidR="007F6775" w:rsidRPr="009C5F11">
        <w:rPr>
          <w:rFonts w:ascii="Times New Roman" w:hAnsi="Times New Roman" w:cs="Times New Roman"/>
          <w:sz w:val="24"/>
          <w:lang w:val="ro-RO"/>
        </w:rPr>
        <w:t>dispune de programe de instruire şi chiar certific</w:t>
      </w:r>
      <w:r w:rsidR="006932C8" w:rsidRPr="009C5F11">
        <w:rPr>
          <w:rFonts w:ascii="Times New Roman" w:hAnsi="Times New Roman" w:cs="Times New Roman"/>
          <w:sz w:val="24"/>
          <w:lang w:val="ro-RO"/>
        </w:rPr>
        <w:t>ă</w:t>
      </w:r>
      <w:r w:rsidR="007F6775" w:rsidRPr="009C5F11">
        <w:rPr>
          <w:rFonts w:ascii="Times New Roman" w:hAnsi="Times New Roman" w:cs="Times New Roman"/>
          <w:sz w:val="24"/>
          <w:lang w:val="ro-RO"/>
        </w:rPr>
        <w:t xml:space="preserve"> auditori în anumite domenii</w:t>
      </w:r>
      <w:r w:rsidRPr="009C5F11">
        <w:rPr>
          <w:rFonts w:ascii="Times New Roman" w:hAnsi="Times New Roman" w:cs="Times New Roman"/>
          <w:sz w:val="24"/>
          <w:lang w:val="ro-RO"/>
        </w:rPr>
        <w:t xml:space="preserve">. </w:t>
      </w:r>
    </w:p>
    <w:p w14:paraId="4800A3A7" w14:textId="77777777" w:rsidR="00BF7FFC" w:rsidRPr="009C5F11" w:rsidRDefault="00342EF7"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Cea mai bună metodă de compilare a rapoartelor</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cu privire la proiectele în derulare</w:t>
      </w:r>
      <w:r w:rsidR="00321CD5" w:rsidRPr="009C5F11">
        <w:rPr>
          <w:rFonts w:ascii="Times New Roman" w:hAnsi="Times New Roman" w:cs="Times New Roman"/>
          <w:sz w:val="24"/>
          <w:lang w:val="ro-RO"/>
        </w:rPr>
        <w:t xml:space="preserve"> în </w:t>
      </w:r>
      <w:r w:rsidR="00B40A7C" w:rsidRPr="009C5F11">
        <w:rPr>
          <w:rFonts w:ascii="Times New Roman" w:hAnsi="Times New Roman" w:cs="Times New Roman"/>
          <w:sz w:val="24"/>
          <w:lang w:val="ro-RO"/>
        </w:rPr>
        <w:t>Republica Moldova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la nivel</w:t>
      </w:r>
      <w:r w:rsidR="002733CB"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naţional</w:t>
      </w:r>
      <w:r w:rsidR="00321CD5" w:rsidRPr="009C5F11">
        <w:rPr>
          <w:rFonts w:ascii="Times New Roman" w:hAnsi="Times New Roman" w:cs="Times New Roman"/>
          <w:sz w:val="24"/>
          <w:lang w:val="ro-RO"/>
        </w:rPr>
        <w:t xml:space="preserve"> sau </w:t>
      </w:r>
      <w:r w:rsidR="002733CB" w:rsidRPr="009C5F11">
        <w:rPr>
          <w:rFonts w:ascii="Times New Roman" w:hAnsi="Times New Roman" w:cs="Times New Roman"/>
          <w:sz w:val="24"/>
          <w:lang w:val="ro-RO"/>
        </w:rPr>
        <w:t xml:space="preserve">local, </w:t>
      </w:r>
      <w:r w:rsidRPr="009C5F11">
        <w:rPr>
          <w:rFonts w:ascii="Times New Roman" w:hAnsi="Times New Roman" w:cs="Times New Roman"/>
          <w:sz w:val="24"/>
          <w:lang w:val="ro-RO"/>
        </w:rPr>
        <w:t>cu alte cuvinte, despre</w:t>
      </w:r>
      <w:r w:rsidR="002733CB" w:rsidRPr="009C5F11">
        <w:rPr>
          <w:rFonts w:ascii="Times New Roman" w:hAnsi="Times New Roman" w:cs="Times New Roman"/>
          <w:sz w:val="24"/>
          <w:lang w:val="ro-RO"/>
        </w:rPr>
        <w:t xml:space="preserve"> progres</w:t>
      </w:r>
      <w:r w:rsidRPr="009C5F11">
        <w:rPr>
          <w:rFonts w:ascii="Times New Roman" w:hAnsi="Times New Roman" w:cs="Times New Roman"/>
          <w:sz w:val="24"/>
          <w:lang w:val="ro-RO"/>
        </w:rPr>
        <w:t xml:space="preserve">ul </w:t>
      </w:r>
      <w:r w:rsidR="00D77687" w:rsidRPr="009C5F11">
        <w:rPr>
          <w:rFonts w:ascii="Times New Roman" w:hAnsi="Times New Roman" w:cs="Times New Roman"/>
          <w:sz w:val="24"/>
          <w:lang w:val="ro-RO"/>
        </w:rPr>
        <w:t>activităţi</w:t>
      </w:r>
      <w:r w:rsidRPr="009C5F11">
        <w:rPr>
          <w:rFonts w:ascii="Times New Roman" w:hAnsi="Times New Roman" w:cs="Times New Roman"/>
          <w:sz w:val="24"/>
          <w:lang w:val="ro-RO"/>
        </w:rPr>
        <w:t>lor implementate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ar fi pe baza colectării datelor proiectelor la nivel </w:t>
      </w:r>
      <w:r w:rsidR="00B40A7C" w:rsidRPr="009C5F11">
        <w:rPr>
          <w:rFonts w:ascii="Times New Roman" w:hAnsi="Times New Roman" w:cs="Times New Roman"/>
          <w:sz w:val="24"/>
          <w:lang w:val="ro-RO"/>
        </w:rPr>
        <w:t>naţional</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după cum este specificat în registrul proiectelor </w:t>
      </w:r>
      <w:r w:rsidR="002733CB" w:rsidRPr="009C5F11">
        <w:rPr>
          <w:rFonts w:ascii="Times New Roman" w:hAnsi="Times New Roman" w:cs="Times New Roman"/>
          <w:sz w:val="24"/>
          <w:lang w:val="ro-RO"/>
        </w:rPr>
        <w:t>c</w:t>
      </w:r>
      <w:r w:rsidRPr="009C5F11">
        <w:rPr>
          <w:rFonts w:ascii="Times New Roman" w:hAnsi="Times New Roman" w:cs="Times New Roman"/>
          <w:sz w:val="24"/>
          <w:lang w:val="ro-RO"/>
        </w:rPr>
        <w:t>oordo</w:t>
      </w:r>
      <w:r w:rsidR="002733CB" w:rsidRPr="009C5F11">
        <w:rPr>
          <w:rFonts w:ascii="Times New Roman" w:hAnsi="Times New Roman" w:cs="Times New Roman"/>
          <w:sz w:val="24"/>
          <w:lang w:val="ro-RO"/>
        </w:rPr>
        <w:t xml:space="preserve">nate. </w:t>
      </w:r>
      <w:r w:rsidRPr="009C5F11">
        <w:rPr>
          <w:rFonts w:ascii="Times New Roman" w:hAnsi="Times New Roman" w:cs="Times New Roman"/>
          <w:sz w:val="24"/>
          <w:lang w:val="ro-RO"/>
        </w:rPr>
        <w:t xml:space="preserve">Metoda de </w:t>
      </w:r>
      <w:r w:rsidR="002733CB" w:rsidRPr="009C5F11">
        <w:rPr>
          <w:rFonts w:ascii="Times New Roman" w:hAnsi="Times New Roman" w:cs="Times New Roman"/>
          <w:sz w:val="24"/>
          <w:lang w:val="ro-RO"/>
        </w:rPr>
        <w:t>compil</w:t>
      </w:r>
      <w:r w:rsidRPr="009C5F11">
        <w:rPr>
          <w:rFonts w:ascii="Times New Roman" w:hAnsi="Times New Roman" w:cs="Times New Roman"/>
          <w:sz w:val="24"/>
          <w:lang w:val="ro-RO"/>
        </w:rPr>
        <w:t xml:space="preserve">are a datelor ar putea fi prin completarea formularelor pe suport de hârtie sau direct într-un sistem </w:t>
      </w:r>
      <w:r w:rsidR="002733CB" w:rsidRPr="009C5F11">
        <w:rPr>
          <w:rFonts w:ascii="Times New Roman" w:hAnsi="Times New Roman" w:cs="Times New Roman"/>
          <w:sz w:val="24"/>
          <w:lang w:val="ro-RO"/>
        </w:rPr>
        <w:t xml:space="preserve">web. </w:t>
      </w:r>
    </w:p>
    <w:p w14:paraId="08D91831" w14:textId="5B9319D4" w:rsidR="002733CB" w:rsidRPr="009C5F11" w:rsidRDefault="00342EF7"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Metoda </w:t>
      </w:r>
      <w:r w:rsidR="002733CB" w:rsidRPr="009C5F11">
        <w:rPr>
          <w:rFonts w:ascii="Times New Roman" w:hAnsi="Times New Roman" w:cs="Times New Roman"/>
          <w:sz w:val="24"/>
          <w:lang w:val="ro-RO"/>
        </w:rPr>
        <w:t>top</w:t>
      </w:r>
      <w:r w:rsidRPr="009C5F11">
        <w:rPr>
          <w:rFonts w:ascii="Times New Roman" w:hAnsi="Times New Roman" w:cs="Times New Roman"/>
          <w:sz w:val="24"/>
          <w:lang w:val="ro-RO"/>
        </w:rPr>
        <w:t>-</w:t>
      </w:r>
      <w:r w:rsidR="002733CB" w:rsidRPr="009C5F11">
        <w:rPr>
          <w:rFonts w:ascii="Times New Roman" w:hAnsi="Times New Roman" w:cs="Times New Roman"/>
          <w:sz w:val="24"/>
          <w:lang w:val="ro-RO"/>
        </w:rPr>
        <w:t xml:space="preserve">down </w:t>
      </w:r>
      <w:r w:rsidRPr="009C5F11">
        <w:rPr>
          <w:rFonts w:ascii="Times New Roman" w:hAnsi="Times New Roman" w:cs="Times New Roman"/>
          <w:sz w:val="24"/>
          <w:lang w:val="ro-RO"/>
        </w:rPr>
        <w:t>este utilizat</w:t>
      </w:r>
      <w:r w:rsidR="0056205E"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de </w:t>
      </w:r>
      <w:r w:rsidR="00321CD5" w:rsidRPr="009C5F11">
        <w:rPr>
          <w:rFonts w:ascii="Times New Roman" w:hAnsi="Times New Roman" w:cs="Times New Roman"/>
          <w:sz w:val="24"/>
          <w:lang w:val="ro-RO"/>
        </w:rPr>
        <w:t xml:space="preserve">Agenţia pentru Eficienţă Energetică </w:t>
      </w:r>
      <w:r w:rsidRPr="009C5F11">
        <w:rPr>
          <w:rFonts w:ascii="Times New Roman" w:hAnsi="Times New Roman" w:cs="Times New Roman"/>
          <w:sz w:val="24"/>
          <w:lang w:val="ro-RO"/>
        </w:rPr>
        <w:t>a</w:t>
      </w:r>
      <w:r w:rsidR="00223DAC" w:rsidRPr="009C5F11">
        <w:rPr>
          <w:rFonts w:ascii="Times New Roman" w:hAnsi="Times New Roman" w:cs="Times New Roman"/>
          <w:sz w:val="24"/>
          <w:lang w:val="ro-RO"/>
        </w:rPr>
        <w:t xml:space="preserve"> Republic</w:t>
      </w:r>
      <w:r w:rsidRPr="009C5F11">
        <w:rPr>
          <w:rFonts w:ascii="Times New Roman" w:hAnsi="Times New Roman" w:cs="Times New Roman"/>
          <w:sz w:val="24"/>
          <w:lang w:val="ro-RO"/>
        </w:rPr>
        <w:t>ii</w:t>
      </w:r>
      <w:r w:rsidR="00223DAC" w:rsidRPr="009C5F11">
        <w:rPr>
          <w:rFonts w:ascii="Times New Roman" w:hAnsi="Times New Roman" w:cs="Times New Roman"/>
          <w:sz w:val="24"/>
          <w:lang w:val="ro-RO"/>
        </w:rPr>
        <w:t xml:space="preserve"> Moldova</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pentru a</w:t>
      </w:r>
      <w:r w:rsidR="002733CB" w:rsidRPr="009C5F11">
        <w:rPr>
          <w:rFonts w:ascii="Times New Roman" w:hAnsi="Times New Roman" w:cs="Times New Roman"/>
          <w:sz w:val="24"/>
          <w:lang w:val="ro-RO"/>
        </w:rPr>
        <w:t xml:space="preserve"> </w:t>
      </w:r>
      <w:r w:rsidR="001E3482" w:rsidRPr="009C5F11">
        <w:rPr>
          <w:rFonts w:ascii="Times New Roman" w:hAnsi="Times New Roman" w:cs="Times New Roman"/>
          <w:sz w:val="24"/>
          <w:lang w:val="ro-RO"/>
        </w:rPr>
        <w:t>raport</w:t>
      </w:r>
      <w:r w:rsidRPr="009C5F11">
        <w:rPr>
          <w:rFonts w:ascii="Times New Roman" w:hAnsi="Times New Roman" w:cs="Times New Roman"/>
          <w:sz w:val="24"/>
          <w:lang w:val="ro-RO"/>
        </w:rPr>
        <w:t>a</w:t>
      </w:r>
      <w:r w:rsidR="001E3482"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economii</w:t>
      </w:r>
      <w:r w:rsidRPr="009C5F11">
        <w:rPr>
          <w:rFonts w:ascii="Times New Roman" w:hAnsi="Times New Roman" w:cs="Times New Roman"/>
          <w:sz w:val="24"/>
          <w:lang w:val="ro-RO"/>
        </w:rPr>
        <w:t>le de energie în raportul anual, iar</w:t>
      </w:r>
      <w:r w:rsidR="00321CD5" w:rsidRPr="009C5F11">
        <w:rPr>
          <w:rFonts w:ascii="Times New Roman" w:hAnsi="Times New Roman" w:cs="Times New Roman"/>
          <w:sz w:val="24"/>
          <w:lang w:val="ro-RO"/>
        </w:rPr>
        <w:t xml:space="preserve"> </w:t>
      </w:r>
      <w:r w:rsidR="002733CB" w:rsidRPr="009C5F11">
        <w:rPr>
          <w:rFonts w:ascii="Times New Roman" w:hAnsi="Times New Roman" w:cs="Times New Roman"/>
          <w:sz w:val="24"/>
          <w:lang w:val="ro-RO"/>
        </w:rPr>
        <w:t>calcul</w:t>
      </w:r>
      <w:r w:rsidRPr="009C5F11">
        <w:rPr>
          <w:rFonts w:ascii="Times New Roman" w:hAnsi="Times New Roman" w:cs="Times New Roman"/>
          <w:sz w:val="24"/>
          <w:lang w:val="ro-RO"/>
        </w:rPr>
        <w:t xml:space="preserve">ele se bazează pe procedura </w:t>
      </w:r>
      <w:r w:rsidR="002733CB" w:rsidRPr="009C5F11">
        <w:rPr>
          <w:rFonts w:ascii="Times New Roman" w:hAnsi="Times New Roman" w:cs="Times New Roman"/>
          <w:sz w:val="24"/>
          <w:lang w:val="ro-RO"/>
        </w:rPr>
        <w:t>intern</w:t>
      </w:r>
      <w:r w:rsidRPr="009C5F11">
        <w:rPr>
          <w:rFonts w:ascii="Times New Roman" w:hAnsi="Times New Roman" w:cs="Times New Roman"/>
          <w:sz w:val="24"/>
          <w:lang w:val="ro-RO"/>
        </w:rPr>
        <w:t>ă a</w:t>
      </w:r>
      <w:r w:rsidR="002733CB"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AEE</w:t>
      </w:r>
      <w:r w:rsidR="002733CB" w:rsidRPr="009C5F11">
        <w:rPr>
          <w:rFonts w:ascii="Times New Roman" w:hAnsi="Times New Roman" w:cs="Times New Roman"/>
          <w:sz w:val="24"/>
          <w:lang w:val="ro-RO"/>
        </w:rPr>
        <w:t>.</w:t>
      </w:r>
    </w:p>
    <w:p w14:paraId="0B81CEF8" w14:textId="77777777" w:rsidR="007461BD" w:rsidRPr="009C5F11" w:rsidRDefault="007461BD" w:rsidP="006F521B">
      <w:pPr>
        <w:spacing w:before="120" w:after="120" w:line="240" w:lineRule="auto"/>
        <w:jc w:val="both"/>
        <w:textAlignment w:val="baseline"/>
        <w:rPr>
          <w:rFonts w:ascii="Times New Roman" w:hAnsi="Times New Roman" w:cs="Times New Roman"/>
          <w:sz w:val="24"/>
          <w:lang w:val="ro-RO"/>
        </w:rPr>
      </w:pPr>
    </w:p>
    <w:p w14:paraId="0DEDB84B" w14:textId="77777777" w:rsidR="00C0596B" w:rsidRPr="009C5F11" w:rsidRDefault="00321CD5" w:rsidP="00C0596B">
      <w:pPr>
        <w:pStyle w:val="Legend"/>
        <w:keepNext/>
        <w:rPr>
          <w:rFonts w:ascii="Times New Roman" w:hAnsi="Times New Roman" w:cs="Times New Roman"/>
          <w:sz w:val="22"/>
          <w:lang w:val="ro-RO"/>
        </w:rPr>
      </w:pPr>
      <w:bookmarkStart w:id="175" w:name="_Ref319620397"/>
      <w:bookmarkStart w:id="176" w:name="_Toc322013238"/>
      <w:r w:rsidRPr="009C5F11">
        <w:rPr>
          <w:rFonts w:ascii="Times New Roman" w:hAnsi="Times New Roman" w:cs="Times New Roman"/>
          <w:sz w:val="22"/>
          <w:lang w:val="ro-RO"/>
        </w:rPr>
        <w:t>Tabelul</w:t>
      </w:r>
      <w:r w:rsidR="00C0596B"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C0596B"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15</w:t>
      </w:r>
      <w:r w:rsidR="003A6ADB" w:rsidRPr="009C5F11">
        <w:rPr>
          <w:rFonts w:ascii="Times New Roman" w:hAnsi="Times New Roman" w:cs="Times New Roman"/>
          <w:sz w:val="22"/>
          <w:lang w:val="ro-RO"/>
        </w:rPr>
        <w:fldChar w:fldCharType="end"/>
      </w:r>
      <w:bookmarkEnd w:id="175"/>
      <w:r w:rsidR="00C0596B" w:rsidRPr="009C5F11">
        <w:rPr>
          <w:rFonts w:ascii="Times New Roman" w:hAnsi="Times New Roman" w:cs="Times New Roman"/>
          <w:sz w:val="22"/>
          <w:lang w:val="ro-RO"/>
        </w:rPr>
        <w:t xml:space="preserve"> - </w:t>
      </w:r>
      <w:r w:rsidR="004D0283" w:rsidRPr="009C5F11">
        <w:rPr>
          <w:rFonts w:ascii="Times New Roman" w:hAnsi="Times New Roman" w:cs="Times New Roman"/>
          <w:sz w:val="22"/>
          <w:lang w:val="ro-RO"/>
        </w:rPr>
        <w:t>Privire de ansamblu</w:t>
      </w:r>
      <w:r w:rsidR="00C0596B" w:rsidRPr="009C5F11">
        <w:rPr>
          <w:rFonts w:ascii="Times New Roman" w:hAnsi="Times New Roman" w:cs="Times New Roman"/>
          <w:sz w:val="22"/>
          <w:lang w:val="ro-RO"/>
        </w:rPr>
        <w:t xml:space="preserve"> </w:t>
      </w:r>
      <w:r w:rsidR="00323653" w:rsidRPr="009C5F11">
        <w:rPr>
          <w:rFonts w:ascii="Times New Roman" w:hAnsi="Times New Roman" w:cs="Times New Roman"/>
          <w:sz w:val="22"/>
          <w:lang w:val="ro-RO"/>
        </w:rPr>
        <w:t>a indicatorilor TD</w:t>
      </w:r>
      <w:r w:rsidR="00C0596B" w:rsidRPr="009C5F11">
        <w:rPr>
          <w:rFonts w:ascii="Times New Roman" w:hAnsi="Times New Roman" w:cs="Times New Roman"/>
          <w:sz w:val="22"/>
          <w:lang w:val="ro-RO"/>
        </w:rPr>
        <w:t xml:space="preserve"> u</w:t>
      </w:r>
      <w:r w:rsidR="00342EF7" w:rsidRPr="009C5F11">
        <w:rPr>
          <w:rFonts w:ascii="Times New Roman" w:hAnsi="Times New Roman" w:cs="Times New Roman"/>
          <w:sz w:val="22"/>
          <w:lang w:val="ro-RO"/>
        </w:rPr>
        <w:t xml:space="preserve">tilizaţi pentru </w:t>
      </w:r>
      <w:r w:rsidR="00C0596B" w:rsidRPr="009C5F11">
        <w:rPr>
          <w:rFonts w:ascii="Times New Roman" w:hAnsi="Times New Roman" w:cs="Times New Roman"/>
          <w:sz w:val="22"/>
          <w:lang w:val="ro-RO"/>
        </w:rPr>
        <w:t>calcula</w:t>
      </w:r>
      <w:r w:rsidR="00342EF7" w:rsidRPr="009C5F11">
        <w:rPr>
          <w:rFonts w:ascii="Times New Roman" w:hAnsi="Times New Roman" w:cs="Times New Roman"/>
          <w:sz w:val="22"/>
          <w:lang w:val="ro-RO"/>
        </w:rPr>
        <w:t>rea</w:t>
      </w:r>
      <w:r w:rsidRPr="009C5F11">
        <w:rPr>
          <w:rFonts w:ascii="Times New Roman" w:hAnsi="Times New Roman" w:cs="Times New Roman"/>
          <w:sz w:val="22"/>
          <w:lang w:val="ro-RO"/>
        </w:rPr>
        <w:t xml:space="preserve"> şi </w:t>
      </w:r>
      <w:r w:rsidR="007F6775" w:rsidRPr="009C5F11">
        <w:rPr>
          <w:rFonts w:ascii="Times New Roman" w:hAnsi="Times New Roman" w:cs="Times New Roman"/>
          <w:sz w:val="22"/>
          <w:lang w:val="ro-RO"/>
        </w:rPr>
        <w:t>raportarea</w:t>
      </w:r>
      <w:r w:rsidR="00C0596B" w:rsidRPr="009C5F11">
        <w:rPr>
          <w:rFonts w:ascii="Times New Roman" w:hAnsi="Times New Roman" w:cs="Times New Roman"/>
          <w:sz w:val="22"/>
          <w:lang w:val="ro-RO"/>
        </w:rPr>
        <w:t xml:space="preserve"> </w:t>
      </w:r>
      <w:r w:rsidR="004424A0" w:rsidRPr="009C5F11">
        <w:rPr>
          <w:rFonts w:ascii="Times New Roman" w:hAnsi="Times New Roman" w:cs="Times New Roman"/>
          <w:sz w:val="22"/>
          <w:lang w:val="ro-RO"/>
        </w:rPr>
        <w:t>economi</w:t>
      </w:r>
      <w:r w:rsidR="00342EF7" w:rsidRPr="009C5F11">
        <w:rPr>
          <w:rFonts w:ascii="Times New Roman" w:hAnsi="Times New Roman" w:cs="Times New Roman"/>
          <w:sz w:val="22"/>
          <w:lang w:val="ro-RO"/>
        </w:rPr>
        <w:t>lor</w:t>
      </w:r>
      <w:r w:rsidR="004424A0" w:rsidRPr="009C5F11">
        <w:rPr>
          <w:rFonts w:ascii="Times New Roman" w:hAnsi="Times New Roman" w:cs="Times New Roman"/>
          <w:sz w:val="22"/>
          <w:lang w:val="ro-RO"/>
        </w:rPr>
        <w:t xml:space="preserve"> de energie</w:t>
      </w:r>
      <w:r w:rsidR="00342EF7" w:rsidRPr="009C5F11">
        <w:rPr>
          <w:rFonts w:ascii="Times New Roman" w:hAnsi="Times New Roman" w:cs="Times New Roman"/>
          <w:sz w:val="22"/>
          <w:lang w:val="ro-RO"/>
        </w:rPr>
        <w:t xml:space="preserve"> obţinute.</w:t>
      </w:r>
      <w:bookmarkEnd w:id="176"/>
    </w:p>
    <w:tbl>
      <w:tblPr>
        <w:tblW w:w="5024" w:type="pct"/>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793"/>
        <w:gridCol w:w="1460"/>
        <w:gridCol w:w="2455"/>
        <w:gridCol w:w="3579"/>
      </w:tblGrid>
      <w:tr w:rsidR="002733CB" w:rsidRPr="009C5F11" w14:paraId="42B0E26D" w14:textId="77777777" w:rsidTr="00D04ED3">
        <w:trPr>
          <w:jc w:val="center"/>
        </w:trPr>
        <w:tc>
          <w:tcPr>
            <w:tcW w:w="965" w:type="pct"/>
            <w:shd w:val="clear" w:color="auto" w:fill="000080"/>
          </w:tcPr>
          <w:p w14:paraId="73C3D18F" w14:textId="77777777" w:rsidR="002733CB" w:rsidRPr="009C5F11" w:rsidRDefault="00323653"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Indicator TD</w:t>
            </w:r>
          </w:p>
        </w:tc>
        <w:tc>
          <w:tcPr>
            <w:tcW w:w="786" w:type="pct"/>
            <w:shd w:val="clear" w:color="auto" w:fill="000080"/>
          </w:tcPr>
          <w:p w14:paraId="3A4B639E" w14:textId="77777777" w:rsidR="002733CB" w:rsidRPr="009C5F11" w:rsidRDefault="002733CB"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Sector</w:t>
            </w:r>
            <w:r w:rsidR="00204033" w:rsidRPr="009C5F11">
              <w:rPr>
                <w:rFonts w:ascii="Times New Roman" w:hAnsi="Times New Roman" w:cs="Times New Roman"/>
                <w:b/>
                <w:sz w:val="20"/>
                <w:szCs w:val="16"/>
                <w:lang w:val="ro-RO"/>
              </w:rPr>
              <w:t>ul</w:t>
            </w:r>
          </w:p>
        </w:tc>
        <w:tc>
          <w:tcPr>
            <w:tcW w:w="1322" w:type="pct"/>
            <w:shd w:val="clear" w:color="auto" w:fill="000080"/>
          </w:tcPr>
          <w:p w14:paraId="79398A39" w14:textId="77777777" w:rsidR="002733CB" w:rsidRPr="009C5F11" w:rsidRDefault="00323653"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Posibilitatea de calcul</w:t>
            </w:r>
          </w:p>
        </w:tc>
        <w:tc>
          <w:tcPr>
            <w:tcW w:w="1927" w:type="pct"/>
            <w:shd w:val="clear" w:color="auto" w:fill="000080"/>
          </w:tcPr>
          <w:p w14:paraId="2F78A724" w14:textId="77777777" w:rsidR="002733CB" w:rsidRPr="009C5F11" w:rsidRDefault="00323653" w:rsidP="00323653">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 xml:space="preserve">Măsura </w:t>
            </w:r>
            <w:r w:rsidR="00127E34" w:rsidRPr="009C5F11">
              <w:rPr>
                <w:rFonts w:ascii="Times New Roman" w:hAnsi="Times New Roman" w:cs="Times New Roman"/>
                <w:b/>
                <w:sz w:val="20"/>
                <w:szCs w:val="16"/>
                <w:lang w:val="ro-RO"/>
              </w:rPr>
              <w:t>de reducere a consumului energetic</w:t>
            </w:r>
            <w:r w:rsidR="002733CB" w:rsidRPr="009C5F11">
              <w:rPr>
                <w:rFonts w:ascii="Times New Roman" w:hAnsi="Times New Roman" w:cs="Times New Roman"/>
                <w:b/>
                <w:sz w:val="20"/>
                <w:szCs w:val="16"/>
                <w:lang w:val="ro-RO"/>
              </w:rPr>
              <w:t xml:space="preserve"> evaluat</w:t>
            </w:r>
            <w:r w:rsidRPr="009C5F11">
              <w:rPr>
                <w:rFonts w:ascii="Times New Roman" w:hAnsi="Times New Roman" w:cs="Times New Roman"/>
                <w:b/>
                <w:sz w:val="20"/>
                <w:szCs w:val="16"/>
                <w:lang w:val="ro-RO"/>
              </w:rPr>
              <w:t>ă pe baza</w:t>
            </w:r>
            <w:r w:rsidR="002733CB" w:rsidRPr="009C5F11">
              <w:rPr>
                <w:rFonts w:ascii="Times New Roman" w:hAnsi="Times New Roman" w:cs="Times New Roman"/>
                <w:b/>
                <w:sz w:val="20"/>
                <w:szCs w:val="16"/>
                <w:lang w:val="ro-RO"/>
              </w:rPr>
              <w:t xml:space="preserve"> </w:t>
            </w:r>
            <w:r w:rsidRPr="009C5F11">
              <w:rPr>
                <w:rFonts w:ascii="Times New Roman" w:hAnsi="Times New Roman" w:cs="Times New Roman"/>
                <w:b/>
                <w:sz w:val="20"/>
                <w:szCs w:val="16"/>
                <w:lang w:val="ro-RO"/>
              </w:rPr>
              <w:t>Indicatorului TD</w:t>
            </w:r>
          </w:p>
        </w:tc>
      </w:tr>
      <w:tr w:rsidR="002733CB" w:rsidRPr="009C5F11" w14:paraId="67B4F4EB" w14:textId="77777777" w:rsidTr="00D04ED3">
        <w:trPr>
          <w:jc w:val="center"/>
        </w:trPr>
        <w:tc>
          <w:tcPr>
            <w:tcW w:w="965" w:type="pct"/>
            <w:shd w:val="clear" w:color="auto" w:fill="99CCFF"/>
          </w:tcPr>
          <w:p w14:paraId="16EB3AFA"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P1</w:t>
            </w:r>
          </w:p>
        </w:tc>
        <w:tc>
          <w:tcPr>
            <w:tcW w:w="786" w:type="pct"/>
            <w:vMerge w:val="restart"/>
            <w:shd w:val="clear" w:color="auto" w:fill="99CCFF"/>
          </w:tcPr>
          <w:p w14:paraId="59425851" w14:textId="77777777" w:rsidR="002733CB" w:rsidRPr="009C5F11" w:rsidRDefault="0079253D"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Rezidenţial</w:t>
            </w:r>
          </w:p>
        </w:tc>
        <w:tc>
          <w:tcPr>
            <w:tcW w:w="1322" w:type="pct"/>
            <w:shd w:val="clear" w:color="auto" w:fill="D3E6FE"/>
          </w:tcPr>
          <w:p w14:paraId="614310E9" w14:textId="77777777" w:rsidR="002733CB" w:rsidRPr="009C5F11" w:rsidRDefault="008A59DB" w:rsidP="008A59DB">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val="restart"/>
            <w:shd w:val="clear" w:color="auto" w:fill="D3E6FE"/>
            <w:vAlign w:val="center"/>
          </w:tcPr>
          <w:p w14:paraId="64ECB3A7" w14:textId="77777777" w:rsidR="002733CB" w:rsidRPr="009C5F11" w:rsidRDefault="002733CB" w:rsidP="00A34C01">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M1, M2</w:t>
            </w:r>
          </w:p>
        </w:tc>
      </w:tr>
      <w:tr w:rsidR="002733CB" w:rsidRPr="009C5F11" w14:paraId="35B6889C" w14:textId="77777777" w:rsidTr="00D04ED3">
        <w:trPr>
          <w:jc w:val="center"/>
        </w:trPr>
        <w:tc>
          <w:tcPr>
            <w:tcW w:w="965" w:type="pct"/>
            <w:shd w:val="clear" w:color="auto" w:fill="99CCFF"/>
          </w:tcPr>
          <w:p w14:paraId="2424C0C0"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P2</w:t>
            </w:r>
          </w:p>
        </w:tc>
        <w:tc>
          <w:tcPr>
            <w:tcW w:w="786" w:type="pct"/>
            <w:vMerge/>
            <w:shd w:val="clear" w:color="auto" w:fill="99CCFF"/>
          </w:tcPr>
          <w:p w14:paraId="31035660"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6815656F" w14:textId="77777777" w:rsidR="002733CB" w:rsidRPr="009C5F11" w:rsidRDefault="008A59DB" w:rsidP="008A59DB">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shd w:val="clear" w:color="auto" w:fill="D3E6FE"/>
            <w:vAlign w:val="center"/>
          </w:tcPr>
          <w:p w14:paraId="17E134E2"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69ADE141" w14:textId="77777777" w:rsidTr="00D04ED3">
        <w:trPr>
          <w:jc w:val="center"/>
        </w:trPr>
        <w:tc>
          <w:tcPr>
            <w:tcW w:w="965" w:type="pct"/>
            <w:shd w:val="clear" w:color="auto" w:fill="99CCFF"/>
          </w:tcPr>
          <w:p w14:paraId="36A39F97"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P3</w:t>
            </w:r>
          </w:p>
        </w:tc>
        <w:tc>
          <w:tcPr>
            <w:tcW w:w="786" w:type="pct"/>
            <w:vMerge/>
            <w:shd w:val="clear" w:color="auto" w:fill="99CCFF"/>
          </w:tcPr>
          <w:p w14:paraId="3E2E324E"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0D4CBAFF" w14:textId="77777777" w:rsidR="002733CB" w:rsidRPr="009C5F11" w:rsidRDefault="008A59DB" w:rsidP="008A59DB">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shd w:val="clear" w:color="auto" w:fill="D3E6FE"/>
            <w:vAlign w:val="center"/>
          </w:tcPr>
          <w:p w14:paraId="53AE8840"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16E7501A" w14:textId="77777777" w:rsidTr="00D04ED3">
        <w:trPr>
          <w:jc w:val="center"/>
        </w:trPr>
        <w:tc>
          <w:tcPr>
            <w:tcW w:w="965" w:type="pct"/>
            <w:shd w:val="clear" w:color="auto" w:fill="99CCFF"/>
          </w:tcPr>
          <w:p w14:paraId="4EA76AEE"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P4</w:t>
            </w:r>
          </w:p>
        </w:tc>
        <w:tc>
          <w:tcPr>
            <w:tcW w:w="786" w:type="pct"/>
            <w:vMerge/>
            <w:shd w:val="clear" w:color="auto" w:fill="99CCFF"/>
          </w:tcPr>
          <w:p w14:paraId="07BE1105"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219F9727" w14:textId="77777777" w:rsidR="002733CB" w:rsidRPr="009C5F11" w:rsidRDefault="008A59DB" w:rsidP="008A59DB">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shd w:val="clear" w:color="auto" w:fill="D3E6FE"/>
          </w:tcPr>
          <w:p w14:paraId="02767EB3"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360B3E31" w14:textId="77777777" w:rsidTr="00D04ED3">
        <w:trPr>
          <w:jc w:val="center"/>
        </w:trPr>
        <w:tc>
          <w:tcPr>
            <w:tcW w:w="965" w:type="pct"/>
            <w:shd w:val="clear" w:color="auto" w:fill="99CCFF"/>
          </w:tcPr>
          <w:p w14:paraId="42F8BC54"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P5</w:t>
            </w:r>
          </w:p>
        </w:tc>
        <w:tc>
          <w:tcPr>
            <w:tcW w:w="786" w:type="pct"/>
            <w:vMerge/>
            <w:shd w:val="clear" w:color="auto" w:fill="99CCFF"/>
          </w:tcPr>
          <w:p w14:paraId="5B5DCCEA"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388B0426" w14:textId="77777777" w:rsidR="002733CB" w:rsidRPr="009C5F11" w:rsidRDefault="008A59DB" w:rsidP="008A59DB">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shd w:val="clear" w:color="auto" w:fill="D3E6FE"/>
            <w:vAlign w:val="center"/>
          </w:tcPr>
          <w:p w14:paraId="482B0929"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03C062FB" w14:textId="77777777" w:rsidTr="00D04ED3">
        <w:trPr>
          <w:jc w:val="center"/>
        </w:trPr>
        <w:tc>
          <w:tcPr>
            <w:tcW w:w="965" w:type="pct"/>
            <w:shd w:val="clear" w:color="auto" w:fill="99CCFF"/>
          </w:tcPr>
          <w:p w14:paraId="685D9E89"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M1</w:t>
            </w:r>
          </w:p>
        </w:tc>
        <w:tc>
          <w:tcPr>
            <w:tcW w:w="786" w:type="pct"/>
            <w:vMerge/>
            <w:shd w:val="clear" w:color="auto" w:fill="99CCFF"/>
          </w:tcPr>
          <w:p w14:paraId="6A97EB92"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61353F44"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vAlign w:val="center"/>
          </w:tcPr>
          <w:p w14:paraId="52C8FDE0" w14:textId="77777777" w:rsidR="002733CB" w:rsidRPr="009C5F11" w:rsidRDefault="002733CB" w:rsidP="00430626">
            <w:pPr>
              <w:spacing w:after="0" w:line="240" w:lineRule="auto"/>
              <w:jc w:val="both"/>
              <w:rPr>
                <w:rFonts w:ascii="Times New Roman" w:hAnsi="Times New Roman" w:cs="Times New Roman"/>
                <w:b/>
                <w:sz w:val="20"/>
                <w:szCs w:val="16"/>
                <w:lang w:val="ro-RO"/>
              </w:rPr>
            </w:pPr>
          </w:p>
        </w:tc>
      </w:tr>
      <w:tr w:rsidR="002733CB" w:rsidRPr="009C5F11" w14:paraId="7F55CC7D" w14:textId="77777777" w:rsidTr="00D04ED3">
        <w:trPr>
          <w:jc w:val="center"/>
        </w:trPr>
        <w:tc>
          <w:tcPr>
            <w:tcW w:w="965" w:type="pct"/>
            <w:shd w:val="clear" w:color="auto" w:fill="99CCFF"/>
          </w:tcPr>
          <w:p w14:paraId="06A1DA2E"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M2</w:t>
            </w:r>
          </w:p>
        </w:tc>
        <w:tc>
          <w:tcPr>
            <w:tcW w:w="786" w:type="pct"/>
            <w:vMerge/>
            <w:shd w:val="clear" w:color="auto" w:fill="99CCFF"/>
          </w:tcPr>
          <w:p w14:paraId="0A3BC386"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31C8909F"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vAlign w:val="center"/>
          </w:tcPr>
          <w:p w14:paraId="7660EC4A" w14:textId="77777777" w:rsidR="002733CB" w:rsidRPr="009C5F11" w:rsidRDefault="002733CB" w:rsidP="00430626">
            <w:pPr>
              <w:spacing w:after="0" w:line="240" w:lineRule="auto"/>
              <w:jc w:val="both"/>
              <w:rPr>
                <w:rFonts w:ascii="Times New Roman" w:hAnsi="Times New Roman" w:cs="Times New Roman"/>
                <w:b/>
                <w:sz w:val="20"/>
                <w:szCs w:val="16"/>
                <w:lang w:val="ro-RO"/>
              </w:rPr>
            </w:pPr>
          </w:p>
        </w:tc>
      </w:tr>
      <w:tr w:rsidR="002733CB" w:rsidRPr="009C5F11" w14:paraId="7C8EB02C" w14:textId="77777777" w:rsidTr="00D04ED3">
        <w:trPr>
          <w:jc w:val="center"/>
        </w:trPr>
        <w:tc>
          <w:tcPr>
            <w:tcW w:w="965" w:type="pct"/>
            <w:shd w:val="clear" w:color="auto" w:fill="99CCFF"/>
          </w:tcPr>
          <w:p w14:paraId="1992D01F"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P6</w:t>
            </w:r>
          </w:p>
        </w:tc>
        <w:tc>
          <w:tcPr>
            <w:tcW w:w="786" w:type="pct"/>
            <w:vMerge w:val="restart"/>
            <w:shd w:val="clear" w:color="auto" w:fill="99CCFF"/>
          </w:tcPr>
          <w:p w14:paraId="304700B7" w14:textId="77777777" w:rsidR="002733CB" w:rsidRPr="009C5F11" w:rsidRDefault="00204033" w:rsidP="00204033">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Servicii</w:t>
            </w:r>
          </w:p>
        </w:tc>
        <w:tc>
          <w:tcPr>
            <w:tcW w:w="1322" w:type="pct"/>
            <w:shd w:val="clear" w:color="auto" w:fill="D3E6FE"/>
          </w:tcPr>
          <w:p w14:paraId="2EF342F3" w14:textId="77777777" w:rsidR="002733CB" w:rsidRPr="009C5F11" w:rsidRDefault="00A34C01" w:rsidP="00A34C01">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val="restart"/>
            <w:shd w:val="clear" w:color="auto" w:fill="D3E6FE"/>
            <w:vAlign w:val="center"/>
          </w:tcPr>
          <w:p w14:paraId="455C2F48" w14:textId="77777777" w:rsidR="002733CB" w:rsidRPr="009C5F11" w:rsidRDefault="002733CB" w:rsidP="00430626">
            <w:pPr>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M3, M4</w:t>
            </w:r>
          </w:p>
        </w:tc>
      </w:tr>
      <w:tr w:rsidR="002733CB" w:rsidRPr="009C5F11" w14:paraId="63232ACB" w14:textId="77777777" w:rsidTr="00D04ED3">
        <w:trPr>
          <w:jc w:val="center"/>
        </w:trPr>
        <w:tc>
          <w:tcPr>
            <w:tcW w:w="965" w:type="pct"/>
            <w:shd w:val="clear" w:color="auto" w:fill="99CCFF"/>
          </w:tcPr>
          <w:p w14:paraId="09099215"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P7</w:t>
            </w:r>
          </w:p>
        </w:tc>
        <w:tc>
          <w:tcPr>
            <w:tcW w:w="786" w:type="pct"/>
            <w:vMerge/>
            <w:shd w:val="clear" w:color="auto" w:fill="99CCFF"/>
          </w:tcPr>
          <w:p w14:paraId="4F35DA1D"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5FFD63FF" w14:textId="77777777" w:rsidR="002733CB" w:rsidRPr="009C5F11" w:rsidRDefault="00A34C01" w:rsidP="00A34C01">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shd w:val="clear" w:color="auto" w:fill="D3E6FE"/>
          </w:tcPr>
          <w:p w14:paraId="16F22932"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0464A8AB" w14:textId="77777777" w:rsidTr="00D04ED3">
        <w:trPr>
          <w:trHeight w:val="56"/>
          <w:jc w:val="center"/>
        </w:trPr>
        <w:tc>
          <w:tcPr>
            <w:tcW w:w="965" w:type="pct"/>
            <w:shd w:val="clear" w:color="auto" w:fill="99CCFF"/>
          </w:tcPr>
          <w:p w14:paraId="572DA076"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M3</w:t>
            </w:r>
          </w:p>
        </w:tc>
        <w:tc>
          <w:tcPr>
            <w:tcW w:w="786" w:type="pct"/>
            <w:vMerge/>
            <w:shd w:val="clear" w:color="auto" w:fill="99CCFF"/>
          </w:tcPr>
          <w:p w14:paraId="0C71AC3B"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7FE91358"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vAlign w:val="center"/>
          </w:tcPr>
          <w:p w14:paraId="2B9814DA" w14:textId="77777777" w:rsidR="002733CB" w:rsidRPr="009C5F11" w:rsidRDefault="002733CB" w:rsidP="00430626">
            <w:pPr>
              <w:spacing w:after="0" w:line="240" w:lineRule="auto"/>
              <w:jc w:val="both"/>
              <w:rPr>
                <w:rFonts w:ascii="Times New Roman" w:hAnsi="Times New Roman" w:cs="Times New Roman"/>
                <w:b/>
                <w:sz w:val="20"/>
                <w:szCs w:val="16"/>
                <w:lang w:val="ro-RO"/>
              </w:rPr>
            </w:pPr>
          </w:p>
        </w:tc>
      </w:tr>
      <w:tr w:rsidR="002733CB" w:rsidRPr="009C5F11" w14:paraId="32D9C6C1" w14:textId="77777777" w:rsidTr="00D04ED3">
        <w:trPr>
          <w:jc w:val="center"/>
        </w:trPr>
        <w:tc>
          <w:tcPr>
            <w:tcW w:w="965" w:type="pct"/>
            <w:shd w:val="clear" w:color="auto" w:fill="99CCFF"/>
          </w:tcPr>
          <w:p w14:paraId="24A767D0"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M4</w:t>
            </w:r>
          </w:p>
        </w:tc>
        <w:tc>
          <w:tcPr>
            <w:tcW w:w="786" w:type="pct"/>
            <w:vMerge/>
            <w:shd w:val="clear" w:color="auto" w:fill="99CCFF"/>
          </w:tcPr>
          <w:p w14:paraId="4546592C"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36D7D92F"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tcPr>
          <w:p w14:paraId="11B39EA4" w14:textId="77777777" w:rsidR="002733CB" w:rsidRPr="009C5F11" w:rsidRDefault="002733CB" w:rsidP="00430626">
            <w:pPr>
              <w:spacing w:after="0" w:line="240" w:lineRule="auto"/>
              <w:jc w:val="both"/>
              <w:rPr>
                <w:rFonts w:ascii="Times New Roman" w:hAnsi="Times New Roman" w:cs="Times New Roman"/>
                <w:b/>
                <w:sz w:val="20"/>
                <w:szCs w:val="16"/>
                <w:lang w:val="ro-RO"/>
              </w:rPr>
            </w:pPr>
          </w:p>
        </w:tc>
      </w:tr>
      <w:tr w:rsidR="002733CB" w:rsidRPr="009C5F11" w14:paraId="7A7F17DF" w14:textId="77777777" w:rsidTr="00D04ED3">
        <w:trPr>
          <w:jc w:val="center"/>
        </w:trPr>
        <w:tc>
          <w:tcPr>
            <w:tcW w:w="965" w:type="pct"/>
            <w:shd w:val="clear" w:color="auto" w:fill="99CCFF"/>
          </w:tcPr>
          <w:p w14:paraId="67AAB766"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P8</w:t>
            </w:r>
          </w:p>
        </w:tc>
        <w:tc>
          <w:tcPr>
            <w:tcW w:w="786" w:type="pct"/>
            <w:vMerge w:val="restart"/>
            <w:shd w:val="clear" w:color="auto" w:fill="99CCFF"/>
          </w:tcPr>
          <w:p w14:paraId="1B4AA35E"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Transport</w:t>
            </w:r>
          </w:p>
        </w:tc>
        <w:tc>
          <w:tcPr>
            <w:tcW w:w="1322" w:type="pct"/>
            <w:shd w:val="clear" w:color="auto" w:fill="D3E6FE"/>
          </w:tcPr>
          <w:p w14:paraId="196A026D" w14:textId="77777777" w:rsidR="002733CB" w:rsidRPr="009C5F11" w:rsidRDefault="00B245B9" w:rsidP="00B245B9">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val="restart"/>
            <w:shd w:val="clear" w:color="auto" w:fill="D3E6FE"/>
            <w:vAlign w:val="center"/>
          </w:tcPr>
          <w:p w14:paraId="12EBC8B2" w14:textId="77777777" w:rsidR="002733CB" w:rsidRPr="009C5F11" w:rsidRDefault="002733CB"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M5</w:t>
            </w:r>
          </w:p>
        </w:tc>
      </w:tr>
      <w:tr w:rsidR="002733CB" w:rsidRPr="009C5F11" w14:paraId="0D923A94" w14:textId="77777777" w:rsidTr="00D04ED3">
        <w:trPr>
          <w:jc w:val="center"/>
        </w:trPr>
        <w:tc>
          <w:tcPr>
            <w:tcW w:w="965" w:type="pct"/>
            <w:shd w:val="clear" w:color="auto" w:fill="99CCFF"/>
          </w:tcPr>
          <w:p w14:paraId="78C3C397" w14:textId="77777777" w:rsidR="002733CB" w:rsidRPr="009C5F11" w:rsidRDefault="002733CB" w:rsidP="00204033">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A1 </w:t>
            </w:r>
            <w:r w:rsidR="00204033" w:rsidRPr="009C5F11">
              <w:rPr>
                <w:rFonts w:ascii="Times New Roman" w:hAnsi="Times New Roman" w:cs="Times New Roman"/>
                <w:sz w:val="20"/>
                <w:szCs w:val="16"/>
                <w:lang w:val="ro-RO"/>
              </w:rPr>
              <w:t>pentru</w:t>
            </w:r>
            <w:r w:rsidRPr="009C5F11">
              <w:rPr>
                <w:rFonts w:ascii="Times New Roman" w:hAnsi="Times New Roman" w:cs="Times New Roman"/>
                <w:sz w:val="20"/>
                <w:szCs w:val="16"/>
                <w:lang w:val="ro-RO"/>
              </w:rPr>
              <w:t xml:space="preserve"> P8</w:t>
            </w:r>
          </w:p>
        </w:tc>
        <w:tc>
          <w:tcPr>
            <w:tcW w:w="786" w:type="pct"/>
            <w:vMerge/>
            <w:shd w:val="clear" w:color="auto" w:fill="99CCFF"/>
          </w:tcPr>
          <w:p w14:paraId="0933622F"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134A4EF6" w14:textId="77777777" w:rsidR="002733CB" w:rsidRPr="009C5F11" w:rsidRDefault="002733CB" w:rsidP="00B245B9">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shd w:val="clear" w:color="auto" w:fill="D3E6FE"/>
          </w:tcPr>
          <w:p w14:paraId="24C3FB73"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34067DD1" w14:textId="77777777" w:rsidTr="00D04ED3">
        <w:trPr>
          <w:jc w:val="center"/>
        </w:trPr>
        <w:tc>
          <w:tcPr>
            <w:tcW w:w="965" w:type="pct"/>
            <w:shd w:val="clear" w:color="auto" w:fill="99CCFF"/>
          </w:tcPr>
          <w:p w14:paraId="3DDE0467"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P9</w:t>
            </w:r>
          </w:p>
        </w:tc>
        <w:tc>
          <w:tcPr>
            <w:tcW w:w="786" w:type="pct"/>
            <w:vMerge/>
            <w:shd w:val="clear" w:color="auto" w:fill="99CCFF"/>
          </w:tcPr>
          <w:p w14:paraId="095BA595"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1BEC0785" w14:textId="77777777" w:rsidR="002733CB" w:rsidRPr="009C5F11" w:rsidRDefault="002733CB" w:rsidP="00B245B9">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shd w:val="clear" w:color="auto" w:fill="D3E6FE"/>
          </w:tcPr>
          <w:p w14:paraId="48E92A3F"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4C428678" w14:textId="77777777" w:rsidTr="00D04ED3">
        <w:trPr>
          <w:jc w:val="center"/>
        </w:trPr>
        <w:tc>
          <w:tcPr>
            <w:tcW w:w="965" w:type="pct"/>
            <w:shd w:val="clear" w:color="auto" w:fill="99CCFF"/>
          </w:tcPr>
          <w:p w14:paraId="781586FA" w14:textId="77777777" w:rsidR="002733CB" w:rsidRPr="009C5F11" w:rsidRDefault="002733CB" w:rsidP="00204033">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A2 </w:t>
            </w:r>
            <w:r w:rsidR="00204033" w:rsidRPr="009C5F11">
              <w:rPr>
                <w:rFonts w:ascii="Times New Roman" w:hAnsi="Times New Roman" w:cs="Times New Roman"/>
                <w:sz w:val="20"/>
                <w:szCs w:val="16"/>
                <w:lang w:val="ro-RO"/>
              </w:rPr>
              <w:t>pentru</w:t>
            </w:r>
            <w:r w:rsidRPr="009C5F11">
              <w:rPr>
                <w:rFonts w:ascii="Times New Roman" w:hAnsi="Times New Roman" w:cs="Times New Roman"/>
                <w:sz w:val="20"/>
                <w:szCs w:val="16"/>
                <w:lang w:val="ro-RO"/>
              </w:rPr>
              <w:t xml:space="preserve"> P9</w:t>
            </w:r>
          </w:p>
        </w:tc>
        <w:tc>
          <w:tcPr>
            <w:tcW w:w="786" w:type="pct"/>
            <w:vMerge/>
            <w:shd w:val="clear" w:color="auto" w:fill="99CCFF"/>
          </w:tcPr>
          <w:p w14:paraId="6CE80CAB"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1D3AF309" w14:textId="77777777" w:rsidR="002733CB" w:rsidRPr="009C5F11" w:rsidRDefault="002733CB" w:rsidP="00B245B9">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shd w:val="clear" w:color="auto" w:fill="D3E6FE"/>
          </w:tcPr>
          <w:p w14:paraId="798A5DEF"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14E340A6" w14:textId="77777777" w:rsidTr="00D04ED3">
        <w:trPr>
          <w:jc w:val="center"/>
        </w:trPr>
        <w:tc>
          <w:tcPr>
            <w:tcW w:w="965" w:type="pct"/>
            <w:shd w:val="clear" w:color="auto" w:fill="99CCFF"/>
          </w:tcPr>
          <w:p w14:paraId="2F2D921F"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P10</w:t>
            </w:r>
          </w:p>
        </w:tc>
        <w:tc>
          <w:tcPr>
            <w:tcW w:w="786" w:type="pct"/>
            <w:vMerge/>
            <w:shd w:val="clear" w:color="auto" w:fill="99CCFF"/>
          </w:tcPr>
          <w:p w14:paraId="024B71A7"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2353C499"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tcPr>
          <w:p w14:paraId="5FA9EC83"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74541333" w14:textId="77777777" w:rsidTr="00D04ED3">
        <w:trPr>
          <w:jc w:val="center"/>
        </w:trPr>
        <w:tc>
          <w:tcPr>
            <w:tcW w:w="965" w:type="pct"/>
            <w:shd w:val="clear" w:color="auto" w:fill="99CCFF"/>
          </w:tcPr>
          <w:p w14:paraId="6D33D8B9"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P11</w:t>
            </w:r>
          </w:p>
        </w:tc>
        <w:tc>
          <w:tcPr>
            <w:tcW w:w="786" w:type="pct"/>
            <w:vMerge/>
            <w:shd w:val="clear" w:color="auto" w:fill="99CCFF"/>
          </w:tcPr>
          <w:p w14:paraId="790E28CA"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2F3FC9B1"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tcPr>
          <w:p w14:paraId="3D294BF7"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7ACF4510" w14:textId="77777777" w:rsidTr="00D04ED3">
        <w:trPr>
          <w:jc w:val="center"/>
        </w:trPr>
        <w:tc>
          <w:tcPr>
            <w:tcW w:w="965" w:type="pct"/>
            <w:shd w:val="clear" w:color="auto" w:fill="99CCFF"/>
          </w:tcPr>
          <w:p w14:paraId="58718EE0"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P12</w:t>
            </w:r>
          </w:p>
        </w:tc>
        <w:tc>
          <w:tcPr>
            <w:tcW w:w="786" w:type="pct"/>
            <w:vMerge/>
            <w:shd w:val="clear" w:color="auto" w:fill="99CCFF"/>
          </w:tcPr>
          <w:p w14:paraId="17831140"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1A3990FB"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tcPr>
          <w:p w14:paraId="2D7BA0A9"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24CEC2D8" w14:textId="77777777" w:rsidTr="00D04ED3">
        <w:trPr>
          <w:jc w:val="center"/>
        </w:trPr>
        <w:tc>
          <w:tcPr>
            <w:tcW w:w="965" w:type="pct"/>
            <w:shd w:val="clear" w:color="auto" w:fill="99CCFF"/>
          </w:tcPr>
          <w:p w14:paraId="7C997690"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P13</w:t>
            </w:r>
          </w:p>
        </w:tc>
        <w:tc>
          <w:tcPr>
            <w:tcW w:w="786" w:type="pct"/>
            <w:vMerge/>
            <w:shd w:val="clear" w:color="auto" w:fill="99CCFF"/>
          </w:tcPr>
          <w:p w14:paraId="266666FA"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4189579E"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tcPr>
          <w:p w14:paraId="4CF31739" w14:textId="77777777" w:rsidR="002733CB" w:rsidRPr="009C5F11" w:rsidRDefault="002733CB" w:rsidP="00430626">
            <w:pPr>
              <w:jc w:val="both"/>
              <w:rPr>
                <w:rFonts w:ascii="Times New Roman" w:hAnsi="Times New Roman" w:cs="Times New Roman"/>
                <w:b/>
                <w:sz w:val="20"/>
                <w:szCs w:val="16"/>
                <w:lang w:val="ro-RO"/>
              </w:rPr>
            </w:pPr>
          </w:p>
        </w:tc>
      </w:tr>
      <w:tr w:rsidR="002733CB" w:rsidRPr="009C5F11" w14:paraId="7429997F" w14:textId="77777777" w:rsidTr="00D04ED3">
        <w:trPr>
          <w:jc w:val="center"/>
        </w:trPr>
        <w:tc>
          <w:tcPr>
            <w:tcW w:w="965" w:type="pct"/>
            <w:shd w:val="clear" w:color="auto" w:fill="99CCFF"/>
          </w:tcPr>
          <w:p w14:paraId="2B15A9D8"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M5</w:t>
            </w:r>
          </w:p>
        </w:tc>
        <w:tc>
          <w:tcPr>
            <w:tcW w:w="786" w:type="pct"/>
            <w:vMerge/>
            <w:shd w:val="clear" w:color="auto" w:fill="99CCFF"/>
          </w:tcPr>
          <w:p w14:paraId="792180FB"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155E2242"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vAlign w:val="center"/>
          </w:tcPr>
          <w:p w14:paraId="5755083B" w14:textId="77777777" w:rsidR="002733CB" w:rsidRPr="009C5F11" w:rsidRDefault="002733CB" w:rsidP="00430626">
            <w:pPr>
              <w:spacing w:after="0" w:line="240" w:lineRule="auto"/>
              <w:jc w:val="both"/>
              <w:rPr>
                <w:rFonts w:ascii="Times New Roman" w:hAnsi="Times New Roman" w:cs="Times New Roman"/>
                <w:b/>
                <w:sz w:val="20"/>
                <w:szCs w:val="16"/>
                <w:lang w:val="ro-RO"/>
              </w:rPr>
            </w:pPr>
          </w:p>
        </w:tc>
      </w:tr>
      <w:tr w:rsidR="002733CB" w:rsidRPr="009C5F11" w14:paraId="32C7C5A0" w14:textId="77777777" w:rsidTr="00D04ED3">
        <w:trPr>
          <w:jc w:val="center"/>
        </w:trPr>
        <w:tc>
          <w:tcPr>
            <w:tcW w:w="965" w:type="pct"/>
            <w:shd w:val="clear" w:color="auto" w:fill="99CCFF"/>
          </w:tcPr>
          <w:p w14:paraId="7AF283B6"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M6</w:t>
            </w:r>
          </w:p>
        </w:tc>
        <w:tc>
          <w:tcPr>
            <w:tcW w:w="786" w:type="pct"/>
            <w:vMerge/>
            <w:shd w:val="clear" w:color="auto" w:fill="99CCFF"/>
          </w:tcPr>
          <w:p w14:paraId="44B3D095"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4155BA85"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tcPr>
          <w:p w14:paraId="10E16AB8" w14:textId="77777777" w:rsidR="002733CB" w:rsidRPr="009C5F11" w:rsidRDefault="002733CB" w:rsidP="00430626">
            <w:pPr>
              <w:spacing w:after="0" w:line="240" w:lineRule="auto"/>
              <w:jc w:val="both"/>
              <w:rPr>
                <w:rFonts w:ascii="Times New Roman" w:hAnsi="Times New Roman" w:cs="Times New Roman"/>
                <w:b/>
                <w:sz w:val="20"/>
                <w:szCs w:val="16"/>
                <w:lang w:val="ro-RO"/>
              </w:rPr>
            </w:pPr>
          </w:p>
        </w:tc>
      </w:tr>
      <w:tr w:rsidR="002733CB" w:rsidRPr="009C5F11" w14:paraId="62C73849" w14:textId="77777777" w:rsidTr="00D04ED3">
        <w:trPr>
          <w:jc w:val="center"/>
        </w:trPr>
        <w:tc>
          <w:tcPr>
            <w:tcW w:w="965" w:type="pct"/>
            <w:shd w:val="clear" w:color="auto" w:fill="99CCFF"/>
          </w:tcPr>
          <w:p w14:paraId="34F5481E"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M7</w:t>
            </w:r>
          </w:p>
        </w:tc>
        <w:tc>
          <w:tcPr>
            <w:tcW w:w="786" w:type="pct"/>
            <w:vMerge/>
            <w:shd w:val="clear" w:color="auto" w:fill="99CCFF"/>
          </w:tcPr>
          <w:p w14:paraId="40DC7B31"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656EEDE6"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tcPr>
          <w:p w14:paraId="6BA98E5B" w14:textId="77777777" w:rsidR="002733CB" w:rsidRPr="009C5F11" w:rsidRDefault="002733CB" w:rsidP="00430626">
            <w:pPr>
              <w:spacing w:after="0" w:line="240" w:lineRule="auto"/>
              <w:jc w:val="both"/>
              <w:rPr>
                <w:rFonts w:ascii="Times New Roman" w:hAnsi="Times New Roman" w:cs="Times New Roman"/>
                <w:b/>
                <w:sz w:val="20"/>
                <w:szCs w:val="16"/>
                <w:lang w:val="ro-RO"/>
              </w:rPr>
            </w:pPr>
          </w:p>
        </w:tc>
      </w:tr>
      <w:tr w:rsidR="002733CB" w:rsidRPr="009C5F11" w14:paraId="6C7374FC" w14:textId="77777777" w:rsidTr="00D04ED3">
        <w:trPr>
          <w:jc w:val="center"/>
        </w:trPr>
        <w:tc>
          <w:tcPr>
            <w:tcW w:w="965" w:type="pct"/>
            <w:shd w:val="clear" w:color="auto" w:fill="99CCFF"/>
          </w:tcPr>
          <w:p w14:paraId="0FC732D9"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P14</w:t>
            </w:r>
          </w:p>
        </w:tc>
        <w:tc>
          <w:tcPr>
            <w:tcW w:w="786" w:type="pct"/>
            <w:vMerge w:val="restart"/>
            <w:shd w:val="clear" w:color="auto" w:fill="99CCFF"/>
          </w:tcPr>
          <w:p w14:paraId="67F658A4" w14:textId="77777777" w:rsidR="002733CB" w:rsidRPr="009C5F11" w:rsidRDefault="0079253D"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Industrie</w:t>
            </w:r>
          </w:p>
        </w:tc>
        <w:tc>
          <w:tcPr>
            <w:tcW w:w="1322" w:type="pct"/>
            <w:shd w:val="clear" w:color="auto" w:fill="D3E6FE"/>
          </w:tcPr>
          <w:p w14:paraId="70B3730D" w14:textId="77777777" w:rsidR="002733CB" w:rsidRPr="009C5F11" w:rsidRDefault="002733CB" w:rsidP="00B245B9">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val="restart"/>
            <w:shd w:val="clear" w:color="auto" w:fill="D3E6FE"/>
            <w:vAlign w:val="center"/>
          </w:tcPr>
          <w:p w14:paraId="2F51B402" w14:textId="77777777" w:rsidR="002733CB" w:rsidRPr="009C5F11" w:rsidRDefault="002733CB" w:rsidP="00430626">
            <w:pPr>
              <w:spacing w:after="0" w:line="240" w:lineRule="auto"/>
              <w:jc w:val="both"/>
              <w:rPr>
                <w:rFonts w:ascii="Times New Roman" w:hAnsi="Times New Roman" w:cs="Times New Roman"/>
                <w:b/>
                <w:sz w:val="20"/>
                <w:szCs w:val="16"/>
                <w:lang w:val="ro-RO"/>
              </w:rPr>
            </w:pPr>
            <w:r w:rsidRPr="009C5F11">
              <w:rPr>
                <w:rFonts w:ascii="Times New Roman" w:hAnsi="Times New Roman" w:cs="Times New Roman"/>
                <w:b/>
                <w:sz w:val="20"/>
                <w:szCs w:val="16"/>
                <w:lang w:val="ro-RO"/>
              </w:rPr>
              <w:t>M8</w:t>
            </w:r>
          </w:p>
        </w:tc>
      </w:tr>
      <w:tr w:rsidR="002733CB" w:rsidRPr="009C5F11" w14:paraId="3136D456" w14:textId="77777777" w:rsidTr="00D04ED3">
        <w:trPr>
          <w:jc w:val="center"/>
        </w:trPr>
        <w:tc>
          <w:tcPr>
            <w:tcW w:w="965" w:type="pct"/>
            <w:shd w:val="clear" w:color="auto" w:fill="99CCFF"/>
          </w:tcPr>
          <w:p w14:paraId="245BD398" w14:textId="77777777" w:rsidR="002733CB" w:rsidRPr="009C5F11" w:rsidRDefault="002733CB" w:rsidP="00204033">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A3 </w:t>
            </w:r>
            <w:r w:rsidR="00204033" w:rsidRPr="009C5F11">
              <w:rPr>
                <w:rFonts w:ascii="Times New Roman" w:hAnsi="Times New Roman" w:cs="Times New Roman"/>
                <w:sz w:val="20"/>
                <w:szCs w:val="16"/>
                <w:lang w:val="ro-RO"/>
              </w:rPr>
              <w:t>pentru</w:t>
            </w:r>
            <w:r w:rsidRPr="009C5F11">
              <w:rPr>
                <w:rFonts w:ascii="Times New Roman" w:hAnsi="Times New Roman" w:cs="Times New Roman"/>
                <w:sz w:val="20"/>
                <w:szCs w:val="16"/>
                <w:lang w:val="ro-RO"/>
              </w:rPr>
              <w:t xml:space="preserve"> P14</w:t>
            </w:r>
          </w:p>
        </w:tc>
        <w:tc>
          <w:tcPr>
            <w:tcW w:w="786" w:type="pct"/>
            <w:vMerge/>
            <w:shd w:val="clear" w:color="auto" w:fill="99CCFF"/>
          </w:tcPr>
          <w:p w14:paraId="71D1455C"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045EBDC8" w14:textId="77777777" w:rsidR="002733CB" w:rsidRPr="009C5F11" w:rsidRDefault="002733CB" w:rsidP="00B245B9">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1927" w:type="pct"/>
            <w:vMerge/>
            <w:shd w:val="clear" w:color="auto" w:fill="D3E6FE"/>
          </w:tcPr>
          <w:p w14:paraId="41A34FBD" w14:textId="77777777" w:rsidR="002733CB" w:rsidRPr="009C5F11" w:rsidRDefault="002733CB" w:rsidP="00430626">
            <w:pPr>
              <w:jc w:val="both"/>
              <w:rPr>
                <w:rFonts w:ascii="Times New Roman" w:hAnsi="Times New Roman" w:cs="Times New Roman"/>
                <w:sz w:val="20"/>
                <w:szCs w:val="16"/>
                <w:lang w:val="ro-RO"/>
              </w:rPr>
            </w:pPr>
          </w:p>
        </w:tc>
      </w:tr>
      <w:tr w:rsidR="002733CB" w:rsidRPr="009C5F11" w14:paraId="7EC5ED97" w14:textId="77777777" w:rsidTr="00D04ED3">
        <w:trPr>
          <w:jc w:val="center"/>
        </w:trPr>
        <w:tc>
          <w:tcPr>
            <w:tcW w:w="965" w:type="pct"/>
            <w:shd w:val="clear" w:color="auto" w:fill="99CCFF"/>
          </w:tcPr>
          <w:p w14:paraId="1F7CB672" w14:textId="77777777" w:rsidR="002733CB" w:rsidRPr="009C5F11" w:rsidRDefault="002733CB" w:rsidP="00430626">
            <w:pPr>
              <w:spacing w:after="0" w:line="240" w:lineRule="auto"/>
              <w:jc w:val="both"/>
              <w:rPr>
                <w:rFonts w:ascii="Times New Roman" w:hAnsi="Times New Roman" w:cs="Times New Roman"/>
                <w:sz w:val="20"/>
                <w:szCs w:val="16"/>
                <w:lang w:val="ro-RO"/>
              </w:rPr>
            </w:pPr>
            <w:r w:rsidRPr="009C5F11">
              <w:rPr>
                <w:rFonts w:ascii="Times New Roman" w:hAnsi="Times New Roman" w:cs="Times New Roman"/>
                <w:sz w:val="20"/>
                <w:szCs w:val="16"/>
                <w:lang w:val="ro-RO"/>
              </w:rPr>
              <w:t>M8</w:t>
            </w:r>
          </w:p>
        </w:tc>
        <w:tc>
          <w:tcPr>
            <w:tcW w:w="786" w:type="pct"/>
            <w:vMerge/>
            <w:shd w:val="clear" w:color="auto" w:fill="99CCFF"/>
          </w:tcPr>
          <w:p w14:paraId="0E6FE6AB"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c>
          <w:tcPr>
            <w:tcW w:w="1322" w:type="pct"/>
            <w:shd w:val="clear" w:color="auto" w:fill="D3E6FE"/>
          </w:tcPr>
          <w:p w14:paraId="75F0EAE3" w14:textId="77777777" w:rsidR="002733CB" w:rsidRPr="009C5F11" w:rsidRDefault="002733CB" w:rsidP="00334F3B">
            <w:pPr>
              <w:pStyle w:val="Listparagraf"/>
              <w:numPr>
                <w:ilvl w:val="0"/>
                <w:numId w:val="169"/>
              </w:numPr>
              <w:spacing w:after="0" w:line="240" w:lineRule="auto"/>
              <w:jc w:val="center"/>
              <w:rPr>
                <w:rFonts w:ascii="Times New Roman" w:hAnsi="Times New Roman" w:cs="Times New Roman"/>
                <w:sz w:val="20"/>
                <w:szCs w:val="16"/>
                <w:lang w:val="ro-RO"/>
              </w:rPr>
            </w:pPr>
          </w:p>
        </w:tc>
        <w:tc>
          <w:tcPr>
            <w:tcW w:w="1927" w:type="pct"/>
            <w:vMerge/>
            <w:shd w:val="clear" w:color="auto" w:fill="D3E6FE"/>
          </w:tcPr>
          <w:p w14:paraId="366FEC38" w14:textId="77777777" w:rsidR="002733CB" w:rsidRPr="009C5F11" w:rsidRDefault="002733CB" w:rsidP="00430626">
            <w:pPr>
              <w:spacing w:after="0" w:line="240" w:lineRule="auto"/>
              <w:jc w:val="both"/>
              <w:rPr>
                <w:rFonts w:ascii="Times New Roman" w:hAnsi="Times New Roman" w:cs="Times New Roman"/>
                <w:sz w:val="20"/>
                <w:szCs w:val="16"/>
                <w:lang w:val="ro-RO"/>
              </w:rPr>
            </w:pPr>
          </w:p>
        </w:tc>
      </w:tr>
    </w:tbl>
    <w:p w14:paraId="0A38C47A" w14:textId="4331CE8E" w:rsidR="00CB4364" w:rsidRPr="009C5F11" w:rsidRDefault="00342EF7"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R</w:t>
      </w:r>
      <w:r w:rsidR="00E10BE5" w:rsidRPr="009C5F11">
        <w:rPr>
          <w:rFonts w:ascii="Times New Roman" w:hAnsi="Times New Roman" w:cs="Times New Roman"/>
          <w:sz w:val="24"/>
          <w:lang w:val="ro-RO"/>
        </w:rPr>
        <w:t>ezultate</w:t>
      </w:r>
      <w:r w:rsidRPr="009C5F11">
        <w:rPr>
          <w:rFonts w:ascii="Times New Roman" w:hAnsi="Times New Roman" w:cs="Times New Roman"/>
          <w:sz w:val="24"/>
          <w:lang w:val="ro-RO"/>
        </w:rPr>
        <w:t>le</w:t>
      </w:r>
      <w:r w:rsidR="009F09C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indică o variaţie semnificativă de la un an la altul</w:t>
      </w:r>
      <w:r w:rsidR="001D7A2A"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care ar putea</w:t>
      </w:r>
      <w:r w:rsidR="00CB4364" w:rsidRPr="009C5F11">
        <w:rPr>
          <w:rFonts w:ascii="Times New Roman" w:hAnsi="Times New Roman" w:cs="Times New Roman"/>
          <w:sz w:val="24"/>
          <w:lang w:val="ro-RO"/>
        </w:rPr>
        <w:t xml:space="preserve"> introduce </w:t>
      </w:r>
      <w:r w:rsidRPr="009C5F11">
        <w:rPr>
          <w:rFonts w:ascii="Times New Roman" w:hAnsi="Times New Roman" w:cs="Times New Roman"/>
          <w:sz w:val="24"/>
          <w:lang w:val="ro-RO"/>
        </w:rPr>
        <w:t>un nivel ridicat de</w:t>
      </w:r>
      <w:r w:rsidR="00CB4364" w:rsidRPr="009C5F11">
        <w:rPr>
          <w:rFonts w:ascii="Times New Roman" w:hAnsi="Times New Roman" w:cs="Times New Roman"/>
          <w:sz w:val="24"/>
          <w:lang w:val="ro-RO"/>
        </w:rPr>
        <w:t xml:space="preserve"> volatilit</w:t>
      </w:r>
      <w:r w:rsidRPr="009C5F11">
        <w:rPr>
          <w:rFonts w:ascii="Times New Roman" w:hAnsi="Times New Roman" w:cs="Times New Roman"/>
          <w:sz w:val="24"/>
          <w:lang w:val="ro-RO"/>
        </w:rPr>
        <w:t>ate</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 xml:space="preserve">evaluarea eficacităţii </w:t>
      </w:r>
      <w:r w:rsidR="003A5D93" w:rsidRPr="009C5F11">
        <w:rPr>
          <w:rFonts w:ascii="Times New Roman" w:hAnsi="Times New Roman" w:cs="Times New Roman"/>
          <w:sz w:val="24"/>
          <w:lang w:val="ro-RO"/>
        </w:rPr>
        <w:t>măsurilor</w:t>
      </w:r>
      <w:r w:rsidR="00033C99" w:rsidRPr="009C5F11">
        <w:rPr>
          <w:rFonts w:ascii="Times New Roman" w:hAnsi="Times New Roman" w:cs="Times New Roman"/>
          <w:sz w:val="24"/>
          <w:lang w:val="ro-RO"/>
        </w:rPr>
        <w:t xml:space="preserve"> de eficienţă energetică</w:t>
      </w:r>
      <w:r w:rsidR="00CB436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w:t>
      </w:r>
      <w:r w:rsidR="00CB4364" w:rsidRPr="009C5F11">
        <w:rPr>
          <w:rFonts w:ascii="Times New Roman" w:hAnsi="Times New Roman" w:cs="Times New Roman"/>
          <w:sz w:val="24"/>
          <w:lang w:val="ro-RO"/>
        </w:rPr>
        <w:t>xpl</w:t>
      </w:r>
      <w:r w:rsidRPr="009C5F11">
        <w:rPr>
          <w:rFonts w:ascii="Times New Roman" w:hAnsi="Times New Roman" w:cs="Times New Roman"/>
          <w:sz w:val="24"/>
          <w:lang w:val="ro-RO"/>
        </w:rPr>
        <w:t>icaţia rezidă pe faptul că</w:t>
      </w:r>
      <w:r w:rsidR="009F09CF" w:rsidRPr="009C5F11">
        <w:rPr>
          <w:rFonts w:ascii="Times New Roman" w:hAnsi="Times New Roman" w:cs="Times New Roman"/>
          <w:sz w:val="24"/>
          <w:lang w:val="ro-RO"/>
        </w:rPr>
        <w:t xml:space="preserve"> </w:t>
      </w:r>
      <w:r w:rsidR="00D27C3A" w:rsidRPr="009C5F11">
        <w:rPr>
          <w:rFonts w:ascii="Times New Roman" w:hAnsi="Times New Roman" w:cs="Times New Roman"/>
          <w:sz w:val="24"/>
          <w:lang w:val="ro-RO"/>
        </w:rPr>
        <w:t>indicatori</w:t>
      </w:r>
      <w:r w:rsidRPr="009C5F11">
        <w:rPr>
          <w:rFonts w:ascii="Times New Roman" w:hAnsi="Times New Roman" w:cs="Times New Roman"/>
          <w:sz w:val="24"/>
          <w:lang w:val="ro-RO"/>
        </w:rPr>
        <w:t>i top-down</w:t>
      </w:r>
      <w:r w:rsidR="006932C8"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nu întotdeauna ţin cont de tendinţele comportamentale</w:t>
      </w:r>
      <w:r w:rsidR="009F09CF" w:rsidRPr="009C5F11">
        <w:rPr>
          <w:rFonts w:ascii="Times New Roman" w:hAnsi="Times New Roman" w:cs="Times New Roman"/>
          <w:sz w:val="24"/>
          <w:lang w:val="ro-RO"/>
        </w:rPr>
        <w:t>,</w:t>
      </w:r>
      <w:r w:rsidR="00E65E40" w:rsidRPr="009C5F11">
        <w:rPr>
          <w:rFonts w:ascii="Times New Roman" w:hAnsi="Times New Roman" w:cs="Times New Roman"/>
          <w:sz w:val="24"/>
          <w:lang w:val="ro-RO"/>
        </w:rPr>
        <w:t xml:space="preserve"> </w:t>
      </w:r>
      <w:r w:rsidR="003826B8" w:rsidRPr="009C5F11">
        <w:rPr>
          <w:rFonts w:ascii="Times New Roman" w:hAnsi="Times New Roman" w:cs="Times New Roman"/>
          <w:sz w:val="24"/>
          <w:lang w:val="ro-RO"/>
        </w:rPr>
        <w:t>cum ar fi</w:t>
      </w:r>
      <w:r w:rsidR="00CB4364" w:rsidRPr="009C5F11">
        <w:rPr>
          <w:rFonts w:ascii="Times New Roman" w:hAnsi="Times New Roman" w:cs="Times New Roman"/>
          <w:sz w:val="24"/>
          <w:lang w:val="ro-RO"/>
        </w:rPr>
        <w:t>:</w:t>
      </w:r>
    </w:p>
    <w:p w14:paraId="3ED6314C" w14:textId="77777777" w:rsidR="00CB4364" w:rsidRPr="009C5F11" w:rsidRDefault="00603E5B" w:rsidP="00334F3B">
      <w:pPr>
        <w:pStyle w:val="Listparagraf"/>
        <w:numPr>
          <w:ilvl w:val="0"/>
          <w:numId w:val="182"/>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stocul în creştere de automobile </w:t>
      </w:r>
      <w:r w:rsidR="00CB4364" w:rsidRPr="009C5F11">
        <w:rPr>
          <w:rFonts w:ascii="Times New Roman" w:hAnsi="Times New Roman" w:cs="Times New Roman"/>
          <w:sz w:val="24"/>
          <w:lang w:val="ro-RO"/>
        </w:rPr>
        <w:t>ind</w:t>
      </w:r>
      <w:r w:rsidR="001D7A2A" w:rsidRPr="009C5F11">
        <w:rPr>
          <w:rFonts w:ascii="Times New Roman" w:hAnsi="Times New Roman" w:cs="Times New Roman"/>
          <w:sz w:val="24"/>
          <w:lang w:val="ro-RO"/>
        </w:rPr>
        <w:t>ividual</w:t>
      </w:r>
      <w:r w:rsidRPr="009C5F11">
        <w:rPr>
          <w:rFonts w:ascii="Times New Roman" w:hAnsi="Times New Roman" w:cs="Times New Roman"/>
          <w:sz w:val="24"/>
          <w:lang w:val="ro-RO"/>
        </w:rPr>
        <w:t>e</w:t>
      </w:r>
      <w:r w:rsidR="001D7A2A"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 la un an la altul</w:t>
      </w:r>
      <w:r w:rsidR="001D7A2A" w:rsidRPr="009C5F11">
        <w:rPr>
          <w:rFonts w:ascii="Times New Roman" w:hAnsi="Times New Roman" w:cs="Times New Roman"/>
          <w:sz w:val="24"/>
          <w:lang w:val="ro-RO"/>
        </w:rPr>
        <w:t>,</w:t>
      </w:r>
    </w:p>
    <w:p w14:paraId="3A2DF432" w14:textId="77777777" w:rsidR="00CB4364" w:rsidRPr="009C5F11" w:rsidRDefault="00603E5B" w:rsidP="00334F3B">
      <w:pPr>
        <w:pStyle w:val="Listparagraf"/>
        <w:numPr>
          <w:ilvl w:val="0"/>
          <w:numId w:val="182"/>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cererea în creştere din partea gosp</w:t>
      </w:r>
      <w:r w:rsidR="00E85EF7" w:rsidRPr="009C5F11">
        <w:rPr>
          <w:rFonts w:ascii="Times New Roman" w:hAnsi="Times New Roman" w:cs="Times New Roman"/>
          <w:sz w:val="24"/>
          <w:lang w:val="ro-RO"/>
        </w:rPr>
        <w:t>o</w:t>
      </w:r>
      <w:r w:rsidRPr="009C5F11">
        <w:rPr>
          <w:rFonts w:ascii="Times New Roman" w:hAnsi="Times New Roman" w:cs="Times New Roman"/>
          <w:sz w:val="24"/>
          <w:lang w:val="ro-RO"/>
        </w:rPr>
        <w:t>dăriilor pentru aparatele de uz casnic</w:t>
      </w:r>
      <w:r w:rsidR="00CB4364" w:rsidRPr="009C5F11">
        <w:rPr>
          <w:rFonts w:ascii="Times New Roman" w:hAnsi="Times New Roman" w:cs="Times New Roman"/>
          <w:sz w:val="24"/>
          <w:lang w:val="ro-RO"/>
        </w:rPr>
        <w:t xml:space="preserve">, </w:t>
      </w:r>
    </w:p>
    <w:p w14:paraId="0FFDF5DD" w14:textId="77777777" w:rsidR="00CB4364" w:rsidRPr="009C5F11" w:rsidRDefault="00CB4364" w:rsidP="00334F3B">
      <w:pPr>
        <w:pStyle w:val="Listparagraf"/>
        <w:numPr>
          <w:ilvl w:val="0"/>
          <w:numId w:val="182"/>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d</w:t>
      </w:r>
      <w:r w:rsidR="00603E5B" w:rsidRPr="009C5F11">
        <w:rPr>
          <w:rFonts w:ascii="Times New Roman" w:hAnsi="Times New Roman" w:cs="Times New Roman"/>
          <w:sz w:val="24"/>
          <w:lang w:val="ro-RO"/>
        </w:rPr>
        <w:t xml:space="preserve">ebranşarea consumatorilor </w:t>
      </w:r>
      <w:r w:rsidR="00AB1710" w:rsidRPr="009C5F11">
        <w:rPr>
          <w:rFonts w:ascii="Times New Roman" w:hAnsi="Times New Roman" w:cs="Times New Roman"/>
          <w:sz w:val="24"/>
          <w:lang w:val="ro-RO"/>
        </w:rPr>
        <w:t>rezidenţial</w:t>
      </w:r>
      <w:r w:rsidR="00603E5B" w:rsidRPr="009C5F11">
        <w:rPr>
          <w:rFonts w:ascii="Times New Roman" w:hAnsi="Times New Roman" w:cs="Times New Roman"/>
          <w:sz w:val="24"/>
          <w:lang w:val="ro-RO"/>
        </w:rPr>
        <w:t>i de la sistemul de încălzire centralizată</w:t>
      </w:r>
      <w:r w:rsidR="00E65E40" w:rsidRPr="009C5F11">
        <w:rPr>
          <w:rFonts w:ascii="Times New Roman" w:hAnsi="Times New Roman" w:cs="Times New Roman"/>
          <w:sz w:val="24"/>
          <w:lang w:val="ro-RO"/>
        </w:rPr>
        <w:t>,</w:t>
      </w:r>
    </w:p>
    <w:p w14:paraId="1CCDCEA4" w14:textId="77777777" w:rsidR="00CB4364" w:rsidRPr="009C5F11" w:rsidRDefault="00603E5B" w:rsidP="00CB4364">
      <w:p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lastRenderedPageBreak/>
        <w:t xml:space="preserve">care sporeşte </w:t>
      </w:r>
      <w:r w:rsidR="00334259" w:rsidRPr="009C5F11">
        <w:rPr>
          <w:rFonts w:ascii="Times New Roman" w:hAnsi="Times New Roman" w:cs="Times New Roman"/>
          <w:sz w:val="24"/>
          <w:lang w:val="ro-RO"/>
        </w:rPr>
        <w:t>consumul</w:t>
      </w:r>
      <w:r w:rsidR="00E65E40"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chiar şi în condiţii de eficienţă energetică, fapt ce nu permit</w:t>
      </w:r>
      <w:r w:rsidR="006932C8"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demonstrarea economiilor obţinute pe baza măsurilor de </w:t>
      </w:r>
      <w:r w:rsidR="000C7BEC" w:rsidRPr="009C5F11">
        <w:rPr>
          <w:rFonts w:ascii="Times New Roman" w:hAnsi="Times New Roman" w:cs="Times New Roman"/>
          <w:sz w:val="24"/>
          <w:lang w:val="ro-RO"/>
        </w:rPr>
        <w:t>eficienţă energetică</w:t>
      </w:r>
      <w:r w:rsidR="009F09CF"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în viaţa reală</w:t>
      </w:r>
      <w:r w:rsidR="009F09CF" w:rsidRPr="009C5F11">
        <w:rPr>
          <w:rFonts w:ascii="Times New Roman" w:hAnsi="Times New Roman" w:cs="Times New Roman"/>
          <w:sz w:val="24"/>
          <w:lang w:val="ro-RO"/>
        </w:rPr>
        <w:t>.</w:t>
      </w:r>
      <w:r w:rsidR="005A283E" w:rsidRPr="009C5F11">
        <w:rPr>
          <w:rFonts w:ascii="Times New Roman" w:hAnsi="Times New Roman" w:cs="Times New Roman"/>
          <w:sz w:val="24"/>
          <w:lang w:val="ro-RO"/>
        </w:rPr>
        <w:t xml:space="preserve"> </w:t>
      </w:r>
      <w:r w:rsidR="005E7974" w:rsidRPr="009C5F11">
        <w:rPr>
          <w:rFonts w:ascii="Times New Roman" w:hAnsi="Times New Roman" w:cs="Times New Roman"/>
          <w:sz w:val="24"/>
          <w:lang w:val="ro-RO"/>
        </w:rPr>
        <w:t>Prin urmare</w:t>
      </w:r>
      <w:r w:rsidRPr="009C5F11">
        <w:rPr>
          <w:rFonts w:ascii="Times New Roman" w:hAnsi="Times New Roman" w:cs="Times New Roman"/>
          <w:sz w:val="24"/>
          <w:lang w:val="ro-RO"/>
        </w:rPr>
        <w:t xml:space="preserve">, în acest caz se va aplica metoda </w:t>
      </w:r>
      <w:r w:rsidR="00080E82" w:rsidRPr="009C5F11">
        <w:rPr>
          <w:rFonts w:ascii="Times New Roman" w:hAnsi="Times New Roman" w:cs="Times New Roman"/>
          <w:sz w:val="24"/>
          <w:lang w:val="ro-RO"/>
        </w:rPr>
        <w:t>bottom</w:t>
      </w:r>
      <w:r w:rsidRPr="009C5F11">
        <w:rPr>
          <w:rFonts w:ascii="Times New Roman" w:hAnsi="Times New Roman" w:cs="Times New Roman"/>
          <w:sz w:val="24"/>
          <w:lang w:val="ro-RO"/>
        </w:rPr>
        <w:t>-</w:t>
      </w:r>
      <w:r w:rsidR="00080E82" w:rsidRPr="009C5F11">
        <w:rPr>
          <w:rFonts w:ascii="Times New Roman" w:hAnsi="Times New Roman" w:cs="Times New Roman"/>
          <w:sz w:val="24"/>
          <w:lang w:val="ro-RO"/>
        </w:rPr>
        <w:t>up.</w:t>
      </w:r>
    </w:p>
    <w:p w14:paraId="6E0DE2BC" w14:textId="77777777" w:rsidR="00BF7FFC" w:rsidRPr="009C5F11" w:rsidRDefault="00603E5B"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Metoda bottom-up a fost utilizată pentru evaluarea </w:t>
      </w:r>
      <w:r w:rsidR="003A5D93" w:rsidRPr="009C5F11">
        <w:rPr>
          <w:rFonts w:ascii="Times New Roman" w:hAnsi="Times New Roman" w:cs="Times New Roman"/>
          <w:sz w:val="24"/>
          <w:lang w:val="ro-RO"/>
        </w:rPr>
        <w:t>măsurilor</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care au </w:t>
      </w:r>
      <w:r w:rsidR="006932C8" w:rsidRPr="009C5F11">
        <w:rPr>
          <w:rFonts w:ascii="Times New Roman" w:hAnsi="Times New Roman" w:cs="Times New Roman"/>
          <w:sz w:val="24"/>
          <w:lang w:val="ro-RO"/>
        </w:rPr>
        <w:t>generat</w:t>
      </w:r>
      <w:r w:rsidRPr="009C5F11">
        <w:rPr>
          <w:rFonts w:ascii="Times New Roman" w:hAnsi="Times New Roman" w:cs="Times New Roman"/>
          <w:sz w:val="24"/>
          <w:lang w:val="ro-RO"/>
        </w:rPr>
        <w:t xml:space="preserve"> sau se preconizează să genereze rezultate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Dat fiind faptul că sursele de </w:t>
      </w:r>
      <w:r w:rsidR="00B40A7C" w:rsidRPr="009C5F11">
        <w:rPr>
          <w:rFonts w:ascii="Times New Roman" w:hAnsi="Times New Roman" w:cs="Times New Roman"/>
          <w:sz w:val="24"/>
          <w:lang w:val="ro-RO"/>
        </w:rPr>
        <w:t>informaţii</w:t>
      </w:r>
      <w:r w:rsidR="002733CB" w:rsidRPr="009C5F11">
        <w:rPr>
          <w:rFonts w:ascii="Times New Roman" w:hAnsi="Times New Roman" w:cs="Times New Roman"/>
          <w:sz w:val="24"/>
          <w:lang w:val="ro-RO"/>
        </w:rPr>
        <w:t xml:space="preserve"> </w:t>
      </w:r>
      <w:r w:rsidR="006932C8" w:rsidRPr="009C5F11">
        <w:rPr>
          <w:rFonts w:ascii="Times New Roman" w:hAnsi="Times New Roman" w:cs="Times New Roman"/>
          <w:sz w:val="24"/>
          <w:lang w:val="ro-RO"/>
        </w:rPr>
        <w:t>sunt</w:t>
      </w:r>
      <w:r w:rsidRPr="009C5F11">
        <w:rPr>
          <w:rFonts w:ascii="Times New Roman" w:hAnsi="Times New Roman" w:cs="Times New Roman"/>
          <w:sz w:val="24"/>
          <w:lang w:val="ro-RO"/>
        </w:rPr>
        <w:t xml:space="preserve"> diverse, a fost ne</w:t>
      </w:r>
      <w:r w:rsidR="0039712C" w:rsidRPr="009C5F11">
        <w:rPr>
          <w:rFonts w:ascii="Times New Roman" w:hAnsi="Times New Roman" w:cs="Times New Roman"/>
          <w:sz w:val="24"/>
          <w:lang w:val="ro-RO"/>
        </w:rPr>
        <w:t>cesara verificarea incrucişată</w:t>
      </w:r>
      <w:r w:rsidRPr="009C5F11">
        <w:rPr>
          <w:rFonts w:ascii="Times New Roman" w:hAnsi="Times New Roman" w:cs="Times New Roman"/>
          <w:sz w:val="24"/>
          <w:lang w:val="ro-RO"/>
        </w:rPr>
        <w:t>. Deşi accesul la date</w:t>
      </w:r>
      <w:r w:rsidR="006932C8" w:rsidRPr="009C5F11">
        <w:rPr>
          <w:rFonts w:ascii="Times New Roman" w:hAnsi="Times New Roman" w:cs="Times New Roman"/>
          <w:sz w:val="24"/>
          <w:lang w:val="ro-RO"/>
        </w:rPr>
        <w:t>le</w:t>
      </w:r>
      <w:r w:rsidRPr="009C5F11">
        <w:rPr>
          <w:rFonts w:ascii="Times New Roman" w:hAnsi="Times New Roman" w:cs="Times New Roman"/>
          <w:sz w:val="24"/>
          <w:lang w:val="ro-RO"/>
        </w:rPr>
        <w:t xml:space="preserve"> primare a fost destul de limitat, calculul s-a bazat pe </w:t>
      </w:r>
      <w:r w:rsidR="007F6775" w:rsidRPr="009C5F11">
        <w:rPr>
          <w:rFonts w:ascii="Times New Roman" w:hAnsi="Times New Roman" w:cs="Times New Roman"/>
          <w:sz w:val="24"/>
          <w:lang w:val="ro-RO"/>
        </w:rPr>
        <w:t>raportarea</w:t>
      </w:r>
      <w:r w:rsidR="002733CB"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economii</w:t>
      </w:r>
      <w:r w:rsidRPr="009C5F11">
        <w:rPr>
          <w:rFonts w:ascii="Times New Roman" w:hAnsi="Times New Roman" w:cs="Times New Roman"/>
          <w:sz w:val="24"/>
          <w:lang w:val="ro-RO"/>
        </w:rPr>
        <w:t>lor</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iar </w:t>
      </w:r>
      <w:r w:rsidR="00B40A7C" w:rsidRPr="009C5F11">
        <w:rPr>
          <w:rFonts w:ascii="Times New Roman" w:hAnsi="Times New Roman" w:cs="Times New Roman"/>
          <w:sz w:val="24"/>
          <w:lang w:val="ro-RO"/>
        </w:rPr>
        <w:t>informaţii</w:t>
      </w:r>
      <w:r w:rsidRPr="009C5F11">
        <w:rPr>
          <w:rFonts w:ascii="Times New Roman" w:hAnsi="Times New Roman" w:cs="Times New Roman"/>
          <w:sz w:val="24"/>
          <w:lang w:val="ro-RO"/>
        </w:rPr>
        <w:t xml:space="preserve">le suplimentare au fost invocate pentru realizarea </w:t>
      </w:r>
      <w:r w:rsidR="0039712C" w:rsidRPr="009C5F11">
        <w:rPr>
          <w:rFonts w:ascii="Times New Roman" w:hAnsi="Times New Roman" w:cs="Times New Roman"/>
          <w:sz w:val="24"/>
          <w:lang w:val="ro-RO"/>
        </w:rPr>
        <w:t>verificării</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Pentru calcule au fost utilizate cele mai sigure date colectate de </w:t>
      </w:r>
      <w:r w:rsidR="00AA0566" w:rsidRPr="009C5F11">
        <w:rPr>
          <w:rFonts w:ascii="Times New Roman" w:hAnsi="Times New Roman" w:cs="Times New Roman"/>
          <w:sz w:val="24"/>
          <w:lang w:val="ro-RO"/>
        </w:rPr>
        <w:t>AEE</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prin intermediul sistemului de raportare existent </w:t>
      </w:r>
      <w:r w:rsidR="00321CD5" w:rsidRPr="009C5F11">
        <w:rPr>
          <w:rFonts w:ascii="Times New Roman" w:hAnsi="Times New Roman" w:cs="Times New Roman"/>
          <w:sz w:val="24"/>
          <w:lang w:val="ro-RO"/>
        </w:rPr>
        <w:t xml:space="preserve">şi </w:t>
      </w:r>
      <w:r w:rsidRPr="009C5F11">
        <w:rPr>
          <w:rFonts w:ascii="Times New Roman" w:hAnsi="Times New Roman" w:cs="Times New Roman"/>
          <w:sz w:val="24"/>
          <w:lang w:val="ro-RO"/>
        </w:rPr>
        <w:t>în conformitate cu</w:t>
      </w:r>
      <w:r w:rsidR="002733CB"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cerinţele</w:t>
      </w:r>
      <w:r w:rsidR="002733CB" w:rsidRPr="009C5F11">
        <w:rPr>
          <w:rFonts w:ascii="Times New Roman" w:hAnsi="Times New Roman" w:cs="Times New Roman"/>
          <w:sz w:val="24"/>
          <w:lang w:val="ro-RO"/>
        </w:rPr>
        <w:t xml:space="preserve"> legislative imp</w:t>
      </w:r>
      <w:r w:rsidRPr="009C5F11">
        <w:rPr>
          <w:rFonts w:ascii="Times New Roman" w:hAnsi="Times New Roman" w:cs="Times New Roman"/>
          <w:sz w:val="24"/>
          <w:lang w:val="ro-RO"/>
        </w:rPr>
        <w:t>use</w:t>
      </w:r>
      <w:r w:rsidR="002733CB" w:rsidRPr="009C5F11">
        <w:rPr>
          <w:rFonts w:ascii="Times New Roman" w:hAnsi="Times New Roman" w:cs="Times New Roman"/>
          <w:sz w:val="24"/>
          <w:lang w:val="ro-RO"/>
        </w:rPr>
        <w:t xml:space="preserve"> </w:t>
      </w:r>
      <w:r w:rsidR="004000CC" w:rsidRPr="009C5F11">
        <w:rPr>
          <w:rFonts w:ascii="Times New Roman" w:hAnsi="Times New Roman" w:cs="Times New Roman"/>
          <w:sz w:val="24"/>
          <w:lang w:val="ro-RO"/>
        </w:rPr>
        <w:t>operatori</w:t>
      </w:r>
      <w:r w:rsidRPr="009C5F11">
        <w:rPr>
          <w:rFonts w:ascii="Times New Roman" w:hAnsi="Times New Roman" w:cs="Times New Roman"/>
          <w:sz w:val="24"/>
          <w:lang w:val="ro-RO"/>
        </w:rPr>
        <w:t>lor</w:t>
      </w:r>
      <w:r w:rsidR="002733CB" w:rsidRPr="009C5F11">
        <w:rPr>
          <w:rFonts w:ascii="Times New Roman" w:hAnsi="Times New Roman" w:cs="Times New Roman"/>
          <w:sz w:val="24"/>
          <w:lang w:val="ro-RO"/>
        </w:rPr>
        <w:t xml:space="preserve">. </w:t>
      </w:r>
      <w:r w:rsidR="0039712C" w:rsidRPr="009C5F11">
        <w:rPr>
          <w:rFonts w:ascii="Times New Roman" w:hAnsi="Times New Roman" w:cs="Times New Roman"/>
          <w:sz w:val="24"/>
          <w:lang w:val="ro-RO"/>
        </w:rPr>
        <w:t xml:space="preserve">Verificarea </w:t>
      </w:r>
      <w:r w:rsidRPr="009C5F11">
        <w:rPr>
          <w:rFonts w:ascii="Times New Roman" w:hAnsi="Times New Roman" w:cs="Times New Roman"/>
          <w:sz w:val="24"/>
          <w:lang w:val="ro-RO"/>
        </w:rPr>
        <w:t xml:space="preserve">s-a realizat cu datele </w:t>
      </w:r>
      <w:r w:rsidR="002733CB" w:rsidRPr="009C5F11">
        <w:rPr>
          <w:rFonts w:ascii="Times New Roman" w:hAnsi="Times New Roman" w:cs="Times New Roman"/>
          <w:sz w:val="24"/>
          <w:lang w:val="ro-RO"/>
        </w:rPr>
        <w:t>publi</w:t>
      </w:r>
      <w:r w:rsidRPr="009C5F11">
        <w:rPr>
          <w:rFonts w:ascii="Times New Roman" w:hAnsi="Times New Roman" w:cs="Times New Roman"/>
          <w:sz w:val="24"/>
          <w:lang w:val="ro-RO"/>
        </w:rPr>
        <w:t>cate de</w:t>
      </w:r>
      <w:r w:rsidR="002733CB" w:rsidRPr="009C5F11">
        <w:rPr>
          <w:rFonts w:ascii="Times New Roman" w:hAnsi="Times New Roman" w:cs="Times New Roman"/>
          <w:sz w:val="24"/>
          <w:lang w:val="ro-RO"/>
        </w:rPr>
        <w:t xml:space="preserve"> </w:t>
      </w:r>
      <w:r w:rsidR="004000CC" w:rsidRPr="009C5F11">
        <w:rPr>
          <w:rFonts w:ascii="Times New Roman" w:hAnsi="Times New Roman" w:cs="Times New Roman"/>
          <w:sz w:val="24"/>
          <w:lang w:val="ro-RO"/>
        </w:rPr>
        <w:t>operatori</w:t>
      </w:r>
      <w:r w:rsidRPr="009C5F11">
        <w:rPr>
          <w:rFonts w:ascii="Times New Roman" w:hAnsi="Times New Roman" w:cs="Times New Roman"/>
          <w:sz w:val="24"/>
          <w:lang w:val="ro-RO"/>
        </w:rPr>
        <w:t xml:space="preserve">, </w:t>
      </w:r>
      <w:r w:rsidR="00E85EF7" w:rsidRPr="009C5F11">
        <w:rPr>
          <w:rFonts w:ascii="Times New Roman" w:hAnsi="Times New Roman" w:cs="Times New Roman"/>
          <w:sz w:val="24"/>
          <w:lang w:val="ro-RO"/>
        </w:rPr>
        <w:t>folosind</w:t>
      </w:r>
      <w:r w:rsidRPr="009C5F11">
        <w:rPr>
          <w:rFonts w:ascii="Times New Roman" w:hAnsi="Times New Roman" w:cs="Times New Roman"/>
          <w:sz w:val="24"/>
          <w:lang w:val="ro-RO"/>
        </w:rPr>
        <w:t xml:space="preserve"> canalele media proprii</w:t>
      </w:r>
      <w:r w:rsidR="002733CB" w:rsidRPr="009C5F11">
        <w:rPr>
          <w:rFonts w:ascii="Times New Roman" w:hAnsi="Times New Roman" w:cs="Times New Roman"/>
          <w:sz w:val="24"/>
          <w:lang w:val="ro-RO"/>
        </w:rPr>
        <w:t xml:space="preserve">. </w:t>
      </w:r>
    </w:p>
    <w:p w14:paraId="3D32A45C" w14:textId="77777777" w:rsidR="00BF7FFC" w:rsidRPr="009C5F11" w:rsidRDefault="00603E5B"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Atunci când sunt utilizate diferite surse de </w:t>
      </w:r>
      <w:r w:rsidR="00B40A7C" w:rsidRPr="009C5F11">
        <w:rPr>
          <w:rFonts w:ascii="Times New Roman" w:hAnsi="Times New Roman" w:cs="Times New Roman"/>
          <w:sz w:val="24"/>
          <w:lang w:val="ro-RO"/>
        </w:rPr>
        <w:t>informaţii</w:t>
      </w:r>
      <w:r w:rsidR="00200695" w:rsidRPr="009C5F11">
        <w:rPr>
          <w:rFonts w:ascii="Times New Roman" w:hAnsi="Times New Roman" w:cs="Times New Roman"/>
          <w:sz w:val="24"/>
          <w:lang w:val="ro-RO"/>
        </w:rPr>
        <w:t xml:space="preserve">, </w:t>
      </w:r>
      <w:r w:rsidR="003D35EE" w:rsidRPr="009C5F11">
        <w:rPr>
          <w:rFonts w:ascii="Times New Roman" w:hAnsi="Times New Roman" w:cs="Times New Roman"/>
          <w:sz w:val="24"/>
          <w:lang w:val="ro-RO"/>
        </w:rPr>
        <w:t xml:space="preserve">metoda de </w:t>
      </w:r>
      <w:r w:rsidR="00200695" w:rsidRPr="009C5F11">
        <w:rPr>
          <w:rFonts w:ascii="Times New Roman" w:hAnsi="Times New Roman" w:cs="Times New Roman"/>
          <w:sz w:val="24"/>
          <w:lang w:val="ro-RO"/>
        </w:rPr>
        <w:t>calcul</w:t>
      </w:r>
      <w:r w:rsidR="003D35EE" w:rsidRPr="009C5F11">
        <w:rPr>
          <w:rFonts w:ascii="Times New Roman" w:hAnsi="Times New Roman" w:cs="Times New Roman"/>
          <w:sz w:val="24"/>
          <w:lang w:val="ro-RO"/>
        </w:rPr>
        <w:t xml:space="preserve"> încearcă să evite potenţialul calcul dublu</w:t>
      </w:r>
      <w:r w:rsidR="00200695" w:rsidRPr="009C5F11">
        <w:rPr>
          <w:rFonts w:ascii="Times New Roman" w:hAnsi="Times New Roman" w:cs="Times New Roman"/>
          <w:sz w:val="24"/>
          <w:lang w:val="ro-RO"/>
        </w:rPr>
        <w:t xml:space="preserve">. </w:t>
      </w:r>
      <w:r w:rsidR="003D35EE" w:rsidRPr="009C5F11">
        <w:rPr>
          <w:rFonts w:ascii="Times New Roman" w:hAnsi="Times New Roman" w:cs="Times New Roman"/>
          <w:sz w:val="24"/>
          <w:lang w:val="ro-RO"/>
        </w:rPr>
        <w:t xml:space="preserve">În cazul în care datele despre </w:t>
      </w:r>
      <w:r w:rsidR="004424A0" w:rsidRPr="009C5F11">
        <w:rPr>
          <w:rFonts w:ascii="Times New Roman" w:hAnsi="Times New Roman" w:cs="Times New Roman"/>
          <w:sz w:val="24"/>
          <w:lang w:val="ro-RO"/>
        </w:rPr>
        <w:t>economii</w:t>
      </w:r>
      <w:r w:rsidR="003D35EE" w:rsidRPr="009C5F11">
        <w:rPr>
          <w:rFonts w:ascii="Times New Roman" w:hAnsi="Times New Roman" w:cs="Times New Roman"/>
          <w:sz w:val="24"/>
          <w:lang w:val="ro-RO"/>
        </w:rPr>
        <w:t>le</w:t>
      </w:r>
      <w:r w:rsidR="004424A0" w:rsidRPr="009C5F11">
        <w:rPr>
          <w:rFonts w:ascii="Times New Roman" w:hAnsi="Times New Roman" w:cs="Times New Roman"/>
          <w:sz w:val="24"/>
          <w:lang w:val="ro-RO"/>
        </w:rPr>
        <w:t xml:space="preserve"> de energie</w:t>
      </w:r>
      <w:r w:rsidR="00200695" w:rsidRPr="009C5F11">
        <w:rPr>
          <w:rFonts w:ascii="Times New Roman" w:hAnsi="Times New Roman" w:cs="Times New Roman"/>
          <w:sz w:val="24"/>
          <w:lang w:val="ro-RO"/>
        </w:rPr>
        <w:t xml:space="preserve"> </w:t>
      </w:r>
      <w:r w:rsidR="003D35EE" w:rsidRPr="009C5F11">
        <w:rPr>
          <w:rFonts w:ascii="Times New Roman" w:hAnsi="Times New Roman" w:cs="Times New Roman"/>
          <w:sz w:val="24"/>
          <w:lang w:val="ro-RO"/>
        </w:rPr>
        <w:t>nu sunt suficiente</w:t>
      </w:r>
      <w:r w:rsidR="00200695" w:rsidRPr="009C5F11">
        <w:rPr>
          <w:rFonts w:ascii="Times New Roman" w:hAnsi="Times New Roman" w:cs="Times New Roman"/>
          <w:sz w:val="24"/>
          <w:lang w:val="ro-RO"/>
        </w:rPr>
        <w:t xml:space="preserve">, </w:t>
      </w:r>
      <w:r w:rsidR="003D35EE" w:rsidRPr="009C5F11">
        <w:rPr>
          <w:rFonts w:ascii="Times New Roman" w:hAnsi="Times New Roman" w:cs="Times New Roman"/>
          <w:sz w:val="24"/>
          <w:lang w:val="ro-RO"/>
        </w:rPr>
        <w:t xml:space="preserve">sunt utilizate alte date despre consumul de energie, obiectivele </w:t>
      </w:r>
      <w:r w:rsidR="00200695" w:rsidRPr="009C5F11">
        <w:rPr>
          <w:rFonts w:ascii="Times New Roman" w:hAnsi="Times New Roman" w:cs="Times New Roman"/>
          <w:sz w:val="24"/>
          <w:lang w:val="ro-RO"/>
        </w:rPr>
        <w:t>individual</w:t>
      </w:r>
      <w:r w:rsidR="003D35EE" w:rsidRPr="009C5F11">
        <w:rPr>
          <w:rFonts w:ascii="Times New Roman" w:hAnsi="Times New Roman" w:cs="Times New Roman"/>
          <w:sz w:val="24"/>
          <w:lang w:val="ro-RO"/>
        </w:rPr>
        <w:t>e</w:t>
      </w:r>
      <w:r w:rsidR="00200695" w:rsidRPr="009C5F11">
        <w:rPr>
          <w:rFonts w:ascii="Times New Roman" w:hAnsi="Times New Roman" w:cs="Times New Roman"/>
          <w:sz w:val="24"/>
          <w:lang w:val="ro-RO"/>
        </w:rPr>
        <w:t>/</w:t>
      </w:r>
      <w:r w:rsidR="00B40A7C" w:rsidRPr="009C5F11">
        <w:rPr>
          <w:rFonts w:ascii="Times New Roman" w:hAnsi="Times New Roman" w:cs="Times New Roman"/>
          <w:sz w:val="24"/>
          <w:lang w:val="ro-RO"/>
        </w:rPr>
        <w:t>naţional</w:t>
      </w:r>
      <w:r w:rsidR="003D35EE" w:rsidRPr="009C5F11">
        <w:rPr>
          <w:rFonts w:ascii="Times New Roman" w:hAnsi="Times New Roman" w:cs="Times New Roman"/>
          <w:sz w:val="24"/>
          <w:lang w:val="ro-RO"/>
        </w:rPr>
        <w:t>e</w:t>
      </w:r>
      <w:r w:rsidR="00200695" w:rsidRPr="009C5F11">
        <w:rPr>
          <w:rFonts w:ascii="Times New Roman" w:hAnsi="Times New Roman" w:cs="Times New Roman"/>
          <w:sz w:val="24"/>
          <w:lang w:val="ro-RO"/>
        </w:rPr>
        <w:t xml:space="preserve">, </w:t>
      </w:r>
      <w:r w:rsidR="003D35EE" w:rsidRPr="009C5F11">
        <w:rPr>
          <w:rFonts w:ascii="Times New Roman" w:hAnsi="Times New Roman" w:cs="Times New Roman"/>
          <w:sz w:val="24"/>
          <w:lang w:val="ro-RO"/>
        </w:rPr>
        <w:t xml:space="preserve">finanţarea </w:t>
      </w:r>
      <w:r w:rsidR="00E10BE5" w:rsidRPr="009C5F11">
        <w:rPr>
          <w:rFonts w:ascii="Times New Roman" w:hAnsi="Times New Roman" w:cs="Times New Roman"/>
          <w:sz w:val="24"/>
          <w:lang w:val="ro-RO"/>
        </w:rPr>
        <w:t>proiecte</w:t>
      </w:r>
      <w:r w:rsidR="003D35EE" w:rsidRPr="009C5F11">
        <w:rPr>
          <w:rFonts w:ascii="Times New Roman" w:hAnsi="Times New Roman" w:cs="Times New Roman"/>
          <w:sz w:val="24"/>
          <w:lang w:val="ro-RO"/>
        </w:rPr>
        <w:t>lor, etc.</w:t>
      </w:r>
      <w:r w:rsidR="00200695" w:rsidRPr="009C5F11">
        <w:rPr>
          <w:rFonts w:ascii="Times New Roman" w:hAnsi="Times New Roman" w:cs="Times New Roman"/>
          <w:sz w:val="24"/>
          <w:lang w:val="ro-RO"/>
        </w:rPr>
        <w:t xml:space="preserve"> </w:t>
      </w:r>
      <w:r w:rsidR="003D35EE" w:rsidRPr="009C5F11">
        <w:rPr>
          <w:rFonts w:ascii="Times New Roman" w:hAnsi="Times New Roman" w:cs="Times New Roman"/>
          <w:sz w:val="24"/>
          <w:lang w:val="ro-RO"/>
        </w:rPr>
        <w:t xml:space="preserve">Calculul a relevat existenţa unor surse numeroase de finanţare ceea ce face credibilă </w:t>
      </w:r>
      <w:r w:rsidR="006932C8" w:rsidRPr="009C5F11">
        <w:rPr>
          <w:rFonts w:ascii="Times New Roman" w:hAnsi="Times New Roman" w:cs="Times New Roman"/>
          <w:sz w:val="24"/>
          <w:lang w:val="ro-RO"/>
        </w:rPr>
        <w:t>previziunea</w:t>
      </w:r>
      <w:r w:rsidR="003D35EE" w:rsidRPr="009C5F11">
        <w:rPr>
          <w:rFonts w:ascii="Times New Roman" w:hAnsi="Times New Roman" w:cs="Times New Roman"/>
          <w:sz w:val="24"/>
          <w:lang w:val="ro-RO"/>
        </w:rPr>
        <w:t xml:space="preserve"> unor economii adiţionale </w:t>
      </w:r>
      <w:r w:rsidR="00D62784" w:rsidRPr="009C5F11">
        <w:rPr>
          <w:rFonts w:ascii="Times New Roman" w:hAnsi="Times New Roman" w:cs="Times New Roman"/>
          <w:sz w:val="24"/>
          <w:lang w:val="ro-RO"/>
        </w:rPr>
        <w:t>în conformitate cu</w:t>
      </w:r>
      <w:r w:rsidR="00200695"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003D35EE" w:rsidRPr="009C5F11">
        <w:rPr>
          <w:rFonts w:ascii="Times New Roman" w:hAnsi="Times New Roman" w:cs="Times New Roman"/>
          <w:sz w:val="24"/>
          <w:lang w:val="ro-RO"/>
        </w:rPr>
        <w:t>le relevante</w:t>
      </w:r>
      <w:r w:rsidR="00200695" w:rsidRPr="009C5F11">
        <w:rPr>
          <w:rFonts w:ascii="Times New Roman" w:hAnsi="Times New Roman" w:cs="Times New Roman"/>
          <w:sz w:val="24"/>
          <w:lang w:val="ro-RO"/>
        </w:rPr>
        <w:t xml:space="preserve">. </w:t>
      </w:r>
      <w:r w:rsidR="003D35EE" w:rsidRPr="009C5F11">
        <w:rPr>
          <w:rFonts w:ascii="Times New Roman" w:hAnsi="Times New Roman" w:cs="Times New Roman"/>
          <w:sz w:val="24"/>
          <w:lang w:val="ro-RO"/>
        </w:rPr>
        <w:t>Se poate presupune, totuşi, că nu toate sursele de finanţare identificate vor aloca integral sumele declarate de finanţare.</w:t>
      </w:r>
    </w:p>
    <w:p w14:paraId="582E7641" w14:textId="5AD8439F" w:rsidR="00D43180" w:rsidRPr="009C5F11" w:rsidRDefault="003D35EE"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Atingerea reală a </w:t>
      </w:r>
      <w:r w:rsidR="00E85EF7" w:rsidRPr="009C5F11">
        <w:rPr>
          <w:rFonts w:ascii="Times New Roman" w:hAnsi="Times New Roman" w:cs="Times New Roman"/>
          <w:sz w:val="24"/>
          <w:lang w:val="ro-RO"/>
        </w:rPr>
        <w:t>obiectivului</w:t>
      </w:r>
      <w:r w:rsidRPr="009C5F11">
        <w:rPr>
          <w:rFonts w:ascii="Times New Roman" w:hAnsi="Times New Roman" w:cs="Times New Roman"/>
          <w:sz w:val="24"/>
          <w:lang w:val="ro-RO"/>
        </w:rPr>
        <w:t xml:space="preserve"> de reducere a consumului de energie depinde de capacitatea autorităţilor de a elabora şi pune în aplicare legislaţia necesară</w:t>
      </w:r>
      <w:r w:rsidR="00BC13A5" w:rsidRPr="009C5F11">
        <w:rPr>
          <w:rFonts w:ascii="Times New Roman" w:hAnsi="Times New Roman" w:cs="Times New Roman"/>
          <w:sz w:val="24"/>
          <w:lang w:val="ro-RO"/>
        </w:rPr>
        <w:t>,</w:t>
      </w:r>
      <w:r w:rsidR="00200695"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precum şi</w:t>
      </w:r>
      <w:r w:rsidR="00200695" w:rsidRPr="009C5F11">
        <w:rPr>
          <w:rFonts w:ascii="Times New Roman" w:hAnsi="Times New Roman" w:cs="Times New Roman"/>
          <w:sz w:val="24"/>
          <w:lang w:val="ro-RO"/>
        </w:rPr>
        <w:t xml:space="preserve"> </w:t>
      </w:r>
      <w:r w:rsidR="006932C8" w:rsidRPr="009C5F11">
        <w:rPr>
          <w:rFonts w:ascii="Times New Roman" w:hAnsi="Times New Roman" w:cs="Times New Roman"/>
          <w:sz w:val="24"/>
          <w:lang w:val="ro-RO"/>
        </w:rPr>
        <w:t>de capacitatea i</w:t>
      </w:r>
      <w:r w:rsidRPr="009C5F11">
        <w:rPr>
          <w:rFonts w:ascii="Times New Roman" w:hAnsi="Times New Roman" w:cs="Times New Roman"/>
          <w:sz w:val="24"/>
          <w:lang w:val="ro-RO"/>
        </w:rPr>
        <w:t xml:space="preserve">nstituţională disponibilă pentru a începe în timp util şi gestiona adecvat </w:t>
      </w:r>
      <w:r w:rsidR="00CD7240" w:rsidRPr="009C5F11">
        <w:rPr>
          <w:rFonts w:ascii="Times New Roman" w:hAnsi="Times New Roman" w:cs="Times New Roman"/>
          <w:sz w:val="24"/>
          <w:lang w:val="ro-RO"/>
        </w:rPr>
        <w:t>proiect</w:t>
      </w:r>
      <w:r w:rsidRPr="009C5F11">
        <w:rPr>
          <w:rFonts w:ascii="Times New Roman" w:hAnsi="Times New Roman" w:cs="Times New Roman"/>
          <w:sz w:val="24"/>
          <w:lang w:val="ro-RO"/>
        </w:rPr>
        <w:t xml:space="preserve">ele ce ar genera </w:t>
      </w:r>
      <w:r w:rsidR="004424A0" w:rsidRPr="009C5F11">
        <w:rPr>
          <w:rFonts w:ascii="Times New Roman" w:hAnsi="Times New Roman" w:cs="Times New Roman"/>
          <w:sz w:val="24"/>
          <w:lang w:val="ro-RO"/>
        </w:rPr>
        <w:t xml:space="preserve">economii </w:t>
      </w:r>
      <w:r w:rsidRPr="009C5F11">
        <w:rPr>
          <w:rFonts w:ascii="Times New Roman" w:hAnsi="Times New Roman" w:cs="Times New Roman"/>
          <w:sz w:val="24"/>
          <w:lang w:val="ro-RO"/>
        </w:rPr>
        <w:t xml:space="preserve">reale </w:t>
      </w:r>
      <w:r w:rsidR="004424A0" w:rsidRPr="009C5F11">
        <w:rPr>
          <w:rFonts w:ascii="Times New Roman" w:hAnsi="Times New Roman" w:cs="Times New Roman"/>
          <w:sz w:val="24"/>
          <w:lang w:val="ro-RO"/>
        </w:rPr>
        <w:t>de energie</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viitor</w:t>
      </w:r>
      <w:r w:rsidR="00200695" w:rsidRPr="009C5F11">
        <w:rPr>
          <w:rFonts w:ascii="Times New Roman" w:hAnsi="Times New Roman" w:cs="Times New Roman"/>
          <w:sz w:val="24"/>
          <w:lang w:val="ro-RO"/>
        </w:rPr>
        <w:t>.</w:t>
      </w:r>
    </w:p>
    <w:p w14:paraId="097B8F9B" w14:textId="77777777" w:rsidR="00936847" w:rsidRPr="00D9464A" w:rsidRDefault="002733CB" w:rsidP="00AF0AD0">
      <w:pPr>
        <w:pStyle w:val="Titlu3"/>
        <w:rPr>
          <w:rFonts w:ascii="Times New Roman" w:hAnsi="Times New Roman" w:cs="Times New Roman"/>
          <w:b/>
          <w:sz w:val="32"/>
          <w:lang w:val="ro-RO"/>
        </w:rPr>
      </w:pPr>
      <w:r w:rsidRPr="009C5F11">
        <w:rPr>
          <w:rFonts w:ascii="Times New Roman" w:hAnsi="Times New Roman" w:cs="Times New Roman"/>
          <w:sz w:val="32"/>
          <w:lang w:val="ro-RO" w:eastAsia="de-DE"/>
        </w:rPr>
        <w:br w:type="page"/>
      </w:r>
      <w:bookmarkStart w:id="177" w:name="_Toc319555398"/>
      <w:bookmarkStart w:id="178" w:name="_Ref319624461"/>
      <w:bookmarkStart w:id="179" w:name="_Toc322013164"/>
      <w:r w:rsidR="00204033" w:rsidRPr="00D9464A">
        <w:rPr>
          <w:rFonts w:ascii="Times New Roman" w:hAnsi="Times New Roman" w:cs="Times New Roman"/>
          <w:b/>
          <w:color w:val="000000" w:themeColor="text1"/>
          <w:sz w:val="28"/>
          <w:lang w:val="ro-RO"/>
        </w:rPr>
        <w:lastRenderedPageBreak/>
        <w:t>Toate</w:t>
      </w:r>
      <w:r w:rsidR="00936847" w:rsidRPr="00D9464A">
        <w:rPr>
          <w:rFonts w:ascii="Times New Roman" w:hAnsi="Times New Roman" w:cs="Times New Roman"/>
          <w:b/>
          <w:color w:val="000000" w:themeColor="text1"/>
          <w:sz w:val="28"/>
          <w:lang w:val="ro-RO"/>
        </w:rPr>
        <w:t xml:space="preserve"> </w:t>
      </w:r>
      <w:r w:rsidR="00E10BE5" w:rsidRPr="00D9464A">
        <w:rPr>
          <w:rFonts w:ascii="Times New Roman" w:hAnsi="Times New Roman" w:cs="Times New Roman"/>
          <w:b/>
          <w:color w:val="000000" w:themeColor="text1"/>
          <w:sz w:val="28"/>
          <w:lang w:val="ro-RO"/>
        </w:rPr>
        <w:t>măsuri</w:t>
      </w:r>
      <w:bookmarkEnd w:id="177"/>
      <w:bookmarkEnd w:id="178"/>
      <w:r w:rsidR="00204033" w:rsidRPr="00D9464A">
        <w:rPr>
          <w:rFonts w:ascii="Times New Roman" w:hAnsi="Times New Roman" w:cs="Times New Roman"/>
          <w:b/>
          <w:color w:val="000000" w:themeColor="text1"/>
          <w:sz w:val="28"/>
          <w:lang w:val="ro-RO"/>
        </w:rPr>
        <w:t>le individuale</w:t>
      </w:r>
      <w:bookmarkEnd w:id="179"/>
      <w:r w:rsidR="00936847" w:rsidRPr="00D9464A">
        <w:rPr>
          <w:rFonts w:ascii="Times New Roman" w:hAnsi="Times New Roman" w:cs="Times New Roman"/>
          <w:b/>
          <w:color w:val="000000" w:themeColor="text1"/>
          <w:sz w:val="28"/>
          <w:lang w:val="ro-RO"/>
        </w:rPr>
        <w:t xml:space="preserve"> </w:t>
      </w:r>
    </w:p>
    <w:p w14:paraId="6440E7AD" w14:textId="1C6DC91C" w:rsidR="00936847" w:rsidRPr="009C5F11" w:rsidRDefault="00603E5B"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Lista</w:t>
      </w:r>
      <w:r w:rsidR="00936847"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Pr="009C5F11">
        <w:rPr>
          <w:rFonts w:ascii="Times New Roman" w:hAnsi="Times New Roman" w:cs="Times New Roman"/>
          <w:sz w:val="24"/>
          <w:lang w:val="ro-RO"/>
        </w:rPr>
        <w:t>lor</w:t>
      </w:r>
      <w:r w:rsidR="00321CD5" w:rsidRPr="009C5F11">
        <w:rPr>
          <w:rFonts w:ascii="Times New Roman" w:hAnsi="Times New Roman" w:cs="Times New Roman"/>
          <w:sz w:val="24"/>
          <w:lang w:val="ro-RO"/>
        </w:rPr>
        <w:t xml:space="preserve"> şi </w:t>
      </w:r>
      <w:r w:rsidR="00421FA7" w:rsidRPr="009C5F11">
        <w:rPr>
          <w:rFonts w:ascii="Times New Roman" w:hAnsi="Times New Roman" w:cs="Times New Roman"/>
          <w:sz w:val="24"/>
          <w:lang w:val="ro-RO"/>
        </w:rPr>
        <w:t>programe</w:t>
      </w:r>
      <w:r w:rsidRPr="009C5F11">
        <w:rPr>
          <w:rFonts w:ascii="Times New Roman" w:hAnsi="Times New Roman" w:cs="Times New Roman"/>
          <w:sz w:val="24"/>
          <w:lang w:val="ro-RO"/>
        </w:rPr>
        <w:t>lor de reducere a consumului de energie</w:t>
      </w:r>
      <w:r w:rsidR="00936847"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propuse</w:t>
      </w:r>
      <w:r w:rsidR="00936847"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pentru actualul</w:t>
      </w:r>
      <w:r w:rsidR="00936847" w:rsidRPr="009C5F11">
        <w:rPr>
          <w:rFonts w:ascii="Times New Roman" w:hAnsi="Times New Roman" w:cs="Times New Roman"/>
          <w:sz w:val="24"/>
          <w:lang w:val="ro-RO"/>
        </w:rPr>
        <w:t xml:space="preserve"> </w:t>
      </w:r>
      <w:r w:rsidR="00872DC2" w:rsidRPr="009C5F11">
        <w:rPr>
          <w:rFonts w:ascii="Times New Roman" w:hAnsi="Times New Roman" w:cs="Times New Roman"/>
          <w:sz w:val="24"/>
          <w:lang w:val="ro-RO"/>
        </w:rPr>
        <w:t>PNAEE</w:t>
      </w:r>
      <w:r w:rsidR="00936847" w:rsidRPr="009C5F11">
        <w:rPr>
          <w:rFonts w:ascii="Times New Roman" w:hAnsi="Times New Roman" w:cs="Times New Roman"/>
          <w:sz w:val="24"/>
          <w:lang w:val="ro-RO"/>
        </w:rPr>
        <w:t xml:space="preserve"> 2016-2018</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care</w:t>
      </w:r>
      <w:r w:rsidR="00936847" w:rsidRPr="009C5F11">
        <w:rPr>
          <w:rFonts w:ascii="Times New Roman" w:hAnsi="Times New Roman" w:cs="Times New Roman"/>
          <w:sz w:val="24"/>
          <w:lang w:val="ro-RO"/>
        </w:rPr>
        <w:t xml:space="preserve"> </w:t>
      </w:r>
      <w:r w:rsidR="00EF3197" w:rsidRPr="009C5F11">
        <w:rPr>
          <w:rFonts w:ascii="Times New Roman" w:hAnsi="Times New Roman" w:cs="Times New Roman"/>
          <w:sz w:val="24"/>
          <w:lang w:val="ro-RO"/>
        </w:rPr>
        <w:t xml:space="preserve">ar </w:t>
      </w:r>
      <w:r w:rsidR="00936847" w:rsidRPr="009C5F11">
        <w:rPr>
          <w:rFonts w:ascii="Times New Roman" w:hAnsi="Times New Roman" w:cs="Times New Roman"/>
          <w:sz w:val="24"/>
          <w:lang w:val="ro-RO"/>
        </w:rPr>
        <w:t>contribu</w:t>
      </w:r>
      <w:r w:rsidRPr="009C5F11">
        <w:rPr>
          <w:rFonts w:ascii="Times New Roman" w:hAnsi="Times New Roman" w:cs="Times New Roman"/>
          <w:sz w:val="24"/>
          <w:lang w:val="ro-RO"/>
        </w:rPr>
        <w:t>i</w:t>
      </w:r>
      <w:r w:rsidR="00936847"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la atingerea </w:t>
      </w:r>
      <w:r w:rsidR="00204033" w:rsidRPr="009C5F11">
        <w:rPr>
          <w:rFonts w:ascii="Times New Roman" w:hAnsi="Times New Roman" w:cs="Times New Roman"/>
          <w:sz w:val="24"/>
          <w:lang w:val="ro-RO"/>
        </w:rPr>
        <w:t>obiective</w:t>
      </w:r>
      <w:r w:rsidRPr="009C5F11">
        <w:rPr>
          <w:rFonts w:ascii="Times New Roman" w:hAnsi="Times New Roman" w:cs="Times New Roman"/>
          <w:sz w:val="24"/>
          <w:lang w:val="ro-RO"/>
        </w:rPr>
        <w:t>lor DSE este prezentată</w:t>
      </w:r>
      <w:r w:rsidR="00E46DD7" w:rsidRPr="009C5F11">
        <w:rPr>
          <w:rFonts w:ascii="Times New Roman" w:hAnsi="Times New Roman" w:cs="Times New Roman"/>
          <w:sz w:val="24"/>
          <w:lang w:val="ro-RO"/>
        </w:rPr>
        <w:t xml:space="preserve"> mai jos</w:t>
      </w:r>
      <w:r w:rsidR="00936847" w:rsidRPr="009C5F11">
        <w:rPr>
          <w:rFonts w:ascii="Times New Roman" w:hAnsi="Times New Roman" w:cs="Times New Roman"/>
          <w:sz w:val="24"/>
          <w:lang w:val="ro-RO"/>
        </w:rPr>
        <w:t xml:space="preserve"> </w:t>
      </w:r>
      <w:r w:rsidR="00AF77EE" w:rsidRPr="009C5F11">
        <w:rPr>
          <w:rFonts w:ascii="Times New Roman" w:hAnsi="Times New Roman" w:cs="Times New Roman"/>
          <w:sz w:val="24"/>
          <w:lang w:val="ro-RO"/>
        </w:rPr>
        <w:t>(a se vedea</w:t>
      </w:r>
      <w:r w:rsidR="00936847"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1C7BF0" w:rsidRPr="009C5F11">
        <w:rPr>
          <w:rFonts w:ascii="Times New Roman" w:hAnsi="Times New Roman" w:cs="Times New Roman"/>
          <w:sz w:val="24"/>
          <w:lang w:val="ro-RO"/>
        </w:rPr>
        <w:instrText xml:space="preserve"> REF _Ref319620868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16</w:t>
      </w:r>
      <w:r w:rsidR="003A6ADB" w:rsidRPr="009C5F11">
        <w:rPr>
          <w:rFonts w:ascii="Times New Roman" w:hAnsi="Times New Roman" w:cs="Times New Roman"/>
          <w:sz w:val="24"/>
          <w:lang w:val="ro-RO"/>
        </w:rPr>
        <w:fldChar w:fldCharType="end"/>
      </w:r>
      <w:r w:rsidR="00936847" w:rsidRPr="009C5F11">
        <w:rPr>
          <w:rFonts w:ascii="Times New Roman" w:hAnsi="Times New Roman" w:cs="Times New Roman"/>
          <w:sz w:val="24"/>
          <w:lang w:val="ro-RO"/>
        </w:rPr>
        <w:t xml:space="preserve">). </w:t>
      </w:r>
      <w:r w:rsidR="00D518F0" w:rsidRPr="009C5F11">
        <w:rPr>
          <w:rFonts w:ascii="Times New Roman" w:hAnsi="Times New Roman" w:cs="Times New Roman"/>
          <w:sz w:val="24"/>
          <w:lang w:val="ro-RO"/>
        </w:rPr>
        <w:t>Măsuri</w:t>
      </w:r>
      <w:r w:rsidRPr="009C5F11">
        <w:rPr>
          <w:rFonts w:ascii="Times New Roman" w:hAnsi="Times New Roman" w:cs="Times New Roman"/>
          <w:sz w:val="24"/>
          <w:lang w:val="ro-RO"/>
        </w:rPr>
        <w:t xml:space="preserve">le sunt distribuite pe sectoare şi </w:t>
      </w:r>
      <w:r w:rsidR="0039712C" w:rsidRPr="009C5F11">
        <w:rPr>
          <w:rFonts w:ascii="Times New Roman" w:hAnsi="Times New Roman" w:cs="Times New Roman"/>
          <w:sz w:val="24"/>
          <w:lang w:val="ro-RO"/>
        </w:rPr>
        <w:t>dezvoltate în detaliu</w:t>
      </w:r>
      <w:r w:rsidRPr="009C5F11">
        <w:rPr>
          <w:rFonts w:ascii="Times New Roman" w:hAnsi="Times New Roman" w:cs="Times New Roman"/>
          <w:sz w:val="24"/>
          <w:lang w:val="ro-RO"/>
        </w:rPr>
        <w:t xml:space="preserve"> în </w:t>
      </w:r>
      <w:r w:rsidR="003A5D89" w:rsidRPr="009C5F11">
        <w:rPr>
          <w:rFonts w:ascii="Times New Roman" w:hAnsi="Times New Roman" w:cs="Times New Roman"/>
          <w:sz w:val="24"/>
          <w:lang w:val="ro-RO"/>
        </w:rPr>
        <w:t>Secţiunile</w:t>
      </w:r>
      <w:r w:rsidR="00936847"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1C7BF0" w:rsidRPr="009C5F11">
        <w:rPr>
          <w:rFonts w:ascii="Times New Roman" w:hAnsi="Times New Roman" w:cs="Times New Roman"/>
          <w:sz w:val="24"/>
          <w:lang w:val="ro-RO"/>
        </w:rPr>
        <w:instrText xml:space="preserve"> REF _Ref319620891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3.3.2.1</w:t>
      </w:r>
      <w:r w:rsidR="003A6ADB" w:rsidRPr="009C5F11">
        <w:rPr>
          <w:rFonts w:ascii="Times New Roman" w:hAnsi="Times New Roman" w:cs="Times New Roman"/>
          <w:sz w:val="24"/>
          <w:lang w:val="ro-RO"/>
        </w:rPr>
        <w:fldChar w:fldCharType="end"/>
      </w:r>
      <w:r w:rsidR="00936847" w:rsidRPr="009C5F11">
        <w:rPr>
          <w:rFonts w:ascii="Times New Roman" w:hAnsi="Times New Roman" w:cs="Times New Roman"/>
          <w:sz w:val="24"/>
          <w:lang w:val="ro-RO"/>
        </w:rPr>
        <w:t xml:space="preserve"> – </w:t>
      </w:r>
      <w:r w:rsidR="00DE0BDB" w:rsidRPr="009C5F11">
        <w:rPr>
          <w:rFonts w:ascii="Times New Roman" w:hAnsi="Times New Roman" w:cs="Times New Roman"/>
          <w:sz w:val="24"/>
          <w:lang w:val="ro-RO"/>
        </w:rPr>
        <w:fldChar w:fldCharType="begin"/>
      </w:r>
      <w:r w:rsidR="00DE0BDB" w:rsidRPr="009C5F11">
        <w:rPr>
          <w:rFonts w:ascii="Times New Roman" w:hAnsi="Times New Roman" w:cs="Times New Roman"/>
          <w:sz w:val="24"/>
          <w:lang w:val="ro-RO"/>
        </w:rPr>
        <w:instrText xml:space="preserve"> REF _Ref322011399 \r \h </w:instrText>
      </w:r>
      <w:r w:rsidR="009C5F11" w:rsidRPr="009C5F11">
        <w:rPr>
          <w:rFonts w:ascii="Times New Roman" w:hAnsi="Times New Roman" w:cs="Times New Roman"/>
          <w:sz w:val="24"/>
          <w:lang w:val="ro-RO"/>
        </w:rPr>
        <w:instrText xml:space="preserve"> \* MERGEFORMAT </w:instrText>
      </w:r>
      <w:r w:rsidR="00DE0BDB" w:rsidRPr="009C5F11">
        <w:rPr>
          <w:rFonts w:ascii="Times New Roman" w:hAnsi="Times New Roman" w:cs="Times New Roman"/>
          <w:sz w:val="24"/>
          <w:lang w:val="ro-RO"/>
        </w:rPr>
      </w:r>
      <w:r w:rsidR="00DE0B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3.3.2.7</w:t>
      </w:r>
      <w:r w:rsidR="00DE0BDB" w:rsidRPr="009C5F11">
        <w:rPr>
          <w:rFonts w:ascii="Times New Roman" w:hAnsi="Times New Roman" w:cs="Times New Roman"/>
          <w:sz w:val="24"/>
          <w:lang w:val="ro-RO"/>
        </w:rPr>
        <w:fldChar w:fldCharType="end"/>
      </w:r>
      <w:r w:rsidR="00EF3197" w:rsidRPr="009C5F11">
        <w:rPr>
          <w:rFonts w:ascii="Times New Roman" w:hAnsi="Times New Roman" w:cs="Times New Roman"/>
          <w:sz w:val="24"/>
          <w:lang w:val="ro-RO"/>
        </w:rPr>
        <w:t>.</w:t>
      </w:r>
    </w:p>
    <w:p w14:paraId="2904C4CC" w14:textId="77777777" w:rsidR="007774AD" w:rsidRPr="009C5F11" w:rsidRDefault="007774AD" w:rsidP="0053522A">
      <w:pPr>
        <w:spacing w:before="120" w:after="120" w:line="240" w:lineRule="auto"/>
        <w:jc w:val="both"/>
        <w:textAlignment w:val="baseline"/>
        <w:rPr>
          <w:rFonts w:ascii="Times New Roman" w:hAnsi="Times New Roman" w:cs="Times New Roman"/>
          <w:sz w:val="24"/>
          <w:lang w:val="ro-RO"/>
        </w:rPr>
      </w:pPr>
    </w:p>
    <w:p w14:paraId="36FE7DA2" w14:textId="77777777" w:rsidR="001C7BF0" w:rsidRPr="009C5F11" w:rsidRDefault="00321CD5" w:rsidP="007774AD">
      <w:pPr>
        <w:pStyle w:val="Legend"/>
        <w:keepNext/>
        <w:spacing w:after="120"/>
        <w:jc w:val="center"/>
        <w:rPr>
          <w:rFonts w:ascii="Times New Roman" w:hAnsi="Times New Roman" w:cs="Times New Roman"/>
          <w:sz w:val="22"/>
          <w:lang w:val="ro-RO"/>
        </w:rPr>
      </w:pPr>
      <w:bookmarkStart w:id="180" w:name="_Ref319620868"/>
      <w:bookmarkStart w:id="181" w:name="_Ref319750564"/>
      <w:bookmarkStart w:id="182" w:name="_Toc322013239"/>
      <w:r w:rsidRPr="009C5F11">
        <w:rPr>
          <w:rFonts w:ascii="Times New Roman" w:hAnsi="Times New Roman" w:cs="Times New Roman"/>
          <w:sz w:val="22"/>
          <w:lang w:val="ro-RO"/>
        </w:rPr>
        <w:t>Tabelul</w:t>
      </w:r>
      <w:r w:rsidR="001C7BF0"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1C7BF0"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16</w:t>
      </w:r>
      <w:r w:rsidR="003A6ADB" w:rsidRPr="009C5F11">
        <w:rPr>
          <w:rFonts w:ascii="Times New Roman" w:hAnsi="Times New Roman" w:cs="Times New Roman"/>
          <w:sz w:val="22"/>
          <w:lang w:val="ro-RO"/>
        </w:rPr>
        <w:fldChar w:fldCharType="end"/>
      </w:r>
      <w:bookmarkEnd w:id="180"/>
      <w:r w:rsidR="001C7BF0" w:rsidRPr="009C5F11">
        <w:rPr>
          <w:rFonts w:ascii="Times New Roman" w:hAnsi="Times New Roman" w:cs="Times New Roman"/>
          <w:sz w:val="22"/>
          <w:lang w:val="ro-RO"/>
        </w:rPr>
        <w:t xml:space="preserve"> - </w:t>
      </w:r>
      <w:r w:rsidR="004D0283" w:rsidRPr="009C5F11">
        <w:rPr>
          <w:rFonts w:ascii="Times New Roman" w:hAnsi="Times New Roman" w:cs="Times New Roman"/>
          <w:sz w:val="22"/>
          <w:lang w:val="ro-RO"/>
        </w:rPr>
        <w:t>Privire de ansamblu</w:t>
      </w:r>
      <w:r w:rsidR="001C7BF0" w:rsidRPr="009C5F11">
        <w:rPr>
          <w:rFonts w:ascii="Times New Roman" w:hAnsi="Times New Roman" w:cs="Times New Roman"/>
          <w:sz w:val="22"/>
          <w:lang w:val="ro-RO"/>
        </w:rPr>
        <w:t xml:space="preserve"> </w:t>
      </w:r>
      <w:r w:rsidR="00603E5B" w:rsidRPr="009C5F11">
        <w:rPr>
          <w:rFonts w:ascii="Times New Roman" w:hAnsi="Times New Roman" w:cs="Times New Roman"/>
          <w:sz w:val="22"/>
          <w:lang w:val="ro-RO"/>
        </w:rPr>
        <w:t>a</w:t>
      </w:r>
      <w:r w:rsidR="001C7BF0" w:rsidRPr="009C5F11">
        <w:rPr>
          <w:rFonts w:ascii="Times New Roman" w:hAnsi="Times New Roman" w:cs="Times New Roman"/>
          <w:sz w:val="22"/>
          <w:lang w:val="ro-RO"/>
        </w:rPr>
        <w:t xml:space="preserve"> </w:t>
      </w:r>
      <w:r w:rsidR="00603E5B" w:rsidRPr="009C5F11">
        <w:rPr>
          <w:rFonts w:ascii="Times New Roman" w:hAnsi="Times New Roman" w:cs="Times New Roman"/>
          <w:sz w:val="22"/>
          <w:lang w:val="ro-RO"/>
        </w:rPr>
        <w:t>măsurilor de reducere a consumului de</w:t>
      </w:r>
      <w:r w:rsidR="004424A0" w:rsidRPr="009C5F11">
        <w:rPr>
          <w:rFonts w:ascii="Times New Roman" w:hAnsi="Times New Roman" w:cs="Times New Roman"/>
          <w:sz w:val="22"/>
          <w:lang w:val="ro-RO"/>
        </w:rPr>
        <w:t xml:space="preserve"> energie</w:t>
      </w:r>
      <w:r w:rsidR="001C7BF0" w:rsidRPr="009C5F11">
        <w:rPr>
          <w:rFonts w:ascii="Times New Roman" w:hAnsi="Times New Roman" w:cs="Times New Roman"/>
          <w:sz w:val="22"/>
          <w:lang w:val="ro-RO"/>
        </w:rPr>
        <w:t xml:space="preserve"> 2016-2018</w:t>
      </w:r>
      <w:bookmarkEnd w:id="181"/>
      <w:r w:rsidR="00603E5B" w:rsidRPr="009C5F11">
        <w:rPr>
          <w:rFonts w:ascii="Times New Roman" w:hAnsi="Times New Roman" w:cs="Times New Roman"/>
          <w:sz w:val="22"/>
          <w:lang w:val="ro-RO"/>
        </w:rPr>
        <w:t>.</w:t>
      </w:r>
      <w:bookmarkEnd w:id="182"/>
    </w:p>
    <w:tbl>
      <w:tblPr>
        <w:tblpPr w:leftFromText="180" w:rightFromText="180" w:vertAnchor="text" w:horzAnchor="page" w:tblpX="1549" w:tblpY="345"/>
        <w:tblW w:w="4966"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534"/>
        <w:gridCol w:w="2984"/>
        <w:gridCol w:w="991"/>
        <w:gridCol w:w="1133"/>
        <w:gridCol w:w="1696"/>
        <w:gridCol w:w="1842"/>
      </w:tblGrid>
      <w:tr w:rsidR="00B14940" w:rsidRPr="009C5F11" w14:paraId="0AA3EA90" w14:textId="77777777" w:rsidTr="00A0071D">
        <w:trPr>
          <w:trHeight w:val="300"/>
          <w:tblHeader/>
        </w:trPr>
        <w:tc>
          <w:tcPr>
            <w:tcW w:w="291" w:type="pct"/>
            <w:tcBorders>
              <w:bottom w:val="single" w:sz="8" w:space="0" w:color="FFFFFF" w:themeColor="background1"/>
            </w:tcBorders>
            <w:shd w:val="clear" w:color="auto" w:fill="000080"/>
            <w:noWrap/>
            <w:vAlign w:val="center"/>
            <w:hideMark/>
          </w:tcPr>
          <w:p w14:paraId="5C267A2E" w14:textId="77777777" w:rsidR="00936847" w:rsidRPr="009C5F11" w:rsidRDefault="00936847" w:rsidP="00430626">
            <w:pPr>
              <w:spacing w:after="0" w:line="240" w:lineRule="auto"/>
              <w:jc w:val="center"/>
              <w:rPr>
                <w:rFonts w:ascii="Times New Roman" w:hAnsi="Times New Roman" w:cs="Times New Roman"/>
                <w:b/>
                <w:color w:val="FFFFFF"/>
                <w:sz w:val="18"/>
                <w:szCs w:val="14"/>
                <w:lang w:val="ro-RO"/>
              </w:rPr>
            </w:pPr>
            <w:r w:rsidRPr="009C5F11">
              <w:rPr>
                <w:rFonts w:ascii="Times New Roman" w:hAnsi="Times New Roman" w:cs="Times New Roman"/>
                <w:b/>
                <w:color w:val="FFFFFF"/>
                <w:sz w:val="18"/>
                <w:szCs w:val="14"/>
                <w:lang w:val="ro-RO"/>
              </w:rPr>
              <w:t>N</w:t>
            </w:r>
            <w:r w:rsidR="0039712C" w:rsidRPr="009C5F11">
              <w:rPr>
                <w:rFonts w:ascii="Times New Roman" w:hAnsi="Times New Roman" w:cs="Times New Roman"/>
                <w:b/>
                <w:color w:val="FFFFFF" w:themeColor="background1"/>
                <w:sz w:val="18"/>
                <w:szCs w:val="14"/>
                <w:lang w:val="ro-RO"/>
              </w:rPr>
              <w:t>r.</w:t>
            </w:r>
          </w:p>
        </w:tc>
        <w:tc>
          <w:tcPr>
            <w:tcW w:w="1625" w:type="pct"/>
            <w:tcBorders>
              <w:bottom w:val="single" w:sz="8" w:space="0" w:color="FFFFFF" w:themeColor="background1"/>
            </w:tcBorders>
            <w:shd w:val="clear" w:color="auto" w:fill="000080"/>
            <w:vAlign w:val="center"/>
            <w:hideMark/>
          </w:tcPr>
          <w:p w14:paraId="4B2A17BE" w14:textId="77777777" w:rsidR="00936847" w:rsidRPr="009C5F11" w:rsidRDefault="0094635F" w:rsidP="00430626">
            <w:pPr>
              <w:spacing w:after="0" w:line="240" w:lineRule="auto"/>
              <w:jc w:val="center"/>
              <w:rPr>
                <w:rFonts w:ascii="Times New Roman" w:hAnsi="Times New Roman" w:cs="Times New Roman"/>
                <w:b/>
                <w:color w:val="FFFFFF"/>
                <w:sz w:val="18"/>
                <w:szCs w:val="14"/>
                <w:lang w:val="ro-RO"/>
              </w:rPr>
            </w:pPr>
            <w:r w:rsidRPr="009C5F11">
              <w:rPr>
                <w:rFonts w:ascii="Times New Roman" w:hAnsi="Times New Roman" w:cs="Times New Roman"/>
                <w:b/>
                <w:sz w:val="18"/>
                <w:szCs w:val="14"/>
                <w:lang w:val="ro-RO"/>
              </w:rPr>
              <w:t>Denumirea măsurii de economisire a energiei</w:t>
            </w:r>
          </w:p>
        </w:tc>
        <w:tc>
          <w:tcPr>
            <w:tcW w:w="540" w:type="pct"/>
            <w:tcBorders>
              <w:bottom w:val="single" w:sz="8" w:space="0" w:color="FFFFFF" w:themeColor="background1"/>
            </w:tcBorders>
            <w:shd w:val="clear" w:color="auto" w:fill="000080"/>
            <w:noWrap/>
            <w:vAlign w:val="center"/>
            <w:hideMark/>
          </w:tcPr>
          <w:p w14:paraId="28DDB67B" w14:textId="77777777" w:rsidR="00936847" w:rsidRPr="009C5F11" w:rsidRDefault="00EF3197" w:rsidP="00430626">
            <w:pPr>
              <w:pStyle w:val="Tabletext"/>
              <w:keepNext/>
              <w:keepLines/>
              <w:spacing w:before="0" w:after="0" w:line="240" w:lineRule="auto"/>
              <w:jc w:val="center"/>
              <w:rPr>
                <w:rFonts w:ascii="Times New Roman" w:hAnsi="Times New Roman"/>
                <w:b/>
                <w:color w:val="FFFFFF"/>
                <w:szCs w:val="14"/>
                <w:lang w:val="ro-RO"/>
              </w:rPr>
            </w:pPr>
            <w:r w:rsidRPr="009C5F11">
              <w:rPr>
                <w:rFonts w:ascii="Times New Roman" w:hAnsi="Times New Roman"/>
                <w:b/>
                <w:szCs w:val="14"/>
                <w:lang w:val="ro-RO"/>
              </w:rPr>
              <w:t>E</w:t>
            </w:r>
            <w:r w:rsidR="00C639BC" w:rsidRPr="009C5F11">
              <w:rPr>
                <w:rFonts w:ascii="Times New Roman" w:hAnsi="Times New Roman"/>
                <w:b/>
                <w:szCs w:val="14"/>
                <w:lang w:val="ro-RO"/>
              </w:rPr>
              <w:t>conomii</w:t>
            </w:r>
            <w:r w:rsidRPr="009C5F11">
              <w:rPr>
                <w:rFonts w:ascii="Times New Roman" w:hAnsi="Times New Roman"/>
                <w:b/>
                <w:szCs w:val="14"/>
                <w:lang w:val="ro-RO"/>
              </w:rPr>
              <w:t xml:space="preserve"> de energie finală obţinute</w:t>
            </w:r>
            <w:r w:rsidR="00321CD5" w:rsidRPr="009C5F11">
              <w:rPr>
                <w:rFonts w:ascii="Times New Roman" w:hAnsi="Times New Roman"/>
                <w:b/>
                <w:szCs w:val="14"/>
                <w:lang w:val="ro-RO"/>
              </w:rPr>
              <w:t xml:space="preserve"> în </w:t>
            </w:r>
            <w:r w:rsidR="00936847" w:rsidRPr="009C5F11">
              <w:rPr>
                <w:rFonts w:ascii="Times New Roman" w:hAnsi="Times New Roman"/>
                <w:b/>
                <w:szCs w:val="14"/>
                <w:lang w:val="ro-RO"/>
              </w:rPr>
              <w:t>2016,</w:t>
            </w:r>
            <w:r w:rsidR="00936847" w:rsidRPr="009C5F11">
              <w:rPr>
                <w:rFonts w:ascii="Times New Roman" w:hAnsi="Times New Roman"/>
                <w:b/>
                <w:color w:val="FF0000"/>
                <w:szCs w:val="14"/>
                <w:vertAlign w:val="superscript"/>
                <w:lang w:val="ro-RO"/>
              </w:rPr>
              <w:t xml:space="preserve"> </w:t>
            </w:r>
            <w:r w:rsidR="00E52940" w:rsidRPr="009C5F11">
              <w:rPr>
                <w:rFonts w:ascii="Times New Roman" w:hAnsi="Times New Roman"/>
                <w:b/>
                <w:szCs w:val="14"/>
                <w:lang w:val="ro-RO"/>
              </w:rPr>
              <w:t>ktep</w:t>
            </w:r>
          </w:p>
        </w:tc>
        <w:tc>
          <w:tcPr>
            <w:tcW w:w="617" w:type="pct"/>
            <w:tcBorders>
              <w:bottom w:val="single" w:sz="8" w:space="0" w:color="FFFFFF" w:themeColor="background1"/>
            </w:tcBorders>
            <w:shd w:val="clear" w:color="auto" w:fill="000080"/>
            <w:vAlign w:val="center"/>
          </w:tcPr>
          <w:p w14:paraId="5CAE5A15" w14:textId="77777777" w:rsidR="00936847" w:rsidRPr="009C5F11" w:rsidRDefault="00EF3197" w:rsidP="00430626">
            <w:pPr>
              <w:pStyle w:val="Tabletext"/>
              <w:keepNext/>
              <w:keepLines/>
              <w:spacing w:before="0" w:after="0" w:line="240" w:lineRule="auto"/>
              <w:jc w:val="center"/>
              <w:rPr>
                <w:rFonts w:ascii="Times New Roman" w:hAnsi="Times New Roman"/>
                <w:b/>
                <w:szCs w:val="14"/>
                <w:lang w:val="ro-RO"/>
              </w:rPr>
            </w:pPr>
            <w:r w:rsidRPr="009C5F11">
              <w:rPr>
                <w:rFonts w:ascii="Times New Roman" w:hAnsi="Times New Roman"/>
                <w:b/>
                <w:szCs w:val="14"/>
                <w:lang w:val="ro-RO"/>
              </w:rPr>
              <w:t>Economii de energie finală preconizate în</w:t>
            </w:r>
            <w:r w:rsidR="00321CD5" w:rsidRPr="009C5F11">
              <w:rPr>
                <w:rFonts w:ascii="Times New Roman" w:hAnsi="Times New Roman"/>
                <w:b/>
                <w:szCs w:val="14"/>
                <w:lang w:val="ro-RO"/>
              </w:rPr>
              <w:t xml:space="preserve"> </w:t>
            </w:r>
            <w:r w:rsidR="00936847" w:rsidRPr="009C5F11">
              <w:rPr>
                <w:rFonts w:ascii="Times New Roman" w:hAnsi="Times New Roman"/>
                <w:b/>
                <w:szCs w:val="14"/>
                <w:lang w:val="ro-RO"/>
              </w:rPr>
              <w:t>2020,</w:t>
            </w:r>
            <w:r w:rsidR="00936847" w:rsidRPr="009C5F11">
              <w:rPr>
                <w:rFonts w:ascii="Times New Roman" w:hAnsi="Times New Roman"/>
                <w:b/>
                <w:color w:val="FF0000"/>
                <w:szCs w:val="14"/>
                <w:vertAlign w:val="superscript"/>
                <w:lang w:val="ro-RO"/>
              </w:rPr>
              <w:t xml:space="preserve"> </w:t>
            </w:r>
            <w:r w:rsidR="00E52940" w:rsidRPr="009C5F11">
              <w:rPr>
                <w:rFonts w:ascii="Times New Roman" w:hAnsi="Times New Roman"/>
                <w:b/>
                <w:szCs w:val="14"/>
                <w:lang w:val="ro-RO"/>
              </w:rPr>
              <w:t>ktep</w:t>
            </w:r>
          </w:p>
        </w:tc>
        <w:tc>
          <w:tcPr>
            <w:tcW w:w="924" w:type="pct"/>
            <w:tcBorders>
              <w:bottom w:val="single" w:sz="8" w:space="0" w:color="FFFFFF" w:themeColor="background1"/>
            </w:tcBorders>
            <w:shd w:val="clear" w:color="auto" w:fill="000080"/>
            <w:vAlign w:val="center"/>
          </w:tcPr>
          <w:p w14:paraId="27C2C9D2" w14:textId="77777777" w:rsidR="00936847" w:rsidRPr="009C5F11" w:rsidRDefault="00204033" w:rsidP="00430626">
            <w:pPr>
              <w:pStyle w:val="Tabletext"/>
              <w:keepNext/>
              <w:keepLines/>
              <w:spacing w:before="0" w:after="0" w:line="240" w:lineRule="auto"/>
              <w:jc w:val="center"/>
              <w:rPr>
                <w:rFonts w:ascii="Times New Roman" w:hAnsi="Times New Roman"/>
                <w:b/>
                <w:szCs w:val="14"/>
                <w:lang w:val="ro-RO"/>
              </w:rPr>
            </w:pPr>
            <w:r w:rsidRPr="009C5F11">
              <w:rPr>
                <w:rFonts w:ascii="Times New Roman" w:hAnsi="Times New Roman"/>
                <w:b/>
                <w:szCs w:val="14"/>
                <w:lang w:val="ro-RO"/>
              </w:rPr>
              <w:t>Situaţia în raport cu primul PNAEE</w:t>
            </w:r>
          </w:p>
        </w:tc>
        <w:tc>
          <w:tcPr>
            <w:tcW w:w="1003" w:type="pct"/>
            <w:tcBorders>
              <w:bottom w:val="single" w:sz="8" w:space="0" w:color="FFFFFF" w:themeColor="background1"/>
            </w:tcBorders>
            <w:shd w:val="clear" w:color="auto" w:fill="000080"/>
            <w:vAlign w:val="center"/>
          </w:tcPr>
          <w:p w14:paraId="76C5503B" w14:textId="77777777" w:rsidR="00936847" w:rsidRPr="009C5F11" w:rsidRDefault="0088051E" w:rsidP="00430626">
            <w:pPr>
              <w:pStyle w:val="Tabletext"/>
              <w:keepNext/>
              <w:keepLines/>
              <w:spacing w:before="0" w:after="0" w:line="240" w:lineRule="auto"/>
              <w:jc w:val="center"/>
              <w:rPr>
                <w:rFonts w:ascii="Times New Roman" w:hAnsi="Times New Roman"/>
                <w:b/>
                <w:szCs w:val="14"/>
                <w:lang w:val="ro-RO"/>
              </w:rPr>
            </w:pPr>
            <w:r w:rsidRPr="009C5F11">
              <w:rPr>
                <w:rFonts w:ascii="Times New Roman" w:hAnsi="Times New Roman"/>
                <w:b/>
                <w:szCs w:val="14"/>
                <w:lang w:val="ro-RO"/>
              </w:rPr>
              <w:t>Recomandări</w:t>
            </w:r>
          </w:p>
        </w:tc>
      </w:tr>
      <w:tr w:rsidR="00936847" w:rsidRPr="009C5F11" w14:paraId="00E5A456" w14:textId="77777777" w:rsidTr="00B14940">
        <w:trPr>
          <w:trHeight w:val="300"/>
        </w:trPr>
        <w:tc>
          <w:tcPr>
            <w:tcW w:w="5000" w:type="pct"/>
            <w:gridSpan w:val="6"/>
            <w:shd w:val="clear" w:color="auto" w:fill="3E5DEA"/>
            <w:noWrap/>
            <w:vAlign w:val="bottom"/>
          </w:tcPr>
          <w:p w14:paraId="4D6A44FE" w14:textId="77777777" w:rsidR="00936847" w:rsidRPr="009C5F11" w:rsidRDefault="000F5CC5" w:rsidP="00430626">
            <w:pPr>
              <w:spacing w:after="0" w:line="240" w:lineRule="auto"/>
              <w:jc w:val="center"/>
              <w:rPr>
                <w:rFonts w:ascii="Times New Roman" w:hAnsi="Times New Roman" w:cs="Times New Roman"/>
                <w:b/>
                <w:color w:val="FFFFFF"/>
                <w:sz w:val="18"/>
                <w:szCs w:val="14"/>
                <w:lang w:val="ro-RO"/>
              </w:rPr>
            </w:pPr>
            <w:r w:rsidRPr="009C5F11">
              <w:rPr>
                <w:rFonts w:ascii="Times New Roman" w:hAnsi="Times New Roman" w:cs="Times New Roman"/>
                <w:b/>
                <w:color w:val="FFFFFF"/>
                <w:sz w:val="18"/>
                <w:szCs w:val="14"/>
                <w:lang w:val="ro-RO"/>
              </w:rPr>
              <w:t>Măsuri orizontale</w:t>
            </w:r>
          </w:p>
        </w:tc>
      </w:tr>
      <w:tr w:rsidR="00B14940" w:rsidRPr="009C5F11" w14:paraId="2437F805" w14:textId="77777777" w:rsidTr="00B14940">
        <w:trPr>
          <w:trHeight w:val="300"/>
        </w:trPr>
        <w:tc>
          <w:tcPr>
            <w:tcW w:w="291" w:type="pct"/>
            <w:shd w:val="clear" w:color="000000" w:fill="C5D9F1"/>
            <w:noWrap/>
            <w:vAlign w:val="bottom"/>
            <w:hideMark/>
          </w:tcPr>
          <w:p w14:paraId="04DE257A"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H1</w:t>
            </w:r>
          </w:p>
        </w:tc>
        <w:tc>
          <w:tcPr>
            <w:tcW w:w="1625" w:type="pct"/>
            <w:shd w:val="clear" w:color="000000" w:fill="C5D9F1"/>
            <w:noWrap/>
            <w:vAlign w:val="bottom"/>
            <w:hideMark/>
          </w:tcPr>
          <w:p w14:paraId="59506F91" w14:textId="77777777" w:rsidR="00936847" w:rsidRPr="009C5F11" w:rsidRDefault="006A096E"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 xml:space="preserve">Evaluarea potenţialului </w:t>
            </w:r>
            <w:r w:rsidR="00127E34" w:rsidRPr="009C5F11">
              <w:rPr>
                <w:rFonts w:ascii="Times New Roman" w:hAnsi="Times New Roman" w:cs="Times New Roman"/>
                <w:color w:val="000000"/>
                <w:sz w:val="18"/>
                <w:szCs w:val="14"/>
                <w:lang w:val="ro-RO"/>
              </w:rPr>
              <w:t>de reducere a consumului energetic</w:t>
            </w:r>
            <w:r w:rsidRPr="009C5F11">
              <w:rPr>
                <w:rFonts w:ascii="Times New Roman" w:hAnsi="Times New Roman" w:cs="Times New Roman"/>
                <w:color w:val="000000"/>
                <w:sz w:val="18"/>
                <w:szCs w:val="14"/>
                <w:lang w:val="ro-RO"/>
              </w:rPr>
              <w:t xml:space="preserve"> pentru Republica Moldova.</w:t>
            </w:r>
          </w:p>
        </w:tc>
        <w:tc>
          <w:tcPr>
            <w:tcW w:w="540" w:type="pct"/>
            <w:shd w:val="clear" w:color="000000" w:fill="C5D9F1"/>
            <w:noWrap/>
            <w:vAlign w:val="bottom"/>
            <w:hideMark/>
          </w:tcPr>
          <w:p w14:paraId="7DD5067D" w14:textId="77777777" w:rsidR="00936847" w:rsidRPr="009C5F11" w:rsidRDefault="0039712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shd w:val="clear" w:color="000000" w:fill="C5D9F1"/>
            <w:vAlign w:val="bottom"/>
          </w:tcPr>
          <w:p w14:paraId="7066F12D" w14:textId="77777777" w:rsidR="00936847" w:rsidRPr="009C5F11" w:rsidRDefault="0039712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shd w:val="clear" w:color="000000" w:fill="C5D9F1"/>
          </w:tcPr>
          <w:p w14:paraId="383F50A5" w14:textId="77777777" w:rsidR="00936847" w:rsidRPr="009C5F11" w:rsidRDefault="0020403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Măsură nouă</w:t>
            </w:r>
          </w:p>
        </w:tc>
        <w:tc>
          <w:tcPr>
            <w:tcW w:w="1003" w:type="pct"/>
            <w:shd w:val="clear" w:color="000000" w:fill="C5D9F1"/>
          </w:tcPr>
          <w:p w14:paraId="7005A92C" w14:textId="77777777" w:rsidR="00936847" w:rsidRPr="009C5F11" w:rsidRDefault="00936847" w:rsidP="00430626">
            <w:pPr>
              <w:spacing w:after="0" w:line="240" w:lineRule="auto"/>
              <w:jc w:val="right"/>
              <w:rPr>
                <w:rFonts w:ascii="Times New Roman" w:hAnsi="Times New Roman" w:cs="Times New Roman"/>
                <w:color w:val="000000"/>
                <w:sz w:val="18"/>
                <w:szCs w:val="14"/>
                <w:lang w:val="ro-RO"/>
              </w:rPr>
            </w:pPr>
          </w:p>
        </w:tc>
      </w:tr>
      <w:tr w:rsidR="00B14940" w:rsidRPr="009C5F11" w14:paraId="1C99A6F6" w14:textId="77777777" w:rsidTr="00B14940">
        <w:trPr>
          <w:trHeight w:val="560"/>
        </w:trPr>
        <w:tc>
          <w:tcPr>
            <w:tcW w:w="291" w:type="pct"/>
            <w:shd w:val="clear" w:color="000000" w:fill="C5D9F1"/>
            <w:noWrap/>
            <w:vAlign w:val="bottom"/>
            <w:hideMark/>
          </w:tcPr>
          <w:p w14:paraId="12329530"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H2</w:t>
            </w:r>
          </w:p>
        </w:tc>
        <w:tc>
          <w:tcPr>
            <w:tcW w:w="1625" w:type="pct"/>
            <w:shd w:val="clear" w:color="000000" w:fill="C5D9F1"/>
            <w:vAlign w:val="bottom"/>
            <w:hideMark/>
          </w:tcPr>
          <w:p w14:paraId="3991FCD9" w14:textId="77777777" w:rsidR="00936847" w:rsidRPr="009C5F11" w:rsidRDefault="006A096E"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Actualizarea şi adoptarea cadrului juridic</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în vederea asigurării punerii în aplicare a Directivei privind eficienţa energetică şi a Legii cu privire la eficienţa energetică</w:t>
            </w:r>
            <w:r w:rsidR="002B232C" w:rsidRPr="009C5F11">
              <w:rPr>
                <w:rFonts w:ascii="Times New Roman" w:hAnsi="Times New Roman" w:cs="Times New Roman"/>
                <w:color w:val="000000"/>
                <w:sz w:val="18"/>
                <w:szCs w:val="14"/>
                <w:lang w:val="ro-RO"/>
              </w:rPr>
              <w:t>.</w:t>
            </w:r>
          </w:p>
        </w:tc>
        <w:tc>
          <w:tcPr>
            <w:tcW w:w="540" w:type="pct"/>
            <w:shd w:val="clear" w:color="000000" w:fill="C5D9F1"/>
            <w:noWrap/>
            <w:vAlign w:val="bottom"/>
            <w:hideMark/>
          </w:tcPr>
          <w:p w14:paraId="309DE354" w14:textId="77777777" w:rsidR="00936847" w:rsidRPr="009C5F11" w:rsidRDefault="0039712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shd w:val="clear" w:color="000000" w:fill="C5D9F1"/>
            <w:vAlign w:val="bottom"/>
          </w:tcPr>
          <w:p w14:paraId="3426E6D5" w14:textId="77777777" w:rsidR="00936847" w:rsidRPr="009C5F11" w:rsidRDefault="0039712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shd w:val="clear" w:color="000000" w:fill="C5D9F1"/>
          </w:tcPr>
          <w:p w14:paraId="537240A3"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Implementată parţial</w:t>
            </w:r>
          </w:p>
        </w:tc>
        <w:tc>
          <w:tcPr>
            <w:tcW w:w="1003" w:type="pct"/>
            <w:shd w:val="clear" w:color="000000" w:fill="C5D9F1"/>
          </w:tcPr>
          <w:p w14:paraId="61267D16"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r w:rsidR="00927CD9" w:rsidRPr="009C5F11">
              <w:rPr>
                <w:rFonts w:ascii="Times New Roman" w:hAnsi="Times New Roman" w:cs="Times New Roman"/>
                <w:color w:val="000000"/>
                <w:sz w:val="18"/>
                <w:szCs w:val="14"/>
                <w:lang w:val="ro-RO"/>
              </w:rPr>
              <w:t xml:space="preserve"> conform planului</w:t>
            </w:r>
          </w:p>
        </w:tc>
      </w:tr>
      <w:tr w:rsidR="00B14940" w:rsidRPr="009C5F11" w14:paraId="06D4211F" w14:textId="77777777" w:rsidTr="00B14940">
        <w:trPr>
          <w:trHeight w:val="300"/>
        </w:trPr>
        <w:tc>
          <w:tcPr>
            <w:tcW w:w="291" w:type="pct"/>
            <w:shd w:val="clear" w:color="000000" w:fill="C5D9F1"/>
            <w:noWrap/>
            <w:vAlign w:val="bottom"/>
            <w:hideMark/>
          </w:tcPr>
          <w:p w14:paraId="4DA6E968"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H3</w:t>
            </w:r>
          </w:p>
        </w:tc>
        <w:tc>
          <w:tcPr>
            <w:tcW w:w="1625" w:type="pct"/>
            <w:shd w:val="clear" w:color="000000" w:fill="C5D9F1"/>
            <w:noWrap/>
            <w:vAlign w:val="bottom"/>
            <w:hideMark/>
          </w:tcPr>
          <w:p w14:paraId="175523E9" w14:textId="77777777" w:rsidR="00936847" w:rsidRPr="009C5F11" w:rsidRDefault="003D35EE"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w:t>
            </w:r>
            <w:r w:rsidR="001D6122" w:rsidRPr="009C5F11">
              <w:rPr>
                <w:rFonts w:ascii="Times New Roman" w:hAnsi="Times New Roman" w:cs="Times New Roman"/>
                <w:color w:val="000000"/>
                <w:sz w:val="18"/>
                <w:szCs w:val="14"/>
                <w:lang w:val="ro-RO"/>
              </w:rPr>
              <w:t>laborarea</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metodei de abordare bottom-up</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pentru M&amp;V</w:t>
            </w:r>
            <w:r w:rsidR="002B232C" w:rsidRPr="009C5F11">
              <w:rPr>
                <w:rFonts w:ascii="Times New Roman" w:hAnsi="Times New Roman" w:cs="Times New Roman"/>
                <w:color w:val="000000"/>
                <w:sz w:val="18"/>
                <w:szCs w:val="14"/>
                <w:lang w:val="ro-RO"/>
              </w:rPr>
              <w:t>.</w:t>
            </w:r>
          </w:p>
        </w:tc>
        <w:tc>
          <w:tcPr>
            <w:tcW w:w="540" w:type="pct"/>
            <w:shd w:val="clear" w:color="000000" w:fill="C5D9F1"/>
            <w:noWrap/>
            <w:vAlign w:val="bottom"/>
            <w:hideMark/>
          </w:tcPr>
          <w:p w14:paraId="384F4F0D" w14:textId="77777777" w:rsidR="00936847" w:rsidRPr="009C5F11" w:rsidRDefault="0039712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shd w:val="clear" w:color="000000" w:fill="C5D9F1"/>
            <w:vAlign w:val="bottom"/>
          </w:tcPr>
          <w:p w14:paraId="55988268" w14:textId="77777777" w:rsidR="00936847" w:rsidRPr="009C5F11" w:rsidRDefault="00791708"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shd w:val="clear" w:color="000000" w:fill="C5D9F1"/>
          </w:tcPr>
          <w:p w14:paraId="56CFC412" w14:textId="77777777" w:rsidR="00936847" w:rsidRPr="009C5F11" w:rsidRDefault="0020403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Măsură nouă</w:t>
            </w:r>
          </w:p>
        </w:tc>
        <w:tc>
          <w:tcPr>
            <w:tcW w:w="1003" w:type="pct"/>
            <w:shd w:val="clear" w:color="000000" w:fill="C5D9F1"/>
          </w:tcPr>
          <w:p w14:paraId="7BA1BCC7" w14:textId="77777777" w:rsidR="00936847" w:rsidRPr="009C5F11" w:rsidRDefault="00936847" w:rsidP="00430626">
            <w:pPr>
              <w:spacing w:after="0" w:line="240" w:lineRule="auto"/>
              <w:jc w:val="right"/>
              <w:rPr>
                <w:rFonts w:ascii="Times New Roman" w:hAnsi="Times New Roman" w:cs="Times New Roman"/>
                <w:color w:val="000000"/>
                <w:sz w:val="18"/>
                <w:szCs w:val="14"/>
                <w:lang w:val="ro-RO"/>
              </w:rPr>
            </w:pPr>
          </w:p>
        </w:tc>
      </w:tr>
      <w:tr w:rsidR="00B14940" w:rsidRPr="009C5F11" w14:paraId="2E90E350" w14:textId="77777777" w:rsidTr="00B14940">
        <w:trPr>
          <w:trHeight w:val="300"/>
        </w:trPr>
        <w:tc>
          <w:tcPr>
            <w:tcW w:w="291" w:type="pct"/>
            <w:shd w:val="clear" w:color="000000" w:fill="C5D9F1"/>
            <w:noWrap/>
            <w:vAlign w:val="bottom"/>
            <w:hideMark/>
          </w:tcPr>
          <w:p w14:paraId="13075B6F"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H4</w:t>
            </w:r>
          </w:p>
        </w:tc>
        <w:tc>
          <w:tcPr>
            <w:tcW w:w="1625" w:type="pct"/>
            <w:shd w:val="clear" w:color="000000" w:fill="C5D9F1"/>
            <w:vAlign w:val="bottom"/>
            <w:hideMark/>
          </w:tcPr>
          <w:p w14:paraId="1C4B7B81" w14:textId="77777777" w:rsidR="00936847" w:rsidRPr="009C5F11" w:rsidRDefault="00FD5F1C"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Promovarea</w:t>
            </w:r>
            <w:r w:rsidR="00936847" w:rsidRPr="009C5F11">
              <w:rPr>
                <w:rFonts w:ascii="Times New Roman" w:hAnsi="Times New Roman" w:cs="Times New Roman"/>
                <w:color w:val="000000"/>
                <w:sz w:val="18"/>
                <w:szCs w:val="14"/>
                <w:lang w:val="ro-RO"/>
              </w:rPr>
              <w:t xml:space="preserve"> </w:t>
            </w:r>
            <w:r w:rsidR="003D35EE" w:rsidRPr="009C5F11">
              <w:rPr>
                <w:rFonts w:ascii="Times New Roman" w:hAnsi="Times New Roman" w:cs="Times New Roman"/>
                <w:color w:val="000000"/>
                <w:sz w:val="18"/>
                <w:szCs w:val="14"/>
                <w:lang w:val="ro-RO"/>
              </w:rPr>
              <w:t>companiilor de servicii energetice (ESCO)</w:t>
            </w:r>
            <w:r w:rsidR="002B232C" w:rsidRPr="009C5F11">
              <w:rPr>
                <w:rFonts w:ascii="Times New Roman" w:hAnsi="Times New Roman" w:cs="Times New Roman"/>
                <w:color w:val="000000"/>
                <w:sz w:val="18"/>
                <w:szCs w:val="14"/>
                <w:lang w:val="ro-RO"/>
              </w:rPr>
              <w:t>.</w:t>
            </w:r>
          </w:p>
        </w:tc>
        <w:tc>
          <w:tcPr>
            <w:tcW w:w="540" w:type="pct"/>
            <w:shd w:val="clear" w:color="000000" w:fill="C5D9F1"/>
            <w:noWrap/>
            <w:vAlign w:val="bottom"/>
            <w:hideMark/>
          </w:tcPr>
          <w:p w14:paraId="16CDD6F6" w14:textId="77777777" w:rsidR="00936847" w:rsidRPr="009C5F11" w:rsidRDefault="00791708"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shd w:val="clear" w:color="000000" w:fill="C5D9F1"/>
            <w:vAlign w:val="bottom"/>
          </w:tcPr>
          <w:p w14:paraId="71BC5FB3" w14:textId="77777777" w:rsidR="00936847" w:rsidRPr="009C5F11" w:rsidRDefault="00791708"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shd w:val="clear" w:color="000000" w:fill="C5D9F1"/>
          </w:tcPr>
          <w:p w14:paraId="62B0490A" w14:textId="77777777" w:rsidR="00936847" w:rsidRPr="009C5F11" w:rsidRDefault="001A3909"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Primii paşi în implementare au fost realizaţi</w:t>
            </w:r>
          </w:p>
        </w:tc>
        <w:tc>
          <w:tcPr>
            <w:tcW w:w="1003" w:type="pct"/>
            <w:shd w:val="clear" w:color="000000" w:fill="C5D9F1"/>
          </w:tcPr>
          <w:p w14:paraId="1FEEFDF2"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p>
        </w:tc>
      </w:tr>
      <w:tr w:rsidR="00B14940" w:rsidRPr="009C5F11" w14:paraId="0674C99D" w14:textId="77777777" w:rsidTr="00B40DB5">
        <w:trPr>
          <w:trHeight w:val="842"/>
        </w:trPr>
        <w:tc>
          <w:tcPr>
            <w:tcW w:w="291" w:type="pct"/>
            <w:shd w:val="clear" w:color="000000" w:fill="C5D9F1"/>
            <w:noWrap/>
            <w:vAlign w:val="bottom"/>
            <w:hideMark/>
          </w:tcPr>
          <w:p w14:paraId="076D48F6"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H5</w:t>
            </w:r>
          </w:p>
        </w:tc>
        <w:tc>
          <w:tcPr>
            <w:tcW w:w="1625" w:type="pct"/>
            <w:shd w:val="clear" w:color="000000" w:fill="C5D9F1"/>
            <w:vAlign w:val="bottom"/>
            <w:hideMark/>
          </w:tcPr>
          <w:p w14:paraId="0694B121" w14:textId="77777777" w:rsidR="00936847" w:rsidRPr="009C5F11" w:rsidRDefault="00AA45D2"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Studiu cu privire la instrumentele de promovare a eficienţei energetice/sistemele de obligaţii şi evaluarea aplicării acestora în Republica Moldova</w:t>
            </w:r>
            <w:r w:rsidR="002B232C" w:rsidRPr="009C5F11">
              <w:rPr>
                <w:rFonts w:ascii="Times New Roman" w:hAnsi="Times New Roman" w:cs="Times New Roman"/>
                <w:color w:val="000000"/>
                <w:sz w:val="18"/>
                <w:szCs w:val="14"/>
                <w:lang w:val="ro-RO"/>
              </w:rPr>
              <w:t>.</w:t>
            </w:r>
          </w:p>
        </w:tc>
        <w:tc>
          <w:tcPr>
            <w:tcW w:w="540" w:type="pct"/>
            <w:shd w:val="clear" w:color="000000" w:fill="C5D9F1"/>
            <w:noWrap/>
            <w:vAlign w:val="bottom"/>
            <w:hideMark/>
          </w:tcPr>
          <w:p w14:paraId="115BF577" w14:textId="77777777" w:rsidR="00936847" w:rsidRPr="009C5F11" w:rsidRDefault="00791708"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shd w:val="clear" w:color="000000" w:fill="C5D9F1"/>
            <w:vAlign w:val="bottom"/>
          </w:tcPr>
          <w:p w14:paraId="0FE48BBC" w14:textId="77777777" w:rsidR="00936847" w:rsidRPr="009C5F11" w:rsidRDefault="00760BB5"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shd w:val="clear" w:color="000000" w:fill="C5D9F1"/>
          </w:tcPr>
          <w:p w14:paraId="4DD152EF" w14:textId="77777777" w:rsidR="00936847" w:rsidRPr="009C5F11" w:rsidRDefault="0020403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Măsură nouă</w:t>
            </w:r>
          </w:p>
        </w:tc>
        <w:tc>
          <w:tcPr>
            <w:tcW w:w="1003" w:type="pct"/>
            <w:shd w:val="clear" w:color="000000" w:fill="C5D9F1"/>
          </w:tcPr>
          <w:p w14:paraId="72677808" w14:textId="77777777" w:rsidR="00936847" w:rsidRPr="009C5F11" w:rsidRDefault="00936847" w:rsidP="00430626">
            <w:pPr>
              <w:spacing w:after="0" w:line="240" w:lineRule="auto"/>
              <w:jc w:val="right"/>
              <w:rPr>
                <w:rFonts w:ascii="Times New Roman" w:hAnsi="Times New Roman" w:cs="Times New Roman"/>
                <w:color w:val="000000"/>
                <w:sz w:val="18"/>
                <w:szCs w:val="14"/>
                <w:lang w:val="ro-RO"/>
              </w:rPr>
            </w:pPr>
          </w:p>
        </w:tc>
      </w:tr>
      <w:tr w:rsidR="00B14940" w:rsidRPr="009C5F11" w14:paraId="14109845" w14:textId="77777777" w:rsidTr="00B14940">
        <w:trPr>
          <w:trHeight w:val="420"/>
        </w:trPr>
        <w:tc>
          <w:tcPr>
            <w:tcW w:w="291" w:type="pct"/>
            <w:shd w:val="clear" w:color="000000" w:fill="C5D9F1"/>
            <w:noWrap/>
            <w:vAlign w:val="bottom"/>
            <w:hideMark/>
          </w:tcPr>
          <w:p w14:paraId="49674581"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H6</w:t>
            </w:r>
          </w:p>
        </w:tc>
        <w:tc>
          <w:tcPr>
            <w:tcW w:w="1625" w:type="pct"/>
            <w:shd w:val="clear" w:color="000000" w:fill="C5D9F1"/>
            <w:vAlign w:val="bottom"/>
            <w:hideMark/>
          </w:tcPr>
          <w:p w14:paraId="19E24BEB" w14:textId="77777777" w:rsidR="00936847" w:rsidRPr="009C5F11" w:rsidRDefault="003D35EE"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Etichetarea</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Adoptarea înlesnirilor fiscale şi vamale pentru</w:t>
            </w:r>
            <w:r w:rsidR="00936847" w:rsidRPr="009C5F11">
              <w:rPr>
                <w:rFonts w:ascii="Times New Roman" w:hAnsi="Times New Roman" w:cs="Times New Roman"/>
                <w:color w:val="000000"/>
                <w:sz w:val="18"/>
                <w:szCs w:val="14"/>
                <w:lang w:val="ro-RO"/>
              </w:rPr>
              <w:t xml:space="preserve"> </w:t>
            </w:r>
            <w:r w:rsidR="00F10EAE" w:rsidRPr="009C5F11">
              <w:rPr>
                <w:rFonts w:ascii="Times New Roman" w:hAnsi="Times New Roman" w:cs="Times New Roman"/>
                <w:color w:val="000000"/>
                <w:sz w:val="18"/>
                <w:szCs w:val="14"/>
                <w:lang w:val="ro-RO"/>
              </w:rPr>
              <w:t>produsele cu impact energetic</w:t>
            </w:r>
            <w:r w:rsidR="002B232C" w:rsidRPr="009C5F11">
              <w:rPr>
                <w:rFonts w:ascii="Times New Roman" w:hAnsi="Times New Roman" w:cs="Times New Roman"/>
                <w:color w:val="000000"/>
                <w:sz w:val="18"/>
                <w:szCs w:val="14"/>
                <w:lang w:val="ro-RO"/>
              </w:rPr>
              <w:t>.</w:t>
            </w:r>
            <w:r w:rsidR="00936847" w:rsidRPr="009C5F11">
              <w:rPr>
                <w:rFonts w:ascii="Times New Roman" w:hAnsi="Times New Roman" w:cs="Times New Roman"/>
                <w:color w:val="000000"/>
                <w:sz w:val="18"/>
                <w:szCs w:val="14"/>
                <w:lang w:val="ro-RO"/>
              </w:rPr>
              <w:t xml:space="preserve"> </w:t>
            </w:r>
          </w:p>
        </w:tc>
        <w:tc>
          <w:tcPr>
            <w:tcW w:w="540" w:type="pct"/>
            <w:shd w:val="clear" w:color="000000" w:fill="C5D9F1"/>
            <w:noWrap/>
            <w:vAlign w:val="bottom"/>
            <w:hideMark/>
          </w:tcPr>
          <w:p w14:paraId="198738FC" w14:textId="77777777" w:rsidR="00936847" w:rsidRPr="009C5F11" w:rsidRDefault="00760BB5"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shd w:val="clear" w:color="000000" w:fill="C5D9F1"/>
            <w:vAlign w:val="bottom"/>
          </w:tcPr>
          <w:p w14:paraId="73A1E161" w14:textId="77777777" w:rsidR="00936847" w:rsidRPr="009C5F11" w:rsidRDefault="00936847" w:rsidP="00430626">
            <w:pPr>
              <w:spacing w:after="0" w:line="240" w:lineRule="auto"/>
              <w:jc w:val="right"/>
              <w:rPr>
                <w:rFonts w:ascii="Times New Roman" w:hAnsi="Times New Roman" w:cs="Times New Roman"/>
                <w:b/>
                <w:bCs/>
                <w:color w:val="000000"/>
                <w:sz w:val="18"/>
                <w:szCs w:val="14"/>
                <w:lang w:val="ro-RO"/>
              </w:rPr>
            </w:pPr>
            <w:r w:rsidRPr="009C5F11">
              <w:rPr>
                <w:rFonts w:ascii="Times New Roman" w:hAnsi="Times New Roman" w:cs="Times New Roman"/>
                <w:b/>
                <w:bCs/>
                <w:color w:val="000000"/>
                <w:sz w:val="18"/>
                <w:szCs w:val="14"/>
                <w:lang w:val="ro-RO"/>
              </w:rPr>
              <w:t>37.8</w:t>
            </w:r>
          </w:p>
        </w:tc>
        <w:tc>
          <w:tcPr>
            <w:tcW w:w="924" w:type="pct"/>
            <w:shd w:val="clear" w:color="000000" w:fill="C5D9F1"/>
          </w:tcPr>
          <w:p w14:paraId="24502B2B" w14:textId="77777777" w:rsidR="00936847" w:rsidRPr="009C5F11" w:rsidRDefault="000F5CC5" w:rsidP="00FB4B3D">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w:t>
            </w:r>
            <w:r w:rsidR="00FB4B3D" w:rsidRPr="009C5F11">
              <w:rPr>
                <w:rFonts w:ascii="Times New Roman" w:hAnsi="Times New Roman" w:cs="Times New Roman"/>
                <w:color w:val="000000"/>
                <w:sz w:val="18"/>
                <w:szCs w:val="14"/>
                <w:lang w:val="ro-RO"/>
              </w:rPr>
              <w:t>ă</w:t>
            </w:r>
            <w:r w:rsidRPr="009C5F11">
              <w:rPr>
                <w:rFonts w:ascii="Times New Roman" w:hAnsi="Times New Roman" w:cs="Times New Roman"/>
                <w:color w:val="000000"/>
                <w:sz w:val="18"/>
                <w:szCs w:val="14"/>
                <w:lang w:val="ro-RO"/>
              </w:rPr>
              <w:t xml:space="preserve"> parţial</w:t>
            </w:r>
          </w:p>
        </w:tc>
        <w:tc>
          <w:tcPr>
            <w:tcW w:w="1003" w:type="pct"/>
            <w:shd w:val="clear" w:color="000000" w:fill="C5D9F1"/>
          </w:tcPr>
          <w:p w14:paraId="3294DDE0"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p>
        </w:tc>
      </w:tr>
      <w:tr w:rsidR="00B14940" w:rsidRPr="009C5F11" w14:paraId="3394FA9A" w14:textId="77777777" w:rsidTr="00B95EFF">
        <w:trPr>
          <w:trHeight w:val="840"/>
        </w:trPr>
        <w:tc>
          <w:tcPr>
            <w:tcW w:w="291" w:type="pct"/>
            <w:tcBorders>
              <w:bottom w:val="single" w:sz="8" w:space="0" w:color="FFFFFF" w:themeColor="background1"/>
            </w:tcBorders>
            <w:shd w:val="clear" w:color="000000" w:fill="C5D9F1"/>
            <w:noWrap/>
            <w:vAlign w:val="bottom"/>
            <w:hideMark/>
          </w:tcPr>
          <w:p w14:paraId="5BAE43E4"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H7</w:t>
            </w:r>
          </w:p>
        </w:tc>
        <w:tc>
          <w:tcPr>
            <w:tcW w:w="1625" w:type="pct"/>
            <w:tcBorders>
              <w:bottom w:val="single" w:sz="8" w:space="0" w:color="FFFFFF" w:themeColor="background1"/>
            </w:tcBorders>
            <w:shd w:val="clear" w:color="000000" w:fill="C5D9F1"/>
            <w:vAlign w:val="bottom"/>
            <w:hideMark/>
          </w:tcPr>
          <w:p w14:paraId="476F5DD7" w14:textId="77777777" w:rsidR="00936847" w:rsidRPr="009C5F11" w:rsidRDefault="00AA45D2"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Instruire şi formare</w:t>
            </w:r>
            <w:r w:rsidR="00936847" w:rsidRPr="009C5F11">
              <w:rPr>
                <w:rFonts w:ascii="Times New Roman" w:hAnsi="Times New Roman" w:cs="Times New Roman"/>
                <w:color w:val="000000"/>
                <w:sz w:val="18"/>
                <w:szCs w:val="14"/>
                <w:lang w:val="ro-RO"/>
              </w:rPr>
              <w:t xml:space="preserve">, </w:t>
            </w:r>
            <w:r w:rsidR="00AB1710" w:rsidRPr="009C5F11">
              <w:rPr>
                <w:rFonts w:ascii="Times New Roman" w:hAnsi="Times New Roman" w:cs="Times New Roman"/>
                <w:color w:val="000000"/>
                <w:sz w:val="18"/>
                <w:szCs w:val="14"/>
                <w:lang w:val="ro-RO"/>
              </w:rPr>
              <w:t>inclusiv</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programe de consultanţă în domeniul energetic</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care conduc la aplicarea tehnologiei sau tehnicilor eficiente din punct de vedere energetic</w:t>
            </w:r>
            <w:r w:rsidR="00321CD5" w:rsidRPr="009C5F11">
              <w:rPr>
                <w:rFonts w:ascii="Times New Roman" w:hAnsi="Times New Roman" w:cs="Times New Roman"/>
                <w:color w:val="000000"/>
                <w:sz w:val="18"/>
                <w:szCs w:val="14"/>
                <w:lang w:val="ro-RO"/>
              </w:rPr>
              <w:t xml:space="preserve"> şi </w:t>
            </w:r>
            <w:r w:rsidRPr="009C5F11">
              <w:rPr>
                <w:rFonts w:ascii="Times New Roman" w:hAnsi="Times New Roman" w:cs="Times New Roman"/>
                <w:color w:val="000000"/>
                <w:sz w:val="18"/>
                <w:szCs w:val="14"/>
                <w:lang w:val="ro-RO"/>
              </w:rPr>
              <w:t>au efectul de reducere a consumului de energie la utilizatorii finali</w:t>
            </w:r>
            <w:r w:rsidR="002B232C" w:rsidRPr="009C5F11">
              <w:rPr>
                <w:rFonts w:ascii="Times New Roman" w:hAnsi="Times New Roman" w:cs="Times New Roman"/>
                <w:color w:val="000000"/>
                <w:sz w:val="18"/>
                <w:szCs w:val="14"/>
                <w:lang w:val="ro-RO"/>
              </w:rPr>
              <w:t>.</w:t>
            </w:r>
          </w:p>
        </w:tc>
        <w:tc>
          <w:tcPr>
            <w:tcW w:w="540" w:type="pct"/>
            <w:tcBorders>
              <w:bottom w:val="single" w:sz="8" w:space="0" w:color="FFFFFF" w:themeColor="background1"/>
            </w:tcBorders>
            <w:shd w:val="clear" w:color="000000" w:fill="C5D9F1"/>
            <w:noWrap/>
            <w:vAlign w:val="bottom"/>
            <w:hideMark/>
          </w:tcPr>
          <w:p w14:paraId="166FDD0C" w14:textId="77777777" w:rsidR="00936847" w:rsidRPr="009C5F11" w:rsidRDefault="00760BB5"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tcBorders>
              <w:bottom w:val="single" w:sz="8" w:space="0" w:color="FFFFFF" w:themeColor="background1"/>
            </w:tcBorders>
            <w:shd w:val="clear" w:color="000000" w:fill="C5D9F1"/>
            <w:vAlign w:val="bottom"/>
          </w:tcPr>
          <w:p w14:paraId="5C7FC3F7" w14:textId="77777777" w:rsidR="00936847" w:rsidRPr="009C5F11" w:rsidRDefault="00760BB5"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tcBorders>
              <w:bottom w:val="single" w:sz="8" w:space="0" w:color="FFFFFF" w:themeColor="background1"/>
            </w:tcBorders>
            <w:shd w:val="clear" w:color="000000" w:fill="C5D9F1"/>
          </w:tcPr>
          <w:p w14:paraId="2C8DB3D2" w14:textId="77777777" w:rsidR="00936847" w:rsidRPr="009C5F11" w:rsidRDefault="003D35EE"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A fost prezentată în calitate de componentă în câteva măsuri din</w:t>
            </w:r>
            <w:r w:rsidR="00936847" w:rsidRPr="009C5F11">
              <w:rPr>
                <w:rFonts w:ascii="Times New Roman" w:hAnsi="Times New Roman" w:cs="Times New Roman"/>
                <w:color w:val="000000"/>
                <w:sz w:val="18"/>
                <w:szCs w:val="14"/>
                <w:lang w:val="ro-RO"/>
              </w:rPr>
              <w:t xml:space="preserve"> </w:t>
            </w:r>
            <w:r w:rsidR="00872DC2" w:rsidRPr="009C5F11">
              <w:rPr>
                <w:rFonts w:ascii="Times New Roman" w:hAnsi="Times New Roman" w:cs="Times New Roman"/>
                <w:color w:val="000000"/>
                <w:sz w:val="18"/>
                <w:szCs w:val="14"/>
                <w:lang w:val="ro-RO"/>
              </w:rPr>
              <w:t>PNAEE</w:t>
            </w:r>
            <w:r w:rsidR="00936847" w:rsidRPr="009C5F11">
              <w:rPr>
                <w:rFonts w:ascii="Times New Roman" w:hAnsi="Times New Roman" w:cs="Times New Roman"/>
                <w:color w:val="000000"/>
                <w:sz w:val="18"/>
                <w:szCs w:val="14"/>
                <w:lang w:val="ro-RO"/>
              </w:rPr>
              <w:t xml:space="preserve"> I</w:t>
            </w:r>
          </w:p>
        </w:tc>
        <w:tc>
          <w:tcPr>
            <w:tcW w:w="1003" w:type="pct"/>
            <w:tcBorders>
              <w:bottom w:val="single" w:sz="8" w:space="0" w:color="FFFFFF" w:themeColor="background1"/>
            </w:tcBorders>
            <w:shd w:val="clear" w:color="000000" w:fill="C5D9F1"/>
          </w:tcPr>
          <w:p w14:paraId="53385801" w14:textId="77777777" w:rsidR="00936847" w:rsidRPr="009C5F11" w:rsidRDefault="003D35EE"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Măsura a fost supusă revizuirii şi adaptării</w:t>
            </w:r>
            <w:r w:rsidR="00936847" w:rsidRPr="009C5F11">
              <w:rPr>
                <w:rFonts w:ascii="Times New Roman" w:hAnsi="Times New Roman" w:cs="Times New Roman"/>
                <w:color w:val="000000"/>
                <w:sz w:val="18"/>
                <w:szCs w:val="14"/>
                <w:lang w:val="ro-RO"/>
              </w:rPr>
              <w:t xml:space="preserve">. </w:t>
            </w:r>
            <w:r w:rsidR="00EE66EC" w:rsidRPr="009C5F11">
              <w:rPr>
                <w:rFonts w:ascii="Times New Roman" w:hAnsi="Times New Roman" w:cs="Times New Roman"/>
                <w:color w:val="000000"/>
                <w:sz w:val="18"/>
                <w:szCs w:val="14"/>
                <w:lang w:val="ro-RO"/>
              </w:rPr>
              <w:t>Implementarea continuă</w:t>
            </w:r>
          </w:p>
        </w:tc>
      </w:tr>
      <w:tr w:rsidR="00936847" w:rsidRPr="009C5F11" w14:paraId="4CA30E34" w14:textId="77777777" w:rsidTr="00B95EFF">
        <w:trPr>
          <w:trHeight w:val="300"/>
        </w:trPr>
        <w:tc>
          <w:tcPr>
            <w:tcW w:w="5000" w:type="pct"/>
            <w:gridSpan w:val="6"/>
            <w:tcBorders>
              <w:bottom w:val="single" w:sz="8" w:space="0" w:color="FFFFFF" w:themeColor="background1"/>
            </w:tcBorders>
            <w:shd w:val="clear" w:color="auto" w:fill="666666"/>
            <w:noWrap/>
            <w:vAlign w:val="bottom"/>
            <w:hideMark/>
          </w:tcPr>
          <w:p w14:paraId="755EB06C" w14:textId="77777777" w:rsidR="00936847" w:rsidRPr="009C5F11" w:rsidRDefault="007E1094" w:rsidP="00430626">
            <w:pPr>
              <w:spacing w:after="0" w:line="240" w:lineRule="auto"/>
              <w:jc w:val="center"/>
              <w:rPr>
                <w:rFonts w:ascii="Times New Roman" w:hAnsi="Times New Roman" w:cs="Times New Roman"/>
                <w:b/>
                <w:color w:val="FFFFFF"/>
                <w:sz w:val="18"/>
                <w:szCs w:val="14"/>
                <w:lang w:val="ro-RO"/>
              </w:rPr>
            </w:pPr>
            <w:r w:rsidRPr="009C5F11">
              <w:rPr>
                <w:rFonts w:ascii="Times New Roman" w:hAnsi="Times New Roman" w:cs="Times New Roman"/>
                <w:b/>
                <w:color w:val="FFFFFF"/>
                <w:sz w:val="18"/>
                <w:szCs w:val="14"/>
                <w:lang w:val="ro-RO"/>
              </w:rPr>
              <w:t>Măsuri în sectorul</w:t>
            </w:r>
            <w:r w:rsidR="005E0A7B" w:rsidRPr="009C5F11">
              <w:rPr>
                <w:rFonts w:ascii="Times New Roman" w:hAnsi="Times New Roman" w:cs="Times New Roman"/>
                <w:b/>
                <w:color w:val="FFFFFF"/>
                <w:sz w:val="18"/>
                <w:szCs w:val="14"/>
                <w:lang w:val="ro-RO"/>
              </w:rPr>
              <w:t xml:space="preserve"> de transformare a energiei</w:t>
            </w:r>
          </w:p>
        </w:tc>
      </w:tr>
      <w:tr w:rsidR="00B14940" w:rsidRPr="009C5F11" w14:paraId="1519FEB5" w14:textId="77777777" w:rsidTr="00B95EFF">
        <w:trPr>
          <w:trHeight w:val="360"/>
        </w:trPr>
        <w:tc>
          <w:tcPr>
            <w:tcW w:w="291" w:type="pct"/>
            <w:shd w:val="clear" w:color="000000" w:fill="D9D9D9"/>
            <w:noWrap/>
            <w:vAlign w:val="bottom"/>
            <w:hideMark/>
          </w:tcPr>
          <w:p w14:paraId="2664BB2E"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E1</w:t>
            </w:r>
          </w:p>
        </w:tc>
        <w:tc>
          <w:tcPr>
            <w:tcW w:w="1625" w:type="pct"/>
            <w:shd w:val="clear" w:color="000000" w:fill="D9D9D9"/>
            <w:vAlign w:val="bottom"/>
            <w:hideMark/>
          </w:tcPr>
          <w:p w14:paraId="016DA8D5" w14:textId="77777777" w:rsidR="00936847" w:rsidRPr="009C5F11" w:rsidRDefault="003D35EE"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Programe proprii de eficienţă energetică ale operatorilor de transport/distribuţie a energiei electrice</w:t>
            </w:r>
            <w:r w:rsidR="002B232C" w:rsidRPr="009C5F11">
              <w:rPr>
                <w:rFonts w:ascii="Times New Roman" w:hAnsi="Times New Roman" w:cs="Times New Roman"/>
                <w:color w:val="000000"/>
                <w:sz w:val="18"/>
                <w:szCs w:val="14"/>
                <w:lang w:val="ro-RO"/>
              </w:rPr>
              <w:t>.</w:t>
            </w:r>
          </w:p>
        </w:tc>
        <w:tc>
          <w:tcPr>
            <w:tcW w:w="540" w:type="pct"/>
            <w:shd w:val="clear" w:color="000000" w:fill="D9D9D9"/>
            <w:noWrap/>
            <w:vAlign w:val="bottom"/>
            <w:hideMark/>
          </w:tcPr>
          <w:p w14:paraId="66F2B40A" w14:textId="77777777" w:rsidR="00936847" w:rsidRPr="009C5F11" w:rsidRDefault="00E74F68"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10.6</w:t>
            </w:r>
          </w:p>
        </w:tc>
        <w:tc>
          <w:tcPr>
            <w:tcW w:w="617" w:type="pct"/>
            <w:shd w:val="clear" w:color="000000" w:fill="D9D9D9"/>
            <w:vAlign w:val="bottom"/>
          </w:tcPr>
          <w:p w14:paraId="07F1DA79" w14:textId="77777777" w:rsidR="00936847" w:rsidRPr="009C5F11" w:rsidRDefault="00B3515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12.8</w:t>
            </w:r>
          </w:p>
        </w:tc>
        <w:tc>
          <w:tcPr>
            <w:tcW w:w="924" w:type="pct"/>
            <w:shd w:val="clear" w:color="000000" w:fill="D9D9D9"/>
          </w:tcPr>
          <w:p w14:paraId="6457160B"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Implementată conform planului</w:t>
            </w:r>
          </w:p>
        </w:tc>
        <w:tc>
          <w:tcPr>
            <w:tcW w:w="1003" w:type="pct"/>
            <w:shd w:val="clear" w:color="000000" w:fill="D9D9D9"/>
          </w:tcPr>
          <w:p w14:paraId="7BF585C6"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r w:rsidR="00927CD9" w:rsidRPr="009C5F11">
              <w:rPr>
                <w:rFonts w:ascii="Times New Roman" w:hAnsi="Times New Roman" w:cs="Times New Roman"/>
                <w:color w:val="000000"/>
                <w:sz w:val="18"/>
                <w:szCs w:val="14"/>
                <w:lang w:val="ro-RO"/>
              </w:rPr>
              <w:t xml:space="preserve"> conform planului</w:t>
            </w:r>
          </w:p>
        </w:tc>
      </w:tr>
      <w:tr w:rsidR="00B14940" w:rsidRPr="009C5F11" w14:paraId="45789E94" w14:textId="77777777" w:rsidTr="00B95EFF">
        <w:trPr>
          <w:trHeight w:val="560"/>
        </w:trPr>
        <w:tc>
          <w:tcPr>
            <w:tcW w:w="291" w:type="pct"/>
            <w:shd w:val="clear" w:color="000000" w:fill="D9D9D9"/>
            <w:noWrap/>
            <w:vAlign w:val="bottom"/>
            <w:hideMark/>
          </w:tcPr>
          <w:p w14:paraId="214D304F"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E2</w:t>
            </w:r>
          </w:p>
        </w:tc>
        <w:tc>
          <w:tcPr>
            <w:tcW w:w="1625" w:type="pct"/>
            <w:shd w:val="clear" w:color="000000" w:fill="D9D9D9"/>
            <w:vAlign w:val="bottom"/>
            <w:hideMark/>
          </w:tcPr>
          <w:p w14:paraId="29431646" w14:textId="77777777" w:rsidR="00936847" w:rsidRPr="009C5F11" w:rsidRDefault="003D35EE" w:rsidP="00FB4B3D">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Îmbunătăţiri a</w:t>
            </w:r>
            <w:r w:rsidR="00FB4B3D" w:rsidRPr="009C5F11">
              <w:rPr>
                <w:rFonts w:ascii="Times New Roman" w:hAnsi="Times New Roman" w:cs="Times New Roman"/>
                <w:color w:val="000000"/>
                <w:sz w:val="18"/>
                <w:szCs w:val="14"/>
                <w:lang w:val="ro-RO"/>
              </w:rPr>
              <w:t>le</w:t>
            </w:r>
            <w:r w:rsidRPr="009C5F11">
              <w:rPr>
                <w:rFonts w:ascii="Times New Roman" w:hAnsi="Times New Roman" w:cs="Times New Roman"/>
                <w:color w:val="000000"/>
                <w:sz w:val="18"/>
                <w:szCs w:val="14"/>
                <w:lang w:val="ro-RO"/>
              </w:rPr>
              <w:t xml:space="preserve"> eficienţei energetice</w:t>
            </w:r>
            <w:r w:rsidR="00FB4B3D" w:rsidRPr="009C5F11">
              <w:rPr>
                <w:rFonts w:ascii="Times New Roman" w:hAnsi="Times New Roman" w:cs="Times New Roman"/>
                <w:color w:val="000000"/>
                <w:sz w:val="18"/>
                <w:szCs w:val="14"/>
                <w:lang w:val="ro-RO"/>
              </w:rPr>
              <w:t>, care sunt cost-eficace,</w:t>
            </w:r>
            <w:r w:rsidRPr="009C5F11">
              <w:rPr>
                <w:rFonts w:ascii="Times New Roman" w:hAnsi="Times New Roman" w:cs="Times New Roman"/>
                <w:color w:val="000000"/>
                <w:sz w:val="18"/>
                <w:szCs w:val="14"/>
                <w:lang w:val="ro-RO"/>
              </w:rPr>
              <w:t xml:space="preserve"> în infrastructura reţelei de gaze naturale cu economiile asociate</w:t>
            </w:r>
            <w:r w:rsidR="002B232C" w:rsidRPr="009C5F11">
              <w:rPr>
                <w:rFonts w:ascii="Times New Roman" w:hAnsi="Times New Roman" w:cs="Times New Roman"/>
                <w:color w:val="000000"/>
                <w:sz w:val="18"/>
                <w:szCs w:val="14"/>
                <w:lang w:val="ro-RO"/>
              </w:rPr>
              <w:t>.</w:t>
            </w:r>
          </w:p>
        </w:tc>
        <w:tc>
          <w:tcPr>
            <w:tcW w:w="540" w:type="pct"/>
            <w:shd w:val="clear" w:color="000000" w:fill="D9D9D9"/>
            <w:noWrap/>
            <w:vAlign w:val="bottom"/>
            <w:hideMark/>
          </w:tcPr>
          <w:p w14:paraId="0DBA5187" w14:textId="77777777" w:rsidR="00936847" w:rsidRPr="009C5F11" w:rsidRDefault="00936847" w:rsidP="00B40DB5">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 </w:t>
            </w:r>
            <w:r w:rsidR="00906AF9" w:rsidRPr="009C5F11">
              <w:rPr>
                <w:rFonts w:ascii="Times New Roman" w:hAnsi="Times New Roman" w:cs="Times New Roman"/>
                <w:color w:val="000000"/>
                <w:sz w:val="18"/>
                <w:szCs w:val="14"/>
                <w:lang w:val="ro-RO"/>
              </w:rPr>
              <w:t xml:space="preserve">  N/A</w:t>
            </w:r>
          </w:p>
        </w:tc>
        <w:tc>
          <w:tcPr>
            <w:tcW w:w="617" w:type="pct"/>
            <w:shd w:val="clear" w:color="000000" w:fill="D9D9D9"/>
            <w:vAlign w:val="bottom"/>
          </w:tcPr>
          <w:p w14:paraId="3FD65034" w14:textId="77777777" w:rsidR="00936847" w:rsidRPr="009C5F11" w:rsidRDefault="00936847" w:rsidP="00B40DB5">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 </w:t>
            </w:r>
            <w:r w:rsidR="00906AF9" w:rsidRPr="009C5F11">
              <w:rPr>
                <w:rFonts w:ascii="Times New Roman" w:hAnsi="Times New Roman" w:cs="Times New Roman"/>
                <w:color w:val="000000"/>
                <w:sz w:val="18"/>
                <w:szCs w:val="14"/>
                <w:lang w:val="ro-RO"/>
              </w:rPr>
              <w:t>26.4</w:t>
            </w:r>
          </w:p>
        </w:tc>
        <w:tc>
          <w:tcPr>
            <w:tcW w:w="924" w:type="pct"/>
            <w:shd w:val="clear" w:color="000000" w:fill="D9D9D9"/>
          </w:tcPr>
          <w:p w14:paraId="1BCFC285" w14:textId="77777777" w:rsidR="00936847" w:rsidRPr="009C5F11" w:rsidRDefault="0020403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Măsură nouă</w:t>
            </w:r>
          </w:p>
        </w:tc>
        <w:tc>
          <w:tcPr>
            <w:tcW w:w="1003" w:type="pct"/>
            <w:shd w:val="clear" w:color="000000" w:fill="D9D9D9"/>
          </w:tcPr>
          <w:p w14:paraId="0C6623D0" w14:textId="77777777" w:rsidR="00936847" w:rsidRPr="009C5F11" w:rsidRDefault="00936847" w:rsidP="00430626">
            <w:pPr>
              <w:spacing w:after="0" w:line="240" w:lineRule="auto"/>
              <w:jc w:val="right"/>
              <w:rPr>
                <w:rFonts w:ascii="Times New Roman" w:hAnsi="Times New Roman" w:cs="Times New Roman"/>
                <w:color w:val="000000"/>
                <w:sz w:val="18"/>
                <w:szCs w:val="14"/>
                <w:lang w:val="ro-RO"/>
              </w:rPr>
            </w:pPr>
          </w:p>
        </w:tc>
      </w:tr>
      <w:tr w:rsidR="00B14940" w:rsidRPr="009C5F11" w14:paraId="50D5A1B7" w14:textId="77777777" w:rsidTr="00B95EFF">
        <w:trPr>
          <w:trHeight w:val="560"/>
        </w:trPr>
        <w:tc>
          <w:tcPr>
            <w:tcW w:w="291" w:type="pct"/>
            <w:shd w:val="clear" w:color="000000" w:fill="D9D9D9"/>
            <w:noWrap/>
            <w:vAlign w:val="bottom"/>
            <w:hideMark/>
          </w:tcPr>
          <w:p w14:paraId="3F688090"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E3</w:t>
            </w:r>
          </w:p>
        </w:tc>
        <w:tc>
          <w:tcPr>
            <w:tcW w:w="1625" w:type="pct"/>
            <w:shd w:val="clear" w:color="000000" w:fill="D9D9D9"/>
            <w:vAlign w:val="bottom"/>
            <w:hideMark/>
          </w:tcPr>
          <w:p w14:paraId="2718E443" w14:textId="77777777" w:rsidR="00936847" w:rsidRPr="009C5F11" w:rsidRDefault="003D35EE"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Îmbunătăţirea contorizării şi facturării consumului de gaze naturale prin implementarea tehnologiilor de ultimă oră</w:t>
            </w:r>
            <w:r w:rsidR="00936847" w:rsidRPr="009C5F11">
              <w:rPr>
                <w:rFonts w:ascii="Times New Roman" w:hAnsi="Times New Roman" w:cs="Times New Roman"/>
                <w:color w:val="000000"/>
                <w:sz w:val="18"/>
                <w:szCs w:val="14"/>
                <w:lang w:val="ro-RO"/>
              </w:rPr>
              <w:t>.</w:t>
            </w:r>
          </w:p>
        </w:tc>
        <w:tc>
          <w:tcPr>
            <w:tcW w:w="540" w:type="pct"/>
            <w:shd w:val="clear" w:color="000000" w:fill="D9D9D9"/>
            <w:noWrap/>
            <w:vAlign w:val="bottom"/>
            <w:hideMark/>
          </w:tcPr>
          <w:p w14:paraId="00F9B0EA" w14:textId="77777777" w:rsidR="00936847" w:rsidRPr="009C5F11" w:rsidRDefault="00760BB5"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shd w:val="clear" w:color="000000" w:fill="D9D9D9"/>
            <w:vAlign w:val="bottom"/>
          </w:tcPr>
          <w:p w14:paraId="0604BAEE" w14:textId="77777777" w:rsidR="00936847" w:rsidRPr="009C5F11" w:rsidRDefault="00760BB5"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shd w:val="clear" w:color="000000" w:fill="D9D9D9"/>
          </w:tcPr>
          <w:p w14:paraId="7E83FF98"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Implementată conform planului</w:t>
            </w:r>
          </w:p>
        </w:tc>
        <w:tc>
          <w:tcPr>
            <w:tcW w:w="1003" w:type="pct"/>
            <w:shd w:val="clear" w:color="000000" w:fill="D9D9D9"/>
          </w:tcPr>
          <w:p w14:paraId="28F16C54" w14:textId="77777777" w:rsidR="00936847" w:rsidRPr="009C5F11" w:rsidRDefault="002E42BE"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Redenumite şi ajustate</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implementarea continuă</w:t>
            </w:r>
          </w:p>
        </w:tc>
      </w:tr>
      <w:tr w:rsidR="00B14940" w:rsidRPr="009C5F11" w14:paraId="09757ACB" w14:textId="77777777" w:rsidTr="00B95EFF">
        <w:trPr>
          <w:trHeight w:val="300"/>
        </w:trPr>
        <w:tc>
          <w:tcPr>
            <w:tcW w:w="291" w:type="pct"/>
            <w:shd w:val="clear" w:color="000000" w:fill="D9D9D9"/>
            <w:noWrap/>
            <w:vAlign w:val="bottom"/>
            <w:hideMark/>
          </w:tcPr>
          <w:p w14:paraId="2EA9C319"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E4</w:t>
            </w:r>
          </w:p>
        </w:tc>
        <w:tc>
          <w:tcPr>
            <w:tcW w:w="1625" w:type="pct"/>
            <w:shd w:val="clear" w:color="000000" w:fill="D9D9D9"/>
            <w:vAlign w:val="bottom"/>
            <w:hideMark/>
          </w:tcPr>
          <w:p w14:paraId="41AE52D9" w14:textId="77777777" w:rsidR="00936847" w:rsidRPr="009C5F11" w:rsidRDefault="003D35EE"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 xml:space="preserve">Elaborarea cadrului normativ şi </w:t>
            </w:r>
            <w:r w:rsidRPr="009C5F11">
              <w:rPr>
                <w:rFonts w:ascii="Times New Roman" w:hAnsi="Times New Roman" w:cs="Times New Roman"/>
                <w:color w:val="000000"/>
                <w:sz w:val="18"/>
                <w:szCs w:val="14"/>
                <w:lang w:val="ro-RO"/>
              </w:rPr>
              <w:lastRenderedPageBreak/>
              <w:t>crearea sistemului de monitorizare pentru sectorul termoenergetic</w:t>
            </w:r>
            <w:r w:rsidR="002B232C" w:rsidRPr="009C5F11">
              <w:rPr>
                <w:rFonts w:ascii="Times New Roman" w:hAnsi="Times New Roman" w:cs="Times New Roman"/>
                <w:color w:val="000000"/>
                <w:sz w:val="18"/>
                <w:szCs w:val="14"/>
                <w:lang w:val="ro-RO"/>
              </w:rPr>
              <w:t>.</w:t>
            </w:r>
          </w:p>
        </w:tc>
        <w:tc>
          <w:tcPr>
            <w:tcW w:w="540" w:type="pct"/>
            <w:shd w:val="clear" w:color="000000" w:fill="D9D9D9"/>
            <w:noWrap/>
            <w:vAlign w:val="bottom"/>
            <w:hideMark/>
          </w:tcPr>
          <w:p w14:paraId="57AD3495"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lastRenderedPageBreak/>
              <w:t> </w:t>
            </w:r>
            <w:r w:rsidR="00906AF9" w:rsidRPr="009C5F11">
              <w:rPr>
                <w:rFonts w:ascii="Times New Roman" w:hAnsi="Times New Roman" w:cs="Times New Roman"/>
                <w:sz w:val="24"/>
                <w:lang w:val="ro-RO"/>
              </w:rPr>
              <w:t xml:space="preserve"> </w:t>
            </w:r>
            <w:r w:rsidR="00906AF9" w:rsidRPr="009C5F11">
              <w:rPr>
                <w:rFonts w:ascii="Times New Roman" w:hAnsi="Times New Roman" w:cs="Times New Roman"/>
                <w:color w:val="000000"/>
                <w:sz w:val="18"/>
                <w:szCs w:val="14"/>
                <w:lang w:val="ro-RO"/>
              </w:rPr>
              <w:t>N/A</w:t>
            </w:r>
          </w:p>
        </w:tc>
        <w:tc>
          <w:tcPr>
            <w:tcW w:w="617" w:type="pct"/>
            <w:shd w:val="clear" w:color="000000" w:fill="D9D9D9"/>
            <w:vAlign w:val="bottom"/>
          </w:tcPr>
          <w:p w14:paraId="2AC72B98" w14:textId="77777777" w:rsidR="00936847" w:rsidRPr="009C5F11" w:rsidRDefault="00906AF9"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shd w:val="clear" w:color="000000" w:fill="D9D9D9"/>
          </w:tcPr>
          <w:p w14:paraId="35E03C89"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 xml:space="preserve">Implementată </w:t>
            </w:r>
            <w:r w:rsidRPr="009C5F11">
              <w:rPr>
                <w:rFonts w:ascii="Times New Roman" w:hAnsi="Times New Roman" w:cs="Times New Roman"/>
                <w:color w:val="000000"/>
                <w:sz w:val="18"/>
                <w:szCs w:val="14"/>
                <w:lang w:val="ro-RO"/>
              </w:rPr>
              <w:lastRenderedPageBreak/>
              <w:t>parţial</w:t>
            </w:r>
          </w:p>
        </w:tc>
        <w:tc>
          <w:tcPr>
            <w:tcW w:w="1003" w:type="pct"/>
            <w:shd w:val="clear" w:color="000000" w:fill="D9D9D9"/>
          </w:tcPr>
          <w:p w14:paraId="767F3732"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lastRenderedPageBreak/>
              <w:t xml:space="preserve">Implementarea </w:t>
            </w:r>
            <w:r w:rsidRPr="009C5F11">
              <w:rPr>
                <w:rFonts w:ascii="Times New Roman" w:hAnsi="Times New Roman" w:cs="Times New Roman"/>
                <w:color w:val="000000"/>
                <w:sz w:val="18"/>
                <w:szCs w:val="14"/>
                <w:lang w:val="ro-RO"/>
              </w:rPr>
              <w:lastRenderedPageBreak/>
              <w:t>continuă</w:t>
            </w:r>
          </w:p>
        </w:tc>
      </w:tr>
      <w:tr w:rsidR="00B14940" w:rsidRPr="009C5F11" w14:paraId="08D2565D" w14:textId="77777777" w:rsidTr="00B95EFF">
        <w:trPr>
          <w:trHeight w:val="300"/>
        </w:trPr>
        <w:tc>
          <w:tcPr>
            <w:tcW w:w="291" w:type="pct"/>
            <w:shd w:val="clear" w:color="000000" w:fill="D9D9D9"/>
            <w:noWrap/>
            <w:vAlign w:val="bottom"/>
            <w:hideMark/>
          </w:tcPr>
          <w:p w14:paraId="7AF47A82"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lastRenderedPageBreak/>
              <w:t>E5</w:t>
            </w:r>
          </w:p>
        </w:tc>
        <w:tc>
          <w:tcPr>
            <w:tcW w:w="1625" w:type="pct"/>
            <w:shd w:val="clear" w:color="000000" w:fill="D9D9D9"/>
            <w:vAlign w:val="bottom"/>
            <w:hideMark/>
          </w:tcPr>
          <w:p w14:paraId="100CD959" w14:textId="77777777" w:rsidR="00936847" w:rsidRPr="009C5F11" w:rsidRDefault="003D35EE"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Programe proprii de eficienţă energetică ale sectorului termoenergetic</w:t>
            </w:r>
            <w:r w:rsidR="00936847" w:rsidRPr="009C5F11">
              <w:rPr>
                <w:rFonts w:ascii="Times New Roman" w:hAnsi="Times New Roman" w:cs="Times New Roman"/>
                <w:color w:val="000000"/>
                <w:sz w:val="18"/>
                <w:szCs w:val="14"/>
                <w:lang w:val="ro-RO"/>
              </w:rPr>
              <w:t>.</w:t>
            </w:r>
          </w:p>
        </w:tc>
        <w:tc>
          <w:tcPr>
            <w:tcW w:w="540" w:type="pct"/>
            <w:shd w:val="clear" w:color="000000" w:fill="D9D9D9"/>
            <w:noWrap/>
            <w:vAlign w:val="bottom"/>
            <w:hideMark/>
          </w:tcPr>
          <w:p w14:paraId="57FAD238" w14:textId="77777777" w:rsidR="00936847" w:rsidRPr="009C5F11" w:rsidRDefault="00B3515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3.1</w:t>
            </w:r>
          </w:p>
        </w:tc>
        <w:tc>
          <w:tcPr>
            <w:tcW w:w="617" w:type="pct"/>
            <w:shd w:val="clear" w:color="000000" w:fill="D9D9D9"/>
            <w:vAlign w:val="bottom"/>
          </w:tcPr>
          <w:p w14:paraId="4C5F9299" w14:textId="77777777" w:rsidR="00936847" w:rsidRPr="009C5F11" w:rsidRDefault="00B3515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19.4</w:t>
            </w:r>
            <w:r w:rsidR="00936847" w:rsidRPr="009C5F11">
              <w:rPr>
                <w:rFonts w:ascii="Times New Roman" w:hAnsi="Times New Roman" w:cs="Times New Roman"/>
                <w:color w:val="000000"/>
                <w:sz w:val="18"/>
                <w:szCs w:val="14"/>
                <w:lang w:val="ro-RO"/>
              </w:rPr>
              <w:t xml:space="preserve">, </w:t>
            </w:r>
            <w:r w:rsidR="003D35EE" w:rsidRPr="009C5F11">
              <w:rPr>
                <w:rFonts w:ascii="Times New Roman" w:hAnsi="Times New Roman" w:cs="Times New Roman"/>
                <w:color w:val="000000"/>
                <w:sz w:val="18"/>
                <w:szCs w:val="14"/>
                <w:lang w:val="ro-RO"/>
              </w:rPr>
              <w:t>unde</w:t>
            </w:r>
          </w:p>
          <w:p w14:paraId="0987D2C6" w14:textId="77777777" w:rsidR="00936847" w:rsidRPr="009C5F11" w:rsidRDefault="00B35153" w:rsidP="003D35EE">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8.5</w:t>
            </w:r>
            <w:r w:rsidR="00936847" w:rsidRPr="009C5F11">
              <w:rPr>
                <w:rFonts w:ascii="Times New Roman" w:hAnsi="Times New Roman" w:cs="Times New Roman"/>
                <w:color w:val="000000"/>
                <w:sz w:val="18"/>
                <w:szCs w:val="14"/>
                <w:lang w:val="ro-RO"/>
              </w:rPr>
              <w:t xml:space="preserve"> </w:t>
            </w:r>
            <w:r w:rsidR="003D35EE" w:rsidRPr="009C5F11">
              <w:rPr>
                <w:rFonts w:ascii="Times New Roman" w:hAnsi="Times New Roman" w:cs="Times New Roman"/>
                <w:color w:val="000000"/>
                <w:sz w:val="18"/>
                <w:szCs w:val="14"/>
                <w:lang w:val="ro-RO"/>
              </w:rPr>
              <w:t>decurg din</w:t>
            </w:r>
            <w:r w:rsidR="00936847" w:rsidRPr="009C5F11">
              <w:rPr>
                <w:rFonts w:ascii="Times New Roman" w:hAnsi="Times New Roman" w:cs="Times New Roman"/>
                <w:color w:val="000000"/>
                <w:sz w:val="18"/>
                <w:szCs w:val="14"/>
                <w:lang w:val="ro-RO"/>
              </w:rPr>
              <w:t xml:space="preserve"> </w:t>
            </w:r>
            <w:r w:rsidR="00871B4E" w:rsidRPr="009C5F11">
              <w:rPr>
                <w:rFonts w:ascii="Times New Roman" w:hAnsi="Times New Roman" w:cs="Times New Roman"/>
                <w:color w:val="000000"/>
                <w:sz w:val="18"/>
                <w:szCs w:val="14"/>
                <w:lang w:val="ro-RO"/>
              </w:rPr>
              <w:t>DSE</w:t>
            </w:r>
          </w:p>
        </w:tc>
        <w:tc>
          <w:tcPr>
            <w:tcW w:w="924" w:type="pct"/>
            <w:shd w:val="clear" w:color="000000" w:fill="D9D9D9"/>
          </w:tcPr>
          <w:p w14:paraId="3AADAB94"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Implementată parţial</w:t>
            </w:r>
          </w:p>
        </w:tc>
        <w:tc>
          <w:tcPr>
            <w:tcW w:w="1003" w:type="pct"/>
            <w:shd w:val="clear" w:color="000000" w:fill="D9D9D9"/>
          </w:tcPr>
          <w:p w14:paraId="339C28B4"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p>
        </w:tc>
      </w:tr>
      <w:tr w:rsidR="00B14940" w:rsidRPr="009C5F11" w14:paraId="5B6ACA06" w14:textId="77777777" w:rsidTr="00B95EFF">
        <w:trPr>
          <w:trHeight w:val="840"/>
        </w:trPr>
        <w:tc>
          <w:tcPr>
            <w:tcW w:w="291" w:type="pct"/>
            <w:tcBorders>
              <w:bottom w:val="single" w:sz="8" w:space="0" w:color="FFFFFF" w:themeColor="background1"/>
            </w:tcBorders>
            <w:shd w:val="clear" w:color="000000" w:fill="D9D9D9"/>
            <w:noWrap/>
            <w:vAlign w:val="bottom"/>
            <w:hideMark/>
          </w:tcPr>
          <w:p w14:paraId="0847E084"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E6</w:t>
            </w:r>
          </w:p>
        </w:tc>
        <w:tc>
          <w:tcPr>
            <w:tcW w:w="1625" w:type="pct"/>
            <w:tcBorders>
              <w:bottom w:val="single" w:sz="8" w:space="0" w:color="FFFFFF" w:themeColor="background1"/>
            </w:tcBorders>
            <w:shd w:val="clear" w:color="000000" w:fill="D9D9D9"/>
            <w:vAlign w:val="bottom"/>
            <w:hideMark/>
          </w:tcPr>
          <w:p w14:paraId="487CDA4E" w14:textId="77777777" w:rsidR="00936847" w:rsidRPr="009C5F11" w:rsidRDefault="005F4F17" w:rsidP="00E85EF7">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Evaluarea cuprinzătoare a potenţialului pentru aplicarea cogenerării de înaltă eficiență și a termoficării și răcirii centralizate eficient</w:t>
            </w:r>
          </w:p>
        </w:tc>
        <w:tc>
          <w:tcPr>
            <w:tcW w:w="540" w:type="pct"/>
            <w:tcBorders>
              <w:bottom w:val="single" w:sz="8" w:space="0" w:color="FFFFFF" w:themeColor="background1"/>
            </w:tcBorders>
            <w:shd w:val="clear" w:color="000000" w:fill="D9D9D9"/>
            <w:noWrap/>
            <w:vAlign w:val="bottom"/>
            <w:hideMark/>
          </w:tcPr>
          <w:p w14:paraId="78CFBE92" w14:textId="77777777" w:rsidR="00936847" w:rsidRPr="009C5F11" w:rsidRDefault="00AB460B" w:rsidP="00B40DB5">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tcBorders>
              <w:bottom w:val="single" w:sz="8" w:space="0" w:color="FFFFFF" w:themeColor="background1"/>
            </w:tcBorders>
            <w:shd w:val="clear" w:color="000000" w:fill="D9D9D9"/>
            <w:vAlign w:val="bottom"/>
          </w:tcPr>
          <w:p w14:paraId="54CED7E1" w14:textId="77777777" w:rsidR="00936847" w:rsidRPr="009C5F11" w:rsidRDefault="00AB460B" w:rsidP="00B40DB5">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tcBorders>
              <w:bottom w:val="single" w:sz="8" w:space="0" w:color="FFFFFF" w:themeColor="background1"/>
            </w:tcBorders>
            <w:shd w:val="clear" w:color="000000" w:fill="D9D9D9"/>
          </w:tcPr>
          <w:p w14:paraId="1E3CC1DC" w14:textId="77777777" w:rsidR="00936847" w:rsidRPr="009C5F11" w:rsidRDefault="0020403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Măsură nouă</w:t>
            </w:r>
          </w:p>
        </w:tc>
        <w:tc>
          <w:tcPr>
            <w:tcW w:w="1003" w:type="pct"/>
            <w:tcBorders>
              <w:bottom w:val="single" w:sz="8" w:space="0" w:color="FFFFFF" w:themeColor="background1"/>
            </w:tcBorders>
            <w:shd w:val="clear" w:color="000000" w:fill="D9D9D9"/>
          </w:tcPr>
          <w:p w14:paraId="1BE5D6B6" w14:textId="77777777" w:rsidR="00936847" w:rsidRPr="009C5F11" w:rsidRDefault="00936847" w:rsidP="00430626">
            <w:pPr>
              <w:spacing w:after="0" w:line="240" w:lineRule="auto"/>
              <w:jc w:val="right"/>
              <w:rPr>
                <w:rFonts w:ascii="Times New Roman" w:hAnsi="Times New Roman" w:cs="Times New Roman"/>
                <w:color w:val="000000"/>
                <w:sz w:val="18"/>
                <w:szCs w:val="14"/>
                <w:lang w:val="ro-RO"/>
              </w:rPr>
            </w:pPr>
          </w:p>
        </w:tc>
      </w:tr>
      <w:tr w:rsidR="00936847" w:rsidRPr="009C5F11" w14:paraId="503BAC52" w14:textId="77777777" w:rsidTr="00B95EFF">
        <w:trPr>
          <w:trHeight w:val="300"/>
        </w:trPr>
        <w:tc>
          <w:tcPr>
            <w:tcW w:w="5000" w:type="pct"/>
            <w:gridSpan w:val="6"/>
            <w:tcBorders>
              <w:bottom w:val="single" w:sz="8" w:space="0" w:color="FFFFFF" w:themeColor="background1"/>
            </w:tcBorders>
            <w:shd w:val="clear" w:color="auto" w:fill="3E5DEA"/>
            <w:noWrap/>
            <w:vAlign w:val="bottom"/>
            <w:hideMark/>
          </w:tcPr>
          <w:p w14:paraId="2AD53414" w14:textId="77777777" w:rsidR="00936847" w:rsidRPr="009C5F11" w:rsidRDefault="007E1094" w:rsidP="00430626">
            <w:pPr>
              <w:spacing w:after="0" w:line="240" w:lineRule="auto"/>
              <w:jc w:val="center"/>
              <w:rPr>
                <w:rFonts w:ascii="Times New Roman" w:hAnsi="Times New Roman" w:cs="Times New Roman"/>
                <w:b/>
                <w:color w:val="FFFFFF"/>
                <w:sz w:val="18"/>
                <w:szCs w:val="14"/>
                <w:lang w:val="ro-RO"/>
              </w:rPr>
            </w:pPr>
            <w:r w:rsidRPr="009C5F11">
              <w:rPr>
                <w:rFonts w:ascii="Times New Roman" w:hAnsi="Times New Roman" w:cs="Times New Roman"/>
                <w:b/>
                <w:color w:val="FFFFFF"/>
                <w:sz w:val="18"/>
                <w:szCs w:val="14"/>
                <w:lang w:val="ro-RO"/>
              </w:rPr>
              <w:t>Măsuri în sectorul</w:t>
            </w:r>
            <w:r w:rsidR="00D4035F" w:rsidRPr="009C5F11">
              <w:rPr>
                <w:rFonts w:ascii="Times New Roman" w:hAnsi="Times New Roman" w:cs="Times New Roman"/>
                <w:b/>
                <w:color w:val="FFFFFF"/>
                <w:sz w:val="18"/>
                <w:szCs w:val="14"/>
                <w:lang w:val="ro-RO"/>
              </w:rPr>
              <w:t xml:space="preserve"> construcţiilor</w:t>
            </w:r>
          </w:p>
        </w:tc>
      </w:tr>
      <w:tr w:rsidR="00B14940" w:rsidRPr="009C5F11" w14:paraId="10FAB6D9" w14:textId="77777777" w:rsidTr="00B95EFF">
        <w:trPr>
          <w:trHeight w:val="300"/>
        </w:trPr>
        <w:tc>
          <w:tcPr>
            <w:tcW w:w="291" w:type="pct"/>
            <w:shd w:val="clear" w:color="000000" w:fill="C5D9F1"/>
            <w:noWrap/>
            <w:vAlign w:val="bottom"/>
            <w:hideMark/>
          </w:tcPr>
          <w:p w14:paraId="1C4EA374"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B1</w:t>
            </w:r>
          </w:p>
        </w:tc>
        <w:tc>
          <w:tcPr>
            <w:tcW w:w="1625" w:type="pct"/>
            <w:shd w:val="clear" w:color="000000" w:fill="C5D9F1"/>
            <w:vAlign w:val="bottom"/>
            <w:hideMark/>
          </w:tcPr>
          <w:p w14:paraId="0FE14E91" w14:textId="77777777" w:rsidR="00936847" w:rsidRPr="009C5F11" w:rsidRDefault="002B232C"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Elaborarea cadrului legal cu privire la</w:t>
            </w:r>
            <w:r w:rsidR="00D160E1" w:rsidRPr="009C5F11">
              <w:rPr>
                <w:rFonts w:ascii="Times New Roman" w:hAnsi="Times New Roman" w:cs="Times New Roman"/>
                <w:color w:val="000000"/>
                <w:sz w:val="18"/>
                <w:szCs w:val="14"/>
                <w:lang w:val="ro-RO"/>
              </w:rPr>
              <w:t xml:space="preserve"> performanţa energetică a clădirilor</w:t>
            </w:r>
            <w:r w:rsidRPr="009C5F11">
              <w:rPr>
                <w:rFonts w:ascii="Times New Roman" w:hAnsi="Times New Roman" w:cs="Times New Roman"/>
                <w:color w:val="000000"/>
                <w:sz w:val="18"/>
                <w:szCs w:val="14"/>
                <w:lang w:val="ro-RO"/>
              </w:rPr>
              <w:t>.</w:t>
            </w:r>
          </w:p>
        </w:tc>
        <w:tc>
          <w:tcPr>
            <w:tcW w:w="540" w:type="pct"/>
            <w:shd w:val="clear" w:color="000000" w:fill="C5D9F1"/>
            <w:noWrap/>
            <w:vAlign w:val="bottom"/>
            <w:hideMark/>
          </w:tcPr>
          <w:p w14:paraId="518FD7B5" w14:textId="77777777" w:rsidR="00936847" w:rsidRPr="009C5F11" w:rsidRDefault="00AB460B" w:rsidP="00B40DB5">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shd w:val="clear" w:color="000000" w:fill="C5D9F1"/>
            <w:vAlign w:val="bottom"/>
          </w:tcPr>
          <w:p w14:paraId="16531C17" w14:textId="77777777" w:rsidR="00936847" w:rsidRPr="009C5F11" w:rsidRDefault="00AB460B"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shd w:val="clear" w:color="000000" w:fill="C5D9F1"/>
          </w:tcPr>
          <w:p w14:paraId="0D694FF6"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Implementată parţial</w:t>
            </w:r>
          </w:p>
        </w:tc>
        <w:tc>
          <w:tcPr>
            <w:tcW w:w="1003" w:type="pct"/>
            <w:shd w:val="clear" w:color="000000" w:fill="C5D9F1"/>
          </w:tcPr>
          <w:p w14:paraId="1C2D4D49"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p>
        </w:tc>
      </w:tr>
      <w:tr w:rsidR="00B14940" w:rsidRPr="009C5F11" w14:paraId="20D37889" w14:textId="77777777" w:rsidTr="00B95EFF">
        <w:trPr>
          <w:trHeight w:val="300"/>
        </w:trPr>
        <w:tc>
          <w:tcPr>
            <w:tcW w:w="291" w:type="pct"/>
            <w:shd w:val="clear" w:color="000000" w:fill="C5D9F1"/>
            <w:noWrap/>
            <w:vAlign w:val="bottom"/>
            <w:hideMark/>
          </w:tcPr>
          <w:p w14:paraId="7D4567B0"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B2</w:t>
            </w:r>
          </w:p>
        </w:tc>
        <w:tc>
          <w:tcPr>
            <w:tcW w:w="1625" w:type="pct"/>
            <w:shd w:val="clear" w:color="000000" w:fill="C5D9F1"/>
            <w:noWrap/>
            <w:vAlign w:val="bottom"/>
            <w:hideMark/>
          </w:tcPr>
          <w:p w14:paraId="6AA7C85D" w14:textId="77777777" w:rsidR="00936847" w:rsidRPr="009C5F11" w:rsidRDefault="00D160E1"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Promovarea clădirilor al căror consum de energie este aproape egal cu zero</w:t>
            </w:r>
            <w:r w:rsidR="002B232C" w:rsidRPr="009C5F11">
              <w:rPr>
                <w:rFonts w:ascii="Times New Roman" w:hAnsi="Times New Roman" w:cs="Times New Roman"/>
                <w:color w:val="000000"/>
                <w:sz w:val="18"/>
                <w:szCs w:val="14"/>
                <w:lang w:val="ro-RO"/>
              </w:rPr>
              <w:t>.</w:t>
            </w:r>
          </w:p>
        </w:tc>
        <w:tc>
          <w:tcPr>
            <w:tcW w:w="540" w:type="pct"/>
            <w:shd w:val="clear" w:color="000000" w:fill="C5D9F1"/>
            <w:noWrap/>
            <w:vAlign w:val="bottom"/>
            <w:hideMark/>
          </w:tcPr>
          <w:p w14:paraId="41BE9AAF" w14:textId="77777777" w:rsidR="00936847" w:rsidRPr="009C5F11" w:rsidRDefault="00AB460B"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617" w:type="pct"/>
            <w:shd w:val="clear" w:color="000000" w:fill="C5D9F1"/>
            <w:vAlign w:val="bottom"/>
          </w:tcPr>
          <w:p w14:paraId="484111ED" w14:textId="77777777" w:rsidR="00936847" w:rsidRPr="009C5F11" w:rsidRDefault="00AB460B"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N/A</w:t>
            </w:r>
          </w:p>
        </w:tc>
        <w:tc>
          <w:tcPr>
            <w:tcW w:w="924" w:type="pct"/>
            <w:shd w:val="clear" w:color="000000" w:fill="C5D9F1"/>
          </w:tcPr>
          <w:p w14:paraId="03598F96" w14:textId="77777777" w:rsidR="00936847" w:rsidRPr="009C5F11" w:rsidRDefault="001A3909"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Primii paşi în implementare au fost realizaţi</w:t>
            </w:r>
          </w:p>
        </w:tc>
        <w:tc>
          <w:tcPr>
            <w:tcW w:w="1003" w:type="pct"/>
            <w:shd w:val="clear" w:color="000000" w:fill="C5D9F1"/>
          </w:tcPr>
          <w:p w14:paraId="1DE622D8"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p>
        </w:tc>
      </w:tr>
      <w:tr w:rsidR="00B14940" w:rsidRPr="009C5F11" w14:paraId="4D84E894" w14:textId="77777777" w:rsidTr="006505AF">
        <w:trPr>
          <w:trHeight w:val="300"/>
        </w:trPr>
        <w:tc>
          <w:tcPr>
            <w:tcW w:w="291" w:type="pct"/>
            <w:tcBorders>
              <w:bottom w:val="single" w:sz="8" w:space="0" w:color="FFFFFF" w:themeColor="background1"/>
            </w:tcBorders>
            <w:shd w:val="clear" w:color="000000" w:fill="C5D9F1"/>
            <w:noWrap/>
            <w:vAlign w:val="bottom"/>
            <w:hideMark/>
          </w:tcPr>
          <w:p w14:paraId="6BC3DEDB"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B3</w:t>
            </w:r>
          </w:p>
        </w:tc>
        <w:tc>
          <w:tcPr>
            <w:tcW w:w="1625" w:type="pct"/>
            <w:tcBorders>
              <w:bottom w:val="single" w:sz="8" w:space="0" w:color="FFFFFF" w:themeColor="background1"/>
            </w:tcBorders>
            <w:shd w:val="clear" w:color="000000" w:fill="C5D9F1"/>
            <w:noWrap/>
            <w:vAlign w:val="bottom"/>
            <w:hideMark/>
          </w:tcPr>
          <w:p w14:paraId="54497583" w14:textId="77777777" w:rsidR="00936847" w:rsidRPr="009C5F11" w:rsidRDefault="00D160E1"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Măsuri de îmbunătăţire a eficienţei energetice în blocurile rezidenţiale</w:t>
            </w:r>
            <w:r w:rsidR="002B232C" w:rsidRPr="009C5F11">
              <w:rPr>
                <w:rFonts w:ascii="Times New Roman" w:hAnsi="Times New Roman" w:cs="Times New Roman"/>
                <w:color w:val="000000"/>
                <w:sz w:val="18"/>
                <w:szCs w:val="14"/>
                <w:lang w:val="ro-RO"/>
              </w:rPr>
              <w:t>.</w:t>
            </w:r>
          </w:p>
        </w:tc>
        <w:tc>
          <w:tcPr>
            <w:tcW w:w="540" w:type="pct"/>
            <w:tcBorders>
              <w:bottom w:val="single" w:sz="8" w:space="0" w:color="FFFFFF" w:themeColor="background1"/>
            </w:tcBorders>
            <w:shd w:val="clear" w:color="000000" w:fill="C5D9F1"/>
            <w:noWrap/>
            <w:vAlign w:val="bottom"/>
            <w:hideMark/>
          </w:tcPr>
          <w:p w14:paraId="212E0978" w14:textId="77777777" w:rsidR="00936847" w:rsidRPr="009C5F11" w:rsidRDefault="00B3515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1.2</w:t>
            </w:r>
          </w:p>
        </w:tc>
        <w:tc>
          <w:tcPr>
            <w:tcW w:w="617" w:type="pct"/>
            <w:tcBorders>
              <w:bottom w:val="single" w:sz="8" w:space="0" w:color="FFFFFF" w:themeColor="background1"/>
            </w:tcBorders>
            <w:shd w:val="clear" w:color="000000" w:fill="C5D9F1"/>
            <w:vAlign w:val="bottom"/>
          </w:tcPr>
          <w:p w14:paraId="7E2E0320" w14:textId="77777777" w:rsidR="00936847" w:rsidRPr="009C5F11" w:rsidRDefault="00936847" w:rsidP="00430626">
            <w:pPr>
              <w:spacing w:after="0" w:line="240" w:lineRule="auto"/>
              <w:jc w:val="right"/>
              <w:rPr>
                <w:rFonts w:ascii="Times New Roman" w:hAnsi="Times New Roman" w:cs="Times New Roman"/>
                <w:b/>
                <w:bCs/>
                <w:color w:val="000000"/>
                <w:sz w:val="18"/>
                <w:szCs w:val="14"/>
                <w:lang w:val="ro-RO"/>
              </w:rPr>
            </w:pPr>
            <w:r w:rsidRPr="009C5F11">
              <w:rPr>
                <w:rFonts w:ascii="Times New Roman" w:hAnsi="Times New Roman" w:cs="Times New Roman"/>
                <w:b/>
                <w:bCs/>
                <w:color w:val="000000"/>
                <w:sz w:val="18"/>
                <w:szCs w:val="14"/>
                <w:lang w:val="ro-RO"/>
              </w:rPr>
              <w:t>31</w:t>
            </w:r>
            <w:r w:rsidR="00B35153" w:rsidRPr="009C5F11">
              <w:rPr>
                <w:rFonts w:ascii="Times New Roman" w:hAnsi="Times New Roman" w:cs="Times New Roman"/>
                <w:b/>
                <w:bCs/>
                <w:color w:val="000000"/>
                <w:sz w:val="18"/>
                <w:szCs w:val="14"/>
                <w:lang w:val="ro-RO"/>
              </w:rPr>
              <w:t>.0</w:t>
            </w:r>
          </w:p>
        </w:tc>
        <w:tc>
          <w:tcPr>
            <w:tcW w:w="924" w:type="pct"/>
            <w:tcBorders>
              <w:bottom w:val="single" w:sz="8" w:space="0" w:color="FFFFFF" w:themeColor="background1"/>
            </w:tcBorders>
            <w:shd w:val="clear" w:color="000000" w:fill="C5D9F1"/>
          </w:tcPr>
          <w:p w14:paraId="463AEE37"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Implementată parţial</w:t>
            </w:r>
          </w:p>
        </w:tc>
        <w:tc>
          <w:tcPr>
            <w:tcW w:w="1003" w:type="pct"/>
            <w:tcBorders>
              <w:bottom w:val="single" w:sz="8" w:space="0" w:color="FFFFFF" w:themeColor="background1"/>
            </w:tcBorders>
            <w:shd w:val="clear" w:color="000000" w:fill="C5D9F1"/>
          </w:tcPr>
          <w:p w14:paraId="5DD19D1A"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p>
        </w:tc>
      </w:tr>
      <w:tr w:rsidR="00936847" w:rsidRPr="009C5F11" w14:paraId="3EF6FA11" w14:textId="77777777" w:rsidTr="006505AF">
        <w:trPr>
          <w:trHeight w:val="300"/>
        </w:trPr>
        <w:tc>
          <w:tcPr>
            <w:tcW w:w="5000" w:type="pct"/>
            <w:gridSpan w:val="6"/>
            <w:tcBorders>
              <w:bottom w:val="single" w:sz="8" w:space="0" w:color="FFFFFF" w:themeColor="background1"/>
            </w:tcBorders>
            <w:shd w:val="clear" w:color="auto" w:fill="666666"/>
            <w:noWrap/>
            <w:vAlign w:val="bottom"/>
            <w:hideMark/>
          </w:tcPr>
          <w:p w14:paraId="7EDB5273" w14:textId="77777777" w:rsidR="00936847" w:rsidRPr="009C5F11" w:rsidRDefault="007E1094" w:rsidP="00204033">
            <w:pPr>
              <w:spacing w:after="0" w:line="240" w:lineRule="auto"/>
              <w:jc w:val="center"/>
              <w:rPr>
                <w:rFonts w:ascii="Times New Roman" w:hAnsi="Times New Roman" w:cs="Times New Roman"/>
                <w:b/>
                <w:color w:val="FFFFFF"/>
                <w:sz w:val="18"/>
                <w:szCs w:val="14"/>
                <w:lang w:val="ro-RO"/>
              </w:rPr>
            </w:pPr>
            <w:r w:rsidRPr="009C5F11">
              <w:rPr>
                <w:rFonts w:ascii="Times New Roman" w:hAnsi="Times New Roman" w:cs="Times New Roman"/>
                <w:b/>
                <w:color w:val="FFFFFF"/>
                <w:sz w:val="18"/>
                <w:szCs w:val="14"/>
                <w:lang w:val="ro-RO"/>
              </w:rPr>
              <w:t>Măsuri în sectorul</w:t>
            </w:r>
            <w:r w:rsidR="00936847" w:rsidRPr="009C5F11">
              <w:rPr>
                <w:rFonts w:ascii="Times New Roman" w:hAnsi="Times New Roman" w:cs="Times New Roman"/>
                <w:b/>
                <w:color w:val="FFFFFF"/>
                <w:sz w:val="18"/>
                <w:szCs w:val="14"/>
                <w:lang w:val="ro-RO"/>
              </w:rPr>
              <w:t xml:space="preserve"> industrial </w:t>
            </w:r>
          </w:p>
        </w:tc>
      </w:tr>
      <w:tr w:rsidR="00B14940" w:rsidRPr="009C5F11" w14:paraId="50CFB939" w14:textId="77777777" w:rsidTr="006505AF">
        <w:trPr>
          <w:trHeight w:val="300"/>
        </w:trPr>
        <w:tc>
          <w:tcPr>
            <w:tcW w:w="291" w:type="pct"/>
            <w:shd w:val="clear" w:color="000000" w:fill="D9D9D9"/>
            <w:noWrap/>
            <w:vAlign w:val="bottom"/>
            <w:hideMark/>
          </w:tcPr>
          <w:p w14:paraId="23E4346C"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I1</w:t>
            </w:r>
          </w:p>
        </w:tc>
        <w:tc>
          <w:tcPr>
            <w:tcW w:w="1625" w:type="pct"/>
            <w:shd w:val="clear" w:color="000000" w:fill="D9D9D9"/>
            <w:noWrap/>
            <w:vAlign w:val="bottom"/>
            <w:hideMark/>
          </w:tcPr>
          <w:p w14:paraId="04BBC956" w14:textId="77777777" w:rsidR="00936847" w:rsidRPr="009C5F11" w:rsidRDefault="00B2689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Modernizarea şi renovarea</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sectorului industrial</w:t>
            </w:r>
            <w:r w:rsidR="00936847" w:rsidRPr="009C5F11">
              <w:rPr>
                <w:rFonts w:ascii="Times New Roman" w:hAnsi="Times New Roman" w:cs="Times New Roman"/>
                <w:color w:val="000000"/>
                <w:sz w:val="18"/>
                <w:szCs w:val="14"/>
                <w:lang w:val="ro-RO"/>
              </w:rPr>
              <w:t xml:space="preserve"> </w:t>
            </w:r>
            <w:r w:rsidR="002B232C" w:rsidRPr="009C5F11">
              <w:rPr>
                <w:rFonts w:ascii="Times New Roman" w:hAnsi="Times New Roman" w:cs="Times New Roman"/>
                <w:color w:val="000000"/>
                <w:sz w:val="18"/>
                <w:szCs w:val="14"/>
                <w:lang w:val="ro-RO"/>
              </w:rPr>
              <w:t>folosind stimulente financiare.</w:t>
            </w:r>
          </w:p>
        </w:tc>
        <w:tc>
          <w:tcPr>
            <w:tcW w:w="540" w:type="pct"/>
            <w:shd w:val="clear" w:color="000000" w:fill="D9D9D9"/>
            <w:noWrap/>
            <w:vAlign w:val="bottom"/>
            <w:hideMark/>
          </w:tcPr>
          <w:p w14:paraId="3327A144" w14:textId="77777777" w:rsidR="00936847" w:rsidRPr="009C5F11" w:rsidRDefault="00B3515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8.9</w:t>
            </w:r>
          </w:p>
        </w:tc>
        <w:tc>
          <w:tcPr>
            <w:tcW w:w="617" w:type="pct"/>
            <w:shd w:val="clear" w:color="000000" w:fill="D9D9D9"/>
            <w:vAlign w:val="bottom"/>
          </w:tcPr>
          <w:p w14:paraId="126269F3" w14:textId="77777777" w:rsidR="00936847" w:rsidRPr="009C5F11" w:rsidRDefault="00B35153" w:rsidP="00430626">
            <w:pPr>
              <w:spacing w:after="0" w:line="240" w:lineRule="auto"/>
              <w:jc w:val="right"/>
              <w:rPr>
                <w:rFonts w:ascii="Times New Roman" w:hAnsi="Times New Roman" w:cs="Times New Roman"/>
                <w:b/>
                <w:bCs/>
                <w:color w:val="000000"/>
                <w:sz w:val="18"/>
                <w:szCs w:val="14"/>
                <w:lang w:val="ro-RO"/>
              </w:rPr>
            </w:pPr>
            <w:r w:rsidRPr="009C5F11">
              <w:rPr>
                <w:rFonts w:ascii="Times New Roman" w:hAnsi="Times New Roman" w:cs="Times New Roman"/>
                <w:b/>
                <w:bCs/>
                <w:color w:val="000000"/>
                <w:sz w:val="18"/>
                <w:szCs w:val="14"/>
                <w:lang w:val="ro-RO"/>
              </w:rPr>
              <w:t>12.9</w:t>
            </w:r>
          </w:p>
        </w:tc>
        <w:tc>
          <w:tcPr>
            <w:tcW w:w="924" w:type="pct"/>
            <w:shd w:val="clear" w:color="000000" w:fill="D9D9D9"/>
          </w:tcPr>
          <w:p w14:paraId="64874440"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Implementată conform planului</w:t>
            </w:r>
          </w:p>
        </w:tc>
        <w:tc>
          <w:tcPr>
            <w:tcW w:w="1003" w:type="pct"/>
            <w:shd w:val="clear" w:color="000000" w:fill="D9D9D9"/>
          </w:tcPr>
          <w:p w14:paraId="34523533"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r w:rsidR="00927CD9" w:rsidRPr="009C5F11">
              <w:rPr>
                <w:rFonts w:ascii="Times New Roman" w:hAnsi="Times New Roman" w:cs="Times New Roman"/>
                <w:color w:val="000000"/>
                <w:sz w:val="18"/>
                <w:szCs w:val="14"/>
                <w:lang w:val="ro-RO"/>
              </w:rPr>
              <w:t xml:space="preserve"> conform planului</w:t>
            </w:r>
          </w:p>
        </w:tc>
      </w:tr>
      <w:tr w:rsidR="00B14940" w:rsidRPr="009C5F11" w14:paraId="4FA1DEA5" w14:textId="77777777" w:rsidTr="006505AF">
        <w:trPr>
          <w:trHeight w:val="300"/>
        </w:trPr>
        <w:tc>
          <w:tcPr>
            <w:tcW w:w="291" w:type="pct"/>
            <w:tcBorders>
              <w:bottom w:val="single" w:sz="8" w:space="0" w:color="FFFFFF" w:themeColor="background1"/>
            </w:tcBorders>
            <w:shd w:val="clear" w:color="000000" w:fill="D9D9D9"/>
            <w:noWrap/>
            <w:vAlign w:val="bottom"/>
            <w:hideMark/>
          </w:tcPr>
          <w:p w14:paraId="4C01956D"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I2</w:t>
            </w:r>
          </w:p>
        </w:tc>
        <w:tc>
          <w:tcPr>
            <w:tcW w:w="1625" w:type="pct"/>
            <w:tcBorders>
              <w:bottom w:val="single" w:sz="8" w:space="0" w:color="FFFFFF" w:themeColor="background1"/>
            </w:tcBorders>
            <w:shd w:val="clear" w:color="000000" w:fill="D9D9D9"/>
            <w:noWrap/>
            <w:vAlign w:val="bottom"/>
            <w:hideMark/>
          </w:tcPr>
          <w:p w14:paraId="73CE48A4" w14:textId="77777777" w:rsidR="00936847" w:rsidRPr="009C5F11" w:rsidRDefault="00B2689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Introducerea managementului energetic şi a celor mai bune practici în industrie</w:t>
            </w:r>
            <w:r w:rsidR="002B232C" w:rsidRPr="009C5F11">
              <w:rPr>
                <w:rFonts w:ascii="Times New Roman" w:hAnsi="Times New Roman" w:cs="Times New Roman"/>
                <w:color w:val="000000"/>
                <w:sz w:val="18"/>
                <w:szCs w:val="14"/>
                <w:lang w:val="ro-RO"/>
              </w:rPr>
              <w:t>.</w:t>
            </w:r>
          </w:p>
        </w:tc>
        <w:tc>
          <w:tcPr>
            <w:tcW w:w="540" w:type="pct"/>
            <w:tcBorders>
              <w:bottom w:val="single" w:sz="8" w:space="0" w:color="FFFFFF" w:themeColor="background1"/>
            </w:tcBorders>
            <w:shd w:val="clear" w:color="000000" w:fill="D9D9D9"/>
            <w:noWrap/>
            <w:vAlign w:val="bottom"/>
            <w:hideMark/>
          </w:tcPr>
          <w:p w14:paraId="4BC5B7CF" w14:textId="77777777" w:rsidR="00936847" w:rsidRPr="009C5F11" w:rsidRDefault="00B3515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1.</w:t>
            </w:r>
            <w:r w:rsidR="0003047C" w:rsidRPr="009C5F11">
              <w:rPr>
                <w:rFonts w:ascii="Times New Roman" w:hAnsi="Times New Roman" w:cs="Times New Roman"/>
                <w:color w:val="000000"/>
                <w:sz w:val="18"/>
                <w:szCs w:val="14"/>
                <w:lang w:val="ro-RO"/>
              </w:rPr>
              <w:t>1</w:t>
            </w:r>
          </w:p>
        </w:tc>
        <w:tc>
          <w:tcPr>
            <w:tcW w:w="617" w:type="pct"/>
            <w:tcBorders>
              <w:bottom w:val="single" w:sz="8" w:space="0" w:color="FFFFFF" w:themeColor="background1"/>
            </w:tcBorders>
            <w:shd w:val="clear" w:color="000000" w:fill="D9D9D9"/>
            <w:vAlign w:val="bottom"/>
          </w:tcPr>
          <w:p w14:paraId="7B296054" w14:textId="77777777" w:rsidR="00936847" w:rsidRPr="009C5F11" w:rsidRDefault="00936847" w:rsidP="00430626">
            <w:pPr>
              <w:spacing w:after="0" w:line="240" w:lineRule="auto"/>
              <w:jc w:val="right"/>
              <w:rPr>
                <w:rFonts w:ascii="Times New Roman" w:hAnsi="Times New Roman" w:cs="Times New Roman"/>
                <w:b/>
                <w:bCs/>
                <w:color w:val="000000"/>
                <w:sz w:val="18"/>
                <w:szCs w:val="14"/>
                <w:lang w:val="ro-RO"/>
              </w:rPr>
            </w:pPr>
            <w:r w:rsidRPr="009C5F11">
              <w:rPr>
                <w:rFonts w:ascii="Times New Roman" w:hAnsi="Times New Roman" w:cs="Times New Roman"/>
                <w:b/>
                <w:bCs/>
                <w:color w:val="000000"/>
                <w:sz w:val="18"/>
                <w:szCs w:val="14"/>
                <w:lang w:val="ro-RO"/>
              </w:rPr>
              <w:t>2.3</w:t>
            </w:r>
          </w:p>
        </w:tc>
        <w:tc>
          <w:tcPr>
            <w:tcW w:w="924" w:type="pct"/>
            <w:tcBorders>
              <w:bottom w:val="single" w:sz="8" w:space="0" w:color="FFFFFF" w:themeColor="background1"/>
            </w:tcBorders>
            <w:shd w:val="clear" w:color="000000" w:fill="D9D9D9"/>
          </w:tcPr>
          <w:p w14:paraId="7D617870" w14:textId="77777777" w:rsidR="00936847" w:rsidRPr="009C5F11" w:rsidRDefault="001A3909"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Primii paşi în implementare au fost realizaţi</w:t>
            </w:r>
          </w:p>
        </w:tc>
        <w:tc>
          <w:tcPr>
            <w:tcW w:w="1003" w:type="pct"/>
            <w:tcBorders>
              <w:bottom w:val="single" w:sz="8" w:space="0" w:color="FFFFFF" w:themeColor="background1"/>
            </w:tcBorders>
            <w:shd w:val="clear" w:color="000000" w:fill="D9D9D9"/>
          </w:tcPr>
          <w:p w14:paraId="1F565FB1"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p>
        </w:tc>
      </w:tr>
      <w:tr w:rsidR="00936847" w:rsidRPr="009C5F11" w14:paraId="33FCA6B3" w14:textId="77777777" w:rsidTr="006505AF">
        <w:trPr>
          <w:trHeight w:val="300"/>
        </w:trPr>
        <w:tc>
          <w:tcPr>
            <w:tcW w:w="5000" w:type="pct"/>
            <w:gridSpan w:val="6"/>
            <w:tcBorders>
              <w:bottom w:val="single" w:sz="8" w:space="0" w:color="FFFFFF" w:themeColor="background1"/>
            </w:tcBorders>
            <w:shd w:val="clear" w:color="auto" w:fill="3E5DEA"/>
            <w:noWrap/>
            <w:vAlign w:val="bottom"/>
            <w:hideMark/>
          </w:tcPr>
          <w:p w14:paraId="0FE73583" w14:textId="77777777" w:rsidR="00936847" w:rsidRPr="009C5F11" w:rsidRDefault="007E1094" w:rsidP="00430626">
            <w:pPr>
              <w:spacing w:after="0" w:line="240" w:lineRule="auto"/>
              <w:jc w:val="center"/>
              <w:rPr>
                <w:rFonts w:ascii="Times New Roman" w:hAnsi="Times New Roman" w:cs="Times New Roman"/>
                <w:b/>
                <w:color w:val="FFFFFF"/>
                <w:sz w:val="18"/>
                <w:szCs w:val="14"/>
                <w:lang w:val="ro-RO"/>
              </w:rPr>
            </w:pPr>
            <w:r w:rsidRPr="009C5F11">
              <w:rPr>
                <w:rFonts w:ascii="Times New Roman" w:hAnsi="Times New Roman" w:cs="Times New Roman"/>
                <w:b/>
                <w:color w:val="FFFFFF"/>
                <w:sz w:val="18"/>
                <w:szCs w:val="14"/>
                <w:lang w:val="ro-RO"/>
              </w:rPr>
              <w:t>Măsuri în sectorul</w:t>
            </w:r>
            <w:r w:rsidR="002F0B3A" w:rsidRPr="009C5F11">
              <w:rPr>
                <w:rFonts w:ascii="Times New Roman" w:hAnsi="Times New Roman" w:cs="Times New Roman"/>
                <w:b/>
                <w:color w:val="FFFFFF"/>
                <w:sz w:val="18"/>
                <w:szCs w:val="14"/>
                <w:lang w:val="ro-RO"/>
              </w:rPr>
              <w:t xml:space="preserve"> public</w:t>
            </w:r>
          </w:p>
        </w:tc>
      </w:tr>
      <w:tr w:rsidR="00B14940" w:rsidRPr="009C5F11" w14:paraId="6FB08819" w14:textId="77777777" w:rsidTr="006505AF">
        <w:trPr>
          <w:trHeight w:val="300"/>
        </w:trPr>
        <w:tc>
          <w:tcPr>
            <w:tcW w:w="291" w:type="pct"/>
            <w:shd w:val="clear" w:color="000000" w:fill="C5D9F1"/>
            <w:noWrap/>
            <w:vAlign w:val="bottom"/>
            <w:hideMark/>
          </w:tcPr>
          <w:p w14:paraId="7E93FF22"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P1</w:t>
            </w:r>
          </w:p>
        </w:tc>
        <w:tc>
          <w:tcPr>
            <w:tcW w:w="1625" w:type="pct"/>
            <w:shd w:val="clear" w:color="000000" w:fill="C5D9F1"/>
            <w:noWrap/>
            <w:vAlign w:val="bottom"/>
            <w:hideMark/>
          </w:tcPr>
          <w:p w14:paraId="0EAFC0F4" w14:textId="77777777" w:rsidR="00936847" w:rsidRPr="009C5F11" w:rsidRDefault="00FD5F1C" w:rsidP="00FB4B3D">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Îmbunătăţirea eficienţei energetice</w:t>
            </w:r>
            <w:r w:rsidR="00321CD5" w:rsidRPr="009C5F11">
              <w:rPr>
                <w:rFonts w:ascii="Times New Roman" w:hAnsi="Times New Roman" w:cs="Times New Roman"/>
                <w:color w:val="000000"/>
                <w:sz w:val="18"/>
                <w:szCs w:val="14"/>
                <w:lang w:val="ro-RO"/>
              </w:rPr>
              <w:t xml:space="preserve"> în </w:t>
            </w:r>
            <w:r w:rsidR="00F43616" w:rsidRPr="009C5F11">
              <w:rPr>
                <w:rFonts w:ascii="Times New Roman" w:hAnsi="Times New Roman" w:cs="Times New Roman"/>
                <w:color w:val="000000"/>
                <w:sz w:val="18"/>
                <w:szCs w:val="14"/>
                <w:lang w:val="ro-RO"/>
              </w:rPr>
              <w:t xml:space="preserve">sectorul </w:t>
            </w:r>
            <w:r w:rsidR="00204033" w:rsidRPr="009C5F11">
              <w:rPr>
                <w:rFonts w:ascii="Times New Roman" w:hAnsi="Times New Roman" w:cs="Times New Roman"/>
                <w:color w:val="000000"/>
                <w:sz w:val="18"/>
                <w:szCs w:val="14"/>
                <w:lang w:val="ro-RO"/>
              </w:rPr>
              <w:t>construcţiilor</w:t>
            </w:r>
            <w:r w:rsidR="00FB4B3D" w:rsidRPr="009C5F11">
              <w:rPr>
                <w:rFonts w:ascii="Times New Roman" w:hAnsi="Times New Roman" w:cs="Times New Roman"/>
                <w:color w:val="000000"/>
                <w:sz w:val="18"/>
                <w:szCs w:val="14"/>
                <w:lang w:val="ro-RO"/>
              </w:rPr>
              <w:t xml:space="preserve"> publice</w:t>
            </w:r>
            <w:r w:rsidR="002B232C" w:rsidRPr="009C5F11">
              <w:rPr>
                <w:rFonts w:ascii="Times New Roman" w:hAnsi="Times New Roman" w:cs="Times New Roman"/>
                <w:color w:val="000000"/>
                <w:sz w:val="18"/>
                <w:szCs w:val="14"/>
                <w:lang w:val="ro-RO"/>
              </w:rPr>
              <w:t>.</w:t>
            </w:r>
          </w:p>
        </w:tc>
        <w:tc>
          <w:tcPr>
            <w:tcW w:w="540" w:type="pct"/>
            <w:shd w:val="clear" w:color="000000" w:fill="C5D9F1"/>
            <w:noWrap/>
            <w:vAlign w:val="bottom"/>
            <w:hideMark/>
          </w:tcPr>
          <w:p w14:paraId="0789FF06" w14:textId="77777777" w:rsidR="00936847" w:rsidRPr="009C5F11" w:rsidRDefault="0055452F"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17.7</w:t>
            </w:r>
          </w:p>
        </w:tc>
        <w:tc>
          <w:tcPr>
            <w:tcW w:w="617" w:type="pct"/>
            <w:shd w:val="clear" w:color="000000" w:fill="C5D9F1"/>
            <w:vAlign w:val="bottom"/>
          </w:tcPr>
          <w:p w14:paraId="54094D5D" w14:textId="77777777" w:rsidR="00936847" w:rsidRPr="009C5F11" w:rsidRDefault="00B35153" w:rsidP="00430626">
            <w:pPr>
              <w:spacing w:after="0" w:line="240" w:lineRule="auto"/>
              <w:jc w:val="right"/>
              <w:rPr>
                <w:rFonts w:ascii="Times New Roman" w:hAnsi="Times New Roman" w:cs="Times New Roman"/>
                <w:b/>
                <w:bCs/>
                <w:color w:val="000000"/>
                <w:sz w:val="18"/>
                <w:szCs w:val="14"/>
                <w:lang w:val="ro-RO"/>
              </w:rPr>
            </w:pPr>
            <w:r w:rsidRPr="009C5F11">
              <w:rPr>
                <w:rFonts w:ascii="Times New Roman" w:hAnsi="Times New Roman" w:cs="Times New Roman"/>
                <w:b/>
                <w:bCs/>
                <w:color w:val="000000"/>
                <w:sz w:val="18"/>
                <w:szCs w:val="14"/>
                <w:lang w:val="ro-RO"/>
              </w:rPr>
              <w:t>47.1</w:t>
            </w:r>
          </w:p>
        </w:tc>
        <w:tc>
          <w:tcPr>
            <w:tcW w:w="924" w:type="pct"/>
            <w:shd w:val="clear" w:color="000000" w:fill="C5D9F1"/>
          </w:tcPr>
          <w:p w14:paraId="03E9CDDE"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Implementată parţial</w:t>
            </w:r>
          </w:p>
        </w:tc>
        <w:tc>
          <w:tcPr>
            <w:tcW w:w="1003" w:type="pct"/>
            <w:shd w:val="clear" w:color="000000" w:fill="C5D9F1"/>
          </w:tcPr>
          <w:p w14:paraId="3B8B7266"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p>
        </w:tc>
      </w:tr>
      <w:tr w:rsidR="00B14940" w:rsidRPr="009C5F11" w14:paraId="598E1BD1" w14:textId="77777777" w:rsidTr="006505AF">
        <w:trPr>
          <w:trHeight w:val="300"/>
        </w:trPr>
        <w:tc>
          <w:tcPr>
            <w:tcW w:w="291" w:type="pct"/>
            <w:shd w:val="clear" w:color="000000" w:fill="C5D9F1"/>
            <w:noWrap/>
            <w:vAlign w:val="bottom"/>
            <w:hideMark/>
          </w:tcPr>
          <w:p w14:paraId="62620723"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P2</w:t>
            </w:r>
          </w:p>
        </w:tc>
        <w:tc>
          <w:tcPr>
            <w:tcW w:w="1625" w:type="pct"/>
            <w:shd w:val="clear" w:color="000000" w:fill="C5D9F1"/>
            <w:noWrap/>
            <w:vAlign w:val="bottom"/>
            <w:hideMark/>
          </w:tcPr>
          <w:p w14:paraId="65B8C4D2" w14:textId="77777777" w:rsidR="00936847" w:rsidRPr="009C5F11" w:rsidRDefault="00BD0963"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Eficientizarea energetică a iluminatului</w:t>
            </w:r>
            <w:r w:rsidR="00FD5F1C" w:rsidRPr="009C5F11">
              <w:rPr>
                <w:rFonts w:ascii="Times New Roman" w:hAnsi="Times New Roman" w:cs="Times New Roman"/>
                <w:color w:val="000000"/>
                <w:sz w:val="18"/>
                <w:szCs w:val="14"/>
                <w:lang w:val="ro-RO"/>
              </w:rPr>
              <w:t xml:space="preserve"> public stradal</w:t>
            </w:r>
            <w:r w:rsidR="002B232C" w:rsidRPr="009C5F11">
              <w:rPr>
                <w:rFonts w:ascii="Times New Roman" w:hAnsi="Times New Roman" w:cs="Times New Roman"/>
                <w:color w:val="000000"/>
                <w:sz w:val="18"/>
                <w:szCs w:val="14"/>
                <w:lang w:val="ro-RO"/>
              </w:rPr>
              <w:t>.</w:t>
            </w:r>
          </w:p>
        </w:tc>
        <w:tc>
          <w:tcPr>
            <w:tcW w:w="540" w:type="pct"/>
            <w:shd w:val="clear" w:color="000000" w:fill="C5D9F1"/>
            <w:noWrap/>
            <w:vAlign w:val="bottom"/>
            <w:hideMark/>
          </w:tcPr>
          <w:p w14:paraId="7C6396D5" w14:textId="77777777" w:rsidR="00936847" w:rsidRPr="009C5F11" w:rsidRDefault="00B3515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0.3</w:t>
            </w:r>
          </w:p>
        </w:tc>
        <w:tc>
          <w:tcPr>
            <w:tcW w:w="617" w:type="pct"/>
            <w:shd w:val="clear" w:color="000000" w:fill="C5D9F1"/>
            <w:vAlign w:val="bottom"/>
          </w:tcPr>
          <w:p w14:paraId="139E74D3" w14:textId="77777777" w:rsidR="00936847" w:rsidRPr="009C5F11" w:rsidRDefault="00B35153" w:rsidP="00430626">
            <w:pPr>
              <w:spacing w:after="0" w:line="240" w:lineRule="auto"/>
              <w:jc w:val="right"/>
              <w:rPr>
                <w:rFonts w:ascii="Times New Roman" w:hAnsi="Times New Roman" w:cs="Times New Roman"/>
                <w:b/>
                <w:bCs/>
                <w:color w:val="000000"/>
                <w:sz w:val="18"/>
                <w:szCs w:val="14"/>
                <w:lang w:val="ro-RO"/>
              </w:rPr>
            </w:pPr>
            <w:r w:rsidRPr="009C5F11">
              <w:rPr>
                <w:rFonts w:ascii="Times New Roman" w:hAnsi="Times New Roman" w:cs="Times New Roman"/>
                <w:b/>
                <w:bCs/>
                <w:color w:val="000000"/>
                <w:sz w:val="18"/>
                <w:szCs w:val="14"/>
                <w:lang w:val="ro-RO"/>
              </w:rPr>
              <w:t>1.0</w:t>
            </w:r>
          </w:p>
        </w:tc>
        <w:tc>
          <w:tcPr>
            <w:tcW w:w="924" w:type="pct"/>
            <w:shd w:val="clear" w:color="000000" w:fill="C5D9F1"/>
          </w:tcPr>
          <w:p w14:paraId="40F4777A"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Implementată conform planului</w:t>
            </w:r>
          </w:p>
        </w:tc>
        <w:tc>
          <w:tcPr>
            <w:tcW w:w="1003" w:type="pct"/>
            <w:shd w:val="clear" w:color="000000" w:fill="C5D9F1"/>
          </w:tcPr>
          <w:p w14:paraId="7D985F54"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r w:rsidR="00927CD9" w:rsidRPr="009C5F11">
              <w:rPr>
                <w:rFonts w:ascii="Times New Roman" w:hAnsi="Times New Roman" w:cs="Times New Roman"/>
                <w:color w:val="000000"/>
                <w:sz w:val="18"/>
                <w:szCs w:val="14"/>
                <w:lang w:val="ro-RO"/>
              </w:rPr>
              <w:t xml:space="preserve"> conform planului</w:t>
            </w:r>
          </w:p>
        </w:tc>
      </w:tr>
      <w:tr w:rsidR="00B14940" w:rsidRPr="009C5F11" w14:paraId="11569B60" w14:textId="77777777" w:rsidTr="006505AF">
        <w:trPr>
          <w:trHeight w:val="560"/>
        </w:trPr>
        <w:tc>
          <w:tcPr>
            <w:tcW w:w="291" w:type="pct"/>
            <w:tcBorders>
              <w:bottom w:val="single" w:sz="8" w:space="0" w:color="FFFFFF" w:themeColor="background1"/>
            </w:tcBorders>
            <w:shd w:val="clear" w:color="000000" w:fill="C5D9F1"/>
            <w:noWrap/>
            <w:vAlign w:val="bottom"/>
            <w:hideMark/>
          </w:tcPr>
          <w:p w14:paraId="3BCDF5F8"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P3</w:t>
            </w:r>
          </w:p>
        </w:tc>
        <w:tc>
          <w:tcPr>
            <w:tcW w:w="1625" w:type="pct"/>
            <w:tcBorders>
              <w:bottom w:val="single" w:sz="8" w:space="0" w:color="FFFFFF" w:themeColor="background1"/>
            </w:tcBorders>
            <w:shd w:val="clear" w:color="000000" w:fill="C5D9F1"/>
            <w:vAlign w:val="bottom"/>
            <w:hideMark/>
          </w:tcPr>
          <w:p w14:paraId="67620B26" w14:textId="77777777" w:rsidR="00936847" w:rsidRPr="009C5F11" w:rsidRDefault="00FD5F1C"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Îmbunătăţirea eficienţei energetice</w:t>
            </w:r>
            <w:r w:rsidR="00321CD5" w:rsidRPr="009C5F11">
              <w:rPr>
                <w:rFonts w:ascii="Times New Roman" w:hAnsi="Times New Roman" w:cs="Times New Roman"/>
                <w:color w:val="000000"/>
                <w:sz w:val="18"/>
                <w:szCs w:val="14"/>
                <w:lang w:val="ro-RO"/>
              </w:rPr>
              <w:t xml:space="preserve"> în </w:t>
            </w:r>
            <w:r w:rsidRPr="009C5F11">
              <w:rPr>
                <w:rFonts w:ascii="Times New Roman" w:hAnsi="Times New Roman" w:cs="Times New Roman"/>
                <w:color w:val="000000"/>
                <w:sz w:val="18"/>
                <w:szCs w:val="14"/>
                <w:lang w:val="ro-RO"/>
              </w:rPr>
              <w:t>serviciile municipale/regionale de alimentare cu apă şi evacuare a apelor uzate</w:t>
            </w:r>
            <w:r w:rsidR="002B232C" w:rsidRPr="009C5F11">
              <w:rPr>
                <w:rFonts w:ascii="Times New Roman" w:hAnsi="Times New Roman" w:cs="Times New Roman"/>
                <w:color w:val="000000"/>
                <w:sz w:val="18"/>
                <w:szCs w:val="14"/>
                <w:lang w:val="ro-RO"/>
              </w:rPr>
              <w:t>.</w:t>
            </w:r>
          </w:p>
        </w:tc>
        <w:tc>
          <w:tcPr>
            <w:tcW w:w="540" w:type="pct"/>
            <w:tcBorders>
              <w:bottom w:val="single" w:sz="8" w:space="0" w:color="FFFFFF" w:themeColor="background1"/>
            </w:tcBorders>
            <w:shd w:val="clear" w:color="000000" w:fill="C5D9F1"/>
            <w:noWrap/>
            <w:vAlign w:val="bottom"/>
            <w:hideMark/>
          </w:tcPr>
          <w:p w14:paraId="3752ABC3" w14:textId="77777777" w:rsidR="00936847" w:rsidRPr="009C5F11" w:rsidRDefault="00B35153"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0.7</w:t>
            </w:r>
          </w:p>
        </w:tc>
        <w:tc>
          <w:tcPr>
            <w:tcW w:w="617" w:type="pct"/>
            <w:tcBorders>
              <w:bottom w:val="single" w:sz="8" w:space="0" w:color="FFFFFF" w:themeColor="background1"/>
            </w:tcBorders>
            <w:shd w:val="clear" w:color="000000" w:fill="C5D9F1"/>
            <w:vAlign w:val="bottom"/>
          </w:tcPr>
          <w:p w14:paraId="79943473" w14:textId="77777777" w:rsidR="00936847" w:rsidRPr="009C5F11" w:rsidRDefault="00B35153" w:rsidP="00430626">
            <w:pPr>
              <w:spacing w:after="0" w:line="240" w:lineRule="auto"/>
              <w:jc w:val="right"/>
              <w:rPr>
                <w:rFonts w:ascii="Times New Roman" w:hAnsi="Times New Roman" w:cs="Times New Roman"/>
                <w:b/>
                <w:bCs/>
                <w:color w:val="000000"/>
                <w:sz w:val="18"/>
                <w:szCs w:val="14"/>
                <w:lang w:val="ro-RO"/>
              </w:rPr>
            </w:pPr>
            <w:r w:rsidRPr="009C5F11">
              <w:rPr>
                <w:rFonts w:ascii="Times New Roman" w:hAnsi="Times New Roman" w:cs="Times New Roman"/>
                <w:b/>
                <w:bCs/>
                <w:color w:val="000000"/>
                <w:sz w:val="18"/>
                <w:szCs w:val="14"/>
                <w:lang w:val="ro-RO"/>
              </w:rPr>
              <w:t>2.0</w:t>
            </w:r>
          </w:p>
        </w:tc>
        <w:tc>
          <w:tcPr>
            <w:tcW w:w="924" w:type="pct"/>
            <w:tcBorders>
              <w:bottom w:val="single" w:sz="8" w:space="0" w:color="FFFFFF" w:themeColor="background1"/>
            </w:tcBorders>
            <w:shd w:val="clear" w:color="000000" w:fill="C5D9F1"/>
          </w:tcPr>
          <w:p w14:paraId="45AD0D19" w14:textId="77777777" w:rsidR="00936847" w:rsidRPr="009C5F11" w:rsidRDefault="00204033" w:rsidP="00430626">
            <w:pPr>
              <w:spacing w:after="0" w:line="240" w:lineRule="auto"/>
              <w:jc w:val="right"/>
              <w:rPr>
                <w:rFonts w:ascii="Times New Roman" w:hAnsi="Times New Roman" w:cs="Times New Roman"/>
                <w:bCs/>
                <w:color w:val="000000"/>
                <w:sz w:val="18"/>
                <w:szCs w:val="14"/>
                <w:lang w:val="ro-RO"/>
              </w:rPr>
            </w:pPr>
            <w:r w:rsidRPr="009C5F11">
              <w:rPr>
                <w:rFonts w:ascii="Times New Roman" w:hAnsi="Times New Roman" w:cs="Times New Roman"/>
                <w:bCs/>
                <w:color w:val="000000"/>
                <w:sz w:val="18"/>
                <w:szCs w:val="14"/>
                <w:lang w:val="ro-RO"/>
              </w:rPr>
              <w:t>Măsură nouă</w:t>
            </w:r>
          </w:p>
        </w:tc>
        <w:tc>
          <w:tcPr>
            <w:tcW w:w="1003" w:type="pct"/>
            <w:tcBorders>
              <w:bottom w:val="single" w:sz="8" w:space="0" w:color="FFFFFF" w:themeColor="background1"/>
            </w:tcBorders>
            <w:shd w:val="clear" w:color="000000" w:fill="C5D9F1"/>
          </w:tcPr>
          <w:p w14:paraId="1ADC5286" w14:textId="77777777" w:rsidR="00936847" w:rsidRPr="009C5F11" w:rsidRDefault="00936847" w:rsidP="00430626">
            <w:pPr>
              <w:spacing w:after="0" w:line="240" w:lineRule="auto"/>
              <w:jc w:val="right"/>
              <w:rPr>
                <w:rFonts w:ascii="Times New Roman" w:hAnsi="Times New Roman" w:cs="Times New Roman"/>
                <w:b/>
                <w:bCs/>
                <w:color w:val="000000"/>
                <w:sz w:val="18"/>
                <w:szCs w:val="14"/>
                <w:lang w:val="ro-RO"/>
              </w:rPr>
            </w:pPr>
          </w:p>
        </w:tc>
      </w:tr>
      <w:tr w:rsidR="00936847" w:rsidRPr="009C5F11" w14:paraId="2C61B6D5" w14:textId="77777777" w:rsidTr="006505AF">
        <w:trPr>
          <w:trHeight w:val="300"/>
        </w:trPr>
        <w:tc>
          <w:tcPr>
            <w:tcW w:w="5000" w:type="pct"/>
            <w:gridSpan w:val="6"/>
            <w:tcBorders>
              <w:bottom w:val="single" w:sz="8" w:space="0" w:color="FFFFFF" w:themeColor="background1"/>
            </w:tcBorders>
            <w:shd w:val="clear" w:color="auto" w:fill="666666"/>
            <w:noWrap/>
            <w:vAlign w:val="bottom"/>
            <w:hideMark/>
          </w:tcPr>
          <w:p w14:paraId="42936A4C" w14:textId="77777777" w:rsidR="00936847" w:rsidRPr="009C5F11" w:rsidRDefault="007E1094" w:rsidP="00430626">
            <w:pPr>
              <w:spacing w:after="0" w:line="240" w:lineRule="auto"/>
              <w:jc w:val="center"/>
              <w:rPr>
                <w:rFonts w:ascii="Times New Roman" w:hAnsi="Times New Roman" w:cs="Times New Roman"/>
                <w:b/>
                <w:bCs/>
                <w:color w:val="FFFFFF"/>
                <w:sz w:val="18"/>
                <w:szCs w:val="14"/>
                <w:lang w:val="ro-RO"/>
              </w:rPr>
            </w:pPr>
            <w:r w:rsidRPr="009C5F11">
              <w:rPr>
                <w:rFonts w:ascii="Times New Roman" w:hAnsi="Times New Roman" w:cs="Times New Roman"/>
                <w:b/>
                <w:bCs/>
                <w:color w:val="FFFFFF"/>
                <w:sz w:val="18"/>
                <w:szCs w:val="14"/>
                <w:lang w:val="ro-RO"/>
              </w:rPr>
              <w:t>Măsuri în sectorul</w:t>
            </w:r>
            <w:r w:rsidR="00D74B9A" w:rsidRPr="009C5F11">
              <w:rPr>
                <w:rFonts w:ascii="Times New Roman" w:hAnsi="Times New Roman" w:cs="Times New Roman"/>
                <w:b/>
                <w:bCs/>
                <w:color w:val="FFFFFF"/>
                <w:sz w:val="18"/>
                <w:szCs w:val="14"/>
                <w:lang w:val="ro-RO"/>
              </w:rPr>
              <w:t xml:space="preserve"> transporturilor</w:t>
            </w:r>
          </w:p>
        </w:tc>
      </w:tr>
      <w:tr w:rsidR="00B14940" w:rsidRPr="009C5F11" w14:paraId="147EB0AF" w14:textId="77777777" w:rsidTr="00EE7FC1">
        <w:trPr>
          <w:trHeight w:val="300"/>
        </w:trPr>
        <w:tc>
          <w:tcPr>
            <w:tcW w:w="291" w:type="pct"/>
            <w:tcBorders>
              <w:bottom w:val="single" w:sz="8" w:space="0" w:color="FFFFFF" w:themeColor="background1"/>
            </w:tcBorders>
            <w:shd w:val="clear" w:color="000000" w:fill="D9D9D9"/>
            <w:noWrap/>
            <w:vAlign w:val="bottom"/>
            <w:hideMark/>
          </w:tcPr>
          <w:p w14:paraId="3BAFDF52" w14:textId="77777777" w:rsidR="00936847" w:rsidRPr="009C5F11" w:rsidRDefault="00936847"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T1</w:t>
            </w:r>
          </w:p>
        </w:tc>
        <w:tc>
          <w:tcPr>
            <w:tcW w:w="1625" w:type="pct"/>
            <w:tcBorders>
              <w:bottom w:val="single" w:sz="8" w:space="0" w:color="FFFFFF" w:themeColor="background1"/>
            </w:tcBorders>
            <w:shd w:val="clear" w:color="000000" w:fill="D9D9D9"/>
            <w:noWrap/>
            <w:vAlign w:val="bottom"/>
            <w:hideMark/>
          </w:tcPr>
          <w:p w14:paraId="651733BD" w14:textId="77777777" w:rsidR="00936847" w:rsidRPr="009C5F11" w:rsidRDefault="00FD5F1C" w:rsidP="00430626">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Promovarea</w:t>
            </w:r>
            <w:r w:rsidR="00936847" w:rsidRPr="009C5F11">
              <w:rPr>
                <w:rFonts w:ascii="Times New Roman" w:hAnsi="Times New Roman" w:cs="Times New Roman"/>
                <w:color w:val="000000"/>
                <w:sz w:val="18"/>
                <w:szCs w:val="14"/>
                <w:lang w:val="ro-RO"/>
              </w:rPr>
              <w:t xml:space="preserve"> </w:t>
            </w:r>
            <w:r w:rsidR="001F5C51" w:rsidRPr="009C5F11">
              <w:rPr>
                <w:rFonts w:ascii="Times New Roman" w:hAnsi="Times New Roman" w:cs="Times New Roman"/>
                <w:color w:val="000000"/>
                <w:sz w:val="18"/>
                <w:szCs w:val="14"/>
                <w:lang w:val="ro-RO"/>
              </w:rPr>
              <w:t>eficienţei energetice</w:t>
            </w:r>
            <w:r w:rsidR="00321CD5"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în sectorul transportului terestru</w:t>
            </w:r>
            <w:r w:rsidR="002B232C" w:rsidRPr="009C5F11">
              <w:rPr>
                <w:rFonts w:ascii="Times New Roman" w:hAnsi="Times New Roman" w:cs="Times New Roman"/>
                <w:color w:val="000000"/>
                <w:sz w:val="18"/>
                <w:szCs w:val="14"/>
                <w:lang w:val="ro-RO"/>
              </w:rPr>
              <w:t>.</w:t>
            </w:r>
          </w:p>
        </w:tc>
        <w:tc>
          <w:tcPr>
            <w:tcW w:w="540" w:type="pct"/>
            <w:tcBorders>
              <w:bottom w:val="single" w:sz="8" w:space="0" w:color="FFFFFF" w:themeColor="background1"/>
            </w:tcBorders>
            <w:shd w:val="clear" w:color="000000" w:fill="D9D9D9"/>
            <w:noWrap/>
            <w:vAlign w:val="bottom"/>
            <w:hideMark/>
          </w:tcPr>
          <w:p w14:paraId="4628C987" w14:textId="77777777" w:rsidR="00936847" w:rsidRPr="009C5F11" w:rsidRDefault="00936847"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0.1</w:t>
            </w:r>
          </w:p>
        </w:tc>
        <w:tc>
          <w:tcPr>
            <w:tcW w:w="617" w:type="pct"/>
            <w:tcBorders>
              <w:bottom w:val="single" w:sz="8" w:space="0" w:color="FFFFFF" w:themeColor="background1"/>
            </w:tcBorders>
            <w:shd w:val="clear" w:color="000000" w:fill="D9D9D9"/>
            <w:vAlign w:val="bottom"/>
          </w:tcPr>
          <w:p w14:paraId="25C82127" w14:textId="77777777" w:rsidR="00936847" w:rsidRPr="009C5F11" w:rsidRDefault="00936847" w:rsidP="00430626">
            <w:pPr>
              <w:spacing w:after="0" w:line="240" w:lineRule="auto"/>
              <w:jc w:val="right"/>
              <w:rPr>
                <w:rFonts w:ascii="Times New Roman" w:hAnsi="Times New Roman" w:cs="Times New Roman"/>
                <w:b/>
                <w:bCs/>
                <w:color w:val="000000"/>
                <w:sz w:val="18"/>
                <w:szCs w:val="14"/>
                <w:lang w:val="ro-RO"/>
              </w:rPr>
            </w:pPr>
            <w:r w:rsidRPr="009C5F11">
              <w:rPr>
                <w:rFonts w:ascii="Times New Roman" w:hAnsi="Times New Roman" w:cs="Times New Roman"/>
                <w:b/>
                <w:bCs/>
                <w:color w:val="000000"/>
                <w:sz w:val="18"/>
                <w:szCs w:val="14"/>
                <w:lang w:val="ro-RO"/>
              </w:rPr>
              <w:t>33.7</w:t>
            </w:r>
          </w:p>
        </w:tc>
        <w:tc>
          <w:tcPr>
            <w:tcW w:w="924" w:type="pct"/>
            <w:tcBorders>
              <w:bottom w:val="single" w:sz="8" w:space="0" w:color="FFFFFF" w:themeColor="background1"/>
            </w:tcBorders>
            <w:shd w:val="clear" w:color="000000" w:fill="D9D9D9"/>
          </w:tcPr>
          <w:p w14:paraId="09AC983C" w14:textId="77777777" w:rsidR="00936847" w:rsidRPr="009C5F11" w:rsidRDefault="00FB4B3D"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Implementată parţial</w:t>
            </w:r>
          </w:p>
        </w:tc>
        <w:tc>
          <w:tcPr>
            <w:tcW w:w="1003" w:type="pct"/>
            <w:tcBorders>
              <w:bottom w:val="single" w:sz="8" w:space="0" w:color="FFFFFF" w:themeColor="background1"/>
            </w:tcBorders>
            <w:shd w:val="clear" w:color="000000" w:fill="D9D9D9"/>
          </w:tcPr>
          <w:p w14:paraId="3D58D8B7" w14:textId="77777777" w:rsidR="00936847" w:rsidRPr="009C5F11" w:rsidRDefault="00EE66EC" w:rsidP="00430626">
            <w:pPr>
              <w:spacing w:after="0" w:line="240" w:lineRule="auto"/>
              <w:jc w:val="right"/>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Implementarea continuă</w:t>
            </w:r>
          </w:p>
        </w:tc>
      </w:tr>
      <w:tr w:rsidR="00B14940" w:rsidRPr="009C5F11" w14:paraId="12EC2821" w14:textId="77777777" w:rsidTr="00EE7FC1">
        <w:trPr>
          <w:trHeight w:val="300"/>
        </w:trPr>
        <w:tc>
          <w:tcPr>
            <w:tcW w:w="291" w:type="pct"/>
            <w:shd w:val="clear" w:color="auto" w:fill="D9D9D9"/>
            <w:noWrap/>
            <w:vAlign w:val="bottom"/>
          </w:tcPr>
          <w:p w14:paraId="5B4CF8FF"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1625" w:type="pct"/>
            <w:shd w:val="clear" w:color="auto" w:fill="D9D9D9"/>
            <w:noWrap/>
            <w:vAlign w:val="bottom"/>
          </w:tcPr>
          <w:p w14:paraId="32F93D28"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540" w:type="pct"/>
            <w:shd w:val="clear" w:color="auto" w:fill="D9D9D9"/>
            <w:noWrap/>
            <w:vAlign w:val="bottom"/>
          </w:tcPr>
          <w:p w14:paraId="1EABFE4D"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617" w:type="pct"/>
            <w:shd w:val="clear" w:color="auto" w:fill="D9D9D9"/>
            <w:vAlign w:val="bottom"/>
          </w:tcPr>
          <w:p w14:paraId="4747907C"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924" w:type="pct"/>
            <w:shd w:val="clear" w:color="auto" w:fill="D9D9D9"/>
          </w:tcPr>
          <w:p w14:paraId="1F7ECDF3"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1003" w:type="pct"/>
            <w:shd w:val="clear" w:color="auto" w:fill="D9D9D9"/>
          </w:tcPr>
          <w:p w14:paraId="5EAFA224" w14:textId="77777777" w:rsidR="00936847" w:rsidRPr="009C5F11" w:rsidRDefault="00936847" w:rsidP="00430626">
            <w:pPr>
              <w:spacing w:after="0" w:line="240" w:lineRule="auto"/>
              <w:rPr>
                <w:rFonts w:ascii="Times New Roman" w:hAnsi="Times New Roman" w:cs="Times New Roman"/>
                <w:b/>
                <w:sz w:val="18"/>
                <w:szCs w:val="14"/>
                <w:lang w:val="ro-RO"/>
              </w:rPr>
            </w:pPr>
          </w:p>
        </w:tc>
      </w:tr>
      <w:tr w:rsidR="00B14940" w:rsidRPr="009C5F11" w14:paraId="60EFBCF1" w14:textId="77777777" w:rsidTr="00FA459B">
        <w:trPr>
          <w:trHeight w:val="300"/>
        </w:trPr>
        <w:tc>
          <w:tcPr>
            <w:tcW w:w="291" w:type="pct"/>
            <w:shd w:val="clear" w:color="auto" w:fill="000080"/>
            <w:noWrap/>
            <w:vAlign w:val="bottom"/>
            <w:hideMark/>
          </w:tcPr>
          <w:p w14:paraId="08CC46CB"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1625" w:type="pct"/>
            <w:shd w:val="clear" w:color="auto" w:fill="000080"/>
            <w:noWrap/>
            <w:vAlign w:val="bottom"/>
            <w:hideMark/>
          </w:tcPr>
          <w:p w14:paraId="1FC49431" w14:textId="77777777" w:rsidR="00936847" w:rsidRPr="009C5F11" w:rsidRDefault="00936847" w:rsidP="00204033">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 xml:space="preserve">Total </w:t>
            </w:r>
            <w:r w:rsidR="00204033" w:rsidRPr="009C5F11">
              <w:rPr>
                <w:rFonts w:ascii="Times New Roman" w:hAnsi="Times New Roman" w:cs="Times New Roman"/>
                <w:b/>
                <w:sz w:val="18"/>
                <w:szCs w:val="14"/>
                <w:lang w:val="ro-RO"/>
              </w:rPr>
              <w:t>din</w:t>
            </w:r>
            <w:r w:rsidRPr="009C5F11">
              <w:rPr>
                <w:rFonts w:ascii="Times New Roman" w:hAnsi="Times New Roman" w:cs="Times New Roman"/>
                <w:b/>
                <w:sz w:val="18"/>
                <w:szCs w:val="14"/>
                <w:lang w:val="ro-RO"/>
              </w:rPr>
              <w:t xml:space="preserve"> </w:t>
            </w:r>
            <w:r w:rsidR="00E10BE5" w:rsidRPr="009C5F11">
              <w:rPr>
                <w:rFonts w:ascii="Times New Roman" w:hAnsi="Times New Roman" w:cs="Times New Roman"/>
                <w:b/>
                <w:sz w:val="18"/>
                <w:szCs w:val="14"/>
                <w:lang w:val="ro-RO"/>
              </w:rPr>
              <w:t>măsuri</w:t>
            </w:r>
            <w:r w:rsidRPr="009C5F11">
              <w:rPr>
                <w:rFonts w:ascii="Times New Roman" w:hAnsi="Times New Roman" w:cs="Times New Roman"/>
                <w:b/>
                <w:sz w:val="18"/>
                <w:szCs w:val="14"/>
                <w:lang w:val="ro-RO"/>
              </w:rPr>
              <w:t xml:space="preserve"> (</w:t>
            </w:r>
            <w:r w:rsidR="00871B4E" w:rsidRPr="009C5F11">
              <w:rPr>
                <w:rFonts w:ascii="Times New Roman" w:hAnsi="Times New Roman" w:cs="Times New Roman"/>
                <w:b/>
                <w:sz w:val="18"/>
                <w:szCs w:val="14"/>
                <w:lang w:val="ro-RO"/>
              </w:rPr>
              <w:t>DSE</w:t>
            </w:r>
            <w:r w:rsidRPr="009C5F11">
              <w:rPr>
                <w:rFonts w:ascii="Times New Roman" w:hAnsi="Times New Roman" w:cs="Times New Roman"/>
                <w:b/>
                <w:sz w:val="18"/>
                <w:szCs w:val="14"/>
                <w:lang w:val="ro-RO"/>
              </w:rPr>
              <w:t>)</w:t>
            </w:r>
          </w:p>
        </w:tc>
        <w:tc>
          <w:tcPr>
            <w:tcW w:w="540" w:type="pct"/>
            <w:shd w:val="clear" w:color="auto" w:fill="000080"/>
            <w:noWrap/>
            <w:vAlign w:val="bottom"/>
            <w:hideMark/>
          </w:tcPr>
          <w:p w14:paraId="5375E95A" w14:textId="77777777" w:rsidR="00936847" w:rsidRPr="009C5F11" w:rsidRDefault="008D21D6" w:rsidP="00430626">
            <w:pPr>
              <w:spacing w:after="0" w:line="240" w:lineRule="auto"/>
              <w:jc w:val="right"/>
              <w:rPr>
                <w:rFonts w:ascii="Times New Roman" w:hAnsi="Times New Roman" w:cs="Times New Roman"/>
                <w:b/>
                <w:sz w:val="18"/>
                <w:szCs w:val="14"/>
                <w:lang w:val="ro-RO"/>
              </w:rPr>
            </w:pPr>
            <w:r w:rsidRPr="009C5F11">
              <w:rPr>
                <w:rFonts w:ascii="Times New Roman" w:hAnsi="Times New Roman" w:cs="Times New Roman"/>
                <w:b/>
                <w:sz w:val="18"/>
                <w:szCs w:val="14"/>
                <w:lang w:val="ro-RO"/>
              </w:rPr>
              <w:t>30.0</w:t>
            </w:r>
          </w:p>
        </w:tc>
        <w:tc>
          <w:tcPr>
            <w:tcW w:w="617" w:type="pct"/>
            <w:shd w:val="clear" w:color="auto" w:fill="000080"/>
            <w:vAlign w:val="bottom"/>
          </w:tcPr>
          <w:p w14:paraId="6D85FB75" w14:textId="77777777" w:rsidR="00936847" w:rsidRPr="009C5F11" w:rsidRDefault="008D21D6" w:rsidP="00430626">
            <w:pPr>
              <w:spacing w:after="0" w:line="240" w:lineRule="auto"/>
              <w:jc w:val="right"/>
              <w:rPr>
                <w:rFonts w:ascii="Times New Roman" w:hAnsi="Times New Roman" w:cs="Times New Roman"/>
                <w:b/>
                <w:bCs/>
                <w:sz w:val="18"/>
                <w:szCs w:val="14"/>
                <w:lang w:val="ro-RO"/>
              </w:rPr>
            </w:pPr>
            <w:r w:rsidRPr="009C5F11">
              <w:rPr>
                <w:rFonts w:ascii="Times New Roman" w:hAnsi="Times New Roman" w:cs="Times New Roman"/>
                <w:b/>
                <w:bCs/>
                <w:sz w:val="18"/>
                <w:szCs w:val="14"/>
                <w:lang w:val="ro-RO"/>
              </w:rPr>
              <w:t>176.3</w:t>
            </w:r>
          </w:p>
        </w:tc>
        <w:tc>
          <w:tcPr>
            <w:tcW w:w="924" w:type="pct"/>
            <w:shd w:val="clear" w:color="auto" w:fill="000080"/>
          </w:tcPr>
          <w:p w14:paraId="480CA892" w14:textId="77777777" w:rsidR="00936847" w:rsidRPr="009C5F11" w:rsidRDefault="00936847" w:rsidP="00430626">
            <w:pPr>
              <w:spacing w:after="0" w:line="240" w:lineRule="auto"/>
              <w:jc w:val="right"/>
              <w:rPr>
                <w:rFonts w:ascii="Times New Roman" w:hAnsi="Times New Roman" w:cs="Times New Roman"/>
                <w:b/>
                <w:bCs/>
                <w:sz w:val="18"/>
                <w:szCs w:val="14"/>
                <w:lang w:val="ro-RO"/>
              </w:rPr>
            </w:pPr>
          </w:p>
        </w:tc>
        <w:tc>
          <w:tcPr>
            <w:tcW w:w="1003" w:type="pct"/>
            <w:shd w:val="clear" w:color="auto" w:fill="000080"/>
          </w:tcPr>
          <w:p w14:paraId="28ABC6A0" w14:textId="77777777" w:rsidR="00936847" w:rsidRPr="009C5F11" w:rsidRDefault="00936847" w:rsidP="00430626">
            <w:pPr>
              <w:spacing w:after="0" w:line="240" w:lineRule="auto"/>
              <w:jc w:val="right"/>
              <w:rPr>
                <w:rFonts w:ascii="Times New Roman" w:hAnsi="Times New Roman" w:cs="Times New Roman"/>
                <w:b/>
                <w:bCs/>
                <w:sz w:val="18"/>
                <w:szCs w:val="14"/>
                <w:lang w:val="ro-RO"/>
              </w:rPr>
            </w:pPr>
          </w:p>
        </w:tc>
      </w:tr>
      <w:tr w:rsidR="00B14940" w:rsidRPr="009C5F11" w14:paraId="2FDC0DD2" w14:textId="77777777" w:rsidTr="00FA459B">
        <w:trPr>
          <w:trHeight w:val="300"/>
        </w:trPr>
        <w:tc>
          <w:tcPr>
            <w:tcW w:w="291" w:type="pct"/>
            <w:shd w:val="clear" w:color="auto" w:fill="000080"/>
            <w:noWrap/>
            <w:vAlign w:val="bottom"/>
          </w:tcPr>
          <w:p w14:paraId="68305B11"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1625" w:type="pct"/>
            <w:shd w:val="clear" w:color="auto" w:fill="000080"/>
            <w:noWrap/>
            <w:vAlign w:val="bottom"/>
          </w:tcPr>
          <w:p w14:paraId="22227C23" w14:textId="77777777" w:rsidR="00936847" w:rsidRPr="009C5F11" w:rsidRDefault="00204033" w:rsidP="00DF4895">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 xml:space="preserve">Obiectiv </w:t>
            </w:r>
            <w:r w:rsidR="00936847" w:rsidRPr="009C5F11">
              <w:rPr>
                <w:rFonts w:ascii="Times New Roman" w:hAnsi="Times New Roman" w:cs="Times New Roman"/>
                <w:b/>
                <w:sz w:val="18"/>
                <w:szCs w:val="14"/>
                <w:lang w:val="ro-RO"/>
              </w:rPr>
              <w:t>2016 (</w:t>
            </w:r>
            <w:r w:rsidR="003D35EE" w:rsidRPr="009C5F11">
              <w:rPr>
                <w:rFonts w:ascii="Times New Roman" w:hAnsi="Times New Roman" w:cs="Times New Roman"/>
                <w:b/>
                <w:sz w:val="18"/>
                <w:szCs w:val="14"/>
                <w:lang w:val="ro-RO"/>
              </w:rPr>
              <w:t>recalculat</w:t>
            </w:r>
            <w:r w:rsidR="00936847" w:rsidRPr="009C5F11">
              <w:rPr>
                <w:rFonts w:ascii="Times New Roman" w:hAnsi="Times New Roman" w:cs="Times New Roman"/>
                <w:b/>
                <w:sz w:val="18"/>
                <w:szCs w:val="14"/>
                <w:lang w:val="ro-RO"/>
              </w:rPr>
              <w:t>/</w:t>
            </w:r>
            <w:r w:rsidR="003D35EE" w:rsidRPr="009C5F11">
              <w:rPr>
                <w:rFonts w:ascii="Times New Roman" w:hAnsi="Times New Roman" w:cs="Times New Roman"/>
                <w:b/>
                <w:sz w:val="18"/>
                <w:szCs w:val="14"/>
                <w:lang w:val="ro-RO"/>
              </w:rPr>
              <w:t>ajustat</w:t>
            </w:r>
            <w:r w:rsidR="00936847" w:rsidRPr="009C5F11">
              <w:rPr>
                <w:rFonts w:ascii="Times New Roman" w:hAnsi="Times New Roman" w:cs="Times New Roman"/>
                <w:b/>
                <w:sz w:val="18"/>
                <w:szCs w:val="14"/>
                <w:lang w:val="ro-RO"/>
              </w:rPr>
              <w:t>)</w:t>
            </w:r>
            <w:r w:rsidR="00DF4895" w:rsidRPr="009C5F11">
              <w:rPr>
                <w:rStyle w:val="Referinnotdesubsol"/>
                <w:rFonts w:ascii="Times New Roman" w:hAnsi="Times New Roman" w:cs="Times New Roman"/>
                <w:b/>
                <w:sz w:val="18"/>
                <w:szCs w:val="14"/>
                <w:lang w:val="ro-RO"/>
              </w:rPr>
              <w:footnoteReference w:id="17"/>
            </w:r>
          </w:p>
        </w:tc>
        <w:tc>
          <w:tcPr>
            <w:tcW w:w="540" w:type="pct"/>
            <w:shd w:val="clear" w:color="auto" w:fill="000080"/>
            <w:noWrap/>
            <w:vAlign w:val="bottom"/>
          </w:tcPr>
          <w:p w14:paraId="2000FFD7" w14:textId="77777777" w:rsidR="00936847" w:rsidRPr="009C5F11" w:rsidRDefault="00936847" w:rsidP="00430626">
            <w:pPr>
              <w:spacing w:after="0" w:line="240" w:lineRule="auto"/>
              <w:jc w:val="right"/>
              <w:rPr>
                <w:rFonts w:ascii="Times New Roman" w:hAnsi="Times New Roman" w:cs="Times New Roman"/>
                <w:b/>
                <w:sz w:val="18"/>
                <w:szCs w:val="14"/>
                <w:lang w:val="ro-RO"/>
              </w:rPr>
            </w:pPr>
            <w:r w:rsidRPr="009C5F11">
              <w:rPr>
                <w:rFonts w:ascii="Times New Roman" w:hAnsi="Times New Roman" w:cs="Times New Roman"/>
                <w:b/>
                <w:sz w:val="18"/>
                <w:szCs w:val="14"/>
                <w:lang w:val="ro-RO"/>
              </w:rPr>
              <w:t>92.9</w:t>
            </w:r>
          </w:p>
        </w:tc>
        <w:tc>
          <w:tcPr>
            <w:tcW w:w="617" w:type="pct"/>
            <w:shd w:val="clear" w:color="auto" w:fill="000080"/>
            <w:vAlign w:val="bottom"/>
          </w:tcPr>
          <w:p w14:paraId="6163ACA0"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924" w:type="pct"/>
            <w:shd w:val="clear" w:color="auto" w:fill="000080"/>
          </w:tcPr>
          <w:p w14:paraId="47E267F1"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1003" w:type="pct"/>
            <w:shd w:val="clear" w:color="auto" w:fill="000080"/>
          </w:tcPr>
          <w:p w14:paraId="53BA5F04" w14:textId="77777777" w:rsidR="00936847" w:rsidRPr="009C5F11" w:rsidRDefault="00936847" w:rsidP="00430626">
            <w:pPr>
              <w:spacing w:after="0" w:line="240" w:lineRule="auto"/>
              <w:rPr>
                <w:rFonts w:ascii="Times New Roman" w:hAnsi="Times New Roman" w:cs="Times New Roman"/>
                <w:b/>
                <w:sz w:val="18"/>
                <w:szCs w:val="14"/>
                <w:lang w:val="ro-RO"/>
              </w:rPr>
            </w:pPr>
          </w:p>
        </w:tc>
      </w:tr>
      <w:tr w:rsidR="00B14940" w:rsidRPr="009C5F11" w14:paraId="61B6A07C" w14:textId="77777777" w:rsidTr="00FA459B">
        <w:trPr>
          <w:trHeight w:val="300"/>
        </w:trPr>
        <w:tc>
          <w:tcPr>
            <w:tcW w:w="291" w:type="pct"/>
            <w:shd w:val="clear" w:color="auto" w:fill="000080"/>
            <w:noWrap/>
            <w:vAlign w:val="bottom"/>
            <w:hideMark/>
          </w:tcPr>
          <w:p w14:paraId="280B0450"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1625" w:type="pct"/>
            <w:shd w:val="clear" w:color="auto" w:fill="000080"/>
            <w:noWrap/>
            <w:vAlign w:val="bottom"/>
            <w:hideMark/>
          </w:tcPr>
          <w:p w14:paraId="49B12E6E" w14:textId="77777777" w:rsidR="00936847" w:rsidRPr="009C5F11" w:rsidRDefault="00204033" w:rsidP="00430626">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 xml:space="preserve">Obiectiv </w:t>
            </w:r>
            <w:r w:rsidR="00936847" w:rsidRPr="009C5F11">
              <w:rPr>
                <w:rFonts w:ascii="Times New Roman" w:hAnsi="Times New Roman" w:cs="Times New Roman"/>
                <w:b/>
                <w:sz w:val="18"/>
                <w:szCs w:val="14"/>
                <w:lang w:val="ro-RO"/>
              </w:rPr>
              <w:t xml:space="preserve">2020 </w:t>
            </w:r>
          </w:p>
        </w:tc>
        <w:tc>
          <w:tcPr>
            <w:tcW w:w="540" w:type="pct"/>
            <w:shd w:val="clear" w:color="auto" w:fill="000080"/>
            <w:noWrap/>
            <w:vAlign w:val="bottom"/>
            <w:hideMark/>
          </w:tcPr>
          <w:p w14:paraId="2D4F02BC"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617" w:type="pct"/>
            <w:shd w:val="clear" w:color="auto" w:fill="000080"/>
            <w:vAlign w:val="bottom"/>
          </w:tcPr>
          <w:p w14:paraId="4B28B8CB" w14:textId="2EC9F58A" w:rsidR="00936847" w:rsidRPr="009C5F11" w:rsidRDefault="003B42B0" w:rsidP="001C67A2">
            <w:pPr>
              <w:spacing w:after="0" w:line="240" w:lineRule="auto"/>
              <w:jc w:val="right"/>
              <w:rPr>
                <w:rFonts w:ascii="Times New Roman" w:hAnsi="Times New Roman" w:cs="Times New Roman"/>
                <w:b/>
                <w:sz w:val="18"/>
                <w:szCs w:val="14"/>
                <w:lang w:val="ro-RO"/>
              </w:rPr>
            </w:pPr>
            <w:r w:rsidRPr="009C5F11">
              <w:rPr>
                <w:rFonts w:ascii="Times New Roman" w:hAnsi="Times New Roman" w:cs="Times New Roman"/>
                <w:b/>
                <w:sz w:val="18"/>
                <w:szCs w:val="14"/>
                <w:lang w:val="ro-RO"/>
              </w:rPr>
              <w:t>167.2</w:t>
            </w:r>
          </w:p>
        </w:tc>
        <w:tc>
          <w:tcPr>
            <w:tcW w:w="924" w:type="pct"/>
            <w:shd w:val="clear" w:color="auto" w:fill="000080"/>
          </w:tcPr>
          <w:p w14:paraId="74461D0F" w14:textId="77777777" w:rsidR="00936847" w:rsidRPr="009C5F11" w:rsidRDefault="00936847" w:rsidP="00430626">
            <w:pPr>
              <w:spacing w:after="0" w:line="240" w:lineRule="auto"/>
              <w:rPr>
                <w:rFonts w:ascii="Times New Roman" w:hAnsi="Times New Roman" w:cs="Times New Roman"/>
                <w:b/>
                <w:sz w:val="18"/>
                <w:szCs w:val="14"/>
                <w:lang w:val="ro-RO"/>
              </w:rPr>
            </w:pPr>
          </w:p>
        </w:tc>
        <w:tc>
          <w:tcPr>
            <w:tcW w:w="1003" w:type="pct"/>
            <w:shd w:val="clear" w:color="auto" w:fill="000080"/>
          </w:tcPr>
          <w:p w14:paraId="40D5B612" w14:textId="77777777" w:rsidR="00936847" w:rsidRPr="009C5F11" w:rsidRDefault="00936847" w:rsidP="00430626">
            <w:pPr>
              <w:spacing w:after="0" w:line="240" w:lineRule="auto"/>
              <w:rPr>
                <w:rFonts w:ascii="Times New Roman" w:hAnsi="Times New Roman" w:cs="Times New Roman"/>
                <w:b/>
                <w:sz w:val="18"/>
                <w:szCs w:val="14"/>
                <w:lang w:val="ro-RO"/>
              </w:rPr>
            </w:pPr>
          </w:p>
        </w:tc>
      </w:tr>
    </w:tbl>
    <w:p w14:paraId="3637ADFB" w14:textId="77777777" w:rsidR="008D21D6" w:rsidRPr="009C5F11" w:rsidRDefault="008D21D6" w:rsidP="00936847">
      <w:pPr>
        <w:spacing w:after="100" w:afterAutospacing="1"/>
        <w:ind w:left="90"/>
        <w:jc w:val="both"/>
        <w:rPr>
          <w:rFonts w:ascii="Times New Roman" w:hAnsi="Times New Roman" w:cs="Times New Roman"/>
          <w:i/>
          <w:szCs w:val="18"/>
          <w:lang w:val="ro-RO"/>
        </w:rPr>
      </w:pPr>
    </w:p>
    <w:p w14:paraId="111A5678" w14:textId="77777777" w:rsidR="008D21D6" w:rsidRPr="009C5F11" w:rsidRDefault="008D21D6" w:rsidP="00936847">
      <w:pPr>
        <w:spacing w:after="100" w:afterAutospacing="1"/>
        <w:ind w:left="90"/>
        <w:jc w:val="both"/>
        <w:rPr>
          <w:rFonts w:ascii="Times New Roman" w:hAnsi="Times New Roman" w:cs="Times New Roman"/>
          <w:i/>
          <w:szCs w:val="18"/>
          <w:lang w:val="ro-RO"/>
        </w:rPr>
        <w:sectPr w:rsidR="008D21D6" w:rsidRPr="009C5F11" w:rsidSect="00430626">
          <w:pgSz w:w="11907" w:h="16840" w:code="9"/>
          <w:pgMar w:top="1440" w:right="1440" w:bottom="1440" w:left="1440" w:header="720" w:footer="720" w:gutter="0"/>
          <w:cols w:space="720"/>
          <w:docGrid w:linePitch="360"/>
        </w:sectPr>
      </w:pPr>
    </w:p>
    <w:p w14:paraId="3A73FCBB" w14:textId="77777777" w:rsidR="00936847" w:rsidRPr="00D9464A" w:rsidRDefault="007E1094" w:rsidP="00AF0AD0">
      <w:pPr>
        <w:pStyle w:val="Titlu4"/>
        <w:rPr>
          <w:rFonts w:ascii="Times New Roman" w:hAnsi="Times New Roman" w:cs="Times New Roman"/>
          <w:b/>
          <w:color w:val="000000" w:themeColor="text1"/>
          <w:sz w:val="28"/>
          <w:lang w:val="ro-RO"/>
        </w:rPr>
      </w:pPr>
      <w:bookmarkStart w:id="183" w:name="_Toc274304026"/>
      <w:bookmarkStart w:id="184" w:name="_Ref275819809"/>
      <w:bookmarkStart w:id="185" w:name="_Toc319555399"/>
      <w:bookmarkStart w:id="186" w:name="_Ref319620891"/>
      <w:bookmarkStart w:id="187" w:name="_Toc322013165"/>
      <w:r w:rsidRPr="00D9464A">
        <w:rPr>
          <w:rFonts w:ascii="Times New Roman" w:hAnsi="Times New Roman" w:cs="Times New Roman"/>
          <w:b/>
          <w:color w:val="000000" w:themeColor="text1"/>
          <w:sz w:val="28"/>
          <w:lang w:val="ro-RO"/>
        </w:rPr>
        <w:lastRenderedPageBreak/>
        <w:t>Măsuri în sectorul</w:t>
      </w:r>
      <w:r w:rsidR="00204033" w:rsidRPr="00D9464A">
        <w:rPr>
          <w:rFonts w:ascii="Times New Roman" w:hAnsi="Times New Roman" w:cs="Times New Roman"/>
          <w:b/>
          <w:color w:val="000000" w:themeColor="text1"/>
          <w:sz w:val="28"/>
          <w:lang w:val="ro-RO"/>
        </w:rPr>
        <w:t xml:space="preserve"> construcţiilor</w:t>
      </w:r>
      <w:bookmarkEnd w:id="183"/>
      <w:bookmarkEnd w:id="184"/>
      <w:bookmarkEnd w:id="185"/>
      <w:bookmarkEnd w:id="186"/>
      <w:bookmarkEnd w:id="187"/>
    </w:p>
    <w:p w14:paraId="0EB3622F" w14:textId="4BC7327B" w:rsidR="00936847" w:rsidRPr="009C5F11" w:rsidRDefault="00D518F0"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Măsuri</w:t>
      </w:r>
      <w:r w:rsidR="00204033" w:rsidRPr="009C5F11">
        <w:rPr>
          <w:rFonts w:ascii="Times New Roman" w:hAnsi="Times New Roman" w:cs="Times New Roman"/>
          <w:sz w:val="24"/>
          <w:lang w:val="ro-RO"/>
        </w:rPr>
        <w:t>le di</w:t>
      </w:r>
      <w:r w:rsidR="00321CD5" w:rsidRPr="009C5F11">
        <w:rPr>
          <w:rFonts w:ascii="Times New Roman" w:hAnsi="Times New Roman" w:cs="Times New Roman"/>
          <w:sz w:val="24"/>
          <w:lang w:val="ro-RO"/>
        </w:rPr>
        <w:t xml:space="preserve">n </w:t>
      </w:r>
      <w:r w:rsidR="00204033" w:rsidRPr="009C5F11">
        <w:rPr>
          <w:rFonts w:ascii="Times New Roman" w:hAnsi="Times New Roman" w:cs="Times New Roman"/>
          <w:sz w:val="24"/>
          <w:lang w:val="ro-RO"/>
        </w:rPr>
        <w:t>sectorul construcţiilor</w:t>
      </w:r>
      <w:r w:rsidR="00936847" w:rsidRPr="009C5F11">
        <w:rPr>
          <w:rFonts w:ascii="Times New Roman" w:hAnsi="Times New Roman" w:cs="Times New Roman"/>
          <w:sz w:val="24"/>
          <w:lang w:val="ro-RO"/>
        </w:rPr>
        <w:t xml:space="preserve"> includ </w:t>
      </w:r>
      <w:r w:rsidR="00E10BE5" w:rsidRPr="009C5F11">
        <w:rPr>
          <w:rFonts w:ascii="Times New Roman" w:hAnsi="Times New Roman" w:cs="Times New Roman"/>
          <w:sz w:val="24"/>
          <w:lang w:val="ro-RO"/>
        </w:rPr>
        <w:t>măsuri</w:t>
      </w:r>
      <w:r w:rsidR="003D35EE" w:rsidRPr="009C5F11">
        <w:rPr>
          <w:rFonts w:ascii="Times New Roman" w:hAnsi="Times New Roman" w:cs="Times New Roman"/>
          <w:sz w:val="24"/>
          <w:lang w:val="ro-RO"/>
        </w:rPr>
        <w:t xml:space="preserve"> generale</w:t>
      </w:r>
      <w:r w:rsidR="00936847" w:rsidRPr="009C5F11">
        <w:rPr>
          <w:rFonts w:ascii="Times New Roman" w:hAnsi="Times New Roman" w:cs="Times New Roman"/>
          <w:sz w:val="24"/>
          <w:lang w:val="ro-RO"/>
        </w:rPr>
        <w:t xml:space="preserve"> </w:t>
      </w:r>
      <w:r w:rsidR="003D35EE" w:rsidRPr="009C5F11">
        <w:rPr>
          <w:rFonts w:ascii="Times New Roman" w:hAnsi="Times New Roman" w:cs="Times New Roman"/>
          <w:sz w:val="24"/>
          <w:lang w:val="ro-RO"/>
        </w:rPr>
        <w:t>care implică</w:t>
      </w:r>
      <w:r w:rsidR="00936847" w:rsidRPr="009C5F11">
        <w:rPr>
          <w:rFonts w:ascii="Times New Roman" w:hAnsi="Times New Roman" w:cs="Times New Roman"/>
          <w:sz w:val="24"/>
          <w:lang w:val="ro-RO"/>
        </w:rPr>
        <w:t xml:space="preserve"> </w:t>
      </w:r>
      <w:r w:rsidR="003D35EE" w:rsidRPr="009C5F11">
        <w:rPr>
          <w:rFonts w:ascii="Times New Roman" w:hAnsi="Times New Roman" w:cs="Times New Roman"/>
          <w:sz w:val="24"/>
          <w:lang w:val="ro-RO"/>
        </w:rPr>
        <w:t xml:space="preserve">elaborarea/perfecţionarea bazei </w:t>
      </w:r>
      <w:r w:rsidR="00936847" w:rsidRPr="009C5F11">
        <w:rPr>
          <w:rFonts w:ascii="Times New Roman" w:hAnsi="Times New Roman" w:cs="Times New Roman"/>
          <w:sz w:val="24"/>
          <w:lang w:val="ro-RO"/>
        </w:rPr>
        <w:t xml:space="preserve">legislative </w:t>
      </w:r>
      <w:r w:rsidR="003D35EE" w:rsidRPr="009C5F11">
        <w:rPr>
          <w:rFonts w:ascii="Times New Roman" w:hAnsi="Times New Roman" w:cs="Times New Roman"/>
          <w:sz w:val="24"/>
          <w:lang w:val="ro-RO"/>
        </w:rPr>
        <w:t>din</w:t>
      </w:r>
      <w:r w:rsidR="00936847" w:rsidRPr="009C5F11">
        <w:rPr>
          <w:rFonts w:ascii="Times New Roman" w:hAnsi="Times New Roman" w:cs="Times New Roman"/>
          <w:sz w:val="24"/>
          <w:lang w:val="ro-RO"/>
        </w:rPr>
        <w:t xml:space="preserve"> sector, </w:t>
      </w:r>
      <w:r w:rsidR="003D35EE" w:rsidRPr="009C5F11">
        <w:rPr>
          <w:rFonts w:ascii="Times New Roman" w:hAnsi="Times New Roman" w:cs="Times New Roman"/>
          <w:sz w:val="24"/>
          <w:lang w:val="ro-RO"/>
        </w:rPr>
        <w:t xml:space="preserve">codurile </w:t>
      </w:r>
      <w:r w:rsidR="00AB460B" w:rsidRPr="009C5F11">
        <w:rPr>
          <w:rFonts w:ascii="Times New Roman" w:hAnsi="Times New Roman" w:cs="Times New Roman"/>
          <w:sz w:val="24"/>
          <w:lang w:val="ro-RO"/>
        </w:rPr>
        <w:t xml:space="preserve">in domeniul </w:t>
      </w:r>
      <w:r w:rsidR="008624F5" w:rsidRPr="009C5F11">
        <w:rPr>
          <w:rFonts w:ascii="Times New Roman" w:hAnsi="Times New Roman" w:cs="Times New Roman"/>
          <w:sz w:val="24"/>
          <w:lang w:val="ro-RO"/>
        </w:rPr>
        <w:t>construcţiilor</w:t>
      </w:r>
      <w:r w:rsidR="00936847" w:rsidRPr="009C5F11">
        <w:rPr>
          <w:rFonts w:ascii="Times New Roman" w:hAnsi="Times New Roman" w:cs="Times New Roman"/>
          <w:sz w:val="24"/>
          <w:lang w:val="ro-RO"/>
        </w:rPr>
        <w:t xml:space="preserve"> etc</w:t>
      </w:r>
      <w:r w:rsidR="003D35EE"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şi </w:t>
      </w:r>
      <w:r w:rsidR="00E10BE5" w:rsidRPr="009C5F11">
        <w:rPr>
          <w:rFonts w:ascii="Times New Roman" w:hAnsi="Times New Roman" w:cs="Times New Roman"/>
          <w:sz w:val="24"/>
          <w:lang w:val="ro-RO"/>
        </w:rPr>
        <w:t>măsuri</w:t>
      </w:r>
      <w:r w:rsidR="00936847" w:rsidRPr="009C5F11">
        <w:rPr>
          <w:rFonts w:ascii="Times New Roman" w:hAnsi="Times New Roman" w:cs="Times New Roman"/>
          <w:sz w:val="24"/>
          <w:lang w:val="ro-RO"/>
        </w:rPr>
        <w:t xml:space="preserve"> </w:t>
      </w:r>
      <w:r w:rsidR="003D35EE" w:rsidRPr="009C5F11">
        <w:rPr>
          <w:rFonts w:ascii="Times New Roman" w:hAnsi="Times New Roman" w:cs="Times New Roman"/>
          <w:sz w:val="24"/>
          <w:lang w:val="ro-RO"/>
        </w:rPr>
        <w:t>asociate cu</w:t>
      </w:r>
      <w:r w:rsidR="00936847"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economii</w:t>
      </w:r>
      <w:r w:rsidR="00936847" w:rsidRPr="009C5F11">
        <w:rPr>
          <w:rFonts w:ascii="Times New Roman" w:hAnsi="Times New Roman" w:cs="Times New Roman"/>
          <w:sz w:val="24"/>
          <w:lang w:val="ro-RO"/>
        </w:rPr>
        <w:t xml:space="preserve"> </w:t>
      </w:r>
      <w:r w:rsidR="0094635F" w:rsidRPr="009C5F11">
        <w:rPr>
          <w:rFonts w:ascii="Times New Roman" w:hAnsi="Times New Roman" w:cs="Times New Roman"/>
          <w:sz w:val="24"/>
          <w:lang w:val="ro-RO"/>
        </w:rPr>
        <w:t xml:space="preserve">din măsuri de eficienţă energetică </w:t>
      </w:r>
      <w:r w:rsidR="003D35EE" w:rsidRPr="009C5F11">
        <w:rPr>
          <w:rFonts w:ascii="Times New Roman" w:hAnsi="Times New Roman" w:cs="Times New Roman"/>
          <w:sz w:val="24"/>
          <w:lang w:val="ro-RO"/>
        </w:rPr>
        <w:t xml:space="preserve">care necesită finanţare </w:t>
      </w:r>
      <w:r w:rsidR="00936847" w:rsidRPr="009C5F11">
        <w:rPr>
          <w:rFonts w:ascii="Times New Roman" w:hAnsi="Times New Roman" w:cs="Times New Roman"/>
          <w:sz w:val="24"/>
          <w:lang w:val="ro-RO"/>
        </w:rPr>
        <w:t>specific</w:t>
      </w:r>
      <w:r w:rsidR="003D35EE" w:rsidRPr="009C5F11">
        <w:rPr>
          <w:rFonts w:ascii="Times New Roman" w:hAnsi="Times New Roman" w:cs="Times New Roman"/>
          <w:sz w:val="24"/>
          <w:lang w:val="ro-RO"/>
        </w:rPr>
        <w:t>ă</w:t>
      </w:r>
      <w:r w:rsidR="00936847"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Sumarul informaţiilor privind măsurile</w:t>
      </w:r>
      <w:r w:rsidR="00936847"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este prezentat în</w:t>
      </w:r>
      <w:r w:rsidR="00936847"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1A101E" w:rsidRPr="009C5F11">
        <w:rPr>
          <w:rFonts w:ascii="Times New Roman" w:hAnsi="Times New Roman" w:cs="Times New Roman"/>
          <w:sz w:val="24"/>
          <w:lang w:val="ro-RO"/>
        </w:rPr>
        <w:instrText xml:space="preserve"> REF _Ref319621077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17</w:t>
      </w:r>
      <w:r w:rsidR="003A6ADB" w:rsidRPr="009C5F11">
        <w:rPr>
          <w:rFonts w:ascii="Times New Roman" w:hAnsi="Times New Roman" w:cs="Times New Roman"/>
          <w:sz w:val="24"/>
          <w:lang w:val="ro-RO"/>
        </w:rPr>
        <w:fldChar w:fldCharType="end"/>
      </w:r>
      <w:r w:rsidR="00936847"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de mai jos</w:t>
      </w:r>
      <w:r w:rsidR="00936847"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Măsuri</w:t>
      </w:r>
      <w:r w:rsidR="003D35EE" w:rsidRPr="009C5F11">
        <w:rPr>
          <w:rFonts w:ascii="Times New Roman" w:hAnsi="Times New Roman" w:cs="Times New Roman"/>
          <w:sz w:val="24"/>
          <w:lang w:val="ro-RO"/>
        </w:rPr>
        <w:t>le prevăzute pentru clădirile</w:t>
      </w:r>
      <w:r w:rsidR="00936847" w:rsidRPr="009C5F11">
        <w:rPr>
          <w:rFonts w:ascii="Times New Roman" w:hAnsi="Times New Roman" w:cs="Times New Roman"/>
          <w:sz w:val="24"/>
          <w:lang w:val="ro-RO"/>
        </w:rPr>
        <w:t xml:space="preserve"> public</w:t>
      </w:r>
      <w:r w:rsidR="003D35EE"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şi </w:t>
      </w:r>
      <w:r w:rsidR="00AB1710" w:rsidRPr="009C5F11">
        <w:rPr>
          <w:rFonts w:ascii="Times New Roman" w:hAnsi="Times New Roman" w:cs="Times New Roman"/>
          <w:sz w:val="24"/>
          <w:lang w:val="ro-RO"/>
        </w:rPr>
        <w:t>comercial</w:t>
      </w:r>
      <w:r w:rsidR="003D35EE" w:rsidRPr="009C5F11">
        <w:rPr>
          <w:rFonts w:ascii="Times New Roman" w:hAnsi="Times New Roman" w:cs="Times New Roman"/>
          <w:sz w:val="24"/>
          <w:lang w:val="ro-RO"/>
        </w:rPr>
        <w:t xml:space="preserve">e sunt prezentate </w:t>
      </w:r>
      <w:r w:rsidR="0094635F" w:rsidRPr="009C5F11">
        <w:rPr>
          <w:rFonts w:ascii="Times New Roman" w:hAnsi="Times New Roman" w:cs="Times New Roman"/>
          <w:sz w:val="24"/>
          <w:lang w:val="ro-RO"/>
        </w:rPr>
        <w:t xml:space="preserve">în </w:t>
      </w:r>
      <w:r w:rsidR="005619E4" w:rsidRPr="009C5F11">
        <w:rPr>
          <w:rFonts w:ascii="Times New Roman" w:hAnsi="Times New Roman" w:cs="Times New Roman"/>
          <w:sz w:val="24"/>
          <w:lang w:val="ro-RO"/>
        </w:rPr>
        <w:t>Secţiunea</w:t>
      </w:r>
      <w:r w:rsidR="00936847"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1A101E" w:rsidRPr="009C5F11">
        <w:rPr>
          <w:rFonts w:ascii="Times New Roman" w:hAnsi="Times New Roman" w:cs="Times New Roman"/>
          <w:sz w:val="24"/>
          <w:lang w:val="ro-RO"/>
        </w:rPr>
        <w:instrText xml:space="preserve"> REF _Ref319621105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3.3.2.2</w:t>
      </w:r>
      <w:r w:rsidR="003A6ADB" w:rsidRPr="009C5F11">
        <w:rPr>
          <w:rFonts w:ascii="Times New Roman" w:hAnsi="Times New Roman" w:cs="Times New Roman"/>
          <w:sz w:val="24"/>
          <w:lang w:val="ro-RO"/>
        </w:rPr>
        <w:fldChar w:fldCharType="end"/>
      </w:r>
      <w:r w:rsidR="00936847" w:rsidRPr="009C5F11">
        <w:rPr>
          <w:rFonts w:ascii="Times New Roman" w:hAnsi="Times New Roman" w:cs="Times New Roman"/>
          <w:sz w:val="24"/>
          <w:lang w:val="ro-RO"/>
        </w:rPr>
        <w:t xml:space="preserve"> dedicat</w:t>
      </w:r>
      <w:r w:rsidR="003D35EE" w:rsidRPr="009C5F11">
        <w:rPr>
          <w:rFonts w:ascii="Times New Roman" w:hAnsi="Times New Roman" w:cs="Times New Roman"/>
          <w:sz w:val="24"/>
          <w:lang w:val="ro-RO"/>
        </w:rPr>
        <w:t xml:space="preserve">ă sectorului </w:t>
      </w:r>
      <w:r w:rsidR="00421FA7" w:rsidRPr="009C5F11">
        <w:rPr>
          <w:rFonts w:ascii="Times New Roman" w:hAnsi="Times New Roman" w:cs="Times New Roman"/>
          <w:sz w:val="24"/>
          <w:lang w:val="ro-RO"/>
        </w:rPr>
        <w:t>public</w:t>
      </w:r>
      <w:r w:rsidR="00936847" w:rsidRPr="009C5F11">
        <w:rPr>
          <w:rFonts w:ascii="Times New Roman" w:hAnsi="Times New Roman" w:cs="Times New Roman"/>
          <w:sz w:val="24"/>
          <w:lang w:val="ro-RO"/>
        </w:rPr>
        <w:t>.</w:t>
      </w:r>
    </w:p>
    <w:p w14:paraId="12CA6D29" w14:textId="77777777" w:rsidR="008D21D6" w:rsidRPr="009C5F11" w:rsidRDefault="008D21D6" w:rsidP="0053522A">
      <w:pPr>
        <w:spacing w:before="120" w:after="120" w:line="240" w:lineRule="auto"/>
        <w:jc w:val="both"/>
        <w:textAlignment w:val="baseline"/>
        <w:rPr>
          <w:rFonts w:ascii="Times New Roman" w:hAnsi="Times New Roman" w:cs="Times New Roman"/>
          <w:sz w:val="24"/>
          <w:lang w:val="ro-RO"/>
        </w:rPr>
      </w:pPr>
    </w:p>
    <w:p w14:paraId="7ACA6754" w14:textId="77777777" w:rsidR="00936847" w:rsidRPr="009C5F11" w:rsidRDefault="00321CD5" w:rsidP="00864386">
      <w:pPr>
        <w:pStyle w:val="Legend"/>
        <w:keepNext/>
        <w:spacing w:after="120"/>
        <w:jc w:val="center"/>
        <w:rPr>
          <w:rFonts w:ascii="Times New Roman" w:hAnsi="Times New Roman" w:cs="Times New Roman"/>
          <w:sz w:val="22"/>
          <w:lang w:val="ro-RO"/>
        </w:rPr>
      </w:pPr>
      <w:bookmarkStart w:id="188" w:name="_Ref319621077"/>
      <w:bookmarkStart w:id="189" w:name="_Toc322013240"/>
      <w:r w:rsidRPr="009C5F11">
        <w:rPr>
          <w:rFonts w:ascii="Times New Roman" w:hAnsi="Times New Roman" w:cs="Times New Roman"/>
          <w:sz w:val="22"/>
          <w:lang w:val="ro-RO"/>
        </w:rPr>
        <w:t>Tabelul</w:t>
      </w:r>
      <w:r w:rsidR="00936847"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936847"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17</w:t>
      </w:r>
      <w:r w:rsidR="003A6ADB" w:rsidRPr="009C5F11">
        <w:rPr>
          <w:rFonts w:ascii="Times New Roman" w:hAnsi="Times New Roman" w:cs="Times New Roman"/>
          <w:sz w:val="22"/>
          <w:lang w:val="ro-RO"/>
        </w:rPr>
        <w:fldChar w:fldCharType="end"/>
      </w:r>
      <w:bookmarkEnd w:id="188"/>
      <w:r w:rsidR="00A31EAA" w:rsidRPr="009C5F11">
        <w:rPr>
          <w:rFonts w:ascii="Times New Roman" w:hAnsi="Times New Roman" w:cs="Times New Roman"/>
          <w:sz w:val="22"/>
          <w:lang w:val="ro-RO"/>
        </w:rPr>
        <w:t xml:space="preserve"> -</w:t>
      </w:r>
      <w:r w:rsidR="00936847" w:rsidRPr="009C5F11">
        <w:rPr>
          <w:rFonts w:ascii="Times New Roman" w:hAnsi="Times New Roman" w:cs="Times New Roman"/>
          <w:sz w:val="22"/>
          <w:lang w:val="ro-RO"/>
        </w:rPr>
        <w:t xml:space="preserve"> </w:t>
      </w:r>
      <w:r w:rsidR="004D0283" w:rsidRPr="009C5F11">
        <w:rPr>
          <w:rFonts w:ascii="Times New Roman" w:hAnsi="Times New Roman" w:cs="Times New Roman"/>
          <w:sz w:val="22"/>
          <w:lang w:val="ro-RO"/>
        </w:rPr>
        <w:t>Privire de ansamblu</w:t>
      </w:r>
      <w:r w:rsidR="00936847" w:rsidRPr="009C5F11">
        <w:rPr>
          <w:rFonts w:ascii="Times New Roman" w:hAnsi="Times New Roman" w:cs="Times New Roman"/>
          <w:sz w:val="22"/>
          <w:lang w:val="ro-RO"/>
        </w:rPr>
        <w:t xml:space="preserve"> </w:t>
      </w:r>
      <w:r w:rsidR="00E46DD7" w:rsidRPr="009C5F11">
        <w:rPr>
          <w:rFonts w:ascii="Times New Roman" w:hAnsi="Times New Roman" w:cs="Times New Roman"/>
          <w:sz w:val="22"/>
          <w:lang w:val="ro-RO"/>
        </w:rPr>
        <w:t>a măsurilor individuale din</w:t>
      </w:r>
      <w:r w:rsidRPr="009C5F11">
        <w:rPr>
          <w:rFonts w:ascii="Times New Roman" w:hAnsi="Times New Roman" w:cs="Times New Roman"/>
          <w:sz w:val="22"/>
          <w:lang w:val="ro-RO"/>
        </w:rPr>
        <w:t xml:space="preserve"> </w:t>
      </w:r>
      <w:r w:rsidR="00204033" w:rsidRPr="009C5F11">
        <w:rPr>
          <w:rFonts w:ascii="Times New Roman" w:hAnsi="Times New Roman" w:cs="Times New Roman"/>
          <w:sz w:val="22"/>
          <w:lang w:val="ro-RO"/>
        </w:rPr>
        <w:t>sectorul construcţiilor</w:t>
      </w:r>
      <w:r w:rsidR="00936847" w:rsidRPr="009C5F11">
        <w:rPr>
          <w:rFonts w:ascii="Times New Roman" w:hAnsi="Times New Roman" w:cs="Times New Roman"/>
          <w:sz w:val="22"/>
          <w:lang w:val="ro-RO"/>
        </w:rPr>
        <w:t>.</w:t>
      </w:r>
      <w:bookmarkEnd w:id="189"/>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A0" w:firstRow="1" w:lastRow="0" w:firstColumn="1" w:lastColumn="0" w:noHBand="0" w:noVBand="0"/>
      </w:tblPr>
      <w:tblGrid>
        <w:gridCol w:w="556"/>
        <w:gridCol w:w="1949"/>
        <w:gridCol w:w="1293"/>
        <w:gridCol w:w="1108"/>
        <w:gridCol w:w="1015"/>
        <w:gridCol w:w="1015"/>
        <w:gridCol w:w="1107"/>
        <w:gridCol w:w="1200"/>
      </w:tblGrid>
      <w:tr w:rsidR="00936847" w:rsidRPr="009C5F11" w14:paraId="1DA30010" w14:textId="77777777" w:rsidTr="00BF6432">
        <w:tc>
          <w:tcPr>
            <w:tcW w:w="300" w:type="pct"/>
            <w:shd w:val="clear" w:color="auto" w:fill="000080"/>
          </w:tcPr>
          <w:p w14:paraId="41EAEC83" w14:textId="77777777" w:rsidR="00936847" w:rsidRPr="009C5F11" w:rsidRDefault="00D55D28"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nr.</w:t>
            </w:r>
          </w:p>
        </w:tc>
        <w:tc>
          <w:tcPr>
            <w:tcW w:w="1054" w:type="pct"/>
            <w:shd w:val="clear" w:color="auto" w:fill="000080"/>
          </w:tcPr>
          <w:p w14:paraId="6C80461D" w14:textId="77777777" w:rsidR="00936847" w:rsidRPr="009C5F11" w:rsidRDefault="0094635F"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Denumirea măsurii de economisire a energiei</w:t>
            </w:r>
            <w:r w:rsidR="00936847" w:rsidRPr="009C5F11">
              <w:rPr>
                <w:rFonts w:ascii="Times New Roman" w:hAnsi="Times New Roman" w:cs="Times New Roman"/>
                <w:b/>
                <w:sz w:val="18"/>
                <w:szCs w:val="14"/>
                <w:lang w:val="ro-RO"/>
              </w:rPr>
              <w:br/>
            </w:r>
          </w:p>
        </w:tc>
        <w:tc>
          <w:tcPr>
            <w:tcW w:w="699" w:type="pct"/>
            <w:shd w:val="clear" w:color="auto" w:fill="000080"/>
          </w:tcPr>
          <w:p w14:paraId="100EAF4A" w14:textId="77777777" w:rsidR="00936847" w:rsidRPr="009C5F11" w:rsidRDefault="00204033"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Utilizatorul final vizat</w:t>
            </w:r>
          </w:p>
        </w:tc>
        <w:tc>
          <w:tcPr>
            <w:tcW w:w="599" w:type="pct"/>
            <w:shd w:val="clear" w:color="auto" w:fill="000080"/>
          </w:tcPr>
          <w:p w14:paraId="1E675AF7" w14:textId="77777777" w:rsidR="00936847" w:rsidRPr="009C5F11" w:rsidRDefault="00204033"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Durata</w:t>
            </w:r>
          </w:p>
        </w:tc>
        <w:tc>
          <w:tcPr>
            <w:tcW w:w="549" w:type="pct"/>
            <w:shd w:val="clear" w:color="auto" w:fill="000080"/>
          </w:tcPr>
          <w:p w14:paraId="7E19683B" w14:textId="77777777" w:rsidR="00936847" w:rsidRPr="009C5F11" w:rsidRDefault="00204033"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obţinute</w:t>
            </w:r>
            <w:r w:rsidR="00321CD5" w:rsidRPr="009C5F11">
              <w:rPr>
                <w:rFonts w:ascii="Times New Roman" w:hAnsi="Times New Roman" w:cs="Times New Roman"/>
                <w:b/>
                <w:sz w:val="18"/>
                <w:szCs w:val="14"/>
                <w:lang w:val="ro-RO"/>
              </w:rPr>
              <w:t xml:space="preserve"> în </w:t>
            </w:r>
            <w:r w:rsidR="00936847" w:rsidRPr="009C5F11">
              <w:rPr>
                <w:rFonts w:ascii="Times New Roman" w:hAnsi="Times New Roman" w:cs="Times New Roman"/>
                <w:b/>
                <w:sz w:val="18"/>
                <w:szCs w:val="14"/>
                <w:lang w:val="ro-RO"/>
              </w:rPr>
              <w:t>2016 (</w:t>
            </w:r>
            <w:r w:rsidR="00E52940" w:rsidRPr="009C5F11">
              <w:rPr>
                <w:rFonts w:ascii="Times New Roman" w:hAnsi="Times New Roman" w:cs="Times New Roman"/>
                <w:b/>
                <w:sz w:val="18"/>
                <w:szCs w:val="14"/>
                <w:lang w:val="ro-RO"/>
              </w:rPr>
              <w:t>ktep</w:t>
            </w:r>
            <w:r w:rsidR="00936847" w:rsidRPr="009C5F11">
              <w:rPr>
                <w:rFonts w:ascii="Times New Roman" w:hAnsi="Times New Roman" w:cs="Times New Roman"/>
                <w:b/>
                <w:sz w:val="18"/>
                <w:szCs w:val="14"/>
                <w:lang w:val="ro-RO"/>
              </w:rPr>
              <w:t>)</w:t>
            </w:r>
          </w:p>
        </w:tc>
        <w:tc>
          <w:tcPr>
            <w:tcW w:w="549" w:type="pct"/>
            <w:shd w:val="clear" w:color="auto" w:fill="000080"/>
          </w:tcPr>
          <w:p w14:paraId="2FC0899C" w14:textId="77777777" w:rsidR="00936847" w:rsidRPr="009C5F11" w:rsidRDefault="00204033"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prevăzute</w:t>
            </w:r>
            <w:r w:rsidR="00321CD5" w:rsidRPr="009C5F11">
              <w:rPr>
                <w:rFonts w:ascii="Times New Roman" w:hAnsi="Times New Roman" w:cs="Times New Roman"/>
                <w:b/>
                <w:sz w:val="18"/>
                <w:szCs w:val="14"/>
                <w:lang w:val="ro-RO"/>
              </w:rPr>
              <w:t xml:space="preserve"> în </w:t>
            </w:r>
            <w:r w:rsidR="00936847" w:rsidRPr="009C5F11">
              <w:rPr>
                <w:rFonts w:ascii="Times New Roman" w:hAnsi="Times New Roman" w:cs="Times New Roman"/>
                <w:b/>
                <w:sz w:val="18"/>
                <w:szCs w:val="14"/>
                <w:lang w:val="ro-RO"/>
              </w:rPr>
              <w:t>2020 (</w:t>
            </w:r>
            <w:r w:rsidR="00E52940" w:rsidRPr="009C5F11">
              <w:rPr>
                <w:rFonts w:ascii="Times New Roman" w:hAnsi="Times New Roman" w:cs="Times New Roman"/>
                <w:b/>
                <w:sz w:val="18"/>
                <w:szCs w:val="14"/>
                <w:lang w:val="ro-RO"/>
              </w:rPr>
              <w:t>ktep</w:t>
            </w:r>
            <w:r w:rsidR="00936847" w:rsidRPr="009C5F11">
              <w:rPr>
                <w:rFonts w:ascii="Times New Roman" w:hAnsi="Times New Roman" w:cs="Times New Roman"/>
                <w:b/>
                <w:sz w:val="18"/>
                <w:szCs w:val="14"/>
                <w:lang w:val="ro-RO"/>
              </w:rPr>
              <w:t>)</w:t>
            </w:r>
          </w:p>
        </w:tc>
        <w:tc>
          <w:tcPr>
            <w:tcW w:w="599" w:type="pct"/>
            <w:shd w:val="clear" w:color="auto" w:fill="000080"/>
          </w:tcPr>
          <w:p w14:paraId="086BE7FD" w14:textId="77777777" w:rsidR="00936847" w:rsidRPr="009C5F11" w:rsidRDefault="00204033"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Situaţia în raport cu primul PNAEE</w:t>
            </w:r>
          </w:p>
        </w:tc>
        <w:tc>
          <w:tcPr>
            <w:tcW w:w="649" w:type="pct"/>
            <w:shd w:val="clear" w:color="auto" w:fill="000080"/>
          </w:tcPr>
          <w:p w14:paraId="2EAF7EDF" w14:textId="77777777" w:rsidR="00936847" w:rsidRPr="009C5F11" w:rsidRDefault="00204033"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Comentarii adiţionale</w:t>
            </w:r>
          </w:p>
        </w:tc>
      </w:tr>
      <w:tr w:rsidR="00936847" w:rsidRPr="009C5F11" w14:paraId="025D9B5F" w14:textId="77777777" w:rsidTr="00BF6432">
        <w:tc>
          <w:tcPr>
            <w:tcW w:w="300" w:type="pct"/>
            <w:shd w:val="clear" w:color="auto" w:fill="99CCFF"/>
          </w:tcPr>
          <w:p w14:paraId="1146317E"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B.1.</w:t>
            </w:r>
          </w:p>
        </w:tc>
        <w:tc>
          <w:tcPr>
            <w:tcW w:w="1054" w:type="pct"/>
            <w:shd w:val="clear" w:color="auto" w:fill="99CCFF"/>
          </w:tcPr>
          <w:p w14:paraId="4CE573C8" w14:textId="77777777" w:rsidR="00936847" w:rsidRPr="009C5F11" w:rsidRDefault="002B232C"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Elaborarea cadrului legal cu privire la</w:t>
            </w:r>
            <w:r w:rsidR="00D160E1" w:rsidRPr="009C5F11">
              <w:rPr>
                <w:rFonts w:ascii="Times New Roman" w:hAnsi="Times New Roman" w:cs="Times New Roman"/>
                <w:sz w:val="18"/>
                <w:szCs w:val="14"/>
                <w:lang w:val="ro-RO"/>
              </w:rPr>
              <w:t xml:space="preserve"> performanţa energetică a clădirilor</w:t>
            </w:r>
            <w:r w:rsidRPr="009C5F11">
              <w:rPr>
                <w:rFonts w:ascii="Times New Roman" w:hAnsi="Times New Roman" w:cs="Times New Roman"/>
                <w:sz w:val="18"/>
                <w:szCs w:val="14"/>
                <w:lang w:val="ro-RO"/>
              </w:rPr>
              <w:t>.</w:t>
            </w:r>
          </w:p>
        </w:tc>
        <w:tc>
          <w:tcPr>
            <w:tcW w:w="699" w:type="pct"/>
            <w:shd w:val="clear" w:color="auto" w:fill="99CCFF"/>
          </w:tcPr>
          <w:p w14:paraId="1997A4AA" w14:textId="77777777" w:rsidR="00936847" w:rsidRPr="009C5F11" w:rsidRDefault="00E46DD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Clădirile noi</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clădirile existente</w:t>
            </w:r>
          </w:p>
        </w:tc>
        <w:tc>
          <w:tcPr>
            <w:tcW w:w="599" w:type="pct"/>
            <w:shd w:val="clear" w:color="auto" w:fill="99CCFF"/>
          </w:tcPr>
          <w:p w14:paraId="6994BB89"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p>
          <w:p w14:paraId="09EB764D"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31/12/17</w:t>
            </w:r>
          </w:p>
        </w:tc>
        <w:tc>
          <w:tcPr>
            <w:tcW w:w="549" w:type="pct"/>
            <w:shd w:val="clear" w:color="auto" w:fill="99CCFF"/>
          </w:tcPr>
          <w:p w14:paraId="2926214B" w14:textId="77777777" w:rsidR="00936847" w:rsidRPr="009C5F11" w:rsidRDefault="00760BB5"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N/A</w:t>
            </w:r>
          </w:p>
        </w:tc>
        <w:tc>
          <w:tcPr>
            <w:tcW w:w="549" w:type="pct"/>
            <w:shd w:val="clear" w:color="auto" w:fill="99CCFF"/>
          </w:tcPr>
          <w:p w14:paraId="36D8125D" w14:textId="77777777" w:rsidR="00936847" w:rsidRPr="009C5F11" w:rsidRDefault="00760BB5"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N/A</w:t>
            </w:r>
          </w:p>
        </w:tc>
        <w:tc>
          <w:tcPr>
            <w:tcW w:w="599" w:type="pct"/>
            <w:shd w:val="clear" w:color="auto" w:fill="99CCFF"/>
          </w:tcPr>
          <w:p w14:paraId="1A4544A4" w14:textId="77777777" w:rsidR="00936847" w:rsidRPr="009C5F11" w:rsidRDefault="00D47C89"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Preluată</w:t>
            </w:r>
            <w:r w:rsidR="00204033" w:rsidRPr="009C5F11">
              <w:rPr>
                <w:rFonts w:ascii="Times New Roman" w:hAnsi="Times New Roman" w:cs="Times New Roman"/>
                <w:sz w:val="18"/>
                <w:szCs w:val="14"/>
                <w:lang w:val="ro-RO"/>
              </w:rPr>
              <w:t>, redenumită, actualizată</w:t>
            </w:r>
          </w:p>
        </w:tc>
        <w:tc>
          <w:tcPr>
            <w:tcW w:w="649" w:type="pct"/>
            <w:shd w:val="clear" w:color="auto" w:fill="99CCFF"/>
          </w:tcPr>
          <w:p w14:paraId="6E670CA9" w14:textId="77777777" w:rsidR="00936847" w:rsidRPr="009C5F11" w:rsidRDefault="00936847" w:rsidP="00F42BEA">
            <w:pPr>
              <w:spacing w:before="40" w:after="40" w:line="240" w:lineRule="auto"/>
              <w:rPr>
                <w:rFonts w:ascii="Times New Roman" w:hAnsi="Times New Roman" w:cs="Times New Roman"/>
                <w:sz w:val="18"/>
                <w:szCs w:val="14"/>
                <w:lang w:val="ro-RO"/>
              </w:rPr>
            </w:pPr>
          </w:p>
        </w:tc>
      </w:tr>
      <w:tr w:rsidR="00936847" w:rsidRPr="009C5F11" w14:paraId="43061C8C" w14:textId="77777777" w:rsidTr="00BF6432">
        <w:tc>
          <w:tcPr>
            <w:tcW w:w="300" w:type="pct"/>
            <w:shd w:val="clear" w:color="auto" w:fill="99CCFF"/>
          </w:tcPr>
          <w:p w14:paraId="5C1E353F"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B.2.</w:t>
            </w:r>
          </w:p>
        </w:tc>
        <w:tc>
          <w:tcPr>
            <w:tcW w:w="1054" w:type="pct"/>
            <w:shd w:val="clear" w:color="auto" w:fill="99CCFF"/>
          </w:tcPr>
          <w:p w14:paraId="0DED9266" w14:textId="77777777" w:rsidR="00936847" w:rsidRPr="009C5F11" w:rsidRDefault="00D160E1"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Promovarea clădirilor al căror consum de energie este aproape egal cu zero</w:t>
            </w:r>
            <w:r w:rsidR="002B232C" w:rsidRPr="009C5F11">
              <w:rPr>
                <w:rFonts w:ascii="Times New Roman" w:hAnsi="Times New Roman" w:cs="Times New Roman"/>
                <w:sz w:val="18"/>
                <w:szCs w:val="14"/>
                <w:lang w:val="ro-RO"/>
              </w:rPr>
              <w:t>.</w:t>
            </w:r>
          </w:p>
        </w:tc>
        <w:tc>
          <w:tcPr>
            <w:tcW w:w="699" w:type="pct"/>
            <w:shd w:val="clear" w:color="auto" w:fill="99CCFF"/>
          </w:tcPr>
          <w:p w14:paraId="6E161BBC" w14:textId="77777777" w:rsidR="00936847" w:rsidRPr="009C5F11" w:rsidRDefault="00E46DD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Clădirile noi</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clădirile existente</w:t>
            </w:r>
          </w:p>
        </w:tc>
        <w:tc>
          <w:tcPr>
            <w:tcW w:w="599" w:type="pct"/>
            <w:shd w:val="clear" w:color="auto" w:fill="99CCFF"/>
          </w:tcPr>
          <w:p w14:paraId="6132DC7A"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p>
          <w:p w14:paraId="774124C9" w14:textId="77777777" w:rsidR="00936847" w:rsidRPr="009C5F11" w:rsidRDefault="0094635F"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p>
          <w:p w14:paraId="192D2583"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31.12.20</w:t>
            </w:r>
          </w:p>
        </w:tc>
        <w:tc>
          <w:tcPr>
            <w:tcW w:w="549" w:type="pct"/>
            <w:shd w:val="clear" w:color="auto" w:fill="99CCFF"/>
          </w:tcPr>
          <w:p w14:paraId="7404DB0B" w14:textId="77777777" w:rsidR="00936847" w:rsidRPr="009C5F11" w:rsidRDefault="00760BB5"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N/A</w:t>
            </w:r>
          </w:p>
        </w:tc>
        <w:tc>
          <w:tcPr>
            <w:tcW w:w="549" w:type="pct"/>
            <w:shd w:val="clear" w:color="auto" w:fill="99CCFF"/>
          </w:tcPr>
          <w:p w14:paraId="795427A2" w14:textId="77777777" w:rsidR="00936847" w:rsidRPr="009C5F11" w:rsidRDefault="00760BB5"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N/A</w:t>
            </w:r>
          </w:p>
        </w:tc>
        <w:tc>
          <w:tcPr>
            <w:tcW w:w="599" w:type="pct"/>
            <w:shd w:val="clear" w:color="auto" w:fill="99CCFF"/>
          </w:tcPr>
          <w:p w14:paraId="2C816EC2" w14:textId="77777777" w:rsidR="00936847" w:rsidRPr="009C5F11" w:rsidRDefault="00204033"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Continuă</w:t>
            </w:r>
          </w:p>
        </w:tc>
        <w:tc>
          <w:tcPr>
            <w:tcW w:w="649" w:type="pct"/>
            <w:shd w:val="clear" w:color="auto" w:fill="99CCFF"/>
          </w:tcPr>
          <w:p w14:paraId="7C82DA85" w14:textId="77777777" w:rsidR="00936847" w:rsidRPr="009C5F11" w:rsidRDefault="00936847" w:rsidP="00F42BEA">
            <w:pPr>
              <w:spacing w:before="40" w:after="40" w:line="240" w:lineRule="auto"/>
              <w:rPr>
                <w:rFonts w:ascii="Times New Roman" w:hAnsi="Times New Roman" w:cs="Times New Roman"/>
                <w:sz w:val="18"/>
                <w:szCs w:val="14"/>
                <w:lang w:val="ro-RO"/>
              </w:rPr>
            </w:pPr>
          </w:p>
        </w:tc>
      </w:tr>
      <w:tr w:rsidR="00936847" w:rsidRPr="009C5F11" w14:paraId="09B8282A" w14:textId="77777777" w:rsidTr="00BF6432">
        <w:tc>
          <w:tcPr>
            <w:tcW w:w="300" w:type="pct"/>
            <w:shd w:val="clear" w:color="auto" w:fill="99CCFF"/>
          </w:tcPr>
          <w:p w14:paraId="5C8206FE"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B.3.</w:t>
            </w:r>
          </w:p>
        </w:tc>
        <w:tc>
          <w:tcPr>
            <w:tcW w:w="1054" w:type="pct"/>
            <w:shd w:val="clear" w:color="auto" w:fill="99CCFF"/>
          </w:tcPr>
          <w:p w14:paraId="035319D7" w14:textId="77777777" w:rsidR="00936847" w:rsidRPr="009C5F11" w:rsidRDefault="00D160E1"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Măsuri de îmbunătăţire a eficienţei energetice în blocurile rezidenţiale</w:t>
            </w:r>
            <w:r w:rsidR="002B232C" w:rsidRPr="009C5F11">
              <w:rPr>
                <w:rFonts w:ascii="Times New Roman" w:hAnsi="Times New Roman" w:cs="Times New Roman"/>
                <w:sz w:val="18"/>
                <w:szCs w:val="14"/>
                <w:lang w:val="ro-RO"/>
              </w:rPr>
              <w:t>.</w:t>
            </w:r>
          </w:p>
        </w:tc>
        <w:tc>
          <w:tcPr>
            <w:tcW w:w="699" w:type="pct"/>
            <w:shd w:val="clear" w:color="auto" w:fill="99CCFF"/>
          </w:tcPr>
          <w:p w14:paraId="2612FF3C" w14:textId="77777777" w:rsidR="00936847" w:rsidRPr="009C5F11" w:rsidRDefault="00E46DD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Clădirile noi</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clădirile existente</w:t>
            </w:r>
          </w:p>
        </w:tc>
        <w:tc>
          <w:tcPr>
            <w:tcW w:w="599" w:type="pct"/>
            <w:shd w:val="clear" w:color="auto" w:fill="99CCFF"/>
          </w:tcPr>
          <w:p w14:paraId="41D66822"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01/01/16 </w:t>
            </w:r>
            <w:r w:rsidR="0094635F"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 xml:space="preserve"> </w:t>
            </w:r>
          </w:p>
          <w:p w14:paraId="5965A7D5"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31/12/19</w:t>
            </w:r>
          </w:p>
        </w:tc>
        <w:tc>
          <w:tcPr>
            <w:tcW w:w="549" w:type="pct"/>
            <w:shd w:val="clear" w:color="auto" w:fill="99CCFF"/>
          </w:tcPr>
          <w:p w14:paraId="2BE47B29"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1.18</w:t>
            </w:r>
          </w:p>
        </w:tc>
        <w:tc>
          <w:tcPr>
            <w:tcW w:w="549" w:type="pct"/>
            <w:shd w:val="clear" w:color="auto" w:fill="99CCFF"/>
          </w:tcPr>
          <w:p w14:paraId="77559322" w14:textId="77777777" w:rsidR="00936847" w:rsidRPr="009C5F11" w:rsidRDefault="00936847"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w:t>
            </w:r>
          </w:p>
        </w:tc>
        <w:tc>
          <w:tcPr>
            <w:tcW w:w="599" w:type="pct"/>
            <w:shd w:val="clear" w:color="auto" w:fill="99CCFF"/>
          </w:tcPr>
          <w:p w14:paraId="28FA64E2" w14:textId="77777777" w:rsidR="00936847" w:rsidRPr="009C5F11" w:rsidRDefault="00D47C89" w:rsidP="00F42BEA">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Preluată</w:t>
            </w:r>
            <w:r w:rsidR="00204033" w:rsidRPr="009C5F11">
              <w:rPr>
                <w:rFonts w:ascii="Times New Roman" w:hAnsi="Times New Roman" w:cs="Times New Roman"/>
                <w:sz w:val="18"/>
                <w:szCs w:val="14"/>
                <w:lang w:val="ro-RO"/>
              </w:rPr>
              <w:t>, redenumită, actualizată</w:t>
            </w:r>
          </w:p>
        </w:tc>
        <w:tc>
          <w:tcPr>
            <w:tcW w:w="649" w:type="pct"/>
            <w:shd w:val="clear" w:color="auto" w:fill="99CCFF"/>
          </w:tcPr>
          <w:p w14:paraId="28FCEA60" w14:textId="77777777" w:rsidR="00936847" w:rsidRPr="009C5F11" w:rsidRDefault="00936847" w:rsidP="00F42BEA">
            <w:pPr>
              <w:spacing w:before="40" w:after="40" w:line="240" w:lineRule="auto"/>
              <w:rPr>
                <w:rFonts w:ascii="Times New Roman" w:hAnsi="Times New Roman" w:cs="Times New Roman"/>
                <w:sz w:val="18"/>
                <w:szCs w:val="14"/>
                <w:lang w:val="ro-RO"/>
              </w:rPr>
            </w:pPr>
          </w:p>
        </w:tc>
      </w:tr>
      <w:tr w:rsidR="00936847" w:rsidRPr="009C5F11" w14:paraId="22FF30EF" w14:textId="77777777" w:rsidTr="00BF6432">
        <w:tc>
          <w:tcPr>
            <w:tcW w:w="300" w:type="pct"/>
            <w:shd w:val="clear" w:color="auto" w:fill="99CCFF"/>
          </w:tcPr>
          <w:p w14:paraId="78E98B14" w14:textId="77777777" w:rsidR="00936847" w:rsidRPr="009C5F11" w:rsidRDefault="00936847" w:rsidP="00F42BEA">
            <w:pPr>
              <w:spacing w:before="40" w:after="40" w:line="240" w:lineRule="auto"/>
              <w:rPr>
                <w:rFonts w:ascii="Times New Roman" w:hAnsi="Times New Roman" w:cs="Times New Roman"/>
                <w:b/>
                <w:sz w:val="18"/>
                <w:szCs w:val="14"/>
                <w:lang w:val="ro-RO"/>
              </w:rPr>
            </w:pPr>
          </w:p>
        </w:tc>
        <w:tc>
          <w:tcPr>
            <w:tcW w:w="1054" w:type="pct"/>
            <w:shd w:val="clear" w:color="auto" w:fill="99CCFF"/>
          </w:tcPr>
          <w:p w14:paraId="32896478" w14:textId="77777777" w:rsidR="00936847" w:rsidRPr="009C5F11" w:rsidRDefault="00936847" w:rsidP="00F42BEA">
            <w:pPr>
              <w:spacing w:before="40" w:after="40" w:line="240" w:lineRule="auto"/>
              <w:rPr>
                <w:rFonts w:ascii="Times New Roman" w:hAnsi="Times New Roman" w:cs="Times New Roman"/>
                <w:b/>
                <w:sz w:val="18"/>
                <w:szCs w:val="14"/>
                <w:lang w:val="ro-RO"/>
              </w:rPr>
            </w:pPr>
          </w:p>
        </w:tc>
        <w:tc>
          <w:tcPr>
            <w:tcW w:w="699" w:type="pct"/>
            <w:shd w:val="clear" w:color="auto" w:fill="99CCFF"/>
          </w:tcPr>
          <w:p w14:paraId="5BE02024" w14:textId="77777777" w:rsidR="00936847" w:rsidRPr="009C5F11" w:rsidRDefault="00936847" w:rsidP="00F42BEA">
            <w:pPr>
              <w:spacing w:before="40" w:after="40" w:line="240" w:lineRule="auto"/>
              <w:rPr>
                <w:rFonts w:ascii="Times New Roman" w:hAnsi="Times New Roman" w:cs="Times New Roman"/>
                <w:b/>
                <w:sz w:val="18"/>
                <w:szCs w:val="14"/>
                <w:lang w:val="ro-RO"/>
              </w:rPr>
            </w:pPr>
          </w:p>
        </w:tc>
        <w:tc>
          <w:tcPr>
            <w:tcW w:w="599" w:type="pct"/>
            <w:shd w:val="clear" w:color="auto" w:fill="99CCFF"/>
          </w:tcPr>
          <w:p w14:paraId="403DE908" w14:textId="77777777" w:rsidR="00936847" w:rsidRPr="009C5F11" w:rsidRDefault="00936847"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 xml:space="preserve">Total </w:t>
            </w:r>
            <w:r w:rsidR="00C639BC" w:rsidRPr="009C5F11">
              <w:rPr>
                <w:rFonts w:ascii="Times New Roman" w:hAnsi="Times New Roman" w:cs="Times New Roman"/>
                <w:b/>
                <w:sz w:val="18"/>
                <w:szCs w:val="14"/>
                <w:lang w:val="ro-RO"/>
              </w:rPr>
              <w:t>economii</w:t>
            </w:r>
            <w:r w:rsidRPr="009C5F11">
              <w:rPr>
                <w:rFonts w:ascii="Times New Roman" w:hAnsi="Times New Roman" w:cs="Times New Roman"/>
                <w:b/>
                <w:sz w:val="18"/>
                <w:szCs w:val="14"/>
                <w:lang w:val="ro-RO"/>
              </w:rPr>
              <w:t>:</w:t>
            </w:r>
          </w:p>
        </w:tc>
        <w:tc>
          <w:tcPr>
            <w:tcW w:w="549" w:type="pct"/>
            <w:shd w:val="clear" w:color="auto" w:fill="99CCFF"/>
          </w:tcPr>
          <w:p w14:paraId="2221BD96" w14:textId="77777777" w:rsidR="00936847" w:rsidRPr="009C5F11" w:rsidRDefault="00936847"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1.18</w:t>
            </w:r>
          </w:p>
        </w:tc>
        <w:tc>
          <w:tcPr>
            <w:tcW w:w="549" w:type="pct"/>
            <w:shd w:val="clear" w:color="auto" w:fill="99CCFF"/>
          </w:tcPr>
          <w:p w14:paraId="0372E9A1" w14:textId="77777777" w:rsidR="00936847" w:rsidRPr="009C5F11" w:rsidRDefault="00936847" w:rsidP="00F42BEA">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31</w:t>
            </w:r>
          </w:p>
        </w:tc>
        <w:tc>
          <w:tcPr>
            <w:tcW w:w="599" w:type="pct"/>
            <w:shd w:val="clear" w:color="auto" w:fill="99CCFF"/>
          </w:tcPr>
          <w:p w14:paraId="6A797990" w14:textId="77777777" w:rsidR="00936847" w:rsidRPr="009C5F11" w:rsidRDefault="00936847" w:rsidP="00F42BEA">
            <w:pPr>
              <w:spacing w:before="40" w:after="40" w:line="240" w:lineRule="auto"/>
              <w:rPr>
                <w:rFonts w:ascii="Times New Roman" w:hAnsi="Times New Roman" w:cs="Times New Roman"/>
                <w:b/>
                <w:sz w:val="18"/>
                <w:szCs w:val="14"/>
                <w:lang w:val="ro-RO"/>
              </w:rPr>
            </w:pPr>
          </w:p>
        </w:tc>
        <w:tc>
          <w:tcPr>
            <w:tcW w:w="649" w:type="pct"/>
            <w:shd w:val="clear" w:color="auto" w:fill="99CCFF"/>
          </w:tcPr>
          <w:p w14:paraId="51396C5E" w14:textId="77777777" w:rsidR="00936847" w:rsidRPr="009C5F11" w:rsidRDefault="00936847" w:rsidP="00F42BEA">
            <w:pPr>
              <w:spacing w:before="40" w:after="40" w:line="240" w:lineRule="auto"/>
              <w:rPr>
                <w:rFonts w:ascii="Times New Roman" w:hAnsi="Times New Roman" w:cs="Times New Roman"/>
                <w:b/>
                <w:sz w:val="18"/>
                <w:szCs w:val="14"/>
                <w:lang w:val="ro-RO"/>
              </w:rPr>
            </w:pPr>
          </w:p>
        </w:tc>
      </w:tr>
    </w:tbl>
    <w:p w14:paraId="3305120C" w14:textId="77777777" w:rsidR="00DE39D8" w:rsidRPr="009C5F11" w:rsidRDefault="00D666B5" w:rsidP="006B6BCC">
      <w:pPr>
        <w:spacing w:before="120" w:after="120" w:line="240" w:lineRule="auto"/>
        <w:jc w:val="both"/>
        <w:textAlignment w:val="baseline"/>
        <w:rPr>
          <w:rFonts w:ascii="Times New Roman" w:hAnsi="Times New Roman" w:cs="Times New Roman"/>
          <w:b/>
          <w:sz w:val="24"/>
          <w:lang w:val="ro-RO"/>
        </w:rPr>
      </w:pPr>
      <w:r w:rsidRPr="009C5F11">
        <w:rPr>
          <w:rFonts w:ascii="Times New Roman" w:hAnsi="Times New Roman" w:cs="Times New Roman"/>
          <w:sz w:val="24"/>
          <w:lang w:val="ro-RO"/>
        </w:rPr>
        <w:t>Tabel</w:t>
      </w:r>
      <w:r w:rsidR="006B6BCC" w:rsidRPr="009C5F11">
        <w:rPr>
          <w:rFonts w:ascii="Times New Roman" w:hAnsi="Times New Roman" w:cs="Times New Roman"/>
          <w:sz w:val="24"/>
          <w:lang w:val="ro-RO"/>
        </w:rPr>
        <w:t xml:space="preserve">ele cu măsuri sunt elaborate şi </w:t>
      </w:r>
      <w:r w:rsidR="0094635F" w:rsidRPr="009C5F11">
        <w:rPr>
          <w:rFonts w:ascii="Times New Roman" w:hAnsi="Times New Roman" w:cs="Times New Roman"/>
          <w:sz w:val="24"/>
          <w:lang w:val="ro-RO"/>
        </w:rPr>
        <w:t>incluse în continuare</w:t>
      </w:r>
      <w:r w:rsidR="006B6BCC" w:rsidRPr="009C5F11">
        <w:rPr>
          <w:rFonts w:ascii="Times New Roman" w:hAnsi="Times New Roman" w:cs="Times New Roman"/>
          <w:sz w:val="24"/>
          <w:lang w:val="ro-RO"/>
        </w:rPr>
        <w:t xml:space="preserve">. </w:t>
      </w:r>
    </w:p>
    <w:p w14:paraId="64922C4D" w14:textId="77777777" w:rsidR="007938F9" w:rsidRPr="009C5F11" w:rsidRDefault="007938F9">
      <w:pPr>
        <w:rPr>
          <w:rFonts w:ascii="Times New Roman" w:hAnsi="Times New Roman" w:cs="Times New Roman"/>
          <w:b/>
          <w:bCs/>
          <w:color w:val="262626" w:themeColor="text1" w:themeTint="D9"/>
          <w:szCs w:val="18"/>
          <w:lang w:val="ro-RO"/>
        </w:rPr>
      </w:pPr>
      <w:r w:rsidRPr="009C5F11">
        <w:rPr>
          <w:rFonts w:ascii="Times New Roman" w:hAnsi="Times New Roman" w:cs="Times New Roman"/>
          <w:b/>
          <w:sz w:val="24"/>
          <w:lang w:val="ro-RO"/>
        </w:rPr>
        <w:br w:type="page"/>
      </w:r>
    </w:p>
    <w:p w14:paraId="56BA6CEC" w14:textId="77777777" w:rsidR="004479FA" w:rsidRPr="009C5F11" w:rsidRDefault="00321CD5" w:rsidP="004479FA">
      <w:pPr>
        <w:pStyle w:val="Legend"/>
        <w:keepNext/>
        <w:jc w:val="center"/>
        <w:rPr>
          <w:rFonts w:ascii="Times New Roman" w:hAnsi="Times New Roman" w:cs="Times New Roman"/>
          <w:b/>
          <w:sz w:val="22"/>
          <w:lang w:val="ro-RO"/>
        </w:rPr>
      </w:pPr>
      <w:bookmarkStart w:id="190" w:name="_Toc447724119"/>
      <w:r w:rsidRPr="009C5F11">
        <w:rPr>
          <w:rFonts w:ascii="Times New Roman" w:hAnsi="Times New Roman" w:cs="Times New Roman"/>
          <w:b/>
          <w:sz w:val="22"/>
          <w:lang w:val="ro-RO"/>
        </w:rPr>
        <w:lastRenderedPageBreak/>
        <w:t>Tabelul</w:t>
      </w:r>
      <w:r w:rsidR="004479FA" w:rsidRPr="009C5F11">
        <w:rPr>
          <w:rFonts w:ascii="Times New Roman" w:hAnsi="Times New Roman" w:cs="Times New Roman"/>
          <w:b/>
          <w:sz w:val="22"/>
          <w:lang w:val="ro-RO"/>
        </w:rPr>
        <w:t xml:space="preserve"> B </w:t>
      </w:r>
      <w:r w:rsidR="003A6ADB" w:rsidRPr="009C5F11">
        <w:rPr>
          <w:rFonts w:ascii="Times New Roman" w:hAnsi="Times New Roman" w:cs="Times New Roman"/>
          <w:b/>
          <w:sz w:val="22"/>
          <w:lang w:val="ro-RO"/>
        </w:rPr>
        <w:fldChar w:fldCharType="begin"/>
      </w:r>
      <w:r w:rsidR="004479FA" w:rsidRPr="009C5F11">
        <w:rPr>
          <w:rFonts w:ascii="Times New Roman" w:hAnsi="Times New Roman" w:cs="Times New Roman"/>
          <w:b/>
          <w:sz w:val="22"/>
          <w:lang w:val="ro-RO"/>
        </w:rPr>
        <w:instrText xml:space="preserve"> SEQ Table_B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1</w:t>
      </w:r>
      <w:r w:rsidR="003A6ADB" w:rsidRPr="009C5F11">
        <w:rPr>
          <w:rFonts w:ascii="Times New Roman" w:hAnsi="Times New Roman" w:cs="Times New Roman"/>
          <w:b/>
          <w:sz w:val="22"/>
          <w:lang w:val="ro-RO"/>
        </w:rPr>
        <w:fldChar w:fldCharType="end"/>
      </w:r>
      <w:r w:rsidR="004479FA" w:rsidRPr="009C5F11">
        <w:rPr>
          <w:rFonts w:ascii="Times New Roman" w:hAnsi="Times New Roman" w:cs="Times New Roman"/>
          <w:b/>
          <w:sz w:val="22"/>
          <w:lang w:val="ro-RO"/>
        </w:rPr>
        <w:t xml:space="preserve"> - </w:t>
      </w:r>
      <w:r w:rsidR="002B232C" w:rsidRPr="009C5F11">
        <w:rPr>
          <w:rFonts w:ascii="Times New Roman" w:hAnsi="Times New Roman" w:cs="Times New Roman"/>
          <w:b/>
          <w:sz w:val="22"/>
          <w:lang w:val="ro-RO"/>
        </w:rPr>
        <w:t>Elaborarea cadrului legal cu privire la</w:t>
      </w:r>
      <w:r w:rsidR="00D160E1" w:rsidRPr="009C5F11">
        <w:rPr>
          <w:rFonts w:ascii="Times New Roman" w:hAnsi="Times New Roman" w:cs="Times New Roman"/>
          <w:b/>
          <w:sz w:val="22"/>
          <w:lang w:val="ro-RO"/>
        </w:rPr>
        <w:t xml:space="preserve"> performanţa energetică a clădirilor</w:t>
      </w:r>
      <w:r w:rsidR="0094635F" w:rsidRPr="009C5F11">
        <w:rPr>
          <w:rFonts w:ascii="Times New Roman" w:hAnsi="Times New Roman" w:cs="Times New Roman"/>
          <w:b/>
          <w:sz w:val="22"/>
          <w:lang w:val="ro-RO"/>
        </w:rPr>
        <w:t>.</w:t>
      </w:r>
      <w:bookmarkEnd w:id="1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936847" w:rsidRPr="009C5F11" w14:paraId="1C466E26" w14:textId="77777777" w:rsidTr="00BF6432">
        <w:trPr>
          <w:trHeight w:val="75"/>
        </w:trPr>
        <w:tc>
          <w:tcPr>
            <w:tcW w:w="1756" w:type="pct"/>
            <w:gridSpan w:val="2"/>
          </w:tcPr>
          <w:p w14:paraId="48F1899A" w14:textId="77777777" w:rsidR="00936847" w:rsidRPr="009C5F11" w:rsidRDefault="0094635F"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7538BA0D" w14:textId="77777777" w:rsidR="00936847" w:rsidRPr="009C5F11" w:rsidRDefault="002B232C" w:rsidP="00430626">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Elaborarea cadrului legal cu privire la</w:t>
            </w:r>
            <w:r w:rsidR="00D160E1" w:rsidRPr="009C5F11">
              <w:rPr>
                <w:rFonts w:ascii="Times New Roman" w:hAnsi="Times New Roman" w:cs="Times New Roman"/>
                <w:b/>
                <w:sz w:val="18"/>
                <w:szCs w:val="14"/>
                <w:lang w:val="ro-RO" w:eastAsia="de-DE"/>
              </w:rPr>
              <w:t xml:space="preserve"> performanţa energetică a clădirilor</w:t>
            </w:r>
          </w:p>
        </w:tc>
      </w:tr>
      <w:tr w:rsidR="00936847" w:rsidRPr="009C5F11" w14:paraId="2A65287B" w14:textId="77777777" w:rsidTr="00BF6432">
        <w:trPr>
          <w:trHeight w:val="42"/>
        </w:trPr>
        <w:tc>
          <w:tcPr>
            <w:tcW w:w="1756" w:type="pct"/>
            <w:gridSpan w:val="2"/>
          </w:tcPr>
          <w:p w14:paraId="54FC7129" w14:textId="77777777" w:rsidR="00936847" w:rsidRPr="009C5F11" w:rsidRDefault="00E46DD7"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738E0510" w14:textId="77777777" w:rsidR="00936847" w:rsidRPr="009C5F11" w:rsidRDefault="00936847" w:rsidP="00430626">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B1</w:t>
            </w:r>
          </w:p>
        </w:tc>
      </w:tr>
      <w:tr w:rsidR="00936847" w:rsidRPr="009C5F11" w14:paraId="0350F73B" w14:textId="77777777" w:rsidTr="00BF6432">
        <w:trPr>
          <w:trHeight w:val="107"/>
        </w:trPr>
        <w:tc>
          <w:tcPr>
            <w:tcW w:w="743" w:type="pct"/>
            <w:vMerge w:val="restart"/>
          </w:tcPr>
          <w:p w14:paraId="05CEBF4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678D5418"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33E0113C"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3601EF95" w14:textId="77777777" w:rsidR="00936847" w:rsidRPr="009C5F11" w:rsidRDefault="008624F5"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Codurile construcţiilor şi punerea în aplicare</w:t>
            </w:r>
          </w:p>
        </w:tc>
      </w:tr>
      <w:tr w:rsidR="00936847" w:rsidRPr="009C5F11" w14:paraId="64583AB5" w14:textId="77777777" w:rsidTr="00BF6432">
        <w:trPr>
          <w:trHeight w:val="476"/>
        </w:trPr>
        <w:tc>
          <w:tcPr>
            <w:tcW w:w="743" w:type="pct"/>
            <w:vMerge/>
          </w:tcPr>
          <w:p w14:paraId="54294C94"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F6BA1CF"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6F2B5D16"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2013</w:t>
            </w:r>
            <w:r w:rsidR="001006C3" w:rsidRPr="009C5F11">
              <w:rPr>
                <w:rFonts w:ascii="Times New Roman" w:hAnsi="Times New Roman" w:cs="Times New Roman"/>
                <w:b/>
                <w:sz w:val="18"/>
                <w:szCs w:val="14"/>
                <w:lang w:val="ro-RO" w:eastAsia="de-DE"/>
              </w:rPr>
              <w:t>.</w:t>
            </w:r>
          </w:p>
          <w:p w14:paraId="6D9EFB7E"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2017</w:t>
            </w:r>
            <w:r w:rsidR="001006C3" w:rsidRPr="009C5F11">
              <w:rPr>
                <w:rFonts w:ascii="Times New Roman" w:hAnsi="Times New Roman" w:cs="Times New Roman"/>
                <w:b/>
                <w:sz w:val="18"/>
                <w:szCs w:val="14"/>
                <w:lang w:val="ro-RO" w:eastAsia="de-DE"/>
              </w:rPr>
              <w:t>.</w:t>
            </w:r>
          </w:p>
          <w:p w14:paraId="0722FD33" w14:textId="77777777" w:rsidR="00936847" w:rsidRPr="009C5F11" w:rsidRDefault="00D47C89"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Preluată din</w:t>
            </w:r>
            <w:r w:rsidR="008624F5" w:rsidRPr="009C5F11">
              <w:rPr>
                <w:rFonts w:ascii="Times New Roman" w:hAnsi="Times New Roman" w:cs="Times New Roman"/>
                <w:sz w:val="18"/>
                <w:szCs w:val="14"/>
                <w:lang w:val="ro-RO" w:eastAsia="de-DE"/>
              </w:rPr>
              <w:t xml:space="preserve"> PNAEE 2013-2015, redenumită şi actualizată</w:t>
            </w:r>
            <w:r w:rsidR="00936847" w:rsidRPr="009C5F11">
              <w:rPr>
                <w:rFonts w:ascii="Times New Roman" w:hAnsi="Times New Roman" w:cs="Times New Roman"/>
                <w:sz w:val="18"/>
                <w:szCs w:val="14"/>
                <w:lang w:val="ro-RO" w:eastAsia="de-DE"/>
              </w:rPr>
              <w:t xml:space="preserve">: </w:t>
            </w:r>
            <w:r w:rsidR="008624F5" w:rsidRPr="009C5F11">
              <w:rPr>
                <w:rFonts w:ascii="Times New Roman" w:hAnsi="Times New Roman" w:cs="Times New Roman"/>
                <w:sz w:val="18"/>
                <w:szCs w:val="14"/>
                <w:lang w:val="ro-RO" w:eastAsia="de-DE"/>
              </w:rPr>
              <w:t>măsura iniţială</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i/>
                <w:sz w:val="18"/>
                <w:szCs w:val="14"/>
                <w:lang w:val="ro-RO" w:eastAsia="de-DE"/>
              </w:rPr>
              <w:t>“</w:t>
            </w:r>
            <w:r w:rsidR="008624F5" w:rsidRPr="009C5F11">
              <w:rPr>
                <w:rFonts w:ascii="Times New Roman" w:hAnsi="Times New Roman" w:cs="Times New Roman"/>
                <w:i/>
                <w:sz w:val="18"/>
                <w:szCs w:val="14"/>
                <w:lang w:val="ro-RO" w:eastAsia="de-DE"/>
              </w:rPr>
              <w:t>Redactarea</w:t>
            </w:r>
            <w:r w:rsidR="001006C3" w:rsidRPr="009C5F11">
              <w:rPr>
                <w:rFonts w:ascii="Times New Roman" w:hAnsi="Times New Roman" w:cs="Times New Roman"/>
                <w:i/>
                <w:sz w:val="18"/>
                <w:szCs w:val="14"/>
                <w:lang w:val="ro-RO" w:eastAsia="de-DE"/>
              </w:rPr>
              <w:t>/Elaborarea</w:t>
            </w:r>
            <w:r w:rsidR="008624F5" w:rsidRPr="009C5F11">
              <w:rPr>
                <w:rFonts w:ascii="Times New Roman" w:hAnsi="Times New Roman" w:cs="Times New Roman"/>
                <w:i/>
                <w:sz w:val="18"/>
                <w:szCs w:val="14"/>
                <w:lang w:val="ro-RO" w:eastAsia="de-DE"/>
              </w:rPr>
              <w:t xml:space="preserve"> cadrului juridic</w:t>
            </w:r>
            <w:r w:rsidR="00936847" w:rsidRPr="009C5F11">
              <w:rPr>
                <w:rFonts w:ascii="Times New Roman" w:hAnsi="Times New Roman" w:cs="Times New Roman"/>
                <w:i/>
                <w:sz w:val="18"/>
                <w:szCs w:val="14"/>
                <w:lang w:val="ro-RO" w:eastAsia="de-DE"/>
              </w:rPr>
              <w:t xml:space="preserve"> </w:t>
            </w:r>
            <w:r w:rsidR="00201D7F" w:rsidRPr="009C5F11">
              <w:rPr>
                <w:rFonts w:ascii="Times New Roman" w:hAnsi="Times New Roman" w:cs="Times New Roman"/>
                <w:i/>
                <w:sz w:val="18"/>
                <w:szCs w:val="14"/>
                <w:lang w:val="ro-RO" w:eastAsia="de-DE"/>
              </w:rPr>
              <w:t>privind performanţa energetică a clădirilor</w:t>
            </w:r>
            <w:r w:rsidR="00936847" w:rsidRPr="009C5F11">
              <w:rPr>
                <w:rFonts w:ascii="Times New Roman" w:hAnsi="Times New Roman" w:cs="Times New Roman"/>
                <w:i/>
                <w:sz w:val="18"/>
                <w:szCs w:val="14"/>
                <w:lang w:val="ro-RO" w:eastAsia="de-DE"/>
              </w:rPr>
              <w:t xml:space="preserve">” </w:t>
            </w:r>
            <w:r w:rsidR="008624F5" w:rsidRPr="009C5F11">
              <w:rPr>
                <w:rFonts w:ascii="Times New Roman" w:hAnsi="Times New Roman" w:cs="Times New Roman"/>
                <w:sz w:val="18"/>
                <w:szCs w:val="14"/>
                <w:lang w:val="ro-RO" w:eastAsia="de-DE"/>
              </w:rPr>
              <w:t>a fost divizată în două</w:t>
            </w:r>
            <w:r w:rsidR="00936847" w:rsidRPr="009C5F11">
              <w:rPr>
                <w:rFonts w:ascii="Times New Roman" w:hAnsi="Times New Roman" w:cs="Times New Roman"/>
                <w:sz w:val="18"/>
                <w:szCs w:val="14"/>
                <w:lang w:val="ro-RO" w:eastAsia="de-DE"/>
              </w:rPr>
              <w:t xml:space="preserve"> (</w:t>
            </w:r>
            <w:r w:rsidR="008624F5" w:rsidRPr="009C5F11">
              <w:rPr>
                <w:rFonts w:ascii="Times New Roman" w:hAnsi="Times New Roman" w:cs="Times New Roman"/>
                <w:sz w:val="18"/>
                <w:szCs w:val="14"/>
                <w:lang w:val="ro-RO" w:eastAsia="de-DE"/>
              </w:rPr>
              <w:t>actualmente</w:t>
            </w:r>
            <w:r w:rsidR="00936847" w:rsidRPr="009C5F11">
              <w:rPr>
                <w:rFonts w:ascii="Times New Roman" w:hAnsi="Times New Roman" w:cs="Times New Roman"/>
                <w:sz w:val="18"/>
                <w:szCs w:val="14"/>
                <w:lang w:val="ro-RO" w:eastAsia="de-DE"/>
              </w:rPr>
              <w:t xml:space="preserve"> B1</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B3</w:t>
            </w:r>
            <w:r w:rsidR="00936847" w:rsidRPr="009C5F11">
              <w:rPr>
                <w:rFonts w:ascii="Times New Roman" w:hAnsi="Times New Roman" w:cs="Times New Roman"/>
                <w:i/>
                <w:sz w:val="18"/>
                <w:szCs w:val="14"/>
                <w:lang w:val="ro-RO" w:eastAsia="de-DE"/>
              </w:rPr>
              <w:t xml:space="preserve"> ”</w:t>
            </w:r>
            <w:r w:rsidR="008624F5" w:rsidRPr="009C5F11">
              <w:rPr>
                <w:rFonts w:ascii="Times New Roman" w:hAnsi="Times New Roman" w:cs="Times New Roman"/>
                <w:i/>
                <w:sz w:val="18"/>
                <w:szCs w:val="14"/>
                <w:lang w:val="ro-RO" w:eastAsia="de-DE"/>
              </w:rPr>
              <w:t>Îmbunătăţirea EE în blocurile rezidenţiale</w:t>
            </w:r>
            <w:r w:rsidR="00936847" w:rsidRPr="009C5F11">
              <w:rPr>
                <w:rFonts w:ascii="Times New Roman" w:hAnsi="Times New Roman" w:cs="Times New Roman"/>
                <w:i/>
                <w:sz w:val="18"/>
                <w:szCs w:val="14"/>
                <w:lang w:val="ro-RO" w:eastAsia="de-DE"/>
              </w:rPr>
              <w:t>”)</w:t>
            </w:r>
            <w:r w:rsidR="008624F5" w:rsidRPr="009C5F11">
              <w:rPr>
                <w:rFonts w:ascii="Times New Roman" w:hAnsi="Times New Roman" w:cs="Times New Roman"/>
                <w:i/>
                <w:sz w:val="18"/>
                <w:szCs w:val="14"/>
                <w:lang w:val="ro-RO" w:eastAsia="de-DE"/>
              </w:rPr>
              <w:t>.</w:t>
            </w:r>
          </w:p>
        </w:tc>
      </w:tr>
      <w:tr w:rsidR="00936847" w:rsidRPr="009C5F11" w14:paraId="7531004C" w14:textId="77777777" w:rsidTr="00BF6432">
        <w:trPr>
          <w:trHeight w:val="107"/>
        </w:trPr>
        <w:tc>
          <w:tcPr>
            <w:tcW w:w="743" w:type="pct"/>
            <w:vMerge/>
          </w:tcPr>
          <w:p w14:paraId="27D11FE6"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CC194D9"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4977F796" w14:textId="77777777" w:rsidR="00936847" w:rsidRPr="009C5F11" w:rsidRDefault="00D47C89"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Crearea cadrului legal pentru promovarea performanţei energetice a clădirilor</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Această măsură a fost parte din setul de măsuri incluse în</w:t>
            </w:r>
            <w:r w:rsidR="00936847"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2013-2015</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este preluată de actualul</w:t>
            </w:r>
            <w:r w:rsidR="00936847"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în vederea transpunerii</w:t>
            </w:r>
            <w:r w:rsidR="00FE3FFB" w:rsidRPr="009C5F11">
              <w:rPr>
                <w:rFonts w:ascii="Times New Roman" w:hAnsi="Times New Roman" w:cs="Times New Roman"/>
                <w:sz w:val="18"/>
                <w:szCs w:val="14"/>
                <w:lang w:val="ro-RO" w:eastAsia="de-DE"/>
              </w:rPr>
              <w:t xml:space="preserve"> Directivei</w:t>
            </w:r>
            <w:r w:rsidR="000A4CC7" w:rsidRPr="009C5F11">
              <w:rPr>
                <w:rFonts w:ascii="Times New Roman" w:hAnsi="Times New Roman" w:cs="Times New Roman"/>
                <w:sz w:val="18"/>
                <w:szCs w:val="14"/>
                <w:lang w:val="ro-RO" w:eastAsia="de-DE"/>
              </w:rPr>
              <w:t xml:space="preserve"> </w:t>
            </w:r>
            <w:r w:rsidR="00F03954" w:rsidRPr="009C5F11">
              <w:rPr>
                <w:rFonts w:ascii="Times New Roman" w:hAnsi="Times New Roman" w:cs="Times New Roman"/>
                <w:sz w:val="18"/>
                <w:szCs w:val="14"/>
                <w:lang w:val="ro-RO" w:eastAsia="de-DE"/>
              </w:rPr>
              <w:t>privind performanţa</w:t>
            </w:r>
            <w:r w:rsidR="00E46DD7" w:rsidRPr="009C5F11">
              <w:rPr>
                <w:rFonts w:ascii="Times New Roman" w:hAnsi="Times New Roman" w:cs="Times New Roman"/>
                <w:sz w:val="18"/>
                <w:szCs w:val="14"/>
                <w:lang w:val="ro-RO" w:eastAsia="de-DE"/>
              </w:rPr>
              <w:t xml:space="preserve"> energetică</w:t>
            </w:r>
            <w:r w:rsidR="004424A0" w:rsidRPr="009C5F11">
              <w:rPr>
                <w:rFonts w:ascii="Times New Roman" w:hAnsi="Times New Roman" w:cs="Times New Roman"/>
                <w:sz w:val="18"/>
                <w:szCs w:val="14"/>
                <w:lang w:val="ro-RO" w:eastAsia="de-DE"/>
              </w:rPr>
              <w:t xml:space="preserve"> a clădirilor</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aproximarea cadrului existent cu noua directivă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Această activitate ţine de competenţa Ministerului</w:t>
            </w:r>
            <w:r w:rsidR="00321CD5" w:rsidRPr="009C5F11">
              <w:rPr>
                <w:rFonts w:ascii="Times New Roman" w:hAnsi="Times New Roman" w:cs="Times New Roman"/>
                <w:sz w:val="18"/>
                <w:szCs w:val="14"/>
                <w:lang w:val="ro-RO" w:eastAsia="de-DE"/>
              </w:rPr>
              <w:t xml:space="preserve"> Dezvoltării Regionale şi Construcţiilor</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Transpunerea Directivei</w:t>
            </w:r>
            <w:r w:rsidR="000A4CC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 fost susţinută de</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BERD</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rezultând în elaborarea următoarelor proiecte de acte juridice</w:t>
            </w:r>
            <w:r w:rsidR="00936847" w:rsidRPr="009C5F11">
              <w:rPr>
                <w:rFonts w:ascii="Times New Roman" w:hAnsi="Times New Roman" w:cs="Times New Roman"/>
                <w:sz w:val="18"/>
                <w:szCs w:val="14"/>
                <w:lang w:val="ro-RO" w:eastAsia="de-DE"/>
              </w:rPr>
              <w:t xml:space="preserve">: </w:t>
            </w:r>
          </w:p>
          <w:p w14:paraId="1A621C85" w14:textId="77777777" w:rsidR="00936847" w:rsidRPr="009C5F11" w:rsidRDefault="00F03954" w:rsidP="00334F3B">
            <w:pPr>
              <w:numPr>
                <w:ilvl w:val="0"/>
                <w:numId w:val="63"/>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Legea privind performanţa</w:t>
            </w:r>
            <w:r w:rsidR="00E46DD7" w:rsidRPr="009C5F11">
              <w:rPr>
                <w:rFonts w:ascii="Times New Roman" w:hAnsi="Times New Roman" w:cs="Times New Roman"/>
                <w:sz w:val="18"/>
                <w:szCs w:val="14"/>
                <w:lang w:val="ro-RO" w:eastAsia="de-DE"/>
              </w:rPr>
              <w:t xml:space="preserve"> energetică</w:t>
            </w:r>
            <w:r w:rsidR="004424A0" w:rsidRPr="009C5F11">
              <w:rPr>
                <w:rFonts w:ascii="Times New Roman" w:hAnsi="Times New Roman" w:cs="Times New Roman"/>
                <w:sz w:val="18"/>
                <w:szCs w:val="14"/>
                <w:lang w:val="ro-RO" w:eastAsia="de-DE"/>
              </w:rPr>
              <w:t xml:space="preserve"> a clădirilor</w:t>
            </w:r>
            <w:r w:rsidR="00936847" w:rsidRPr="009C5F11">
              <w:rPr>
                <w:rFonts w:ascii="Times New Roman" w:hAnsi="Times New Roman" w:cs="Times New Roman"/>
                <w:sz w:val="18"/>
                <w:szCs w:val="14"/>
                <w:lang w:val="ro-RO" w:eastAsia="de-DE"/>
              </w:rPr>
              <w:t xml:space="preserve">; </w:t>
            </w:r>
          </w:p>
          <w:p w14:paraId="40ECEACA" w14:textId="77777777" w:rsidR="00936847" w:rsidRPr="009C5F11" w:rsidRDefault="00E46DD7" w:rsidP="00334F3B">
            <w:pPr>
              <w:numPr>
                <w:ilvl w:val="0"/>
                <w:numId w:val="63"/>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Regulamentul</w:t>
            </w:r>
            <w:r w:rsidR="00936847" w:rsidRPr="009C5F11">
              <w:rPr>
                <w:rFonts w:ascii="Times New Roman" w:hAnsi="Times New Roman" w:cs="Times New Roman"/>
                <w:sz w:val="18"/>
                <w:szCs w:val="14"/>
                <w:lang w:val="ro-RO" w:eastAsia="de-DE"/>
              </w:rPr>
              <w:t xml:space="preserve"> </w:t>
            </w:r>
            <w:r w:rsidR="00F03954" w:rsidRPr="009C5F11">
              <w:rPr>
                <w:rFonts w:ascii="Times New Roman" w:hAnsi="Times New Roman" w:cs="Times New Roman"/>
                <w:sz w:val="18"/>
                <w:szCs w:val="14"/>
                <w:lang w:val="ro-RO" w:eastAsia="de-DE"/>
              </w:rPr>
              <w:t>privind performanţa</w:t>
            </w:r>
            <w:r w:rsidRPr="009C5F11">
              <w:rPr>
                <w:rFonts w:ascii="Times New Roman" w:hAnsi="Times New Roman" w:cs="Times New Roman"/>
                <w:sz w:val="18"/>
                <w:szCs w:val="14"/>
                <w:lang w:val="ro-RO" w:eastAsia="de-DE"/>
              </w:rPr>
              <w:t xml:space="preserve"> energetică</w:t>
            </w:r>
            <w:r w:rsidR="004424A0" w:rsidRPr="009C5F11">
              <w:rPr>
                <w:rFonts w:ascii="Times New Roman" w:hAnsi="Times New Roman" w:cs="Times New Roman"/>
                <w:sz w:val="18"/>
                <w:szCs w:val="14"/>
                <w:lang w:val="ro-RO" w:eastAsia="de-DE"/>
              </w:rPr>
              <w:t xml:space="preserve"> a clădirilor</w:t>
            </w:r>
            <w:r w:rsidR="00936847" w:rsidRPr="009C5F11">
              <w:rPr>
                <w:rFonts w:ascii="Times New Roman" w:hAnsi="Times New Roman" w:cs="Times New Roman"/>
                <w:sz w:val="18"/>
                <w:szCs w:val="14"/>
                <w:lang w:val="ro-RO" w:eastAsia="de-DE"/>
              </w:rPr>
              <w:t xml:space="preserve">; </w:t>
            </w:r>
          </w:p>
          <w:p w14:paraId="5BF8245E" w14:textId="77777777" w:rsidR="00936847" w:rsidRPr="009C5F11" w:rsidRDefault="00E46DD7" w:rsidP="00334F3B">
            <w:pPr>
              <w:numPr>
                <w:ilvl w:val="0"/>
                <w:numId w:val="63"/>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Regulamentul</w:t>
            </w:r>
            <w:r w:rsidR="00936847" w:rsidRPr="009C5F11">
              <w:rPr>
                <w:rFonts w:ascii="Times New Roman" w:hAnsi="Times New Roman" w:cs="Times New Roman"/>
                <w:sz w:val="18"/>
                <w:szCs w:val="14"/>
                <w:lang w:val="ro-RO" w:eastAsia="de-DE"/>
              </w:rPr>
              <w:t xml:space="preserve"> </w:t>
            </w:r>
            <w:r w:rsidR="00D47C89" w:rsidRPr="009C5F11">
              <w:rPr>
                <w:rFonts w:ascii="Times New Roman" w:hAnsi="Times New Roman" w:cs="Times New Roman"/>
                <w:sz w:val="18"/>
                <w:szCs w:val="14"/>
                <w:lang w:val="ro-RO" w:eastAsia="de-DE"/>
              </w:rPr>
              <w:t>privind inspecţia sistematică a sistemelor de încălzire şi de climatizare a aerului</w:t>
            </w:r>
            <w:r w:rsidR="00936847" w:rsidRPr="009C5F11">
              <w:rPr>
                <w:rFonts w:ascii="Times New Roman" w:hAnsi="Times New Roman" w:cs="Times New Roman"/>
                <w:sz w:val="18"/>
                <w:szCs w:val="14"/>
                <w:lang w:val="ro-RO" w:eastAsia="de-DE"/>
              </w:rPr>
              <w:t xml:space="preserve">; </w:t>
            </w:r>
          </w:p>
          <w:p w14:paraId="599813F2" w14:textId="77777777" w:rsidR="00936847" w:rsidRPr="009C5F11" w:rsidRDefault="00D47C89" w:rsidP="00334F3B">
            <w:pPr>
              <w:numPr>
                <w:ilvl w:val="0"/>
                <w:numId w:val="63"/>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Metodologia de calcul al</w:t>
            </w:r>
            <w:r w:rsidR="00936847" w:rsidRPr="009C5F11">
              <w:rPr>
                <w:rFonts w:ascii="Times New Roman" w:hAnsi="Times New Roman" w:cs="Times New Roman"/>
                <w:sz w:val="18"/>
                <w:szCs w:val="14"/>
                <w:lang w:val="ro-RO" w:eastAsia="de-DE"/>
              </w:rPr>
              <w:t xml:space="preserve"> </w:t>
            </w:r>
            <w:r w:rsidR="004424A0" w:rsidRPr="009C5F11">
              <w:rPr>
                <w:rFonts w:ascii="Times New Roman" w:hAnsi="Times New Roman" w:cs="Times New Roman"/>
                <w:sz w:val="18"/>
                <w:szCs w:val="14"/>
                <w:lang w:val="ro-RO" w:eastAsia="de-DE"/>
              </w:rPr>
              <w:t>performanţei energetice a clădirilor</w:t>
            </w:r>
            <w:r w:rsidR="00936847" w:rsidRPr="009C5F11">
              <w:rPr>
                <w:rFonts w:ascii="Times New Roman" w:hAnsi="Times New Roman" w:cs="Times New Roman"/>
                <w:sz w:val="18"/>
                <w:szCs w:val="14"/>
                <w:lang w:val="ro-RO" w:eastAsia="de-DE"/>
              </w:rPr>
              <w:t xml:space="preserve">; </w:t>
            </w:r>
          </w:p>
          <w:p w14:paraId="3A421709" w14:textId="77777777" w:rsidR="00936847" w:rsidRPr="009C5F11" w:rsidRDefault="00D47C89" w:rsidP="00334F3B">
            <w:pPr>
              <w:numPr>
                <w:ilvl w:val="0"/>
                <w:numId w:val="63"/>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Metodologia privind inspecţia sistematică a sistemelor de încălzire şi de climatizare a aerului</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raportarea periodică</w:t>
            </w:r>
            <w:r w:rsidR="00936847" w:rsidRPr="009C5F11">
              <w:rPr>
                <w:rFonts w:ascii="Times New Roman" w:hAnsi="Times New Roman" w:cs="Times New Roman"/>
                <w:sz w:val="18"/>
                <w:szCs w:val="14"/>
                <w:lang w:val="ro-RO" w:eastAsia="de-DE"/>
              </w:rPr>
              <w:t xml:space="preserve">. </w:t>
            </w:r>
          </w:p>
          <w:p w14:paraId="147A923C" w14:textId="77777777" w:rsidR="00936847" w:rsidRPr="009C5F11" w:rsidRDefault="00D47C89"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Starea actuală de dezvoltare/elaborare</w:t>
            </w:r>
            <w:r w:rsidR="00936847" w:rsidRPr="009C5F11">
              <w:rPr>
                <w:rFonts w:ascii="Times New Roman" w:hAnsi="Times New Roman" w:cs="Times New Roman"/>
                <w:sz w:val="18"/>
                <w:szCs w:val="14"/>
                <w:lang w:val="ro-RO" w:eastAsia="de-DE"/>
              </w:rPr>
              <w:t>:</w:t>
            </w:r>
          </w:p>
          <w:p w14:paraId="3D48B2BB" w14:textId="77777777" w:rsidR="00936847" w:rsidRPr="009C5F11" w:rsidRDefault="000A4CC7" w:rsidP="00334F3B">
            <w:pPr>
              <w:numPr>
                <w:ilvl w:val="0"/>
                <w:numId w:val="64"/>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Legea</w:t>
            </w:r>
            <w:r w:rsidR="00936847" w:rsidRPr="009C5F11">
              <w:rPr>
                <w:rFonts w:ascii="Times New Roman" w:hAnsi="Times New Roman" w:cs="Times New Roman"/>
                <w:sz w:val="18"/>
                <w:szCs w:val="14"/>
                <w:lang w:val="ro-RO" w:eastAsia="de-DE"/>
              </w:rPr>
              <w:t xml:space="preserve"> nr. 128 </w:t>
            </w:r>
            <w:r w:rsidR="00201D7F" w:rsidRPr="009C5F11">
              <w:rPr>
                <w:rFonts w:ascii="Times New Roman" w:hAnsi="Times New Roman" w:cs="Times New Roman"/>
                <w:sz w:val="18"/>
                <w:szCs w:val="14"/>
                <w:lang w:val="ro-RO" w:eastAsia="de-DE"/>
              </w:rPr>
              <w:t>privind performanţa energetică a clădirilor</w:t>
            </w:r>
            <w:r w:rsidR="00936847" w:rsidRPr="009C5F11">
              <w:rPr>
                <w:rFonts w:ascii="Times New Roman" w:hAnsi="Times New Roman" w:cs="Times New Roman"/>
                <w:sz w:val="18"/>
                <w:szCs w:val="14"/>
                <w:lang w:val="ro-RO" w:eastAsia="de-DE"/>
              </w:rPr>
              <w:t xml:space="preserve"> </w:t>
            </w:r>
            <w:r w:rsidR="00E46DD7" w:rsidRPr="009C5F11">
              <w:rPr>
                <w:rFonts w:ascii="Times New Roman" w:hAnsi="Times New Roman" w:cs="Times New Roman"/>
                <w:sz w:val="18"/>
                <w:szCs w:val="14"/>
                <w:lang w:val="ro-RO" w:eastAsia="de-DE"/>
              </w:rPr>
              <w:t>a fost adoptată la</w:t>
            </w:r>
            <w:r w:rsidR="00936847" w:rsidRPr="009C5F11">
              <w:rPr>
                <w:rFonts w:ascii="Times New Roman" w:hAnsi="Times New Roman" w:cs="Times New Roman"/>
                <w:sz w:val="18"/>
                <w:szCs w:val="14"/>
                <w:lang w:val="ro-RO" w:eastAsia="de-DE"/>
              </w:rPr>
              <w:t xml:space="preserve"> 11.07.2014</w:t>
            </w:r>
            <w:r w:rsidR="00321CD5" w:rsidRPr="009C5F11">
              <w:rPr>
                <w:rFonts w:ascii="Times New Roman" w:hAnsi="Times New Roman" w:cs="Times New Roman"/>
                <w:sz w:val="18"/>
                <w:szCs w:val="14"/>
                <w:lang w:val="ro-RO" w:eastAsia="de-DE"/>
              </w:rPr>
              <w:t xml:space="preserve"> şi </w:t>
            </w:r>
            <w:r w:rsidR="000C7BEC" w:rsidRPr="009C5F11">
              <w:rPr>
                <w:rFonts w:ascii="Times New Roman" w:hAnsi="Times New Roman" w:cs="Times New Roman"/>
                <w:sz w:val="18"/>
                <w:szCs w:val="14"/>
                <w:lang w:val="ro-RO" w:eastAsia="de-DE"/>
              </w:rPr>
              <w:t>a intrat în vigoare la</w:t>
            </w:r>
            <w:r w:rsidR="00936847" w:rsidRPr="009C5F11">
              <w:rPr>
                <w:rFonts w:ascii="Times New Roman" w:hAnsi="Times New Roman" w:cs="Times New Roman"/>
                <w:sz w:val="18"/>
                <w:szCs w:val="14"/>
                <w:lang w:val="ro-RO" w:eastAsia="de-DE"/>
              </w:rPr>
              <w:t xml:space="preserve"> 01.01.2015</w:t>
            </w:r>
            <w:r w:rsidR="00830F3A" w:rsidRPr="009C5F11">
              <w:rPr>
                <w:rFonts w:ascii="Times New Roman" w:hAnsi="Times New Roman" w:cs="Times New Roman"/>
                <w:sz w:val="18"/>
                <w:szCs w:val="14"/>
                <w:lang w:val="ro-RO" w:eastAsia="de-DE"/>
              </w:rPr>
              <w:t>, cu excepţia dispoziţiilor referitoare la performanţa energetică a clădirilor în ceea ce priveşte ventilarea, răcirea şi iluminarea. Aceste dispoziţii vor intra în vigoare la 1 ianuarie 2017.</w:t>
            </w:r>
            <w:r w:rsidR="00936847" w:rsidRPr="009C5F11">
              <w:rPr>
                <w:rFonts w:ascii="Times New Roman" w:hAnsi="Times New Roman" w:cs="Times New Roman"/>
                <w:sz w:val="18"/>
                <w:szCs w:val="14"/>
                <w:lang w:val="ro-RO" w:eastAsia="de-DE"/>
              </w:rPr>
              <w:t>;</w:t>
            </w:r>
          </w:p>
          <w:p w14:paraId="28FD8CD9" w14:textId="77777777" w:rsidR="00936847" w:rsidRPr="009C5F11" w:rsidRDefault="000A4CC7" w:rsidP="00334F3B">
            <w:pPr>
              <w:numPr>
                <w:ilvl w:val="0"/>
                <w:numId w:val="64"/>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Legea</w:t>
            </w:r>
            <w:r w:rsidR="00936847" w:rsidRPr="009C5F11">
              <w:rPr>
                <w:rFonts w:ascii="Times New Roman" w:hAnsi="Times New Roman" w:cs="Times New Roman"/>
                <w:sz w:val="18"/>
                <w:szCs w:val="14"/>
                <w:lang w:val="ro-RO" w:eastAsia="de-DE"/>
              </w:rPr>
              <w:t xml:space="preserve"> nr. 75 </w:t>
            </w:r>
            <w:r w:rsidR="00D47C89" w:rsidRPr="009C5F11">
              <w:rPr>
                <w:rFonts w:ascii="Times New Roman" w:hAnsi="Times New Roman" w:cs="Times New Roman"/>
                <w:sz w:val="18"/>
                <w:szCs w:val="14"/>
                <w:lang w:val="ro-RO" w:eastAsia="de-DE"/>
              </w:rPr>
              <w:t>cu privire la locuinţe</w:t>
            </w:r>
            <w:r w:rsidR="00936847" w:rsidRPr="009C5F11">
              <w:rPr>
                <w:rFonts w:ascii="Times New Roman" w:hAnsi="Times New Roman" w:cs="Times New Roman"/>
                <w:sz w:val="18"/>
                <w:szCs w:val="14"/>
                <w:lang w:val="ro-RO" w:eastAsia="de-DE"/>
              </w:rPr>
              <w:t xml:space="preserve"> </w:t>
            </w:r>
            <w:r w:rsidR="00E46DD7" w:rsidRPr="009C5F11">
              <w:rPr>
                <w:rFonts w:ascii="Times New Roman" w:hAnsi="Times New Roman" w:cs="Times New Roman"/>
                <w:sz w:val="18"/>
                <w:szCs w:val="14"/>
                <w:lang w:val="ro-RO" w:eastAsia="de-DE"/>
              </w:rPr>
              <w:t>a fost adoptată la</w:t>
            </w:r>
            <w:r w:rsidR="00936847" w:rsidRPr="009C5F11">
              <w:rPr>
                <w:rFonts w:ascii="Times New Roman" w:hAnsi="Times New Roman" w:cs="Times New Roman"/>
                <w:sz w:val="18"/>
                <w:szCs w:val="14"/>
                <w:lang w:val="ro-RO" w:eastAsia="de-DE"/>
              </w:rPr>
              <w:t xml:space="preserve"> 30.04.2015</w:t>
            </w:r>
            <w:r w:rsidR="00321CD5" w:rsidRPr="009C5F11">
              <w:rPr>
                <w:rFonts w:ascii="Times New Roman" w:hAnsi="Times New Roman" w:cs="Times New Roman"/>
                <w:sz w:val="18"/>
                <w:szCs w:val="14"/>
                <w:lang w:val="ro-RO" w:eastAsia="de-DE"/>
              </w:rPr>
              <w:t xml:space="preserve"> şi </w:t>
            </w:r>
            <w:r w:rsidR="000C7BEC" w:rsidRPr="009C5F11">
              <w:rPr>
                <w:rFonts w:ascii="Times New Roman" w:hAnsi="Times New Roman" w:cs="Times New Roman"/>
                <w:sz w:val="18"/>
                <w:szCs w:val="14"/>
                <w:lang w:val="ro-RO" w:eastAsia="de-DE"/>
              </w:rPr>
              <w:t>a intrat în vigoare la</w:t>
            </w:r>
            <w:r w:rsidR="00936847" w:rsidRPr="009C5F11">
              <w:rPr>
                <w:rFonts w:ascii="Times New Roman" w:hAnsi="Times New Roman" w:cs="Times New Roman"/>
                <w:sz w:val="18"/>
                <w:szCs w:val="14"/>
                <w:lang w:val="ro-RO" w:eastAsia="de-DE"/>
              </w:rPr>
              <w:t xml:space="preserve"> 29.11.2015</w:t>
            </w:r>
          </w:p>
          <w:p w14:paraId="22111D4D" w14:textId="77777777" w:rsidR="00936847" w:rsidRPr="009C5F11" w:rsidRDefault="00693850" w:rsidP="00334F3B">
            <w:pPr>
              <w:numPr>
                <w:ilvl w:val="0"/>
                <w:numId w:val="64"/>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 fost adoptate câteva regulamente</w:t>
            </w:r>
            <w:r w:rsidR="00936847" w:rsidRPr="009C5F11">
              <w:rPr>
                <w:rFonts w:ascii="Times New Roman" w:hAnsi="Times New Roman" w:cs="Times New Roman"/>
                <w:sz w:val="18"/>
                <w:szCs w:val="14"/>
                <w:lang w:val="ro-RO" w:eastAsia="de-DE"/>
              </w:rPr>
              <w:t xml:space="preserve"> (NCM E.04.01-2006 </w:t>
            </w:r>
            <w:r w:rsidRPr="009C5F11">
              <w:rPr>
                <w:rFonts w:ascii="Times New Roman" w:hAnsi="Times New Roman" w:cs="Times New Roman"/>
                <w:sz w:val="18"/>
                <w:szCs w:val="14"/>
                <w:lang w:val="ro-RO" w:eastAsia="de-DE"/>
              </w:rPr>
              <w:t>Protecţia termică a clădirilor</w:t>
            </w:r>
            <w:r w:rsidR="00936847" w:rsidRPr="009C5F11">
              <w:rPr>
                <w:rFonts w:ascii="Times New Roman" w:hAnsi="Times New Roman" w:cs="Times New Roman"/>
                <w:sz w:val="18"/>
                <w:szCs w:val="14"/>
                <w:lang w:val="ro-RO" w:eastAsia="de-DE"/>
              </w:rPr>
              <w:t>; NCM E.04.03-2008 Conserva</w:t>
            </w:r>
            <w:r w:rsidRPr="009C5F11">
              <w:rPr>
                <w:rFonts w:ascii="Times New Roman" w:hAnsi="Times New Roman" w:cs="Times New Roman"/>
                <w:sz w:val="18"/>
                <w:szCs w:val="14"/>
                <w:lang w:val="ro-RO" w:eastAsia="de-DE"/>
              </w:rPr>
              <w:t>rea</w:t>
            </w:r>
            <w:r w:rsidR="00936847" w:rsidRPr="009C5F11">
              <w:rPr>
                <w:rFonts w:ascii="Times New Roman" w:hAnsi="Times New Roman" w:cs="Times New Roman"/>
                <w:sz w:val="18"/>
                <w:szCs w:val="14"/>
                <w:lang w:val="ro-RO" w:eastAsia="de-DE"/>
              </w:rPr>
              <w:t xml:space="preserve"> </w:t>
            </w:r>
            <w:r w:rsidR="001E3482" w:rsidRPr="009C5F11">
              <w:rPr>
                <w:rFonts w:ascii="Times New Roman" w:hAnsi="Times New Roman" w:cs="Times New Roman"/>
                <w:sz w:val="18"/>
                <w:szCs w:val="14"/>
                <w:lang w:val="ro-RO" w:eastAsia="de-DE"/>
              </w:rPr>
              <w:t>energie</w:t>
            </w:r>
            <w:r w:rsidRPr="009C5F11">
              <w:rPr>
                <w:rFonts w:ascii="Times New Roman" w:hAnsi="Times New Roman" w:cs="Times New Roman"/>
                <w:sz w:val="18"/>
                <w:szCs w:val="14"/>
                <w:lang w:val="ro-RO" w:eastAsia="de-DE"/>
              </w:rPr>
              <w:t>i</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clădiri</w:t>
            </w:r>
            <w:r w:rsidR="00936847" w:rsidRPr="009C5F11">
              <w:rPr>
                <w:rFonts w:ascii="Times New Roman" w:hAnsi="Times New Roman" w:cs="Times New Roman"/>
                <w:sz w:val="18"/>
                <w:szCs w:val="14"/>
                <w:lang w:val="ro-RO" w:eastAsia="de-DE"/>
              </w:rPr>
              <w:t xml:space="preserve">; CP E 04.02-2013 </w:t>
            </w:r>
            <w:r w:rsidRPr="009C5F11">
              <w:rPr>
                <w:rFonts w:ascii="Times New Roman" w:hAnsi="Times New Roman" w:cs="Times New Roman"/>
                <w:sz w:val="18"/>
                <w:szCs w:val="14"/>
                <w:lang w:val="ro-RO" w:eastAsia="de-DE"/>
              </w:rPr>
              <w:t>Reguli tehnice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de execuţie 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sistemului de termoizolaţie exterioară şi interioară a clădirilor</w:t>
            </w:r>
            <w:r w:rsidR="00936847" w:rsidRPr="009C5F11">
              <w:rPr>
                <w:rFonts w:ascii="Times New Roman" w:hAnsi="Times New Roman" w:cs="Times New Roman"/>
                <w:sz w:val="18"/>
                <w:szCs w:val="14"/>
                <w:lang w:val="ro-RO" w:eastAsia="de-DE"/>
              </w:rPr>
              <w:t xml:space="preserve">; CP E.04.05-2006 </w:t>
            </w:r>
            <w:r w:rsidRPr="009C5F11">
              <w:rPr>
                <w:rFonts w:ascii="Times New Roman" w:hAnsi="Times New Roman" w:cs="Times New Roman"/>
                <w:sz w:val="18"/>
                <w:szCs w:val="14"/>
                <w:lang w:val="ro-RO" w:eastAsia="de-DE"/>
              </w:rPr>
              <w:t>Proiectarea protecţiei termice a clădirilor</w:t>
            </w:r>
            <w:r w:rsidR="00936847" w:rsidRPr="009C5F11">
              <w:rPr>
                <w:rFonts w:ascii="Times New Roman" w:hAnsi="Times New Roman" w:cs="Times New Roman"/>
                <w:sz w:val="18"/>
                <w:szCs w:val="14"/>
                <w:lang w:val="ro-RO" w:eastAsia="de-DE"/>
              </w:rPr>
              <w:t xml:space="preserve">; CP G.04.01-2002 </w:t>
            </w:r>
            <w:r w:rsidRPr="009C5F11">
              <w:rPr>
                <w:rFonts w:ascii="Times New Roman" w:hAnsi="Times New Roman" w:cs="Times New Roman"/>
                <w:sz w:val="18"/>
                <w:szCs w:val="14"/>
                <w:lang w:val="ro-RO" w:eastAsia="de-DE"/>
              </w:rPr>
              <w:t>Certificatul energetic al clădirii</w:t>
            </w:r>
            <w:r w:rsidR="00936847" w:rsidRPr="009C5F11">
              <w:rPr>
                <w:rFonts w:ascii="Times New Roman" w:hAnsi="Times New Roman" w:cs="Times New Roman"/>
                <w:sz w:val="18"/>
                <w:szCs w:val="14"/>
                <w:lang w:val="ro-RO" w:eastAsia="de-DE"/>
              </w:rPr>
              <w:t xml:space="preserve">; CP G.04.02-2003 </w:t>
            </w:r>
            <w:r w:rsidR="00E46DD7" w:rsidRPr="009C5F11">
              <w:rPr>
                <w:rFonts w:ascii="Times New Roman" w:hAnsi="Times New Roman" w:cs="Times New Roman"/>
                <w:sz w:val="18"/>
                <w:szCs w:val="14"/>
                <w:lang w:val="ro-RO" w:eastAsia="de-DE"/>
              </w:rPr>
              <w:t>Regulamentul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privind auditul energetic</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al clădirilor</w:t>
            </w:r>
            <w:r w:rsidR="00E46DD7" w:rsidRPr="009C5F11">
              <w:rPr>
                <w:rFonts w:ascii="Times New Roman" w:hAnsi="Times New Roman" w:cs="Times New Roman"/>
                <w:sz w:val="18"/>
                <w:szCs w:val="14"/>
                <w:lang w:val="ro-RO" w:eastAsia="de-DE"/>
              </w:rPr>
              <w:t xml:space="preserve"> existente</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al instalaţiilor de încălzire şi preparare a apei calde menajere</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w:t>
            </w:r>
          </w:p>
          <w:p w14:paraId="059DDCDB" w14:textId="77777777" w:rsidR="00936847" w:rsidRPr="009C5F11" w:rsidRDefault="00AA0566" w:rsidP="00334F3B">
            <w:pPr>
              <w:numPr>
                <w:ilvl w:val="0"/>
                <w:numId w:val="64"/>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MDRC</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 xml:space="preserve">AEE </w:t>
            </w:r>
            <w:r w:rsidR="00E46DD7" w:rsidRPr="009C5F11">
              <w:rPr>
                <w:rFonts w:ascii="Times New Roman" w:hAnsi="Times New Roman" w:cs="Times New Roman"/>
                <w:sz w:val="18"/>
                <w:szCs w:val="14"/>
                <w:lang w:val="ro-RO" w:eastAsia="de-DE"/>
              </w:rPr>
              <w:t>au semnat</w:t>
            </w:r>
            <w:r w:rsidR="00936847" w:rsidRPr="009C5F11">
              <w:rPr>
                <w:rFonts w:ascii="Times New Roman" w:hAnsi="Times New Roman" w:cs="Times New Roman"/>
                <w:sz w:val="18"/>
                <w:szCs w:val="14"/>
                <w:lang w:val="ro-RO" w:eastAsia="de-DE"/>
              </w:rPr>
              <w:t xml:space="preserve"> </w:t>
            </w:r>
            <w:r w:rsidR="00D160E1" w:rsidRPr="009C5F11">
              <w:rPr>
                <w:rFonts w:ascii="Times New Roman" w:hAnsi="Times New Roman" w:cs="Times New Roman"/>
                <w:sz w:val="18"/>
                <w:szCs w:val="14"/>
                <w:lang w:val="ro-RO" w:eastAsia="de-DE"/>
              </w:rPr>
              <w:t>Foaia de parcurs pentru implementarea DPEC în Republica Moldova</w:t>
            </w:r>
            <w:r w:rsidR="00761676"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142E74C9" w14:textId="77777777" w:rsidR="00936847" w:rsidRPr="009C5F11" w:rsidRDefault="00761676" w:rsidP="00334F3B">
            <w:pPr>
              <w:numPr>
                <w:ilvl w:val="0"/>
                <w:numId w:val="64"/>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 fost actualizată Foaia de parcurs</w:t>
            </w:r>
            <w:r w:rsidR="00936847" w:rsidRPr="009C5F11">
              <w:rPr>
                <w:rFonts w:ascii="Times New Roman" w:hAnsi="Times New Roman" w:cs="Times New Roman"/>
                <w:sz w:val="18"/>
                <w:szCs w:val="14"/>
                <w:lang w:val="ro-RO" w:eastAsia="de-DE"/>
              </w:rPr>
              <w:t xml:space="preserve"> (</w:t>
            </w:r>
            <w:r w:rsidR="000A4CC7" w:rsidRPr="009C5F11">
              <w:rPr>
                <w:rFonts w:ascii="Times New Roman" w:hAnsi="Times New Roman" w:cs="Times New Roman"/>
                <w:sz w:val="18"/>
                <w:szCs w:val="14"/>
                <w:lang w:val="ro-RO" w:eastAsia="de-DE"/>
              </w:rPr>
              <w:t>iulie</w:t>
            </w:r>
            <w:r w:rsidR="00936847" w:rsidRPr="009C5F11">
              <w:rPr>
                <w:rFonts w:ascii="Times New Roman" w:hAnsi="Times New Roman" w:cs="Times New Roman"/>
                <w:sz w:val="18"/>
                <w:szCs w:val="14"/>
                <w:lang w:val="ro-RO" w:eastAsia="de-DE"/>
              </w:rPr>
              <w:t xml:space="preserve"> 2015) </w:t>
            </w:r>
            <w:r w:rsidRPr="009C5F11">
              <w:rPr>
                <w:rFonts w:ascii="Times New Roman" w:hAnsi="Times New Roman" w:cs="Times New Roman"/>
                <w:sz w:val="18"/>
                <w:szCs w:val="14"/>
                <w:lang w:val="ro-RO" w:eastAsia="de-DE"/>
              </w:rPr>
              <w:t xml:space="preserve">ca urmare a adoptării </w:t>
            </w:r>
            <w:r w:rsidR="00EA007D" w:rsidRPr="009C5F11">
              <w:rPr>
                <w:rFonts w:ascii="Times New Roman" w:hAnsi="Times New Roman" w:cs="Times New Roman"/>
                <w:sz w:val="18"/>
                <w:szCs w:val="14"/>
                <w:lang w:val="ro-RO" w:eastAsia="de-DE"/>
              </w:rPr>
              <w:t>Leg</w:t>
            </w:r>
            <w:r w:rsidRPr="009C5F11">
              <w:rPr>
                <w:rFonts w:ascii="Times New Roman" w:hAnsi="Times New Roman" w:cs="Times New Roman"/>
                <w:sz w:val="18"/>
                <w:szCs w:val="14"/>
                <w:lang w:val="ro-RO" w:eastAsia="de-DE"/>
              </w:rPr>
              <w:t>ii</w:t>
            </w:r>
            <w:r w:rsidR="00927CD9" w:rsidRPr="009C5F11">
              <w:rPr>
                <w:rFonts w:ascii="Times New Roman" w:hAnsi="Times New Roman" w:cs="Times New Roman"/>
                <w:sz w:val="18"/>
                <w:szCs w:val="14"/>
                <w:lang w:val="ro-RO" w:eastAsia="de-DE"/>
              </w:rPr>
              <w:t xml:space="preserve"> nr.</w:t>
            </w:r>
            <w:r w:rsidR="00936847" w:rsidRPr="009C5F11">
              <w:rPr>
                <w:rFonts w:ascii="Times New Roman" w:hAnsi="Times New Roman" w:cs="Times New Roman"/>
                <w:sz w:val="18"/>
                <w:szCs w:val="14"/>
                <w:lang w:val="ro-RO" w:eastAsia="de-DE"/>
              </w:rPr>
              <w:t xml:space="preserve"> 128 </w:t>
            </w:r>
            <w:r w:rsidR="001006C3" w:rsidRPr="009C5F11">
              <w:rPr>
                <w:rFonts w:ascii="Times New Roman" w:hAnsi="Times New Roman" w:cs="Times New Roman"/>
                <w:sz w:val="18"/>
                <w:szCs w:val="14"/>
                <w:lang w:val="ro-RO" w:eastAsia="de-DE"/>
              </w:rPr>
              <w:t>din</w:t>
            </w:r>
            <w:r w:rsidR="00936847" w:rsidRPr="009C5F11">
              <w:rPr>
                <w:rFonts w:ascii="Times New Roman" w:hAnsi="Times New Roman" w:cs="Times New Roman"/>
                <w:sz w:val="18"/>
                <w:szCs w:val="14"/>
                <w:lang w:val="ro-RO" w:eastAsia="de-DE"/>
              </w:rPr>
              <w:t xml:space="preserve"> 11.07.2014 </w:t>
            </w:r>
            <w:r w:rsidR="00201D7F" w:rsidRPr="009C5F11">
              <w:rPr>
                <w:rFonts w:ascii="Times New Roman" w:hAnsi="Times New Roman" w:cs="Times New Roman"/>
                <w:sz w:val="18"/>
                <w:szCs w:val="14"/>
                <w:lang w:val="ro-RO" w:eastAsia="de-DE"/>
              </w:rPr>
              <w:t>privind performanţa energetică a clădirilor</w:t>
            </w:r>
            <w:r w:rsidR="00936847" w:rsidRPr="009C5F11">
              <w:rPr>
                <w:rFonts w:ascii="Times New Roman" w:hAnsi="Times New Roman" w:cs="Times New Roman"/>
                <w:sz w:val="18"/>
                <w:szCs w:val="14"/>
                <w:lang w:val="ro-RO" w:eastAsia="de-DE"/>
              </w:rPr>
              <w:t>.</w:t>
            </w:r>
          </w:p>
          <w:p w14:paraId="5542F179" w14:textId="77777777" w:rsidR="00936847" w:rsidRPr="009C5F11" w:rsidRDefault="00E46DD7"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Principalele documente cu urmează a fi adoptate</w:t>
            </w:r>
            <w:r w:rsidR="00936847" w:rsidRPr="009C5F11">
              <w:rPr>
                <w:rFonts w:ascii="Times New Roman" w:hAnsi="Times New Roman" w:cs="Times New Roman"/>
                <w:b/>
                <w:sz w:val="18"/>
                <w:szCs w:val="14"/>
                <w:lang w:val="ro-RO" w:eastAsia="de-DE"/>
              </w:rPr>
              <w:t>:</w:t>
            </w:r>
          </w:p>
          <w:p w14:paraId="0436A07A" w14:textId="77777777" w:rsidR="00AD4E4D" w:rsidRPr="009C5F11" w:rsidRDefault="00936847" w:rsidP="00334F3B">
            <w:pPr>
              <w:numPr>
                <w:ilvl w:val="0"/>
                <w:numId w:val="65"/>
              </w:numPr>
              <w:tabs>
                <w:tab w:val="left" w:pos="702"/>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NCM </w:t>
            </w:r>
          </w:p>
          <w:p w14:paraId="3EB722EA" w14:textId="77777777" w:rsidR="00AD4E4D" w:rsidRPr="009C5F11" w:rsidRDefault="00AD4E4D" w:rsidP="00334F3B">
            <w:pPr>
              <w:pStyle w:val="Listparagraf"/>
              <w:numPr>
                <w:ilvl w:val="0"/>
                <w:numId w:val="206"/>
              </w:numPr>
              <w:tabs>
                <w:tab w:val="left" w:pos="702"/>
                <w:tab w:val="left" w:pos="5040"/>
                <w:tab w:val="right" w:pos="8504"/>
              </w:tabs>
              <w:spacing w:after="0" w:line="240" w:lineRule="auto"/>
              <w:ind w:left="944" w:hanging="270"/>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Metodologia de calcul a p</w:t>
            </w:r>
            <w:r w:rsidR="00761676" w:rsidRPr="009C5F11">
              <w:rPr>
                <w:rFonts w:ascii="Times New Roman" w:hAnsi="Times New Roman" w:cs="Times New Roman"/>
                <w:b/>
                <w:sz w:val="18"/>
                <w:szCs w:val="14"/>
                <w:lang w:val="ro-RO" w:eastAsia="de-DE"/>
              </w:rPr>
              <w:t>erformanţ</w:t>
            </w:r>
            <w:r w:rsidRPr="009C5F11">
              <w:rPr>
                <w:rFonts w:ascii="Times New Roman" w:hAnsi="Times New Roman" w:cs="Times New Roman"/>
                <w:b/>
                <w:sz w:val="18"/>
                <w:szCs w:val="14"/>
                <w:lang w:val="ro-RO" w:eastAsia="de-DE"/>
              </w:rPr>
              <w:t>ei</w:t>
            </w:r>
            <w:r w:rsidR="00761676" w:rsidRPr="009C5F11">
              <w:rPr>
                <w:rFonts w:ascii="Times New Roman" w:hAnsi="Times New Roman" w:cs="Times New Roman"/>
                <w:b/>
                <w:sz w:val="18"/>
                <w:szCs w:val="14"/>
                <w:lang w:val="ro-RO" w:eastAsia="de-DE"/>
              </w:rPr>
              <w:t xml:space="preserve"> energetic</w:t>
            </w:r>
            <w:r w:rsidRPr="009C5F11">
              <w:rPr>
                <w:rFonts w:ascii="Times New Roman" w:hAnsi="Times New Roman" w:cs="Times New Roman"/>
                <w:b/>
                <w:sz w:val="18"/>
                <w:szCs w:val="14"/>
                <w:lang w:val="ro-RO" w:eastAsia="de-DE"/>
              </w:rPr>
              <w:t>e</w:t>
            </w:r>
            <w:r w:rsidR="00761676" w:rsidRPr="009C5F11">
              <w:rPr>
                <w:rFonts w:ascii="Times New Roman" w:hAnsi="Times New Roman" w:cs="Times New Roman"/>
                <w:b/>
                <w:sz w:val="18"/>
                <w:szCs w:val="14"/>
                <w:lang w:val="ro-RO" w:eastAsia="de-DE"/>
              </w:rPr>
              <w:t xml:space="preserve"> a</w:t>
            </w:r>
            <w:r w:rsidR="00693850" w:rsidRPr="009C5F11">
              <w:rPr>
                <w:rFonts w:ascii="Times New Roman" w:hAnsi="Times New Roman" w:cs="Times New Roman"/>
                <w:b/>
                <w:sz w:val="18"/>
                <w:szCs w:val="14"/>
                <w:lang w:val="ro-RO" w:eastAsia="de-DE"/>
              </w:rPr>
              <w:t xml:space="preserve"> clădirilor</w:t>
            </w:r>
            <w:r w:rsidR="00936847" w:rsidRPr="009C5F11">
              <w:rPr>
                <w:rFonts w:ascii="Times New Roman" w:hAnsi="Times New Roman" w:cs="Times New Roman"/>
                <w:b/>
                <w:sz w:val="18"/>
                <w:szCs w:val="14"/>
                <w:lang w:val="ro-RO" w:eastAsia="de-DE"/>
              </w:rPr>
              <w:t xml:space="preserve">. </w:t>
            </w:r>
          </w:p>
          <w:p w14:paraId="12C34680" w14:textId="77777777" w:rsidR="00AD4E4D" w:rsidRPr="009C5F11" w:rsidRDefault="00397686" w:rsidP="00334F3B">
            <w:pPr>
              <w:pStyle w:val="Listparagraf"/>
              <w:numPr>
                <w:ilvl w:val="0"/>
                <w:numId w:val="206"/>
              </w:numPr>
              <w:tabs>
                <w:tab w:val="left" w:pos="702"/>
                <w:tab w:val="left" w:pos="5040"/>
                <w:tab w:val="right" w:pos="8504"/>
              </w:tabs>
              <w:spacing w:after="0" w:line="240" w:lineRule="auto"/>
              <w:ind w:left="944" w:hanging="270"/>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Metodologia</w:t>
            </w:r>
            <w:r w:rsidR="00936847" w:rsidRPr="009C5F11">
              <w:rPr>
                <w:rFonts w:ascii="Times New Roman" w:hAnsi="Times New Roman" w:cs="Times New Roman"/>
                <w:b/>
                <w:sz w:val="18"/>
                <w:szCs w:val="14"/>
                <w:lang w:val="ro-RO" w:eastAsia="de-DE"/>
              </w:rPr>
              <w:t xml:space="preserve"> </w:t>
            </w:r>
            <w:r w:rsidR="00761676" w:rsidRPr="009C5F11">
              <w:rPr>
                <w:rFonts w:ascii="Times New Roman" w:hAnsi="Times New Roman" w:cs="Times New Roman"/>
                <w:b/>
                <w:sz w:val="18"/>
                <w:szCs w:val="14"/>
                <w:lang w:val="ro-RO" w:eastAsia="de-DE"/>
              </w:rPr>
              <w:t xml:space="preserve">de calcul al nivelurilor optime, din punct de vedere al costului, </w:t>
            </w:r>
          </w:p>
          <w:p w14:paraId="687447A8" w14:textId="77777777" w:rsidR="00936847" w:rsidRPr="009C5F11" w:rsidRDefault="00AD4E4D" w:rsidP="00334F3B">
            <w:pPr>
              <w:pStyle w:val="Listparagraf"/>
              <w:numPr>
                <w:ilvl w:val="0"/>
                <w:numId w:val="206"/>
              </w:numPr>
              <w:tabs>
                <w:tab w:val="left" w:pos="702"/>
                <w:tab w:val="left" w:pos="5040"/>
                <w:tab w:val="right" w:pos="8504"/>
              </w:tabs>
              <w:spacing w:after="0" w:line="240" w:lineRule="auto"/>
              <w:ind w:left="944" w:hanging="270"/>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C</w:t>
            </w:r>
            <w:r w:rsidR="00761676" w:rsidRPr="009C5F11">
              <w:rPr>
                <w:rFonts w:ascii="Times New Roman" w:hAnsi="Times New Roman" w:cs="Times New Roman"/>
                <w:b/>
                <w:sz w:val="18"/>
                <w:szCs w:val="14"/>
                <w:lang w:val="ro-RO" w:eastAsia="de-DE"/>
              </w:rPr>
              <w:t xml:space="preserve">erințe minime față de performanţa energetică a clădirilor </w:t>
            </w:r>
            <w:r w:rsidR="00397686" w:rsidRPr="009C5F11">
              <w:rPr>
                <w:rFonts w:ascii="Times New Roman" w:hAnsi="Times New Roman" w:cs="Times New Roman"/>
                <w:b/>
                <w:sz w:val="18"/>
                <w:szCs w:val="14"/>
                <w:lang w:val="ro-RO" w:eastAsia="de-DE"/>
              </w:rPr>
              <w:t>şi a componentelor acestora</w:t>
            </w:r>
          </w:p>
          <w:p w14:paraId="4FEDE9D9" w14:textId="77777777" w:rsidR="00936847" w:rsidRPr="009C5F11" w:rsidRDefault="00761676" w:rsidP="00334F3B">
            <w:pPr>
              <w:numPr>
                <w:ilvl w:val="0"/>
                <w:numId w:val="65"/>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b/>
                <w:sz w:val="18"/>
                <w:szCs w:val="14"/>
                <w:lang w:val="ro-RO" w:eastAsia="de-DE"/>
              </w:rPr>
              <w:t>Strategia de renovare a clădirilor</w:t>
            </w:r>
            <w:r w:rsidR="00936847" w:rsidRPr="009C5F11">
              <w:rPr>
                <w:rFonts w:ascii="Times New Roman" w:hAnsi="Times New Roman" w:cs="Times New Roman"/>
                <w:b/>
                <w:sz w:val="18"/>
                <w:szCs w:val="14"/>
                <w:lang w:val="ro-RO" w:eastAsia="de-DE"/>
              </w:rPr>
              <w:t xml:space="preserve"> (</w:t>
            </w:r>
            <w:r w:rsidRPr="009C5F11">
              <w:rPr>
                <w:rFonts w:ascii="Times New Roman" w:hAnsi="Times New Roman" w:cs="Times New Roman"/>
                <w:b/>
                <w:sz w:val="18"/>
                <w:szCs w:val="14"/>
                <w:lang w:val="ro-RO" w:eastAsia="de-DE"/>
              </w:rPr>
              <w:t>conform cerinţelor prevăzute la</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Articolul</w:t>
            </w:r>
            <w:r w:rsidR="00936847" w:rsidRPr="009C5F11">
              <w:rPr>
                <w:rFonts w:ascii="Times New Roman" w:hAnsi="Times New Roman" w:cs="Times New Roman"/>
                <w:b/>
                <w:sz w:val="18"/>
                <w:szCs w:val="14"/>
                <w:lang w:val="ro-RO" w:eastAsia="de-DE"/>
              </w:rPr>
              <w:t xml:space="preserve"> 4 </w:t>
            </w:r>
            <w:r w:rsidR="00421FA7" w:rsidRPr="009C5F11">
              <w:rPr>
                <w:rFonts w:ascii="Times New Roman" w:hAnsi="Times New Roman" w:cs="Times New Roman"/>
                <w:b/>
                <w:sz w:val="18"/>
                <w:szCs w:val="14"/>
                <w:lang w:val="ro-RO" w:eastAsia="de-DE"/>
              </w:rPr>
              <w:t>din DEE</w:t>
            </w:r>
            <w:r w:rsidR="00936847" w:rsidRPr="009C5F11">
              <w:rPr>
                <w:rFonts w:ascii="Times New Roman" w:hAnsi="Times New Roman" w:cs="Times New Roman"/>
                <w:b/>
                <w:sz w:val="18"/>
                <w:szCs w:val="14"/>
                <w:lang w:val="ro-RO" w:eastAsia="de-DE"/>
              </w:rPr>
              <w:t>)</w:t>
            </w:r>
            <w:r w:rsidR="001006C3" w:rsidRPr="009C5F11">
              <w:rPr>
                <w:rFonts w:ascii="Times New Roman" w:hAnsi="Times New Roman" w:cs="Times New Roman"/>
                <w:b/>
                <w:sz w:val="18"/>
                <w:szCs w:val="14"/>
                <w:lang w:val="ro-RO" w:eastAsia="de-DE"/>
              </w:rPr>
              <w:t>.</w:t>
            </w:r>
          </w:p>
        </w:tc>
      </w:tr>
      <w:tr w:rsidR="00936847" w:rsidRPr="009C5F11" w14:paraId="3555F047" w14:textId="77777777" w:rsidTr="00BF6432">
        <w:trPr>
          <w:trHeight w:val="116"/>
        </w:trPr>
        <w:tc>
          <w:tcPr>
            <w:tcW w:w="743" w:type="pct"/>
            <w:vMerge/>
          </w:tcPr>
          <w:p w14:paraId="73E554F9"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FF9CDEB"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6D5D74C7" w14:textId="77777777" w:rsidR="00936847" w:rsidRPr="009C5F11" w:rsidRDefault="00E46DD7"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Clădirile noi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clădirile existente</w:t>
            </w:r>
          </w:p>
        </w:tc>
      </w:tr>
      <w:tr w:rsidR="00936847" w:rsidRPr="009C5F11" w14:paraId="12E9D1C2" w14:textId="77777777" w:rsidTr="00BF6432">
        <w:trPr>
          <w:trHeight w:val="134"/>
        </w:trPr>
        <w:tc>
          <w:tcPr>
            <w:tcW w:w="743" w:type="pct"/>
            <w:vMerge/>
          </w:tcPr>
          <w:p w14:paraId="3CEFA28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03B84AA"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165D4341" w14:textId="77777777" w:rsidR="00936847" w:rsidRPr="009C5F11" w:rsidRDefault="0076167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Locuitorii construcţiilor din sectorul public şi cel </w:t>
            </w:r>
            <w:r w:rsidR="00E85EF7" w:rsidRPr="009C5F11">
              <w:rPr>
                <w:rFonts w:ascii="Times New Roman" w:hAnsi="Times New Roman" w:cs="Times New Roman"/>
                <w:sz w:val="18"/>
                <w:szCs w:val="14"/>
                <w:lang w:val="ro-RO" w:eastAsia="de-DE"/>
              </w:rPr>
              <w:t>rezidențial</w:t>
            </w:r>
          </w:p>
        </w:tc>
      </w:tr>
      <w:tr w:rsidR="00936847" w:rsidRPr="009C5F11" w14:paraId="2E1E7114" w14:textId="77777777" w:rsidTr="00BF6432">
        <w:trPr>
          <w:trHeight w:val="116"/>
        </w:trPr>
        <w:tc>
          <w:tcPr>
            <w:tcW w:w="743" w:type="pct"/>
            <w:vMerge/>
          </w:tcPr>
          <w:p w14:paraId="2F20BB58"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5BFFDD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01798636" w14:textId="77777777" w:rsidR="00936847" w:rsidRPr="009C5F11" w:rsidRDefault="0076167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936847" w:rsidRPr="009C5F11" w14:paraId="53A45CA7" w14:textId="77777777" w:rsidTr="005B575F">
        <w:trPr>
          <w:trHeight w:val="1550"/>
        </w:trPr>
        <w:tc>
          <w:tcPr>
            <w:tcW w:w="743" w:type="pct"/>
            <w:vMerge w:val="restart"/>
          </w:tcPr>
          <w:p w14:paraId="60E4CD3A"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lastRenderedPageBreak/>
              <w:t>Informaţii despre implementare</w:t>
            </w:r>
          </w:p>
        </w:tc>
        <w:tc>
          <w:tcPr>
            <w:tcW w:w="1013" w:type="pct"/>
          </w:tcPr>
          <w:p w14:paraId="44A221EB"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244" w:type="pct"/>
          </w:tcPr>
          <w:p w14:paraId="1AFC0F7D" w14:textId="77777777" w:rsidR="00936847" w:rsidRPr="009C5F11" w:rsidRDefault="0076167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Sarcinile principale ale autorităţii publice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ce decurg din dispoziţiile Legii</w:t>
            </w:r>
            <w:r w:rsidR="00055095"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128/2014:</w:t>
            </w:r>
          </w:p>
          <w:p w14:paraId="52EADD17" w14:textId="77777777" w:rsidR="00936847" w:rsidRPr="009C5F11" w:rsidRDefault="00936847" w:rsidP="00430626">
            <w:pPr>
              <w:tabs>
                <w:tab w:val="left" w:pos="1440"/>
                <w:tab w:val="left" w:pos="5040"/>
                <w:tab w:val="right" w:pos="8504"/>
              </w:tabs>
              <w:spacing w:before="40" w:after="0" w:line="240" w:lineRule="auto"/>
              <w:ind w:left="70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§34 </w:t>
            </w:r>
            <w:r w:rsidR="00761676" w:rsidRPr="009C5F11">
              <w:rPr>
                <w:rFonts w:ascii="Times New Roman" w:eastAsia="Times New Roman" w:hAnsi="Times New Roman" w:cs="Times New Roman"/>
                <w:color w:val="000000"/>
                <w:sz w:val="18"/>
                <w:szCs w:val="14"/>
                <w:lang w:val="ro-RO"/>
              </w:rPr>
              <w:t>Stimulente financiare pentru promovarea îmbunătăţirii performanţei energetice a clădirilor</w:t>
            </w:r>
            <w:r w:rsidR="001006C3" w:rsidRPr="009C5F11">
              <w:rPr>
                <w:rFonts w:ascii="Times New Roman" w:eastAsia="Times New Roman" w:hAnsi="Times New Roman" w:cs="Times New Roman"/>
                <w:color w:val="000000"/>
                <w:sz w:val="18"/>
                <w:szCs w:val="14"/>
                <w:lang w:val="ro-RO"/>
              </w:rPr>
              <w:t>:</w:t>
            </w:r>
          </w:p>
          <w:p w14:paraId="17309B6B" w14:textId="77777777" w:rsidR="00936847" w:rsidRPr="009C5F11" w:rsidRDefault="00936847" w:rsidP="00430626">
            <w:pPr>
              <w:tabs>
                <w:tab w:val="left" w:pos="1440"/>
                <w:tab w:val="left" w:pos="5040"/>
                <w:tab w:val="right" w:pos="8504"/>
              </w:tabs>
              <w:spacing w:before="40" w:after="0" w:line="240" w:lineRule="auto"/>
              <w:ind w:left="792"/>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lang w:val="ro-RO" w:eastAsia="de-DE"/>
              </w:rPr>
              <w:t xml:space="preserve">34(1) </w:t>
            </w:r>
            <w:r w:rsidR="00761676" w:rsidRPr="009C5F11">
              <w:rPr>
                <w:rFonts w:ascii="Times New Roman" w:eastAsia="Times New Roman" w:hAnsi="Times New Roman" w:cs="Times New Roman"/>
                <w:color w:val="000000"/>
                <w:sz w:val="18"/>
                <w:szCs w:val="14"/>
                <w:lang w:val="ro-RO"/>
              </w:rPr>
              <w:t xml:space="preserve">elaborarea şi implementarea </w:t>
            </w:r>
            <w:r w:rsidR="00761676" w:rsidRPr="009C5F11">
              <w:rPr>
                <w:rFonts w:ascii="Times New Roman" w:eastAsia="Times New Roman" w:hAnsi="Times New Roman" w:cs="Times New Roman"/>
                <w:color w:val="000000"/>
                <w:sz w:val="18"/>
                <w:szCs w:val="14"/>
                <w:u w:val="single"/>
                <w:lang w:val="ro-RO"/>
              </w:rPr>
              <w:t>programelor şi a planurilor de acţiuni naţionale privind îmbunătăţirea performanţei energetice a clădirilor;</w:t>
            </w:r>
          </w:p>
          <w:p w14:paraId="3EC7061A" w14:textId="77777777" w:rsidR="00936847" w:rsidRPr="009C5F11" w:rsidRDefault="00936847" w:rsidP="00430626">
            <w:pPr>
              <w:tabs>
                <w:tab w:val="left" w:pos="1440"/>
                <w:tab w:val="left" w:pos="5040"/>
                <w:tab w:val="right" w:pos="8504"/>
              </w:tabs>
              <w:spacing w:before="40" w:after="0" w:line="240" w:lineRule="auto"/>
              <w:ind w:left="79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34(2) </w:t>
            </w:r>
            <w:r w:rsidR="00761676" w:rsidRPr="009C5F11">
              <w:rPr>
                <w:rFonts w:ascii="Times New Roman" w:eastAsia="Times New Roman" w:hAnsi="Times New Roman" w:cs="Times New Roman"/>
                <w:color w:val="000000"/>
                <w:sz w:val="18"/>
                <w:szCs w:val="14"/>
                <w:lang w:val="ro-RO"/>
              </w:rPr>
              <w:t xml:space="preserve">stabilirea şi implementarea </w:t>
            </w:r>
            <w:r w:rsidR="00761676" w:rsidRPr="009C5F11">
              <w:rPr>
                <w:rFonts w:ascii="Times New Roman" w:eastAsia="Times New Roman" w:hAnsi="Times New Roman" w:cs="Times New Roman"/>
                <w:color w:val="000000"/>
                <w:sz w:val="18"/>
                <w:szCs w:val="14"/>
                <w:u w:val="single"/>
                <w:lang w:val="ro-RO"/>
              </w:rPr>
              <w:t>stimulentelor financiare</w:t>
            </w:r>
            <w:r w:rsidR="00761676" w:rsidRPr="009C5F11">
              <w:rPr>
                <w:rFonts w:ascii="Times New Roman" w:eastAsia="Times New Roman" w:hAnsi="Times New Roman" w:cs="Times New Roman"/>
                <w:color w:val="000000"/>
                <w:sz w:val="18"/>
                <w:szCs w:val="14"/>
                <w:lang w:val="ro-RO"/>
              </w:rPr>
              <w:t xml:space="preserve"> pentru</w:t>
            </w:r>
            <w:r w:rsidRPr="009C5F11">
              <w:rPr>
                <w:rFonts w:ascii="Times New Roman" w:hAnsi="Times New Roman" w:cs="Times New Roman"/>
                <w:sz w:val="18"/>
                <w:szCs w:val="14"/>
                <w:lang w:val="ro-RO" w:eastAsia="de-DE"/>
              </w:rPr>
              <w:t>:</w:t>
            </w:r>
          </w:p>
          <w:p w14:paraId="7441F00E" w14:textId="77777777" w:rsidR="00936847" w:rsidRPr="009C5F11" w:rsidRDefault="00761676" w:rsidP="00334F3B">
            <w:pPr>
              <w:numPr>
                <w:ilvl w:val="0"/>
                <w:numId w:val="194"/>
              </w:numPr>
              <w:tabs>
                <w:tab w:val="left" w:pos="1242"/>
                <w:tab w:val="left" w:pos="1422"/>
                <w:tab w:val="right" w:pos="8504"/>
              </w:tabs>
              <w:spacing w:before="40" w:after="0" w:line="240" w:lineRule="auto"/>
              <w:ind w:left="1394" w:hanging="242"/>
              <w:jc w:val="both"/>
              <w:rPr>
                <w:rFonts w:ascii="Times New Roman" w:hAnsi="Times New Roman" w:cs="Times New Roman"/>
                <w:sz w:val="18"/>
                <w:szCs w:val="14"/>
                <w:lang w:val="ro-RO" w:eastAsia="de-DE"/>
              </w:rPr>
            </w:pPr>
            <w:r w:rsidRPr="009C5F11">
              <w:rPr>
                <w:rFonts w:ascii="Times New Roman" w:eastAsia="Times New Roman" w:hAnsi="Times New Roman" w:cs="Times New Roman"/>
                <w:color w:val="000000"/>
                <w:sz w:val="18"/>
                <w:szCs w:val="14"/>
                <w:lang w:val="ro-RO"/>
              </w:rPr>
              <w:t>realizarea măsurilor de îmbunătăţire a performanţei energetice a clădirilor existente, a unităţilor şi elementelor acestora</w:t>
            </w:r>
            <w:r w:rsidR="00936847" w:rsidRPr="009C5F11">
              <w:rPr>
                <w:rFonts w:ascii="Times New Roman" w:hAnsi="Times New Roman" w:cs="Times New Roman"/>
                <w:sz w:val="18"/>
                <w:szCs w:val="14"/>
                <w:lang w:val="ro-RO" w:eastAsia="de-DE"/>
              </w:rPr>
              <w:t>;</w:t>
            </w:r>
          </w:p>
          <w:p w14:paraId="20A33669" w14:textId="77777777" w:rsidR="00936847" w:rsidRPr="009C5F11" w:rsidRDefault="00C55F0D" w:rsidP="00334F3B">
            <w:pPr>
              <w:numPr>
                <w:ilvl w:val="0"/>
                <w:numId w:val="194"/>
              </w:numPr>
              <w:tabs>
                <w:tab w:val="left" w:pos="1242"/>
                <w:tab w:val="left" w:pos="1422"/>
                <w:tab w:val="right" w:pos="8504"/>
              </w:tabs>
              <w:spacing w:before="40" w:after="0" w:line="240" w:lineRule="auto"/>
              <w:ind w:left="1394" w:hanging="242"/>
              <w:jc w:val="both"/>
              <w:rPr>
                <w:rFonts w:ascii="Times New Roman" w:hAnsi="Times New Roman" w:cs="Times New Roman"/>
                <w:sz w:val="18"/>
                <w:szCs w:val="14"/>
                <w:lang w:val="ro-RO" w:eastAsia="de-DE"/>
              </w:rPr>
            </w:pPr>
            <w:r w:rsidRPr="009C5F11">
              <w:rPr>
                <w:rFonts w:ascii="Times New Roman" w:eastAsia="Times New Roman" w:hAnsi="Times New Roman" w:cs="Times New Roman"/>
                <w:color w:val="000000"/>
                <w:sz w:val="18"/>
                <w:szCs w:val="14"/>
                <w:lang w:val="ro-RO"/>
              </w:rPr>
              <w:t>promovarea construcţiei clădirilor noi al căror consum de energie este aproape egal cu zero şi promovarea transformării clădirilor existente în clădiri al căror consum de energie este aproape egal cu zero</w:t>
            </w:r>
            <w:r w:rsidR="00936847" w:rsidRPr="009C5F11">
              <w:rPr>
                <w:rFonts w:ascii="Times New Roman" w:hAnsi="Times New Roman" w:cs="Times New Roman"/>
                <w:sz w:val="18"/>
                <w:szCs w:val="14"/>
                <w:lang w:val="ro-RO" w:eastAsia="de-DE"/>
              </w:rPr>
              <w:t>;</w:t>
            </w:r>
          </w:p>
          <w:p w14:paraId="306B0E39" w14:textId="77777777" w:rsidR="00936847" w:rsidRPr="009C5F11" w:rsidRDefault="00936847" w:rsidP="00430626">
            <w:pPr>
              <w:tabs>
                <w:tab w:val="left" w:pos="1440"/>
                <w:tab w:val="left" w:pos="5040"/>
                <w:tab w:val="right" w:pos="8504"/>
              </w:tabs>
              <w:spacing w:after="0" w:line="240" w:lineRule="auto"/>
              <w:ind w:firstLine="34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 35 </w:t>
            </w:r>
            <w:r w:rsidR="00C55F0D" w:rsidRPr="009C5F11">
              <w:rPr>
                <w:rFonts w:ascii="Times New Roman" w:eastAsia="Times New Roman" w:hAnsi="Times New Roman" w:cs="Times New Roman"/>
                <w:color w:val="000000"/>
                <w:sz w:val="18"/>
                <w:szCs w:val="14"/>
                <w:lang w:val="ro-RO"/>
              </w:rPr>
              <w:t>Informarea în domeniul performanţei energetice a clădirilor</w:t>
            </w:r>
          </w:p>
          <w:p w14:paraId="160D5D67" w14:textId="77777777" w:rsidR="00936847" w:rsidRPr="009C5F11" w:rsidRDefault="00C55F0D" w:rsidP="00430626">
            <w:pPr>
              <w:tabs>
                <w:tab w:val="left" w:pos="1440"/>
                <w:tab w:val="left" w:pos="5040"/>
                <w:tab w:val="right" w:pos="8504"/>
              </w:tabs>
              <w:spacing w:after="0" w:line="240" w:lineRule="auto"/>
              <w:ind w:left="702"/>
              <w:jc w:val="both"/>
              <w:rPr>
                <w:rFonts w:ascii="Times New Roman" w:hAnsi="Times New Roman" w:cs="Times New Roman"/>
                <w:i/>
                <w:sz w:val="18"/>
                <w:szCs w:val="14"/>
                <w:lang w:val="ro-RO" w:eastAsia="de-DE"/>
              </w:rPr>
            </w:pPr>
            <w:r w:rsidRPr="009C5F11">
              <w:rPr>
                <w:rFonts w:ascii="Times New Roman" w:eastAsia="Times New Roman" w:hAnsi="Times New Roman" w:cs="Times New Roman"/>
                <w:i/>
                <w:color w:val="000000"/>
                <w:sz w:val="18"/>
                <w:szCs w:val="14"/>
                <w:lang w:val="ro-RO"/>
              </w:rPr>
              <w:t>Autoritatea publică în domeniul eficienţei energetice, de comun acord cu organul central de specialitate al administraţiei publice în domeniul construcţiilor, asigură furnizarea periodică, cu titlu gratuit, a informaţiilor destinate proprietarilor sau locatarilor clădirilor şi ai unităţilor acestora, evaluatorilor energetici, inspectorilor sistemelor de încălzire şi inspectorilor sistemelor de climatizare, specialiştilor în domeniul construcţiilor şi altor persoane.</w:t>
            </w:r>
          </w:p>
          <w:p w14:paraId="19C4F0D7" w14:textId="77777777" w:rsidR="00886A5E" w:rsidRPr="009C5F11" w:rsidRDefault="00C55F0D" w:rsidP="00886A5E">
            <w:pPr>
              <w:tabs>
                <w:tab w:val="left" w:pos="1440"/>
                <w:tab w:val="left" w:pos="5040"/>
                <w:tab w:val="right" w:pos="8504"/>
              </w:tabs>
              <w:spacing w:before="40"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lang w:val="ro-RO" w:eastAsia="de-DE"/>
              </w:rPr>
              <w:t>C</w:t>
            </w:r>
            <w:r w:rsidR="00886A5E" w:rsidRPr="009C5F11">
              <w:rPr>
                <w:rFonts w:ascii="Times New Roman" w:hAnsi="Times New Roman" w:cs="Times New Roman"/>
                <w:sz w:val="18"/>
                <w:szCs w:val="14"/>
                <w:lang w:val="ro-RO" w:eastAsia="de-DE"/>
              </w:rPr>
              <w:t>ontinu</w:t>
            </w:r>
            <w:r w:rsidRPr="009C5F11">
              <w:rPr>
                <w:rFonts w:ascii="Times New Roman" w:hAnsi="Times New Roman" w:cs="Times New Roman"/>
                <w:sz w:val="18"/>
                <w:szCs w:val="14"/>
                <w:lang w:val="ro-RO" w:eastAsia="de-DE"/>
              </w:rPr>
              <w:t>ar</w:t>
            </w:r>
            <w:r w:rsidR="00886A5E"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a</w:t>
            </w:r>
            <w:r w:rsidR="00321CD5" w:rsidRPr="009C5F11">
              <w:rPr>
                <w:rFonts w:ascii="Times New Roman" w:hAnsi="Times New Roman" w:cs="Times New Roman"/>
                <w:sz w:val="18"/>
                <w:szCs w:val="14"/>
                <w:lang w:val="ro-RO" w:eastAsia="de-DE"/>
              </w:rPr>
              <w:t xml:space="preserve"> în </w:t>
            </w:r>
            <w:r w:rsidR="00886A5E" w:rsidRPr="009C5F11">
              <w:rPr>
                <w:rFonts w:ascii="Times New Roman" w:hAnsi="Times New Roman" w:cs="Times New Roman"/>
                <w:sz w:val="18"/>
                <w:szCs w:val="14"/>
                <w:lang w:val="ro-RO" w:eastAsia="de-DE"/>
              </w:rPr>
              <w:t xml:space="preserve">2016-2017 </w:t>
            </w:r>
            <w:r w:rsidR="001006C3" w:rsidRPr="009C5F11">
              <w:rPr>
                <w:rFonts w:ascii="Times New Roman" w:hAnsi="Times New Roman" w:cs="Times New Roman"/>
                <w:sz w:val="18"/>
                <w:szCs w:val="14"/>
                <w:lang w:val="ro-RO" w:eastAsia="de-DE"/>
              </w:rPr>
              <w:t xml:space="preserve">a </w:t>
            </w:r>
            <w:r w:rsidRPr="009C5F11">
              <w:rPr>
                <w:rFonts w:ascii="Times New Roman" w:hAnsi="Times New Roman" w:cs="Times New Roman"/>
                <w:sz w:val="18"/>
                <w:szCs w:val="14"/>
                <w:lang w:val="ro-RO" w:eastAsia="de-DE"/>
              </w:rPr>
              <w:t>sprijinului din partea</w:t>
            </w:r>
            <w:r w:rsidR="00886A5E"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BERD</w:t>
            </w:r>
            <w:r w:rsidR="00886A5E"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în vederea elaborării şi punerii în aplicare a listei </w:t>
            </w:r>
            <w:r w:rsidR="00AB460B" w:rsidRPr="009C5F11">
              <w:rPr>
                <w:rFonts w:ascii="Times New Roman" w:hAnsi="Times New Roman" w:cs="Times New Roman"/>
                <w:sz w:val="18"/>
                <w:szCs w:val="14"/>
                <w:lang w:val="ro-RO" w:eastAsia="de-DE"/>
              </w:rPr>
              <w:t>integrale</w:t>
            </w:r>
            <w:r w:rsidR="001006C3" w:rsidRPr="009C5F11">
              <w:rPr>
                <w:rFonts w:ascii="Times New Roman" w:hAnsi="Times New Roman" w:cs="Times New Roman"/>
                <w:sz w:val="18"/>
                <w:szCs w:val="14"/>
                <w:lang w:val="ro-RO" w:eastAsia="de-DE"/>
              </w:rPr>
              <w:t xml:space="preserve"> </w:t>
            </w:r>
            <w:r w:rsidR="008474DB" w:rsidRPr="009C5F11">
              <w:rPr>
                <w:rFonts w:ascii="Times New Roman" w:hAnsi="Times New Roman" w:cs="Times New Roman"/>
                <w:sz w:val="18"/>
                <w:szCs w:val="14"/>
                <w:lang w:val="ro-RO" w:eastAsia="de-DE"/>
              </w:rPr>
              <w:t xml:space="preserve">a </w:t>
            </w:r>
            <w:r w:rsidR="001006C3" w:rsidRPr="009C5F11">
              <w:rPr>
                <w:rFonts w:ascii="Times New Roman" w:hAnsi="Times New Roman" w:cs="Times New Roman"/>
                <w:sz w:val="18"/>
                <w:szCs w:val="14"/>
                <w:lang w:val="ro-RO" w:eastAsia="de-DE"/>
              </w:rPr>
              <w:t>acte</w:t>
            </w:r>
            <w:r w:rsidR="008474DB" w:rsidRPr="009C5F11">
              <w:rPr>
                <w:rFonts w:ascii="Times New Roman" w:hAnsi="Times New Roman" w:cs="Times New Roman"/>
                <w:sz w:val="18"/>
                <w:szCs w:val="14"/>
                <w:lang w:val="ro-RO" w:eastAsia="de-DE"/>
              </w:rPr>
              <w:t>lor</w:t>
            </w:r>
            <w:r w:rsidR="001006C3"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legislative pentru </w:t>
            </w:r>
            <w:r w:rsidR="00532A33" w:rsidRPr="009C5F11">
              <w:rPr>
                <w:rFonts w:ascii="Times New Roman" w:hAnsi="Times New Roman" w:cs="Times New Roman"/>
                <w:sz w:val="18"/>
                <w:szCs w:val="14"/>
                <w:lang w:val="ro-RO" w:eastAsia="de-DE"/>
              </w:rPr>
              <w:t>implementarea</w:t>
            </w:r>
            <w:r w:rsidR="00886A5E" w:rsidRPr="009C5F11">
              <w:rPr>
                <w:rFonts w:ascii="Times New Roman" w:hAnsi="Times New Roman" w:cs="Times New Roman"/>
                <w:sz w:val="18"/>
                <w:szCs w:val="14"/>
                <w:lang w:val="ro-RO" w:eastAsia="de-DE"/>
              </w:rPr>
              <w:t xml:space="preserve"> </w:t>
            </w:r>
            <w:r w:rsidR="00D160E1" w:rsidRPr="009C5F11">
              <w:rPr>
                <w:rFonts w:ascii="Times New Roman" w:hAnsi="Times New Roman" w:cs="Times New Roman"/>
                <w:sz w:val="18"/>
                <w:szCs w:val="14"/>
                <w:lang w:val="ro-RO" w:eastAsia="de-DE"/>
              </w:rPr>
              <w:t>DPEC</w:t>
            </w:r>
            <w:r w:rsidR="00886A5E" w:rsidRPr="009C5F11">
              <w:rPr>
                <w:rFonts w:ascii="Times New Roman" w:hAnsi="Times New Roman" w:cs="Times New Roman"/>
                <w:sz w:val="18"/>
                <w:szCs w:val="14"/>
                <w:lang w:val="ro-RO" w:eastAsia="de-DE"/>
              </w:rPr>
              <w:t>.</w:t>
            </w:r>
            <w:r w:rsidR="00973C88" w:rsidRPr="009C5F11">
              <w:rPr>
                <w:rFonts w:ascii="Times New Roman" w:hAnsi="Times New Roman" w:cs="Times New Roman"/>
                <w:sz w:val="18"/>
                <w:szCs w:val="14"/>
                <w:lang w:val="ro-RO" w:eastAsia="de-DE"/>
              </w:rPr>
              <w:t xml:space="preserve"> </w:t>
            </w:r>
            <w:r w:rsidR="00334DD0" w:rsidRPr="009C5F11">
              <w:rPr>
                <w:rFonts w:ascii="Times New Roman" w:hAnsi="Times New Roman" w:cs="Times New Roman"/>
                <w:sz w:val="18"/>
                <w:szCs w:val="14"/>
                <w:lang w:val="ro-RO" w:eastAsia="de-DE"/>
              </w:rPr>
              <w:t xml:space="preserve">În </w:t>
            </w:r>
            <w:r w:rsidRPr="009C5F11">
              <w:rPr>
                <w:rFonts w:ascii="Times New Roman" w:hAnsi="Times New Roman" w:cs="Times New Roman"/>
                <w:sz w:val="18"/>
                <w:szCs w:val="14"/>
                <w:lang w:val="ro-RO" w:eastAsia="de-DE"/>
              </w:rPr>
              <w:t>cadrul sprijinului</w:t>
            </w:r>
            <w:r w:rsidR="00973C88"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BERD</w:t>
            </w:r>
            <w:r w:rsidR="00973C88"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sunt prevăzute următoarele </w:t>
            </w:r>
            <w:r w:rsidR="008F7BD5" w:rsidRPr="009C5F11">
              <w:rPr>
                <w:rFonts w:ascii="Times New Roman" w:hAnsi="Times New Roman" w:cs="Times New Roman"/>
                <w:sz w:val="18"/>
                <w:szCs w:val="14"/>
                <w:lang w:val="ro-RO" w:eastAsia="de-DE"/>
              </w:rPr>
              <w:t>acţiuni</w:t>
            </w:r>
            <w:r w:rsidRPr="009C5F11">
              <w:rPr>
                <w:rFonts w:ascii="Times New Roman" w:hAnsi="Times New Roman" w:cs="Times New Roman"/>
                <w:sz w:val="18"/>
                <w:szCs w:val="14"/>
                <w:lang w:val="ro-RO" w:eastAsia="de-DE"/>
              </w:rPr>
              <w:t xml:space="preserve"> principal</w:t>
            </w:r>
            <w:r w:rsidR="008F7BD5" w:rsidRPr="009C5F11">
              <w:rPr>
                <w:rFonts w:ascii="Times New Roman" w:hAnsi="Times New Roman" w:cs="Times New Roman"/>
                <w:sz w:val="18"/>
                <w:szCs w:val="14"/>
                <w:lang w:val="ro-RO" w:eastAsia="de-DE"/>
              </w:rPr>
              <w:t>e</w:t>
            </w:r>
            <w:r w:rsidR="00886A5E"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care vor permite respectarea dispoziţiilor</w:t>
            </w:r>
            <w:r w:rsidR="00886A5E" w:rsidRPr="009C5F11">
              <w:rPr>
                <w:rFonts w:ascii="Times New Roman" w:hAnsi="Times New Roman" w:cs="Times New Roman"/>
                <w:sz w:val="18"/>
                <w:szCs w:val="14"/>
                <w:lang w:val="ro-RO" w:eastAsia="de-DE"/>
              </w:rPr>
              <w:t xml:space="preserve"> </w:t>
            </w:r>
            <w:r w:rsidR="00055095" w:rsidRPr="009C5F11">
              <w:rPr>
                <w:rFonts w:ascii="Times New Roman" w:hAnsi="Times New Roman" w:cs="Times New Roman"/>
                <w:sz w:val="18"/>
                <w:szCs w:val="14"/>
                <w:lang w:val="ro-RO" w:eastAsia="de-DE"/>
              </w:rPr>
              <w:t>Leg</w:t>
            </w:r>
            <w:r w:rsidRPr="009C5F11">
              <w:rPr>
                <w:rFonts w:ascii="Times New Roman" w:hAnsi="Times New Roman" w:cs="Times New Roman"/>
                <w:sz w:val="18"/>
                <w:szCs w:val="14"/>
                <w:lang w:val="ro-RO" w:eastAsia="de-DE"/>
              </w:rPr>
              <w:t>ii</w:t>
            </w:r>
            <w:r w:rsidR="00055095" w:rsidRPr="009C5F11">
              <w:rPr>
                <w:rFonts w:ascii="Times New Roman" w:hAnsi="Times New Roman" w:cs="Times New Roman"/>
                <w:sz w:val="18"/>
                <w:szCs w:val="14"/>
                <w:lang w:val="ro-RO" w:eastAsia="de-DE"/>
              </w:rPr>
              <w:t xml:space="preserve"> </w:t>
            </w:r>
            <w:r w:rsidR="00886A5E" w:rsidRPr="009C5F11">
              <w:rPr>
                <w:rFonts w:ascii="Times New Roman" w:hAnsi="Times New Roman" w:cs="Times New Roman"/>
                <w:sz w:val="18"/>
                <w:szCs w:val="14"/>
                <w:lang w:val="ro-RO" w:eastAsia="de-DE"/>
              </w:rPr>
              <w:t xml:space="preserve">128/2014 </w:t>
            </w:r>
            <w:r w:rsidRPr="009C5F11">
              <w:rPr>
                <w:rFonts w:ascii="Times New Roman" w:hAnsi="Times New Roman" w:cs="Times New Roman"/>
                <w:sz w:val="18"/>
                <w:szCs w:val="14"/>
                <w:lang w:val="ro-RO" w:eastAsia="de-DE"/>
              </w:rPr>
              <w:t>referitoare la întocmirea documentelor</w:t>
            </w:r>
            <w:r w:rsidR="00886A5E" w:rsidRPr="009C5F11">
              <w:rPr>
                <w:rFonts w:ascii="Times New Roman" w:hAnsi="Times New Roman" w:cs="Times New Roman"/>
                <w:sz w:val="18"/>
                <w:szCs w:val="14"/>
                <w:lang w:val="ro-RO" w:eastAsia="de-DE"/>
              </w:rPr>
              <w:t xml:space="preserve"> legislative </w:t>
            </w:r>
            <w:r w:rsidRPr="009C5F11">
              <w:rPr>
                <w:rFonts w:ascii="Times New Roman" w:hAnsi="Times New Roman" w:cs="Times New Roman"/>
                <w:sz w:val="18"/>
                <w:szCs w:val="14"/>
                <w:lang w:val="ro-RO" w:eastAsia="de-DE"/>
              </w:rPr>
              <w:t xml:space="preserve">până în anul </w:t>
            </w:r>
            <w:r w:rsidR="00886A5E" w:rsidRPr="009C5F11">
              <w:rPr>
                <w:rFonts w:ascii="Times New Roman" w:hAnsi="Times New Roman" w:cs="Times New Roman"/>
                <w:sz w:val="18"/>
                <w:szCs w:val="14"/>
                <w:lang w:val="ro-RO" w:eastAsia="de-DE"/>
              </w:rPr>
              <w:t xml:space="preserve">2017 </w:t>
            </w:r>
            <w:r w:rsidRPr="009C5F11">
              <w:rPr>
                <w:rFonts w:ascii="Times New Roman" w:hAnsi="Times New Roman" w:cs="Times New Roman"/>
                <w:sz w:val="18"/>
                <w:szCs w:val="14"/>
                <w:lang w:val="ro-RO" w:eastAsia="de-DE"/>
              </w:rPr>
              <w:t>şi</w:t>
            </w:r>
            <w:r w:rsidR="00886A5E" w:rsidRPr="009C5F11">
              <w:rPr>
                <w:rFonts w:ascii="Times New Roman" w:hAnsi="Times New Roman" w:cs="Times New Roman"/>
                <w:sz w:val="18"/>
                <w:szCs w:val="14"/>
                <w:lang w:val="ro-RO" w:eastAsia="de-DE"/>
              </w:rPr>
              <w:t xml:space="preserve"> </w:t>
            </w:r>
            <w:r w:rsidR="00532A33" w:rsidRPr="009C5F11">
              <w:rPr>
                <w:rFonts w:ascii="Times New Roman" w:hAnsi="Times New Roman" w:cs="Times New Roman"/>
                <w:sz w:val="18"/>
                <w:szCs w:val="14"/>
                <w:lang w:val="ro-RO" w:eastAsia="de-DE"/>
              </w:rPr>
              <w:t>implementarea</w:t>
            </w:r>
            <w:r w:rsidR="00886A5E"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acestora după anul</w:t>
            </w:r>
            <w:r w:rsidR="00886A5E" w:rsidRPr="009C5F11">
              <w:rPr>
                <w:rFonts w:ascii="Times New Roman" w:hAnsi="Times New Roman" w:cs="Times New Roman"/>
                <w:sz w:val="18"/>
                <w:szCs w:val="14"/>
                <w:lang w:val="ro-RO" w:eastAsia="de-DE"/>
              </w:rPr>
              <w:t xml:space="preserve"> 2017:</w:t>
            </w:r>
          </w:p>
          <w:p w14:paraId="33583954" w14:textId="77777777" w:rsidR="00936847" w:rsidRPr="009C5F11" w:rsidRDefault="00C55F0D" w:rsidP="00334F3B">
            <w:pPr>
              <w:numPr>
                <w:ilvl w:val="0"/>
                <w:numId w:val="67"/>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Întocmirea schemelor financiare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pe baza Studiului despre cele mai bune practici ale UE privind</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stimulentele financiare</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din</w:t>
            </w:r>
            <w:r w:rsidR="00936847" w:rsidRPr="009C5F11">
              <w:rPr>
                <w:rFonts w:ascii="Times New Roman" w:hAnsi="Times New Roman" w:cs="Times New Roman"/>
                <w:sz w:val="18"/>
                <w:szCs w:val="14"/>
                <w:lang w:val="ro-RO" w:eastAsia="de-DE"/>
              </w:rPr>
              <w:t xml:space="preserve"> </w:t>
            </w:r>
            <w:r w:rsidR="00D160E1" w:rsidRPr="009C5F11">
              <w:rPr>
                <w:rFonts w:ascii="Times New Roman" w:hAnsi="Times New Roman" w:cs="Times New Roman"/>
                <w:sz w:val="18"/>
                <w:szCs w:val="14"/>
                <w:lang w:val="ro-RO" w:eastAsia="de-DE"/>
              </w:rPr>
              <w:t>PEC</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experienţa </w:t>
            </w:r>
            <w:r w:rsidR="00421FA7" w:rsidRPr="009C5F11">
              <w:rPr>
                <w:rFonts w:ascii="Times New Roman" w:hAnsi="Times New Roman" w:cs="Times New Roman"/>
                <w:sz w:val="18"/>
                <w:szCs w:val="14"/>
                <w:lang w:val="ro-RO" w:eastAsia="de-DE"/>
              </w:rPr>
              <w:t>UE</w:t>
            </w:r>
            <w:r w:rsidR="00936847" w:rsidRPr="009C5F11">
              <w:rPr>
                <w:rFonts w:ascii="Times New Roman" w:hAnsi="Times New Roman" w:cs="Times New Roman"/>
                <w:sz w:val="18"/>
                <w:szCs w:val="14"/>
                <w:lang w:val="ro-RO" w:eastAsia="de-DE"/>
              </w:rPr>
              <w:t xml:space="preserve"> </w:t>
            </w:r>
            <w:r w:rsidR="00321CD5" w:rsidRPr="009C5F11">
              <w:rPr>
                <w:rFonts w:ascii="Times New Roman" w:hAnsi="Times New Roman" w:cs="Times New Roman"/>
                <w:sz w:val="18"/>
                <w:szCs w:val="14"/>
                <w:lang w:val="ro-RO" w:eastAsia="de-DE"/>
              </w:rPr>
              <w:t xml:space="preserve">şi </w:t>
            </w:r>
            <w:r w:rsidR="00936847" w:rsidRPr="009C5F11">
              <w:rPr>
                <w:rFonts w:ascii="Times New Roman" w:hAnsi="Times New Roman" w:cs="Times New Roman"/>
                <w:sz w:val="18"/>
                <w:szCs w:val="14"/>
                <w:lang w:val="ro-RO" w:eastAsia="de-DE"/>
              </w:rPr>
              <w:t>prop</w:t>
            </w:r>
            <w:r w:rsidRPr="009C5F11">
              <w:rPr>
                <w:rFonts w:ascii="Times New Roman" w:hAnsi="Times New Roman" w:cs="Times New Roman"/>
                <w:sz w:val="18"/>
                <w:szCs w:val="14"/>
                <w:lang w:val="ro-RO" w:eastAsia="de-DE"/>
              </w:rPr>
              <w:t xml:space="preserve">uneri pentru utilizarea </w:t>
            </w:r>
            <w:r w:rsidR="00321CD5" w:rsidRPr="009C5F11">
              <w:rPr>
                <w:rFonts w:ascii="Times New Roman" w:hAnsi="Times New Roman" w:cs="Times New Roman"/>
                <w:sz w:val="18"/>
                <w:szCs w:val="14"/>
                <w:lang w:val="ro-RO" w:eastAsia="de-DE"/>
              </w:rPr>
              <w:t xml:space="preserve">în </w:t>
            </w:r>
            <w:r w:rsidR="00936847" w:rsidRPr="009C5F11">
              <w:rPr>
                <w:rFonts w:ascii="Times New Roman" w:hAnsi="Times New Roman" w:cs="Times New Roman"/>
                <w:sz w:val="18"/>
                <w:szCs w:val="14"/>
                <w:lang w:val="ro-RO" w:eastAsia="de-DE"/>
              </w:rPr>
              <w:t xml:space="preserve">RM </w:t>
            </w:r>
            <w:r w:rsidRPr="009C5F11">
              <w:rPr>
                <w:rFonts w:ascii="Times New Roman" w:hAnsi="Times New Roman" w:cs="Times New Roman"/>
                <w:sz w:val="18"/>
                <w:szCs w:val="14"/>
                <w:lang w:val="ro-RO" w:eastAsia="de-DE"/>
              </w:rPr>
              <w:t>a practicilor de stimulente financiare</w:t>
            </w:r>
            <w:r w:rsidR="00936847" w:rsidRPr="009C5F11">
              <w:rPr>
                <w:rFonts w:ascii="Times New Roman" w:hAnsi="Times New Roman" w:cs="Times New Roman"/>
                <w:sz w:val="18"/>
                <w:szCs w:val="14"/>
                <w:lang w:val="ro-RO" w:eastAsia="de-DE"/>
              </w:rPr>
              <w:t>);</w:t>
            </w:r>
          </w:p>
          <w:p w14:paraId="5A9C2175" w14:textId="77777777" w:rsidR="00936847" w:rsidRPr="009C5F11" w:rsidRDefault="00C55F0D" w:rsidP="00334F3B">
            <w:pPr>
              <w:numPr>
                <w:ilvl w:val="0"/>
                <w:numId w:val="67"/>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Planul naţional de îmbunătăţire a performanţei energetice a clădirilor publice existente</w:t>
            </w:r>
            <w:r w:rsidR="00936847" w:rsidRPr="009C5F11">
              <w:rPr>
                <w:rFonts w:ascii="Times New Roman" w:hAnsi="Times New Roman" w:cs="Times New Roman"/>
                <w:sz w:val="18"/>
                <w:szCs w:val="14"/>
                <w:lang w:val="ro-RO" w:eastAsia="de-DE"/>
              </w:rPr>
              <w:t>;</w:t>
            </w:r>
          </w:p>
          <w:p w14:paraId="32BC6C75" w14:textId="77777777" w:rsidR="00936847" w:rsidRPr="009C5F11" w:rsidRDefault="00C55F0D" w:rsidP="00334F3B">
            <w:pPr>
              <w:numPr>
                <w:ilvl w:val="0"/>
                <w:numId w:val="67"/>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Planul naţional de îmbunătăţire a performanţei energetice a clădirilor rezidenţiale existente</w:t>
            </w:r>
            <w:r w:rsidR="00936847" w:rsidRPr="009C5F11">
              <w:rPr>
                <w:rFonts w:ascii="Times New Roman" w:hAnsi="Times New Roman" w:cs="Times New Roman"/>
                <w:sz w:val="18"/>
                <w:szCs w:val="14"/>
                <w:lang w:val="ro-RO" w:eastAsia="de-DE"/>
              </w:rPr>
              <w:t>;</w:t>
            </w:r>
          </w:p>
          <w:p w14:paraId="01998E03" w14:textId="77777777" w:rsidR="00936847" w:rsidRPr="009C5F11" w:rsidRDefault="00C55F0D" w:rsidP="00334F3B">
            <w:pPr>
              <w:numPr>
                <w:ilvl w:val="0"/>
                <w:numId w:val="6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Redactarea unui plan naţional de </w:t>
            </w:r>
            <w:r w:rsidR="00874EFD" w:rsidRPr="009C5F11">
              <w:rPr>
                <w:rFonts w:ascii="Times New Roman" w:hAnsi="Times New Roman" w:cs="Times New Roman"/>
                <w:sz w:val="18"/>
                <w:szCs w:val="14"/>
                <w:lang w:val="ro-RO" w:eastAsia="de-DE"/>
              </w:rPr>
              <w:t>creştere a numărului</w:t>
            </w:r>
            <w:r w:rsidRPr="009C5F11">
              <w:rPr>
                <w:rFonts w:ascii="Times New Roman" w:hAnsi="Times New Roman" w:cs="Times New Roman"/>
                <w:sz w:val="18"/>
                <w:szCs w:val="14"/>
                <w:lang w:val="ro-RO" w:eastAsia="de-DE"/>
              </w:rPr>
              <w:t xml:space="preserve"> de clădiri al căror consum energetic este aproape egal cu zero.</w:t>
            </w:r>
          </w:p>
          <w:p w14:paraId="7AE9C3D5" w14:textId="77777777" w:rsidR="00936847" w:rsidRPr="009C5F11" w:rsidRDefault="00C55F0D" w:rsidP="00430626">
            <w:pPr>
              <w:tabs>
                <w:tab w:val="left" w:pos="1440"/>
                <w:tab w:val="left" w:pos="5040"/>
                <w:tab w:val="right" w:pos="8504"/>
              </w:tabs>
              <w:spacing w:before="40" w:after="0" w:line="240" w:lineRule="auto"/>
              <w:jc w:val="both"/>
              <w:rPr>
                <w:rFonts w:ascii="Times New Roman" w:hAnsi="Times New Roman" w:cs="Times New Roman"/>
                <w:i/>
                <w:sz w:val="18"/>
                <w:szCs w:val="14"/>
                <w:lang w:val="ro-RO" w:eastAsia="de-DE"/>
              </w:rPr>
            </w:pPr>
            <w:r w:rsidRPr="009C5F11">
              <w:rPr>
                <w:rFonts w:ascii="Times New Roman" w:hAnsi="Times New Roman" w:cs="Times New Roman"/>
                <w:sz w:val="18"/>
                <w:szCs w:val="14"/>
                <w:u w:val="single"/>
                <w:lang w:val="ro-RO" w:eastAsia="de-DE"/>
              </w:rPr>
              <w:t>Principalele acţiuni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în conformitate cu</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i/>
                <w:sz w:val="18"/>
                <w:szCs w:val="14"/>
                <w:lang w:val="ro-RO" w:eastAsia="de-DE"/>
              </w:rPr>
              <w:t>“</w:t>
            </w:r>
            <w:r w:rsidRPr="009C5F11">
              <w:rPr>
                <w:rFonts w:ascii="Times New Roman" w:hAnsi="Times New Roman" w:cs="Times New Roman"/>
                <w:i/>
                <w:sz w:val="18"/>
                <w:szCs w:val="14"/>
                <w:lang w:val="ro-RO" w:eastAsia="de-DE"/>
              </w:rPr>
              <w:t>PLANUL DE ACŢIUNI privind armonizarea reglementărilor tehnice şi a standardelor naţionale în domeniul construcţiilor cu standardele europene pentru anii 2014-2020</w:t>
            </w:r>
            <w:r w:rsidR="00936847" w:rsidRPr="009C5F11">
              <w:rPr>
                <w:rFonts w:ascii="Times New Roman" w:hAnsi="Times New Roman" w:cs="Times New Roman"/>
                <w:i/>
                <w:sz w:val="18"/>
                <w:szCs w:val="14"/>
                <w:lang w:val="ro-RO" w:eastAsia="de-DE"/>
              </w:rPr>
              <w:t xml:space="preserve">” </w:t>
            </w:r>
          </w:p>
          <w:p w14:paraId="750AABCD"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00C55F0D" w:rsidRPr="009C5F11">
              <w:rPr>
                <w:rFonts w:ascii="Times New Roman" w:hAnsi="Times New Roman" w:cs="Times New Roman"/>
                <w:sz w:val="18"/>
                <w:szCs w:val="14"/>
                <w:lang w:val="ro-RO" w:eastAsia="de-DE"/>
              </w:rPr>
              <w:t>Hotărârea Guvernului</w:t>
            </w:r>
            <w:r w:rsidRPr="009C5F11">
              <w:rPr>
                <w:rFonts w:ascii="Times New Roman" w:hAnsi="Times New Roman" w:cs="Times New Roman"/>
                <w:sz w:val="18"/>
                <w:szCs w:val="14"/>
                <w:lang w:val="ro-RO" w:eastAsia="de-DE"/>
              </w:rPr>
              <w:t xml:space="preserve"> </w:t>
            </w:r>
            <w:r w:rsidR="00C55F0D" w:rsidRPr="009C5F11">
              <w:rPr>
                <w:rFonts w:ascii="Times New Roman" w:hAnsi="Times New Roman" w:cs="Times New Roman"/>
                <w:sz w:val="18"/>
                <w:szCs w:val="14"/>
                <w:lang w:val="ro-RO" w:eastAsia="de-DE"/>
              </w:rPr>
              <w:t xml:space="preserve">nr. </w:t>
            </w:r>
            <w:r w:rsidRPr="009C5F11">
              <w:rPr>
                <w:rFonts w:ascii="Times New Roman" w:hAnsi="Times New Roman" w:cs="Times New Roman"/>
                <w:sz w:val="18"/>
                <w:szCs w:val="14"/>
                <w:lang w:val="ro-RO" w:eastAsia="de-DE"/>
              </w:rPr>
              <w:t>933/12.11.2014):</w:t>
            </w:r>
          </w:p>
          <w:p w14:paraId="356DD2BB" w14:textId="77777777" w:rsidR="00936847" w:rsidRPr="009C5F11" w:rsidRDefault="00D07C8F" w:rsidP="00334F3B">
            <w:pPr>
              <w:numPr>
                <w:ilvl w:val="0"/>
                <w:numId w:val="68"/>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elaborarea Conceptului sistemului național de reglementare tehnică a construcțiilor în conformitate cu cele mai bune practici internaționale;</w:t>
            </w:r>
          </w:p>
          <w:p w14:paraId="513A2221" w14:textId="77777777" w:rsidR="00936847" w:rsidRPr="009C5F11" w:rsidRDefault="00936847" w:rsidP="00334F3B">
            <w:pPr>
              <w:numPr>
                <w:ilvl w:val="0"/>
                <w:numId w:val="68"/>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Transp</w:t>
            </w:r>
            <w:r w:rsidR="00D07C8F" w:rsidRPr="009C5F11">
              <w:rPr>
                <w:rFonts w:ascii="Times New Roman" w:hAnsi="Times New Roman" w:cs="Times New Roman"/>
                <w:sz w:val="18"/>
                <w:szCs w:val="14"/>
                <w:lang w:val="ro-RO" w:eastAsia="de-DE"/>
              </w:rPr>
              <w:t>unerea în dreptul naţional a actelor europene în domeniul construcţiilor şi al</w:t>
            </w:r>
            <w:r w:rsidR="001006C3" w:rsidRPr="009C5F11">
              <w:rPr>
                <w:rFonts w:ascii="Times New Roman" w:hAnsi="Times New Roman" w:cs="Times New Roman"/>
                <w:sz w:val="18"/>
                <w:szCs w:val="14"/>
                <w:lang w:val="ro-RO" w:eastAsia="de-DE"/>
              </w:rPr>
              <w:t>e</w:t>
            </w:r>
            <w:r w:rsidR="00D07C8F" w:rsidRPr="009C5F11">
              <w:rPr>
                <w:rFonts w:ascii="Times New Roman" w:hAnsi="Times New Roman" w:cs="Times New Roman"/>
                <w:sz w:val="18"/>
                <w:szCs w:val="14"/>
                <w:lang w:val="ro-RO" w:eastAsia="de-DE"/>
              </w:rPr>
              <w:t xml:space="preserve"> domeniilor conexe;</w:t>
            </w:r>
          </w:p>
          <w:p w14:paraId="3E3C2FCB" w14:textId="77777777" w:rsidR="00936847" w:rsidRPr="009C5F11" w:rsidRDefault="00D07C8F" w:rsidP="00334F3B">
            <w:pPr>
              <w:numPr>
                <w:ilvl w:val="0"/>
                <w:numId w:val="68"/>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Întocmirea unui program multianual de elaborare/ revizuire a reglementărilor tehnice în construcţii şi de armonizare a acestora cu standardele europene;</w:t>
            </w:r>
          </w:p>
          <w:p w14:paraId="2602567D" w14:textId="77777777" w:rsidR="00936847" w:rsidRPr="009C5F11" w:rsidRDefault="00607C20" w:rsidP="00334F3B">
            <w:pPr>
              <w:numPr>
                <w:ilvl w:val="0"/>
                <w:numId w:val="68"/>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w:t>
            </w:r>
            <w:r w:rsidR="00D07C8F" w:rsidRPr="009C5F11">
              <w:rPr>
                <w:rFonts w:ascii="Times New Roman" w:hAnsi="Times New Roman" w:cs="Times New Roman"/>
                <w:sz w:val="18"/>
                <w:szCs w:val="14"/>
                <w:lang w:val="ro-RO" w:eastAsia="de-DE"/>
              </w:rPr>
              <w:t>oil</w:t>
            </w:r>
            <w:r w:rsidRPr="009C5F11">
              <w:rPr>
                <w:rFonts w:ascii="Times New Roman" w:hAnsi="Times New Roman" w:cs="Times New Roman"/>
                <w:sz w:val="18"/>
                <w:szCs w:val="14"/>
                <w:lang w:val="ro-RO" w:eastAsia="de-DE"/>
              </w:rPr>
              <w:t>e</w:t>
            </w:r>
            <w:r w:rsidR="00D07C8F" w:rsidRPr="009C5F11">
              <w:rPr>
                <w:rFonts w:ascii="Times New Roman" w:hAnsi="Times New Roman" w:cs="Times New Roman"/>
                <w:sz w:val="18"/>
                <w:szCs w:val="14"/>
                <w:lang w:val="ro-RO" w:eastAsia="de-DE"/>
              </w:rPr>
              <w:t xml:space="preserve"> de parcurs pentru adoptarea și implementarea standardelor europene în domenii specifice (Eurocoduri – standarde europene pentru proiectarea structurilor; performanța energetică a clădirilor; securitate și sănătate pe șantiere etc.);</w:t>
            </w:r>
          </w:p>
          <w:p w14:paraId="42BCC7C9" w14:textId="77777777" w:rsidR="00936847" w:rsidRPr="009C5F11" w:rsidRDefault="00D07C8F" w:rsidP="00334F3B">
            <w:pPr>
              <w:numPr>
                <w:ilvl w:val="0"/>
                <w:numId w:val="68"/>
              </w:numPr>
              <w:tabs>
                <w:tab w:val="left" w:pos="702"/>
                <w:tab w:val="left" w:pos="5040"/>
                <w:tab w:val="right" w:pos="8504"/>
              </w:tabs>
              <w:spacing w:after="0" w:line="240" w:lineRule="auto"/>
              <w:jc w:val="both"/>
              <w:rPr>
                <w:rFonts w:ascii="Times New Roman" w:hAnsi="Times New Roman" w:cs="Times New Roman"/>
                <w:sz w:val="18"/>
                <w:szCs w:val="14"/>
                <w:lang w:val="ro-RO"/>
              </w:rPr>
            </w:pPr>
            <w:r w:rsidRPr="009C5F11">
              <w:rPr>
                <w:rFonts w:ascii="Times New Roman" w:hAnsi="Times New Roman" w:cs="Times New Roman"/>
                <w:sz w:val="18"/>
                <w:szCs w:val="14"/>
                <w:lang w:val="ro-RO" w:eastAsia="de-DE"/>
              </w:rPr>
              <w:t>Colaborarea cu Institutul Naţional de Standardizare în scopul adoptării standardelor europene în domeniul construcţiilor în calitate de standarde moldovene.</w:t>
            </w:r>
          </w:p>
          <w:p w14:paraId="5F4943B5" w14:textId="77777777" w:rsidR="00936847" w:rsidRPr="009C5F11" w:rsidRDefault="00C55F0D"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Principalele acţiuni</w:t>
            </w:r>
            <w:r w:rsidR="00936847" w:rsidRPr="009C5F11">
              <w:rPr>
                <w:rFonts w:ascii="Times New Roman" w:hAnsi="Times New Roman" w:cs="Times New Roman"/>
                <w:sz w:val="18"/>
                <w:szCs w:val="14"/>
                <w:u w:val="single"/>
                <w:lang w:val="ro-RO" w:eastAsia="de-DE"/>
              </w:rPr>
              <w:t xml:space="preserve"> </w:t>
            </w:r>
            <w:r w:rsidRPr="009C5F11">
              <w:rPr>
                <w:rFonts w:ascii="Times New Roman" w:hAnsi="Times New Roman" w:cs="Times New Roman"/>
                <w:sz w:val="18"/>
                <w:szCs w:val="14"/>
                <w:lang w:val="ro-RO" w:eastAsia="de-DE"/>
              </w:rPr>
              <w:t>în conformitate cu</w:t>
            </w:r>
            <w:r w:rsidR="00936847" w:rsidRPr="009C5F11">
              <w:rPr>
                <w:rFonts w:ascii="Times New Roman" w:hAnsi="Times New Roman" w:cs="Times New Roman"/>
                <w:sz w:val="18"/>
                <w:szCs w:val="14"/>
                <w:lang w:val="ro-RO" w:eastAsia="de-DE"/>
              </w:rPr>
              <w:t xml:space="preserve"> </w:t>
            </w:r>
            <w:r w:rsidR="00D07C8F" w:rsidRPr="009C5F11">
              <w:rPr>
                <w:rFonts w:ascii="Times New Roman" w:hAnsi="Times New Roman" w:cs="Times New Roman"/>
                <w:sz w:val="18"/>
                <w:szCs w:val="14"/>
                <w:lang w:val="ro-RO" w:eastAsia="de-DE"/>
              </w:rPr>
              <w:t>PROGRAMUL DE ACTIVITATE AL GUVERNULUI REPUBLICII MOLDOVA</w:t>
            </w:r>
            <w:r w:rsidR="00936847" w:rsidRPr="009C5F11">
              <w:rPr>
                <w:rFonts w:ascii="Times New Roman" w:hAnsi="Times New Roman" w:cs="Times New Roman"/>
                <w:sz w:val="18"/>
                <w:szCs w:val="14"/>
                <w:lang w:val="ro-RO" w:eastAsia="de-DE"/>
              </w:rPr>
              <w:t xml:space="preserve"> 2015-2018:</w:t>
            </w:r>
          </w:p>
          <w:p w14:paraId="18B760DB" w14:textId="77777777" w:rsidR="00936847" w:rsidRPr="009C5F11" w:rsidRDefault="00D07C8F" w:rsidP="00334F3B">
            <w:pPr>
              <w:numPr>
                <w:ilvl w:val="0"/>
                <w:numId w:val="69"/>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Promovarea cerinţelor</w:t>
            </w:r>
            <w:r w:rsidR="005E7974"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minime referitoare la performanţa energetică</w:t>
            </w:r>
            <w:r w:rsidR="004424A0" w:rsidRPr="009C5F11">
              <w:rPr>
                <w:rFonts w:ascii="Times New Roman" w:hAnsi="Times New Roman" w:cs="Times New Roman"/>
                <w:sz w:val="18"/>
                <w:szCs w:val="14"/>
                <w:lang w:val="ro-RO" w:eastAsia="de-DE"/>
              </w:rPr>
              <w:t xml:space="preserve"> a clădirilor</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elaborarea unui program naţional pentru reabilitarea termică a blocurilor locative</w:t>
            </w:r>
            <w:r w:rsidR="00936847" w:rsidRPr="009C5F11">
              <w:rPr>
                <w:rFonts w:ascii="Times New Roman" w:hAnsi="Times New Roman" w:cs="Times New Roman"/>
                <w:sz w:val="18"/>
                <w:szCs w:val="14"/>
                <w:lang w:val="ro-RO" w:eastAsia="de-DE"/>
              </w:rPr>
              <w:t>.</w:t>
            </w:r>
          </w:p>
          <w:p w14:paraId="4E0B6CD4" w14:textId="77777777" w:rsidR="00936847" w:rsidRPr="009C5F11" w:rsidRDefault="00D07C8F" w:rsidP="00430626">
            <w:pPr>
              <w:tabs>
                <w:tab w:val="left" w:pos="1440"/>
                <w:tab w:val="left" w:pos="5040"/>
                <w:tab w:val="right" w:pos="8504"/>
              </w:tabs>
              <w:spacing w:before="40" w:after="0" w:line="240" w:lineRule="auto"/>
              <w:ind w:left="1080" w:hanging="1080"/>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Reglementar</w:t>
            </w:r>
            <w:r w:rsidR="00607C20" w:rsidRPr="009C5F11">
              <w:rPr>
                <w:rFonts w:ascii="Times New Roman" w:hAnsi="Times New Roman" w:cs="Times New Roman"/>
                <w:sz w:val="18"/>
                <w:szCs w:val="14"/>
                <w:u w:val="single"/>
                <w:lang w:val="ro-RO" w:eastAsia="de-DE"/>
              </w:rPr>
              <w:t>i</w:t>
            </w:r>
            <w:r w:rsidRPr="009C5F11">
              <w:rPr>
                <w:rFonts w:ascii="Times New Roman" w:hAnsi="Times New Roman" w:cs="Times New Roman"/>
                <w:sz w:val="18"/>
                <w:szCs w:val="14"/>
                <w:u w:val="single"/>
                <w:lang w:val="ro-RO" w:eastAsia="de-DE"/>
              </w:rPr>
              <w:t xml:space="preserve"> de bază </w:t>
            </w:r>
            <w:r w:rsidR="00607C20" w:rsidRPr="009C5F11">
              <w:rPr>
                <w:rFonts w:ascii="Times New Roman" w:hAnsi="Times New Roman" w:cs="Times New Roman"/>
                <w:sz w:val="18"/>
                <w:szCs w:val="14"/>
                <w:u w:val="single"/>
                <w:lang w:val="ro-RO" w:eastAsia="de-DE"/>
              </w:rPr>
              <w:t>de</w:t>
            </w:r>
            <w:r w:rsidRPr="009C5F11">
              <w:rPr>
                <w:rFonts w:ascii="Times New Roman" w:hAnsi="Times New Roman" w:cs="Times New Roman"/>
                <w:sz w:val="18"/>
                <w:szCs w:val="14"/>
                <w:u w:val="single"/>
                <w:lang w:val="ro-RO" w:eastAsia="de-DE"/>
              </w:rPr>
              <w:t xml:space="preserve"> adopta</w:t>
            </w:r>
            <w:r w:rsidR="00607C20" w:rsidRPr="009C5F11">
              <w:rPr>
                <w:rFonts w:ascii="Times New Roman" w:hAnsi="Times New Roman" w:cs="Times New Roman"/>
                <w:sz w:val="18"/>
                <w:szCs w:val="14"/>
                <w:u w:val="single"/>
                <w:lang w:val="ro-RO" w:eastAsia="de-DE"/>
              </w:rPr>
              <w:t>t</w:t>
            </w:r>
            <w:r w:rsidR="00936847" w:rsidRPr="009C5F11">
              <w:rPr>
                <w:rFonts w:ascii="Times New Roman" w:hAnsi="Times New Roman" w:cs="Times New Roman"/>
                <w:sz w:val="18"/>
                <w:szCs w:val="14"/>
                <w:lang w:val="ro-RO" w:eastAsia="de-DE"/>
              </w:rPr>
              <w:t>:</w:t>
            </w:r>
          </w:p>
          <w:p w14:paraId="275ACE7E" w14:textId="77777777" w:rsidR="00936847" w:rsidRPr="009C5F11" w:rsidRDefault="00603237" w:rsidP="00334F3B">
            <w:pPr>
              <w:numPr>
                <w:ilvl w:val="0"/>
                <w:numId w:val="66"/>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Metodologia de calcul</w:t>
            </w:r>
            <w:r w:rsidR="00936847" w:rsidRPr="009C5F11">
              <w:rPr>
                <w:rFonts w:ascii="Times New Roman" w:hAnsi="Times New Roman" w:cs="Times New Roman"/>
                <w:sz w:val="18"/>
                <w:szCs w:val="14"/>
                <w:lang w:val="ro-RO" w:eastAsia="de-DE"/>
              </w:rPr>
              <w:t xml:space="preserve"> </w:t>
            </w:r>
            <w:r w:rsidR="00D07C8F" w:rsidRPr="009C5F11">
              <w:rPr>
                <w:rFonts w:ascii="Times New Roman" w:hAnsi="Times New Roman" w:cs="Times New Roman"/>
                <w:sz w:val="18"/>
                <w:szCs w:val="14"/>
                <w:lang w:val="ro-RO" w:eastAsia="de-DE"/>
              </w:rPr>
              <w:t>a</w:t>
            </w:r>
            <w:r w:rsidR="00936847" w:rsidRPr="009C5F11">
              <w:rPr>
                <w:rFonts w:ascii="Times New Roman" w:hAnsi="Times New Roman" w:cs="Times New Roman"/>
                <w:sz w:val="18"/>
                <w:szCs w:val="14"/>
                <w:lang w:val="ro-RO" w:eastAsia="de-DE"/>
              </w:rPr>
              <w:t xml:space="preserve"> </w:t>
            </w:r>
            <w:r w:rsidR="00D160E1" w:rsidRPr="009C5F11">
              <w:rPr>
                <w:rFonts w:ascii="Times New Roman" w:hAnsi="Times New Roman" w:cs="Times New Roman"/>
                <w:sz w:val="18"/>
                <w:szCs w:val="14"/>
                <w:lang w:val="ro-RO" w:eastAsia="de-DE"/>
              </w:rPr>
              <w:t>PEC</w:t>
            </w:r>
            <w:r w:rsidR="00936847" w:rsidRPr="009C5F11">
              <w:rPr>
                <w:rFonts w:ascii="Times New Roman" w:hAnsi="Times New Roman" w:cs="Times New Roman"/>
                <w:sz w:val="18"/>
                <w:szCs w:val="14"/>
                <w:lang w:val="ro-RO" w:eastAsia="de-DE"/>
              </w:rPr>
              <w:t xml:space="preserve"> </w:t>
            </w:r>
            <w:r w:rsidR="00D07C8F" w:rsidRPr="009C5F11">
              <w:rPr>
                <w:rFonts w:ascii="Times New Roman" w:hAnsi="Times New Roman" w:cs="Times New Roman"/>
                <w:sz w:val="18"/>
                <w:szCs w:val="14"/>
                <w:lang w:val="ro-RO" w:eastAsia="de-DE"/>
              </w:rPr>
              <w:t>pe baza evaluării depline a performanţei energetice</w:t>
            </w:r>
            <w:r w:rsidR="00936847" w:rsidRPr="009C5F11">
              <w:rPr>
                <w:rFonts w:ascii="Times New Roman" w:hAnsi="Times New Roman" w:cs="Times New Roman"/>
                <w:sz w:val="18"/>
                <w:szCs w:val="14"/>
                <w:lang w:val="ro-RO" w:eastAsia="de-DE"/>
              </w:rPr>
              <w:t xml:space="preserve"> (</w:t>
            </w:r>
            <w:r w:rsidR="008E0271" w:rsidRPr="009C5F11">
              <w:rPr>
                <w:rFonts w:ascii="Times New Roman" w:hAnsi="Times New Roman" w:cs="Times New Roman"/>
                <w:sz w:val="18"/>
                <w:szCs w:val="14"/>
                <w:lang w:val="ro-RO" w:eastAsia="de-DE"/>
              </w:rPr>
              <w:t xml:space="preserve">trimestrul </w:t>
            </w:r>
            <w:r w:rsidR="00800247" w:rsidRPr="009C5F11">
              <w:rPr>
                <w:rFonts w:ascii="Times New Roman" w:hAnsi="Times New Roman" w:cs="Times New Roman"/>
                <w:sz w:val="18"/>
                <w:szCs w:val="14"/>
                <w:lang w:val="ro-RO" w:eastAsia="de-DE"/>
              </w:rPr>
              <w:t>IV</w:t>
            </w:r>
            <w:r w:rsidR="00936847" w:rsidRPr="009C5F11">
              <w:rPr>
                <w:rFonts w:ascii="Times New Roman" w:hAnsi="Times New Roman" w:cs="Times New Roman"/>
                <w:sz w:val="18"/>
                <w:szCs w:val="14"/>
                <w:lang w:val="ro-RO" w:eastAsia="de-DE"/>
              </w:rPr>
              <w:t xml:space="preserve"> 2016</w:t>
            </w:r>
            <w:r w:rsidR="001C3036"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r w:rsidR="00607C20" w:rsidRPr="009C5F11">
              <w:rPr>
                <w:rFonts w:ascii="Times New Roman" w:hAnsi="Times New Roman" w:cs="Times New Roman"/>
                <w:sz w:val="18"/>
                <w:szCs w:val="14"/>
                <w:lang w:val="ro-RO" w:eastAsia="de-DE"/>
              </w:rPr>
              <w:t xml:space="preserve">cf. </w:t>
            </w:r>
            <w:r w:rsidR="00D07C8F" w:rsidRPr="009C5F11">
              <w:rPr>
                <w:rFonts w:ascii="Times New Roman" w:hAnsi="Times New Roman" w:cs="Times New Roman"/>
                <w:sz w:val="18"/>
                <w:szCs w:val="14"/>
                <w:lang w:val="ro-RO" w:eastAsia="de-DE"/>
              </w:rPr>
              <w:t>Foaia de parcurs</w:t>
            </w:r>
            <w:r w:rsidR="00936847" w:rsidRPr="009C5F11">
              <w:rPr>
                <w:rFonts w:ascii="Times New Roman" w:hAnsi="Times New Roman" w:cs="Times New Roman"/>
                <w:sz w:val="18"/>
                <w:szCs w:val="14"/>
                <w:lang w:val="ro-RO" w:eastAsia="de-DE"/>
              </w:rPr>
              <w:t>)</w:t>
            </w:r>
            <w:r w:rsidR="00D07C8F" w:rsidRPr="009C5F11">
              <w:rPr>
                <w:rFonts w:ascii="Times New Roman" w:hAnsi="Times New Roman" w:cs="Times New Roman"/>
                <w:sz w:val="18"/>
                <w:szCs w:val="14"/>
                <w:lang w:val="ro-RO" w:eastAsia="de-DE"/>
              </w:rPr>
              <w:t>;</w:t>
            </w:r>
          </w:p>
          <w:p w14:paraId="61B08A91" w14:textId="77777777" w:rsidR="00936847" w:rsidRPr="009C5F11" w:rsidRDefault="00D07C8F" w:rsidP="00334F3B">
            <w:pPr>
              <w:numPr>
                <w:ilvl w:val="0"/>
                <w:numId w:val="66"/>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lastRenderedPageBreak/>
              <w:t xml:space="preserve">Stabilirea cerinţelor </w:t>
            </w:r>
            <w:r w:rsidR="00936847" w:rsidRPr="009C5F11">
              <w:rPr>
                <w:rFonts w:ascii="Times New Roman" w:hAnsi="Times New Roman" w:cs="Times New Roman"/>
                <w:sz w:val="18"/>
                <w:szCs w:val="14"/>
                <w:lang w:val="ro-RO" w:eastAsia="de-DE"/>
              </w:rPr>
              <w:t>minim</w:t>
            </w:r>
            <w:r w:rsidRPr="009C5F11">
              <w:rPr>
                <w:rFonts w:ascii="Times New Roman" w:hAnsi="Times New Roman" w:cs="Times New Roman"/>
                <w:sz w:val="18"/>
                <w:szCs w:val="14"/>
                <w:lang w:val="ro-RO" w:eastAsia="de-DE"/>
              </w:rPr>
              <w:t xml:space="preserve">e pentru toate categoriile de clădiri şi pentru toate serviciile din construcţii pe baza </w:t>
            </w:r>
            <w:r w:rsidR="00E10BE5" w:rsidRPr="009C5F11">
              <w:rPr>
                <w:rFonts w:ascii="Times New Roman" w:hAnsi="Times New Roman" w:cs="Times New Roman"/>
                <w:sz w:val="18"/>
                <w:szCs w:val="14"/>
                <w:lang w:val="ro-RO" w:eastAsia="de-DE"/>
              </w:rPr>
              <w:t>rezultate</w:t>
            </w:r>
            <w:r w:rsidRPr="009C5F11">
              <w:rPr>
                <w:rFonts w:ascii="Times New Roman" w:hAnsi="Times New Roman" w:cs="Times New Roman"/>
                <w:sz w:val="18"/>
                <w:szCs w:val="14"/>
                <w:lang w:val="ro-RO" w:eastAsia="de-DE"/>
              </w:rPr>
              <w:t xml:space="preserve">lor obţinute din calcularea nivelului optim în termeni de costuri a performanţei energetice </w:t>
            </w:r>
            <w:r w:rsidR="00936847" w:rsidRPr="009C5F11">
              <w:rPr>
                <w:rFonts w:ascii="Times New Roman" w:hAnsi="Times New Roman" w:cs="Times New Roman"/>
                <w:sz w:val="18"/>
                <w:szCs w:val="14"/>
                <w:lang w:val="ro-RO" w:eastAsia="de-DE"/>
              </w:rPr>
              <w:t>(</w:t>
            </w:r>
            <w:r w:rsidR="008E0271" w:rsidRPr="009C5F11">
              <w:rPr>
                <w:rFonts w:ascii="Times New Roman" w:hAnsi="Times New Roman" w:cs="Times New Roman"/>
                <w:sz w:val="18"/>
                <w:szCs w:val="14"/>
                <w:lang w:val="ro-RO" w:eastAsia="de-DE"/>
              </w:rPr>
              <w:t xml:space="preserve">trimestrul </w:t>
            </w:r>
            <w:r w:rsidR="00800247" w:rsidRPr="009C5F11">
              <w:rPr>
                <w:rFonts w:ascii="Times New Roman" w:hAnsi="Times New Roman" w:cs="Times New Roman"/>
                <w:sz w:val="18"/>
                <w:szCs w:val="14"/>
                <w:lang w:val="ro-RO" w:eastAsia="de-DE"/>
              </w:rPr>
              <w:t>III</w:t>
            </w:r>
            <w:r w:rsidR="00936847" w:rsidRPr="009C5F11">
              <w:rPr>
                <w:rFonts w:ascii="Times New Roman" w:hAnsi="Times New Roman" w:cs="Times New Roman"/>
                <w:sz w:val="18"/>
                <w:szCs w:val="14"/>
                <w:lang w:val="ro-RO" w:eastAsia="de-DE"/>
              </w:rPr>
              <w:t xml:space="preserve"> 2017</w:t>
            </w:r>
            <w:r w:rsidR="001C3036"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r w:rsidR="00607C20" w:rsidRPr="009C5F11">
              <w:rPr>
                <w:rFonts w:ascii="Times New Roman" w:hAnsi="Times New Roman" w:cs="Times New Roman"/>
                <w:sz w:val="18"/>
                <w:szCs w:val="14"/>
                <w:lang w:val="ro-RO" w:eastAsia="de-DE"/>
              </w:rPr>
              <w:t xml:space="preserve">cf. </w:t>
            </w:r>
            <w:r w:rsidRPr="009C5F11">
              <w:rPr>
                <w:rFonts w:ascii="Times New Roman" w:hAnsi="Times New Roman" w:cs="Times New Roman"/>
                <w:sz w:val="18"/>
                <w:szCs w:val="14"/>
                <w:lang w:val="ro-RO" w:eastAsia="de-DE"/>
              </w:rPr>
              <w:t>Foaia de parcurs</w:t>
            </w:r>
            <w:r w:rsidR="00936847" w:rsidRPr="009C5F11">
              <w:rPr>
                <w:rFonts w:ascii="Times New Roman" w:hAnsi="Times New Roman" w:cs="Times New Roman"/>
                <w:sz w:val="18"/>
                <w:szCs w:val="14"/>
                <w:lang w:val="ro-RO" w:eastAsia="de-DE"/>
              </w:rPr>
              <w:t>)</w:t>
            </w:r>
            <w:r w:rsidR="001C3036" w:rsidRPr="009C5F11">
              <w:rPr>
                <w:rFonts w:ascii="Times New Roman" w:hAnsi="Times New Roman" w:cs="Times New Roman"/>
                <w:sz w:val="18"/>
                <w:szCs w:val="14"/>
                <w:lang w:val="ro-RO" w:eastAsia="de-DE"/>
              </w:rPr>
              <w:t>.</w:t>
            </w:r>
          </w:p>
          <w:p w14:paraId="4CC0D1DD"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p w14:paraId="1C3FE86C" w14:textId="77777777" w:rsidR="00936847" w:rsidRPr="009C5F11" w:rsidRDefault="00D07C8F" w:rsidP="00430626">
            <w:pPr>
              <w:tabs>
                <w:tab w:val="left" w:pos="1440"/>
                <w:tab w:val="left" w:pos="5040"/>
                <w:tab w:val="right" w:pos="8504"/>
              </w:tabs>
              <w:spacing w:after="0" w:line="240" w:lineRule="auto"/>
              <w:jc w:val="both"/>
              <w:rPr>
                <w:rFonts w:ascii="Times New Roman" w:hAnsi="Times New Roman" w:cs="Times New Roman"/>
                <w:b/>
                <w:sz w:val="18"/>
                <w:szCs w:val="14"/>
                <w:lang w:val="ro-RO"/>
              </w:rPr>
            </w:pPr>
            <w:r w:rsidRPr="009C5F11">
              <w:rPr>
                <w:rFonts w:ascii="Times New Roman" w:hAnsi="Times New Roman" w:cs="Times New Roman"/>
                <w:b/>
                <w:sz w:val="18"/>
                <w:szCs w:val="14"/>
                <w:lang w:val="ro-RO"/>
              </w:rPr>
              <w:t>STRATEGIA DE RENOVARE A CONSTRUCŢIILOR</w:t>
            </w:r>
          </w:p>
          <w:p w14:paraId="5AC4489B" w14:textId="77777777" w:rsidR="00936847" w:rsidRPr="009C5F11" w:rsidRDefault="00D07C8F" w:rsidP="00430626">
            <w:pPr>
              <w:tabs>
                <w:tab w:val="left" w:pos="1440"/>
                <w:tab w:val="left" w:pos="5040"/>
                <w:tab w:val="right" w:pos="8504"/>
              </w:tabs>
              <w:spacing w:after="0" w:line="240" w:lineRule="auto"/>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Strategia de renovare a construcţiilor este prevăzută de</w:t>
            </w:r>
            <w:r w:rsidR="00936847" w:rsidRPr="009C5F11">
              <w:rPr>
                <w:rFonts w:ascii="Times New Roman" w:hAnsi="Times New Roman" w:cs="Times New Roman"/>
                <w:sz w:val="18"/>
                <w:szCs w:val="14"/>
                <w:lang w:val="ro-RO"/>
              </w:rPr>
              <w:t xml:space="preserve"> </w:t>
            </w:r>
            <w:r w:rsidR="000A4CC7" w:rsidRPr="009C5F11">
              <w:rPr>
                <w:rFonts w:ascii="Times New Roman" w:hAnsi="Times New Roman" w:cs="Times New Roman"/>
                <w:sz w:val="18"/>
                <w:szCs w:val="14"/>
                <w:lang w:val="ro-RO"/>
              </w:rPr>
              <w:t>Articolul</w:t>
            </w:r>
            <w:r w:rsidR="00936847" w:rsidRPr="009C5F11">
              <w:rPr>
                <w:rFonts w:ascii="Times New Roman" w:hAnsi="Times New Roman" w:cs="Times New Roman"/>
                <w:sz w:val="18"/>
                <w:szCs w:val="14"/>
                <w:lang w:val="ro-RO"/>
              </w:rPr>
              <w:t xml:space="preserve"> 4 </w:t>
            </w:r>
            <w:r w:rsidR="00421FA7" w:rsidRPr="009C5F11">
              <w:rPr>
                <w:rFonts w:ascii="Times New Roman" w:hAnsi="Times New Roman" w:cs="Times New Roman"/>
                <w:sz w:val="18"/>
                <w:szCs w:val="14"/>
                <w:lang w:val="ro-RO"/>
              </w:rPr>
              <w:t>din DEE</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Părţile contractante</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stabilesc o strategie pe termen lung pentru mobilizarea investițiilor în renovarea stocului de clădiri rezidențiale și comerciale, atât publice, cât și private, existente la nivel național</w:t>
            </w:r>
            <w:r w:rsidR="00936847" w:rsidRPr="009C5F11">
              <w:rPr>
                <w:rFonts w:ascii="Times New Roman" w:hAnsi="Times New Roman" w:cs="Times New Roman"/>
                <w:sz w:val="18"/>
                <w:szCs w:val="14"/>
                <w:lang w:val="ro-RO"/>
              </w:rPr>
              <w:t xml:space="preserve">. </w:t>
            </w:r>
            <w:r w:rsidR="004E780C" w:rsidRPr="009C5F11">
              <w:rPr>
                <w:rFonts w:ascii="Times New Roman" w:hAnsi="Times New Roman" w:cs="Times New Roman"/>
                <w:sz w:val="18"/>
                <w:szCs w:val="14"/>
                <w:lang w:val="ro-RO"/>
              </w:rPr>
              <w:t>Prima versiune a S</w:t>
            </w:r>
            <w:r w:rsidR="00936847" w:rsidRPr="009C5F11">
              <w:rPr>
                <w:rFonts w:ascii="Times New Roman" w:hAnsi="Times New Roman" w:cs="Times New Roman"/>
                <w:sz w:val="18"/>
                <w:szCs w:val="14"/>
                <w:lang w:val="ro-RO"/>
              </w:rPr>
              <w:t>trateg</w:t>
            </w:r>
            <w:r w:rsidR="004E780C" w:rsidRPr="009C5F11">
              <w:rPr>
                <w:rFonts w:ascii="Times New Roman" w:hAnsi="Times New Roman" w:cs="Times New Roman"/>
                <w:sz w:val="18"/>
                <w:szCs w:val="14"/>
                <w:lang w:val="ro-RO"/>
              </w:rPr>
              <w:t xml:space="preserve">iei urmează a fi publicată până la </w:t>
            </w:r>
            <w:r w:rsidR="00936847" w:rsidRPr="009C5F11">
              <w:rPr>
                <w:rFonts w:ascii="Times New Roman" w:hAnsi="Times New Roman" w:cs="Times New Roman"/>
                <w:sz w:val="18"/>
                <w:szCs w:val="14"/>
                <w:lang w:val="ro-RO"/>
              </w:rPr>
              <w:t xml:space="preserve">30 </w:t>
            </w:r>
            <w:r w:rsidR="000A4CC7" w:rsidRPr="009C5F11">
              <w:rPr>
                <w:rFonts w:ascii="Times New Roman" w:hAnsi="Times New Roman" w:cs="Times New Roman"/>
                <w:sz w:val="18"/>
                <w:szCs w:val="14"/>
                <w:lang w:val="ro-RO"/>
              </w:rPr>
              <w:t>iunie</w:t>
            </w:r>
            <w:r w:rsidR="00936847" w:rsidRPr="009C5F11">
              <w:rPr>
                <w:rFonts w:ascii="Times New Roman" w:hAnsi="Times New Roman" w:cs="Times New Roman"/>
                <w:sz w:val="18"/>
                <w:szCs w:val="14"/>
                <w:lang w:val="ro-RO"/>
              </w:rPr>
              <w:t xml:space="preserve"> 2017.</w:t>
            </w:r>
          </w:p>
          <w:p w14:paraId="37224630" w14:textId="77777777" w:rsidR="00936847" w:rsidRPr="009C5F11" w:rsidRDefault="004E780C" w:rsidP="00430626">
            <w:pPr>
              <w:tabs>
                <w:tab w:val="left" w:pos="1440"/>
                <w:tab w:val="left" w:pos="5040"/>
                <w:tab w:val="right" w:pos="8504"/>
              </w:tabs>
              <w:spacing w:after="0" w:line="240" w:lineRule="auto"/>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Vor fi desfăşurate următoarele</w:t>
            </w:r>
            <w:r w:rsidR="00936847" w:rsidRPr="009C5F11">
              <w:rPr>
                <w:rFonts w:ascii="Times New Roman" w:hAnsi="Times New Roman" w:cs="Times New Roman"/>
                <w:sz w:val="18"/>
                <w:szCs w:val="14"/>
                <w:lang w:val="ro-RO"/>
              </w:rPr>
              <w:t xml:space="preserve"> </w:t>
            </w:r>
            <w:r w:rsidR="008F7BD5" w:rsidRPr="009C5F11">
              <w:rPr>
                <w:rFonts w:ascii="Times New Roman" w:hAnsi="Times New Roman" w:cs="Times New Roman"/>
                <w:sz w:val="18"/>
                <w:szCs w:val="14"/>
                <w:lang w:val="ro-RO"/>
              </w:rPr>
              <w:t>acţiuni</w:t>
            </w:r>
            <w:r w:rsidRPr="009C5F11">
              <w:rPr>
                <w:rFonts w:ascii="Times New Roman" w:hAnsi="Times New Roman" w:cs="Times New Roman"/>
                <w:sz w:val="18"/>
                <w:szCs w:val="14"/>
                <w:lang w:val="ro-RO"/>
              </w:rPr>
              <w:t xml:space="preserve">, iar ulterior </w:t>
            </w:r>
            <w:r w:rsidR="00E10BE5" w:rsidRPr="009C5F11">
              <w:rPr>
                <w:rFonts w:ascii="Times New Roman" w:hAnsi="Times New Roman" w:cs="Times New Roman"/>
                <w:sz w:val="18"/>
                <w:szCs w:val="14"/>
                <w:lang w:val="ro-RO"/>
              </w:rPr>
              <w:t>rezultate</w:t>
            </w:r>
            <w:r w:rsidR="008474DB" w:rsidRPr="009C5F11">
              <w:rPr>
                <w:rFonts w:ascii="Times New Roman" w:hAnsi="Times New Roman" w:cs="Times New Roman"/>
                <w:sz w:val="18"/>
                <w:szCs w:val="14"/>
                <w:lang w:val="ro-RO"/>
              </w:rPr>
              <w:t>le</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 xml:space="preserve">vor fi </w:t>
            </w:r>
            <w:r w:rsidR="00936847" w:rsidRPr="009C5F11">
              <w:rPr>
                <w:rFonts w:ascii="Times New Roman" w:hAnsi="Times New Roman" w:cs="Times New Roman"/>
                <w:sz w:val="18"/>
                <w:szCs w:val="14"/>
                <w:lang w:val="ro-RO"/>
              </w:rPr>
              <w:t>integrate</w:t>
            </w:r>
            <w:r w:rsidRPr="009C5F11">
              <w:rPr>
                <w:rFonts w:ascii="Times New Roman" w:hAnsi="Times New Roman" w:cs="Times New Roman"/>
                <w:sz w:val="18"/>
                <w:szCs w:val="14"/>
                <w:lang w:val="ro-RO"/>
              </w:rPr>
              <w:t xml:space="preserve"> în strategia de renovare prevăzută </w:t>
            </w:r>
            <w:r w:rsidR="001C3036" w:rsidRPr="009C5F11">
              <w:rPr>
                <w:rFonts w:ascii="Times New Roman" w:hAnsi="Times New Roman" w:cs="Times New Roman"/>
                <w:sz w:val="18"/>
                <w:szCs w:val="14"/>
                <w:lang w:val="ro-RO"/>
              </w:rPr>
              <w:t>la</w:t>
            </w:r>
            <w:r w:rsidR="00936847" w:rsidRPr="009C5F11">
              <w:rPr>
                <w:rFonts w:ascii="Times New Roman" w:hAnsi="Times New Roman" w:cs="Times New Roman"/>
                <w:sz w:val="18"/>
                <w:szCs w:val="14"/>
                <w:lang w:val="ro-RO"/>
              </w:rPr>
              <w:t xml:space="preserve"> </w:t>
            </w:r>
            <w:r w:rsidR="000A4CC7" w:rsidRPr="009C5F11">
              <w:rPr>
                <w:rFonts w:ascii="Times New Roman" w:hAnsi="Times New Roman" w:cs="Times New Roman"/>
                <w:sz w:val="18"/>
                <w:szCs w:val="14"/>
                <w:lang w:val="ro-RO"/>
              </w:rPr>
              <w:t>Articolul</w:t>
            </w:r>
            <w:r w:rsidR="00936847" w:rsidRPr="009C5F11">
              <w:rPr>
                <w:rFonts w:ascii="Times New Roman" w:hAnsi="Times New Roman" w:cs="Times New Roman"/>
                <w:sz w:val="18"/>
                <w:szCs w:val="14"/>
                <w:lang w:val="ro-RO"/>
              </w:rPr>
              <w:t xml:space="preserve"> 4 </w:t>
            </w:r>
            <w:r w:rsidR="00421FA7" w:rsidRPr="009C5F11">
              <w:rPr>
                <w:rFonts w:ascii="Times New Roman" w:hAnsi="Times New Roman" w:cs="Times New Roman"/>
                <w:sz w:val="18"/>
                <w:szCs w:val="14"/>
                <w:lang w:val="ro-RO"/>
              </w:rPr>
              <w:t>din DEE</w:t>
            </w:r>
            <w:r w:rsidR="00936847" w:rsidRPr="009C5F11">
              <w:rPr>
                <w:rFonts w:ascii="Times New Roman" w:hAnsi="Times New Roman" w:cs="Times New Roman"/>
                <w:sz w:val="18"/>
                <w:szCs w:val="14"/>
                <w:lang w:val="ro-RO"/>
              </w:rPr>
              <w:t xml:space="preserve">. </w:t>
            </w:r>
          </w:p>
          <w:p w14:paraId="38EB7E26" w14:textId="77777777" w:rsidR="00936847" w:rsidRPr="009C5F11" w:rsidRDefault="00936847" w:rsidP="00334F3B">
            <w:pPr>
              <w:numPr>
                <w:ilvl w:val="0"/>
                <w:numId w:val="62"/>
              </w:numPr>
              <w:tabs>
                <w:tab w:val="left" w:pos="702"/>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b/>
                <w:sz w:val="18"/>
                <w:szCs w:val="14"/>
                <w:lang w:val="ro-RO"/>
              </w:rPr>
              <w:t>Invent</w:t>
            </w:r>
            <w:r w:rsidR="004E780C" w:rsidRPr="009C5F11">
              <w:rPr>
                <w:rFonts w:ascii="Times New Roman" w:hAnsi="Times New Roman" w:cs="Times New Roman"/>
                <w:b/>
                <w:sz w:val="18"/>
                <w:szCs w:val="14"/>
                <w:lang w:val="ro-RO"/>
              </w:rPr>
              <w:t xml:space="preserve">arierea </w:t>
            </w:r>
            <w:r w:rsidR="001C3036" w:rsidRPr="009C5F11">
              <w:rPr>
                <w:rFonts w:ascii="Times New Roman" w:hAnsi="Times New Roman" w:cs="Times New Roman"/>
                <w:sz w:val="18"/>
                <w:szCs w:val="14"/>
                <w:lang w:val="ro-RO"/>
              </w:rPr>
              <w:t xml:space="preserve">separată a </w:t>
            </w:r>
            <w:r w:rsidR="004E780C" w:rsidRPr="009C5F11">
              <w:rPr>
                <w:rFonts w:ascii="Times New Roman" w:hAnsi="Times New Roman" w:cs="Times New Roman"/>
                <w:b/>
                <w:sz w:val="18"/>
                <w:szCs w:val="14"/>
                <w:lang w:val="ro-RO"/>
              </w:rPr>
              <w:t xml:space="preserve">stocului de </w:t>
            </w:r>
            <w:r w:rsidR="00693850" w:rsidRPr="009C5F11">
              <w:rPr>
                <w:rFonts w:ascii="Times New Roman" w:hAnsi="Times New Roman" w:cs="Times New Roman"/>
                <w:b/>
                <w:sz w:val="18"/>
                <w:szCs w:val="14"/>
                <w:lang w:val="ro-RO"/>
              </w:rPr>
              <w:t>clădiri</w:t>
            </w:r>
            <w:r w:rsidRPr="009C5F11">
              <w:rPr>
                <w:rFonts w:ascii="Times New Roman" w:hAnsi="Times New Roman" w:cs="Times New Roman"/>
                <w:sz w:val="18"/>
                <w:szCs w:val="14"/>
                <w:lang w:val="ro-RO"/>
              </w:rPr>
              <w:t xml:space="preserve"> (public</w:t>
            </w:r>
            <w:r w:rsidR="004E780C" w:rsidRPr="009C5F11">
              <w:rPr>
                <w:rFonts w:ascii="Times New Roman" w:hAnsi="Times New Roman" w:cs="Times New Roman"/>
                <w:sz w:val="18"/>
                <w:szCs w:val="14"/>
                <w:lang w:val="ro-RO"/>
              </w:rPr>
              <w:t>e</w:t>
            </w:r>
            <w:r w:rsidR="00321CD5" w:rsidRPr="009C5F11">
              <w:rPr>
                <w:rFonts w:ascii="Times New Roman" w:hAnsi="Times New Roman" w:cs="Times New Roman"/>
                <w:sz w:val="18"/>
                <w:szCs w:val="14"/>
                <w:lang w:val="ro-RO"/>
              </w:rPr>
              <w:t xml:space="preserve"> şi </w:t>
            </w:r>
            <w:r w:rsidR="00AB1710" w:rsidRPr="009C5F11">
              <w:rPr>
                <w:rFonts w:ascii="Times New Roman" w:hAnsi="Times New Roman" w:cs="Times New Roman"/>
                <w:sz w:val="18"/>
                <w:szCs w:val="14"/>
                <w:lang w:val="ro-RO"/>
              </w:rPr>
              <w:t>rezidenţial</w:t>
            </w:r>
            <w:r w:rsidR="004E780C" w:rsidRPr="009C5F11">
              <w:rPr>
                <w:rFonts w:ascii="Times New Roman" w:hAnsi="Times New Roman" w:cs="Times New Roman"/>
                <w:sz w:val="18"/>
                <w:szCs w:val="14"/>
                <w:lang w:val="ro-RO"/>
              </w:rPr>
              <w:t>e</w:t>
            </w:r>
            <w:r w:rsidRPr="009C5F11">
              <w:rPr>
                <w:rFonts w:ascii="Times New Roman" w:hAnsi="Times New Roman" w:cs="Times New Roman"/>
                <w:sz w:val="18"/>
                <w:szCs w:val="14"/>
                <w:lang w:val="ro-RO"/>
              </w:rPr>
              <w:t xml:space="preserve">, </w:t>
            </w:r>
            <w:r w:rsidR="004E780C" w:rsidRPr="009C5F11">
              <w:rPr>
                <w:rFonts w:ascii="Times New Roman" w:hAnsi="Times New Roman" w:cs="Times New Roman"/>
                <w:sz w:val="18"/>
                <w:szCs w:val="14"/>
                <w:lang w:val="ro-RO"/>
              </w:rPr>
              <w:t xml:space="preserve">suprafaţa şi </w:t>
            </w:r>
            <w:r w:rsidR="0087273F" w:rsidRPr="009C5F11">
              <w:rPr>
                <w:rFonts w:ascii="Times New Roman" w:hAnsi="Times New Roman" w:cs="Times New Roman"/>
                <w:sz w:val="18"/>
                <w:szCs w:val="14"/>
                <w:lang w:val="ro-RO"/>
              </w:rPr>
              <w:t>performanța</w:t>
            </w:r>
            <w:r w:rsidR="004E780C" w:rsidRPr="009C5F11">
              <w:rPr>
                <w:rFonts w:ascii="Times New Roman" w:hAnsi="Times New Roman" w:cs="Times New Roman"/>
                <w:sz w:val="18"/>
                <w:szCs w:val="14"/>
                <w:lang w:val="ro-RO"/>
              </w:rPr>
              <w:t xml:space="preserve"> energetică</w:t>
            </w:r>
            <w:r w:rsidRPr="009C5F11">
              <w:rPr>
                <w:rFonts w:ascii="Times New Roman" w:hAnsi="Times New Roman" w:cs="Times New Roman"/>
                <w:sz w:val="18"/>
                <w:szCs w:val="14"/>
                <w:lang w:val="ro-RO"/>
              </w:rPr>
              <w:t>, ca</w:t>
            </w:r>
            <w:r w:rsidR="004E780C" w:rsidRPr="009C5F11">
              <w:rPr>
                <w:rFonts w:ascii="Times New Roman" w:hAnsi="Times New Roman" w:cs="Times New Roman"/>
                <w:sz w:val="18"/>
                <w:szCs w:val="14"/>
                <w:lang w:val="ro-RO"/>
              </w:rPr>
              <w:t>zurile de scutire de la renovare sau de la măsurile de renovare ar trebui limitate în mod rezonabil</w:t>
            </w:r>
            <w:r w:rsidRPr="009C5F11">
              <w:rPr>
                <w:rFonts w:ascii="Times New Roman" w:hAnsi="Times New Roman" w:cs="Times New Roman"/>
                <w:sz w:val="18"/>
                <w:szCs w:val="14"/>
                <w:lang w:val="ro-RO"/>
              </w:rPr>
              <w:t>)</w:t>
            </w:r>
            <w:r w:rsidR="001C3036" w:rsidRPr="009C5F11">
              <w:rPr>
                <w:rFonts w:ascii="Times New Roman" w:hAnsi="Times New Roman" w:cs="Times New Roman"/>
                <w:sz w:val="18"/>
                <w:szCs w:val="14"/>
                <w:lang w:val="ro-RO"/>
              </w:rPr>
              <w:t>,</w:t>
            </w:r>
            <w:r w:rsidR="004E780C" w:rsidRPr="009C5F11">
              <w:rPr>
                <w:rFonts w:ascii="Times New Roman" w:hAnsi="Times New Roman" w:cs="Times New Roman"/>
                <w:sz w:val="18"/>
                <w:szCs w:val="14"/>
                <w:lang w:val="ro-RO"/>
              </w:rPr>
              <w:t xml:space="preserve"> dar în coordo</w:t>
            </w:r>
            <w:r w:rsidRPr="009C5F11">
              <w:rPr>
                <w:rFonts w:ascii="Times New Roman" w:hAnsi="Times New Roman" w:cs="Times New Roman"/>
                <w:sz w:val="18"/>
                <w:szCs w:val="14"/>
                <w:lang w:val="ro-RO"/>
              </w:rPr>
              <w:t>na</w:t>
            </w:r>
            <w:r w:rsidR="004E780C" w:rsidRPr="009C5F11">
              <w:rPr>
                <w:rFonts w:ascii="Times New Roman" w:hAnsi="Times New Roman" w:cs="Times New Roman"/>
                <w:sz w:val="18"/>
                <w:szCs w:val="14"/>
                <w:lang w:val="ro-RO"/>
              </w:rPr>
              <w:t xml:space="preserve">re cu inventarierea prevăzută la </w:t>
            </w:r>
            <w:r w:rsidR="000A4CC7" w:rsidRPr="009C5F11">
              <w:rPr>
                <w:rFonts w:ascii="Times New Roman" w:hAnsi="Times New Roman" w:cs="Times New Roman"/>
                <w:sz w:val="18"/>
                <w:szCs w:val="14"/>
                <w:lang w:val="ro-RO"/>
              </w:rPr>
              <w:t>Articolul</w:t>
            </w:r>
            <w:r w:rsidRPr="009C5F11">
              <w:rPr>
                <w:rFonts w:ascii="Times New Roman" w:hAnsi="Times New Roman" w:cs="Times New Roman"/>
                <w:sz w:val="18"/>
                <w:szCs w:val="14"/>
                <w:lang w:val="ro-RO"/>
              </w:rPr>
              <w:t xml:space="preserve"> 5 </w:t>
            </w:r>
            <w:r w:rsidR="00421FA7" w:rsidRPr="009C5F11">
              <w:rPr>
                <w:rFonts w:ascii="Times New Roman" w:hAnsi="Times New Roman" w:cs="Times New Roman"/>
                <w:sz w:val="18"/>
                <w:szCs w:val="14"/>
                <w:lang w:val="ro-RO"/>
              </w:rPr>
              <w:t>din DEE</w:t>
            </w:r>
            <w:r w:rsidRPr="009C5F11">
              <w:rPr>
                <w:rFonts w:ascii="Times New Roman" w:hAnsi="Times New Roman" w:cs="Times New Roman"/>
                <w:sz w:val="18"/>
                <w:szCs w:val="14"/>
                <w:lang w:val="ro-RO"/>
              </w:rPr>
              <w:t>.</w:t>
            </w:r>
          </w:p>
          <w:p w14:paraId="3D53420F" w14:textId="77777777" w:rsidR="00936847" w:rsidRPr="009C5F11" w:rsidRDefault="00B40A7C" w:rsidP="00334F3B">
            <w:pPr>
              <w:numPr>
                <w:ilvl w:val="0"/>
                <w:numId w:val="62"/>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Monitorizarea</w:t>
            </w:r>
            <w:r w:rsidR="00936847" w:rsidRPr="009C5F11">
              <w:rPr>
                <w:rFonts w:ascii="Times New Roman" w:hAnsi="Times New Roman" w:cs="Times New Roman"/>
                <w:sz w:val="18"/>
                <w:szCs w:val="14"/>
                <w:lang w:val="ro-RO"/>
              </w:rPr>
              <w:t xml:space="preserve"> + </w:t>
            </w:r>
            <w:r w:rsidR="004E780C" w:rsidRPr="009C5F11">
              <w:rPr>
                <w:rFonts w:ascii="Times New Roman" w:hAnsi="Times New Roman" w:cs="Times New Roman"/>
                <w:b/>
                <w:sz w:val="18"/>
                <w:szCs w:val="14"/>
                <w:lang w:val="ro-RO"/>
              </w:rPr>
              <w:t>Foaia de parcurs</w:t>
            </w:r>
            <w:r w:rsidR="00936847" w:rsidRPr="009C5F11">
              <w:rPr>
                <w:rFonts w:ascii="Times New Roman" w:hAnsi="Times New Roman" w:cs="Times New Roman"/>
                <w:b/>
                <w:sz w:val="18"/>
                <w:szCs w:val="14"/>
                <w:lang w:val="ro-RO"/>
              </w:rPr>
              <w:t xml:space="preserve"> </w:t>
            </w:r>
            <w:r w:rsidR="004E780C" w:rsidRPr="009C5F11">
              <w:rPr>
                <w:rFonts w:ascii="Times New Roman" w:hAnsi="Times New Roman" w:cs="Times New Roman"/>
                <w:sz w:val="18"/>
                <w:szCs w:val="14"/>
                <w:lang w:val="ro-RO"/>
              </w:rPr>
              <w:t>pentru renovarea clădirilor publice;</w:t>
            </w:r>
          </w:p>
          <w:p w14:paraId="3E1A1383" w14:textId="77777777" w:rsidR="00936847" w:rsidRPr="009C5F11" w:rsidRDefault="004E780C" w:rsidP="00334F3B">
            <w:pPr>
              <w:numPr>
                <w:ilvl w:val="0"/>
                <w:numId w:val="62"/>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Cerinţele obligatorii</w:t>
            </w:r>
            <w:r w:rsidR="00936847" w:rsidRPr="009C5F11">
              <w:rPr>
                <w:rFonts w:ascii="Times New Roman" w:hAnsi="Times New Roman" w:cs="Times New Roman"/>
                <w:sz w:val="18"/>
                <w:szCs w:val="14"/>
                <w:lang w:val="ro-RO"/>
              </w:rPr>
              <w:t xml:space="preserve"> </w:t>
            </w:r>
            <w:r w:rsidR="008474DB" w:rsidRPr="009C5F11">
              <w:rPr>
                <w:rFonts w:ascii="Times New Roman" w:hAnsi="Times New Roman" w:cs="Times New Roman"/>
                <w:sz w:val="18"/>
                <w:szCs w:val="14"/>
                <w:lang w:val="ro-RO"/>
              </w:rPr>
              <w:t>prin</w:t>
            </w:r>
            <w:r w:rsidRPr="009C5F11">
              <w:rPr>
                <w:rFonts w:ascii="Times New Roman" w:hAnsi="Times New Roman" w:cs="Times New Roman"/>
                <w:sz w:val="18"/>
                <w:szCs w:val="14"/>
                <w:lang w:val="ro-RO"/>
              </w:rPr>
              <w:t xml:space="preserve"> reg</w:t>
            </w:r>
            <w:r w:rsidR="008474DB" w:rsidRPr="009C5F11">
              <w:rPr>
                <w:rFonts w:ascii="Times New Roman" w:hAnsi="Times New Roman" w:cs="Times New Roman"/>
                <w:sz w:val="18"/>
                <w:szCs w:val="14"/>
                <w:lang w:val="ro-RO"/>
              </w:rPr>
              <w:t>lementare</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b/>
                <w:sz w:val="18"/>
                <w:szCs w:val="14"/>
                <w:lang w:val="ro-RO"/>
              </w:rPr>
              <w:t>performanţa energetică minimă</w:t>
            </w:r>
            <w:r w:rsidR="00936847" w:rsidRPr="009C5F11">
              <w:rPr>
                <w:rFonts w:ascii="Times New Roman" w:hAnsi="Times New Roman" w:cs="Times New Roman"/>
                <w:sz w:val="18"/>
                <w:szCs w:val="14"/>
                <w:lang w:val="ro-RO"/>
              </w:rPr>
              <w:t>)</w:t>
            </w:r>
            <w:r w:rsidR="001C3036" w:rsidRPr="009C5F11">
              <w:rPr>
                <w:rFonts w:ascii="Times New Roman" w:hAnsi="Times New Roman" w:cs="Times New Roman"/>
                <w:sz w:val="18"/>
                <w:szCs w:val="14"/>
                <w:lang w:val="ro-RO"/>
              </w:rPr>
              <w:t>;</w:t>
            </w:r>
          </w:p>
          <w:p w14:paraId="096B6F2C" w14:textId="77777777" w:rsidR="00936847" w:rsidRPr="009C5F11" w:rsidRDefault="004E780C" w:rsidP="00334F3B">
            <w:pPr>
              <w:numPr>
                <w:ilvl w:val="0"/>
                <w:numId w:val="62"/>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b/>
                <w:sz w:val="18"/>
                <w:szCs w:val="14"/>
                <w:lang w:val="ro-RO"/>
              </w:rPr>
              <w:t>Stimulente financiare</w:t>
            </w:r>
            <w:r w:rsidR="00936847" w:rsidRPr="009C5F11">
              <w:rPr>
                <w:rFonts w:ascii="Times New Roman" w:hAnsi="Times New Roman" w:cs="Times New Roman"/>
                <w:b/>
                <w:sz w:val="18"/>
                <w:szCs w:val="14"/>
                <w:lang w:val="ro-RO"/>
              </w:rPr>
              <w:t xml:space="preserve"> </w:t>
            </w:r>
            <w:r w:rsidRPr="009C5F11">
              <w:rPr>
                <w:rFonts w:ascii="Times New Roman" w:hAnsi="Times New Roman" w:cs="Times New Roman"/>
                <w:b/>
                <w:sz w:val="18"/>
                <w:szCs w:val="14"/>
                <w:lang w:val="ro-RO"/>
              </w:rPr>
              <w:t>pentru renovarea</w:t>
            </w:r>
            <w:r w:rsidR="00936847" w:rsidRPr="009C5F11">
              <w:rPr>
                <w:rFonts w:ascii="Times New Roman" w:hAnsi="Times New Roman" w:cs="Times New Roman"/>
                <w:b/>
                <w:sz w:val="18"/>
                <w:szCs w:val="14"/>
                <w:lang w:val="ro-RO"/>
              </w:rPr>
              <w:t xml:space="preserve"> </w:t>
            </w:r>
            <w:r w:rsidRPr="009C5F11">
              <w:rPr>
                <w:rFonts w:ascii="Times New Roman" w:hAnsi="Times New Roman" w:cs="Times New Roman"/>
                <w:b/>
                <w:sz w:val="18"/>
                <w:szCs w:val="14"/>
                <w:lang w:val="ro-RO"/>
              </w:rPr>
              <w:t>clădirilor publice/rezidenţiale</w:t>
            </w:r>
            <w:r w:rsidR="00936847" w:rsidRPr="009C5F11">
              <w:rPr>
                <w:rFonts w:ascii="Times New Roman" w:hAnsi="Times New Roman" w:cs="Times New Roman"/>
                <w:sz w:val="18"/>
                <w:szCs w:val="14"/>
                <w:lang w:val="ro-RO"/>
              </w:rPr>
              <w:t>;</w:t>
            </w:r>
          </w:p>
          <w:p w14:paraId="799491A5" w14:textId="77777777" w:rsidR="00936847" w:rsidRPr="009C5F11" w:rsidRDefault="00936847" w:rsidP="00430626">
            <w:pPr>
              <w:tabs>
                <w:tab w:val="left" w:pos="972"/>
                <w:tab w:val="left" w:pos="5040"/>
                <w:tab w:val="right" w:pos="8504"/>
              </w:tabs>
              <w:spacing w:after="0" w:line="240" w:lineRule="auto"/>
              <w:ind w:left="972"/>
              <w:contextualSpacing/>
              <w:jc w:val="both"/>
              <w:rPr>
                <w:rFonts w:ascii="Times New Roman" w:hAnsi="Times New Roman" w:cs="Times New Roman"/>
                <w:sz w:val="18"/>
                <w:szCs w:val="14"/>
                <w:lang w:val="ro-RO"/>
              </w:rPr>
            </w:pPr>
          </w:p>
        </w:tc>
      </w:tr>
      <w:tr w:rsidR="00936847" w:rsidRPr="009C5F11" w14:paraId="77A171C7" w14:textId="77777777" w:rsidTr="00BF6432">
        <w:trPr>
          <w:trHeight w:val="278"/>
        </w:trPr>
        <w:tc>
          <w:tcPr>
            <w:tcW w:w="743" w:type="pct"/>
            <w:vMerge/>
          </w:tcPr>
          <w:p w14:paraId="63835A4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12BD11A"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4901B4D3" w14:textId="77777777" w:rsidR="00936847" w:rsidRPr="009C5F11" w:rsidRDefault="00936847" w:rsidP="00334F3B">
            <w:pPr>
              <w:numPr>
                <w:ilvl w:val="0"/>
                <w:numId w:val="70"/>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004E780C" w:rsidRPr="009C5F11">
              <w:rPr>
                <w:rFonts w:ascii="Times New Roman" w:hAnsi="Times New Roman" w:cs="Times New Roman"/>
                <w:i/>
                <w:sz w:val="18"/>
                <w:szCs w:val="14"/>
                <w:lang w:val="ro-RO" w:eastAsia="de-DE"/>
              </w:rPr>
              <w:t>Strategia sectorială de cheltuieli în domeniul energetic</w:t>
            </w:r>
            <w:r w:rsidRPr="009C5F11">
              <w:rPr>
                <w:rFonts w:ascii="Times New Roman" w:hAnsi="Times New Roman" w:cs="Times New Roman"/>
                <w:i/>
                <w:sz w:val="18"/>
                <w:szCs w:val="14"/>
                <w:lang w:val="ro-RO" w:eastAsia="de-DE"/>
              </w:rPr>
              <w:t>”</w:t>
            </w:r>
            <w:r w:rsidRPr="009C5F11">
              <w:rPr>
                <w:rFonts w:ascii="Times New Roman" w:hAnsi="Times New Roman" w:cs="Times New Roman"/>
                <w:sz w:val="18"/>
                <w:szCs w:val="14"/>
                <w:lang w:val="ro-RO" w:eastAsia="de-DE"/>
              </w:rPr>
              <w:t xml:space="preserve"> include </w:t>
            </w:r>
            <w:r w:rsidR="00204033" w:rsidRPr="009C5F11">
              <w:rPr>
                <w:rFonts w:ascii="Times New Roman" w:hAnsi="Times New Roman" w:cs="Times New Roman"/>
                <w:sz w:val="18"/>
                <w:szCs w:val="14"/>
                <w:lang w:val="ro-RO" w:eastAsia="de-DE"/>
              </w:rPr>
              <w:t>sectorul construcţiilor</w:t>
            </w:r>
            <w:r w:rsidRPr="009C5F11">
              <w:rPr>
                <w:rFonts w:ascii="Times New Roman" w:hAnsi="Times New Roman" w:cs="Times New Roman"/>
                <w:sz w:val="18"/>
                <w:szCs w:val="14"/>
                <w:lang w:val="ro-RO" w:eastAsia="de-DE"/>
              </w:rPr>
              <w:t xml:space="preserve">. </w:t>
            </w:r>
            <w:r w:rsidR="004E780C" w:rsidRPr="009C5F11">
              <w:rPr>
                <w:rFonts w:ascii="Times New Roman" w:hAnsi="Times New Roman" w:cs="Times New Roman"/>
                <w:sz w:val="18"/>
                <w:szCs w:val="14"/>
                <w:lang w:val="ro-RO" w:eastAsia="de-DE"/>
              </w:rPr>
              <w:t>Strategia prevede</w:t>
            </w:r>
            <w:r w:rsidRPr="009C5F11">
              <w:rPr>
                <w:rFonts w:ascii="Times New Roman" w:hAnsi="Times New Roman" w:cs="Times New Roman"/>
                <w:sz w:val="18"/>
                <w:szCs w:val="14"/>
                <w:lang w:val="ro-RO" w:eastAsia="de-DE"/>
              </w:rPr>
              <w:t xml:space="preserve">: </w:t>
            </w:r>
          </w:p>
          <w:p w14:paraId="6182EF72" w14:textId="77777777" w:rsidR="00936847" w:rsidRPr="009C5F11" w:rsidRDefault="00535AFC" w:rsidP="00430626">
            <w:pPr>
              <w:tabs>
                <w:tab w:val="left" w:pos="1440"/>
                <w:tab w:val="left" w:pos="5040"/>
                <w:tab w:val="right" w:pos="8504"/>
              </w:tabs>
              <w:spacing w:before="40" w:after="0" w:line="240"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 xml:space="preserve">Politica în sectorul energetic, în ansamblu, este elaborată de Ministerul Economiei, iar în domeniul eficienței energetice a clădirilor - de către Ministerul Dezvoltării Regionale şi Construcţiilor. Implementarea politicilor în sectorul energetic este asigurată de către </w:t>
            </w:r>
            <w:r w:rsidR="00D17141" w:rsidRPr="009C5F11">
              <w:rPr>
                <w:rFonts w:ascii="Times New Roman" w:hAnsi="Times New Roman" w:cs="Times New Roman"/>
                <w:i/>
                <w:sz w:val="18"/>
                <w:szCs w:val="14"/>
                <w:lang w:val="ro-RO" w:eastAsia="de-DE"/>
              </w:rPr>
              <w:t xml:space="preserve">ANRE, </w:t>
            </w:r>
            <w:r w:rsidRPr="009C5F11">
              <w:rPr>
                <w:rFonts w:ascii="Times New Roman" w:hAnsi="Times New Roman" w:cs="Times New Roman"/>
                <w:i/>
                <w:sz w:val="18"/>
                <w:szCs w:val="14"/>
                <w:lang w:val="ro-RO" w:eastAsia="de-DE"/>
              </w:rPr>
              <w:t xml:space="preserve">Inspectoratul Energetic de Stat, </w:t>
            </w:r>
            <w:r w:rsidR="00D17141" w:rsidRPr="009C5F11">
              <w:rPr>
                <w:rFonts w:ascii="Times New Roman" w:hAnsi="Times New Roman" w:cs="Times New Roman"/>
                <w:i/>
                <w:sz w:val="18"/>
                <w:szCs w:val="14"/>
                <w:lang w:val="ro-RO" w:eastAsia="de-DE"/>
              </w:rPr>
              <w:t>AEE, FEE,</w:t>
            </w:r>
            <w:r w:rsidRPr="009C5F11">
              <w:rPr>
                <w:rFonts w:ascii="Times New Roman" w:hAnsi="Times New Roman" w:cs="Times New Roman"/>
                <w:i/>
                <w:sz w:val="18"/>
                <w:szCs w:val="14"/>
                <w:lang w:val="ro-RO" w:eastAsia="de-DE"/>
              </w:rPr>
              <w:t xml:space="preserve"> </w:t>
            </w:r>
            <w:r w:rsidR="00D17141" w:rsidRPr="009C5F11">
              <w:rPr>
                <w:rFonts w:ascii="Times New Roman" w:hAnsi="Times New Roman" w:cs="Times New Roman"/>
                <w:i/>
                <w:sz w:val="18"/>
                <w:szCs w:val="14"/>
                <w:lang w:val="ro-RO" w:eastAsia="de-DE"/>
              </w:rPr>
              <w:t xml:space="preserve">cât şi </w:t>
            </w:r>
            <w:r w:rsidRPr="009C5F11">
              <w:rPr>
                <w:rFonts w:ascii="Times New Roman" w:hAnsi="Times New Roman" w:cs="Times New Roman"/>
                <w:i/>
                <w:sz w:val="18"/>
                <w:szCs w:val="14"/>
                <w:lang w:val="ro-RO" w:eastAsia="de-DE"/>
              </w:rPr>
              <w:t>prin intermediul întreprinderilor energetice</w:t>
            </w:r>
            <w:r w:rsidR="00936847" w:rsidRPr="009C5F11">
              <w:rPr>
                <w:rFonts w:ascii="Times New Roman" w:hAnsi="Times New Roman" w:cs="Times New Roman"/>
                <w:i/>
                <w:sz w:val="18"/>
                <w:szCs w:val="14"/>
                <w:lang w:val="ro-RO" w:eastAsia="de-DE"/>
              </w:rPr>
              <w:t>.”</w:t>
            </w:r>
          </w:p>
          <w:p w14:paraId="7728DEB9" w14:textId="77777777" w:rsidR="00936847" w:rsidRPr="009C5F11" w:rsidRDefault="00D17141" w:rsidP="00430626">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w:t>
            </w:r>
            <w:r w:rsidR="00936847"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acţiune</w:t>
            </w:r>
            <w:r w:rsidRPr="009C5F11">
              <w:rPr>
                <w:rFonts w:ascii="Times New Roman" w:hAnsi="Times New Roman" w:cs="Times New Roman"/>
                <w:sz w:val="18"/>
                <w:szCs w:val="14"/>
                <w:lang w:val="ro-RO" w:eastAsia="de-DE"/>
              </w:rPr>
              <w:t xml:space="preserve"> prioritară pentru</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i/>
                <w:sz w:val="18"/>
                <w:szCs w:val="14"/>
                <w:lang w:val="ro-RO" w:eastAsia="de-DE"/>
              </w:rPr>
              <w:t>“</w:t>
            </w:r>
            <w:r w:rsidR="001D6122" w:rsidRPr="009C5F11">
              <w:rPr>
                <w:rFonts w:ascii="Times New Roman" w:hAnsi="Times New Roman" w:cs="Times New Roman"/>
                <w:i/>
                <w:sz w:val="18"/>
                <w:szCs w:val="14"/>
                <w:lang w:val="ro-RO" w:eastAsia="de-DE"/>
              </w:rPr>
              <w:t>elaborarea</w:t>
            </w:r>
            <w:r w:rsidR="00321CD5" w:rsidRPr="009C5F11">
              <w:rPr>
                <w:rFonts w:ascii="Times New Roman" w:hAnsi="Times New Roman" w:cs="Times New Roman"/>
                <w:i/>
                <w:sz w:val="18"/>
                <w:szCs w:val="14"/>
                <w:lang w:val="ro-RO" w:eastAsia="de-DE"/>
              </w:rPr>
              <w:t xml:space="preserve"> şi </w:t>
            </w:r>
            <w:r w:rsidRPr="009C5F11">
              <w:rPr>
                <w:rFonts w:ascii="Times New Roman" w:hAnsi="Times New Roman" w:cs="Times New Roman"/>
                <w:i/>
                <w:sz w:val="18"/>
                <w:szCs w:val="14"/>
                <w:lang w:val="ro-RO" w:eastAsia="de-DE"/>
              </w:rPr>
              <w:t>adoptarea</w:t>
            </w:r>
            <w:r w:rsidR="00936847" w:rsidRPr="009C5F11">
              <w:rPr>
                <w:rFonts w:ascii="Times New Roman" w:hAnsi="Times New Roman" w:cs="Times New Roman"/>
                <w:i/>
                <w:sz w:val="18"/>
                <w:szCs w:val="14"/>
                <w:lang w:val="ro-RO" w:eastAsia="de-DE"/>
              </w:rPr>
              <w:t xml:space="preserve"> </w:t>
            </w:r>
            <w:r w:rsidRPr="009C5F11">
              <w:rPr>
                <w:rFonts w:ascii="Times New Roman" w:hAnsi="Times New Roman" w:cs="Times New Roman"/>
                <w:i/>
                <w:sz w:val="18"/>
                <w:szCs w:val="14"/>
                <w:lang w:val="ro-RO" w:eastAsia="de-DE"/>
              </w:rPr>
              <w:t>standardelor şi reglementărilor tehnice</w:t>
            </w:r>
            <w:r w:rsidR="00321CD5" w:rsidRPr="009C5F11">
              <w:rPr>
                <w:rFonts w:ascii="Times New Roman" w:hAnsi="Times New Roman" w:cs="Times New Roman"/>
                <w:i/>
                <w:sz w:val="18"/>
                <w:szCs w:val="14"/>
                <w:lang w:val="ro-RO" w:eastAsia="de-DE"/>
              </w:rPr>
              <w:t xml:space="preserve"> în </w:t>
            </w:r>
            <w:r w:rsidR="00421FA7" w:rsidRPr="009C5F11">
              <w:rPr>
                <w:rFonts w:ascii="Times New Roman" w:hAnsi="Times New Roman" w:cs="Times New Roman"/>
                <w:i/>
                <w:sz w:val="18"/>
                <w:szCs w:val="14"/>
                <w:lang w:val="ro-RO" w:eastAsia="de-DE"/>
              </w:rPr>
              <w:t>sectorul energetic</w:t>
            </w:r>
            <w:r w:rsidR="00936847" w:rsidRPr="009C5F11">
              <w:rPr>
                <w:rFonts w:ascii="Times New Roman" w:hAnsi="Times New Roman" w:cs="Times New Roman"/>
                <w:i/>
                <w:sz w:val="18"/>
                <w:szCs w:val="14"/>
                <w:lang w:val="ro-RO" w:eastAsia="de-DE"/>
              </w:rPr>
              <w:t xml:space="preserve">, </w:t>
            </w:r>
            <w:r w:rsidRPr="009C5F11">
              <w:rPr>
                <w:rFonts w:ascii="Times New Roman" w:hAnsi="Times New Roman" w:cs="Times New Roman"/>
                <w:i/>
                <w:sz w:val="18"/>
                <w:szCs w:val="14"/>
                <w:lang w:val="ro-RO" w:eastAsia="de-DE"/>
              </w:rPr>
              <w:t>armonizate cu standardele europene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există şi în</w:t>
            </w:r>
            <w:r w:rsidR="00936847"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subprogramul</w:t>
            </w:r>
            <w:r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75F55823" w14:textId="77777777" w:rsidR="006F5D70" w:rsidRPr="009C5F11" w:rsidRDefault="006F5D70" w:rsidP="006F5D70">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001C3036" w:rsidRPr="009C5F11">
              <w:rPr>
                <w:rFonts w:ascii="Times New Roman" w:hAnsi="Times New Roman" w:cs="Times New Roman"/>
                <w:sz w:val="18"/>
                <w:szCs w:val="14"/>
                <w:lang w:val="ro-RO" w:eastAsia="de-DE"/>
              </w:rPr>
              <w:t>Elaborarea politicilor şi management</w:t>
            </w:r>
            <w:r w:rsidR="00B26897" w:rsidRPr="009C5F11">
              <w:rPr>
                <w:rFonts w:ascii="Times New Roman" w:hAnsi="Times New Roman" w:cs="Times New Roman"/>
                <w:sz w:val="18"/>
                <w:szCs w:val="14"/>
                <w:lang w:val="ro-RO" w:eastAsia="de-DE"/>
              </w:rPr>
              <w:t xml:space="preserve"> în sectorul energetic</w:t>
            </w:r>
            <w:r w:rsidRPr="009C5F11">
              <w:rPr>
                <w:rFonts w:ascii="Times New Roman" w:hAnsi="Times New Roman" w:cs="Times New Roman"/>
                <w:sz w:val="18"/>
                <w:szCs w:val="14"/>
                <w:lang w:val="ro-RO" w:eastAsia="de-DE"/>
              </w:rPr>
              <w:t>”.</w:t>
            </w:r>
          </w:p>
          <w:p w14:paraId="60433D82" w14:textId="77777777" w:rsidR="006F5D70" w:rsidRPr="009C5F11" w:rsidRDefault="006F5D70" w:rsidP="006F5D70">
            <w:pPr>
              <w:tabs>
                <w:tab w:val="left" w:pos="1440"/>
                <w:tab w:val="left" w:pos="5040"/>
                <w:tab w:val="right" w:pos="8504"/>
              </w:tabs>
              <w:spacing w:before="40" w:after="0" w:line="240" w:lineRule="auto"/>
              <w:ind w:firstLine="342"/>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2016-2018</w:t>
            </w:r>
          </w:p>
          <w:p w14:paraId="0E9B9BBE" w14:textId="77777777" w:rsidR="009A7037" w:rsidRPr="009C5F11" w:rsidRDefault="006F5D70" w:rsidP="00334F3B">
            <w:pPr>
              <w:pStyle w:val="Listparagraf"/>
              <w:numPr>
                <w:ilvl w:val="0"/>
                <w:numId w:val="201"/>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2016</w:t>
            </w:r>
            <w:r w:rsidR="0005509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w:t>
            </w:r>
            <w:r w:rsidR="009A7037" w:rsidRPr="009C5F11">
              <w:rPr>
                <w:rFonts w:ascii="Times New Roman" w:hAnsi="Times New Roman" w:cs="Times New Roman"/>
                <w:sz w:val="18"/>
                <w:szCs w:val="14"/>
                <w:lang w:val="ro-RO" w:eastAsia="de-DE"/>
              </w:rPr>
              <w:t>500</w:t>
            </w:r>
            <w:r w:rsidR="006E69B0" w:rsidRPr="009C5F11">
              <w:rPr>
                <w:rFonts w:ascii="Times New Roman" w:hAnsi="Times New Roman" w:cs="Times New Roman"/>
                <w:sz w:val="18"/>
                <w:szCs w:val="14"/>
                <w:lang w:val="ro-RO" w:eastAsia="de-DE"/>
              </w:rPr>
              <w:t xml:space="preserve">  mii lei</w:t>
            </w:r>
          </w:p>
          <w:p w14:paraId="02B270A3" w14:textId="77777777" w:rsidR="009A7037" w:rsidRPr="009C5F11" w:rsidRDefault="006F5D70" w:rsidP="00334F3B">
            <w:pPr>
              <w:pStyle w:val="Listparagraf"/>
              <w:numPr>
                <w:ilvl w:val="0"/>
                <w:numId w:val="201"/>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2017</w:t>
            </w:r>
            <w:r w:rsidR="00055095" w:rsidRPr="009C5F11">
              <w:rPr>
                <w:rFonts w:ascii="Times New Roman" w:hAnsi="Times New Roman" w:cs="Times New Roman"/>
                <w:sz w:val="18"/>
                <w:szCs w:val="14"/>
                <w:lang w:val="ro-RO" w:eastAsia="de-DE"/>
              </w:rPr>
              <w:t xml:space="preserve">      </w:t>
            </w:r>
            <w:r w:rsidR="009A7037" w:rsidRPr="009C5F11">
              <w:rPr>
                <w:rFonts w:ascii="Times New Roman" w:hAnsi="Times New Roman" w:cs="Times New Roman"/>
                <w:sz w:val="18"/>
                <w:szCs w:val="14"/>
                <w:lang w:val="ro-RO" w:eastAsia="de-DE"/>
              </w:rPr>
              <w:t xml:space="preserve">  500</w:t>
            </w:r>
            <w:r w:rsidR="006E69B0" w:rsidRPr="009C5F11">
              <w:rPr>
                <w:rFonts w:ascii="Times New Roman" w:hAnsi="Times New Roman" w:cs="Times New Roman"/>
                <w:sz w:val="18"/>
                <w:szCs w:val="14"/>
                <w:lang w:val="ro-RO" w:eastAsia="de-DE"/>
              </w:rPr>
              <w:t xml:space="preserve">  mii lei</w:t>
            </w:r>
          </w:p>
          <w:p w14:paraId="1297E1ED" w14:textId="77777777" w:rsidR="006F5D70" w:rsidRPr="009C5F11" w:rsidRDefault="006F5D70" w:rsidP="00334F3B">
            <w:pPr>
              <w:pStyle w:val="Listparagraf"/>
              <w:numPr>
                <w:ilvl w:val="0"/>
                <w:numId w:val="201"/>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w:t>
            </w:r>
            <w:r w:rsidR="009A7037" w:rsidRPr="009C5F11">
              <w:rPr>
                <w:rFonts w:ascii="Times New Roman" w:hAnsi="Times New Roman" w:cs="Times New Roman"/>
                <w:sz w:val="18"/>
                <w:szCs w:val="14"/>
                <w:lang w:val="ro-RO" w:eastAsia="de-DE"/>
              </w:rPr>
              <w:t xml:space="preserve">        500</w:t>
            </w:r>
            <w:r w:rsidR="006E69B0" w:rsidRPr="009C5F11">
              <w:rPr>
                <w:rFonts w:ascii="Times New Roman" w:hAnsi="Times New Roman" w:cs="Times New Roman"/>
                <w:sz w:val="18"/>
                <w:szCs w:val="14"/>
                <w:lang w:val="ro-RO" w:eastAsia="de-DE"/>
              </w:rPr>
              <w:t xml:space="preserve">  mii lei</w:t>
            </w:r>
            <w:r w:rsidR="0005509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w:t>
            </w:r>
            <w:r w:rsidR="008474DB" w:rsidRPr="009C5F11">
              <w:rPr>
                <w:rFonts w:ascii="Times New Roman" w:hAnsi="Times New Roman" w:cs="Times New Roman"/>
                <w:sz w:val="18"/>
                <w:szCs w:val="14"/>
                <w:lang w:val="ro-RO" w:eastAsia="de-DE"/>
              </w:rPr>
              <w:t xml:space="preserve"> </w:t>
            </w:r>
            <w:r w:rsidR="00055095" w:rsidRPr="009C5F11">
              <w:rPr>
                <w:rFonts w:ascii="Times New Roman" w:hAnsi="Times New Roman" w:cs="Times New Roman"/>
                <w:sz w:val="18"/>
                <w:szCs w:val="14"/>
                <w:lang w:val="ro-RO" w:eastAsia="de-DE"/>
              </w:rPr>
              <w:t xml:space="preserve">       </w:t>
            </w:r>
          </w:p>
          <w:p w14:paraId="67C30A3A" w14:textId="77777777" w:rsidR="006F5D70" w:rsidRPr="009C5F11" w:rsidRDefault="00D62784" w:rsidP="006F5D70">
            <w:pPr>
              <w:tabs>
                <w:tab w:val="left" w:pos="1440"/>
                <w:tab w:val="left" w:pos="5040"/>
                <w:tab w:val="right" w:pos="8504"/>
              </w:tabs>
              <w:spacing w:before="40" w:after="0" w:line="240" w:lineRule="auto"/>
              <w:rPr>
                <w:rFonts w:ascii="Times New Roman" w:hAnsi="Times New Roman" w:cs="Times New Roman"/>
                <w:i/>
                <w:sz w:val="18"/>
                <w:szCs w:val="14"/>
                <w:lang w:val="ro-RO" w:eastAsia="de-DE"/>
              </w:rPr>
            </w:pPr>
            <w:r w:rsidRPr="009C5F11">
              <w:rPr>
                <w:rFonts w:ascii="Times New Roman" w:hAnsi="Times New Roman" w:cs="Times New Roman"/>
                <w:sz w:val="18"/>
                <w:szCs w:val="14"/>
                <w:lang w:val="ro-RO" w:eastAsia="de-DE"/>
              </w:rPr>
              <w:t>Respectiv</w:t>
            </w:r>
            <w:r w:rsidR="001C3036" w:rsidRPr="009C5F11">
              <w:rPr>
                <w:rFonts w:ascii="Times New Roman" w:hAnsi="Times New Roman" w:cs="Times New Roman"/>
                <w:sz w:val="18"/>
                <w:szCs w:val="14"/>
                <w:lang w:val="ro-RO" w:eastAsia="de-DE"/>
              </w:rPr>
              <w:t>,</w:t>
            </w:r>
            <w:r w:rsidR="006F5D70"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MDRC</w:t>
            </w:r>
            <w:r w:rsidR="006F5D70" w:rsidRPr="009C5F11">
              <w:rPr>
                <w:rFonts w:ascii="Times New Roman" w:hAnsi="Times New Roman" w:cs="Times New Roman"/>
                <w:sz w:val="18"/>
                <w:szCs w:val="14"/>
                <w:lang w:val="ro-RO" w:eastAsia="de-DE"/>
              </w:rPr>
              <w:t xml:space="preserve"> </w:t>
            </w:r>
            <w:r w:rsidR="00D17141" w:rsidRPr="009C5F11">
              <w:rPr>
                <w:rFonts w:ascii="Times New Roman" w:hAnsi="Times New Roman" w:cs="Times New Roman"/>
                <w:sz w:val="18"/>
                <w:szCs w:val="14"/>
                <w:lang w:val="ro-RO" w:eastAsia="de-DE"/>
              </w:rPr>
              <w:t>poate beneficia de</w:t>
            </w:r>
            <w:r w:rsidR="006F5D70" w:rsidRPr="009C5F11">
              <w:rPr>
                <w:rFonts w:ascii="Times New Roman" w:hAnsi="Times New Roman" w:cs="Times New Roman"/>
                <w:sz w:val="18"/>
                <w:szCs w:val="14"/>
                <w:lang w:val="ro-RO" w:eastAsia="de-DE"/>
              </w:rPr>
              <w:t xml:space="preserve"> </w:t>
            </w:r>
            <w:r w:rsidR="007F77BE" w:rsidRPr="009C5F11">
              <w:rPr>
                <w:rFonts w:ascii="Times New Roman" w:hAnsi="Times New Roman" w:cs="Times New Roman"/>
                <w:sz w:val="18"/>
                <w:szCs w:val="14"/>
                <w:lang w:val="ro-RO" w:eastAsia="de-DE"/>
              </w:rPr>
              <w:t>fonduri</w:t>
            </w:r>
            <w:r w:rsidR="00D17141" w:rsidRPr="009C5F11">
              <w:rPr>
                <w:rFonts w:ascii="Times New Roman" w:hAnsi="Times New Roman" w:cs="Times New Roman"/>
                <w:sz w:val="18"/>
                <w:szCs w:val="14"/>
                <w:lang w:val="ro-RO" w:eastAsia="de-DE"/>
              </w:rPr>
              <w:t xml:space="preserve">le oferite pentru </w:t>
            </w:r>
            <w:r w:rsidR="008F7BD5" w:rsidRPr="009C5F11">
              <w:rPr>
                <w:rFonts w:ascii="Times New Roman" w:hAnsi="Times New Roman" w:cs="Times New Roman"/>
                <w:sz w:val="18"/>
                <w:szCs w:val="14"/>
                <w:lang w:val="ro-RO" w:eastAsia="de-DE"/>
              </w:rPr>
              <w:t>subprogramul</w:t>
            </w:r>
            <w:r w:rsidR="006F5D70" w:rsidRPr="009C5F11">
              <w:rPr>
                <w:rFonts w:ascii="Times New Roman" w:hAnsi="Times New Roman" w:cs="Times New Roman"/>
                <w:sz w:val="18"/>
                <w:szCs w:val="14"/>
                <w:lang w:val="ro-RO" w:eastAsia="de-DE"/>
              </w:rPr>
              <w:t xml:space="preserve"> </w:t>
            </w:r>
            <w:r w:rsidR="006F5D70" w:rsidRPr="009C5F11">
              <w:rPr>
                <w:rFonts w:ascii="Times New Roman" w:hAnsi="Times New Roman" w:cs="Times New Roman"/>
                <w:i/>
                <w:sz w:val="18"/>
                <w:szCs w:val="14"/>
                <w:lang w:val="ro-RO" w:eastAsia="de-DE"/>
              </w:rPr>
              <w:t>“</w:t>
            </w:r>
            <w:r w:rsidR="00D17141" w:rsidRPr="009C5F11">
              <w:rPr>
                <w:rFonts w:ascii="Times New Roman" w:hAnsi="Times New Roman" w:cs="Times New Roman"/>
                <w:i/>
                <w:sz w:val="18"/>
                <w:szCs w:val="14"/>
                <w:lang w:val="ro-RO" w:eastAsia="de-DE"/>
              </w:rPr>
              <w:t>E</w:t>
            </w:r>
            <w:r w:rsidR="001D6122" w:rsidRPr="009C5F11">
              <w:rPr>
                <w:rFonts w:ascii="Times New Roman" w:hAnsi="Times New Roman" w:cs="Times New Roman"/>
                <w:i/>
                <w:sz w:val="18"/>
                <w:szCs w:val="14"/>
                <w:lang w:val="ro-RO" w:eastAsia="de-DE"/>
              </w:rPr>
              <w:t>laborarea</w:t>
            </w:r>
            <w:r w:rsidR="00321CD5" w:rsidRPr="009C5F11">
              <w:rPr>
                <w:rFonts w:ascii="Times New Roman" w:hAnsi="Times New Roman" w:cs="Times New Roman"/>
                <w:i/>
                <w:sz w:val="18"/>
                <w:szCs w:val="14"/>
                <w:lang w:val="ro-RO" w:eastAsia="de-DE"/>
              </w:rPr>
              <w:t xml:space="preserve"> şi </w:t>
            </w:r>
            <w:r w:rsidR="00D17141" w:rsidRPr="009C5F11">
              <w:rPr>
                <w:rFonts w:ascii="Times New Roman" w:hAnsi="Times New Roman" w:cs="Times New Roman"/>
                <w:i/>
                <w:sz w:val="18"/>
                <w:szCs w:val="14"/>
                <w:lang w:val="ro-RO" w:eastAsia="de-DE"/>
              </w:rPr>
              <w:t>adoptarea</w:t>
            </w:r>
            <w:r w:rsidR="006F5D70" w:rsidRPr="009C5F11">
              <w:rPr>
                <w:rFonts w:ascii="Times New Roman" w:hAnsi="Times New Roman" w:cs="Times New Roman"/>
                <w:i/>
                <w:sz w:val="18"/>
                <w:szCs w:val="14"/>
                <w:lang w:val="ro-RO" w:eastAsia="de-DE"/>
              </w:rPr>
              <w:t xml:space="preserve"> </w:t>
            </w:r>
            <w:r w:rsidR="00D17141" w:rsidRPr="009C5F11">
              <w:rPr>
                <w:rFonts w:ascii="Times New Roman" w:hAnsi="Times New Roman" w:cs="Times New Roman"/>
                <w:i/>
                <w:sz w:val="18"/>
                <w:szCs w:val="14"/>
                <w:lang w:val="ro-RO" w:eastAsia="de-DE"/>
              </w:rPr>
              <w:t>standardelor şi reglementărilor tehnice</w:t>
            </w:r>
            <w:r w:rsidR="00321CD5" w:rsidRPr="009C5F11">
              <w:rPr>
                <w:rFonts w:ascii="Times New Roman" w:hAnsi="Times New Roman" w:cs="Times New Roman"/>
                <w:i/>
                <w:sz w:val="18"/>
                <w:szCs w:val="14"/>
                <w:lang w:val="ro-RO" w:eastAsia="de-DE"/>
              </w:rPr>
              <w:t xml:space="preserve"> în </w:t>
            </w:r>
            <w:r w:rsidR="00421FA7" w:rsidRPr="009C5F11">
              <w:rPr>
                <w:rFonts w:ascii="Times New Roman" w:hAnsi="Times New Roman" w:cs="Times New Roman"/>
                <w:i/>
                <w:sz w:val="18"/>
                <w:szCs w:val="14"/>
                <w:lang w:val="ro-RO" w:eastAsia="de-DE"/>
              </w:rPr>
              <w:t>sectorul energetic</w:t>
            </w:r>
            <w:r w:rsidR="006F5D70" w:rsidRPr="009C5F11">
              <w:rPr>
                <w:rFonts w:ascii="Times New Roman" w:hAnsi="Times New Roman" w:cs="Times New Roman"/>
                <w:i/>
                <w:sz w:val="18"/>
                <w:szCs w:val="14"/>
                <w:lang w:val="ro-RO" w:eastAsia="de-DE"/>
              </w:rPr>
              <w:t xml:space="preserve"> </w:t>
            </w:r>
            <w:r w:rsidR="00D17141" w:rsidRPr="009C5F11">
              <w:rPr>
                <w:rFonts w:ascii="Times New Roman" w:hAnsi="Times New Roman" w:cs="Times New Roman"/>
                <w:i/>
                <w:sz w:val="18"/>
                <w:szCs w:val="14"/>
                <w:lang w:val="ro-RO" w:eastAsia="de-DE"/>
              </w:rPr>
              <w:t>armonizate cu standardele europene</w:t>
            </w:r>
            <w:r w:rsidR="006F5D70" w:rsidRPr="009C5F11">
              <w:rPr>
                <w:rFonts w:ascii="Times New Roman" w:hAnsi="Times New Roman" w:cs="Times New Roman"/>
                <w:i/>
                <w:sz w:val="18"/>
                <w:szCs w:val="14"/>
                <w:lang w:val="ro-RO" w:eastAsia="de-DE"/>
              </w:rPr>
              <w:t>”.</w:t>
            </w:r>
          </w:p>
          <w:p w14:paraId="406C4EB4" w14:textId="77777777" w:rsidR="006F5D70" w:rsidRPr="009C5F11" w:rsidRDefault="00D17141" w:rsidP="006F5D70">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w:t>
            </w:r>
            <w:r w:rsidR="008F7BD5" w:rsidRPr="009C5F11">
              <w:rPr>
                <w:rFonts w:ascii="Times New Roman" w:hAnsi="Times New Roman" w:cs="Times New Roman"/>
                <w:sz w:val="18"/>
                <w:szCs w:val="14"/>
                <w:lang w:val="ro-RO" w:eastAsia="de-DE"/>
              </w:rPr>
              <w:t>cţiunea</w:t>
            </w:r>
            <w:r w:rsidRPr="009C5F11">
              <w:rPr>
                <w:rFonts w:ascii="Times New Roman" w:hAnsi="Times New Roman" w:cs="Times New Roman"/>
                <w:sz w:val="18"/>
                <w:szCs w:val="14"/>
                <w:lang w:val="ro-RO" w:eastAsia="de-DE"/>
              </w:rPr>
              <w:t xml:space="preserve"> nouă</w:t>
            </w:r>
            <w:r w:rsidR="006F5D70" w:rsidRPr="009C5F11">
              <w:rPr>
                <w:rFonts w:ascii="Times New Roman" w:hAnsi="Times New Roman" w:cs="Times New Roman"/>
                <w:sz w:val="18"/>
                <w:szCs w:val="14"/>
                <w:lang w:val="ro-RO" w:eastAsia="de-DE"/>
              </w:rPr>
              <w:t xml:space="preserve"> inclu</w:t>
            </w:r>
            <w:r w:rsidRPr="009C5F11">
              <w:rPr>
                <w:rFonts w:ascii="Times New Roman" w:hAnsi="Times New Roman" w:cs="Times New Roman"/>
                <w:sz w:val="18"/>
                <w:szCs w:val="14"/>
                <w:lang w:val="ro-RO" w:eastAsia="de-DE"/>
              </w:rPr>
              <w:t>să</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Strategia sectorială</w:t>
            </w:r>
            <w:r w:rsidR="006F5D70" w:rsidRPr="009C5F11">
              <w:rPr>
                <w:rFonts w:ascii="Times New Roman" w:hAnsi="Times New Roman" w:cs="Times New Roman"/>
                <w:sz w:val="18"/>
                <w:szCs w:val="14"/>
                <w:lang w:val="ro-RO" w:eastAsia="de-DE"/>
              </w:rPr>
              <w:t xml:space="preserve"> 2016-2018</w:t>
            </w:r>
          </w:p>
          <w:p w14:paraId="16141DFE" w14:textId="77777777" w:rsidR="006F5D70" w:rsidRPr="009C5F11" w:rsidRDefault="006F5D70" w:rsidP="006F5D70">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00D17141" w:rsidRPr="009C5F11">
              <w:rPr>
                <w:rFonts w:ascii="Times New Roman" w:hAnsi="Times New Roman" w:cs="Times New Roman"/>
                <w:sz w:val="18"/>
                <w:szCs w:val="14"/>
                <w:lang w:val="ro-RO" w:eastAsia="de-DE"/>
              </w:rPr>
              <w:t>Implementarea cadrului legislativ şi normativ</w:t>
            </w:r>
            <w:r w:rsidRPr="009C5F11">
              <w:rPr>
                <w:rFonts w:ascii="Times New Roman" w:hAnsi="Times New Roman" w:cs="Times New Roman"/>
                <w:sz w:val="18"/>
                <w:szCs w:val="14"/>
                <w:lang w:val="ro-RO" w:eastAsia="de-DE"/>
              </w:rPr>
              <w:t xml:space="preserve"> </w:t>
            </w:r>
            <w:r w:rsidR="00D160E1" w:rsidRPr="009C5F11">
              <w:rPr>
                <w:rFonts w:ascii="Times New Roman" w:hAnsi="Times New Roman" w:cs="Times New Roman"/>
                <w:sz w:val="18"/>
                <w:szCs w:val="14"/>
                <w:lang w:val="ro-RO" w:eastAsia="de-DE"/>
              </w:rPr>
              <w:t>PEC</w:t>
            </w:r>
            <w:r w:rsidRPr="009C5F11">
              <w:rPr>
                <w:rFonts w:ascii="Times New Roman" w:hAnsi="Times New Roman" w:cs="Times New Roman"/>
                <w:sz w:val="18"/>
                <w:szCs w:val="14"/>
                <w:lang w:val="ro-RO" w:eastAsia="de-DE"/>
              </w:rPr>
              <w:t>”</w:t>
            </w:r>
          </w:p>
          <w:p w14:paraId="1CCF6182" w14:textId="77777777" w:rsidR="006F5D70" w:rsidRPr="009C5F11" w:rsidRDefault="006F5D70" w:rsidP="006F5D70">
            <w:pPr>
              <w:tabs>
                <w:tab w:val="left" w:pos="1440"/>
                <w:tab w:val="left" w:pos="5040"/>
                <w:tab w:val="right" w:pos="8504"/>
              </w:tabs>
              <w:spacing w:before="40" w:after="0" w:line="240" w:lineRule="auto"/>
              <w:ind w:firstLine="342"/>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2016-2018</w:t>
            </w:r>
          </w:p>
          <w:p w14:paraId="5ADC6F99" w14:textId="77777777" w:rsidR="009A7037" w:rsidRPr="009C5F11" w:rsidRDefault="006F5D70" w:rsidP="00334F3B">
            <w:pPr>
              <w:pStyle w:val="Listparagraf"/>
              <w:numPr>
                <w:ilvl w:val="0"/>
                <w:numId w:val="202"/>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2016</w:t>
            </w:r>
            <w:r w:rsidR="00055095" w:rsidRPr="009C5F11">
              <w:rPr>
                <w:rFonts w:ascii="Times New Roman" w:hAnsi="Times New Roman" w:cs="Times New Roman"/>
                <w:sz w:val="18"/>
                <w:szCs w:val="14"/>
                <w:lang w:val="ro-RO" w:eastAsia="de-DE"/>
              </w:rPr>
              <w:t xml:space="preserve">       </w:t>
            </w:r>
            <w:r w:rsidR="00D17141"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w:t>
            </w:r>
            <w:r w:rsidR="009A7037" w:rsidRPr="009C5F11">
              <w:rPr>
                <w:rFonts w:ascii="Times New Roman" w:hAnsi="Times New Roman" w:cs="Times New Roman"/>
                <w:sz w:val="18"/>
                <w:szCs w:val="14"/>
                <w:lang w:val="ro-RO" w:eastAsia="de-DE"/>
              </w:rPr>
              <w:t xml:space="preserve">1,260.0 </w:t>
            </w:r>
            <w:r w:rsidR="006E69B0" w:rsidRPr="009C5F11">
              <w:rPr>
                <w:rFonts w:ascii="Times New Roman" w:hAnsi="Times New Roman" w:cs="Times New Roman"/>
                <w:sz w:val="18"/>
                <w:szCs w:val="14"/>
                <w:lang w:val="ro-RO" w:eastAsia="de-DE"/>
              </w:rPr>
              <w:t>mii lei</w:t>
            </w:r>
            <w:r w:rsidR="009A7037" w:rsidRPr="009C5F11">
              <w:rPr>
                <w:rFonts w:ascii="Times New Roman" w:hAnsi="Times New Roman" w:cs="Times New Roman"/>
                <w:sz w:val="18"/>
                <w:szCs w:val="14"/>
                <w:lang w:val="ro-RO" w:eastAsia="de-DE"/>
              </w:rPr>
              <w:t xml:space="preserve">     </w:t>
            </w:r>
          </w:p>
          <w:p w14:paraId="55B22356" w14:textId="77777777" w:rsidR="009A7037" w:rsidRPr="009C5F11" w:rsidRDefault="006F5D70" w:rsidP="00334F3B">
            <w:pPr>
              <w:pStyle w:val="Listparagraf"/>
              <w:numPr>
                <w:ilvl w:val="0"/>
                <w:numId w:val="202"/>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2017</w:t>
            </w:r>
            <w:r w:rsidR="00055095" w:rsidRPr="009C5F11">
              <w:rPr>
                <w:rFonts w:ascii="Times New Roman" w:hAnsi="Times New Roman" w:cs="Times New Roman"/>
                <w:sz w:val="18"/>
                <w:szCs w:val="14"/>
                <w:lang w:val="ro-RO" w:eastAsia="de-DE"/>
              </w:rPr>
              <w:t xml:space="preserve">      </w:t>
            </w:r>
            <w:r w:rsidR="009A7037" w:rsidRPr="009C5F11">
              <w:rPr>
                <w:rFonts w:ascii="Times New Roman" w:hAnsi="Times New Roman" w:cs="Times New Roman"/>
                <w:sz w:val="18"/>
                <w:szCs w:val="14"/>
                <w:lang w:val="ro-RO" w:eastAsia="de-DE"/>
              </w:rPr>
              <w:t xml:space="preserve">    </w:t>
            </w:r>
            <w:r w:rsidR="006E69B0" w:rsidRPr="009C5F11">
              <w:rPr>
                <w:rFonts w:ascii="Times New Roman" w:hAnsi="Times New Roman" w:cs="Times New Roman"/>
                <w:sz w:val="18"/>
                <w:szCs w:val="14"/>
                <w:lang w:val="ro-RO" w:eastAsia="de-DE"/>
              </w:rPr>
              <w:t>350.0    mii lei</w:t>
            </w:r>
          </w:p>
          <w:p w14:paraId="2E028385" w14:textId="77777777" w:rsidR="006F5D70" w:rsidRPr="009C5F11" w:rsidRDefault="006F5D70" w:rsidP="00334F3B">
            <w:pPr>
              <w:pStyle w:val="Listparagraf"/>
              <w:numPr>
                <w:ilvl w:val="0"/>
                <w:numId w:val="202"/>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w:t>
            </w:r>
            <w:r w:rsidR="009A7037" w:rsidRPr="009C5F11">
              <w:rPr>
                <w:rFonts w:ascii="Times New Roman" w:hAnsi="Times New Roman" w:cs="Times New Roman"/>
                <w:sz w:val="18"/>
                <w:szCs w:val="14"/>
                <w:lang w:val="ro-RO" w:eastAsia="de-DE"/>
              </w:rPr>
              <w:t xml:space="preserve">          350.0</w:t>
            </w:r>
            <w:r w:rsidR="006E69B0" w:rsidRPr="009C5F11">
              <w:rPr>
                <w:rFonts w:ascii="Times New Roman" w:hAnsi="Times New Roman" w:cs="Times New Roman"/>
                <w:sz w:val="18"/>
                <w:szCs w:val="14"/>
                <w:lang w:val="ro-RO" w:eastAsia="de-DE"/>
              </w:rPr>
              <w:t xml:space="preserve">    mii lei</w:t>
            </w:r>
          </w:p>
          <w:p w14:paraId="317C40A9" w14:textId="77777777" w:rsidR="006F5D70" w:rsidRPr="009C5F11" w:rsidRDefault="00D17141" w:rsidP="00334F3B">
            <w:pPr>
              <w:numPr>
                <w:ilvl w:val="0"/>
                <w:numId w:val="70"/>
              </w:numPr>
              <w:tabs>
                <w:tab w:val="left" w:pos="702"/>
                <w:tab w:val="left" w:pos="5040"/>
                <w:tab w:val="right" w:pos="8504"/>
              </w:tabs>
              <w:spacing w:before="40" w:after="0" w:line="240" w:lineRule="auto"/>
              <w:rPr>
                <w:rFonts w:ascii="Times New Roman" w:hAnsi="Times New Roman" w:cs="Times New Roman"/>
                <w:i/>
                <w:sz w:val="18"/>
                <w:szCs w:val="14"/>
                <w:lang w:val="ro-RO" w:eastAsia="de-DE"/>
              </w:rPr>
            </w:pPr>
            <w:r w:rsidRPr="009C5F11">
              <w:rPr>
                <w:rFonts w:ascii="Times New Roman" w:hAnsi="Times New Roman" w:cs="Times New Roman"/>
                <w:sz w:val="18"/>
                <w:szCs w:val="14"/>
                <w:lang w:val="ro-RO" w:eastAsia="de-DE"/>
              </w:rPr>
              <w:t>O sursă adiţională este</w:t>
            </w:r>
            <w:r w:rsidR="006F5D70" w:rsidRPr="009C5F11">
              <w:rPr>
                <w:rFonts w:ascii="Times New Roman" w:hAnsi="Times New Roman" w:cs="Times New Roman"/>
                <w:sz w:val="18"/>
                <w:szCs w:val="14"/>
                <w:lang w:val="ro-RO" w:eastAsia="de-DE"/>
              </w:rPr>
              <w:t xml:space="preserve"> </w:t>
            </w:r>
            <w:r w:rsidR="00CD7240" w:rsidRPr="009C5F11">
              <w:rPr>
                <w:rFonts w:ascii="Times New Roman" w:hAnsi="Times New Roman" w:cs="Times New Roman"/>
                <w:sz w:val="18"/>
                <w:szCs w:val="14"/>
                <w:lang w:val="ro-RO" w:eastAsia="de-DE"/>
              </w:rPr>
              <w:t>proiectul</w:t>
            </w:r>
            <w:r w:rsidR="006F5D70" w:rsidRPr="009C5F11">
              <w:rPr>
                <w:rFonts w:ascii="Times New Roman" w:hAnsi="Times New Roman" w:cs="Times New Roman"/>
                <w:sz w:val="18"/>
                <w:szCs w:val="14"/>
                <w:lang w:val="ro-RO" w:eastAsia="de-DE"/>
              </w:rPr>
              <w:t xml:space="preserve"> </w:t>
            </w:r>
            <w:r w:rsidR="006F5D70" w:rsidRPr="009C5F11">
              <w:rPr>
                <w:rFonts w:ascii="Times New Roman" w:hAnsi="Times New Roman" w:cs="Times New Roman"/>
                <w:i/>
                <w:sz w:val="18"/>
                <w:szCs w:val="14"/>
                <w:lang w:val="ro-RO" w:eastAsia="de-DE"/>
              </w:rPr>
              <w:t>“</w:t>
            </w:r>
            <w:r w:rsidR="00D160E1" w:rsidRPr="009C5F11">
              <w:rPr>
                <w:rFonts w:ascii="Times New Roman" w:hAnsi="Times New Roman" w:cs="Times New Roman"/>
                <w:i/>
                <w:sz w:val="18"/>
                <w:szCs w:val="14"/>
                <w:lang w:val="ro-RO" w:eastAsia="de-DE"/>
              </w:rPr>
              <w:t>Foaia de parcurs pentru implementarea DPEC în Republica Moldova</w:t>
            </w:r>
            <w:r w:rsidR="006F5D70" w:rsidRPr="009C5F11">
              <w:rPr>
                <w:rFonts w:ascii="Times New Roman" w:hAnsi="Times New Roman" w:cs="Times New Roman"/>
                <w:i/>
                <w:sz w:val="18"/>
                <w:szCs w:val="14"/>
                <w:lang w:val="ro-RO" w:eastAsia="de-DE"/>
              </w:rPr>
              <w:t xml:space="preserve">” </w:t>
            </w:r>
            <w:r w:rsidR="009A7037" w:rsidRPr="009C5F11">
              <w:rPr>
                <w:rFonts w:ascii="Times New Roman" w:hAnsi="Times New Roman" w:cs="Times New Roman"/>
                <w:i/>
                <w:sz w:val="18"/>
                <w:szCs w:val="14"/>
                <w:lang w:val="ro-RO" w:eastAsia="de-DE"/>
              </w:rPr>
              <w:t>propus</w:t>
            </w:r>
            <w:r w:rsidRPr="009C5F11">
              <w:rPr>
                <w:rFonts w:ascii="Times New Roman" w:hAnsi="Times New Roman" w:cs="Times New Roman"/>
                <w:i/>
                <w:sz w:val="18"/>
                <w:szCs w:val="14"/>
                <w:lang w:val="ro-RO" w:eastAsia="de-DE"/>
              </w:rPr>
              <w:t xml:space="preserve"> de</w:t>
            </w:r>
            <w:r w:rsidR="006F5D70" w:rsidRPr="009C5F11">
              <w:rPr>
                <w:rFonts w:ascii="Times New Roman" w:hAnsi="Times New Roman" w:cs="Times New Roman"/>
                <w:i/>
                <w:sz w:val="18"/>
                <w:szCs w:val="14"/>
                <w:lang w:val="ro-RO" w:eastAsia="de-DE"/>
              </w:rPr>
              <w:t xml:space="preserve"> </w:t>
            </w:r>
            <w:r w:rsidR="00AA0566" w:rsidRPr="009C5F11">
              <w:rPr>
                <w:rFonts w:ascii="Times New Roman" w:hAnsi="Times New Roman" w:cs="Times New Roman"/>
                <w:i/>
                <w:sz w:val="18"/>
                <w:szCs w:val="14"/>
                <w:lang w:val="ro-RO" w:eastAsia="de-DE"/>
              </w:rPr>
              <w:t>BERD</w:t>
            </w:r>
            <w:r w:rsidR="006F5D70" w:rsidRPr="009C5F11">
              <w:rPr>
                <w:rFonts w:ascii="Times New Roman" w:hAnsi="Times New Roman" w:cs="Times New Roman"/>
                <w:i/>
                <w:sz w:val="18"/>
                <w:szCs w:val="14"/>
                <w:lang w:val="ro-RO" w:eastAsia="de-DE"/>
              </w:rPr>
              <w:t>.</w:t>
            </w:r>
          </w:p>
          <w:p w14:paraId="06C967D8" w14:textId="77777777" w:rsidR="00936847" w:rsidRPr="009C5F11" w:rsidRDefault="007F77BE">
            <w:pPr>
              <w:tabs>
                <w:tab w:val="left" w:pos="1440"/>
                <w:tab w:val="left" w:pos="5040"/>
                <w:tab w:val="right" w:pos="8504"/>
              </w:tabs>
              <w:spacing w:before="40" w:after="0" w:line="240" w:lineRule="auto"/>
              <w:ind w:left="70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fonduri</w:t>
            </w:r>
            <w:r w:rsidR="006F5D70" w:rsidRPr="009C5F11">
              <w:rPr>
                <w:rFonts w:ascii="Times New Roman" w:hAnsi="Times New Roman" w:cs="Times New Roman"/>
                <w:sz w:val="18"/>
                <w:szCs w:val="14"/>
                <w:lang w:val="ro-RO" w:eastAsia="de-DE"/>
              </w:rPr>
              <w:t xml:space="preserve">: </w:t>
            </w:r>
            <w:r w:rsidR="009A7037" w:rsidRPr="009C5F11">
              <w:rPr>
                <w:rFonts w:ascii="Times New Roman" w:hAnsi="Times New Roman" w:cs="Times New Roman"/>
                <w:sz w:val="18"/>
                <w:szCs w:val="14"/>
                <w:lang w:val="ro-RO" w:eastAsia="de-DE"/>
              </w:rPr>
              <w:t>N/A</w:t>
            </w:r>
          </w:p>
        </w:tc>
      </w:tr>
      <w:tr w:rsidR="00936847" w:rsidRPr="009C5F11" w14:paraId="73E1B82F" w14:textId="77777777" w:rsidTr="00BF6432">
        <w:trPr>
          <w:trHeight w:val="476"/>
        </w:trPr>
        <w:tc>
          <w:tcPr>
            <w:tcW w:w="743" w:type="pct"/>
            <w:vMerge/>
          </w:tcPr>
          <w:p w14:paraId="0796D4D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070AF40"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3DFFEDFC" w14:textId="77777777" w:rsidR="00936847" w:rsidRPr="009C5F11" w:rsidRDefault="00AA056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MDRC</w:t>
            </w:r>
          </w:p>
          <w:p w14:paraId="1E59BE2E" w14:textId="77777777" w:rsidR="00936847" w:rsidRPr="009C5F11" w:rsidRDefault="00D17141" w:rsidP="00877C4D">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cu sprijinul financiar din partea</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i/>
                <w:sz w:val="18"/>
                <w:szCs w:val="14"/>
                <w:lang w:val="ro-RO" w:eastAsia="de-DE"/>
              </w:rPr>
              <w:t>“</w:t>
            </w:r>
            <w:r w:rsidR="004E780C" w:rsidRPr="009C5F11">
              <w:rPr>
                <w:rFonts w:ascii="Times New Roman" w:hAnsi="Times New Roman" w:cs="Times New Roman"/>
                <w:i/>
                <w:sz w:val="18"/>
                <w:szCs w:val="14"/>
                <w:lang w:val="ro-RO" w:eastAsia="de-DE"/>
              </w:rPr>
              <w:t>Strategi</w:t>
            </w:r>
            <w:r w:rsidRPr="009C5F11">
              <w:rPr>
                <w:rFonts w:ascii="Times New Roman" w:hAnsi="Times New Roman" w:cs="Times New Roman"/>
                <w:i/>
                <w:sz w:val="18"/>
                <w:szCs w:val="14"/>
                <w:lang w:val="ro-RO" w:eastAsia="de-DE"/>
              </w:rPr>
              <w:t>ei</w:t>
            </w:r>
            <w:r w:rsidR="004E780C" w:rsidRPr="009C5F11">
              <w:rPr>
                <w:rFonts w:ascii="Times New Roman" w:hAnsi="Times New Roman" w:cs="Times New Roman"/>
                <w:i/>
                <w:sz w:val="18"/>
                <w:szCs w:val="14"/>
                <w:lang w:val="ro-RO" w:eastAsia="de-DE"/>
              </w:rPr>
              <w:t xml:space="preserve"> sectorial</w:t>
            </w:r>
            <w:r w:rsidRPr="009C5F11">
              <w:rPr>
                <w:rFonts w:ascii="Times New Roman" w:hAnsi="Times New Roman" w:cs="Times New Roman"/>
                <w:i/>
                <w:sz w:val="18"/>
                <w:szCs w:val="14"/>
                <w:lang w:val="ro-RO" w:eastAsia="de-DE"/>
              </w:rPr>
              <w:t>e</w:t>
            </w:r>
            <w:r w:rsidR="004E780C" w:rsidRPr="009C5F11">
              <w:rPr>
                <w:rFonts w:ascii="Times New Roman" w:hAnsi="Times New Roman" w:cs="Times New Roman"/>
                <w:i/>
                <w:sz w:val="18"/>
                <w:szCs w:val="14"/>
                <w:lang w:val="ro-RO" w:eastAsia="de-DE"/>
              </w:rPr>
              <w:t xml:space="preserve"> de cheltuieli în domeniul energetic</w:t>
            </w:r>
            <w:r w:rsidR="00936847" w:rsidRPr="009C5F11">
              <w:rPr>
                <w:rFonts w:ascii="Times New Roman" w:hAnsi="Times New Roman" w:cs="Times New Roman"/>
                <w:i/>
                <w:sz w:val="18"/>
                <w:szCs w:val="14"/>
                <w:lang w:val="ro-RO" w:eastAsia="de-DE"/>
              </w:rPr>
              <w:t>”</w:t>
            </w:r>
            <w:r w:rsidR="00321CD5" w:rsidRPr="009C5F11">
              <w:rPr>
                <w:rFonts w:ascii="Times New Roman" w:hAnsi="Times New Roman" w:cs="Times New Roman"/>
                <w:i/>
                <w:sz w:val="18"/>
                <w:szCs w:val="14"/>
                <w:lang w:val="ro-RO" w:eastAsia="de-DE"/>
              </w:rPr>
              <w:t xml:space="preserve"> şi </w:t>
            </w:r>
            <w:r w:rsidR="00877C4D" w:rsidRPr="009C5F11">
              <w:rPr>
                <w:rFonts w:ascii="Times New Roman" w:hAnsi="Times New Roman" w:cs="Times New Roman"/>
                <w:i/>
                <w:sz w:val="18"/>
                <w:szCs w:val="14"/>
                <w:lang w:val="ro-RO" w:eastAsia="de-DE"/>
              </w:rPr>
              <w:t>din partea</w:t>
            </w:r>
            <w:r w:rsidR="00936847" w:rsidRPr="009C5F11">
              <w:rPr>
                <w:rFonts w:ascii="Times New Roman" w:hAnsi="Times New Roman" w:cs="Times New Roman"/>
                <w:i/>
                <w:sz w:val="18"/>
                <w:szCs w:val="14"/>
                <w:lang w:val="ro-RO" w:eastAsia="de-DE"/>
              </w:rPr>
              <w:t xml:space="preserve"> </w:t>
            </w:r>
            <w:r w:rsidR="00AA0566" w:rsidRPr="009C5F11">
              <w:rPr>
                <w:rFonts w:ascii="Times New Roman" w:hAnsi="Times New Roman" w:cs="Times New Roman"/>
                <w:sz w:val="18"/>
                <w:szCs w:val="14"/>
                <w:lang w:val="ro-RO" w:eastAsia="de-DE"/>
              </w:rPr>
              <w:t>BERD</w:t>
            </w:r>
            <w:r w:rsidR="00936847" w:rsidRPr="009C5F11">
              <w:rPr>
                <w:rFonts w:ascii="Times New Roman" w:hAnsi="Times New Roman" w:cs="Times New Roman"/>
                <w:sz w:val="18"/>
                <w:szCs w:val="14"/>
                <w:lang w:val="ro-RO" w:eastAsia="de-DE"/>
              </w:rPr>
              <w:t xml:space="preserve"> </w:t>
            </w:r>
            <w:r w:rsidR="00877C4D" w:rsidRPr="009C5F11">
              <w:rPr>
                <w:rFonts w:ascii="Times New Roman" w:hAnsi="Times New Roman" w:cs="Times New Roman"/>
                <w:sz w:val="18"/>
                <w:szCs w:val="14"/>
                <w:lang w:val="ro-RO" w:eastAsia="de-DE"/>
              </w:rPr>
              <w:t>prin intermediul Proiectului</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i/>
                <w:sz w:val="18"/>
                <w:szCs w:val="14"/>
                <w:lang w:val="ro-RO" w:eastAsia="de-DE"/>
              </w:rPr>
              <w:t>“</w:t>
            </w:r>
            <w:r w:rsidR="00D160E1" w:rsidRPr="009C5F11">
              <w:rPr>
                <w:rFonts w:ascii="Times New Roman" w:hAnsi="Times New Roman" w:cs="Times New Roman"/>
                <w:i/>
                <w:sz w:val="18"/>
                <w:szCs w:val="14"/>
                <w:lang w:val="ro-RO" w:eastAsia="de-DE"/>
              </w:rPr>
              <w:t>Foaia de parcurs pentru implementarea DPEC în Republica Moldova</w:t>
            </w:r>
            <w:r w:rsidR="00936847" w:rsidRPr="009C5F11">
              <w:rPr>
                <w:rFonts w:ascii="Times New Roman" w:hAnsi="Times New Roman" w:cs="Times New Roman"/>
                <w:i/>
                <w:sz w:val="18"/>
                <w:szCs w:val="14"/>
                <w:lang w:val="ro-RO" w:eastAsia="de-DE"/>
              </w:rPr>
              <w:t>”</w:t>
            </w:r>
            <w:r w:rsidR="001C3036" w:rsidRPr="009C5F11">
              <w:rPr>
                <w:rFonts w:ascii="Times New Roman" w:hAnsi="Times New Roman" w:cs="Times New Roman"/>
                <w:i/>
                <w:sz w:val="18"/>
                <w:szCs w:val="14"/>
                <w:lang w:val="ro-RO" w:eastAsia="de-DE"/>
              </w:rPr>
              <w:t>.</w:t>
            </w:r>
            <w:r w:rsidR="00936847" w:rsidRPr="009C5F11">
              <w:rPr>
                <w:rFonts w:ascii="Times New Roman" w:hAnsi="Times New Roman" w:cs="Times New Roman"/>
                <w:sz w:val="18"/>
                <w:szCs w:val="14"/>
                <w:lang w:val="ro-RO" w:eastAsia="de-DE"/>
              </w:rPr>
              <w:t xml:space="preserve"> </w:t>
            </w:r>
          </w:p>
        </w:tc>
      </w:tr>
      <w:tr w:rsidR="00936847" w:rsidRPr="009C5F11" w14:paraId="4A761AD1" w14:textId="77777777" w:rsidTr="00BF6432">
        <w:trPr>
          <w:trHeight w:val="75"/>
        </w:trPr>
        <w:tc>
          <w:tcPr>
            <w:tcW w:w="743" w:type="pct"/>
            <w:vMerge/>
          </w:tcPr>
          <w:p w14:paraId="3563DC3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304B8B2"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772E68C4" w14:textId="77777777" w:rsidR="00936847" w:rsidRPr="009C5F11" w:rsidRDefault="00AA056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936847" w:rsidRPr="009C5F11" w14:paraId="7F644CD0" w14:textId="77777777" w:rsidTr="00BF6432">
        <w:trPr>
          <w:trHeight w:val="233"/>
        </w:trPr>
        <w:tc>
          <w:tcPr>
            <w:tcW w:w="743" w:type="pct"/>
            <w:vMerge w:val="restart"/>
          </w:tcPr>
          <w:p w14:paraId="2FEFA842"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1816A7C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382F0875" w14:textId="77777777" w:rsidR="00936847" w:rsidRPr="009C5F11" w:rsidRDefault="008474DB"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936847" w:rsidRPr="009C5F11" w14:paraId="7B20959B" w14:textId="77777777" w:rsidTr="00BF6432">
        <w:trPr>
          <w:trHeight w:val="296"/>
        </w:trPr>
        <w:tc>
          <w:tcPr>
            <w:tcW w:w="743" w:type="pct"/>
            <w:vMerge/>
          </w:tcPr>
          <w:p w14:paraId="45E3BF5F"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D318A6F"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w:t>
            </w:r>
            <w:r w:rsidRPr="009C5F11">
              <w:rPr>
                <w:rFonts w:ascii="Times New Roman" w:hAnsi="Times New Roman" w:cs="Times New Roman"/>
                <w:sz w:val="18"/>
                <w:szCs w:val="14"/>
                <w:lang w:val="ro-RO" w:eastAsia="de-DE"/>
              </w:rPr>
              <w:lastRenderedPageBreak/>
              <w:t>primului PNAEE</w:t>
            </w:r>
            <w:r w:rsidR="00936847" w:rsidRPr="009C5F11">
              <w:rPr>
                <w:rFonts w:ascii="Times New Roman" w:hAnsi="Times New Roman" w:cs="Times New Roman"/>
                <w:sz w:val="18"/>
                <w:szCs w:val="14"/>
                <w:lang w:val="ro-RO" w:eastAsia="de-DE"/>
              </w:rPr>
              <w:t xml:space="preserve"> </w:t>
            </w:r>
          </w:p>
        </w:tc>
        <w:tc>
          <w:tcPr>
            <w:tcW w:w="3244" w:type="pct"/>
          </w:tcPr>
          <w:p w14:paraId="0098A5E3" w14:textId="77777777" w:rsidR="00936847" w:rsidRPr="009C5F11" w:rsidRDefault="008474DB"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lastRenderedPageBreak/>
              <w:t>N/A</w:t>
            </w:r>
          </w:p>
        </w:tc>
      </w:tr>
      <w:tr w:rsidR="00936847" w:rsidRPr="009C5F11" w14:paraId="20D9D86A" w14:textId="77777777" w:rsidTr="00BF6432">
        <w:trPr>
          <w:trHeight w:val="134"/>
        </w:trPr>
        <w:tc>
          <w:tcPr>
            <w:tcW w:w="743" w:type="pct"/>
            <w:vMerge/>
          </w:tcPr>
          <w:p w14:paraId="2C185897"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D0B72D8" w14:textId="77777777" w:rsidR="00936847"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7B41A813" w14:textId="77777777" w:rsidR="00936847" w:rsidRPr="009C5F11" w:rsidRDefault="008474DB"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936847" w:rsidRPr="009C5F11" w14:paraId="5711AC37" w14:textId="77777777" w:rsidTr="00BF6432">
        <w:trPr>
          <w:trHeight w:val="75"/>
        </w:trPr>
        <w:tc>
          <w:tcPr>
            <w:tcW w:w="743" w:type="pct"/>
            <w:vMerge/>
          </w:tcPr>
          <w:p w14:paraId="6050298E"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E571EA0"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2020 </w:t>
            </w:r>
          </w:p>
        </w:tc>
        <w:tc>
          <w:tcPr>
            <w:tcW w:w="3244" w:type="pct"/>
          </w:tcPr>
          <w:p w14:paraId="6F3ECB7F" w14:textId="77777777" w:rsidR="00936847" w:rsidRPr="009C5F11" w:rsidRDefault="008474DB"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936847" w:rsidRPr="009C5F11" w14:paraId="3F47D25A" w14:textId="77777777" w:rsidTr="00BF6432">
        <w:trPr>
          <w:trHeight w:val="125"/>
        </w:trPr>
        <w:tc>
          <w:tcPr>
            <w:tcW w:w="743" w:type="pct"/>
            <w:vMerge/>
          </w:tcPr>
          <w:p w14:paraId="5C08952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04F6EA2" w14:textId="77777777" w:rsidR="00936847" w:rsidRPr="009C5F11" w:rsidRDefault="008474DB">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125418CB"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936847" w:rsidRPr="009C5F11" w14:paraId="14B31402" w14:textId="77777777" w:rsidTr="00BF6432">
        <w:trPr>
          <w:trHeight w:val="611"/>
        </w:trPr>
        <w:tc>
          <w:tcPr>
            <w:tcW w:w="743" w:type="pct"/>
            <w:vMerge/>
          </w:tcPr>
          <w:p w14:paraId="415D9FC9"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FC7BABC"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6C539A88" w14:textId="77777777" w:rsidR="00936847" w:rsidRPr="009C5F11" w:rsidRDefault="00877C4D" w:rsidP="00430626">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Măsura nu asigură economii directe măsurabile</w:t>
            </w:r>
            <w:r w:rsidR="00936847" w:rsidRPr="009C5F11">
              <w:rPr>
                <w:rFonts w:ascii="Times New Roman" w:hAnsi="Times New Roman" w:cs="Times New Roman"/>
                <w:sz w:val="18"/>
                <w:szCs w:val="14"/>
                <w:lang w:val="ro-RO"/>
              </w:rPr>
              <w:t xml:space="preserve">. </w:t>
            </w:r>
          </w:p>
          <w:p w14:paraId="5E5C443F" w14:textId="77777777" w:rsidR="00936847" w:rsidRPr="009C5F11" w:rsidRDefault="00877C4D" w:rsidP="00753AE4">
            <w:pPr>
              <w:keepNext/>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Economiile vor rezulta odată cu implementarea legislaţiei adoptate în </w:t>
            </w:r>
            <w:r w:rsidR="0087273F" w:rsidRPr="009C5F11">
              <w:rPr>
                <w:rFonts w:ascii="Times New Roman" w:hAnsi="Times New Roman" w:cs="Times New Roman"/>
                <w:sz w:val="18"/>
                <w:szCs w:val="14"/>
                <w:lang w:val="ro-RO"/>
              </w:rPr>
              <w:t>clădirile</w:t>
            </w:r>
            <w:r w:rsidRPr="009C5F11">
              <w:rPr>
                <w:rFonts w:ascii="Times New Roman" w:hAnsi="Times New Roman" w:cs="Times New Roman"/>
                <w:sz w:val="18"/>
                <w:szCs w:val="14"/>
                <w:lang w:val="ro-RO"/>
              </w:rPr>
              <w:t xml:space="preserve"> publice, rezidenţiale şi </w:t>
            </w:r>
            <w:r w:rsidR="00753AE4" w:rsidRPr="009C5F11">
              <w:rPr>
                <w:rFonts w:ascii="Times New Roman" w:hAnsi="Times New Roman" w:cs="Times New Roman"/>
                <w:sz w:val="18"/>
                <w:szCs w:val="14"/>
                <w:lang w:val="ro-RO"/>
              </w:rPr>
              <w:t>în clădirile al căror consum de energie este aproape egal cu zero</w:t>
            </w:r>
            <w:r w:rsidR="00936847" w:rsidRPr="009C5F11">
              <w:rPr>
                <w:rFonts w:ascii="Times New Roman" w:hAnsi="Times New Roman" w:cs="Times New Roman"/>
                <w:sz w:val="18"/>
                <w:szCs w:val="14"/>
                <w:lang w:val="ro-RO"/>
              </w:rPr>
              <w:t xml:space="preserve"> </w:t>
            </w:r>
            <w:r w:rsidR="00C55F0D" w:rsidRPr="009C5F11">
              <w:rPr>
                <w:rFonts w:ascii="Times New Roman" w:hAnsi="Times New Roman" w:cs="Times New Roman"/>
                <w:sz w:val="18"/>
                <w:szCs w:val="14"/>
                <w:lang w:val="ro-RO"/>
              </w:rPr>
              <w:t xml:space="preserve">în conformitate </w:t>
            </w:r>
            <w:r w:rsidRPr="009C5F11">
              <w:rPr>
                <w:rFonts w:ascii="Times New Roman" w:hAnsi="Times New Roman" w:cs="Times New Roman"/>
                <w:sz w:val="18"/>
                <w:szCs w:val="14"/>
                <w:lang w:val="ro-RO"/>
              </w:rPr>
              <w:t>cu măsurile aplicabile</w:t>
            </w:r>
            <w:r w:rsidR="00753AE4" w:rsidRPr="009C5F11">
              <w:rPr>
                <w:rFonts w:ascii="Times New Roman" w:hAnsi="Times New Roman" w:cs="Times New Roman"/>
                <w:sz w:val="18"/>
                <w:szCs w:val="14"/>
                <w:lang w:val="ro-RO"/>
              </w:rPr>
              <w:t>.</w:t>
            </w:r>
          </w:p>
        </w:tc>
      </w:tr>
    </w:tbl>
    <w:p w14:paraId="35135284" w14:textId="77777777" w:rsidR="00936847" w:rsidRPr="009C5F11" w:rsidRDefault="00936847" w:rsidP="004479FA">
      <w:pPr>
        <w:pStyle w:val="Legend"/>
        <w:rPr>
          <w:rFonts w:ascii="Times New Roman" w:hAnsi="Times New Roman" w:cs="Times New Roman"/>
          <w:b/>
          <w:bCs w:val="0"/>
          <w:sz w:val="22"/>
          <w:lang w:val="ro-RO"/>
        </w:rPr>
        <w:sectPr w:rsidR="00936847" w:rsidRPr="009C5F11" w:rsidSect="00430626">
          <w:pgSz w:w="11907" w:h="16840" w:code="9"/>
          <w:pgMar w:top="1440" w:right="1440" w:bottom="1440" w:left="1440" w:header="720" w:footer="720" w:gutter="0"/>
          <w:cols w:space="720"/>
          <w:docGrid w:linePitch="360"/>
        </w:sectPr>
      </w:pPr>
    </w:p>
    <w:p w14:paraId="415157DD" w14:textId="77777777" w:rsidR="00884CED" w:rsidRPr="009C5F11" w:rsidRDefault="00321CD5" w:rsidP="00884CED">
      <w:pPr>
        <w:pStyle w:val="Legend"/>
        <w:keepNext/>
        <w:jc w:val="center"/>
        <w:rPr>
          <w:rFonts w:ascii="Times New Roman" w:hAnsi="Times New Roman" w:cs="Times New Roman"/>
          <w:b/>
          <w:sz w:val="22"/>
          <w:lang w:val="ro-RO"/>
        </w:rPr>
      </w:pPr>
      <w:bookmarkStart w:id="191" w:name="_Toc447724120"/>
      <w:r w:rsidRPr="009C5F11">
        <w:rPr>
          <w:rFonts w:ascii="Times New Roman" w:hAnsi="Times New Roman" w:cs="Times New Roman"/>
          <w:b/>
          <w:sz w:val="22"/>
          <w:lang w:val="ro-RO"/>
        </w:rPr>
        <w:lastRenderedPageBreak/>
        <w:t>Tabelul</w:t>
      </w:r>
      <w:r w:rsidR="00884CED" w:rsidRPr="009C5F11">
        <w:rPr>
          <w:rFonts w:ascii="Times New Roman" w:hAnsi="Times New Roman" w:cs="Times New Roman"/>
          <w:b/>
          <w:sz w:val="22"/>
          <w:lang w:val="ro-RO"/>
        </w:rPr>
        <w:t xml:space="preserve"> B </w:t>
      </w:r>
      <w:r w:rsidR="003A6ADB" w:rsidRPr="009C5F11">
        <w:rPr>
          <w:rFonts w:ascii="Times New Roman" w:hAnsi="Times New Roman" w:cs="Times New Roman"/>
          <w:b/>
          <w:sz w:val="22"/>
          <w:lang w:val="ro-RO"/>
        </w:rPr>
        <w:fldChar w:fldCharType="begin"/>
      </w:r>
      <w:r w:rsidR="00884CED" w:rsidRPr="009C5F11">
        <w:rPr>
          <w:rFonts w:ascii="Times New Roman" w:hAnsi="Times New Roman" w:cs="Times New Roman"/>
          <w:b/>
          <w:sz w:val="22"/>
          <w:lang w:val="ro-RO"/>
        </w:rPr>
        <w:instrText xml:space="preserve"> SEQ Table_B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2</w:t>
      </w:r>
      <w:r w:rsidR="003A6ADB" w:rsidRPr="009C5F11">
        <w:rPr>
          <w:rFonts w:ascii="Times New Roman" w:hAnsi="Times New Roman" w:cs="Times New Roman"/>
          <w:b/>
          <w:sz w:val="22"/>
          <w:lang w:val="ro-RO"/>
        </w:rPr>
        <w:fldChar w:fldCharType="end"/>
      </w:r>
      <w:r w:rsidR="00884CED" w:rsidRPr="009C5F11">
        <w:rPr>
          <w:rFonts w:ascii="Times New Roman" w:hAnsi="Times New Roman" w:cs="Times New Roman"/>
          <w:b/>
          <w:sz w:val="22"/>
          <w:lang w:val="ro-RO"/>
        </w:rPr>
        <w:t xml:space="preserve"> - </w:t>
      </w:r>
      <w:r w:rsidR="00D160E1" w:rsidRPr="009C5F11">
        <w:rPr>
          <w:rFonts w:ascii="Times New Roman" w:hAnsi="Times New Roman" w:cs="Times New Roman"/>
          <w:b/>
          <w:sz w:val="22"/>
          <w:lang w:val="ro-RO"/>
        </w:rPr>
        <w:t>Promovarea clădirilor al căror consum de energie este aproape egal cu zero</w:t>
      </w:r>
      <w:bookmarkEnd w:id="1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936847" w:rsidRPr="009C5F11" w14:paraId="280098A2" w14:textId="77777777" w:rsidTr="00BF6432">
        <w:trPr>
          <w:trHeight w:val="79"/>
        </w:trPr>
        <w:tc>
          <w:tcPr>
            <w:tcW w:w="1756" w:type="pct"/>
            <w:gridSpan w:val="2"/>
          </w:tcPr>
          <w:p w14:paraId="68A47ED1" w14:textId="77777777" w:rsidR="00936847" w:rsidRPr="009C5F11" w:rsidRDefault="0094635F"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09A20759" w14:textId="77777777" w:rsidR="00936847" w:rsidRPr="009C5F11" w:rsidRDefault="00D160E1" w:rsidP="00430626">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Promovarea clădirilor al căror consum de energie este aproape egal cu zero</w:t>
            </w:r>
          </w:p>
        </w:tc>
      </w:tr>
      <w:tr w:rsidR="00936847" w:rsidRPr="009C5F11" w14:paraId="1542D5FD" w14:textId="77777777" w:rsidTr="00BF6432">
        <w:trPr>
          <w:trHeight w:val="98"/>
        </w:trPr>
        <w:tc>
          <w:tcPr>
            <w:tcW w:w="1756" w:type="pct"/>
            <w:gridSpan w:val="2"/>
          </w:tcPr>
          <w:p w14:paraId="39EC3447" w14:textId="77777777" w:rsidR="00936847" w:rsidRPr="009C5F11" w:rsidRDefault="00E46DD7"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359E4ED3" w14:textId="77777777" w:rsidR="00936847" w:rsidRPr="009C5F11" w:rsidRDefault="00936847" w:rsidP="00430626">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B2</w:t>
            </w:r>
          </w:p>
        </w:tc>
      </w:tr>
      <w:tr w:rsidR="00936847" w:rsidRPr="009C5F11" w14:paraId="3B6FCA4C" w14:textId="77777777" w:rsidTr="00BF6432">
        <w:trPr>
          <w:trHeight w:val="107"/>
        </w:trPr>
        <w:tc>
          <w:tcPr>
            <w:tcW w:w="743" w:type="pct"/>
            <w:vMerge w:val="restart"/>
          </w:tcPr>
          <w:p w14:paraId="4017FC8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733F10DE"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5577085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5287B677" w14:textId="77777777" w:rsidR="00936847" w:rsidRPr="009C5F11" w:rsidRDefault="008624F5"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Codurile </w:t>
            </w:r>
            <w:r w:rsidR="008474DB" w:rsidRPr="009C5F11">
              <w:rPr>
                <w:rFonts w:ascii="Times New Roman" w:hAnsi="Times New Roman" w:cs="Times New Roman"/>
                <w:sz w:val="18"/>
                <w:szCs w:val="14"/>
                <w:lang w:val="ro-RO" w:eastAsia="de-DE"/>
              </w:rPr>
              <w:t xml:space="preserve">in domeniul </w:t>
            </w:r>
            <w:r w:rsidRPr="009C5F11">
              <w:rPr>
                <w:rFonts w:ascii="Times New Roman" w:hAnsi="Times New Roman" w:cs="Times New Roman"/>
                <w:sz w:val="18"/>
                <w:szCs w:val="14"/>
                <w:lang w:val="ro-RO" w:eastAsia="de-DE"/>
              </w:rPr>
              <w:t>construcţiilor şi punerea în aplicare</w:t>
            </w:r>
          </w:p>
        </w:tc>
      </w:tr>
      <w:tr w:rsidR="00936847" w:rsidRPr="009C5F11" w14:paraId="56FD532E" w14:textId="77777777" w:rsidTr="00BF6432">
        <w:trPr>
          <w:trHeight w:val="476"/>
        </w:trPr>
        <w:tc>
          <w:tcPr>
            <w:tcW w:w="743" w:type="pct"/>
            <w:vMerge/>
          </w:tcPr>
          <w:p w14:paraId="4AB0A1FF"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5438C0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3B60B573"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2013</w:t>
            </w:r>
            <w:r w:rsidR="001C3036" w:rsidRPr="009C5F11">
              <w:rPr>
                <w:rFonts w:ascii="Times New Roman" w:hAnsi="Times New Roman" w:cs="Times New Roman"/>
                <w:b/>
                <w:sz w:val="18"/>
                <w:szCs w:val="14"/>
                <w:lang w:val="ro-RO" w:eastAsia="de-DE"/>
              </w:rPr>
              <w:t>.</w:t>
            </w:r>
          </w:p>
          <w:p w14:paraId="081DD7D2"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2020</w:t>
            </w:r>
            <w:r w:rsidR="001C3036" w:rsidRPr="009C5F11">
              <w:rPr>
                <w:rFonts w:ascii="Times New Roman" w:hAnsi="Times New Roman" w:cs="Times New Roman"/>
                <w:b/>
                <w:sz w:val="18"/>
                <w:szCs w:val="14"/>
                <w:lang w:val="ro-RO" w:eastAsia="de-DE"/>
              </w:rPr>
              <w:t>.</w:t>
            </w:r>
          </w:p>
          <w:p w14:paraId="7BED3AFF" w14:textId="77777777" w:rsidR="00936847" w:rsidRPr="009C5F11" w:rsidRDefault="00230144" w:rsidP="00A861EB">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w:t>
            </w:r>
            <w:r w:rsidR="00A861EB" w:rsidRPr="009C5F11">
              <w:rPr>
                <w:rFonts w:ascii="Times New Roman" w:hAnsi="Times New Roman" w:cs="Times New Roman"/>
                <w:sz w:val="18"/>
                <w:szCs w:val="14"/>
                <w:lang w:val="ro-RO" w:eastAsia="de-DE"/>
              </w:rPr>
              <w:t>ă preluată</w:t>
            </w:r>
            <w:r w:rsidRPr="009C5F11">
              <w:rPr>
                <w:rFonts w:ascii="Times New Roman" w:hAnsi="Times New Roman" w:cs="Times New Roman"/>
                <w:sz w:val="18"/>
                <w:szCs w:val="14"/>
                <w:lang w:val="ro-RO" w:eastAsia="de-DE"/>
              </w:rPr>
              <w:t xml:space="preserve"> din</w:t>
            </w:r>
            <w:r w:rsidR="00210C2C" w:rsidRPr="009C5F11">
              <w:rPr>
                <w:rFonts w:ascii="Times New Roman" w:hAnsi="Times New Roman" w:cs="Times New Roman"/>
                <w:sz w:val="18"/>
                <w:szCs w:val="14"/>
                <w:lang w:val="ro-RO" w:eastAsia="de-DE"/>
              </w:rPr>
              <w:t xml:space="preserve"> PNAEE 2013-2015</w:t>
            </w:r>
            <w:r w:rsidR="00936847" w:rsidRPr="009C5F11">
              <w:rPr>
                <w:rFonts w:ascii="Times New Roman" w:hAnsi="Times New Roman" w:cs="Times New Roman"/>
                <w:sz w:val="18"/>
                <w:szCs w:val="14"/>
                <w:lang w:val="ro-RO" w:eastAsia="de-DE"/>
              </w:rPr>
              <w:t xml:space="preserve"> </w:t>
            </w:r>
            <w:r w:rsidR="000B4699" w:rsidRPr="009C5F11">
              <w:rPr>
                <w:rFonts w:ascii="Times New Roman" w:hAnsi="Times New Roman" w:cs="Times New Roman"/>
                <w:sz w:val="18"/>
                <w:szCs w:val="14"/>
                <w:lang w:val="ro-RO" w:eastAsia="de-DE"/>
              </w:rPr>
              <w:t>şi continu</w:t>
            </w:r>
            <w:r w:rsidR="00A861EB" w:rsidRPr="009C5F11">
              <w:rPr>
                <w:rFonts w:ascii="Times New Roman" w:hAnsi="Times New Roman" w:cs="Times New Roman"/>
                <w:sz w:val="18"/>
                <w:szCs w:val="14"/>
                <w:lang w:val="ro-RO" w:eastAsia="de-DE"/>
              </w:rPr>
              <w:t>at</w:t>
            </w:r>
            <w:r w:rsidR="000B4699" w:rsidRPr="009C5F11">
              <w:rPr>
                <w:rFonts w:ascii="Times New Roman" w:hAnsi="Times New Roman" w:cs="Times New Roman"/>
                <w:sz w:val="18"/>
                <w:szCs w:val="14"/>
                <w:lang w:val="ro-RO" w:eastAsia="de-DE"/>
              </w:rPr>
              <w:t>ă</w:t>
            </w:r>
            <w:r w:rsidR="00936847" w:rsidRPr="009C5F11">
              <w:rPr>
                <w:rFonts w:ascii="Times New Roman" w:hAnsi="Times New Roman" w:cs="Times New Roman"/>
                <w:sz w:val="18"/>
                <w:szCs w:val="14"/>
                <w:lang w:val="ro-RO" w:eastAsia="de-DE"/>
              </w:rPr>
              <w:t xml:space="preserve"> </w:t>
            </w:r>
            <w:r w:rsidR="000B4699" w:rsidRPr="009C5F11">
              <w:rPr>
                <w:rFonts w:ascii="Times New Roman" w:hAnsi="Times New Roman" w:cs="Times New Roman"/>
                <w:sz w:val="18"/>
                <w:szCs w:val="14"/>
                <w:lang w:val="ro-RO" w:eastAsia="de-DE"/>
              </w:rPr>
              <w:t>în perioada</w:t>
            </w:r>
            <w:r w:rsidR="00936847" w:rsidRPr="009C5F11">
              <w:rPr>
                <w:rFonts w:ascii="Times New Roman" w:hAnsi="Times New Roman" w:cs="Times New Roman"/>
                <w:sz w:val="18"/>
                <w:szCs w:val="14"/>
                <w:lang w:val="ro-RO" w:eastAsia="de-DE"/>
              </w:rPr>
              <w:t xml:space="preserve"> 2016-2018</w:t>
            </w:r>
            <w:r w:rsidR="000B4699" w:rsidRPr="009C5F11">
              <w:rPr>
                <w:rFonts w:ascii="Times New Roman" w:hAnsi="Times New Roman" w:cs="Times New Roman"/>
                <w:sz w:val="18"/>
                <w:szCs w:val="14"/>
                <w:lang w:val="ro-RO" w:eastAsia="de-DE"/>
              </w:rPr>
              <w:t xml:space="preserve">, extinzând registrul de </w:t>
            </w:r>
            <w:r w:rsidR="008F7BD5" w:rsidRPr="009C5F11">
              <w:rPr>
                <w:rFonts w:ascii="Times New Roman" w:hAnsi="Times New Roman" w:cs="Times New Roman"/>
                <w:sz w:val="18"/>
                <w:szCs w:val="14"/>
                <w:lang w:val="ro-RO" w:eastAsia="de-DE"/>
              </w:rPr>
              <w:t>acţiuni</w:t>
            </w:r>
            <w:r w:rsidR="00936847" w:rsidRPr="009C5F11">
              <w:rPr>
                <w:rFonts w:ascii="Times New Roman" w:hAnsi="Times New Roman" w:cs="Times New Roman"/>
                <w:sz w:val="18"/>
                <w:szCs w:val="14"/>
                <w:lang w:val="ro-RO" w:eastAsia="de-DE"/>
              </w:rPr>
              <w:t>.</w:t>
            </w:r>
          </w:p>
        </w:tc>
      </w:tr>
      <w:tr w:rsidR="00936847" w:rsidRPr="009C5F11" w14:paraId="0E393082" w14:textId="77777777" w:rsidTr="00BF6432">
        <w:trPr>
          <w:trHeight w:val="107"/>
        </w:trPr>
        <w:tc>
          <w:tcPr>
            <w:tcW w:w="743" w:type="pct"/>
            <w:vMerge/>
          </w:tcPr>
          <w:p w14:paraId="4F6CE00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EDA6D78"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3CA645AC" w14:textId="77777777" w:rsidR="00936847" w:rsidRPr="009C5F11" w:rsidRDefault="00127E34"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Respectarea Directivei</w:t>
            </w:r>
            <w:r w:rsidR="000A4CC7" w:rsidRPr="009C5F11">
              <w:rPr>
                <w:rFonts w:ascii="Times New Roman" w:hAnsi="Times New Roman" w:cs="Times New Roman"/>
                <w:sz w:val="18"/>
                <w:szCs w:val="14"/>
                <w:lang w:val="ro-RO" w:eastAsia="de-DE"/>
              </w:rPr>
              <w:t xml:space="preserve"> </w:t>
            </w:r>
            <w:r w:rsidR="00F03954" w:rsidRPr="009C5F11">
              <w:rPr>
                <w:rFonts w:ascii="Times New Roman" w:hAnsi="Times New Roman" w:cs="Times New Roman"/>
                <w:sz w:val="18"/>
                <w:szCs w:val="14"/>
                <w:lang w:val="ro-RO" w:eastAsia="de-DE"/>
              </w:rPr>
              <w:t>privind performanţa</w:t>
            </w:r>
            <w:r w:rsidR="00E46DD7" w:rsidRPr="009C5F11">
              <w:rPr>
                <w:rFonts w:ascii="Times New Roman" w:hAnsi="Times New Roman" w:cs="Times New Roman"/>
                <w:sz w:val="18"/>
                <w:szCs w:val="14"/>
                <w:lang w:val="ro-RO" w:eastAsia="de-DE"/>
              </w:rPr>
              <w:t xml:space="preserve"> energetică</w:t>
            </w:r>
            <w:r w:rsidR="004424A0" w:rsidRPr="009C5F11">
              <w:rPr>
                <w:rFonts w:ascii="Times New Roman" w:hAnsi="Times New Roman" w:cs="Times New Roman"/>
                <w:sz w:val="18"/>
                <w:szCs w:val="14"/>
                <w:lang w:val="ro-RO" w:eastAsia="de-DE"/>
              </w:rPr>
              <w:t xml:space="preserve"> a clădirilor</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care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stipulează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elaborarea planurilor naţionale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pentru a </w:t>
            </w:r>
            <w:r w:rsidR="001C3036" w:rsidRPr="009C5F11">
              <w:rPr>
                <w:rFonts w:ascii="Times New Roman" w:hAnsi="Times New Roman" w:cs="Times New Roman"/>
                <w:sz w:val="18"/>
                <w:szCs w:val="14"/>
                <w:lang w:val="ro-RO" w:eastAsia="de-DE"/>
              </w:rPr>
              <w:t>creşte</w:t>
            </w:r>
            <w:r w:rsidRPr="009C5F11">
              <w:rPr>
                <w:rFonts w:ascii="Times New Roman" w:hAnsi="Times New Roman" w:cs="Times New Roman"/>
                <w:sz w:val="18"/>
                <w:szCs w:val="14"/>
                <w:lang w:val="ro-RO" w:eastAsia="de-DE"/>
              </w:rPr>
              <w:t xml:space="preserve"> numărul de clădiri al căror consum energetic este aproape egal cu zero</w:t>
            </w:r>
            <w:r w:rsidR="00936847" w:rsidRPr="009C5F11">
              <w:rPr>
                <w:rFonts w:ascii="Times New Roman" w:hAnsi="Times New Roman" w:cs="Times New Roman"/>
                <w:sz w:val="18"/>
                <w:szCs w:val="14"/>
                <w:lang w:val="ro-RO" w:eastAsia="de-DE"/>
              </w:rPr>
              <w:t xml:space="preserve">. </w:t>
            </w:r>
          </w:p>
          <w:p w14:paraId="51CBB059" w14:textId="77777777" w:rsidR="00936847" w:rsidRPr="009C5F11" w:rsidRDefault="00127E34" w:rsidP="00127E34">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Reducerea consumului de energie</w:t>
            </w:r>
            <w:r w:rsidR="00936847" w:rsidRPr="009C5F11">
              <w:rPr>
                <w:rFonts w:ascii="Times New Roman" w:hAnsi="Times New Roman" w:cs="Times New Roman"/>
                <w:sz w:val="18"/>
                <w:szCs w:val="14"/>
                <w:lang w:val="ro-RO" w:eastAsia="de-DE"/>
              </w:rPr>
              <w:t xml:space="preserve"> per m</w:t>
            </w:r>
            <w:r w:rsidR="00936847" w:rsidRPr="009C5F11">
              <w:rPr>
                <w:rFonts w:ascii="Times New Roman" w:hAnsi="Times New Roman" w:cs="Times New Roman"/>
                <w:sz w:val="18"/>
                <w:szCs w:val="14"/>
                <w:vertAlign w:val="superscript"/>
                <w:lang w:val="ro-RO" w:eastAsia="de-DE"/>
              </w:rPr>
              <w:t>2</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acoperind o parte semnificativă </w:t>
            </w:r>
            <w:r w:rsidR="00603237" w:rsidRPr="009C5F11">
              <w:rPr>
                <w:rFonts w:ascii="Times New Roman" w:hAnsi="Times New Roman" w:cs="Times New Roman"/>
                <w:sz w:val="18"/>
                <w:szCs w:val="14"/>
                <w:lang w:val="ro-RO" w:eastAsia="de-DE"/>
              </w:rPr>
              <w:t>din</w:t>
            </w:r>
            <w:r w:rsidR="00936847" w:rsidRPr="009C5F11">
              <w:rPr>
                <w:rFonts w:ascii="Times New Roman" w:hAnsi="Times New Roman" w:cs="Times New Roman"/>
                <w:sz w:val="18"/>
                <w:szCs w:val="14"/>
                <w:lang w:val="ro-RO" w:eastAsia="de-DE"/>
              </w:rPr>
              <w:t xml:space="preserve"> </w:t>
            </w:r>
            <w:r w:rsidR="00FF7936" w:rsidRPr="009C5F11">
              <w:rPr>
                <w:rFonts w:ascii="Times New Roman" w:hAnsi="Times New Roman" w:cs="Times New Roman"/>
                <w:sz w:val="18"/>
                <w:szCs w:val="14"/>
                <w:lang w:val="ro-RO" w:eastAsia="de-DE"/>
              </w:rPr>
              <w:t>surse regenerabile de energie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Creşterea numărului de clădiri al căror consum energetic este aproape egal cu zero</w:t>
            </w:r>
            <w:r w:rsidR="00936847" w:rsidRPr="009C5F11">
              <w:rPr>
                <w:rFonts w:ascii="Times New Roman" w:hAnsi="Times New Roman" w:cs="Times New Roman"/>
                <w:sz w:val="18"/>
                <w:szCs w:val="14"/>
                <w:lang w:val="ro-RO" w:eastAsia="de-DE"/>
              </w:rPr>
              <w:t>.</w:t>
            </w:r>
          </w:p>
        </w:tc>
      </w:tr>
      <w:tr w:rsidR="00936847" w:rsidRPr="009C5F11" w14:paraId="1960AD37" w14:textId="77777777" w:rsidTr="00BF6432">
        <w:trPr>
          <w:trHeight w:val="170"/>
        </w:trPr>
        <w:tc>
          <w:tcPr>
            <w:tcW w:w="743" w:type="pct"/>
            <w:vMerge/>
          </w:tcPr>
          <w:p w14:paraId="4306AD77"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239779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21AD88AA" w14:textId="77777777" w:rsidR="00936847" w:rsidRPr="009C5F11" w:rsidRDefault="00E46DD7"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Clădirile noi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clădirile existente</w:t>
            </w:r>
          </w:p>
        </w:tc>
      </w:tr>
      <w:tr w:rsidR="00936847" w:rsidRPr="009C5F11" w14:paraId="62C67EC2" w14:textId="77777777" w:rsidTr="00BF6432">
        <w:trPr>
          <w:trHeight w:val="98"/>
        </w:trPr>
        <w:tc>
          <w:tcPr>
            <w:tcW w:w="743" w:type="pct"/>
            <w:vMerge/>
          </w:tcPr>
          <w:p w14:paraId="2CE1C716"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C9F61FE"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397F46A8" w14:textId="77777777" w:rsidR="00936847" w:rsidRPr="009C5F11" w:rsidRDefault="0076167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Locuitorii construcţiilor din sectorul public şi cel </w:t>
            </w:r>
            <w:r w:rsidR="0087273F" w:rsidRPr="009C5F11">
              <w:rPr>
                <w:rFonts w:ascii="Times New Roman" w:hAnsi="Times New Roman" w:cs="Times New Roman"/>
                <w:sz w:val="18"/>
                <w:szCs w:val="14"/>
                <w:lang w:val="ro-RO" w:eastAsia="de-DE"/>
              </w:rPr>
              <w:t>rezidențial</w:t>
            </w:r>
            <w:r w:rsidR="001C3036" w:rsidRPr="009C5F11">
              <w:rPr>
                <w:rFonts w:ascii="Times New Roman" w:hAnsi="Times New Roman" w:cs="Times New Roman"/>
                <w:sz w:val="18"/>
                <w:szCs w:val="14"/>
                <w:lang w:val="ro-RO" w:eastAsia="de-DE"/>
              </w:rPr>
              <w:t>.</w:t>
            </w:r>
          </w:p>
        </w:tc>
      </w:tr>
      <w:tr w:rsidR="00936847" w:rsidRPr="009C5F11" w14:paraId="7BB15E55" w14:textId="77777777" w:rsidTr="00BF6432">
        <w:trPr>
          <w:trHeight w:val="116"/>
        </w:trPr>
        <w:tc>
          <w:tcPr>
            <w:tcW w:w="743" w:type="pct"/>
            <w:vMerge/>
          </w:tcPr>
          <w:p w14:paraId="73F9CF9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19E8C88"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4A8216CC" w14:textId="77777777" w:rsidR="00936847" w:rsidRPr="009C5F11" w:rsidRDefault="0076167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936847" w:rsidRPr="009C5F11" w14:paraId="2D2E7632" w14:textId="77777777" w:rsidTr="00BF6432">
        <w:trPr>
          <w:trHeight w:val="476"/>
        </w:trPr>
        <w:tc>
          <w:tcPr>
            <w:tcW w:w="743" w:type="pct"/>
            <w:vMerge w:val="restart"/>
          </w:tcPr>
          <w:p w14:paraId="5E7CD4FE"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760406B0"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244" w:type="pct"/>
          </w:tcPr>
          <w:p w14:paraId="138175CB" w14:textId="77777777" w:rsidR="00936847" w:rsidRPr="009C5F11" w:rsidRDefault="0076167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Sarcinile principale ale autorităţii publice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ce decurg din dispoziţiile Legii</w:t>
            </w:r>
            <w:r w:rsidR="00055095"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128/2014:</w:t>
            </w:r>
          </w:p>
          <w:p w14:paraId="689096EE"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§34 </w:t>
            </w:r>
            <w:r w:rsidR="00127E34" w:rsidRPr="009C5F11">
              <w:rPr>
                <w:rFonts w:ascii="Times New Roman" w:hAnsi="Times New Roman" w:cs="Times New Roman"/>
                <w:sz w:val="18"/>
                <w:szCs w:val="14"/>
                <w:lang w:val="ro-RO" w:eastAsia="de-DE"/>
              </w:rPr>
              <w:t>Stimulente financiare pentru promovarea îmbunătăţirii performanţei energetice a clădirilor:</w:t>
            </w:r>
          </w:p>
          <w:p w14:paraId="0DFB0C6B" w14:textId="77777777" w:rsidR="00936847" w:rsidRPr="009C5F11" w:rsidRDefault="00936847" w:rsidP="00430626">
            <w:pPr>
              <w:tabs>
                <w:tab w:val="left" w:pos="1440"/>
                <w:tab w:val="left" w:pos="5040"/>
                <w:tab w:val="right" w:pos="8504"/>
              </w:tabs>
              <w:spacing w:before="40" w:after="0" w:line="240" w:lineRule="auto"/>
              <w:ind w:firstLine="34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34(2) </w:t>
            </w:r>
            <w:r w:rsidR="00874EFD" w:rsidRPr="009C5F11">
              <w:rPr>
                <w:rFonts w:ascii="Times New Roman" w:hAnsi="Times New Roman" w:cs="Times New Roman"/>
                <w:sz w:val="18"/>
                <w:szCs w:val="14"/>
                <w:lang w:val="ro-RO" w:eastAsia="de-DE"/>
              </w:rPr>
              <w:t>stabilirea şi implementarea stimulentelor financiare pentru</w:t>
            </w:r>
            <w:r w:rsidRPr="009C5F11">
              <w:rPr>
                <w:rFonts w:ascii="Times New Roman" w:hAnsi="Times New Roman" w:cs="Times New Roman"/>
                <w:sz w:val="18"/>
                <w:szCs w:val="14"/>
                <w:lang w:val="ro-RO" w:eastAsia="de-DE"/>
              </w:rPr>
              <w:t>:</w:t>
            </w:r>
          </w:p>
          <w:p w14:paraId="7318242F" w14:textId="77777777" w:rsidR="00936847" w:rsidRPr="009C5F11" w:rsidRDefault="00874EFD" w:rsidP="00334F3B">
            <w:pPr>
              <w:numPr>
                <w:ilvl w:val="0"/>
                <w:numId w:val="72"/>
              </w:numPr>
              <w:tabs>
                <w:tab w:val="left" w:pos="612"/>
                <w:tab w:val="left" w:pos="5040"/>
                <w:tab w:val="right" w:pos="8504"/>
              </w:tabs>
              <w:spacing w:after="40" w:line="240" w:lineRule="auto"/>
              <w:ind w:left="612" w:hanging="252"/>
              <w:jc w:val="both"/>
              <w:rPr>
                <w:rFonts w:ascii="Times New Roman" w:hAnsi="Times New Roman" w:cs="Times New Roman"/>
                <w:sz w:val="18"/>
                <w:szCs w:val="14"/>
                <w:u w:val="single"/>
                <w:lang w:val="ro-RO" w:eastAsia="de-DE"/>
              </w:rPr>
            </w:pPr>
            <w:r w:rsidRPr="009C5F11">
              <w:rPr>
                <w:rFonts w:ascii="Times New Roman" w:eastAsia="Times New Roman" w:hAnsi="Times New Roman" w:cs="Times New Roman"/>
                <w:color w:val="000000"/>
                <w:sz w:val="18"/>
                <w:szCs w:val="14"/>
                <w:lang w:val="ro-RO"/>
              </w:rPr>
              <w:t xml:space="preserve">promovarea </w:t>
            </w:r>
            <w:r w:rsidRPr="009C5F11">
              <w:rPr>
                <w:rFonts w:ascii="Times New Roman" w:eastAsia="Times New Roman" w:hAnsi="Times New Roman" w:cs="Times New Roman"/>
                <w:color w:val="000000"/>
                <w:sz w:val="18"/>
                <w:szCs w:val="14"/>
                <w:u w:val="single"/>
                <w:lang w:val="ro-RO"/>
              </w:rPr>
              <w:t>construcţiei clădirilor noi al căror consum de energie este aproape egal cu zero şi promovarea transformării clădirilor existente în clădiri al căror consum de energie este aproape egal cu zero</w:t>
            </w:r>
            <w:r w:rsidR="00936847" w:rsidRPr="009C5F11">
              <w:rPr>
                <w:rFonts w:ascii="Times New Roman" w:hAnsi="Times New Roman" w:cs="Times New Roman"/>
                <w:sz w:val="18"/>
                <w:szCs w:val="14"/>
                <w:lang w:val="ro-RO" w:eastAsia="de-DE"/>
              </w:rPr>
              <w:t>;</w:t>
            </w:r>
          </w:p>
          <w:p w14:paraId="00310B93" w14:textId="77777777" w:rsidR="00936847" w:rsidRPr="009C5F11" w:rsidRDefault="00C55F0D" w:rsidP="00430626">
            <w:pPr>
              <w:tabs>
                <w:tab w:val="left" w:pos="1440"/>
                <w:tab w:val="left" w:pos="5040"/>
                <w:tab w:val="right" w:pos="8504"/>
              </w:tabs>
              <w:spacing w:before="40" w:after="0" w:line="240" w:lineRule="auto"/>
              <w:ind w:left="252" w:hanging="252"/>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Principalele acţiuni</w:t>
            </w:r>
            <w:r w:rsidR="00321CD5" w:rsidRPr="009C5F11">
              <w:rPr>
                <w:rFonts w:ascii="Times New Roman" w:hAnsi="Times New Roman" w:cs="Times New Roman"/>
                <w:sz w:val="18"/>
                <w:szCs w:val="14"/>
                <w:lang w:val="ro-RO" w:eastAsia="de-DE"/>
              </w:rPr>
              <w:t xml:space="preserve"> </w:t>
            </w:r>
            <w:r w:rsidR="00874EFD" w:rsidRPr="009C5F11">
              <w:rPr>
                <w:rFonts w:ascii="Times New Roman" w:hAnsi="Times New Roman" w:cs="Times New Roman"/>
                <w:sz w:val="18"/>
                <w:szCs w:val="14"/>
                <w:lang w:val="ro-RO" w:eastAsia="de-DE"/>
              </w:rPr>
              <w:t xml:space="preserve">conforme cu dispoziţiile </w:t>
            </w:r>
            <w:r w:rsidR="00055095" w:rsidRPr="009C5F11">
              <w:rPr>
                <w:rFonts w:ascii="Times New Roman" w:hAnsi="Times New Roman" w:cs="Times New Roman"/>
                <w:sz w:val="18"/>
                <w:szCs w:val="14"/>
                <w:lang w:val="ro-RO" w:eastAsia="de-DE"/>
              </w:rPr>
              <w:t>Leg</w:t>
            </w:r>
            <w:r w:rsidR="00874EFD" w:rsidRPr="009C5F11">
              <w:rPr>
                <w:rFonts w:ascii="Times New Roman" w:hAnsi="Times New Roman" w:cs="Times New Roman"/>
                <w:sz w:val="18"/>
                <w:szCs w:val="14"/>
                <w:lang w:val="ro-RO" w:eastAsia="de-DE"/>
              </w:rPr>
              <w:t>ii</w:t>
            </w:r>
            <w:r w:rsidR="00055095"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 xml:space="preserve">128/2014 </w:t>
            </w:r>
            <w:r w:rsidR="00874EFD" w:rsidRPr="009C5F11">
              <w:rPr>
                <w:rFonts w:ascii="Times New Roman" w:hAnsi="Times New Roman" w:cs="Times New Roman"/>
                <w:sz w:val="18"/>
                <w:szCs w:val="14"/>
                <w:lang w:val="ro-RO" w:eastAsia="de-DE"/>
              </w:rPr>
              <w:t>până în</w:t>
            </w:r>
            <w:r w:rsidR="00936847" w:rsidRPr="009C5F11">
              <w:rPr>
                <w:rFonts w:ascii="Times New Roman" w:hAnsi="Times New Roman" w:cs="Times New Roman"/>
                <w:sz w:val="18"/>
                <w:szCs w:val="14"/>
                <w:lang w:val="ro-RO" w:eastAsia="de-DE"/>
              </w:rPr>
              <w:t xml:space="preserve"> </w:t>
            </w:r>
            <w:r w:rsidR="00874EFD" w:rsidRPr="009C5F11">
              <w:rPr>
                <w:rFonts w:ascii="Times New Roman" w:hAnsi="Times New Roman" w:cs="Times New Roman"/>
                <w:sz w:val="18"/>
                <w:szCs w:val="14"/>
                <w:lang w:val="ro-RO" w:eastAsia="de-DE"/>
              </w:rPr>
              <w:t xml:space="preserve">anul </w:t>
            </w:r>
            <w:r w:rsidR="00936847" w:rsidRPr="009C5F11">
              <w:rPr>
                <w:rFonts w:ascii="Times New Roman" w:hAnsi="Times New Roman" w:cs="Times New Roman"/>
                <w:sz w:val="18"/>
                <w:szCs w:val="14"/>
                <w:lang w:val="ro-RO" w:eastAsia="de-DE"/>
              </w:rPr>
              <w:t xml:space="preserve">2017 </w:t>
            </w:r>
            <w:r w:rsidR="00874EFD" w:rsidRPr="009C5F11">
              <w:rPr>
                <w:rFonts w:ascii="Times New Roman" w:hAnsi="Times New Roman" w:cs="Times New Roman"/>
                <w:sz w:val="18"/>
                <w:szCs w:val="14"/>
                <w:lang w:val="ro-RO" w:eastAsia="de-DE"/>
              </w:rPr>
              <w:t>pentru</w:t>
            </w:r>
            <w:r w:rsidR="00936847" w:rsidRPr="009C5F11">
              <w:rPr>
                <w:rFonts w:ascii="Times New Roman" w:hAnsi="Times New Roman" w:cs="Times New Roman"/>
                <w:sz w:val="18"/>
                <w:szCs w:val="14"/>
                <w:lang w:val="ro-RO" w:eastAsia="de-DE"/>
              </w:rPr>
              <w:t xml:space="preserve"> </w:t>
            </w:r>
            <w:r w:rsidR="00532A33" w:rsidRPr="009C5F11">
              <w:rPr>
                <w:rFonts w:ascii="Times New Roman" w:hAnsi="Times New Roman" w:cs="Times New Roman"/>
                <w:sz w:val="18"/>
                <w:szCs w:val="14"/>
                <w:lang w:val="ro-RO" w:eastAsia="de-DE"/>
              </w:rPr>
              <w:t>implementare</w:t>
            </w:r>
            <w:r w:rsidR="00874EFD" w:rsidRPr="009C5F11">
              <w:rPr>
                <w:rFonts w:ascii="Times New Roman" w:hAnsi="Times New Roman" w:cs="Times New Roman"/>
                <w:sz w:val="18"/>
                <w:szCs w:val="14"/>
                <w:lang w:val="ro-RO" w:eastAsia="de-DE"/>
              </w:rPr>
              <w:t xml:space="preserve"> după anul</w:t>
            </w:r>
            <w:r w:rsidR="00936847" w:rsidRPr="009C5F11">
              <w:rPr>
                <w:rFonts w:ascii="Times New Roman" w:hAnsi="Times New Roman" w:cs="Times New Roman"/>
                <w:sz w:val="18"/>
                <w:szCs w:val="14"/>
                <w:lang w:val="ro-RO" w:eastAsia="de-DE"/>
              </w:rPr>
              <w:t xml:space="preserve"> 2017</w:t>
            </w:r>
            <w:r w:rsidR="00874EFD" w:rsidRPr="009C5F11">
              <w:rPr>
                <w:rFonts w:ascii="Times New Roman" w:hAnsi="Times New Roman" w:cs="Times New Roman"/>
                <w:sz w:val="18"/>
                <w:szCs w:val="14"/>
                <w:lang w:val="ro-RO" w:eastAsia="de-DE"/>
              </w:rPr>
              <w:t>:</w:t>
            </w:r>
          </w:p>
          <w:p w14:paraId="7495BA7A" w14:textId="77777777" w:rsidR="00936847" w:rsidRPr="009C5F11" w:rsidRDefault="00C55F0D" w:rsidP="00334F3B">
            <w:pPr>
              <w:numPr>
                <w:ilvl w:val="0"/>
                <w:numId w:val="67"/>
              </w:numPr>
              <w:tabs>
                <w:tab w:val="left" w:pos="612"/>
                <w:tab w:val="left" w:pos="5040"/>
                <w:tab w:val="right" w:pos="8504"/>
              </w:tabs>
              <w:spacing w:after="0" w:line="240" w:lineRule="auto"/>
              <w:ind w:left="612" w:hanging="252"/>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lang w:val="ro-RO" w:eastAsia="de-DE"/>
              </w:rPr>
              <w:t xml:space="preserve">Redactarea unui plan naţional de </w:t>
            </w:r>
            <w:r w:rsidR="00874EFD" w:rsidRPr="009C5F11">
              <w:rPr>
                <w:rFonts w:ascii="Times New Roman" w:hAnsi="Times New Roman" w:cs="Times New Roman"/>
                <w:sz w:val="18"/>
                <w:szCs w:val="14"/>
                <w:lang w:val="ro-RO" w:eastAsia="de-DE"/>
              </w:rPr>
              <w:t>creştere a numărului</w:t>
            </w:r>
            <w:r w:rsidRPr="009C5F11">
              <w:rPr>
                <w:rFonts w:ascii="Times New Roman" w:hAnsi="Times New Roman" w:cs="Times New Roman"/>
                <w:sz w:val="18"/>
                <w:szCs w:val="14"/>
                <w:lang w:val="ro-RO" w:eastAsia="de-DE"/>
              </w:rPr>
              <w:t xml:space="preserve"> de clădiri al căror consum energetic este aproape egal cu zero</w:t>
            </w:r>
            <w:r w:rsidR="00874EFD" w:rsidRPr="009C5F11">
              <w:rPr>
                <w:rFonts w:ascii="Times New Roman" w:hAnsi="Times New Roman" w:cs="Times New Roman"/>
                <w:sz w:val="18"/>
                <w:szCs w:val="14"/>
                <w:lang w:val="ro-RO" w:eastAsia="de-DE"/>
              </w:rPr>
              <w:t>:</w:t>
            </w:r>
          </w:p>
          <w:p w14:paraId="2F1FBD61" w14:textId="77777777" w:rsidR="00936847" w:rsidRPr="009C5F11" w:rsidRDefault="00936847" w:rsidP="00430626">
            <w:pPr>
              <w:tabs>
                <w:tab w:val="left" w:pos="612"/>
                <w:tab w:val="left" w:pos="1440"/>
                <w:tab w:val="left" w:pos="5040"/>
                <w:tab w:val="right" w:pos="8504"/>
              </w:tabs>
              <w:spacing w:before="40" w:after="0" w:line="240" w:lineRule="auto"/>
              <w:ind w:left="61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000A4CC7" w:rsidRPr="009C5F11">
              <w:rPr>
                <w:rFonts w:ascii="Times New Roman" w:hAnsi="Times New Roman" w:cs="Times New Roman"/>
                <w:sz w:val="18"/>
                <w:szCs w:val="14"/>
                <w:lang w:val="ro-RO" w:eastAsia="de-DE"/>
              </w:rPr>
              <w:t xml:space="preserve">Directiva </w:t>
            </w:r>
            <w:r w:rsidR="00F03954" w:rsidRPr="009C5F11">
              <w:rPr>
                <w:rFonts w:ascii="Times New Roman" w:hAnsi="Times New Roman" w:cs="Times New Roman"/>
                <w:sz w:val="18"/>
                <w:szCs w:val="14"/>
                <w:lang w:val="ro-RO" w:eastAsia="de-DE"/>
              </w:rPr>
              <w:t>privind performanţa</w:t>
            </w:r>
            <w:r w:rsidR="00E46DD7" w:rsidRPr="009C5F11">
              <w:rPr>
                <w:rFonts w:ascii="Times New Roman" w:hAnsi="Times New Roman" w:cs="Times New Roman"/>
                <w:sz w:val="18"/>
                <w:szCs w:val="14"/>
                <w:lang w:val="ro-RO" w:eastAsia="de-DE"/>
              </w:rPr>
              <w:t xml:space="preserve"> energetică</w:t>
            </w:r>
            <w:r w:rsidR="004424A0" w:rsidRPr="009C5F11">
              <w:rPr>
                <w:rFonts w:ascii="Times New Roman" w:hAnsi="Times New Roman" w:cs="Times New Roman"/>
                <w:sz w:val="18"/>
                <w:szCs w:val="14"/>
                <w:lang w:val="ro-RO" w:eastAsia="de-DE"/>
              </w:rPr>
              <w:t xml:space="preserve"> a clădirilor</w:t>
            </w:r>
            <w:r w:rsidRPr="009C5F11">
              <w:rPr>
                <w:rFonts w:ascii="Times New Roman" w:hAnsi="Times New Roman" w:cs="Times New Roman"/>
                <w:sz w:val="18"/>
                <w:szCs w:val="14"/>
                <w:lang w:val="ro-RO" w:eastAsia="de-DE"/>
              </w:rPr>
              <w:t xml:space="preserve">” </w:t>
            </w:r>
            <w:r w:rsidR="00874EFD" w:rsidRPr="009C5F11">
              <w:rPr>
                <w:rFonts w:ascii="Times New Roman" w:hAnsi="Times New Roman" w:cs="Times New Roman"/>
                <w:sz w:val="18"/>
                <w:szCs w:val="14"/>
                <w:lang w:val="ro-RO" w:eastAsia="de-DE"/>
              </w:rPr>
              <w:t xml:space="preserve">prevede elaborarea unor </w:t>
            </w:r>
            <w:r w:rsidR="00874EFD" w:rsidRPr="009C5F11">
              <w:rPr>
                <w:rFonts w:ascii="Times New Roman" w:hAnsi="Times New Roman" w:cs="Times New Roman"/>
                <w:sz w:val="18"/>
                <w:szCs w:val="14"/>
                <w:u w:val="single"/>
                <w:lang w:val="ro-RO" w:eastAsia="de-DE"/>
              </w:rPr>
              <w:t xml:space="preserve">planuri </w:t>
            </w:r>
            <w:r w:rsidR="00B40A7C" w:rsidRPr="009C5F11">
              <w:rPr>
                <w:rFonts w:ascii="Times New Roman" w:hAnsi="Times New Roman" w:cs="Times New Roman"/>
                <w:sz w:val="18"/>
                <w:szCs w:val="14"/>
                <w:u w:val="single"/>
                <w:lang w:val="ro-RO" w:eastAsia="de-DE"/>
              </w:rPr>
              <w:t>naţional</w:t>
            </w:r>
            <w:r w:rsidR="001C3036" w:rsidRPr="009C5F11">
              <w:rPr>
                <w:rFonts w:ascii="Times New Roman" w:hAnsi="Times New Roman" w:cs="Times New Roman"/>
                <w:sz w:val="18"/>
                <w:szCs w:val="14"/>
                <w:u w:val="single"/>
                <w:lang w:val="ro-RO" w:eastAsia="de-DE"/>
              </w:rPr>
              <w:t>e</w:t>
            </w:r>
            <w:r w:rsidRPr="009C5F11">
              <w:rPr>
                <w:rFonts w:ascii="Times New Roman" w:hAnsi="Times New Roman" w:cs="Times New Roman"/>
                <w:sz w:val="18"/>
                <w:szCs w:val="14"/>
                <w:u w:val="single"/>
                <w:lang w:val="ro-RO" w:eastAsia="de-DE"/>
              </w:rPr>
              <w:t xml:space="preserve"> </w:t>
            </w:r>
            <w:r w:rsidR="00874EFD" w:rsidRPr="009C5F11">
              <w:rPr>
                <w:rFonts w:ascii="Times New Roman" w:hAnsi="Times New Roman" w:cs="Times New Roman"/>
                <w:sz w:val="18"/>
                <w:szCs w:val="14"/>
                <w:u w:val="single"/>
                <w:lang w:val="ro-RO" w:eastAsia="de-DE"/>
              </w:rPr>
              <w:t>pentru creşterea numărului de clădiri al căror consum de energie este aproape egal cu zero</w:t>
            </w:r>
            <w:r w:rsidRPr="009C5F11">
              <w:rPr>
                <w:rFonts w:ascii="Times New Roman" w:hAnsi="Times New Roman" w:cs="Times New Roman"/>
                <w:sz w:val="18"/>
                <w:szCs w:val="14"/>
                <w:lang w:val="ro-RO" w:eastAsia="de-DE"/>
              </w:rPr>
              <w:t xml:space="preserve">, </w:t>
            </w:r>
            <w:r w:rsidR="00874EFD" w:rsidRPr="009C5F11">
              <w:rPr>
                <w:rFonts w:ascii="Times New Roman" w:hAnsi="Times New Roman" w:cs="Times New Roman"/>
                <w:sz w:val="18"/>
                <w:szCs w:val="14"/>
                <w:lang w:val="ro-RO" w:eastAsia="de-DE"/>
              </w:rPr>
              <w:t>care urmează a fi sistematic raportate Secretariatului</w:t>
            </w:r>
            <w:r w:rsidRPr="009C5F11">
              <w:rPr>
                <w:rFonts w:ascii="Times New Roman" w:hAnsi="Times New Roman" w:cs="Times New Roman"/>
                <w:sz w:val="18"/>
                <w:szCs w:val="14"/>
                <w:lang w:val="ro-RO" w:eastAsia="de-DE"/>
              </w:rPr>
              <w:t xml:space="preserve"> </w:t>
            </w:r>
            <w:r w:rsidR="00D55D28" w:rsidRPr="009C5F11">
              <w:rPr>
                <w:rFonts w:ascii="Times New Roman" w:hAnsi="Times New Roman" w:cs="Times New Roman"/>
                <w:sz w:val="18"/>
                <w:szCs w:val="14"/>
                <w:lang w:val="ro-RO" w:eastAsia="de-DE"/>
              </w:rPr>
              <w:t>Comunit</w:t>
            </w:r>
            <w:r w:rsidR="00874EFD" w:rsidRPr="009C5F11">
              <w:rPr>
                <w:rFonts w:ascii="Times New Roman" w:hAnsi="Times New Roman" w:cs="Times New Roman"/>
                <w:sz w:val="18"/>
                <w:szCs w:val="14"/>
                <w:lang w:val="ro-RO" w:eastAsia="de-DE"/>
              </w:rPr>
              <w:t>ăţii</w:t>
            </w:r>
            <w:r w:rsidR="00D55D28" w:rsidRPr="009C5F11">
              <w:rPr>
                <w:rFonts w:ascii="Times New Roman" w:hAnsi="Times New Roman" w:cs="Times New Roman"/>
                <w:sz w:val="18"/>
                <w:szCs w:val="14"/>
                <w:lang w:val="ro-RO" w:eastAsia="de-DE"/>
              </w:rPr>
              <w:t xml:space="preserve"> Energetic</w:t>
            </w:r>
            <w:r w:rsidRPr="009C5F11">
              <w:rPr>
                <w:rFonts w:ascii="Times New Roman" w:hAnsi="Times New Roman" w:cs="Times New Roman"/>
                <w:sz w:val="18"/>
                <w:szCs w:val="14"/>
                <w:lang w:val="ro-RO" w:eastAsia="de-DE"/>
              </w:rPr>
              <w:t xml:space="preserve">. </w:t>
            </w:r>
            <w:r w:rsidR="00D07C8F" w:rsidRPr="009C5F11">
              <w:rPr>
                <w:rFonts w:ascii="Times New Roman" w:hAnsi="Times New Roman" w:cs="Times New Roman"/>
                <w:sz w:val="18"/>
                <w:szCs w:val="14"/>
                <w:lang w:val="ro-RO" w:eastAsia="de-DE"/>
              </w:rPr>
              <w:t>Părţile contractante</w:t>
            </w:r>
            <w:r w:rsidRPr="009C5F11">
              <w:rPr>
                <w:rFonts w:ascii="Times New Roman" w:hAnsi="Times New Roman" w:cs="Times New Roman"/>
                <w:sz w:val="18"/>
                <w:szCs w:val="14"/>
                <w:lang w:val="ro-RO" w:eastAsia="de-DE"/>
              </w:rPr>
              <w:t xml:space="preserve"> </w:t>
            </w:r>
            <w:r w:rsidR="00874EFD" w:rsidRPr="009C5F11">
              <w:rPr>
                <w:rFonts w:ascii="Times New Roman" w:hAnsi="Times New Roman" w:cs="Times New Roman"/>
                <w:sz w:val="18"/>
                <w:szCs w:val="14"/>
                <w:lang w:val="ro-RO" w:eastAsia="de-DE"/>
              </w:rPr>
              <w:t>elaborează planuri naționale pentru creșterea numărului de clădiri al căror consum de energie este aproape egal cu zero. Aceste planuri naționale pot include obiective diferențiate în funcție de categoriile clădirilor</w:t>
            </w:r>
            <w:r w:rsidRPr="009C5F11">
              <w:rPr>
                <w:rFonts w:ascii="Times New Roman" w:hAnsi="Times New Roman" w:cs="Times New Roman"/>
                <w:sz w:val="18"/>
                <w:szCs w:val="14"/>
                <w:lang w:val="ro-RO" w:eastAsia="de-DE"/>
              </w:rPr>
              <w:t xml:space="preserve">. </w:t>
            </w:r>
            <w:r w:rsidR="00856818" w:rsidRPr="009C5F11">
              <w:rPr>
                <w:rFonts w:ascii="Times New Roman" w:hAnsi="Times New Roman" w:cs="Times New Roman"/>
                <w:sz w:val="18"/>
                <w:szCs w:val="14"/>
                <w:lang w:val="ro-RO" w:eastAsia="de-DE"/>
              </w:rPr>
              <w:t>De asemenea</w:t>
            </w:r>
            <w:r w:rsidR="00874EFD"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w:t>
            </w:r>
            <w:r w:rsidR="00874EFD" w:rsidRPr="009C5F11">
              <w:rPr>
                <w:rFonts w:ascii="Times New Roman" w:hAnsi="Times New Roman" w:cs="Times New Roman"/>
                <w:sz w:val="18"/>
                <w:szCs w:val="14"/>
                <w:lang w:val="ro-RO" w:eastAsia="de-DE"/>
              </w:rPr>
              <w:t>părţile contractante</w:t>
            </w:r>
            <w:r w:rsidRPr="009C5F11">
              <w:rPr>
                <w:rFonts w:ascii="Times New Roman" w:hAnsi="Times New Roman" w:cs="Times New Roman"/>
                <w:sz w:val="18"/>
                <w:szCs w:val="14"/>
                <w:lang w:val="ro-RO" w:eastAsia="de-DE"/>
              </w:rPr>
              <w:t xml:space="preserve"> </w:t>
            </w:r>
            <w:r w:rsidR="00874EFD" w:rsidRPr="009C5F11">
              <w:rPr>
                <w:rFonts w:ascii="Times New Roman" w:hAnsi="Times New Roman" w:cs="Times New Roman"/>
                <w:sz w:val="18"/>
                <w:szCs w:val="14"/>
                <w:lang w:val="ro-RO" w:eastAsia="de-DE"/>
              </w:rPr>
              <w:t>elaborează politici și iau măsuri de tipul stabilirii unor obiective în scopul de a stimula transformarea clădirilor renovate în clădiri al căror consum de energie este aproape egal cu zero și să informeze Comisia cu privire la acestea prin intermediul planurilor lor naționale</w:t>
            </w:r>
            <w:r w:rsidRPr="009C5F11">
              <w:rPr>
                <w:rFonts w:ascii="Times New Roman" w:hAnsi="Times New Roman" w:cs="Times New Roman"/>
                <w:sz w:val="18"/>
                <w:szCs w:val="14"/>
                <w:lang w:val="ro-RO" w:eastAsia="de-DE"/>
              </w:rPr>
              <w:t>.</w:t>
            </w:r>
          </w:p>
          <w:p w14:paraId="6FB0F90B" w14:textId="77777777" w:rsidR="00936847" w:rsidRPr="009C5F11" w:rsidRDefault="00874EFD"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Dispoziţiile principale ale Legii</w:t>
            </w:r>
            <w:r w:rsidR="00055095"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128/2014</w:t>
            </w:r>
            <w:r w:rsidR="001C3036" w:rsidRPr="009C5F11">
              <w:rPr>
                <w:rFonts w:ascii="Times New Roman" w:hAnsi="Times New Roman" w:cs="Times New Roman"/>
                <w:sz w:val="18"/>
                <w:szCs w:val="14"/>
                <w:lang w:val="ro-RO" w:eastAsia="de-DE"/>
              </w:rPr>
              <w:t>:</w:t>
            </w:r>
          </w:p>
          <w:p w14:paraId="734F0DC9" w14:textId="77777777" w:rsidR="00936847" w:rsidRPr="009C5F11" w:rsidRDefault="00936847" w:rsidP="00430626">
            <w:pPr>
              <w:autoSpaceDE w:val="0"/>
              <w:autoSpaceDN w:val="0"/>
              <w:adjustRightInd w:val="0"/>
              <w:spacing w:after="0" w:line="240" w:lineRule="auto"/>
              <w:ind w:left="342"/>
              <w:jc w:val="both"/>
              <w:rPr>
                <w:rFonts w:ascii="Times New Roman" w:eastAsia="Calibri" w:hAnsi="Times New Roman" w:cs="Times New Roman"/>
                <w:color w:val="000000"/>
                <w:sz w:val="18"/>
                <w:szCs w:val="14"/>
                <w:lang w:val="ro-RO"/>
              </w:rPr>
            </w:pPr>
            <w:r w:rsidRPr="009C5F11">
              <w:rPr>
                <w:rFonts w:ascii="Times New Roman" w:eastAsia="Calibri" w:hAnsi="Times New Roman" w:cs="Times New Roman"/>
                <w:color w:val="000000"/>
                <w:sz w:val="18"/>
                <w:szCs w:val="14"/>
                <w:lang w:val="ro-RO"/>
              </w:rPr>
              <w:t xml:space="preserve">15. </w:t>
            </w:r>
            <w:r w:rsidR="00874EFD" w:rsidRPr="009C5F11">
              <w:rPr>
                <w:rFonts w:ascii="Times New Roman" w:eastAsia="Calibri" w:hAnsi="Times New Roman" w:cs="Times New Roman"/>
                <w:color w:val="000000"/>
                <w:sz w:val="18"/>
                <w:szCs w:val="14"/>
                <w:lang w:val="ro-RO"/>
              </w:rPr>
              <w:t>Clădiri al căror consum de energie este aproape egal cu zero</w:t>
            </w:r>
            <w:r w:rsidRPr="009C5F11">
              <w:rPr>
                <w:rFonts w:ascii="Times New Roman" w:eastAsia="Calibri" w:hAnsi="Times New Roman" w:cs="Times New Roman"/>
                <w:color w:val="000000"/>
                <w:sz w:val="18"/>
                <w:szCs w:val="14"/>
                <w:lang w:val="ro-RO"/>
              </w:rPr>
              <w:t xml:space="preserve"> </w:t>
            </w:r>
          </w:p>
          <w:p w14:paraId="3AD0BC59" w14:textId="77777777" w:rsidR="00936847" w:rsidRPr="009C5F11" w:rsidRDefault="00936847" w:rsidP="00430626">
            <w:pPr>
              <w:autoSpaceDE w:val="0"/>
              <w:autoSpaceDN w:val="0"/>
              <w:adjustRightInd w:val="0"/>
              <w:spacing w:after="0" w:line="240" w:lineRule="auto"/>
              <w:ind w:left="342"/>
              <w:jc w:val="both"/>
              <w:rPr>
                <w:rFonts w:ascii="Times New Roman" w:eastAsia="Calibri" w:hAnsi="Times New Roman" w:cs="Times New Roman"/>
                <w:color w:val="000000"/>
                <w:sz w:val="18"/>
                <w:szCs w:val="14"/>
                <w:lang w:val="ro-RO"/>
              </w:rPr>
            </w:pPr>
            <w:r w:rsidRPr="009C5F11">
              <w:rPr>
                <w:rFonts w:ascii="Times New Roman" w:eastAsia="Calibri" w:hAnsi="Times New Roman" w:cs="Times New Roman"/>
                <w:color w:val="000000"/>
                <w:sz w:val="18"/>
                <w:szCs w:val="14"/>
                <w:lang w:val="ro-RO"/>
              </w:rPr>
              <w:t xml:space="preserve">(1) </w:t>
            </w:r>
            <w:r w:rsidR="00874EFD" w:rsidRPr="009C5F11">
              <w:rPr>
                <w:rFonts w:ascii="Times New Roman" w:eastAsia="Times New Roman" w:hAnsi="Times New Roman" w:cs="Times New Roman"/>
                <w:color w:val="000000"/>
                <w:sz w:val="18"/>
                <w:szCs w:val="14"/>
                <w:lang w:val="ro-RO"/>
              </w:rPr>
              <w:t>după 30 iunie 2019, clădirile publice noi trebuie să fie clădiri al căror consum de energie este aproape egal cu zero</w:t>
            </w:r>
            <w:r w:rsidRPr="009C5F11">
              <w:rPr>
                <w:rFonts w:ascii="Times New Roman" w:eastAsia="Calibri" w:hAnsi="Times New Roman" w:cs="Times New Roman"/>
                <w:color w:val="000000"/>
                <w:sz w:val="18"/>
                <w:szCs w:val="14"/>
                <w:lang w:val="ro-RO"/>
              </w:rPr>
              <w:t>.</w:t>
            </w:r>
          </w:p>
          <w:p w14:paraId="74D6848F" w14:textId="77777777" w:rsidR="00936847" w:rsidRPr="009C5F11" w:rsidRDefault="00936847" w:rsidP="00430626">
            <w:pPr>
              <w:autoSpaceDE w:val="0"/>
              <w:autoSpaceDN w:val="0"/>
              <w:adjustRightInd w:val="0"/>
              <w:spacing w:after="0" w:line="240" w:lineRule="auto"/>
              <w:ind w:left="342"/>
              <w:jc w:val="both"/>
              <w:rPr>
                <w:rFonts w:ascii="Times New Roman" w:eastAsia="Calibri" w:hAnsi="Times New Roman" w:cs="Times New Roman"/>
                <w:color w:val="000000"/>
                <w:sz w:val="18"/>
                <w:szCs w:val="14"/>
                <w:lang w:val="ro-RO"/>
              </w:rPr>
            </w:pPr>
            <w:r w:rsidRPr="009C5F11">
              <w:rPr>
                <w:rFonts w:ascii="Times New Roman" w:eastAsia="Calibri" w:hAnsi="Times New Roman" w:cs="Times New Roman"/>
                <w:color w:val="000000"/>
                <w:sz w:val="18"/>
                <w:szCs w:val="14"/>
                <w:lang w:val="ro-RO"/>
              </w:rPr>
              <w:t xml:space="preserve">(2) </w:t>
            </w:r>
            <w:r w:rsidR="00874EFD" w:rsidRPr="009C5F11">
              <w:rPr>
                <w:rFonts w:ascii="Times New Roman" w:eastAsia="Times New Roman" w:hAnsi="Times New Roman" w:cs="Times New Roman"/>
                <w:color w:val="000000"/>
                <w:sz w:val="18"/>
                <w:szCs w:val="14"/>
                <w:lang w:val="ro-RO"/>
              </w:rPr>
              <w:t>după 30 iunie 2021, toate clădirile noi trebuie să fie clădiri al căror consum de energie este aproape egal cu zero</w:t>
            </w:r>
            <w:r w:rsidRPr="009C5F11">
              <w:rPr>
                <w:rFonts w:ascii="Times New Roman" w:eastAsia="Calibri" w:hAnsi="Times New Roman" w:cs="Times New Roman"/>
                <w:color w:val="000000"/>
                <w:sz w:val="18"/>
                <w:szCs w:val="14"/>
                <w:lang w:val="ro-RO"/>
              </w:rPr>
              <w:t>.</w:t>
            </w:r>
          </w:p>
          <w:p w14:paraId="64A8672B" w14:textId="77777777" w:rsidR="00936847" w:rsidRPr="009C5F11" w:rsidRDefault="00936847" w:rsidP="00430626">
            <w:pPr>
              <w:autoSpaceDE w:val="0"/>
              <w:autoSpaceDN w:val="0"/>
              <w:adjustRightInd w:val="0"/>
              <w:spacing w:after="0" w:line="240" w:lineRule="auto"/>
              <w:ind w:left="342"/>
              <w:jc w:val="both"/>
              <w:rPr>
                <w:rFonts w:ascii="Times New Roman" w:eastAsia="Calibri" w:hAnsi="Times New Roman" w:cs="Times New Roman"/>
                <w:color w:val="000000"/>
                <w:sz w:val="18"/>
                <w:szCs w:val="14"/>
                <w:lang w:val="ro-RO"/>
              </w:rPr>
            </w:pPr>
            <w:r w:rsidRPr="009C5F11">
              <w:rPr>
                <w:rFonts w:ascii="Times New Roman" w:eastAsia="Calibri" w:hAnsi="Times New Roman" w:cs="Times New Roman"/>
                <w:color w:val="000000"/>
                <w:sz w:val="18"/>
                <w:szCs w:val="14"/>
                <w:lang w:val="ro-RO"/>
              </w:rPr>
              <w:t xml:space="preserve">(3) </w:t>
            </w:r>
            <w:r w:rsidR="00874EFD" w:rsidRPr="009C5F11">
              <w:rPr>
                <w:rFonts w:ascii="Times New Roman" w:eastAsia="Times New Roman" w:hAnsi="Times New Roman" w:cs="Times New Roman"/>
                <w:color w:val="000000"/>
                <w:sz w:val="18"/>
                <w:szCs w:val="14"/>
                <w:lang w:val="ro-RO"/>
              </w:rPr>
              <w:t>Planul naţional pentru creşterea numărului de clădiri al căror consum de energie este aproape egal cu zero se aprobă de către Guvern</w:t>
            </w:r>
            <w:r w:rsidR="007310E5" w:rsidRPr="009C5F11">
              <w:rPr>
                <w:rFonts w:ascii="Times New Roman" w:eastAsia="Times New Roman" w:hAnsi="Times New Roman" w:cs="Times New Roman"/>
                <w:color w:val="000000"/>
                <w:sz w:val="18"/>
                <w:szCs w:val="14"/>
                <w:lang w:val="ro-RO"/>
              </w:rPr>
              <w:t>.</w:t>
            </w:r>
          </w:p>
          <w:p w14:paraId="2B8ADB54" w14:textId="77777777" w:rsidR="00936847" w:rsidRPr="009C5F11" w:rsidRDefault="00936847" w:rsidP="00430626">
            <w:pPr>
              <w:autoSpaceDE w:val="0"/>
              <w:autoSpaceDN w:val="0"/>
              <w:adjustRightInd w:val="0"/>
              <w:spacing w:after="0" w:line="240" w:lineRule="auto"/>
              <w:ind w:left="342"/>
              <w:jc w:val="both"/>
              <w:rPr>
                <w:rFonts w:ascii="Times New Roman" w:eastAsia="Calibri" w:hAnsi="Times New Roman" w:cs="Times New Roman"/>
                <w:color w:val="000000"/>
                <w:sz w:val="18"/>
                <w:szCs w:val="14"/>
                <w:lang w:val="ro-RO"/>
              </w:rPr>
            </w:pPr>
            <w:r w:rsidRPr="009C5F11">
              <w:rPr>
                <w:rFonts w:ascii="Times New Roman" w:eastAsia="Calibri" w:hAnsi="Times New Roman" w:cs="Times New Roman"/>
                <w:color w:val="000000"/>
                <w:sz w:val="18"/>
                <w:szCs w:val="14"/>
                <w:lang w:val="ro-RO"/>
              </w:rPr>
              <w:t xml:space="preserve">(4) </w:t>
            </w:r>
            <w:r w:rsidR="007310E5" w:rsidRPr="009C5F11">
              <w:rPr>
                <w:rFonts w:ascii="Times New Roman" w:eastAsia="Times New Roman" w:hAnsi="Times New Roman" w:cs="Times New Roman"/>
                <w:color w:val="000000"/>
                <w:sz w:val="18"/>
                <w:szCs w:val="14"/>
                <w:u w:val="single"/>
                <w:lang w:val="ro-RO"/>
              </w:rPr>
              <w:t>Planul naţional pentru creşterea numărului de clădiri al căror consum de energie este aproape egal cu zero</w:t>
            </w:r>
            <w:r w:rsidR="007310E5" w:rsidRPr="009C5F11">
              <w:rPr>
                <w:rFonts w:ascii="Times New Roman" w:eastAsia="Times New Roman" w:hAnsi="Times New Roman" w:cs="Times New Roman"/>
                <w:color w:val="000000"/>
                <w:sz w:val="18"/>
                <w:szCs w:val="14"/>
                <w:lang w:val="ro-RO"/>
              </w:rPr>
              <w:t xml:space="preserve"> cuprinde</w:t>
            </w:r>
            <w:r w:rsidRPr="009C5F11">
              <w:rPr>
                <w:rFonts w:ascii="Times New Roman" w:eastAsia="Calibri" w:hAnsi="Times New Roman" w:cs="Times New Roman"/>
                <w:color w:val="000000"/>
                <w:sz w:val="18"/>
                <w:szCs w:val="14"/>
                <w:lang w:val="ro-RO"/>
              </w:rPr>
              <w:t xml:space="preserve">: </w:t>
            </w:r>
          </w:p>
          <w:p w14:paraId="090CDEEA" w14:textId="77777777" w:rsidR="00936847" w:rsidRPr="009C5F11" w:rsidRDefault="00021969" w:rsidP="00334F3B">
            <w:pPr>
              <w:numPr>
                <w:ilvl w:val="0"/>
                <w:numId w:val="73"/>
              </w:numPr>
              <w:autoSpaceDE w:val="0"/>
              <w:autoSpaceDN w:val="0"/>
              <w:adjustRightInd w:val="0"/>
              <w:spacing w:after="0" w:line="240" w:lineRule="auto"/>
              <w:jc w:val="both"/>
              <w:rPr>
                <w:rFonts w:ascii="Times New Roman" w:eastAsia="Calibri" w:hAnsi="Times New Roman" w:cs="Times New Roman"/>
                <w:color w:val="000000"/>
                <w:sz w:val="18"/>
                <w:szCs w:val="14"/>
                <w:lang w:val="ro-RO"/>
              </w:rPr>
            </w:pPr>
            <w:r w:rsidRPr="009C5F11">
              <w:rPr>
                <w:rFonts w:ascii="Times New Roman" w:eastAsia="Times New Roman" w:hAnsi="Times New Roman" w:cs="Times New Roman"/>
                <w:color w:val="000000"/>
                <w:sz w:val="18"/>
                <w:szCs w:val="14"/>
                <w:lang w:val="ro-RO"/>
              </w:rPr>
              <w:t>definiţia detaliată a clădirilor al căror consum de energie este aproape egal cu zero, care reflectă condiţiile naţionale, regionale sau locale ale acestora şi care cuprinde un indicator numeric al consumului de energie primară, exprimat în kilowaţi-oră pe an pe metru pătrat</w:t>
            </w:r>
            <w:r w:rsidR="00936847" w:rsidRPr="009C5F11">
              <w:rPr>
                <w:rFonts w:ascii="Times New Roman" w:eastAsia="Calibri" w:hAnsi="Times New Roman" w:cs="Times New Roman"/>
                <w:color w:val="000000"/>
                <w:sz w:val="18"/>
                <w:szCs w:val="14"/>
                <w:lang w:val="ro-RO"/>
              </w:rPr>
              <w:t xml:space="preserve">; </w:t>
            </w:r>
          </w:p>
          <w:p w14:paraId="4DD06FBA" w14:textId="77777777" w:rsidR="00936847" w:rsidRPr="009C5F11" w:rsidRDefault="00021969" w:rsidP="00334F3B">
            <w:pPr>
              <w:numPr>
                <w:ilvl w:val="0"/>
                <w:numId w:val="73"/>
              </w:numPr>
              <w:autoSpaceDE w:val="0"/>
              <w:autoSpaceDN w:val="0"/>
              <w:adjustRightInd w:val="0"/>
              <w:spacing w:after="0" w:line="240" w:lineRule="auto"/>
              <w:jc w:val="both"/>
              <w:rPr>
                <w:rFonts w:ascii="Times New Roman" w:eastAsia="Calibri" w:hAnsi="Times New Roman" w:cs="Times New Roman"/>
                <w:color w:val="000000"/>
                <w:sz w:val="18"/>
                <w:szCs w:val="14"/>
                <w:lang w:val="ro-RO"/>
              </w:rPr>
            </w:pPr>
            <w:r w:rsidRPr="009C5F11">
              <w:rPr>
                <w:rFonts w:ascii="Times New Roman" w:eastAsia="Times New Roman" w:hAnsi="Times New Roman" w:cs="Times New Roman"/>
                <w:color w:val="000000"/>
                <w:sz w:val="18"/>
                <w:szCs w:val="14"/>
                <w:lang w:val="ro-RO"/>
              </w:rPr>
              <w:t xml:space="preserve">obiective intermediare privind îmbunătăţirea performanţei energetice a clădirilor noi </w:t>
            </w:r>
            <w:r w:rsidR="0087273F" w:rsidRPr="009C5F11">
              <w:rPr>
                <w:rFonts w:ascii="Times New Roman" w:eastAsia="Times New Roman" w:hAnsi="Times New Roman" w:cs="Times New Roman"/>
                <w:color w:val="000000"/>
                <w:sz w:val="18"/>
                <w:szCs w:val="14"/>
                <w:lang w:val="ro-RO"/>
              </w:rPr>
              <w:t>până</w:t>
            </w:r>
            <w:r w:rsidRPr="009C5F11">
              <w:rPr>
                <w:rFonts w:ascii="Times New Roman" w:eastAsia="Times New Roman" w:hAnsi="Times New Roman" w:cs="Times New Roman"/>
                <w:color w:val="000000"/>
                <w:sz w:val="18"/>
                <w:szCs w:val="14"/>
                <w:lang w:val="ro-RO"/>
              </w:rPr>
              <w:t xml:space="preserve"> în 2015, în vederea implementării prevederilor alin. (1) şi (2)</w:t>
            </w:r>
            <w:r w:rsidR="00936847" w:rsidRPr="009C5F11">
              <w:rPr>
                <w:rFonts w:ascii="Times New Roman" w:eastAsia="Calibri" w:hAnsi="Times New Roman" w:cs="Times New Roman"/>
                <w:color w:val="000000"/>
                <w:sz w:val="18"/>
                <w:szCs w:val="14"/>
                <w:lang w:val="ro-RO"/>
              </w:rPr>
              <w:t xml:space="preserve">; </w:t>
            </w:r>
          </w:p>
          <w:p w14:paraId="505B1FAA" w14:textId="77777777" w:rsidR="00936847" w:rsidRPr="009C5F11" w:rsidRDefault="00021969" w:rsidP="00334F3B">
            <w:pPr>
              <w:numPr>
                <w:ilvl w:val="0"/>
                <w:numId w:val="73"/>
              </w:numPr>
              <w:autoSpaceDE w:val="0"/>
              <w:autoSpaceDN w:val="0"/>
              <w:adjustRightInd w:val="0"/>
              <w:spacing w:after="0" w:line="240" w:lineRule="auto"/>
              <w:jc w:val="both"/>
              <w:rPr>
                <w:rFonts w:ascii="Times New Roman" w:eastAsia="Calibri" w:hAnsi="Times New Roman" w:cs="Times New Roman"/>
                <w:color w:val="000000"/>
                <w:sz w:val="18"/>
                <w:szCs w:val="14"/>
                <w:lang w:val="ro-RO"/>
              </w:rPr>
            </w:pPr>
            <w:r w:rsidRPr="009C5F11">
              <w:rPr>
                <w:rFonts w:ascii="Times New Roman" w:eastAsia="Times New Roman" w:hAnsi="Times New Roman" w:cs="Times New Roman"/>
                <w:color w:val="000000"/>
                <w:sz w:val="18"/>
                <w:szCs w:val="14"/>
                <w:lang w:val="ro-RO"/>
              </w:rPr>
              <w:t>obiective privind transformarea clădirilor existente în clădiri al căror consum de energie este aproape egal cu zero;</w:t>
            </w:r>
            <w:r w:rsidR="00936847" w:rsidRPr="009C5F11">
              <w:rPr>
                <w:rFonts w:ascii="Times New Roman" w:eastAsia="Calibri" w:hAnsi="Times New Roman" w:cs="Times New Roman"/>
                <w:color w:val="000000"/>
                <w:sz w:val="18"/>
                <w:szCs w:val="14"/>
                <w:lang w:val="ro-RO"/>
              </w:rPr>
              <w:t xml:space="preserve"> </w:t>
            </w:r>
          </w:p>
          <w:p w14:paraId="52DAA894" w14:textId="77777777" w:rsidR="00936847" w:rsidRPr="009C5F11" w:rsidRDefault="00021969" w:rsidP="00334F3B">
            <w:pPr>
              <w:numPr>
                <w:ilvl w:val="0"/>
                <w:numId w:val="73"/>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eastAsia="Times New Roman" w:hAnsi="Times New Roman" w:cs="Times New Roman"/>
                <w:color w:val="000000"/>
                <w:sz w:val="18"/>
                <w:szCs w:val="14"/>
                <w:lang w:val="ro-RO"/>
              </w:rPr>
              <w:lastRenderedPageBreak/>
              <w:t>măsuri şi instrumente financiare şi de altă natură necesare pentru realizarea prevederilor alin. (1) şi (2) din prezentul articol şi ale lit. b) şi c) din prezentul alineat şi pentru promovarea clădirilor al căror consum de energie este aproape egal cu zero, inclusiv detalii privind cerinţele referitoare la utilizarea energiei din surse regenerabile în clădirile noi şi în clădirile existente supuse renovării majore.</w:t>
            </w:r>
            <w:r w:rsidR="00936847" w:rsidRPr="009C5F11">
              <w:rPr>
                <w:rFonts w:ascii="Times New Roman" w:hAnsi="Times New Roman" w:cs="Times New Roman"/>
                <w:sz w:val="18"/>
                <w:szCs w:val="14"/>
                <w:lang w:val="ro-RO" w:eastAsia="de-DE"/>
              </w:rPr>
              <w:t xml:space="preserve"> </w:t>
            </w:r>
          </w:p>
          <w:p w14:paraId="29821E38" w14:textId="77777777" w:rsidR="00936847" w:rsidRPr="009C5F11" w:rsidRDefault="00936847" w:rsidP="00430626">
            <w:pPr>
              <w:tabs>
                <w:tab w:val="left" w:pos="1440"/>
                <w:tab w:val="left" w:pos="5040"/>
                <w:tab w:val="right" w:pos="8504"/>
              </w:tabs>
              <w:spacing w:after="0" w:line="240" w:lineRule="auto"/>
              <w:ind w:left="342"/>
              <w:jc w:val="both"/>
              <w:rPr>
                <w:rFonts w:ascii="Times New Roman" w:hAnsi="Times New Roman" w:cs="Times New Roman"/>
                <w:sz w:val="18"/>
                <w:szCs w:val="14"/>
                <w:lang w:val="ro-RO" w:eastAsia="de-DE"/>
              </w:rPr>
            </w:pPr>
            <w:r w:rsidRPr="009C5F11">
              <w:rPr>
                <w:rFonts w:ascii="Times New Roman" w:hAnsi="Times New Roman" w:cs="Times New Roman"/>
                <w:b/>
                <w:i/>
                <w:sz w:val="18"/>
                <w:szCs w:val="14"/>
                <w:lang w:val="ro-RO" w:eastAsia="de-DE"/>
              </w:rPr>
              <w:t>“</w:t>
            </w:r>
            <w:r w:rsidR="00021969" w:rsidRPr="009C5F11">
              <w:rPr>
                <w:rFonts w:ascii="Times New Roman" w:hAnsi="Times New Roman" w:cs="Times New Roman"/>
                <w:b/>
                <w:i/>
                <w:sz w:val="18"/>
                <w:szCs w:val="14"/>
                <w:u w:val="single"/>
                <w:lang w:val="ro-RO" w:eastAsia="de-DE"/>
              </w:rPr>
              <w:t>P</w:t>
            </w:r>
            <w:r w:rsidRPr="009C5F11">
              <w:rPr>
                <w:rFonts w:ascii="Times New Roman" w:hAnsi="Times New Roman" w:cs="Times New Roman"/>
                <w:b/>
                <w:i/>
                <w:sz w:val="18"/>
                <w:szCs w:val="14"/>
                <w:u w:val="single"/>
                <w:lang w:val="ro-RO" w:eastAsia="de-DE"/>
              </w:rPr>
              <w:t>lan</w:t>
            </w:r>
            <w:r w:rsidR="00021969" w:rsidRPr="009C5F11">
              <w:rPr>
                <w:rFonts w:ascii="Times New Roman" w:hAnsi="Times New Roman" w:cs="Times New Roman"/>
                <w:b/>
                <w:i/>
                <w:sz w:val="18"/>
                <w:szCs w:val="14"/>
                <w:u w:val="single"/>
                <w:lang w:val="ro-RO" w:eastAsia="de-DE"/>
              </w:rPr>
              <w:t>ul naţional de creştere a numărului</w:t>
            </w:r>
            <w:r w:rsidRPr="009C5F11">
              <w:rPr>
                <w:rFonts w:ascii="Times New Roman" w:hAnsi="Times New Roman" w:cs="Times New Roman"/>
                <w:b/>
                <w:i/>
                <w:sz w:val="18"/>
                <w:szCs w:val="14"/>
                <w:u w:val="single"/>
                <w:lang w:val="ro-RO" w:eastAsia="de-DE"/>
              </w:rPr>
              <w:t xml:space="preserve"> </w:t>
            </w:r>
            <w:r w:rsidR="00021969" w:rsidRPr="009C5F11">
              <w:rPr>
                <w:rFonts w:ascii="Times New Roman" w:hAnsi="Times New Roman" w:cs="Times New Roman"/>
                <w:b/>
                <w:i/>
                <w:sz w:val="18"/>
                <w:szCs w:val="14"/>
                <w:u w:val="single"/>
                <w:lang w:val="ro-RO" w:eastAsia="de-DE"/>
              </w:rPr>
              <w:t>de clădiri al căror consum de energie este aproape egal cu zero</w:t>
            </w:r>
            <w:r w:rsidRPr="009C5F11">
              <w:rPr>
                <w:rFonts w:ascii="Times New Roman" w:hAnsi="Times New Roman" w:cs="Times New Roman"/>
                <w:b/>
                <w:i/>
                <w:sz w:val="18"/>
                <w:szCs w:val="14"/>
                <w:lang w:val="ro-RO" w:eastAsia="de-DE"/>
              </w:rPr>
              <w:t>”</w:t>
            </w:r>
            <w:r w:rsidRPr="009C5F11">
              <w:rPr>
                <w:rFonts w:ascii="Times New Roman" w:hAnsi="Times New Roman" w:cs="Times New Roman"/>
                <w:b/>
                <w:sz w:val="18"/>
                <w:szCs w:val="14"/>
                <w:lang w:val="ro-RO" w:eastAsia="de-DE"/>
              </w:rPr>
              <w:t xml:space="preserve"> </w:t>
            </w:r>
            <w:r w:rsidR="00021969" w:rsidRPr="009C5F11">
              <w:rPr>
                <w:rFonts w:ascii="Times New Roman" w:hAnsi="Times New Roman" w:cs="Times New Roman"/>
                <w:sz w:val="18"/>
                <w:szCs w:val="14"/>
                <w:lang w:val="ro-RO" w:eastAsia="de-DE"/>
              </w:rPr>
              <w:t xml:space="preserve">al Republicii Moldova </w:t>
            </w:r>
            <w:r w:rsidR="00021969" w:rsidRPr="009C5F11">
              <w:rPr>
                <w:rFonts w:ascii="Times New Roman" w:hAnsi="Times New Roman" w:cs="Times New Roman"/>
                <w:b/>
                <w:sz w:val="18"/>
                <w:szCs w:val="14"/>
                <w:lang w:val="ro-RO" w:eastAsia="de-DE"/>
              </w:rPr>
              <w:t xml:space="preserve">urmează a </w:t>
            </w:r>
            <w:r w:rsidR="001C3036" w:rsidRPr="009C5F11">
              <w:rPr>
                <w:rFonts w:ascii="Times New Roman" w:hAnsi="Times New Roman" w:cs="Times New Roman"/>
                <w:b/>
                <w:sz w:val="18"/>
                <w:szCs w:val="14"/>
                <w:lang w:val="ro-RO" w:eastAsia="de-DE"/>
              </w:rPr>
              <w:t xml:space="preserve">fi </w:t>
            </w:r>
            <w:r w:rsidR="00021969" w:rsidRPr="009C5F11">
              <w:rPr>
                <w:rFonts w:ascii="Times New Roman" w:hAnsi="Times New Roman" w:cs="Times New Roman"/>
                <w:b/>
                <w:sz w:val="18"/>
                <w:szCs w:val="14"/>
                <w:lang w:val="ro-RO" w:eastAsia="de-DE"/>
              </w:rPr>
              <w:t>elaborat</w:t>
            </w:r>
            <w:r w:rsidR="00021969" w:rsidRPr="009C5F11">
              <w:rPr>
                <w:rFonts w:ascii="Times New Roman" w:hAnsi="Times New Roman" w:cs="Times New Roman"/>
                <w:sz w:val="18"/>
                <w:szCs w:val="14"/>
                <w:lang w:val="ro-RO" w:eastAsia="de-DE"/>
              </w:rPr>
              <w:t>, ţinând cont şi de următoarele</w:t>
            </w:r>
            <w:r w:rsidR="001C3036" w:rsidRPr="009C5F11">
              <w:rPr>
                <w:rFonts w:ascii="Times New Roman" w:hAnsi="Times New Roman" w:cs="Times New Roman"/>
                <w:sz w:val="18"/>
                <w:szCs w:val="14"/>
                <w:lang w:val="ro-RO" w:eastAsia="de-DE"/>
              </w:rPr>
              <w:t xml:space="preserve"> aspecte</w:t>
            </w:r>
            <w:r w:rsidRPr="009C5F11">
              <w:rPr>
                <w:rFonts w:ascii="Times New Roman" w:hAnsi="Times New Roman" w:cs="Times New Roman"/>
                <w:sz w:val="18"/>
                <w:szCs w:val="14"/>
                <w:lang w:val="ro-RO" w:eastAsia="de-DE"/>
              </w:rPr>
              <w:t>:</w:t>
            </w:r>
          </w:p>
          <w:p w14:paraId="7FCE05C2" w14:textId="77777777" w:rsidR="00936847" w:rsidRPr="009C5F11" w:rsidRDefault="00936847" w:rsidP="00334F3B">
            <w:pPr>
              <w:numPr>
                <w:ilvl w:val="0"/>
                <w:numId w:val="71"/>
              </w:numPr>
              <w:tabs>
                <w:tab w:val="left" w:pos="702"/>
                <w:tab w:val="left" w:pos="5040"/>
                <w:tab w:val="right" w:pos="8504"/>
              </w:tabs>
              <w:spacing w:before="40" w:after="4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Reflect</w:t>
            </w:r>
            <w:r w:rsidR="00A13B50" w:rsidRPr="009C5F11">
              <w:rPr>
                <w:rFonts w:ascii="Times New Roman" w:hAnsi="Times New Roman" w:cs="Times New Roman"/>
                <w:sz w:val="18"/>
                <w:szCs w:val="14"/>
                <w:lang w:val="ro-RO" w:eastAsia="de-DE"/>
              </w:rPr>
              <w:t xml:space="preserve">area condiţiilor </w:t>
            </w:r>
            <w:r w:rsidR="00B40A7C" w:rsidRPr="009C5F11">
              <w:rPr>
                <w:rFonts w:ascii="Times New Roman" w:hAnsi="Times New Roman" w:cs="Times New Roman"/>
                <w:sz w:val="18"/>
                <w:szCs w:val="14"/>
                <w:lang w:val="ro-RO" w:eastAsia="de-DE"/>
              </w:rPr>
              <w:t>naţional</w:t>
            </w:r>
            <w:r w:rsidR="00A13B50"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 regional</w:t>
            </w:r>
            <w:r w:rsidR="00A13B50" w:rsidRPr="009C5F11">
              <w:rPr>
                <w:rFonts w:ascii="Times New Roman" w:hAnsi="Times New Roman" w:cs="Times New Roman"/>
                <w:sz w:val="18"/>
                <w:szCs w:val="14"/>
                <w:lang w:val="ro-RO" w:eastAsia="de-DE"/>
              </w:rPr>
              <w:t>e</w:t>
            </w:r>
            <w:r w:rsidR="00321CD5" w:rsidRPr="009C5F11">
              <w:rPr>
                <w:rFonts w:ascii="Times New Roman" w:hAnsi="Times New Roman" w:cs="Times New Roman"/>
                <w:sz w:val="18"/>
                <w:szCs w:val="14"/>
                <w:lang w:val="ro-RO" w:eastAsia="de-DE"/>
              </w:rPr>
              <w:t xml:space="preserve"> sau </w:t>
            </w:r>
            <w:r w:rsidRPr="009C5F11">
              <w:rPr>
                <w:rFonts w:ascii="Times New Roman" w:hAnsi="Times New Roman" w:cs="Times New Roman"/>
                <w:sz w:val="18"/>
                <w:szCs w:val="14"/>
                <w:lang w:val="ro-RO" w:eastAsia="de-DE"/>
              </w:rPr>
              <w:t>local</w:t>
            </w:r>
            <w:r w:rsidR="00A13B50"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 xml:space="preserve"> (</w:t>
            </w:r>
            <w:r w:rsidR="00A13B50" w:rsidRPr="009C5F11">
              <w:rPr>
                <w:rFonts w:ascii="Times New Roman" w:hAnsi="Times New Roman" w:cs="Times New Roman"/>
                <w:sz w:val="18"/>
                <w:szCs w:val="14"/>
                <w:lang w:val="ro-RO" w:eastAsia="de-DE"/>
              </w:rPr>
              <w:t xml:space="preserve">stocul </w:t>
            </w:r>
            <w:r w:rsidR="00B40A7C" w:rsidRPr="009C5F11">
              <w:rPr>
                <w:rFonts w:ascii="Times New Roman" w:hAnsi="Times New Roman" w:cs="Times New Roman"/>
                <w:sz w:val="18"/>
                <w:szCs w:val="14"/>
                <w:lang w:val="ro-RO" w:eastAsia="de-DE"/>
              </w:rPr>
              <w:t>naţional</w:t>
            </w:r>
            <w:r w:rsidRPr="009C5F11">
              <w:rPr>
                <w:rFonts w:ascii="Times New Roman" w:hAnsi="Times New Roman" w:cs="Times New Roman"/>
                <w:sz w:val="18"/>
                <w:szCs w:val="14"/>
                <w:lang w:val="ro-RO" w:eastAsia="de-DE"/>
              </w:rPr>
              <w:t xml:space="preserve"> </w:t>
            </w:r>
            <w:r w:rsidR="00A13B50" w:rsidRPr="009C5F11">
              <w:rPr>
                <w:rFonts w:ascii="Times New Roman" w:hAnsi="Times New Roman" w:cs="Times New Roman"/>
                <w:sz w:val="18"/>
                <w:szCs w:val="14"/>
                <w:lang w:val="ro-RO" w:eastAsia="de-DE"/>
              </w:rPr>
              <w:t xml:space="preserve">de </w:t>
            </w:r>
            <w:r w:rsidR="00693850" w:rsidRPr="009C5F11">
              <w:rPr>
                <w:rFonts w:ascii="Times New Roman" w:hAnsi="Times New Roman" w:cs="Times New Roman"/>
                <w:sz w:val="18"/>
                <w:szCs w:val="14"/>
                <w:lang w:val="ro-RO" w:eastAsia="de-DE"/>
              </w:rPr>
              <w:t>clădiri</w:t>
            </w:r>
            <w:r w:rsidRPr="009C5F11">
              <w:rPr>
                <w:rFonts w:ascii="Times New Roman" w:hAnsi="Times New Roman" w:cs="Times New Roman"/>
                <w:sz w:val="18"/>
                <w:szCs w:val="14"/>
                <w:lang w:val="ro-RO" w:eastAsia="de-DE"/>
              </w:rPr>
              <w:t xml:space="preserve"> </w:t>
            </w:r>
            <w:r w:rsidR="00321CD5" w:rsidRPr="009C5F11">
              <w:rPr>
                <w:rFonts w:ascii="Times New Roman" w:hAnsi="Times New Roman" w:cs="Times New Roman"/>
                <w:sz w:val="18"/>
                <w:szCs w:val="14"/>
                <w:lang w:val="ro-RO" w:eastAsia="de-DE"/>
              </w:rPr>
              <w:t xml:space="preserve">şi </w:t>
            </w:r>
            <w:r w:rsidR="00A13B50" w:rsidRPr="009C5F11">
              <w:rPr>
                <w:rFonts w:ascii="Times New Roman" w:hAnsi="Times New Roman" w:cs="Times New Roman"/>
                <w:sz w:val="18"/>
                <w:szCs w:val="14"/>
                <w:lang w:val="ro-RO" w:eastAsia="de-DE"/>
              </w:rPr>
              <w:t>performanţa energetică a acestora</w:t>
            </w:r>
            <w:r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w:t>
            </w:r>
            <w:r w:rsidR="00AB1710" w:rsidRPr="009C5F11">
              <w:rPr>
                <w:rFonts w:ascii="Times New Roman" w:hAnsi="Times New Roman" w:cs="Times New Roman"/>
                <w:sz w:val="18"/>
                <w:szCs w:val="14"/>
                <w:lang w:val="ro-RO" w:eastAsia="de-DE"/>
              </w:rPr>
              <w:t>inclusiv</w:t>
            </w:r>
            <w:r w:rsidRPr="009C5F11">
              <w:rPr>
                <w:rFonts w:ascii="Times New Roman" w:hAnsi="Times New Roman" w:cs="Times New Roman"/>
                <w:sz w:val="18"/>
                <w:szCs w:val="14"/>
                <w:lang w:val="ro-RO" w:eastAsia="de-DE"/>
              </w:rPr>
              <w:t xml:space="preserve"> </w:t>
            </w:r>
            <w:r w:rsidR="00A13B50" w:rsidRPr="009C5F11">
              <w:rPr>
                <w:rFonts w:ascii="Times New Roman" w:hAnsi="Times New Roman" w:cs="Times New Roman"/>
                <w:sz w:val="18"/>
                <w:szCs w:val="14"/>
                <w:lang w:val="ro-RO" w:eastAsia="de-DE"/>
              </w:rPr>
              <w:t>un</w:t>
            </w:r>
            <w:r w:rsidRPr="009C5F11">
              <w:rPr>
                <w:rFonts w:ascii="Times New Roman" w:hAnsi="Times New Roman" w:cs="Times New Roman"/>
                <w:sz w:val="18"/>
                <w:szCs w:val="14"/>
                <w:lang w:val="ro-RO" w:eastAsia="de-DE"/>
              </w:rPr>
              <w:t xml:space="preserve"> indicator </w:t>
            </w:r>
            <w:r w:rsidR="00A13B50" w:rsidRPr="009C5F11">
              <w:rPr>
                <w:rFonts w:ascii="Times New Roman" w:hAnsi="Times New Roman" w:cs="Times New Roman"/>
                <w:sz w:val="18"/>
                <w:szCs w:val="14"/>
                <w:lang w:val="ro-RO" w:eastAsia="de-DE"/>
              </w:rPr>
              <w:t xml:space="preserve">numeric al energiei primare consumate </w:t>
            </w:r>
            <w:r w:rsidRPr="009C5F11">
              <w:rPr>
                <w:rFonts w:ascii="Times New Roman" w:hAnsi="Times New Roman" w:cs="Times New Roman"/>
                <w:sz w:val="18"/>
                <w:szCs w:val="14"/>
                <w:lang w:val="ro-RO" w:eastAsia="de-DE"/>
              </w:rPr>
              <w:t>expr</w:t>
            </w:r>
            <w:r w:rsidR="00A13B50" w:rsidRPr="009C5F11">
              <w:rPr>
                <w:rFonts w:ascii="Times New Roman" w:hAnsi="Times New Roman" w:cs="Times New Roman"/>
                <w:sz w:val="18"/>
                <w:szCs w:val="14"/>
                <w:lang w:val="ro-RO" w:eastAsia="de-DE"/>
              </w:rPr>
              <w:t xml:space="preserve">imate </w:t>
            </w:r>
            <w:r w:rsidR="00321CD5" w:rsidRPr="009C5F11">
              <w:rPr>
                <w:rFonts w:ascii="Times New Roman" w:hAnsi="Times New Roman" w:cs="Times New Roman"/>
                <w:sz w:val="18"/>
                <w:szCs w:val="14"/>
                <w:lang w:val="ro-RO" w:eastAsia="de-DE"/>
              </w:rPr>
              <w:t xml:space="preserve">în </w:t>
            </w:r>
            <w:r w:rsidRPr="009C5F11">
              <w:rPr>
                <w:rFonts w:ascii="Times New Roman" w:hAnsi="Times New Roman" w:cs="Times New Roman"/>
                <w:sz w:val="18"/>
                <w:szCs w:val="14"/>
                <w:lang w:val="ro-RO" w:eastAsia="de-DE"/>
              </w:rPr>
              <w:t>kWh/m2 pe</w:t>
            </w:r>
            <w:r w:rsidR="00A13B50" w:rsidRPr="009C5F11">
              <w:rPr>
                <w:rFonts w:ascii="Times New Roman" w:hAnsi="Times New Roman" w:cs="Times New Roman"/>
                <w:sz w:val="18"/>
                <w:szCs w:val="14"/>
                <w:lang w:val="ro-RO" w:eastAsia="de-DE"/>
              </w:rPr>
              <w:t xml:space="preserve"> an</w:t>
            </w:r>
            <w:r w:rsidRPr="009C5F11">
              <w:rPr>
                <w:rFonts w:ascii="Times New Roman" w:hAnsi="Times New Roman" w:cs="Times New Roman"/>
                <w:sz w:val="18"/>
                <w:szCs w:val="14"/>
                <w:lang w:val="ro-RO" w:eastAsia="de-DE"/>
              </w:rPr>
              <w:t xml:space="preserve">. </w:t>
            </w:r>
            <w:r w:rsidR="00A13B50" w:rsidRPr="009C5F11">
              <w:rPr>
                <w:rFonts w:ascii="Times New Roman" w:hAnsi="Times New Roman" w:cs="Times New Roman"/>
                <w:sz w:val="18"/>
                <w:szCs w:val="14"/>
                <w:lang w:val="ro-RO" w:eastAsia="de-DE"/>
              </w:rPr>
              <w:t xml:space="preserve">Factorii energiei primare utilizaţi pentru a determina consumul de energie primară se pot baza pe valori medii anuale </w:t>
            </w:r>
            <w:r w:rsidR="00B40A7C" w:rsidRPr="009C5F11">
              <w:rPr>
                <w:rFonts w:ascii="Times New Roman" w:hAnsi="Times New Roman" w:cs="Times New Roman"/>
                <w:sz w:val="18"/>
                <w:szCs w:val="14"/>
                <w:lang w:val="ro-RO" w:eastAsia="de-DE"/>
              </w:rPr>
              <w:t>naţional</w:t>
            </w:r>
            <w:r w:rsidR="00A13B50" w:rsidRPr="009C5F11">
              <w:rPr>
                <w:rFonts w:ascii="Times New Roman" w:hAnsi="Times New Roman" w:cs="Times New Roman"/>
                <w:sz w:val="18"/>
                <w:szCs w:val="14"/>
                <w:lang w:val="ro-RO" w:eastAsia="de-DE"/>
              </w:rPr>
              <w:t>e</w:t>
            </w:r>
            <w:r w:rsidR="00321CD5" w:rsidRPr="009C5F11">
              <w:rPr>
                <w:rFonts w:ascii="Times New Roman" w:hAnsi="Times New Roman" w:cs="Times New Roman"/>
                <w:sz w:val="18"/>
                <w:szCs w:val="14"/>
                <w:lang w:val="ro-RO" w:eastAsia="de-DE"/>
              </w:rPr>
              <w:t xml:space="preserve"> sau </w:t>
            </w:r>
            <w:r w:rsidRPr="009C5F11">
              <w:rPr>
                <w:rFonts w:ascii="Times New Roman" w:hAnsi="Times New Roman" w:cs="Times New Roman"/>
                <w:sz w:val="18"/>
                <w:szCs w:val="14"/>
                <w:lang w:val="ro-RO" w:eastAsia="de-DE"/>
              </w:rPr>
              <w:t>regional</w:t>
            </w:r>
            <w:r w:rsidR="00A13B50"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 xml:space="preserve"> </w:t>
            </w:r>
            <w:r w:rsidR="00321CD5" w:rsidRPr="009C5F11">
              <w:rPr>
                <w:rFonts w:ascii="Times New Roman" w:hAnsi="Times New Roman" w:cs="Times New Roman"/>
                <w:sz w:val="18"/>
                <w:szCs w:val="14"/>
                <w:lang w:val="ro-RO" w:eastAsia="de-DE"/>
              </w:rPr>
              <w:t xml:space="preserve">şi </w:t>
            </w:r>
            <w:r w:rsidR="00B22096" w:rsidRPr="009C5F11">
              <w:rPr>
                <w:rFonts w:ascii="Times New Roman" w:hAnsi="Times New Roman" w:cs="Times New Roman"/>
                <w:sz w:val="18"/>
                <w:szCs w:val="14"/>
                <w:lang w:val="ro-RO" w:eastAsia="de-DE"/>
              </w:rPr>
              <w:t>pot</w:t>
            </w:r>
            <w:r w:rsidR="00A13B50" w:rsidRPr="009C5F11">
              <w:rPr>
                <w:rFonts w:ascii="Times New Roman" w:hAnsi="Times New Roman" w:cs="Times New Roman"/>
                <w:sz w:val="18"/>
                <w:szCs w:val="14"/>
                <w:lang w:val="ro-RO" w:eastAsia="de-DE"/>
              </w:rPr>
              <w:t xml:space="preserve"> ţine cont de standardele europene </w:t>
            </w:r>
            <w:r w:rsidRPr="009C5F11">
              <w:rPr>
                <w:rFonts w:ascii="Times New Roman" w:hAnsi="Times New Roman" w:cs="Times New Roman"/>
                <w:sz w:val="18"/>
                <w:szCs w:val="14"/>
                <w:lang w:val="ro-RO" w:eastAsia="de-DE"/>
              </w:rPr>
              <w:t>relevant</w:t>
            </w:r>
            <w:r w:rsidR="00A13B50"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w:t>
            </w:r>
          </w:p>
          <w:p w14:paraId="1DBFE541" w14:textId="77777777" w:rsidR="00936847" w:rsidRPr="009C5F11" w:rsidRDefault="00642D37" w:rsidP="00334F3B">
            <w:pPr>
              <w:numPr>
                <w:ilvl w:val="0"/>
                <w:numId w:val="71"/>
              </w:numPr>
              <w:tabs>
                <w:tab w:val="left" w:pos="702"/>
                <w:tab w:val="left" w:pos="5040"/>
                <w:tab w:val="right" w:pos="8504"/>
              </w:tabs>
              <w:spacing w:after="4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metodologie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de evaluare a eficienţei </w:t>
            </w:r>
            <w:r w:rsidR="00936847" w:rsidRPr="009C5F11">
              <w:rPr>
                <w:rFonts w:ascii="Times New Roman" w:hAnsi="Times New Roman" w:cs="Times New Roman"/>
                <w:sz w:val="18"/>
                <w:szCs w:val="14"/>
                <w:lang w:val="ro-RO" w:eastAsia="de-DE"/>
              </w:rPr>
              <w:t>economic</w:t>
            </w:r>
            <w:r w:rsidRPr="009C5F11">
              <w:rPr>
                <w:rFonts w:ascii="Times New Roman" w:hAnsi="Times New Roman" w:cs="Times New Roman"/>
                <w:sz w:val="18"/>
                <w:szCs w:val="14"/>
                <w:lang w:val="ro-RO" w:eastAsia="de-DE"/>
              </w:rPr>
              <w:t xml:space="preserve">e a soluţiilor tehnice orientate spre atingerea eficienţei energetice a </w:t>
            </w:r>
            <w:r w:rsidR="00936847" w:rsidRPr="009C5F11">
              <w:rPr>
                <w:rFonts w:ascii="Times New Roman" w:hAnsi="Times New Roman" w:cs="Times New Roman"/>
                <w:sz w:val="18"/>
                <w:szCs w:val="14"/>
                <w:lang w:val="ro-RO" w:eastAsia="de-DE"/>
              </w:rPr>
              <w:t xml:space="preserve">NZEB. </w:t>
            </w:r>
          </w:p>
          <w:p w14:paraId="65CAB92A" w14:textId="77777777" w:rsidR="00936847" w:rsidRPr="009C5F11" w:rsidRDefault="00936847" w:rsidP="00642D37">
            <w:pPr>
              <w:tabs>
                <w:tab w:val="left" w:pos="1440"/>
                <w:tab w:val="left" w:pos="5040"/>
                <w:tab w:val="right" w:pos="8504"/>
              </w:tabs>
              <w:spacing w:after="0" w:line="240" w:lineRule="auto"/>
              <w:ind w:left="34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Preliminar, </w:t>
            </w:r>
            <w:r w:rsidR="00642D37" w:rsidRPr="009C5F11">
              <w:rPr>
                <w:rFonts w:ascii="Times New Roman" w:hAnsi="Times New Roman" w:cs="Times New Roman"/>
                <w:sz w:val="18"/>
                <w:szCs w:val="14"/>
                <w:lang w:val="ro-RO"/>
              </w:rPr>
              <w:t xml:space="preserve">este necesară elaborarea unui </w:t>
            </w:r>
            <w:r w:rsidR="00642D37" w:rsidRPr="009C5F11">
              <w:rPr>
                <w:rFonts w:ascii="Times New Roman" w:hAnsi="Times New Roman" w:cs="Times New Roman"/>
                <w:b/>
                <w:sz w:val="18"/>
                <w:szCs w:val="14"/>
                <w:lang w:val="ro-RO"/>
              </w:rPr>
              <w:t>studiu de</w:t>
            </w:r>
            <w:r w:rsidRPr="009C5F11">
              <w:rPr>
                <w:rFonts w:ascii="Times New Roman" w:hAnsi="Times New Roman" w:cs="Times New Roman"/>
                <w:sz w:val="18"/>
                <w:szCs w:val="14"/>
                <w:lang w:val="ro-RO"/>
              </w:rPr>
              <w:t xml:space="preserve"> </w:t>
            </w:r>
            <w:r w:rsidR="0087273F" w:rsidRPr="009C5F11">
              <w:rPr>
                <w:rFonts w:ascii="Times New Roman" w:hAnsi="Times New Roman" w:cs="Times New Roman"/>
                <w:b/>
                <w:sz w:val="18"/>
                <w:szCs w:val="14"/>
                <w:lang w:val="ro-RO"/>
              </w:rPr>
              <w:t>fezabilitate</w:t>
            </w:r>
            <w:r w:rsidRPr="009C5F11">
              <w:rPr>
                <w:rFonts w:ascii="Times New Roman" w:hAnsi="Times New Roman" w:cs="Times New Roman"/>
                <w:b/>
                <w:sz w:val="18"/>
                <w:szCs w:val="14"/>
                <w:lang w:val="ro-RO"/>
              </w:rPr>
              <w:t xml:space="preserve"> </w:t>
            </w:r>
            <w:r w:rsidR="00642D37" w:rsidRPr="009C5F11">
              <w:rPr>
                <w:rFonts w:ascii="Times New Roman" w:hAnsi="Times New Roman" w:cs="Times New Roman"/>
                <w:b/>
                <w:sz w:val="18"/>
                <w:szCs w:val="14"/>
                <w:lang w:val="ro-RO"/>
              </w:rPr>
              <w:t>privind</w:t>
            </w:r>
            <w:r w:rsidRPr="009C5F11">
              <w:rPr>
                <w:rFonts w:ascii="Times New Roman" w:hAnsi="Times New Roman" w:cs="Times New Roman"/>
                <w:b/>
                <w:sz w:val="18"/>
                <w:szCs w:val="14"/>
                <w:lang w:val="ro-RO"/>
              </w:rPr>
              <w:t xml:space="preserve"> </w:t>
            </w:r>
            <w:r w:rsidR="00021969" w:rsidRPr="009C5F11">
              <w:rPr>
                <w:rFonts w:ascii="Times New Roman" w:hAnsi="Times New Roman" w:cs="Times New Roman"/>
                <w:b/>
                <w:sz w:val="18"/>
                <w:szCs w:val="14"/>
                <w:lang w:val="ro-RO"/>
              </w:rPr>
              <w:t>clădiri</w:t>
            </w:r>
            <w:r w:rsidR="00642D37" w:rsidRPr="009C5F11">
              <w:rPr>
                <w:rFonts w:ascii="Times New Roman" w:hAnsi="Times New Roman" w:cs="Times New Roman"/>
                <w:b/>
                <w:sz w:val="18"/>
                <w:szCs w:val="14"/>
                <w:lang w:val="ro-RO"/>
              </w:rPr>
              <w:t>le</w:t>
            </w:r>
            <w:r w:rsidR="00021969" w:rsidRPr="009C5F11">
              <w:rPr>
                <w:rFonts w:ascii="Times New Roman" w:hAnsi="Times New Roman" w:cs="Times New Roman"/>
                <w:b/>
                <w:sz w:val="18"/>
                <w:szCs w:val="14"/>
                <w:lang w:val="ro-RO"/>
              </w:rPr>
              <w:t xml:space="preserve"> al căror consum de energie este aproape egal cu zero</w:t>
            </w:r>
            <w:r w:rsidRPr="009C5F11">
              <w:rPr>
                <w:rFonts w:ascii="Times New Roman" w:hAnsi="Times New Roman" w:cs="Times New Roman"/>
                <w:sz w:val="18"/>
                <w:szCs w:val="14"/>
                <w:lang w:val="ro-RO"/>
              </w:rPr>
              <w:t xml:space="preserve">. </w:t>
            </w:r>
            <w:r w:rsidR="00642D37" w:rsidRPr="009C5F11">
              <w:rPr>
                <w:rFonts w:ascii="Times New Roman" w:hAnsi="Times New Roman" w:cs="Times New Roman"/>
                <w:sz w:val="18"/>
                <w:szCs w:val="14"/>
                <w:lang w:val="ro-RO"/>
              </w:rPr>
              <w:t xml:space="preserve">Deşi a fost inclusă în </w:t>
            </w:r>
            <w:r w:rsidR="00210C2C" w:rsidRPr="009C5F11">
              <w:rPr>
                <w:rFonts w:ascii="Times New Roman" w:hAnsi="Times New Roman" w:cs="Times New Roman"/>
                <w:sz w:val="18"/>
                <w:szCs w:val="14"/>
                <w:lang w:val="ro-RO"/>
              </w:rPr>
              <w:t>PNAEE 2013-2015</w:t>
            </w:r>
            <w:r w:rsidR="00642D37" w:rsidRPr="009C5F11">
              <w:rPr>
                <w:rFonts w:ascii="Times New Roman" w:hAnsi="Times New Roman" w:cs="Times New Roman"/>
                <w:sz w:val="18"/>
                <w:szCs w:val="14"/>
                <w:lang w:val="ro-RO"/>
              </w:rPr>
              <w:t xml:space="preserve">, acţiunea nu a fost realizată. </w:t>
            </w:r>
          </w:p>
        </w:tc>
      </w:tr>
      <w:tr w:rsidR="00936847" w:rsidRPr="009C5F11" w14:paraId="373ED121" w14:textId="77777777" w:rsidTr="00BF6432">
        <w:trPr>
          <w:trHeight w:val="278"/>
        </w:trPr>
        <w:tc>
          <w:tcPr>
            <w:tcW w:w="743" w:type="pct"/>
            <w:vMerge/>
          </w:tcPr>
          <w:p w14:paraId="6A79324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689DC80"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31DD0221" w14:textId="77777777" w:rsidR="00936847" w:rsidRPr="009C5F11" w:rsidRDefault="00936847" w:rsidP="00334F3B">
            <w:pPr>
              <w:numPr>
                <w:ilvl w:val="0"/>
                <w:numId w:val="74"/>
              </w:numPr>
              <w:tabs>
                <w:tab w:val="left" w:pos="61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004E780C" w:rsidRPr="009C5F11">
              <w:rPr>
                <w:rFonts w:ascii="Times New Roman" w:hAnsi="Times New Roman" w:cs="Times New Roman"/>
                <w:sz w:val="18"/>
                <w:szCs w:val="14"/>
                <w:lang w:val="ro-RO" w:eastAsia="de-DE"/>
              </w:rPr>
              <w:t>Strategia sectorială de cheltuieli în domeniul energetic</w:t>
            </w:r>
            <w:r w:rsidRPr="009C5F11">
              <w:rPr>
                <w:rFonts w:ascii="Times New Roman" w:hAnsi="Times New Roman" w:cs="Times New Roman"/>
                <w:sz w:val="18"/>
                <w:szCs w:val="14"/>
                <w:lang w:val="ro-RO" w:eastAsia="de-DE"/>
              </w:rPr>
              <w:t xml:space="preserve">” include </w:t>
            </w:r>
            <w:r w:rsidR="00204033" w:rsidRPr="009C5F11">
              <w:rPr>
                <w:rFonts w:ascii="Times New Roman" w:hAnsi="Times New Roman" w:cs="Times New Roman"/>
                <w:sz w:val="18"/>
                <w:szCs w:val="14"/>
                <w:lang w:val="ro-RO" w:eastAsia="de-DE"/>
              </w:rPr>
              <w:t>sectorul construcţiilor</w:t>
            </w:r>
            <w:r w:rsidRPr="009C5F11">
              <w:rPr>
                <w:rFonts w:ascii="Times New Roman" w:hAnsi="Times New Roman" w:cs="Times New Roman"/>
                <w:sz w:val="18"/>
                <w:szCs w:val="14"/>
                <w:lang w:val="ro-RO" w:eastAsia="de-DE"/>
              </w:rPr>
              <w:t xml:space="preserve">. </w:t>
            </w:r>
          </w:p>
          <w:p w14:paraId="06A7677C" w14:textId="77777777" w:rsidR="00936847" w:rsidRPr="009C5F11" w:rsidRDefault="004E780C" w:rsidP="00430626">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Strategi</w:t>
            </w:r>
            <w:r w:rsidR="008768D0" w:rsidRPr="009C5F11">
              <w:rPr>
                <w:rFonts w:ascii="Times New Roman" w:hAnsi="Times New Roman" w:cs="Times New Roman"/>
                <w:sz w:val="18"/>
                <w:szCs w:val="14"/>
                <w:lang w:val="ro-RO" w:eastAsia="de-DE"/>
              </w:rPr>
              <w:t>a</w:t>
            </w:r>
            <w:r w:rsidRPr="009C5F11">
              <w:rPr>
                <w:rFonts w:ascii="Times New Roman" w:hAnsi="Times New Roman" w:cs="Times New Roman"/>
                <w:sz w:val="18"/>
                <w:szCs w:val="14"/>
                <w:lang w:val="ro-RO" w:eastAsia="de-DE"/>
              </w:rPr>
              <w:t xml:space="preserve"> prev</w:t>
            </w:r>
            <w:r w:rsidR="008768D0" w:rsidRPr="009C5F11">
              <w:rPr>
                <w:rFonts w:ascii="Times New Roman" w:hAnsi="Times New Roman" w:cs="Times New Roman"/>
                <w:sz w:val="18"/>
                <w:szCs w:val="14"/>
                <w:lang w:val="ro-RO" w:eastAsia="de-DE"/>
              </w:rPr>
              <w:t>ede următoarele</w:t>
            </w:r>
            <w:r w:rsidR="00936847" w:rsidRPr="009C5F11">
              <w:rPr>
                <w:rFonts w:ascii="Times New Roman" w:hAnsi="Times New Roman" w:cs="Times New Roman"/>
                <w:sz w:val="18"/>
                <w:szCs w:val="14"/>
                <w:lang w:val="ro-RO" w:eastAsia="de-DE"/>
              </w:rPr>
              <w:t xml:space="preserve">: </w:t>
            </w:r>
          </w:p>
          <w:p w14:paraId="5F39BC10" w14:textId="77777777" w:rsidR="00E04DEC" w:rsidRPr="009C5F11" w:rsidRDefault="00E04DEC" w:rsidP="00E04DEC">
            <w:pPr>
              <w:tabs>
                <w:tab w:val="left" w:pos="1440"/>
                <w:tab w:val="left" w:pos="5040"/>
                <w:tab w:val="right" w:pos="8504"/>
              </w:tabs>
              <w:spacing w:before="40" w:after="0" w:line="240"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Politica în sectorul energetic, în ansamblu, este elaborată de Ministerul Economiei, iar în domeniul eficienței energetice a clădirilor - de către Ministerul Dezvoltării Regionale şi Construcţiilor. Implementarea politicilor în sectorul energetic este asigurată de către ANRE, Inspectoratul Energetic de Stat, AEE, FEE, cât şi prin intermediul întreprinderilor energetice.”</w:t>
            </w:r>
          </w:p>
          <w:p w14:paraId="44F09E9C" w14:textId="77777777" w:rsidR="00967E1E" w:rsidRPr="009C5F11" w:rsidRDefault="00E04DEC" w:rsidP="00967E1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Subprogramul 1: “</w:t>
            </w:r>
            <w:r w:rsidR="001C3036" w:rsidRPr="009C5F11">
              <w:rPr>
                <w:rFonts w:ascii="Times New Roman" w:hAnsi="Times New Roman" w:cs="Times New Roman"/>
                <w:sz w:val="18"/>
                <w:szCs w:val="14"/>
                <w:lang w:val="ro-RO" w:eastAsia="de-DE"/>
              </w:rPr>
              <w:t>Elaborarea politicilor şi management</w:t>
            </w:r>
            <w:r w:rsidRPr="009C5F11">
              <w:rPr>
                <w:rFonts w:ascii="Times New Roman" w:hAnsi="Times New Roman" w:cs="Times New Roman"/>
                <w:sz w:val="18"/>
                <w:szCs w:val="14"/>
                <w:lang w:val="ro-RO" w:eastAsia="de-DE"/>
              </w:rPr>
              <w:t>ul în sectorul energetic” beneficiază de pe urma alocării fondurilor pentru următoarele strategii de cheltuieli în domeniul energetic. F</w:t>
            </w:r>
            <w:r w:rsidR="007F77BE" w:rsidRPr="009C5F11">
              <w:rPr>
                <w:rFonts w:ascii="Times New Roman" w:hAnsi="Times New Roman" w:cs="Times New Roman"/>
                <w:sz w:val="18"/>
                <w:szCs w:val="14"/>
                <w:lang w:val="ro-RO" w:eastAsia="de-DE"/>
              </w:rPr>
              <w:t>onduri</w:t>
            </w:r>
            <w:r w:rsidRPr="009C5F11">
              <w:rPr>
                <w:rFonts w:ascii="Times New Roman" w:hAnsi="Times New Roman" w:cs="Times New Roman"/>
                <w:sz w:val="18"/>
                <w:szCs w:val="14"/>
                <w:lang w:val="ro-RO" w:eastAsia="de-DE"/>
              </w:rPr>
              <w:t>le pentru</w:t>
            </w:r>
            <w:r w:rsidR="00967E1E"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acţiunea</w:t>
            </w:r>
            <w:r w:rsidR="00967E1E" w:rsidRPr="009C5F11">
              <w:rPr>
                <w:rFonts w:ascii="Times New Roman" w:hAnsi="Times New Roman" w:cs="Times New Roman"/>
                <w:sz w:val="18"/>
                <w:szCs w:val="14"/>
                <w:lang w:val="ro-RO" w:eastAsia="de-DE"/>
              </w:rPr>
              <w:t>: “</w:t>
            </w:r>
            <w:r w:rsidRPr="009C5F11">
              <w:rPr>
                <w:rFonts w:ascii="Times New Roman" w:hAnsi="Times New Roman" w:cs="Times New Roman"/>
                <w:i/>
                <w:sz w:val="18"/>
                <w:szCs w:val="14"/>
                <w:lang w:val="ro-RO" w:eastAsia="de-DE"/>
              </w:rPr>
              <w:t>I</w:t>
            </w:r>
            <w:r w:rsidR="00532A33" w:rsidRPr="009C5F11">
              <w:rPr>
                <w:rFonts w:ascii="Times New Roman" w:hAnsi="Times New Roman" w:cs="Times New Roman"/>
                <w:i/>
                <w:sz w:val="18"/>
                <w:szCs w:val="14"/>
                <w:lang w:val="ro-RO" w:eastAsia="de-DE"/>
              </w:rPr>
              <w:t>mplementarea</w:t>
            </w:r>
            <w:r w:rsidR="00967E1E" w:rsidRPr="009C5F11">
              <w:rPr>
                <w:rFonts w:ascii="Times New Roman" w:hAnsi="Times New Roman" w:cs="Times New Roman"/>
                <w:i/>
                <w:sz w:val="18"/>
                <w:szCs w:val="14"/>
                <w:lang w:val="ro-RO" w:eastAsia="de-DE"/>
              </w:rPr>
              <w:t xml:space="preserve"> </w:t>
            </w:r>
            <w:r w:rsidRPr="009C5F11">
              <w:rPr>
                <w:rFonts w:ascii="Times New Roman" w:hAnsi="Times New Roman" w:cs="Times New Roman"/>
                <w:i/>
                <w:sz w:val="18"/>
                <w:szCs w:val="14"/>
                <w:lang w:val="ro-RO" w:eastAsia="de-DE"/>
              </w:rPr>
              <w:t xml:space="preserve">politicii de stat în domeniul </w:t>
            </w:r>
            <w:r w:rsidR="000C7BEC" w:rsidRPr="009C5F11">
              <w:rPr>
                <w:rFonts w:ascii="Times New Roman" w:hAnsi="Times New Roman" w:cs="Times New Roman"/>
                <w:i/>
                <w:sz w:val="18"/>
                <w:szCs w:val="14"/>
                <w:lang w:val="ro-RO" w:eastAsia="de-DE"/>
              </w:rPr>
              <w:t>eficienţ</w:t>
            </w:r>
            <w:r w:rsidRPr="009C5F11">
              <w:rPr>
                <w:rFonts w:ascii="Times New Roman" w:hAnsi="Times New Roman" w:cs="Times New Roman"/>
                <w:i/>
                <w:sz w:val="18"/>
                <w:szCs w:val="14"/>
                <w:lang w:val="ro-RO" w:eastAsia="de-DE"/>
              </w:rPr>
              <w:t>ei</w:t>
            </w:r>
            <w:r w:rsidR="000C7BEC" w:rsidRPr="009C5F11">
              <w:rPr>
                <w:rFonts w:ascii="Times New Roman" w:hAnsi="Times New Roman" w:cs="Times New Roman"/>
                <w:i/>
                <w:sz w:val="18"/>
                <w:szCs w:val="14"/>
                <w:lang w:val="ro-RO" w:eastAsia="de-DE"/>
              </w:rPr>
              <w:t xml:space="preserve"> energetic</w:t>
            </w:r>
            <w:r w:rsidRPr="009C5F11">
              <w:rPr>
                <w:rFonts w:ascii="Times New Roman" w:hAnsi="Times New Roman" w:cs="Times New Roman"/>
                <w:i/>
                <w:sz w:val="18"/>
                <w:szCs w:val="14"/>
                <w:lang w:val="ro-RO" w:eastAsia="de-DE"/>
              </w:rPr>
              <w:t>e</w:t>
            </w:r>
            <w:r w:rsidR="00321CD5" w:rsidRPr="009C5F11">
              <w:rPr>
                <w:rFonts w:ascii="Times New Roman" w:hAnsi="Times New Roman" w:cs="Times New Roman"/>
                <w:i/>
                <w:sz w:val="18"/>
                <w:szCs w:val="14"/>
                <w:lang w:val="ro-RO" w:eastAsia="de-DE"/>
              </w:rPr>
              <w:t xml:space="preserve"> şi </w:t>
            </w:r>
            <w:r w:rsidRPr="009C5F11">
              <w:rPr>
                <w:rFonts w:ascii="Times New Roman" w:hAnsi="Times New Roman" w:cs="Times New Roman"/>
                <w:i/>
                <w:sz w:val="18"/>
                <w:szCs w:val="14"/>
                <w:lang w:val="ro-RO" w:eastAsia="de-DE"/>
              </w:rPr>
              <w:t xml:space="preserve">al </w:t>
            </w:r>
            <w:r w:rsidR="00127E34" w:rsidRPr="009C5F11">
              <w:rPr>
                <w:rFonts w:ascii="Times New Roman" w:hAnsi="Times New Roman" w:cs="Times New Roman"/>
                <w:i/>
                <w:sz w:val="18"/>
                <w:szCs w:val="14"/>
                <w:lang w:val="ro-RO" w:eastAsia="de-DE"/>
              </w:rPr>
              <w:t>surse</w:t>
            </w:r>
            <w:r w:rsidRPr="009C5F11">
              <w:rPr>
                <w:rFonts w:ascii="Times New Roman" w:hAnsi="Times New Roman" w:cs="Times New Roman"/>
                <w:i/>
                <w:sz w:val="18"/>
                <w:szCs w:val="14"/>
                <w:lang w:val="ro-RO" w:eastAsia="de-DE"/>
              </w:rPr>
              <w:t>lor</w:t>
            </w:r>
            <w:r w:rsidR="00127E34" w:rsidRPr="009C5F11">
              <w:rPr>
                <w:rFonts w:ascii="Times New Roman" w:hAnsi="Times New Roman" w:cs="Times New Roman"/>
                <w:i/>
                <w:sz w:val="18"/>
                <w:szCs w:val="14"/>
                <w:lang w:val="ro-RO" w:eastAsia="de-DE"/>
              </w:rPr>
              <w:t xml:space="preserve"> de energie regenerabilă</w:t>
            </w:r>
            <w:r w:rsidR="00967E1E"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includ</w:t>
            </w:r>
            <w:r w:rsidR="00967E1E" w:rsidRPr="009C5F11">
              <w:rPr>
                <w:rFonts w:ascii="Times New Roman" w:hAnsi="Times New Roman" w:cs="Times New Roman"/>
                <w:sz w:val="18"/>
                <w:szCs w:val="14"/>
                <w:lang w:val="ro-RO" w:eastAsia="de-DE"/>
              </w:rPr>
              <w:t>:</w:t>
            </w:r>
          </w:p>
          <w:p w14:paraId="5E01969E" w14:textId="77777777" w:rsidR="00967E1E" w:rsidRPr="009C5F11" w:rsidRDefault="00967E1E" w:rsidP="00967E1E">
            <w:pPr>
              <w:tabs>
                <w:tab w:val="left" w:pos="1440"/>
                <w:tab w:val="left" w:pos="5040"/>
                <w:tab w:val="right" w:pos="8504"/>
              </w:tabs>
              <w:spacing w:before="40" w:after="0" w:line="240" w:lineRule="auto"/>
              <w:ind w:firstLine="342"/>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2016-2018 </w:t>
            </w:r>
          </w:p>
          <w:p w14:paraId="7DFC2454" w14:textId="77777777" w:rsidR="001F2323" w:rsidRPr="009C5F11" w:rsidRDefault="00967E1E" w:rsidP="00334F3B">
            <w:pPr>
              <w:pStyle w:val="Listparagraf"/>
              <w:numPr>
                <w:ilvl w:val="0"/>
                <w:numId w:val="200"/>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2016</w:t>
            </w:r>
            <w:r w:rsidR="00055095" w:rsidRPr="009C5F11">
              <w:rPr>
                <w:rFonts w:ascii="Times New Roman" w:hAnsi="Times New Roman" w:cs="Times New Roman"/>
                <w:sz w:val="18"/>
                <w:szCs w:val="14"/>
                <w:lang w:val="ro-RO" w:eastAsia="de-DE"/>
              </w:rPr>
              <w:t xml:space="preserve">       </w:t>
            </w:r>
            <w:r w:rsidR="00E04DEC" w:rsidRPr="009C5F11">
              <w:rPr>
                <w:rFonts w:ascii="Times New Roman" w:hAnsi="Times New Roman" w:cs="Times New Roman"/>
                <w:sz w:val="18"/>
                <w:szCs w:val="14"/>
                <w:lang w:val="ro-RO" w:eastAsia="de-DE"/>
              </w:rPr>
              <w:t xml:space="preserve">    </w:t>
            </w:r>
            <w:r w:rsidR="001F2323" w:rsidRPr="009C5F11">
              <w:rPr>
                <w:rFonts w:ascii="Times New Roman" w:hAnsi="Times New Roman" w:cs="Times New Roman"/>
                <w:sz w:val="18"/>
                <w:szCs w:val="14"/>
                <w:lang w:val="ro-RO" w:eastAsia="de-DE"/>
              </w:rPr>
              <w:t xml:space="preserve">19,426.2  </w:t>
            </w:r>
            <w:r w:rsidR="006E69B0" w:rsidRPr="009C5F11">
              <w:rPr>
                <w:rFonts w:ascii="Times New Roman" w:hAnsi="Times New Roman" w:cs="Times New Roman"/>
                <w:sz w:val="18"/>
                <w:szCs w:val="14"/>
                <w:lang w:val="ro-RO" w:eastAsia="de-DE"/>
              </w:rPr>
              <w:t>mii lei</w:t>
            </w:r>
            <w:r w:rsidR="001F2323" w:rsidRPr="009C5F11">
              <w:rPr>
                <w:rFonts w:ascii="Times New Roman" w:hAnsi="Times New Roman" w:cs="Times New Roman"/>
                <w:sz w:val="18"/>
                <w:szCs w:val="14"/>
                <w:lang w:val="ro-RO" w:eastAsia="de-DE"/>
              </w:rPr>
              <w:t xml:space="preserve">      </w:t>
            </w:r>
            <w:r w:rsidR="00E04DEC" w:rsidRPr="009C5F11">
              <w:rPr>
                <w:rFonts w:ascii="Times New Roman" w:hAnsi="Times New Roman" w:cs="Times New Roman"/>
                <w:sz w:val="18"/>
                <w:szCs w:val="14"/>
                <w:lang w:val="ro-RO" w:eastAsia="de-DE"/>
              </w:rPr>
              <w:t xml:space="preserve"> </w:t>
            </w:r>
            <w:r w:rsidR="0005509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w:t>
            </w:r>
          </w:p>
          <w:p w14:paraId="4D0AB129" w14:textId="77777777" w:rsidR="001F2323" w:rsidRPr="009C5F11" w:rsidRDefault="00967E1E" w:rsidP="00334F3B">
            <w:pPr>
              <w:pStyle w:val="Listparagraf"/>
              <w:numPr>
                <w:ilvl w:val="0"/>
                <w:numId w:val="200"/>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2017</w:t>
            </w:r>
            <w:r w:rsidR="00055095" w:rsidRPr="009C5F11">
              <w:rPr>
                <w:rFonts w:ascii="Times New Roman" w:hAnsi="Times New Roman" w:cs="Times New Roman"/>
                <w:sz w:val="18"/>
                <w:szCs w:val="14"/>
                <w:lang w:val="ro-RO" w:eastAsia="de-DE"/>
              </w:rPr>
              <w:t xml:space="preserve">        </w:t>
            </w:r>
            <w:r w:rsidR="00B22096" w:rsidRPr="009C5F11">
              <w:rPr>
                <w:rFonts w:ascii="Times New Roman" w:hAnsi="Times New Roman" w:cs="Times New Roman"/>
                <w:sz w:val="18"/>
                <w:szCs w:val="14"/>
                <w:lang w:val="ro-RO" w:eastAsia="de-DE"/>
              </w:rPr>
              <w:t xml:space="preserve">   </w:t>
            </w:r>
            <w:r w:rsidR="001F2323" w:rsidRPr="009C5F11">
              <w:rPr>
                <w:rFonts w:ascii="Times New Roman" w:hAnsi="Times New Roman" w:cs="Times New Roman"/>
                <w:sz w:val="18"/>
                <w:szCs w:val="14"/>
                <w:lang w:val="ro-RO" w:eastAsia="de-DE"/>
              </w:rPr>
              <w:t>24,946.6</w:t>
            </w:r>
            <w:r w:rsidR="00B22096"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w:t>
            </w:r>
            <w:r w:rsidR="006E69B0" w:rsidRPr="009C5F11">
              <w:rPr>
                <w:rFonts w:ascii="Times New Roman" w:hAnsi="Times New Roman" w:cs="Times New Roman"/>
                <w:sz w:val="18"/>
                <w:szCs w:val="14"/>
                <w:lang w:val="ro-RO" w:eastAsia="de-DE"/>
              </w:rPr>
              <w:t>mii lei</w:t>
            </w:r>
          </w:p>
          <w:p w14:paraId="2E3B5B78" w14:textId="77777777" w:rsidR="00967E1E" w:rsidRPr="009C5F11" w:rsidRDefault="00967E1E" w:rsidP="00334F3B">
            <w:pPr>
              <w:pStyle w:val="Listparagraf"/>
              <w:numPr>
                <w:ilvl w:val="0"/>
                <w:numId w:val="200"/>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w:t>
            </w:r>
            <w:r w:rsidR="001F2323" w:rsidRPr="009C5F11">
              <w:rPr>
                <w:rFonts w:ascii="Times New Roman" w:hAnsi="Times New Roman" w:cs="Times New Roman"/>
                <w:sz w:val="18"/>
                <w:szCs w:val="14"/>
                <w:lang w:val="ro-RO" w:eastAsia="de-DE"/>
              </w:rPr>
              <w:t xml:space="preserve">           25,862.7</w:t>
            </w:r>
            <w:r w:rsidR="006E69B0" w:rsidRPr="009C5F11">
              <w:rPr>
                <w:rFonts w:ascii="Times New Roman" w:hAnsi="Times New Roman" w:cs="Times New Roman"/>
                <w:sz w:val="18"/>
                <w:szCs w:val="14"/>
                <w:lang w:val="ro-RO" w:eastAsia="de-DE"/>
              </w:rPr>
              <w:t xml:space="preserve">  mii lei</w:t>
            </w:r>
          </w:p>
          <w:p w14:paraId="3630E1D0" w14:textId="77777777" w:rsidR="00967E1E" w:rsidRPr="009C5F11" w:rsidRDefault="00D62784" w:rsidP="00967E1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Respectiv</w:t>
            </w:r>
            <w:r w:rsidR="00967E1E" w:rsidRPr="009C5F11">
              <w:rPr>
                <w:rFonts w:ascii="Times New Roman" w:hAnsi="Times New Roman" w:cs="Times New Roman"/>
                <w:sz w:val="18"/>
                <w:szCs w:val="14"/>
                <w:lang w:val="ro-RO" w:eastAsia="de-DE"/>
              </w:rPr>
              <w:t xml:space="preserve">, </w:t>
            </w:r>
            <w:r w:rsidR="00D55D28" w:rsidRPr="009C5F11">
              <w:rPr>
                <w:rFonts w:ascii="Times New Roman" w:hAnsi="Times New Roman" w:cs="Times New Roman"/>
                <w:sz w:val="18"/>
                <w:szCs w:val="14"/>
                <w:lang w:val="ro-RO" w:eastAsia="de-DE"/>
              </w:rPr>
              <w:t>Ministerul</w:t>
            </w:r>
            <w:r w:rsidR="00321CD5" w:rsidRPr="009C5F11">
              <w:rPr>
                <w:rFonts w:ascii="Times New Roman" w:hAnsi="Times New Roman" w:cs="Times New Roman"/>
                <w:sz w:val="18"/>
                <w:szCs w:val="14"/>
                <w:lang w:val="ro-RO" w:eastAsia="de-DE"/>
              </w:rPr>
              <w:t xml:space="preserve"> Dezvoltării Regionale şi Construcţiilor</w:t>
            </w:r>
            <w:r w:rsidR="00967E1E" w:rsidRPr="009C5F11">
              <w:rPr>
                <w:rFonts w:ascii="Times New Roman" w:hAnsi="Times New Roman" w:cs="Times New Roman"/>
                <w:sz w:val="18"/>
                <w:szCs w:val="14"/>
                <w:lang w:val="ro-RO" w:eastAsia="de-DE"/>
              </w:rPr>
              <w:t xml:space="preserve"> </w:t>
            </w:r>
            <w:r w:rsidR="00E04DEC" w:rsidRPr="009C5F11">
              <w:rPr>
                <w:rFonts w:ascii="Times New Roman" w:hAnsi="Times New Roman" w:cs="Times New Roman"/>
                <w:sz w:val="18"/>
                <w:szCs w:val="14"/>
                <w:lang w:val="ro-RO" w:eastAsia="de-DE"/>
              </w:rPr>
              <w:t>poate beneficia de aceste</w:t>
            </w:r>
            <w:r w:rsidR="00967E1E" w:rsidRPr="009C5F11">
              <w:rPr>
                <w:rFonts w:ascii="Times New Roman" w:hAnsi="Times New Roman" w:cs="Times New Roman"/>
                <w:sz w:val="18"/>
                <w:szCs w:val="14"/>
                <w:lang w:val="ro-RO" w:eastAsia="de-DE"/>
              </w:rPr>
              <w:t xml:space="preserve"> </w:t>
            </w:r>
            <w:r w:rsidR="007F77BE" w:rsidRPr="009C5F11">
              <w:rPr>
                <w:rFonts w:ascii="Times New Roman" w:hAnsi="Times New Roman" w:cs="Times New Roman"/>
                <w:sz w:val="18"/>
                <w:szCs w:val="14"/>
                <w:lang w:val="ro-RO" w:eastAsia="de-DE"/>
              </w:rPr>
              <w:t>fonduri</w:t>
            </w:r>
            <w:r w:rsidR="00967E1E" w:rsidRPr="009C5F11">
              <w:rPr>
                <w:rFonts w:ascii="Times New Roman" w:hAnsi="Times New Roman" w:cs="Times New Roman"/>
                <w:i/>
                <w:sz w:val="18"/>
                <w:szCs w:val="14"/>
                <w:lang w:val="ro-RO" w:eastAsia="de-DE"/>
              </w:rPr>
              <w:t xml:space="preserve">. </w:t>
            </w:r>
          </w:p>
          <w:p w14:paraId="0C53AC87" w14:textId="77777777" w:rsidR="00967E1E" w:rsidRPr="009C5F11" w:rsidRDefault="00967E1E" w:rsidP="00967E1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E04DEC" w:rsidRPr="009C5F11">
              <w:rPr>
                <w:rFonts w:ascii="Times New Roman" w:hAnsi="Times New Roman" w:cs="Times New Roman"/>
                <w:sz w:val="18"/>
                <w:szCs w:val="14"/>
                <w:lang w:val="ro-RO" w:eastAsia="de-DE"/>
              </w:rPr>
              <w:t>oua</w:t>
            </w:r>
            <w:r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acţiune</w:t>
            </w:r>
            <w:r w:rsidRPr="009C5F11">
              <w:rPr>
                <w:rFonts w:ascii="Times New Roman" w:hAnsi="Times New Roman" w:cs="Times New Roman"/>
                <w:sz w:val="18"/>
                <w:szCs w:val="14"/>
                <w:lang w:val="ro-RO" w:eastAsia="de-DE"/>
              </w:rPr>
              <w:t xml:space="preserve"> inclu</w:t>
            </w:r>
            <w:r w:rsidR="00E04DEC" w:rsidRPr="009C5F11">
              <w:rPr>
                <w:rFonts w:ascii="Times New Roman" w:hAnsi="Times New Roman" w:cs="Times New Roman"/>
                <w:sz w:val="18"/>
                <w:szCs w:val="14"/>
                <w:lang w:val="ro-RO" w:eastAsia="de-DE"/>
              </w:rPr>
              <w:t>să</w:t>
            </w:r>
            <w:r w:rsidR="00321CD5" w:rsidRPr="009C5F11">
              <w:rPr>
                <w:rFonts w:ascii="Times New Roman" w:hAnsi="Times New Roman" w:cs="Times New Roman"/>
                <w:sz w:val="18"/>
                <w:szCs w:val="14"/>
                <w:lang w:val="ro-RO" w:eastAsia="de-DE"/>
              </w:rPr>
              <w:t xml:space="preserve"> în </w:t>
            </w:r>
            <w:r w:rsidR="00D17141" w:rsidRPr="009C5F11">
              <w:rPr>
                <w:rFonts w:ascii="Times New Roman" w:hAnsi="Times New Roman" w:cs="Times New Roman"/>
                <w:sz w:val="18"/>
                <w:szCs w:val="14"/>
                <w:lang w:val="ro-RO" w:eastAsia="de-DE"/>
              </w:rPr>
              <w:t>Strategia sectorială</w:t>
            </w:r>
            <w:r w:rsidRPr="009C5F11">
              <w:rPr>
                <w:rFonts w:ascii="Times New Roman" w:hAnsi="Times New Roman" w:cs="Times New Roman"/>
                <w:sz w:val="18"/>
                <w:szCs w:val="14"/>
                <w:lang w:val="ro-RO" w:eastAsia="de-DE"/>
              </w:rPr>
              <w:t xml:space="preserve"> 2016-2018</w:t>
            </w:r>
          </w:p>
          <w:p w14:paraId="010E60DB" w14:textId="77777777" w:rsidR="00967E1E" w:rsidRPr="009C5F11" w:rsidRDefault="00967E1E" w:rsidP="00967E1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00D17141" w:rsidRPr="009C5F11">
              <w:rPr>
                <w:rFonts w:ascii="Times New Roman" w:hAnsi="Times New Roman" w:cs="Times New Roman"/>
                <w:sz w:val="18"/>
                <w:szCs w:val="14"/>
                <w:lang w:val="ro-RO" w:eastAsia="de-DE"/>
              </w:rPr>
              <w:t>Implementarea cadrului legislativ şi normativ</w:t>
            </w:r>
            <w:r w:rsidRPr="009C5F11">
              <w:rPr>
                <w:rFonts w:ascii="Times New Roman" w:hAnsi="Times New Roman" w:cs="Times New Roman"/>
                <w:sz w:val="18"/>
                <w:szCs w:val="14"/>
                <w:lang w:val="ro-RO" w:eastAsia="de-DE"/>
              </w:rPr>
              <w:t xml:space="preserve"> </w:t>
            </w:r>
            <w:r w:rsidR="00D160E1" w:rsidRPr="009C5F11">
              <w:rPr>
                <w:rFonts w:ascii="Times New Roman" w:hAnsi="Times New Roman" w:cs="Times New Roman"/>
                <w:sz w:val="18"/>
                <w:szCs w:val="14"/>
                <w:lang w:val="ro-RO" w:eastAsia="de-DE"/>
              </w:rPr>
              <w:t>PEC</w:t>
            </w:r>
            <w:r w:rsidRPr="009C5F11">
              <w:rPr>
                <w:rFonts w:ascii="Times New Roman" w:hAnsi="Times New Roman" w:cs="Times New Roman"/>
                <w:sz w:val="18"/>
                <w:szCs w:val="14"/>
                <w:lang w:val="ro-RO" w:eastAsia="de-DE"/>
              </w:rPr>
              <w:t>”</w:t>
            </w:r>
          </w:p>
          <w:p w14:paraId="1FA672AC" w14:textId="77777777" w:rsidR="00967E1E" w:rsidRPr="009C5F11" w:rsidRDefault="00967E1E" w:rsidP="007E4152">
            <w:pPr>
              <w:tabs>
                <w:tab w:val="left" w:pos="1440"/>
                <w:tab w:val="left" w:pos="5040"/>
                <w:tab w:val="right" w:pos="8504"/>
              </w:tabs>
              <w:spacing w:before="40" w:after="0" w:line="240" w:lineRule="auto"/>
              <w:ind w:firstLine="314"/>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2016-2018 </w:t>
            </w:r>
          </w:p>
          <w:p w14:paraId="4F8A0468" w14:textId="77777777" w:rsidR="001F2323" w:rsidRPr="009C5F11" w:rsidRDefault="00967E1E" w:rsidP="00334F3B">
            <w:pPr>
              <w:pStyle w:val="Listparagraf"/>
              <w:numPr>
                <w:ilvl w:val="0"/>
                <w:numId w:val="199"/>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2016</w:t>
            </w:r>
            <w:r w:rsidR="0005509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w:t>
            </w:r>
            <w:r w:rsidR="00B22096" w:rsidRPr="009C5F11">
              <w:rPr>
                <w:rFonts w:ascii="Times New Roman" w:hAnsi="Times New Roman" w:cs="Times New Roman"/>
                <w:sz w:val="18"/>
                <w:szCs w:val="14"/>
                <w:lang w:val="ro-RO" w:eastAsia="de-DE"/>
              </w:rPr>
              <w:t xml:space="preserve">  </w:t>
            </w:r>
            <w:r w:rsidR="001F2323" w:rsidRPr="009C5F11">
              <w:rPr>
                <w:rFonts w:ascii="Times New Roman" w:hAnsi="Times New Roman" w:cs="Times New Roman"/>
                <w:sz w:val="18"/>
                <w:szCs w:val="14"/>
                <w:lang w:val="ro-RO" w:eastAsia="de-DE"/>
              </w:rPr>
              <w:t>1,260.0</w:t>
            </w:r>
            <w:r w:rsidR="006E69B0" w:rsidRPr="009C5F11">
              <w:rPr>
                <w:rFonts w:ascii="Times New Roman" w:hAnsi="Times New Roman" w:cs="Times New Roman"/>
                <w:sz w:val="18"/>
                <w:szCs w:val="14"/>
                <w:lang w:val="ro-RO" w:eastAsia="de-DE"/>
              </w:rPr>
              <w:t xml:space="preserve"> mii lei</w:t>
            </w:r>
          </w:p>
          <w:p w14:paraId="7CD7D98A" w14:textId="77777777" w:rsidR="001F2323" w:rsidRPr="009C5F11" w:rsidRDefault="00967E1E" w:rsidP="00334F3B">
            <w:pPr>
              <w:pStyle w:val="Listparagraf"/>
              <w:numPr>
                <w:ilvl w:val="0"/>
                <w:numId w:val="199"/>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2017</w:t>
            </w:r>
            <w:r w:rsidR="00055095" w:rsidRPr="009C5F11">
              <w:rPr>
                <w:rFonts w:ascii="Times New Roman" w:hAnsi="Times New Roman" w:cs="Times New Roman"/>
                <w:sz w:val="18"/>
                <w:szCs w:val="14"/>
                <w:lang w:val="ro-RO" w:eastAsia="de-DE"/>
              </w:rPr>
              <w:t xml:space="preserve">      </w:t>
            </w:r>
            <w:r w:rsidR="00B22096" w:rsidRPr="009C5F11">
              <w:rPr>
                <w:rFonts w:ascii="Times New Roman" w:hAnsi="Times New Roman" w:cs="Times New Roman"/>
                <w:sz w:val="18"/>
                <w:szCs w:val="14"/>
                <w:lang w:val="ro-RO" w:eastAsia="de-DE"/>
              </w:rPr>
              <w:t xml:space="preserve"> </w:t>
            </w:r>
            <w:r w:rsidR="001F2323" w:rsidRPr="009C5F11">
              <w:rPr>
                <w:rFonts w:ascii="Times New Roman" w:hAnsi="Times New Roman" w:cs="Times New Roman"/>
                <w:sz w:val="18"/>
                <w:szCs w:val="14"/>
                <w:lang w:val="ro-RO" w:eastAsia="de-DE"/>
              </w:rPr>
              <w:t xml:space="preserve">   350.0</w:t>
            </w:r>
            <w:r w:rsidR="006E69B0" w:rsidRPr="009C5F11">
              <w:rPr>
                <w:rFonts w:ascii="Times New Roman" w:hAnsi="Times New Roman" w:cs="Times New Roman"/>
                <w:sz w:val="18"/>
                <w:szCs w:val="14"/>
                <w:lang w:val="ro-RO" w:eastAsia="de-DE"/>
              </w:rPr>
              <w:t xml:space="preserve">    mii lei</w:t>
            </w:r>
          </w:p>
          <w:p w14:paraId="7FC17DDD" w14:textId="77777777" w:rsidR="00967E1E" w:rsidRPr="009C5F11" w:rsidRDefault="00967E1E" w:rsidP="00334F3B">
            <w:pPr>
              <w:pStyle w:val="Listparagraf"/>
              <w:numPr>
                <w:ilvl w:val="0"/>
                <w:numId w:val="199"/>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w:t>
            </w:r>
            <w:r w:rsidR="001F2323" w:rsidRPr="009C5F11">
              <w:rPr>
                <w:rFonts w:ascii="Times New Roman" w:hAnsi="Times New Roman" w:cs="Times New Roman"/>
                <w:sz w:val="18"/>
                <w:szCs w:val="14"/>
                <w:lang w:val="ro-RO" w:eastAsia="de-DE"/>
              </w:rPr>
              <w:t xml:space="preserve">          350.0</w:t>
            </w:r>
            <w:r w:rsidR="006E69B0" w:rsidRPr="009C5F11">
              <w:rPr>
                <w:rFonts w:ascii="Times New Roman" w:hAnsi="Times New Roman" w:cs="Times New Roman"/>
                <w:sz w:val="18"/>
                <w:szCs w:val="14"/>
                <w:lang w:val="ro-RO" w:eastAsia="de-DE"/>
              </w:rPr>
              <w:t xml:space="preserve">    mii lei</w:t>
            </w:r>
            <w:r w:rsidR="0005509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w:t>
            </w:r>
            <w:r w:rsidR="0005509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w:t>
            </w:r>
          </w:p>
          <w:p w14:paraId="3D067581" w14:textId="77777777" w:rsidR="00967E1E" w:rsidRPr="009C5F11" w:rsidRDefault="00D17141" w:rsidP="00334F3B">
            <w:pPr>
              <w:numPr>
                <w:ilvl w:val="0"/>
                <w:numId w:val="74"/>
              </w:numPr>
              <w:tabs>
                <w:tab w:val="left" w:pos="702"/>
                <w:tab w:val="left" w:pos="5040"/>
                <w:tab w:val="right" w:pos="8504"/>
              </w:tabs>
              <w:spacing w:before="40" w:after="0" w:line="240" w:lineRule="auto"/>
              <w:rPr>
                <w:rFonts w:ascii="Times New Roman" w:hAnsi="Times New Roman" w:cs="Times New Roman"/>
                <w:i/>
                <w:sz w:val="18"/>
                <w:szCs w:val="14"/>
                <w:lang w:val="ro-RO" w:eastAsia="de-DE"/>
              </w:rPr>
            </w:pPr>
            <w:r w:rsidRPr="009C5F11">
              <w:rPr>
                <w:rFonts w:ascii="Times New Roman" w:hAnsi="Times New Roman" w:cs="Times New Roman"/>
                <w:sz w:val="18"/>
                <w:szCs w:val="14"/>
                <w:lang w:val="ro-RO" w:eastAsia="de-DE"/>
              </w:rPr>
              <w:t>O sursă adiţională este</w:t>
            </w:r>
            <w:r w:rsidR="00967E1E" w:rsidRPr="009C5F11">
              <w:rPr>
                <w:rFonts w:ascii="Times New Roman" w:hAnsi="Times New Roman" w:cs="Times New Roman"/>
                <w:sz w:val="18"/>
                <w:szCs w:val="14"/>
                <w:lang w:val="ro-RO" w:eastAsia="de-DE"/>
              </w:rPr>
              <w:t xml:space="preserve"> </w:t>
            </w:r>
            <w:r w:rsidR="00CD7240" w:rsidRPr="009C5F11">
              <w:rPr>
                <w:rFonts w:ascii="Times New Roman" w:hAnsi="Times New Roman" w:cs="Times New Roman"/>
                <w:sz w:val="18"/>
                <w:szCs w:val="14"/>
                <w:lang w:val="ro-RO" w:eastAsia="de-DE"/>
              </w:rPr>
              <w:t>proiectul</w:t>
            </w:r>
            <w:r w:rsidR="00967E1E" w:rsidRPr="009C5F11">
              <w:rPr>
                <w:rFonts w:ascii="Times New Roman" w:hAnsi="Times New Roman" w:cs="Times New Roman"/>
                <w:sz w:val="18"/>
                <w:szCs w:val="14"/>
                <w:lang w:val="ro-RO" w:eastAsia="de-DE"/>
              </w:rPr>
              <w:t xml:space="preserve"> </w:t>
            </w:r>
            <w:r w:rsidR="00967E1E" w:rsidRPr="009C5F11">
              <w:rPr>
                <w:rFonts w:ascii="Times New Roman" w:hAnsi="Times New Roman" w:cs="Times New Roman"/>
                <w:i/>
                <w:sz w:val="18"/>
                <w:szCs w:val="14"/>
                <w:lang w:val="ro-RO" w:eastAsia="de-DE"/>
              </w:rPr>
              <w:t>“</w:t>
            </w:r>
            <w:r w:rsidR="00D160E1" w:rsidRPr="009C5F11">
              <w:rPr>
                <w:rFonts w:ascii="Times New Roman" w:hAnsi="Times New Roman" w:cs="Times New Roman"/>
                <w:i/>
                <w:sz w:val="18"/>
                <w:szCs w:val="14"/>
                <w:lang w:val="ro-RO" w:eastAsia="de-DE"/>
              </w:rPr>
              <w:t>Foaia de parcurs pentru implementarea DPEC în Republica Moldova</w:t>
            </w:r>
            <w:r w:rsidR="00967E1E" w:rsidRPr="009C5F11">
              <w:rPr>
                <w:rFonts w:ascii="Times New Roman" w:hAnsi="Times New Roman" w:cs="Times New Roman"/>
                <w:i/>
                <w:sz w:val="18"/>
                <w:szCs w:val="14"/>
                <w:lang w:val="ro-RO" w:eastAsia="de-DE"/>
              </w:rPr>
              <w:t xml:space="preserve">” </w:t>
            </w:r>
            <w:r w:rsidRPr="009C5F11">
              <w:rPr>
                <w:rFonts w:ascii="Times New Roman" w:hAnsi="Times New Roman" w:cs="Times New Roman"/>
                <w:i/>
                <w:sz w:val="18"/>
                <w:szCs w:val="14"/>
                <w:lang w:val="ro-RO" w:eastAsia="de-DE"/>
              </w:rPr>
              <w:t>susţinut de</w:t>
            </w:r>
            <w:r w:rsidR="00967E1E" w:rsidRPr="009C5F11">
              <w:rPr>
                <w:rFonts w:ascii="Times New Roman" w:hAnsi="Times New Roman" w:cs="Times New Roman"/>
                <w:i/>
                <w:sz w:val="18"/>
                <w:szCs w:val="14"/>
                <w:lang w:val="ro-RO" w:eastAsia="de-DE"/>
              </w:rPr>
              <w:t xml:space="preserve"> </w:t>
            </w:r>
            <w:r w:rsidR="00AA0566" w:rsidRPr="009C5F11">
              <w:rPr>
                <w:rFonts w:ascii="Times New Roman" w:hAnsi="Times New Roman" w:cs="Times New Roman"/>
                <w:i/>
                <w:sz w:val="18"/>
                <w:szCs w:val="14"/>
                <w:lang w:val="ro-RO" w:eastAsia="de-DE"/>
              </w:rPr>
              <w:t>BERD</w:t>
            </w:r>
            <w:r w:rsidR="00967E1E" w:rsidRPr="009C5F11">
              <w:rPr>
                <w:rFonts w:ascii="Times New Roman" w:hAnsi="Times New Roman" w:cs="Times New Roman"/>
                <w:i/>
                <w:sz w:val="18"/>
                <w:szCs w:val="14"/>
                <w:lang w:val="ro-RO" w:eastAsia="de-DE"/>
              </w:rPr>
              <w:t>.</w:t>
            </w:r>
          </w:p>
          <w:p w14:paraId="3BD6B732" w14:textId="77777777" w:rsidR="00936847" w:rsidRPr="009C5F11" w:rsidRDefault="00967E1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 </w:t>
            </w:r>
            <w:r w:rsidR="007F77BE" w:rsidRPr="009C5F11">
              <w:rPr>
                <w:rFonts w:ascii="Times New Roman" w:hAnsi="Times New Roman" w:cs="Times New Roman"/>
                <w:sz w:val="18"/>
                <w:szCs w:val="14"/>
                <w:lang w:val="ro-RO" w:eastAsia="de-DE"/>
              </w:rPr>
              <w:t>fonduri</w:t>
            </w:r>
            <w:r w:rsidRPr="009C5F11">
              <w:rPr>
                <w:rFonts w:ascii="Times New Roman" w:hAnsi="Times New Roman" w:cs="Times New Roman"/>
                <w:sz w:val="18"/>
                <w:szCs w:val="14"/>
                <w:lang w:val="ro-RO" w:eastAsia="de-DE"/>
              </w:rPr>
              <w:t xml:space="preserve">: </w:t>
            </w:r>
            <w:r w:rsidR="00534A4C" w:rsidRPr="009C5F11">
              <w:rPr>
                <w:rFonts w:ascii="Times New Roman" w:hAnsi="Times New Roman" w:cs="Times New Roman"/>
                <w:sz w:val="18"/>
                <w:szCs w:val="14"/>
                <w:lang w:val="ro-RO" w:eastAsia="de-DE"/>
              </w:rPr>
              <w:t>N</w:t>
            </w:r>
            <w:r w:rsidR="005D4043" w:rsidRPr="009C5F11">
              <w:rPr>
                <w:rFonts w:ascii="Times New Roman" w:hAnsi="Times New Roman" w:cs="Times New Roman"/>
                <w:sz w:val="18"/>
                <w:szCs w:val="14"/>
                <w:lang w:val="ro-RO" w:eastAsia="de-DE"/>
              </w:rPr>
              <w:t>/A</w:t>
            </w:r>
          </w:p>
        </w:tc>
      </w:tr>
      <w:tr w:rsidR="00936847" w:rsidRPr="009C5F11" w14:paraId="1A2CE86A" w14:textId="77777777" w:rsidTr="00BF6432">
        <w:trPr>
          <w:trHeight w:val="476"/>
        </w:trPr>
        <w:tc>
          <w:tcPr>
            <w:tcW w:w="743" w:type="pct"/>
            <w:vMerge/>
          </w:tcPr>
          <w:p w14:paraId="7FE9C244"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5CE9E64"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229F4D8D" w14:textId="77777777" w:rsidR="00936847" w:rsidRPr="009C5F11" w:rsidRDefault="00AA056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MDRC</w:t>
            </w:r>
            <w:r w:rsidR="00936847" w:rsidRPr="009C5F11">
              <w:rPr>
                <w:rFonts w:ascii="Times New Roman" w:hAnsi="Times New Roman" w:cs="Times New Roman"/>
                <w:sz w:val="18"/>
                <w:szCs w:val="14"/>
                <w:lang w:val="ro-RO" w:eastAsia="de-DE"/>
              </w:rPr>
              <w:t xml:space="preserve">, </w:t>
            </w:r>
          </w:p>
          <w:p w14:paraId="546EF14A" w14:textId="77777777" w:rsidR="00936847" w:rsidRPr="009C5F11" w:rsidRDefault="00D17141"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cu sprijin financiar din partea</w:t>
            </w:r>
            <w:r w:rsidR="00936847" w:rsidRPr="009C5F11">
              <w:rPr>
                <w:rFonts w:ascii="Times New Roman" w:hAnsi="Times New Roman" w:cs="Times New Roman"/>
                <w:sz w:val="18"/>
                <w:szCs w:val="14"/>
                <w:lang w:val="ro-RO" w:eastAsia="de-DE"/>
              </w:rPr>
              <w:t xml:space="preserve"> </w:t>
            </w:r>
          </w:p>
          <w:p w14:paraId="3F2B8045" w14:textId="77777777" w:rsidR="007E4152" w:rsidRPr="009C5F11" w:rsidRDefault="00936847">
            <w:pPr>
              <w:tabs>
                <w:tab w:val="left" w:pos="1440"/>
                <w:tab w:val="left" w:pos="5040"/>
                <w:tab w:val="right" w:pos="8504"/>
              </w:tabs>
              <w:spacing w:after="0" w:line="288" w:lineRule="auto"/>
              <w:jc w:val="both"/>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w:t>
            </w:r>
            <w:r w:rsidR="004E780C" w:rsidRPr="009C5F11">
              <w:rPr>
                <w:rFonts w:ascii="Times New Roman" w:hAnsi="Times New Roman" w:cs="Times New Roman"/>
                <w:i/>
                <w:sz w:val="18"/>
                <w:szCs w:val="14"/>
                <w:lang w:val="ro-RO" w:eastAsia="de-DE"/>
              </w:rPr>
              <w:t>Strategi</w:t>
            </w:r>
            <w:r w:rsidR="00E04DEC" w:rsidRPr="009C5F11">
              <w:rPr>
                <w:rFonts w:ascii="Times New Roman" w:hAnsi="Times New Roman" w:cs="Times New Roman"/>
                <w:i/>
                <w:sz w:val="18"/>
                <w:szCs w:val="14"/>
                <w:lang w:val="ro-RO" w:eastAsia="de-DE"/>
              </w:rPr>
              <w:t>ei</w:t>
            </w:r>
            <w:r w:rsidR="004E780C" w:rsidRPr="009C5F11">
              <w:rPr>
                <w:rFonts w:ascii="Times New Roman" w:hAnsi="Times New Roman" w:cs="Times New Roman"/>
                <w:i/>
                <w:sz w:val="18"/>
                <w:szCs w:val="14"/>
                <w:lang w:val="ro-RO" w:eastAsia="de-DE"/>
              </w:rPr>
              <w:t xml:space="preserve"> sectorial</w:t>
            </w:r>
            <w:r w:rsidR="00E04DEC" w:rsidRPr="009C5F11">
              <w:rPr>
                <w:rFonts w:ascii="Times New Roman" w:hAnsi="Times New Roman" w:cs="Times New Roman"/>
                <w:i/>
                <w:sz w:val="18"/>
                <w:szCs w:val="14"/>
                <w:lang w:val="ro-RO" w:eastAsia="de-DE"/>
              </w:rPr>
              <w:t>e</w:t>
            </w:r>
            <w:r w:rsidR="004E780C" w:rsidRPr="009C5F11">
              <w:rPr>
                <w:rFonts w:ascii="Times New Roman" w:hAnsi="Times New Roman" w:cs="Times New Roman"/>
                <w:i/>
                <w:sz w:val="18"/>
                <w:szCs w:val="14"/>
                <w:lang w:val="ro-RO" w:eastAsia="de-DE"/>
              </w:rPr>
              <w:t xml:space="preserve"> de cheltuieli în domeniul energetic</w:t>
            </w:r>
            <w:r w:rsidRPr="009C5F11">
              <w:rPr>
                <w:rFonts w:ascii="Times New Roman" w:hAnsi="Times New Roman" w:cs="Times New Roman"/>
                <w:i/>
                <w:sz w:val="18"/>
                <w:szCs w:val="14"/>
                <w:lang w:val="ro-RO" w:eastAsia="de-DE"/>
              </w:rPr>
              <w:t>”</w:t>
            </w:r>
            <w:r w:rsidR="00321CD5" w:rsidRPr="009C5F11">
              <w:rPr>
                <w:rFonts w:ascii="Times New Roman" w:hAnsi="Times New Roman" w:cs="Times New Roman"/>
                <w:i/>
                <w:sz w:val="18"/>
                <w:szCs w:val="14"/>
                <w:lang w:val="ro-RO" w:eastAsia="de-DE"/>
              </w:rPr>
              <w:t xml:space="preserve"> şi </w:t>
            </w:r>
            <w:r w:rsidR="00E04DEC" w:rsidRPr="009C5F11">
              <w:rPr>
                <w:rFonts w:ascii="Times New Roman" w:hAnsi="Times New Roman" w:cs="Times New Roman"/>
                <w:i/>
                <w:sz w:val="18"/>
                <w:szCs w:val="14"/>
                <w:lang w:val="ro-RO" w:eastAsia="de-DE"/>
              </w:rPr>
              <w:t xml:space="preserve">al </w:t>
            </w:r>
          </w:p>
          <w:p w14:paraId="02E4AF7C" w14:textId="77777777" w:rsidR="00936847" w:rsidRPr="009C5F11" w:rsidRDefault="00E04DEC">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i/>
                <w:sz w:val="18"/>
                <w:szCs w:val="14"/>
                <w:lang w:val="ro-RO" w:eastAsia="de-DE"/>
              </w:rPr>
              <w:t xml:space="preserve">proiectului </w:t>
            </w:r>
            <w:r w:rsidR="00936847" w:rsidRPr="009C5F11">
              <w:rPr>
                <w:rFonts w:ascii="Times New Roman" w:hAnsi="Times New Roman" w:cs="Times New Roman"/>
                <w:i/>
                <w:sz w:val="18"/>
                <w:szCs w:val="14"/>
                <w:lang w:val="ro-RO" w:eastAsia="de-DE"/>
              </w:rPr>
              <w:t>“</w:t>
            </w:r>
            <w:r w:rsidR="00D160E1" w:rsidRPr="009C5F11">
              <w:rPr>
                <w:rFonts w:ascii="Times New Roman" w:hAnsi="Times New Roman" w:cs="Times New Roman"/>
                <w:i/>
                <w:sz w:val="18"/>
                <w:szCs w:val="14"/>
                <w:lang w:val="ro-RO" w:eastAsia="de-DE"/>
              </w:rPr>
              <w:t>Foaia de parcurs pentru implementarea DPEC în Republica Moldova</w:t>
            </w:r>
            <w:r w:rsidR="00936847" w:rsidRPr="009C5F11">
              <w:rPr>
                <w:rFonts w:ascii="Times New Roman" w:hAnsi="Times New Roman" w:cs="Times New Roman"/>
                <w:i/>
                <w:sz w:val="18"/>
                <w:szCs w:val="14"/>
                <w:lang w:val="ro-RO" w:eastAsia="de-DE"/>
              </w:rPr>
              <w:t>”</w:t>
            </w:r>
            <w:r w:rsidR="00936847" w:rsidRPr="009C5F11">
              <w:rPr>
                <w:rFonts w:ascii="Times New Roman" w:hAnsi="Times New Roman" w:cs="Times New Roman"/>
                <w:sz w:val="18"/>
                <w:szCs w:val="14"/>
                <w:lang w:val="ro-RO" w:eastAsia="de-DE"/>
              </w:rPr>
              <w:t xml:space="preserve"> </w:t>
            </w:r>
            <w:r w:rsidR="007E4152" w:rsidRPr="009C5F11">
              <w:rPr>
                <w:rFonts w:ascii="Times New Roman" w:hAnsi="Times New Roman" w:cs="Times New Roman"/>
                <w:sz w:val="18"/>
                <w:szCs w:val="14"/>
                <w:lang w:val="ro-RO" w:eastAsia="de-DE"/>
              </w:rPr>
              <w:t>propusa</w:t>
            </w:r>
            <w:r w:rsidR="00D17141" w:rsidRPr="009C5F11">
              <w:rPr>
                <w:rFonts w:ascii="Times New Roman" w:hAnsi="Times New Roman" w:cs="Times New Roman"/>
                <w:sz w:val="18"/>
                <w:szCs w:val="14"/>
                <w:lang w:val="ro-RO" w:eastAsia="de-DE"/>
              </w:rPr>
              <w:t xml:space="preserve"> de</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BERD</w:t>
            </w:r>
            <w:r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tc>
      </w:tr>
      <w:tr w:rsidR="00936847" w:rsidRPr="009C5F11" w14:paraId="01882113" w14:textId="77777777" w:rsidTr="00BF6432">
        <w:trPr>
          <w:trHeight w:val="67"/>
        </w:trPr>
        <w:tc>
          <w:tcPr>
            <w:tcW w:w="743" w:type="pct"/>
            <w:vMerge/>
          </w:tcPr>
          <w:p w14:paraId="47DCDF1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F681347"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56B89064" w14:textId="77777777" w:rsidR="00936847" w:rsidRPr="009C5F11" w:rsidRDefault="00AA056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936847" w:rsidRPr="009C5F11" w14:paraId="49B55BED" w14:textId="77777777" w:rsidTr="00BF6432">
        <w:trPr>
          <w:trHeight w:val="233"/>
        </w:trPr>
        <w:tc>
          <w:tcPr>
            <w:tcW w:w="743" w:type="pct"/>
            <w:vMerge w:val="restart"/>
          </w:tcPr>
          <w:p w14:paraId="5E699A16"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1449231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54D3501D" w14:textId="77777777" w:rsidR="00936847" w:rsidRPr="009C5F11" w:rsidRDefault="007E4152"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936847" w:rsidRPr="009C5F11" w14:paraId="0B42FFE7" w14:textId="77777777" w:rsidTr="00BF6432">
        <w:trPr>
          <w:trHeight w:val="296"/>
        </w:trPr>
        <w:tc>
          <w:tcPr>
            <w:tcW w:w="743" w:type="pct"/>
            <w:vMerge/>
          </w:tcPr>
          <w:p w14:paraId="4D946272"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09196F7"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prevăzute în anul 2016 conform primului PNAEE</w:t>
            </w:r>
            <w:r w:rsidR="00936847" w:rsidRPr="009C5F11">
              <w:rPr>
                <w:rFonts w:ascii="Times New Roman" w:hAnsi="Times New Roman" w:cs="Times New Roman"/>
                <w:sz w:val="18"/>
                <w:szCs w:val="14"/>
                <w:lang w:val="ro-RO" w:eastAsia="de-DE"/>
              </w:rPr>
              <w:t xml:space="preserve"> </w:t>
            </w:r>
          </w:p>
        </w:tc>
        <w:tc>
          <w:tcPr>
            <w:tcW w:w="3244" w:type="pct"/>
          </w:tcPr>
          <w:p w14:paraId="7C595C9D" w14:textId="77777777" w:rsidR="00936847" w:rsidRPr="009C5F11" w:rsidRDefault="007E4152"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936847" w:rsidRPr="009C5F11" w14:paraId="60289BDB" w14:textId="77777777" w:rsidTr="00BF6432">
        <w:trPr>
          <w:trHeight w:val="170"/>
        </w:trPr>
        <w:tc>
          <w:tcPr>
            <w:tcW w:w="743" w:type="pct"/>
            <w:vMerge/>
          </w:tcPr>
          <w:p w14:paraId="246006FA"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2F8784B" w14:textId="77777777" w:rsidR="00936847"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612B960F" w14:textId="77777777" w:rsidR="00936847" w:rsidRPr="009C5F11" w:rsidRDefault="007E4152"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936847" w:rsidRPr="009C5F11" w14:paraId="08E9E9A0" w14:textId="77777777" w:rsidTr="00BF6432">
        <w:trPr>
          <w:trHeight w:val="125"/>
        </w:trPr>
        <w:tc>
          <w:tcPr>
            <w:tcW w:w="743" w:type="pct"/>
            <w:vMerge/>
          </w:tcPr>
          <w:p w14:paraId="10F01BA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662334E"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2020 </w:t>
            </w:r>
          </w:p>
        </w:tc>
        <w:tc>
          <w:tcPr>
            <w:tcW w:w="3244" w:type="pct"/>
          </w:tcPr>
          <w:p w14:paraId="60571C6A" w14:textId="77777777" w:rsidR="00936847" w:rsidRPr="009C5F11" w:rsidRDefault="007E4152"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936847" w:rsidRPr="009C5F11" w14:paraId="04151BB6" w14:textId="77777777" w:rsidTr="00BF6432">
        <w:trPr>
          <w:trHeight w:val="80"/>
        </w:trPr>
        <w:tc>
          <w:tcPr>
            <w:tcW w:w="743" w:type="pct"/>
            <w:vMerge/>
          </w:tcPr>
          <w:p w14:paraId="10B44DCF"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019B7E4" w14:textId="77777777" w:rsidR="00936847" w:rsidRPr="009C5F11" w:rsidRDefault="007E4152"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25B0A0CA"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r>
      <w:tr w:rsidR="00936847" w:rsidRPr="009C5F11" w14:paraId="23DB7720" w14:textId="77777777" w:rsidTr="00BF6432">
        <w:trPr>
          <w:trHeight w:val="79"/>
        </w:trPr>
        <w:tc>
          <w:tcPr>
            <w:tcW w:w="743" w:type="pct"/>
            <w:vMerge/>
          </w:tcPr>
          <w:p w14:paraId="38D4BCAE"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4573574"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30AA7F9A" w14:textId="77777777" w:rsidR="00936847" w:rsidRPr="009C5F11" w:rsidRDefault="00877C4D" w:rsidP="00430626">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Măsura nu asigură economii directe măsurabile</w:t>
            </w:r>
            <w:r w:rsidR="00936847" w:rsidRPr="009C5F11">
              <w:rPr>
                <w:rFonts w:ascii="Times New Roman" w:hAnsi="Times New Roman" w:cs="Times New Roman"/>
                <w:sz w:val="18"/>
                <w:szCs w:val="14"/>
                <w:lang w:val="ro-RO"/>
              </w:rPr>
              <w:t xml:space="preserve">. </w:t>
            </w:r>
          </w:p>
          <w:p w14:paraId="17EE1655" w14:textId="77777777" w:rsidR="00936847" w:rsidRPr="009C5F11" w:rsidRDefault="00877C4D" w:rsidP="006D3203">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Economiile vor rezulta odată cu implementarea legislaţiei adoptate în clădirile publice, rezidenţiale şi NZEB</w:t>
            </w:r>
            <w:r w:rsidR="00936847" w:rsidRPr="009C5F11">
              <w:rPr>
                <w:rFonts w:ascii="Times New Roman" w:hAnsi="Times New Roman" w:cs="Times New Roman"/>
                <w:sz w:val="18"/>
                <w:szCs w:val="14"/>
                <w:lang w:val="ro-RO"/>
              </w:rPr>
              <w:t xml:space="preserve"> </w:t>
            </w:r>
            <w:r w:rsidR="00C55F0D" w:rsidRPr="009C5F11">
              <w:rPr>
                <w:rFonts w:ascii="Times New Roman" w:hAnsi="Times New Roman" w:cs="Times New Roman"/>
                <w:sz w:val="18"/>
                <w:szCs w:val="14"/>
                <w:lang w:val="ro-RO"/>
              </w:rPr>
              <w:t xml:space="preserve">în conformitate </w:t>
            </w:r>
            <w:r w:rsidRPr="009C5F11">
              <w:rPr>
                <w:rFonts w:ascii="Times New Roman" w:hAnsi="Times New Roman" w:cs="Times New Roman"/>
                <w:sz w:val="18"/>
                <w:szCs w:val="14"/>
                <w:lang w:val="ro-RO"/>
              </w:rPr>
              <w:t>cu măsurile aplicabile</w:t>
            </w:r>
            <w:r w:rsidR="00E04DEC" w:rsidRPr="009C5F11">
              <w:rPr>
                <w:rFonts w:ascii="Times New Roman" w:hAnsi="Times New Roman" w:cs="Times New Roman"/>
                <w:sz w:val="18"/>
                <w:szCs w:val="14"/>
                <w:lang w:val="ro-RO"/>
              </w:rPr>
              <w:t>.</w:t>
            </w:r>
          </w:p>
        </w:tc>
      </w:tr>
    </w:tbl>
    <w:p w14:paraId="3575BB9A" w14:textId="77777777" w:rsidR="00936847" w:rsidRPr="009C5F11" w:rsidRDefault="00936847" w:rsidP="00936847">
      <w:pPr>
        <w:spacing w:before="120" w:after="120" w:line="240" w:lineRule="auto"/>
        <w:jc w:val="both"/>
        <w:rPr>
          <w:rFonts w:ascii="Times New Roman" w:hAnsi="Times New Roman" w:cs="Times New Roman"/>
          <w:sz w:val="24"/>
          <w:lang w:val="ro-RO"/>
        </w:rPr>
        <w:sectPr w:rsidR="00936847" w:rsidRPr="009C5F11" w:rsidSect="00430626">
          <w:pgSz w:w="11907" w:h="16840" w:code="9"/>
          <w:pgMar w:top="1440" w:right="1440" w:bottom="1440" w:left="1440" w:header="720" w:footer="720" w:gutter="0"/>
          <w:cols w:space="720"/>
          <w:docGrid w:linePitch="360"/>
        </w:sectPr>
      </w:pPr>
    </w:p>
    <w:p w14:paraId="00AAC689" w14:textId="77777777" w:rsidR="002C2BBB" w:rsidRPr="009C5F11" w:rsidRDefault="00321CD5" w:rsidP="002C2BBB">
      <w:pPr>
        <w:pStyle w:val="Legend"/>
        <w:keepNext/>
        <w:jc w:val="center"/>
        <w:rPr>
          <w:rFonts w:ascii="Times New Roman" w:hAnsi="Times New Roman" w:cs="Times New Roman"/>
          <w:b/>
          <w:sz w:val="22"/>
          <w:lang w:val="ro-RO"/>
        </w:rPr>
      </w:pPr>
      <w:bookmarkStart w:id="192" w:name="_Toc447724121"/>
      <w:r w:rsidRPr="009C5F11">
        <w:rPr>
          <w:rFonts w:ascii="Times New Roman" w:hAnsi="Times New Roman" w:cs="Times New Roman"/>
          <w:b/>
          <w:sz w:val="22"/>
          <w:lang w:val="ro-RO"/>
        </w:rPr>
        <w:lastRenderedPageBreak/>
        <w:t>Tabelul</w:t>
      </w:r>
      <w:r w:rsidR="002C2BBB" w:rsidRPr="009C5F11">
        <w:rPr>
          <w:rFonts w:ascii="Times New Roman" w:hAnsi="Times New Roman" w:cs="Times New Roman"/>
          <w:b/>
          <w:sz w:val="22"/>
          <w:lang w:val="ro-RO"/>
        </w:rPr>
        <w:t xml:space="preserve"> B </w:t>
      </w:r>
      <w:r w:rsidR="003A6ADB" w:rsidRPr="009C5F11">
        <w:rPr>
          <w:rFonts w:ascii="Times New Roman" w:hAnsi="Times New Roman" w:cs="Times New Roman"/>
          <w:b/>
          <w:sz w:val="22"/>
          <w:lang w:val="ro-RO"/>
        </w:rPr>
        <w:fldChar w:fldCharType="begin"/>
      </w:r>
      <w:r w:rsidR="002C2BBB" w:rsidRPr="009C5F11">
        <w:rPr>
          <w:rFonts w:ascii="Times New Roman" w:hAnsi="Times New Roman" w:cs="Times New Roman"/>
          <w:b/>
          <w:sz w:val="22"/>
          <w:lang w:val="ro-RO"/>
        </w:rPr>
        <w:instrText xml:space="preserve"> SEQ Table_B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3</w:t>
      </w:r>
      <w:r w:rsidR="003A6ADB" w:rsidRPr="009C5F11">
        <w:rPr>
          <w:rFonts w:ascii="Times New Roman" w:hAnsi="Times New Roman" w:cs="Times New Roman"/>
          <w:b/>
          <w:sz w:val="22"/>
          <w:lang w:val="ro-RO"/>
        </w:rPr>
        <w:fldChar w:fldCharType="end"/>
      </w:r>
      <w:r w:rsidR="002C2BBB" w:rsidRPr="009C5F11">
        <w:rPr>
          <w:rFonts w:ascii="Times New Roman" w:hAnsi="Times New Roman" w:cs="Times New Roman"/>
          <w:b/>
          <w:sz w:val="22"/>
          <w:lang w:val="ro-RO"/>
        </w:rPr>
        <w:t xml:space="preserve"> - </w:t>
      </w:r>
      <w:r w:rsidR="00D160E1" w:rsidRPr="009C5F11">
        <w:rPr>
          <w:rFonts w:ascii="Times New Roman" w:hAnsi="Times New Roman" w:cs="Times New Roman"/>
          <w:b/>
          <w:sz w:val="22"/>
          <w:lang w:val="ro-RO"/>
        </w:rPr>
        <w:t>Măsuri de îmbunătăţire a eficienţei energetice în blocurile rezidenţiale</w:t>
      </w:r>
      <w:r w:rsidR="006D3203" w:rsidRPr="009C5F11">
        <w:rPr>
          <w:rFonts w:ascii="Times New Roman" w:hAnsi="Times New Roman" w:cs="Times New Roman"/>
          <w:b/>
          <w:sz w:val="22"/>
          <w:lang w:val="ro-RO"/>
        </w:rPr>
        <w:t>.</w:t>
      </w:r>
      <w:bookmarkEnd w:id="1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2006"/>
        <w:gridCol w:w="5766"/>
      </w:tblGrid>
      <w:tr w:rsidR="00936847" w:rsidRPr="009C5F11" w14:paraId="682292CE" w14:textId="77777777" w:rsidTr="00095C39">
        <w:trPr>
          <w:trHeight w:val="80"/>
        </w:trPr>
        <w:tc>
          <w:tcPr>
            <w:tcW w:w="1881" w:type="pct"/>
            <w:gridSpan w:val="2"/>
          </w:tcPr>
          <w:p w14:paraId="328F231A" w14:textId="77777777" w:rsidR="00936847" w:rsidRPr="009C5F11" w:rsidRDefault="0094635F"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119" w:type="pct"/>
          </w:tcPr>
          <w:p w14:paraId="3842722A" w14:textId="77777777" w:rsidR="00936847" w:rsidRPr="009C5F11" w:rsidRDefault="00D160E1" w:rsidP="00430626">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Măsuri de îmbunătăţire a eficienţei energetice în blocurile rezidenţiale</w:t>
            </w:r>
          </w:p>
        </w:tc>
      </w:tr>
      <w:tr w:rsidR="00936847" w:rsidRPr="009C5F11" w14:paraId="16A54613" w14:textId="77777777" w:rsidTr="00095C39">
        <w:trPr>
          <w:trHeight w:val="71"/>
        </w:trPr>
        <w:tc>
          <w:tcPr>
            <w:tcW w:w="1881" w:type="pct"/>
            <w:gridSpan w:val="2"/>
          </w:tcPr>
          <w:p w14:paraId="1166CD65" w14:textId="77777777" w:rsidR="00936847" w:rsidRPr="009C5F11" w:rsidRDefault="00E46DD7"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119" w:type="pct"/>
          </w:tcPr>
          <w:p w14:paraId="2FE24607" w14:textId="77777777" w:rsidR="00936847" w:rsidRPr="009C5F11" w:rsidRDefault="00936847" w:rsidP="00430626">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B3</w:t>
            </w:r>
          </w:p>
        </w:tc>
      </w:tr>
      <w:tr w:rsidR="00936847" w:rsidRPr="009C5F11" w14:paraId="76B32099" w14:textId="77777777" w:rsidTr="00095C39">
        <w:trPr>
          <w:trHeight w:val="107"/>
        </w:trPr>
        <w:tc>
          <w:tcPr>
            <w:tcW w:w="796" w:type="pct"/>
            <w:vMerge w:val="restart"/>
          </w:tcPr>
          <w:p w14:paraId="5D7DFDF9"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458526B4"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85" w:type="pct"/>
          </w:tcPr>
          <w:p w14:paraId="202A9ACA"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119" w:type="pct"/>
          </w:tcPr>
          <w:p w14:paraId="1D80F13B" w14:textId="77777777" w:rsidR="00936847" w:rsidRPr="009C5F11" w:rsidRDefault="00E04DEC"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Împrumuturi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subvenţii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granturi</w:t>
            </w:r>
            <w:r w:rsidR="00936847" w:rsidRPr="009C5F11">
              <w:rPr>
                <w:rFonts w:ascii="Times New Roman" w:hAnsi="Times New Roman" w:cs="Times New Roman"/>
                <w:sz w:val="18"/>
                <w:szCs w:val="14"/>
                <w:lang w:val="ro-RO" w:eastAsia="de-DE"/>
              </w:rPr>
              <w:t>)</w:t>
            </w:r>
          </w:p>
        </w:tc>
      </w:tr>
      <w:tr w:rsidR="00936847" w:rsidRPr="009C5F11" w14:paraId="31736EA8" w14:textId="77777777" w:rsidTr="00095C39">
        <w:trPr>
          <w:trHeight w:val="476"/>
        </w:trPr>
        <w:tc>
          <w:tcPr>
            <w:tcW w:w="796" w:type="pct"/>
            <w:vMerge/>
          </w:tcPr>
          <w:p w14:paraId="50F68850"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1CD85349"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119" w:type="pct"/>
          </w:tcPr>
          <w:p w14:paraId="31FFD26A"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2016</w:t>
            </w:r>
            <w:r w:rsidR="00BF5CD7" w:rsidRPr="009C5F11">
              <w:rPr>
                <w:rFonts w:ascii="Times New Roman" w:hAnsi="Times New Roman" w:cs="Times New Roman"/>
                <w:b/>
                <w:sz w:val="18"/>
                <w:szCs w:val="14"/>
                <w:lang w:val="ro-RO" w:eastAsia="de-DE"/>
              </w:rPr>
              <w:t>.</w:t>
            </w:r>
            <w:r w:rsidR="00936847" w:rsidRPr="009C5F11">
              <w:rPr>
                <w:rFonts w:ascii="Times New Roman" w:hAnsi="Times New Roman" w:cs="Times New Roman"/>
                <w:b/>
                <w:sz w:val="18"/>
                <w:szCs w:val="14"/>
                <w:lang w:val="ro-RO" w:eastAsia="de-DE"/>
              </w:rPr>
              <w:t xml:space="preserve"> </w:t>
            </w:r>
          </w:p>
          <w:p w14:paraId="3E37FD81"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2019</w:t>
            </w:r>
            <w:r w:rsidR="00BF5CD7" w:rsidRPr="009C5F11">
              <w:rPr>
                <w:rFonts w:ascii="Times New Roman" w:hAnsi="Times New Roman" w:cs="Times New Roman"/>
                <w:b/>
                <w:sz w:val="18"/>
                <w:szCs w:val="14"/>
                <w:lang w:val="ro-RO" w:eastAsia="de-DE"/>
              </w:rPr>
              <w:t>.</w:t>
            </w:r>
          </w:p>
          <w:p w14:paraId="05052545" w14:textId="77777777" w:rsidR="00936847" w:rsidRPr="009C5F11" w:rsidRDefault="00D47C89" w:rsidP="00E04DEC">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Preluată din</w:t>
            </w:r>
            <w:r w:rsidR="008624F5" w:rsidRPr="009C5F11">
              <w:rPr>
                <w:rFonts w:ascii="Times New Roman" w:hAnsi="Times New Roman" w:cs="Times New Roman"/>
                <w:sz w:val="18"/>
                <w:szCs w:val="14"/>
                <w:lang w:val="ro-RO" w:eastAsia="de-DE"/>
              </w:rPr>
              <w:t xml:space="preserve"> PNAEE 2013-2015, redenumită şi actualizată</w:t>
            </w:r>
            <w:r w:rsidR="00936847" w:rsidRPr="009C5F11">
              <w:rPr>
                <w:rFonts w:ascii="Times New Roman" w:hAnsi="Times New Roman" w:cs="Times New Roman"/>
                <w:sz w:val="18"/>
                <w:szCs w:val="14"/>
                <w:lang w:val="ro-RO" w:eastAsia="de-DE"/>
              </w:rPr>
              <w:t xml:space="preserve">: </w:t>
            </w:r>
            <w:r w:rsidR="008624F5" w:rsidRPr="009C5F11">
              <w:rPr>
                <w:rFonts w:ascii="Times New Roman" w:hAnsi="Times New Roman" w:cs="Times New Roman"/>
                <w:sz w:val="18"/>
                <w:szCs w:val="14"/>
                <w:lang w:val="ro-RO" w:eastAsia="de-DE"/>
              </w:rPr>
              <w:t>măsura iniţială</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i/>
                <w:sz w:val="18"/>
                <w:szCs w:val="14"/>
                <w:lang w:val="ro-RO" w:eastAsia="de-DE"/>
              </w:rPr>
              <w:t>“</w:t>
            </w:r>
            <w:r w:rsidR="008624F5" w:rsidRPr="009C5F11">
              <w:rPr>
                <w:rFonts w:ascii="Times New Roman" w:hAnsi="Times New Roman" w:cs="Times New Roman"/>
                <w:i/>
                <w:sz w:val="18"/>
                <w:szCs w:val="14"/>
                <w:lang w:val="ro-RO" w:eastAsia="de-DE"/>
              </w:rPr>
              <w:t>Redactarea cadrului juridic</w:t>
            </w:r>
            <w:r w:rsidR="00936847" w:rsidRPr="009C5F11">
              <w:rPr>
                <w:rFonts w:ascii="Times New Roman" w:hAnsi="Times New Roman" w:cs="Times New Roman"/>
                <w:i/>
                <w:sz w:val="18"/>
                <w:szCs w:val="14"/>
                <w:lang w:val="ro-RO" w:eastAsia="de-DE"/>
              </w:rPr>
              <w:t xml:space="preserve"> </w:t>
            </w:r>
            <w:r w:rsidR="00201D7F" w:rsidRPr="009C5F11">
              <w:rPr>
                <w:rFonts w:ascii="Times New Roman" w:hAnsi="Times New Roman" w:cs="Times New Roman"/>
                <w:i/>
                <w:sz w:val="18"/>
                <w:szCs w:val="14"/>
                <w:lang w:val="ro-RO" w:eastAsia="de-DE"/>
              </w:rPr>
              <w:t>privind performanţa energetică a clădirilor</w:t>
            </w:r>
            <w:r w:rsidR="00936847" w:rsidRPr="009C5F11">
              <w:rPr>
                <w:rFonts w:ascii="Times New Roman" w:hAnsi="Times New Roman" w:cs="Times New Roman"/>
                <w:i/>
                <w:sz w:val="18"/>
                <w:szCs w:val="14"/>
                <w:lang w:val="ro-RO" w:eastAsia="de-DE"/>
              </w:rPr>
              <w:t xml:space="preserve">” </w:t>
            </w:r>
            <w:r w:rsidR="008624F5" w:rsidRPr="009C5F11">
              <w:rPr>
                <w:rFonts w:ascii="Times New Roman" w:hAnsi="Times New Roman" w:cs="Times New Roman"/>
                <w:sz w:val="18"/>
                <w:szCs w:val="14"/>
                <w:lang w:val="ro-RO" w:eastAsia="de-DE"/>
              </w:rPr>
              <w:t>a fost divizată în două</w:t>
            </w:r>
            <w:r w:rsidR="00936847" w:rsidRPr="009C5F11">
              <w:rPr>
                <w:rFonts w:ascii="Times New Roman" w:hAnsi="Times New Roman" w:cs="Times New Roman"/>
                <w:sz w:val="18"/>
                <w:szCs w:val="14"/>
                <w:lang w:val="ro-RO" w:eastAsia="de-DE"/>
              </w:rPr>
              <w:t xml:space="preserve"> (</w:t>
            </w:r>
            <w:r w:rsidR="008624F5" w:rsidRPr="009C5F11">
              <w:rPr>
                <w:rFonts w:ascii="Times New Roman" w:hAnsi="Times New Roman" w:cs="Times New Roman"/>
                <w:sz w:val="18"/>
                <w:szCs w:val="14"/>
                <w:lang w:val="ro-RO" w:eastAsia="de-DE"/>
              </w:rPr>
              <w:t>actualmente</w:t>
            </w:r>
            <w:r w:rsidR="00936847" w:rsidRPr="009C5F11">
              <w:rPr>
                <w:rFonts w:ascii="Times New Roman" w:hAnsi="Times New Roman" w:cs="Times New Roman"/>
                <w:sz w:val="18"/>
                <w:szCs w:val="14"/>
                <w:lang w:val="ro-RO" w:eastAsia="de-DE"/>
              </w:rPr>
              <w:t xml:space="preserve"> B1</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B3</w:t>
            </w:r>
            <w:r w:rsidR="00936847" w:rsidRPr="009C5F11">
              <w:rPr>
                <w:rFonts w:ascii="Times New Roman" w:hAnsi="Times New Roman" w:cs="Times New Roman"/>
                <w:i/>
                <w:sz w:val="18"/>
                <w:szCs w:val="14"/>
                <w:lang w:val="ro-RO" w:eastAsia="de-DE"/>
              </w:rPr>
              <w:t xml:space="preserve"> ”</w:t>
            </w:r>
            <w:r w:rsidR="008624F5" w:rsidRPr="009C5F11">
              <w:rPr>
                <w:rFonts w:ascii="Times New Roman" w:hAnsi="Times New Roman" w:cs="Times New Roman"/>
                <w:i/>
                <w:sz w:val="18"/>
                <w:szCs w:val="14"/>
                <w:lang w:val="ro-RO" w:eastAsia="de-DE"/>
              </w:rPr>
              <w:t xml:space="preserve">Îmbunătăţirea </w:t>
            </w:r>
            <w:r w:rsidR="00E04DEC" w:rsidRPr="009C5F11">
              <w:rPr>
                <w:rFonts w:ascii="Times New Roman" w:hAnsi="Times New Roman" w:cs="Times New Roman"/>
                <w:i/>
                <w:sz w:val="18"/>
                <w:szCs w:val="14"/>
                <w:lang w:val="ro-RO" w:eastAsia="de-DE"/>
              </w:rPr>
              <w:t>eficienţei energetice</w:t>
            </w:r>
            <w:r w:rsidR="008624F5" w:rsidRPr="009C5F11">
              <w:rPr>
                <w:rFonts w:ascii="Times New Roman" w:hAnsi="Times New Roman" w:cs="Times New Roman"/>
                <w:i/>
                <w:sz w:val="18"/>
                <w:szCs w:val="14"/>
                <w:lang w:val="ro-RO" w:eastAsia="de-DE"/>
              </w:rPr>
              <w:t xml:space="preserve"> în blocurile rezidenţiale</w:t>
            </w:r>
            <w:r w:rsidR="00936847" w:rsidRPr="009C5F11">
              <w:rPr>
                <w:rFonts w:ascii="Times New Roman" w:hAnsi="Times New Roman" w:cs="Times New Roman"/>
                <w:i/>
                <w:sz w:val="18"/>
                <w:szCs w:val="14"/>
                <w:lang w:val="ro-RO" w:eastAsia="de-DE"/>
              </w:rPr>
              <w:t>”)</w:t>
            </w:r>
            <w:r w:rsidR="00BF5CD7" w:rsidRPr="009C5F11">
              <w:rPr>
                <w:rFonts w:ascii="Times New Roman" w:hAnsi="Times New Roman" w:cs="Times New Roman"/>
                <w:i/>
                <w:sz w:val="18"/>
                <w:szCs w:val="14"/>
                <w:lang w:val="ro-RO" w:eastAsia="de-DE"/>
              </w:rPr>
              <w:t>.</w:t>
            </w:r>
          </w:p>
        </w:tc>
      </w:tr>
      <w:tr w:rsidR="00936847" w:rsidRPr="009C5F11" w14:paraId="12C474C9" w14:textId="77777777" w:rsidTr="00095C39">
        <w:trPr>
          <w:trHeight w:val="107"/>
        </w:trPr>
        <w:tc>
          <w:tcPr>
            <w:tcW w:w="796" w:type="pct"/>
            <w:vMerge/>
          </w:tcPr>
          <w:p w14:paraId="3468EB6A"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381C06D1"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119" w:type="pct"/>
          </w:tcPr>
          <w:p w14:paraId="263E5A71" w14:textId="77777777" w:rsidR="00936847" w:rsidRPr="009C5F11" w:rsidRDefault="00927E68"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w:t>
            </w:r>
            <w:r w:rsidR="00E04DEC" w:rsidRPr="009C5F11">
              <w:rPr>
                <w:rFonts w:ascii="Times New Roman" w:hAnsi="Times New Roman" w:cs="Times New Roman"/>
                <w:sz w:val="18"/>
                <w:szCs w:val="14"/>
                <w:lang w:val="ro-RO" w:eastAsia="de-DE"/>
              </w:rPr>
              <w:t>educe</w:t>
            </w:r>
            <w:r w:rsidRPr="009C5F11">
              <w:rPr>
                <w:rFonts w:ascii="Times New Roman" w:hAnsi="Times New Roman" w:cs="Times New Roman"/>
                <w:sz w:val="18"/>
                <w:szCs w:val="14"/>
                <w:lang w:val="ro-RO" w:eastAsia="de-DE"/>
              </w:rPr>
              <w:t>rea</w:t>
            </w:r>
            <w:r w:rsidR="00E04DEC" w:rsidRPr="009C5F11">
              <w:rPr>
                <w:rFonts w:ascii="Times New Roman" w:hAnsi="Times New Roman" w:cs="Times New Roman"/>
                <w:sz w:val="18"/>
                <w:szCs w:val="14"/>
                <w:lang w:val="ro-RO" w:eastAsia="de-DE"/>
              </w:rPr>
              <w:t xml:space="preserve"> consumul</w:t>
            </w:r>
            <w:r w:rsidRPr="009C5F11">
              <w:rPr>
                <w:rFonts w:ascii="Times New Roman" w:hAnsi="Times New Roman" w:cs="Times New Roman"/>
                <w:sz w:val="18"/>
                <w:szCs w:val="14"/>
                <w:lang w:val="ro-RO" w:eastAsia="de-DE"/>
              </w:rPr>
              <w:t>ui</w:t>
            </w:r>
            <w:r w:rsidR="00E04DEC" w:rsidRPr="009C5F11">
              <w:rPr>
                <w:rFonts w:ascii="Times New Roman" w:hAnsi="Times New Roman" w:cs="Times New Roman"/>
                <w:sz w:val="18"/>
                <w:szCs w:val="14"/>
                <w:lang w:val="ro-RO" w:eastAsia="de-DE"/>
              </w:rPr>
              <w:t xml:space="preserve"> specific de </w:t>
            </w:r>
            <w:r w:rsidR="001E3482" w:rsidRPr="009C5F11">
              <w:rPr>
                <w:rFonts w:ascii="Times New Roman" w:hAnsi="Times New Roman" w:cs="Times New Roman"/>
                <w:sz w:val="18"/>
                <w:szCs w:val="14"/>
                <w:lang w:val="ro-RO" w:eastAsia="de-DE"/>
              </w:rPr>
              <w:t>energie</w:t>
            </w:r>
            <w:r w:rsidR="00936847" w:rsidRPr="009C5F11">
              <w:rPr>
                <w:rFonts w:ascii="Times New Roman" w:hAnsi="Times New Roman" w:cs="Times New Roman"/>
                <w:sz w:val="18"/>
                <w:szCs w:val="14"/>
                <w:lang w:val="ro-RO" w:eastAsia="de-DE"/>
              </w:rPr>
              <w:t xml:space="preserve"> (</w:t>
            </w:r>
            <w:r w:rsidR="00E04DEC" w:rsidRPr="009C5F11">
              <w:rPr>
                <w:rFonts w:ascii="Times New Roman" w:hAnsi="Times New Roman" w:cs="Times New Roman"/>
                <w:sz w:val="18"/>
                <w:szCs w:val="14"/>
                <w:lang w:val="ro-RO" w:eastAsia="de-DE"/>
              </w:rPr>
              <w:t>la nivelul</w:t>
            </w:r>
            <w:r w:rsidR="00936847" w:rsidRPr="009C5F11">
              <w:rPr>
                <w:rFonts w:ascii="Times New Roman" w:hAnsi="Times New Roman" w:cs="Times New Roman"/>
                <w:sz w:val="18"/>
                <w:szCs w:val="14"/>
                <w:lang w:val="ro-RO" w:eastAsia="de-DE"/>
              </w:rPr>
              <w:t xml:space="preserve"> </w:t>
            </w:r>
            <w:r w:rsidR="001F5C51" w:rsidRPr="009C5F11">
              <w:rPr>
                <w:rFonts w:ascii="Times New Roman" w:hAnsi="Times New Roman" w:cs="Times New Roman"/>
                <w:sz w:val="18"/>
                <w:szCs w:val="14"/>
                <w:lang w:val="ro-RO" w:eastAsia="de-DE"/>
              </w:rPr>
              <w:t>eficienţei energetice</w:t>
            </w:r>
            <w:r w:rsidR="00936847" w:rsidRPr="009C5F11">
              <w:rPr>
                <w:rFonts w:ascii="Times New Roman" w:hAnsi="Times New Roman" w:cs="Times New Roman"/>
                <w:sz w:val="18"/>
                <w:szCs w:val="14"/>
                <w:lang w:val="ro-RO" w:eastAsia="de-DE"/>
              </w:rPr>
              <w:t xml:space="preserve"> </w:t>
            </w:r>
            <w:r w:rsidR="00E04DEC" w:rsidRPr="009C5F11">
              <w:rPr>
                <w:rFonts w:ascii="Times New Roman" w:hAnsi="Times New Roman" w:cs="Times New Roman"/>
                <w:sz w:val="18"/>
                <w:szCs w:val="14"/>
                <w:lang w:val="ro-RO" w:eastAsia="de-DE"/>
              </w:rPr>
              <w:t xml:space="preserve">de </w:t>
            </w:r>
            <w:r w:rsidR="00936847" w:rsidRPr="009C5F11">
              <w:rPr>
                <w:rFonts w:ascii="Times New Roman" w:hAnsi="Times New Roman" w:cs="Times New Roman"/>
                <w:sz w:val="18"/>
                <w:szCs w:val="14"/>
                <w:lang w:val="ro-RO" w:eastAsia="de-DE"/>
              </w:rPr>
              <w:t>clas</w:t>
            </w:r>
            <w:r w:rsidR="00E04DEC" w:rsidRPr="009C5F11">
              <w:rPr>
                <w:rFonts w:ascii="Times New Roman" w:hAnsi="Times New Roman" w:cs="Times New Roman"/>
                <w:sz w:val="18"/>
                <w:szCs w:val="14"/>
                <w:lang w:val="ro-RO" w:eastAsia="de-DE"/>
              </w:rPr>
              <w:t>a</w:t>
            </w:r>
            <w:r w:rsidR="00936847" w:rsidRPr="009C5F11">
              <w:rPr>
                <w:rFonts w:ascii="Times New Roman" w:hAnsi="Times New Roman" w:cs="Times New Roman"/>
                <w:sz w:val="18"/>
                <w:szCs w:val="14"/>
                <w:lang w:val="ro-RO" w:eastAsia="de-DE"/>
              </w:rPr>
              <w:t xml:space="preserve"> B)</w:t>
            </w:r>
            <w:r w:rsidR="00321CD5" w:rsidRPr="009C5F11">
              <w:rPr>
                <w:rFonts w:ascii="Times New Roman" w:hAnsi="Times New Roman" w:cs="Times New Roman"/>
                <w:sz w:val="18"/>
                <w:szCs w:val="14"/>
                <w:lang w:val="ro-RO" w:eastAsia="de-DE"/>
              </w:rPr>
              <w:t xml:space="preserve"> </w:t>
            </w:r>
            <w:r w:rsidR="00E04DEC" w:rsidRPr="009C5F11">
              <w:rPr>
                <w:rFonts w:ascii="Times New Roman" w:hAnsi="Times New Roman" w:cs="Times New Roman"/>
                <w:sz w:val="18"/>
                <w:szCs w:val="14"/>
                <w:lang w:val="ro-RO" w:eastAsia="de-DE"/>
              </w:rPr>
              <w:t>în sectorul construcţiilor</w:t>
            </w:r>
            <w:r w:rsidR="00936847" w:rsidRPr="009C5F11">
              <w:rPr>
                <w:rFonts w:ascii="Times New Roman" w:hAnsi="Times New Roman" w:cs="Times New Roman"/>
                <w:sz w:val="18"/>
                <w:szCs w:val="14"/>
                <w:lang w:val="ro-RO" w:eastAsia="de-DE"/>
              </w:rPr>
              <w:t xml:space="preserve"> </w:t>
            </w:r>
            <w:r w:rsidR="00E04DEC" w:rsidRPr="009C5F11">
              <w:rPr>
                <w:rFonts w:ascii="Times New Roman" w:hAnsi="Times New Roman" w:cs="Times New Roman"/>
                <w:sz w:val="18"/>
                <w:szCs w:val="14"/>
                <w:lang w:val="ro-RO" w:eastAsia="de-DE"/>
              </w:rPr>
              <w:t>şi</w:t>
            </w:r>
            <w:r w:rsidR="00936847" w:rsidRPr="009C5F11">
              <w:rPr>
                <w:rFonts w:ascii="Times New Roman" w:hAnsi="Times New Roman" w:cs="Times New Roman"/>
                <w:sz w:val="18"/>
                <w:szCs w:val="14"/>
                <w:lang w:val="ro-RO" w:eastAsia="de-DE"/>
              </w:rPr>
              <w:t xml:space="preserve">, respectiv, </w:t>
            </w:r>
            <w:r w:rsidR="00E04DEC" w:rsidRPr="009C5F11">
              <w:rPr>
                <w:rFonts w:ascii="Times New Roman" w:hAnsi="Times New Roman" w:cs="Times New Roman"/>
                <w:sz w:val="18"/>
                <w:szCs w:val="14"/>
                <w:lang w:val="ro-RO" w:eastAsia="de-DE"/>
              </w:rPr>
              <w:t>a emisiil</w:t>
            </w:r>
            <w:r w:rsidR="00793D91" w:rsidRPr="009C5F11">
              <w:rPr>
                <w:rFonts w:ascii="Times New Roman" w:hAnsi="Times New Roman" w:cs="Times New Roman"/>
                <w:sz w:val="18"/>
                <w:szCs w:val="14"/>
                <w:lang w:val="ro-RO" w:eastAsia="de-DE"/>
              </w:rPr>
              <w:t>or</w:t>
            </w:r>
            <w:r w:rsidR="00E04DEC" w:rsidRPr="009C5F11">
              <w:rPr>
                <w:rFonts w:ascii="Times New Roman" w:hAnsi="Times New Roman" w:cs="Times New Roman"/>
                <w:sz w:val="18"/>
                <w:szCs w:val="14"/>
                <w:lang w:val="ro-RO" w:eastAsia="de-DE"/>
              </w:rPr>
              <w:t xml:space="preserve"> de </w:t>
            </w:r>
            <w:r w:rsidR="00936847" w:rsidRPr="009C5F11">
              <w:rPr>
                <w:rFonts w:ascii="Times New Roman" w:hAnsi="Times New Roman" w:cs="Times New Roman"/>
                <w:sz w:val="18"/>
                <w:szCs w:val="14"/>
                <w:lang w:val="ro-RO" w:eastAsia="de-DE"/>
              </w:rPr>
              <w:t xml:space="preserve">CO2. </w:t>
            </w:r>
          </w:p>
          <w:p w14:paraId="412064B6" w14:textId="77777777" w:rsidR="00936847" w:rsidRPr="009C5F11" w:rsidRDefault="000F0577" w:rsidP="000F0577">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Crearea unor instrumente financiare care să sprijine </w:t>
            </w:r>
            <w:r w:rsidR="00D77687" w:rsidRPr="009C5F11">
              <w:rPr>
                <w:rFonts w:ascii="Times New Roman" w:hAnsi="Times New Roman" w:cs="Times New Roman"/>
                <w:sz w:val="18"/>
                <w:szCs w:val="14"/>
                <w:lang w:val="ro-RO" w:eastAsia="de-DE"/>
              </w:rPr>
              <w:t>măsuri</w:t>
            </w:r>
            <w:r w:rsidRPr="009C5F11">
              <w:rPr>
                <w:rFonts w:ascii="Times New Roman" w:hAnsi="Times New Roman" w:cs="Times New Roman"/>
                <w:sz w:val="18"/>
                <w:szCs w:val="14"/>
                <w:lang w:val="ro-RO" w:eastAsia="de-DE"/>
              </w:rPr>
              <w:t>le</w:t>
            </w:r>
            <w:r w:rsidR="00D77687" w:rsidRPr="009C5F11">
              <w:rPr>
                <w:rFonts w:ascii="Times New Roman" w:hAnsi="Times New Roman" w:cs="Times New Roman"/>
                <w:sz w:val="18"/>
                <w:szCs w:val="14"/>
                <w:lang w:val="ro-RO" w:eastAsia="de-DE"/>
              </w:rPr>
              <w:t xml:space="preserve"> de eficienţă energetică</w:t>
            </w:r>
            <w:r w:rsidR="00321CD5" w:rsidRPr="009C5F11">
              <w:rPr>
                <w:rFonts w:ascii="Times New Roman" w:hAnsi="Times New Roman" w:cs="Times New Roman"/>
                <w:sz w:val="18"/>
                <w:szCs w:val="14"/>
                <w:lang w:val="ro-RO" w:eastAsia="de-DE"/>
              </w:rPr>
              <w:t xml:space="preserve"> </w:t>
            </w:r>
            <w:r w:rsidR="00E04DEC" w:rsidRPr="009C5F11">
              <w:rPr>
                <w:rFonts w:ascii="Times New Roman" w:hAnsi="Times New Roman" w:cs="Times New Roman"/>
                <w:sz w:val="18"/>
                <w:szCs w:val="14"/>
                <w:lang w:val="ro-RO" w:eastAsia="de-DE"/>
              </w:rPr>
              <w:t>în sectorul construcţiilor</w:t>
            </w:r>
            <w:r w:rsidR="00936847" w:rsidRPr="009C5F11">
              <w:rPr>
                <w:rFonts w:ascii="Times New Roman" w:hAnsi="Times New Roman" w:cs="Times New Roman"/>
                <w:sz w:val="18"/>
                <w:szCs w:val="14"/>
                <w:lang w:val="ro-RO" w:eastAsia="de-DE"/>
              </w:rPr>
              <w:t>.</w:t>
            </w:r>
          </w:p>
        </w:tc>
      </w:tr>
      <w:tr w:rsidR="00936847" w:rsidRPr="009C5F11" w14:paraId="3767CDC7" w14:textId="77777777" w:rsidTr="00095C39">
        <w:trPr>
          <w:trHeight w:val="44"/>
        </w:trPr>
        <w:tc>
          <w:tcPr>
            <w:tcW w:w="796" w:type="pct"/>
            <w:vMerge/>
          </w:tcPr>
          <w:p w14:paraId="15C0EE42"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25810609"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119" w:type="pct"/>
          </w:tcPr>
          <w:p w14:paraId="61D1599D" w14:textId="77777777" w:rsidR="00936847" w:rsidRPr="009C5F11" w:rsidRDefault="00E46DD7"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Clădirile noi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clădirile existente</w:t>
            </w:r>
          </w:p>
        </w:tc>
      </w:tr>
      <w:tr w:rsidR="00936847" w:rsidRPr="009C5F11" w14:paraId="04994949" w14:textId="77777777" w:rsidTr="00095C39">
        <w:trPr>
          <w:trHeight w:val="62"/>
        </w:trPr>
        <w:tc>
          <w:tcPr>
            <w:tcW w:w="796" w:type="pct"/>
            <w:vMerge/>
          </w:tcPr>
          <w:p w14:paraId="244E1AC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6366ACDE"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119" w:type="pct"/>
          </w:tcPr>
          <w:p w14:paraId="7502B9A8" w14:textId="77777777" w:rsidR="00936847" w:rsidRPr="009C5F11" w:rsidRDefault="00E04DEC"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Locuitori ai construcţiilor din</w:t>
            </w:r>
            <w:r w:rsidR="00321CD5" w:rsidRPr="009C5F11">
              <w:rPr>
                <w:rFonts w:ascii="Times New Roman" w:hAnsi="Times New Roman" w:cs="Times New Roman"/>
                <w:sz w:val="18"/>
                <w:szCs w:val="14"/>
                <w:lang w:val="ro-RO" w:eastAsia="de-DE"/>
              </w:rPr>
              <w:t xml:space="preserve"> </w:t>
            </w:r>
            <w:r w:rsidR="005E7974" w:rsidRPr="009C5F11">
              <w:rPr>
                <w:rFonts w:ascii="Times New Roman" w:hAnsi="Times New Roman" w:cs="Times New Roman"/>
                <w:sz w:val="18"/>
                <w:szCs w:val="14"/>
                <w:lang w:val="ro-RO" w:eastAsia="de-DE"/>
              </w:rPr>
              <w:t>sectorul rezidenţial</w:t>
            </w:r>
          </w:p>
        </w:tc>
      </w:tr>
      <w:tr w:rsidR="00936847" w:rsidRPr="009C5F11" w14:paraId="04F42037" w14:textId="77777777" w:rsidTr="00095C39">
        <w:trPr>
          <w:trHeight w:val="116"/>
        </w:trPr>
        <w:tc>
          <w:tcPr>
            <w:tcW w:w="796" w:type="pct"/>
            <w:vMerge/>
          </w:tcPr>
          <w:p w14:paraId="079D34B0"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34FAFC22"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119" w:type="pct"/>
          </w:tcPr>
          <w:p w14:paraId="1BA78709" w14:textId="77777777" w:rsidR="00936847" w:rsidRPr="009C5F11" w:rsidRDefault="0076167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936847" w:rsidRPr="009C5F11" w14:paraId="11E91CF3" w14:textId="77777777" w:rsidTr="00095C39">
        <w:trPr>
          <w:trHeight w:val="440"/>
        </w:trPr>
        <w:tc>
          <w:tcPr>
            <w:tcW w:w="796" w:type="pct"/>
            <w:vMerge w:val="restart"/>
          </w:tcPr>
          <w:p w14:paraId="24849D72"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85" w:type="pct"/>
          </w:tcPr>
          <w:p w14:paraId="0E98F27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119" w:type="pct"/>
          </w:tcPr>
          <w:p w14:paraId="1C9B513F" w14:textId="77777777" w:rsidR="00936847" w:rsidRPr="009C5F11" w:rsidRDefault="00927E68" w:rsidP="00334F3B">
            <w:pPr>
              <w:numPr>
                <w:ilvl w:val="0"/>
                <w:numId w:val="78"/>
              </w:numPr>
              <w:tabs>
                <w:tab w:val="left" w:pos="342"/>
                <w:tab w:val="left" w:pos="5040"/>
                <w:tab w:val="right" w:pos="8504"/>
              </w:tabs>
              <w:spacing w:before="40" w:after="0" w:line="240" w:lineRule="auto"/>
              <w:ind w:left="342" w:hanging="270"/>
              <w:jc w:val="both"/>
              <w:rPr>
                <w:rFonts w:ascii="Times New Roman" w:hAnsi="Times New Roman" w:cs="Times New Roman"/>
                <w:i/>
                <w:sz w:val="18"/>
                <w:szCs w:val="14"/>
                <w:lang w:val="ro-RO" w:eastAsia="de-DE"/>
              </w:rPr>
            </w:pPr>
            <w:r w:rsidRPr="009C5F11">
              <w:rPr>
                <w:rFonts w:ascii="Times New Roman" w:hAnsi="Times New Roman" w:cs="Times New Roman"/>
                <w:sz w:val="18"/>
                <w:szCs w:val="14"/>
                <w:lang w:val="ro-RO" w:eastAsia="de-DE"/>
              </w:rPr>
              <w:t xml:space="preserve">Stimulente </w:t>
            </w:r>
            <w:r w:rsidR="00C55F0D" w:rsidRPr="009C5F11">
              <w:rPr>
                <w:rFonts w:ascii="Times New Roman" w:hAnsi="Times New Roman" w:cs="Times New Roman"/>
                <w:sz w:val="18"/>
                <w:szCs w:val="14"/>
                <w:lang w:val="ro-RO" w:eastAsia="de-DE"/>
              </w:rPr>
              <w:t>financiare</w:t>
            </w:r>
            <w:r w:rsidR="00936847" w:rsidRPr="009C5F11">
              <w:rPr>
                <w:rFonts w:ascii="Times New Roman" w:hAnsi="Times New Roman" w:cs="Times New Roman"/>
                <w:sz w:val="18"/>
                <w:szCs w:val="14"/>
                <w:lang w:val="ro-RO" w:eastAsia="de-DE"/>
              </w:rPr>
              <w:t xml:space="preserve"> </w:t>
            </w:r>
            <w:r w:rsidR="00E04DEC" w:rsidRPr="009C5F11">
              <w:rPr>
                <w:rFonts w:ascii="Times New Roman" w:hAnsi="Times New Roman" w:cs="Times New Roman"/>
                <w:sz w:val="18"/>
                <w:szCs w:val="14"/>
                <w:lang w:val="ro-RO" w:eastAsia="de-DE"/>
              </w:rPr>
              <w:t xml:space="preserve">aplicabile care urmează a fi utilizate pentru </w:t>
            </w:r>
            <w:r w:rsidR="00936847" w:rsidRPr="009C5F11">
              <w:rPr>
                <w:rFonts w:ascii="Times New Roman" w:hAnsi="Times New Roman" w:cs="Times New Roman"/>
                <w:sz w:val="18"/>
                <w:szCs w:val="14"/>
                <w:lang w:val="ro-RO" w:eastAsia="de-DE"/>
              </w:rPr>
              <w:t>implement</w:t>
            </w:r>
            <w:r w:rsidR="00E04DEC" w:rsidRPr="009C5F11">
              <w:rPr>
                <w:rFonts w:ascii="Times New Roman" w:hAnsi="Times New Roman" w:cs="Times New Roman"/>
                <w:sz w:val="18"/>
                <w:szCs w:val="14"/>
                <w:lang w:val="ro-RO" w:eastAsia="de-DE"/>
              </w:rPr>
              <w:t>area</w:t>
            </w:r>
            <w:r w:rsidR="00936847"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acţiunil</w:t>
            </w:r>
            <w:r w:rsidR="00E04DEC" w:rsidRPr="009C5F11">
              <w:rPr>
                <w:rFonts w:ascii="Times New Roman" w:hAnsi="Times New Roman" w:cs="Times New Roman"/>
                <w:sz w:val="18"/>
                <w:szCs w:val="14"/>
                <w:lang w:val="ro-RO" w:eastAsia="de-DE"/>
              </w:rPr>
              <w:t>or prevăzute de</w:t>
            </w:r>
            <w:r w:rsidR="00936847" w:rsidRPr="009C5F11">
              <w:rPr>
                <w:rFonts w:ascii="Times New Roman" w:hAnsi="Times New Roman" w:cs="Times New Roman"/>
                <w:sz w:val="18"/>
                <w:szCs w:val="14"/>
                <w:lang w:val="ro-RO" w:eastAsia="de-DE"/>
              </w:rPr>
              <w:t xml:space="preserve"> </w:t>
            </w:r>
            <w:r w:rsidR="00055095" w:rsidRPr="009C5F11">
              <w:rPr>
                <w:rFonts w:ascii="Times New Roman" w:hAnsi="Times New Roman" w:cs="Times New Roman"/>
                <w:sz w:val="18"/>
                <w:szCs w:val="14"/>
                <w:lang w:val="ro-RO" w:eastAsia="de-DE"/>
              </w:rPr>
              <w:t xml:space="preserve">Legea </w:t>
            </w:r>
            <w:r w:rsidR="00936847" w:rsidRPr="009C5F11">
              <w:rPr>
                <w:rFonts w:ascii="Times New Roman" w:hAnsi="Times New Roman" w:cs="Times New Roman"/>
                <w:sz w:val="18"/>
                <w:szCs w:val="14"/>
                <w:lang w:val="ro-RO" w:eastAsia="de-DE"/>
              </w:rPr>
              <w:t xml:space="preserve">128/2014 (art. 34(2) </w:t>
            </w:r>
            <w:r w:rsidR="000F0577" w:rsidRPr="009C5F11">
              <w:rPr>
                <w:rFonts w:ascii="Times New Roman" w:hAnsi="Times New Roman" w:cs="Times New Roman"/>
                <w:i/>
                <w:sz w:val="18"/>
                <w:szCs w:val="14"/>
                <w:lang w:val="ro-RO" w:eastAsia="de-DE"/>
              </w:rPr>
              <w:t>stabilirea şi implementarea stimulentelor financiare pentru</w:t>
            </w:r>
            <w:r w:rsidR="00936847" w:rsidRPr="009C5F11">
              <w:rPr>
                <w:rFonts w:ascii="Times New Roman" w:hAnsi="Times New Roman" w:cs="Times New Roman"/>
                <w:i/>
                <w:sz w:val="18"/>
                <w:szCs w:val="14"/>
                <w:lang w:val="ro-RO" w:eastAsia="de-DE"/>
              </w:rPr>
              <w:t xml:space="preserve">: </w:t>
            </w:r>
            <w:r w:rsidR="000F0577" w:rsidRPr="009C5F11">
              <w:rPr>
                <w:rFonts w:ascii="Times New Roman" w:hAnsi="Times New Roman" w:cs="Times New Roman"/>
                <w:i/>
                <w:sz w:val="18"/>
                <w:szCs w:val="14"/>
                <w:lang w:val="ro-RO" w:eastAsia="de-DE"/>
              </w:rPr>
              <w:t>realizarea măsurilor de îmbunătăţire a performanţei energetice a clădirilor existente, a unităţilor şi elementelor acestora;</w:t>
            </w:r>
            <w:r w:rsidR="00936847" w:rsidRPr="009C5F11">
              <w:rPr>
                <w:rFonts w:ascii="Times New Roman" w:hAnsi="Times New Roman" w:cs="Times New Roman"/>
                <w:i/>
                <w:sz w:val="18"/>
                <w:szCs w:val="14"/>
                <w:lang w:val="ro-RO" w:eastAsia="de-DE"/>
              </w:rPr>
              <w:t xml:space="preserve"> </w:t>
            </w:r>
            <w:r w:rsidR="000F0577" w:rsidRPr="009C5F11">
              <w:rPr>
                <w:rFonts w:ascii="Times New Roman" w:hAnsi="Times New Roman" w:cs="Times New Roman"/>
                <w:i/>
                <w:sz w:val="18"/>
                <w:szCs w:val="14"/>
                <w:lang w:val="ro-RO" w:eastAsia="de-DE"/>
              </w:rPr>
              <w:t>promovarea construcţiei clădirilor noi al căror consum de energie este aproape egal cu zero şi promovarea transformării clădirilor existente în clădiri al căror consum de energie este aproape egal cu zero</w:t>
            </w:r>
            <w:r w:rsidR="00936847" w:rsidRPr="009C5F11">
              <w:rPr>
                <w:rFonts w:ascii="Times New Roman" w:hAnsi="Times New Roman" w:cs="Times New Roman"/>
                <w:i/>
                <w:sz w:val="18"/>
                <w:szCs w:val="14"/>
                <w:lang w:val="ro-RO" w:eastAsia="de-DE"/>
              </w:rPr>
              <w:t>):</w:t>
            </w:r>
          </w:p>
          <w:p w14:paraId="0D889B55" w14:textId="77777777" w:rsidR="00936847" w:rsidRPr="009C5F11" w:rsidRDefault="000812F4" w:rsidP="00334F3B">
            <w:pPr>
              <w:numPr>
                <w:ilvl w:val="0"/>
                <w:numId w:val="7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reduceri de taxe</w:t>
            </w:r>
            <w:r w:rsidR="000F0577" w:rsidRPr="009C5F11">
              <w:rPr>
                <w:rFonts w:ascii="Times New Roman" w:hAnsi="Times New Roman" w:cs="Times New Roman"/>
                <w:sz w:val="18"/>
                <w:szCs w:val="14"/>
                <w:lang w:val="ro-RO" w:eastAsia="de-DE"/>
              </w:rPr>
              <w:t>, deduceri fiscale pentru modernizarea energetică</w:t>
            </w:r>
            <w:r w:rsidR="00936847" w:rsidRPr="009C5F11">
              <w:rPr>
                <w:rFonts w:ascii="Times New Roman" w:hAnsi="Times New Roman" w:cs="Times New Roman"/>
                <w:sz w:val="18"/>
                <w:szCs w:val="14"/>
                <w:lang w:val="ro-RO" w:eastAsia="de-DE"/>
              </w:rPr>
              <w:t xml:space="preserve">, </w:t>
            </w:r>
            <w:r w:rsidR="00927E68" w:rsidRPr="009C5F11">
              <w:rPr>
                <w:rFonts w:ascii="Times New Roman" w:hAnsi="Times New Roman" w:cs="Times New Roman"/>
                <w:sz w:val="18"/>
                <w:szCs w:val="14"/>
                <w:lang w:val="ro-RO" w:eastAsia="de-DE"/>
              </w:rPr>
              <w:t xml:space="preserve">reducerea </w:t>
            </w:r>
            <w:r w:rsidR="00BF5CD7" w:rsidRPr="009C5F11">
              <w:rPr>
                <w:rFonts w:ascii="Times New Roman" w:hAnsi="Times New Roman" w:cs="Times New Roman"/>
                <w:sz w:val="18"/>
                <w:szCs w:val="14"/>
                <w:lang w:val="ro-RO" w:eastAsia="de-DE"/>
              </w:rPr>
              <w:t>co</w:t>
            </w:r>
            <w:r w:rsidR="000F0577" w:rsidRPr="009C5F11">
              <w:rPr>
                <w:rFonts w:ascii="Times New Roman" w:hAnsi="Times New Roman" w:cs="Times New Roman"/>
                <w:sz w:val="18"/>
                <w:szCs w:val="14"/>
                <w:lang w:val="ro-RO" w:eastAsia="de-DE"/>
              </w:rPr>
              <w:t>t</w:t>
            </w:r>
            <w:r w:rsidR="00927E68" w:rsidRPr="009C5F11">
              <w:rPr>
                <w:rFonts w:ascii="Times New Roman" w:hAnsi="Times New Roman" w:cs="Times New Roman"/>
                <w:sz w:val="18"/>
                <w:szCs w:val="14"/>
                <w:lang w:val="ro-RO" w:eastAsia="de-DE"/>
              </w:rPr>
              <w:t>ei</w:t>
            </w:r>
            <w:r w:rsidR="000F0577" w:rsidRPr="009C5F11">
              <w:rPr>
                <w:rFonts w:ascii="Times New Roman" w:hAnsi="Times New Roman" w:cs="Times New Roman"/>
                <w:sz w:val="18"/>
                <w:szCs w:val="14"/>
                <w:lang w:val="ro-RO" w:eastAsia="de-DE"/>
              </w:rPr>
              <w:t xml:space="preserve"> TVA pentru lucrările de </w:t>
            </w:r>
            <w:r w:rsidR="00BF5CD7" w:rsidRPr="009C5F11">
              <w:rPr>
                <w:rFonts w:ascii="Times New Roman" w:hAnsi="Times New Roman" w:cs="Times New Roman"/>
                <w:sz w:val="18"/>
                <w:szCs w:val="14"/>
                <w:lang w:val="ro-RO" w:eastAsia="de-DE"/>
              </w:rPr>
              <w:t>termo</w:t>
            </w:r>
            <w:r w:rsidR="000F0577" w:rsidRPr="009C5F11">
              <w:rPr>
                <w:rFonts w:ascii="Times New Roman" w:hAnsi="Times New Roman" w:cs="Times New Roman"/>
                <w:sz w:val="18"/>
                <w:szCs w:val="14"/>
                <w:lang w:val="ro-RO" w:eastAsia="de-DE"/>
              </w:rPr>
              <w:t>izolare, renovare</w:t>
            </w:r>
            <w:r w:rsidR="00936847" w:rsidRPr="009C5F11">
              <w:rPr>
                <w:rFonts w:ascii="Times New Roman" w:hAnsi="Times New Roman" w:cs="Times New Roman"/>
                <w:sz w:val="18"/>
                <w:szCs w:val="14"/>
                <w:lang w:val="ro-RO" w:eastAsia="de-DE"/>
              </w:rPr>
              <w:t>;</w:t>
            </w:r>
          </w:p>
          <w:p w14:paraId="4CBBBD42" w14:textId="77777777" w:rsidR="00936847" w:rsidRPr="009C5F11" w:rsidRDefault="000F0577" w:rsidP="00334F3B">
            <w:pPr>
              <w:numPr>
                <w:ilvl w:val="0"/>
                <w:numId w:val="7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împrumuturi bancare, împrumuturi cu dobândă redusă, împrumuturi cu dobânda zero</w:t>
            </w:r>
            <w:r w:rsidR="00936847" w:rsidRPr="009C5F11">
              <w:rPr>
                <w:rFonts w:ascii="Times New Roman" w:hAnsi="Times New Roman" w:cs="Times New Roman"/>
                <w:sz w:val="18"/>
                <w:szCs w:val="14"/>
                <w:lang w:val="ro-RO" w:eastAsia="de-DE"/>
              </w:rPr>
              <w:t>, cost</w:t>
            </w:r>
            <w:r w:rsidRPr="009C5F11">
              <w:rPr>
                <w:rFonts w:ascii="Times New Roman" w:hAnsi="Times New Roman" w:cs="Times New Roman"/>
                <w:sz w:val="18"/>
                <w:szCs w:val="14"/>
                <w:lang w:val="ro-RO" w:eastAsia="de-DE"/>
              </w:rPr>
              <w:t>uri achitate pe baza facturilor pentru combustibil</w:t>
            </w:r>
            <w:r w:rsidR="00936847" w:rsidRPr="009C5F11">
              <w:rPr>
                <w:rFonts w:ascii="Times New Roman" w:hAnsi="Times New Roman" w:cs="Times New Roman"/>
                <w:sz w:val="18"/>
                <w:szCs w:val="14"/>
                <w:lang w:val="ro-RO" w:eastAsia="de-DE"/>
              </w:rPr>
              <w:t>;</w:t>
            </w:r>
          </w:p>
          <w:p w14:paraId="59585B5A" w14:textId="77777777" w:rsidR="00936847" w:rsidRPr="009C5F11" w:rsidRDefault="000F0577" w:rsidP="00334F3B">
            <w:pPr>
              <w:numPr>
                <w:ilvl w:val="0"/>
                <w:numId w:val="7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finanţarea populaţiei expuse riscului</w:t>
            </w:r>
            <w:r w:rsidR="00936847" w:rsidRPr="009C5F11">
              <w:rPr>
                <w:rFonts w:ascii="Times New Roman" w:hAnsi="Times New Roman" w:cs="Times New Roman"/>
                <w:sz w:val="18"/>
                <w:szCs w:val="14"/>
                <w:lang w:val="ro-RO" w:eastAsia="de-DE"/>
              </w:rPr>
              <w:t xml:space="preserve">, </w:t>
            </w:r>
            <w:r w:rsidR="00033C99" w:rsidRPr="009C5F11">
              <w:rPr>
                <w:rFonts w:ascii="Times New Roman" w:hAnsi="Times New Roman" w:cs="Times New Roman"/>
                <w:sz w:val="18"/>
                <w:szCs w:val="14"/>
                <w:lang w:val="ro-RO" w:eastAsia="de-DE"/>
              </w:rPr>
              <w:t>măsuri de eficienţă energetică</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gospodăriile casnice cu sărăcie energetică</w:t>
            </w:r>
            <w:r w:rsidR="00796DF7" w:rsidRPr="009C5F11">
              <w:rPr>
                <w:rFonts w:ascii="Times New Roman" w:hAnsi="Times New Roman" w:cs="Times New Roman"/>
                <w:sz w:val="18"/>
                <w:szCs w:val="14"/>
                <w:lang w:val="ro-RO" w:eastAsia="de-DE"/>
              </w:rPr>
              <w:t xml:space="preserve">, </w:t>
            </w:r>
            <w:r w:rsidR="00BF5CD7" w:rsidRPr="009C5F11">
              <w:rPr>
                <w:rFonts w:ascii="Times New Roman" w:hAnsi="Times New Roman" w:cs="Times New Roman"/>
                <w:sz w:val="18"/>
                <w:szCs w:val="14"/>
                <w:lang w:val="ro-RO" w:eastAsia="de-DE"/>
              </w:rPr>
              <w:t>pentru gospodăriile cu v</w:t>
            </w:r>
            <w:r w:rsidRPr="009C5F11">
              <w:rPr>
                <w:rFonts w:ascii="Times New Roman" w:hAnsi="Times New Roman" w:cs="Times New Roman"/>
                <w:sz w:val="18"/>
                <w:szCs w:val="14"/>
                <w:lang w:val="ro-RO" w:eastAsia="de-DE"/>
              </w:rPr>
              <w:t>enituri scăzute</w:t>
            </w:r>
            <w:r w:rsidR="00936847" w:rsidRPr="009C5F11">
              <w:rPr>
                <w:rFonts w:ascii="Times New Roman" w:hAnsi="Times New Roman" w:cs="Times New Roman"/>
                <w:sz w:val="18"/>
                <w:szCs w:val="14"/>
                <w:lang w:val="ro-RO" w:eastAsia="de-DE"/>
              </w:rPr>
              <w:t>;</w:t>
            </w:r>
          </w:p>
          <w:p w14:paraId="2DB56563" w14:textId="77777777" w:rsidR="00936847" w:rsidRPr="009C5F11" w:rsidRDefault="000F0577" w:rsidP="00334F3B">
            <w:pPr>
              <w:numPr>
                <w:ilvl w:val="0"/>
                <w:numId w:val="7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programe de ajutor f</w:t>
            </w:r>
            <w:r w:rsidR="00936847" w:rsidRPr="009C5F11">
              <w:rPr>
                <w:rFonts w:ascii="Times New Roman" w:hAnsi="Times New Roman" w:cs="Times New Roman"/>
                <w:sz w:val="18"/>
                <w:szCs w:val="14"/>
                <w:lang w:val="ro-RO" w:eastAsia="de-DE"/>
              </w:rPr>
              <w:t>inancia</w:t>
            </w:r>
            <w:r w:rsidRPr="009C5F11">
              <w:rPr>
                <w:rFonts w:ascii="Times New Roman" w:hAnsi="Times New Roman" w:cs="Times New Roman"/>
                <w:sz w:val="18"/>
                <w:szCs w:val="14"/>
                <w:lang w:val="ro-RO" w:eastAsia="de-DE"/>
              </w:rPr>
              <w:t xml:space="preserve">r pentru proprietarii de </w:t>
            </w:r>
            <w:r w:rsidR="000128EF" w:rsidRPr="009C5F11">
              <w:rPr>
                <w:rFonts w:ascii="Times New Roman" w:hAnsi="Times New Roman" w:cs="Times New Roman"/>
                <w:sz w:val="18"/>
                <w:szCs w:val="14"/>
                <w:lang w:val="ro-RO" w:eastAsia="de-DE"/>
              </w:rPr>
              <w:t>E</w:t>
            </w:r>
            <w:r w:rsidR="0060148D" w:rsidRPr="009C5F11">
              <w:rPr>
                <w:rFonts w:ascii="Times New Roman" w:hAnsi="Times New Roman" w:cs="Times New Roman"/>
                <w:sz w:val="18"/>
                <w:szCs w:val="14"/>
                <w:lang w:val="ro-RO" w:eastAsia="de-DE"/>
              </w:rPr>
              <w:t>SR</w:t>
            </w:r>
            <w:r w:rsidR="00936847" w:rsidRPr="009C5F11">
              <w:rPr>
                <w:rFonts w:ascii="Times New Roman" w:hAnsi="Times New Roman" w:cs="Times New Roman"/>
                <w:sz w:val="18"/>
                <w:szCs w:val="14"/>
                <w:lang w:val="ro-RO" w:eastAsia="de-DE"/>
              </w:rPr>
              <w:t>/</w:t>
            </w:r>
            <w:r w:rsidR="00033C99" w:rsidRPr="009C5F11">
              <w:rPr>
                <w:rFonts w:ascii="Times New Roman" w:hAnsi="Times New Roman" w:cs="Times New Roman"/>
                <w:sz w:val="18"/>
                <w:szCs w:val="14"/>
                <w:lang w:val="ro-RO" w:eastAsia="de-DE"/>
              </w:rPr>
              <w:t>măsuri de eficienţă energetică</w:t>
            </w:r>
            <w:r w:rsidR="00936847" w:rsidRPr="009C5F11">
              <w:rPr>
                <w:rFonts w:ascii="Times New Roman" w:hAnsi="Times New Roman" w:cs="Times New Roman"/>
                <w:sz w:val="18"/>
                <w:szCs w:val="14"/>
                <w:lang w:val="ro-RO" w:eastAsia="de-DE"/>
              </w:rPr>
              <w:t>;</w:t>
            </w:r>
          </w:p>
          <w:p w14:paraId="22FF4AB4" w14:textId="77777777" w:rsidR="00936847" w:rsidRPr="009C5F11" w:rsidRDefault="00793D91" w:rsidP="00334F3B">
            <w:pPr>
              <w:numPr>
                <w:ilvl w:val="0"/>
                <w:numId w:val="7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w:t>
            </w:r>
            <w:r w:rsidR="00936847" w:rsidRPr="009C5F11">
              <w:rPr>
                <w:rFonts w:ascii="Times New Roman" w:hAnsi="Times New Roman" w:cs="Times New Roman"/>
                <w:sz w:val="18"/>
                <w:szCs w:val="14"/>
                <w:lang w:val="ro-RO" w:eastAsia="de-DE"/>
              </w:rPr>
              <w:t xml:space="preserve">cheme </w:t>
            </w:r>
            <w:r w:rsidR="000F0577" w:rsidRPr="009C5F11">
              <w:rPr>
                <w:rFonts w:ascii="Times New Roman" w:hAnsi="Times New Roman" w:cs="Times New Roman"/>
                <w:sz w:val="18"/>
                <w:szCs w:val="14"/>
                <w:lang w:val="ro-RO" w:eastAsia="de-DE"/>
              </w:rPr>
              <w:t>pentru</w:t>
            </w:r>
            <w:r w:rsidR="00936847" w:rsidRPr="009C5F11">
              <w:rPr>
                <w:rFonts w:ascii="Times New Roman" w:hAnsi="Times New Roman" w:cs="Times New Roman"/>
                <w:sz w:val="18"/>
                <w:szCs w:val="14"/>
                <w:lang w:val="ro-RO" w:eastAsia="de-DE"/>
              </w:rPr>
              <w:t xml:space="preserve"> integra</w:t>
            </w:r>
            <w:r w:rsidR="000F0577" w:rsidRPr="009C5F11">
              <w:rPr>
                <w:rFonts w:ascii="Times New Roman" w:hAnsi="Times New Roman" w:cs="Times New Roman"/>
                <w:sz w:val="18"/>
                <w:szCs w:val="14"/>
                <w:lang w:val="ro-RO" w:eastAsia="de-DE"/>
              </w:rPr>
              <w:t>rea</w:t>
            </w:r>
            <w:r w:rsidR="00936847" w:rsidRPr="009C5F11">
              <w:rPr>
                <w:rFonts w:ascii="Times New Roman" w:hAnsi="Times New Roman" w:cs="Times New Roman"/>
                <w:sz w:val="18"/>
                <w:szCs w:val="14"/>
                <w:lang w:val="ro-RO" w:eastAsia="de-DE"/>
              </w:rPr>
              <w:t xml:space="preserve"> </w:t>
            </w:r>
            <w:r w:rsidR="00610318" w:rsidRPr="009C5F11">
              <w:rPr>
                <w:rFonts w:ascii="Times New Roman" w:hAnsi="Times New Roman" w:cs="Times New Roman"/>
                <w:sz w:val="18"/>
                <w:szCs w:val="14"/>
                <w:lang w:val="ro-RO" w:eastAsia="de-DE"/>
              </w:rPr>
              <w:t>ESR</w:t>
            </w:r>
            <w:r w:rsidR="00936847" w:rsidRPr="009C5F11">
              <w:rPr>
                <w:rFonts w:ascii="Times New Roman" w:hAnsi="Times New Roman" w:cs="Times New Roman"/>
                <w:sz w:val="18"/>
                <w:szCs w:val="14"/>
                <w:lang w:val="ro-RO" w:eastAsia="de-DE"/>
              </w:rPr>
              <w:t>;</w:t>
            </w:r>
          </w:p>
          <w:p w14:paraId="36E196A9" w14:textId="77777777" w:rsidR="00936847" w:rsidRPr="009C5F11" w:rsidRDefault="00793D91" w:rsidP="00334F3B">
            <w:pPr>
              <w:numPr>
                <w:ilvl w:val="0"/>
                <w:numId w:val="7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w:t>
            </w:r>
            <w:r w:rsidR="000F0577" w:rsidRPr="009C5F11">
              <w:rPr>
                <w:rFonts w:ascii="Times New Roman" w:hAnsi="Times New Roman" w:cs="Times New Roman"/>
                <w:sz w:val="18"/>
                <w:szCs w:val="14"/>
                <w:lang w:val="ro-RO" w:eastAsia="de-DE"/>
              </w:rPr>
              <w:t>rograme ecologice de e</w:t>
            </w:r>
            <w:r w:rsidR="001A3D16" w:rsidRPr="009C5F11">
              <w:rPr>
                <w:rFonts w:ascii="Times New Roman" w:hAnsi="Times New Roman" w:cs="Times New Roman"/>
                <w:sz w:val="18"/>
                <w:szCs w:val="14"/>
                <w:lang w:val="ro-RO" w:eastAsia="de-DE"/>
              </w:rPr>
              <w:t>conomii</w:t>
            </w:r>
            <w:r w:rsidR="00936847" w:rsidRPr="009C5F11">
              <w:rPr>
                <w:rFonts w:ascii="Times New Roman" w:hAnsi="Times New Roman" w:cs="Times New Roman"/>
                <w:sz w:val="18"/>
                <w:szCs w:val="14"/>
                <w:lang w:val="ro-RO" w:eastAsia="de-DE"/>
              </w:rPr>
              <w:t xml:space="preserve">, </w:t>
            </w:r>
            <w:r w:rsidR="000F0577" w:rsidRPr="009C5F11">
              <w:rPr>
                <w:rFonts w:ascii="Times New Roman" w:hAnsi="Times New Roman" w:cs="Times New Roman"/>
                <w:sz w:val="18"/>
                <w:szCs w:val="14"/>
                <w:lang w:val="ro-RO" w:eastAsia="de-DE"/>
              </w:rPr>
              <w:t>stimulente pentru sistemele de încălzire eficiente din punct de vedere energetic</w:t>
            </w:r>
            <w:r w:rsidR="00936847" w:rsidRPr="009C5F11">
              <w:rPr>
                <w:rFonts w:ascii="Times New Roman" w:hAnsi="Times New Roman" w:cs="Times New Roman"/>
                <w:sz w:val="18"/>
                <w:szCs w:val="14"/>
                <w:lang w:val="ro-RO" w:eastAsia="de-DE"/>
              </w:rPr>
              <w:t>;</w:t>
            </w:r>
          </w:p>
          <w:p w14:paraId="075D9EE0" w14:textId="77777777" w:rsidR="00936847" w:rsidRPr="009C5F11" w:rsidRDefault="00793D91" w:rsidP="00334F3B">
            <w:pPr>
              <w:numPr>
                <w:ilvl w:val="0"/>
                <w:numId w:val="7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w:t>
            </w:r>
            <w:r w:rsidR="000F0577" w:rsidRPr="009C5F11">
              <w:rPr>
                <w:rFonts w:ascii="Times New Roman" w:hAnsi="Times New Roman" w:cs="Times New Roman"/>
                <w:sz w:val="18"/>
                <w:szCs w:val="14"/>
                <w:lang w:val="ro-RO" w:eastAsia="de-DE"/>
              </w:rPr>
              <w:t>rograme de sprijin</w:t>
            </w:r>
            <w:r w:rsidR="00936847" w:rsidRPr="009C5F11">
              <w:rPr>
                <w:rFonts w:ascii="Times New Roman" w:hAnsi="Times New Roman" w:cs="Times New Roman"/>
                <w:sz w:val="18"/>
                <w:szCs w:val="14"/>
                <w:lang w:val="ro-RO" w:eastAsia="de-DE"/>
              </w:rPr>
              <w:t xml:space="preserve"> </w:t>
            </w:r>
            <w:r w:rsidR="000F0577" w:rsidRPr="009C5F11">
              <w:rPr>
                <w:rFonts w:ascii="Times New Roman" w:hAnsi="Times New Roman" w:cs="Times New Roman"/>
                <w:sz w:val="18"/>
                <w:szCs w:val="14"/>
                <w:lang w:val="ro-RO" w:eastAsia="de-DE"/>
              </w:rPr>
              <w:t>pentru construcţia şi renovarea clădirilor eficiente din punct de vedere energetic</w:t>
            </w:r>
            <w:r w:rsidR="00936847" w:rsidRPr="009C5F11">
              <w:rPr>
                <w:rFonts w:ascii="Times New Roman" w:hAnsi="Times New Roman" w:cs="Times New Roman"/>
                <w:sz w:val="18"/>
                <w:szCs w:val="14"/>
                <w:lang w:val="ro-RO" w:eastAsia="de-DE"/>
              </w:rPr>
              <w:t xml:space="preserve">, </w:t>
            </w:r>
            <w:r w:rsidR="000F0577" w:rsidRPr="009C5F11">
              <w:rPr>
                <w:rFonts w:ascii="Times New Roman" w:hAnsi="Times New Roman" w:cs="Times New Roman"/>
                <w:sz w:val="18"/>
                <w:szCs w:val="14"/>
                <w:lang w:val="ro-RO" w:eastAsia="de-DE"/>
              </w:rPr>
              <w:t>stimulente</w:t>
            </w:r>
            <w:r w:rsidR="00936847" w:rsidRPr="009C5F11">
              <w:rPr>
                <w:rFonts w:ascii="Times New Roman" w:hAnsi="Times New Roman" w:cs="Times New Roman"/>
                <w:sz w:val="18"/>
                <w:szCs w:val="14"/>
                <w:lang w:val="ro-RO" w:eastAsia="de-DE"/>
              </w:rPr>
              <w:t xml:space="preserve">, </w:t>
            </w:r>
            <w:r w:rsidR="00EB460D" w:rsidRPr="009C5F11">
              <w:rPr>
                <w:rFonts w:ascii="Times New Roman" w:hAnsi="Times New Roman" w:cs="Times New Roman"/>
                <w:sz w:val="18"/>
                <w:szCs w:val="14"/>
                <w:lang w:val="ro-RO" w:eastAsia="de-DE"/>
              </w:rPr>
              <w:t>granturi</w:t>
            </w:r>
            <w:r w:rsidR="000F0577" w:rsidRPr="009C5F11">
              <w:rPr>
                <w:rFonts w:ascii="Times New Roman" w:hAnsi="Times New Roman" w:cs="Times New Roman"/>
                <w:sz w:val="18"/>
                <w:szCs w:val="14"/>
                <w:lang w:val="ro-RO" w:eastAsia="de-DE"/>
              </w:rPr>
              <w:t xml:space="preserve"> energetice</w:t>
            </w:r>
            <w:r w:rsidR="00936847" w:rsidRPr="009C5F11">
              <w:rPr>
                <w:rFonts w:ascii="Times New Roman" w:hAnsi="Times New Roman" w:cs="Times New Roman"/>
                <w:sz w:val="18"/>
                <w:szCs w:val="14"/>
                <w:lang w:val="ro-RO" w:eastAsia="de-DE"/>
              </w:rPr>
              <w:t>.</w:t>
            </w:r>
          </w:p>
          <w:p w14:paraId="2DA4A3CF" w14:textId="77777777" w:rsidR="00936847" w:rsidRPr="009C5F11" w:rsidRDefault="000F0577" w:rsidP="00334F3B">
            <w:pPr>
              <w:numPr>
                <w:ilvl w:val="0"/>
                <w:numId w:val="76"/>
              </w:numPr>
              <w:tabs>
                <w:tab w:val="left" w:pos="342"/>
                <w:tab w:val="left" w:pos="5040"/>
                <w:tab w:val="right" w:pos="8504"/>
              </w:tabs>
              <w:spacing w:after="0" w:line="240" w:lineRule="auto"/>
              <w:ind w:left="342" w:hanging="27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w:t>
            </w:r>
            <w:r w:rsidR="00936847" w:rsidRPr="009C5F11">
              <w:rPr>
                <w:rFonts w:ascii="Times New Roman" w:hAnsi="Times New Roman" w:cs="Times New Roman"/>
                <w:sz w:val="18"/>
                <w:szCs w:val="14"/>
                <w:lang w:val="ro-RO" w:eastAsia="de-DE"/>
              </w:rPr>
              <w:t>ontinu</w:t>
            </w:r>
            <w:r w:rsidRPr="009C5F11">
              <w:rPr>
                <w:rFonts w:ascii="Times New Roman" w:hAnsi="Times New Roman" w:cs="Times New Roman"/>
                <w:sz w:val="18"/>
                <w:szCs w:val="14"/>
                <w:lang w:val="ro-RO" w:eastAsia="de-DE"/>
              </w:rPr>
              <w:t>area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asistenţei</w:t>
            </w:r>
            <w:r w:rsidR="00936847" w:rsidRPr="009C5F11">
              <w:rPr>
                <w:rFonts w:ascii="Times New Roman" w:hAnsi="Times New Roman" w:cs="Times New Roman"/>
                <w:sz w:val="18"/>
                <w:szCs w:val="14"/>
                <w:lang w:val="ro-RO" w:eastAsia="de-DE"/>
              </w:rPr>
              <w:t xml:space="preserve"> </w:t>
            </w:r>
            <w:r w:rsidR="004424A0" w:rsidRPr="009C5F11">
              <w:rPr>
                <w:rFonts w:ascii="Times New Roman" w:hAnsi="Times New Roman" w:cs="Times New Roman"/>
                <w:b/>
                <w:sz w:val="18"/>
                <w:szCs w:val="14"/>
                <w:lang w:val="ro-RO" w:eastAsia="de-DE"/>
              </w:rPr>
              <w:t>MoREEFF</w:t>
            </w:r>
            <w:r w:rsidR="00936847" w:rsidRPr="009C5F11">
              <w:rPr>
                <w:rFonts w:ascii="Times New Roman" w:hAnsi="Times New Roman" w:cs="Times New Roman"/>
                <w:b/>
                <w:sz w:val="18"/>
                <w:szCs w:val="14"/>
                <w:lang w:val="ro-RO" w:eastAsia="de-DE"/>
              </w:rPr>
              <w:t xml:space="preserve"> </w:t>
            </w:r>
            <w:r w:rsidR="00321CD5" w:rsidRPr="009C5F11">
              <w:rPr>
                <w:rFonts w:ascii="Times New Roman" w:hAnsi="Times New Roman" w:cs="Times New Roman"/>
                <w:b/>
                <w:sz w:val="18"/>
                <w:szCs w:val="14"/>
                <w:lang w:val="ro-RO" w:eastAsia="de-DE"/>
              </w:rPr>
              <w:t xml:space="preserve">în </w:t>
            </w:r>
            <w:r w:rsidR="00936847" w:rsidRPr="009C5F11">
              <w:rPr>
                <w:rFonts w:ascii="Times New Roman" w:hAnsi="Times New Roman" w:cs="Times New Roman"/>
                <w:b/>
                <w:sz w:val="18"/>
                <w:szCs w:val="14"/>
                <w:lang w:val="ro-RO" w:eastAsia="de-DE"/>
              </w:rPr>
              <w:t>2016-2017</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implement</w:t>
            </w:r>
            <w:r w:rsidRPr="009C5F11">
              <w:rPr>
                <w:rFonts w:ascii="Times New Roman" w:hAnsi="Times New Roman" w:cs="Times New Roman"/>
                <w:sz w:val="18"/>
                <w:szCs w:val="14"/>
                <w:lang w:val="ro-RO" w:eastAsia="de-DE"/>
              </w:rPr>
              <w:t>area</w:t>
            </w:r>
            <w:r w:rsidR="00936847" w:rsidRPr="009C5F11">
              <w:rPr>
                <w:rFonts w:ascii="Times New Roman" w:hAnsi="Times New Roman" w:cs="Times New Roman"/>
                <w:sz w:val="18"/>
                <w:szCs w:val="14"/>
                <w:lang w:val="ro-RO" w:eastAsia="de-DE"/>
              </w:rPr>
              <w:t xml:space="preserve"> </w:t>
            </w:r>
            <w:r w:rsidR="00CD7240" w:rsidRPr="009C5F11">
              <w:rPr>
                <w:rFonts w:ascii="Times New Roman" w:hAnsi="Times New Roman" w:cs="Times New Roman"/>
                <w:sz w:val="18"/>
                <w:szCs w:val="14"/>
                <w:lang w:val="ro-RO" w:eastAsia="de-DE"/>
              </w:rPr>
              <w:t>proiect</w:t>
            </w:r>
            <w:r w:rsidRPr="009C5F11">
              <w:rPr>
                <w:rFonts w:ascii="Times New Roman" w:hAnsi="Times New Roman" w:cs="Times New Roman"/>
                <w:sz w:val="18"/>
                <w:szCs w:val="14"/>
                <w:lang w:val="ro-RO" w:eastAsia="de-DE"/>
              </w:rPr>
              <w:t>elor lansate cu sprijinul</w:t>
            </w:r>
            <w:r w:rsidR="00936847" w:rsidRPr="009C5F11">
              <w:rPr>
                <w:rFonts w:ascii="Times New Roman" w:hAnsi="Times New Roman" w:cs="Times New Roman"/>
                <w:sz w:val="18"/>
                <w:szCs w:val="14"/>
                <w:lang w:val="ro-RO" w:eastAsia="de-DE"/>
              </w:rPr>
              <w:t xml:space="preserve"> M</w:t>
            </w:r>
            <w:r w:rsidR="006E5B02" w:rsidRPr="009C5F11">
              <w:rPr>
                <w:rFonts w:ascii="Times New Roman" w:hAnsi="Times New Roman" w:cs="Times New Roman"/>
                <w:sz w:val="18"/>
                <w:szCs w:val="14"/>
                <w:lang w:val="ro-RO" w:eastAsia="de-DE"/>
              </w:rPr>
              <w:t>o</w:t>
            </w:r>
            <w:r w:rsidR="00936847" w:rsidRPr="009C5F11">
              <w:rPr>
                <w:rFonts w:ascii="Times New Roman" w:hAnsi="Times New Roman" w:cs="Times New Roman"/>
                <w:sz w:val="18"/>
                <w:szCs w:val="14"/>
                <w:lang w:val="ro-RO" w:eastAsia="de-DE"/>
              </w:rPr>
              <w:t>R</w:t>
            </w:r>
            <w:r w:rsidR="00AA0566" w:rsidRPr="009C5F11">
              <w:rPr>
                <w:rFonts w:ascii="Times New Roman" w:hAnsi="Times New Roman" w:cs="Times New Roman"/>
                <w:sz w:val="18"/>
                <w:szCs w:val="14"/>
                <w:lang w:val="ro-RO" w:eastAsia="de-DE"/>
              </w:rPr>
              <w:t>EE</w:t>
            </w:r>
            <w:r w:rsidR="00936847" w:rsidRPr="009C5F11">
              <w:rPr>
                <w:rFonts w:ascii="Times New Roman" w:hAnsi="Times New Roman" w:cs="Times New Roman"/>
                <w:sz w:val="18"/>
                <w:szCs w:val="14"/>
                <w:lang w:val="ro-RO" w:eastAsia="de-DE"/>
              </w:rPr>
              <w:t>F</w:t>
            </w:r>
            <w:r w:rsidR="0087273F" w:rsidRPr="009C5F11">
              <w:rPr>
                <w:rFonts w:ascii="Times New Roman" w:hAnsi="Times New Roman" w:cs="Times New Roman"/>
                <w:sz w:val="18"/>
                <w:szCs w:val="14"/>
                <w:lang w:val="ro-RO" w:eastAsia="de-DE"/>
              </w:rPr>
              <w:t>F</w:t>
            </w:r>
            <w:r w:rsidR="00936847" w:rsidRPr="009C5F11">
              <w:rPr>
                <w:rFonts w:ascii="Times New Roman" w:hAnsi="Times New Roman" w:cs="Times New Roman"/>
                <w:sz w:val="18"/>
                <w:szCs w:val="14"/>
                <w:lang w:val="ro-RO" w:eastAsia="de-DE"/>
              </w:rPr>
              <w:t>;</w:t>
            </w:r>
          </w:p>
          <w:p w14:paraId="202D0B07" w14:textId="77777777" w:rsidR="00936847" w:rsidRPr="009C5F11" w:rsidRDefault="005E4416" w:rsidP="00334F3B">
            <w:pPr>
              <w:numPr>
                <w:ilvl w:val="0"/>
                <w:numId w:val="79"/>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în conformitate cu termenii și condițiile Programului MoREEFF, solicitanții creditelor au dreptul de a primi stimulente investiționale (granturi) în proporție de 30% din valoarea totală a creditului MoREEFF eliberat pentru orice proiect la nivel de bloc şi în proporție de 35% pentru proiectele la nivel de bloc care sunt realizate de Asociaţiile </w:t>
            </w:r>
            <w:r w:rsidR="006E5B02" w:rsidRPr="009C5F11">
              <w:rPr>
                <w:rFonts w:ascii="Times New Roman" w:hAnsi="Times New Roman" w:cs="Times New Roman"/>
                <w:sz w:val="18"/>
                <w:szCs w:val="14"/>
                <w:lang w:val="ro-RO" w:eastAsia="de-DE"/>
              </w:rPr>
              <w:t>p</w:t>
            </w:r>
            <w:r w:rsidRPr="009C5F11">
              <w:rPr>
                <w:rFonts w:ascii="Times New Roman" w:hAnsi="Times New Roman" w:cs="Times New Roman"/>
                <w:sz w:val="18"/>
                <w:szCs w:val="14"/>
                <w:lang w:val="ro-RO" w:eastAsia="de-DE"/>
              </w:rPr>
              <w:t>roprietarilor de apartamente și prevăd măsuri pentru anvelopa clădirii şi sistemele comunale interne</w:t>
            </w:r>
            <w:r w:rsidR="00936847" w:rsidRPr="009C5F11">
              <w:rPr>
                <w:rFonts w:ascii="Times New Roman" w:hAnsi="Times New Roman" w:cs="Times New Roman"/>
                <w:sz w:val="18"/>
                <w:szCs w:val="14"/>
                <w:lang w:val="ro-RO" w:eastAsia="de-DE"/>
              </w:rPr>
              <w:t>.</w:t>
            </w:r>
          </w:p>
          <w:p w14:paraId="7B0CC250" w14:textId="77777777" w:rsidR="00936847" w:rsidRPr="009C5F11" w:rsidRDefault="005E4416" w:rsidP="00334F3B">
            <w:pPr>
              <w:numPr>
                <w:ilvl w:val="0"/>
                <w:numId w:val="79"/>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în conformitate cu termenii și condițiile Programului MoREEFF, solicitanții creditelor au dreptul de a primi stimulente investiționale (granturi) în proporție de 20% din valoarea totală a creditului eliberat de Banca </w:t>
            </w:r>
            <w:r w:rsidR="006E5B02" w:rsidRPr="009C5F11">
              <w:rPr>
                <w:rFonts w:ascii="Times New Roman" w:hAnsi="Times New Roman" w:cs="Times New Roman"/>
                <w:sz w:val="18"/>
                <w:szCs w:val="14"/>
                <w:lang w:val="ro-RO" w:eastAsia="de-DE"/>
              </w:rPr>
              <w:t>p</w:t>
            </w:r>
            <w:r w:rsidRPr="009C5F11">
              <w:rPr>
                <w:rFonts w:ascii="Times New Roman" w:hAnsi="Times New Roman" w:cs="Times New Roman"/>
                <w:sz w:val="18"/>
                <w:szCs w:val="14"/>
                <w:lang w:val="ro-RO" w:eastAsia="de-DE"/>
              </w:rPr>
              <w:t>articipantă pentru proiectele la nivel de locuință cu condiţia că fiecare stimulent investițional per măsură eligibilă de eficienţă energetică nu depăşește valorile maxime stabilite, iar valoarea totală a stimulentului acordat unui debitor nu depăşeşte limita de € 6,000</w:t>
            </w:r>
            <w:r w:rsidR="006E5B02" w:rsidRPr="009C5F11">
              <w:rPr>
                <w:rFonts w:ascii="Times New Roman" w:hAnsi="Times New Roman" w:cs="Times New Roman"/>
                <w:sz w:val="18"/>
                <w:szCs w:val="14"/>
                <w:lang w:val="ro-RO" w:eastAsia="de-DE"/>
              </w:rPr>
              <w:t xml:space="preserve"> euro</w:t>
            </w:r>
            <w:r w:rsidRPr="009C5F11">
              <w:rPr>
                <w:rFonts w:ascii="Times New Roman" w:hAnsi="Times New Roman" w:cs="Times New Roman"/>
                <w:sz w:val="18"/>
                <w:szCs w:val="14"/>
                <w:lang w:val="ro-RO" w:eastAsia="de-DE"/>
              </w:rPr>
              <w:t>.</w:t>
            </w:r>
          </w:p>
          <w:p w14:paraId="33876ECD" w14:textId="77777777" w:rsidR="00936847" w:rsidRPr="009C5F11" w:rsidRDefault="005E4416" w:rsidP="00334F3B">
            <w:pPr>
              <w:numPr>
                <w:ilvl w:val="0"/>
                <w:numId w:val="79"/>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Proiectele de reducere a consumului de energie în clădirile r</w:t>
            </w:r>
            <w:r w:rsidR="0079253D" w:rsidRPr="009C5F11">
              <w:rPr>
                <w:rFonts w:ascii="Times New Roman" w:hAnsi="Times New Roman" w:cs="Times New Roman"/>
                <w:sz w:val="18"/>
                <w:szCs w:val="14"/>
                <w:lang w:val="ro-RO" w:eastAsia="de-DE"/>
              </w:rPr>
              <w:t>ezidenţial</w:t>
            </w:r>
            <w:r w:rsidRPr="009C5F11">
              <w:rPr>
                <w:rFonts w:ascii="Times New Roman" w:hAnsi="Times New Roman" w:cs="Times New Roman"/>
                <w:sz w:val="18"/>
                <w:szCs w:val="14"/>
                <w:lang w:val="ro-RO" w:eastAsia="de-DE"/>
              </w:rPr>
              <w:t>e au, de regulă, următoarele obiective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izolarea termică </w:t>
            </w:r>
            <w:r w:rsidRPr="009C5F11">
              <w:rPr>
                <w:rFonts w:ascii="Times New Roman" w:hAnsi="Times New Roman" w:cs="Times New Roman"/>
                <w:sz w:val="18"/>
                <w:szCs w:val="14"/>
                <w:lang w:val="ro-RO" w:eastAsia="de-DE"/>
              </w:rPr>
              <w:lastRenderedPageBreak/>
              <w:t xml:space="preserve">a pereţilor, acoperişului, </w:t>
            </w:r>
            <w:r w:rsidR="006E5B02" w:rsidRPr="009C5F11">
              <w:rPr>
                <w:rFonts w:ascii="Times New Roman" w:hAnsi="Times New Roman" w:cs="Times New Roman"/>
                <w:sz w:val="18"/>
                <w:szCs w:val="14"/>
                <w:lang w:val="ro-RO" w:eastAsia="de-DE"/>
              </w:rPr>
              <w:t>planşeelor</w:t>
            </w:r>
            <w:r w:rsidRPr="009C5F11">
              <w:rPr>
                <w:rFonts w:ascii="Times New Roman" w:hAnsi="Times New Roman" w:cs="Times New Roman"/>
                <w:sz w:val="18"/>
                <w:szCs w:val="14"/>
                <w:lang w:val="ro-RO" w:eastAsia="de-DE"/>
              </w:rPr>
              <w:t>, instalarea cazanelor, pompelor de căldură şi alte măsuri de economisire a energiei</w:t>
            </w:r>
            <w:r w:rsidR="00936847" w:rsidRPr="009C5F11">
              <w:rPr>
                <w:rFonts w:ascii="Times New Roman" w:hAnsi="Times New Roman" w:cs="Times New Roman"/>
                <w:sz w:val="18"/>
                <w:szCs w:val="14"/>
                <w:lang w:val="ro-RO" w:eastAsia="de-DE"/>
              </w:rPr>
              <w:t>.</w:t>
            </w:r>
          </w:p>
          <w:p w14:paraId="6DB26C23" w14:textId="77777777" w:rsidR="00936847" w:rsidRPr="009C5F11" w:rsidRDefault="005E4416" w:rsidP="00334F3B">
            <w:pPr>
              <w:numPr>
                <w:ilvl w:val="0"/>
                <w:numId w:val="76"/>
              </w:numPr>
              <w:tabs>
                <w:tab w:val="left" w:pos="342"/>
                <w:tab w:val="left" w:pos="5040"/>
                <w:tab w:val="right" w:pos="8504"/>
              </w:tabs>
              <w:spacing w:before="40" w:after="0" w:line="240" w:lineRule="auto"/>
              <w:ind w:left="342" w:hanging="27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Crearea de</w:t>
            </w:r>
            <w:r w:rsidR="00936847" w:rsidRPr="009C5F11">
              <w:rPr>
                <w:rFonts w:ascii="Times New Roman" w:hAnsi="Times New Roman" w:cs="Times New Roman"/>
                <w:b/>
                <w:sz w:val="18"/>
                <w:szCs w:val="14"/>
                <w:lang w:val="ro-RO" w:eastAsia="de-DE"/>
              </w:rPr>
              <w:t xml:space="preserve"> instrument</w:t>
            </w:r>
            <w:r w:rsidRPr="009C5F11">
              <w:rPr>
                <w:rFonts w:ascii="Times New Roman" w:hAnsi="Times New Roman" w:cs="Times New Roman"/>
                <w:b/>
                <w:sz w:val="18"/>
                <w:szCs w:val="14"/>
                <w:lang w:val="ro-RO" w:eastAsia="de-DE"/>
              </w:rPr>
              <w:t>e financiare adiţionale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similar</w:t>
            </w:r>
            <w:r w:rsidR="00793D91"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 xml:space="preserve"> </w:t>
            </w:r>
            <w:r w:rsidR="0087273F" w:rsidRPr="009C5F11">
              <w:rPr>
                <w:rFonts w:ascii="Times New Roman" w:hAnsi="Times New Roman" w:cs="Times New Roman"/>
                <w:sz w:val="18"/>
                <w:szCs w:val="14"/>
                <w:lang w:val="ro-RO" w:eastAsia="de-DE"/>
              </w:rPr>
              <w:t>MoREEFF</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pentru a acoperi potenţialul EE în clădirile </w:t>
            </w:r>
            <w:r w:rsidR="00AB1710" w:rsidRPr="009C5F11">
              <w:rPr>
                <w:rFonts w:ascii="Times New Roman" w:hAnsi="Times New Roman" w:cs="Times New Roman"/>
                <w:sz w:val="18"/>
                <w:szCs w:val="14"/>
                <w:lang w:val="ro-RO" w:eastAsia="de-DE"/>
              </w:rPr>
              <w:t>rezidenţial</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w:t>
            </w:r>
          </w:p>
          <w:p w14:paraId="70EB675C" w14:textId="77777777" w:rsidR="00936847" w:rsidRPr="009C5F11" w:rsidRDefault="00AA0566" w:rsidP="00334F3B">
            <w:pPr>
              <w:numPr>
                <w:ilvl w:val="0"/>
                <w:numId w:val="76"/>
              </w:numPr>
              <w:tabs>
                <w:tab w:val="left" w:pos="342"/>
                <w:tab w:val="left" w:pos="5040"/>
                <w:tab w:val="right" w:pos="8504"/>
              </w:tabs>
              <w:spacing w:before="40" w:after="0" w:line="240" w:lineRule="auto"/>
              <w:ind w:left="342" w:hanging="270"/>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FEE</w:t>
            </w:r>
            <w:r w:rsidR="00936847" w:rsidRPr="009C5F11">
              <w:rPr>
                <w:rFonts w:ascii="Times New Roman" w:hAnsi="Times New Roman" w:cs="Times New Roman"/>
                <w:b/>
                <w:sz w:val="18"/>
                <w:szCs w:val="14"/>
                <w:lang w:val="ro-RO" w:eastAsia="de-DE"/>
              </w:rPr>
              <w:t xml:space="preserve"> </w:t>
            </w:r>
            <w:r w:rsidR="005E4416" w:rsidRPr="009C5F11">
              <w:rPr>
                <w:rFonts w:ascii="Times New Roman" w:hAnsi="Times New Roman" w:cs="Times New Roman"/>
                <w:b/>
                <w:sz w:val="18"/>
                <w:szCs w:val="14"/>
                <w:lang w:val="ro-RO" w:eastAsia="de-DE"/>
              </w:rPr>
              <w:t xml:space="preserve">va lansa un </w:t>
            </w:r>
            <w:r w:rsidR="00936847" w:rsidRPr="009C5F11">
              <w:rPr>
                <w:rFonts w:ascii="Times New Roman" w:hAnsi="Times New Roman" w:cs="Times New Roman"/>
                <w:b/>
                <w:sz w:val="18"/>
                <w:szCs w:val="14"/>
                <w:lang w:val="ro-RO" w:eastAsia="de-DE"/>
              </w:rPr>
              <w:t>program dedicat</w:t>
            </w:r>
            <w:r w:rsidR="005E4416" w:rsidRPr="009C5F11">
              <w:rPr>
                <w:rFonts w:ascii="Times New Roman" w:hAnsi="Times New Roman" w:cs="Times New Roman"/>
                <w:b/>
                <w:sz w:val="18"/>
                <w:szCs w:val="14"/>
                <w:lang w:val="ro-RO" w:eastAsia="de-DE"/>
              </w:rPr>
              <w:t xml:space="preserve"> renovării blocurilor locative cu multe etaje</w:t>
            </w:r>
            <w:r w:rsidR="00936847" w:rsidRPr="009C5F11">
              <w:rPr>
                <w:rFonts w:ascii="Times New Roman" w:hAnsi="Times New Roman" w:cs="Times New Roman"/>
                <w:b/>
                <w:sz w:val="18"/>
                <w:szCs w:val="14"/>
                <w:lang w:val="ro-RO" w:eastAsia="de-DE"/>
              </w:rPr>
              <w:t xml:space="preserve"> (</w:t>
            </w:r>
            <w:r w:rsidR="00793D91" w:rsidRPr="009C5F11">
              <w:rPr>
                <w:rFonts w:ascii="Times New Roman" w:hAnsi="Times New Roman" w:cs="Times New Roman"/>
                <w:b/>
                <w:sz w:val="18"/>
                <w:szCs w:val="14"/>
                <w:lang w:val="ro-RO" w:eastAsia="de-DE"/>
              </w:rPr>
              <w:t xml:space="preserve">o </w:t>
            </w:r>
            <w:r w:rsidR="00936847" w:rsidRPr="009C5F11">
              <w:rPr>
                <w:rFonts w:ascii="Times New Roman" w:hAnsi="Times New Roman" w:cs="Times New Roman"/>
                <w:b/>
                <w:sz w:val="18"/>
                <w:szCs w:val="14"/>
                <w:lang w:val="ro-RO" w:eastAsia="de-DE"/>
              </w:rPr>
              <w:t>combina</w:t>
            </w:r>
            <w:r w:rsidR="005E4416" w:rsidRPr="009C5F11">
              <w:rPr>
                <w:rFonts w:ascii="Times New Roman" w:hAnsi="Times New Roman" w:cs="Times New Roman"/>
                <w:b/>
                <w:sz w:val="18"/>
                <w:szCs w:val="14"/>
                <w:lang w:val="ro-RO" w:eastAsia="de-DE"/>
              </w:rPr>
              <w:t xml:space="preserve">re de </w:t>
            </w:r>
            <w:r w:rsidR="00EB460D" w:rsidRPr="009C5F11">
              <w:rPr>
                <w:rFonts w:ascii="Times New Roman" w:hAnsi="Times New Roman" w:cs="Times New Roman"/>
                <w:b/>
                <w:sz w:val="18"/>
                <w:szCs w:val="14"/>
                <w:lang w:val="ro-RO" w:eastAsia="de-DE"/>
              </w:rPr>
              <w:t>granturi</w:t>
            </w:r>
            <w:r w:rsidR="00936847" w:rsidRPr="009C5F11">
              <w:rPr>
                <w:rFonts w:ascii="Times New Roman" w:hAnsi="Times New Roman" w:cs="Times New Roman"/>
                <w:b/>
                <w:sz w:val="18"/>
                <w:szCs w:val="14"/>
                <w:lang w:val="ro-RO" w:eastAsia="de-DE"/>
              </w:rPr>
              <w:t xml:space="preserve"> + </w:t>
            </w:r>
            <w:r w:rsidR="005E4416" w:rsidRPr="009C5F11">
              <w:rPr>
                <w:rFonts w:ascii="Times New Roman" w:hAnsi="Times New Roman" w:cs="Times New Roman"/>
                <w:b/>
                <w:sz w:val="18"/>
                <w:szCs w:val="14"/>
                <w:lang w:val="ro-RO" w:eastAsia="de-DE"/>
              </w:rPr>
              <w:t>împrumuturi cu dobânda</w:t>
            </w:r>
            <w:r w:rsidR="00936847" w:rsidRPr="009C5F11">
              <w:rPr>
                <w:rFonts w:ascii="Times New Roman" w:hAnsi="Times New Roman" w:cs="Times New Roman"/>
                <w:b/>
                <w:sz w:val="18"/>
                <w:szCs w:val="14"/>
                <w:lang w:val="ro-RO" w:eastAsia="de-DE"/>
              </w:rPr>
              <w:t xml:space="preserve"> 0%)</w:t>
            </w:r>
            <w:r w:rsidR="006E5B02" w:rsidRPr="009C5F11">
              <w:rPr>
                <w:rFonts w:ascii="Times New Roman" w:hAnsi="Times New Roman" w:cs="Times New Roman"/>
                <w:b/>
                <w:sz w:val="18"/>
                <w:szCs w:val="14"/>
                <w:lang w:val="ro-RO" w:eastAsia="de-DE"/>
              </w:rPr>
              <w:t>.</w:t>
            </w:r>
            <w:r w:rsidR="00936847" w:rsidRPr="009C5F11">
              <w:rPr>
                <w:rFonts w:ascii="Times New Roman" w:hAnsi="Times New Roman" w:cs="Times New Roman"/>
                <w:b/>
                <w:sz w:val="18"/>
                <w:szCs w:val="14"/>
                <w:lang w:val="ro-RO" w:eastAsia="de-DE"/>
              </w:rPr>
              <w:t xml:space="preserve"> </w:t>
            </w:r>
          </w:p>
        </w:tc>
      </w:tr>
      <w:tr w:rsidR="00936847" w:rsidRPr="009C5F11" w14:paraId="71B7AEFE" w14:textId="77777777" w:rsidTr="00095C39">
        <w:trPr>
          <w:trHeight w:val="1550"/>
        </w:trPr>
        <w:tc>
          <w:tcPr>
            <w:tcW w:w="796" w:type="pct"/>
            <w:vMerge/>
          </w:tcPr>
          <w:p w14:paraId="370858BD"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564128EB"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119" w:type="pct"/>
          </w:tcPr>
          <w:p w14:paraId="1CCBAC8B" w14:textId="77777777" w:rsidR="00936847" w:rsidRPr="009C5F11" w:rsidRDefault="000E55A5" w:rsidP="00334F3B">
            <w:pPr>
              <w:numPr>
                <w:ilvl w:val="0"/>
                <w:numId w:val="82"/>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Sursa actuală de finanţare </w:t>
            </w:r>
            <w:r w:rsidR="00693850" w:rsidRPr="009C5F11">
              <w:rPr>
                <w:rFonts w:ascii="Times New Roman" w:hAnsi="Times New Roman" w:cs="Times New Roman"/>
                <w:sz w:val="18"/>
                <w:szCs w:val="14"/>
                <w:lang w:val="ro-RO" w:eastAsia="de-DE"/>
              </w:rPr>
              <w:t>pentru implementarea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măsurilor</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este linia de credit</w:t>
            </w:r>
            <w:r w:rsidR="00936847" w:rsidRPr="009C5F11">
              <w:rPr>
                <w:rFonts w:ascii="Times New Roman" w:hAnsi="Times New Roman" w:cs="Times New Roman"/>
                <w:sz w:val="18"/>
                <w:szCs w:val="14"/>
                <w:lang w:val="ro-RO" w:eastAsia="de-DE"/>
              </w:rPr>
              <w:t xml:space="preserve"> </w:t>
            </w:r>
            <w:r w:rsidR="0087273F" w:rsidRPr="009C5F11">
              <w:rPr>
                <w:rFonts w:ascii="Times New Roman" w:hAnsi="Times New Roman" w:cs="Times New Roman"/>
                <w:sz w:val="18"/>
                <w:szCs w:val="14"/>
                <w:lang w:val="ro-RO" w:eastAsia="de-DE"/>
              </w:rPr>
              <w:t>MoREEFF</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II </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care se încheie la</w:t>
            </w:r>
            <w:r w:rsidR="00936847" w:rsidRPr="009C5F11">
              <w:rPr>
                <w:rFonts w:ascii="Times New Roman" w:hAnsi="Times New Roman" w:cs="Times New Roman"/>
                <w:sz w:val="18"/>
                <w:szCs w:val="14"/>
                <w:lang w:val="ro-RO" w:eastAsia="de-DE"/>
              </w:rPr>
              <w:t xml:space="preserve"> 30 </w:t>
            </w:r>
            <w:r w:rsidR="000A4CC7" w:rsidRPr="009C5F11">
              <w:rPr>
                <w:rFonts w:ascii="Times New Roman" w:hAnsi="Times New Roman" w:cs="Times New Roman"/>
                <w:sz w:val="18"/>
                <w:szCs w:val="14"/>
                <w:lang w:val="ro-RO" w:eastAsia="de-DE"/>
              </w:rPr>
              <w:t>iunie</w:t>
            </w:r>
            <w:r w:rsidR="00936847" w:rsidRPr="009C5F11">
              <w:rPr>
                <w:rFonts w:ascii="Times New Roman" w:hAnsi="Times New Roman" w:cs="Times New Roman"/>
                <w:sz w:val="18"/>
                <w:szCs w:val="14"/>
                <w:lang w:val="ro-RO" w:eastAsia="de-DE"/>
              </w:rPr>
              <w:t xml:space="preserve"> 2017)</w:t>
            </w:r>
            <w:r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4CA71CEC" w14:textId="77777777" w:rsidR="00936847" w:rsidRPr="009C5F11" w:rsidRDefault="000E55A5" w:rsidP="00334F3B">
            <w:pPr>
              <w:numPr>
                <w:ilvl w:val="0"/>
                <w:numId w:val="75"/>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Linia de credit </w:t>
            </w:r>
            <w:r w:rsidR="0087273F" w:rsidRPr="009C5F11">
              <w:rPr>
                <w:rFonts w:ascii="Times New Roman" w:hAnsi="Times New Roman" w:cs="Times New Roman"/>
                <w:sz w:val="18"/>
                <w:szCs w:val="14"/>
                <w:lang w:val="ro-RO" w:eastAsia="de-DE"/>
              </w:rPr>
              <w:t>MoREEFF</w:t>
            </w:r>
            <w:r w:rsidR="00936847" w:rsidRPr="009C5F11">
              <w:rPr>
                <w:rFonts w:ascii="Times New Roman" w:hAnsi="Times New Roman" w:cs="Times New Roman"/>
                <w:sz w:val="18"/>
                <w:szCs w:val="14"/>
                <w:lang w:val="ro-RO" w:eastAsia="de-DE"/>
              </w:rPr>
              <w:t xml:space="preserve">: 560 </w:t>
            </w:r>
            <w:r w:rsidR="00CF0104" w:rsidRPr="009C5F11">
              <w:rPr>
                <w:rFonts w:ascii="Times New Roman" w:hAnsi="Times New Roman" w:cs="Times New Roman"/>
                <w:sz w:val="18"/>
                <w:szCs w:val="14"/>
                <w:lang w:val="ro-RO" w:eastAsia="de-DE"/>
              </w:rPr>
              <w:t>milioane</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lei</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u w:val="single"/>
                <w:lang w:val="ro-RO" w:eastAsia="de-DE"/>
              </w:rPr>
              <w:t xml:space="preserve">35 </w:t>
            </w:r>
            <w:r w:rsidR="00B26897" w:rsidRPr="009C5F11">
              <w:rPr>
                <w:rFonts w:ascii="Times New Roman" w:hAnsi="Times New Roman" w:cs="Times New Roman"/>
                <w:sz w:val="18"/>
                <w:szCs w:val="14"/>
                <w:u w:val="single"/>
                <w:lang w:val="ro-RO" w:eastAsia="de-DE"/>
              </w:rPr>
              <w:t>milioane euro</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pentru investiţii în</w:t>
            </w:r>
            <w:r w:rsidR="00321CD5" w:rsidRPr="009C5F11">
              <w:rPr>
                <w:rFonts w:ascii="Times New Roman" w:hAnsi="Times New Roman" w:cs="Times New Roman"/>
                <w:sz w:val="18"/>
                <w:szCs w:val="14"/>
                <w:lang w:val="ro-RO" w:eastAsia="de-DE"/>
              </w:rPr>
              <w:t xml:space="preserve"> </w:t>
            </w:r>
            <w:r w:rsidR="005E7974" w:rsidRPr="009C5F11">
              <w:rPr>
                <w:rFonts w:ascii="Times New Roman" w:hAnsi="Times New Roman" w:cs="Times New Roman"/>
                <w:sz w:val="18"/>
                <w:szCs w:val="14"/>
                <w:lang w:val="ro-RO" w:eastAsia="de-DE"/>
              </w:rPr>
              <w:t>sectorul rezidenţial</w:t>
            </w:r>
            <w:r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420D6E10" w14:textId="77777777" w:rsidR="00936847" w:rsidRPr="009C5F11" w:rsidRDefault="008B6602" w:rsidP="00334F3B">
            <w:pPr>
              <w:numPr>
                <w:ilvl w:val="0"/>
                <w:numId w:val="75"/>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Cadrul este</w:t>
            </w:r>
            <w:r w:rsidR="00936847" w:rsidRPr="009C5F11">
              <w:rPr>
                <w:rFonts w:ascii="Times New Roman" w:hAnsi="Times New Roman" w:cs="Times New Roman"/>
                <w:sz w:val="18"/>
                <w:szCs w:val="14"/>
                <w:lang w:val="ro-RO" w:eastAsia="de-DE"/>
              </w:rPr>
              <w:t xml:space="preserve"> comple</w:t>
            </w:r>
            <w:r w:rsidRPr="009C5F11">
              <w:rPr>
                <w:rFonts w:ascii="Times New Roman" w:hAnsi="Times New Roman" w:cs="Times New Roman"/>
                <w:sz w:val="18"/>
                <w:szCs w:val="14"/>
                <w:lang w:val="ro-RO" w:eastAsia="de-DE"/>
              </w:rPr>
              <w:t xml:space="preserve">tat de finanţarea pe bază de granturi oferită de </w:t>
            </w:r>
            <w:r w:rsidR="00936847" w:rsidRPr="009C5F11">
              <w:rPr>
                <w:rFonts w:ascii="Times New Roman" w:hAnsi="Times New Roman" w:cs="Times New Roman"/>
                <w:sz w:val="18"/>
                <w:szCs w:val="14"/>
                <w:lang w:val="ro-RO" w:eastAsia="de-DE"/>
              </w:rPr>
              <w:t>SIDA</w:t>
            </w:r>
            <w:r w:rsidRPr="009C5F11">
              <w:rPr>
                <w:rFonts w:ascii="Times New Roman" w:hAnsi="Times New Roman" w:cs="Times New Roman"/>
                <w:sz w:val="18"/>
                <w:szCs w:val="14"/>
                <w:lang w:val="ro-RO" w:eastAsia="de-DE"/>
              </w:rPr>
              <w:t xml:space="preserve"> în valoare de </w:t>
            </w:r>
            <w:r w:rsidR="00936847" w:rsidRPr="009C5F11">
              <w:rPr>
                <w:rFonts w:ascii="Times New Roman" w:hAnsi="Times New Roman" w:cs="Times New Roman"/>
                <w:sz w:val="18"/>
                <w:szCs w:val="14"/>
                <w:lang w:val="ro-RO" w:eastAsia="de-DE"/>
              </w:rPr>
              <w:t xml:space="preserve">2.3 </w:t>
            </w:r>
            <w:r w:rsidR="00CF0104" w:rsidRPr="009C5F11">
              <w:rPr>
                <w:rFonts w:ascii="Times New Roman" w:hAnsi="Times New Roman" w:cs="Times New Roman"/>
                <w:sz w:val="18"/>
                <w:szCs w:val="14"/>
                <w:lang w:val="ro-RO" w:eastAsia="de-DE"/>
              </w:rPr>
              <w:t>milioane</w:t>
            </w:r>
            <w:r w:rsidRPr="009C5F11">
              <w:rPr>
                <w:rFonts w:ascii="Times New Roman" w:hAnsi="Times New Roman" w:cs="Times New Roman"/>
                <w:sz w:val="18"/>
                <w:szCs w:val="14"/>
                <w:lang w:val="ro-RO" w:eastAsia="de-DE"/>
              </w:rPr>
              <w:t xml:space="preserve"> de euro în vederea susţinerii dezvoltării </w:t>
            </w:r>
            <w:r w:rsidR="00421FA7" w:rsidRPr="009C5F11">
              <w:rPr>
                <w:rFonts w:ascii="Times New Roman" w:hAnsi="Times New Roman" w:cs="Times New Roman"/>
                <w:sz w:val="18"/>
                <w:szCs w:val="14"/>
                <w:lang w:val="ro-RO" w:eastAsia="de-DE"/>
              </w:rPr>
              <w:t>proiect</w:t>
            </w:r>
            <w:r w:rsidRPr="009C5F11">
              <w:rPr>
                <w:rFonts w:ascii="Times New Roman" w:hAnsi="Times New Roman" w:cs="Times New Roman"/>
                <w:sz w:val="18"/>
                <w:szCs w:val="14"/>
                <w:lang w:val="ro-RO" w:eastAsia="de-DE"/>
              </w:rPr>
              <w:t xml:space="preserve">ului, cât şi pe baza unui grant </w:t>
            </w:r>
            <w:r w:rsidR="00421FA7" w:rsidRPr="009C5F11">
              <w:rPr>
                <w:rFonts w:ascii="Times New Roman" w:hAnsi="Times New Roman" w:cs="Times New Roman"/>
                <w:sz w:val="18"/>
                <w:szCs w:val="14"/>
                <w:lang w:val="ro-RO" w:eastAsia="de-DE"/>
              </w:rPr>
              <w:t>UE</w:t>
            </w:r>
            <w:r w:rsidR="00936847" w:rsidRPr="009C5F11">
              <w:rPr>
                <w:rFonts w:ascii="Times New Roman" w:hAnsi="Times New Roman" w:cs="Times New Roman"/>
                <w:sz w:val="18"/>
                <w:szCs w:val="14"/>
                <w:lang w:val="ro-RO" w:eastAsia="de-DE"/>
              </w:rPr>
              <w:t xml:space="preserve"> NIF (</w:t>
            </w:r>
            <w:r w:rsidRPr="009C5F11">
              <w:rPr>
                <w:rFonts w:ascii="Times New Roman" w:hAnsi="Times New Roman" w:cs="Times New Roman"/>
                <w:sz w:val="18"/>
                <w:szCs w:val="14"/>
                <w:lang w:val="ro-RO" w:eastAsia="de-DE"/>
              </w:rPr>
              <w:t xml:space="preserve">Facilitatea de investiţii pentru vecinătate – </w:t>
            </w:r>
            <w:r w:rsidRPr="009C5F11">
              <w:rPr>
                <w:rFonts w:ascii="Times New Roman" w:hAnsi="Times New Roman" w:cs="Times New Roman"/>
                <w:i/>
                <w:sz w:val="18"/>
                <w:szCs w:val="14"/>
                <w:lang w:val="ro-RO" w:eastAsia="de-DE"/>
              </w:rPr>
              <w:t xml:space="preserve">eng. </w:t>
            </w:r>
            <w:r w:rsidR="00936847" w:rsidRPr="009C5F11">
              <w:rPr>
                <w:rFonts w:ascii="Times New Roman" w:hAnsi="Times New Roman" w:cs="Times New Roman"/>
                <w:i/>
                <w:sz w:val="18"/>
                <w:szCs w:val="14"/>
                <w:lang w:val="ro-RO" w:eastAsia="de-DE"/>
              </w:rPr>
              <w:t>Neighbourhood Investment Facility</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în valoare de </w:t>
            </w:r>
            <w:r w:rsidR="00936847" w:rsidRPr="009C5F11">
              <w:rPr>
                <w:rFonts w:ascii="Times New Roman" w:hAnsi="Times New Roman" w:cs="Times New Roman"/>
                <w:sz w:val="18"/>
                <w:szCs w:val="14"/>
                <w:lang w:val="ro-RO" w:eastAsia="de-DE"/>
              </w:rPr>
              <w:t xml:space="preserve">5 </w:t>
            </w:r>
            <w:r w:rsidR="00CF0104" w:rsidRPr="009C5F11">
              <w:rPr>
                <w:rFonts w:ascii="Times New Roman" w:hAnsi="Times New Roman" w:cs="Times New Roman"/>
                <w:sz w:val="18"/>
                <w:szCs w:val="14"/>
                <w:lang w:val="ro-RO" w:eastAsia="de-DE"/>
              </w:rPr>
              <w:t>milioane</w:t>
            </w:r>
            <w:r w:rsidRPr="009C5F11">
              <w:rPr>
                <w:rFonts w:ascii="Times New Roman" w:hAnsi="Times New Roman" w:cs="Times New Roman"/>
                <w:sz w:val="18"/>
                <w:szCs w:val="14"/>
                <w:lang w:val="ro-RO" w:eastAsia="de-DE"/>
              </w:rPr>
              <w:t xml:space="preserve"> de euro</w:t>
            </w:r>
            <w:r w:rsidR="00936847" w:rsidRPr="009C5F11">
              <w:rPr>
                <w:rFonts w:ascii="Times New Roman" w:hAnsi="Times New Roman" w:cs="Times New Roman"/>
                <w:sz w:val="18"/>
                <w:szCs w:val="14"/>
                <w:lang w:val="ro-RO" w:eastAsia="de-DE"/>
              </w:rPr>
              <w:t>.</w:t>
            </w:r>
          </w:p>
          <w:p w14:paraId="18443DF9" w14:textId="77777777" w:rsidR="00936847" w:rsidRPr="009C5F11" w:rsidRDefault="008B6602" w:rsidP="00334F3B">
            <w:pPr>
              <w:numPr>
                <w:ilvl w:val="0"/>
                <w:numId w:val="75"/>
              </w:numPr>
              <w:tabs>
                <w:tab w:val="left" w:pos="702"/>
                <w:tab w:val="left" w:pos="5040"/>
                <w:tab w:val="right" w:pos="8504"/>
              </w:tabs>
              <w:spacing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lang w:val="ro-RO" w:eastAsia="de-DE"/>
              </w:rPr>
              <w:t>Până în prezent</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Programul</w:t>
            </w:r>
            <w:r w:rsidR="00936847" w:rsidRPr="009C5F11">
              <w:rPr>
                <w:rFonts w:ascii="Times New Roman" w:hAnsi="Times New Roman" w:cs="Times New Roman"/>
                <w:sz w:val="18"/>
                <w:szCs w:val="14"/>
                <w:lang w:val="ro-RO" w:eastAsia="de-DE"/>
              </w:rPr>
              <w:t xml:space="preserve"> </w:t>
            </w:r>
            <w:r w:rsidR="004424A0" w:rsidRPr="009C5F11">
              <w:rPr>
                <w:rFonts w:ascii="Times New Roman" w:hAnsi="Times New Roman" w:cs="Times New Roman"/>
                <w:sz w:val="18"/>
                <w:szCs w:val="14"/>
                <w:lang w:val="ro-RO" w:eastAsia="de-DE"/>
              </w:rPr>
              <w:t>MoREEFF</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şi-a asumat angajamentul de finanţare pentru </w:t>
            </w:r>
            <w:r w:rsidR="00936847" w:rsidRPr="009C5F11">
              <w:rPr>
                <w:rFonts w:ascii="Times New Roman" w:hAnsi="Times New Roman" w:cs="Times New Roman"/>
                <w:sz w:val="18"/>
                <w:szCs w:val="14"/>
                <w:lang w:val="ro-RO" w:eastAsia="de-DE"/>
              </w:rPr>
              <w:t xml:space="preserve">1731 </w:t>
            </w:r>
            <w:r w:rsidRPr="009C5F11">
              <w:rPr>
                <w:rFonts w:ascii="Times New Roman" w:hAnsi="Times New Roman" w:cs="Times New Roman"/>
                <w:sz w:val="18"/>
                <w:szCs w:val="14"/>
                <w:lang w:val="ro-RO" w:eastAsia="de-DE"/>
              </w:rPr>
              <w:t xml:space="preserve">de împrumuturi de </w:t>
            </w:r>
            <w:r w:rsidR="000C7BEC" w:rsidRPr="009C5F11">
              <w:rPr>
                <w:rFonts w:ascii="Times New Roman" w:hAnsi="Times New Roman" w:cs="Times New Roman"/>
                <w:sz w:val="18"/>
                <w:szCs w:val="14"/>
                <w:lang w:val="ro-RO" w:eastAsia="de-DE"/>
              </w:rPr>
              <w:t>eficienţă energetică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în sumă totală de</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u w:val="single"/>
                <w:lang w:val="ro-RO" w:eastAsia="de-DE"/>
              </w:rPr>
              <w:t>6,293,180</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uro</w:t>
            </w:r>
            <w:r w:rsidR="00321CD5" w:rsidRPr="009C5F11">
              <w:rPr>
                <w:rFonts w:ascii="Times New Roman" w:hAnsi="Times New Roman" w:cs="Times New Roman"/>
                <w:sz w:val="18"/>
                <w:szCs w:val="14"/>
                <w:lang w:val="ro-RO" w:eastAsia="de-DE"/>
              </w:rPr>
              <w:t xml:space="preserve"> şi </w:t>
            </w:r>
            <w:r w:rsidR="00EB460D" w:rsidRPr="009C5F11">
              <w:rPr>
                <w:rFonts w:ascii="Times New Roman" w:hAnsi="Times New Roman" w:cs="Times New Roman"/>
                <w:sz w:val="18"/>
                <w:szCs w:val="14"/>
                <w:lang w:val="ro-RO" w:eastAsia="de-DE"/>
              </w:rPr>
              <w:t>granturi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de stimulare în sumă de </w:t>
            </w:r>
            <w:r w:rsidR="00936847" w:rsidRPr="009C5F11">
              <w:rPr>
                <w:rFonts w:ascii="Times New Roman" w:hAnsi="Times New Roman" w:cs="Times New Roman"/>
                <w:sz w:val="18"/>
                <w:szCs w:val="14"/>
                <w:lang w:val="ro-RO" w:eastAsia="de-DE"/>
              </w:rPr>
              <w:t xml:space="preserve">1,773,542 </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 xml:space="preserve">uro. </w:t>
            </w:r>
            <w:r w:rsidRPr="009C5F11">
              <w:rPr>
                <w:rFonts w:ascii="Times New Roman" w:hAnsi="Times New Roman" w:cs="Times New Roman"/>
                <w:sz w:val="18"/>
                <w:szCs w:val="14"/>
                <w:lang w:val="ro-RO" w:eastAsia="de-DE"/>
              </w:rPr>
              <w:t xml:space="preserve">Potenţialul rămas de finanţare constituie circa </w:t>
            </w:r>
            <w:r w:rsidR="00936847" w:rsidRPr="009C5F11">
              <w:rPr>
                <w:rFonts w:ascii="Times New Roman" w:hAnsi="Times New Roman" w:cs="Times New Roman"/>
                <w:sz w:val="18"/>
                <w:szCs w:val="14"/>
                <w:u w:val="single"/>
                <w:lang w:val="ro-RO" w:eastAsia="de-DE"/>
              </w:rPr>
              <w:t xml:space="preserve">29 </w:t>
            </w:r>
            <w:r w:rsidR="00B26897" w:rsidRPr="009C5F11">
              <w:rPr>
                <w:rFonts w:ascii="Times New Roman" w:hAnsi="Times New Roman" w:cs="Times New Roman"/>
                <w:sz w:val="18"/>
                <w:szCs w:val="14"/>
                <w:u w:val="single"/>
                <w:lang w:val="ro-RO" w:eastAsia="de-DE"/>
              </w:rPr>
              <w:t xml:space="preserve">milioane </w:t>
            </w:r>
            <w:r w:rsidRPr="009C5F11">
              <w:rPr>
                <w:rFonts w:ascii="Times New Roman" w:hAnsi="Times New Roman" w:cs="Times New Roman"/>
                <w:sz w:val="18"/>
                <w:szCs w:val="14"/>
                <w:u w:val="single"/>
                <w:lang w:val="ro-RO" w:eastAsia="de-DE"/>
              </w:rPr>
              <w:t xml:space="preserve">de </w:t>
            </w:r>
            <w:r w:rsidR="00B26897" w:rsidRPr="009C5F11">
              <w:rPr>
                <w:rFonts w:ascii="Times New Roman" w:hAnsi="Times New Roman" w:cs="Times New Roman"/>
                <w:sz w:val="18"/>
                <w:szCs w:val="14"/>
                <w:u w:val="single"/>
                <w:lang w:val="ro-RO" w:eastAsia="de-DE"/>
              </w:rPr>
              <w:t>euro</w:t>
            </w:r>
            <w:r w:rsidRPr="009C5F11">
              <w:rPr>
                <w:rFonts w:ascii="Times New Roman" w:hAnsi="Times New Roman" w:cs="Times New Roman"/>
                <w:sz w:val="18"/>
                <w:szCs w:val="14"/>
                <w:u w:val="single"/>
                <w:lang w:val="ro-RO" w:eastAsia="de-DE"/>
              </w:rPr>
              <w:t>;</w:t>
            </w:r>
          </w:p>
          <w:p w14:paraId="0D0A2AFD" w14:textId="77777777" w:rsidR="00936847" w:rsidRPr="009C5F11" w:rsidRDefault="008B6602" w:rsidP="00334F3B">
            <w:pPr>
              <w:numPr>
                <w:ilvl w:val="0"/>
                <w:numId w:val="75"/>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Această sursă de finanţare ar putea contribui la circa </w:t>
            </w:r>
            <w:r w:rsidR="00936847" w:rsidRPr="009C5F11">
              <w:rPr>
                <w:rFonts w:ascii="Times New Roman" w:hAnsi="Times New Roman" w:cs="Times New Roman"/>
                <w:sz w:val="18"/>
                <w:szCs w:val="14"/>
                <w:lang w:val="ro-RO" w:eastAsia="de-DE"/>
              </w:rPr>
              <w:t xml:space="preserve">5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w:t>
            </w:r>
            <w:r w:rsidR="00C639BC" w:rsidRPr="009C5F11">
              <w:rPr>
                <w:rFonts w:ascii="Times New Roman" w:hAnsi="Times New Roman" w:cs="Times New Roman"/>
                <w:sz w:val="18"/>
                <w:szCs w:val="14"/>
                <w:lang w:val="ro-RO" w:eastAsia="de-DE"/>
              </w:rPr>
              <w:t>economii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de energie, începând din</w:t>
            </w:r>
            <w:r w:rsidR="00936847" w:rsidRPr="009C5F11">
              <w:rPr>
                <w:rFonts w:ascii="Times New Roman" w:hAnsi="Times New Roman" w:cs="Times New Roman"/>
                <w:sz w:val="18"/>
                <w:szCs w:val="14"/>
                <w:lang w:val="ro-RO" w:eastAsia="de-DE"/>
              </w:rPr>
              <w:t xml:space="preserve"> 2018</w:t>
            </w:r>
            <w:r w:rsidRPr="009C5F11">
              <w:rPr>
                <w:rFonts w:ascii="Times New Roman" w:hAnsi="Times New Roman" w:cs="Times New Roman"/>
                <w:sz w:val="18"/>
                <w:szCs w:val="14"/>
                <w:lang w:val="ro-RO" w:eastAsia="de-DE"/>
              </w:rPr>
              <w:t xml:space="preserve">, în cazul în care toate </w:t>
            </w:r>
            <w:r w:rsidR="007F77BE" w:rsidRPr="009C5F11">
              <w:rPr>
                <w:rFonts w:ascii="Times New Roman" w:hAnsi="Times New Roman" w:cs="Times New Roman"/>
                <w:sz w:val="18"/>
                <w:szCs w:val="14"/>
                <w:lang w:val="ro-RO" w:eastAsia="de-DE"/>
              </w:rPr>
              <w:t>fonduri</w:t>
            </w:r>
            <w:r w:rsidRPr="009C5F11">
              <w:rPr>
                <w:rFonts w:ascii="Times New Roman" w:hAnsi="Times New Roman" w:cs="Times New Roman"/>
                <w:sz w:val="18"/>
                <w:szCs w:val="14"/>
                <w:lang w:val="ro-RO" w:eastAsia="de-DE"/>
              </w:rPr>
              <w:t xml:space="preserve">le sunt valorificate; </w:t>
            </w:r>
          </w:p>
          <w:p w14:paraId="5A1FE1DB" w14:textId="77777777" w:rsidR="00936847" w:rsidRPr="009C5F11" w:rsidRDefault="008B6602" w:rsidP="00334F3B">
            <w:pPr>
              <w:numPr>
                <w:ilvl w:val="0"/>
                <w:numId w:val="82"/>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Alte instrumente financiare similare </w:t>
            </w:r>
            <w:r w:rsidR="0087273F" w:rsidRPr="009C5F11">
              <w:rPr>
                <w:rFonts w:ascii="Times New Roman" w:hAnsi="Times New Roman" w:cs="Times New Roman"/>
                <w:sz w:val="18"/>
                <w:szCs w:val="14"/>
                <w:lang w:val="ro-RO" w:eastAsia="de-DE"/>
              </w:rPr>
              <w:t>MoREEFF</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sau</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BERD</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cu un sprijin de granturi de </w:t>
            </w:r>
            <w:r w:rsidR="00017161" w:rsidRPr="009C5F11">
              <w:rPr>
                <w:rFonts w:ascii="Times New Roman" w:hAnsi="Times New Roman" w:cs="Times New Roman"/>
                <w:sz w:val="18"/>
                <w:szCs w:val="14"/>
                <w:lang w:val="ro-RO" w:eastAsia="de-DE"/>
              </w:rPr>
              <w:t xml:space="preserve">la </w:t>
            </w:r>
            <w:r w:rsidRPr="009C5F11">
              <w:rPr>
                <w:rFonts w:ascii="Times New Roman" w:hAnsi="Times New Roman" w:cs="Times New Roman"/>
                <w:sz w:val="18"/>
                <w:szCs w:val="14"/>
                <w:lang w:val="ro-RO" w:eastAsia="de-DE"/>
              </w:rPr>
              <w:t xml:space="preserve">alţi donatori; </w:t>
            </w:r>
          </w:p>
          <w:p w14:paraId="1428865F" w14:textId="77777777" w:rsidR="00936847" w:rsidRPr="009C5F11" w:rsidRDefault="00AA0566" w:rsidP="00334F3B">
            <w:pPr>
              <w:numPr>
                <w:ilvl w:val="0"/>
                <w:numId w:val="82"/>
              </w:numPr>
              <w:spacing w:after="0" w:line="240" w:lineRule="auto"/>
              <w:contextualSpacing/>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FEE</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va institui un program</w:t>
            </w:r>
            <w:r w:rsidR="00936847" w:rsidRPr="009C5F11">
              <w:rPr>
                <w:rFonts w:ascii="Times New Roman" w:hAnsi="Times New Roman" w:cs="Times New Roman"/>
                <w:sz w:val="18"/>
                <w:szCs w:val="14"/>
                <w:lang w:val="ro-RO" w:eastAsia="de-DE"/>
              </w:rPr>
              <w:t xml:space="preserve"> (APP) dedicat </w:t>
            </w:r>
            <w:r w:rsidR="00CD7240" w:rsidRPr="009C5F11">
              <w:rPr>
                <w:rFonts w:ascii="Times New Roman" w:hAnsi="Times New Roman" w:cs="Times New Roman"/>
                <w:sz w:val="18"/>
                <w:szCs w:val="14"/>
                <w:lang w:val="ro-RO" w:eastAsia="de-DE"/>
              </w:rPr>
              <w:t>sectorul</w:t>
            </w:r>
            <w:r w:rsidR="008B6602" w:rsidRPr="009C5F11">
              <w:rPr>
                <w:rFonts w:ascii="Times New Roman" w:hAnsi="Times New Roman" w:cs="Times New Roman"/>
                <w:sz w:val="18"/>
                <w:szCs w:val="14"/>
                <w:lang w:val="ro-RO" w:eastAsia="de-DE"/>
              </w:rPr>
              <w:t>ui</w:t>
            </w:r>
            <w:r w:rsidR="00CD7240" w:rsidRPr="009C5F11">
              <w:rPr>
                <w:rFonts w:ascii="Times New Roman" w:hAnsi="Times New Roman" w:cs="Times New Roman"/>
                <w:sz w:val="18"/>
                <w:szCs w:val="14"/>
                <w:lang w:val="ro-RO" w:eastAsia="de-DE"/>
              </w:rPr>
              <w:t xml:space="preserve"> privat</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în special, blocurilor locative cu multe etaje</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Pentru</w:t>
            </w:r>
            <w:r w:rsidR="00936847" w:rsidRPr="009C5F11">
              <w:rPr>
                <w:rFonts w:ascii="Times New Roman" w:hAnsi="Times New Roman" w:cs="Times New Roman"/>
                <w:sz w:val="18"/>
                <w:szCs w:val="14"/>
                <w:lang w:val="ro-RO" w:eastAsia="de-DE"/>
              </w:rPr>
              <w:t xml:space="preserve"> </w:t>
            </w:r>
            <w:r w:rsidR="00532A33" w:rsidRPr="009C5F11">
              <w:rPr>
                <w:rFonts w:ascii="Times New Roman" w:hAnsi="Times New Roman" w:cs="Times New Roman"/>
                <w:sz w:val="18"/>
                <w:szCs w:val="14"/>
                <w:lang w:val="ro-RO" w:eastAsia="de-DE"/>
              </w:rPr>
              <w:t>implementarea</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acestui</w:t>
            </w:r>
            <w:r w:rsidR="00936847" w:rsidRPr="009C5F11">
              <w:rPr>
                <w:rFonts w:ascii="Times New Roman" w:hAnsi="Times New Roman" w:cs="Times New Roman"/>
                <w:sz w:val="18"/>
                <w:szCs w:val="14"/>
                <w:lang w:val="ro-RO" w:eastAsia="de-DE"/>
              </w:rPr>
              <w:t xml:space="preserve"> program </w:t>
            </w:r>
            <w:r w:rsidRPr="009C5F11">
              <w:rPr>
                <w:rFonts w:ascii="Times New Roman" w:hAnsi="Times New Roman" w:cs="Times New Roman"/>
                <w:sz w:val="18"/>
                <w:szCs w:val="14"/>
                <w:lang w:val="ro-RO" w:eastAsia="de-DE"/>
              </w:rPr>
              <w:t>FEE</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va</w:t>
            </w:r>
            <w:r w:rsidR="00936847" w:rsidRPr="009C5F11">
              <w:rPr>
                <w:rFonts w:ascii="Times New Roman" w:hAnsi="Times New Roman" w:cs="Times New Roman"/>
                <w:sz w:val="18"/>
                <w:szCs w:val="14"/>
                <w:lang w:val="ro-RO" w:eastAsia="de-DE"/>
              </w:rPr>
              <w:t xml:space="preserve"> coopera </w:t>
            </w:r>
            <w:r w:rsidR="008B6602" w:rsidRPr="009C5F11">
              <w:rPr>
                <w:rFonts w:ascii="Times New Roman" w:hAnsi="Times New Roman" w:cs="Times New Roman"/>
                <w:sz w:val="18"/>
                <w:szCs w:val="14"/>
                <w:lang w:val="ro-RO" w:eastAsia="de-DE"/>
              </w:rPr>
              <w:t>cu</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 xml:space="preserve">Fondul pentru creştere ecologică </w:t>
            </w:r>
            <w:r w:rsidR="00936847" w:rsidRPr="009C5F11">
              <w:rPr>
                <w:rFonts w:ascii="Times New Roman" w:hAnsi="Times New Roman" w:cs="Times New Roman"/>
                <w:sz w:val="18"/>
                <w:szCs w:val="14"/>
                <w:lang w:val="ro-RO" w:eastAsia="de-DE"/>
              </w:rPr>
              <w:t>(GGF</w:t>
            </w:r>
            <w:r w:rsidR="008B6602" w:rsidRPr="009C5F11">
              <w:rPr>
                <w:rFonts w:ascii="Times New Roman" w:hAnsi="Times New Roman" w:cs="Times New Roman"/>
                <w:sz w:val="18"/>
                <w:szCs w:val="14"/>
                <w:lang w:val="ro-RO" w:eastAsia="de-DE"/>
              </w:rPr>
              <w:t xml:space="preserve"> – </w:t>
            </w:r>
            <w:r w:rsidR="008B6602" w:rsidRPr="009C5F11">
              <w:rPr>
                <w:rFonts w:ascii="Times New Roman" w:hAnsi="Times New Roman" w:cs="Times New Roman"/>
                <w:i/>
                <w:sz w:val="18"/>
                <w:szCs w:val="14"/>
                <w:lang w:val="ro-RO" w:eastAsia="de-DE"/>
              </w:rPr>
              <w:t>eng. Green for Growth Fund</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care pune în aplicare</w:t>
            </w:r>
            <w:r w:rsidR="00936847" w:rsidRPr="009C5F11">
              <w:rPr>
                <w:rFonts w:ascii="Times New Roman" w:hAnsi="Times New Roman" w:cs="Times New Roman"/>
                <w:sz w:val="18"/>
                <w:szCs w:val="14"/>
                <w:lang w:val="ro-RO" w:eastAsia="de-DE"/>
              </w:rPr>
              <w:t xml:space="preserve"> </w:t>
            </w:r>
            <w:r w:rsidR="00E10BE5" w:rsidRPr="009C5F11">
              <w:rPr>
                <w:rFonts w:ascii="Times New Roman" w:hAnsi="Times New Roman" w:cs="Times New Roman"/>
                <w:sz w:val="18"/>
                <w:szCs w:val="14"/>
                <w:lang w:val="ro-RO" w:eastAsia="de-DE"/>
              </w:rPr>
              <w:t>proiecte</w:t>
            </w:r>
            <w:r w:rsidR="00321CD5"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 xml:space="preserve">similare </w:t>
            </w:r>
            <w:r w:rsidR="00321CD5" w:rsidRPr="009C5F11">
              <w:rPr>
                <w:rFonts w:ascii="Times New Roman" w:hAnsi="Times New Roman" w:cs="Times New Roman"/>
                <w:sz w:val="18"/>
                <w:szCs w:val="14"/>
                <w:lang w:val="ro-RO" w:eastAsia="de-DE"/>
              </w:rPr>
              <w:t xml:space="preserve">în </w:t>
            </w:r>
            <w:r w:rsidR="008B6602" w:rsidRPr="009C5F11">
              <w:rPr>
                <w:rFonts w:ascii="Times New Roman" w:hAnsi="Times New Roman" w:cs="Times New Roman"/>
                <w:sz w:val="18"/>
                <w:szCs w:val="14"/>
                <w:lang w:val="ro-RO" w:eastAsia="de-DE"/>
              </w:rPr>
              <w:t>ţările din Europa de Sud-est</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 xml:space="preserve">oferind împrumuturi pentru îmbunătăţiri de </w:t>
            </w:r>
            <w:r w:rsidR="000C7BEC" w:rsidRPr="009C5F11">
              <w:rPr>
                <w:rFonts w:ascii="Times New Roman" w:hAnsi="Times New Roman" w:cs="Times New Roman"/>
                <w:sz w:val="18"/>
                <w:szCs w:val="14"/>
                <w:lang w:val="ro-RO" w:eastAsia="de-DE"/>
              </w:rPr>
              <w:t>eficienţă energetică</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 xml:space="preserve">prin asigurarea finanţării cu </w:t>
            </w:r>
            <w:r w:rsidR="0087273F" w:rsidRPr="009C5F11">
              <w:rPr>
                <w:rFonts w:ascii="Times New Roman" w:hAnsi="Times New Roman" w:cs="Times New Roman"/>
                <w:sz w:val="18"/>
                <w:szCs w:val="14"/>
                <w:lang w:val="ro-RO" w:eastAsia="de-DE"/>
              </w:rPr>
              <w:t>destinație</w:t>
            </w:r>
            <w:r w:rsidR="008B6602" w:rsidRPr="009C5F11">
              <w:rPr>
                <w:rFonts w:ascii="Times New Roman" w:hAnsi="Times New Roman" w:cs="Times New Roman"/>
                <w:sz w:val="18"/>
                <w:szCs w:val="14"/>
                <w:lang w:val="ro-RO" w:eastAsia="de-DE"/>
              </w:rPr>
              <w:t xml:space="preserve"> specială </w:t>
            </w:r>
            <w:r w:rsidR="00936847" w:rsidRPr="009C5F11">
              <w:rPr>
                <w:rFonts w:ascii="Times New Roman" w:hAnsi="Times New Roman" w:cs="Times New Roman"/>
                <w:sz w:val="18"/>
                <w:szCs w:val="14"/>
                <w:lang w:val="ro-RO" w:eastAsia="de-DE"/>
              </w:rPr>
              <w:t>dedicat</w:t>
            </w:r>
            <w:r w:rsidR="008B6602" w:rsidRPr="009C5F11">
              <w:rPr>
                <w:rFonts w:ascii="Times New Roman" w:hAnsi="Times New Roman" w:cs="Times New Roman"/>
                <w:sz w:val="18"/>
                <w:szCs w:val="14"/>
                <w:lang w:val="ro-RO" w:eastAsia="de-DE"/>
              </w:rPr>
              <w:t xml:space="preserve">ă </w:t>
            </w:r>
            <w:r w:rsidR="006E5B02" w:rsidRPr="009C5F11">
              <w:rPr>
                <w:rFonts w:ascii="Times New Roman" w:hAnsi="Times New Roman" w:cs="Times New Roman"/>
                <w:sz w:val="18"/>
                <w:szCs w:val="14"/>
                <w:lang w:val="ro-RO" w:eastAsia="de-DE"/>
              </w:rPr>
              <w:t>întreprinderilor</w:t>
            </w:r>
            <w:r w:rsidR="008B6602" w:rsidRPr="009C5F11">
              <w:rPr>
                <w:rFonts w:ascii="Times New Roman" w:hAnsi="Times New Roman" w:cs="Times New Roman"/>
                <w:sz w:val="18"/>
                <w:szCs w:val="14"/>
                <w:lang w:val="ro-RO" w:eastAsia="de-DE"/>
              </w:rPr>
              <w:t xml:space="preserve"> </w:t>
            </w:r>
            <w:r w:rsidR="00321CD5" w:rsidRPr="009C5F11">
              <w:rPr>
                <w:rFonts w:ascii="Times New Roman" w:hAnsi="Times New Roman" w:cs="Times New Roman"/>
                <w:sz w:val="18"/>
                <w:szCs w:val="14"/>
                <w:lang w:val="ro-RO" w:eastAsia="de-DE"/>
              </w:rPr>
              <w:t xml:space="preserve">şi </w:t>
            </w:r>
            <w:r w:rsidR="0087273F" w:rsidRPr="009C5F11">
              <w:rPr>
                <w:rFonts w:ascii="Times New Roman" w:hAnsi="Times New Roman" w:cs="Times New Roman"/>
                <w:sz w:val="18"/>
                <w:szCs w:val="14"/>
                <w:lang w:val="ro-RO" w:eastAsia="de-DE"/>
              </w:rPr>
              <w:t>gospodăriilor</w:t>
            </w:r>
            <w:r w:rsidR="006F2A15" w:rsidRPr="009C5F11">
              <w:rPr>
                <w:rFonts w:ascii="Times New Roman" w:hAnsi="Times New Roman" w:cs="Times New Roman"/>
                <w:sz w:val="18"/>
                <w:szCs w:val="14"/>
                <w:lang w:val="ro-RO" w:eastAsia="de-DE"/>
              </w:rPr>
              <w:t xml:space="preserve"> casnice</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pe bază de parteneriat cu instituţii financiare şi finanţare directă</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 xml:space="preserve">Investiţiile </w:t>
            </w:r>
            <w:r w:rsidR="00936847" w:rsidRPr="009C5F11">
              <w:rPr>
                <w:rFonts w:ascii="Times New Roman" w:hAnsi="Times New Roman" w:cs="Times New Roman"/>
                <w:sz w:val="18"/>
                <w:szCs w:val="14"/>
                <w:lang w:val="ro-RO" w:eastAsia="de-DE"/>
              </w:rPr>
              <w:t>GGF</w:t>
            </w:r>
            <w:r w:rsidR="008B6602" w:rsidRPr="009C5F11">
              <w:rPr>
                <w:rFonts w:ascii="Times New Roman" w:hAnsi="Times New Roman" w:cs="Times New Roman"/>
                <w:sz w:val="18"/>
                <w:szCs w:val="14"/>
                <w:lang w:val="ro-RO" w:eastAsia="de-DE"/>
              </w:rPr>
              <w:t xml:space="preserve"> îşi propun să atingă o reducere de </w:t>
            </w:r>
            <w:r w:rsidR="00936847" w:rsidRPr="009C5F11">
              <w:rPr>
                <w:rFonts w:ascii="Times New Roman" w:hAnsi="Times New Roman" w:cs="Times New Roman"/>
                <w:sz w:val="18"/>
                <w:szCs w:val="14"/>
                <w:lang w:val="ro-RO" w:eastAsia="de-DE"/>
              </w:rPr>
              <w:t xml:space="preserve">20% </w:t>
            </w:r>
            <w:r w:rsidR="008B6602" w:rsidRPr="009C5F11">
              <w:rPr>
                <w:rFonts w:ascii="Times New Roman" w:hAnsi="Times New Roman" w:cs="Times New Roman"/>
                <w:sz w:val="18"/>
                <w:szCs w:val="14"/>
                <w:lang w:val="ro-RO" w:eastAsia="de-DE"/>
              </w:rPr>
              <w:t xml:space="preserve">în </w:t>
            </w:r>
            <w:r w:rsidR="00334259" w:rsidRPr="009C5F11">
              <w:rPr>
                <w:rFonts w:ascii="Times New Roman" w:hAnsi="Times New Roman" w:cs="Times New Roman"/>
                <w:sz w:val="18"/>
                <w:szCs w:val="14"/>
                <w:lang w:val="ro-RO" w:eastAsia="de-DE"/>
              </w:rPr>
              <w:t>consumul</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 xml:space="preserve">de energie </w:t>
            </w:r>
            <w:r w:rsidR="000126A5" w:rsidRPr="009C5F11">
              <w:rPr>
                <w:rFonts w:ascii="Times New Roman" w:hAnsi="Times New Roman" w:cs="Times New Roman"/>
                <w:sz w:val="18"/>
                <w:szCs w:val="14"/>
                <w:lang w:val="ro-RO" w:eastAsia="de-DE"/>
              </w:rPr>
              <w:t>şi/sau</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o reducere de</w:t>
            </w:r>
            <w:r w:rsidR="00936847" w:rsidRPr="009C5F11">
              <w:rPr>
                <w:rFonts w:ascii="Times New Roman" w:hAnsi="Times New Roman" w:cs="Times New Roman"/>
                <w:sz w:val="18"/>
                <w:szCs w:val="14"/>
                <w:lang w:val="ro-RO" w:eastAsia="de-DE"/>
              </w:rPr>
              <w:t xml:space="preserve"> 20% </w:t>
            </w:r>
            <w:r w:rsidR="00321CD5" w:rsidRPr="009C5F11">
              <w:rPr>
                <w:rFonts w:ascii="Times New Roman" w:hAnsi="Times New Roman" w:cs="Times New Roman"/>
                <w:sz w:val="18"/>
                <w:szCs w:val="14"/>
                <w:lang w:val="ro-RO" w:eastAsia="de-DE"/>
              </w:rPr>
              <w:t xml:space="preserve">în </w:t>
            </w:r>
            <w:r w:rsidR="008B6602" w:rsidRPr="009C5F11">
              <w:rPr>
                <w:rFonts w:ascii="Times New Roman" w:hAnsi="Times New Roman" w:cs="Times New Roman"/>
                <w:sz w:val="18"/>
                <w:szCs w:val="14"/>
                <w:lang w:val="ro-RO" w:eastAsia="de-DE"/>
              </w:rPr>
              <w:t xml:space="preserve">emisiile de </w:t>
            </w:r>
            <w:r w:rsidR="00936847" w:rsidRPr="009C5F11">
              <w:rPr>
                <w:rFonts w:ascii="Times New Roman" w:hAnsi="Times New Roman" w:cs="Times New Roman"/>
                <w:sz w:val="18"/>
                <w:szCs w:val="14"/>
                <w:lang w:val="ro-RO" w:eastAsia="de-DE"/>
              </w:rPr>
              <w:t xml:space="preserve">CO2 </w:t>
            </w:r>
            <w:r w:rsidR="008B6602" w:rsidRPr="009C5F11">
              <w:rPr>
                <w:rFonts w:ascii="Times New Roman" w:hAnsi="Times New Roman" w:cs="Times New Roman"/>
                <w:sz w:val="18"/>
                <w:szCs w:val="14"/>
                <w:lang w:val="ro-RO" w:eastAsia="de-DE"/>
              </w:rPr>
              <w:t xml:space="preserve">care, cu siguranţă, se vor contura în cazul valorificării potenţialului de îmbunătăţire din </w:t>
            </w:r>
            <w:r w:rsidR="005E7974" w:rsidRPr="009C5F11">
              <w:rPr>
                <w:rFonts w:ascii="Times New Roman" w:hAnsi="Times New Roman" w:cs="Times New Roman"/>
                <w:sz w:val="18"/>
                <w:szCs w:val="14"/>
                <w:lang w:val="ro-RO" w:eastAsia="de-DE"/>
              </w:rPr>
              <w:t>sectorul rezidenţial</w:t>
            </w:r>
            <w:r w:rsidR="00936847" w:rsidRPr="009C5F11">
              <w:rPr>
                <w:rFonts w:ascii="Times New Roman" w:hAnsi="Times New Roman" w:cs="Times New Roman"/>
                <w:sz w:val="18"/>
                <w:szCs w:val="14"/>
                <w:lang w:val="ro-RO" w:eastAsia="de-DE"/>
              </w:rPr>
              <w:t xml:space="preserve"> </w:t>
            </w:r>
            <w:r w:rsidR="00137156" w:rsidRPr="009C5F11">
              <w:rPr>
                <w:rFonts w:ascii="Times New Roman" w:hAnsi="Times New Roman" w:cs="Times New Roman"/>
                <w:sz w:val="18"/>
                <w:szCs w:val="14"/>
                <w:lang w:val="ro-RO" w:eastAsia="de-DE"/>
              </w:rPr>
              <w:t>al Republicii Moldova</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 xml:space="preserve">Şi alte instituţii de finanţare ar putea sprijini </w:t>
            </w:r>
            <w:r w:rsidR="00532A33" w:rsidRPr="009C5F11">
              <w:rPr>
                <w:rFonts w:ascii="Times New Roman" w:hAnsi="Times New Roman" w:cs="Times New Roman"/>
                <w:sz w:val="18"/>
                <w:szCs w:val="14"/>
                <w:lang w:val="ro-RO" w:eastAsia="de-DE"/>
              </w:rPr>
              <w:t>implementarea</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acestui program</w:t>
            </w:r>
            <w:r w:rsidR="00936847" w:rsidRPr="009C5F11">
              <w:rPr>
                <w:rFonts w:ascii="Times New Roman" w:hAnsi="Times New Roman" w:cs="Times New Roman"/>
                <w:sz w:val="18"/>
                <w:szCs w:val="14"/>
                <w:lang w:val="ro-RO" w:eastAsia="de-DE"/>
              </w:rPr>
              <w:t xml:space="preserve"> </w:t>
            </w:r>
            <w:r w:rsidR="008B6602" w:rsidRPr="009C5F11">
              <w:rPr>
                <w:rFonts w:ascii="Times New Roman" w:hAnsi="Times New Roman" w:cs="Times New Roman"/>
                <w:sz w:val="18"/>
                <w:szCs w:val="14"/>
                <w:lang w:val="ro-RO" w:eastAsia="de-DE"/>
              </w:rPr>
              <w:t>împreună cu</w:t>
            </w:r>
            <w:r w:rsidR="00936847" w:rsidRPr="009C5F11">
              <w:rPr>
                <w:rFonts w:ascii="Times New Roman" w:hAnsi="Times New Roman" w:cs="Times New Roman"/>
                <w:sz w:val="18"/>
                <w:szCs w:val="14"/>
                <w:lang w:val="ro-RO" w:eastAsia="de-DE"/>
              </w:rPr>
              <w:t xml:space="preserve"> GGF</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FEE</w:t>
            </w:r>
            <w:r w:rsidR="00936847" w:rsidRPr="009C5F11">
              <w:rPr>
                <w:rFonts w:ascii="Times New Roman" w:hAnsi="Times New Roman" w:cs="Times New Roman"/>
                <w:sz w:val="18"/>
                <w:szCs w:val="14"/>
                <w:lang w:val="ro-RO" w:eastAsia="de-DE"/>
              </w:rPr>
              <w:t xml:space="preserve">, </w:t>
            </w:r>
            <w:r w:rsidR="00017161" w:rsidRPr="009C5F11">
              <w:rPr>
                <w:rFonts w:ascii="Times New Roman" w:hAnsi="Times New Roman" w:cs="Times New Roman"/>
                <w:sz w:val="18"/>
                <w:szCs w:val="14"/>
                <w:lang w:val="ro-RO" w:eastAsia="de-DE"/>
              </w:rPr>
              <w:t>dat fiind faptul că suma totală de mijloace financiare necesară realizării programului constituie circa</w:t>
            </w:r>
            <w:r w:rsidR="00936847" w:rsidRPr="009C5F11">
              <w:rPr>
                <w:rFonts w:ascii="Times New Roman" w:hAnsi="Times New Roman" w:cs="Times New Roman"/>
                <w:sz w:val="18"/>
                <w:szCs w:val="14"/>
                <w:lang w:val="ro-RO" w:eastAsia="de-DE"/>
              </w:rPr>
              <w:t xml:space="preserve"> 60</w:t>
            </w:r>
            <w:r w:rsidR="00017161"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 xml:space="preserve">milioane </w:t>
            </w:r>
            <w:r w:rsidR="00017161" w:rsidRPr="009C5F11">
              <w:rPr>
                <w:rFonts w:ascii="Times New Roman" w:hAnsi="Times New Roman" w:cs="Times New Roman"/>
                <w:sz w:val="18"/>
                <w:szCs w:val="14"/>
                <w:lang w:val="ro-RO" w:eastAsia="de-DE"/>
              </w:rPr>
              <w:t xml:space="preserve">de </w:t>
            </w:r>
            <w:r w:rsidR="00421FA7" w:rsidRPr="009C5F11">
              <w:rPr>
                <w:rFonts w:ascii="Times New Roman" w:hAnsi="Times New Roman" w:cs="Times New Roman"/>
                <w:sz w:val="18"/>
                <w:szCs w:val="14"/>
                <w:lang w:val="ro-RO" w:eastAsia="de-DE"/>
              </w:rPr>
              <w:t>euro</w:t>
            </w:r>
            <w:r w:rsidR="00936847" w:rsidRPr="009C5F11">
              <w:rPr>
                <w:rFonts w:ascii="Times New Roman" w:hAnsi="Times New Roman" w:cs="Times New Roman"/>
                <w:sz w:val="18"/>
                <w:szCs w:val="14"/>
                <w:lang w:val="ro-RO" w:eastAsia="de-DE"/>
              </w:rPr>
              <w:t>.</w:t>
            </w:r>
          </w:p>
        </w:tc>
      </w:tr>
      <w:tr w:rsidR="00936847" w:rsidRPr="009C5F11" w14:paraId="514EA832" w14:textId="77777777" w:rsidTr="00095C39">
        <w:trPr>
          <w:trHeight w:val="476"/>
        </w:trPr>
        <w:tc>
          <w:tcPr>
            <w:tcW w:w="796" w:type="pct"/>
            <w:vMerge/>
          </w:tcPr>
          <w:p w14:paraId="2EC1473A"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47D646C6"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119" w:type="pct"/>
          </w:tcPr>
          <w:p w14:paraId="0265F772" w14:textId="77777777" w:rsidR="00936847" w:rsidRPr="009C5F11" w:rsidRDefault="00AA0566" w:rsidP="00AB7A5D">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MDRC</w:t>
            </w:r>
            <w:r w:rsidR="00936847" w:rsidRPr="009C5F11">
              <w:rPr>
                <w:rFonts w:ascii="Times New Roman" w:hAnsi="Times New Roman" w:cs="Times New Roman"/>
                <w:sz w:val="18"/>
                <w:szCs w:val="14"/>
                <w:lang w:val="ro-RO" w:eastAsia="de-DE"/>
              </w:rPr>
              <w:t xml:space="preserve">, </w:t>
            </w:r>
            <w:r w:rsidR="00017161" w:rsidRPr="009C5F11">
              <w:rPr>
                <w:rFonts w:ascii="Times New Roman" w:hAnsi="Times New Roman" w:cs="Times New Roman"/>
                <w:sz w:val="18"/>
                <w:szCs w:val="14"/>
                <w:lang w:val="ro-RO" w:eastAsia="de-DE"/>
              </w:rPr>
              <w:t>cu sprijinul financiar din partea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BERD</w:t>
            </w:r>
            <w:r w:rsidR="00321CD5" w:rsidRPr="009C5F11">
              <w:rPr>
                <w:rFonts w:ascii="Times New Roman" w:hAnsi="Times New Roman" w:cs="Times New Roman"/>
                <w:sz w:val="18"/>
                <w:szCs w:val="14"/>
                <w:lang w:val="ro-RO" w:eastAsia="de-DE"/>
              </w:rPr>
              <w:t xml:space="preserve"> şi </w:t>
            </w:r>
            <w:r w:rsidR="006E5B02" w:rsidRPr="009C5F11">
              <w:rPr>
                <w:rFonts w:ascii="Times New Roman" w:hAnsi="Times New Roman" w:cs="Times New Roman"/>
                <w:sz w:val="18"/>
                <w:szCs w:val="14"/>
                <w:lang w:val="ro-RO" w:eastAsia="de-DE"/>
              </w:rPr>
              <w:t xml:space="preserve">al </w:t>
            </w:r>
            <w:r w:rsidR="00017161" w:rsidRPr="009C5F11">
              <w:rPr>
                <w:rFonts w:ascii="Times New Roman" w:hAnsi="Times New Roman" w:cs="Times New Roman"/>
                <w:sz w:val="18"/>
                <w:szCs w:val="14"/>
                <w:lang w:val="ro-RO" w:eastAsia="de-DE"/>
              </w:rPr>
              <w:t>băncil</w:t>
            </w:r>
            <w:r w:rsidR="006E5B02" w:rsidRPr="009C5F11">
              <w:rPr>
                <w:rFonts w:ascii="Times New Roman" w:hAnsi="Times New Roman" w:cs="Times New Roman"/>
                <w:sz w:val="18"/>
                <w:szCs w:val="14"/>
                <w:lang w:val="ro-RO" w:eastAsia="de-DE"/>
              </w:rPr>
              <w:t>or</w:t>
            </w:r>
            <w:r w:rsidR="00017161" w:rsidRPr="009C5F11">
              <w:rPr>
                <w:rFonts w:ascii="Times New Roman" w:hAnsi="Times New Roman" w:cs="Times New Roman"/>
                <w:sz w:val="18"/>
                <w:szCs w:val="14"/>
                <w:lang w:val="ro-RO" w:eastAsia="de-DE"/>
              </w:rPr>
              <w:t xml:space="preserve"> locale participante</w:t>
            </w:r>
            <w:r w:rsidR="00936847" w:rsidRPr="009C5F11">
              <w:rPr>
                <w:rFonts w:ascii="Times New Roman" w:hAnsi="Times New Roman" w:cs="Times New Roman"/>
                <w:sz w:val="18"/>
                <w:szCs w:val="14"/>
                <w:lang w:val="ro-RO" w:eastAsia="de-DE"/>
              </w:rPr>
              <w:t>.</w:t>
            </w:r>
          </w:p>
          <w:p w14:paraId="1CD277E7" w14:textId="77777777" w:rsidR="00936847" w:rsidRPr="009C5F11" w:rsidRDefault="00AA0566" w:rsidP="00AB7A5D">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FEE</w:t>
            </w:r>
            <w:r w:rsidR="00936847" w:rsidRPr="009C5F11">
              <w:rPr>
                <w:rFonts w:ascii="Times New Roman" w:hAnsi="Times New Roman" w:cs="Times New Roman"/>
                <w:sz w:val="18"/>
                <w:szCs w:val="14"/>
                <w:lang w:val="ro-RO" w:eastAsia="de-DE"/>
              </w:rPr>
              <w:t xml:space="preserve">, </w:t>
            </w:r>
            <w:r w:rsidR="00017161" w:rsidRPr="009C5F11">
              <w:rPr>
                <w:rFonts w:ascii="Times New Roman" w:hAnsi="Times New Roman" w:cs="Times New Roman"/>
                <w:sz w:val="18"/>
                <w:szCs w:val="14"/>
                <w:lang w:val="ro-RO" w:eastAsia="de-DE"/>
              </w:rPr>
              <w:t>cu sprijinul financiar din partea</w:t>
            </w:r>
            <w:r w:rsidR="00936847" w:rsidRPr="009C5F11">
              <w:rPr>
                <w:rFonts w:ascii="Times New Roman" w:hAnsi="Times New Roman" w:cs="Times New Roman"/>
                <w:sz w:val="18"/>
                <w:szCs w:val="14"/>
                <w:lang w:val="ro-RO" w:eastAsia="de-DE"/>
              </w:rPr>
              <w:t xml:space="preserve"> GGF</w:t>
            </w:r>
            <w:r w:rsidR="00321CD5" w:rsidRPr="009C5F11">
              <w:rPr>
                <w:rFonts w:ascii="Times New Roman" w:hAnsi="Times New Roman" w:cs="Times New Roman"/>
                <w:sz w:val="18"/>
                <w:szCs w:val="14"/>
                <w:lang w:val="ro-RO" w:eastAsia="de-DE"/>
              </w:rPr>
              <w:t xml:space="preserve"> sau </w:t>
            </w:r>
            <w:r w:rsidR="006E5B02" w:rsidRPr="009C5F11">
              <w:rPr>
                <w:rFonts w:ascii="Times New Roman" w:hAnsi="Times New Roman" w:cs="Times New Roman"/>
                <w:sz w:val="18"/>
                <w:szCs w:val="14"/>
                <w:lang w:val="ro-RO" w:eastAsia="de-DE"/>
              </w:rPr>
              <w:t xml:space="preserve">al </w:t>
            </w:r>
            <w:r w:rsidR="00017161" w:rsidRPr="009C5F11">
              <w:rPr>
                <w:rFonts w:ascii="Times New Roman" w:hAnsi="Times New Roman" w:cs="Times New Roman"/>
                <w:sz w:val="18"/>
                <w:szCs w:val="14"/>
                <w:lang w:val="ro-RO" w:eastAsia="de-DE"/>
              </w:rPr>
              <w:t>alt</w:t>
            </w:r>
            <w:r w:rsidR="006E5B02" w:rsidRPr="009C5F11">
              <w:rPr>
                <w:rFonts w:ascii="Times New Roman" w:hAnsi="Times New Roman" w:cs="Times New Roman"/>
                <w:sz w:val="18"/>
                <w:szCs w:val="14"/>
                <w:lang w:val="ro-RO" w:eastAsia="de-DE"/>
              </w:rPr>
              <w:t>or</w:t>
            </w:r>
            <w:r w:rsidR="00017161" w:rsidRPr="009C5F11">
              <w:rPr>
                <w:rFonts w:ascii="Times New Roman" w:hAnsi="Times New Roman" w:cs="Times New Roman"/>
                <w:sz w:val="18"/>
                <w:szCs w:val="14"/>
                <w:lang w:val="ro-RO" w:eastAsia="de-DE"/>
              </w:rPr>
              <w:t xml:space="preserve"> fonduri europene</w:t>
            </w:r>
            <w:r w:rsidR="006E5B02" w:rsidRPr="009C5F11">
              <w:rPr>
                <w:rFonts w:ascii="Times New Roman" w:hAnsi="Times New Roman" w:cs="Times New Roman"/>
                <w:sz w:val="18"/>
                <w:szCs w:val="14"/>
                <w:lang w:val="ro-RO" w:eastAsia="de-DE"/>
              </w:rPr>
              <w:t>.</w:t>
            </w:r>
          </w:p>
        </w:tc>
      </w:tr>
      <w:tr w:rsidR="00936847" w:rsidRPr="009C5F11" w14:paraId="62ADDC4D" w14:textId="77777777" w:rsidTr="00095C39">
        <w:trPr>
          <w:trHeight w:val="67"/>
        </w:trPr>
        <w:tc>
          <w:tcPr>
            <w:tcW w:w="796" w:type="pct"/>
            <w:vMerge/>
          </w:tcPr>
          <w:p w14:paraId="5197576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360046E9"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119" w:type="pct"/>
          </w:tcPr>
          <w:p w14:paraId="43AD193C" w14:textId="77777777" w:rsidR="00936847" w:rsidRPr="009C5F11" w:rsidRDefault="00AA056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936847" w:rsidRPr="009C5F11" w14:paraId="04DCC24F" w14:textId="77777777" w:rsidTr="00095C39">
        <w:trPr>
          <w:trHeight w:val="233"/>
        </w:trPr>
        <w:tc>
          <w:tcPr>
            <w:tcW w:w="796" w:type="pct"/>
            <w:vMerge w:val="restart"/>
          </w:tcPr>
          <w:p w14:paraId="42E95714"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85" w:type="pct"/>
          </w:tcPr>
          <w:p w14:paraId="0CBE83B1"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119" w:type="pct"/>
            <w:shd w:val="clear" w:color="auto" w:fill="auto"/>
          </w:tcPr>
          <w:p w14:paraId="03CEE696" w14:textId="77777777" w:rsidR="00936847" w:rsidRPr="009C5F11" w:rsidRDefault="00017161"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Efectele măsurii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vor fi monitorizate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prin intermediul Sistemului de măsurare şi verificare, care reprezintă o măsură în curs de elaborare în cadrul </w:t>
            </w:r>
            <w:r w:rsidR="00D4035F"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2016-2018</w:t>
            </w:r>
            <w:r w:rsidR="006E5B02"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3370AE55" w14:textId="77777777" w:rsidR="00936847" w:rsidRPr="009C5F11" w:rsidRDefault="00017161" w:rsidP="00017161">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Astfel, va fi pus în aplicare un sistem informatic </w:t>
            </w:r>
            <w:r w:rsidR="00936847" w:rsidRPr="009C5F11">
              <w:rPr>
                <w:rFonts w:ascii="Times New Roman" w:hAnsi="Times New Roman" w:cs="Times New Roman"/>
                <w:sz w:val="18"/>
                <w:szCs w:val="14"/>
                <w:lang w:val="ro-RO" w:eastAsia="de-DE"/>
              </w:rPr>
              <w:t>integrat</w:t>
            </w:r>
            <w:r w:rsidRPr="009C5F11">
              <w:rPr>
                <w:rFonts w:ascii="Times New Roman" w:hAnsi="Times New Roman" w:cs="Times New Roman"/>
                <w:sz w:val="18"/>
                <w:szCs w:val="14"/>
                <w:lang w:val="ro-RO" w:eastAsia="de-DE"/>
              </w:rPr>
              <w:t xml:space="preserve"> de</w:t>
            </w:r>
            <w:r w:rsidR="00936847" w:rsidRPr="009C5F11">
              <w:rPr>
                <w:rFonts w:ascii="Times New Roman" w:hAnsi="Times New Roman" w:cs="Times New Roman"/>
                <w:sz w:val="18"/>
                <w:szCs w:val="14"/>
                <w:lang w:val="ro-RO" w:eastAsia="de-DE"/>
              </w:rPr>
              <w:t xml:space="preserve"> </w:t>
            </w:r>
            <w:r w:rsidR="00210C2C" w:rsidRPr="009C5F11">
              <w:rPr>
                <w:rFonts w:ascii="Times New Roman" w:hAnsi="Times New Roman" w:cs="Times New Roman"/>
                <w:sz w:val="18"/>
                <w:szCs w:val="14"/>
                <w:lang w:val="ro-RO" w:eastAsia="de-DE"/>
              </w:rPr>
              <w:t>monitorizare</w:t>
            </w:r>
            <w:r w:rsidR="00321CD5" w:rsidRPr="009C5F11">
              <w:rPr>
                <w:rFonts w:ascii="Times New Roman" w:hAnsi="Times New Roman" w:cs="Times New Roman"/>
                <w:sz w:val="18"/>
                <w:szCs w:val="14"/>
                <w:lang w:val="ro-RO" w:eastAsia="de-DE"/>
              </w:rPr>
              <w:t xml:space="preserve"> şi </w:t>
            </w:r>
            <w:r w:rsidR="00B40A7C" w:rsidRPr="009C5F11">
              <w:rPr>
                <w:rFonts w:ascii="Times New Roman" w:hAnsi="Times New Roman" w:cs="Times New Roman"/>
                <w:sz w:val="18"/>
                <w:szCs w:val="14"/>
                <w:lang w:val="ro-RO" w:eastAsia="de-DE"/>
              </w:rPr>
              <w:t>verificare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a </w:t>
            </w:r>
            <w:r w:rsidR="003A5D93" w:rsidRPr="009C5F11">
              <w:rPr>
                <w:rFonts w:ascii="Times New Roman" w:hAnsi="Times New Roman" w:cs="Times New Roman"/>
                <w:sz w:val="18"/>
                <w:szCs w:val="14"/>
                <w:lang w:val="ro-RO" w:eastAsia="de-DE"/>
              </w:rPr>
              <w:t>măsurilor</w:t>
            </w:r>
            <w:r w:rsidR="00033C99" w:rsidRPr="009C5F11">
              <w:rPr>
                <w:rFonts w:ascii="Times New Roman" w:hAnsi="Times New Roman" w:cs="Times New Roman"/>
                <w:sz w:val="18"/>
                <w:szCs w:val="14"/>
                <w:lang w:val="ro-RO" w:eastAsia="de-DE"/>
              </w:rPr>
              <w:t xml:space="preserve"> de eficienţă energetică</w:t>
            </w:r>
            <w:r w:rsidR="00936847" w:rsidRPr="009C5F11">
              <w:rPr>
                <w:rFonts w:ascii="Times New Roman" w:hAnsi="Times New Roman" w:cs="Times New Roman"/>
                <w:sz w:val="18"/>
                <w:szCs w:val="14"/>
                <w:lang w:val="ro-RO" w:eastAsia="de-DE"/>
              </w:rPr>
              <w:t>.</w:t>
            </w:r>
          </w:p>
        </w:tc>
      </w:tr>
      <w:tr w:rsidR="00095C39" w:rsidRPr="009C5F11" w14:paraId="11A6475B" w14:textId="77777777" w:rsidTr="00095C39">
        <w:trPr>
          <w:trHeight w:val="296"/>
        </w:trPr>
        <w:tc>
          <w:tcPr>
            <w:tcW w:w="796" w:type="pct"/>
            <w:vMerge/>
          </w:tcPr>
          <w:p w14:paraId="2416F27E" w14:textId="77777777" w:rsidR="00095C39" w:rsidRPr="009C5F11" w:rsidRDefault="00095C39"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1F61A28B" w14:textId="77777777" w:rsidR="00095C39"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prevăzute în anul 2016 conform primului PNAEE</w:t>
            </w:r>
            <w:r w:rsidR="00095C39" w:rsidRPr="009C5F11">
              <w:rPr>
                <w:rFonts w:ascii="Times New Roman" w:hAnsi="Times New Roman" w:cs="Times New Roman"/>
                <w:sz w:val="18"/>
                <w:szCs w:val="14"/>
                <w:lang w:val="ro-RO" w:eastAsia="de-DE"/>
              </w:rPr>
              <w:t xml:space="preserve"> </w:t>
            </w:r>
          </w:p>
        </w:tc>
        <w:tc>
          <w:tcPr>
            <w:tcW w:w="3119" w:type="pct"/>
          </w:tcPr>
          <w:p w14:paraId="7FA56F01" w14:textId="77777777" w:rsidR="00095C39" w:rsidRPr="009C5F11" w:rsidRDefault="00095C39" w:rsidP="00621178">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b/>
                <w:sz w:val="18"/>
                <w:szCs w:val="14"/>
                <w:lang w:val="ro-RO" w:eastAsia="de-DE"/>
              </w:rPr>
              <w:t xml:space="preserve">40.8 </w:t>
            </w:r>
            <w:r w:rsidR="00E52940" w:rsidRPr="009C5F11">
              <w:rPr>
                <w:rFonts w:ascii="Times New Roman" w:hAnsi="Times New Roman" w:cs="Times New Roman"/>
                <w:b/>
                <w:sz w:val="18"/>
                <w:szCs w:val="14"/>
                <w:lang w:val="ro-RO" w:eastAsia="de-DE"/>
              </w:rPr>
              <w:t>ktep</w:t>
            </w:r>
            <w:r w:rsidRPr="009C5F11">
              <w:rPr>
                <w:rFonts w:ascii="Times New Roman" w:hAnsi="Times New Roman" w:cs="Times New Roman"/>
                <w:sz w:val="18"/>
                <w:szCs w:val="14"/>
                <w:lang w:val="ro-RO" w:eastAsia="de-DE"/>
              </w:rPr>
              <w:t xml:space="preserve"> </w:t>
            </w:r>
          </w:p>
          <w:p w14:paraId="08A088A1" w14:textId="77777777" w:rsidR="00095C39" w:rsidRPr="009C5F11" w:rsidRDefault="00927E68">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Aceasta valoare globala a fost r</w:t>
            </w:r>
            <w:r w:rsidR="000E55A5" w:rsidRPr="009C5F11">
              <w:rPr>
                <w:rFonts w:ascii="Times New Roman" w:hAnsi="Times New Roman" w:cs="Times New Roman"/>
                <w:sz w:val="18"/>
                <w:szCs w:val="14"/>
                <w:lang w:val="ro-RO" w:eastAsia="de-DE"/>
              </w:rPr>
              <w:t>e</w:t>
            </w:r>
            <w:r w:rsidR="00095C39" w:rsidRPr="009C5F11">
              <w:rPr>
                <w:rFonts w:ascii="Times New Roman" w:hAnsi="Times New Roman" w:cs="Times New Roman"/>
                <w:sz w:val="18"/>
                <w:szCs w:val="14"/>
                <w:lang w:val="ro-RO" w:eastAsia="de-DE"/>
              </w:rPr>
              <w:t>calculat</w:t>
            </w:r>
            <w:r w:rsidRPr="009C5F11">
              <w:rPr>
                <w:rFonts w:ascii="Times New Roman" w:hAnsi="Times New Roman" w:cs="Times New Roman"/>
                <w:sz w:val="18"/>
                <w:szCs w:val="14"/>
                <w:lang w:val="ro-RO" w:eastAsia="de-DE"/>
              </w:rPr>
              <w:t>a</w:t>
            </w:r>
            <w:r w:rsidR="00095C39" w:rsidRPr="009C5F11">
              <w:rPr>
                <w:rFonts w:ascii="Times New Roman" w:hAnsi="Times New Roman" w:cs="Times New Roman"/>
                <w:sz w:val="18"/>
                <w:szCs w:val="14"/>
                <w:lang w:val="ro-RO" w:eastAsia="de-DE"/>
              </w:rPr>
              <w:t xml:space="preserve"> </w:t>
            </w:r>
            <w:r w:rsidR="00C55F0D" w:rsidRPr="009C5F11">
              <w:rPr>
                <w:rFonts w:ascii="Times New Roman" w:hAnsi="Times New Roman" w:cs="Times New Roman"/>
                <w:sz w:val="18"/>
                <w:szCs w:val="14"/>
                <w:lang w:val="ro-RO" w:eastAsia="de-DE"/>
              </w:rPr>
              <w:t>în conformitate cu</w:t>
            </w:r>
            <w:r w:rsidR="00095C39" w:rsidRPr="009C5F11">
              <w:rPr>
                <w:rFonts w:ascii="Times New Roman" w:hAnsi="Times New Roman" w:cs="Times New Roman"/>
                <w:sz w:val="18"/>
                <w:szCs w:val="14"/>
                <w:lang w:val="ro-RO" w:eastAsia="de-DE"/>
              </w:rPr>
              <w:t xml:space="preserve"> </w:t>
            </w:r>
            <w:r w:rsidR="00871B4E" w:rsidRPr="009C5F11">
              <w:rPr>
                <w:rFonts w:ascii="Times New Roman" w:hAnsi="Times New Roman" w:cs="Times New Roman"/>
                <w:sz w:val="18"/>
                <w:szCs w:val="14"/>
                <w:lang w:val="ro-RO" w:eastAsia="de-DE"/>
              </w:rPr>
              <w:t>DSE</w:t>
            </w:r>
            <w:r w:rsidR="00095C39" w:rsidRPr="009C5F11">
              <w:rPr>
                <w:rFonts w:ascii="Times New Roman" w:hAnsi="Times New Roman" w:cs="Times New Roman"/>
                <w:sz w:val="18"/>
                <w:szCs w:val="14"/>
                <w:lang w:val="ro-RO" w:eastAsia="de-DE"/>
              </w:rPr>
              <w:t xml:space="preserve"> </w:t>
            </w:r>
            <w:r w:rsidR="000E55A5" w:rsidRPr="009C5F11">
              <w:rPr>
                <w:rFonts w:ascii="Times New Roman" w:hAnsi="Times New Roman" w:cs="Times New Roman"/>
                <w:sz w:val="18"/>
                <w:szCs w:val="14"/>
                <w:lang w:val="ro-RO" w:eastAsia="de-DE"/>
              </w:rPr>
              <w:t>pentru</w:t>
            </w:r>
            <w:r w:rsidR="00095C39"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intreg </w:t>
            </w:r>
            <w:r w:rsidR="005E7974" w:rsidRPr="009C5F11">
              <w:rPr>
                <w:rFonts w:ascii="Times New Roman" w:hAnsi="Times New Roman" w:cs="Times New Roman"/>
                <w:sz w:val="18"/>
                <w:szCs w:val="14"/>
                <w:lang w:val="ro-RO" w:eastAsia="de-DE"/>
              </w:rPr>
              <w:t>sectorul rezidenţial</w:t>
            </w:r>
            <w:r w:rsidR="00095C39" w:rsidRPr="009C5F11">
              <w:rPr>
                <w:rFonts w:ascii="Times New Roman" w:hAnsi="Times New Roman" w:cs="Times New Roman"/>
                <w:sz w:val="18"/>
                <w:szCs w:val="14"/>
                <w:lang w:val="ro-RO" w:eastAsia="de-DE"/>
              </w:rPr>
              <w:t xml:space="preserve"> (</w:t>
            </w:r>
            <w:r w:rsidR="00AB1710" w:rsidRPr="009C5F11">
              <w:rPr>
                <w:rFonts w:ascii="Times New Roman" w:hAnsi="Times New Roman" w:cs="Times New Roman"/>
                <w:sz w:val="18"/>
                <w:szCs w:val="14"/>
                <w:lang w:val="ro-RO" w:eastAsia="de-DE"/>
              </w:rPr>
              <w:t>inclusiv</w:t>
            </w:r>
            <w:r w:rsidR="00095C39" w:rsidRPr="009C5F11">
              <w:rPr>
                <w:rFonts w:ascii="Times New Roman" w:hAnsi="Times New Roman" w:cs="Times New Roman"/>
                <w:sz w:val="18"/>
                <w:szCs w:val="14"/>
                <w:lang w:val="ro-RO" w:eastAsia="de-DE"/>
              </w:rPr>
              <w:t xml:space="preserve"> </w:t>
            </w:r>
            <w:r w:rsidR="000E55A5" w:rsidRPr="009C5F11">
              <w:rPr>
                <w:rFonts w:ascii="Times New Roman" w:hAnsi="Times New Roman" w:cs="Times New Roman"/>
                <w:sz w:val="18"/>
                <w:szCs w:val="14"/>
                <w:lang w:val="ro-RO" w:eastAsia="de-DE"/>
              </w:rPr>
              <w:t xml:space="preserve">economiile de </w:t>
            </w:r>
            <w:r w:rsidR="00334259" w:rsidRPr="009C5F11">
              <w:rPr>
                <w:rFonts w:ascii="Times New Roman" w:hAnsi="Times New Roman" w:cs="Times New Roman"/>
                <w:sz w:val="18"/>
                <w:szCs w:val="14"/>
                <w:lang w:val="ro-RO" w:eastAsia="de-DE"/>
              </w:rPr>
              <w:t>energi</w:t>
            </w:r>
            <w:r w:rsidR="000E55A5" w:rsidRPr="009C5F11">
              <w:rPr>
                <w:rFonts w:ascii="Times New Roman" w:hAnsi="Times New Roman" w:cs="Times New Roman"/>
                <w:sz w:val="18"/>
                <w:szCs w:val="14"/>
                <w:lang w:val="ro-RO" w:eastAsia="de-DE"/>
              </w:rPr>
              <w:t>e</w:t>
            </w:r>
            <w:r w:rsidR="00334259" w:rsidRPr="009C5F11">
              <w:rPr>
                <w:rFonts w:ascii="Times New Roman" w:hAnsi="Times New Roman" w:cs="Times New Roman"/>
                <w:sz w:val="18"/>
                <w:szCs w:val="14"/>
                <w:lang w:val="ro-RO" w:eastAsia="de-DE"/>
              </w:rPr>
              <w:t xml:space="preserve"> electrică</w:t>
            </w:r>
            <w:r w:rsidR="00321CD5" w:rsidRPr="009C5F11">
              <w:rPr>
                <w:rFonts w:ascii="Times New Roman" w:hAnsi="Times New Roman" w:cs="Times New Roman"/>
                <w:sz w:val="18"/>
                <w:szCs w:val="14"/>
                <w:lang w:val="ro-RO" w:eastAsia="de-DE"/>
              </w:rPr>
              <w:t xml:space="preserve"> şi </w:t>
            </w:r>
            <w:r w:rsidR="000E55A5" w:rsidRPr="009C5F11">
              <w:rPr>
                <w:rFonts w:ascii="Times New Roman" w:hAnsi="Times New Roman" w:cs="Times New Roman"/>
                <w:sz w:val="18"/>
                <w:szCs w:val="14"/>
                <w:lang w:val="ro-RO" w:eastAsia="de-DE"/>
              </w:rPr>
              <w:t>gaze naturale acoperite</w:t>
            </w:r>
            <w:r w:rsidR="00095C39" w:rsidRPr="009C5F11">
              <w:rPr>
                <w:rFonts w:ascii="Times New Roman" w:hAnsi="Times New Roman" w:cs="Times New Roman"/>
                <w:sz w:val="18"/>
                <w:szCs w:val="14"/>
                <w:lang w:val="ro-RO" w:eastAsia="de-DE"/>
              </w:rPr>
              <w:t xml:space="preserve"> </w:t>
            </w:r>
            <w:r w:rsidR="000E55A5" w:rsidRPr="009C5F11">
              <w:rPr>
                <w:rFonts w:ascii="Times New Roman" w:hAnsi="Times New Roman" w:cs="Times New Roman"/>
                <w:sz w:val="18"/>
                <w:szCs w:val="14"/>
                <w:lang w:val="ro-RO" w:eastAsia="de-DE"/>
              </w:rPr>
              <w:t>de măsura</w:t>
            </w:r>
            <w:r w:rsidR="00095C39" w:rsidRPr="009C5F11">
              <w:rPr>
                <w:rFonts w:ascii="Times New Roman" w:hAnsi="Times New Roman" w:cs="Times New Roman"/>
                <w:sz w:val="18"/>
                <w:szCs w:val="14"/>
                <w:lang w:val="ro-RO" w:eastAsia="de-DE"/>
              </w:rPr>
              <w:t xml:space="preserve"> H6 </w:t>
            </w:r>
            <w:r w:rsidR="000E55A5" w:rsidRPr="009C5F11">
              <w:rPr>
                <w:rFonts w:ascii="Times New Roman" w:hAnsi="Times New Roman" w:cs="Times New Roman"/>
                <w:sz w:val="18"/>
                <w:szCs w:val="14"/>
                <w:lang w:val="ro-RO" w:eastAsia="de-DE"/>
              </w:rPr>
              <w:t>privind e</w:t>
            </w:r>
            <w:r w:rsidR="003D35EE" w:rsidRPr="009C5F11">
              <w:rPr>
                <w:rFonts w:ascii="Times New Roman" w:hAnsi="Times New Roman" w:cs="Times New Roman"/>
                <w:sz w:val="18"/>
                <w:szCs w:val="14"/>
                <w:lang w:val="ro-RO" w:eastAsia="de-DE"/>
              </w:rPr>
              <w:t>tichetarea</w:t>
            </w:r>
            <w:r w:rsidR="000E55A5" w:rsidRPr="009C5F11">
              <w:rPr>
                <w:rFonts w:ascii="Times New Roman" w:hAnsi="Times New Roman" w:cs="Times New Roman"/>
                <w:sz w:val="18"/>
                <w:szCs w:val="14"/>
                <w:lang w:val="ro-RO" w:eastAsia="de-DE"/>
              </w:rPr>
              <w:t xml:space="preserve"> energetică</w:t>
            </w:r>
            <w:r w:rsidR="00095C39" w:rsidRPr="009C5F11">
              <w:rPr>
                <w:rFonts w:ascii="Times New Roman" w:hAnsi="Times New Roman" w:cs="Times New Roman"/>
                <w:sz w:val="18"/>
                <w:szCs w:val="14"/>
                <w:lang w:val="ro-RO" w:eastAsia="de-DE"/>
              </w:rPr>
              <w:t>))</w:t>
            </w:r>
            <w:r w:rsidR="000E55A5" w:rsidRPr="009C5F11">
              <w:rPr>
                <w:rFonts w:ascii="Times New Roman" w:hAnsi="Times New Roman" w:cs="Times New Roman"/>
                <w:sz w:val="18"/>
                <w:szCs w:val="14"/>
                <w:lang w:val="ro-RO" w:eastAsia="de-DE"/>
              </w:rPr>
              <w:t>.</w:t>
            </w:r>
          </w:p>
        </w:tc>
      </w:tr>
      <w:tr w:rsidR="00095C39" w:rsidRPr="009C5F11" w14:paraId="7D0B846F" w14:textId="77777777" w:rsidTr="00095C39">
        <w:trPr>
          <w:trHeight w:val="62"/>
        </w:trPr>
        <w:tc>
          <w:tcPr>
            <w:tcW w:w="796" w:type="pct"/>
            <w:vMerge/>
          </w:tcPr>
          <w:p w14:paraId="330C30BF" w14:textId="77777777" w:rsidR="00095C39" w:rsidRPr="009C5F11" w:rsidRDefault="00095C39"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75B6DC2F" w14:textId="77777777" w:rsidR="00095C39"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119" w:type="pct"/>
          </w:tcPr>
          <w:p w14:paraId="0329FE40" w14:textId="77777777" w:rsidR="00095C39" w:rsidRPr="009C5F11" w:rsidRDefault="00095C39"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1.18 </w:t>
            </w:r>
            <w:r w:rsidR="00E52940" w:rsidRPr="009C5F11">
              <w:rPr>
                <w:rFonts w:ascii="Times New Roman" w:hAnsi="Times New Roman" w:cs="Times New Roman"/>
                <w:b/>
                <w:sz w:val="18"/>
                <w:szCs w:val="14"/>
                <w:lang w:val="ro-RO" w:eastAsia="de-DE"/>
              </w:rPr>
              <w:t>ktep</w:t>
            </w:r>
            <w:r w:rsidRPr="009C5F11">
              <w:rPr>
                <w:rFonts w:ascii="Times New Roman" w:hAnsi="Times New Roman" w:cs="Times New Roman"/>
                <w:b/>
                <w:sz w:val="18"/>
                <w:szCs w:val="14"/>
                <w:lang w:val="ro-RO" w:eastAsia="de-DE"/>
              </w:rPr>
              <w:t xml:space="preserve"> </w:t>
            </w:r>
          </w:p>
        </w:tc>
      </w:tr>
      <w:tr w:rsidR="00095C39" w:rsidRPr="009C5F11" w14:paraId="50654EBB" w14:textId="77777777" w:rsidTr="00095C39">
        <w:trPr>
          <w:trHeight w:val="269"/>
        </w:trPr>
        <w:tc>
          <w:tcPr>
            <w:tcW w:w="796" w:type="pct"/>
            <w:vMerge/>
          </w:tcPr>
          <w:p w14:paraId="3DE49674" w14:textId="77777777" w:rsidR="00095C39" w:rsidRPr="009C5F11" w:rsidRDefault="00095C39"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056CC1ED" w14:textId="77777777" w:rsidR="00095C39"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095C39" w:rsidRPr="009C5F11">
              <w:rPr>
                <w:rFonts w:ascii="Times New Roman" w:hAnsi="Times New Roman" w:cs="Times New Roman"/>
                <w:sz w:val="18"/>
                <w:szCs w:val="14"/>
                <w:lang w:val="ro-RO" w:eastAsia="de-DE"/>
              </w:rPr>
              <w:t xml:space="preserve">2020 </w:t>
            </w:r>
          </w:p>
        </w:tc>
        <w:tc>
          <w:tcPr>
            <w:tcW w:w="3119" w:type="pct"/>
          </w:tcPr>
          <w:p w14:paraId="38585626" w14:textId="77777777" w:rsidR="00095C39" w:rsidRPr="009C5F11" w:rsidRDefault="00095C39"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31 </w:t>
            </w:r>
            <w:r w:rsidR="00E52940" w:rsidRPr="009C5F11">
              <w:rPr>
                <w:rFonts w:ascii="Times New Roman" w:hAnsi="Times New Roman" w:cs="Times New Roman"/>
                <w:b/>
                <w:sz w:val="18"/>
                <w:szCs w:val="14"/>
                <w:lang w:val="ro-RO" w:eastAsia="de-DE"/>
              </w:rPr>
              <w:t>ktep</w:t>
            </w:r>
          </w:p>
          <w:p w14:paraId="2FEDBA5C" w14:textId="77777777" w:rsidR="001B2112" w:rsidRPr="009C5F11" w:rsidRDefault="00927E68">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Aceasta valoare este estimata i</w:t>
            </w:r>
            <w:r w:rsidR="00334DD0" w:rsidRPr="009C5F11">
              <w:rPr>
                <w:rFonts w:ascii="Times New Roman" w:hAnsi="Times New Roman" w:cs="Times New Roman"/>
                <w:sz w:val="18"/>
                <w:szCs w:val="14"/>
                <w:lang w:val="ro-RO" w:eastAsia="de-DE"/>
              </w:rPr>
              <w:t xml:space="preserve">n </w:t>
            </w:r>
            <w:r w:rsidR="000E55A5" w:rsidRPr="009C5F11">
              <w:rPr>
                <w:rFonts w:ascii="Times New Roman" w:hAnsi="Times New Roman" w:cs="Times New Roman"/>
                <w:sz w:val="18"/>
                <w:szCs w:val="14"/>
                <w:lang w:val="ro-RO" w:eastAsia="de-DE"/>
              </w:rPr>
              <w:t xml:space="preserve">sectorul </w:t>
            </w:r>
            <w:r w:rsidR="00AB1710" w:rsidRPr="009C5F11">
              <w:rPr>
                <w:rFonts w:ascii="Times New Roman" w:hAnsi="Times New Roman" w:cs="Times New Roman"/>
                <w:sz w:val="18"/>
                <w:szCs w:val="14"/>
                <w:lang w:val="ro-RO" w:eastAsia="de-DE"/>
              </w:rPr>
              <w:t>rezidenţial</w:t>
            </w:r>
            <w:r w:rsidR="00244ABA" w:rsidRPr="009C5F11">
              <w:rPr>
                <w:rFonts w:ascii="Times New Roman" w:hAnsi="Times New Roman" w:cs="Times New Roman"/>
                <w:sz w:val="18"/>
                <w:szCs w:val="14"/>
                <w:lang w:val="ro-RO" w:eastAsia="de-DE"/>
              </w:rPr>
              <w:t xml:space="preserve"> </w:t>
            </w:r>
            <w:r w:rsidR="001B2112" w:rsidRPr="009C5F11">
              <w:rPr>
                <w:rFonts w:ascii="Times New Roman" w:hAnsi="Times New Roman" w:cs="Times New Roman"/>
                <w:sz w:val="18"/>
                <w:szCs w:val="14"/>
                <w:lang w:val="ro-RO" w:eastAsia="de-DE"/>
              </w:rPr>
              <w:t xml:space="preserve">economiile rezultand </w:t>
            </w:r>
            <w:r w:rsidR="000E55A5" w:rsidRPr="009C5F11">
              <w:rPr>
                <w:rFonts w:ascii="Times New Roman" w:hAnsi="Times New Roman" w:cs="Times New Roman"/>
                <w:sz w:val="18"/>
                <w:szCs w:val="14"/>
                <w:lang w:val="ro-RO" w:eastAsia="de-DE"/>
              </w:rPr>
              <w:t>doar din această măsură</w:t>
            </w:r>
            <w:r w:rsidRPr="009C5F11">
              <w:rPr>
                <w:rFonts w:ascii="Times New Roman" w:hAnsi="Times New Roman" w:cs="Times New Roman"/>
                <w:sz w:val="18"/>
                <w:szCs w:val="14"/>
                <w:lang w:val="ro-RO" w:eastAsia="de-DE"/>
              </w:rPr>
              <w:t>;</w:t>
            </w:r>
            <w:r w:rsidR="00244ABA" w:rsidRPr="009C5F11">
              <w:rPr>
                <w:rFonts w:ascii="Times New Roman" w:hAnsi="Times New Roman" w:cs="Times New Roman"/>
                <w:sz w:val="18"/>
                <w:szCs w:val="14"/>
                <w:lang w:val="ro-RO" w:eastAsia="de-DE"/>
              </w:rPr>
              <w:t xml:space="preserve"> </w:t>
            </w:r>
          </w:p>
          <w:p w14:paraId="4E132AFF" w14:textId="77777777" w:rsidR="00244ABA" w:rsidRPr="009C5F11" w:rsidRDefault="001B2112">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sz w:val="18"/>
                <w:szCs w:val="14"/>
                <w:lang w:val="ro-RO" w:eastAsia="de-DE"/>
              </w:rPr>
              <w:t xml:space="preserve">Valoarea </w:t>
            </w:r>
            <w:r w:rsidR="00244ABA" w:rsidRPr="009C5F11">
              <w:rPr>
                <w:rFonts w:ascii="Times New Roman" w:hAnsi="Times New Roman" w:cs="Times New Roman"/>
                <w:sz w:val="18"/>
                <w:szCs w:val="14"/>
                <w:lang w:val="ro-RO" w:eastAsia="de-DE"/>
              </w:rPr>
              <w:t>n</w:t>
            </w:r>
            <w:r w:rsidR="000E55A5" w:rsidRPr="009C5F11">
              <w:rPr>
                <w:rFonts w:ascii="Times New Roman" w:hAnsi="Times New Roman" w:cs="Times New Roman"/>
                <w:sz w:val="18"/>
                <w:szCs w:val="14"/>
                <w:lang w:val="ro-RO" w:eastAsia="de-DE"/>
              </w:rPr>
              <w:t xml:space="preserve">u include </w:t>
            </w:r>
            <w:r w:rsidR="00927E68" w:rsidRPr="009C5F11">
              <w:rPr>
                <w:rFonts w:ascii="Times New Roman" w:hAnsi="Times New Roman" w:cs="Times New Roman"/>
                <w:sz w:val="18"/>
                <w:szCs w:val="14"/>
                <w:lang w:val="ro-RO" w:eastAsia="de-DE"/>
              </w:rPr>
              <w:t xml:space="preserve">potentialul de EE privind </w:t>
            </w:r>
            <w:r w:rsidR="000E55A5" w:rsidRPr="009C5F11">
              <w:rPr>
                <w:rFonts w:ascii="Times New Roman" w:hAnsi="Times New Roman" w:cs="Times New Roman"/>
                <w:sz w:val="18"/>
                <w:szCs w:val="14"/>
                <w:lang w:val="ro-RO" w:eastAsia="de-DE"/>
              </w:rPr>
              <w:t>etichetarea.</w:t>
            </w:r>
          </w:p>
        </w:tc>
      </w:tr>
      <w:tr w:rsidR="00095C39" w:rsidRPr="009C5F11" w14:paraId="51E8F45D" w14:textId="77777777" w:rsidTr="00095C39">
        <w:trPr>
          <w:trHeight w:val="476"/>
        </w:trPr>
        <w:tc>
          <w:tcPr>
            <w:tcW w:w="796" w:type="pct"/>
            <w:vMerge/>
          </w:tcPr>
          <w:p w14:paraId="598A2A75" w14:textId="77777777" w:rsidR="00095C39" w:rsidRPr="009C5F11" w:rsidRDefault="00095C39"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248BB222" w14:textId="77777777" w:rsidR="00095C39" w:rsidRPr="009C5F11" w:rsidRDefault="00895C7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119" w:type="pct"/>
          </w:tcPr>
          <w:p w14:paraId="1E3D7DD9" w14:textId="77777777" w:rsidR="00095C39" w:rsidRPr="009C5F11" w:rsidRDefault="00017161" w:rsidP="00334F3B">
            <w:pPr>
              <w:numPr>
                <w:ilvl w:val="0"/>
                <w:numId w:val="80"/>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Linia de credit </w:t>
            </w:r>
            <w:r w:rsidR="0087273F" w:rsidRPr="009C5F11">
              <w:rPr>
                <w:rFonts w:ascii="Times New Roman" w:hAnsi="Times New Roman" w:cs="Times New Roman"/>
                <w:sz w:val="18"/>
                <w:szCs w:val="14"/>
                <w:lang w:val="ro-RO" w:eastAsia="de-DE"/>
              </w:rPr>
              <w:t>MoREEFF</w:t>
            </w:r>
            <w:r w:rsidR="00095C39"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II va</w:t>
            </w:r>
            <w:r w:rsidR="00095C39" w:rsidRPr="009C5F11">
              <w:rPr>
                <w:rFonts w:ascii="Times New Roman" w:hAnsi="Times New Roman" w:cs="Times New Roman"/>
                <w:sz w:val="18"/>
                <w:szCs w:val="14"/>
                <w:lang w:val="ro-RO" w:eastAsia="de-DE"/>
              </w:rPr>
              <w:t xml:space="preserve"> continu</w:t>
            </w:r>
            <w:r w:rsidRPr="009C5F11">
              <w:rPr>
                <w:rFonts w:ascii="Times New Roman" w:hAnsi="Times New Roman" w:cs="Times New Roman"/>
                <w:sz w:val="18"/>
                <w:szCs w:val="14"/>
                <w:lang w:val="ro-RO" w:eastAsia="de-DE"/>
              </w:rPr>
              <w:t>a</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toate fondurile vor fi valorificate</w:t>
            </w:r>
            <w:r w:rsidR="00095C39" w:rsidRPr="009C5F11">
              <w:rPr>
                <w:rFonts w:ascii="Times New Roman" w:hAnsi="Times New Roman" w:cs="Times New Roman"/>
                <w:sz w:val="18"/>
                <w:szCs w:val="14"/>
                <w:lang w:val="ro-RO" w:eastAsia="de-DE"/>
              </w:rPr>
              <w:t xml:space="preserve">; </w:t>
            </w:r>
            <w:r w:rsidR="00E10BE5" w:rsidRPr="009C5F11">
              <w:rPr>
                <w:rFonts w:ascii="Times New Roman" w:hAnsi="Times New Roman" w:cs="Times New Roman"/>
                <w:sz w:val="18"/>
                <w:szCs w:val="14"/>
                <w:lang w:val="ro-RO" w:eastAsia="de-DE"/>
              </w:rPr>
              <w:t>rezultate</w:t>
            </w:r>
            <w:r w:rsidRPr="009C5F11">
              <w:rPr>
                <w:rFonts w:ascii="Times New Roman" w:hAnsi="Times New Roman" w:cs="Times New Roman"/>
                <w:sz w:val="18"/>
                <w:szCs w:val="14"/>
                <w:lang w:val="ro-RO" w:eastAsia="de-DE"/>
              </w:rPr>
              <w:t xml:space="preserve">le scontate – circa </w:t>
            </w:r>
            <w:r w:rsidR="00095C39" w:rsidRPr="009C5F11">
              <w:rPr>
                <w:rFonts w:ascii="Times New Roman" w:hAnsi="Times New Roman" w:cs="Times New Roman"/>
                <w:sz w:val="18"/>
                <w:szCs w:val="14"/>
                <w:u w:val="single"/>
                <w:lang w:val="ro-RO" w:eastAsia="de-DE"/>
              </w:rPr>
              <w:t xml:space="preserve">5 </w:t>
            </w:r>
            <w:r w:rsidR="00E52940" w:rsidRPr="009C5F11">
              <w:rPr>
                <w:rFonts w:ascii="Times New Roman" w:hAnsi="Times New Roman" w:cs="Times New Roman"/>
                <w:sz w:val="18"/>
                <w:szCs w:val="14"/>
                <w:u w:val="single"/>
                <w:lang w:val="ro-RO" w:eastAsia="de-DE"/>
              </w:rPr>
              <w:t>ktep</w:t>
            </w:r>
            <w:r w:rsidRPr="009C5F11">
              <w:rPr>
                <w:rFonts w:ascii="Times New Roman" w:hAnsi="Times New Roman" w:cs="Times New Roman"/>
                <w:sz w:val="18"/>
                <w:szCs w:val="14"/>
                <w:u w:val="single"/>
                <w:lang w:val="ro-RO" w:eastAsia="de-DE"/>
              </w:rPr>
              <w:t>/an</w:t>
            </w:r>
            <w:r w:rsidR="00095C39"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începând din</w:t>
            </w:r>
            <w:r w:rsidR="00095C39" w:rsidRPr="009C5F11">
              <w:rPr>
                <w:rFonts w:ascii="Times New Roman" w:hAnsi="Times New Roman" w:cs="Times New Roman"/>
                <w:sz w:val="18"/>
                <w:szCs w:val="14"/>
                <w:lang w:val="ro-RO" w:eastAsia="de-DE"/>
              </w:rPr>
              <w:t xml:space="preserve"> 2018. </w:t>
            </w:r>
          </w:p>
          <w:p w14:paraId="3811A9DA" w14:textId="77777777" w:rsidR="00095C39" w:rsidRPr="009C5F11" w:rsidRDefault="00017161" w:rsidP="00334F3B">
            <w:pPr>
              <w:numPr>
                <w:ilvl w:val="0"/>
                <w:numId w:val="80"/>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lastRenderedPageBreak/>
              <w:t>Alte</w:t>
            </w:r>
            <w:r w:rsidR="00095C39"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instrumente financiare</w:t>
            </w:r>
            <w:r w:rsidR="00095C39"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similare </w:t>
            </w:r>
            <w:r w:rsidR="0087273F" w:rsidRPr="009C5F11">
              <w:rPr>
                <w:rFonts w:ascii="Times New Roman" w:hAnsi="Times New Roman" w:cs="Times New Roman"/>
                <w:sz w:val="18"/>
                <w:szCs w:val="14"/>
                <w:lang w:val="ro-RO" w:eastAsia="de-DE"/>
              </w:rPr>
              <w:t>MoREEFF</w:t>
            </w:r>
            <w:r w:rsidR="00095C39" w:rsidRPr="009C5F11">
              <w:rPr>
                <w:rFonts w:ascii="Times New Roman" w:hAnsi="Times New Roman" w:cs="Times New Roman"/>
                <w:sz w:val="18"/>
                <w:szCs w:val="14"/>
                <w:lang w:val="ro-RO" w:eastAsia="de-DE"/>
              </w:rPr>
              <w:t xml:space="preserve">, </w:t>
            </w:r>
            <w:r w:rsidR="00895C7F" w:rsidRPr="009C5F11">
              <w:rPr>
                <w:rFonts w:ascii="Times New Roman" w:hAnsi="Times New Roman" w:cs="Times New Roman"/>
                <w:sz w:val="18"/>
                <w:szCs w:val="14"/>
                <w:lang w:val="ro-RO" w:eastAsia="de-DE"/>
              </w:rPr>
              <w:t xml:space="preserve">pe care </w:t>
            </w:r>
            <w:r w:rsidRPr="009C5F11">
              <w:rPr>
                <w:rFonts w:ascii="Times New Roman" w:hAnsi="Times New Roman" w:cs="Times New Roman"/>
                <w:sz w:val="18"/>
                <w:szCs w:val="14"/>
                <w:lang w:val="ro-RO" w:eastAsia="de-DE"/>
              </w:rPr>
              <w:t>fie BERD cu un sprijin de granturi de la alţi donatori</w:t>
            </w:r>
            <w:r w:rsidR="00095C39"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fie </w:t>
            </w:r>
            <w:r w:rsidR="00895C7F" w:rsidRPr="009C5F11">
              <w:rPr>
                <w:rFonts w:ascii="Times New Roman" w:hAnsi="Times New Roman" w:cs="Times New Roman"/>
                <w:sz w:val="18"/>
                <w:szCs w:val="14"/>
                <w:lang w:val="ro-RO" w:eastAsia="de-DE"/>
              </w:rPr>
              <w:t>cu totul</w:t>
            </w:r>
            <w:r w:rsidRPr="009C5F11">
              <w:rPr>
                <w:rFonts w:ascii="Times New Roman" w:hAnsi="Times New Roman" w:cs="Times New Roman"/>
                <w:sz w:val="18"/>
                <w:szCs w:val="14"/>
                <w:lang w:val="ro-RO" w:eastAsia="de-DE"/>
              </w:rPr>
              <w:t xml:space="preserve"> alţi donatori </w:t>
            </w:r>
            <w:r w:rsidR="00895C7F" w:rsidRPr="009C5F11">
              <w:rPr>
                <w:rFonts w:ascii="Times New Roman" w:hAnsi="Times New Roman" w:cs="Times New Roman"/>
                <w:sz w:val="18"/>
                <w:szCs w:val="14"/>
                <w:lang w:val="ro-RO" w:eastAsia="de-DE"/>
              </w:rPr>
              <w:t xml:space="preserve">le </w:t>
            </w:r>
            <w:r w:rsidRPr="009C5F11">
              <w:rPr>
                <w:rFonts w:ascii="Times New Roman" w:hAnsi="Times New Roman" w:cs="Times New Roman"/>
                <w:sz w:val="18"/>
                <w:szCs w:val="14"/>
                <w:lang w:val="ro-RO" w:eastAsia="de-DE"/>
              </w:rPr>
              <w:t>vor la</w:t>
            </w:r>
            <w:r w:rsidR="006E5B02" w:rsidRPr="009C5F11">
              <w:rPr>
                <w:rFonts w:ascii="Times New Roman" w:hAnsi="Times New Roman" w:cs="Times New Roman"/>
                <w:sz w:val="18"/>
                <w:szCs w:val="14"/>
                <w:lang w:val="ro-RO" w:eastAsia="de-DE"/>
              </w:rPr>
              <w:t>n</w:t>
            </w:r>
            <w:r w:rsidRPr="009C5F11">
              <w:rPr>
                <w:rFonts w:ascii="Times New Roman" w:hAnsi="Times New Roman" w:cs="Times New Roman"/>
                <w:sz w:val="18"/>
                <w:szCs w:val="14"/>
                <w:lang w:val="ro-RO" w:eastAsia="de-DE"/>
              </w:rPr>
              <w:t xml:space="preserve">sa, </w:t>
            </w:r>
            <w:r w:rsidR="006E5B02" w:rsidRPr="009C5F11">
              <w:rPr>
                <w:rFonts w:ascii="Times New Roman" w:hAnsi="Times New Roman" w:cs="Times New Roman"/>
                <w:sz w:val="18"/>
                <w:szCs w:val="14"/>
                <w:lang w:val="ro-RO" w:eastAsia="de-DE"/>
              </w:rPr>
              <w:t>generând economii</w:t>
            </w:r>
            <w:r w:rsidR="00095C39" w:rsidRPr="009C5F11">
              <w:rPr>
                <w:rFonts w:ascii="Times New Roman" w:hAnsi="Times New Roman" w:cs="Times New Roman"/>
                <w:sz w:val="18"/>
                <w:szCs w:val="14"/>
                <w:lang w:val="ro-RO" w:eastAsia="de-DE"/>
              </w:rPr>
              <w:t xml:space="preserve"> </w:t>
            </w:r>
            <w:r w:rsidR="003A5D89" w:rsidRPr="009C5F11">
              <w:rPr>
                <w:rFonts w:ascii="Times New Roman" w:hAnsi="Times New Roman" w:cs="Times New Roman"/>
                <w:sz w:val="18"/>
                <w:szCs w:val="14"/>
                <w:lang w:val="ro-RO" w:eastAsia="de-DE"/>
              </w:rPr>
              <w:t>până la</w:t>
            </w:r>
            <w:r w:rsidR="00095C39" w:rsidRPr="009C5F11">
              <w:rPr>
                <w:rFonts w:ascii="Times New Roman" w:hAnsi="Times New Roman" w:cs="Times New Roman"/>
                <w:sz w:val="18"/>
                <w:szCs w:val="14"/>
                <w:lang w:val="ro-RO" w:eastAsia="de-DE"/>
              </w:rPr>
              <w:t xml:space="preserve"> </w:t>
            </w:r>
            <w:r w:rsidR="00095C39" w:rsidRPr="009C5F11">
              <w:rPr>
                <w:rFonts w:ascii="Times New Roman" w:hAnsi="Times New Roman" w:cs="Times New Roman"/>
                <w:sz w:val="18"/>
                <w:szCs w:val="14"/>
                <w:u w:val="single"/>
                <w:lang w:val="ro-RO" w:eastAsia="de-DE"/>
              </w:rPr>
              <w:t xml:space="preserve">5 </w:t>
            </w:r>
            <w:r w:rsidR="00E52940" w:rsidRPr="009C5F11">
              <w:rPr>
                <w:rFonts w:ascii="Times New Roman" w:hAnsi="Times New Roman" w:cs="Times New Roman"/>
                <w:sz w:val="18"/>
                <w:szCs w:val="14"/>
                <w:u w:val="single"/>
                <w:lang w:val="ro-RO" w:eastAsia="de-DE"/>
              </w:rPr>
              <w:t>ktep</w:t>
            </w:r>
            <w:r w:rsidRPr="009C5F11">
              <w:rPr>
                <w:rFonts w:ascii="Times New Roman" w:hAnsi="Times New Roman" w:cs="Times New Roman"/>
                <w:sz w:val="18"/>
                <w:szCs w:val="14"/>
                <w:u w:val="single"/>
                <w:lang w:val="ro-RO" w:eastAsia="de-DE"/>
              </w:rPr>
              <w:t>/an</w:t>
            </w:r>
            <w:r w:rsidR="00095C39"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începând din</w:t>
            </w:r>
            <w:r w:rsidR="00095C39" w:rsidRPr="009C5F11">
              <w:rPr>
                <w:rFonts w:ascii="Times New Roman" w:hAnsi="Times New Roman" w:cs="Times New Roman"/>
                <w:sz w:val="18"/>
                <w:szCs w:val="14"/>
                <w:lang w:val="ro-RO" w:eastAsia="de-DE"/>
              </w:rPr>
              <w:t xml:space="preserve"> 2020</w:t>
            </w:r>
            <w:r w:rsidRPr="009C5F11">
              <w:rPr>
                <w:rFonts w:ascii="Times New Roman" w:hAnsi="Times New Roman" w:cs="Times New Roman"/>
                <w:sz w:val="18"/>
                <w:szCs w:val="14"/>
                <w:lang w:val="ro-RO" w:eastAsia="de-DE"/>
              </w:rPr>
              <w:t>;</w:t>
            </w:r>
          </w:p>
          <w:p w14:paraId="18ADD6A1" w14:textId="77777777" w:rsidR="00095C39" w:rsidRPr="009C5F11" w:rsidRDefault="00AA0566" w:rsidP="00334F3B">
            <w:pPr>
              <w:numPr>
                <w:ilvl w:val="0"/>
                <w:numId w:val="80"/>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FEE</w:t>
            </w:r>
            <w:r w:rsidR="00095C39"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va institui un program (APP) dedicat sectorului privat, în special, blocurilor locative cu multe etaje</w:t>
            </w:r>
            <w:r w:rsidR="00095C39" w:rsidRPr="009C5F11">
              <w:rPr>
                <w:rFonts w:ascii="Times New Roman" w:hAnsi="Times New Roman" w:cs="Times New Roman"/>
                <w:sz w:val="18"/>
                <w:szCs w:val="14"/>
                <w:lang w:val="ro-RO" w:eastAsia="de-DE"/>
              </w:rPr>
              <w:t>.</w:t>
            </w:r>
          </w:p>
          <w:p w14:paraId="600FAE6F" w14:textId="77777777" w:rsidR="00095C39" w:rsidRPr="009C5F11" w:rsidRDefault="00895C7F" w:rsidP="00430626">
            <w:pPr>
              <w:tabs>
                <w:tab w:val="left" w:pos="1440"/>
                <w:tab w:val="left" w:pos="5040"/>
                <w:tab w:val="right" w:pos="8504"/>
              </w:tabs>
              <w:spacing w:after="0" w:line="240" w:lineRule="auto"/>
              <w:ind w:firstLine="70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Presupunerile</w:t>
            </w:r>
            <w:r w:rsidR="00F43616"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Programul</w:t>
            </w:r>
            <w:r w:rsidR="00F43616" w:rsidRPr="009C5F11">
              <w:rPr>
                <w:rFonts w:ascii="Times New Roman" w:hAnsi="Times New Roman" w:cs="Times New Roman"/>
                <w:sz w:val="18"/>
                <w:szCs w:val="14"/>
                <w:lang w:val="ro-RO" w:eastAsia="de-DE"/>
              </w:rPr>
              <w:t>ui</w:t>
            </w:r>
            <w:r w:rsidR="00095C39" w:rsidRPr="009C5F11">
              <w:rPr>
                <w:rFonts w:ascii="Times New Roman" w:hAnsi="Times New Roman" w:cs="Times New Roman"/>
                <w:sz w:val="18"/>
                <w:szCs w:val="14"/>
                <w:lang w:val="ro-RO" w:eastAsia="de-DE"/>
              </w:rPr>
              <w:t>:</w:t>
            </w:r>
          </w:p>
          <w:p w14:paraId="54A3D142" w14:textId="77777777" w:rsidR="00095C39" w:rsidRPr="009C5F11" w:rsidRDefault="001A3D16" w:rsidP="00334F3B">
            <w:pPr>
              <w:numPr>
                <w:ilvl w:val="0"/>
                <w:numId w:val="81"/>
              </w:numPr>
              <w:tabs>
                <w:tab w:val="left" w:pos="1062"/>
                <w:tab w:val="left" w:pos="5040"/>
                <w:tab w:val="right" w:pos="8504"/>
              </w:tabs>
              <w:spacing w:after="0" w:line="240" w:lineRule="auto"/>
              <w:ind w:left="106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w:t>
            </w:r>
            <w:r w:rsidR="00095C39"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 xml:space="preserve">obţinute pe baza renovării </w:t>
            </w:r>
            <w:r w:rsidR="00095C39" w:rsidRPr="009C5F11">
              <w:rPr>
                <w:rFonts w:ascii="Times New Roman" w:hAnsi="Times New Roman" w:cs="Times New Roman"/>
                <w:sz w:val="18"/>
                <w:szCs w:val="14"/>
                <w:lang w:val="ro-RO" w:eastAsia="de-DE"/>
              </w:rPr>
              <w:t>integra</w:t>
            </w:r>
            <w:r w:rsidR="00F43616" w:rsidRPr="009C5F11">
              <w:rPr>
                <w:rFonts w:ascii="Times New Roman" w:hAnsi="Times New Roman" w:cs="Times New Roman"/>
                <w:sz w:val="18"/>
                <w:szCs w:val="14"/>
                <w:lang w:val="ro-RO" w:eastAsia="de-DE"/>
              </w:rPr>
              <w:t>le</w:t>
            </w:r>
            <w:r w:rsidR="00095C39"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a</w:t>
            </w:r>
            <w:r w:rsidR="00321CD5"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blocurilor locative cu multe etaje</w:t>
            </w:r>
            <w:r w:rsidR="00095C39"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w:t>
            </w:r>
            <w:r w:rsidR="00095C39" w:rsidRPr="009C5F11">
              <w:rPr>
                <w:rFonts w:ascii="Times New Roman" w:hAnsi="Times New Roman" w:cs="Times New Roman"/>
                <w:sz w:val="18"/>
                <w:szCs w:val="14"/>
                <w:lang w:val="ro-RO" w:eastAsia="de-DE"/>
              </w:rPr>
              <w:t xml:space="preserve"> 100 kWh/m</w:t>
            </w:r>
            <w:r w:rsidR="00095C39" w:rsidRPr="009C5F11">
              <w:rPr>
                <w:rFonts w:ascii="Times New Roman" w:hAnsi="Times New Roman" w:cs="Times New Roman"/>
                <w:sz w:val="18"/>
                <w:szCs w:val="14"/>
                <w:vertAlign w:val="superscript"/>
                <w:lang w:val="ro-RO" w:eastAsia="de-DE"/>
              </w:rPr>
              <w:t>2</w:t>
            </w:r>
            <w:r w:rsidR="00095C39"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 xml:space="preserve">din media de </w:t>
            </w:r>
            <w:r w:rsidR="00095C39" w:rsidRPr="009C5F11">
              <w:rPr>
                <w:rFonts w:ascii="Times New Roman" w:hAnsi="Times New Roman" w:cs="Times New Roman"/>
                <w:sz w:val="18"/>
                <w:szCs w:val="14"/>
                <w:lang w:val="ro-RO" w:eastAsia="de-DE"/>
              </w:rPr>
              <w:t>210</w:t>
            </w:r>
            <w:r w:rsidR="00095C39" w:rsidRPr="009C5F11">
              <w:rPr>
                <w:rFonts w:ascii="Times New Roman" w:hAnsi="Times New Roman" w:cs="Times New Roman"/>
                <w:sz w:val="18"/>
                <w:szCs w:val="14"/>
                <w:vertAlign w:val="superscript"/>
                <w:lang w:val="ro-RO" w:eastAsia="de-DE"/>
              </w:rPr>
              <w:footnoteReference w:id="18"/>
            </w:r>
            <w:r w:rsidR="00095C39" w:rsidRPr="009C5F11">
              <w:rPr>
                <w:rFonts w:ascii="Times New Roman" w:hAnsi="Times New Roman" w:cs="Times New Roman"/>
                <w:sz w:val="18"/>
                <w:szCs w:val="14"/>
                <w:lang w:val="ro-RO" w:eastAsia="de-DE"/>
              </w:rPr>
              <w:t xml:space="preserve">;). </w:t>
            </w:r>
          </w:p>
          <w:p w14:paraId="2B9FB143" w14:textId="77777777" w:rsidR="00095C39" w:rsidRPr="009C5F11" w:rsidRDefault="00095C39" w:rsidP="00430626">
            <w:pPr>
              <w:tabs>
                <w:tab w:val="left" w:pos="1440"/>
                <w:tab w:val="left" w:pos="5040"/>
                <w:tab w:val="right" w:pos="8504"/>
              </w:tabs>
              <w:spacing w:after="0" w:line="240" w:lineRule="auto"/>
              <w:ind w:left="106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r>
            <w:r w:rsidR="00F43616" w:rsidRPr="009C5F11">
              <w:rPr>
                <w:rFonts w:ascii="Times New Roman" w:hAnsi="Times New Roman" w:cs="Times New Roman"/>
                <w:sz w:val="18"/>
                <w:szCs w:val="14"/>
                <w:lang w:val="ro-RO" w:eastAsia="de-DE"/>
              </w:rPr>
              <w:t>Suprafaţa totală a clădirilor din</w:t>
            </w:r>
            <w:r w:rsidR="00223DAC" w:rsidRPr="009C5F11">
              <w:rPr>
                <w:rFonts w:ascii="Times New Roman" w:hAnsi="Times New Roman" w:cs="Times New Roman"/>
                <w:sz w:val="18"/>
                <w:szCs w:val="14"/>
                <w:lang w:val="ro-RO" w:eastAsia="de-DE"/>
              </w:rPr>
              <w:t xml:space="preserve"> Republica Moldova</w:t>
            </w:r>
            <w:r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 xml:space="preserve">este de </w:t>
            </w:r>
            <w:r w:rsidRPr="009C5F11">
              <w:rPr>
                <w:rFonts w:ascii="Times New Roman" w:hAnsi="Times New Roman" w:cs="Times New Roman"/>
                <w:sz w:val="18"/>
                <w:szCs w:val="14"/>
                <w:lang w:val="ro-RO" w:eastAsia="de-DE"/>
              </w:rPr>
              <w:t xml:space="preserve">81,046,500 m2 (1 </w:t>
            </w:r>
            <w:r w:rsidR="000A4CC7" w:rsidRPr="009C5F11">
              <w:rPr>
                <w:rFonts w:ascii="Times New Roman" w:hAnsi="Times New Roman" w:cs="Times New Roman"/>
                <w:sz w:val="18"/>
                <w:szCs w:val="14"/>
                <w:lang w:val="ro-RO" w:eastAsia="de-DE"/>
              </w:rPr>
              <w:t>ianuarie</w:t>
            </w:r>
            <w:r w:rsidRPr="009C5F11">
              <w:rPr>
                <w:rFonts w:ascii="Times New Roman" w:hAnsi="Times New Roman" w:cs="Times New Roman"/>
                <w:sz w:val="18"/>
                <w:szCs w:val="14"/>
                <w:lang w:val="ro-RO" w:eastAsia="de-DE"/>
              </w:rPr>
              <w:t xml:space="preserve"> 2015)</w:t>
            </w:r>
            <w:r w:rsidR="00F43616" w:rsidRPr="009C5F11">
              <w:rPr>
                <w:rFonts w:ascii="Times New Roman" w:hAnsi="Times New Roman" w:cs="Times New Roman"/>
                <w:sz w:val="18"/>
                <w:szCs w:val="14"/>
                <w:lang w:val="ro-RO" w:eastAsia="de-DE"/>
              </w:rPr>
              <w:t>;</w:t>
            </w:r>
          </w:p>
          <w:p w14:paraId="28601A7A" w14:textId="77777777" w:rsidR="00095C39" w:rsidRPr="009C5F11" w:rsidRDefault="00095C39" w:rsidP="00430626">
            <w:pPr>
              <w:tabs>
                <w:tab w:val="left" w:pos="1440"/>
                <w:tab w:val="left" w:pos="5040"/>
                <w:tab w:val="right" w:pos="8504"/>
              </w:tabs>
              <w:spacing w:after="0" w:line="240" w:lineRule="auto"/>
              <w:ind w:left="106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r>
            <w:r w:rsidR="00F43616" w:rsidRPr="009C5F11">
              <w:rPr>
                <w:rFonts w:ascii="Times New Roman" w:hAnsi="Times New Roman" w:cs="Times New Roman"/>
                <w:sz w:val="18"/>
                <w:szCs w:val="14"/>
                <w:lang w:val="ro-RO" w:eastAsia="de-DE"/>
              </w:rPr>
              <w:t>Suprafaţa totală a blocurilor locative di</w:t>
            </w:r>
            <w:r w:rsidR="00223DAC" w:rsidRPr="009C5F11">
              <w:rPr>
                <w:rFonts w:ascii="Times New Roman" w:hAnsi="Times New Roman" w:cs="Times New Roman"/>
                <w:sz w:val="18"/>
                <w:szCs w:val="14"/>
                <w:lang w:val="ro-RO" w:eastAsia="de-DE"/>
              </w:rPr>
              <w:t>n Republica Moldova</w:t>
            </w:r>
            <w:r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este de</w:t>
            </w:r>
            <w:r w:rsidRPr="009C5F11">
              <w:rPr>
                <w:rFonts w:ascii="Times New Roman" w:hAnsi="Times New Roman" w:cs="Times New Roman"/>
                <w:sz w:val="18"/>
                <w:szCs w:val="14"/>
                <w:lang w:val="ro-RO" w:eastAsia="de-DE"/>
              </w:rPr>
              <w:t xml:space="preserve"> 79,146,200 m2</w:t>
            </w:r>
            <w:r w:rsidR="00F43616" w:rsidRPr="009C5F11">
              <w:rPr>
                <w:rFonts w:ascii="Times New Roman" w:hAnsi="Times New Roman" w:cs="Times New Roman"/>
                <w:sz w:val="18"/>
                <w:szCs w:val="14"/>
                <w:lang w:val="ro-RO" w:eastAsia="de-DE"/>
              </w:rPr>
              <w:t>;</w:t>
            </w:r>
          </w:p>
          <w:p w14:paraId="09E48A92" w14:textId="77777777" w:rsidR="00095C39" w:rsidRPr="009C5F11" w:rsidRDefault="00095C39" w:rsidP="00430626">
            <w:pPr>
              <w:tabs>
                <w:tab w:val="left" w:pos="1440"/>
                <w:tab w:val="left" w:pos="5040"/>
                <w:tab w:val="right" w:pos="8504"/>
              </w:tabs>
              <w:spacing w:after="0" w:line="240" w:lineRule="auto"/>
              <w:ind w:left="106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r>
            <w:r w:rsidR="00F43616" w:rsidRPr="009C5F11">
              <w:rPr>
                <w:rFonts w:ascii="Times New Roman" w:hAnsi="Times New Roman" w:cs="Times New Roman"/>
                <w:sz w:val="18"/>
                <w:szCs w:val="14"/>
                <w:lang w:val="ro-RO" w:eastAsia="de-DE"/>
              </w:rPr>
              <w:t>Blocurile locative cu multe etaje</w:t>
            </w:r>
            <w:r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reprezintă</w:t>
            </w:r>
            <w:r w:rsidRPr="009C5F11">
              <w:rPr>
                <w:rFonts w:ascii="Times New Roman" w:hAnsi="Times New Roman" w:cs="Times New Roman"/>
                <w:sz w:val="18"/>
                <w:szCs w:val="14"/>
                <w:lang w:val="ro-RO" w:eastAsia="de-DE"/>
              </w:rPr>
              <w:t xml:space="preserve"> 40% (</w:t>
            </w:r>
            <w:r w:rsidR="006E5B02" w:rsidRPr="009C5F11">
              <w:rPr>
                <w:rFonts w:ascii="Times New Roman" w:hAnsi="Times New Roman" w:cs="Times New Roman"/>
                <w:sz w:val="18"/>
                <w:szCs w:val="14"/>
                <w:lang w:val="ro-RO" w:eastAsia="de-DE"/>
              </w:rPr>
              <w:t>cu încălzire centralizată</w:t>
            </w:r>
            <w:r w:rsidRPr="009C5F11">
              <w:rPr>
                <w:rFonts w:ascii="Times New Roman" w:hAnsi="Times New Roman" w:cs="Times New Roman"/>
                <w:sz w:val="18"/>
                <w:szCs w:val="14"/>
                <w:lang w:val="ro-RO" w:eastAsia="de-DE"/>
              </w:rPr>
              <w:t xml:space="preserve">) </w:t>
            </w:r>
            <w:r w:rsidR="00603237" w:rsidRPr="009C5F11">
              <w:rPr>
                <w:rFonts w:ascii="Times New Roman" w:hAnsi="Times New Roman" w:cs="Times New Roman"/>
                <w:sz w:val="18"/>
                <w:szCs w:val="14"/>
                <w:lang w:val="ro-RO" w:eastAsia="de-DE"/>
              </w:rPr>
              <w:t>din</w:t>
            </w:r>
            <w:r w:rsidR="006E5B02" w:rsidRPr="009C5F11">
              <w:rPr>
                <w:rFonts w:ascii="Times New Roman" w:hAnsi="Times New Roman" w:cs="Times New Roman"/>
                <w:sz w:val="18"/>
                <w:szCs w:val="14"/>
                <w:lang w:val="ro-RO" w:eastAsia="de-DE"/>
              </w:rPr>
              <w:t xml:space="preserve"> stocul</w:t>
            </w:r>
            <w:r w:rsidRPr="009C5F11">
              <w:rPr>
                <w:rFonts w:ascii="Times New Roman" w:hAnsi="Times New Roman" w:cs="Times New Roman"/>
                <w:sz w:val="18"/>
                <w:szCs w:val="14"/>
                <w:lang w:val="ro-RO" w:eastAsia="de-DE"/>
              </w:rPr>
              <w:t xml:space="preserve"> total </w:t>
            </w:r>
            <w:r w:rsidR="006E5B02" w:rsidRPr="009C5F11">
              <w:rPr>
                <w:rFonts w:ascii="Times New Roman" w:hAnsi="Times New Roman" w:cs="Times New Roman"/>
                <w:sz w:val="18"/>
                <w:szCs w:val="14"/>
                <w:lang w:val="ro-RO" w:eastAsia="de-DE"/>
              </w:rPr>
              <w:t xml:space="preserve">de </w:t>
            </w:r>
            <w:r w:rsidR="00693850" w:rsidRPr="009C5F11">
              <w:rPr>
                <w:rFonts w:ascii="Times New Roman" w:hAnsi="Times New Roman" w:cs="Times New Roman"/>
                <w:sz w:val="18"/>
                <w:szCs w:val="14"/>
                <w:lang w:val="ro-RO" w:eastAsia="de-DE"/>
              </w:rPr>
              <w:t>clădiri</w:t>
            </w:r>
            <w:r w:rsidR="006E5B02" w:rsidRPr="009C5F11">
              <w:rPr>
                <w:rFonts w:ascii="Times New Roman" w:hAnsi="Times New Roman" w:cs="Times New Roman"/>
                <w:sz w:val="18"/>
                <w:szCs w:val="14"/>
                <w:lang w:val="ro-RO" w:eastAsia="de-DE"/>
              </w:rPr>
              <w:t>;</w:t>
            </w:r>
          </w:p>
          <w:p w14:paraId="1FA4CB1F" w14:textId="77777777" w:rsidR="00095C39" w:rsidRPr="009C5F11" w:rsidRDefault="00095C39" w:rsidP="00430626">
            <w:pPr>
              <w:tabs>
                <w:tab w:val="left" w:pos="1440"/>
                <w:tab w:val="left" w:pos="5040"/>
                <w:tab w:val="right" w:pos="8504"/>
              </w:tabs>
              <w:spacing w:after="0" w:line="240" w:lineRule="auto"/>
              <w:ind w:left="106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r>
            <w:r w:rsidR="00F43616" w:rsidRPr="009C5F11">
              <w:rPr>
                <w:rFonts w:ascii="Times New Roman" w:hAnsi="Times New Roman" w:cs="Times New Roman"/>
                <w:sz w:val="18"/>
                <w:szCs w:val="14"/>
                <w:lang w:val="ro-RO" w:eastAsia="de-DE"/>
              </w:rPr>
              <w:t xml:space="preserve">Suprafaţa </w:t>
            </w:r>
            <w:r w:rsidRPr="009C5F11">
              <w:rPr>
                <w:rFonts w:ascii="Times New Roman" w:hAnsi="Times New Roman" w:cs="Times New Roman"/>
                <w:sz w:val="18"/>
                <w:szCs w:val="14"/>
                <w:lang w:val="ro-RO" w:eastAsia="de-DE"/>
              </w:rPr>
              <w:t>poten</w:t>
            </w:r>
            <w:r w:rsidR="00F43616" w:rsidRPr="009C5F11">
              <w:rPr>
                <w:rFonts w:ascii="Times New Roman" w:hAnsi="Times New Roman" w:cs="Times New Roman"/>
                <w:sz w:val="18"/>
                <w:szCs w:val="14"/>
                <w:lang w:val="ro-RO" w:eastAsia="de-DE"/>
              </w:rPr>
              <w:t>ţ</w:t>
            </w:r>
            <w:r w:rsidRPr="009C5F11">
              <w:rPr>
                <w:rFonts w:ascii="Times New Roman" w:hAnsi="Times New Roman" w:cs="Times New Roman"/>
                <w:sz w:val="18"/>
                <w:szCs w:val="14"/>
                <w:lang w:val="ro-RO" w:eastAsia="de-DE"/>
              </w:rPr>
              <w:t>ial</w:t>
            </w:r>
            <w:r w:rsidR="00F43616" w:rsidRPr="009C5F11">
              <w:rPr>
                <w:rFonts w:ascii="Times New Roman" w:hAnsi="Times New Roman" w:cs="Times New Roman"/>
                <w:sz w:val="18"/>
                <w:szCs w:val="14"/>
                <w:lang w:val="ro-RO" w:eastAsia="de-DE"/>
              </w:rPr>
              <w:t>ă ce poate fi renovată</w:t>
            </w:r>
            <w:r w:rsidR="00321CD5"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în blocurile locative cu multe etaje</w:t>
            </w:r>
            <w:r w:rsidRPr="009C5F11">
              <w:rPr>
                <w:rFonts w:ascii="Times New Roman" w:hAnsi="Times New Roman" w:cs="Times New Roman"/>
                <w:sz w:val="18"/>
                <w:szCs w:val="14"/>
                <w:lang w:val="ro-RO" w:eastAsia="de-DE"/>
              </w:rPr>
              <w:t>: 30,584,500 m2</w:t>
            </w:r>
            <w:r w:rsidR="00F43616" w:rsidRPr="009C5F11">
              <w:rPr>
                <w:rFonts w:ascii="Times New Roman" w:hAnsi="Times New Roman" w:cs="Times New Roman"/>
                <w:sz w:val="18"/>
                <w:szCs w:val="14"/>
                <w:lang w:val="ro-RO" w:eastAsia="de-DE"/>
              </w:rPr>
              <w:t>;</w:t>
            </w:r>
          </w:p>
          <w:p w14:paraId="10113410" w14:textId="77777777" w:rsidR="00095C39" w:rsidRPr="009C5F11" w:rsidRDefault="00095C39" w:rsidP="00430626">
            <w:pPr>
              <w:tabs>
                <w:tab w:val="left" w:pos="1440"/>
                <w:tab w:val="left" w:pos="5040"/>
                <w:tab w:val="right" w:pos="8504"/>
              </w:tabs>
              <w:spacing w:after="0" w:line="240" w:lineRule="auto"/>
              <w:ind w:left="106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t>1%</w:t>
            </w:r>
            <w:r w:rsidR="00017161" w:rsidRPr="009C5F11">
              <w:rPr>
                <w:rFonts w:ascii="Times New Roman" w:hAnsi="Times New Roman" w:cs="Times New Roman"/>
                <w:sz w:val="18"/>
                <w:szCs w:val="14"/>
                <w:lang w:val="ro-RO" w:eastAsia="de-DE"/>
              </w:rPr>
              <w:t>/an</w:t>
            </w:r>
            <w:r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reprezintă</w:t>
            </w:r>
            <w:r w:rsidRPr="009C5F11">
              <w:rPr>
                <w:rFonts w:ascii="Times New Roman" w:hAnsi="Times New Roman" w:cs="Times New Roman"/>
                <w:sz w:val="18"/>
                <w:szCs w:val="14"/>
                <w:lang w:val="ro-RO" w:eastAsia="de-DE"/>
              </w:rPr>
              <w:t xml:space="preserve"> 305,845 m2 </w:t>
            </w:r>
            <w:r w:rsidR="00F43616" w:rsidRPr="009C5F11">
              <w:rPr>
                <w:rFonts w:ascii="Times New Roman" w:hAnsi="Times New Roman" w:cs="Times New Roman"/>
                <w:sz w:val="18"/>
                <w:szCs w:val="14"/>
                <w:lang w:val="ro-RO" w:eastAsia="de-DE"/>
              </w:rPr>
              <w:t>cu o medie de</w:t>
            </w:r>
            <w:r w:rsidRPr="009C5F11">
              <w:rPr>
                <w:rFonts w:ascii="Times New Roman" w:hAnsi="Times New Roman" w:cs="Times New Roman"/>
                <w:sz w:val="18"/>
                <w:szCs w:val="14"/>
                <w:lang w:val="ro-RO" w:eastAsia="de-DE"/>
              </w:rPr>
              <w:t xml:space="preserve"> 100 kWh</w:t>
            </w:r>
            <w:r w:rsidR="00017161" w:rsidRPr="009C5F11">
              <w:rPr>
                <w:rFonts w:ascii="Times New Roman" w:hAnsi="Times New Roman" w:cs="Times New Roman"/>
                <w:sz w:val="18"/>
                <w:szCs w:val="14"/>
                <w:lang w:val="ro-RO" w:eastAsia="de-DE"/>
              </w:rPr>
              <w:t>/an</w:t>
            </w:r>
            <w:r w:rsidRPr="009C5F11">
              <w:rPr>
                <w:rFonts w:ascii="Times New Roman" w:hAnsi="Times New Roman" w:cs="Times New Roman"/>
                <w:sz w:val="18"/>
                <w:szCs w:val="14"/>
                <w:lang w:val="ro-RO" w:eastAsia="de-DE"/>
              </w:rPr>
              <w:t xml:space="preserve">/m2 </w:t>
            </w:r>
            <w:r w:rsidR="00C639BC" w:rsidRPr="009C5F11">
              <w:rPr>
                <w:rFonts w:ascii="Times New Roman" w:hAnsi="Times New Roman" w:cs="Times New Roman"/>
                <w:sz w:val="18"/>
                <w:szCs w:val="14"/>
                <w:lang w:val="ro-RO" w:eastAsia="de-DE"/>
              </w:rPr>
              <w:t>economii</w:t>
            </w:r>
            <w:r w:rsidR="00F43616"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w:t>
            </w:r>
          </w:p>
          <w:p w14:paraId="7F070E71" w14:textId="77777777" w:rsidR="00095C39" w:rsidRPr="009C5F11" w:rsidRDefault="00095C39" w:rsidP="00430626">
            <w:pPr>
              <w:tabs>
                <w:tab w:val="left" w:pos="1440"/>
                <w:tab w:val="left" w:pos="5040"/>
                <w:tab w:val="right" w:pos="8504"/>
              </w:tabs>
              <w:spacing w:after="0" w:line="240" w:lineRule="auto"/>
              <w:ind w:left="106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r>
            <w:r w:rsidR="00F43616" w:rsidRPr="009C5F11">
              <w:rPr>
                <w:rFonts w:ascii="Times New Roman" w:hAnsi="Times New Roman" w:cs="Times New Roman"/>
                <w:sz w:val="18"/>
                <w:szCs w:val="14"/>
                <w:lang w:val="ro-RO" w:eastAsia="de-DE"/>
              </w:rPr>
              <w:t>La rata de</w:t>
            </w:r>
            <w:r w:rsidRPr="009C5F11">
              <w:rPr>
                <w:rFonts w:ascii="Times New Roman" w:hAnsi="Times New Roman" w:cs="Times New Roman"/>
                <w:sz w:val="18"/>
                <w:szCs w:val="14"/>
                <w:lang w:val="ro-RO" w:eastAsia="de-DE"/>
              </w:rPr>
              <w:t xml:space="preserve"> 1%</w:t>
            </w:r>
            <w:r w:rsidR="00017161" w:rsidRPr="009C5F11">
              <w:rPr>
                <w:rFonts w:ascii="Times New Roman" w:hAnsi="Times New Roman" w:cs="Times New Roman"/>
                <w:sz w:val="18"/>
                <w:szCs w:val="14"/>
                <w:lang w:val="ro-RO" w:eastAsia="de-DE"/>
              </w:rPr>
              <w:t>/an</w:t>
            </w:r>
            <w:r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economiile potenţiale</w:t>
            </w:r>
            <w:r w:rsidRPr="009C5F11">
              <w:rPr>
                <w:rFonts w:ascii="Times New Roman" w:hAnsi="Times New Roman" w:cs="Times New Roman"/>
                <w:sz w:val="18"/>
                <w:szCs w:val="14"/>
                <w:lang w:val="ro-RO" w:eastAsia="de-DE"/>
              </w:rPr>
              <w:t xml:space="preserve"> pe</w:t>
            </w:r>
            <w:r w:rsidR="00F43616" w:rsidRPr="009C5F11">
              <w:rPr>
                <w:rFonts w:ascii="Times New Roman" w:hAnsi="Times New Roman" w:cs="Times New Roman"/>
                <w:sz w:val="18"/>
                <w:szCs w:val="14"/>
                <w:lang w:val="ro-RO" w:eastAsia="de-DE"/>
              </w:rPr>
              <w:t xml:space="preserve"> an ar </w:t>
            </w:r>
            <w:r w:rsidR="006E5B02" w:rsidRPr="009C5F11">
              <w:rPr>
                <w:rFonts w:ascii="Times New Roman" w:hAnsi="Times New Roman" w:cs="Times New Roman"/>
                <w:sz w:val="18"/>
                <w:szCs w:val="14"/>
                <w:lang w:val="ro-RO" w:eastAsia="de-DE"/>
              </w:rPr>
              <w:t xml:space="preserve">putea </w:t>
            </w:r>
            <w:r w:rsidR="00F43616" w:rsidRPr="009C5F11">
              <w:rPr>
                <w:rFonts w:ascii="Times New Roman" w:hAnsi="Times New Roman" w:cs="Times New Roman"/>
                <w:sz w:val="18"/>
                <w:szCs w:val="14"/>
                <w:lang w:val="ro-RO" w:eastAsia="de-DE"/>
              </w:rPr>
              <w:t>fi</w:t>
            </w:r>
            <w:r w:rsidRPr="009C5F11">
              <w:rPr>
                <w:rFonts w:ascii="Times New Roman" w:hAnsi="Times New Roman" w:cs="Times New Roman"/>
                <w:sz w:val="18"/>
                <w:szCs w:val="14"/>
                <w:lang w:val="ro-RO" w:eastAsia="de-DE"/>
              </w:rPr>
              <w:t xml:space="preserve">: 30,584,500 kWh = 2.63 </w:t>
            </w:r>
            <w:r w:rsidR="00E52940" w:rsidRPr="009C5F11">
              <w:rPr>
                <w:rFonts w:ascii="Times New Roman" w:hAnsi="Times New Roman" w:cs="Times New Roman"/>
                <w:sz w:val="18"/>
                <w:szCs w:val="14"/>
                <w:lang w:val="ro-RO" w:eastAsia="de-DE"/>
              </w:rPr>
              <w:t>ktep</w:t>
            </w:r>
            <w:r w:rsidR="00017161" w:rsidRPr="009C5F11">
              <w:rPr>
                <w:rFonts w:ascii="Times New Roman" w:hAnsi="Times New Roman" w:cs="Times New Roman"/>
                <w:sz w:val="18"/>
                <w:szCs w:val="14"/>
                <w:lang w:val="ro-RO" w:eastAsia="de-DE"/>
              </w:rPr>
              <w:t>/an</w:t>
            </w:r>
            <w:r w:rsidR="00F43616" w:rsidRPr="009C5F11">
              <w:rPr>
                <w:rFonts w:ascii="Times New Roman" w:hAnsi="Times New Roman" w:cs="Times New Roman"/>
                <w:sz w:val="18"/>
                <w:szCs w:val="14"/>
                <w:lang w:val="ro-RO" w:eastAsia="de-DE"/>
              </w:rPr>
              <w:t>;</w:t>
            </w:r>
          </w:p>
          <w:p w14:paraId="4CC213F0" w14:textId="77777777" w:rsidR="00095C39" w:rsidRPr="009C5F11" w:rsidRDefault="00095C39" w:rsidP="00430626">
            <w:pPr>
              <w:tabs>
                <w:tab w:val="left" w:pos="1440"/>
                <w:tab w:val="left" w:pos="5040"/>
                <w:tab w:val="right" w:pos="8504"/>
              </w:tabs>
              <w:spacing w:after="0" w:line="240" w:lineRule="auto"/>
              <w:ind w:left="106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r>
            <w:r w:rsidR="00F43616" w:rsidRPr="009C5F11">
              <w:rPr>
                <w:rFonts w:ascii="Times New Roman" w:hAnsi="Times New Roman" w:cs="Times New Roman"/>
                <w:sz w:val="18"/>
                <w:szCs w:val="14"/>
                <w:lang w:val="ro-RO" w:eastAsia="de-DE"/>
              </w:rPr>
              <w:t>Perioada de</w:t>
            </w:r>
            <w:r w:rsidRPr="009C5F11">
              <w:rPr>
                <w:rFonts w:ascii="Times New Roman" w:hAnsi="Times New Roman" w:cs="Times New Roman"/>
                <w:sz w:val="18"/>
                <w:szCs w:val="14"/>
                <w:lang w:val="ro-RO" w:eastAsia="de-DE"/>
              </w:rPr>
              <w:t xml:space="preserve"> </w:t>
            </w:r>
            <w:r w:rsidR="00532A33" w:rsidRPr="009C5F11">
              <w:rPr>
                <w:rFonts w:ascii="Times New Roman" w:hAnsi="Times New Roman" w:cs="Times New Roman"/>
                <w:sz w:val="18"/>
                <w:szCs w:val="14"/>
                <w:lang w:val="ro-RO" w:eastAsia="de-DE"/>
              </w:rPr>
              <w:t>implementare</w:t>
            </w:r>
            <w:r w:rsidR="00F43616" w:rsidRPr="009C5F11">
              <w:rPr>
                <w:rFonts w:ascii="Times New Roman" w:hAnsi="Times New Roman" w:cs="Times New Roman"/>
                <w:sz w:val="18"/>
                <w:szCs w:val="14"/>
                <w:lang w:val="ro-RO" w:eastAsia="de-DE"/>
              </w:rPr>
              <w:t xml:space="preserve"> până în </w:t>
            </w:r>
            <w:r w:rsidRPr="009C5F11">
              <w:rPr>
                <w:rFonts w:ascii="Times New Roman" w:hAnsi="Times New Roman" w:cs="Times New Roman"/>
                <w:sz w:val="18"/>
                <w:szCs w:val="14"/>
                <w:lang w:val="ro-RO" w:eastAsia="de-DE"/>
              </w:rPr>
              <w:t xml:space="preserve">2020 </w:t>
            </w:r>
            <w:r w:rsidR="00F43616" w:rsidRPr="009C5F11">
              <w:rPr>
                <w:rFonts w:ascii="Times New Roman" w:hAnsi="Times New Roman" w:cs="Times New Roman"/>
                <w:sz w:val="18"/>
                <w:szCs w:val="14"/>
                <w:lang w:val="ro-RO" w:eastAsia="de-DE"/>
              </w:rPr>
              <w:t>este</w:t>
            </w:r>
            <w:r w:rsidRPr="009C5F11">
              <w:rPr>
                <w:rFonts w:ascii="Times New Roman" w:hAnsi="Times New Roman" w:cs="Times New Roman"/>
                <w:sz w:val="18"/>
                <w:szCs w:val="14"/>
                <w:lang w:val="ro-RO" w:eastAsia="de-DE"/>
              </w:rPr>
              <w:t xml:space="preserve"> 2016-2019, </w:t>
            </w:r>
            <w:r w:rsidR="00F43616" w:rsidRPr="009C5F11">
              <w:rPr>
                <w:rFonts w:ascii="Times New Roman" w:hAnsi="Times New Roman" w:cs="Times New Roman"/>
                <w:sz w:val="18"/>
                <w:szCs w:val="14"/>
                <w:lang w:val="ro-RO" w:eastAsia="de-DE"/>
              </w:rPr>
              <w:t>adică</w:t>
            </w:r>
            <w:r w:rsidRPr="009C5F11">
              <w:rPr>
                <w:rFonts w:ascii="Times New Roman" w:hAnsi="Times New Roman" w:cs="Times New Roman"/>
                <w:sz w:val="18"/>
                <w:szCs w:val="14"/>
                <w:lang w:val="ro-RO" w:eastAsia="de-DE"/>
              </w:rPr>
              <w:t xml:space="preserve"> 4 </w:t>
            </w:r>
            <w:r w:rsidR="00C639BC" w:rsidRPr="009C5F11">
              <w:rPr>
                <w:rFonts w:ascii="Times New Roman" w:hAnsi="Times New Roman" w:cs="Times New Roman"/>
                <w:sz w:val="18"/>
                <w:szCs w:val="14"/>
                <w:lang w:val="ro-RO" w:eastAsia="de-DE"/>
              </w:rPr>
              <w:t>ani</w:t>
            </w:r>
            <w:r w:rsidR="00F43616" w:rsidRPr="009C5F11">
              <w:rPr>
                <w:rFonts w:ascii="Times New Roman" w:hAnsi="Times New Roman" w:cs="Times New Roman"/>
                <w:sz w:val="18"/>
                <w:szCs w:val="14"/>
                <w:lang w:val="ro-RO" w:eastAsia="de-DE"/>
              </w:rPr>
              <w:t>;</w:t>
            </w:r>
          </w:p>
          <w:p w14:paraId="4C83C703" w14:textId="77777777" w:rsidR="00095C39" w:rsidRPr="009C5F11" w:rsidRDefault="00095C39" w:rsidP="00430626">
            <w:pPr>
              <w:tabs>
                <w:tab w:val="left" w:pos="1440"/>
                <w:tab w:val="left" w:pos="5040"/>
                <w:tab w:val="right" w:pos="8504"/>
              </w:tabs>
              <w:spacing w:after="0" w:line="240" w:lineRule="auto"/>
              <w:ind w:left="106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r>
            <w:r w:rsidR="00F43616" w:rsidRPr="009C5F11">
              <w:rPr>
                <w:rFonts w:ascii="Times New Roman" w:hAnsi="Times New Roman" w:cs="Times New Roman"/>
                <w:sz w:val="18"/>
                <w:szCs w:val="14"/>
                <w:lang w:val="ro-RO" w:eastAsia="de-DE"/>
              </w:rPr>
              <w:t>Stabilirea</w:t>
            </w:r>
            <w:r w:rsidRPr="009C5F11">
              <w:rPr>
                <w:rFonts w:ascii="Times New Roman" w:hAnsi="Times New Roman" w:cs="Times New Roman"/>
                <w:sz w:val="18"/>
                <w:szCs w:val="14"/>
                <w:lang w:val="ro-RO" w:eastAsia="de-DE"/>
              </w:rPr>
              <w:t xml:space="preserve"> </w:t>
            </w:r>
            <w:r w:rsidR="00B40A7C" w:rsidRPr="009C5F11">
              <w:rPr>
                <w:rFonts w:ascii="Times New Roman" w:hAnsi="Times New Roman" w:cs="Times New Roman"/>
                <w:sz w:val="18"/>
                <w:szCs w:val="14"/>
                <w:lang w:val="ro-RO" w:eastAsia="de-DE"/>
              </w:rPr>
              <w:t>obiectivul</w:t>
            </w:r>
            <w:r w:rsidR="00F43616" w:rsidRPr="009C5F11">
              <w:rPr>
                <w:rFonts w:ascii="Times New Roman" w:hAnsi="Times New Roman" w:cs="Times New Roman"/>
                <w:sz w:val="18"/>
                <w:szCs w:val="14"/>
                <w:lang w:val="ro-RO" w:eastAsia="de-DE"/>
              </w:rPr>
              <w:t>ui de</w:t>
            </w:r>
            <w:r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 xml:space="preserve">renovare a </w:t>
            </w:r>
            <w:r w:rsidRPr="009C5F11">
              <w:rPr>
                <w:rFonts w:ascii="Times New Roman" w:hAnsi="Times New Roman" w:cs="Times New Roman"/>
                <w:sz w:val="18"/>
                <w:szCs w:val="14"/>
                <w:lang w:val="ro-RO" w:eastAsia="de-DE"/>
              </w:rPr>
              <w:t xml:space="preserve">1% </w:t>
            </w:r>
            <w:r w:rsidR="00F43616" w:rsidRPr="009C5F11">
              <w:rPr>
                <w:rFonts w:ascii="Times New Roman" w:hAnsi="Times New Roman" w:cs="Times New Roman"/>
                <w:sz w:val="18"/>
                <w:szCs w:val="14"/>
                <w:lang w:val="ro-RO" w:eastAsia="de-DE"/>
              </w:rPr>
              <w:t xml:space="preserve">din suprafaţă pe an va contribui la generarea </w:t>
            </w:r>
            <w:r w:rsidR="00C639BC" w:rsidRPr="009C5F11">
              <w:rPr>
                <w:rFonts w:ascii="Times New Roman" w:hAnsi="Times New Roman" w:cs="Times New Roman"/>
                <w:sz w:val="18"/>
                <w:szCs w:val="14"/>
                <w:lang w:val="ro-RO" w:eastAsia="de-DE"/>
              </w:rPr>
              <w:t>economii</w:t>
            </w:r>
            <w:r w:rsidR="00F43616" w:rsidRPr="009C5F11">
              <w:rPr>
                <w:rFonts w:ascii="Times New Roman" w:hAnsi="Times New Roman" w:cs="Times New Roman"/>
                <w:sz w:val="18"/>
                <w:szCs w:val="14"/>
                <w:lang w:val="ro-RO" w:eastAsia="de-DE"/>
              </w:rPr>
              <w:t>lor</w:t>
            </w:r>
            <w:r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în mărime de</w:t>
            </w:r>
            <w:r w:rsidRPr="009C5F11">
              <w:rPr>
                <w:rFonts w:ascii="Times New Roman" w:hAnsi="Times New Roman" w:cs="Times New Roman"/>
                <w:sz w:val="18"/>
                <w:szCs w:val="14"/>
                <w:lang w:val="ro-RO" w:eastAsia="de-DE"/>
              </w:rPr>
              <w:t xml:space="preserve"> 4 x 2.63 = 10.5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măsurabile</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2020;</w:t>
            </w:r>
          </w:p>
          <w:p w14:paraId="76769C59" w14:textId="77777777" w:rsidR="00095C39" w:rsidRPr="009C5F11" w:rsidRDefault="00095C39" w:rsidP="00430626">
            <w:pPr>
              <w:tabs>
                <w:tab w:val="left" w:pos="1440"/>
                <w:tab w:val="left" w:pos="5040"/>
                <w:tab w:val="right" w:pos="8504"/>
              </w:tabs>
              <w:spacing w:after="0" w:line="240" w:lineRule="auto"/>
              <w:ind w:left="106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r>
            <w:r w:rsidR="00895C7F" w:rsidRPr="009C5F11">
              <w:rPr>
                <w:rFonts w:ascii="Times New Roman" w:hAnsi="Times New Roman" w:cs="Times New Roman"/>
                <w:sz w:val="18"/>
                <w:szCs w:val="14"/>
                <w:lang w:val="ro-RO" w:eastAsia="de-DE"/>
              </w:rPr>
              <w:t>Va fi stabilit un o</w:t>
            </w:r>
            <w:r w:rsidR="00B40A7C" w:rsidRPr="009C5F11">
              <w:rPr>
                <w:rFonts w:ascii="Times New Roman" w:hAnsi="Times New Roman" w:cs="Times New Roman"/>
                <w:sz w:val="18"/>
                <w:szCs w:val="14"/>
                <w:lang w:val="ro-RO" w:eastAsia="de-DE"/>
              </w:rPr>
              <w:t>biectiv</w:t>
            </w:r>
            <w:r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de</w:t>
            </w:r>
            <w:r w:rsidRPr="009C5F11">
              <w:rPr>
                <w:rFonts w:ascii="Times New Roman" w:hAnsi="Times New Roman" w:cs="Times New Roman"/>
                <w:sz w:val="18"/>
                <w:szCs w:val="14"/>
                <w:lang w:val="ro-RO" w:eastAsia="de-DE"/>
              </w:rPr>
              <w:t xml:space="preserve"> 2% pe</w:t>
            </w:r>
            <w:r w:rsidR="00F43616" w:rsidRPr="009C5F11">
              <w:rPr>
                <w:rFonts w:ascii="Times New Roman" w:hAnsi="Times New Roman" w:cs="Times New Roman"/>
                <w:sz w:val="18"/>
                <w:szCs w:val="14"/>
                <w:lang w:val="ro-RO" w:eastAsia="de-DE"/>
              </w:rPr>
              <w:t xml:space="preserve"> an pentru a </w:t>
            </w:r>
            <w:r w:rsidR="006E5B02" w:rsidRPr="009C5F11">
              <w:rPr>
                <w:rFonts w:ascii="Times New Roman" w:hAnsi="Times New Roman" w:cs="Times New Roman"/>
                <w:sz w:val="18"/>
                <w:szCs w:val="14"/>
                <w:lang w:val="ro-RO" w:eastAsia="de-DE"/>
              </w:rPr>
              <w:t>obţine</w:t>
            </w:r>
            <w:r w:rsidR="00F43616"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21 </w:t>
            </w:r>
            <w:r w:rsidR="00E52940" w:rsidRPr="009C5F11">
              <w:rPr>
                <w:rFonts w:ascii="Times New Roman" w:hAnsi="Times New Roman" w:cs="Times New Roman"/>
                <w:sz w:val="18"/>
                <w:szCs w:val="14"/>
                <w:lang w:val="ro-RO" w:eastAsia="de-DE"/>
              </w:rPr>
              <w:t>ktep</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 xml:space="preserve">2020; </w:t>
            </w:r>
          </w:p>
          <w:p w14:paraId="3F58EF81" w14:textId="77777777" w:rsidR="00095C39" w:rsidRPr="009C5F11" w:rsidRDefault="00095C39">
            <w:pPr>
              <w:tabs>
                <w:tab w:val="left" w:pos="1440"/>
                <w:tab w:val="left" w:pos="5040"/>
                <w:tab w:val="right" w:pos="8504"/>
              </w:tabs>
              <w:spacing w:after="0" w:line="240" w:lineRule="auto"/>
              <w:ind w:left="1062" w:hanging="360"/>
              <w:jc w:val="both"/>
              <w:rPr>
                <w:rFonts w:ascii="Times New Roman" w:hAnsi="Times New Roman" w:cs="Times New Roman"/>
                <w:strike/>
                <w:sz w:val="18"/>
                <w:szCs w:val="14"/>
                <w:lang w:val="ro-RO" w:eastAsia="de-DE"/>
              </w:rPr>
            </w:pPr>
            <w:r w:rsidRPr="009C5F11">
              <w:rPr>
                <w:rFonts w:ascii="Times New Roman" w:hAnsi="Times New Roman" w:cs="Times New Roman"/>
                <w:sz w:val="18"/>
                <w:szCs w:val="14"/>
                <w:lang w:val="ro-RO" w:eastAsia="de-DE"/>
              </w:rPr>
              <w:t xml:space="preserve">plus 10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 xml:space="preserve"> </w:t>
            </w:r>
            <w:r w:rsidR="000E55A5" w:rsidRPr="009C5F11">
              <w:rPr>
                <w:rFonts w:ascii="Times New Roman" w:hAnsi="Times New Roman" w:cs="Times New Roman"/>
                <w:sz w:val="18"/>
                <w:szCs w:val="14"/>
                <w:lang w:val="ro-RO" w:eastAsia="de-DE"/>
              </w:rPr>
              <w:t>de mai sus</w:t>
            </w:r>
            <w:r w:rsidRPr="009C5F11">
              <w:rPr>
                <w:rFonts w:ascii="Times New Roman" w:hAnsi="Times New Roman" w:cs="Times New Roman"/>
                <w:sz w:val="18"/>
                <w:szCs w:val="14"/>
                <w:lang w:val="ro-RO" w:eastAsia="de-DE"/>
              </w:rPr>
              <w:t xml:space="preserve">, </w:t>
            </w:r>
            <w:r w:rsidR="00F43616" w:rsidRPr="009C5F11">
              <w:rPr>
                <w:rFonts w:ascii="Times New Roman" w:hAnsi="Times New Roman" w:cs="Times New Roman"/>
                <w:sz w:val="18"/>
                <w:szCs w:val="14"/>
                <w:lang w:val="ro-RO" w:eastAsia="de-DE"/>
              </w:rPr>
              <w:t>în total</w:t>
            </w:r>
            <w:r w:rsidRPr="009C5F11">
              <w:rPr>
                <w:rFonts w:ascii="Times New Roman" w:hAnsi="Times New Roman" w:cs="Times New Roman"/>
                <w:sz w:val="18"/>
                <w:szCs w:val="14"/>
                <w:lang w:val="ro-RO" w:eastAsia="de-DE"/>
              </w:rPr>
              <w:t xml:space="preserve"> 31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w:t>
            </w:r>
          </w:p>
        </w:tc>
      </w:tr>
      <w:tr w:rsidR="00095C39" w:rsidRPr="009C5F11" w14:paraId="13EB3ED8" w14:textId="77777777" w:rsidTr="00095C39">
        <w:trPr>
          <w:trHeight w:val="251"/>
        </w:trPr>
        <w:tc>
          <w:tcPr>
            <w:tcW w:w="796" w:type="pct"/>
            <w:vMerge/>
          </w:tcPr>
          <w:p w14:paraId="70F37F14" w14:textId="77777777" w:rsidR="00095C39" w:rsidRPr="009C5F11" w:rsidRDefault="00095C39"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85" w:type="pct"/>
          </w:tcPr>
          <w:p w14:paraId="485F26AA" w14:textId="77777777" w:rsidR="00095C39"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119" w:type="pct"/>
          </w:tcPr>
          <w:p w14:paraId="055B201A" w14:textId="77777777" w:rsidR="00095C39" w:rsidRPr="009C5F11" w:rsidRDefault="00095C39" w:rsidP="00C63014">
            <w:pPr>
              <w:tabs>
                <w:tab w:val="left" w:pos="1440"/>
                <w:tab w:val="left" w:pos="5040"/>
              </w:tabs>
              <w:spacing w:after="0" w:line="240" w:lineRule="auto"/>
              <w:rPr>
                <w:rFonts w:ascii="Times New Roman" w:hAnsi="Times New Roman" w:cs="Times New Roman"/>
                <w:sz w:val="18"/>
                <w:szCs w:val="14"/>
                <w:lang w:val="ro-RO"/>
              </w:rPr>
            </w:pPr>
          </w:p>
        </w:tc>
      </w:tr>
    </w:tbl>
    <w:p w14:paraId="42D69D31" w14:textId="77777777" w:rsidR="00936847" w:rsidRPr="009C5F11" w:rsidRDefault="00936847" w:rsidP="00936847">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br w:type="page"/>
      </w:r>
    </w:p>
    <w:p w14:paraId="3E592789" w14:textId="77777777" w:rsidR="00936847" w:rsidRPr="009C5F11" w:rsidRDefault="007E1094" w:rsidP="004D5E36">
      <w:pPr>
        <w:pStyle w:val="Titlu4"/>
        <w:rPr>
          <w:rFonts w:ascii="Times New Roman" w:hAnsi="Times New Roman" w:cs="Times New Roman"/>
          <w:sz w:val="28"/>
          <w:lang w:val="ro-RO"/>
        </w:rPr>
      </w:pPr>
      <w:bookmarkStart w:id="193" w:name="_Toc319555400"/>
      <w:bookmarkStart w:id="194" w:name="_Ref319621105"/>
      <w:bookmarkStart w:id="195" w:name="_Toc322013166"/>
      <w:r w:rsidRPr="009C5F11">
        <w:rPr>
          <w:rFonts w:ascii="Times New Roman" w:hAnsi="Times New Roman" w:cs="Times New Roman"/>
          <w:sz w:val="28"/>
          <w:lang w:val="ro-RO"/>
        </w:rPr>
        <w:lastRenderedPageBreak/>
        <w:t>Măsuri în sectorul</w:t>
      </w:r>
      <w:r w:rsidR="002F0B3A" w:rsidRPr="009C5F11">
        <w:rPr>
          <w:rFonts w:ascii="Times New Roman" w:hAnsi="Times New Roman" w:cs="Times New Roman"/>
          <w:sz w:val="28"/>
          <w:lang w:val="ro-RO"/>
        </w:rPr>
        <w:t xml:space="preserve"> public</w:t>
      </w:r>
      <w:bookmarkEnd w:id="193"/>
      <w:bookmarkEnd w:id="194"/>
      <w:bookmarkEnd w:id="195"/>
    </w:p>
    <w:p w14:paraId="7D4E783A" w14:textId="7872A55B" w:rsidR="00936847" w:rsidRPr="009C5F11" w:rsidRDefault="007E1094"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Măsuri</w:t>
      </w:r>
      <w:r w:rsidR="0057369A" w:rsidRPr="009C5F11">
        <w:rPr>
          <w:rFonts w:ascii="Times New Roman" w:hAnsi="Times New Roman" w:cs="Times New Roman"/>
          <w:sz w:val="24"/>
          <w:lang w:val="ro-RO"/>
        </w:rPr>
        <w:t>le di</w:t>
      </w:r>
      <w:r w:rsidRPr="009C5F11">
        <w:rPr>
          <w:rFonts w:ascii="Times New Roman" w:hAnsi="Times New Roman" w:cs="Times New Roman"/>
          <w:sz w:val="24"/>
          <w:lang w:val="ro-RO"/>
        </w:rPr>
        <w:t>n sectorul</w:t>
      </w:r>
      <w:r w:rsidR="00F43616" w:rsidRPr="009C5F11">
        <w:rPr>
          <w:rFonts w:ascii="Times New Roman" w:hAnsi="Times New Roman" w:cs="Times New Roman"/>
          <w:sz w:val="24"/>
          <w:lang w:val="ro-RO"/>
        </w:rPr>
        <w:t xml:space="preserve"> public</w:t>
      </w:r>
      <w:r w:rsidR="00936847" w:rsidRPr="009C5F11">
        <w:rPr>
          <w:rFonts w:ascii="Times New Roman" w:hAnsi="Times New Roman" w:cs="Times New Roman"/>
          <w:sz w:val="24"/>
          <w:lang w:val="ro-RO"/>
        </w:rPr>
        <w:t xml:space="preserve"> includ </w:t>
      </w:r>
      <w:r w:rsidR="00E10BE5" w:rsidRPr="009C5F11">
        <w:rPr>
          <w:rFonts w:ascii="Times New Roman" w:hAnsi="Times New Roman" w:cs="Times New Roman"/>
          <w:sz w:val="24"/>
          <w:lang w:val="ro-RO"/>
        </w:rPr>
        <w:t>măsuri</w:t>
      </w:r>
      <w:r w:rsidR="00321CD5" w:rsidRPr="009C5F11">
        <w:rPr>
          <w:rFonts w:ascii="Times New Roman" w:hAnsi="Times New Roman" w:cs="Times New Roman"/>
          <w:sz w:val="24"/>
          <w:lang w:val="ro-RO"/>
        </w:rPr>
        <w:t xml:space="preserve"> în </w:t>
      </w:r>
      <w:r w:rsidR="00F43616" w:rsidRPr="009C5F11">
        <w:rPr>
          <w:rFonts w:ascii="Times New Roman" w:hAnsi="Times New Roman" w:cs="Times New Roman"/>
          <w:sz w:val="24"/>
          <w:lang w:val="ro-RO"/>
        </w:rPr>
        <w:t>diverse subsectoare</w:t>
      </w:r>
      <w:r w:rsidR="00936847" w:rsidRPr="009C5F11">
        <w:rPr>
          <w:rFonts w:ascii="Times New Roman" w:hAnsi="Times New Roman" w:cs="Times New Roman"/>
          <w:sz w:val="24"/>
          <w:lang w:val="ro-RO"/>
        </w:rPr>
        <w:t xml:space="preserve">, </w:t>
      </w:r>
      <w:r w:rsidR="003826B8" w:rsidRPr="009C5F11">
        <w:rPr>
          <w:rFonts w:ascii="Times New Roman" w:hAnsi="Times New Roman" w:cs="Times New Roman"/>
          <w:sz w:val="24"/>
          <w:lang w:val="ro-RO"/>
        </w:rPr>
        <w:t>cum ar fi</w:t>
      </w:r>
      <w:r w:rsidR="00936847" w:rsidRPr="009C5F11">
        <w:rPr>
          <w:rFonts w:ascii="Times New Roman" w:hAnsi="Times New Roman" w:cs="Times New Roman"/>
          <w:sz w:val="24"/>
          <w:lang w:val="ro-RO"/>
        </w:rPr>
        <w:t xml:space="preserve"> </w:t>
      </w:r>
      <w:r w:rsidR="007F77BE" w:rsidRPr="009C5F11">
        <w:rPr>
          <w:rFonts w:ascii="Times New Roman" w:hAnsi="Times New Roman" w:cs="Times New Roman"/>
          <w:sz w:val="24"/>
          <w:lang w:val="ro-RO"/>
        </w:rPr>
        <w:t>clădirile publice</w:t>
      </w:r>
      <w:r w:rsidR="00936847" w:rsidRPr="009C5F11">
        <w:rPr>
          <w:rFonts w:ascii="Times New Roman" w:hAnsi="Times New Roman" w:cs="Times New Roman"/>
          <w:sz w:val="24"/>
          <w:lang w:val="ro-RO"/>
        </w:rPr>
        <w:t xml:space="preserve">, </w:t>
      </w:r>
      <w:r w:rsidR="00F43616" w:rsidRPr="009C5F11">
        <w:rPr>
          <w:rFonts w:ascii="Times New Roman" w:hAnsi="Times New Roman" w:cs="Times New Roman"/>
          <w:sz w:val="24"/>
          <w:lang w:val="ro-RO"/>
        </w:rPr>
        <w:t>iluminatul stradal</w:t>
      </w:r>
      <w:r w:rsidR="00321CD5" w:rsidRPr="009C5F11">
        <w:rPr>
          <w:rFonts w:ascii="Times New Roman" w:hAnsi="Times New Roman" w:cs="Times New Roman"/>
          <w:sz w:val="24"/>
          <w:lang w:val="ro-RO"/>
        </w:rPr>
        <w:t xml:space="preserve"> şi </w:t>
      </w:r>
      <w:r w:rsidR="00F43616" w:rsidRPr="009C5F11">
        <w:rPr>
          <w:rFonts w:ascii="Times New Roman" w:hAnsi="Times New Roman" w:cs="Times New Roman"/>
          <w:sz w:val="24"/>
          <w:lang w:val="ro-RO"/>
        </w:rPr>
        <w:t xml:space="preserve">infrastructura </w:t>
      </w:r>
      <w:r w:rsidR="009346F6" w:rsidRPr="009C5F11">
        <w:rPr>
          <w:rFonts w:ascii="Times New Roman" w:hAnsi="Times New Roman" w:cs="Times New Roman"/>
          <w:sz w:val="24"/>
          <w:lang w:val="ro-RO"/>
        </w:rPr>
        <w:t xml:space="preserve">de alimentare cu </w:t>
      </w:r>
      <w:r w:rsidR="0057369A" w:rsidRPr="009C5F11">
        <w:rPr>
          <w:rFonts w:ascii="Times New Roman" w:hAnsi="Times New Roman" w:cs="Times New Roman"/>
          <w:sz w:val="24"/>
          <w:lang w:val="ro-RO"/>
        </w:rPr>
        <w:t>ap</w:t>
      </w:r>
      <w:r w:rsidR="009346F6" w:rsidRPr="009C5F11">
        <w:rPr>
          <w:rFonts w:ascii="Times New Roman" w:hAnsi="Times New Roman" w:cs="Times New Roman"/>
          <w:sz w:val="24"/>
          <w:lang w:val="ro-RO"/>
        </w:rPr>
        <w:t>a</w:t>
      </w:r>
      <w:r w:rsidR="00936847"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Sumarul informaţiilor privind măsurile</w:t>
      </w:r>
      <w:r w:rsidR="00F05C25"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este prezentat în</w:t>
      </w:r>
      <w:r w:rsidR="00F05C25"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F05C25" w:rsidRPr="009C5F11">
        <w:rPr>
          <w:rFonts w:ascii="Times New Roman" w:hAnsi="Times New Roman" w:cs="Times New Roman"/>
          <w:sz w:val="24"/>
          <w:lang w:val="ro-RO"/>
        </w:rPr>
        <w:instrText xml:space="preserve"> REF _Ref319621666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18</w:t>
      </w:r>
      <w:r w:rsidR="003A6ADB" w:rsidRPr="009C5F11">
        <w:rPr>
          <w:rFonts w:ascii="Times New Roman" w:hAnsi="Times New Roman" w:cs="Times New Roman"/>
          <w:sz w:val="24"/>
          <w:lang w:val="ro-RO"/>
        </w:rPr>
        <w:fldChar w:fldCharType="end"/>
      </w:r>
      <w:r w:rsidR="00936847"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de mai jos</w:t>
      </w:r>
      <w:r w:rsidR="00936847" w:rsidRPr="009C5F11">
        <w:rPr>
          <w:rFonts w:ascii="Times New Roman" w:hAnsi="Times New Roman" w:cs="Times New Roman"/>
          <w:sz w:val="24"/>
          <w:lang w:val="ro-RO"/>
        </w:rPr>
        <w:t xml:space="preserve">. </w:t>
      </w:r>
      <w:r w:rsidR="00D518F0" w:rsidRPr="009C5F11">
        <w:rPr>
          <w:rFonts w:ascii="Times New Roman" w:hAnsi="Times New Roman" w:cs="Times New Roman"/>
          <w:sz w:val="24"/>
          <w:lang w:val="ro-RO"/>
        </w:rPr>
        <w:t>Măsuri</w:t>
      </w:r>
      <w:r w:rsidR="004A7A66" w:rsidRPr="009C5F11">
        <w:rPr>
          <w:rFonts w:ascii="Times New Roman" w:hAnsi="Times New Roman" w:cs="Times New Roman"/>
          <w:sz w:val="24"/>
          <w:lang w:val="ro-RO"/>
        </w:rPr>
        <w:t>le</w:t>
      </w:r>
      <w:r w:rsidR="00936847" w:rsidRPr="009C5F11">
        <w:rPr>
          <w:rFonts w:ascii="Times New Roman" w:hAnsi="Times New Roman" w:cs="Times New Roman"/>
          <w:sz w:val="24"/>
          <w:lang w:val="ro-RO"/>
        </w:rPr>
        <w:t xml:space="preserve"> </w:t>
      </w:r>
      <w:r w:rsidR="004A7A66" w:rsidRPr="009C5F11">
        <w:rPr>
          <w:rFonts w:ascii="Times New Roman" w:hAnsi="Times New Roman" w:cs="Times New Roman"/>
          <w:sz w:val="24"/>
          <w:lang w:val="ro-RO"/>
        </w:rPr>
        <w:t>pentru transportul public</w:t>
      </w:r>
      <w:r w:rsidR="00936847" w:rsidRPr="009C5F11">
        <w:rPr>
          <w:rFonts w:ascii="Times New Roman" w:hAnsi="Times New Roman" w:cs="Times New Roman"/>
          <w:sz w:val="24"/>
          <w:lang w:val="ro-RO"/>
        </w:rPr>
        <w:t xml:space="preserve"> </w:t>
      </w:r>
      <w:r w:rsidR="004A7A66" w:rsidRPr="009C5F11">
        <w:rPr>
          <w:rFonts w:ascii="Times New Roman" w:hAnsi="Times New Roman" w:cs="Times New Roman"/>
          <w:sz w:val="24"/>
          <w:lang w:val="ro-RO"/>
        </w:rPr>
        <w:t>sunt descrise în</w:t>
      </w:r>
      <w:r w:rsidR="00F05C25" w:rsidRPr="009C5F11">
        <w:rPr>
          <w:rFonts w:ascii="Times New Roman" w:hAnsi="Times New Roman" w:cs="Times New Roman"/>
          <w:sz w:val="24"/>
          <w:lang w:val="ro-RO"/>
        </w:rPr>
        <w:t xml:space="preserve"> </w:t>
      </w:r>
      <w:r w:rsidR="005619E4" w:rsidRPr="009C5F11">
        <w:rPr>
          <w:rFonts w:ascii="Times New Roman" w:hAnsi="Times New Roman" w:cs="Times New Roman"/>
          <w:sz w:val="24"/>
          <w:lang w:val="ro-RO"/>
        </w:rPr>
        <w:t>Secţiunea</w:t>
      </w:r>
      <w:r w:rsidR="00936847"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F05C25" w:rsidRPr="009C5F11">
        <w:rPr>
          <w:rFonts w:ascii="Times New Roman" w:hAnsi="Times New Roman" w:cs="Times New Roman"/>
          <w:sz w:val="24"/>
          <w:lang w:val="ro-RO"/>
        </w:rPr>
        <w:instrText xml:space="preserve"> REF _Ref319621684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3.3.2.5</w:t>
      </w:r>
      <w:r w:rsidR="003A6ADB" w:rsidRPr="009C5F11">
        <w:rPr>
          <w:rFonts w:ascii="Times New Roman" w:hAnsi="Times New Roman" w:cs="Times New Roman"/>
          <w:sz w:val="24"/>
          <w:lang w:val="ro-RO"/>
        </w:rPr>
        <w:fldChar w:fldCharType="end"/>
      </w:r>
      <w:r w:rsidR="00936847" w:rsidRPr="009C5F11">
        <w:rPr>
          <w:rFonts w:ascii="Times New Roman" w:hAnsi="Times New Roman" w:cs="Times New Roman"/>
          <w:sz w:val="24"/>
          <w:lang w:val="ro-RO"/>
        </w:rPr>
        <w:t xml:space="preserve"> dedic</w:t>
      </w:r>
      <w:r w:rsidR="009346F6" w:rsidRPr="009C5F11">
        <w:rPr>
          <w:rFonts w:ascii="Times New Roman" w:hAnsi="Times New Roman" w:cs="Times New Roman"/>
          <w:sz w:val="24"/>
          <w:lang w:val="ro-RO"/>
        </w:rPr>
        <w:t>at</w:t>
      </w:r>
      <w:r w:rsidR="004A7A66" w:rsidRPr="009C5F11">
        <w:rPr>
          <w:rFonts w:ascii="Times New Roman" w:hAnsi="Times New Roman" w:cs="Times New Roman"/>
          <w:sz w:val="24"/>
          <w:lang w:val="ro-RO"/>
        </w:rPr>
        <w:t>ă</w:t>
      </w:r>
      <w:r w:rsidR="00936847" w:rsidRPr="009C5F11">
        <w:rPr>
          <w:rFonts w:ascii="Times New Roman" w:hAnsi="Times New Roman" w:cs="Times New Roman"/>
          <w:sz w:val="24"/>
          <w:lang w:val="ro-RO"/>
        </w:rPr>
        <w:t xml:space="preserve"> </w:t>
      </w:r>
      <w:r w:rsidR="00204033" w:rsidRPr="009C5F11">
        <w:rPr>
          <w:rFonts w:ascii="Times New Roman" w:hAnsi="Times New Roman" w:cs="Times New Roman"/>
          <w:sz w:val="24"/>
          <w:lang w:val="ro-RO"/>
        </w:rPr>
        <w:t>Sectorul</w:t>
      </w:r>
      <w:r w:rsidR="004A7A66" w:rsidRPr="009C5F11">
        <w:rPr>
          <w:rFonts w:ascii="Times New Roman" w:hAnsi="Times New Roman" w:cs="Times New Roman"/>
          <w:sz w:val="24"/>
          <w:lang w:val="ro-RO"/>
        </w:rPr>
        <w:t>ui</w:t>
      </w:r>
      <w:r w:rsidR="00204033" w:rsidRPr="009C5F11">
        <w:rPr>
          <w:rFonts w:ascii="Times New Roman" w:hAnsi="Times New Roman" w:cs="Times New Roman"/>
          <w:sz w:val="24"/>
          <w:lang w:val="ro-RO"/>
        </w:rPr>
        <w:t xml:space="preserve"> </w:t>
      </w:r>
      <w:r w:rsidR="000E55A5" w:rsidRPr="009C5F11">
        <w:rPr>
          <w:rFonts w:ascii="Times New Roman" w:hAnsi="Times New Roman" w:cs="Times New Roman"/>
          <w:sz w:val="24"/>
          <w:lang w:val="ro-RO"/>
        </w:rPr>
        <w:t>de mobilitate/</w:t>
      </w:r>
      <w:r w:rsidR="00204033" w:rsidRPr="009C5F11">
        <w:rPr>
          <w:rFonts w:ascii="Times New Roman" w:hAnsi="Times New Roman" w:cs="Times New Roman"/>
          <w:sz w:val="24"/>
          <w:lang w:val="ro-RO"/>
        </w:rPr>
        <w:t>transporturi</w:t>
      </w:r>
      <w:r w:rsidR="00936847" w:rsidRPr="009C5F11">
        <w:rPr>
          <w:rFonts w:ascii="Times New Roman" w:hAnsi="Times New Roman" w:cs="Times New Roman"/>
          <w:sz w:val="24"/>
          <w:lang w:val="ro-RO"/>
        </w:rPr>
        <w:t>.</w:t>
      </w:r>
    </w:p>
    <w:p w14:paraId="46673185" w14:textId="77777777" w:rsidR="00ED5F2B" w:rsidRPr="009C5F11" w:rsidRDefault="00ED5F2B" w:rsidP="005D6395">
      <w:pPr>
        <w:spacing w:before="120" w:after="120" w:line="240" w:lineRule="auto"/>
        <w:jc w:val="both"/>
        <w:textAlignment w:val="baseline"/>
        <w:rPr>
          <w:rFonts w:ascii="Times New Roman" w:hAnsi="Times New Roman" w:cs="Times New Roman"/>
          <w:sz w:val="24"/>
          <w:lang w:val="ro-RO"/>
        </w:rPr>
      </w:pPr>
    </w:p>
    <w:p w14:paraId="7FE39D3E" w14:textId="77777777" w:rsidR="00936847" w:rsidRPr="009C5F11" w:rsidRDefault="00321CD5" w:rsidP="00C05D35">
      <w:pPr>
        <w:pStyle w:val="Legend"/>
        <w:keepNext/>
        <w:spacing w:after="120"/>
        <w:jc w:val="center"/>
        <w:rPr>
          <w:rFonts w:ascii="Times New Roman" w:hAnsi="Times New Roman" w:cs="Times New Roman"/>
          <w:sz w:val="22"/>
          <w:lang w:val="ro-RO"/>
        </w:rPr>
      </w:pPr>
      <w:bookmarkStart w:id="196" w:name="_Ref319621666"/>
      <w:bookmarkStart w:id="197" w:name="_Toc322013241"/>
      <w:r w:rsidRPr="009C5F11">
        <w:rPr>
          <w:rFonts w:ascii="Times New Roman" w:hAnsi="Times New Roman" w:cs="Times New Roman"/>
          <w:sz w:val="22"/>
          <w:lang w:val="ro-RO"/>
        </w:rPr>
        <w:t>Tabelul</w:t>
      </w:r>
      <w:r w:rsidR="00936847"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936847"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18</w:t>
      </w:r>
      <w:r w:rsidR="003A6ADB" w:rsidRPr="009C5F11">
        <w:rPr>
          <w:rFonts w:ascii="Times New Roman" w:hAnsi="Times New Roman" w:cs="Times New Roman"/>
          <w:sz w:val="22"/>
          <w:lang w:val="ro-RO"/>
        </w:rPr>
        <w:fldChar w:fldCharType="end"/>
      </w:r>
      <w:bookmarkEnd w:id="196"/>
      <w:r w:rsidR="00A31EAA" w:rsidRPr="009C5F11">
        <w:rPr>
          <w:rFonts w:ascii="Times New Roman" w:hAnsi="Times New Roman" w:cs="Times New Roman"/>
          <w:sz w:val="22"/>
          <w:lang w:val="ro-RO"/>
        </w:rPr>
        <w:t xml:space="preserve"> -</w:t>
      </w:r>
      <w:r w:rsidR="00936847" w:rsidRPr="009C5F11">
        <w:rPr>
          <w:rFonts w:ascii="Times New Roman" w:hAnsi="Times New Roman" w:cs="Times New Roman"/>
          <w:sz w:val="22"/>
          <w:lang w:val="ro-RO"/>
        </w:rPr>
        <w:t xml:space="preserve"> </w:t>
      </w:r>
      <w:r w:rsidR="004D0283" w:rsidRPr="009C5F11">
        <w:rPr>
          <w:rFonts w:ascii="Times New Roman" w:hAnsi="Times New Roman" w:cs="Times New Roman"/>
          <w:sz w:val="22"/>
          <w:lang w:val="ro-RO"/>
        </w:rPr>
        <w:t>Privire de ansamblu</w:t>
      </w:r>
      <w:r w:rsidR="00936847" w:rsidRPr="009C5F11">
        <w:rPr>
          <w:rFonts w:ascii="Times New Roman" w:hAnsi="Times New Roman" w:cs="Times New Roman"/>
          <w:sz w:val="22"/>
          <w:lang w:val="ro-RO"/>
        </w:rPr>
        <w:t xml:space="preserve"> </w:t>
      </w:r>
      <w:r w:rsidR="00E46DD7" w:rsidRPr="009C5F11">
        <w:rPr>
          <w:rFonts w:ascii="Times New Roman" w:hAnsi="Times New Roman" w:cs="Times New Roman"/>
          <w:sz w:val="22"/>
          <w:lang w:val="ro-RO"/>
        </w:rPr>
        <w:t>a măsurilor individuale din</w:t>
      </w:r>
      <w:r w:rsidRPr="009C5F11">
        <w:rPr>
          <w:rFonts w:ascii="Times New Roman" w:hAnsi="Times New Roman" w:cs="Times New Roman"/>
          <w:sz w:val="22"/>
          <w:lang w:val="ro-RO"/>
        </w:rPr>
        <w:t xml:space="preserve"> </w:t>
      </w:r>
      <w:r w:rsidR="002F0B3A" w:rsidRPr="009C5F11">
        <w:rPr>
          <w:rFonts w:ascii="Times New Roman" w:hAnsi="Times New Roman" w:cs="Times New Roman"/>
          <w:sz w:val="22"/>
          <w:lang w:val="ro-RO"/>
        </w:rPr>
        <w:t>sectorul public</w:t>
      </w:r>
      <w:r w:rsidR="000E55A5" w:rsidRPr="009C5F11">
        <w:rPr>
          <w:rFonts w:ascii="Times New Roman" w:hAnsi="Times New Roman" w:cs="Times New Roman"/>
          <w:sz w:val="22"/>
          <w:lang w:val="ro-RO"/>
        </w:rPr>
        <w:t>.</w:t>
      </w:r>
      <w:bookmarkEnd w:id="197"/>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A0" w:firstRow="1" w:lastRow="0" w:firstColumn="1" w:lastColumn="0" w:noHBand="0" w:noVBand="0"/>
      </w:tblPr>
      <w:tblGrid>
        <w:gridCol w:w="531"/>
        <w:gridCol w:w="1924"/>
        <w:gridCol w:w="1361"/>
        <w:gridCol w:w="1186"/>
        <w:gridCol w:w="991"/>
        <w:gridCol w:w="991"/>
        <w:gridCol w:w="1083"/>
        <w:gridCol w:w="1176"/>
      </w:tblGrid>
      <w:tr w:rsidR="00936847" w:rsidRPr="009C5F11" w14:paraId="14A5F04B" w14:textId="77777777" w:rsidTr="00BF6432">
        <w:tc>
          <w:tcPr>
            <w:tcW w:w="300" w:type="pct"/>
            <w:shd w:val="clear" w:color="auto" w:fill="000080"/>
          </w:tcPr>
          <w:p w14:paraId="5A14633C" w14:textId="77777777" w:rsidR="00936847" w:rsidRPr="009C5F11" w:rsidRDefault="00D55D28"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nr.</w:t>
            </w:r>
          </w:p>
        </w:tc>
        <w:tc>
          <w:tcPr>
            <w:tcW w:w="1054" w:type="pct"/>
            <w:shd w:val="clear" w:color="auto" w:fill="000080"/>
          </w:tcPr>
          <w:p w14:paraId="5B2FDD9F" w14:textId="77777777" w:rsidR="00936847" w:rsidRPr="009C5F11" w:rsidRDefault="0094635F"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Denumirea măsurii de economisire a energiei</w:t>
            </w:r>
            <w:r w:rsidR="00936847" w:rsidRPr="009C5F11">
              <w:rPr>
                <w:rFonts w:ascii="Times New Roman" w:hAnsi="Times New Roman" w:cs="Times New Roman"/>
                <w:b/>
                <w:sz w:val="18"/>
                <w:szCs w:val="14"/>
                <w:lang w:val="ro-RO"/>
              </w:rPr>
              <w:br/>
            </w:r>
          </w:p>
        </w:tc>
        <w:tc>
          <w:tcPr>
            <w:tcW w:w="749" w:type="pct"/>
            <w:shd w:val="clear" w:color="auto" w:fill="000080"/>
          </w:tcPr>
          <w:p w14:paraId="5655FB05" w14:textId="77777777" w:rsidR="00936847" w:rsidRPr="009C5F11" w:rsidRDefault="00204033"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Utilizatorul final vizat</w:t>
            </w:r>
          </w:p>
        </w:tc>
        <w:tc>
          <w:tcPr>
            <w:tcW w:w="549" w:type="pct"/>
            <w:shd w:val="clear" w:color="auto" w:fill="000080"/>
          </w:tcPr>
          <w:p w14:paraId="3B8BDBFD" w14:textId="77777777" w:rsidR="00936847" w:rsidRPr="009C5F11" w:rsidRDefault="00204033"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Durata</w:t>
            </w:r>
          </w:p>
        </w:tc>
        <w:tc>
          <w:tcPr>
            <w:tcW w:w="549" w:type="pct"/>
            <w:shd w:val="clear" w:color="auto" w:fill="000080"/>
          </w:tcPr>
          <w:p w14:paraId="7F834555" w14:textId="77777777" w:rsidR="00936847" w:rsidRPr="009C5F11" w:rsidRDefault="00204033"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obţinute</w:t>
            </w:r>
            <w:r w:rsidR="00321CD5" w:rsidRPr="009C5F11">
              <w:rPr>
                <w:rFonts w:ascii="Times New Roman" w:hAnsi="Times New Roman" w:cs="Times New Roman"/>
                <w:b/>
                <w:sz w:val="18"/>
                <w:szCs w:val="14"/>
                <w:lang w:val="ro-RO"/>
              </w:rPr>
              <w:t xml:space="preserve"> în </w:t>
            </w:r>
            <w:r w:rsidR="00936847" w:rsidRPr="009C5F11">
              <w:rPr>
                <w:rFonts w:ascii="Times New Roman" w:hAnsi="Times New Roman" w:cs="Times New Roman"/>
                <w:b/>
                <w:sz w:val="18"/>
                <w:szCs w:val="14"/>
                <w:lang w:val="ro-RO"/>
              </w:rPr>
              <w:t>2016 (</w:t>
            </w:r>
            <w:r w:rsidR="00E52940" w:rsidRPr="009C5F11">
              <w:rPr>
                <w:rFonts w:ascii="Times New Roman" w:hAnsi="Times New Roman" w:cs="Times New Roman"/>
                <w:b/>
                <w:sz w:val="18"/>
                <w:szCs w:val="14"/>
                <w:lang w:val="ro-RO"/>
              </w:rPr>
              <w:t>ktep</w:t>
            </w:r>
            <w:r w:rsidR="00936847" w:rsidRPr="009C5F11">
              <w:rPr>
                <w:rFonts w:ascii="Times New Roman" w:hAnsi="Times New Roman" w:cs="Times New Roman"/>
                <w:b/>
                <w:sz w:val="18"/>
                <w:szCs w:val="14"/>
                <w:lang w:val="ro-RO"/>
              </w:rPr>
              <w:t>)</w:t>
            </w:r>
          </w:p>
        </w:tc>
        <w:tc>
          <w:tcPr>
            <w:tcW w:w="549" w:type="pct"/>
            <w:shd w:val="clear" w:color="auto" w:fill="000080"/>
          </w:tcPr>
          <w:p w14:paraId="6A07D892" w14:textId="77777777" w:rsidR="00936847" w:rsidRPr="009C5F11" w:rsidRDefault="00204033"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prevăzute</w:t>
            </w:r>
            <w:r w:rsidR="00321CD5" w:rsidRPr="009C5F11">
              <w:rPr>
                <w:rFonts w:ascii="Times New Roman" w:hAnsi="Times New Roman" w:cs="Times New Roman"/>
                <w:b/>
                <w:sz w:val="18"/>
                <w:szCs w:val="14"/>
                <w:lang w:val="ro-RO"/>
              </w:rPr>
              <w:t xml:space="preserve"> în </w:t>
            </w:r>
            <w:r w:rsidR="00936847" w:rsidRPr="009C5F11">
              <w:rPr>
                <w:rFonts w:ascii="Times New Roman" w:hAnsi="Times New Roman" w:cs="Times New Roman"/>
                <w:b/>
                <w:sz w:val="18"/>
                <w:szCs w:val="14"/>
                <w:lang w:val="ro-RO"/>
              </w:rPr>
              <w:t>2020 (</w:t>
            </w:r>
            <w:r w:rsidR="00E52940" w:rsidRPr="009C5F11">
              <w:rPr>
                <w:rFonts w:ascii="Times New Roman" w:hAnsi="Times New Roman" w:cs="Times New Roman"/>
                <w:b/>
                <w:sz w:val="18"/>
                <w:szCs w:val="14"/>
                <w:lang w:val="ro-RO"/>
              </w:rPr>
              <w:t>ktep</w:t>
            </w:r>
            <w:r w:rsidR="00936847" w:rsidRPr="009C5F11">
              <w:rPr>
                <w:rFonts w:ascii="Times New Roman" w:hAnsi="Times New Roman" w:cs="Times New Roman"/>
                <w:b/>
                <w:sz w:val="18"/>
                <w:szCs w:val="14"/>
                <w:lang w:val="ro-RO"/>
              </w:rPr>
              <w:t>)</w:t>
            </w:r>
          </w:p>
        </w:tc>
        <w:tc>
          <w:tcPr>
            <w:tcW w:w="599" w:type="pct"/>
            <w:shd w:val="clear" w:color="auto" w:fill="000080"/>
          </w:tcPr>
          <w:p w14:paraId="4A0C3B45" w14:textId="77777777" w:rsidR="00936847" w:rsidRPr="009C5F11" w:rsidRDefault="00204033"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Situaţia în raport cu primul PNAEE</w:t>
            </w:r>
          </w:p>
        </w:tc>
        <w:tc>
          <w:tcPr>
            <w:tcW w:w="649" w:type="pct"/>
            <w:shd w:val="clear" w:color="auto" w:fill="000080"/>
          </w:tcPr>
          <w:p w14:paraId="524AA4ED" w14:textId="77777777" w:rsidR="00936847" w:rsidRPr="009C5F11" w:rsidRDefault="00204033"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Comentarii adiţionale</w:t>
            </w:r>
          </w:p>
        </w:tc>
      </w:tr>
      <w:tr w:rsidR="00936847" w:rsidRPr="009C5F11" w14:paraId="43BE2414" w14:textId="77777777" w:rsidTr="00BF6432">
        <w:tc>
          <w:tcPr>
            <w:tcW w:w="300" w:type="pct"/>
            <w:shd w:val="clear" w:color="auto" w:fill="99CCFF"/>
          </w:tcPr>
          <w:p w14:paraId="3D0018B4"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P.1.</w:t>
            </w:r>
          </w:p>
        </w:tc>
        <w:tc>
          <w:tcPr>
            <w:tcW w:w="1054" w:type="pct"/>
            <w:shd w:val="clear" w:color="auto" w:fill="99CCFF"/>
          </w:tcPr>
          <w:p w14:paraId="47C098B7" w14:textId="77777777" w:rsidR="00936847" w:rsidRPr="009C5F11" w:rsidRDefault="00FD5F1C"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Îmbunătăţirea eficienţei energetice</w:t>
            </w:r>
            <w:r w:rsidR="00321CD5" w:rsidRPr="009C5F11">
              <w:rPr>
                <w:rFonts w:ascii="Times New Roman" w:hAnsi="Times New Roman" w:cs="Times New Roman"/>
                <w:sz w:val="18"/>
                <w:szCs w:val="14"/>
                <w:lang w:val="ro-RO"/>
              </w:rPr>
              <w:t xml:space="preserve"> în </w:t>
            </w:r>
            <w:r w:rsidR="0057369A" w:rsidRPr="009C5F11">
              <w:rPr>
                <w:rFonts w:ascii="Times New Roman" w:hAnsi="Times New Roman" w:cs="Times New Roman"/>
                <w:sz w:val="18"/>
                <w:szCs w:val="14"/>
                <w:lang w:val="ro-RO"/>
              </w:rPr>
              <w:t>sectorul construcţiilor publice</w:t>
            </w:r>
            <w:r w:rsidR="000E55A5" w:rsidRPr="009C5F11">
              <w:rPr>
                <w:rFonts w:ascii="Times New Roman" w:hAnsi="Times New Roman" w:cs="Times New Roman"/>
                <w:sz w:val="18"/>
                <w:szCs w:val="14"/>
                <w:lang w:val="ro-RO"/>
              </w:rPr>
              <w:t>.</w:t>
            </w:r>
          </w:p>
        </w:tc>
        <w:tc>
          <w:tcPr>
            <w:tcW w:w="749" w:type="pct"/>
            <w:shd w:val="clear" w:color="auto" w:fill="99CCFF"/>
          </w:tcPr>
          <w:p w14:paraId="42AF90D4" w14:textId="77777777" w:rsidR="00936847" w:rsidRPr="009C5F11" w:rsidRDefault="005D06FD" w:rsidP="00350017">
            <w:pPr>
              <w:spacing w:before="40" w:after="4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 publice</w:t>
            </w:r>
          </w:p>
          <w:p w14:paraId="6453E184" w14:textId="77777777" w:rsidR="00936847" w:rsidRPr="009C5F11" w:rsidRDefault="004A7A66"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Încălzirea instituţiilor publice</w:t>
            </w:r>
          </w:p>
        </w:tc>
        <w:tc>
          <w:tcPr>
            <w:tcW w:w="549" w:type="pct"/>
            <w:shd w:val="clear" w:color="auto" w:fill="99CCFF"/>
          </w:tcPr>
          <w:p w14:paraId="00FF7041"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r w:rsidR="009B74AF" w:rsidRPr="009C5F11">
              <w:rPr>
                <w:rFonts w:ascii="Times New Roman" w:hAnsi="Times New Roman" w:cs="Times New Roman"/>
                <w:sz w:val="18"/>
                <w:szCs w:val="14"/>
                <w:lang w:val="ro-RO"/>
              </w:rPr>
              <w:t xml:space="preserve"> -</w:t>
            </w:r>
          </w:p>
          <w:p w14:paraId="62822549"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31/12/18</w:t>
            </w:r>
          </w:p>
        </w:tc>
        <w:tc>
          <w:tcPr>
            <w:tcW w:w="549" w:type="pct"/>
            <w:shd w:val="clear" w:color="auto" w:fill="99CCFF"/>
          </w:tcPr>
          <w:p w14:paraId="35DD39CA"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17.66</w:t>
            </w:r>
          </w:p>
        </w:tc>
        <w:tc>
          <w:tcPr>
            <w:tcW w:w="549" w:type="pct"/>
            <w:shd w:val="clear" w:color="auto" w:fill="99CCFF"/>
          </w:tcPr>
          <w:p w14:paraId="02FEB847"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47.09</w:t>
            </w:r>
          </w:p>
        </w:tc>
        <w:tc>
          <w:tcPr>
            <w:tcW w:w="599" w:type="pct"/>
            <w:shd w:val="clear" w:color="auto" w:fill="99CCFF"/>
          </w:tcPr>
          <w:p w14:paraId="00F0309F" w14:textId="77777777" w:rsidR="00936847" w:rsidRPr="009C5F11" w:rsidRDefault="00204033"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Continuă</w:t>
            </w:r>
            <w:r w:rsidR="000E55A5" w:rsidRPr="009C5F11">
              <w:rPr>
                <w:rFonts w:ascii="Times New Roman" w:hAnsi="Times New Roman" w:cs="Times New Roman"/>
                <w:sz w:val="18"/>
                <w:szCs w:val="14"/>
                <w:lang w:val="ro-RO"/>
              </w:rPr>
              <w:t>, însă limitează sfera de aplicare a măsurii prevăzut</w:t>
            </w:r>
            <w:r w:rsidR="009B74AF" w:rsidRPr="009C5F11">
              <w:rPr>
                <w:rFonts w:ascii="Times New Roman" w:hAnsi="Times New Roman" w:cs="Times New Roman"/>
                <w:sz w:val="18"/>
                <w:szCs w:val="14"/>
                <w:lang w:val="ro-RO"/>
              </w:rPr>
              <w:t>e</w:t>
            </w:r>
            <w:r w:rsidR="000E55A5" w:rsidRPr="009C5F11">
              <w:rPr>
                <w:rFonts w:ascii="Times New Roman" w:hAnsi="Times New Roman" w:cs="Times New Roman"/>
                <w:sz w:val="18"/>
                <w:szCs w:val="14"/>
                <w:lang w:val="ro-RO"/>
              </w:rPr>
              <w:t xml:space="preserve"> în primul </w:t>
            </w:r>
            <w:r w:rsidR="00872DC2" w:rsidRPr="009C5F11">
              <w:rPr>
                <w:rFonts w:ascii="Times New Roman" w:hAnsi="Times New Roman" w:cs="Times New Roman"/>
                <w:sz w:val="18"/>
                <w:szCs w:val="14"/>
                <w:lang w:val="ro-RO"/>
              </w:rPr>
              <w:t>PNAEE</w:t>
            </w:r>
            <w:r w:rsidR="000E55A5" w:rsidRPr="009C5F11">
              <w:rPr>
                <w:rFonts w:ascii="Times New Roman" w:hAnsi="Times New Roman" w:cs="Times New Roman"/>
                <w:sz w:val="18"/>
                <w:szCs w:val="14"/>
                <w:lang w:val="ro-RO"/>
              </w:rPr>
              <w:t>.</w:t>
            </w:r>
            <w:r w:rsidR="00936847" w:rsidRPr="009C5F11">
              <w:rPr>
                <w:rFonts w:ascii="Times New Roman" w:hAnsi="Times New Roman" w:cs="Times New Roman"/>
                <w:sz w:val="18"/>
                <w:szCs w:val="14"/>
                <w:lang w:val="ro-RO"/>
              </w:rPr>
              <w:t xml:space="preserve"> </w:t>
            </w:r>
          </w:p>
        </w:tc>
        <w:tc>
          <w:tcPr>
            <w:tcW w:w="649" w:type="pct"/>
            <w:shd w:val="clear" w:color="auto" w:fill="99CCFF"/>
          </w:tcPr>
          <w:p w14:paraId="1985F96A" w14:textId="77777777" w:rsidR="00936847" w:rsidRPr="009C5F11" w:rsidRDefault="00936847" w:rsidP="00350017">
            <w:pPr>
              <w:spacing w:before="40" w:after="40" w:line="240" w:lineRule="auto"/>
              <w:rPr>
                <w:rFonts w:ascii="Times New Roman" w:hAnsi="Times New Roman" w:cs="Times New Roman"/>
                <w:sz w:val="18"/>
                <w:szCs w:val="14"/>
                <w:lang w:val="ro-RO"/>
              </w:rPr>
            </w:pPr>
          </w:p>
        </w:tc>
      </w:tr>
      <w:tr w:rsidR="00936847" w:rsidRPr="009C5F11" w14:paraId="724BA3C1" w14:textId="77777777" w:rsidTr="00BF6432">
        <w:tc>
          <w:tcPr>
            <w:tcW w:w="300" w:type="pct"/>
            <w:shd w:val="clear" w:color="auto" w:fill="99CCFF"/>
          </w:tcPr>
          <w:p w14:paraId="707AF267"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P.2.</w:t>
            </w:r>
          </w:p>
        </w:tc>
        <w:tc>
          <w:tcPr>
            <w:tcW w:w="1054" w:type="pct"/>
            <w:shd w:val="clear" w:color="auto" w:fill="99CCFF"/>
          </w:tcPr>
          <w:p w14:paraId="37B2555A" w14:textId="77777777" w:rsidR="00936847" w:rsidRPr="009C5F11" w:rsidRDefault="00BD0963"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Eficientizarea energetică a iluminatului</w:t>
            </w:r>
            <w:r w:rsidR="00FD5F1C" w:rsidRPr="009C5F11">
              <w:rPr>
                <w:rFonts w:ascii="Times New Roman" w:hAnsi="Times New Roman" w:cs="Times New Roman"/>
                <w:sz w:val="18"/>
                <w:szCs w:val="14"/>
                <w:lang w:val="ro-RO"/>
              </w:rPr>
              <w:t xml:space="preserve"> public stradal</w:t>
            </w:r>
            <w:r w:rsidR="000E55A5" w:rsidRPr="009C5F11">
              <w:rPr>
                <w:rFonts w:ascii="Times New Roman" w:hAnsi="Times New Roman" w:cs="Times New Roman"/>
                <w:sz w:val="18"/>
                <w:szCs w:val="14"/>
                <w:lang w:val="ro-RO"/>
              </w:rPr>
              <w:t>.</w:t>
            </w:r>
          </w:p>
        </w:tc>
        <w:tc>
          <w:tcPr>
            <w:tcW w:w="749" w:type="pct"/>
            <w:shd w:val="clear" w:color="auto" w:fill="99CCFF"/>
          </w:tcPr>
          <w:p w14:paraId="4F8121F4" w14:textId="77777777" w:rsidR="00936847" w:rsidRPr="009C5F11" w:rsidRDefault="005D06FD"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Iluminatul public stradal</w:t>
            </w:r>
          </w:p>
        </w:tc>
        <w:tc>
          <w:tcPr>
            <w:tcW w:w="549" w:type="pct"/>
            <w:shd w:val="clear" w:color="auto" w:fill="99CCFF"/>
          </w:tcPr>
          <w:p w14:paraId="280079B0"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p>
          <w:p w14:paraId="35492BEE" w14:textId="77777777" w:rsidR="00936847" w:rsidRPr="009C5F11" w:rsidRDefault="009B74AF"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p>
          <w:p w14:paraId="53271EE1"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31.12.20</w:t>
            </w:r>
          </w:p>
        </w:tc>
        <w:tc>
          <w:tcPr>
            <w:tcW w:w="549" w:type="pct"/>
            <w:shd w:val="clear" w:color="auto" w:fill="99CCFF"/>
          </w:tcPr>
          <w:p w14:paraId="1ED87A47"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0.28</w:t>
            </w:r>
          </w:p>
        </w:tc>
        <w:tc>
          <w:tcPr>
            <w:tcW w:w="549" w:type="pct"/>
            <w:shd w:val="clear" w:color="auto" w:fill="99CCFF"/>
          </w:tcPr>
          <w:p w14:paraId="71D7B5C7"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0.98</w:t>
            </w:r>
          </w:p>
        </w:tc>
        <w:tc>
          <w:tcPr>
            <w:tcW w:w="599" w:type="pct"/>
            <w:shd w:val="clear" w:color="auto" w:fill="99CCFF"/>
          </w:tcPr>
          <w:p w14:paraId="7B659823" w14:textId="77777777" w:rsidR="00936847" w:rsidRPr="009C5F11" w:rsidRDefault="00204033"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Continuă</w:t>
            </w:r>
          </w:p>
        </w:tc>
        <w:tc>
          <w:tcPr>
            <w:tcW w:w="649" w:type="pct"/>
            <w:shd w:val="clear" w:color="auto" w:fill="99CCFF"/>
          </w:tcPr>
          <w:p w14:paraId="038A78DF" w14:textId="77777777" w:rsidR="00936847" w:rsidRPr="009C5F11" w:rsidRDefault="00936847" w:rsidP="00350017">
            <w:pPr>
              <w:spacing w:before="40" w:after="40" w:line="240" w:lineRule="auto"/>
              <w:rPr>
                <w:rFonts w:ascii="Times New Roman" w:hAnsi="Times New Roman" w:cs="Times New Roman"/>
                <w:sz w:val="18"/>
                <w:szCs w:val="14"/>
                <w:lang w:val="ro-RO"/>
              </w:rPr>
            </w:pPr>
          </w:p>
        </w:tc>
      </w:tr>
      <w:tr w:rsidR="00936847" w:rsidRPr="009C5F11" w14:paraId="08FCDF93" w14:textId="77777777" w:rsidTr="00BF6432">
        <w:tc>
          <w:tcPr>
            <w:tcW w:w="300" w:type="pct"/>
            <w:shd w:val="clear" w:color="auto" w:fill="99CCFF"/>
          </w:tcPr>
          <w:p w14:paraId="5AD60B6A"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P.3.</w:t>
            </w:r>
          </w:p>
        </w:tc>
        <w:tc>
          <w:tcPr>
            <w:tcW w:w="1054" w:type="pct"/>
            <w:shd w:val="clear" w:color="auto" w:fill="99CCFF"/>
          </w:tcPr>
          <w:p w14:paraId="6080B55A" w14:textId="77777777" w:rsidR="00936847" w:rsidRPr="009C5F11" w:rsidRDefault="00FD5F1C"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Îmbunătăţirea eficienţei energetice</w:t>
            </w:r>
            <w:r w:rsidR="00321CD5" w:rsidRPr="009C5F11">
              <w:rPr>
                <w:rFonts w:ascii="Times New Roman" w:hAnsi="Times New Roman" w:cs="Times New Roman"/>
                <w:sz w:val="18"/>
                <w:szCs w:val="14"/>
                <w:lang w:val="ro-RO"/>
              </w:rPr>
              <w:t xml:space="preserve"> în </w:t>
            </w:r>
            <w:r w:rsidRPr="009C5F11">
              <w:rPr>
                <w:rFonts w:ascii="Times New Roman" w:hAnsi="Times New Roman" w:cs="Times New Roman"/>
                <w:sz w:val="18"/>
                <w:szCs w:val="14"/>
                <w:lang w:val="ro-RO"/>
              </w:rPr>
              <w:t>serviciile municipale/regionale de alimentare cu apă şi evacuare a apelor uzate</w:t>
            </w:r>
            <w:r w:rsidR="000E55A5" w:rsidRPr="009C5F11">
              <w:rPr>
                <w:rFonts w:ascii="Times New Roman" w:hAnsi="Times New Roman" w:cs="Times New Roman"/>
                <w:sz w:val="18"/>
                <w:szCs w:val="14"/>
                <w:lang w:val="ro-RO"/>
              </w:rPr>
              <w:t>.</w:t>
            </w:r>
          </w:p>
        </w:tc>
        <w:tc>
          <w:tcPr>
            <w:tcW w:w="749" w:type="pct"/>
            <w:shd w:val="clear" w:color="auto" w:fill="99CCFF"/>
          </w:tcPr>
          <w:p w14:paraId="44BA215A" w14:textId="77777777" w:rsidR="00936847" w:rsidRPr="009C5F11" w:rsidRDefault="004A7A66"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Alimentarea cu apă şi gestionarea apelor uzate</w:t>
            </w:r>
          </w:p>
        </w:tc>
        <w:tc>
          <w:tcPr>
            <w:tcW w:w="549" w:type="pct"/>
            <w:shd w:val="clear" w:color="auto" w:fill="99CCFF"/>
          </w:tcPr>
          <w:p w14:paraId="339E4380"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01/01/13 </w:t>
            </w:r>
            <w:r w:rsidR="009B74AF"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 xml:space="preserve"> </w:t>
            </w:r>
          </w:p>
          <w:p w14:paraId="59905C1E"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31/12/19</w:t>
            </w:r>
          </w:p>
        </w:tc>
        <w:tc>
          <w:tcPr>
            <w:tcW w:w="549" w:type="pct"/>
            <w:shd w:val="clear" w:color="auto" w:fill="99CCFF"/>
          </w:tcPr>
          <w:p w14:paraId="122AC3D7"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0.71</w:t>
            </w:r>
          </w:p>
        </w:tc>
        <w:tc>
          <w:tcPr>
            <w:tcW w:w="549" w:type="pct"/>
            <w:shd w:val="clear" w:color="auto" w:fill="99CCFF"/>
          </w:tcPr>
          <w:p w14:paraId="0DA7D9E3" w14:textId="77777777" w:rsidR="00936847" w:rsidRPr="009C5F11" w:rsidRDefault="00936847"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2.05</w:t>
            </w:r>
          </w:p>
        </w:tc>
        <w:tc>
          <w:tcPr>
            <w:tcW w:w="599" w:type="pct"/>
            <w:shd w:val="clear" w:color="auto" w:fill="99CCFF"/>
          </w:tcPr>
          <w:p w14:paraId="7B5E9794" w14:textId="77777777" w:rsidR="00936847" w:rsidRPr="009C5F11" w:rsidRDefault="00D47C89" w:rsidP="00350017">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Preluată</w:t>
            </w:r>
            <w:r w:rsidR="00204033" w:rsidRPr="009C5F11">
              <w:rPr>
                <w:rFonts w:ascii="Times New Roman" w:hAnsi="Times New Roman" w:cs="Times New Roman"/>
                <w:sz w:val="18"/>
                <w:szCs w:val="14"/>
                <w:lang w:val="ro-RO"/>
              </w:rPr>
              <w:t>, redenumită, actualizată</w:t>
            </w:r>
          </w:p>
        </w:tc>
        <w:tc>
          <w:tcPr>
            <w:tcW w:w="649" w:type="pct"/>
            <w:shd w:val="clear" w:color="auto" w:fill="99CCFF"/>
          </w:tcPr>
          <w:p w14:paraId="76E9F8DB" w14:textId="77777777" w:rsidR="00936847" w:rsidRPr="009C5F11" w:rsidRDefault="00936847" w:rsidP="00350017">
            <w:pPr>
              <w:spacing w:before="40" w:after="40" w:line="240" w:lineRule="auto"/>
              <w:rPr>
                <w:rFonts w:ascii="Times New Roman" w:hAnsi="Times New Roman" w:cs="Times New Roman"/>
                <w:sz w:val="18"/>
                <w:szCs w:val="14"/>
                <w:lang w:val="ro-RO"/>
              </w:rPr>
            </w:pPr>
          </w:p>
        </w:tc>
      </w:tr>
      <w:tr w:rsidR="00936847" w:rsidRPr="009C5F11" w14:paraId="10A18609" w14:textId="77777777" w:rsidTr="00BF6432">
        <w:tc>
          <w:tcPr>
            <w:tcW w:w="300" w:type="pct"/>
            <w:shd w:val="clear" w:color="auto" w:fill="99CCFF"/>
          </w:tcPr>
          <w:p w14:paraId="6819C12C" w14:textId="77777777" w:rsidR="00936847" w:rsidRPr="009C5F11" w:rsidRDefault="00936847" w:rsidP="00350017">
            <w:pPr>
              <w:spacing w:before="40" w:after="40" w:line="240" w:lineRule="auto"/>
              <w:rPr>
                <w:rFonts w:ascii="Times New Roman" w:hAnsi="Times New Roman" w:cs="Times New Roman"/>
                <w:b/>
                <w:sz w:val="18"/>
                <w:szCs w:val="14"/>
                <w:lang w:val="ro-RO"/>
              </w:rPr>
            </w:pPr>
          </w:p>
        </w:tc>
        <w:tc>
          <w:tcPr>
            <w:tcW w:w="1054" w:type="pct"/>
            <w:shd w:val="clear" w:color="auto" w:fill="99CCFF"/>
          </w:tcPr>
          <w:p w14:paraId="3F14ACB8" w14:textId="77777777" w:rsidR="00936847" w:rsidRPr="009C5F11" w:rsidRDefault="00936847" w:rsidP="00350017">
            <w:pPr>
              <w:spacing w:before="40" w:after="40" w:line="240" w:lineRule="auto"/>
              <w:rPr>
                <w:rFonts w:ascii="Times New Roman" w:hAnsi="Times New Roman" w:cs="Times New Roman"/>
                <w:b/>
                <w:sz w:val="18"/>
                <w:szCs w:val="14"/>
                <w:lang w:val="ro-RO"/>
              </w:rPr>
            </w:pPr>
          </w:p>
        </w:tc>
        <w:tc>
          <w:tcPr>
            <w:tcW w:w="749" w:type="pct"/>
            <w:shd w:val="clear" w:color="auto" w:fill="99CCFF"/>
          </w:tcPr>
          <w:p w14:paraId="1732F2BA" w14:textId="77777777" w:rsidR="00936847" w:rsidRPr="009C5F11" w:rsidRDefault="00936847" w:rsidP="00350017">
            <w:pPr>
              <w:spacing w:before="40" w:after="40" w:line="240" w:lineRule="auto"/>
              <w:rPr>
                <w:rFonts w:ascii="Times New Roman" w:hAnsi="Times New Roman" w:cs="Times New Roman"/>
                <w:b/>
                <w:sz w:val="18"/>
                <w:szCs w:val="14"/>
                <w:lang w:val="ro-RO"/>
              </w:rPr>
            </w:pPr>
          </w:p>
        </w:tc>
        <w:tc>
          <w:tcPr>
            <w:tcW w:w="549" w:type="pct"/>
            <w:shd w:val="clear" w:color="auto" w:fill="99CCFF"/>
          </w:tcPr>
          <w:p w14:paraId="189681EB" w14:textId="77777777" w:rsidR="00936847" w:rsidRPr="009C5F11" w:rsidRDefault="00E46DD7"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Suma economiilor</w:t>
            </w:r>
            <w:r w:rsidR="00936847" w:rsidRPr="009C5F11">
              <w:rPr>
                <w:rFonts w:ascii="Times New Roman" w:hAnsi="Times New Roman" w:cs="Times New Roman"/>
                <w:b/>
                <w:sz w:val="18"/>
                <w:szCs w:val="14"/>
                <w:lang w:val="ro-RO"/>
              </w:rPr>
              <w:t>:</w:t>
            </w:r>
          </w:p>
        </w:tc>
        <w:tc>
          <w:tcPr>
            <w:tcW w:w="549" w:type="pct"/>
            <w:shd w:val="clear" w:color="auto" w:fill="99CCFF"/>
          </w:tcPr>
          <w:p w14:paraId="6102DEA0" w14:textId="77777777" w:rsidR="00936847" w:rsidRPr="009C5F11" w:rsidRDefault="00936847"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18.65</w:t>
            </w:r>
          </w:p>
        </w:tc>
        <w:tc>
          <w:tcPr>
            <w:tcW w:w="549" w:type="pct"/>
            <w:shd w:val="clear" w:color="auto" w:fill="99CCFF"/>
          </w:tcPr>
          <w:p w14:paraId="46237A30" w14:textId="77777777" w:rsidR="00936847" w:rsidRPr="009C5F11" w:rsidRDefault="00936847" w:rsidP="00350017">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50.12</w:t>
            </w:r>
          </w:p>
        </w:tc>
        <w:tc>
          <w:tcPr>
            <w:tcW w:w="599" w:type="pct"/>
            <w:shd w:val="clear" w:color="auto" w:fill="99CCFF"/>
          </w:tcPr>
          <w:p w14:paraId="5A136A03" w14:textId="77777777" w:rsidR="00936847" w:rsidRPr="009C5F11" w:rsidRDefault="00936847" w:rsidP="00350017">
            <w:pPr>
              <w:spacing w:before="40" w:after="40" w:line="240" w:lineRule="auto"/>
              <w:rPr>
                <w:rFonts w:ascii="Times New Roman" w:hAnsi="Times New Roman" w:cs="Times New Roman"/>
                <w:b/>
                <w:sz w:val="18"/>
                <w:szCs w:val="14"/>
                <w:lang w:val="ro-RO"/>
              </w:rPr>
            </w:pPr>
          </w:p>
        </w:tc>
        <w:tc>
          <w:tcPr>
            <w:tcW w:w="649" w:type="pct"/>
            <w:shd w:val="clear" w:color="auto" w:fill="99CCFF"/>
          </w:tcPr>
          <w:p w14:paraId="35D6E87B" w14:textId="77777777" w:rsidR="00936847" w:rsidRPr="009C5F11" w:rsidRDefault="00936847" w:rsidP="00350017">
            <w:pPr>
              <w:spacing w:before="40" w:after="40" w:line="240" w:lineRule="auto"/>
              <w:rPr>
                <w:rFonts w:ascii="Times New Roman" w:hAnsi="Times New Roman" w:cs="Times New Roman"/>
                <w:b/>
                <w:sz w:val="18"/>
                <w:szCs w:val="14"/>
                <w:lang w:val="ro-RO"/>
              </w:rPr>
            </w:pPr>
          </w:p>
        </w:tc>
      </w:tr>
    </w:tbl>
    <w:p w14:paraId="1F9FC876" w14:textId="77777777" w:rsidR="00936847" w:rsidRPr="009C5F11" w:rsidRDefault="00E46DD7" w:rsidP="008B2049">
      <w:p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Tabelele cu măsuri sunt </w:t>
      </w:r>
      <w:r w:rsidR="009B74AF" w:rsidRPr="009C5F11">
        <w:rPr>
          <w:rFonts w:ascii="Times New Roman" w:hAnsi="Times New Roman" w:cs="Times New Roman"/>
          <w:sz w:val="24"/>
          <w:lang w:val="ro-RO"/>
        </w:rPr>
        <w:t>elaborate şi prezentate în continuare</w:t>
      </w:r>
      <w:r w:rsidR="00340B28" w:rsidRPr="009C5F11">
        <w:rPr>
          <w:rFonts w:ascii="Times New Roman" w:hAnsi="Times New Roman" w:cs="Times New Roman"/>
          <w:sz w:val="24"/>
          <w:lang w:val="ro-RO"/>
        </w:rPr>
        <w:t>.</w:t>
      </w:r>
    </w:p>
    <w:p w14:paraId="4FDA0B64" w14:textId="77777777" w:rsidR="00DE1F93" w:rsidRPr="009C5F11" w:rsidRDefault="00DE1F93" w:rsidP="008B2049">
      <w:pPr>
        <w:spacing w:before="120" w:after="120" w:line="240" w:lineRule="auto"/>
        <w:jc w:val="both"/>
        <w:textAlignment w:val="baseline"/>
        <w:rPr>
          <w:rFonts w:ascii="Times New Roman" w:hAnsi="Times New Roman" w:cs="Times New Roman"/>
          <w:sz w:val="24"/>
          <w:lang w:val="ro-RO"/>
        </w:rPr>
      </w:pPr>
    </w:p>
    <w:p w14:paraId="7AF3E1D4" w14:textId="77777777" w:rsidR="00340B28" w:rsidRPr="009C5F11" w:rsidRDefault="00340B28" w:rsidP="008B2049">
      <w:pPr>
        <w:spacing w:before="120" w:after="120" w:line="240" w:lineRule="auto"/>
        <w:jc w:val="both"/>
        <w:textAlignment w:val="baseline"/>
        <w:rPr>
          <w:rFonts w:ascii="Times New Roman" w:hAnsi="Times New Roman" w:cs="Times New Roman"/>
          <w:sz w:val="24"/>
          <w:lang w:val="ro-RO"/>
        </w:rPr>
        <w:sectPr w:rsidR="00340B28" w:rsidRPr="009C5F11" w:rsidSect="00430626">
          <w:pgSz w:w="11907" w:h="16840" w:code="9"/>
          <w:pgMar w:top="1440" w:right="1440" w:bottom="1440" w:left="1440" w:header="720" w:footer="720" w:gutter="0"/>
          <w:cols w:space="720"/>
          <w:docGrid w:linePitch="360"/>
        </w:sectPr>
      </w:pPr>
    </w:p>
    <w:p w14:paraId="792B6E6F" w14:textId="77777777" w:rsidR="00340B28" w:rsidRPr="009C5F11" w:rsidRDefault="00340B28" w:rsidP="008B2049">
      <w:pPr>
        <w:spacing w:before="120" w:after="120" w:line="240" w:lineRule="auto"/>
        <w:jc w:val="both"/>
        <w:textAlignment w:val="baseline"/>
        <w:rPr>
          <w:rFonts w:ascii="Times New Roman" w:hAnsi="Times New Roman" w:cs="Times New Roman"/>
          <w:sz w:val="24"/>
          <w:lang w:val="ro-RO"/>
        </w:rPr>
      </w:pPr>
    </w:p>
    <w:p w14:paraId="1238923C" w14:textId="77777777" w:rsidR="00340B28" w:rsidRPr="009C5F11" w:rsidRDefault="00321CD5" w:rsidP="00340B28">
      <w:pPr>
        <w:pStyle w:val="Legend"/>
        <w:keepNext/>
        <w:jc w:val="center"/>
        <w:rPr>
          <w:rFonts w:ascii="Times New Roman" w:hAnsi="Times New Roman" w:cs="Times New Roman"/>
          <w:b/>
          <w:sz w:val="22"/>
          <w:lang w:val="ro-RO"/>
        </w:rPr>
      </w:pPr>
      <w:bookmarkStart w:id="198" w:name="_Toc447724174"/>
      <w:r w:rsidRPr="009C5F11">
        <w:rPr>
          <w:rFonts w:ascii="Times New Roman" w:hAnsi="Times New Roman" w:cs="Times New Roman"/>
          <w:b/>
          <w:sz w:val="22"/>
          <w:lang w:val="ro-RO"/>
        </w:rPr>
        <w:t>Tabelul</w:t>
      </w:r>
      <w:r w:rsidR="00340B28" w:rsidRPr="009C5F11">
        <w:rPr>
          <w:rFonts w:ascii="Times New Roman" w:hAnsi="Times New Roman" w:cs="Times New Roman"/>
          <w:b/>
          <w:sz w:val="22"/>
          <w:lang w:val="ro-RO"/>
        </w:rPr>
        <w:t xml:space="preserve"> P </w:t>
      </w:r>
      <w:r w:rsidR="003A6ADB" w:rsidRPr="009C5F11">
        <w:rPr>
          <w:rFonts w:ascii="Times New Roman" w:hAnsi="Times New Roman" w:cs="Times New Roman"/>
          <w:b/>
          <w:sz w:val="22"/>
          <w:lang w:val="ro-RO"/>
        </w:rPr>
        <w:fldChar w:fldCharType="begin"/>
      </w:r>
      <w:r w:rsidR="00340B28" w:rsidRPr="009C5F11">
        <w:rPr>
          <w:rFonts w:ascii="Times New Roman" w:hAnsi="Times New Roman" w:cs="Times New Roman"/>
          <w:b/>
          <w:sz w:val="22"/>
          <w:lang w:val="ro-RO"/>
        </w:rPr>
        <w:instrText xml:space="preserve"> SEQ Table_P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1</w:t>
      </w:r>
      <w:r w:rsidR="003A6ADB" w:rsidRPr="009C5F11">
        <w:rPr>
          <w:rFonts w:ascii="Times New Roman" w:hAnsi="Times New Roman" w:cs="Times New Roman"/>
          <w:b/>
          <w:sz w:val="22"/>
          <w:lang w:val="ro-RO"/>
        </w:rPr>
        <w:fldChar w:fldCharType="end"/>
      </w:r>
      <w:r w:rsidR="00340B28" w:rsidRPr="009C5F11">
        <w:rPr>
          <w:rFonts w:ascii="Times New Roman" w:hAnsi="Times New Roman" w:cs="Times New Roman"/>
          <w:b/>
          <w:sz w:val="22"/>
          <w:lang w:val="ro-RO"/>
        </w:rPr>
        <w:t xml:space="preserve"> - </w:t>
      </w:r>
      <w:r w:rsidR="00FD5F1C" w:rsidRPr="009C5F11">
        <w:rPr>
          <w:rFonts w:ascii="Times New Roman" w:hAnsi="Times New Roman" w:cs="Times New Roman"/>
          <w:b/>
          <w:sz w:val="22"/>
          <w:lang w:val="ro-RO"/>
        </w:rPr>
        <w:t>Îmbunătăţirea eficienţei energetice</w:t>
      </w:r>
      <w:r w:rsidRPr="009C5F11">
        <w:rPr>
          <w:rFonts w:ascii="Times New Roman" w:hAnsi="Times New Roman" w:cs="Times New Roman"/>
          <w:b/>
          <w:sz w:val="22"/>
          <w:lang w:val="ro-RO"/>
        </w:rPr>
        <w:t xml:space="preserve"> </w:t>
      </w:r>
      <w:r w:rsidR="00FD5F1C" w:rsidRPr="009C5F11">
        <w:rPr>
          <w:rFonts w:ascii="Times New Roman" w:hAnsi="Times New Roman" w:cs="Times New Roman"/>
          <w:b/>
          <w:sz w:val="22"/>
          <w:lang w:val="ro-RO"/>
        </w:rPr>
        <w:t xml:space="preserve">în </w:t>
      </w:r>
      <w:r w:rsidR="009B74AF" w:rsidRPr="009C5F11">
        <w:rPr>
          <w:rFonts w:ascii="Times New Roman" w:hAnsi="Times New Roman" w:cs="Times New Roman"/>
          <w:b/>
          <w:sz w:val="22"/>
          <w:lang w:val="ro-RO"/>
        </w:rPr>
        <w:t>sectorul construcţiilor publice</w:t>
      </w:r>
      <w:r w:rsidR="000E55A5" w:rsidRPr="009C5F11">
        <w:rPr>
          <w:rFonts w:ascii="Times New Roman" w:hAnsi="Times New Roman" w:cs="Times New Roman"/>
          <w:b/>
          <w:sz w:val="22"/>
          <w:lang w:val="ro-RO"/>
        </w:rPr>
        <w:t>.</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936847" w:rsidRPr="009C5F11" w14:paraId="4CF2C718" w14:textId="77777777" w:rsidTr="00BF6432">
        <w:trPr>
          <w:trHeight w:val="134"/>
        </w:trPr>
        <w:tc>
          <w:tcPr>
            <w:tcW w:w="1756" w:type="pct"/>
            <w:gridSpan w:val="2"/>
          </w:tcPr>
          <w:p w14:paraId="1F4ECFA8" w14:textId="77777777" w:rsidR="00936847" w:rsidRPr="009C5F11" w:rsidRDefault="0094635F"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2D811AED" w14:textId="77777777" w:rsidR="00936847" w:rsidRPr="009C5F11" w:rsidRDefault="00FD5F1C" w:rsidP="004A7A66">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Îmbunătăţirea eficienţei energetice</w:t>
            </w:r>
            <w:r w:rsidR="00321CD5" w:rsidRPr="009C5F11">
              <w:rPr>
                <w:rFonts w:ascii="Times New Roman" w:hAnsi="Times New Roman" w:cs="Times New Roman"/>
                <w:b/>
                <w:sz w:val="18"/>
                <w:szCs w:val="14"/>
                <w:lang w:val="ro-RO" w:eastAsia="de-DE"/>
              </w:rPr>
              <w:t xml:space="preserve"> în </w:t>
            </w:r>
            <w:r w:rsidR="009B74AF" w:rsidRPr="009C5F11">
              <w:rPr>
                <w:rFonts w:ascii="Times New Roman" w:hAnsi="Times New Roman" w:cs="Times New Roman"/>
                <w:b/>
                <w:sz w:val="18"/>
                <w:szCs w:val="14"/>
                <w:lang w:val="ro-RO" w:eastAsia="de-DE"/>
              </w:rPr>
              <w:t>sectorul construcţiilor publice</w:t>
            </w:r>
            <w:r w:rsidR="00204033" w:rsidRPr="009C5F11">
              <w:rPr>
                <w:rFonts w:ascii="Times New Roman" w:hAnsi="Times New Roman" w:cs="Times New Roman"/>
                <w:b/>
                <w:sz w:val="18"/>
                <w:szCs w:val="14"/>
                <w:lang w:val="ro-RO" w:eastAsia="de-DE"/>
              </w:rPr>
              <w:t xml:space="preserve"> </w:t>
            </w:r>
          </w:p>
        </w:tc>
      </w:tr>
      <w:tr w:rsidR="00936847" w:rsidRPr="009C5F11" w14:paraId="2701D35D" w14:textId="77777777" w:rsidTr="00BF6432">
        <w:trPr>
          <w:trHeight w:val="72"/>
        </w:trPr>
        <w:tc>
          <w:tcPr>
            <w:tcW w:w="1756" w:type="pct"/>
            <w:gridSpan w:val="2"/>
          </w:tcPr>
          <w:p w14:paraId="18CCCB1F" w14:textId="77777777" w:rsidR="00936847" w:rsidRPr="009C5F11" w:rsidRDefault="00E46DD7"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03993138" w14:textId="77777777" w:rsidR="00936847" w:rsidRPr="009C5F11" w:rsidRDefault="00936847" w:rsidP="00430626">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P1</w:t>
            </w:r>
          </w:p>
        </w:tc>
      </w:tr>
      <w:tr w:rsidR="00936847" w:rsidRPr="009C5F11" w14:paraId="51D01E38" w14:textId="77777777" w:rsidTr="00BF6432">
        <w:trPr>
          <w:trHeight w:val="107"/>
        </w:trPr>
        <w:tc>
          <w:tcPr>
            <w:tcW w:w="743" w:type="pct"/>
            <w:vMerge w:val="restart"/>
          </w:tcPr>
          <w:p w14:paraId="0C165C19"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50D7DF3B"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049BC47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66CC972A" w14:textId="77777777" w:rsidR="00936847" w:rsidRPr="009C5F11" w:rsidRDefault="000E55A5"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Proiecte investiţionale</w:t>
            </w:r>
          </w:p>
        </w:tc>
      </w:tr>
      <w:tr w:rsidR="00936847" w:rsidRPr="009C5F11" w14:paraId="68CA18C7" w14:textId="77777777" w:rsidTr="00BF6432">
        <w:trPr>
          <w:trHeight w:val="476"/>
        </w:trPr>
        <w:tc>
          <w:tcPr>
            <w:tcW w:w="743" w:type="pct"/>
            <w:vMerge/>
          </w:tcPr>
          <w:p w14:paraId="38241CC4"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C705D8C"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5DC1B599"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2013</w:t>
            </w:r>
            <w:r w:rsidR="009B74AF" w:rsidRPr="009C5F11">
              <w:rPr>
                <w:rFonts w:ascii="Times New Roman" w:hAnsi="Times New Roman" w:cs="Times New Roman"/>
                <w:b/>
                <w:sz w:val="18"/>
                <w:szCs w:val="14"/>
                <w:lang w:val="ro-RO" w:eastAsia="de-DE"/>
              </w:rPr>
              <w:t>.</w:t>
            </w:r>
            <w:r w:rsidR="00936847" w:rsidRPr="009C5F11">
              <w:rPr>
                <w:rFonts w:ascii="Times New Roman" w:hAnsi="Times New Roman" w:cs="Times New Roman"/>
                <w:b/>
                <w:sz w:val="18"/>
                <w:szCs w:val="14"/>
                <w:lang w:val="ro-RO" w:eastAsia="de-DE"/>
              </w:rPr>
              <w:t xml:space="preserve"> </w:t>
            </w:r>
          </w:p>
          <w:p w14:paraId="6B60A471"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2020</w:t>
            </w:r>
            <w:r w:rsidR="009B74AF" w:rsidRPr="009C5F11">
              <w:rPr>
                <w:rFonts w:ascii="Times New Roman" w:hAnsi="Times New Roman" w:cs="Times New Roman"/>
                <w:b/>
                <w:sz w:val="18"/>
                <w:szCs w:val="14"/>
                <w:lang w:val="ro-RO" w:eastAsia="de-DE"/>
              </w:rPr>
              <w:t>.</w:t>
            </w:r>
          </w:p>
          <w:p w14:paraId="75917889" w14:textId="77777777" w:rsidR="00936847" w:rsidRPr="009C5F11" w:rsidRDefault="004A7A66" w:rsidP="004A7A6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Această m</w:t>
            </w:r>
            <w:r w:rsidR="000E55A5" w:rsidRPr="009C5F11">
              <w:rPr>
                <w:rFonts w:ascii="Times New Roman" w:hAnsi="Times New Roman" w:cs="Times New Roman"/>
                <w:sz w:val="18"/>
                <w:szCs w:val="14"/>
                <w:lang w:val="ro-RO" w:eastAsia="de-DE"/>
              </w:rPr>
              <w:t>ăsur</w:t>
            </w:r>
            <w:r w:rsidRPr="009C5F11">
              <w:rPr>
                <w:rFonts w:ascii="Times New Roman" w:hAnsi="Times New Roman" w:cs="Times New Roman"/>
                <w:sz w:val="18"/>
                <w:szCs w:val="14"/>
                <w:lang w:val="ro-RO" w:eastAsia="de-DE"/>
              </w:rPr>
              <w:t>ă</w:t>
            </w:r>
            <w:r w:rsidR="00936847" w:rsidRPr="009C5F11">
              <w:rPr>
                <w:rFonts w:ascii="Times New Roman" w:hAnsi="Times New Roman" w:cs="Times New Roman"/>
                <w:sz w:val="18"/>
                <w:szCs w:val="14"/>
                <w:lang w:val="ro-RO" w:eastAsia="de-DE"/>
              </w:rPr>
              <w:t xml:space="preserve"> </w:t>
            </w:r>
            <w:r w:rsidR="000E55A5" w:rsidRPr="009C5F11">
              <w:rPr>
                <w:rFonts w:ascii="Times New Roman" w:hAnsi="Times New Roman" w:cs="Times New Roman"/>
                <w:sz w:val="18"/>
                <w:szCs w:val="14"/>
                <w:lang w:val="ro-RO" w:eastAsia="de-DE"/>
              </w:rPr>
              <w:t>înlocuieşte</w:t>
            </w:r>
            <w:r w:rsidR="00936847" w:rsidRPr="009C5F11">
              <w:rPr>
                <w:rFonts w:ascii="Times New Roman" w:hAnsi="Times New Roman" w:cs="Times New Roman"/>
                <w:sz w:val="18"/>
                <w:szCs w:val="14"/>
                <w:lang w:val="ro-RO" w:eastAsia="de-DE"/>
              </w:rPr>
              <w:t xml:space="preserve"> </w:t>
            </w:r>
            <w:r w:rsidR="000E55A5" w:rsidRPr="009C5F11">
              <w:rPr>
                <w:rFonts w:ascii="Times New Roman" w:hAnsi="Times New Roman" w:cs="Times New Roman"/>
                <w:sz w:val="18"/>
                <w:szCs w:val="14"/>
                <w:lang w:val="ro-RO" w:eastAsia="de-DE"/>
              </w:rPr>
              <w:t>măsura</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di</w:t>
            </w:r>
            <w:r w:rsidR="00321CD5" w:rsidRPr="009C5F11">
              <w:rPr>
                <w:rFonts w:ascii="Times New Roman" w:hAnsi="Times New Roman" w:cs="Times New Roman"/>
                <w:sz w:val="18"/>
                <w:szCs w:val="14"/>
                <w:lang w:val="ro-RO" w:eastAsia="de-DE"/>
              </w:rPr>
              <w:t xml:space="preserve">n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2013 – 2015 “</w:t>
            </w:r>
            <w:r w:rsidRPr="009C5F11">
              <w:rPr>
                <w:rFonts w:ascii="Times New Roman" w:hAnsi="Times New Roman" w:cs="Times New Roman"/>
                <w:i/>
                <w:sz w:val="18"/>
                <w:szCs w:val="14"/>
                <w:lang w:val="ro-RO" w:eastAsia="de-DE"/>
              </w:rPr>
              <w:t>Asigurarea eficientizării consumului energetic</w:t>
            </w:r>
            <w:r w:rsidR="00321CD5" w:rsidRPr="009C5F11">
              <w:rPr>
                <w:rFonts w:ascii="Times New Roman" w:hAnsi="Times New Roman" w:cs="Times New Roman"/>
                <w:i/>
                <w:sz w:val="18"/>
                <w:szCs w:val="14"/>
                <w:lang w:val="ro-RO" w:eastAsia="de-DE"/>
              </w:rPr>
              <w:t xml:space="preserve"> în </w:t>
            </w:r>
            <w:r w:rsidR="002F0B3A" w:rsidRPr="009C5F11">
              <w:rPr>
                <w:rFonts w:ascii="Times New Roman" w:hAnsi="Times New Roman" w:cs="Times New Roman"/>
                <w:i/>
                <w:sz w:val="18"/>
                <w:szCs w:val="14"/>
                <w:lang w:val="ro-RO" w:eastAsia="de-DE"/>
              </w:rPr>
              <w:t>sectorul public</w:t>
            </w:r>
            <w:r w:rsidR="00936847" w:rsidRPr="009C5F11">
              <w:rPr>
                <w:rFonts w:ascii="Times New Roman" w:hAnsi="Times New Roman" w:cs="Times New Roman"/>
                <w:i/>
                <w:sz w:val="18"/>
                <w:szCs w:val="14"/>
                <w:lang w:val="ro-RO" w:eastAsia="de-DE"/>
              </w:rPr>
              <w:t>”</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în vederea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evitării suprapunerii cu</w:t>
            </w:r>
            <w:r w:rsidR="00936847" w:rsidRPr="009C5F11">
              <w:rPr>
                <w:rFonts w:ascii="Times New Roman" w:hAnsi="Times New Roman" w:cs="Times New Roman"/>
                <w:sz w:val="18"/>
                <w:szCs w:val="14"/>
                <w:lang w:val="ro-RO" w:eastAsia="de-DE"/>
              </w:rPr>
              <w:t xml:space="preserve"> </w:t>
            </w:r>
            <w:r w:rsidR="00E10BE5" w:rsidRPr="009C5F11">
              <w:rPr>
                <w:rFonts w:ascii="Times New Roman" w:hAnsi="Times New Roman" w:cs="Times New Roman"/>
                <w:sz w:val="18"/>
                <w:szCs w:val="14"/>
                <w:lang w:val="ro-RO" w:eastAsia="de-DE"/>
              </w:rPr>
              <w:t>măsuri</w:t>
            </w:r>
            <w:r w:rsidRPr="009C5F11">
              <w:rPr>
                <w:rFonts w:ascii="Times New Roman" w:hAnsi="Times New Roman" w:cs="Times New Roman"/>
                <w:sz w:val="18"/>
                <w:szCs w:val="14"/>
                <w:lang w:val="ro-RO" w:eastAsia="de-DE"/>
              </w:rPr>
              <w:t>le</w:t>
            </w:r>
            <w:r w:rsidR="00936847" w:rsidRPr="009C5F11">
              <w:rPr>
                <w:rFonts w:ascii="Times New Roman" w:hAnsi="Times New Roman" w:cs="Times New Roman"/>
                <w:sz w:val="18"/>
                <w:szCs w:val="14"/>
                <w:lang w:val="ro-RO" w:eastAsia="de-DE"/>
              </w:rPr>
              <w:t xml:space="preserve"> P2 “</w:t>
            </w:r>
            <w:r w:rsidRPr="009C5F11">
              <w:rPr>
                <w:rFonts w:ascii="Times New Roman" w:hAnsi="Times New Roman" w:cs="Times New Roman"/>
                <w:i/>
                <w:sz w:val="18"/>
                <w:szCs w:val="14"/>
                <w:lang w:val="ro-RO" w:eastAsia="de-DE"/>
              </w:rPr>
              <w:t>Optimizarea sistemului de iluminat public stradal</w:t>
            </w:r>
            <w:r w:rsidR="00936847"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T1</w:t>
            </w:r>
            <w:r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w:t>
            </w:r>
            <w:r w:rsidR="00FD5F1C" w:rsidRPr="009C5F11">
              <w:rPr>
                <w:rFonts w:ascii="Times New Roman" w:hAnsi="Times New Roman" w:cs="Times New Roman"/>
                <w:i/>
                <w:sz w:val="18"/>
                <w:szCs w:val="14"/>
                <w:lang w:val="ro-RO" w:eastAsia="de-DE"/>
              </w:rPr>
              <w:t>Promovarea</w:t>
            </w:r>
            <w:r w:rsidR="00936847" w:rsidRPr="009C5F11">
              <w:rPr>
                <w:rFonts w:ascii="Times New Roman" w:hAnsi="Times New Roman" w:cs="Times New Roman"/>
                <w:i/>
                <w:sz w:val="18"/>
                <w:szCs w:val="14"/>
                <w:lang w:val="ro-RO" w:eastAsia="de-DE"/>
              </w:rPr>
              <w:t xml:space="preserve"> </w:t>
            </w:r>
            <w:r w:rsidR="001F5C51" w:rsidRPr="009C5F11">
              <w:rPr>
                <w:rFonts w:ascii="Times New Roman" w:hAnsi="Times New Roman" w:cs="Times New Roman"/>
                <w:i/>
                <w:sz w:val="18"/>
                <w:szCs w:val="14"/>
                <w:lang w:val="ro-RO" w:eastAsia="de-DE"/>
              </w:rPr>
              <w:t>eficienţei energetice</w:t>
            </w:r>
            <w:r w:rsidR="00321CD5" w:rsidRPr="009C5F11">
              <w:rPr>
                <w:rFonts w:ascii="Times New Roman" w:hAnsi="Times New Roman" w:cs="Times New Roman"/>
                <w:i/>
                <w:sz w:val="18"/>
                <w:szCs w:val="14"/>
                <w:lang w:val="ro-RO" w:eastAsia="de-DE"/>
              </w:rPr>
              <w:t xml:space="preserve"> </w:t>
            </w:r>
            <w:r w:rsidR="00FD5F1C" w:rsidRPr="009C5F11">
              <w:rPr>
                <w:rFonts w:ascii="Times New Roman" w:hAnsi="Times New Roman" w:cs="Times New Roman"/>
                <w:i/>
                <w:sz w:val="18"/>
                <w:szCs w:val="14"/>
                <w:lang w:val="ro-RO" w:eastAsia="de-DE"/>
              </w:rPr>
              <w:t>în sectorul transportului terestru</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Utilizarea biomasei pentru încălzirea instituţiilor publice rămâne a fi o parte din măsură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ca şi în PNAEE precedent</w:t>
            </w:r>
            <w:r w:rsidR="00936847" w:rsidRPr="009C5F11">
              <w:rPr>
                <w:rFonts w:ascii="Times New Roman" w:hAnsi="Times New Roman" w:cs="Times New Roman"/>
                <w:sz w:val="18"/>
                <w:szCs w:val="14"/>
                <w:lang w:val="ro-RO" w:eastAsia="de-DE"/>
              </w:rPr>
              <w:t>.</w:t>
            </w:r>
          </w:p>
        </w:tc>
      </w:tr>
      <w:tr w:rsidR="00936847" w:rsidRPr="009C5F11" w14:paraId="247C2AE1" w14:textId="77777777" w:rsidTr="00BF6432">
        <w:trPr>
          <w:trHeight w:val="107"/>
        </w:trPr>
        <w:tc>
          <w:tcPr>
            <w:tcW w:w="743" w:type="pct"/>
            <w:vMerge/>
          </w:tcPr>
          <w:p w14:paraId="2C25719F"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384A6BF"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02FDB9E4" w14:textId="77777777" w:rsidR="00936847" w:rsidRPr="009C5F11" w:rsidRDefault="004A7A66" w:rsidP="00334F3B">
            <w:pPr>
              <w:numPr>
                <w:ilvl w:val="0"/>
                <w:numId w:val="84"/>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Îmbunătăţirea eficienţei energetice</w:t>
            </w:r>
            <w:r w:rsidR="00321CD5" w:rsidRPr="009C5F11">
              <w:rPr>
                <w:rFonts w:ascii="Times New Roman" w:hAnsi="Times New Roman" w:cs="Times New Roman"/>
                <w:sz w:val="18"/>
                <w:szCs w:val="14"/>
                <w:lang w:val="ro-RO" w:eastAsia="de-DE"/>
              </w:rPr>
              <w:t xml:space="preserve"> </w:t>
            </w:r>
            <w:r w:rsidR="00FD5F1C" w:rsidRPr="009C5F11">
              <w:rPr>
                <w:rFonts w:ascii="Times New Roman" w:hAnsi="Times New Roman" w:cs="Times New Roman"/>
                <w:sz w:val="18"/>
                <w:szCs w:val="14"/>
                <w:lang w:val="ro-RO" w:eastAsia="de-DE"/>
              </w:rPr>
              <w:t xml:space="preserve">în </w:t>
            </w:r>
            <w:r w:rsidR="009B74AF" w:rsidRPr="009C5F11">
              <w:rPr>
                <w:rFonts w:ascii="Times New Roman" w:hAnsi="Times New Roman" w:cs="Times New Roman"/>
                <w:sz w:val="18"/>
                <w:szCs w:val="14"/>
                <w:lang w:val="ro-RO" w:eastAsia="de-DE"/>
              </w:rPr>
              <w:t>sectorul construcţiilor publice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pe baza implementării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 3 programe sectoriale regionale conexe cu 3</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regiuni de dezvoltare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Nord</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Centru, Sud</w:t>
            </w:r>
            <w:r w:rsidR="00936847" w:rsidRPr="009C5F11">
              <w:rPr>
                <w:rFonts w:ascii="Times New Roman" w:hAnsi="Times New Roman" w:cs="Times New Roman"/>
                <w:sz w:val="18"/>
                <w:szCs w:val="14"/>
                <w:lang w:val="ro-RO" w:eastAsia="de-DE"/>
              </w:rPr>
              <w:t xml:space="preserve">) </w:t>
            </w:r>
            <w:r w:rsidR="00093844" w:rsidRPr="009C5F11">
              <w:rPr>
                <w:rFonts w:ascii="Times New Roman" w:hAnsi="Times New Roman" w:cs="Times New Roman"/>
                <w:sz w:val="18"/>
                <w:szCs w:val="14"/>
                <w:lang w:val="ro-RO" w:eastAsia="de-DE"/>
              </w:rPr>
              <w:t>privind</w:t>
            </w:r>
            <w:r w:rsidR="00936847" w:rsidRPr="009C5F11">
              <w:rPr>
                <w:rFonts w:ascii="Times New Roman" w:hAnsi="Times New Roman" w:cs="Times New Roman"/>
                <w:sz w:val="18"/>
                <w:szCs w:val="14"/>
                <w:lang w:val="ro-RO" w:eastAsia="de-DE"/>
              </w:rPr>
              <w:t xml:space="preserve"> </w:t>
            </w:r>
            <w:r w:rsidR="00812E1D" w:rsidRPr="009C5F11">
              <w:rPr>
                <w:rFonts w:ascii="Times New Roman" w:hAnsi="Times New Roman" w:cs="Times New Roman"/>
                <w:sz w:val="18"/>
                <w:szCs w:val="14"/>
                <w:lang w:val="ro-RO" w:eastAsia="de-DE"/>
              </w:rPr>
              <w:t>eficienţa energetică</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clădirile publice</w:t>
            </w:r>
            <w:r w:rsidR="00936847" w:rsidRPr="009C5F11">
              <w:rPr>
                <w:rFonts w:ascii="Times New Roman" w:hAnsi="Times New Roman" w:cs="Times New Roman"/>
                <w:sz w:val="18"/>
                <w:szCs w:val="14"/>
                <w:lang w:val="ro-RO" w:eastAsia="de-DE"/>
              </w:rPr>
              <w:t>.</w:t>
            </w:r>
          </w:p>
          <w:p w14:paraId="5AD124C3" w14:textId="77777777" w:rsidR="00936847" w:rsidRPr="009C5F11" w:rsidRDefault="00E54D88" w:rsidP="00334F3B">
            <w:pPr>
              <w:numPr>
                <w:ilvl w:val="0"/>
                <w:numId w:val="84"/>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Valorificarea</w:t>
            </w:r>
            <w:r w:rsidR="00936847" w:rsidRPr="009C5F11">
              <w:rPr>
                <w:rFonts w:ascii="Times New Roman" w:hAnsi="Times New Roman" w:cs="Times New Roman"/>
                <w:sz w:val="18"/>
                <w:szCs w:val="14"/>
                <w:lang w:val="ro-RO" w:eastAsia="de-DE"/>
              </w:rPr>
              <w:t xml:space="preserve"> </w:t>
            </w:r>
            <w:r w:rsidR="00127E34" w:rsidRPr="009C5F11">
              <w:rPr>
                <w:rFonts w:ascii="Times New Roman" w:hAnsi="Times New Roman" w:cs="Times New Roman"/>
                <w:sz w:val="18"/>
                <w:szCs w:val="14"/>
                <w:lang w:val="ro-RO" w:eastAsia="de-DE"/>
              </w:rPr>
              <w:t>surse</w:t>
            </w:r>
            <w:r w:rsidRPr="009C5F11">
              <w:rPr>
                <w:rFonts w:ascii="Times New Roman" w:hAnsi="Times New Roman" w:cs="Times New Roman"/>
                <w:sz w:val="18"/>
                <w:szCs w:val="14"/>
                <w:lang w:val="ro-RO" w:eastAsia="de-DE"/>
              </w:rPr>
              <w:t>lor</w:t>
            </w:r>
            <w:r w:rsidR="00127E34" w:rsidRPr="009C5F11">
              <w:rPr>
                <w:rFonts w:ascii="Times New Roman" w:hAnsi="Times New Roman" w:cs="Times New Roman"/>
                <w:sz w:val="18"/>
                <w:szCs w:val="14"/>
                <w:lang w:val="ro-RO" w:eastAsia="de-DE"/>
              </w:rPr>
              <w:t xml:space="preserve"> de energie regenerabilă</w:t>
            </w:r>
            <w:r w:rsidR="00321CD5" w:rsidRPr="009C5F11">
              <w:rPr>
                <w:rFonts w:ascii="Times New Roman" w:hAnsi="Times New Roman" w:cs="Times New Roman"/>
                <w:sz w:val="18"/>
                <w:szCs w:val="14"/>
                <w:lang w:val="ro-RO" w:eastAsia="de-DE"/>
              </w:rPr>
              <w:t xml:space="preserve"> în </w:t>
            </w:r>
            <w:r w:rsidR="002F0B3A" w:rsidRPr="009C5F11">
              <w:rPr>
                <w:rFonts w:ascii="Times New Roman" w:hAnsi="Times New Roman" w:cs="Times New Roman"/>
                <w:sz w:val="18"/>
                <w:szCs w:val="14"/>
                <w:lang w:val="ro-RO" w:eastAsia="de-DE"/>
              </w:rPr>
              <w:t>sectorul public</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cu acoperire financiară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din partea</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FEE</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 xml:space="preserve">din </w:t>
            </w:r>
            <w:r w:rsidR="004A7A66" w:rsidRPr="009C5F11">
              <w:rPr>
                <w:rFonts w:ascii="Times New Roman" w:hAnsi="Times New Roman" w:cs="Times New Roman"/>
                <w:sz w:val="18"/>
                <w:szCs w:val="14"/>
                <w:lang w:val="ro-RO" w:eastAsia="de-DE"/>
              </w:rPr>
              <w:t>alte surse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Una dintre opţiuni ar fi tranziţia la încălzirea pe bază de biomasă, fapt ce se va solda cu</w:t>
            </w:r>
            <w:r w:rsidR="009B74AF"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o securitate energetică sporită</w:t>
            </w:r>
            <w:r w:rsidR="00321CD5" w:rsidRPr="009C5F11">
              <w:rPr>
                <w:rFonts w:ascii="Times New Roman" w:hAnsi="Times New Roman" w:cs="Times New Roman"/>
                <w:sz w:val="18"/>
                <w:szCs w:val="14"/>
                <w:lang w:val="ro-RO" w:eastAsia="de-DE"/>
              </w:rPr>
              <w:t xml:space="preserve"> şi </w:t>
            </w:r>
            <w:r w:rsidR="00C639BC" w:rsidRPr="009C5F11">
              <w:rPr>
                <w:rFonts w:ascii="Times New Roman" w:hAnsi="Times New Roman" w:cs="Times New Roman"/>
                <w:sz w:val="18"/>
                <w:szCs w:val="14"/>
                <w:lang w:val="ro-RO" w:eastAsia="de-DE"/>
              </w:rPr>
              <w:t>economii</w:t>
            </w:r>
            <w:r w:rsidRPr="009C5F11">
              <w:rPr>
                <w:rFonts w:ascii="Times New Roman" w:hAnsi="Times New Roman" w:cs="Times New Roman"/>
                <w:sz w:val="18"/>
                <w:szCs w:val="14"/>
                <w:lang w:val="ro-RO" w:eastAsia="de-DE"/>
              </w:rPr>
              <w:t xml:space="preserve"> semnificative la capitolul costuri, reducând consumul de gaze naturale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Staţiile de încălzire instalate în </w:t>
            </w:r>
            <w:r w:rsidR="007F77BE" w:rsidRPr="009C5F11">
              <w:rPr>
                <w:rFonts w:ascii="Times New Roman" w:hAnsi="Times New Roman" w:cs="Times New Roman"/>
                <w:sz w:val="18"/>
                <w:szCs w:val="14"/>
                <w:lang w:val="ro-RO" w:eastAsia="de-DE"/>
              </w:rPr>
              <w:t>clădirile publice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din sate sunt sigure şi uşor de întreţinut</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având o eficie</w:t>
            </w:r>
            <w:r w:rsidR="009B74AF" w:rsidRPr="009C5F11">
              <w:rPr>
                <w:rFonts w:ascii="Times New Roman" w:hAnsi="Times New Roman" w:cs="Times New Roman"/>
                <w:sz w:val="18"/>
                <w:szCs w:val="14"/>
                <w:lang w:val="ro-RO" w:eastAsia="de-DE"/>
              </w:rPr>
              <w:t>n</w:t>
            </w:r>
            <w:r w:rsidRPr="009C5F11">
              <w:rPr>
                <w:rFonts w:ascii="Times New Roman" w:hAnsi="Times New Roman" w:cs="Times New Roman"/>
                <w:sz w:val="18"/>
                <w:szCs w:val="14"/>
                <w:lang w:val="ro-RO" w:eastAsia="de-DE"/>
              </w:rPr>
              <w:t>ţă dovedită</w:t>
            </w:r>
            <w:r w:rsidR="00936847" w:rsidRPr="009C5F11">
              <w:rPr>
                <w:rFonts w:ascii="Times New Roman" w:hAnsi="Times New Roman" w:cs="Times New Roman"/>
                <w:sz w:val="18"/>
                <w:szCs w:val="14"/>
                <w:lang w:val="ro-RO" w:eastAsia="de-DE"/>
              </w:rPr>
              <w:t>.</w:t>
            </w:r>
          </w:p>
        </w:tc>
      </w:tr>
      <w:tr w:rsidR="00936847" w:rsidRPr="009C5F11" w14:paraId="2F2AD632" w14:textId="77777777" w:rsidTr="00BF6432">
        <w:trPr>
          <w:trHeight w:val="75"/>
        </w:trPr>
        <w:tc>
          <w:tcPr>
            <w:tcW w:w="743" w:type="pct"/>
            <w:vMerge/>
          </w:tcPr>
          <w:p w14:paraId="4A85C2A5"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88903AB"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0B5E74CA" w14:textId="77777777" w:rsidR="00936847" w:rsidRPr="009C5F11" w:rsidRDefault="005D06FD" w:rsidP="00334F3B">
            <w:pPr>
              <w:numPr>
                <w:ilvl w:val="0"/>
                <w:numId w:val="83"/>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 publice</w:t>
            </w:r>
            <w:r w:rsidR="00936847" w:rsidRPr="009C5F11">
              <w:rPr>
                <w:rFonts w:ascii="Times New Roman" w:hAnsi="Times New Roman" w:cs="Times New Roman"/>
                <w:sz w:val="18"/>
                <w:szCs w:val="14"/>
                <w:lang w:val="ro-RO" w:eastAsia="de-DE"/>
              </w:rPr>
              <w:t xml:space="preserve">: </w:t>
            </w:r>
          </w:p>
          <w:p w14:paraId="41B32FAA" w14:textId="77777777" w:rsidR="00936847" w:rsidRPr="009C5F11" w:rsidRDefault="00E54D88" w:rsidP="00334F3B">
            <w:pPr>
              <w:numPr>
                <w:ilvl w:val="0"/>
                <w:numId w:val="85"/>
              </w:numPr>
              <w:tabs>
                <w:tab w:val="left" w:pos="972"/>
                <w:tab w:val="left" w:pos="5040"/>
                <w:tab w:val="right" w:pos="8504"/>
              </w:tabs>
              <w:spacing w:after="0" w:line="240" w:lineRule="auto"/>
              <w:ind w:left="1013" w:hanging="311"/>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 din</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sectorul educaţiei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instituţii preşcolare şi preuniversitare</w:t>
            </w:r>
            <w:r w:rsidR="00936847" w:rsidRPr="009C5F11">
              <w:rPr>
                <w:rFonts w:ascii="Times New Roman" w:hAnsi="Times New Roman" w:cs="Times New Roman"/>
                <w:sz w:val="18"/>
                <w:szCs w:val="14"/>
                <w:lang w:val="ro-RO" w:eastAsia="de-DE"/>
              </w:rPr>
              <w:t xml:space="preserve">), </w:t>
            </w:r>
          </w:p>
          <w:p w14:paraId="12387523" w14:textId="77777777" w:rsidR="00936847" w:rsidRPr="009C5F11" w:rsidRDefault="00E54D88" w:rsidP="00334F3B">
            <w:pPr>
              <w:numPr>
                <w:ilvl w:val="0"/>
                <w:numId w:val="85"/>
              </w:numPr>
              <w:tabs>
                <w:tab w:val="left" w:pos="972"/>
                <w:tab w:val="left" w:pos="5040"/>
                <w:tab w:val="right" w:pos="8504"/>
              </w:tabs>
              <w:spacing w:after="0" w:line="240" w:lineRule="auto"/>
              <w:ind w:left="1013" w:hanging="311"/>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 din</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sectorul medical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spitale </w:t>
            </w:r>
            <w:r w:rsidR="00936847" w:rsidRPr="009C5F11">
              <w:rPr>
                <w:rFonts w:ascii="Times New Roman" w:hAnsi="Times New Roman" w:cs="Times New Roman"/>
                <w:sz w:val="18"/>
                <w:szCs w:val="14"/>
                <w:lang w:val="ro-RO" w:eastAsia="de-DE"/>
              </w:rPr>
              <w:t>public</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instituţii medico-sanitare, </w:t>
            </w:r>
            <w:r w:rsidR="00936847" w:rsidRPr="009C5F11">
              <w:rPr>
                <w:rFonts w:ascii="Times New Roman" w:hAnsi="Times New Roman" w:cs="Times New Roman"/>
                <w:sz w:val="18"/>
                <w:szCs w:val="14"/>
                <w:lang w:val="ro-RO" w:eastAsia="de-DE"/>
              </w:rPr>
              <w:t>pol</w:t>
            </w:r>
            <w:r w:rsidR="009B74AF" w:rsidRPr="009C5F11">
              <w:rPr>
                <w:rFonts w:ascii="Times New Roman" w:hAnsi="Times New Roman" w:cs="Times New Roman"/>
                <w:sz w:val="18"/>
                <w:szCs w:val="14"/>
                <w:lang w:val="ro-RO" w:eastAsia="de-DE"/>
              </w:rPr>
              <w:t>i</w:t>
            </w:r>
            <w:r w:rsidR="00936847" w:rsidRPr="009C5F11">
              <w:rPr>
                <w:rFonts w:ascii="Times New Roman" w:hAnsi="Times New Roman" w:cs="Times New Roman"/>
                <w:sz w:val="18"/>
                <w:szCs w:val="14"/>
                <w:lang w:val="ro-RO" w:eastAsia="de-DE"/>
              </w:rPr>
              <w:t>clinic</w:t>
            </w:r>
            <w:r w:rsidRPr="009C5F11">
              <w:rPr>
                <w:rFonts w:ascii="Times New Roman" w:hAnsi="Times New Roman" w:cs="Times New Roman"/>
                <w:sz w:val="18"/>
                <w:szCs w:val="14"/>
                <w:lang w:val="ro-RO" w:eastAsia="de-DE"/>
              </w:rPr>
              <w:t>i</w:t>
            </w:r>
            <w:r w:rsidR="00936847" w:rsidRPr="009C5F11">
              <w:rPr>
                <w:rFonts w:ascii="Times New Roman" w:hAnsi="Times New Roman" w:cs="Times New Roman"/>
                <w:sz w:val="18"/>
                <w:szCs w:val="14"/>
                <w:lang w:val="ro-RO" w:eastAsia="de-DE"/>
              </w:rPr>
              <w:t xml:space="preserve">), </w:t>
            </w:r>
          </w:p>
          <w:p w14:paraId="1AF2742B" w14:textId="77777777" w:rsidR="00936847" w:rsidRPr="009C5F11" w:rsidRDefault="00E54D88" w:rsidP="00334F3B">
            <w:pPr>
              <w:numPr>
                <w:ilvl w:val="0"/>
                <w:numId w:val="85"/>
              </w:numPr>
              <w:tabs>
                <w:tab w:val="left" w:pos="972"/>
                <w:tab w:val="left" w:pos="5040"/>
                <w:tab w:val="right" w:pos="8504"/>
              </w:tabs>
              <w:spacing w:after="0" w:line="240" w:lineRule="auto"/>
              <w:ind w:left="1013" w:hanging="311"/>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 din</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sectorul administrativ</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administraţiile </w:t>
            </w:r>
            <w:r w:rsidR="0087273F" w:rsidRPr="009C5F11">
              <w:rPr>
                <w:rFonts w:ascii="Times New Roman" w:hAnsi="Times New Roman" w:cs="Times New Roman"/>
                <w:sz w:val="18"/>
                <w:szCs w:val="14"/>
                <w:lang w:val="ro-RO" w:eastAsia="de-DE"/>
              </w:rPr>
              <w:t>orășenești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consiliile raionale</w:t>
            </w:r>
            <w:r w:rsidR="00936847" w:rsidRPr="009C5F11">
              <w:rPr>
                <w:rFonts w:ascii="Times New Roman" w:hAnsi="Times New Roman" w:cs="Times New Roman"/>
                <w:sz w:val="18"/>
                <w:szCs w:val="14"/>
                <w:lang w:val="ro-RO" w:eastAsia="de-DE"/>
              </w:rPr>
              <w:t xml:space="preserve">), </w:t>
            </w:r>
          </w:p>
          <w:p w14:paraId="625F4ECA" w14:textId="77777777" w:rsidR="00936847" w:rsidRPr="009C5F11" w:rsidRDefault="00E54D88" w:rsidP="00334F3B">
            <w:pPr>
              <w:numPr>
                <w:ilvl w:val="0"/>
                <w:numId w:val="85"/>
              </w:numPr>
              <w:tabs>
                <w:tab w:val="left" w:pos="972"/>
                <w:tab w:val="left" w:pos="5040"/>
                <w:tab w:val="right" w:pos="8504"/>
              </w:tabs>
              <w:spacing w:after="0" w:line="240" w:lineRule="auto"/>
              <w:ind w:hanging="738"/>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 din</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sectorul social</w:t>
            </w:r>
            <w:r w:rsidR="00936847" w:rsidRPr="009C5F11">
              <w:rPr>
                <w:rFonts w:ascii="Times New Roman" w:hAnsi="Times New Roman" w:cs="Times New Roman"/>
                <w:sz w:val="18"/>
                <w:szCs w:val="14"/>
                <w:lang w:val="ro-RO" w:eastAsia="de-DE"/>
              </w:rPr>
              <w:t xml:space="preserve"> (a</w:t>
            </w:r>
            <w:r w:rsidRPr="009C5F11">
              <w:rPr>
                <w:rFonts w:ascii="Times New Roman" w:hAnsi="Times New Roman" w:cs="Times New Roman"/>
                <w:sz w:val="18"/>
                <w:szCs w:val="14"/>
                <w:lang w:val="ro-RO" w:eastAsia="de-DE"/>
              </w:rPr>
              <w:t>ziluri şi orfelinate</w:t>
            </w:r>
            <w:r w:rsidR="00936847" w:rsidRPr="009C5F11">
              <w:rPr>
                <w:rFonts w:ascii="Times New Roman" w:hAnsi="Times New Roman" w:cs="Times New Roman"/>
                <w:sz w:val="18"/>
                <w:szCs w:val="14"/>
                <w:lang w:val="ro-RO" w:eastAsia="de-DE"/>
              </w:rPr>
              <w:t>).</w:t>
            </w:r>
          </w:p>
          <w:p w14:paraId="7D5E8BEC" w14:textId="77777777" w:rsidR="00936847" w:rsidRPr="009C5F11" w:rsidRDefault="004A7A66" w:rsidP="00334F3B">
            <w:pPr>
              <w:numPr>
                <w:ilvl w:val="0"/>
                <w:numId w:val="83"/>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Încălzirea instituţiilor publice</w:t>
            </w:r>
            <w:r w:rsidR="009B74AF"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tc>
      </w:tr>
      <w:tr w:rsidR="00936847" w:rsidRPr="009C5F11" w14:paraId="25F7D7A1" w14:textId="77777777" w:rsidTr="00BF6432">
        <w:trPr>
          <w:trHeight w:val="75"/>
        </w:trPr>
        <w:tc>
          <w:tcPr>
            <w:tcW w:w="743" w:type="pct"/>
            <w:vMerge/>
          </w:tcPr>
          <w:p w14:paraId="19680094"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5EADB0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5DE143EE" w14:textId="77777777" w:rsidR="00936847" w:rsidRPr="009C5F11" w:rsidRDefault="0087273F"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Autoritățile</w:t>
            </w:r>
            <w:r w:rsidR="00E46DD7" w:rsidRPr="009C5F11">
              <w:rPr>
                <w:rFonts w:ascii="Times New Roman" w:hAnsi="Times New Roman" w:cs="Times New Roman"/>
                <w:sz w:val="18"/>
                <w:szCs w:val="14"/>
                <w:lang w:val="ro-RO" w:eastAsia="de-DE"/>
              </w:rPr>
              <w:t xml:space="preserve"> publice locale</w:t>
            </w:r>
          </w:p>
        </w:tc>
      </w:tr>
      <w:tr w:rsidR="00936847" w:rsidRPr="009C5F11" w14:paraId="5C411A7B" w14:textId="77777777" w:rsidTr="00BF6432">
        <w:trPr>
          <w:trHeight w:val="98"/>
        </w:trPr>
        <w:tc>
          <w:tcPr>
            <w:tcW w:w="743" w:type="pct"/>
            <w:vMerge/>
          </w:tcPr>
          <w:p w14:paraId="301810F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65050B1"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7234522A" w14:textId="77777777" w:rsidR="00936847" w:rsidRPr="009C5F11" w:rsidRDefault="0076167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r w:rsidR="00936847" w:rsidRPr="009C5F11">
              <w:rPr>
                <w:rFonts w:ascii="Times New Roman" w:hAnsi="Times New Roman" w:cs="Times New Roman"/>
                <w:sz w:val="18"/>
                <w:szCs w:val="14"/>
                <w:lang w:val="ro-RO" w:eastAsia="de-DE"/>
              </w:rPr>
              <w:t xml:space="preserve"> </w:t>
            </w:r>
          </w:p>
        </w:tc>
      </w:tr>
      <w:tr w:rsidR="00936847" w:rsidRPr="009C5F11" w14:paraId="0B8028E4" w14:textId="77777777" w:rsidTr="00BF6432">
        <w:trPr>
          <w:trHeight w:val="476"/>
        </w:trPr>
        <w:tc>
          <w:tcPr>
            <w:tcW w:w="743" w:type="pct"/>
            <w:vMerge w:val="restart"/>
          </w:tcPr>
          <w:p w14:paraId="48A1B906"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7F43FAEF"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244" w:type="pct"/>
          </w:tcPr>
          <w:p w14:paraId="6DFEA845" w14:textId="77777777" w:rsidR="00936847" w:rsidRPr="009C5F11" w:rsidRDefault="00E54D88" w:rsidP="00430626">
            <w:pPr>
              <w:tabs>
                <w:tab w:val="left" w:pos="1276"/>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Renovarea fiecărei clădiri selectate va </w:t>
            </w:r>
            <w:r w:rsidR="00936847" w:rsidRPr="009C5F11">
              <w:rPr>
                <w:rFonts w:ascii="Times New Roman" w:hAnsi="Times New Roman" w:cs="Times New Roman"/>
                <w:sz w:val="18"/>
                <w:szCs w:val="14"/>
                <w:lang w:val="ro-RO"/>
              </w:rPr>
              <w:t xml:space="preserve">include </w:t>
            </w:r>
            <w:r w:rsidRPr="009C5F11">
              <w:rPr>
                <w:rFonts w:ascii="Times New Roman" w:hAnsi="Times New Roman" w:cs="Times New Roman"/>
                <w:sz w:val="18"/>
                <w:szCs w:val="14"/>
                <w:lang w:val="ro-RO"/>
              </w:rPr>
              <w:t>următoarele componente</w:t>
            </w:r>
            <w:r w:rsidR="00936847" w:rsidRPr="009C5F11">
              <w:rPr>
                <w:rFonts w:ascii="Times New Roman" w:hAnsi="Times New Roman" w:cs="Times New Roman"/>
                <w:sz w:val="18"/>
                <w:szCs w:val="14"/>
                <w:lang w:val="ro-RO"/>
              </w:rPr>
              <w:t>:</w:t>
            </w:r>
          </w:p>
          <w:p w14:paraId="5D8A4C3C" w14:textId="77777777" w:rsidR="00936847" w:rsidRPr="009C5F11" w:rsidRDefault="00E54D88" w:rsidP="00334F3B">
            <w:pPr>
              <w:numPr>
                <w:ilvl w:val="0"/>
                <w:numId w:val="86"/>
              </w:numPr>
              <w:tabs>
                <w:tab w:val="left" w:pos="702"/>
              </w:tabs>
              <w:spacing w:after="0" w:line="240" w:lineRule="auto"/>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Reparaţie capitală</w:t>
            </w:r>
            <w:r w:rsidR="00321CD5" w:rsidRPr="009C5F11">
              <w:rPr>
                <w:rFonts w:ascii="Times New Roman" w:eastAsia="Calibri" w:hAnsi="Times New Roman" w:cs="Times New Roman"/>
                <w:sz w:val="18"/>
                <w:szCs w:val="14"/>
                <w:lang w:val="ro-RO" w:eastAsia="sv-SE"/>
              </w:rPr>
              <w:t xml:space="preserve"> şi </w:t>
            </w:r>
            <w:r w:rsidR="00E10BE5" w:rsidRPr="009C5F11">
              <w:rPr>
                <w:rFonts w:ascii="Times New Roman" w:eastAsia="Calibri" w:hAnsi="Times New Roman" w:cs="Times New Roman"/>
                <w:sz w:val="18"/>
                <w:szCs w:val="14"/>
                <w:lang w:val="ro-RO" w:eastAsia="sv-SE"/>
              </w:rPr>
              <w:t>măsuri</w:t>
            </w:r>
            <w:r w:rsidRPr="009C5F11">
              <w:rPr>
                <w:rFonts w:ascii="Times New Roman" w:eastAsia="Calibri" w:hAnsi="Times New Roman" w:cs="Times New Roman"/>
                <w:sz w:val="18"/>
                <w:szCs w:val="14"/>
                <w:lang w:val="ro-RO" w:eastAsia="sv-SE"/>
              </w:rPr>
              <w:t xml:space="preserve"> pregătitoare</w:t>
            </w:r>
            <w:r w:rsidR="00936847" w:rsidRPr="009C5F11">
              <w:rPr>
                <w:rFonts w:ascii="Times New Roman" w:eastAsia="Calibri" w:hAnsi="Times New Roman" w:cs="Times New Roman"/>
                <w:sz w:val="18"/>
                <w:szCs w:val="14"/>
                <w:lang w:val="ro-RO" w:eastAsia="sv-SE"/>
              </w:rPr>
              <w:t xml:space="preserve">. </w:t>
            </w:r>
            <w:r w:rsidRPr="009C5F11">
              <w:rPr>
                <w:rFonts w:ascii="Times New Roman" w:eastAsia="Calibri" w:hAnsi="Times New Roman" w:cs="Times New Roman"/>
                <w:sz w:val="18"/>
                <w:szCs w:val="14"/>
                <w:lang w:val="ro-RO" w:eastAsia="sv-SE"/>
              </w:rPr>
              <w:t xml:space="preserve">Aceste lucrări ar trebui efectuate înainte </w:t>
            </w:r>
            <w:r w:rsidR="009B74AF" w:rsidRPr="009C5F11">
              <w:rPr>
                <w:rFonts w:ascii="Times New Roman" w:eastAsia="Calibri" w:hAnsi="Times New Roman" w:cs="Times New Roman"/>
                <w:sz w:val="18"/>
                <w:szCs w:val="14"/>
                <w:lang w:val="ro-RO" w:eastAsia="sv-SE"/>
              </w:rPr>
              <w:t xml:space="preserve">de efectuarea </w:t>
            </w:r>
            <w:r w:rsidR="00E10BE5" w:rsidRPr="009C5F11">
              <w:rPr>
                <w:rFonts w:ascii="Times New Roman" w:eastAsia="Calibri" w:hAnsi="Times New Roman" w:cs="Times New Roman"/>
                <w:sz w:val="18"/>
                <w:szCs w:val="14"/>
                <w:lang w:val="ro-RO" w:eastAsia="sv-SE"/>
              </w:rPr>
              <w:t>măsuri</w:t>
            </w:r>
            <w:r w:rsidR="009B74AF" w:rsidRPr="009C5F11">
              <w:rPr>
                <w:rFonts w:ascii="Times New Roman" w:eastAsia="Calibri" w:hAnsi="Times New Roman" w:cs="Times New Roman"/>
                <w:sz w:val="18"/>
                <w:szCs w:val="14"/>
                <w:lang w:val="ro-RO" w:eastAsia="sv-SE"/>
              </w:rPr>
              <w:t>lor</w:t>
            </w:r>
            <w:r w:rsidRPr="009C5F11">
              <w:rPr>
                <w:rFonts w:ascii="Times New Roman" w:eastAsia="Calibri" w:hAnsi="Times New Roman" w:cs="Times New Roman"/>
                <w:sz w:val="18"/>
                <w:szCs w:val="14"/>
                <w:lang w:val="ro-RO" w:eastAsia="sv-SE"/>
              </w:rPr>
              <w:t xml:space="preserve"> de </w:t>
            </w:r>
            <w:r w:rsidR="009B74AF" w:rsidRPr="009C5F11">
              <w:rPr>
                <w:rFonts w:ascii="Times New Roman" w:eastAsia="Calibri" w:hAnsi="Times New Roman" w:cs="Times New Roman"/>
                <w:sz w:val="18"/>
                <w:szCs w:val="14"/>
                <w:lang w:val="ro-RO" w:eastAsia="sv-SE"/>
              </w:rPr>
              <w:t>termo</w:t>
            </w:r>
            <w:r w:rsidRPr="009C5F11">
              <w:rPr>
                <w:rFonts w:ascii="Times New Roman" w:eastAsia="Calibri" w:hAnsi="Times New Roman" w:cs="Times New Roman"/>
                <w:sz w:val="18"/>
                <w:szCs w:val="14"/>
                <w:lang w:val="ro-RO" w:eastAsia="sv-SE"/>
              </w:rPr>
              <w:t>izolare</w:t>
            </w:r>
            <w:r w:rsidR="00936847" w:rsidRPr="009C5F11">
              <w:rPr>
                <w:rFonts w:ascii="Times New Roman" w:eastAsia="Calibri" w:hAnsi="Times New Roman" w:cs="Times New Roman"/>
                <w:sz w:val="18"/>
                <w:szCs w:val="14"/>
                <w:lang w:val="ro-RO" w:eastAsia="sv-SE"/>
              </w:rPr>
              <w:t xml:space="preserve"> (</w:t>
            </w:r>
            <w:r w:rsidR="00595E25" w:rsidRPr="009C5F11">
              <w:rPr>
                <w:rFonts w:ascii="Times New Roman" w:eastAsia="Calibri" w:hAnsi="Times New Roman" w:cs="Times New Roman"/>
                <w:sz w:val="18"/>
                <w:szCs w:val="14"/>
                <w:lang w:val="ro-RO" w:eastAsia="sv-SE"/>
              </w:rPr>
              <w:t>de exemplu,</w:t>
            </w:r>
            <w:r w:rsidR="00936847" w:rsidRPr="009C5F11">
              <w:rPr>
                <w:rFonts w:ascii="Times New Roman" w:eastAsia="Calibri" w:hAnsi="Times New Roman" w:cs="Times New Roman"/>
                <w:sz w:val="18"/>
                <w:szCs w:val="14"/>
                <w:lang w:val="ro-RO" w:eastAsia="sv-SE"/>
              </w:rPr>
              <w:t xml:space="preserve"> </w:t>
            </w:r>
            <w:r w:rsidRPr="009C5F11">
              <w:rPr>
                <w:rFonts w:ascii="Times New Roman" w:eastAsia="Calibri" w:hAnsi="Times New Roman" w:cs="Times New Roman"/>
                <w:sz w:val="18"/>
                <w:szCs w:val="14"/>
                <w:lang w:val="ro-RO" w:eastAsia="sv-SE"/>
              </w:rPr>
              <w:t>renovarea acoperişului</w:t>
            </w:r>
            <w:r w:rsidR="00936847" w:rsidRPr="009C5F11">
              <w:rPr>
                <w:rFonts w:ascii="Times New Roman" w:eastAsia="Calibri" w:hAnsi="Times New Roman" w:cs="Times New Roman"/>
                <w:sz w:val="18"/>
                <w:szCs w:val="14"/>
                <w:lang w:val="ro-RO" w:eastAsia="sv-SE"/>
              </w:rPr>
              <w:t xml:space="preserve">, </w:t>
            </w:r>
            <w:r w:rsidRPr="009C5F11">
              <w:rPr>
                <w:rFonts w:ascii="Times New Roman" w:eastAsia="Calibri" w:hAnsi="Times New Roman" w:cs="Times New Roman"/>
                <w:sz w:val="18"/>
                <w:szCs w:val="14"/>
                <w:lang w:val="ro-RO" w:eastAsia="sv-SE"/>
              </w:rPr>
              <w:t xml:space="preserve">a sistemului de gestionare a apelor pluviale, lucrări de </w:t>
            </w:r>
            <w:r w:rsidR="00936847" w:rsidRPr="009C5F11">
              <w:rPr>
                <w:rFonts w:ascii="Times New Roman" w:eastAsia="Calibri" w:hAnsi="Times New Roman" w:cs="Times New Roman"/>
                <w:sz w:val="18"/>
                <w:szCs w:val="14"/>
                <w:lang w:val="ro-RO" w:eastAsia="sv-SE"/>
              </w:rPr>
              <w:t>demol</w:t>
            </w:r>
            <w:r w:rsidRPr="009C5F11">
              <w:rPr>
                <w:rFonts w:ascii="Times New Roman" w:eastAsia="Calibri" w:hAnsi="Times New Roman" w:cs="Times New Roman"/>
                <w:sz w:val="18"/>
                <w:szCs w:val="14"/>
                <w:lang w:val="ro-RO" w:eastAsia="sv-SE"/>
              </w:rPr>
              <w:t>are</w:t>
            </w:r>
            <w:r w:rsidR="00936847" w:rsidRPr="009C5F11">
              <w:rPr>
                <w:rFonts w:ascii="Times New Roman" w:eastAsia="Calibri" w:hAnsi="Times New Roman" w:cs="Times New Roman"/>
                <w:sz w:val="18"/>
                <w:szCs w:val="14"/>
                <w:lang w:val="ro-RO" w:eastAsia="sv-SE"/>
              </w:rPr>
              <w:t>, plint</w:t>
            </w:r>
            <w:r w:rsidRPr="009C5F11">
              <w:rPr>
                <w:rFonts w:ascii="Times New Roman" w:eastAsia="Calibri" w:hAnsi="Times New Roman" w:cs="Times New Roman"/>
                <w:sz w:val="18"/>
                <w:szCs w:val="14"/>
                <w:lang w:val="ro-RO" w:eastAsia="sv-SE"/>
              </w:rPr>
              <w:t>e</w:t>
            </w:r>
            <w:r w:rsidR="00936847" w:rsidRPr="009C5F11">
              <w:rPr>
                <w:rFonts w:ascii="Times New Roman" w:eastAsia="Calibri" w:hAnsi="Times New Roman" w:cs="Times New Roman"/>
                <w:sz w:val="18"/>
                <w:szCs w:val="14"/>
                <w:lang w:val="ro-RO" w:eastAsia="sv-SE"/>
              </w:rPr>
              <w:t xml:space="preserve">, </w:t>
            </w:r>
            <w:r w:rsidRPr="009C5F11">
              <w:rPr>
                <w:rFonts w:ascii="Times New Roman" w:eastAsia="Calibri" w:hAnsi="Times New Roman" w:cs="Times New Roman"/>
                <w:sz w:val="18"/>
                <w:szCs w:val="14"/>
                <w:lang w:val="ro-RO" w:eastAsia="sv-SE"/>
              </w:rPr>
              <w:t>trotuare</w:t>
            </w:r>
            <w:r w:rsidR="00936847" w:rsidRPr="009C5F11">
              <w:rPr>
                <w:rFonts w:ascii="Times New Roman" w:eastAsia="Calibri" w:hAnsi="Times New Roman" w:cs="Times New Roman"/>
                <w:sz w:val="18"/>
                <w:szCs w:val="14"/>
                <w:lang w:val="ro-RO" w:eastAsia="sv-SE"/>
              </w:rPr>
              <w:t xml:space="preserve">, </w:t>
            </w:r>
            <w:r w:rsidR="003D2CC2" w:rsidRPr="009C5F11">
              <w:rPr>
                <w:rFonts w:ascii="Times New Roman" w:eastAsia="Calibri" w:hAnsi="Times New Roman" w:cs="Times New Roman"/>
                <w:sz w:val="18"/>
                <w:szCs w:val="14"/>
                <w:lang w:val="ro-RO" w:eastAsia="sv-SE"/>
              </w:rPr>
              <w:t>paratrăsnet</w:t>
            </w:r>
            <w:r w:rsidR="00936847" w:rsidRPr="009C5F11">
              <w:rPr>
                <w:rFonts w:ascii="Times New Roman" w:eastAsia="Calibri" w:hAnsi="Times New Roman" w:cs="Times New Roman"/>
                <w:sz w:val="18"/>
                <w:szCs w:val="14"/>
                <w:lang w:val="ro-RO" w:eastAsia="sv-SE"/>
              </w:rPr>
              <w:t xml:space="preserve">, </w:t>
            </w:r>
            <w:r w:rsidRPr="009C5F11">
              <w:rPr>
                <w:rFonts w:ascii="Times New Roman" w:eastAsia="Calibri" w:hAnsi="Times New Roman" w:cs="Times New Roman"/>
                <w:sz w:val="18"/>
                <w:szCs w:val="14"/>
                <w:lang w:val="ro-RO" w:eastAsia="sv-SE"/>
              </w:rPr>
              <w:t>sistem de protecţie solară</w:t>
            </w:r>
            <w:r w:rsidR="00936847" w:rsidRPr="009C5F11">
              <w:rPr>
                <w:rFonts w:ascii="Times New Roman" w:eastAsia="Calibri" w:hAnsi="Times New Roman" w:cs="Times New Roman"/>
                <w:sz w:val="18"/>
                <w:szCs w:val="14"/>
                <w:lang w:val="ro-RO" w:eastAsia="sv-SE"/>
              </w:rPr>
              <w:t xml:space="preserve">, </w:t>
            </w:r>
            <w:r w:rsidRPr="009C5F11">
              <w:rPr>
                <w:rFonts w:ascii="Times New Roman" w:eastAsia="Calibri" w:hAnsi="Times New Roman" w:cs="Times New Roman"/>
                <w:sz w:val="18"/>
                <w:szCs w:val="14"/>
                <w:lang w:val="ro-RO" w:eastAsia="sv-SE"/>
              </w:rPr>
              <w:t xml:space="preserve">intrarea </w:t>
            </w:r>
            <w:r w:rsidR="009B74AF" w:rsidRPr="009C5F11">
              <w:rPr>
                <w:rFonts w:ascii="Times New Roman" w:eastAsia="Calibri" w:hAnsi="Times New Roman" w:cs="Times New Roman"/>
                <w:sz w:val="18"/>
                <w:szCs w:val="14"/>
                <w:lang w:val="ro-RO" w:eastAsia="sv-SE"/>
              </w:rPr>
              <w:t>centr</w:t>
            </w:r>
            <w:r w:rsidRPr="009C5F11">
              <w:rPr>
                <w:rFonts w:ascii="Times New Roman" w:eastAsia="Calibri" w:hAnsi="Times New Roman" w:cs="Times New Roman"/>
                <w:sz w:val="18"/>
                <w:szCs w:val="14"/>
                <w:lang w:val="ro-RO" w:eastAsia="sv-SE"/>
              </w:rPr>
              <w:t>ală</w:t>
            </w:r>
            <w:r w:rsidR="00936847" w:rsidRPr="009C5F11">
              <w:rPr>
                <w:rFonts w:ascii="Times New Roman" w:eastAsia="Calibri" w:hAnsi="Times New Roman" w:cs="Times New Roman"/>
                <w:sz w:val="18"/>
                <w:szCs w:val="14"/>
                <w:lang w:val="ro-RO" w:eastAsia="sv-SE"/>
              </w:rPr>
              <w:t>);</w:t>
            </w:r>
          </w:p>
          <w:p w14:paraId="1D9B8CAA" w14:textId="77777777" w:rsidR="00936847" w:rsidRPr="009C5F11" w:rsidRDefault="003D2CC2" w:rsidP="00334F3B">
            <w:pPr>
              <w:numPr>
                <w:ilvl w:val="0"/>
                <w:numId w:val="86"/>
              </w:numPr>
              <w:tabs>
                <w:tab w:val="left" w:pos="702"/>
              </w:tabs>
              <w:spacing w:after="0" w:line="240" w:lineRule="auto"/>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M</w:t>
            </w:r>
            <w:r w:rsidR="00E10BE5" w:rsidRPr="009C5F11">
              <w:rPr>
                <w:rFonts w:ascii="Times New Roman" w:eastAsia="Calibri" w:hAnsi="Times New Roman" w:cs="Times New Roman"/>
                <w:sz w:val="18"/>
                <w:szCs w:val="14"/>
                <w:lang w:val="ro-RO" w:eastAsia="sv-SE"/>
              </w:rPr>
              <w:t>ăsuri</w:t>
            </w:r>
            <w:r w:rsidRPr="009C5F11">
              <w:rPr>
                <w:rFonts w:ascii="Times New Roman" w:eastAsia="Calibri" w:hAnsi="Times New Roman" w:cs="Times New Roman"/>
                <w:sz w:val="18"/>
                <w:szCs w:val="14"/>
                <w:lang w:val="ro-RO" w:eastAsia="sv-SE"/>
              </w:rPr>
              <w:t xml:space="preserve"> de termoizolare</w:t>
            </w:r>
            <w:r w:rsidR="00936847" w:rsidRPr="009C5F11">
              <w:rPr>
                <w:rFonts w:ascii="Times New Roman" w:eastAsia="Calibri" w:hAnsi="Times New Roman" w:cs="Times New Roman"/>
                <w:sz w:val="18"/>
                <w:szCs w:val="14"/>
                <w:lang w:val="ro-RO" w:eastAsia="sv-SE"/>
              </w:rPr>
              <w:t xml:space="preserve">, </w:t>
            </w:r>
            <w:r w:rsidR="00AB1710" w:rsidRPr="009C5F11">
              <w:rPr>
                <w:rFonts w:ascii="Times New Roman" w:eastAsia="Calibri" w:hAnsi="Times New Roman" w:cs="Times New Roman"/>
                <w:sz w:val="18"/>
                <w:szCs w:val="14"/>
                <w:lang w:val="ro-RO" w:eastAsia="sv-SE"/>
              </w:rPr>
              <w:t>inclusiv</w:t>
            </w:r>
            <w:r w:rsidR="00936847" w:rsidRPr="009C5F11">
              <w:rPr>
                <w:rFonts w:ascii="Times New Roman" w:eastAsia="Calibri" w:hAnsi="Times New Roman" w:cs="Times New Roman"/>
                <w:sz w:val="18"/>
                <w:szCs w:val="14"/>
                <w:lang w:val="ro-RO" w:eastAsia="sv-SE"/>
              </w:rPr>
              <w:t xml:space="preserve"> </w:t>
            </w:r>
            <w:r w:rsidRPr="009C5F11">
              <w:rPr>
                <w:rFonts w:ascii="Times New Roman" w:eastAsia="Calibri" w:hAnsi="Times New Roman" w:cs="Times New Roman"/>
                <w:sz w:val="18"/>
                <w:szCs w:val="14"/>
                <w:lang w:val="ro-RO" w:eastAsia="sv-SE"/>
              </w:rPr>
              <w:t>termoizolarea pereţilor exteriori</w:t>
            </w:r>
            <w:r w:rsidR="00936847" w:rsidRPr="009C5F11">
              <w:rPr>
                <w:rFonts w:ascii="Times New Roman" w:eastAsia="Calibri" w:hAnsi="Times New Roman" w:cs="Times New Roman"/>
                <w:sz w:val="18"/>
                <w:szCs w:val="14"/>
                <w:lang w:val="ro-RO" w:eastAsia="sv-SE"/>
              </w:rPr>
              <w:t xml:space="preserve">, </w:t>
            </w:r>
            <w:r w:rsidRPr="009C5F11">
              <w:rPr>
                <w:rFonts w:ascii="Times New Roman" w:eastAsia="Calibri" w:hAnsi="Times New Roman" w:cs="Times New Roman"/>
                <w:sz w:val="18"/>
                <w:szCs w:val="14"/>
                <w:lang w:val="ro-RO" w:eastAsia="sv-SE"/>
              </w:rPr>
              <w:t>izolarea parţială a ultimului etaj şi a plafonului subsolului</w:t>
            </w:r>
            <w:r w:rsidR="00936847" w:rsidRPr="009C5F11">
              <w:rPr>
                <w:rFonts w:ascii="Times New Roman" w:eastAsia="Calibri" w:hAnsi="Times New Roman" w:cs="Times New Roman"/>
                <w:sz w:val="18"/>
                <w:szCs w:val="14"/>
                <w:lang w:val="ro-RO" w:eastAsia="sv-SE"/>
              </w:rPr>
              <w:t xml:space="preserve">, </w:t>
            </w:r>
            <w:r w:rsidRPr="009C5F11">
              <w:rPr>
                <w:rFonts w:ascii="Times New Roman" w:eastAsia="Calibri" w:hAnsi="Times New Roman" w:cs="Times New Roman"/>
                <w:sz w:val="18"/>
                <w:szCs w:val="14"/>
                <w:lang w:val="ro-RO" w:eastAsia="sv-SE"/>
              </w:rPr>
              <w:t xml:space="preserve">izolarea parţială a pereţilor exteriori ai subsolului şi </w:t>
            </w:r>
            <w:r w:rsidR="00D77687" w:rsidRPr="009C5F11">
              <w:rPr>
                <w:rFonts w:ascii="Times New Roman" w:eastAsia="Calibri" w:hAnsi="Times New Roman" w:cs="Times New Roman"/>
                <w:sz w:val="18"/>
                <w:szCs w:val="14"/>
                <w:lang w:val="ro-RO" w:eastAsia="sv-SE"/>
              </w:rPr>
              <w:t>înlocuirea</w:t>
            </w:r>
            <w:r w:rsidRPr="009C5F11">
              <w:rPr>
                <w:rFonts w:ascii="Times New Roman" w:eastAsia="Calibri" w:hAnsi="Times New Roman" w:cs="Times New Roman"/>
                <w:sz w:val="18"/>
                <w:szCs w:val="14"/>
                <w:lang w:val="ro-RO" w:eastAsia="sv-SE"/>
              </w:rPr>
              <w:t xml:space="preserve"> ferestrelor</w:t>
            </w:r>
            <w:r w:rsidR="00936847" w:rsidRPr="009C5F11">
              <w:rPr>
                <w:rFonts w:ascii="Times New Roman" w:eastAsia="Calibri" w:hAnsi="Times New Roman" w:cs="Times New Roman"/>
                <w:sz w:val="18"/>
                <w:szCs w:val="14"/>
                <w:lang w:val="ro-RO" w:eastAsia="sv-SE"/>
              </w:rPr>
              <w:t>;</w:t>
            </w:r>
          </w:p>
          <w:p w14:paraId="73701AB0" w14:textId="77777777" w:rsidR="00936847" w:rsidRPr="009C5F11" w:rsidRDefault="00E54D88" w:rsidP="00334F3B">
            <w:pPr>
              <w:numPr>
                <w:ilvl w:val="0"/>
                <w:numId w:val="86"/>
              </w:numPr>
              <w:tabs>
                <w:tab w:val="left" w:pos="702"/>
              </w:tabs>
              <w:spacing w:after="0" w:line="240" w:lineRule="auto"/>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Renovarea</w:t>
            </w:r>
            <w:r w:rsidR="00936847" w:rsidRPr="009C5F11">
              <w:rPr>
                <w:rFonts w:ascii="Times New Roman" w:eastAsia="Calibri" w:hAnsi="Times New Roman" w:cs="Times New Roman"/>
                <w:sz w:val="18"/>
                <w:szCs w:val="14"/>
                <w:lang w:val="ro-RO" w:eastAsia="sv-SE"/>
              </w:rPr>
              <w:t xml:space="preserve"> </w:t>
            </w:r>
            <w:r w:rsidR="003D2CC2" w:rsidRPr="009C5F11">
              <w:rPr>
                <w:rFonts w:ascii="Times New Roman" w:eastAsia="Calibri" w:hAnsi="Times New Roman" w:cs="Times New Roman"/>
                <w:sz w:val="18"/>
                <w:szCs w:val="14"/>
                <w:lang w:val="ro-RO" w:eastAsia="sv-SE"/>
              </w:rPr>
              <w:t>sistemului interior de încălzire al clădirii</w:t>
            </w:r>
            <w:r w:rsidR="00936847" w:rsidRPr="009C5F11">
              <w:rPr>
                <w:rFonts w:ascii="Times New Roman" w:eastAsia="Calibri" w:hAnsi="Times New Roman" w:cs="Times New Roman"/>
                <w:sz w:val="18"/>
                <w:szCs w:val="14"/>
                <w:lang w:val="ro-RO" w:eastAsia="sv-SE"/>
              </w:rPr>
              <w:t>;</w:t>
            </w:r>
          </w:p>
          <w:p w14:paraId="2EBCD656" w14:textId="77777777" w:rsidR="00936847" w:rsidRPr="009C5F11" w:rsidRDefault="00E54D88" w:rsidP="00334F3B">
            <w:pPr>
              <w:numPr>
                <w:ilvl w:val="0"/>
                <w:numId w:val="86"/>
              </w:numPr>
              <w:tabs>
                <w:tab w:val="left" w:pos="702"/>
              </w:tabs>
              <w:spacing w:after="0" w:line="240" w:lineRule="auto"/>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Renovarea</w:t>
            </w:r>
            <w:r w:rsidR="00936847" w:rsidRPr="009C5F11">
              <w:rPr>
                <w:rFonts w:ascii="Times New Roman" w:eastAsia="Calibri" w:hAnsi="Times New Roman" w:cs="Times New Roman"/>
                <w:sz w:val="18"/>
                <w:szCs w:val="14"/>
                <w:lang w:val="ro-RO" w:eastAsia="sv-SE"/>
              </w:rPr>
              <w:t xml:space="preserve"> </w:t>
            </w:r>
            <w:r w:rsidR="003D2CC2" w:rsidRPr="009C5F11">
              <w:rPr>
                <w:rFonts w:ascii="Times New Roman" w:eastAsia="Calibri" w:hAnsi="Times New Roman" w:cs="Times New Roman"/>
                <w:sz w:val="18"/>
                <w:szCs w:val="14"/>
                <w:lang w:val="ro-RO" w:eastAsia="sv-SE"/>
              </w:rPr>
              <w:t xml:space="preserve">cazanelor </w:t>
            </w:r>
            <w:r w:rsidR="00321CD5" w:rsidRPr="009C5F11">
              <w:rPr>
                <w:rFonts w:ascii="Times New Roman" w:eastAsia="Calibri" w:hAnsi="Times New Roman" w:cs="Times New Roman"/>
                <w:sz w:val="18"/>
                <w:szCs w:val="14"/>
                <w:lang w:val="ro-RO" w:eastAsia="sv-SE"/>
              </w:rPr>
              <w:t xml:space="preserve">sau </w:t>
            </w:r>
            <w:r w:rsidR="00D77687" w:rsidRPr="009C5F11">
              <w:rPr>
                <w:rFonts w:ascii="Times New Roman" w:eastAsia="Calibri" w:hAnsi="Times New Roman" w:cs="Times New Roman"/>
                <w:sz w:val="18"/>
                <w:szCs w:val="14"/>
                <w:lang w:val="ro-RO" w:eastAsia="sv-SE"/>
              </w:rPr>
              <w:t>instalarea</w:t>
            </w:r>
            <w:r w:rsidR="00936847" w:rsidRPr="009C5F11">
              <w:rPr>
                <w:rFonts w:ascii="Times New Roman" w:eastAsia="Calibri" w:hAnsi="Times New Roman" w:cs="Times New Roman"/>
                <w:sz w:val="18"/>
                <w:szCs w:val="14"/>
                <w:lang w:val="ro-RO" w:eastAsia="sv-SE"/>
              </w:rPr>
              <w:t xml:space="preserve"> </w:t>
            </w:r>
            <w:r w:rsidR="003D2CC2" w:rsidRPr="009C5F11">
              <w:rPr>
                <w:rFonts w:ascii="Times New Roman" w:eastAsia="Calibri" w:hAnsi="Times New Roman" w:cs="Times New Roman"/>
                <w:sz w:val="18"/>
                <w:szCs w:val="14"/>
                <w:lang w:val="ro-RO" w:eastAsia="sv-SE"/>
              </w:rPr>
              <w:t>unui nou</w:t>
            </w:r>
            <w:r w:rsidR="00936847" w:rsidRPr="009C5F11">
              <w:rPr>
                <w:rFonts w:ascii="Times New Roman" w:eastAsia="Calibri" w:hAnsi="Times New Roman" w:cs="Times New Roman"/>
                <w:sz w:val="18"/>
                <w:szCs w:val="14"/>
                <w:lang w:val="ro-RO" w:eastAsia="sv-SE"/>
              </w:rPr>
              <w:t xml:space="preserve"> </w:t>
            </w:r>
            <w:r w:rsidR="00177E9C" w:rsidRPr="009C5F11">
              <w:rPr>
                <w:rFonts w:ascii="Times New Roman" w:eastAsia="Calibri" w:hAnsi="Times New Roman" w:cs="Times New Roman"/>
                <w:sz w:val="18"/>
                <w:szCs w:val="14"/>
                <w:lang w:val="ro-RO" w:eastAsia="sv-SE"/>
              </w:rPr>
              <w:t>sistem</w:t>
            </w:r>
            <w:r w:rsidR="003D2CC2" w:rsidRPr="009C5F11">
              <w:rPr>
                <w:rFonts w:ascii="Times New Roman" w:eastAsia="Calibri" w:hAnsi="Times New Roman" w:cs="Times New Roman"/>
                <w:sz w:val="18"/>
                <w:szCs w:val="14"/>
                <w:lang w:val="ro-RO" w:eastAsia="sv-SE"/>
              </w:rPr>
              <w:t xml:space="preserve"> de încălzire,</w:t>
            </w:r>
            <w:r w:rsidR="00177E9C" w:rsidRPr="009C5F11">
              <w:rPr>
                <w:rFonts w:ascii="Times New Roman" w:eastAsia="Calibri" w:hAnsi="Times New Roman" w:cs="Times New Roman"/>
                <w:sz w:val="18"/>
                <w:szCs w:val="14"/>
                <w:lang w:val="ro-RO" w:eastAsia="sv-SE"/>
              </w:rPr>
              <w:t xml:space="preserve"> </w:t>
            </w:r>
            <w:r w:rsidR="00AB1710" w:rsidRPr="009C5F11">
              <w:rPr>
                <w:rFonts w:ascii="Times New Roman" w:eastAsia="Calibri" w:hAnsi="Times New Roman" w:cs="Times New Roman"/>
                <w:sz w:val="18"/>
                <w:szCs w:val="14"/>
                <w:lang w:val="ro-RO" w:eastAsia="sv-SE"/>
              </w:rPr>
              <w:t>inclusiv</w:t>
            </w:r>
            <w:r w:rsidR="00936847" w:rsidRPr="009C5F11">
              <w:rPr>
                <w:rFonts w:ascii="Times New Roman" w:eastAsia="Calibri" w:hAnsi="Times New Roman" w:cs="Times New Roman"/>
                <w:sz w:val="18"/>
                <w:szCs w:val="14"/>
                <w:lang w:val="ro-RO" w:eastAsia="sv-SE"/>
              </w:rPr>
              <w:t xml:space="preserve"> </w:t>
            </w:r>
            <w:r w:rsidR="003D2CC2" w:rsidRPr="009C5F11">
              <w:rPr>
                <w:rFonts w:ascii="Times New Roman" w:eastAsia="Calibri" w:hAnsi="Times New Roman" w:cs="Times New Roman"/>
                <w:sz w:val="18"/>
                <w:szCs w:val="14"/>
                <w:lang w:val="ro-RO" w:eastAsia="sv-SE"/>
              </w:rPr>
              <w:t>a echipamentelor auxiliare</w:t>
            </w:r>
            <w:r w:rsidR="00936847" w:rsidRPr="009C5F11">
              <w:rPr>
                <w:rFonts w:ascii="Times New Roman" w:eastAsia="Calibri" w:hAnsi="Times New Roman" w:cs="Times New Roman"/>
                <w:sz w:val="18"/>
                <w:szCs w:val="14"/>
                <w:lang w:val="ro-RO" w:eastAsia="sv-SE"/>
              </w:rPr>
              <w:t>;</w:t>
            </w:r>
          </w:p>
          <w:p w14:paraId="1D777996" w14:textId="77777777" w:rsidR="00936847" w:rsidRPr="009C5F11" w:rsidRDefault="00E54D88" w:rsidP="00334F3B">
            <w:pPr>
              <w:numPr>
                <w:ilvl w:val="0"/>
                <w:numId w:val="86"/>
              </w:numPr>
              <w:tabs>
                <w:tab w:val="left" w:pos="702"/>
              </w:tabs>
              <w:spacing w:after="0" w:line="240" w:lineRule="auto"/>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Renovarea</w:t>
            </w:r>
            <w:r w:rsidR="00936847" w:rsidRPr="009C5F11">
              <w:rPr>
                <w:rFonts w:ascii="Times New Roman" w:eastAsia="Calibri" w:hAnsi="Times New Roman" w:cs="Times New Roman"/>
                <w:sz w:val="18"/>
                <w:szCs w:val="14"/>
                <w:lang w:val="ro-RO" w:eastAsia="sv-SE"/>
              </w:rPr>
              <w:t xml:space="preserve"> </w:t>
            </w:r>
            <w:r w:rsidR="003D2CC2" w:rsidRPr="009C5F11">
              <w:rPr>
                <w:rFonts w:ascii="Times New Roman" w:eastAsia="Calibri" w:hAnsi="Times New Roman" w:cs="Times New Roman"/>
                <w:sz w:val="18"/>
                <w:szCs w:val="14"/>
                <w:lang w:val="ro-RO" w:eastAsia="sv-SE"/>
              </w:rPr>
              <w:t xml:space="preserve">sistemului de iluminat </w:t>
            </w:r>
            <w:r w:rsidR="00321CD5" w:rsidRPr="009C5F11">
              <w:rPr>
                <w:rFonts w:ascii="Times New Roman" w:eastAsia="Calibri" w:hAnsi="Times New Roman" w:cs="Times New Roman"/>
                <w:sz w:val="18"/>
                <w:szCs w:val="14"/>
                <w:lang w:val="ro-RO" w:eastAsia="sv-SE"/>
              </w:rPr>
              <w:t xml:space="preserve">sau </w:t>
            </w:r>
            <w:r w:rsidR="00D77687" w:rsidRPr="009C5F11">
              <w:rPr>
                <w:rFonts w:ascii="Times New Roman" w:eastAsia="Calibri" w:hAnsi="Times New Roman" w:cs="Times New Roman"/>
                <w:sz w:val="18"/>
                <w:szCs w:val="14"/>
                <w:lang w:val="ro-RO" w:eastAsia="sv-SE"/>
              </w:rPr>
              <w:t>instalarea</w:t>
            </w:r>
            <w:r w:rsidR="003D2CC2" w:rsidRPr="009C5F11">
              <w:rPr>
                <w:rFonts w:ascii="Times New Roman" w:eastAsia="Calibri" w:hAnsi="Times New Roman" w:cs="Times New Roman"/>
                <w:sz w:val="18"/>
                <w:szCs w:val="14"/>
                <w:lang w:val="ro-RO" w:eastAsia="sv-SE"/>
              </w:rPr>
              <w:t xml:space="preserve"> unui sistem de iluminat cu un consum redus de energie</w:t>
            </w:r>
            <w:r w:rsidR="00936847" w:rsidRPr="009C5F11">
              <w:rPr>
                <w:rFonts w:ascii="Times New Roman" w:eastAsia="Calibri" w:hAnsi="Times New Roman" w:cs="Times New Roman"/>
                <w:sz w:val="18"/>
                <w:szCs w:val="14"/>
                <w:lang w:val="ro-RO" w:eastAsia="sv-SE"/>
              </w:rPr>
              <w:t>.</w:t>
            </w:r>
          </w:p>
        </w:tc>
      </w:tr>
      <w:tr w:rsidR="00936847" w:rsidRPr="009C5F11" w14:paraId="00EA6FC4" w14:textId="77777777" w:rsidTr="00BF6432">
        <w:trPr>
          <w:trHeight w:val="422"/>
        </w:trPr>
        <w:tc>
          <w:tcPr>
            <w:tcW w:w="743" w:type="pct"/>
            <w:vMerge/>
          </w:tcPr>
          <w:p w14:paraId="4EAD6B8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E03C6F4"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21F46A77" w14:textId="77777777" w:rsidR="00936847" w:rsidRPr="009C5F11" w:rsidRDefault="00E54D88" w:rsidP="00430626">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Strategiile sectoriale de cheltuieli în domeniul energetic</w:t>
            </w:r>
            <w:r w:rsidR="00936847" w:rsidRPr="009C5F11">
              <w:rPr>
                <w:rFonts w:ascii="Times New Roman" w:hAnsi="Times New Roman" w:cs="Times New Roman"/>
                <w:sz w:val="18"/>
                <w:szCs w:val="14"/>
                <w:lang w:val="ro-RO" w:eastAsia="de-DE"/>
              </w:rPr>
              <w:t xml:space="preserve"> includ</w:t>
            </w:r>
            <w:r w:rsidRPr="009C5F11">
              <w:rPr>
                <w:rFonts w:ascii="Times New Roman" w:hAnsi="Times New Roman" w:cs="Times New Roman"/>
                <w:sz w:val="18"/>
                <w:szCs w:val="14"/>
                <w:lang w:val="ro-RO" w:eastAsia="de-DE"/>
              </w:rPr>
              <w:t xml:space="preserve"> </w:t>
            </w:r>
            <w:r w:rsidR="00FD5F1C" w:rsidRPr="009C5F11">
              <w:rPr>
                <w:rFonts w:ascii="Times New Roman" w:hAnsi="Times New Roman" w:cs="Times New Roman"/>
                <w:sz w:val="18"/>
                <w:szCs w:val="14"/>
                <w:lang w:val="ro-RO" w:eastAsia="de-DE"/>
              </w:rPr>
              <w:t>Subprogramul</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i/>
                <w:sz w:val="18"/>
                <w:szCs w:val="14"/>
                <w:lang w:val="ro-RO" w:eastAsia="de-DE"/>
              </w:rPr>
              <w:t>“</w:t>
            </w:r>
            <w:r w:rsidR="00FD5F1C" w:rsidRPr="009C5F11">
              <w:rPr>
                <w:rFonts w:ascii="Times New Roman" w:hAnsi="Times New Roman" w:cs="Times New Roman"/>
                <w:i/>
                <w:sz w:val="18"/>
                <w:szCs w:val="14"/>
                <w:lang w:val="ro-RO" w:eastAsia="de-DE"/>
              </w:rPr>
              <w:t>Eficienţa energetică</w:t>
            </w:r>
            <w:r w:rsidR="00321CD5" w:rsidRPr="009C5F11">
              <w:rPr>
                <w:rFonts w:ascii="Times New Roman" w:hAnsi="Times New Roman" w:cs="Times New Roman"/>
                <w:i/>
                <w:sz w:val="18"/>
                <w:szCs w:val="14"/>
                <w:lang w:val="ro-RO" w:eastAsia="de-DE"/>
              </w:rPr>
              <w:t xml:space="preserve"> şi </w:t>
            </w:r>
            <w:r w:rsidR="00FD5F1C" w:rsidRPr="009C5F11">
              <w:rPr>
                <w:rFonts w:ascii="Times New Roman" w:hAnsi="Times New Roman" w:cs="Times New Roman"/>
                <w:i/>
                <w:sz w:val="18"/>
                <w:szCs w:val="14"/>
                <w:lang w:val="ro-RO" w:eastAsia="de-DE"/>
              </w:rPr>
              <w:t>surse regenerabile de energie</w:t>
            </w:r>
            <w:r w:rsidR="00936847" w:rsidRPr="009C5F11">
              <w:rPr>
                <w:rFonts w:ascii="Times New Roman" w:hAnsi="Times New Roman" w:cs="Times New Roman"/>
                <w:i/>
                <w:sz w:val="18"/>
                <w:szCs w:val="14"/>
                <w:lang w:val="ro-RO" w:eastAsia="de-DE"/>
              </w:rPr>
              <w:t>”</w:t>
            </w:r>
            <w:r w:rsidRPr="009C5F11">
              <w:rPr>
                <w:rFonts w:ascii="Times New Roman" w:hAnsi="Times New Roman" w:cs="Times New Roman"/>
                <w:i/>
                <w:sz w:val="18"/>
                <w:szCs w:val="14"/>
                <w:lang w:val="ro-RO" w:eastAsia="de-DE"/>
              </w:rPr>
              <w:t>,</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acţiunile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de promovare a economiilor de energie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fiind facilitate</w:t>
            </w:r>
            <w:r w:rsidR="000138BD"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preponderent</w:t>
            </w:r>
            <w:r w:rsidR="000138BD"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de</w:t>
            </w:r>
            <w:r w:rsidR="00936847" w:rsidRPr="009C5F11">
              <w:rPr>
                <w:rFonts w:ascii="Times New Roman" w:hAnsi="Times New Roman" w:cs="Times New Roman"/>
                <w:sz w:val="18"/>
                <w:szCs w:val="14"/>
                <w:lang w:val="ro-RO" w:eastAsia="de-DE"/>
              </w:rPr>
              <w:t xml:space="preserve"> </w:t>
            </w:r>
            <w:r w:rsidR="00321CD5" w:rsidRPr="009C5F11">
              <w:rPr>
                <w:rFonts w:ascii="Times New Roman" w:hAnsi="Times New Roman" w:cs="Times New Roman"/>
                <w:sz w:val="18"/>
                <w:szCs w:val="14"/>
                <w:lang w:val="ro-RO" w:eastAsia="de-DE"/>
              </w:rPr>
              <w:t>Fondul pentru Eficienţă Energetică</w:t>
            </w:r>
            <w:r w:rsidR="00936847" w:rsidRPr="009C5F11">
              <w:rPr>
                <w:rFonts w:ascii="Times New Roman" w:hAnsi="Times New Roman" w:cs="Times New Roman"/>
                <w:sz w:val="18"/>
                <w:szCs w:val="14"/>
                <w:lang w:val="ro-RO" w:eastAsia="de-DE"/>
              </w:rPr>
              <w:t>.</w:t>
            </w:r>
          </w:p>
          <w:p w14:paraId="38A51965" w14:textId="77777777" w:rsidR="00AB7A5D" w:rsidRPr="009C5F11" w:rsidRDefault="00AB7A5D" w:rsidP="003D01C1">
            <w:pPr>
              <w:tabs>
                <w:tab w:val="left" w:pos="702"/>
                <w:tab w:val="left" w:pos="5040"/>
                <w:tab w:val="right" w:pos="8504"/>
              </w:tabs>
              <w:spacing w:before="40" w:after="0" w:line="240" w:lineRule="auto"/>
              <w:ind w:left="360" w:hanging="337"/>
              <w:jc w:val="both"/>
              <w:rPr>
                <w:rFonts w:ascii="Times New Roman" w:hAnsi="Times New Roman" w:cs="Times New Roman"/>
                <w:b/>
                <w:sz w:val="18"/>
                <w:szCs w:val="14"/>
                <w:lang w:val="ro-RO" w:eastAsia="de-DE"/>
              </w:rPr>
            </w:pPr>
          </w:p>
          <w:p w14:paraId="30CBFA14" w14:textId="77777777" w:rsidR="00936847" w:rsidRPr="009C5F11" w:rsidRDefault="00AA0566" w:rsidP="003D01C1">
            <w:pPr>
              <w:tabs>
                <w:tab w:val="left" w:pos="702"/>
                <w:tab w:val="left" w:pos="5040"/>
                <w:tab w:val="right" w:pos="8504"/>
              </w:tabs>
              <w:spacing w:before="40" w:after="0" w:line="240" w:lineRule="auto"/>
              <w:ind w:left="360" w:hanging="337"/>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FEE</w:t>
            </w:r>
          </w:p>
          <w:p w14:paraId="1C45A88F" w14:textId="77777777" w:rsidR="00936847" w:rsidRPr="009C5F11" w:rsidRDefault="000138BD" w:rsidP="00430626">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total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pentru</w:t>
            </w:r>
            <w:r w:rsidR="00936847" w:rsidRPr="009C5F11">
              <w:rPr>
                <w:rFonts w:ascii="Times New Roman" w:hAnsi="Times New Roman" w:cs="Times New Roman"/>
                <w:sz w:val="18"/>
                <w:szCs w:val="14"/>
                <w:lang w:val="ro-RO" w:eastAsia="de-DE"/>
              </w:rPr>
              <w:t xml:space="preserve"> APP </w:t>
            </w:r>
            <w:r w:rsidRPr="009C5F11">
              <w:rPr>
                <w:rFonts w:ascii="Times New Roman" w:hAnsi="Times New Roman" w:cs="Times New Roman"/>
                <w:sz w:val="18"/>
                <w:szCs w:val="14"/>
                <w:lang w:val="ro-RO" w:eastAsia="de-DE"/>
              </w:rPr>
              <w:t>precedent</w:t>
            </w:r>
            <w:r w:rsidR="009346F6"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 xml:space="preserve">1&amp;3: </w:t>
            </w:r>
            <w:r w:rsidRPr="009C5F11">
              <w:rPr>
                <w:rFonts w:ascii="Times New Roman" w:hAnsi="Times New Roman" w:cs="Times New Roman"/>
                <w:sz w:val="18"/>
                <w:szCs w:val="14"/>
                <w:lang w:val="ro-RO" w:eastAsia="de-DE"/>
              </w:rPr>
              <w:t>pentru</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i/>
                <w:sz w:val="18"/>
                <w:szCs w:val="14"/>
                <w:lang w:val="ro-RO" w:eastAsia="de-DE"/>
              </w:rPr>
              <w:t>entităţi sociale din proprietatea APC şi APL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lansat de</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FEE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 însumat</w:t>
            </w:r>
            <w:r w:rsidR="00936847" w:rsidRPr="009C5F11">
              <w:rPr>
                <w:rFonts w:ascii="Times New Roman" w:hAnsi="Times New Roman" w:cs="Times New Roman"/>
                <w:sz w:val="18"/>
                <w:szCs w:val="14"/>
                <w:lang w:val="ro-RO" w:eastAsia="de-DE"/>
              </w:rPr>
              <w:t xml:space="preserve"> 400 </w:t>
            </w:r>
            <w:r w:rsidRPr="009C5F11">
              <w:rPr>
                <w:rFonts w:ascii="Times New Roman" w:hAnsi="Times New Roman" w:cs="Times New Roman"/>
                <w:sz w:val="18"/>
                <w:szCs w:val="14"/>
                <w:lang w:val="ro-RO" w:eastAsia="de-DE"/>
              </w:rPr>
              <w:t>milioane de</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lei</w:t>
            </w:r>
            <w:r w:rsidRPr="009C5F11">
              <w:rPr>
                <w:rFonts w:ascii="Times New Roman" w:hAnsi="Times New Roman" w:cs="Times New Roman"/>
                <w:sz w:val="18"/>
                <w:szCs w:val="14"/>
                <w:lang w:val="ro-RO" w:eastAsia="de-DE"/>
              </w:rPr>
              <w:t xml:space="preserve">, contribuind la obţinerea </w:t>
            </w:r>
            <w:r w:rsidR="009B74AF" w:rsidRPr="009C5F11">
              <w:rPr>
                <w:rFonts w:ascii="Times New Roman" w:hAnsi="Times New Roman" w:cs="Times New Roman"/>
                <w:sz w:val="18"/>
                <w:szCs w:val="14"/>
                <w:lang w:val="ro-RO" w:eastAsia="de-DE"/>
              </w:rPr>
              <w:t>unor economii în cuantum de</w:t>
            </w:r>
            <w:r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 xml:space="preserve">7.9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w:t>
            </w:r>
          </w:p>
          <w:p w14:paraId="376040E1" w14:textId="77777777" w:rsidR="00936847" w:rsidRPr="009C5F11" w:rsidRDefault="00334DD0" w:rsidP="00430626">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În </w:t>
            </w:r>
            <w:r w:rsidR="00936847" w:rsidRPr="009C5F11">
              <w:rPr>
                <w:rFonts w:ascii="Times New Roman" w:hAnsi="Times New Roman" w:cs="Times New Roman"/>
                <w:sz w:val="18"/>
                <w:szCs w:val="14"/>
                <w:lang w:val="ro-RO" w:eastAsia="de-DE"/>
              </w:rPr>
              <w:t xml:space="preserve">2013, 80% </w:t>
            </w:r>
            <w:r w:rsidR="000E55A5" w:rsidRPr="009C5F11">
              <w:rPr>
                <w:rFonts w:ascii="Times New Roman" w:hAnsi="Times New Roman" w:cs="Times New Roman"/>
                <w:sz w:val="18"/>
                <w:szCs w:val="14"/>
                <w:lang w:val="ro-RO" w:eastAsia="de-DE"/>
              </w:rPr>
              <w:t>din mijloacele</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FEE</w:t>
            </w:r>
            <w:r w:rsidR="00936847" w:rsidRPr="009C5F11">
              <w:rPr>
                <w:rFonts w:ascii="Times New Roman" w:hAnsi="Times New Roman" w:cs="Times New Roman"/>
                <w:sz w:val="18"/>
                <w:szCs w:val="14"/>
                <w:lang w:val="ro-RO" w:eastAsia="de-DE"/>
              </w:rPr>
              <w:t xml:space="preserve"> </w:t>
            </w:r>
            <w:r w:rsidR="009B74AF" w:rsidRPr="009C5F11">
              <w:rPr>
                <w:rFonts w:ascii="Times New Roman" w:hAnsi="Times New Roman" w:cs="Times New Roman"/>
                <w:sz w:val="18"/>
                <w:szCs w:val="14"/>
                <w:lang w:val="ro-RO" w:eastAsia="de-DE"/>
              </w:rPr>
              <w:t>au fost</w:t>
            </w:r>
            <w:r w:rsidR="000E55A5" w:rsidRPr="009C5F11">
              <w:rPr>
                <w:rFonts w:ascii="Times New Roman" w:hAnsi="Times New Roman" w:cs="Times New Roman"/>
                <w:sz w:val="18"/>
                <w:szCs w:val="14"/>
                <w:lang w:val="ro-RO" w:eastAsia="de-DE"/>
              </w:rPr>
              <w:t xml:space="preserve"> destinate</w:t>
            </w:r>
            <w:r w:rsidR="00936847" w:rsidRPr="009C5F11">
              <w:rPr>
                <w:rFonts w:ascii="Times New Roman" w:hAnsi="Times New Roman" w:cs="Times New Roman"/>
                <w:sz w:val="18"/>
                <w:szCs w:val="14"/>
                <w:lang w:val="ro-RO" w:eastAsia="de-DE"/>
              </w:rPr>
              <w:t xml:space="preserve"> </w:t>
            </w:r>
            <w:r w:rsidR="002F0B3A" w:rsidRPr="009C5F11">
              <w:rPr>
                <w:rFonts w:ascii="Times New Roman" w:hAnsi="Times New Roman" w:cs="Times New Roman"/>
                <w:sz w:val="18"/>
                <w:szCs w:val="14"/>
                <w:lang w:val="ro-RO" w:eastAsia="de-DE"/>
              </w:rPr>
              <w:t>sectorul</w:t>
            </w:r>
            <w:r w:rsidR="000E55A5" w:rsidRPr="009C5F11">
              <w:rPr>
                <w:rFonts w:ascii="Times New Roman" w:hAnsi="Times New Roman" w:cs="Times New Roman"/>
                <w:sz w:val="18"/>
                <w:szCs w:val="14"/>
                <w:lang w:val="ro-RO" w:eastAsia="de-DE"/>
              </w:rPr>
              <w:t>ui</w:t>
            </w:r>
            <w:r w:rsidR="002F0B3A" w:rsidRPr="009C5F11">
              <w:rPr>
                <w:rFonts w:ascii="Times New Roman" w:hAnsi="Times New Roman" w:cs="Times New Roman"/>
                <w:sz w:val="18"/>
                <w:szCs w:val="14"/>
                <w:lang w:val="ro-RO" w:eastAsia="de-DE"/>
              </w:rPr>
              <w:t xml:space="preserve"> public</w:t>
            </w:r>
            <w:r w:rsidR="000E55A5" w:rsidRPr="009C5F11">
              <w:rPr>
                <w:rFonts w:ascii="Times New Roman" w:hAnsi="Times New Roman" w:cs="Times New Roman"/>
                <w:sz w:val="18"/>
                <w:szCs w:val="14"/>
                <w:lang w:val="ro-RO" w:eastAsia="de-DE"/>
              </w:rPr>
              <w:t>.</w:t>
            </w:r>
          </w:p>
          <w:p w14:paraId="02A5C3CB" w14:textId="77777777" w:rsidR="00936847" w:rsidRPr="009C5F11" w:rsidRDefault="00CD7240" w:rsidP="00430626">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lastRenderedPageBreak/>
              <w:t>Proiect</w:t>
            </w:r>
            <w:r w:rsidR="000138BD"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l</w:t>
            </w:r>
            <w:r w:rsidR="00E10BE5" w:rsidRPr="009C5F11">
              <w:rPr>
                <w:rFonts w:ascii="Times New Roman" w:hAnsi="Times New Roman" w:cs="Times New Roman"/>
                <w:sz w:val="18"/>
                <w:szCs w:val="14"/>
                <w:lang w:val="ro-RO" w:eastAsia="de-DE"/>
              </w:rPr>
              <w:t>e</w:t>
            </w:r>
            <w:r w:rsidR="00321CD5" w:rsidRPr="009C5F11">
              <w:rPr>
                <w:rFonts w:ascii="Times New Roman" w:hAnsi="Times New Roman" w:cs="Times New Roman"/>
                <w:sz w:val="18"/>
                <w:szCs w:val="14"/>
                <w:lang w:val="ro-RO" w:eastAsia="de-DE"/>
              </w:rPr>
              <w:t xml:space="preserve"> </w:t>
            </w:r>
            <w:r w:rsidR="000138BD" w:rsidRPr="009C5F11">
              <w:rPr>
                <w:rFonts w:ascii="Times New Roman" w:hAnsi="Times New Roman" w:cs="Times New Roman"/>
                <w:sz w:val="18"/>
                <w:szCs w:val="14"/>
                <w:lang w:val="ro-RO" w:eastAsia="de-DE"/>
              </w:rPr>
              <w:t>din cadrul</w:t>
            </w:r>
            <w:r w:rsidR="00936847"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subprogramul</w:t>
            </w:r>
            <w:r w:rsidR="000138BD" w:rsidRPr="009C5F11">
              <w:rPr>
                <w:rFonts w:ascii="Times New Roman" w:hAnsi="Times New Roman" w:cs="Times New Roman"/>
                <w:sz w:val="18"/>
                <w:szCs w:val="14"/>
                <w:lang w:val="ro-RO" w:eastAsia="de-DE"/>
              </w:rPr>
              <w:t>ui</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i/>
                <w:sz w:val="18"/>
                <w:szCs w:val="14"/>
                <w:lang w:val="ro-RO" w:eastAsia="de-DE"/>
              </w:rPr>
              <w:t>“</w:t>
            </w:r>
            <w:r w:rsidR="00FD5F1C" w:rsidRPr="009C5F11">
              <w:rPr>
                <w:rFonts w:ascii="Times New Roman" w:hAnsi="Times New Roman" w:cs="Times New Roman"/>
                <w:i/>
                <w:sz w:val="18"/>
                <w:szCs w:val="14"/>
                <w:lang w:val="ro-RO" w:eastAsia="de-DE"/>
              </w:rPr>
              <w:t>Eficienţa energetică</w:t>
            </w:r>
            <w:r w:rsidR="00321CD5" w:rsidRPr="009C5F11">
              <w:rPr>
                <w:rFonts w:ascii="Times New Roman" w:hAnsi="Times New Roman" w:cs="Times New Roman"/>
                <w:i/>
                <w:sz w:val="18"/>
                <w:szCs w:val="14"/>
                <w:lang w:val="ro-RO" w:eastAsia="de-DE"/>
              </w:rPr>
              <w:t xml:space="preserve"> şi </w:t>
            </w:r>
            <w:r w:rsidR="00FD5F1C" w:rsidRPr="009C5F11">
              <w:rPr>
                <w:rFonts w:ascii="Times New Roman" w:hAnsi="Times New Roman" w:cs="Times New Roman"/>
                <w:i/>
                <w:sz w:val="18"/>
                <w:szCs w:val="14"/>
                <w:lang w:val="ro-RO" w:eastAsia="de-DE"/>
              </w:rPr>
              <w:t>surse regenerabile de energie</w:t>
            </w:r>
            <w:r w:rsidR="00936847" w:rsidRPr="009C5F11">
              <w:rPr>
                <w:rFonts w:ascii="Times New Roman" w:hAnsi="Times New Roman" w:cs="Times New Roman"/>
                <w:i/>
                <w:sz w:val="18"/>
                <w:szCs w:val="14"/>
                <w:lang w:val="ro-RO" w:eastAsia="de-DE"/>
              </w:rPr>
              <w:t>”</w:t>
            </w:r>
            <w:r w:rsidR="00936847" w:rsidRPr="009C5F11">
              <w:rPr>
                <w:rFonts w:ascii="Times New Roman" w:hAnsi="Times New Roman" w:cs="Times New Roman"/>
                <w:sz w:val="18"/>
                <w:szCs w:val="14"/>
                <w:lang w:val="ro-RO" w:eastAsia="de-DE"/>
              </w:rPr>
              <w:t xml:space="preserve"> </w:t>
            </w:r>
            <w:r w:rsidR="000138BD" w:rsidRPr="009C5F11">
              <w:rPr>
                <w:rFonts w:ascii="Times New Roman" w:hAnsi="Times New Roman" w:cs="Times New Roman"/>
                <w:sz w:val="18"/>
                <w:szCs w:val="14"/>
                <w:lang w:val="ro-RO" w:eastAsia="de-DE"/>
              </w:rPr>
              <w:t xml:space="preserve">sunt </w:t>
            </w:r>
            <w:r w:rsidR="000E55A5" w:rsidRPr="009C5F11">
              <w:rPr>
                <w:rFonts w:ascii="Times New Roman" w:hAnsi="Times New Roman" w:cs="Times New Roman"/>
                <w:sz w:val="18"/>
                <w:szCs w:val="14"/>
                <w:lang w:val="ro-RO" w:eastAsia="de-DE"/>
              </w:rPr>
              <w:t>beneficiari</w:t>
            </w:r>
            <w:r w:rsidR="000138BD" w:rsidRPr="009C5F11">
              <w:rPr>
                <w:rFonts w:ascii="Times New Roman" w:hAnsi="Times New Roman" w:cs="Times New Roman"/>
                <w:sz w:val="18"/>
                <w:szCs w:val="14"/>
                <w:lang w:val="ro-RO" w:eastAsia="de-DE"/>
              </w:rPr>
              <w:t xml:space="preserve"> a</w:t>
            </w:r>
            <w:r w:rsidR="000E55A5" w:rsidRPr="009C5F11">
              <w:rPr>
                <w:rFonts w:ascii="Times New Roman" w:hAnsi="Times New Roman" w:cs="Times New Roman"/>
                <w:sz w:val="18"/>
                <w:szCs w:val="14"/>
                <w:lang w:val="ro-RO" w:eastAsia="de-DE"/>
              </w:rPr>
              <w:t>i</w:t>
            </w:r>
            <w:r w:rsidR="00936847" w:rsidRPr="009C5F11">
              <w:rPr>
                <w:rFonts w:ascii="Times New Roman" w:hAnsi="Times New Roman" w:cs="Times New Roman"/>
                <w:sz w:val="18"/>
                <w:szCs w:val="14"/>
                <w:lang w:val="ro-RO" w:eastAsia="de-DE"/>
              </w:rPr>
              <w:t xml:space="preserve"> </w:t>
            </w:r>
            <w:r w:rsidR="000E55A5" w:rsidRPr="009C5F11">
              <w:rPr>
                <w:rFonts w:ascii="Times New Roman" w:hAnsi="Times New Roman" w:cs="Times New Roman"/>
                <w:sz w:val="18"/>
                <w:szCs w:val="14"/>
                <w:lang w:val="ro-RO" w:eastAsia="de-DE"/>
              </w:rPr>
              <w:t>următoarelor fonduri alocate</w:t>
            </w:r>
            <w:r w:rsidR="00321CD5" w:rsidRPr="009C5F11">
              <w:rPr>
                <w:rFonts w:ascii="Times New Roman" w:hAnsi="Times New Roman" w:cs="Times New Roman"/>
                <w:sz w:val="18"/>
                <w:szCs w:val="14"/>
                <w:lang w:val="ro-RO" w:eastAsia="de-DE"/>
              </w:rPr>
              <w:t xml:space="preserve"> </w:t>
            </w:r>
            <w:r w:rsidR="000E55A5" w:rsidRPr="009C5F11">
              <w:rPr>
                <w:rFonts w:ascii="Times New Roman" w:hAnsi="Times New Roman" w:cs="Times New Roman"/>
                <w:sz w:val="18"/>
                <w:szCs w:val="14"/>
                <w:lang w:val="ro-RO" w:eastAsia="de-DE"/>
              </w:rPr>
              <w:t>strategiilor relevante de cheltuieli</w:t>
            </w:r>
            <w:r w:rsidR="00936847" w:rsidRPr="009C5F11">
              <w:rPr>
                <w:rFonts w:ascii="Times New Roman" w:hAnsi="Times New Roman" w:cs="Times New Roman"/>
                <w:sz w:val="18"/>
                <w:szCs w:val="14"/>
                <w:lang w:val="ro-RO" w:eastAsia="de-DE"/>
              </w:rPr>
              <w:t xml:space="preserve"> </w:t>
            </w:r>
            <w:r w:rsidR="000138BD" w:rsidRPr="009C5F11">
              <w:rPr>
                <w:rFonts w:ascii="Times New Roman" w:hAnsi="Times New Roman" w:cs="Times New Roman"/>
                <w:sz w:val="18"/>
                <w:szCs w:val="14"/>
                <w:lang w:val="ro-RO" w:eastAsia="de-DE"/>
              </w:rPr>
              <w:t>în domeniul</w:t>
            </w:r>
            <w:r w:rsidR="00421FA7" w:rsidRPr="009C5F11">
              <w:rPr>
                <w:rFonts w:ascii="Times New Roman" w:hAnsi="Times New Roman" w:cs="Times New Roman"/>
                <w:sz w:val="18"/>
                <w:szCs w:val="14"/>
                <w:lang w:val="ro-RO" w:eastAsia="de-DE"/>
              </w:rPr>
              <w:t xml:space="preserve"> energetic</w:t>
            </w:r>
            <w:r w:rsidR="00936847" w:rsidRPr="009C5F11">
              <w:rPr>
                <w:rFonts w:ascii="Times New Roman" w:hAnsi="Times New Roman" w:cs="Times New Roman"/>
                <w:sz w:val="18"/>
                <w:szCs w:val="14"/>
                <w:lang w:val="ro-RO" w:eastAsia="de-DE"/>
              </w:rPr>
              <w:t>:</w:t>
            </w:r>
          </w:p>
          <w:p w14:paraId="2C55043C" w14:textId="77777777" w:rsidR="00936847" w:rsidRPr="009C5F11" w:rsidRDefault="00936847" w:rsidP="00430626">
            <w:pPr>
              <w:tabs>
                <w:tab w:val="left" w:pos="702"/>
                <w:tab w:val="left" w:pos="5040"/>
                <w:tab w:val="right" w:pos="8504"/>
              </w:tabs>
              <w:spacing w:before="40"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2016-2018 </w:t>
            </w:r>
          </w:p>
          <w:p w14:paraId="54904232" w14:textId="77777777" w:rsidR="007F3A37" w:rsidRPr="009C5F11" w:rsidRDefault="00936847" w:rsidP="00334F3B">
            <w:pPr>
              <w:pStyle w:val="Listparagraf"/>
              <w:numPr>
                <w:ilvl w:val="0"/>
                <w:numId w:val="198"/>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2016 </w:t>
            </w:r>
            <w:r w:rsidR="000E55A5" w:rsidRPr="009C5F11">
              <w:rPr>
                <w:rFonts w:ascii="Times New Roman" w:hAnsi="Times New Roman" w:cs="Times New Roman"/>
                <w:sz w:val="18"/>
                <w:szCs w:val="14"/>
                <w:lang w:val="ro-RO" w:eastAsia="de-DE"/>
              </w:rPr>
              <w:t xml:space="preserve">  </w:t>
            </w:r>
            <w:r w:rsidR="007F3A37" w:rsidRPr="009C5F11">
              <w:rPr>
                <w:rFonts w:ascii="Times New Roman" w:hAnsi="Times New Roman" w:cs="Times New Roman"/>
                <w:sz w:val="18"/>
                <w:szCs w:val="14"/>
                <w:lang w:val="ro-RO" w:eastAsia="de-DE"/>
              </w:rPr>
              <w:t>184,681.9</w:t>
            </w:r>
            <w:r w:rsidR="003F5265" w:rsidRPr="009C5F11">
              <w:rPr>
                <w:rFonts w:ascii="Times New Roman" w:hAnsi="Times New Roman" w:cs="Times New Roman"/>
                <w:sz w:val="18"/>
                <w:szCs w:val="14"/>
                <w:lang w:val="ro-RO" w:eastAsia="de-DE"/>
              </w:rPr>
              <w:t xml:space="preserve">  mii lei</w:t>
            </w:r>
          </w:p>
          <w:p w14:paraId="3D48652F" w14:textId="77777777" w:rsidR="007F3A37" w:rsidRPr="009C5F11" w:rsidRDefault="00936847" w:rsidP="00334F3B">
            <w:pPr>
              <w:pStyle w:val="Listparagraf"/>
              <w:numPr>
                <w:ilvl w:val="0"/>
                <w:numId w:val="198"/>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2017 </w:t>
            </w:r>
            <w:r w:rsidR="000E55A5" w:rsidRPr="009C5F11">
              <w:rPr>
                <w:rFonts w:ascii="Times New Roman" w:hAnsi="Times New Roman" w:cs="Times New Roman"/>
                <w:sz w:val="18"/>
                <w:szCs w:val="14"/>
                <w:lang w:val="ro-RO" w:eastAsia="de-DE"/>
              </w:rPr>
              <w:t xml:space="preserve">  </w:t>
            </w:r>
            <w:r w:rsidR="007F3A37" w:rsidRPr="009C5F11">
              <w:rPr>
                <w:rFonts w:ascii="Times New Roman" w:hAnsi="Times New Roman" w:cs="Times New Roman"/>
                <w:sz w:val="18"/>
                <w:szCs w:val="14"/>
                <w:lang w:val="ro-RO" w:eastAsia="de-DE"/>
              </w:rPr>
              <w:t>179,520.6</w:t>
            </w:r>
            <w:r w:rsidR="003F5265" w:rsidRPr="009C5F11">
              <w:rPr>
                <w:rFonts w:ascii="Times New Roman" w:hAnsi="Times New Roman" w:cs="Times New Roman"/>
                <w:sz w:val="18"/>
                <w:szCs w:val="14"/>
                <w:lang w:val="ro-RO" w:eastAsia="de-DE"/>
              </w:rPr>
              <w:t xml:space="preserve">  mii lei</w:t>
            </w:r>
          </w:p>
          <w:p w14:paraId="1D5EA0EE" w14:textId="77777777" w:rsidR="00936847" w:rsidRPr="009C5F11" w:rsidRDefault="00936847" w:rsidP="00334F3B">
            <w:pPr>
              <w:pStyle w:val="Listparagraf"/>
              <w:numPr>
                <w:ilvl w:val="0"/>
                <w:numId w:val="198"/>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w:t>
            </w:r>
            <w:r w:rsidR="007F3A37" w:rsidRPr="009C5F11">
              <w:rPr>
                <w:rFonts w:ascii="Times New Roman" w:hAnsi="Times New Roman" w:cs="Times New Roman"/>
                <w:sz w:val="18"/>
                <w:szCs w:val="14"/>
                <w:lang w:val="ro-RO" w:eastAsia="de-DE"/>
              </w:rPr>
              <w:t xml:space="preserve">   177,900.0</w:t>
            </w:r>
            <w:r w:rsidR="003F5265" w:rsidRPr="009C5F11">
              <w:rPr>
                <w:rFonts w:ascii="Times New Roman" w:hAnsi="Times New Roman" w:cs="Times New Roman"/>
                <w:sz w:val="18"/>
                <w:szCs w:val="14"/>
                <w:lang w:val="ro-RO" w:eastAsia="de-DE"/>
              </w:rPr>
              <w:t xml:space="preserve">  mii lei</w:t>
            </w:r>
          </w:p>
          <w:p w14:paraId="525090AB" w14:textId="77777777" w:rsidR="00936847" w:rsidRPr="009C5F11" w:rsidRDefault="000138BD" w:rsidP="00430626">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O parte a acestor sume ar putea fi alocate noilor </w:t>
            </w:r>
            <w:r w:rsidR="00421FA7" w:rsidRPr="009C5F11">
              <w:rPr>
                <w:rFonts w:ascii="Times New Roman" w:hAnsi="Times New Roman" w:cs="Times New Roman"/>
                <w:sz w:val="18"/>
                <w:szCs w:val="14"/>
                <w:lang w:val="ro-RO" w:eastAsia="de-DE"/>
              </w:rPr>
              <w:t>programe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lansate de</w:t>
            </w:r>
            <w:r w:rsidR="00936847" w:rsidRPr="009C5F11">
              <w:rPr>
                <w:rFonts w:ascii="Times New Roman" w:hAnsi="Times New Roman" w:cs="Times New Roman"/>
                <w:sz w:val="18"/>
                <w:szCs w:val="14"/>
                <w:lang w:val="ro-RO" w:eastAsia="de-DE"/>
              </w:rPr>
              <w:t xml:space="preserve"> </w:t>
            </w:r>
            <w:r w:rsidR="00321CD5" w:rsidRPr="009C5F11">
              <w:rPr>
                <w:rFonts w:ascii="Times New Roman" w:hAnsi="Times New Roman" w:cs="Times New Roman"/>
                <w:sz w:val="18"/>
                <w:szCs w:val="14"/>
                <w:lang w:val="ro-RO" w:eastAsia="de-DE"/>
              </w:rPr>
              <w:t>Fondul pentru Eficienţă Energetică</w:t>
            </w:r>
            <w:r w:rsidR="00936847" w:rsidRPr="009C5F11">
              <w:rPr>
                <w:rFonts w:ascii="Times New Roman" w:hAnsi="Times New Roman" w:cs="Times New Roman"/>
                <w:sz w:val="18"/>
                <w:szCs w:val="14"/>
                <w:lang w:val="ro-RO" w:eastAsia="de-DE"/>
              </w:rPr>
              <w:t xml:space="preserve"> dedicate </w:t>
            </w:r>
            <w:r w:rsidRPr="009C5F11">
              <w:rPr>
                <w:rFonts w:ascii="Times New Roman" w:hAnsi="Times New Roman" w:cs="Times New Roman"/>
                <w:sz w:val="18"/>
                <w:szCs w:val="14"/>
                <w:lang w:val="ro-RO" w:eastAsia="de-DE"/>
              </w:rPr>
              <w:t>reducerii consumului de energie</w:t>
            </w:r>
            <w:r w:rsidR="00321CD5" w:rsidRPr="009C5F11">
              <w:rPr>
                <w:rFonts w:ascii="Times New Roman" w:hAnsi="Times New Roman" w:cs="Times New Roman"/>
                <w:sz w:val="18"/>
                <w:szCs w:val="14"/>
                <w:lang w:val="ro-RO" w:eastAsia="de-DE"/>
              </w:rPr>
              <w:t xml:space="preserve"> </w:t>
            </w:r>
            <w:r w:rsidR="00FD5F1C" w:rsidRPr="009C5F11">
              <w:rPr>
                <w:rFonts w:ascii="Times New Roman" w:hAnsi="Times New Roman" w:cs="Times New Roman"/>
                <w:sz w:val="18"/>
                <w:szCs w:val="14"/>
                <w:lang w:val="ro-RO" w:eastAsia="de-DE"/>
              </w:rPr>
              <w:t xml:space="preserve">în </w:t>
            </w:r>
            <w:r w:rsidR="009B74AF" w:rsidRPr="009C5F11">
              <w:rPr>
                <w:rFonts w:ascii="Times New Roman" w:hAnsi="Times New Roman" w:cs="Times New Roman"/>
                <w:sz w:val="18"/>
                <w:szCs w:val="14"/>
                <w:lang w:val="ro-RO" w:eastAsia="de-DE"/>
              </w:rPr>
              <w:t>sectorul construcţiilor publice</w:t>
            </w:r>
            <w:r w:rsidRPr="009C5F11">
              <w:rPr>
                <w:rFonts w:ascii="Times New Roman" w:hAnsi="Times New Roman" w:cs="Times New Roman"/>
                <w:sz w:val="18"/>
                <w:szCs w:val="14"/>
                <w:lang w:val="ro-RO" w:eastAsia="de-DE"/>
              </w:rPr>
              <w:t>.</w:t>
            </w:r>
          </w:p>
          <w:p w14:paraId="77CAD186" w14:textId="77777777" w:rsidR="005B4A9D" w:rsidRPr="009C5F11" w:rsidRDefault="005B4A9D" w:rsidP="005B4A9D">
            <w:pPr>
              <w:tabs>
                <w:tab w:val="left" w:pos="702"/>
                <w:tab w:val="left" w:pos="5040"/>
                <w:tab w:val="right" w:pos="8504"/>
              </w:tabs>
              <w:spacing w:before="40" w:after="0" w:line="240" w:lineRule="auto"/>
              <w:ind w:left="720" w:hanging="247"/>
              <w:jc w:val="both"/>
              <w:rPr>
                <w:rFonts w:ascii="Times New Roman" w:hAnsi="Times New Roman" w:cs="Times New Roman"/>
                <w:b/>
                <w:sz w:val="18"/>
                <w:szCs w:val="14"/>
                <w:lang w:val="ro-RO" w:eastAsia="de-DE"/>
              </w:rPr>
            </w:pPr>
          </w:p>
          <w:p w14:paraId="3AD506FA" w14:textId="77777777" w:rsidR="00936847" w:rsidRPr="009C5F11" w:rsidRDefault="00F53252" w:rsidP="005B4A9D">
            <w:pPr>
              <w:tabs>
                <w:tab w:val="left" w:pos="23"/>
                <w:tab w:val="left" w:pos="5040"/>
                <w:tab w:val="right" w:pos="8504"/>
              </w:tabs>
              <w:spacing w:before="40" w:after="0" w:line="240" w:lineRule="auto"/>
              <w:ind w:left="360" w:hanging="247"/>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FISM</w:t>
            </w:r>
          </w:p>
          <w:p w14:paraId="1979840F" w14:textId="77777777" w:rsidR="00936847" w:rsidRPr="009C5F11" w:rsidRDefault="00360BED" w:rsidP="003D01C1">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Pe parcursul </w:t>
            </w:r>
            <w:r w:rsidR="000138BD" w:rsidRPr="009C5F11">
              <w:rPr>
                <w:rFonts w:ascii="Times New Roman" w:hAnsi="Times New Roman" w:cs="Times New Roman"/>
                <w:sz w:val="18"/>
                <w:szCs w:val="14"/>
                <w:lang w:val="ro-RO" w:eastAsia="de-DE"/>
              </w:rPr>
              <w:t>activităţii sale</w:t>
            </w:r>
            <w:r w:rsidR="00936847" w:rsidRPr="009C5F11">
              <w:rPr>
                <w:rFonts w:ascii="Times New Roman" w:hAnsi="Times New Roman" w:cs="Times New Roman"/>
                <w:sz w:val="18"/>
                <w:szCs w:val="14"/>
                <w:lang w:val="ro-RO" w:eastAsia="de-DE"/>
              </w:rPr>
              <w:t xml:space="preserve">, </w:t>
            </w:r>
            <w:r w:rsidR="00F53252" w:rsidRPr="009C5F11">
              <w:rPr>
                <w:rFonts w:ascii="Times New Roman" w:hAnsi="Times New Roman" w:cs="Times New Roman"/>
                <w:sz w:val="18"/>
                <w:szCs w:val="14"/>
                <w:lang w:val="ro-RO" w:eastAsia="de-DE"/>
              </w:rPr>
              <w:t>FISM</w:t>
            </w:r>
            <w:r w:rsidR="00936847" w:rsidRPr="009C5F11">
              <w:rPr>
                <w:rFonts w:ascii="Times New Roman" w:hAnsi="Times New Roman" w:cs="Times New Roman"/>
                <w:sz w:val="18"/>
                <w:szCs w:val="14"/>
                <w:lang w:val="ro-RO" w:eastAsia="de-DE"/>
              </w:rPr>
              <w:t xml:space="preserve"> </w:t>
            </w:r>
            <w:r w:rsidR="000138BD" w:rsidRPr="009C5F11">
              <w:rPr>
                <w:rFonts w:ascii="Times New Roman" w:hAnsi="Times New Roman" w:cs="Times New Roman"/>
                <w:sz w:val="18"/>
                <w:szCs w:val="14"/>
                <w:lang w:val="ro-RO" w:eastAsia="de-DE"/>
              </w:rPr>
              <w:t xml:space="preserve">a gestionat mijloace în sumă de circa </w:t>
            </w:r>
            <w:r w:rsidR="00936847" w:rsidRPr="009C5F11">
              <w:rPr>
                <w:rFonts w:ascii="Times New Roman" w:hAnsi="Times New Roman" w:cs="Times New Roman"/>
                <w:sz w:val="18"/>
                <w:szCs w:val="14"/>
                <w:lang w:val="ro-RO" w:eastAsia="de-DE"/>
              </w:rPr>
              <w:t xml:space="preserve">140 </w:t>
            </w:r>
            <w:r w:rsidR="00421FA7" w:rsidRPr="009C5F11">
              <w:rPr>
                <w:rFonts w:ascii="Times New Roman" w:hAnsi="Times New Roman" w:cs="Times New Roman"/>
                <w:sz w:val="18"/>
                <w:szCs w:val="14"/>
                <w:lang w:val="ro-RO" w:eastAsia="de-DE"/>
              </w:rPr>
              <w:t xml:space="preserve">milioane </w:t>
            </w:r>
            <w:r w:rsidR="000138BD" w:rsidRPr="009C5F11">
              <w:rPr>
                <w:rFonts w:ascii="Times New Roman" w:hAnsi="Times New Roman" w:cs="Times New Roman"/>
                <w:sz w:val="18"/>
                <w:szCs w:val="14"/>
                <w:lang w:val="ro-RO" w:eastAsia="de-DE"/>
              </w:rPr>
              <w:t>dolari SUA alocaţi de Banca Mondială</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ofer</w:t>
            </w:r>
            <w:r w:rsidR="000138BD" w:rsidRPr="009C5F11">
              <w:rPr>
                <w:rFonts w:ascii="Times New Roman" w:hAnsi="Times New Roman" w:cs="Times New Roman"/>
                <w:sz w:val="18"/>
                <w:szCs w:val="14"/>
                <w:lang w:val="ro-RO" w:eastAsia="de-DE"/>
              </w:rPr>
              <w:t>iţi de diferiţi donatori</w:t>
            </w:r>
            <w:r w:rsidR="00936847" w:rsidRPr="009C5F11">
              <w:rPr>
                <w:rFonts w:ascii="Times New Roman" w:hAnsi="Times New Roman" w:cs="Times New Roman"/>
                <w:sz w:val="18"/>
                <w:szCs w:val="14"/>
                <w:lang w:val="ro-RO" w:eastAsia="de-DE"/>
              </w:rPr>
              <w:t xml:space="preserve"> (SIDA, DFID, JSDF, </w:t>
            </w:r>
            <w:r w:rsidR="00421FA7" w:rsidRPr="009C5F11">
              <w:rPr>
                <w:rFonts w:ascii="Times New Roman" w:hAnsi="Times New Roman" w:cs="Times New Roman"/>
                <w:sz w:val="18"/>
                <w:szCs w:val="14"/>
                <w:lang w:val="ro-RO" w:eastAsia="de-DE"/>
              </w:rPr>
              <w:t>UE</w:t>
            </w:r>
            <w:r w:rsidR="00936847" w:rsidRPr="009C5F11">
              <w:rPr>
                <w:rFonts w:ascii="Times New Roman" w:hAnsi="Times New Roman" w:cs="Times New Roman"/>
                <w:sz w:val="18"/>
                <w:szCs w:val="14"/>
                <w:lang w:val="ro-RO" w:eastAsia="de-DE"/>
              </w:rPr>
              <w:t xml:space="preserve">, KfW, UNICEF etc.), </w:t>
            </w:r>
            <w:r w:rsidR="000138BD" w:rsidRPr="009C5F11">
              <w:rPr>
                <w:rFonts w:ascii="Times New Roman" w:hAnsi="Times New Roman" w:cs="Times New Roman"/>
                <w:sz w:val="18"/>
                <w:szCs w:val="14"/>
                <w:lang w:val="ro-RO" w:eastAsia="de-DE"/>
              </w:rPr>
              <w:t>precum şi mijloacele alocate din bugetul de stat</w:t>
            </w:r>
            <w:r w:rsidR="00936847" w:rsidRPr="009C5F11">
              <w:rPr>
                <w:rFonts w:ascii="Times New Roman" w:hAnsi="Times New Roman" w:cs="Times New Roman"/>
                <w:sz w:val="18"/>
                <w:szCs w:val="14"/>
                <w:lang w:val="ro-RO" w:eastAsia="de-DE"/>
              </w:rPr>
              <w:t xml:space="preserve">. </w:t>
            </w:r>
            <w:r w:rsidR="000138BD" w:rsidRPr="009C5F11">
              <w:rPr>
                <w:rFonts w:ascii="Times New Roman" w:hAnsi="Times New Roman" w:cs="Times New Roman"/>
                <w:sz w:val="18"/>
                <w:szCs w:val="14"/>
                <w:lang w:val="ro-RO" w:eastAsia="de-DE"/>
              </w:rPr>
              <w:t>În afară de aceasta</w:t>
            </w:r>
            <w:r w:rsidR="00936847" w:rsidRPr="009C5F11">
              <w:rPr>
                <w:rFonts w:ascii="Times New Roman" w:hAnsi="Times New Roman" w:cs="Times New Roman"/>
                <w:sz w:val="18"/>
                <w:szCs w:val="14"/>
                <w:lang w:val="ro-RO" w:eastAsia="de-DE"/>
              </w:rPr>
              <w:t xml:space="preserve">, </w:t>
            </w:r>
            <w:r w:rsidR="00F53252" w:rsidRPr="009C5F11">
              <w:rPr>
                <w:rFonts w:ascii="Times New Roman" w:hAnsi="Times New Roman" w:cs="Times New Roman"/>
                <w:sz w:val="18"/>
                <w:szCs w:val="14"/>
                <w:lang w:val="ro-RO" w:eastAsia="de-DE"/>
              </w:rPr>
              <w:t>FISM</w:t>
            </w:r>
            <w:r w:rsidR="00936847" w:rsidRPr="009C5F11">
              <w:rPr>
                <w:rFonts w:ascii="Times New Roman" w:hAnsi="Times New Roman" w:cs="Times New Roman"/>
                <w:sz w:val="18"/>
                <w:szCs w:val="14"/>
                <w:lang w:val="ro-RO" w:eastAsia="de-DE"/>
              </w:rPr>
              <w:t xml:space="preserve"> </w:t>
            </w:r>
            <w:r w:rsidR="000138BD" w:rsidRPr="009C5F11">
              <w:rPr>
                <w:rFonts w:ascii="Times New Roman" w:hAnsi="Times New Roman" w:cs="Times New Roman"/>
                <w:sz w:val="18"/>
                <w:szCs w:val="14"/>
                <w:lang w:val="ro-RO" w:eastAsia="de-DE"/>
              </w:rPr>
              <w:t>a fost contractat de organizaţii</w:t>
            </w:r>
            <w:r w:rsidR="00936847" w:rsidRPr="009C5F11">
              <w:rPr>
                <w:rFonts w:ascii="Times New Roman" w:hAnsi="Times New Roman" w:cs="Times New Roman"/>
                <w:sz w:val="18"/>
                <w:szCs w:val="14"/>
                <w:lang w:val="ro-RO" w:eastAsia="de-DE"/>
              </w:rPr>
              <w:t xml:space="preserve"> local</w:t>
            </w:r>
            <w:r w:rsidR="000138BD" w:rsidRPr="009C5F11">
              <w:rPr>
                <w:rFonts w:ascii="Times New Roman" w:hAnsi="Times New Roman" w:cs="Times New Roman"/>
                <w:sz w:val="18"/>
                <w:szCs w:val="14"/>
                <w:lang w:val="ro-RO" w:eastAsia="de-DE"/>
              </w:rPr>
              <w:t>e</w:t>
            </w:r>
            <w:r w:rsidR="00321CD5" w:rsidRPr="009C5F11">
              <w:rPr>
                <w:rFonts w:ascii="Times New Roman" w:hAnsi="Times New Roman" w:cs="Times New Roman"/>
                <w:sz w:val="18"/>
                <w:szCs w:val="14"/>
                <w:lang w:val="ro-RO" w:eastAsia="de-DE"/>
              </w:rPr>
              <w:t xml:space="preserve"> şi </w:t>
            </w:r>
            <w:r w:rsidR="000138BD" w:rsidRPr="009C5F11">
              <w:rPr>
                <w:rFonts w:ascii="Times New Roman" w:hAnsi="Times New Roman" w:cs="Times New Roman"/>
                <w:sz w:val="18"/>
                <w:szCs w:val="14"/>
                <w:lang w:val="ro-RO" w:eastAsia="de-DE"/>
              </w:rPr>
              <w:t xml:space="preserve">străine pentru a presta servicii de consultanţă </w:t>
            </w:r>
            <w:r w:rsidR="00321CD5" w:rsidRPr="009C5F11">
              <w:rPr>
                <w:rFonts w:ascii="Times New Roman" w:hAnsi="Times New Roman" w:cs="Times New Roman"/>
                <w:sz w:val="18"/>
                <w:szCs w:val="14"/>
                <w:lang w:val="ro-RO" w:eastAsia="de-DE"/>
              </w:rPr>
              <w:t xml:space="preserve">în </w:t>
            </w:r>
            <w:r w:rsidR="000138BD" w:rsidRPr="009C5F11">
              <w:rPr>
                <w:rFonts w:ascii="Times New Roman" w:hAnsi="Times New Roman" w:cs="Times New Roman"/>
                <w:sz w:val="18"/>
                <w:szCs w:val="14"/>
                <w:lang w:val="ro-RO" w:eastAsia="de-DE"/>
              </w:rPr>
              <w:t xml:space="preserve">gestionarea </w:t>
            </w:r>
            <w:r w:rsidR="00E10BE5" w:rsidRPr="009C5F11">
              <w:rPr>
                <w:rFonts w:ascii="Times New Roman" w:hAnsi="Times New Roman" w:cs="Times New Roman"/>
                <w:sz w:val="18"/>
                <w:szCs w:val="14"/>
                <w:lang w:val="ro-RO" w:eastAsia="de-DE"/>
              </w:rPr>
              <w:t>proiecte</w:t>
            </w:r>
            <w:r w:rsidR="000138BD" w:rsidRPr="009C5F11">
              <w:rPr>
                <w:rFonts w:ascii="Times New Roman" w:hAnsi="Times New Roman" w:cs="Times New Roman"/>
                <w:sz w:val="18"/>
                <w:szCs w:val="14"/>
                <w:lang w:val="ro-RO" w:eastAsia="de-DE"/>
              </w:rPr>
              <w:t>lor realizate</w:t>
            </w:r>
            <w:r w:rsidR="00321CD5" w:rsidRPr="009C5F11">
              <w:rPr>
                <w:rFonts w:ascii="Times New Roman" w:hAnsi="Times New Roman" w:cs="Times New Roman"/>
                <w:sz w:val="18"/>
                <w:szCs w:val="14"/>
                <w:lang w:val="ro-RO" w:eastAsia="de-DE"/>
              </w:rPr>
              <w:t xml:space="preserve"> în </w:t>
            </w:r>
            <w:r w:rsidR="00B40A7C" w:rsidRPr="009C5F11">
              <w:rPr>
                <w:rFonts w:ascii="Times New Roman" w:hAnsi="Times New Roman" w:cs="Times New Roman"/>
                <w:sz w:val="18"/>
                <w:szCs w:val="14"/>
                <w:lang w:val="ro-RO" w:eastAsia="de-DE"/>
              </w:rPr>
              <w:t>Republica Moldova</w:t>
            </w:r>
            <w:r w:rsidR="00321CD5" w:rsidRPr="009C5F11">
              <w:rPr>
                <w:rFonts w:ascii="Times New Roman" w:hAnsi="Times New Roman" w:cs="Times New Roman"/>
                <w:sz w:val="18"/>
                <w:szCs w:val="14"/>
                <w:lang w:val="ro-RO" w:eastAsia="de-DE"/>
              </w:rPr>
              <w:t xml:space="preserve"> şi </w:t>
            </w:r>
            <w:r w:rsidR="000138BD" w:rsidRPr="009C5F11">
              <w:rPr>
                <w:rFonts w:ascii="Times New Roman" w:hAnsi="Times New Roman" w:cs="Times New Roman"/>
                <w:sz w:val="18"/>
                <w:szCs w:val="14"/>
                <w:lang w:val="ro-RO" w:eastAsia="de-DE"/>
              </w:rPr>
              <w:t>peste hotare,</w:t>
            </w:r>
            <w:r w:rsidR="00936847" w:rsidRPr="009C5F11">
              <w:rPr>
                <w:rFonts w:ascii="Times New Roman" w:hAnsi="Times New Roman" w:cs="Times New Roman"/>
                <w:sz w:val="18"/>
                <w:szCs w:val="14"/>
                <w:lang w:val="ro-RO" w:eastAsia="de-DE"/>
              </w:rPr>
              <w:t xml:space="preserve"> </w:t>
            </w:r>
            <w:r w:rsidR="00D17141" w:rsidRPr="009C5F11">
              <w:rPr>
                <w:rFonts w:ascii="Times New Roman" w:hAnsi="Times New Roman" w:cs="Times New Roman"/>
                <w:sz w:val="18"/>
                <w:szCs w:val="14"/>
                <w:lang w:val="ro-RO" w:eastAsia="de-DE"/>
              </w:rPr>
              <w:t>susţinut</w:t>
            </w:r>
            <w:r w:rsidR="000138BD" w:rsidRPr="009C5F11">
              <w:rPr>
                <w:rFonts w:ascii="Times New Roman" w:hAnsi="Times New Roman" w:cs="Times New Roman"/>
                <w:sz w:val="18"/>
                <w:szCs w:val="14"/>
                <w:lang w:val="ro-RO" w:eastAsia="de-DE"/>
              </w:rPr>
              <w:t>e</w:t>
            </w:r>
            <w:r w:rsidR="00D17141" w:rsidRPr="009C5F11">
              <w:rPr>
                <w:rFonts w:ascii="Times New Roman" w:hAnsi="Times New Roman" w:cs="Times New Roman"/>
                <w:sz w:val="18"/>
                <w:szCs w:val="14"/>
                <w:lang w:val="ro-RO" w:eastAsia="de-DE"/>
              </w:rPr>
              <w:t xml:space="preserve"> de</w:t>
            </w:r>
            <w:r w:rsidR="00936847" w:rsidRPr="009C5F11">
              <w:rPr>
                <w:rFonts w:ascii="Times New Roman" w:hAnsi="Times New Roman" w:cs="Times New Roman"/>
                <w:sz w:val="18"/>
                <w:szCs w:val="14"/>
                <w:lang w:val="ro-RO" w:eastAsia="de-DE"/>
              </w:rPr>
              <w:t xml:space="preserve"> </w:t>
            </w:r>
            <w:r w:rsidR="000138BD" w:rsidRPr="009C5F11">
              <w:rPr>
                <w:rFonts w:ascii="Times New Roman" w:hAnsi="Times New Roman" w:cs="Times New Roman"/>
                <w:sz w:val="18"/>
                <w:szCs w:val="14"/>
                <w:lang w:val="ro-RO" w:eastAsia="de-DE"/>
              </w:rPr>
              <w:t>donatori străini</w:t>
            </w:r>
            <w:r w:rsidR="00936847" w:rsidRPr="009C5F11">
              <w:rPr>
                <w:rFonts w:ascii="Times New Roman" w:hAnsi="Times New Roman" w:cs="Times New Roman"/>
                <w:sz w:val="18"/>
                <w:szCs w:val="14"/>
                <w:lang w:val="ro-RO" w:eastAsia="de-DE"/>
              </w:rPr>
              <w:t>.</w:t>
            </w:r>
          </w:p>
          <w:p w14:paraId="65CBE1C1" w14:textId="77777777" w:rsidR="00936847" w:rsidRPr="009C5F11" w:rsidRDefault="000138BD" w:rsidP="00334F3B">
            <w:pPr>
              <w:numPr>
                <w:ilvl w:val="0"/>
                <w:numId w:val="110"/>
              </w:numPr>
              <w:tabs>
                <w:tab w:val="left" w:pos="882"/>
                <w:tab w:val="left" w:pos="5040"/>
                <w:tab w:val="right" w:pos="8504"/>
              </w:tabs>
              <w:spacing w:before="40" w:after="0" w:line="240" w:lineRule="auto"/>
              <w:ind w:left="853" w:hanging="283"/>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Programul de asistenţă tehnică şi financiară</w:t>
            </w:r>
            <w:r w:rsidR="00936847" w:rsidRPr="009C5F11">
              <w:rPr>
                <w:rFonts w:ascii="Times New Roman" w:hAnsi="Times New Roman" w:cs="Times New Roman"/>
                <w:sz w:val="18"/>
                <w:szCs w:val="14"/>
                <w:u w:val="single"/>
                <w:lang w:val="ro-RO" w:eastAsia="de-DE"/>
              </w:rPr>
              <w:t xml:space="preserve"> </w:t>
            </w:r>
            <w:r w:rsidRPr="009C5F11">
              <w:rPr>
                <w:rFonts w:ascii="Times New Roman" w:hAnsi="Times New Roman" w:cs="Times New Roman"/>
                <w:sz w:val="18"/>
                <w:szCs w:val="14"/>
                <w:u w:val="single"/>
                <w:lang w:val="ro-RO" w:eastAsia="de-DE"/>
              </w:rPr>
              <w:t>oferit de</w:t>
            </w:r>
            <w:r w:rsidR="00936847" w:rsidRPr="009C5F11">
              <w:rPr>
                <w:rFonts w:ascii="Times New Roman" w:hAnsi="Times New Roman" w:cs="Times New Roman"/>
                <w:sz w:val="18"/>
                <w:szCs w:val="14"/>
                <w:u w:val="single"/>
                <w:lang w:val="ro-RO" w:eastAsia="de-DE"/>
              </w:rPr>
              <w:t xml:space="preserve"> </w:t>
            </w:r>
            <w:r w:rsidR="00800247" w:rsidRPr="009C5F11">
              <w:rPr>
                <w:rFonts w:ascii="Times New Roman" w:hAnsi="Times New Roman" w:cs="Times New Roman"/>
                <w:sz w:val="18"/>
                <w:szCs w:val="14"/>
                <w:u w:val="single"/>
                <w:lang w:val="ro-RO" w:eastAsia="de-DE"/>
              </w:rPr>
              <w:t>Guvernul</w:t>
            </w:r>
            <w:r w:rsidR="00936847" w:rsidRPr="009C5F11">
              <w:rPr>
                <w:rFonts w:ascii="Times New Roman" w:hAnsi="Times New Roman" w:cs="Times New Roman"/>
                <w:sz w:val="18"/>
                <w:szCs w:val="14"/>
                <w:u w:val="single"/>
                <w:lang w:val="ro-RO" w:eastAsia="de-DE"/>
              </w:rPr>
              <w:t xml:space="preserve"> </w:t>
            </w:r>
            <w:r w:rsidR="00381715" w:rsidRPr="009C5F11">
              <w:rPr>
                <w:rFonts w:ascii="Times New Roman" w:hAnsi="Times New Roman" w:cs="Times New Roman"/>
                <w:sz w:val="18"/>
                <w:szCs w:val="14"/>
                <w:u w:val="single"/>
                <w:lang w:val="ro-RO" w:eastAsia="de-DE"/>
              </w:rPr>
              <w:t>Români</w:t>
            </w:r>
            <w:r w:rsidRPr="009C5F11">
              <w:rPr>
                <w:rFonts w:ascii="Times New Roman" w:hAnsi="Times New Roman" w:cs="Times New Roman"/>
                <w:sz w:val="18"/>
                <w:szCs w:val="14"/>
                <w:u w:val="single"/>
                <w:lang w:val="ro-RO" w:eastAsia="de-DE"/>
              </w:rPr>
              <w:t>ei</w:t>
            </w:r>
            <w:r w:rsidR="00936847" w:rsidRPr="009C5F11">
              <w:rPr>
                <w:rFonts w:ascii="Times New Roman" w:hAnsi="Times New Roman" w:cs="Times New Roman"/>
                <w:sz w:val="18"/>
                <w:szCs w:val="14"/>
                <w:u w:val="single"/>
                <w:lang w:val="ro-RO" w:eastAsia="de-DE"/>
              </w:rPr>
              <w:t xml:space="preserve"> </w:t>
            </w:r>
            <w:r w:rsidRPr="009C5F11">
              <w:rPr>
                <w:rFonts w:ascii="Times New Roman" w:hAnsi="Times New Roman" w:cs="Times New Roman"/>
                <w:sz w:val="18"/>
                <w:szCs w:val="14"/>
                <w:u w:val="single"/>
                <w:lang w:val="ro-RO" w:eastAsia="de-DE"/>
              </w:rPr>
              <w:t>instituţiilor preşcolare din</w:t>
            </w:r>
            <w:r w:rsidR="00137156" w:rsidRPr="009C5F11">
              <w:rPr>
                <w:rFonts w:ascii="Times New Roman" w:hAnsi="Times New Roman" w:cs="Times New Roman"/>
                <w:sz w:val="18"/>
                <w:szCs w:val="14"/>
                <w:u w:val="single"/>
                <w:lang w:val="ro-RO" w:eastAsia="de-DE"/>
              </w:rPr>
              <w:t xml:space="preserve"> Republic</w:t>
            </w:r>
            <w:r w:rsidRPr="009C5F11">
              <w:rPr>
                <w:rFonts w:ascii="Times New Roman" w:hAnsi="Times New Roman" w:cs="Times New Roman"/>
                <w:sz w:val="18"/>
                <w:szCs w:val="14"/>
                <w:u w:val="single"/>
                <w:lang w:val="ro-RO" w:eastAsia="de-DE"/>
              </w:rPr>
              <w:t>a</w:t>
            </w:r>
            <w:r w:rsidR="00137156" w:rsidRPr="009C5F11">
              <w:rPr>
                <w:rFonts w:ascii="Times New Roman" w:hAnsi="Times New Roman" w:cs="Times New Roman"/>
                <w:sz w:val="18"/>
                <w:szCs w:val="14"/>
                <w:u w:val="single"/>
                <w:lang w:val="ro-RO" w:eastAsia="de-DE"/>
              </w:rPr>
              <w:t xml:space="preserve"> Moldova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În conformitate cu</w:t>
            </w:r>
            <w:r w:rsidR="00936847" w:rsidRPr="009C5F11">
              <w:rPr>
                <w:rFonts w:ascii="Times New Roman" w:hAnsi="Times New Roman" w:cs="Times New Roman"/>
                <w:sz w:val="18"/>
                <w:szCs w:val="14"/>
                <w:lang w:val="ro-RO" w:eastAsia="de-DE"/>
              </w:rPr>
              <w:t xml:space="preserve"> </w:t>
            </w:r>
            <w:r w:rsidR="00927CD9" w:rsidRPr="009C5F11">
              <w:rPr>
                <w:rFonts w:ascii="Times New Roman" w:hAnsi="Times New Roman" w:cs="Times New Roman"/>
                <w:sz w:val="18"/>
                <w:szCs w:val="14"/>
                <w:lang w:val="ro-RO" w:eastAsia="de-DE"/>
              </w:rPr>
              <w:t>Hotărârea Guvernului RM</w:t>
            </w:r>
            <w:r w:rsidR="00936847" w:rsidRPr="009C5F11">
              <w:rPr>
                <w:rFonts w:ascii="Times New Roman" w:hAnsi="Times New Roman" w:cs="Times New Roman"/>
                <w:sz w:val="18"/>
                <w:szCs w:val="14"/>
                <w:lang w:val="ro-RO" w:eastAsia="de-DE"/>
              </w:rPr>
              <w:t xml:space="preserve"> # 436 </w:t>
            </w:r>
            <w:r w:rsidRPr="009C5F11">
              <w:rPr>
                <w:rFonts w:ascii="Times New Roman" w:hAnsi="Times New Roman" w:cs="Times New Roman"/>
                <w:sz w:val="18"/>
                <w:szCs w:val="14"/>
                <w:lang w:val="ro-RO" w:eastAsia="de-DE"/>
              </w:rPr>
              <w:t>din</w:t>
            </w:r>
            <w:r w:rsidR="00936847" w:rsidRPr="009C5F11">
              <w:rPr>
                <w:rFonts w:ascii="Times New Roman" w:hAnsi="Times New Roman" w:cs="Times New Roman"/>
                <w:sz w:val="18"/>
                <w:szCs w:val="14"/>
                <w:lang w:val="ro-RO" w:eastAsia="de-DE"/>
              </w:rPr>
              <w:t xml:space="preserve"> 06.10.2014 </w:t>
            </w:r>
            <w:r w:rsidR="004E138F" w:rsidRPr="009C5F11">
              <w:rPr>
                <w:rFonts w:ascii="Times New Roman" w:hAnsi="Times New Roman" w:cs="Times New Roman"/>
                <w:sz w:val="18"/>
                <w:szCs w:val="14"/>
                <w:lang w:val="ro-RO" w:eastAsia="de-DE"/>
              </w:rPr>
              <w:t>privind</w:t>
            </w:r>
            <w:r w:rsidR="00936847" w:rsidRPr="009C5F11">
              <w:rPr>
                <w:rFonts w:ascii="Times New Roman" w:hAnsi="Times New Roman" w:cs="Times New Roman"/>
                <w:sz w:val="18"/>
                <w:szCs w:val="14"/>
                <w:lang w:val="ro-RO" w:eastAsia="de-DE"/>
              </w:rPr>
              <w:t xml:space="preserve"> </w:t>
            </w:r>
            <w:r w:rsidR="00532A33" w:rsidRPr="009C5F11">
              <w:rPr>
                <w:rFonts w:ascii="Times New Roman" w:hAnsi="Times New Roman" w:cs="Times New Roman"/>
                <w:sz w:val="18"/>
                <w:szCs w:val="14"/>
                <w:lang w:val="ro-RO" w:eastAsia="de-DE"/>
              </w:rPr>
              <w:t>implementarea</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 xml:space="preserve">Programului de </w:t>
            </w:r>
            <w:r w:rsidR="0087273F" w:rsidRPr="009C5F11">
              <w:rPr>
                <w:rFonts w:ascii="Times New Roman" w:hAnsi="Times New Roman" w:cs="Times New Roman"/>
                <w:sz w:val="18"/>
                <w:szCs w:val="14"/>
                <w:lang w:val="ro-RO" w:eastAsia="de-DE"/>
              </w:rPr>
              <w:t>asistență</w:t>
            </w:r>
            <w:r w:rsidR="00936847" w:rsidRPr="009C5F11">
              <w:rPr>
                <w:rFonts w:ascii="Times New Roman" w:hAnsi="Times New Roman" w:cs="Times New Roman"/>
                <w:sz w:val="18"/>
                <w:szCs w:val="14"/>
                <w:lang w:val="ro-RO" w:eastAsia="de-DE"/>
              </w:rPr>
              <w:t xml:space="preserve"> tehnic</w:t>
            </w:r>
            <w:r w:rsidR="004E138F" w:rsidRPr="009C5F11">
              <w:rPr>
                <w:rFonts w:ascii="Times New Roman" w:hAnsi="Times New Roman" w:cs="Times New Roman"/>
                <w:sz w:val="18"/>
                <w:szCs w:val="14"/>
                <w:lang w:val="ro-RO" w:eastAsia="de-DE"/>
              </w:rPr>
              <w:t>ă şi</w:t>
            </w:r>
            <w:r w:rsidR="00321CD5" w:rsidRPr="009C5F11">
              <w:rPr>
                <w:rFonts w:ascii="Times New Roman" w:hAnsi="Times New Roman" w:cs="Times New Roman"/>
                <w:sz w:val="18"/>
                <w:szCs w:val="14"/>
                <w:lang w:val="ro-RO" w:eastAsia="de-DE"/>
              </w:rPr>
              <w:t xml:space="preserve"> </w:t>
            </w:r>
            <w:r w:rsidR="00E54D88" w:rsidRPr="009C5F11">
              <w:rPr>
                <w:rFonts w:ascii="Times New Roman" w:hAnsi="Times New Roman" w:cs="Times New Roman"/>
                <w:sz w:val="18"/>
                <w:szCs w:val="14"/>
                <w:lang w:val="ro-RO" w:eastAsia="de-DE"/>
              </w:rPr>
              <w:t>financiară</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acordată de</w:t>
            </w:r>
            <w:r w:rsidR="00936847" w:rsidRPr="009C5F11">
              <w:rPr>
                <w:rFonts w:ascii="Times New Roman" w:hAnsi="Times New Roman" w:cs="Times New Roman"/>
                <w:sz w:val="18"/>
                <w:szCs w:val="14"/>
                <w:lang w:val="ro-RO" w:eastAsia="de-DE"/>
              </w:rPr>
              <w:t xml:space="preserve"> </w:t>
            </w:r>
            <w:r w:rsidR="00800247" w:rsidRPr="009C5F11">
              <w:rPr>
                <w:rFonts w:ascii="Times New Roman" w:hAnsi="Times New Roman" w:cs="Times New Roman"/>
                <w:sz w:val="18"/>
                <w:szCs w:val="14"/>
                <w:lang w:val="ro-RO" w:eastAsia="de-DE"/>
              </w:rPr>
              <w:t>Guvernul</w:t>
            </w:r>
            <w:r w:rsidR="00936847" w:rsidRPr="009C5F11">
              <w:rPr>
                <w:rFonts w:ascii="Times New Roman" w:hAnsi="Times New Roman" w:cs="Times New Roman"/>
                <w:sz w:val="18"/>
                <w:szCs w:val="14"/>
                <w:lang w:val="ro-RO" w:eastAsia="de-DE"/>
              </w:rPr>
              <w:t xml:space="preserve"> </w:t>
            </w:r>
            <w:r w:rsidR="00381715" w:rsidRPr="009C5F11">
              <w:rPr>
                <w:rFonts w:ascii="Times New Roman" w:hAnsi="Times New Roman" w:cs="Times New Roman"/>
                <w:sz w:val="18"/>
                <w:szCs w:val="14"/>
                <w:lang w:val="ro-RO" w:eastAsia="de-DE"/>
              </w:rPr>
              <w:t>Români</w:t>
            </w:r>
            <w:r w:rsidR="004E138F" w:rsidRPr="009C5F11">
              <w:rPr>
                <w:rFonts w:ascii="Times New Roman" w:hAnsi="Times New Roman" w:cs="Times New Roman"/>
                <w:sz w:val="18"/>
                <w:szCs w:val="14"/>
                <w:lang w:val="ro-RO" w:eastAsia="de-DE"/>
              </w:rPr>
              <w:t>ei</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pentru instituţiile</w:t>
            </w:r>
            <w:r w:rsidR="00936847" w:rsidRPr="009C5F11">
              <w:rPr>
                <w:rFonts w:ascii="Times New Roman" w:hAnsi="Times New Roman" w:cs="Times New Roman"/>
                <w:sz w:val="18"/>
                <w:szCs w:val="14"/>
                <w:lang w:val="ro-RO" w:eastAsia="de-DE"/>
              </w:rPr>
              <w:t xml:space="preserve"> pre</w:t>
            </w:r>
            <w:r w:rsidR="004E138F" w:rsidRPr="009C5F11">
              <w:rPr>
                <w:rFonts w:ascii="Times New Roman" w:hAnsi="Times New Roman" w:cs="Times New Roman"/>
                <w:sz w:val="18"/>
                <w:szCs w:val="14"/>
                <w:lang w:val="ro-RO" w:eastAsia="de-DE"/>
              </w:rPr>
              <w:t xml:space="preserve">şcolare din </w:t>
            </w:r>
            <w:r w:rsidR="00223DAC" w:rsidRPr="009C5F11">
              <w:rPr>
                <w:rFonts w:ascii="Times New Roman" w:hAnsi="Times New Roman" w:cs="Times New Roman"/>
                <w:sz w:val="18"/>
                <w:szCs w:val="14"/>
                <w:lang w:val="ro-RO" w:eastAsia="de-DE"/>
              </w:rPr>
              <w:t>Republica Moldova</w:t>
            </w:r>
            <w:r w:rsidR="00321CD5" w:rsidRPr="009C5F11">
              <w:rPr>
                <w:rFonts w:ascii="Times New Roman" w:hAnsi="Times New Roman" w:cs="Times New Roman"/>
                <w:sz w:val="18"/>
                <w:szCs w:val="14"/>
                <w:lang w:val="ro-RO" w:eastAsia="de-DE"/>
              </w:rPr>
              <w:t xml:space="preserve"> şi </w:t>
            </w:r>
            <w:r w:rsidR="004E138F" w:rsidRPr="009C5F11">
              <w:rPr>
                <w:rFonts w:ascii="Times New Roman" w:hAnsi="Times New Roman" w:cs="Times New Roman"/>
                <w:sz w:val="18"/>
                <w:szCs w:val="14"/>
                <w:lang w:val="ro-RO" w:eastAsia="de-DE"/>
              </w:rPr>
              <w:t xml:space="preserve">ca urmare a aprobării </w:t>
            </w:r>
            <w:r w:rsidR="00936847" w:rsidRPr="009C5F11">
              <w:rPr>
                <w:rFonts w:ascii="Times New Roman" w:hAnsi="Times New Roman" w:cs="Times New Roman"/>
                <w:sz w:val="18"/>
                <w:szCs w:val="14"/>
                <w:lang w:val="ro-RO" w:eastAsia="de-DE"/>
              </w:rPr>
              <w:t>structur</w:t>
            </w:r>
            <w:r w:rsidR="004E138F" w:rsidRPr="009C5F11">
              <w:rPr>
                <w:rFonts w:ascii="Times New Roman" w:hAnsi="Times New Roman" w:cs="Times New Roman"/>
                <w:sz w:val="18"/>
                <w:szCs w:val="14"/>
                <w:lang w:val="ro-RO" w:eastAsia="de-DE"/>
              </w:rPr>
              <w:t>ii</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buget</w:t>
            </w:r>
            <w:r w:rsidR="004E138F" w:rsidRPr="009C5F11">
              <w:rPr>
                <w:rFonts w:ascii="Times New Roman" w:hAnsi="Times New Roman" w:cs="Times New Roman"/>
                <w:sz w:val="18"/>
                <w:szCs w:val="14"/>
                <w:lang w:val="ro-RO" w:eastAsia="de-DE"/>
              </w:rPr>
              <w:t>ului organizaţiei</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func</w:t>
            </w:r>
            <w:r w:rsidR="004E138F" w:rsidRPr="009C5F11">
              <w:rPr>
                <w:rFonts w:ascii="Times New Roman" w:hAnsi="Times New Roman" w:cs="Times New Roman"/>
                <w:sz w:val="18"/>
                <w:szCs w:val="14"/>
                <w:lang w:val="ro-RO" w:eastAsia="de-DE"/>
              </w:rPr>
              <w:t xml:space="preserve">ţionării Comitetului de evaluare al </w:t>
            </w:r>
            <w:r w:rsidR="00F53252" w:rsidRPr="009C5F11">
              <w:rPr>
                <w:rFonts w:ascii="Times New Roman" w:hAnsi="Times New Roman" w:cs="Times New Roman"/>
                <w:sz w:val="18"/>
                <w:szCs w:val="14"/>
                <w:lang w:val="ro-RO" w:eastAsia="de-DE"/>
              </w:rPr>
              <w:t>FISM</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 xml:space="preserve">suma </w:t>
            </w:r>
            <w:r w:rsidR="0087273F" w:rsidRPr="009C5F11">
              <w:rPr>
                <w:rFonts w:ascii="Times New Roman" w:hAnsi="Times New Roman" w:cs="Times New Roman"/>
                <w:sz w:val="18"/>
                <w:szCs w:val="14"/>
                <w:lang w:val="ro-RO" w:eastAsia="de-DE"/>
              </w:rPr>
              <w:t>totală</w:t>
            </w:r>
            <w:r w:rsidR="004E138F"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contract</w:t>
            </w:r>
            <w:r w:rsidR="004E138F" w:rsidRPr="009C5F11">
              <w:rPr>
                <w:rFonts w:ascii="Times New Roman" w:hAnsi="Times New Roman" w:cs="Times New Roman"/>
                <w:sz w:val="18"/>
                <w:szCs w:val="14"/>
                <w:lang w:val="ro-RO" w:eastAsia="de-DE"/>
              </w:rPr>
              <w:t xml:space="preserve">ată </w:t>
            </w:r>
            <w:r w:rsidR="009346F6" w:rsidRPr="009C5F11">
              <w:rPr>
                <w:rFonts w:ascii="Times New Roman" w:hAnsi="Times New Roman" w:cs="Times New Roman"/>
                <w:sz w:val="18"/>
                <w:szCs w:val="14"/>
                <w:lang w:val="ro-RO" w:eastAsia="de-DE"/>
              </w:rPr>
              <w:t xml:space="preserve">pana </w:t>
            </w:r>
            <w:r w:rsidR="004E138F" w:rsidRPr="009C5F11">
              <w:rPr>
                <w:rFonts w:ascii="Times New Roman" w:hAnsi="Times New Roman" w:cs="Times New Roman"/>
                <w:sz w:val="18"/>
                <w:szCs w:val="14"/>
                <w:lang w:val="ro-RO" w:eastAsia="de-DE"/>
              </w:rPr>
              <w:t xml:space="preserve">la </w:t>
            </w:r>
            <w:r w:rsidR="00936847" w:rsidRPr="009C5F11">
              <w:rPr>
                <w:rFonts w:ascii="Times New Roman" w:hAnsi="Times New Roman" w:cs="Times New Roman"/>
                <w:sz w:val="18"/>
                <w:szCs w:val="14"/>
                <w:lang w:val="ro-RO" w:eastAsia="de-DE"/>
              </w:rPr>
              <w:t xml:space="preserve">31.08.2015 </w:t>
            </w:r>
            <w:r w:rsidR="004E138F" w:rsidRPr="009C5F11">
              <w:rPr>
                <w:rFonts w:ascii="Times New Roman" w:hAnsi="Times New Roman" w:cs="Times New Roman"/>
                <w:sz w:val="18"/>
                <w:szCs w:val="14"/>
                <w:lang w:val="ro-RO" w:eastAsia="de-DE"/>
              </w:rPr>
              <w:t>pentru executarea lucrărilor de construcţie</w:t>
            </w:r>
            <w:r w:rsidR="00321CD5" w:rsidRPr="009C5F11">
              <w:rPr>
                <w:rFonts w:ascii="Times New Roman" w:hAnsi="Times New Roman" w:cs="Times New Roman"/>
                <w:sz w:val="18"/>
                <w:szCs w:val="14"/>
                <w:lang w:val="ro-RO" w:eastAsia="de-DE"/>
              </w:rPr>
              <w:t xml:space="preserve"> şi </w:t>
            </w:r>
            <w:r w:rsidR="004E138F" w:rsidRPr="009C5F11">
              <w:rPr>
                <w:rFonts w:ascii="Times New Roman" w:hAnsi="Times New Roman" w:cs="Times New Roman"/>
                <w:sz w:val="18"/>
                <w:szCs w:val="14"/>
                <w:lang w:val="ro-RO" w:eastAsia="de-DE"/>
              </w:rPr>
              <w:t>achiziţionarea de bunuri a constituit</w:t>
            </w:r>
            <w:r w:rsidR="00936847" w:rsidRPr="009C5F11">
              <w:rPr>
                <w:rFonts w:ascii="Times New Roman" w:hAnsi="Times New Roman" w:cs="Times New Roman"/>
                <w:sz w:val="18"/>
                <w:szCs w:val="14"/>
                <w:lang w:val="ro-RO" w:eastAsia="de-DE"/>
              </w:rPr>
              <w:t xml:space="preserve"> 383,473,073 </w:t>
            </w:r>
            <w:r w:rsidR="00421FA7" w:rsidRPr="009C5F11">
              <w:rPr>
                <w:rFonts w:ascii="Times New Roman" w:hAnsi="Times New Roman" w:cs="Times New Roman"/>
                <w:sz w:val="18"/>
                <w:szCs w:val="14"/>
                <w:lang w:val="ro-RO" w:eastAsia="de-DE"/>
              </w:rPr>
              <w:t>lei</w:t>
            </w:r>
            <w:r w:rsidR="00321CD5" w:rsidRPr="009C5F11">
              <w:rPr>
                <w:rFonts w:ascii="Times New Roman" w:hAnsi="Times New Roman" w:cs="Times New Roman"/>
                <w:sz w:val="18"/>
                <w:szCs w:val="14"/>
                <w:lang w:val="ro-RO" w:eastAsia="de-DE"/>
              </w:rPr>
              <w:t xml:space="preserve"> sau </w:t>
            </w:r>
            <w:r w:rsidR="00936847" w:rsidRPr="009C5F11">
              <w:rPr>
                <w:rFonts w:ascii="Times New Roman" w:hAnsi="Times New Roman" w:cs="Times New Roman"/>
                <w:sz w:val="18"/>
                <w:szCs w:val="14"/>
                <w:lang w:val="ro-RO" w:eastAsia="de-DE"/>
              </w:rPr>
              <w:t xml:space="preserve">20,728,274 euro, </w:t>
            </w:r>
            <w:r w:rsidR="00F53252" w:rsidRPr="009C5F11">
              <w:rPr>
                <w:rFonts w:ascii="Times New Roman" w:hAnsi="Times New Roman" w:cs="Times New Roman"/>
                <w:sz w:val="18"/>
                <w:szCs w:val="14"/>
                <w:lang w:val="ro-RO" w:eastAsia="de-DE"/>
              </w:rPr>
              <w:t>din care</w:t>
            </w:r>
            <w:r w:rsidR="00936847" w:rsidRPr="009C5F11">
              <w:rPr>
                <w:rFonts w:ascii="Times New Roman" w:hAnsi="Times New Roman" w:cs="Times New Roman"/>
                <w:sz w:val="18"/>
                <w:szCs w:val="14"/>
                <w:lang w:val="ro-RO" w:eastAsia="de-DE"/>
              </w:rPr>
              <w:t xml:space="preserve"> 305,495,347 </w:t>
            </w:r>
            <w:r w:rsidR="00421FA7" w:rsidRPr="009C5F11">
              <w:rPr>
                <w:rFonts w:ascii="Times New Roman" w:hAnsi="Times New Roman" w:cs="Times New Roman"/>
                <w:sz w:val="18"/>
                <w:szCs w:val="14"/>
                <w:lang w:val="ro-RO" w:eastAsia="de-DE"/>
              </w:rPr>
              <w:t>lei</w:t>
            </w:r>
            <w:r w:rsidR="00321CD5" w:rsidRPr="009C5F11">
              <w:rPr>
                <w:rFonts w:ascii="Times New Roman" w:hAnsi="Times New Roman" w:cs="Times New Roman"/>
                <w:sz w:val="18"/>
                <w:szCs w:val="14"/>
                <w:lang w:val="ro-RO" w:eastAsia="de-DE"/>
              </w:rPr>
              <w:t xml:space="preserve"> sau </w:t>
            </w:r>
            <w:r w:rsidR="00936847" w:rsidRPr="009C5F11">
              <w:rPr>
                <w:rFonts w:ascii="Times New Roman" w:hAnsi="Times New Roman" w:cs="Times New Roman"/>
                <w:sz w:val="18"/>
                <w:szCs w:val="14"/>
                <w:lang w:val="ro-RO" w:eastAsia="de-DE"/>
              </w:rPr>
              <w:t xml:space="preserve">16,513,262 </w:t>
            </w:r>
            <w:r w:rsidR="004E138F" w:rsidRPr="009C5F11">
              <w:rPr>
                <w:rFonts w:ascii="Times New Roman" w:hAnsi="Times New Roman" w:cs="Times New Roman"/>
                <w:sz w:val="18"/>
                <w:szCs w:val="14"/>
                <w:lang w:val="ro-RO" w:eastAsia="de-DE"/>
              </w:rPr>
              <w:t>euro au fost alocaţi pentru lucrări de construcţii</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 xml:space="preserve">77,977,726 </w:t>
            </w:r>
            <w:r w:rsidR="00421FA7" w:rsidRPr="009C5F11">
              <w:rPr>
                <w:rFonts w:ascii="Times New Roman" w:hAnsi="Times New Roman" w:cs="Times New Roman"/>
                <w:sz w:val="18"/>
                <w:szCs w:val="14"/>
                <w:lang w:val="ro-RO" w:eastAsia="de-DE"/>
              </w:rPr>
              <w:t>lei</w:t>
            </w:r>
            <w:r w:rsidR="00321CD5" w:rsidRPr="009C5F11">
              <w:rPr>
                <w:rFonts w:ascii="Times New Roman" w:hAnsi="Times New Roman" w:cs="Times New Roman"/>
                <w:sz w:val="18"/>
                <w:szCs w:val="14"/>
                <w:lang w:val="ro-RO" w:eastAsia="de-DE"/>
              </w:rPr>
              <w:t xml:space="preserve"> sau </w:t>
            </w:r>
            <w:r w:rsidR="00936847" w:rsidRPr="009C5F11">
              <w:rPr>
                <w:rFonts w:ascii="Times New Roman" w:hAnsi="Times New Roman" w:cs="Times New Roman"/>
                <w:sz w:val="18"/>
                <w:szCs w:val="14"/>
                <w:lang w:val="ro-RO" w:eastAsia="de-DE"/>
              </w:rPr>
              <w:t xml:space="preserve">4,215,012 </w:t>
            </w:r>
            <w:r w:rsidR="004E138F" w:rsidRPr="009C5F11">
              <w:rPr>
                <w:rFonts w:ascii="Times New Roman" w:hAnsi="Times New Roman" w:cs="Times New Roman"/>
                <w:sz w:val="18"/>
                <w:szCs w:val="14"/>
                <w:lang w:val="ro-RO" w:eastAsia="de-DE"/>
              </w:rPr>
              <w:t>euro –</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pentru achiziţionarea de bunuri</w:t>
            </w:r>
            <w:r w:rsidR="00936847" w:rsidRPr="009C5F11">
              <w:rPr>
                <w:rFonts w:ascii="Times New Roman" w:hAnsi="Times New Roman" w:cs="Times New Roman"/>
                <w:sz w:val="18"/>
                <w:szCs w:val="14"/>
                <w:lang w:val="ro-RO" w:eastAsia="de-DE"/>
              </w:rPr>
              <w:t>. Beneficiari</w:t>
            </w:r>
            <w:r w:rsidR="004E138F" w:rsidRPr="009C5F11">
              <w:rPr>
                <w:rFonts w:ascii="Times New Roman" w:hAnsi="Times New Roman" w:cs="Times New Roman"/>
                <w:sz w:val="18"/>
                <w:szCs w:val="14"/>
                <w:lang w:val="ro-RO" w:eastAsia="de-DE"/>
              </w:rPr>
              <w:t xml:space="preserve"> ai</w:t>
            </w:r>
            <w:r w:rsidR="00936847" w:rsidRPr="009C5F11">
              <w:rPr>
                <w:rFonts w:ascii="Times New Roman" w:hAnsi="Times New Roman" w:cs="Times New Roman"/>
                <w:sz w:val="18"/>
                <w:szCs w:val="14"/>
                <w:lang w:val="ro-RO" w:eastAsia="de-DE"/>
              </w:rPr>
              <w:t xml:space="preserve"> grant</w:t>
            </w:r>
            <w:r w:rsidR="004E138F" w:rsidRPr="009C5F11">
              <w:rPr>
                <w:rFonts w:ascii="Times New Roman" w:hAnsi="Times New Roman" w:cs="Times New Roman"/>
                <w:sz w:val="18"/>
                <w:szCs w:val="14"/>
                <w:lang w:val="ro-RO" w:eastAsia="de-DE"/>
              </w:rPr>
              <w:t>ului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oferit de</w:t>
            </w:r>
            <w:r w:rsidR="00936847" w:rsidRPr="009C5F11">
              <w:rPr>
                <w:rFonts w:ascii="Times New Roman" w:hAnsi="Times New Roman" w:cs="Times New Roman"/>
                <w:sz w:val="18"/>
                <w:szCs w:val="14"/>
                <w:lang w:val="ro-RO" w:eastAsia="de-DE"/>
              </w:rPr>
              <w:t xml:space="preserve"> </w:t>
            </w:r>
            <w:r w:rsidR="00800247" w:rsidRPr="009C5F11">
              <w:rPr>
                <w:rFonts w:ascii="Times New Roman" w:hAnsi="Times New Roman" w:cs="Times New Roman"/>
                <w:sz w:val="18"/>
                <w:szCs w:val="14"/>
                <w:lang w:val="ro-RO" w:eastAsia="de-DE"/>
              </w:rPr>
              <w:t>Guvern</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sunt</w:t>
            </w:r>
            <w:r w:rsidR="00936847" w:rsidRPr="009C5F11">
              <w:rPr>
                <w:rFonts w:ascii="Times New Roman" w:hAnsi="Times New Roman" w:cs="Times New Roman"/>
                <w:sz w:val="18"/>
                <w:szCs w:val="14"/>
                <w:lang w:val="ro-RO" w:eastAsia="de-DE"/>
              </w:rPr>
              <w:t xml:space="preserve"> 774 </w:t>
            </w:r>
            <w:r w:rsidR="004E138F" w:rsidRPr="009C5F11">
              <w:rPr>
                <w:rFonts w:ascii="Times New Roman" w:hAnsi="Times New Roman" w:cs="Times New Roman"/>
                <w:sz w:val="18"/>
                <w:szCs w:val="14"/>
                <w:lang w:val="ro-RO" w:eastAsia="de-DE"/>
              </w:rPr>
              <w:t xml:space="preserve">de instituţii </w:t>
            </w:r>
            <w:r w:rsidR="00936847" w:rsidRPr="009C5F11">
              <w:rPr>
                <w:rFonts w:ascii="Times New Roman" w:hAnsi="Times New Roman" w:cs="Times New Roman"/>
                <w:sz w:val="18"/>
                <w:szCs w:val="14"/>
                <w:lang w:val="ro-RO" w:eastAsia="de-DE"/>
              </w:rPr>
              <w:t>pre</w:t>
            </w:r>
            <w:r w:rsidR="004E138F" w:rsidRPr="009C5F11">
              <w:rPr>
                <w:rFonts w:ascii="Times New Roman" w:hAnsi="Times New Roman" w:cs="Times New Roman"/>
                <w:sz w:val="18"/>
                <w:szCs w:val="14"/>
                <w:lang w:val="ro-RO" w:eastAsia="de-DE"/>
              </w:rPr>
              <w:t>şcolare</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 xml:space="preserve">din care </w:t>
            </w:r>
            <w:r w:rsidR="009B74AF" w:rsidRPr="009C5F11">
              <w:rPr>
                <w:rFonts w:ascii="Times New Roman" w:hAnsi="Times New Roman" w:cs="Times New Roman"/>
                <w:sz w:val="18"/>
                <w:szCs w:val="14"/>
                <w:lang w:val="ro-RO" w:eastAsia="de-DE"/>
              </w:rPr>
              <w:t xml:space="preserve">la </w:t>
            </w:r>
            <w:r w:rsidR="00936847" w:rsidRPr="009C5F11">
              <w:rPr>
                <w:rFonts w:ascii="Times New Roman" w:hAnsi="Times New Roman" w:cs="Times New Roman"/>
                <w:sz w:val="18"/>
                <w:szCs w:val="14"/>
                <w:lang w:val="ro-RO" w:eastAsia="de-DE"/>
              </w:rPr>
              <w:t xml:space="preserve">580 </w:t>
            </w:r>
            <w:r w:rsidR="004E138F" w:rsidRPr="009C5F11">
              <w:rPr>
                <w:rFonts w:ascii="Times New Roman" w:hAnsi="Times New Roman" w:cs="Times New Roman"/>
                <w:sz w:val="18"/>
                <w:szCs w:val="14"/>
                <w:lang w:val="ro-RO" w:eastAsia="de-DE"/>
              </w:rPr>
              <w:t>de grădiniţe de copii</w:t>
            </w:r>
            <w:r w:rsidR="00936847" w:rsidRPr="009C5F11">
              <w:rPr>
                <w:rFonts w:ascii="Times New Roman" w:hAnsi="Times New Roman" w:cs="Times New Roman"/>
                <w:sz w:val="18"/>
                <w:szCs w:val="14"/>
                <w:lang w:val="ro-RO" w:eastAsia="de-DE"/>
              </w:rPr>
              <w:t xml:space="preserve"> (75%) </w:t>
            </w:r>
            <w:r w:rsidR="004E138F" w:rsidRPr="009C5F11">
              <w:rPr>
                <w:rFonts w:ascii="Times New Roman" w:hAnsi="Times New Roman" w:cs="Times New Roman"/>
                <w:sz w:val="18"/>
                <w:szCs w:val="14"/>
                <w:lang w:val="ro-RO" w:eastAsia="de-DE"/>
              </w:rPr>
              <w:t xml:space="preserve">au </w:t>
            </w:r>
            <w:r w:rsidR="009B74AF" w:rsidRPr="009C5F11">
              <w:rPr>
                <w:rFonts w:ascii="Times New Roman" w:hAnsi="Times New Roman" w:cs="Times New Roman"/>
                <w:sz w:val="18"/>
                <w:szCs w:val="14"/>
                <w:lang w:val="ro-RO" w:eastAsia="de-DE"/>
              </w:rPr>
              <w:t xml:space="preserve">fost </w:t>
            </w:r>
            <w:r w:rsidR="004E138F" w:rsidRPr="009C5F11">
              <w:rPr>
                <w:rFonts w:ascii="Times New Roman" w:hAnsi="Times New Roman" w:cs="Times New Roman"/>
                <w:sz w:val="18"/>
                <w:szCs w:val="14"/>
                <w:lang w:val="ro-RO" w:eastAsia="de-DE"/>
              </w:rPr>
              <w:t>finalizat</w:t>
            </w:r>
            <w:r w:rsidR="009B74AF" w:rsidRPr="009C5F11">
              <w:rPr>
                <w:rFonts w:ascii="Times New Roman" w:hAnsi="Times New Roman" w:cs="Times New Roman"/>
                <w:sz w:val="18"/>
                <w:szCs w:val="14"/>
                <w:lang w:val="ro-RO" w:eastAsia="de-DE"/>
              </w:rPr>
              <w:t>e</w:t>
            </w:r>
            <w:r w:rsidR="004E138F" w:rsidRPr="009C5F11">
              <w:rPr>
                <w:rFonts w:ascii="Times New Roman" w:hAnsi="Times New Roman" w:cs="Times New Roman"/>
                <w:sz w:val="18"/>
                <w:szCs w:val="14"/>
                <w:lang w:val="ro-RO" w:eastAsia="de-DE"/>
              </w:rPr>
              <w:t xml:space="preserve"> lucrările de construcţii</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sau </w:t>
            </w:r>
            <w:r w:rsidR="004E138F" w:rsidRPr="009C5F11">
              <w:rPr>
                <w:rFonts w:ascii="Times New Roman" w:hAnsi="Times New Roman" w:cs="Times New Roman"/>
                <w:sz w:val="18"/>
                <w:szCs w:val="14"/>
                <w:lang w:val="ro-RO" w:eastAsia="de-DE"/>
              </w:rPr>
              <w:t xml:space="preserve">au </w:t>
            </w:r>
            <w:r w:rsidR="009B74AF" w:rsidRPr="009C5F11">
              <w:rPr>
                <w:rFonts w:ascii="Times New Roman" w:hAnsi="Times New Roman" w:cs="Times New Roman"/>
                <w:sz w:val="18"/>
                <w:szCs w:val="14"/>
                <w:lang w:val="ro-RO" w:eastAsia="de-DE"/>
              </w:rPr>
              <w:t xml:space="preserve">fost </w:t>
            </w:r>
            <w:r w:rsidR="004E138F" w:rsidRPr="009C5F11">
              <w:rPr>
                <w:rFonts w:ascii="Times New Roman" w:hAnsi="Times New Roman" w:cs="Times New Roman"/>
                <w:sz w:val="18"/>
                <w:szCs w:val="14"/>
                <w:lang w:val="ro-RO" w:eastAsia="de-DE"/>
              </w:rPr>
              <w:t>achiziţionat</w:t>
            </w:r>
            <w:r w:rsidR="009B74AF" w:rsidRPr="009C5F11">
              <w:rPr>
                <w:rFonts w:ascii="Times New Roman" w:hAnsi="Times New Roman" w:cs="Times New Roman"/>
                <w:sz w:val="18"/>
                <w:szCs w:val="14"/>
                <w:lang w:val="ro-RO" w:eastAsia="de-DE"/>
              </w:rPr>
              <w:t>e</w:t>
            </w:r>
            <w:r w:rsidR="004E138F" w:rsidRPr="009C5F11">
              <w:rPr>
                <w:rFonts w:ascii="Times New Roman" w:hAnsi="Times New Roman" w:cs="Times New Roman"/>
                <w:sz w:val="18"/>
                <w:szCs w:val="14"/>
                <w:lang w:val="ro-RO" w:eastAsia="de-DE"/>
              </w:rPr>
              <w:t xml:space="preserve"> cu succes bunurile</w:t>
            </w:r>
            <w:r w:rsidR="00936847" w:rsidRPr="009C5F11">
              <w:rPr>
                <w:rFonts w:ascii="Times New Roman" w:hAnsi="Times New Roman" w:cs="Times New Roman"/>
                <w:sz w:val="18"/>
                <w:szCs w:val="14"/>
                <w:lang w:val="ro-RO" w:eastAsia="de-DE"/>
              </w:rPr>
              <w:t>.</w:t>
            </w:r>
          </w:p>
          <w:p w14:paraId="59A08CB1" w14:textId="77777777" w:rsidR="00936847" w:rsidRPr="009C5F11" w:rsidRDefault="004E138F" w:rsidP="00334F3B">
            <w:pPr>
              <w:numPr>
                <w:ilvl w:val="0"/>
                <w:numId w:val="110"/>
              </w:numPr>
              <w:tabs>
                <w:tab w:val="left" w:pos="882"/>
                <w:tab w:val="left" w:pos="5040"/>
                <w:tab w:val="right" w:pos="8504"/>
              </w:tabs>
              <w:spacing w:before="40" w:after="0" w:line="240" w:lineRule="auto"/>
              <w:ind w:left="853" w:hanging="283"/>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Proiectul i</w:t>
            </w:r>
            <w:r w:rsidR="00936847" w:rsidRPr="009C5F11">
              <w:rPr>
                <w:rFonts w:ascii="Times New Roman" w:hAnsi="Times New Roman" w:cs="Times New Roman"/>
                <w:sz w:val="18"/>
                <w:szCs w:val="14"/>
                <w:u w:val="single"/>
                <w:lang w:val="ro-RO" w:eastAsia="de-DE"/>
              </w:rPr>
              <w:t>nfrastructur</w:t>
            </w:r>
            <w:r w:rsidRPr="009C5F11">
              <w:rPr>
                <w:rFonts w:ascii="Times New Roman" w:hAnsi="Times New Roman" w:cs="Times New Roman"/>
                <w:sz w:val="18"/>
                <w:szCs w:val="14"/>
                <w:u w:val="single"/>
                <w:lang w:val="ro-RO" w:eastAsia="de-DE"/>
              </w:rPr>
              <w:t>a socială</w:t>
            </w:r>
            <w:r w:rsidR="00321CD5" w:rsidRPr="009C5F11">
              <w:rPr>
                <w:rFonts w:ascii="Times New Roman" w:hAnsi="Times New Roman" w:cs="Times New Roman"/>
                <w:sz w:val="18"/>
                <w:szCs w:val="14"/>
                <w:u w:val="single"/>
                <w:lang w:val="ro-RO" w:eastAsia="de-DE"/>
              </w:rPr>
              <w:t xml:space="preserve"> şi </w:t>
            </w:r>
            <w:r w:rsidR="00812E1D" w:rsidRPr="009C5F11">
              <w:rPr>
                <w:rFonts w:ascii="Times New Roman" w:hAnsi="Times New Roman" w:cs="Times New Roman"/>
                <w:sz w:val="18"/>
                <w:szCs w:val="14"/>
                <w:u w:val="single"/>
                <w:lang w:val="ro-RO" w:eastAsia="de-DE"/>
              </w:rPr>
              <w:t>eficienţa energetică</w:t>
            </w:r>
            <w:r w:rsidR="00936847" w:rsidRPr="009C5F11">
              <w:rPr>
                <w:rFonts w:ascii="Times New Roman" w:hAnsi="Times New Roman" w:cs="Times New Roman"/>
                <w:sz w:val="18"/>
                <w:szCs w:val="14"/>
                <w:u w:val="single"/>
                <w:lang w:val="ro-RO" w:eastAsia="de-DE"/>
              </w:rPr>
              <w:t xml:space="preserve">, </w:t>
            </w:r>
            <w:r w:rsidRPr="009C5F11">
              <w:rPr>
                <w:rFonts w:ascii="Times New Roman" w:hAnsi="Times New Roman" w:cs="Times New Roman"/>
                <w:sz w:val="18"/>
                <w:szCs w:val="14"/>
                <w:u w:val="single"/>
                <w:lang w:val="ro-RO" w:eastAsia="de-DE"/>
              </w:rPr>
              <w:t xml:space="preserve">grantul oferit de </w:t>
            </w:r>
            <w:r w:rsidR="00936847" w:rsidRPr="009C5F11">
              <w:rPr>
                <w:rFonts w:ascii="Times New Roman" w:hAnsi="Times New Roman" w:cs="Times New Roman"/>
                <w:sz w:val="18"/>
                <w:szCs w:val="14"/>
                <w:u w:val="single"/>
                <w:lang w:val="ro-RO" w:eastAsia="de-DE"/>
              </w:rPr>
              <w:t>KfW:</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Proiect</w:t>
            </w:r>
            <w:r w:rsidRPr="009C5F11">
              <w:rPr>
                <w:rFonts w:ascii="Times New Roman" w:hAnsi="Times New Roman" w:cs="Times New Roman"/>
                <w:sz w:val="18"/>
                <w:szCs w:val="14"/>
                <w:lang w:val="ro-RO" w:eastAsia="de-DE"/>
              </w:rPr>
              <w:t>ul vizează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investiţiile</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 xml:space="preserve">infrastructura socială </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alimentarea cu apă şi sanitaţie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şcoli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grădiniţe de copii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drumuri</w:t>
            </w:r>
            <w:r w:rsidR="00936847" w:rsidRPr="009C5F11">
              <w:rPr>
                <w:rFonts w:ascii="Times New Roman" w:hAnsi="Times New Roman" w:cs="Times New Roman"/>
                <w:sz w:val="18"/>
                <w:szCs w:val="14"/>
                <w:lang w:val="ro-RO" w:eastAsia="de-DE"/>
              </w:rPr>
              <w:t xml:space="preserve"> etc.) </w:t>
            </w:r>
            <w:r w:rsidRPr="009C5F11">
              <w:rPr>
                <w:rFonts w:ascii="Times New Roman" w:hAnsi="Times New Roman" w:cs="Times New Roman"/>
                <w:sz w:val="18"/>
                <w:szCs w:val="14"/>
                <w:lang w:val="ro-RO" w:eastAsia="de-DE"/>
              </w:rPr>
              <w:t>a comunităţilor</w:t>
            </w:r>
            <w:r w:rsidR="00936847" w:rsidRPr="009C5F11">
              <w:rPr>
                <w:rFonts w:ascii="Times New Roman" w:hAnsi="Times New Roman" w:cs="Times New Roman"/>
                <w:sz w:val="18"/>
                <w:szCs w:val="14"/>
                <w:lang w:val="ro-RO" w:eastAsia="de-DE"/>
              </w:rPr>
              <w:t xml:space="preserve"> local</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cu un număr de locuitori</w:t>
            </w:r>
            <w:r w:rsidR="00936847" w:rsidRPr="009C5F11">
              <w:rPr>
                <w:rFonts w:ascii="Times New Roman" w:hAnsi="Times New Roman" w:cs="Times New Roman"/>
                <w:sz w:val="18"/>
                <w:szCs w:val="14"/>
                <w:lang w:val="ro-RO" w:eastAsia="de-DE"/>
              </w:rPr>
              <w:t xml:space="preserve"> </w:t>
            </w:r>
            <w:r w:rsidR="009B74AF" w:rsidRPr="009C5F11">
              <w:rPr>
                <w:rFonts w:ascii="Times New Roman" w:hAnsi="Times New Roman" w:cs="Times New Roman"/>
                <w:sz w:val="18"/>
                <w:szCs w:val="14"/>
                <w:lang w:val="ro-RO" w:eastAsia="de-DE"/>
              </w:rPr>
              <w:t xml:space="preserve">de </w:t>
            </w:r>
            <w:r w:rsidR="003A5D89" w:rsidRPr="009C5F11">
              <w:rPr>
                <w:rFonts w:ascii="Times New Roman" w:hAnsi="Times New Roman" w:cs="Times New Roman"/>
                <w:sz w:val="18"/>
                <w:szCs w:val="14"/>
                <w:lang w:val="ro-RO" w:eastAsia="de-DE"/>
              </w:rPr>
              <w:t>până la</w:t>
            </w:r>
            <w:r w:rsidR="00936847" w:rsidRPr="009C5F11">
              <w:rPr>
                <w:rFonts w:ascii="Times New Roman" w:hAnsi="Times New Roman" w:cs="Times New Roman"/>
                <w:sz w:val="18"/>
                <w:szCs w:val="14"/>
                <w:lang w:val="ro-RO" w:eastAsia="de-DE"/>
              </w:rPr>
              <w:t xml:space="preserve"> 20 000 </w:t>
            </w:r>
            <w:r w:rsidRPr="009C5F11">
              <w:rPr>
                <w:rFonts w:ascii="Times New Roman" w:hAnsi="Times New Roman" w:cs="Times New Roman"/>
                <w:sz w:val="18"/>
                <w:szCs w:val="14"/>
                <w:lang w:val="ro-RO" w:eastAsia="de-DE"/>
              </w:rPr>
              <w:t>cu axare specială pe eficientizarea consumului de energie</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 xml:space="preserve">utilizarea resurselor </w:t>
            </w:r>
            <w:r w:rsidR="00936847" w:rsidRPr="009C5F11">
              <w:rPr>
                <w:rFonts w:ascii="Times New Roman" w:hAnsi="Times New Roman" w:cs="Times New Roman"/>
                <w:sz w:val="18"/>
                <w:szCs w:val="14"/>
                <w:lang w:val="ro-RO" w:eastAsia="de-DE"/>
              </w:rPr>
              <w:t xml:space="preserve">alternative </w:t>
            </w:r>
            <w:r w:rsidRPr="009C5F11">
              <w:rPr>
                <w:rFonts w:ascii="Times New Roman" w:hAnsi="Times New Roman" w:cs="Times New Roman"/>
                <w:sz w:val="18"/>
                <w:szCs w:val="14"/>
                <w:lang w:val="ro-RO" w:eastAsia="de-DE"/>
              </w:rPr>
              <w:t xml:space="preserve">de </w:t>
            </w:r>
            <w:r w:rsidR="001E3482" w:rsidRPr="009C5F11">
              <w:rPr>
                <w:rFonts w:ascii="Times New Roman" w:hAnsi="Times New Roman" w:cs="Times New Roman"/>
                <w:sz w:val="18"/>
                <w:szCs w:val="14"/>
                <w:lang w:val="ro-RO" w:eastAsia="de-DE"/>
              </w:rPr>
              <w:t>energie</w:t>
            </w:r>
            <w:r w:rsidR="00936847" w:rsidRPr="009C5F11">
              <w:rPr>
                <w:rFonts w:ascii="Times New Roman" w:hAnsi="Times New Roman" w:cs="Times New Roman"/>
                <w:sz w:val="18"/>
                <w:szCs w:val="14"/>
                <w:lang w:val="ro-RO" w:eastAsia="de-DE"/>
              </w:rPr>
              <w:t xml:space="preserve">. </w:t>
            </w:r>
            <w:r w:rsidR="00360BED" w:rsidRPr="009C5F11">
              <w:rPr>
                <w:rFonts w:ascii="Times New Roman" w:hAnsi="Times New Roman" w:cs="Times New Roman"/>
                <w:sz w:val="18"/>
                <w:szCs w:val="14"/>
                <w:lang w:val="ro-RO" w:eastAsia="de-DE"/>
              </w:rPr>
              <w:t xml:space="preserve">Pe parcursul </w:t>
            </w:r>
            <w:r w:rsidR="00936847" w:rsidRPr="009C5F11">
              <w:rPr>
                <w:rFonts w:ascii="Times New Roman" w:hAnsi="Times New Roman" w:cs="Times New Roman"/>
                <w:sz w:val="18"/>
                <w:szCs w:val="14"/>
                <w:lang w:val="ro-RO" w:eastAsia="de-DE"/>
              </w:rPr>
              <w:t>perio</w:t>
            </w:r>
            <w:r w:rsidRPr="009C5F11">
              <w:rPr>
                <w:rFonts w:ascii="Times New Roman" w:hAnsi="Times New Roman" w:cs="Times New Roman"/>
                <w:sz w:val="18"/>
                <w:szCs w:val="14"/>
                <w:lang w:val="ro-RO" w:eastAsia="de-DE"/>
              </w:rPr>
              <w:t>a</w:t>
            </w:r>
            <w:r w:rsidR="00936847" w:rsidRPr="009C5F11">
              <w:rPr>
                <w:rFonts w:ascii="Times New Roman" w:hAnsi="Times New Roman" w:cs="Times New Roman"/>
                <w:sz w:val="18"/>
                <w:szCs w:val="14"/>
                <w:lang w:val="ro-RO" w:eastAsia="de-DE"/>
              </w:rPr>
              <w:t>d</w:t>
            </w:r>
            <w:r w:rsidRPr="009C5F11">
              <w:rPr>
                <w:rFonts w:ascii="Times New Roman" w:hAnsi="Times New Roman" w:cs="Times New Roman"/>
                <w:sz w:val="18"/>
                <w:szCs w:val="14"/>
                <w:lang w:val="ro-RO" w:eastAsia="de-DE"/>
              </w:rPr>
              <w:t>ei</w:t>
            </w:r>
            <w:r w:rsidR="00936847" w:rsidRPr="009C5F11">
              <w:rPr>
                <w:rFonts w:ascii="Times New Roman" w:hAnsi="Times New Roman" w:cs="Times New Roman"/>
                <w:sz w:val="18"/>
                <w:szCs w:val="14"/>
                <w:lang w:val="ro-RO" w:eastAsia="de-DE"/>
              </w:rPr>
              <w:t xml:space="preserve"> 2013-2015 </w:t>
            </w:r>
            <w:r w:rsidRPr="009C5F11">
              <w:rPr>
                <w:rFonts w:ascii="Times New Roman" w:hAnsi="Times New Roman" w:cs="Times New Roman"/>
                <w:sz w:val="18"/>
                <w:szCs w:val="14"/>
                <w:lang w:val="ro-RO" w:eastAsia="de-DE"/>
              </w:rPr>
              <w:t xml:space="preserve">pe baza acestui sprijin au fost finanţate </w:t>
            </w:r>
            <w:r w:rsidR="00E10BE5" w:rsidRPr="009C5F11">
              <w:rPr>
                <w:rFonts w:ascii="Times New Roman" w:hAnsi="Times New Roman" w:cs="Times New Roman"/>
                <w:sz w:val="18"/>
                <w:szCs w:val="14"/>
                <w:lang w:val="ro-RO" w:eastAsia="de-DE"/>
              </w:rPr>
              <w:t>proiecte</w:t>
            </w:r>
            <w:r w:rsidRPr="009C5F11">
              <w:rPr>
                <w:rFonts w:ascii="Times New Roman" w:hAnsi="Times New Roman" w:cs="Times New Roman"/>
                <w:sz w:val="18"/>
                <w:szCs w:val="14"/>
                <w:lang w:val="ro-RO" w:eastAsia="de-DE"/>
              </w:rPr>
              <w:t>, în acest scop fiind alocate</w:t>
            </w:r>
            <w:r w:rsidR="00936847" w:rsidRPr="009C5F11">
              <w:rPr>
                <w:rFonts w:ascii="Times New Roman" w:hAnsi="Times New Roman" w:cs="Times New Roman"/>
                <w:sz w:val="18"/>
                <w:szCs w:val="14"/>
                <w:lang w:val="ro-RO" w:eastAsia="de-DE"/>
              </w:rPr>
              <w:t xml:space="preserve"> 5.481 </w:t>
            </w:r>
            <w:r w:rsidR="00421FA7" w:rsidRPr="009C5F11">
              <w:rPr>
                <w:rFonts w:ascii="Times New Roman" w:hAnsi="Times New Roman" w:cs="Times New Roman"/>
                <w:sz w:val="18"/>
                <w:szCs w:val="14"/>
                <w:lang w:val="ro-RO" w:eastAsia="de-DE"/>
              </w:rPr>
              <w:t>milioane euro</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Dintre acestea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7</w:t>
            </w:r>
            <w:r w:rsidR="00936847" w:rsidRPr="009C5F11">
              <w:rPr>
                <w:rFonts w:ascii="Times New Roman" w:hAnsi="Times New Roman" w:cs="Times New Roman"/>
                <w:sz w:val="18"/>
                <w:szCs w:val="14"/>
                <w:lang w:val="ro-RO" w:eastAsia="de-DE"/>
              </w:rPr>
              <w:t xml:space="preserve"> </w:t>
            </w:r>
            <w:r w:rsidR="00E10BE5" w:rsidRPr="009C5F11">
              <w:rPr>
                <w:rFonts w:ascii="Times New Roman" w:hAnsi="Times New Roman" w:cs="Times New Roman"/>
                <w:sz w:val="18"/>
                <w:szCs w:val="14"/>
                <w:lang w:val="ro-RO" w:eastAsia="de-DE"/>
              </w:rPr>
              <w:t>proiecte</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realizate la</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grădiniţe de copii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au fost finanţate în comun cu sprijinul acordat de Guvernul </w:t>
            </w:r>
            <w:r w:rsidR="009B74AF" w:rsidRPr="009C5F11">
              <w:rPr>
                <w:rFonts w:ascii="Times New Roman" w:hAnsi="Times New Roman" w:cs="Times New Roman"/>
                <w:sz w:val="18"/>
                <w:szCs w:val="14"/>
                <w:lang w:val="ro-RO" w:eastAsia="de-DE"/>
              </w:rPr>
              <w:t>României</w:t>
            </w:r>
            <w:r w:rsidR="00936847" w:rsidRPr="009C5F11">
              <w:rPr>
                <w:rFonts w:ascii="Times New Roman" w:hAnsi="Times New Roman" w:cs="Times New Roman"/>
                <w:sz w:val="18"/>
                <w:szCs w:val="14"/>
                <w:lang w:val="ro-RO" w:eastAsia="de-DE"/>
              </w:rPr>
              <w:t xml:space="preserve"> </w:t>
            </w:r>
            <w:r w:rsidR="00AF77EE" w:rsidRPr="009C5F11">
              <w:rPr>
                <w:rFonts w:ascii="Times New Roman" w:hAnsi="Times New Roman" w:cs="Times New Roman"/>
                <w:sz w:val="18"/>
                <w:szCs w:val="14"/>
                <w:lang w:val="ro-RO" w:eastAsia="de-DE"/>
              </w:rPr>
              <w:t>(a se vedea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mai sus</w:t>
            </w:r>
            <w:r w:rsidR="00936847" w:rsidRPr="009C5F11">
              <w:rPr>
                <w:rFonts w:ascii="Times New Roman" w:hAnsi="Times New Roman" w:cs="Times New Roman"/>
                <w:sz w:val="18"/>
                <w:szCs w:val="14"/>
                <w:lang w:val="ro-RO" w:eastAsia="de-DE"/>
              </w:rPr>
              <w:t xml:space="preserve">) – </w:t>
            </w:r>
            <w:r w:rsidRPr="009C5F11">
              <w:rPr>
                <w:rFonts w:ascii="Times New Roman" w:hAnsi="Times New Roman" w:cs="Times New Roman"/>
                <w:sz w:val="18"/>
                <w:szCs w:val="14"/>
                <w:lang w:val="ro-RO" w:eastAsia="de-DE"/>
              </w:rPr>
              <w:t xml:space="preserve">costurile totale ale </w:t>
            </w:r>
            <w:r w:rsidR="00421FA7" w:rsidRPr="009C5F11">
              <w:rPr>
                <w:rFonts w:ascii="Times New Roman" w:hAnsi="Times New Roman" w:cs="Times New Roman"/>
                <w:sz w:val="18"/>
                <w:szCs w:val="14"/>
                <w:lang w:val="ro-RO" w:eastAsia="de-DE"/>
              </w:rPr>
              <w:t>proiect</w:t>
            </w:r>
            <w:r w:rsidRPr="009C5F11">
              <w:rPr>
                <w:rFonts w:ascii="Times New Roman" w:hAnsi="Times New Roman" w:cs="Times New Roman"/>
                <w:sz w:val="18"/>
                <w:szCs w:val="14"/>
                <w:lang w:val="ro-RO" w:eastAsia="de-DE"/>
              </w:rPr>
              <w:t>ului însumând</w:t>
            </w:r>
            <w:r w:rsidR="00936847" w:rsidRPr="009C5F11">
              <w:rPr>
                <w:rFonts w:ascii="Times New Roman" w:hAnsi="Times New Roman" w:cs="Times New Roman"/>
                <w:sz w:val="18"/>
                <w:szCs w:val="14"/>
                <w:lang w:val="ro-RO" w:eastAsia="de-DE"/>
              </w:rPr>
              <w:t xml:space="preserve"> 423,800 </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uro (</w:t>
            </w:r>
            <w:r w:rsidRPr="009C5F11">
              <w:rPr>
                <w:rFonts w:ascii="Times New Roman" w:hAnsi="Times New Roman" w:cs="Times New Roman"/>
                <w:sz w:val="18"/>
                <w:szCs w:val="14"/>
                <w:lang w:val="ro-RO" w:eastAsia="de-DE"/>
              </w:rPr>
              <w:t>nu este luat în considerare pentru a evita suprapunerea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Peste</w:t>
            </w:r>
            <w:r w:rsidR="00936847" w:rsidRPr="009C5F11">
              <w:rPr>
                <w:rFonts w:ascii="Times New Roman" w:hAnsi="Times New Roman" w:cs="Times New Roman"/>
                <w:sz w:val="18"/>
                <w:szCs w:val="14"/>
                <w:lang w:val="ro-RO" w:eastAsia="de-DE"/>
              </w:rPr>
              <w:t xml:space="preserve"> 60% </w:t>
            </w:r>
            <w:r w:rsidRPr="009C5F11">
              <w:rPr>
                <w:rFonts w:ascii="Times New Roman" w:hAnsi="Times New Roman" w:cs="Times New Roman"/>
                <w:sz w:val="18"/>
                <w:szCs w:val="14"/>
                <w:lang w:val="ro-RO" w:eastAsia="de-DE"/>
              </w:rPr>
              <w:t>din</w:t>
            </w:r>
            <w:r w:rsidR="00936847" w:rsidRPr="009C5F11">
              <w:rPr>
                <w:rFonts w:ascii="Times New Roman" w:hAnsi="Times New Roman" w:cs="Times New Roman"/>
                <w:sz w:val="18"/>
                <w:szCs w:val="14"/>
                <w:lang w:val="ro-RO" w:eastAsia="de-DE"/>
              </w:rPr>
              <w:t xml:space="preserve"> </w:t>
            </w:r>
            <w:r w:rsidR="00EB460D" w:rsidRPr="009C5F11">
              <w:rPr>
                <w:rFonts w:ascii="Times New Roman" w:hAnsi="Times New Roman" w:cs="Times New Roman"/>
                <w:sz w:val="18"/>
                <w:szCs w:val="14"/>
                <w:lang w:val="ro-RO" w:eastAsia="de-DE"/>
              </w:rPr>
              <w:t>granturi</w:t>
            </w:r>
            <w:r w:rsidRPr="009C5F11">
              <w:rPr>
                <w:rFonts w:ascii="Times New Roman" w:hAnsi="Times New Roman" w:cs="Times New Roman"/>
                <w:sz w:val="18"/>
                <w:szCs w:val="14"/>
                <w:lang w:val="ro-RO" w:eastAsia="de-DE"/>
              </w:rPr>
              <w:t>le oferite de</w:t>
            </w:r>
            <w:r w:rsidR="00936847" w:rsidRPr="009C5F11">
              <w:rPr>
                <w:rFonts w:ascii="Times New Roman" w:hAnsi="Times New Roman" w:cs="Times New Roman"/>
                <w:sz w:val="18"/>
                <w:szCs w:val="14"/>
                <w:lang w:val="ro-RO" w:eastAsia="de-DE"/>
              </w:rPr>
              <w:t xml:space="preserve"> KfW </w:t>
            </w:r>
            <w:r w:rsidRPr="009C5F11">
              <w:rPr>
                <w:rFonts w:ascii="Times New Roman" w:hAnsi="Times New Roman" w:cs="Times New Roman"/>
                <w:sz w:val="18"/>
                <w:szCs w:val="14"/>
                <w:lang w:val="ro-RO" w:eastAsia="de-DE"/>
              </w:rPr>
              <w:t xml:space="preserve">au fost </w:t>
            </w:r>
            <w:r w:rsidR="0087273F" w:rsidRPr="009C5F11">
              <w:rPr>
                <w:rFonts w:ascii="Times New Roman" w:hAnsi="Times New Roman" w:cs="Times New Roman"/>
                <w:sz w:val="18"/>
                <w:szCs w:val="14"/>
                <w:lang w:val="ro-RO" w:eastAsia="de-DE"/>
              </w:rPr>
              <w:t>valorificate</w:t>
            </w:r>
            <w:r w:rsidRPr="009C5F11">
              <w:rPr>
                <w:rFonts w:ascii="Times New Roman" w:hAnsi="Times New Roman" w:cs="Times New Roman"/>
                <w:sz w:val="18"/>
                <w:szCs w:val="14"/>
                <w:lang w:val="ro-RO" w:eastAsia="de-DE"/>
              </w:rPr>
              <w:t xml:space="preserve"> pentru îmbunătăţirea </w:t>
            </w:r>
            <w:r w:rsidR="00936847" w:rsidRPr="009C5F11">
              <w:rPr>
                <w:rFonts w:ascii="Times New Roman" w:hAnsi="Times New Roman" w:cs="Times New Roman"/>
                <w:sz w:val="18"/>
                <w:szCs w:val="14"/>
                <w:lang w:val="ro-RO" w:eastAsia="de-DE"/>
              </w:rPr>
              <w:t>infrastructur</w:t>
            </w:r>
            <w:r w:rsidRPr="009C5F11">
              <w:rPr>
                <w:rFonts w:ascii="Times New Roman" w:hAnsi="Times New Roman" w:cs="Times New Roman"/>
                <w:sz w:val="18"/>
                <w:szCs w:val="14"/>
                <w:lang w:val="ro-RO" w:eastAsia="de-DE"/>
              </w:rPr>
              <w:t>ii clădirilor public</w:t>
            </w:r>
            <w:r w:rsidR="00936847" w:rsidRPr="009C5F11">
              <w:rPr>
                <w:rFonts w:ascii="Times New Roman" w:hAnsi="Times New Roman" w:cs="Times New Roman"/>
                <w:sz w:val="18"/>
                <w:szCs w:val="14"/>
                <w:lang w:val="ro-RO" w:eastAsia="de-DE"/>
              </w:rPr>
              <w:t xml:space="preserve">e. </w:t>
            </w:r>
            <w:r w:rsidRPr="009C5F11">
              <w:rPr>
                <w:rFonts w:ascii="Times New Roman" w:hAnsi="Times New Roman" w:cs="Times New Roman"/>
                <w:sz w:val="18"/>
                <w:szCs w:val="14"/>
                <w:lang w:val="ro-RO" w:eastAsia="de-DE"/>
              </w:rPr>
              <w:t>Per total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au fost suportate următoarele costuri pe sectoare</w:t>
            </w:r>
            <w:r w:rsidR="00936847" w:rsidRPr="009C5F11">
              <w:rPr>
                <w:rFonts w:ascii="Times New Roman" w:hAnsi="Times New Roman" w:cs="Times New Roman"/>
                <w:sz w:val="18"/>
                <w:szCs w:val="14"/>
                <w:lang w:val="ro-RO" w:eastAsia="de-DE"/>
              </w:rPr>
              <w:t>:</w:t>
            </w:r>
          </w:p>
          <w:p w14:paraId="7F424B7F" w14:textId="77777777" w:rsidR="00936847" w:rsidRPr="009C5F11" w:rsidRDefault="005D06FD" w:rsidP="00334F3B">
            <w:pPr>
              <w:numPr>
                <w:ilvl w:val="0"/>
                <w:numId w:val="207"/>
              </w:numPr>
              <w:tabs>
                <w:tab w:val="left" w:pos="1137"/>
                <w:tab w:val="left" w:pos="1872"/>
                <w:tab w:val="right" w:pos="8504"/>
              </w:tabs>
              <w:spacing w:before="40" w:after="0" w:line="240" w:lineRule="auto"/>
              <w:ind w:left="1283"/>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 publice</w:t>
            </w:r>
            <w:r w:rsidR="00936847" w:rsidRPr="009C5F11">
              <w:rPr>
                <w:rFonts w:ascii="Times New Roman" w:hAnsi="Times New Roman" w:cs="Times New Roman"/>
                <w:sz w:val="18"/>
                <w:szCs w:val="14"/>
                <w:lang w:val="ro-RO" w:eastAsia="de-DE"/>
              </w:rPr>
              <w:t xml:space="preserve">: 3,380,527 </w:t>
            </w:r>
            <w:r w:rsidR="004E138F"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uro</w:t>
            </w:r>
            <w:r w:rsidR="004E138F" w:rsidRPr="009C5F11">
              <w:rPr>
                <w:rFonts w:ascii="Times New Roman" w:hAnsi="Times New Roman" w:cs="Times New Roman"/>
                <w:sz w:val="18"/>
                <w:szCs w:val="14"/>
                <w:lang w:val="ro-RO" w:eastAsia="de-DE"/>
              </w:rPr>
              <w:t>;</w:t>
            </w:r>
          </w:p>
          <w:p w14:paraId="2D57483D" w14:textId="77777777" w:rsidR="00936847" w:rsidRPr="009C5F11" w:rsidRDefault="000E55A5" w:rsidP="00334F3B">
            <w:pPr>
              <w:numPr>
                <w:ilvl w:val="0"/>
                <w:numId w:val="207"/>
              </w:numPr>
              <w:tabs>
                <w:tab w:val="left" w:pos="1137"/>
                <w:tab w:val="left" w:pos="1872"/>
                <w:tab w:val="right" w:pos="8504"/>
              </w:tabs>
              <w:spacing w:before="40" w:after="0" w:line="240" w:lineRule="auto"/>
              <w:ind w:left="1283"/>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Infrastructura </w:t>
            </w:r>
            <w:r w:rsidR="004E138F" w:rsidRPr="009C5F11">
              <w:rPr>
                <w:rFonts w:ascii="Times New Roman" w:hAnsi="Times New Roman" w:cs="Times New Roman"/>
                <w:sz w:val="18"/>
                <w:szCs w:val="14"/>
                <w:lang w:val="ro-RO" w:eastAsia="de-DE"/>
              </w:rPr>
              <w:t>hidrografică</w:t>
            </w:r>
            <w:r w:rsidR="00936847" w:rsidRPr="009C5F11">
              <w:rPr>
                <w:rFonts w:ascii="Times New Roman" w:hAnsi="Times New Roman" w:cs="Times New Roman"/>
                <w:sz w:val="18"/>
                <w:szCs w:val="14"/>
                <w:lang w:val="ro-RO" w:eastAsia="de-DE"/>
              </w:rPr>
              <w:t xml:space="preserve">: 611,286 </w:t>
            </w:r>
            <w:r w:rsidR="004E138F"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uro</w:t>
            </w:r>
            <w:r w:rsidR="004E138F" w:rsidRPr="009C5F11">
              <w:rPr>
                <w:rFonts w:ascii="Times New Roman" w:hAnsi="Times New Roman" w:cs="Times New Roman"/>
                <w:sz w:val="18"/>
                <w:szCs w:val="14"/>
                <w:lang w:val="ro-RO" w:eastAsia="de-DE"/>
              </w:rPr>
              <w:t>;</w:t>
            </w:r>
          </w:p>
          <w:p w14:paraId="087B24CE" w14:textId="77777777" w:rsidR="00936847" w:rsidRPr="009C5F11" w:rsidRDefault="000E55A5" w:rsidP="00334F3B">
            <w:pPr>
              <w:numPr>
                <w:ilvl w:val="0"/>
                <w:numId w:val="207"/>
              </w:numPr>
              <w:tabs>
                <w:tab w:val="left" w:pos="1137"/>
                <w:tab w:val="left" w:pos="1872"/>
                <w:tab w:val="right" w:pos="8504"/>
              </w:tabs>
              <w:spacing w:before="40" w:after="0" w:line="240" w:lineRule="auto"/>
              <w:ind w:left="1283"/>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Infrastructura rutieră</w:t>
            </w:r>
            <w:r w:rsidR="00936847" w:rsidRPr="009C5F11">
              <w:rPr>
                <w:rFonts w:ascii="Times New Roman" w:hAnsi="Times New Roman" w:cs="Times New Roman"/>
                <w:sz w:val="18"/>
                <w:szCs w:val="14"/>
                <w:lang w:val="ro-RO" w:eastAsia="de-DE"/>
              </w:rPr>
              <w:t xml:space="preserve">: 926,498 </w:t>
            </w:r>
            <w:r w:rsidR="004E138F"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uro</w:t>
            </w:r>
            <w:r w:rsidR="004E138F" w:rsidRPr="009C5F11">
              <w:rPr>
                <w:rFonts w:ascii="Times New Roman" w:hAnsi="Times New Roman" w:cs="Times New Roman"/>
                <w:sz w:val="18"/>
                <w:szCs w:val="14"/>
                <w:lang w:val="ro-RO" w:eastAsia="de-DE"/>
              </w:rPr>
              <w:t>;</w:t>
            </w:r>
          </w:p>
          <w:p w14:paraId="773FA1BD" w14:textId="77777777" w:rsidR="00936847" w:rsidRPr="009C5F11" w:rsidRDefault="000E55A5" w:rsidP="00334F3B">
            <w:pPr>
              <w:numPr>
                <w:ilvl w:val="0"/>
                <w:numId w:val="207"/>
              </w:numPr>
              <w:tabs>
                <w:tab w:val="left" w:pos="1137"/>
                <w:tab w:val="left" w:pos="1872"/>
                <w:tab w:val="right" w:pos="8504"/>
              </w:tabs>
              <w:spacing w:before="40" w:after="0" w:line="240" w:lineRule="auto"/>
              <w:ind w:left="1283"/>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Iluminatul </w:t>
            </w:r>
            <w:r w:rsidR="00B23C12" w:rsidRPr="009C5F11">
              <w:rPr>
                <w:rFonts w:ascii="Times New Roman" w:hAnsi="Times New Roman" w:cs="Times New Roman"/>
                <w:sz w:val="18"/>
                <w:szCs w:val="14"/>
                <w:lang w:val="ro-RO" w:eastAsia="de-DE"/>
              </w:rPr>
              <w:t xml:space="preserve">public </w:t>
            </w:r>
            <w:r w:rsidRPr="009C5F11">
              <w:rPr>
                <w:rFonts w:ascii="Times New Roman" w:hAnsi="Times New Roman" w:cs="Times New Roman"/>
                <w:sz w:val="18"/>
                <w:szCs w:val="14"/>
                <w:lang w:val="ro-RO" w:eastAsia="de-DE"/>
              </w:rPr>
              <w:t>stradal</w:t>
            </w:r>
            <w:r w:rsidR="00936847" w:rsidRPr="009C5F11">
              <w:rPr>
                <w:rFonts w:ascii="Times New Roman" w:hAnsi="Times New Roman" w:cs="Times New Roman"/>
                <w:sz w:val="18"/>
                <w:szCs w:val="14"/>
                <w:lang w:val="ro-RO" w:eastAsia="de-DE"/>
              </w:rPr>
              <w:t xml:space="preserve">: 138,976 </w:t>
            </w:r>
            <w:r w:rsidR="004E138F"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uro</w:t>
            </w:r>
            <w:r w:rsidR="004E138F" w:rsidRPr="009C5F11">
              <w:rPr>
                <w:rFonts w:ascii="Times New Roman" w:hAnsi="Times New Roman" w:cs="Times New Roman"/>
                <w:sz w:val="18"/>
                <w:szCs w:val="14"/>
                <w:lang w:val="ro-RO" w:eastAsia="de-DE"/>
              </w:rPr>
              <w:t>.</w:t>
            </w:r>
          </w:p>
          <w:p w14:paraId="5F2CC49F" w14:textId="77777777" w:rsidR="005B4A9D" w:rsidRPr="009C5F11" w:rsidRDefault="005B4A9D" w:rsidP="005B4A9D">
            <w:pPr>
              <w:tabs>
                <w:tab w:val="left" w:pos="702"/>
                <w:tab w:val="left" w:pos="5040"/>
                <w:tab w:val="right" w:pos="8504"/>
              </w:tabs>
              <w:spacing w:before="40" w:after="0" w:line="240" w:lineRule="auto"/>
              <w:ind w:left="720"/>
              <w:jc w:val="both"/>
              <w:rPr>
                <w:rFonts w:ascii="Times New Roman" w:hAnsi="Times New Roman" w:cs="Times New Roman"/>
                <w:b/>
                <w:sz w:val="18"/>
                <w:szCs w:val="14"/>
                <w:lang w:val="ro-RO" w:eastAsia="de-DE"/>
              </w:rPr>
            </w:pPr>
          </w:p>
          <w:p w14:paraId="537FF66E" w14:textId="77777777" w:rsidR="00936847" w:rsidRPr="009C5F11" w:rsidRDefault="00006B57" w:rsidP="003D01C1">
            <w:pPr>
              <w:tabs>
                <w:tab w:val="left" w:pos="702"/>
                <w:tab w:val="left" w:pos="5040"/>
                <w:tab w:val="right" w:pos="8504"/>
              </w:tabs>
              <w:spacing w:before="40" w:after="0" w:line="240" w:lineRule="auto"/>
              <w:ind w:left="360" w:hanging="337"/>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Proiectul E5P</w:t>
            </w:r>
          </w:p>
          <w:p w14:paraId="6F1DBEA9" w14:textId="77777777" w:rsidR="00936847" w:rsidRPr="009C5F11" w:rsidRDefault="00006B57" w:rsidP="00430626">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Uniunea Europeană</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va oferi Republicii</w:t>
            </w:r>
            <w:r w:rsidR="00936847" w:rsidRPr="009C5F11">
              <w:rPr>
                <w:rFonts w:ascii="Times New Roman" w:hAnsi="Times New Roman" w:cs="Times New Roman"/>
                <w:sz w:val="18"/>
                <w:szCs w:val="14"/>
                <w:lang w:val="ro-RO" w:eastAsia="de-DE"/>
              </w:rPr>
              <w:t xml:space="preserve"> Moldova 18.75 </w:t>
            </w:r>
            <w:r w:rsidR="00CF0104" w:rsidRPr="009C5F11">
              <w:rPr>
                <w:rFonts w:ascii="Times New Roman" w:hAnsi="Times New Roman" w:cs="Times New Roman"/>
                <w:sz w:val="18"/>
                <w:szCs w:val="14"/>
                <w:lang w:val="ro-RO" w:eastAsia="de-DE"/>
              </w:rPr>
              <w:t>milioane</w:t>
            </w:r>
            <w:r w:rsidR="00936847" w:rsidRPr="009C5F11">
              <w:rPr>
                <w:rFonts w:ascii="Times New Roman" w:hAnsi="Times New Roman" w:cs="Times New Roman"/>
                <w:sz w:val="18"/>
                <w:szCs w:val="14"/>
                <w:lang w:val="ro-RO" w:eastAsia="de-DE"/>
              </w:rPr>
              <w:t xml:space="preserve"> euro </w:t>
            </w:r>
            <w:r w:rsidR="004E138F" w:rsidRPr="009C5F11">
              <w:rPr>
                <w:rFonts w:ascii="Times New Roman" w:hAnsi="Times New Roman" w:cs="Times New Roman"/>
                <w:sz w:val="18"/>
                <w:szCs w:val="14"/>
                <w:lang w:val="ro-RO" w:eastAsia="de-DE"/>
              </w:rPr>
              <w:t>în vederea</w:t>
            </w:r>
            <w:r w:rsidR="00936847" w:rsidRPr="009C5F11">
              <w:rPr>
                <w:rFonts w:ascii="Times New Roman" w:hAnsi="Times New Roman" w:cs="Times New Roman"/>
                <w:sz w:val="18"/>
                <w:szCs w:val="14"/>
                <w:lang w:val="ro-RO" w:eastAsia="de-DE"/>
              </w:rPr>
              <w:t xml:space="preserve"> implement</w:t>
            </w:r>
            <w:r w:rsidR="004E138F" w:rsidRPr="009C5F11">
              <w:rPr>
                <w:rFonts w:ascii="Times New Roman" w:hAnsi="Times New Roman" w:cs="Times New Roman"/>
                <w:sz w:val="18"/>
                <w:szCs w:val="14"/>
                <w:lang w:val="ro-RO" w:eastAsia="de-DE"/>
              </w:rPr>
              <w:t>ării unor proiecte de</w:t>
            </w:r>
            <w:r w:rsidR="00936847" w:rsidRPr="009C5F11">
              <w:rPr>
                <w:rFonts w:ascii="Times New Roman" w:hAnsi="Times New Roman" w:cs="Times New Roman"/>
                <w:sz w:val="18"/>
                <w:szCs w:val="14"/>
                <w:lang w:val="ro-RO" w:eastAsia="de-DE"/>
              </w:rPr>
              <w:t xml:space="preserve"> </w:t>
            </w:r>
            <w:r w:rsidR="000C7BEC" w:rsidRPr="009C5F11">
              <w:rPr>
                <w:rFonts w:ascii="Times New Roman" w:hAnsi="Times New Roman" w:cs="Times New Roman"/>
                <w:sz w:val="18"/>
                <w:szCs w:val="14"/>
                <w:lang w:val="ro-RO" w:eastAsia="de-DE"/>
              </w:rPr>
              <w:t>eficienţă energetică</w:t>
            </w:r>
            <w:r w:rsidR="00321CD5" w:rsidRPr="009C5F11">
              <w:rPr>
                <w:rFonts w:ascii="Times New Roman" w:hAnsi="Times New Roman" w:cs="Times New Roman"/>
                <w:sz w:val="18"/>
                <w:szCs w:val="14"/>
                <w:lang w:val="ro-RO" w:eastAsia="de-DE"/>
              </w:rPr>
              <w:t xml:space="preserve"> şi </w:t>
            </w:r>
            <w:r w:rsidR="004E138F" w:rsidRPr="009C5F11">
              <w:rPr>
                <w:rFonts w:ascii="Times New Roman" w:hAnsi="Times New Roman" w:cs="Times New Roman"/>
                <w:sz w:val="18"/>
                <w:szCs w:val="14"/>
                <w:lang w:val="ro-RO" w:eastAsia="de-DE"/>
              </w:rPr>
              <w:t xml:space="preserve">de protecţie a mediului cu sprijinul Fondului </w:t>
            </w:r>
            <w:r w:rsidR="007E160B" w:rsidRPr="009C5F11">
              <w:rPr>
                <w:rFonts w:ascii="Times New Roman" w:hAnsi="Times New Roman" w:cs="Times New Roman"/>
                <w:sz w:val="18"/>
                <w:szCs w:val="14"/>
                <w:lang w:val="ro-RO" w:eastAsia="de-DE"/>
              </w:rPr>
              <w:t>r</w:t>
            </w:r>
            <w:r w:rsidR="00936847" w:rsidRPr="009C5F11">
              <w:rPr>
                <w:rFonts w:ascii="Times New Roman" w:hAnsi="Times New Roman" w:cs="Times New Roman"/>
                <w:sz w:val="18"/>
                <w:szCs w:val="14"/>
                <w:lang w:val="ro-RO" w:eastAsia="de-DE"/>
              </w:rPr>
              <w:t xml:space="preserve">egional </w:t>
            </w:r>
            <w:r w:rsidR="004E138F" w:rsidRPr="009C5F11">
              <w:rPr>
                <w:rFonts w:ascii="Times New Roman" w:hAnsi="Times New Roman" w:cs="Times New Roman"/>
                <w:sz w:val="18"/>
                <w:szCs w:val="14"/>
                <w:lang w:val="ro-RO" w:eastAsia="de-DE"/>
              </w:rPr>
              <w:t xml:space="preserve">al Parteneriatului Europei de Est pentru eficienţă energetică </w:t>
            </w:r>
            <w:r w:rsidR="00321CD5" w:rsidRPr="009C5F11">
              <w:rPr>
                <w:rFonts w:ascii="Times New Roman" w:hAnsi="Times New Roman" w:cs="Times New Roman"/>
                <w:sz w:val="18"/>
                <w:szCs w:val="14"/>
                <w:lang w:val="ro-RO" w:eastAsia="de-DE"/>
              </w:rPr>
              <w:t xml:space="preserve">şi </w:t>
            </w:r>
            <w:r w:rsidR="004E138F" w:rsidRPr="009C5F11">
              <w:rPr>
                <w:rFonts w:ascii="Times New Roman" w:hAnsi="Times New Roman" w:cs="Times New Roman"/>
                <w:sz w:val="18"/>
                <w:szCs w:val="14"/>
                <w:lang w:val="ro-RO" w:eastAsia="de-DE"/>
              </w:rPr>
              <w:t xml:space="preserve">mediu </w:t>
            </w:r>
            <w:r w:rsidR="00936847" w:rsidRPr="009C5F11">
              <w:rPr>
                <w:rFonts w:ascii="Times New Roman" w:hAnsi="Times New Roman" w:cs="Times New Roman"/>
                <w:sz w:val="18"/>
                <w:szCs w:val="14"/>
                <w:lang w:val="ro-RO" w:eastAsia="de-DE"/>
              </w:rPr>
              <w:t xml:space="preserve">(E5P). </w:t>
            </w:r>
            <w:r w:rsidR="004E138F" w:rsidRPr="009C5F11">
              <w:rPr>
                <w:rFonts w:ascii="Times New Roman" w:hAnsi="Times New Roman" w:cs="Times New Roman"/>
                <w:sz w:val="18"/>
                <w:szCs w:val="14"/>
                <w:lang w:val="ro-RO" w:eastAsia="de-DE"/>
              </w:rPr>
              <w:t>S-a convenit c</w:t>
            </w:r>
            <w:r w:rsidR="007E160B" w:rsidRPr="009C5F11">
              <w:rPr>
                <w:rFonts w:ascii="Times New Roman" w:hAnsi="Times New Roman" w:cs="Times New Roman"/>
                <w:sz w:val="18"/>
                <w:szCs w:val="14"/>
                <w:lang w:val="ro-RO" w:eastAsia="de-DE"/>
              </w:rPr>
              <w:t>ă</w:t>
            </w:r>
            <w:r w:rsidR="00936847" w:rsidRPr="009C5F11">
              <w:rPr>
                <w:rFonts w:ascii="Times New Roman" w:hAnsi="Times New Roman" w:cs="Times New Roman"/>
                <w:sz w:val="18"/>
                <w:szCs w:val="14"/>
                <w:lang w:val="ro-RO" w:eastAsia="de-DE"/>
              </w:rPr>
              <w:t xml:space="preserve"> Moldova </w:t>
            </w:r>
            <w:r w:rsidR="004E138F" w:rsidRPr="009C5F11">
              <w:rPr>
                <w:rFonts w:ascii="Times New Roman" w:hAnsi="Times New Roman" w:cs="Times New Roman"/>
                <w:sz w:val="18"/>
                <w:szCs w:val="14"/>
                <w:lang w:val="ro-RO" w:eastAsia="de-DE"/>
              </w:rPr>
              <w:t>să</w:t>
            </w:r>
            <w:r w:rsidR="00936847" w:rsidRPr="009C5F11">
              <w:rPr>
                <w:rFonts w:ascii="Times New Roman" w:hAnsi="Times New Roman" w:cs="Times New Roman"/>
                <w:sz w:val="18"/>
                <w:szCs w:val="14"/>
                <w:lang w:val="ro-RO" w:eastAsia="de-DE"/>
              </w:rPr>
              <w:t xml:space="preserve"> contribu</w:t>
            </w:r>
            <w:r w:rsidR="004E138F" w:rsidRPr="009C5F11">
              <w:rPr>
                <w:rFonts w:ascii="Times New Roman" w:hAnsi="Times New Roman" w:cs="Times New Roman"/>
                <w:sz w:val="18"/>
                <w:szCs w:val="14"/>
                <w:lang w:val="ro-RO" w:eastAsia="de-DE"/>
              </w:rPr>
              <w:t>i cu</w:t>
            </w:r>
            <w:r w:rsidR="00936847" w:rsidRPr="009C5F11">
              <w:rPr>
                <w:rFonts w:ascii="Times New Roman" w:hAnsi="Times New Roman" w:cs="Times New Roman"/>
                <w:sz w:val="18"/>
                <w:szCs w:val="14"/>
                <w:lang w:val="ro-RO" w:eastAsia="de-DE"/>
              </w:rPr>
              <w:t xml:space="preserve"> 1 </w:t>
            </w:r>
            <w:r w:rsidR="00421FA7" w:rsidRPr="009C5F11">
              <w:rPr>
                <w:rFonts w:ascii="Times New Roman" w:hAnsi="Times New Roman" w:cs="Times New Roman"/>
                <w:sz w:val="18"/>
                <w:szCs w:val="14"/>
                <w:lang w:val="ro-RO" w:eastAsia="de-DE"/>
              </w:rPr>
              <w:t>milion</w:t>
            </w:r>
            <w:r w:rsidR="004E138F" w:rsidRPr="009C5F11">
              <w:rPr>
                <w:rFonts w:ascii="Times New Roman" w:hAnsi="Times New Roman" w:cs="Times New Roman"/>
                <w:sz w:val="18"/>
                <w:szCs w:val="14"/>
                <w:lang w:val="ro-RO" w:eastAsia="de-DE"/>
              </w:rPr>
              <w:t xml:space="preserve"> d</w:t>
            </w:r>
            <w:r w:rsidR="00421FA7" w:rsidRPr="009C5F11">
              <w:rPr>
                <w:rFonts w:ascii="Times New Roman" w:hAnsi="Times New Roman" w:cs="Times New Roman"/>
                <w:sz w:val="18"/>
                <w:szCs w:val="14"/>
                <w:lang w:val="ro-RO" w:eastAsia="de-DE"/>
              </w:rPr>
              <w:t>e euro</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pentru această</w:t>
            </w:r>
            <w:r w:rsidR="00936847" w:rsidRPr="009C5F11">
              <w:rPr>
                <w:rFonts w:ascii="Times New Roman" w:hAnsi="Times New Roman" w:cs="Times New Roman"/>
                <w:sz w:val="18"/>
                <w:szCs w:val="14"/>
                <w:lang w:val="ro-RO" w:eastAsia="de-DE"/>
              </w:rPr>
              <w:t xml:space="preserve"> ini</w:t>
            </w:r>
            <w:r w:rsidR="004E138F" w:rsidRPr="009C5F11">
              <w:rPr>
                <w:rFonts w:ascii="Times New Roman" w:hAnsi="Times New Roman" w:cs="Times New Roman"/>
                <w:sz w:val="18"/>
                <w:szCs w:val="14"/>
                <w:lang w:val="ro-RO" w:eastAsia="de-DE"/>
              </w:rPr>
              <w:t>ţ</w:t>
            </w:r>
            <w:r w:rsidR="00936847" w:rsidRPr="009C5F11">
              <w:rPr>
                <w:rFonts w:ascii="Times New Roman" w:hAnsi="Times New Roman" w:cs="Times New Roman"/>
                <w:sz w:val="18"/>
                <w:szCs w:val="14"/>
                <w:lang w:val="ro-RO" w:eastAsia="de-DE"/>
              </w:rPr>
              <w:t>iativ</w:t>
            </w:r>
            <w:r w:rsidR="004E138F" w:rsidRPr="009C5F11">
              <w:rPr>
                <w:rFonts w:ascii="Times New Roman" w:hAnsi="Times New Roman" w:cs="Times New Roman"/>
                <w:sz w:val="18"/>
                <w:szCs w:val="14"/>
                <w:lang w:val="ro-RO" w:eastAsia="de-DE"/>
              </w:rPr>
              <w:t>ă</w:t>
            </w:r>
            <w:r w:rsidR="00936847" w:rsidRPr="009C5F11">
              <w:rPr>
                <w:rFonts w:ascii="Times New Roman" w:hAnsi="Times New Roman" w:cs="Times New Roman"/>
                <w:sz w:val="18"/>
                <w:szCs w:val="14"/>
                <w:lang w:val="ro-RO" w:eastAsia="de-DE"/>
              </w:rPr>
              <w:t xml:space="preserve">. </w:t>
            </w:r>
            <w:r w:rsidR="005E7974" w:rsidRPr="009C5F11">
              <w:rPr>
                <w:rFonts w:ascii="Times New Roman" w:hAnsi="Times New Roman" w:cs="Times New Roman"/>
                <w:sz w:val="18"/>
                <w:szCs w:val="14"/>
                <w:lang w:val="ro-RO" w:eastAsia="de-DE"/>
              </w:rPr>
              <w:t>Prin urmare</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 xml:space="preserve">APL din </w:t>
            </w:r>
            <w:r w:rsidR="00223DAC" w:rsidRPr="009C5F11">
              <w:rPr>
                <w:rFonts w:ascii="Times New Roman" w:hAnsi="Times New Roman" w:cs="Times New Roman"/>
                <w:sz w:val="18"/>
                <w:szCs w:val="14"/>
                <w:lang w:val="ro-RO" w:eastAsia="de-DE"/>
              </w:rPr>
              <w:t>Republica Moldova</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vor beneficia de</w:t>
            </w:r>
            <w:r w:rsidR="00936847" w:rsidRPr="009C5F11">
              <w:rPr>
                <w:rFonts w:ascii="Times New Roman" w:hAnsi="Times New Roman" w:cs="Times New Roman"/>
                <w:sz w:val="18"/>
                <w:szCs w:val="14"/>
                <w:lang w:val="ro-RO" w:eastAsia="de-DE"/>
              </w:rPr>
              <w:t xml:space="preserve"> 20 </w:t>
            </w:r>
            <w:r w:rsidR="00421FA7" w:rsidRPr="009C5F11">
              <w:rPr>
                <w:rFonts w:ascii="Times New Roman" w:hAnsi="Times New Roman" w:cs="Times New Roman"/>
                <w:sz w:val="18"/>
                <w:szCs w:val="14"/>
                <w:lang w:val="ro-RO" w:eastAsia="de-DE"/>
              </w:rPr>
              <w:t>milioane euro</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 xml:space="preserve">pentru a îmbunătăţi infrastructura </w:t>
            </w:r>
            <w:r w:rsidR="007F77BE" w:rsidRPr="009C5F11">
              <w:rPr>
                <w:rFonts w:ascii="Times New Roman" w:hAnsi="Times New Roman" w:cs="Times New Roman"/>
                <w:sz w:val="18"/>
                <w:szCs w:val="14"/>
                <w:lang w:val="ro-RO" w:eastAsia="de-DE"/>
              </w:rPr>
              <w:t>clădiril</w:t>
            </w:r>
            <w:r w:rsidR="004E138F" w:rsidRPr="009C5F11">
              <w:rPr>
                <w:rFonts w:ascii="Times New Roman" w:hAnsi="Times New Roman" w:cs="Times New Roman"/>
                <w:sz w:val="18"/>
                <w:szCs w:val="14"/>
                <w:lang w:val="ro-RO" w:eastAsia="de-DE"/>
              </w:rPr>
              <w:t xml:space="preserve">or </w:t>
            </w:r>
            <w:r w:rsidR="007F77BE" w:rsidRPr="009C5F11">
              <w:rPr>
                <w:rFonts w:ascii="Times New Roman" w:hAnsi="Times New Roman" w:cs="Times New Roman"/>
                <w:sz w:val="18"/>
                <w:szCs w:val="14"/>
                <w:lang w:val="ro-RO" w:eastAsia="de-DE"/>
              </w:rPr>
              <w:t>publice</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 xml:space="preserve">termoizolarea </w:t>
            </w:r>
            <w:r w:rsidR="00693850" w:rsidRPr="009C5F11">
              <w:rPr>
                <w:rFonts w:ascii="Times New Roman" w:hAnsi="Times New Roman" w:cs="Times New Roman"/>
                <w:sz w:val="18"/>
                <w:szCs w:val="14"/>
                <w:lang w:val="ro-RO" w:eastAsia="de-DE"/>
              </w:rPr>
              <w:t>clădirilor</w:t>
            </w:r>
            <w:r w:rsidR="00936847" w:rsidRPr="009C5F11">
              <w:rPr>
                <w:rFonts w:ascii="Times New Roman" w:hAnsi="Times New Roman" w:cs="Times New Roman"/>
                <w:sz w:val="18"/>
                <w:szCs w:val="14"/>
                <w:lang w:val="ro-RO" w:eastAsia="de-DE"/>
              </w:rPr>
              <w:t>, instal</w:t>
            </w:r>
            <w:r w:rsidR="004E138F" w:rsidRPr="009C5F11">
              <w:rPr>
                <w:rFonts w:ascii="Times New Roman" w:hAnsi="Times New Roman" w:cs="Times New Roman"/>
                <w:sz w:val="18"/>
                <w:szCs w:val="14"/>
                <w:lang w:val="ro-RO" w:eastAsia="de-DE"/>
              </w:rPr>
              <w:t>a sisteme noi de încălzire</w:t>
            </w:r>
            <w:r w:rsidR="00401F29" w:rsidRPr="009C5F11">
              <w:rPr>
                <w:rFonts w:ascii="Times New Roman" w:hAnsi="Times New Roman" w:cs="Times New Roman"/>
                <w:sz w:val="18"/>
                <w:szCs w:val="14"/>
                <w:lang w:val="ro-RO" w:eastAsia="de-DE"/>
              </w:rPr>
              <w:t xml:space="preserve"> etc.</w:t>
            </w:r>
          </w:p>
          <w:p w14:paraId="63285E64" w14:textId="77777777" w:rsidR="005B4A9D" w:rsidRPr="009C5F11" w:rsidRDefault="005B4A9D" w:rsidP="005B4A9D">
            <w:pPr>
              <w:tabs>
                <w:tab w:val="left" w:pos="702"/>
                <w:tab w:val="left" w:pos="5040"/>
                <w:tab w:val="right" w:pos="8504"/>
              </w:tabs>
              <w:spacing w:before="40" w:after="0" w:line="240" w:lineRule="auto"/>
              <w:ind w:left="720"/>
              <w:jc w:val="both"/>
              <w:rPr>
                <w:rFonts w:ascii="Times New Roman" w:hAnsi="Times New Roman" w:cs="Times New Roman"/>
                <w:b/>
                <w:sz w:val="18"/>
                <w:szCs w:val="14"/>
                <w:lang w:val="ro-RO" w:eastAsia="de-DE"/>
              </w:rPr>
            </w:pPr>
          </w:p>
          <w:p w14:paraId="1EBA0C0E" w14:textId="77777777" w:rsidR="00936847" w:rsidRPr="009C5F11" w:rsidRDefault="00006B57" w:rsidP="005B4A9D">
            <w:pPr>
              <w:tabs>
                <w:tab w:val="left" w:pos="702"/>
                <w:tab w:val="left" w:pos="5040"/>
                <w:tab w:val="right" w:pos="8504"/>
              </w:tabs>
              <w:spacing w:before="40"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lastRenderedPageBreak/>
              <w:t xml:space="preserve">PROIECTUL ENERGIE ŞI BIOMASĂ ÎN </w:t>
            </w:r>
            <w:r w:rsidR="00936847" w:rsidRPr="009C5F11">
              <w:rPr>
                <w:rFonts w:ascii="Times New Roman" w:hAnsi="Times New Roman" w:cs="Times New Roman"/>
                <w:b/>
                <w:sz w:val="18"/>
                <w:szCs w:val="14"/>
                <w:lang w:val="ro-RO" w:eastAsia="de-DE"/>
              </w:rPr>
              <w:t>MOLDOVA (</w:t>
            </w:r>
            <w:r w:rsidRPr="009C5F11">
              <w:rPr>
                <w:rFonts w:ascii="Times New Roman" w:hAnsi="Times New Roman" w:cs="Times New Roman"/>
                <w:b/>
                <w:sz w:val="18"/>
                <w:szCs w:val="14"/>
                <w:lang w:val="ro-RO" w:eastAsia="de-DE"/>
              </w:rPr>
              <w:t>PEBM</w:t>
            </w:r>
            <w:r w:rsidR="00936847" w:rsidRPr="009C5F11">
              <w:rPr>
                <w:rFonts w:ascii="Times New Roman" w:hAnsi="Times New Roman" w:cs="Times New Roman"/>
                <w:b/>
                <w:sz w:val="18"/>
                <w:szCs w:val="14"/>
                <w:lang w:val="ro-RO" w:eastAsia="de-DE"/>
              </w:rPr>
              <w:t xml:space="preserve">), </w:t>
            </w:r>
            <w:r w:rsidRPr="009C5F11">
              <w:rPr>
                <w:rFonts w:ascii="Times New Roman" w:hAnsi="Times New Roman" w:cs="Times New Roman"/>
                <w:b/>
                <w:sz w:val="18"/>
                <w:szCs w:val="14"/>
                <w:lang w:val="ro-RO" w:eastAsia="de-DE"/>
              </w:rPr>
              <w:t>implementat</w:t>
            </w:r>
            <w:r w:rsidR="00D17141" w:rsidRPr="009C5F11">
              <w:rPr>
                <w:rFonts w:ascii="Times New Roman" w:hAnsi="Times New Roman" w:cs="Times New Roman"/>
                <w:b/>
                <w:sz w:val="18"/>
                <w:szCs w:val="14"/>
                <w:lang w:val="ro-RO" w:eastAsia="de-DE"/>
              </w:rPr>
              <w:t xml:space="preserve"> de</w:t>
            </w:r>
            <w:r w:rsidR="00936847" w:rsidRPr="009C5F11">
              <w:rPr>
                <w:rFonts w:ascii="Times New Roman" w:hAnsi="Times New Roman" w:cs="Times New Roman"/>
                <w:b/>
                <w:sz w:val="18"/>
                <w:szCs w:val="14"/>
                <w:lang w:val="ro-RO" w:eastAsia="de-DE"/>
              </w:rPr>
              <w:t xml:space="preserve"> </w:t>
            </w:r>
            <w:r w:rsidR="00321CD5" w:rsidRPr="009C5F11">
              <w:rPr>
                <w:rFonts w:ascii="Times New Roman" w:hAnsi="Times New Roman" w:cs="Times New Roman"/>
                <w:b/>
                <w:sz w:val="18"/>
                <w:szCs w:val="14"/>
                <w:lang w:val="ro-RO" w:eastAsia="de-DE"/>
              </w:rPr>
              <w:t>PNUD</w:t>
            </w:r>
            <w:r w:rsidR="00597AFB" w:rsidRPr="009C5F11">
              <w:rPr>
                <w:rFonts w:ascii="Times New Roman" w:hAnsi="Times New Roman" w:cs="Times New Roman"/>
                <w:b/>
                <w:sz w:val="18"/>
                <w:szCs w:val="14"/>
                <w:lang w:val="ro-RO" w:eastAsia="de-DE"/>
              </w:rPr>
              <w:t xml:space="preserve">, </w:t>
            </w:r>
            <w:r w:rsidR="00AA45D2" w:rsidRPr="009C5F11">
              <w:rPr>
                <w:rFonts w:ascii="Times New Roman" w:hAnsi="Times New Roman" w:cs="Times New Roman"/>
                <w:b/>
                <w:sz w:val="18"/>
                <w:szCs w:val="14"/>
                <w:lang w:val="ro-RO" w:eastAsia="de-DE"/>
              </w:rPr>
              <w:t>finanţat de</w:t>
            </w:r>
            <w:r w:rsidR="00597AFB" w:rsidRPr="009C5F11">
              <w:rPr>
                <w:rFonts w:ascii="Times New Roman" w:hAnsi="Times New Roman" w:cs="Times New Roman"/>
                <w:b/>
                <w:sz w:val="18"/>
                <w:szCs w:val="14"/>
                <w:lang w:val="ro-RO" w:eastAsia="de-DE"/>
              </w:rPr>
              <w:t xml:space="preserve"> </w:t>
            </w:r>
            <w:r w:rsidR="00421FA7" w:rsidRPr="009C5F11">
              <w:rPr>
                <w:rFonts w:ascii="Times New Roman" w:hAnsi="Times New Roman" w:cs="Times New Roman"/>
                <w:b/>
                <w:sz w:val="18"/>
                <w:szCs w:val="14"/>
                <w:lang w:val="ro-RO" w:eastAsia="de-DE"/>
              </w:rPr>
              <w:t>UE</w:t>
            </w:r>
          </w:p>
          <w:p w14:paraId="626D33E0" w14:textId="77777777" w:rsidR="00936847" w:rsidRPr="009C5F11" w:rsidRDefault="004E138F" w:rsidP="00430626">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PEB</w:t>
            </w:r>
            <w:r w:rsidR="00EA622B" w:rsidRPr="009C5F11">
              <w:rPr>
                <w:rFonts w:ascii="Times New Roman" w:hAnsi="Times New Roman" w:cs="Times New Roman"/>
                <w:sz w:val="18"/>
                <w:szCs w:val="14"/>
                <w:lang w:val="ro-RO" w:eastAsia="de-DE"/>
              </w:rPr>
              <w:t>M</w:t>
            </w:r>
            <w:r w:rsidRPr="009C5F11">
              <w:rPr>
                <w:rFonts w:ascii="Times New Roman" w:hAnsi="Times New Roman" w:cs="Times New Roman"/>
                <w:sz w:val="18"/>
                <w:szCs w:val="14"/>
                <w:lang w:val="ro-RO" w:eastAsia="de-DE"/>
              </w:rPr>
              <w:t xml:space="preserve"> II însumează un buget de </w:t>
            </w:r>
            <w:r w:rsidR="00936847" w:rsidRPr="009C5F11">
              <w:rPr>
                <w:rFonts w:ascii="Times New Roman" w:hAnsi="Times New Roman" w:cs="Times New Roman"/>
                <w:sz w:val="18"/>
                <w:szCs w:val="14"/>
                <w:lang w:val="ro-RO" w:eastAsia="de-DE"/>
              </w:rPr>
              <w:t xml:space="preserve">10.7 </w:t>
            </w:r>
            <w:r w:rsidR="00CF0104" w:rsidRPr="009C5F11">
              <w:rPr>
                <w:rFonts w:ascii="Times New Roman" w:hAnsi="Times New Roman" w:cs="Times New Roman"/>
                <w:sz w:val="18"/>
                <w:szCs w:val="14"/>
                <w:lang w:val="ro-RO" w:eastAsia="de-DE"/>
              </w:rPr>
              <w:t>milioane</w:t>
            </w:r>
            <w:r w:rsidR="00936847" w:rsidRPr="009C5F11">
              <w:rPr>
                <w:rFonts w:ascii="Times New Roman" w:hAnsi="Times New Roman" w:cs="Times New Roman"/>
                <w:sz w:val="18"/>
                <w:szCs w:val="14"/>
                <w:lang w:val="ro-RO" w:eastAsia="de-DE"/>
              </w:rPr>
              <w:t xml:space="preserve"> euro </w:t>
            </w:r>
            <w:r w:rsidRPr="009C5F11">
              <w:rPr>
                <w:rFonts w:ascii="Times New Roman" w:hAnsi="Times New Roman" w:cs="Times New Roman"/>
                <w:sz w:val="18"/>
                <w:szCs w:val="14"/>
                <w:lang w:val="ro-RO" w:eastAsia="de-DE"/>
              </w:rPr>
              <w:t>aloca</w:t>
            </w:r>
            <w:r w:rsidR="007E160B" w:rsidRPr="009C5F11">
              <w:rPr>
                <w:rFonts w:ascii="Times New Roman" w:hAnsi="Times New Roman" w:cs="Times New Roman"/>
                <w:sz w:val="18"/>
                <w:szCs w:val="14"/>
                <w:lang w:val="ro-RO" w:eastAsia="de-DE"/>
              </w:rPr>
              <w:t>t</w:t>
            </w:r>
            <w:r w:rsidRPr="009C5F11">
              <w:rPr>
                <w:rFonts w:ascii="Times New Roman" w:hAnsi="Times New Roman" w:cs="Times New Roman"/>
                <w:sz w:val="18"/>
                <w:szCs w:val="14"/>
                <w:lang w:val="ro-RO" w:eastAsia="de-DE"/>
              </w:rPr>
              <w:t xml:space="preserve"> de</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UE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având</w:t>
            </w:r>
            <w:r w:rsidR="00936847" w:rsidRPr="009C5F11">
              <w:rPr>
                <w:rFonts w:ascii="Times New Roman" w:hAnsi="Times New Roman" w:cs="Times New Roman"/>
                <w:sz w:val="18"/>
                <w:szCs w:val="14"/>
                <w:lang w:val="ro-RO" w:eastAsia="de-DE"/>
              </w:rPr>
              <w:t xml:space="preserve"> </w:t>
            </w:r>
            <w:r w:rsidR="00E54D88" w:rsidRPr="009C5F11">
              <w:rPr>
                <w:rFonts w:ascii="Times New Roman" w:hAnsi="Times New Roman" w:cs="Times New Roman"/>
                <w:sz w:val="18"/>
                <w:szCs w:val="14"/>
                <w:lang w:val="ro-RO" w:eastAsia="de-DE"/>
              </w:rPr>
              <w:t>următor</w:t>
            </w:r>
            <w:r w:rsidRPr="009C5F11">
              <w:rPr>
                <w:rFonts w:ascii="Times New Roman" w:hAnsi="Times New Roman" w:cs="Times New Roman"/>
                <w:sz w:val="18"/>
                <w:szCs w:val="14"/>
                <w:lang w:val="ro-RO" w:eastAsia="de-DE"/>
              </w:rPr>
              <w:t>ul</w:t>
            </w:r>
            <w:r w:rsidR="00936847" w:rsidRPr="009C5F11">
              <w:rPr>
                <w:rFonts w:ascii="Times New Roman" w:hAnsi="Times New Roman" w:cs="Times New Roman"/>
                <w:sz w:val="18"/>
                <w:szCs w:val="14"/>
                <w:lang w:val="ro-RO" w:eastAsia="de-DE"/>
              </w:rPr>
              <w:t xml:space="preserve"> calendar </w:t>
            </w:r>
            <w:r w:rsidRPr="009C5F11">
              <w:rPr>
                <w:rFonts w:ascii="Times New Roman" w:hAnsi="Times New Roman" w:cs="Times New Roman"/>
                <w:sz w:val="18"/>
                <w:szCs w:val="14"/>
                <w:lang w:val="ro-RO" w:eastAsia="de-DE"/>
              </w:rPr>
              <w:t>de</w:t>
            </w:r>
            <w:r w:rsidR="00936847" w:rsidRPr="009C5F11">
              <w:rPr>
                <w:rFonts w:ascii="Times New Roman" w:hAnsi="Times New Roman" w:cs="Times New Roman"/>
                <w:sz w:val="18"/>
                <w:szCs w:val="14"/>
                <w:lang w:val="ro-RO" w:eastAsia="de-DE"/>
              </w:rPr>
              <w:t xml:space="preserve"> </w:t>
            </w:r>
            <w:r w:rsidR="00532A33" w:rsidRPr="009C5F11">
              <w:rPr>
                <w:rFonts w:ascii="Times New Roman" w:hAnsi="Times New Roman" w:cs="Times New Roman"/>
                <w:sz w:val="18"/>
                <w:szCs w:val="14"/>
                <w:lang w:val="ro-RO" w:eastAsia="de-DE"/>
              </w:rPr>
              <w:t>implementare</w:t>
            </w:r>
            <w:r w:rsidR="00936847" w:rsidRPr="009C5F11">
              <w:rPr>
                <w:rFonts w:ascii="Times New Roman" w:hAnsi="Times New Roman" w:cs="Times New Roman"/>
                <w:sz w:val="18"/>
                <w:szCs w:val="14"/>
                <w:lang w:val="ro-RO" w:eastAsia="de-D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147"/>
              <w:gridCol w:w="1147"/>
              <w:gridCol w:w="1080"/>
              <w:gridCol w:w="1116"/>
            </w:tblGrid>
            <w:tr w:rsidR="00936847" w:rsidRPr="009C5F11" w14:paraId="657E55A1" w14:textId="77777777" w:rsidTr="00430626">
              <w:trPr>
                <w:trHeight w:val="170"/>
                <w:jc w:val="center"/>
              </w:trPr>
              <w:tc>
                <w:tcPr>
                  <w:tcW w:w="1597" w:type="dxa"/>
                  <w:shd w:val="clear" w:color="auto" w:fill="B8CCE4"/>
                </w:tcPr>
                <w:p w14:paraId="126BFA76" w14:textId="77777777" w:rsidR="00936847" w:rsidRPr="009C5F11" w:rsidRDefault="00936847" w:rsidP="003D01C1">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DON</w:t>
                  </w:r>
                  <w:r w:rsidR="00006B57" w:rsidRPr="009C5F11">
                    <w:rPr>
                      <w:rFonts w:ascii="Times New Roman" w:hAnsi="Times New Roman" w:cs="Times New Roman"/>
                      <w:sz w:val="18"/>
                      <w:szCs w:val="14"/>
                      <w:lang w:val="ro-RO"/>
                    </w:rPr>
                    <w:t>ATO</w:t>
                  </w:r>
                  <w:r w:rsidRPr="009C5F11">
                    <w:rPr>
                      <w:rFonts w:ascii="Times New Roman" w:hAnsi="Times New Roman" w:cs="Times New Roman"/>
                      <w:sz w:val="18"/>
                      <w:szCs w:val="14"/>
                      <w:lang w:val="ro-RO"/>
                    </w:rPr>
                    <w:t>R</w:t>
                  </w:r>
                </w:p>
              </w:tc>
              <w:tc>
                <w:tcPr>
                  <w:tcW w:w="1350" w:type="dxa"/>
                  <w:shd w:val="clear" w:color="auto" w:fill="B8CCE4"/>
                </w:tcPr>
                <w:p w14:paraId="53742B6D" w14:textId="77777777" w:rsidR="00936847" w:rsidRPr="009C5F11" w:rsidRDefault="00936847" w:rsidP="003D01C1">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2015</w:t>
                  </w:r>
                </w:p>
              </w:tc>
              <w:tc>
                <w:tcPr>
                  <w:tcW w:w="1350" w:type="dxa"/>
                  <w:shd w:val="clear" w:color="auto" w:fill="B8CCE4"/>
                </w:tcPr>
                <w:p w14:paraId="2AB2D508" w14:textId="77777777" w:rsidR="00936847" w:rsidRPr="009C5F11" w:rsidRDefault="00936847" w:rsidP="003D01C1">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2016</w:t>
                  </w:r>
                </w:p>
              </w:tc>
              <w:tc>
                <w:tcPr>
                  <w:tcW w:w="1170" w:type="dxa"/>
                  <w:shd w:val="clear" w:color="auto" w:fill="B8CCE4"/>
                </w:tcPr>
                <w:p w14:paraId="29A364FB" w14:textId="77777777" w:rsidR="00936847" w:rsidRPr="009C5F11" w:rsidRDefault="00936847" w:rsidP="003D01C1">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2017</w:t>
                  </w:r>
                </w:p>
              </w:tc>
              <w:tc>
                <w:tcPr>
                  <w:tcW w:w="1057" w:type="dxa"/>
                  <w:shd w:val="clear" w:color="auto" w:fill="B8CCE4"/>
                </w:tcPr>
                <w:p w14:paraId="7C65B930" w14:textId="77777777" w:rsidR="00936847" w:rsidRPr="009C5F11" w:rsidRDefault="00936847" w:rsidP="003D01C1">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Total</w:t>
                  </w:r>
                </w:p>
              </w:tc>
            </w:tr>
            <w:tr w:rsidR="00936847" w:rsidRPr="009C5F11" w14:paraId="285DEB47" w14:textId="77777777" w:rsidTr="00430626">
              <w:trPr>
                <w:trHeight w:val="75"/>
                <w:jc w:val="center"/>
              </w:trPr>
              <w:tc>
                <w:tcPr>
                  <w:tcW w:w="1597" w:type="dxa"/>
                  <w:shd w:val="clear" w:color="auto" w:fill="auto"/>
                </w:tcPr>
                <w:p w14:paraId="3AA7F09C" w14:textId="77777777" w:rsidR="00936847" w:rsidRPr="009C5F11" w:rsidRDefault="00006B57" w:rsidP="003D01C1">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Uniunea Europeană</w:t>
                  </w:r>
                </w:p>
              </w:tc>
              <w:tc>
                <w:tcPr>
                  <w:tcW w:w="1350" w:type="dxa"/>
                  <w:shd w:val="clear" w:color="auto" w:fill="auto"/>
                </w:tcPr>
                <w:p w14:paraId="57C65275" w14:textId="77777777" w:rsidR="00936847" w:rsidRPr="009C5F11" w:rsidRDefault="00F522AB" w:rsidP="003D01C1">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00936847" w:rsidRPr="009C5F11">
                    <w:rPr>
                      <w:rFonts w:ascii="Times New Roman" w:hAnsi="Times New Roman" w:cs="Times New Roman"/>
                      <w:sz w:val="18"/>
                      <w:szCs w:val="14"/>
                      <w:lang w:val="ro-RO"/>
                    </w:rPr>
                    <w:t>2,002,642</w:t>
                  </w:r>
                </w:p>
              </w:tc>
              <w:tc>
                <w:tcPr>
                  <w:tcW w:w="1350" w:type="dxa"/>
                  <w:shd w:val="clear" w:color="auto" w:fill="auto"/>
                </w:tcPr>
                <w:p w14:paraId="6E563EC6" w14:textId="77777777" w:rsidR="00936847" w:rsidRPr="009C5F11" w:rsidRDefault="00F522AB" w:rsidP="003D01C1">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00936847" w:rsidRPr="009C5F11">
                    <w:rPr>
                      <w:rFonts w:ascii="Times New Roman" w:hAnsi="Times New Roman" w:cs="Times New Roman"/>
                      <w:sz w:val="18"/>
                      <w:szCs w:val="14"/>
                      <w:lang w:val="ro-RO"/>
                    </w:rPr>
                    <w:t>6,710,707</w:t>
                  </w:r>
                </w:p>
              </w:tc>
              <w:tc>
                <w:tcPr>
                  <w:tcW w:w="1170" w:type="dxa"/>
                  <w:shd w:val="clear" w:color="auto" w:fill="auto"/>
                </w:tcPr>
                <w:p w14:paraId="7DB31DD3" w14:textId="77777777" w:rsidR="00936847" w:rsidRPr="009C5F11" w:rsidRDefault="00F522AB" w:rsidP="003D01C1">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00936847" w:rsidRPr="009C5F11">
                    <w:rPr>
                      <w:rFonts w:ascii="Times New Roman" w:hAnsi="Times New Roman" w:cs="Times New Roman"/>
                      <w:sz w:val="18"/>
                      <w:szCs w:val="14"/>
                      <w:lang w:val="ro-RO"/>
                    </w:rPr>
                    <w:t>1,956,382</w:t>
                  </w:r>
                </w:p>
              </w:tc>
              <w:tc>
                <w:tcPr>
                  <w:tcW w:w="1057" w:type="dxa"/>
                  <w:shd w:val="clear" w:color="auto" w:fill="auto"/>
                </w:tcPr>
                <w:p w14:paraId="5B8C1712" w14:textId="77777777" w:rsidR="00936847" w:rsidRPr="009C5F11" w:rsidRDefault="00936847" w:rsidP="003D01C1">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€10,669,731</w:t>
                  </w:r>
                </w:p>
              </w:tc>
            </w:tr>
          </w:tbl>
          <w:p w14:paraId="3617BF30" w14:textId="77777777" w:rsidR="00936847" w:rsidRPr="009C5F11" w:rsidRDefault="00006B57" w:rsidP="00430626">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Sunt prevăzute următoarele</w:t>
            </w:r>
            <w:r w:rsidR="00936847"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acţiuni</w:t>
            </w:r>
            <w:r w:rsidRPr="009C5F11">
              <w:rPr>
                <w:rFonts w:ascii="Times New Roman" w:hAnsi="Times New Roman" w:cs="Times New Roman"/>
                <w:sz w:val="18"/>
                <w:szCs w:val="14"/>
                <w:lang w:val="ro-RO" w:eastAsia="de-DE"/>
              </w:rPr>
              <w:t xml:space="preserve"> practice</w:t>
            </w:r>
            <w:r w:rsidR="00936847" w:rsidRPr="009C5F11">
              <w:rPr>
                <w:rFonts w:ascii="Times New Roman" w:hAnsi="Times New Roman" w:cs="Times New Roman"/>
                <w:sz w:val="18"/>
                <w:szCs w:val="14"/>
                <w:lang w:val="ro-RO" w:eastAsia="de-DE"/>
              </w:rPr>
              <w:t>:</w:t>
            </w:r>
          </w:p>
          <w:p w14:paraId="480E5759" w14:textId="77777777" w:rsidR="00936847" w:rsidRPr="009C5F11" w:rsidRDefault="00936847" w:rsidP="00334F3B">
            <w:pPr>
              <w:numPr>
                <w:ilvl w:val="0"/>
                <w:numId w:val="208"/>
              </w:numPr>
              <w:tabs>
                <w:tab w:val="left" w:pos="702"/>
                <w:tab w:val="left" w:pos="5040"/>
                <w:tab w:val="right" w:pos="8504"/>
              </w:tabs>
              <w:spacing w:before="40" w:after="0" w:line="240" w:lineRule="auto"/>
              <w:ind w:hanging="427"/>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80 </w:t>
            </w:r>
            <w:r w:rsidR="00006B57" w:rsidRPr="009C5F11">
              <w:rPr>
                <w:rFonts w:ascii="Times New Roman" w:hAnsi="Times New Roman" w:cs="Times New Roman"/>
                <w:sz w:val="18"/>
                <w:szCs w:val="14"/>
                <w:lang w:val="ro-RO" w:eastAsia="de-DE"/>
              </w:rPr>
              <w:t xml:space="preserve">staţii </w:t>
            </w:r>
            <w:r w:rsidR="00E3081E" w:rsidRPr="009C5F11">
              <w:rPr>
                <w:rFonts w:ascii="Times New Roman" w:hAnsi="Times New Roman" w:cs="Times New Roman"/>
                <w:sz w:val="18"/>
                <w:szCs w:val="14"/>
                <w:lang w:val="ro-RO" w:eastAsia="de-DE"/>
              </w:rPr>
              <w:t xml:space="preserve">moderne </w:t>
            </w:r>
            <w:r w:rsidR="00006B57" w:rsidRPr="009C5F11">
              <w:rPr>
                <w:rFonts w:ascii="Times New Roman" w:hAnsi="Times New Roman" w:cs="Times New Roman"/>
                <w:sz w:val="18"/>
                <w:szCs w:val="14"/>
                <w:lang w:val="ro-RO" w:eastAsia="de-DE"/>
              </w:rPr>
              <w:t>de încălzire pe bază de biomasă</w:t>
            </w:r>
            <w:r w:rsidRPr="009C5F11">
              <w:rPr>
                <w:rFonts w:ascii="Times New Roman" w:hAnsi="Times New Roman" w:cs="Times New Roman"/>
                <w:sz w:val="18"/>
                <w:szCs w:val="14"/>
                <w:lang w:val="ro-RO" w:eastAsia="de-DE"/>
              </w:rPr>
              <w:t xml:space="preserve"> instal</w:t>
            </w:r>
            <w:r w:rsidR="00006B57" w:rsidRPr="009C5F11">
              <w:rPr>
                <w:rFonts w:ascii="Times New Roman" w:hAnsi="Times New Roman" w:cs="Times New Roman"/>
                <w:sz w:val="18"/>
                <w:szCs w:val="14"/>
                <w:lang w:val="ro-RO" w:eastAsia="de-DE"/>
              </w:rPr>
              <w:t>ate</w:t>
            </w:r>
            <w:r w:rsidR="00321CD5" w:rsidRPr="009C5F11">
              <w:rPr>
                <w:rFonts w:ascii="Times New Roman" w:hAnsi="Times New Roman" w:cs="Times New Roman"/>
                <w:sz w:val="18"/>
                <w:szCs w:val="14"/>
                <w:lang w:val="ro-RO" w:eastAsia="de-DE"/>
              </w:rPr>
              <w:t xml:space="preserve"> în </w:t>
            </w:r>
            <w:r w:rsidR="00006B57" w:rsidRPr="009C5F11">
              <w:rPr>
                <w:rFonts w:ascii="Times New Roman" w:hAnsi="Times New Roman" w:cs="Times New Roman"/>
                <w:sz w:val="18"/>
                <w:szCs w:val="14"/>
                <w:lang w:val="ro-RO" w:eastAsia="de-DE"/>
              </w:rPr>
              <w:t>clădiri publice din sate şi oraşe mici</w:t>
            </w:r>
            <w:r w:rsidRPr="009C5F11">
              <w:rPr>
                <w:rFonts w:ascii="Times New Roman" w:hAnsi="Times New Roman" w:cs="Times New Roman"/>
                <w:sz w:val="18"/>
                <w:szCs w:val="14"/>
                <w:lang w:val="ro-RO" w:eastAsia="de-DE"/>
              </w:rPr>
              <w:t xml:space="preserve">, </w:t>
            </w:r>
            <w:r w:rsidR="00006B57" w:rsidRPr="009C5F11">
              <w:rPr>
                <w:rFonts w:ascii="Times New Roman" w:hAnsi="Times New Roman" w:cs="Times New Roman"/>
                <w:sz w:val="18"/>
                <w:szCs w:val="14"/>
                <w:lang w:val="ro-RO" w:eastAsia="de-DE"/>
              </w:rPr>
              <w:t>cu axare pe regiunea</w:t>
            </w:r>
            <w:r w:rsidRPr="009C5F11">
              <w:rPr>
                <w:rFonts w:ascii="Times New Roman" w:hAnsi="Times New Roman" w:cs="Times New Roman"/>
                <w:sz w:val="18"/>
                <w:szCs w:val="14"/>
                <w:lang w:val="ro-RO" w:eastAsia="de-DE"/>
              </w:rPr>
              <w:t xml:space="preserve"> Transnistr</w:t>
            </w:r>
            <w:r w:rsidR="00006B57" w:rsidRPr="009C5F11">
              <w:rPr>
                <w:rFonts w:ascii="Times New Roman" w:hAnsi="Times New Roman" w:cs="Times New Roman"/>
                <w:sz w:val="18"/>
                <w:szCs w:val="14"/>
                <w:lang w:val="ro-RO" w:eastAsia="de-DE"/>
              </w:rPr>
              <w:t>eană</w:t>
            </w:r>
            <w:r w:rsidRPr="009C5F11">
              <w:rPr>
                <w:rFonts w:ascii="Times New Roman" w:hAnsi="Times New Roman" w:cs="Times New Roman"/>
                <w:sz w:val="18"/>
                <w:szCs w:val="14"/>
                <w:lang w:val="ro-RO" w:eastAsia="de-DE"/>
              </w:rPr>
              <w:t xml:space="preserve">, </w:t>
            </w:r>
            <w:r w:rsidR="00006B57" w:rsidRPr="009C5F11">
              <w:rPr>
                <w:rFonts w:ascii="Times New Roman" w:hAnsi="Times New Roman" w:cs="Times New Roman"/>
                <w:sz w:val="18"/>
                <w:szCs w:val="14"/>
                <w:lang w:val="ro-RO" w:eastAsia="de-DE"/>
              </w:rPr>
              <w:t>UTA Găgăuzia</w:t>
            </w:r>
            <w:r w:rsidRPr="009C5F11">
              <w:rPr>
                <w:rFonts w:ascii="Times New Roman" w:hAnsi="Times New Roman" w:cs="Times New Roman"/>
                <w:sz w:val="18"/>
                <w:szCs w:val="14"/>
                <w:lang w:val="ro-RO" w:eastAsia="de-DE"/>
              </w:rPr>
              <w:t xml:space="preserve">, </w:t>
            </w:r>
            <w:r w:rsidR="00006B57" w:rsidRPr="009C5F11">
              <w:rPr>
                <w:rFonts w:ascii="Times New Roman" w:hAnsi="Times New Roman" w:cs="Times New Roman"/>
                <w:sz w:val="18"/>
                <w:szCs w:val="14"/>
                <w:lang w:val="ro-RO" w:eastAsia="de-DE"/>
              </w:rPr>
              <w:t>raionul Taraclia</w:t>
            </w:r>
            <w:r w:rsidR="00321CD5" w:rsidRPr="009C5F11">
              <w:rPr>
                <w:rFonts w:ascii="Times New Roman" w:hAnsi="Times New Roman" w:cs="Times New Roman"/>
                <w:sz w:val="18"/>
                <w:szCs w:val="14"/>
                <w:lang w:val="ro-RO" w:eastAsia="de-DE"/>
              </w:rPr>
              <w:t xml:space="preserve"> şi </w:t>
            </w:r>
            <w:r w:rsidR="00006B57" w:rsidRPr="009C5F11">
              <w:rPr>
                <w:rFonts w:ascii="Times New Roman" w:hAnsi="Times New Roman" w:cs="Times New Roman"/>
                <w:sz w:val="18"/>
                <w:szCs w:val="14"/>
                <w:lang w:val="ro-RO" w:eastAsia="de-DE"/>
              </w:rPr>
              <w:t>oraşele mici;</w:t>
            </w:r>
          </w:p>
          <w:p w14:paraId="6939D309" w14:textId="77777777" w:rsidR="00936847" w:rsidRPr="009C5F11" w:rsidRDefault="00334DD0" w:rsidP="00334F3B">
            <w:pPr>
              <w:numPr>
                <w:ilvl w:val="0"/>
                <w:numId w:val="208"/>
              </w:numPr>
              <w:tabs>
                <w:tab w:val="left" w:pos="702"/>
                <w:tab w:val="left" w:pos="5040"/>
                <w:tab w:val="right" w:pos="8504"/>
              </w:tabs>
              <w:spacing w:before="40" w:after="0" w:line="240" w:lineRule="auto"/>
              <w:ind w:hanging="427"/>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În </w:t>
            </w:r>
            <w:r w:rsidR="00936847" w:rsidRPr="009C5F11">
              <w:rPr>
                <w:rFonts w:ascii="Times New Roman" w:hAnsi="Times New Roman" w:cs="Times New Roman"/>
                <w:sz w:val="18"/>
                <w:szCs w:val="14"/>
                <w:lang w:val="ro-RO" w:eastAsia="de-DE"/>
              </w:rPr>
              <w:t xml:space="preserve">21 </w:t>
            </w:r>
            <w:r w:rsidR="004E138F" w:rsidRPr="009C5F11">
              <w:rPr>
                <w:rFonts w:ascii="Times New Roman" w:hAnsi="Times New Roman" w:cs="Times New Roman"/>
                <w:sz w:val="18"/>
                <w:szCs w:val="14"/>
                <w:lang w:val="ro-RO" w:eastAsia="de-DE"/>
              </w:rPr>
              <w:t>de instituţii</w:t>
            </w:r>
            <w:r w:rsidR="00936847" w:rsidRPr="009C5F11">
              <w:rPr>
                <w:rFonts w:ascii="Times New Roman" w:hAnsi="Times New Roman" w:cs="Times New Roman"/>
                <w:sz w:val="18"/>
                <w:szCs w:val="14"/>
                <w:lang w:val="ro-RO" w:eastAsia="de-DE"/>
              </w:rPr>
              <w:t xml:space="preserve"> </w:t>
            </w:r>
            <w:r w:rsidR="00006B57" w:rsidRPr="009C5F11">
              <w:rPr>
                <w:rFonts w:ascii="Times New Roman" w:hAnsi="Times New Roman" w:cs="Times New Roman"/>
                <w:sz w:val="18"/>
                <w:szCs w:val="14"/>
                <w:lang w:val="ro-RO" w:eastAsia="de-DE"/>
              </w:rPr>
              <w:t>sisteme</w:t>
            </w:r>
            <w:r w:rsidR="004E138F" w:rsidRPr="009C5F11">
              <w:rPr>
                <w:rFonts w:ascii="Times New Roman" w:hAnsi="Times New Roman" w:cs="Times New Roman"/>
                <w:sz w:val="18"/>
                <w:szCs w:val="14"/>
                <w:lang w:val="ro-RO" w:eastAsia="de-DE"/>
              </w:rPr>
              <w:t>le</w:t>
            </w:r>
            <w:r w:rsidR="00006B57" w:rsidRPr="009C5F11">
              <w:rPr>
                <w:rFonts w:ascii="Times New Roman" w:hAnsi="Times New Roman" w:cs="Times New Roman"/>
                <w:sz w:val="18"/>
                <w:szCs w:val="14"/>
                <w:lang w:val="ro-RO" w:eastAsia="de-DE"/>
              </w:rPr>
              <w:t xml:space="preserve"> de încălzire pe bază de biomasă</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 xml:space="preserve">vor fi completate cu sisteme </w:t>
            </w:r>
            <w:r w:rsidR="00E3081E" w:rsidRPr="009C5F11">
              <w:rPr>
                <w:rFonts w:ascii="Times New Roman" w:hAnsi="Times New Roman" w:cs="Times New Roman"/>
                <w:sz w:val="18"/>
                <w:szCs w:val="14"/>
                <w:lang w:val="ro-RO" w:eastAsia="de-DE"/>
              </w:rPr>
              <w:t xml:space="preserve">din panouri </w:t>
            </w:r>
            <w:r w:rsidR="004E138F" w:rsidRPr="009C5F11">
              <w:rPr>
                <w:rFonts w:ascii="Times New Roman" w:hAnsi="Times New Roman" w:cs="Times New Roman"/>
                <w:sz w:val="18"/>
                <w:szCs w:val="14"/>
                <w:lang w:val="ro-RO" w:eastAsia="de-DE"/>
              </w:rPr>
              <w:t xml:space="preserve">solare pentru prepararea apei calde </w:t>
            </w:r>
            <w:r w:rsidR="0087273F" w:rsidRPr="009C5F11">
              <w:rPr>
                <w:rFonts w:ascii="Times New Roman" w:hAnsi="Times New Roman" w:cs="Times New Roman"/>
                <w:sz w:val="18"/>
                <w:szCs w:val="14"/>
                <w:lang w:val="ro-RO" w:eastAsia="de-DE"/>
              </w:rPr>
              <w:t>menajere</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grădiniţe de copii</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instituţii medico-sanitare</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alte instituţii de menire socială</w:t>
            </w:r>
            <w:r w:rsidR="00936847" w:rsidRPr="009C5F11">
              <w:rPr>
                <w:rFonts w:ascii="Times New Roman" w:hAnsi="Times New Roman" w:cs="Times New Roman"/>
                <w:sz w:val="18"/>
                <w:szCs w:val="14"/>
                <w:lang w:val="ro-RO" w:eastAsia="de-DE"/>
              </w:rPr>
              <w:t>)</w:t>
            </w:r>
            <w:r w:rsidR="004E138F" w:rsidRPr="009C5F11">
              <w:rPr>
                <w:rFonts w:ascii="Times New Roman" w:hAnsi="Times New Roman" w:cs="Times New Roman"/>
                <w:sz w:val="18"/>
                <w:szCs w:val="14"/>
                <w:lang w:val="ro-RO" w:eastAsia="de-DE"/>
              </w:rPr>
              <w:t>;</w:t>
            </w:r>
          </w:p>
          <w:p w14:paraId="6A61FB13" w14:textId="77777777" w:rsidR="00936847" w:rsidRPr="009C5F11" w:rsidRDefault="00936847" w:rsidP="00334F3B">
            <w:pPr>
              <w:numPr>
                <w:ilvl w:val="0"/>
                <w:numId w:val="208"/>
              </w:numPr>
              <w:tabs>
                <w:tab w:val="left" w:pos="702"/>
                <w:tab w:val="left" w:pos="5040"/>
                <w:tab w:val="right" w:pos="8504"/>
              </w:tabs>
              <w:spacing w:before="40" w:after="0" w:line="240" w:lineRule="auto"/>
              <w:ind w:hanging="427"/>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300 </w:t>
            </w:r>
            <w:r w:rsidR="004E138F" w:rsidRPr="009C5F11">
              <w:rPr>
                <w:rFonts w:ascii="Times New Roman" w:hAnsi="Times New Roman" w:cs="Times New Roman"/>
                <w:sz w:val="18"/>
                <w:szCs w:val="14"/>
                <w:lang w:val="ro-RO" w:eastAsia="de-DE"/>
              </w:rPr>
              <w:t xml:space="preserve">de cazane pe bază de biomasă produse/asamblate local; </w:t>
            </w:r>
          </w:p>
          <w:p w14:paraId="4BE9FCF1" w14:textId="77777777" w:rsidR="00936847" w:rsidRPr="009C5F11" w:rsidRDefault="00936847" w:rsidP="00334F3B">
            <w:pPr>
              <w:numPr>
                <w:ilvl w:val="0"/>
                <w:numId w:val="208"/>
              </w:numPr>
              <w:tabs>
                <w:tab w:val="left" w:pos="702"/>
                <w:tab w:val="left" w:pos="5040"/>
                <w:tab w:val="right" w:pos="8504"/>
              </w:tabs>
              <w:spacing w:before="40" w:after="0" w:line="240" w:lineRule="auto"/>
              <w:ind w:hanging="427"/>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250 </w:t>
            </w:r>
            <w:r w:rsidR="004E138F" w:rsidRPr="009C5F11">
              <w:rPr>
                <w:rFonts w:ascii="Times New Roman" w:hAnsi="Times New Roman" w:cs="Times New Roman"/>
                <w:sz w:val="18"/>
                <w:szCs w:val="14"/>
                <w:lang w:val="ro-RO" w:eastAsia="de-DE"/>
              </w:rPr>
              <w:t xml:space="preserve">de </w:t>
            </w:r>
            <w:r w:rsidR="006F2A15" w:rsidRPr="009C5F11">
              <w:rPr>
                <w:rFonts w:ascii="Times New Roman" w:hAnsi="Times New Roman" w:cs="Times New Roman"/>
                <w:sz w:val="18"/>
                <w:szCs w:val="14"/>
                <w:lang w:val="ro-RO" w:eastAsia="de-DE"/>
              </w:rPr>
              <w:t>gospodării casnice</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 xml:space="preserve">50 </w:t>
            </w:r>
            <w:r w:rsidR="004E138F" w:rsidRPr="009C5F11">
              <w:rPr>
                <w:rFonts w:ascii="Times New Roman" w:hAnsi="Times New Roman" w:cs="Times New Roman"/>
                <w:sz w:val="18"/>
                <w:szCs w:val="14"/>
                <w:lang w:val="ro-RO" w:eastAsia="de-DE"/>
              </w:rPr>
              <w:t xml:space="preserve">de întreprinderi mici vor primi sprijin pentru </w:t>
            </w:r>
            <w:r w:rsidRPr="009C5F11">
              <w:rPr>
                <w:rFonts w:ascii="Times New Roman" w:hAnsi="Times New Roman" w:cs="Times New Roman"/>
                <w:sz w:val="18"/>
                <w:szCs w:val="14"/>
                <w:lang w:val="ro-RO" w:eastAsia="de-DE"/>
              </w:rPr>
              <w:t>procur</w:t>
            </w:r>
            <w:r w:rsidR="004E138F" w:rsidRPr="009C5F11">
              <w:rPr>
                <w:rFonts w:ascii="Times New Roman" w:hAnsi="Times New Roman" w:cs="Times New Roman"/>
                <w:sz w:val="18"/>
                <w:szCs w:val="14"/>
                <w:lang w:val="ro-RO" w:eastAsia="de-DE"/>
              </w:rPr>
              <w:t xml:space="preserve">area </w:t>
            </w:r>
            <w:r w:rsidR="00321CD5" w:rsidRPr="009C5F11">
              <w:rPr>
                <w:rFonts w:ascii="Times New Roman" w:hAnsi="Times New Roman" w:cs="Times New Roman"/>
                <w:sz w:val="18"/>
                <w:szCs w:val="14"/>
                <w:lang w:val="ro-RO" w:eastAsia="de-DE"/>
              </w:rPr>
              <w:t xml:space="preserve">şi </w:t>
            </w:r>
            <w:r w:rsidRPr="009C5F11">
              <w:rPr>
                <w:rFonts w:ascii="Times New Roman" w:hAnsi="Times New Roman" w:cs="Times New Roman"/>
                <w:sz w:val="18"/>
                <w:szCs w:val="14"/>
                <w:lang w:val="ro-RO" w:eastAsia="de-DE"/>
              </w:rPr>
              <w:t>instal</w:t>
            </w:r>
            <w:r w:rsidR="004E138F" w:rsidRPr="009C5F11">
              <w:rPr>
                <w:rFonts w:ascii="Times New Roman" w:hAnsi="Times New Roman" w:cs="Times New Roman"/>
                <w:sz w:val="18"/>
                <w:szCs w:val="14"/>
                <w:lang w:val="ro-RO" w:eastAsia="de-DE"/>
              </w:rPr>
              <w:t xml:space="preserve">area cazanelor pe bază de biomasă în condiţii preferenţiale; </w:t>
            </w:r>
          </w:p>
          <w:p w14:paraId="6A9978BF" w14:textId="77777777" w:rsidR="00936847" w:rsidRPr="009C5F11" w:rsidRDefault="00936847" w:rsidP="00334F3B">
            <w:pPr>
              <w:numPr>
                <w:ilvl w:val="0"/>
                <w:numId w:val="208"/>
              </w:numPr>
              <w:tabs>
                <w:tab w:val="left" w:pos="702"/>
                <w:tab w:val="left" w:pos="5040"/>
                <w:tab w:val="right" w:pos="8504"/>
              </w:tabs>
              <w:spacing w:before="40" w:after="0" w:line="240" w:lineRule="auto"/>
              <w:ind w:hanging="427"/>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7 </w:t>
            </w:r>
            <w:r w:rsidR="004E138F" w:rsidRPr="009C5F11">
              <w:rPr>
                <w:rFonts w:ascii="Times New Roman" w:hAnsi="Times New Roman" w:cs="Times New Roman"/>
                <w:sz w:val="18"/>
                <w:szCs w:val="14"/>
                <w:lang w:val="ro-RO" w:eastAsia="de-DE"/>
              </w:rPr>
              <w:t>noi</w:t>
            </w:r>
            <w:r w:rsidRPr="009C5F11">
              <w:rPr>
                <w:rFonts w:ascii="Times New Roman" w:hAnsi="Times New Roman" w:cs="Times New Roman"/>
                <w:sz w:val="18"/>
                <w:szCs w:val="14"/>
                <w:lang w:val="ro-RO" w:eastAsia="de-DE"/>
              </w:rPr>
              <w:t xml:space="preserve"> </w:t>
            </w:r>
            <w:r w:rsidR="006F2A15" w:rsidRPr="009C5F11">
              <w:rPr>
                <w:rFonts w:ascii="Times New Roman" w:hAnsi="Times New Roman" w:cs="Times New Roman"/>
                <w:sz w:val="18"/>
                <w:szCs w:val="14"/>
                <w:lang w:val="ro-RO" w:eastAsia="de-DE"/>
              </w:rPr>
              <w:t>Parteneriate publice-private</w:t>
            </w:r>
            <w:r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pentru</w:t>
            </w:r>
            <w:r w:rsidR="001B3DCF" w:rsidRPr="009C5F11">
              <w:rPr>
                <w:rFonts w:ascii="Times New Roman" w:hAnsi="Times New Roman" w:cs="Times New Roman"/>
                <w:sz w:val="18"/>
                <w:szCs w:val="14"/>
                <w:lang w:val="ro-RO" w:eastAsia="de-DE"/>
              </w:rPr>
              <w:t xml:space="preserve"> furniz</w:t>
            </w:r>
            <w:r w:rsidR="004E138F" w:rsidRPr="009C5F11">
              <w:rPr>
                <w:rFonts w:ascii="Times New Roman" w:hAnsi="Times New Roman" w:cs="Times New Roman"/>
                <w:sz w:val="18"/>
                <w:szCs w:val="14"/>
                <w:lang w:val="ro-RO" w:eastAsia="de-DE"/>
              </w:rPr>
              <w:t>area</w:t>
            </w:r>
            <w:r w:rsidR="001B3DCF" w:rsidRPr="009C5F11">
              <w:rPr>
                <w:rFonts w:ascii="Times New Roman" w:hAnsi="Times New Roman" w:cs="Times New Roman"/>
                <w:sz w:val="18"/>
                <w:szCs w:val="14"/>
                <w:lang w:val="ro-RO" w:eastAsia="de-DE"/>
              </w:rPr>
              <w:t xml:space="preserve"> energiei termice</w:t>
            </w:r>
            <w:r w:rsidRPr="009C5F11">
              <w:rPr>
                <w:rFonts w:ascii="Times New Roman" w:hAnsi="Times New Roman" w:cs="Times New Roman"/>
                <w:sz w:val="18"/>
                <w:szCs w:val="14"/>
                <w:lang w:val="ro-RO" w:eastAsia="de-DE"/>
              </w:rPr>
              <w:t xml:space="preserve"> create</w:t>
            </w:r>
            <w:r w:rsidR="004E138F" w:rsidRPr="009C5F11">
              <w:rPr>
                <w:rFonts w:ascii="Times New Roman" w:hAnsi="Times New Roman" w:cs="Times New Roman"/>
                <w:sz w:val="18"/>
                <w:szCs w:val="14"/>
                <w:lang w:val="ro-RO" w:eastAsia="de-DE"/>
              </w:rPr>
              <w:t xml:space="preserve"> în toată</w:t>
            </w:r>
            <w:r w:rsidRPr="009C5F11">
              <w:rPr>
                <w:rFonts w:ascii="Times New Roman" w:hAnsi="Times New Roman" w:cs="Times New Roman"/>
                <w:sz w:val="18"/>
                <w:szCs w:val="14"/>
                <w:lang w:val="ro-RO" w:eastAsia="de-DE"/>
              </w:rPr>
              <w:t xml:space="preserve"> </w:t>
            </w:r>
            <w:r w:rsidR="00B40A7C" w:rsidRPr="009C5F11">
              <w:rPr>
                <w:rFonts w:ascii="Times New Roman" w:hAnsi="Times New Roman" w:cs="Times New Roman"/>
                <w:sz w:val="18"/>
                <w:szCs w:val="14"/>
                <w:lang w:val="ro-RO" w:eastAsia="de-DE"/>
              </w:rPr>
              <w:t>Republica Moldova</w:t>
            </w:r>
            <w:r w:rsidR="004E138F" w:rsidRPr="009C5F11">
              <w:rPr>
                <w:rFonts w:ascii="Times New Roman" w:hAnsi="Times New Roman" w:cs="Times New Roman"/>
                <w:sz w:val="18"/>
                <w:szCs w:val="14"/>
                <w:lang w:val="ro-RO" w:eastAsia="de-DE"/>
              </w:rPr>
              <w:t>.</w:t>
            </w:r>
          </w:p>
          <w:p w14:paraId="1CBA375E" w14:textId="77777777" w:rsidR="00936847" w:rsidRPr="009C5F11" w:rsidRDefault="004E138F" w:rsidP="00430626">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Potrivit previziunilor, aproximativ</w:t>
            </w:r>
            <w:r w:rsidR="00936847" w:rsidRPr="009C5F11">
              <w:rPr>
                <w:rFonts w:ascii="Times New Roman" w:hAnsi="Times New Roman" w:cs="Times New Roman"/>
                <w:sz w:val="18"/>
                <w:szCs w:val="14"/>
                <w:lang w:val="ro-RO" w:eastAsia="de-DE"/>
              </w:rPr>
              <w:t xml:space="preserve"> 70% </w:t>
            </w:r>
            <w:r w:rsidRPr="009C5F11">
              <w:rPr>
                <w:rFonts w:ascii="Times New Roman" w:hAnsi="Times New Roman" w:cs="Times New Roman"/>
                <w:sz w:val="18"/>
                <w:szCs w:val="14"/>
                <w:lang w:val="ro-RO" w:eastAsia="de-DE"/>
              </w:rPr>
              <w:t>din</w:t>
            </w:r>
            <w:r w:rsidR="00936847" w:rsidRPr="009C5F11">
              <w:rPr>
                <w:rFonts w:ascii="Times New Roman" w:hAnsi="Times New Roman" w:cs="Times New Roman"/>
                <w:sz w:val="18"/>
                <w:szCs w:val="14"/>
                <w:lang w:val="ro-RO" w:eastAsia="de-DE"/>
              </w:rPr>
              <w:t xml:space="preserve"> </w:t>
            </w:r>
            <w:r w:rsidR="007F77BE" w:rsidRPr="009C5F11">
              <w:rPr>
                <w:rFonts w:ascii="Times New Roman" w:hAnsi="Times New Roman" w:cs="Times New Roman"/>
                <w:sz w:val="18"/>
                <w:szCs w:val="14"/>
                <w:lang w:val="ro-RO" w:eastAsia="de-DE"/>
              </w:rPr>
              <w:t>fonduri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vor fi alocate </w:t>
            </w:r>
            <w:r w:rsidR="00E10BE5" w:rsidRPr="009C5F11">
              <w:rPr>
                <w:rFonts w:ascii="Times New Roman" w:hAnsi="Times New Roman" w:cs="Times New Roman"/>
                <w:sz w:val="18"/>
                <w:szCs w:val="14"/>
                <w:lang w:val="ro-RO" w:eastAsia="de-DE"/>
              </w:rPr>
              <w:t>proiecte</w:t>
            </w:r>
            <w:r w:rsidRPr="009C5F11">
              <w:rPr>
                <w:rFonts w:ascii="Times New Roman" w:hAnsi="Times New Roman" w:cs="Times New Roman"/>
                <w:sz w:val="18"/>
                <w:szCs w:val="14"/>
                <w:lang w:val="ro-RO" w:eastAsia="de-DE"/>
              </w:rPr>
              <w:t>lor de EE</w:t>
            </w:r>
            <w:r w:rsidR="00321CD5" w:rsidRPr="009C5F11">
              <w:rPr>
                <w:rFonts w:ascii="Times New Roman" w:hAnsi="Times New Roman" w:cs="Times New Roman"/>
                <w:sz w:val="18"/>
                <w:szCs w:val="14"/>
                <w:lang w:val="ro-RO" w:eastAsia="de-DE"/>
              </w:rPr>
              <w:t xml:space="preserve"> în </w:t>
            </w:r>
            <w:r w:rsidR="007F77BE" w:rsidRPr="009C5F11">
              <w:rPr>
                <w:rFonts w:ascii="Times New Roman" w:hAnsi="Times New Roman" w:cs="Times New Roman"/>
                <w:sz w:val="18"/>
                <w:szCs w:val="14"/>
                <w:lang w:val="ro-RO" w:eastAsia="de-DE"/>
              </w:rPr>
              <w:t>clădirile publice</w:t>
            </w:r>
            <w:r w:rsidR="00936847" w:rsidRPr="009C5F11">
              <w:rPr>
                <w:rFonts w:ascii="Times New Roman" w:hAnsi="Times New Roman" w:cs="Times New Roman"/>
                <w:sz w:val="18"/>
                <w:szCs w:val="14"/>
                <w:lang w:val="ro-RO" w:eastAsia="de-DE"/>
              </w:rPr>
              <w:t>.</w:t>
            </w:r>
          </w:p>
          <w:p w14:paraId="2EEACDEB" w14:textId="77777777" w:rsidR="00936847" w:rsidRPr="009C5F11" w:rsidRDefault="00936847" w:rsidP="00430626">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p>
        </w:tc>
      </w:tr>
      <w:tr w:rsidR="00936847" w:rsidRPr="009C5F11" w14:paraId="0D19B1BF" w14:textId="77777777" w:rsidTr="00BF6432">
        <w:trPr>
          <w:trHeight w:val="80"/>
        </w:trPr>
        <w:tc>
          <w:tcPr>
            <w:tcW w:w="743" w:type="pct"/>
            <w:vMerge/>
          </w:tcPr>
          <w:p w14:paraId="3CCE58F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336EBDE"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7D03928A" w14:textId="77777777" w:rsidR="00936847" w:rsidRPr="009C5F11" w:rsidRDefault="004E138F" w:rsidP="006F2A15">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w:t>
            </w:r>
            <w:r w:rsidR="00FD5F1C" w:rsidRPr="009C5F11">
              <w:rPr>
                <w:rFonts w:ascii="Times New Roman" w:hAnsi="Times New Roman" w:cs="Times New Roman"/>
                <w:sz w:val="18"/>
                <w:szCs w:val="14"/>
                <w:lang w:val="ro-RO" w:eastAsia="de-DE"/>
              </w:rPr>
              <w:t>utorităţile publice locale</w:t>
            </w:r>
            <w:r w:rsidR="00936847" w:rsidRPr="009C5F11">
              <w:rPr>
                <w:rFonts w:ascii="Times New Roman" w:hAnsi="Times New Roman" w:cs="Times New Roman"/>
                <w:sz w:val="18"/>
                <w:szCs w:val="14"/>
                <w:lang w:val="ro-RO" w:eastAsia="de-DE"/>
              </w:rPr>
              <w:t xml:space="preserve"> </w:t>
            </w:r>
            <w:r w:rsidR="006F2A15" w:rsidRPr="009C5F11">
              <w:rPr>
                <w:rFonts w:ascii="Times New Roman" w:hAnsi="Times New Roman" w:cs="Times New Roman"/>
                <w:sz w:val="18"/>
                <w:szCs w:val="14"/>
                <w:lang w:val="ro-RO" w:eastAsia="de-DE"/>
              </w:rPr>
              <w:t xml:space="preserve">cu sprijin din partea </w:t>
            </w:r>
            <w:r w:rsidR="00AA45D2" w:rsidRPr="009C5F11">
              <w:rPr>
                <w:rFonts w:ascii="Times New Roman" w:hAnsi="Times New Roman" w:cs="Times New Roman"/>
                <w:sz w:val="18"/>
                <w:szCs w:val="14"/>
                <w:lang w:val="ro-RO" w:eastAsia="de-DE"/>
              </w:rPr>
              <w:t>MF</w:t>
            </w:r>
            <w:r w:rsidR="00321CD5" w:rsidRPr="009C5F11">
              <w:rPr>
                <w:rFonts w:ascii="Times New Roman" w:hAnsi="Times New Roman" w:cs="Times New Roman"/>
                <w:sz w:val="18"/>
                <w:szCs w:val="14"/>
                <w:lang w:val="ro-RO" w:eastAsia="de-DE"/>
              </w:rPr>
              <w:t xml:space="preserve"> şi </w:t>
            </w:r>
            <w:r w:rsidR="00AA0566" w:rsidRPr="009C5F11">
              <w:rPr>
                <w:rFonts w:ascii="Times New Roman" w:hAnsi="Times New Roman" w:cs="Times New Roman"/>
                <w:sz w:val="18"/>
                <w:szCs w:val="14"/>
                <w:lang w:val="ro-RO" w:eastAsia="de-DE"/>
              </w:rPr>
              <w:t>AEE</w:t>
            </w:r>
            <w:r w:rsidR="006F2A15" w:rsidRPr="009C5F11">
              <w:rPr>
                <w:rFonts w:ascii="Times New Roman" w:hAnsi="Times New Roman" w:cs="Times New Roman"/>
                <w:sz w:val="18"/>
                <w:szCs w:val="14"/>
                <w:lang w:val="ro-RO" w:eastAsia="de-DE"/>
              </w:rPr>
              <w:t>.</w:t>
            </w:r>
          </w:p>
        </w:tc>
      </w:tr>
      <w:tr w:rsidR="00936847" w:rsidRPr="009C5F11" w14:paraId="2D40AEA4" w14:textId="77777777" w:rsidTr="00BF6432">
        <w:trPr>
          <w:trHeight w:val="67"/>
        </w:trPr>
        <w:tc>
          <w:tcPr>
            <w:tcW w:w="743" w:type="pct"/>
            <w:vMerge/>
          </w:tcPr>
          <w:p w14:paraId="2DC4985F"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A163FE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729DDD53" w14:textId="77777777" w:rsidR="00936847" w:rsidRPr="009C5F11" w:rsidRDefault="004E138F"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w:t>
            </w:r>
            <w:r w:rsidR="00FD5F1C" w:rsidRPr="009C5F11">
              <w:rPr>
                <w:rFonts w:ascii="Times New Roman" w:hAnsi="Times New Roman" w:cs="Times New Roman"/>
                <w:sz w:val="18"/>
                <w:szCs w:val="14"/>
                <w:lang w:val="ro-RO" w:eastAsia="de-DE"/>
              </w:rPr>
              <w:t>utorităţile publice locale</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AEE</w:t>
            </w:r>
          </w:p>
        </w:tc>
      </w:tr>
      <w:tr w:rsidR="00936847" w:rsidRPr="009C5F11" w14:paraId="49C6F139" w14:textId="77777777" w:rsidTr="00BF6432">
        <w:trPr>
          <w:trHeight w:val="233"/>
        </w:trPr>
        <w:tc>
          <w:tcPr>
            <w:tcW w:w="743" w:type="pct"/>
            <w:vMerge w:val="restart"/>
          </w:tcPr>
          <w:p w14:paraId="25789C3A"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1F0E1DF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7BA02561"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w:t>
            </w:r>
          </w:p>
        </w:tc>
      </w:tr>
      <w:tr w:rsidR="00936847" w:rsidRPr="009C5F11" w14:paraId="59E8814E" w14:textId="77777777" w:rsidTr="00BF6432">
        <w:trPr>
          <w:trHeight w:val="296"/>
        </w:trPr>
        <w:tc>
          <w:tcPr>
            <w:tcW w:w="743" w:type="pct"/>
            <w:vMerge/>
          </w:tcPr>
          <w:p w14:paraId="702102A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D6EBC0C"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prevăzute în anul 2016 conform primului PNAEE</w:t>
            </w:r>
            <w:r w:rsidR="00936847" w:rsidRPr="009C5F11">
              <w:rPr>
                <w:rFonts w:ascii="Times New Roman" w:hAnsi="Times New Roman" w:cs="Times New Roman"/>
                <w:sz w:val="18"/>
                <w:szCs w:val="14"/>
                <w:lang w:val="ro-RO" w:eastAsia="de-DE"/>
              </w:rPr>
              <w:t xml:space="preserve"> </w:t>
            </w:r>
          </w:p>
        </w:tc>
        <w:tc>
          <w:tcPr>
            <w:tcW w:w="3244" w:type="pct"/>
          </w:tcPr>
          <w:p w14:paraId="5C30DF04" w14:textId="77777777" w:rsidR="00936847" w:rsidRPr="009C5F11" w:rsidRDefault="00936847" w:rsidP="006F2A15">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Estima</w:t>
            </w:r>
            <w:r w:rsidR="006F2A15" w:rsidRPr="009C5F11">
              <w:rPr>
                <w:rFonts w:ascii="Times New Roman" w:hAnsi="Times New Roman" w:cs="Times New Roman"/>
                <w:sz w:val="18"/>
                <w:szCs w:val="14"/>
                <w:lang w:val="ro-RO" w:eastAsia="de-DE"/>
              </w:rPr>
              <w:t>rea</w:t>
            </w:r>
            <w:r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Pr="009C5F11">
              <w:rPr>
                <w:rFonts w:ascii="Times New Roman" w:hAnsi="Times New Roman" w:cs="Times New Roman"/>
                <w:sz w:val="18"/>
                <w:szCs w:val="14"/>
                <w:lang w:val="ro-RO" w:eastAsia="de-DE"/>
              </w:rPr>
              <w:t xml:space="preserve"> 2013-2015: </w:t>
            </w:r>
            <w:r w:rsidRPr="009C5F11">
              <w:rPr>
                <w:rFonts w:ascii="Times New Roman" w:hAnsi="Times New Roman" w:cs="Times New Roman"/>
                <w:b/>
                <w:sz w:val="18"/>
                <w:szCs w:val="14"/>
                <w:lang w:val="ro-RO" w:eastAsia="de-DE"/>
              </w:rPr>
              <w:t xml:space="preserve">3.61 </w:t>
            </w:r>
            <w:r w:rsidR="00E52940" w:rsidRPr="009C5F11">
              <w:rPr>
                <w:rFonts w:ascii="Times New Roman" w:hAnsi="Times New Roman" w:cs="Times New Roman"/>
                <w:b/>
                <w:sz w:val="18"/>
                <w:szCs w:val="14"/>
                <w:lang w:val="ro-RO" w:eastAsia="de-DE"/>
              </w:rPr>
              <w:t>ktep</w:t>
            </w:r>
            <w:r w:rsidRPr="009C5F11">
              <w:rPr>
                <w:rFonts w:ascii="Times New Roman" w:hAnsi="Times New Roman" w:cs="Times New Roman"/>
                <w:b/>
                <w:sz w:val="18"/>
                <w:szCs w:val="14"/>
                <w:lang w:val="ro-RO" w:eastAsia="de-DE"/>
              </w:rPr>
              <w:t xml:space="preserve"> </w:t>
            </w:r>
          </w:p>
        </w:tc>
      </w:tr>
      <w:tr w:rsidR="00936847" w:rsidRPr="009C5F11" w14:paraId="53F0BA2B" w14:textId="77777777" w:rsidTr="00BF6432">
        <w:trPr>
          <w:trHeight w:val="134"/>
        </w:trPr>
        <w:tc>
          <w:tcPr>
            <w:tcW w:w="743" w:type="pct"/>
            <w:vMerge/>
          </w:tcPr>
          <w:p w14:paraId="47B579E8"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8129AB1" w14:textId="77777777" w:rsidR="00936847"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r w:rsidR="00936847" w:rsidRPr="009C5F11">
              <w:rPr>
                <w:rFonts w:ascii="Times New Roman" w:hAnsi="Times New Roman" w:cs="Times New Roman"/>
                <w:sz w:val="18"/>
                <w:szCs w:val="14"/>
                <w:lang w:val="ro-RO" w:eastAsia="de-DE"/>
              </w:rPr>
              <w:t>*</w:t>
            </w:r>
          </w:p>
        </w:tc>
        <w:tc>
          <w:tcPr>
            <w:tcW w:w="3244" w:type="pct"/>
          </w:tcPr>
          <w:p w14:paraId="1CC530E0" w14:textId="77777777" w:rsidR="00936847" w:rsidRPr="009C5F11" w:rsidRDefault="00936847" w:rsidP="00430626">
            <w:pPr>
              <w:tabs>
                <w:tab w:val="left" w:pos="1440"/>
                <w:tab w:val="left" w:pos="5040"/>
              </w:tabs>
              <w:spacing w:after="0" w:line="240" w:lineRule="auto"/>
              <w:ind w:left="720" w:hanging="720"/>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b/>
                <w:sz w:val="18"/>
                <w:szCs w:val="14"/>
                <w:lang w:val="ro-RO" w:eastAsia="sv-SE"/>
              </w:rPr>
              <w:t xml:space="preserve">17.66 </w:t>
            </w:r>
            <w:r w:rsidR="00E52940" w:rsidRPr="009C5F11">
              <w:rPr>
                <w:rFonts w:ascii="Times New Roman" w:eastAsia="Calibri" w:hAnsi="Times New Roman" w:cs="Times New Roman"/>
                <w:b/>
                <w:sz w:val="18"/>
                <w:szCs w:val="14"/>
                <w:lang w:val="ro-RO" w:eastAsia="sv-SE"/>
              </w:rPr>
              <w:t>ktep</w:t>
            </w:r>
            <w:r w:rsidRPr="009C5F11">
              <w:rPr>
                <w:rFonts w:ascii="Times New Roman" w:eastAsia="Calibri" w:hAnsi="Times New Roman" w:cs="Times New Roman"/>
                <w:sz w:val="18"/>
                <w:szCs w:val="14"/>
                <w:lang w:val="ro-RO" w:eastAsia="sv-SE"/>
              </w:rPr>
              <w:t xml:space="preserve"> </w:t>
            </w:r>
          </w:p>
        </w:tc>
      </w:tr>
      <w:tr w:rsidR="00936847" w:rsidRPr="009C5F11" w14:paraId="328C092F" w14:textId="77777777" w:rsidTr="00BF6432">
        <w:trPr>
          <w:trHeight w:val="476"/>
        </w:trPr>
        <w:tc>
          <w:tcPr>
            <w:tcW w:w="743" w:type="pct"/>
            <w:vMerge/>
          </w:tcPr>
          <w:p w14:paraId="5522F7AF"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984DC47"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2020 </w:t>
            </w:r>
          </w:p>
        </w:tc>
        <w:tc>
          <w:tcPr>
            <w:tcW w:w="3244" w:type="pct"/>
          </w:tcPr>
          <w:p w14:paraId="39035241"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47.09 </w:t>
            </w:r>
            <w:r w:rsidR="00E52940" w:rsidRPr="009C5F11">
              <w:rPr>
                <w:rFonts w:ascii="Times New Roman" w:hAnsi="Times New Roman" w:cs="Times New Roman"/>
                <w:b/>
                <w:sz w:val="18"/>
                <w:szCs w:val="14"/>
                <w:lang w:val="ro-RO" w:eastAsia="de-DE"/>
              </w:rPr>
              <w:t>ktep</w:t>
            </w:r>
            <w:r w:rsidRPr="009C5F11">
              <w:rPr>
                <w:rFonts w:ascii="Times New Roman" w:hAnsi="Times New Roman" w:cs="Times New Roman"/>
                <w:b/>
                <w:sz w:val="18"/>
                <w:szCs w:val="14"/>
                <w:lang w:val="ro-RO" w:eastAsia="de-DE"/>
              </w:rPr>
              <w:t xml:space="preserve"> </w:t>
            </w:r>
          </w:p>
          <w:p w14:paraId="4F7765DF"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936847" w:rsidRPr="009C5F11" w14:paraId="6F11B9AC" w14:textId="77777777" w:rsidTr="00BF6432">
        <w:trPr>
          <w:trHeight w:val="476"/>
        </w:trPr>
        <w:tc>
          <w:tcPr>
            <w:tcW w:w="743" w:type="pct"/>
            <w:vMerge/>
          </w:tcPr>
          <w:p w14:paraId="41491C80"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CD73ED5" w14:textId="77777777" w:rsidR="00936847" w:rsidRPr="009C5F11" w:rsidRDefault="009346F6"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58922D2C" w14:textId="77777777" w:rsidR="00936847" w:rsidRPr="009C5F11" w:rsidRDefault="0094635F" w:rsidP="00430626">
            <w:pPr>
              <w:tabs>
                <w:tab w:val="left" w:pos="1440"/>
                <w:tab w:val="left" w:pos="5040"/>
                <w:tab w:val="right" w:pos="8504"/>
              </w:tabs>
              <w:spacing w:before="40"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Economiile obţinute în 2016</w:t>
            </w:r>
          </w:p>
          <w:p w14:paraId="7ADBC8DF" w14:textId="77777777" w:rsidR="00936847" w:rsidRPr="009C5F11" w:rsidRDefault="00E46DD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BU</w:t>
            </w:r>
            <w:r w:rsidR="00936847" w:rsidRPr="009C5F11">
              <w:rPr>
                <w:rFonts w:ascii="Times New Roman" w:hAnsi="Times New Roman" w:cs="Times New Roman"/>
                <w:sz w:val="18"/>
                <w:szCs w:val="14"/>
                <w:lang w:val="ro-RO" w:eastAsia="de-DE"/>
              </w:rPr>
              <w:t xml:space="preserve"> </w:t>
            </w:r>
          </w:p>
          <w:p w14:paraId="5CB615AF"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Total 17.66 </w:t>
            </w:r>
            <w:r w:rsidR="00E52940" w:rsidRPr="009C5F11">
              <w:rPr>
                <w:rFonts w:ascii="Times New Roman" w:hAnsi="Times New Roman" w:cs="Times New Roman"/>
                <w:sz w:val="18"/>
                <w:szCs w:val="14"/>
                <w:lang w:val="ro-RO" w:eastAsia="de-DE"/>
              </w:rPr>
              <w:t>ktep</w:t>
            </w:r>
          </w:p>
          <w:p w14:paraId="506AD262" w14:textId="77777777" w:rsidR="00936847" w:rsidRPr="009C5F11" w:rsidRDefault="00AA0566" w:rsidP="00334F3B">
            <w:pPr>
              <w:numPr>
                <w:ilvl w:val="0"/>
                <w:numId w:val="83"/>
              </w:numPr>
              <w:spacing w:after="0" w:line="240" w:lineRule="auto"/>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FEE</w:t>
            </w:r>
            <w:r w:rsidR="00936847" w:rsidRPr="009C5F11">
              <w:rPr>
                <w:rFonts w:ascii="Times New Roman" w:eastAsia="Calibri" w:hAnsi="Times New Roman" w:cs="Times New Roman"/>
                <w:sz w:val="18"/>
                <w:szCs w:val="14"/>
                <w:lang w:val="ro-RO" w:eastAsia="sv-SE"/>
              </w:rPr>
              <w:t xml:space="preserve">: 7.66 </w:t>
            </w:r>
            <w:r w:rsidR="00E52940" w:rsidRPr="009C5F11">
              <w:rPr>
                <w:rFonts w:ascii="Times New Roman" w:eastAsia="Calibri" w:hAnsi="Times New Roman" w:cs="Times New Roman"/>
                <w:sz w:val="18"/>
                <w:szCs w:val="14"/>
                <w:lang w:val="ro-RO" w:eastAsia="sv-SE"/>
              </w:rPr>
              <w:t>ktep</w:t>
            </w:r>
          </w:p>
          <w:p w14:paraId="2D15E473" w14:textId="77777777" w:rsidR="00936847" w:rsidRPr="009C5F11" w:rsidRDefault="00F53252" w:rsidP="00334F3B">
            <w:pPr>
              <w:numPr>
                <w:ilvl w:val="0"/>
                <w:numId w:val="83"/>
              </w:numPr>
              <w:spacing w:after="0" w:line="240" w:lineRule="auto"/>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FISM</w:t>
            </w:r>
            <w:r w:rsidR="00936847" w:rsidRPr="009C5F11">
              <w:rPr>
                <w:rFonts w:ascii="Times New Roman" w:eastAsia="Calibri" w:hAnsi="Times New Roman" w:cs="Times New Roman"/>
                <w:sz w:val="18"/>
                <w:szCs w:val="14"/>
                <w:lang w:val="ro-RO" w:eastAsia="sv-SE"/>
              </w:rPr>
              <w:t xml:space="preserve">: 8.63 </w:t>
            </w:r>
            <w:r w:rsidR="00E52940" w:rsidRPr="009C5F11">
              <w:rPr>
                <w:rFonts w:ascii="Times New Roman" w:eastAsia="Calibri" w:hAnsi="Times New Roman" w:cs="Times New Roman"/>
                <w:sz w:val="18"/>
                <w:szCs w:val="14"/>
                <w:lang w:val="ro-RO" w:eastAsia="sv-SE"/>
              </w:rPr>
              <w:t>ktep</w:t>
            </w:r>
          </w:p>
          <w:p w14:paraId="3BE9EA5E" w14:textId="77777777" w:rsidR="00936847" w:rsidRPr="009C5F11" w:rsidRDefault="00936847" w:rsidP="00334F3B">
            <w:pPr>
              <w:numPr>
                <w:ilvl w:val="0"/>
                <w:numId w:val="111"/>
              </w:numPr>
              <w:spacing w:after="0" w:line="240" w:lineRule="auto"/>
              <w:ind w:left="972" w:hanging="270"/>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 xml:space="preserve">2016: 6.26 </w:t>
            </w:r>
            <w:r w:rsidR="00E52940" w:rsidRPr="009C5F11">
              <w:rPr>
                <w:rFonts w:ascii="Times New Roman" w:eastAsia="Calibri" w:hAnsi="Times New Roman" w:cs="Times New Roman"/>
                <w:sz w:val="18"/>
                <w:szCs w:val="14"/>
                <w:lang w:val="ro-RO" w:eastAsia="sv-SE"/>
              </w:rPr>
              <w:t>ktep</w:t>
            </w:r>
            <w:r w:rsidRPr="009C5F11">
              <w:rPr>
                <w:rFonts w:ascii="Times New Roman" w:eastAsia="Calibri" w:hAnsi="Times New Roman" w:cs="Times New Roman"/>
                <w:sz w:val="18"/>
                <w:szCs w:val="14"/>
                <w:lang w:val="ro-RO" w:eastAsia="sv-SE"/>
              </w:rPr>
              <w:t xml:space="preserve"> </w:t>
            </w:r>
            <w:r w:rsidR="006F2A15" w:rsidRPr="009C5F11">
              <w:rPr>
                <w:rFonts w:ascii="Times New Roman" w:eastAsia="Calibri" w:hAnsi="Times New Roman" w:cs="Times New Roman"/>
                <w:sz w:val="18"/>
                <w:szCs w:val="14"/>
                <w:lang w:val="ro-RO" w:eastAsia="sv-SE"/>
              </w:rPr>
              <w:t>cu sprijin din partea Guvernului</w:t>
            </w:r>
            <w:r w:rsidRPr="009C5F11">
              <w:rPr>
                <w:rFonts w:ascii="Times New Roman" w:eastAsia="Calibri" w:hAnsi="Times New Roman" w:cs="Times New Roman"/>
                <w:sz w:val="18"/>
                <w:szCs w:val="14"/>
                <w:lang w:val="ro-RO" w:eastAsia="sv-SE"/>
              </w:rPr>
              <w:t xml:space="preserve"> </w:t>
            </w:r>
            <w:r w:rsidR="00381715" w:rsidRPr="009C5F11">
              <w:rPr>
                <w:rFonts w:ascii="Times New Roman" w:eastAsia="Calibri" w:hAnsi="Times New Roman" w:cs="Times New Roman"/>
                <w:sz w:val="18"/>
                <w:szCs w:val="14"/>
                <w:lang w:val="ro-RO" w:eastAsia="sv-SE"/>
              </w:rPr>
              <w:t>Români</w:t>
            </w:r>
            <w:r w:rsidR="006F2A15" w:rsidRPr="009C5F11">
              <w:rPr>
                <w:rFonts w:ascii="Times New Roman" w:eastAsia="Calibri" w:hAnsi="Times New Roman" w:cs="Times New Roman"/>
                <w:sz w:val="18"/>
                <w:szCs w:val="14"/>
                <w:lang w:val="ro-RO" w:eastAsia="sv-SE"/>
              </w:rPr>
              <w:t>ei;</w:t>
            </w:r>
            <w:r w:rsidRPr="009C5F11">
              <w:rPr>
                <w:rFonts w:ascii="Times New Roman" w:eastAsia="Calibri" w:hAnsi="Times New Roman" w:cs="Times New Roman"/>
                <w:sz w:val="18"/>
                <w:szCs w:val="14"/>
                <w:lang w:val="ro-RO" w:eastAsia="sv-SE"/>
              </w:rPr>
              <w:t xml:space="preserve"> </w:t>
            </w:r>
          </w:p>
          <w:p w14:paraId="17D0E2C8" w14:textId="77777777" w:rsidR="00936847" w:rsidRPr="009C5F11" w:rsidRDefault="00936847" w:rsidP="00334F3B">
            <w:pPr>
              <w:numPr>
                <w:ilvl w:val="0"/>
                <w:numId w:val="111"/>
              </w:numPr>
              <w:spacing w:after="0" w:line="240" w:lineRule="auto"/>
              <w:ind w:left="972" w:hanging="270"/>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 xml:space="preserve">2016: 1.35 </w:t>
            </w:r>
            <w:r w:rsidR="00E52940" w:rsidRPr="009C5F11">
              <w:rPr>
                <w:rFonts w:ascii="Times New Roman" w:eastAsia="Calibri" w:hAnsi="Times New Roman" w:cs="Times New Roman"/>
                <w:sz w:val="18"/>
                <w:szCs w:val="14"/>
                <w:lang w:val="ro-RO" w:eastAsia="sv-SE"/>
              </w:rPr>
              <w:t>ktep</w:t>
            </w:r>
            <w:r w:rsidRPr="009C5F11">
              <w:rPr>
                <w:rFonts w:ascii="Times New Roman" w:eastAsia="Calibri" w:hAnsi="Times New Roman" w:cs="Times New Roman"/>
                <w:sz w:val="18"/>
                <w:szCs w:val="14"/>
                <w:lang w:val="ro-RO" w:eastAsia="sv-SE"/>
              </w:rPr>
              <w:t xml:space="preserve"> </w:t>
            </w:r>
            <w:r w:rsidR="006F2A15" w:rsidRPr="009C5F11">
              <w:rPr>
                <w:rFonts w:ascii="Times New Roman" w:eastAsia="Calibri" w:hAnsi="Times New Roman" w:cs="Times New Roman"/>
                <w:sz w:val="18"/>
                <w:szCs w:val="14"/>
                <w:lang w:val="ro-RO" w:eastAsia="sv-SE"/>
              </w:rPr>
              <w:t>cu sprijin din partea</w:t>
            </w:r>
            <w:r w:rsidRPr="009C5F11">
              <w:rPr>
                <w:rFonts w:ascii="Times New Roman" w:eastAsia="Calibri" w:hAnsi="Times New Roman" w:cs="Times New Roman"/>
                <w:sz w:val="18"/>
                <w:szCs w:val="14"/>
                <w:lang w:val="ro-RO" w:eastAsia="sv-SE"/>
              </w:rPr>
              <w:t xml:space="preserve"> KfW</w:t>
            </w:r>
            <w:r w:rsidR="006F2A15" w:rsidRPr="009C5F11">
              <w:rPr>
                <w:rFonts w:ascii="Times New Roman" w:eastAsia="Calibri" w:hAnsi="Times New Roman" w:cs="Times New Roman"/>
                <w:sz w:val="18"/>
                <w:szCs w:val="14"/>
                <w:lang w:val="ro-RO" w:eastAsia="sv-SE"/>
              </w:rPr>
              <w:t>;</w:t>
            </w:r>
            <w:r w:rsidRPr="009C5F11">
              <w:rPr>
                <w:rFonts w:ascii="Times New Roman" w:eastAsia="Calibri" w:hAnsi="Times New Roman" w:cs="Times New Roman"/>
                <w:sz w:val="18"/>
                <w:szCs w:val="14"/>
                <w:lang w:val="ro-RO" w:eastAsia="sv-SE"/>
              </w:rPr>
              <w:t xml:space="preserve"> </w:t>
            </w:r>
          </w:p>
          <w:p w14:paraId="4398C2D6" w14:textId="77777777" w:rsidR="00936847" w:rsidRPr="009C5F11" w:rsidRDefault="00936847" w:rsidP="00334F3B">
            <w:pPr>
              <w:numPr>
                <w:ilvl w:val="0"/>
                <w:numId w:val="111"/>
              </w:numPr>
              <w:spacing w:after="0" w:line="240" w:lineRule="auto"/>
              <w:ind w:left="972" w:hanging="270"/>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 xml:space="preserve">2013: 1.01 </w:t>
            </w:r>
            <w:r w:rsidR="006F2A15" w:rsidRPr="009C5F11">
              <w:rPr>
                <w:rFonts w:ascii="Times New Roman" w:eastAsia="Calibri" w:hAnsi="Times New Roman" w:cs="Times New Roman"/>
                <w:sz w:val="18"/>
                <w:szCs w:val="14"/>
                <w:lang w:val="ro-RO" w:eastAsia="sv-SE"/>
              </w:rPr>
              <w:t>cu sprijin din partea</w:t>
            </w:r>
            <w:r w:rsidRPr="009C5F11">
              <w:rPr>
                <w:rFonts w:ascii="Times New Roman" w:eastAsia="Calibri" w:hAnsi="Times New Roman" w:cs="Times New Roman"/>
                <w:sz w:val="18"/>
                <w:szCs w:val="14"/>
                <w:lang w:val="ro-RO" w:eastAsia="sv-SE"/>
              </w:rPr>
              <w:t xml:space="preserve"> </w:t>
            </w:r>
            <w:r w:rsidR="00421FA7" w:rsidRPr="009C5F11">
              <w:rPr>
                <w:rFonts w:ascii="Times New Roman" w:eastAsia="Calibri" w:hAnsi="Times New Roman" w:cs="Times New Roman"/>
                <w:sz w:val="18"/>
                <w:szCs w:val="14"/>
                <w:lang w:val="ro-RO" w:eastAsia="sv-SE"/>
              </w:rPr>
              <w:t>UE</w:t>
            </w:r>
            <w:r w:rsidR="006F2A15" w:rsidRPr="009C5F11">
              <w:rPr>
                <w:rFonts w:ascii="Times New Roman" w:eastAsia="Calibri" w:hAnsi="Times New Roman" w:cs="Times New Roman"/>
                <w:sz w:val="18"/>
                <w:szCs w:val="14"/>
                <w:lang w:val="ro-RO" w:eastAsia="sv-SE"/>
              </w:rPr>
              <w:t>;</w:t>
            </w:r>
          </w:p>
          <w:p w14:paraId="56775DB6" w14:textId="77777777" w:rsidR="00936847" w:rsidRPr="009C5F11" w:rsidRDefault="006F2A15" w:rsidP="00334F3B">
            <w:pPr>
              <w:numPr>
                <w:ilvl w:val="0"/>
                <w:numId w:val="83"/>
              </w:numPr>
              <w:spacing w:after="0" w:line="240" w:lineRule="auto"/>
              <w:jc w:val="both"/>
              <w:rPr>
                <w:rFonts w:ascii="Times New Roman" w:eastAsia="Calibri" w:hAnsi="Times New Roman" w:cs="Times New Roman"/>
                <w:sz w:val="18"/>
                <w:szCs w:val="14"/>
                <w:lang w:val="ro-RO" w:eastAsia="sv-SE"/>
              </w:rPr>
            </w:pPr>
            <w:r w:rsidRPr="009C5F11">
              <w:rPr>
                <w:rFonts w:ascii="Times New Roman" w:eastAsia="Calibri" w:hAnsi="Times New Roman" w:cs="Times New Roman"/>
                <w:sz w:val="18"/>
                <w:szCs w:val="14"/>
                <w:lang w:val="ro-RO" w:eastAsia="sv-SE"/>
              </w:rPr>
              <w:t>PEBM</w:t>
            </w:r>
            <w:r w:rsidR="00936847" w:rsidRPr="009C5F11">
              <w:rPr>
                <w:rFonts w:ascii="Times New Roman" w:eastAsia="Calibri" w:hAnsi="Times New Roman" w:cs="Times New Roman"/>
                <w:sz w:val="18"/>
                <w:szCs w:val="14"/>
                <w:lang w:val="ro-RO" w:eastAsia="sv-SE"/>
              </w:rPr>
              <w:t xml:space="preserve">: 0.56 </w:t>
            </w:r>
            <w:r w:rsidR="00E52940" w:rsidRPr="009C5F11">
              <w:rPr>
                <w:rFonts w:ascii="Times New Roman" w:eastAsia="Calibri" w:hAnsi="Times New Roman" w:cs="Times New Roman"/>
                <w:sz w:val="18"/>
                <w:szCs w:val="14"/>
                <w:lang w:val="ro-RO" w:eastAsia="sv-SE"/>
              </w:rPr>
              <w:t>ktep</w:t>
            </w:r>
          </w:p>
          <w:p w14:paraId="3C530461" w14:textId="77777777" w:rsidR="00936847" w:rsidRPr="009C5F11" w:rsidRDefault="006F2A15" w:rsidP="00334F3B">
            <w:pPr>
              <w:numPr>
                <w:ilvl w:val="0"/>
                <w:numId w:val="83"/>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Alte</w:t>
            </w:r>
            <w:r w:rsidR="00936847" w:rsidRPr="009C5F11">
              <w:rPr>
                <w:rFonts w:ascii="Times New Roman" w:hAnsi="Times New Roman" w:cs="Times New Roman"/>
                <w:sz w:val="18"/>
                <w:szCs w:val="14"/>
                <w:lang w:val="ro-RO" w:eastAsia="de-DE"/>
              </w:rPr>
              <w:t xml:space="preserve"> program</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w:t>
            </w:r>
            <w:r w:rsidR="007F6775" w:rsidRPr="009C5F11">
              <w:rPr>
                <w:rFonts w:ascii="Times New Roman" w:hAnsi="Times New Roman" w:cs="Times New Roman"/>
                <w:sz w:val="18"/>
                <w:szCs w:val="14"/>
                <w:lang w:val="ro-RO" w:eastAsia="de-DE"/>
              </w:rPr>
              <w:t>iniţiative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regionale </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pe baza rapoartelor acestora</w:t>
            </w:r>
            <w:r w:rsidR="00936847" w:rsidRPr="009C5F11">
              <w:rPr>
                <w:rFonts w:ascii="Times New Roman" w:hAnsi="Times New Roman" w:cs="Times New Roman"/>
                <w:sz w:val="18"/>
                <w:szCs w:val="14"/>
                <w:lang w:val="ro-RO" w:eastAsia="de-DE"/>
              </w:rPr>
              <w:t xml:space="preserve">): 0,77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w:t>
            </w:r>
          </w:p>
          <w:p w14:paraId="57DBE157" w14:textId="77777777" w:rsidR="00936847" w:rsidRPr="009C5F11" w:rsidRDefault="00E46DD7" w:rsidP="00430626">
            <w:pPr>
              <w:tabs>
                <w:tab w:val="left" w:pos="1440"/>
                <w:tab w:val="left" w:pos="5040"/>
                <w:tab w:val="right" w:pos="8504"/>
              </w:tabs>
              <w:spacing w:before="40"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Economii de energie</w:t>
            </w:r>
            <w:r w:rsidR="00321CD5" w:rsidRPr="009C5F11">
              <w:rPr>
                <w:rFonts w:ascii="Times New Roman" w:hAnsi="Times New Roman" w:cs="Times New Roman"/>
                <w:sz w:val="18"/>
                <w:szCs w:val="14"/>
                <w:u w:val="single"/>
                <w:lang w:val="ro-RO" w:eastAsia="de-DE"/>
              </w:rPr>
              <w:t xml:space="preserve"> în </w:t>
            </w:r>
            <w:r w:rsidR="00936847" w:rsidRPr="009C5F11">
              <w:rPr>
                <w:rFonts w:ascii="Times New Roman" w:hAnsi="Times New Roman" w:cs="Times New Roman"/>
                <w:sz w:val="18"/>
                <w:szCs w:val="14"/>
                <w:u w:val="single"/>
                <w:lang w:val="ro-RO" w:eastAsia="de-DE"/>
              </w:rPr>
              <w:t>2020</w:t>
            </w:r>
          </w:p>
          <w:p w14:paraId="2960BA39" w14:textId="77777777" w:rsidR="00936847" w:rsidRPr="009C5F11" w:rsidRDefault="00E46DD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BU</w:t>
            </w:r>
            <w:r w:rsidR="00936847" w:rsidRPr="009C5F11">
              <w:rPr>
                <w:rFonts w:ascii="Times New Roman" w:hAnsi="Times New Roman" w:cs="Times New Roman"/>
                <w:sz w:val="18"/>
                <w:szCs w:val="14"/>
                <w:lang w:val="ro-RO" w:eastAsia="de-DE"/>
              </w:rPr>
              <w:t xml:space="preserve"> 47.09 </w:t>
            </w:r>
            <w:r w:rsidR="00E52940" w:rsidRPr="009C5F11">
              <w:rPr>
                <w:rFonts w:ascii="Times New Roman" w:hAnsi="Times New Roman" w:cs="Times New Roman"/>
                <w:sz w:val="18"/>
                <w:szCs w:val="14"/>
                <w:lang w:val="ro-RO" w:eastAsia="de-DE"/>
              </w:rPr>
              <w:t>ktep</w:t>
            </w:r>
          </w:p>
          <w:p w14:paraId="7ED4DA98" w14:textId="77777777" w:rsidR="00936847" w:rsidRPr="009C5F11" w:rsidRDefault="00936847" w:rsidP="00334F3B">
            <w:pPr>
              <w:numPr>
                <w:ilvl w:val="0"/>
                <w:numId w:val="83"/>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2016: 17.66 </w:t>
            </w:r>
            <w:r w:rsidR="00E52940" w:rsidRPr="009C5F11">
              <w:rPr>
                <w:rFonts w:ascii="Times New Roman" w:hAnsi="Times New Roman" w:cs="Times New Roman"/>
                <w:sz w:val="18"/>
                <w:szCs w:val="14"/>
                <w:lang w:val="ro-RO" w:eastAsia="de-DE"/>
              </w:rPr>
              <w:t>ktep</w:t>
            </w:r>
          </w:p>
          <w:p w14:paraId="46D2FAC5" w14:textId="77777777" w:rsidR="00936847" w:rsidRPr="009C5F11" w:rsidRDefault="006F2A15" w:rsidP="00334F3B">
            <w:pPr>
              <w:numPr>
                <w:ilvl w:val="0"/>
                <w:numId w:val="83"/>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Previziuni</w:t>
            </w:r>
            <w:r w:rsidR="00936847" w:rsidRPr="009C5F11">
              <w:rPr>
                <w:rFonts w:ascii="Times New Roman" w:hAnsi="Times New Roman" w:cs="Times New Roman"/>
                <w:sz w:val="18"/>
                <w:szCs w:val="14"/>
                <w:lang w:val="ro-RO" w:eastAsia="de-DE"/>
              </w:rPr>
              <w:t xml:space="preserve"> 2016-2019: 29.43 </w:t>
            </w:r>
            <w:r w:rsidR="00E52940" w:rsidRPr="009C5F11">
              <w:rPr>
                <w:rFonts w:ascii="Times New Roman" w:hAnsi="Times New Roman" w:cs="Times New Roman"/>
                <w:sz w:val="18"/>
                <w:szCs w:val="14"/>
                <w:lang w:val="ro-RO" w:eastAsia="de-DE"/>
              </w:rPr>
              <w:t>ktep</w:t>
            </w:r>
          </w:p>
          <w:p w14:paraId="26EB33A8" w14:textId="77777777" w:rsidR="00936847" w:rsidRPr="009C5F11" w:rsidRDefault="00AA0566" w:rsidP="00334F3B">
            <w:pPr>
              <w:numPr>
                <w:ilvl w:val="0"/>
                <w:numId w:val="112"/>
              </w:numPr>
              <w:tabs>
                <w:tab w:val="left" w:pos="972"/>
                <w:tab w:val="left" w:pos="5040"/>
                <w:tab w:val="right" w:pos="8504"/>
              </w:tabs>
              <w:spacing w:after="0" w:line="240" w:lineRule="auto"/>
              <w:ind w:hanging="18"/>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FEE</w:t>
            </w:r>
            <w:r w:rsidR="00936847" w:rsidRPr="009C5F11">
              <w:rPr>
                <w:rFonts w:ascii="Times New Roman" w:hAnsi="Times New Roman" w:cs="Times New Roman"/>
                <w:sz w:val="18"/>
                <w:szCs w:val="14"/>
                <w:lang w:val="ro-RO" w:eastAsia="de-DE"/>
              </w:rPr>
              <w:t xml:space="preserve">: 10.21 </w:t>
            </w:r>
            <w:r w:rsidR="00E52940" w:rsidRPr="009C5F11">
              <w:rPr>
                <w:rFonts w:ascii="Times New Roman" w:hAnsi="Times New Roman" w:cs="Times New Roman"/>
                <w:sz w:val="18"/>
                <w:szCs w:val="14"/>
                <w:lang w:val="ro-RO" w:eastAsia="de-DE"/>
              </w:rPr>
              <w:t>ktep</w:t>
            </w:r>
            <w:r w:rsidR="006F2A15"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28297093" w14:textId="77777777" w:rsidR="00936847" w:rsidRPr="009C5F11" w:rsidRDefault="00F53252" w:rsidP="00334F3B">
            <w:pPr>
              <w:numPr>
                <w:ilvl w:val="0"/>
                <w:numId w:val="112"/>
              </w:numPr>
              <w:tabs>
                <w:tab w:val="left" w:pos="972"/>
                <w:tab w:val="left" w:pos="5040"/>
                <w:tab w:val="right" w:pos="8504"/>
              </w:tabs>
              <w:spacing w:after="0" w:line="240" w:lineRule="auto"/>
              <w:ind w:hanging="18"/>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FISM</w:t>
            </w:r>
            <w:r w:rsidR="00936847" w:rsidRPr="009C5F11">
              <w:rPr>
                <w:rFonts w:ascii="Times New Roman" w:hAnsi="Times New Roman" w:cs="Times New Roman"/>
                <w:sz w:val="18"/>
                <w:szCs w:val="14"/>
                <w:lang w:val="ro-RO" w:eastAsia="de-DE"/>
              </w:rPr>
              <w:t xml:space="preserve">: 8.63 </w:t>
            </w:r>
            <w:r w:rsidR="00E52940" w:rsidRPr="009C5F11">
              <w:rPr>
                <w:rFonts w:ascii="Times New Roman" w:hAnsi="Times New Roman" w:cs="Times New Roman"/>
                <w:sz w:val="18"/>
                <w:szCs w:val="14"/>
                <w:lang w:val="ro-RO" w:eastAsia="de-DE"/>
              </w:rPr>
              <w:t>ktep</w:t>
            </w:r>
            <w:r w:rsidR="006F2A15"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58D08840" w14:textId="77777777" w:rsidR="00936847" w:rsidRPr="009C5F11" w:rsidRDefault="00936847" w:rsidP="00334F3B">
            <w:pPr>
              <w:numPr>
                <w:ilvl w:val="0"/>
                <w:numId w:val="112"/>
              </w:numPr>
              <w:tabs>
                <w:tab w:val="left" w:pos="972"/>
                <w:tab w:val="left" w:pos="5040"/>
                <w:tab w:val="right" w:pos="8504"/>
              </w:tabs>
              <w:spacing w:after="0" w:line="240" w:lineRule="auto"/>
              <w:ind w:hanging="18"/>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E5P: 8 </w:t>
            </w:r>
            <w:r w:rsidR="00E52940" w:rsidRPr="009C5F11">
              <w:rPr>
                <w:rFonts w:ascii="Times New Roman" w:hAnsi="Times New Roman" w:cs="Times New Roman"/>
                <w:sz w:val="18"/>
                <w:szCs w:val="14"/>
                <w:lang w:val="ro-RO" w:eastAsia="de-DE"/>
              </w:rPr>
              <w:t>ktep</w:t>
            </w:r>
            <w:r w:rsidR="006F2A15"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w:t>
            </w:r>
          </w:p>
          <w:p w14:paraId="5307D8B7" w14:textId="77777777" w:rsidR="00936847" w:rsidRPr="009C5F11" w:rsidRDefault="006F2A15" w:rsidP="00334F3B">
            <w:pPr>
              <w:numPr>
                <w:ilvl w:val="0"/>
                <w:numId w:val="112"/>
              </w:numPr>
              <w:tabs>
                <w:tab w:val="left" w:pos="972"/>
                <w:tab w:val="left" w:pos="5040"/>
                <w:tab w:val="right" w:pos="8504"/>
              </w:tabs>
              <w:spacing w:after="0" w:line="240" w:lineRule="auto"/>
              <w:ind w:hanging="18"/>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PEBM</w:t>
            </w:r>
            <w:r w:rsidR="00936847" w:rsidRPr="009C5F11">
              <w:rPr>
                <w:rFonts w:ascii="Times New Roman" w:hAnsi="Times New Roman" w:cs="Times New Roman"/>
                <w:sz w:val="18"/>
                <w:szCs w:val="14"/>
                <w:lang w:val="ro-RO" w:eastAsia="de-DE"/>
              </w:rPr>
              <w:t xml:space="preserve"> (2017-2018): 2.43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w:t>
            </w:r>
          </w:p>
        </w:tc>
      </w:tr>
      <w:tr w:rsidR="00936847" w:rsidRPr="009C5F11" w14:paraId="5D852AB8" w14:textId="77777777" w:rsidTr="00BF6432">
        <w:trPr>
          <w:trHeight w:val="80"/>
        </w:trPr>
        <w:tc>
          <w:tcPr>
            <w:tcW w:w="743" w:type="pct"/>
            <w:vMerge/>
          </w:tcPr>
          <w:p w14:paraId="160CE97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865E00A"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475096A1" w14:textId="77777777" w:rsidR="00936847" w:rsidRPr="009C5F11" w:rsidRDefault="00936847" w:rsidP="00430626">
            <w:pPr>
              <w:tabs>
                <w:tab w:val="left" w:pos="1440"/>
                <w:tab w:val="left" w:pos="5040"/>
              </w:tabs>
              <w:spacing w:after="0" w:line="240" w:lineRule="auto"/>
              <w:rPr>
                <w:rFonts w:ascii="Times New Roman" w:hAnsi="Times New Roman" w:cs="Times New Roman"/>
                <w:sz w:val="18"/>
                <w:szCs w:val="14"/>
                <w:lang w:val="ro-RO"/>
              </w:rPr>
            </w:pPr>
          </w:p>
          <w:p w14:paraId="79AF84C3" w14:textId="77777777" w:rsidR="00936847" w:rsidRPr="009C5F11" w:rsidRDefault="00936847" w:rsidP="00430626">
            <w:pPr>
              <w:tabs>
                <w:tab w:val="left" w:pos="1440"/>
                <w:tab w:val="left" w:pos="5040"/>
              </w:tabs>
              <w:spacing w:after="0" w:line="240" w:lineRule="auto"/>
              <w:rPr>
                <w:rFonts w:ascii="Times New Roman" w:hAnsi="Times New Roman" w:cs="Times New Roman"/>
                <w:sz w:val="18"/>
                <w:szCs w:val="14"/>
                <w:lang w:val="ro-RO"/>
              </w:rPr>
            </w:pPr>
          </w:p>
        </w:tc>
      </w:tr>
    </w:tbl>
    <w:p w14:paraId="58C4B4AD" w14:textId="77777777" w:rsidR="00936847" w:rsidRPr="009C5F11" w:rsidRDefault="00936847" w:rsidP="00936847">
      <w:pPr>
        <w:keepNext/>
        <w:spacing w:after="0"/>
        <w:ind w:right="-540"/>
        <w:rPr>
          <w:rFonts w:ascii="Times New Roman" w:hAnsi="Times New Roman" w:cs="Times New Roman"/>
          <w:b/>
          <w:bCs/>
          <w:sz w:val="24"/>
          <w:lang w:val="ro-RO"/>
        </w:rPr>
      </w:pPr>
      <w:r w:rsidRPr="009C5F11">
        <w:rPr>
          <w:rFonts w:ascii="Times New Roman" w:hAnsi="Times New Roman" w:cs="Times New Roman"/>
          <w:b/>
          <w:bCs/>
          <w:sz w:val="24"/>
          <w:lang w:val="ro-RO"/>
        </w:rPr>
        <w:br w:type="page"/>
      </w:r>
      <w:r w:rsidR="00CC32E1" w:rsidRPr="009C5F11">
        <w:rPr>
          <w:rFonts w:ascii="Times New Roman" w:hAnsi="Times New Roman" w:cs="Times New Roman"/>
          <w:b/>
          <w:bCs/>
          <w:sz w:val="24"/>
          <w:lang w:val="ro-RO"/>
        </w:rPr>
        <w:lastRenderedPageBreak/>
        <w:t xml:space="preserve"> </w:t>
      </w:r>
    </w:p>
    <w:p w14:paraId="0D5436E7" w14:textId="77777777" w:rsidR="00CC32E1" w:rsidRPr="009C5F11" w:rsidRDefault="00321CD5" w:rsidP="00CC32E1">
      <w:pPr>
        <w:pStyle w:val="Legend"/>
        <w:keepNext/>
        <w:jc w:val="center"/>
        <w:rPr>
          <w:rFonts w:ascii="Times New Roman" w:hAnsi="Times New Roman" w:cs="Times New Roman"/>
          <w:b/>
          <w:sz w:val="22"/>
          <w:lang w:val="ro-RO"/>
        </w:rPr>
      </w:pPr>
      <w:bookmarkStart w:id="199" w:name="_Toc447724175"/>
      <w:r w:rsidRPr="009C5F11">
        <w:rPr>
          <w:rFonts w:ascii="Times New Roman" w:hAnsi="Times New Roman" w:cs="Times New Roman"/>
          <w:b/>
          <w:sz w:val="22"/>
          <w:lang w:val="ro-RO"/>
        </w:rPr>
        <w:t>Tabelul</w:t>
      </w:r>
      <w:r w:rsidR="00CC32E1" w:rsidRPr="009C5F11">
        <w:rPr>
          <w:rFonts w:ascii="Times New Roman" w:hAnsi="Times New Roman" w:cs="Times New Roman"/>
          <w:b/>
          <w:sz w:val="22"/>
          <w:lang w:val="ro-RO"/>
        </w:rPr>
        <w:t xml:space="preserve"> P </w:t>
      </w:r>
      <w:r w:rsidR="003A6ADB" w:rsidRPr="009C5F11">
        <w:rPr>
          <w:rFonts w:ascii="Times New Roman" w:hAnsi="Times New Roman" w:cs="Times New Roman"/>
          <w:b/>
          <w:sz w:val="22"/>
          <w:lang w:val="ro-RO"/>
        </w:rPr>
        <w:fldChar w:fldCharType="begin"/>
      </w:r>
      <w:r w:rsidR="00CC32E1" w:rsidRPr="009C5F11">
        <w:rPr>
          <w:rFonts w:ascii="Times New Roman" w:hAnsi="Times New Roman" w:cs="Times New Roman"/>
          <w:b/>
          <w:sz w:val="22"/>
          <w:lang w:val="ro-RO"/>
        </w:rPr>
        <w:instrText xml:space="preserve"> SEQ Table_P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2</w:t>
      </w:r>
      <w:r w:rsidR="003A6ADB" w:rsidRPr="009C5F11">
        <w:rPr>
          <w:rFonts w:ascii="Times New Roman" w:hAnsi="Times New Roman" w:cs="Times New Roman"/>
          <w:b/>
          <w:sz w:val="22"/>
          <w:lang w:val="ro-RO"/>
        </w:rPr>
        <w:fldChar w:fldCharType="end"/>
      </w:r>
      <w:r w:rsidR="00CC32E1" w:rsidRPr="009C5F11">
        <w:rPr>
          <w:rFonts w:ascii="Times New Roman" w:hAnsi="Times New Roman" w:cs="Times New Roman"/>
          <w:b/>
          <w:sz w:val="22"/>
          <w:lang w:val="ro-RO"/>
        </w:rPr>
        <w:t xml:space="preserve"> - </w:t>
      </w:r>
      <w:r w:rsidR="00BD0963" w:rsidRPr="009C5F11">
        <w:rPr>
          <w:rFonts w:ascii="Times New Roman" w:hAnsi="Times New Roman" w:cs="Times New Roman"/>
          <w:b/>
          <w:sz w:val="22"/>
          <w:lang w:val="ro-RO"/>
        </w:rPr>
        <w:t>Eficientizarea energetică a iluminatului</w:t>
      </w:r>
      <w:r w:rsidR="004E138F" w:rsidRPr="009C5F11">
        <w:rPr>
          <w:rFonts w:ascii="Times New Roman" w:hAnsi="Times New Roman" w:cs="Times New Roman"/>
          <w:b/>
          <w:sz w:val="22"/>
          <w:lang w:val="ro-RO"/>
        </w:rPr>
        <w:t xml:space="preserve"> public stradal</w:t>
      </w:r>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936847" w:rsidRPr="009C5F11" w14:paraId="62D2A216" w14:textId="77777777" w:rsidTr="00BF6432">
        <w:trPr>
          <w:trHeight w:val="134"/>
        </w:trPr>
        <w:tc>
          <w:tcPr>
            <w:tcW w:w="1756" w:type="pct"/>
            <w:gridSpan w:val="2"/>
          </w:tcPr>
          <w:p w14:paraId="72CAFE87" w14:textId="77777777" w:rsidR="00936847" w:rsidRPr="009C5F11" w:rsidRDefault="0094635F"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70936D3D" w14:textId="77777777" w:rsidR="00936847" w:rsidRPr="009C5F11" w:rsidRDefault="00BD0963" w:rsidP="006F2A15">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Eficientizarea energetică a iluminatului</w:t>
            </w:r>
            <w:r w:rsidR="004E138F" w:rsidRPr="009C5F11">
              <w:rPr>
                <w:rFonts w:ascii="Times New Roman" w:hAnsi="Times New Roman" w:cs="Times New Roman"/>
                <w:b/>
                <w:sz w:val="18"/>
                <w:szCs w:val="14"/>
                <w:lang w:val="ro-RO" w:eastAsia="de-DE"/>
              </w:rPr>
              <w:t xml:space="preserve"> public stradal</w:t>
            </w:r>
          </w:p>
        </w:tc>
      </w:tr>
      <w:tr w:rsidR="00936847" w:rsidRPr="009C5F11" w14:paraId="15A6F681" w14:textId="77777777" w:rsidTr="00BF6432">
        <w:trPr>
          <w:trHeight w:val="107"/>
        </w:trPr>
        <w:tc>
          <w:tcPr>
            <w:tcW w:w="1756" w:type="pct"/>
            <w:gridSpan w:val="2"/>
          </w:tcPr>
          <w:p w14:paraId="45A1199B" w14:textId="77777777" w:rsidR="00936847" w:rsidRPr="009C5F11" w:rsidRDefault="00E46DD7"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50603390" w14:textId="77777777" w:rsidR="00936847" w:rsidRPr="009C5F11" w:rsidRDefault="00936847" w:rsidP="00430626">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P2</w:t>
            </w:r>
          </w:p>
        </w:tc>
      </w:tr>
      <w:tr w:rsidR="00936847" w:rsidRPr="009C5F11" w14:paraId="23A8426E" w14:textId="77777777" w:rsidTr="00BF6432">
        <w:trPr>
          <w:trHeight w:val="107"/>
        </w:trPr>
        <w:tc>
          <w:tcPr>
            <w:tcW w:w="743" w:type="pct"/>
            <w:vMerge w:val="restart"/>
          </w:tcPr>
          <w:p w14:paraId="414B688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04F54588"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5079210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51F4492E" w14:textId="77777777" w:rsidR="00936847" w:rsidRPr="009C5F11" w:rsidRDefault="00E46DD7"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w:t>
            </w:r>
            <w:r w:rsidR="00E10BE5" w:rsidRPr="009C5F11">
              <w:rPr>
                <w:rFonts w:ascii="Times New Roman" w:hAnsi="Times New Roman" w:cs="Times New Roman"/>
                <w:sz w:val="18"/>
                <w:szCs w:val="14"/>
                <w:lang w:val="ro-RO" w:eastAsia="de-DE"/>
              </w:rPr>
              <w:t>roiecte</w:t>
            </w:r>
            <w:r w:rsidRPr="009C5F11">
              <w:rPr>
                <w:rFonts w:ascii="Times New Roman" w:hAnsi="Times New Roman" w:cs="Times New Roman"/>
                <w:sz w:val="18"/>
                <w:szCs w:val="14"/>
                <w:lang w:val="ro-RO" w:eastAsia="de-DE"/>
              </w:rPr>
              <w:t xml:space="preserve"> investiţionale</w:t>
            </w:r>
          </w:p>
        </w:tc>
      </w:tr>
      <w:tr w:rsidR="00936847" w:rsidRPr="009C5F11" w14:paraId="1C2DEEC7" w14:textId="77777777" w:rsidTr="00BF6432">
        <w:trPr>
          <w:trHeight w:val="476"/>
        </w:trPr>
        <w:tc>
          <w:tcPr>
            <w:tcW w:w="743" w:type="pct"/>
            <w:vMerge/>
          </w:tcPr>
          <w:p w14:paraId="09092BD7"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FE37B39"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14FB0251"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2013</w:t>
            </w:r>
            <w:r w:rsidR="00D8474E" w:rsidRPr="009C5F11">
              <w:rPr>
                <w:rFonts w:ascii="Times New Roman" w:hAnsi="Times New Roman" w:cs="Times New Roman"/>
                <w:b/>
                <w:sz w:val="18"/>
                <w:szCs w:val="14"/>
                <w:lang w:val="ro-RO" w:eastAsia="de-DE"/>
              </w:rPr>
              <w:t>.</w:t>
            </w:r>
            <w:r w:rsidR="00936847" w:rsidRPr="009C5F11">
              <w:rPr>
                <w:rFonts w:ascii="Times New Roman" w:hAnsi="Times New Roman" w:cs="Times New Roman"/>
                <w:b/>
                <w:sz w:val="18"/>
                <w:szCs w:val="14"/>
                <w:lang w:val="ro-RO" w:eastAsia="de-DE"/>
              </w:rPr>
              <w:t xml:space="preserve"> </w:t>
            </w:r>
          </w:p>
          <w:p w14:paraId="7C949146"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2018</w:t>
            </w:r>
            <w:r w:rsidR="00D8474E" w:rsidRPr="009C5F11">
              <w:rPr>
                <w:rFonts w:ascii="Times New Roman" w:hAnsi="Times New Roman" w:cs="Times New Roman"/>
                <w:b/>
                <w:sz w:val="18"/>
                <w:szCs w:val="14"/>
                <w:lang w:val="ro-RO" w:eastAsia="de-DE"/>
              </w:rPr>
              <w:t>.</w:t>
            </w:r>
          </w:p>
          <w:p w14:paraId="6A961EF1" w14:textId="77777777" w:rsidR="00936847" w:rsidRPr="009C5F11" w:rsidRDefault="00A861EB" w:rsidP="006F2A15">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preluată din PNAEE 2013-2015 şi continuată</w:t>
            </w:r>
            <w:r w:rsidR="00936847" w:rsidRPr="009C5F11">
              <w:rPr>
                <w:rFonts w:ascii="Times New Roman" w:hAnsi="Times New Roman" w:cs="Times New Roman"/>
                <w:sz w:val="18"/>
                <w:szCs w:val="14"/>
                <w:lang w:val="ro-RO" w:eastAsia="de-DE"/>
              </w:rPr>
              <w:t xml:space="preserve"> </w:t>
            </w:r>
            <w:r w:rsidR="000B4699" w:rsidRPr="009C5F11">
              <w:rPr>
                <w:rFonts w:ascii="Times New Roman" w:hAnsi="Times New Roman" w:cs="Times New Roman"/>
                <w:sz w:val="18"/>
                <w:szCs w:val="14"/>
                <w:lang w:val="ro-RO" w:eastAsia="de-DE"/>
              </w:rPr>
              <w:t>în perioada</w:t>
            </w:r>
            <w:r w:rsidR="00936847"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2016 </w:t>
            </w:r>
            <w:r w:rsidR="00D8474E"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2018</w:t>
            </w:r>
            <w:r w:rsidR="00D8474E" w:rsidRPr="009C5F11">
              <w:rPr>
                <w:rFonts w:ascii="Times New Roman" w:hAnsi="Times New Roman" w:cs="Times New Roman"/>
                <w:sz w:val="18"/>
                <w:szCs w:val="14"/>
                <w:lang w:val="ro-RO" w:eastAsia="de-DE"/>
              </w:rPr>
              <w:t>.</w:t>
            </w:r>
          </w:p>
        </w:tc>
      </w:tr>
      <w:tr w:rsidR="00936847" w:rsidRPr="009C5F11" w14:paraId="561C76F2" w14:textId="77777777" w:rsidTr="00BF6432">
        <w:trPr>
          <w:trHeight w:val="107"/>
        </w:trPr>
        <w:tc>
          <w:tcPr>
            <w:tcW w:w="743" w:type="pct"/>
            <w:vMerge/>
          </w:tcPr>
          <w:p w14:paraId="292DF900"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3B62B0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5E9D5D98" w14:textId="77777777" w:rsidR="00936847" w:rsidRPr="009C5F11" w:rsidRDefault="00A07A79" w:rsidP="00A07A79">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Optimizarea consumului de energie electrică</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localităţile</w:t>
            </w:r>
            <w:r w:rsidR="00936847" w:rsidRPr="009C5F11">
              <w:rPr>
                <w:rFonts w:ascii="Times New Roman" w:hAnsi="Times New Roman" w:cs="Times New Roman"/>
                <w:sz w:val="18"/>
                <w:szCs w:val="14"/>
                <w:lang w:val="ro-RO" w:eastAsia="de-DE"/>
              </w:rPr>
              <w:t xml:space="preserve"> </w:t>
            </w:r>
            <w:r w:rsidR="00A56101" w:rsidRPr="009C5F11">
              <w:rPr>
                <w:rFonts w:ascii="Times New Roman" w:hAnsi="Times New Roman" w:cs="Times New Roman"/>
                <w:sz w:val="18"/>
                <w:szCs w:val="14"/>
                <w:lang w:val="ro-RO" w:eastAsia="de-DE"/>
              </w:rPr>
              <w:t>Republicii Moldova</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prin</w:t>
            </w:r>
            <w:r w:rsidR="00936847" w:rsidRPr="009C5F11">
              <w:rPr>
                <w:rFonts w:ascii="Times New Roman" w:hAnsi="Times New Roman" w:cs="Times New Roman"/>
                <w:sz w:val="18"/>
                <w:szCs w:val="14"/>
                <w:lang w:val="ro-RO" w:eastAsia="de-DE"/>
              </w:rPr>
              <w:t xml:space="preserve"> </w:t>
            </w:r>
            <w:r w:rsidR="00532A33" w:rsidRPr="009C5F11">
              <w:rPr>
                <w:rFonts w:ascii="Times New Roman" w:hAnsi="Times New Roman" w:cs="Times New Roman"/>
                <w:sz w:val="18"/>
                <w:szCs w:val="14"/>
                <w:lang w:val="ro-RO" w:eastAsia="de-DE"/>
              </w:rPr>
              <w:t>implementarea</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unor sisteme eficiente de ilumina</w:t>
            </w:r>
            <w:r w:rsidRPr="009C5F11">
              <w:rPr>
                <w:rFonts w:ascii="Times New Roman" w:hAnsi="Times New Roman" w:cs="Times New Roman"/>
                <w:sz w:val="18"/>
                <w:szCs w:val="14"/>
                <w:lang w:val="ro-RO" w:eastAsia="de-DE"/>
              </w:rPr>
              <w:t>t</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în cazul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reconstrucţiei</w:t>
            </w:r>
            <w:r w:rsidR="00321CD5" w:rsidRPr="009C5F11">
              <w:rPr>
                <w:rFonts w:ascii="Times New Roman" w:hAnsi="Times New Roman" w:cs="Times New Roman"/>
                <w:sz w:val="18"/>
                <w:szCs w:val="14"/>
                <w:lang w:val="ro-RO" w:eastAsia="de-DE"/>
              </w:rPr>
              <w:t xml:space="preserve"> sau </w:t>
            </w:r>
            <w:r w:rsidRPr="009C5F11">
              <w:rPr>
                <w:rFonts w:ascii="Times New Roman" w:hAnsi="Times New Roman" w:cs="Times New Roman"/>
                <w:sz w:val="18"/>
                <w:szCs w:val="14"/>
                <w:lang w:val="ro-RO" w:eastAsia="de-DE"/>
              </w:rPr>
              <w:t>modernizării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sistemului public de iluminare</w:t>
            </w:r>
            <w:r w:rsidR="00936847" w:rsidRPr="009C5F11">
              <w:rPr>
                <w:rFonts w:ascii="Times New Roman" w:hAnsi="Times New Roman" w:cs="Times New Roman"/>
                <w:sz w:val="18"/>
                <w:szCs w:val="14"/>
                <w:lang w:val="ro-RO" w:eastAsia="de-DE"/>
              </w:rPr>
              <w:t>.</w:t>
            </w:r>
          </w:p>
        </w:tc>
      </w:tr>
      <w:tr w:rsidR="00936847" w:rsidRPr="009C5F11" w14:paraId="01A3A16A" w14:textId="77777777" w:rsidTr="00BF6432">
        <w:trPr>
          <w:trHeight w:val="107"/>
        </w:trPr>
        <w:tc>
          <w:tcPr>
            <w:tcW w:w="743" w:type="pct"/>
            <w:vMerge/>
          </w:tcPr>
          <w:p w14:paraId="1D0BFCE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FF10AD8"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0D39E8C6" w14:textId="77777777" w:rsidR="00936847" w:rsidRPr="009C5F11" w:rsidRDefault="005D06FD"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Iluminatul public stradal</w:t>
            </w:r>
          </w:p>
        </w:tc>
      </w:tr>
      <w:tr w:rsidR="00936847" w:rsidRPr="009C5F11" w14:paraId="1FC5110B" w14:textId="77777777" w:rsidTr="00BF6432">
        <w:trPr>
          <w:trHeight w:val="61"/>
        </w:trPr>
        <w:tc>
          <w:tcPr>
            <w:tcW w:w="743" w:type="pct"/>
            <w:vMerge/>
          </w:tcPr>
          <w:p w14:paraId="7D741CC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A81AE47"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0C07BC07" w14:textId="77777777" w:rsidR="00936847" w:rsidRPr="009C5F11" w:rsidRDefault="0087273F"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Autoritățile</w:t>
            </w:r>
            <w:r w:rsidR="00E46DD7" w:rsidRPr="009C5F11">
              <w:rPr>
                <w:rFonts w:ascii="Times New Roman" w:hAnsi="Times New Roman" w:cs="Times New Roman"/>
                <w:sz w:val="18"/>
                <w:szCs w:val="14"/>
                <w:lang w:val="ro-RO" w:eastAsia="de-DE"/>
              </w:rPr>
              <w:t xml:space="preserve"> publice locale</w:t>
            </w:r>
          </w:p>
        </w:tc>
      </w:tr>
      <w:tr w:rsidR="00936847" w:rsidRPr="009C5F11" w14:paraId="0F417F81" w14:textId="77777777" w:rsidTr="00BF6432">
        <w:trPr>
          <w:trHeight w:val="98"/>
        </w:trPr>
        <w:tc>
          <w:tcPr>
            <w:tcW w:w="743" w:type="pct"/>
            <w:vMerge/>
          </w:tcPr>
          <w:p w14:paraId="662B84D2"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E93647A"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67825D48" w14:textId="77777777" w:rsidR="00936847" w:rsidRPr="009C5F11" w:rsidRDefault="00761676" w:rsidP="006F2A15">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r w:rsidR="00321CD5" w:rsidRPr="009C5F11">
              <w:rPr>
                <w:rFonts w:ascii="Times New Roman" w:hAnsi="Times New Roman" w:cs="Times New Roman"/>
                <w:sz w:val="18"/>
                <w:szCs w:val="14"/>
                <w:lang w:val="ro-RO" w:eastAsia="de-DE"/>
              </w:rPr>
              <w:t xml:space="preserve"> în </w:t>
            </w:r>
            <w:r w:rsidR="006F2A15" w:rsidRPr="009C5F11">
              <w:rPr>
                <w:rFonts w:ascii="Times New Roman" w:hAnsi="Times New Roman" w:cs="Times New Roman"/>
                <w:sz w:val="18"/>
                <w:szCs w:val="14"/>
                <w:lang w:val="ro-RO" w:eastAsia="de-DE"/>
              </w:rPr>
              <w:t>municipii</w:t>
            </w:r>
          </w:p>
        </w:tc>
      </w:tr>
      <w:tr w:rsidR="00936847" w:rsidRPr="009C5F11" w14:paraId="480F3E9D" w14:textId="77777777" w:rsidTr="00BF6432">
        <w:trPr>
          <w:trHeight w:val="476"/>
        </w:trPr>
        <w:tc>
          <w:tcPr>
            <w:tcW w:w="743" w:type="pct"/>
            <w:vMerge w:val="restart"/>
          </w:tcPr>
          <w:p w14:paraId="5EC5445D"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50DC8F1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244" w:type="pct"/>
          </w:tcPr>
          <w:p w14:paraId="3869F6AA" w14:textId="77777777" w:rsidR="00936847" w:rsidRPr="009C5F11" w:rsidRDefault="006F2A15" w:rsidP="00430626">
            <w:pPr>
              <w:tabs>
                <w:tab w:val="left" w:pos="1276"/>
              </w:tabs>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Măsura</w:t>
            </w:r>
            <w:r w:rsidR="00936847" w:rsidRPr="009C5F11">
              <w:rPr>
                <w:rFonts w:ascii="Times New Roman" w:hAnsi="Times New Roman" w:cs="Times New Roman"/>
                <w:color w:val="000000"/>
                <w:sz w:val="18"/>
                <w:szCs w:val="14"/>
                <w:lang w:val="ro-RO"/>
              </w:rPr>
              <w:t xml:space="preserve"> </w:t>
            </w:r>
            <w:r w:rsidR="00A07A79" w:rsidRPr="009C5F11">
              <w:rPr>
                <w:rFonts w:ascii="Times New Roman" w:hAnsi="Times New Roman" w:cs="Times New Roman"/>
                <w:color w:val="000000"/>
                <w:sz w:val="18"/>
                <w:szCs w:val="14"/>
                <w:lang w:val="ro-RO"/>
              </w:rPr>
              <w:t>prevede realizarea</w:t>
            </w:r>
            <w:r w:rsidR="00936847" w:rsidRPr="009C5F11">
              <w:rPr>
                <w:rFonts w:ascii="Times New Roman" w:hAnsi="Times New Roman" w:cs="Times New Roman"/>
                <w:color w:val="000000"/>
                <w:sz w:val="18"/>
                <w:szCs w:val="14"/>
                <w:lang w:val="ro-RO"/>
              </w:rPr>
              <w:t xml:space="preserve"> </w:t>
            </w:r>
            <w:r w:rsidR="00E54D88" w:rsidRPr="009C5F11">
              <w:rPr>
                <w:rFonts w:ascii="Times New Roman" w:hAnsi="Times New Roman" w:cs="Times New Roman"/>
                <w:color w:val="000000"/>
                <w:sz w:val="18"/>
                <w:szCs w:val="14"/>
                <w:lang w:val="ro-RO"/>
              </w:rPr>
              <w:t>următoarel</w:t>
            </w:r>
            <w:r w:rsidR="00A07A79" w:rsidRPr="009C5F11">
              <w:rPr>
                <w:rFonts w:ascii="Times New Roman" w:hAnsi="Times New Roman" w:cs="Times New Roman"/>
                <w:color w:val="000000"/>
                <w:sz w:val="18"/>
                <w:szCs w:val="14"/>
                <w:lang w:val="ro-RO"/>
              </w:rPr>
              <w:t>or</w:t>
            </w:r>
            <w:r w:rsidR="00936847" w:rsidRPr="009C5F11">
              <w:rPr>
                <w:rFonts w:ascii="Times New Roman" w:hAnsi="Times New Roman" w:cs="Times New Roman"/>
                <w:color w:val="000000"/>
                <w:sz w:val="18"/>
                <w:szCs w:val="14"/>
                <w:lang w:val="ro-RO"/>
              </w:rPr>
              <w:t xml:space="preserve"> </w:t>
            </w:r>
            <w:r w:rsidR="008F7BD5" w:rsidRPr="009C5F11">
              <w:rPr>
                <w:rFonts w:ascii="Times New Roman" w:hAnsi="Times New Roman" w:cs="Times New Roman"/>
                <w:color w:val="000000"/>
                <w:sz w:val="18"/>
                <w:szCs w:val="14"/>
                <w:lang w:val="ro-RO"/>
              </w:rPr>
              <w:t>acţiuni</w:t>
            </w:r>
            <w:r w:rsidR="00936847" w:rsidRPr="009C5F11">
              <w:rPr>
                <w:rFonts w:ascii="Times New Roman" w:hAnsi="Times New Roman" w:cs="Times New Roman"/>
                <w:color w:val="000000"/>
                <w:sz w:val="18"/>
                <w:szCs w:val="14"/>
                <w:lang w:val="ro-RO"/>
              </w:rPr>
              <w:t>:</w:t>
            </w:r>
          </w:p>
          <w:p w14:paraId="5428B006" w14:textId="77777777" w:rsidR="00936847" w:rsidRPr="009C5F11" w:rsidRDefault="00A07A79" w:rsidP="00334F3B">
            <w:pPr>
              <w:numPr>
                <w:ilvl w:val="0"/>
                <w:numId w:val="87"/>
              </w:numPr>
              <w:tabs>
                <w:tab w:val="left" w:pos="342"/>
                <w:tab w:val="left" w:pos="409"/>
                <w:tab w:val="left" w:pos="572"/>
              </w:tabs>
              <w:spacing w:after="0" w:line="240" w:lineRule="auto"/>
              <w:ind w:left="342" w:hanging="270"/>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elaborarea</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propunerilor</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în scopul restricţionării folosirii becurilor cu incandescenţă</w:t>
            </w:r>
            <w:r w:rsidR="00936847" w:rsidRPr="009C5F11">
              <w:rPr>
                <w:rFonts w:ascii="Times New Roman" w:hAnsi="Times New Roman" w:cs="Times New Roman"/>
                <w:color w:val="000000"/>
                <w:sz w:val="18"/>
                <w:szCs w:val="14"/>
                <w:lang w:val="ro-RO"/>
              </w:rPr>
              <w:t xml:space="preserve"> </w:t>
            </w:r>
            <w:r w:rsidR="00321CD5" w:rsidRPr="009C5F11">
              <w:rPr>
                <w:rFonts w:ascii="Times New Roman" w:hAnsi="Times New Roman" w:cs="Times New Roman"/>
                <w:color w:val="000000"/>
                <w:sz w:val="18"/>
                <w:szCs w:val="14"/>
                <w:lang w:val="ro-RO"/>
              </w:rPr>
              <w:t xml:space="preserve">în </w:t>
            </w:r>
            <w:r w:rsidR="002F0B3A" w:rsidRPr="009C5F11">
              <w:rPr>
                <w:rFonts w:ascii="Times New Roman" w:hAnsi="Times New Roman" w:cs="Times New Roman"/>
                <w:color w:val="000000"/>
                <w:sz w:val="18"/>
                <w:szCs w:val="14"/>
                <w:lang w:val="ro-RO"/>
              </w:rPr>
              <w:t>sectorul public</w:t>
            </w:r>
            <w:r w:rsidR="00936847" w:rsidRPr="009C5F11">
              <w:rPr>
                <w:rFonts w:ascii="Times New Roman" w:hAnsi="Times New Roman" w:cs="Times New Roman"/>
                <w:color w:val="000000"/>
                <w:sz w:val="18"/>
                <w:szCs w:val="14"/>
                <w:lang w:val="ro-RO"/>
              </w:rPr>
              <w:t>;</w:t>
            </w:r>
          </w:p>
          <w:p w14:paraId="37F5AEF8" w14:textId="77777777" w:rsidR="00936847" w:rsidRPr="009C5F11" w:rsidRDefault="00A07A79" w:rsidP="00334F3B">
            <w:pPr>
              <w:numPr>
                <w:ilvl w:val="0"/>
                <w:numId w:val="87"/>
              </w:numPr>
              <w:tabs>
                <w:tab w:val="left" w:pos="162"/>
                <w:tab w:val="left" w:pos="342"/>
                <w:tab w:val="left" w:pos="572"/>
              </w:tabs>
              <w:spacing w:after="0" w:line="240" w:lineRule="auto"/>
              <w:ind w:left="162" w:hanging="90"/>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reflectarea</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acestei măsuri</w:t>
            </w:r>
            <w:r w:rsidR="00321CD5" w:rsidRPr="009C5F11">
              <w:rPr>
                <w:rFonts w:ascii="Times New Roman" w:hAnsi="Times New Roman" w:cs="Times New Roman"/>
                <w:color w:val="000000"/>
                <w:sz w:val="18"/>
                <w:szCs w:val="14"/>
                <w:lang w:val="ro-RO"/>
              </w:rPr>
              <w:t xml:space="preserve"> în </w:t>
            </w:r>
            <w:r w:rsidR="005D06FD" w:rsidRPr="009C5F11">
              <w:rPr>
                <w:rFonts w:ascii="Times New Roman" w:hAnsi="Times New Roman" w:cs="Times New Roman"/>
                <w:color w:val="000000"/>
                <w:sz w:val="18"/>
                <w:szCs w:val="14"/>
                <w:lang w:val="ro-RO"/>
              </w:rPr>
              <w:t>PLEE-uri</w:t>
            </w:r>
            <w:r w:rsidR="00321CD5" w:rsidRPr="009C5F11">
              <w:rPr>
                <w:rFonts w:ascii="Times New Roman" w:hAnsi="Times New Roman" w:cs="Times New Roman"/>
                <w:color w:val="000000"/>
                <w:sz w:val="18"/>
                <w:szCs w:val="14"/>
                <w:lang w:val="ro-RO"/>
              </w:rPr>
              <w:t xml:space="preserve"> şi </w:t>
            </w:r>
            <w:r w:rsidR="005D06FD" w:rsidRPr="009C5F11">
              <w:rPr>
                <w:rFonts w:ascii="Times New Roman" w:hAnsi="Times New Roman" w:cs="Times New Roman"/>
                <w:color w:val="000000"/>
                <w:sz w:val="18"/>
                <w:szCs w:val="14"/>
                <w:lang w:val="ro-RO"/>
              </w:rPr>
              <w:t>PLAEE-uri</w:t>
            </w:r>
            <w:r w:rsidR="00936847" w:rsidRPr="009C5F11">
              <w:rPr>
                <w:rFonts w:ascii="Times New Roman" w:hAnsi="Times New Roman" w:cs="Times New Roman"/>
                <w:color w:val="000000"/>
                <w:sz w:val="18"/>
                <w:szCs w:val="14"/>
                <w:lang w:val="ro-RO"/>
              </w:rPr>
              <w:t xml:space="preserve">; </w:t>
            </w:r>
          </w:p>
          <w:p w14:paraId="6746434C" w14:textId="77777777" w:rsidR="00936847" w:rsidRPr="009C5F11" w:rsidRDefault="00A07A79" w:rsidP="00334F3B">
            <w:pPr>
              <w:numPr>
                <w:ilvl w:val="0"/>
                <w:numId w:val="87"/>
              </w:numPr>
              <w:tabs>
                <w:tab w:val="left" w:pos="162"/>
                <w:tab w:val="left" w:pos="342"/>
                <w:tab w:val="left" w:pos="572"/>
              </w:tabs>
              <w:spacing w:after="0" w:line="240" w:lineRule="auto"/>
              <w:ind w:left="162" w:hanging="90"/>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efectuarea</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auditului energetic</w:t>
            </w:r>
            <w:r w:rsidR="00936847" w:rsidRPr="009C5F11">
              <w:rPr>
                <w:rFonts w:ascii="Times New Roman" w:hAnsi="Times New Roman" w:cs="Times New Roman"/>
                <w:color w:val="000000"/>
                <w:sz w:val="18"/>
                <w:szCs w:val="14"/>
                <w:lang w:val="ro-RO"/>
              </w:rPr>
              <w:t xml:space="preserve"> </w:t>
            </w:r>
            <w:r w:rsidRPr="009C5F11">
              <w:rPr>
                <w:rFonts w:ascii="Times New Roman" w:hAnsi="Times New Roman" w:cs="Times New Roman"/>
                <w:color w:val="000000"/>
                <w:sz w:val="18"/>
                <w:szCs w:val="14"/>
                <w:lang w:val="ro-RO"/>
              </w:rPr>
              <w:t>al sistemelor existente de iluminare</w:t>
            </w:r>
            <w:r w:rsidR="00936847" w:rsidRPr="009C5F11">
              <w:rPr>
                <w:rFonts w:ascii="Times New Roman" w:hAnsi="Times New Roman" w:cs="Times New Roman"/>
                <w:color w:val="000000"/>
                <w:sz w:val="18"/>
                <w:szCs w:val="14"/>
                <w:lang w:val="ro-RO"/>
              </w:rPr>
              <w:t xml:space="preserve">; </w:t>
            </w:r>
          </w:p>
          <w:p w14:paraId="0D90A755" w14:textId="77777777" w:rsidR="00936847" w:rsidRPr="009C5F11" w:rsidRDefault="00A07A79" w:rsidP="00334F3B">
            <w:pPr>
              <w:numPr>
                <w:ilvl w:val="0"/>
                <w:numId w:val="87"/>
              </w:numPr>
              <w:tabs>
                <w:tab w:val="left" w:pos="162"/>
                <w:tab w:val="left" w:pos="342"/>
                <w:tab w:val="left" w:pos="572"/>
              </w:tabs>
              <w:spacing w:after="0" w:line="240" w:lineRule="auto"/>
              <w:ind w:left="162" w:hanging="90"/>
              <w:rPr>
                <w:rFonts w:ascii="Times New Roman" w:hAnsi="Times New Roman" w:cs="Times New Roman"/>
                <w:sz w:val="18"/>
                <w:szCs w:val="14"/>
                <w:lang w:val="ro-RO"/>
              </w:rPr>
            </w:pPr>
            <w:r w:rsidRPr="009C5F11">
              <w:rPr>
                <w:rFonts w:ascii="Times New Roman" w:hAnsi="Times New Roman" w:cs="Times New Roman"/>
                <w:color w:val="000000"/>
                <w:sz w:val="18"/>
                <w:szCs w:val="14"/>
                <w:lang w:val="ro-RO"/>
              </w:rPr>
              <w:t>înlocuirea corpurilor de iluminat existente cu altele mai performante/eficiente</w:t>
            </w:r>
            <w:r w:rsidR="00936847" w:rsidRPr="009C5F11">
              <w:rPr>
                <w:rFonts w:ascii="Times New Roman" w:hAnsi="Times New Roman" w:cs="Times New Roman"/>
                <w:color w:val="000000"/>
                <w:sz w:val="18"/>
                <w:szCs w:val="14"/>
                <w:lang w:val="ro-RO"/>
              </w:rPr>
              <w:t xml:space="preserve">; </w:t>
            </w:r>
          </w:p>
          <w:p w14:paraId="017030DD" w14:textId="77777777" w:rsidR="00936847" w:rsidRPr="009C5F11" w:rsidRDefault="00210C2C" w:rsidP="00334F3B">
            <w:pPr>
              <w:numPr>
                <w:ilvl w:val="0"/>
                <w:numId w:val="87"/>
              </w:numPr>
              <w:tabs>
                <w:tab w:val="left" w:pos="162"/>
                <w:tab w:val="left" w:pos="342"/>
                <w:tab w:val="left" w:pos="572"/>
              </w:tabs>
              <w:spacing w:after="0" w:line="240" w:lineRule="auto"/>
              <w:ind w:left="162" w:hanging="90"/>
              <w:rPr>
                <w:rFonts w:ascii="Times New Roman" w:hAnsi="Times New Roman" w:cs="Times New Roman"/>
                <w:sz w:val="18"/>
                <w:szCs w:val="14"/>
                <w:lang w:val="ro-RO"/>
              </w:rPr>
            </w:pPr>
            <w:r w:rsidRPr="009C5F11">
              <w:rPr>
                <w:rFonts w:ascii="Times New Roman" w:hAnsi="Times New Roman" w:cs="Times New Roman"/>
                <w:color w:val="000000"/>
                <w:sz w:val="18"/>
                <w:szCs w:val="14"/>
                <w:lang w:val="ro-RO"/>
              </w:rPr>
              <w:t>monitorizare</w:t>
            </w:r>
            <w:r w:rsidR="00A07A79" w:rsidRPr="009C5F11">
              <w:rPr>
                <w:rFonts w:ascii="Times New Roman" w:hAnsi="Times New Roman" w:cs="Times New Roman"/>
                <w:color w:val="000000"/>
                <w:sz w:val="18"/>
                <w:szCs w:val="14"/>
                <w:lang w:val="ro-RO"/>
              </w:rPr>
              <w:t>a</w:t>
            </w:r>
            <w:r w:rsidR="00936847" w:rsidRPr="009C5F11">
              <w:rPr>
                <w:rFonts w:ascii="Times New Roman" w:hAnsi="Times New Roman" w:cs="Times New Roman"/>
                <w:color w:val="000000"/>
                <w:sz w:val="18"/>
                <w:szCs w:val="14"/>
                <w:lang w:val="ro-RO"/>
              </w:rPr>
              <w:t xml:space="preserve"> </w:t>
            </w:r>
            <w:r w:rsidR="00A07A79" w:rsidRPr="009C5F11">
              <w:rPr>
                <w:rFonts w:ascii="Times New Roman" w:hAnsi="Times New Roman" w:cs="Times New Roman"/>
                <w:color w:val="000000"/>
                <w:sz w:val="18"/>
                <w:szCs w:val="14"/>
                <w:lang w:val="ro-RO"/>
              </w:rPr>
              <w:t>consumului de energie</w:t>
            </w:r>
            <w:r w:rsidR="00936847" w:rsidRPr="009C5F11">
              <w:rPr>
                <w:rFonts w:ascii="Times New Roman" w:hAnsi="Times New Roman" w:cs="Times New Roman"/>
                <w:color w:val="000000"/>
                <w:sz w:val="18"/>
                <w:szCs w:val="14"/>
                <w:lang w:val="ro-RO"/>
              </w:rPr>
              <w:t xml:space="preserve"> </w:t>
            </w:r>
            <w:r w:rsidR="00A07A79" w:rsidRPr="009C5F11">
              <w:rPr>
                <w:rFonts w:ascii="Times New Roman" w:hAnsi="Times New Roman" w:cs="Times New Roman"/>
                <w:color w:val="000000"/>
                <w:sz w:val="18"/>
                <w:szCs w:val="14"/>
                <w:lang w:val="ro-RO"/>
              </w:rPr>
              <w:t>după finalizarea proiectelor de iluminat stradal</w:t>
            </w:r>
            <w:r w:rsidR="00936847" w:rsidRPr="009C5F11">
              <w:rPr>
                <w:rFonts w:ascii="Times New Roman" w:hAnsi="Times New Roman" w:cs="Times New Roman"/>
                <w:color w:val="000000"/>
                <w:sz w:val="18"/>
                <w:szCs w:val="14"/>
                <w:lang w:val="ro-RO"/>
              </w:rPr>
              <w:t>.</w:t>
            </w:r>
          </w:p>
        </w:tc>
      </w:tr>
      <w:tr w:rsidR="00936847" w:rsidRPr="009C5F11" w14:paraId="1D2A525C" w14:textId="77777777" w:rsidTr="00BF6432">
        <w:trPr>
          <w:trHeight w:val="422"/>
        </w:trPr>
        <w:tc>
          <w:tcPr>
            <w:tcW w:w="743" w:type="pct"/>
            <w:vMerge/>
          </w:tcPr>
          <w:p w14:paraId="0BE1ECF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54BD208"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78C5801A" w14:textId="77777777" w:rsidR="00936847" w:rsidRPr="009C5F11" w:rsidRDefault="00AA0566" w:rsidP="005B4A9D">
            <w:pPr>
              <w:pStyle w:val="Subsol"/>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FEE</w:t>
            </w:r>
          </w:p>
          <w:p w14:paraId="4BD067BF" w14:textId="77777777" w:rsidR="005B3244" w:rsidRPr="009C5F11" w:rsidRDefault="00E54D88" w:rsidP="005B3244">
            <w:p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Strategiile sectoriale de cheltuieli în domeniul energetic</w:t>
            </w:r>
            <w:r w:rsidR="005B3244" w:rsidRPr="009C5F11">
              <w:rPr>
                <w:rFonts w:ascii="Times New Roman" w:hAnsi="Times New Roman" w:cs="Times New Roman"/>
                <w:sz w:val="18"/>
                <w:szCs w:val="14"/>
                <w:lang w:val="ro-RO" w:eastAsia="de-DE"/>
              </w:rPr>
              <w:t xml:space="preserve"> includ </w:t>
            </w:r>
            <w:r w:rsidR="00A07A79" w:rsidRPr="009C5F11">
              <w:rPr>
                <w:rFonts w:ascii="Times New Roman" w:hAnsi="Times New Roman" w:cs="Times New Roman"/>
                <w:sz w:val="18"/>
                <w:szCs w:val="14"/>
                <w:lang w:val="ro-RO" w:eastAsia="de-DE"/>
              </w:rPr>
              <w:t>Subprogramul</w:t>
            </w:r>
            <w:r w:rsidR="005B3244" w:rsidRPr="009C5F11">
              <w:rPr>
                <w:rFonts w:ascii="Times New Roman" w:hAnsi="Times New Roman" w:cs="Times New Roman"/>
                <w:sz w:val="18"/>
                <w:szCs w:val="14"/>
                <w:lang w:val="ro-RO" w:eastAsia="de-DE"/>
              </w:rPr>
              <w:t xml:space="preserve"> </w:t>
            </w:r>
            <w:r w:rsidR="005B3244" w:rsidRPr="009C5F11">
              <w:rPr>
                <w:rFonts w:ascii="Times New Roman" w:hAnsi="Times New Roman" w:cs="Times New Roman"/>
                <w:i/>
                <w:sz w:val="18"/>
                <w:szCs w:val="14"/>
                <w:lang w:val="ro-RO" w:eastAsia="de-DE"/>
              </w:rPr>
              <w:t>“</w:t>
            </w:r>
            <w:r w:rsidR="00FD5F1C" w:rsidRPr="009C5F11">
              <w:rPr>
                <w:rFonts w:ascii="Times New Roman" w:hAnsi="Times New Roman" w:cs="Times New Roman"/>
                <w:i/>
                <w:sz w:val="18"/>
                <w:szCs w:val="14"/>
                <w:lang w:val="ro-RO" w:eastAsia="de-DE"/>
              </w:rPr>
              <w:t>Eficienţa energetică</w:t>
            </w:r>
            <w:r w:rsidR="00321CD5" w:rsidRPr="009C5F11">
              <w:rPr>
                <w:rFonts w:ascii="Times New Roman" w:hAnsi="Times New Roman" w:cs="Times New Roman"/>
                <w:i/>
                <w:sz w:val="18"/>
                <w:szCs w:val="14"/>
                <w:lang w:val="ro-RO" w:eastAsia="de-DE"/>
              </w:rPr>
              <w:t xml:space="preserve"> şi </w:t>
            </w:r>
            <w:r w:rsidR="00FD5F1C" w:rsidRPr="009C5F11">
              <w:rPr>
                <w:rFonts w:ascii="Times New Roman" w:hAnsi="Times New Roman" w:cs="Times New Roman"/>
                <w:i/>
                <w:sz w:val="18"/>
                <w:szCs w:val="14"/>
                <w:lang w:val="ro-RO" w:eastAsia="de-DE"/>
              </w:rPr>
              <w:t>surse regenerabile de energie</w:t>
            </w:r>
            <w:r w:rsidR="005B3244" w:rsidRPr="009C5F11">
              <w:rPr>
                <w:rFonts w:ascii="Times New Roman" w:hAnsi="Times New Roman" w:cs="Times New Roman"/>
                <w:i/>
                <w:sz w:val="18"/>
                <w:szCs w:val="14"/>
                <w:lang w:val="ro-RO" w:eastAsia="de-DE"/>
              </w:rPr>
              <w:t>”</w:t>
            </w:r>
            <w:r w:rsidR="00A07A79" w:rsidRPr="009C5F11">
              <w:rPr>
                <w:rFonts w:ascii="Times New Roman" w:hAnsi="Times New Roman" w:cs="Times New Roman"/>
                <w:i/>
                <w:sz w:val="18"/>
                <w:szCs w:val="14"/>
                <w:lang w:val="ro-RO" w:eastAsia="de-DE"/>
              </w:rPr>
              <w:t>,</w:t>
            </w:r>
            <w:r w:rsidR="005B3244"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acţiunile</w:t>
            </w:r>
            <w:r w:rsidR="005B3244"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de promovare a economiilor de energie</w:t>
            </w:r>
            <w:r w:rsidR="005B3244"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fiind facilitate</w:t>
            </w:r>
            <w:r w:rsidR="00A07A79"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preponderent</w:t>
            </w:r>
            <w:r w:rsidR="00A07A79"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de</w:t>
            </w:r>
            <w:r w:rsidR="005B3244" w:rsidRPr="009C5F11">
              <w:rPr>
                <w:rFonts w:ascii="Times New Roman" w:hAnsi="Times New Roman" w:cs="Times New Roman"/>
                <w:sz w:val="18"/>
                <w:szCs w:val="14"/>
                <w:lang w:val="ro-RO" w:eastAsia="de-DE"/>
              </w:rPr>
              <w:t xml:space="preserve"> </w:t>
            </w:r>
            <w:r w:rsidR="00321CD5" w:rsidRPr="009C5F11">
              <w:rPr>
                <w:rFonts w:ascii="Times New Roman" w:hAnsi="Times New Roman" w:cs="Times New Roman"/>
                <w:sz w:val="18"/>
                <w:szCs w:val="14"/>
                <w:lang w:val="ro-RO" w:eastAsia="de-DE"/>
              </w:rPr>
              <w:t>Fondul pentru Eficienţă Energetică</w:t>
            </w:r>
            <w:r w:rsidR="005B3244" w:rsidRPr="009C5F11">
              <w:rPr>
                <w:rFonts w:ascii="Times New Roman" w:hAnsi="Times New Roman" w:cs="Times New Roman"/>
                <w:sz w:val="18"/>
                <w:szCs w:val="14"/>
                <w:lang w:val="ro-RO" w:eastAsia="de-DE"/>
              </w:rPr>
              <w:t>.</w:t>
            </w:r>
          </w:p>
          <w:p w14:paraId="1528DF6F" w14:textId="77777777" w:rsidR="005B3244" w:rsidRPr="009C5F11" w:rsidRDefault="00A07A79" w:rsidP="005B3244">
            <w:p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w:t>
            </w:r>
            <w:r w:rsidR="005B3244" w:rsidRPr="009C5F11">
              <w:rPr>
                <w:rFonts w:ascii="Times New Roman" w:hAnsi="Times New Roman" w:cs="Times New Roman"/>
                <w:sz w:val="18"/>
                <w:szCs w:val="14"/>
                <w:lang w:val="ro-RO" w:eastAsia="de-DE"/>
              </w:rPr>
              <w:t xml:space="preserve"> APP 5</w:t>
            </w:r>
            <w:r w:rsidRPr="009C5F11">
              <w:rPr>
                <w:rFonts w:ascii="Times New Roman" w:hAnsi="Times New Roman" w:cs="Times New Roman"/>
                <w:sz w:val="18"/>
                <w:szCs w:val="14"/>
                <w:lang w:val="ro-RO" w:eastAsia="de-DE"/>
              </w:rPr>
              <w:t xml:space="preserve"> precedent de </w:t>
            </w:r>
            <w:r w:rsidR="005B3244"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iluminat </w:t>
            </w:r>
            <w:r w:rsidR="005B3244" w:rsidRPr="009C5F11">
              <w:rPr>
                <w:rFonts w:ascii="Times New Roman" w:hAnsi="Times New Roman" w:cs="Times New Roman"/>
                <w:sz w:val="18"/>
                <w:szCs w:val="14"/>
                <w:lang w:val="ro-RO" w:eastAsia="de-DE"/>
              </w:rPr>
              <w:t>public</w:t>
            </w:r>
            <w:r w:rsidRPr="009C5F11">
              <w:rPr>
                <w:rFonts w:ascii="Times New Roman" w:hAnsi="Times New Roman" w:cs="Times New Roman"/>
                <w:sz w:val="18"/>
                <w:szCs w:val="14"/>
                <w:lang w:val="ro-RO" w:eastAsia="de-DE"/>
              </w:rPr>
              <w:t>”</w:t>
            </w:r>
            <w:r w:rsidR="005B3244" w:rsidRPr="009C5F11">
              <w:rPr>
                <w:rFonts w:ascii="Times New Roman" w:hAnsi="Times New Roman" w:cs="Times New Roman"/>
                <w:sz w:val="18"/>
                <w:szCs w:val="14"/>
                <w:lang w:val="ro-RO" w:eastAsia="de-DE"/>
              </w:rPr>
              <w:t xml:space="preserve"> </w:t>
            </w:r>
            <w:r w:rsidR="000138BD" w:rsidRPr="009C5F11">
              <w:rPr>
                <w:rFonts w:ascii="Times New Roman" w:hAnsi="Times New Roman" w:cs="Times New Roman"/>
                <w:sz w:val="18"/>
                <w:szCs w:val="14"/>
                <w:lang w:val="ro-RO" w:eastAsia="de-DE"/>
              </w:rPr>
              <w:t>lansat de</w:t>
            </w:r>
            <w:r w:rsidR="005B3244"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FEE</w:t>
            </w:r>
            <w:r w:rsidR="005B3244"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 însumat</w:t>
            </w:r>
            <w:r w:rsidR="005B3244" w:rsidRPr="009C5F11">
              <w:rPr>
                <w:rFonts w:ascii="Times New Roman" w:hAnsi="Times New Roman" w:cs="Times New Roman"/>
                <w:sz w:val="18"/>
                <w:szCs w:val="14"/>
                <w:lang w:val="ro-RO" w:eastAsia="de-DE"/>
              </w:rPr>
              <w:t xml:space="preserve"> 50,000,000 </w:t>
            </w:r>
            <w:r w:rsidR="00421FA7" w:rsidRPr="009C5F11">
              <w:rPr>
                <w:rFonts w:ascii="Times New Roman" w:hAnsi="Times New Roman" w:cs="Times New Roman"/>
                <w:sz w:val="18"/>
                <w:szCs w:val="14"/>
                <w:lang w:val="ro-RO" w:eastAsia="de-DE"/>
              </w:rPr>
              <w:t>lei</w:t>
            </w:r>
            <w:r w:rsidRPr="009C5F11">
              <w:rPr>
                <w:rFonts w:ascii="Times New Roman" w:hAnsi="Times New Roman" w:cs="Times New Roman"/>
                <w:sz w:val="18"/>
                <w:szCs w:val="14"/>
                <w:lang w:val="ro-RO" w:eastAsia="de-DE"/>
              </w:rPr>
              <w:t xml:space="preserve">, cu toate acestea, </w:t>
            </w:r>
            <w:r w:rsidR="006713D8" w:rsidRPr="009C5F11">
              <w:rPr>
                <w:rFonts w:ascii="Times New Roman" w:hAnsi="Times New Roman" w:cs="Times New Roman"/>
                <w:sz w:val="18"/>
                <w:szCs w:val="14"/>
                <w:lang w:val="ro-RO" w:eastAsia="de-DE"/>
              </w:rPr>
              <w:t xml:space="preserve">economiile au constituit doar </w:t>
            </w:r>
            <w:r w:rsidR="005B3244" w:rsidRPr="009C5F11">
              <w:rPr>
                <w:rFonts w:ascii="Times New Roman" w:hAnsi="Times New Roman" w:cs="Times New Roman"/>
                <w:sz w:val="18"/>
                <w:szCs w:val="14"/>
                <w:lang w:val="ro-RO" w:eastAsia="de-DE"/>
              </w:rPr>
              <w:t xml:space="preserve">57 </w:t>
            </w:r>
            <w:r w:rsidR="00D77687" w:rsidRPr="009C5F11">
              <w:rPr>
                <w:rFonts w:ascii="Times New Roman" w:hAnsi="Times New Roman" w:cs="Times New Roman"/>
                <w:sz w:val="18"/>
                <w:szCs w:val="14"/>
                <w:lang w:val="ro-RO" w:eastAsia="de-DE"/>
              </w:rPr>
              <w:t>tep</w:t>
            </w:r>
            <w:r w:rsidR="006713D8" w:rsidRPr="009C5F11">
              <w:rPr>
                <w:rFonts w:ascii="Times New Roman" w:hAnsi="Times New Roman" w:cs="Times New Roman"/>
                <w:sz w:val="18"/>
                <w:szCs w:val="14"/>
                <w:lang w:val="ro-RO" w:eastAsia="de-DE"/>
              </w:rPr>
              <w:t>.</w:t>
            </w:r>
          </w:p>
          <w:p w14:paraId="5C105F05" w14:textId="77777777" w:rsidR="005B3244" w:rsidRPr="009C5F11" w:rsidRDefault="00CD7240" w:rsidP="005B3244">
            <w:p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w:t>
            </w:r>
            <w:r w:rsidR="006713D8" w:rsidRPr="009C5F11">
              <w:rPr>
                <w:rFonts w:ascii="Times New Roman" w:hAnsi="Times New Roman" w:cs="Times New Roman"/>
                <w:sz w:val="18"/>
                <w:szCs w:val="14"/>
                <w:lang w:val="ro-RO" w:eastAsia="de-DE"/>
              </w:rPr>
              <w:t>ele din</w:t>
            </w:r>
            <w:r w:rsidR="00321CD5" w:rsidRPr="009C5F11">
              <w:rPr>
                <w:rFonts w:ascii="Times New Roman" w:hAnsi="Times New Roman" w:cs="Times New Roman"/>
                <w:sz w:val="18"/>
                <w:szCs w:val="14"/>
                <w:lang w:val="ro-RO" w:eastAsia="de-DE"/>
              </w:rPr>
              <w:t xml:space="preserve"> </w:t>
            </w:r>
            <w:r w:rsidR="006713D8" w:rsidRPr="009C5F11">
              <w:rPr>
                <w:rFonts w:ascii="Times New Roman" w:hAnsi="Times New Roman" w:cs="Times New Roman"/>
                <w:sz w:val="18"/>
                <w:szCs w:val="14"/>
                <w:lang w:val="ro-RO" w:eastAsia="de-DE"/>
              </w:rPr>
              <w:t>Subprogramul</w:t>
            </w:r>
            <w:r w:rsidR="005B3244" w:rsidRPr="009C5F11">
              <w:rPr>
                <w:rFonts w:ascii="Times New Roman" w:hAnsi="Times New Roman" w:cs="Times New Roman"/>
                <w:sz w:val="18"/>
                <w:szCs w:val="14"/>
                <w:lang w:val="ro-RO" w:eastAsia="de-DE"/>
              </w:rPr>
              <w:t xml:space="preserve"> </w:t>
            </w:r>
            <w:r w:rsidR="005B3244" w:rsidRPr="009C5F11">
              <w:rPr>
                <w:rFonts w:ascii="Times New Roman" w:hAnsi="Times New Roman" w:cs="Times New Roman"/>
                <w:i/>
                <w:sz w:val="18"/>
                <w:szCs w:val="14"/>
                <w:lang w:val="ro-RO" w:eastAsia="de-DE"/>
              </w:rPr>
              <w:t>“</w:t>
            </w:r>
            <w:r w:rsidR="00FD5F1C" w:rsidRPr="009C5F11">
              <w:rPr>
                <w:rFonts w:ascii="Times New Roman" w:hAnsi="Times New Roman" w:cs="Times New Roman"/>
                <w:i/>
                <w:sz w:val="18"/>
                <w:szCs w:val="14"/>
                <w:lang w:val="ro-RO" w:eastAsia="de-DE"/>
              </w:rPr>
              <w:t>Eficienţa energetică</w:t>
            </w:r>
            <w:r w:rsidR="00321CD5" w:rsidRPr="009C5F11">
              <w:rPr>
                <w:rFonts w:ascii="Times New Roman" w:hAnsi="Times New Roman" w:cs="Times New Roman"/>
                <w:i/>
                <w:sz w:val="18"/>
                <w:szCs w:val="14"/>
                <w:lang w:val="ro-RO" w:eastAsia="de-DE"/>
              </w:rPr>
              <w:t xml:space="preserve"> şi </w:t>
            </w:r>
            <w:r w:rsidR="00FD5F1C" w:rsidRPr="009C5F11">
              <w:rPr>
                <w:rFonts w:ascii="Times New Roman" w:hAnsi="Times New Roman" w:cs="Times New Roman"/>
                <w:i/>
                <w:sz w:val="18"/>
                <w:szCs w:val="14"/>
                <w:lang w:val="ro-RO" w:eastAsia="de-DE"/>
              </w:rPr>
              <w:t>surse regenerabile de energie</w:t>
            </w:r>
            <w:r w:rsidR="005B3244" w:rsidRPr="009C5F11">
              <w:rPr>
                <w:rFonts w:ascii="Times New Roman" w:hAnsi="Times New Roman" w:cs="Times New Roman"/>
                <w:i/>
                <w:sz w:val="18"/>
                <w:szCs w:val="14"/>
                <w:lang w:val="ro-RO" w:eastAsia="de-DE"/>
              </w:rPr>
              <w:t>”</w:t>
            </w:r>
            <w:r w:rsidR="005B3244" w:rsidRPr="009C5F11">
              <w:rPr>
                <w:rFonts w:ascii="Times New Roman" w:hAnsi="Times New Roman" w:cs="Times New Roman"/>
                <w:sz w:val="18"/>
                <w:szCs w:val="14"/>
                <w:lang w:val="ro-RO" w:eastAsia="de-DE"/>
              </w:rPr>
              <w:t xml:space="preserve"> benefi</w:t>
            </w:r>
            <w:r w:rsidR="006713D8" w:rsidRPr="009C5F11">
              <w:rPr>
                <w:rFonts w:ascii="Times New Roman" w:hAnsi="Times New Roman" w:cs="Times New Roman"/>
                <w:sz w:val="18"/>
                <w:szCs w:val="14"/>
                <w:lang w:val="ro-RO" w:eastAsia="de-DE"/>
              </w:rPr>
              <w:t xml:space="preserve">ciază de </w:t>
            </w:r>
            <w:r w:rsidR="00E54D88" w:rsidRPr="009C5F11">
              <w:rPr>
                <w:rFonts w:ascii="Times New Roman" w:hAnsi="Times New Roman" w:cs="Times New Roman"/>
                <w:sz w:val="18"/>
                <w:szCs w:val="14"/>
                <w:lang w:val="ro-RO" w:eastAsia="de-DE"/>
              </w:rPr>
              <w:t>următoarele</w:t>
            </w:r>
            <w:r w:rsidR="005B3244" w:rsidRPr="009C5F11">
              <w:rPr>
                <w:rFonts w:ascii="Times New Roman" w:hAnsi="Times New Roman" w:cs="Times New Roman"/>
                <w:sz w:val="18"/>
                <w:szCs w:val="14"/>
                <w:lang w:val="ro-RO" w:eastAsia="de-DE"/>
              </w:rPr>
              <w:t xml:space="preserve"> </w:t>
            </w:r>
            <w:r w:rsidR="007F77BE" w:rsidRPr="009C5F11">
              <w:rPr>
                <w:rFonts w:ascii="Times New Roman" w:hAnsi="Times New Roman" w:cs="Times New Roman"/>
                <w:sz w:val="18"/>
                <w:szCs w:val="14"/>
                <w:lang w:val="ro-RO" w:eastAsia="de-DE"/>
              </w:rPr>
              <w:t>fonduri</w:t>
            </w:r>
            <w:r w:rsidR="00321CD5" w:rsidRPr="009C5F11">
              <w:rPr>
                <w:rFonts w:ascii="Times New Roman" w:hAnsi="Times New Roman" w:cs="Times New Roman"/>
                <w:sz w:val="18"/>
                <w:szCs w:val="14"/>
                <w:lang w:val="ro-RO" w:eastAsia="de-DE"/>
              </w:rPr>
              <w:t xml:space="preserve"> </w:t>
            </w:r>
            <w:r w:rsidR="006713D8" w:rsidRPr="009C5F11">
              <w:rPr>
                <w:rFonts w:ascii="Times New Roman" w:hAnsi="Times New Roman" w:cs="Times New Roman"/>
                <w:sz w:val="18"/>
                <w:szCs w:val="14"/>
                <w:lang w:val="ro-RO" w:eastAsia="de-DE"/>
              </w:rPr>
              <w:t xml:space="preserve">alocate </w:t>
            </w:r>
            <w:r w:rsidR="000E55A5" w:rsidRPr="009C5F11">
              <w:rPr>
                <w:rFonts w:ascii="Times New Roman" w:hAnsi="Times New Roman" w:cs="Times New Roman"/>
                <w:sz w:val="18"/>
                <w:szCs w:val="14"/>
                <w:lang w:val="ro-RO" w:eastAsia="de-DE"/>
              </w:rPr>
              <w:t>strategiil</w:t>
            </w:r>
            <w:r w:rsidR="006713D8" w:rsidRPr="009C5F11">
              <w:rPr>
                <w:rFonts w:ascii="Times New Roman" w:hAnsi="Times New Roman" w:cs="Times New Roman"/>
                <w:sz w:val="18"/>
                <w:szCs w:val="14"/>
                <w:lang w:val="ro-RO" w:eastAsia="de-DE"/>
              </w:rPr>
              <w:t xml:space="preserve">or </w:t>
            </w:r>
            <w:r w:rsidR="000E55A5" w:rsidRPr="009C5F11">
              <w:rPr>
                <w:rFonts w:ascii="Times New Roman" w:hAnsi="Times New Roman" w:cs="Times New Roman"/>
                <w:sz w:val="18"/>
                <w:szCs w:val="14"/>
                <w:lang w:val="ro-RO" w:eastAsia="de-DE"/>
              </w:rPr>
              <w:t>relevante de cheltuieli</w:t>
            </w:r>
            <w:r w:rsidR="005B3244" w:rsidRPr="009C5F11">
              <w:rPr>
                <w:rFonts w:ascii="Times New Roman" w:hAnsi="Times New Roman" w:cs="Times New Roman"/>
                <w:sz w:val="18"/>
                <w:szCs w:val="14"/>
                <w:lang w:val="ro-RO" w:eastAsia="de-DE"/>
              </w:rPr>
              <w:t xml:space="preserve"> </w:t>
            </w:r>
            <w:r w:rsidR="006713D8" w:rsidRPr="009C5F11">
              <w:rPr>
                <w:rFonts w:ascii="Times New Roman" w:hAnsi="Times New Roman" w:cs="Times New Roman"/>
                <w:sz w:val="18"/>
                <w:szCs w:val="14"/>
                <w:lang w:val="ro-RO" w:eastAsia="de-DE"/>
              </w:rPr>
              <w:t>pentru</w:t>
            </w:r>
            <w:r w:rsidR="005B3244"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sectorul energetic</w:t>
            </w:r>
            <w:r w:rsidR="005B3244" w:rsidRPr="009C5F11">
              <w:rPr>
                <w:rFonts w:ascii="Times New Roman" w:hAnsi="Times New Roman" w:cs="Times New Roman"/>
                <w:sz w:val="18"/>
                <w:szCs w:val="14"/>
                <w:lang w:val="ro-RO" w:eastAsia="de-DE"/>
              </w:rPr>
              <w:t xml:space="preserve"> </w:t>
            </w:r>
            <w:r w:rsidR="006713D8" w:rsidRPr="009C5F11">
              <w:rPr>
                <w:rFonts w:ascii="Times New Roman" w:hAnsi="Times New Roman" w:cs="Times New Roman"/>
                <w:sz w:val="18"/>
                <w:szCs w:val="14"/>
                <w:lang w:val="ro-RO" w:eastAsia="de-DE"/>
              </w:rPr>
              <w:t>în</w:t>
            </w:r>
            <w:r w:rsidR="00B40A7C" w:rsidRPr="009C5F11">
              <w:rPr>
                <w:rFonts w:ascii="Times New Roman" w:hAnsi="Times New Roman" w:cs="Times New Roman"/>
                <w:sz w:val="18"/>
                <w:szCs w:val="14"/>
                <w:lang w:val="ro-RO" w:eastAsia="de-DE"/>
              </w:rPr>
              <w:t xml:space="preserve"> perioada</w:t>
            </w:r>
            <w:r w:rsidR="005B3244" w:rsidRPr="009C5F11">
              <w:rPr>
                <w:rFonts w:ascii="Times New Roman" w:hAnsi="Times New Roman" w:cs="Times New Roman"/>
                <w:sz w:val="18"/>
                <w:szCs w:val="14"/>
                <w:lang w:val="ro-RO" w:eastAsia="de-DE"/>
              </w:rPr>
              <w:t xml:space="preserve"> </w:t>
            </w:r>
          </w:p>
          <w:p w14:paraId="7B1A1768" w14:textId="77777777" w:rsidR="005B3244" w:rsidRPr="009C5F11" w:rsidRDefault="005B3244" w:rsidP="005B3244">
            <w:pPr>
              <w:tabs>
                <w:tab w:val="left" w:pos="702"/>
                <w:tab w:val="left" w:pos="5040"/>
                <w:tab w:val="right" w:pos="8504"/>
              </w:tabs>
              <w:spacing w:before="40" w:after="0" w:line="240"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2016-2018:</w:t>
            </w:r>
          </w:p>
          <w:p w14:paraId="3300F3C2" w14:textId="77777777" w:rsidR="005B3244" w:rsidRPr="009C5F11" w:rsidRDefault="005B3244" w:rsidP="005B3244">
            <w:pPr>
              <w:tabs>
                <w:tab w:val="left" w:pos="702"/>
                <w:tab w:val="left" w:pos="5040"/>
                <w:tab w:val="right" w:pos="8504"/>
              </w:tabs>
              <w:spacing w:before="40" w:after="0" w:line="240" w:lineRule="auto"/>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2016-2018 </w:t>
            </w:r>
          </w:p>
          <w:p w14:paraId="4694206F" w14:textId="77777777" w:rsidR="00B412A8" w:rsidRPr="009C5F11" w:rsidRDefault="005B3244" w:rsidP="00334F3B">
            <w:pPr>
              <w:pStyle w:val="Listparagraf"/>
              <w:numPr>
                <w:ilvl w:val="0"/>
                <w:numId w:val="196"/>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2016</w:t>
            </w:r>
            <w:r w:rsidR="00055095" w:rsidRPr="009C5F11">
              <w:rPr>
                <w:rFonts w:ascii="Times New Roman" w:hAnsi="Times New Roman" w:cs="Times New Roman"/>
                <w:sz w:val="18"/>
                <w:szCs w:val="14"/>
                <w:lang w:val="ro-RO" w:eastAsia="de-DE"/>
              </w:rPr>
              <w:t xml:space="preserve">      </w:t>
            </w:r>
            <w:r w:rsidR="006713D8" w:rsidRPr="009C5F11">
              <w:rPr>
                <w:rFonts w:ascii="Times New Roman" w:hAnsi="Times New Roman" w:cs="Times New Roman"/>
                <w:sz w:val="18"/>
                <w:szCs w:val="14"/>
                <w:lang w:val="ro-RO" w:eastAsia="de-DE"/>
              </w:rPr>
              <w:t xml:space="preserve">      </w:t>
            </w:r>
            <w:r w:rsidR="00055095" w:rsidRPr="009C5F11">
              <w:rPr>
                <w:rFonts w:ascii="Times New Roman" w:hAnsi="Times New Roman" w:cs="Times New Roman"/>
                <w:sz w:val="18"/>
                <w:szCs w:val="14"/>
                <w:lang w:val="ro-RO" w:eastAsia="de-DE"/>
              </w:rPr>
              <w:t xml:space="preserve"> </w:t>
            </w:r>
            <w:r w:rsidR="00E67CD1" w:rsidRPr="009C5F11">
              <w:rPr>
                <w:rFonts w:ascii="Times New Roman" w:hAnsi="Times New Roman" w:cs="Times New Roman"/>
                <w:sz w:val="18"/>
                <w:szCs w:val="14"/>
                <w:lang w:val="ro-RO" w:eastAsia="de-DE"/>
              </w:rPr>
              <w:t xml:space="preserve">184,681.9   </w:t>
            </w:r>
            <w:r w:rsidR="006E69B0" w:rsidRPr="009C5F11">
              <w:rPr>
                <w:rFonts w:ascii="Times New Roman" w:hAnsi="Times New Roman" w:cs="Times New Roman"/>
                <w:sz w:val="18"/>
                <w:szCs w:val="14"/>
                <w:lang w:val="ro-RO" w:eastAsia="de-DE"/>
              </w:rPr>
              <w:t>mii lei</w:t>
            </w:r>
          </w:p>
          <w:p w14:paraId="3BAD1CB0" w14:textId="77777777" w:rsidR="00B412A8" w:rsidRPr="009C5F11" w:rsidRDefault="005B3244" w:rsidP="00334F3B">
            <w:pPr>
              <w:pStyle w:val="Listparagraf"/>
              <w:numPr>
                <w:ilvl w:val="0"/>
                <w:numId w:val="196"/>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2017</w:t>
            </w:r>
            <w:r w:rsidR="00055095" w:rsidRPr="009C5F11">
              <w:rPr>
                <w:rFonts w:ascii="Times New Roman" w:hAnsi="Times New Roman" w:cs="Times New Roman"/>
                <w:sz w:val="18"/>
                <w:szCs w:val="14"/>
                <w:lang w:val="ro-RO" w:eastAsia="de-DE"/>
              </w:rPr>
              <w:t xml:space="preserve">    </w:t>
            </w:r>
            <w:r w:rsidR="006713D8" w:rsidRPr="009C5F11">
              <w:rPr>
                <w:rFonts w:ascii="Times New Roman" w:hAnsi="Times New Roman" w:cs="Times New Roman"/>
                <w:sz w:val="18"/>
                <w:szCs w:val="14"/>
                <w:lang w:val="ro-RO" w:eastAsia="de-DE"/>
              </w:rPr>
              <w:t xml:space="preserve">   </w:t>
            </w:r>
            <w:r w:rsidR="00055095" w:rsidRPr="009C5F11">
              <w:rPr>
                <w:rFonts w:ascii="Times New Roman" w:hAnsi="Times New Roman" w:cs="Times New Roman"/>
                <w:sz w:val="18"/>
                <w:szCs w:val="14"/>
                <w:lang w:val="ro-RO" w:eastAsia="de-DE"/>
              </w:rPr>
              <w:t xml:space="preserve">  </w:t>
            </w:r>
            <w:r w:rsidR="00E67CD1" w:rsidRPr="009C5F11">
              <w:rPr>
                <w:rFonts w:ascii="Times New Roman" w:hAnsi="Times New Roman" w:cs="Times New Roman"/>
                <w:sz w:val="18"/>
                <w:szCs w:val="14"/>
                <w:lang w:val="ro-RO" w:eastAsia="de-DE"/>
              </w:rPr>
              <w:t xml:space="preserve">    179,520.6   </w:t>
            </w:r>
            <w:r w:rsidR="006E69B0" w:rsidRPr="009C5F11">
              <w:rPr>
                <w:rFonts w:ascii="Times New Roman" w:hAnsi="Times New Roman" w:cs="Times New Roman"/>
                <w:sz w:val="18"/>
                <w:szCs w:val="14"/>
                <w:lang w:val="ro-RO" w:eastAsia="de-DE"/>
              </w:rPr>
              <w:t>mii lei</w:t>
            </w:r>
          </w:p>
          <w:p w14:paraId="7B326805" w14:textId="77777777" w:rsidR="005B3244" w:rsidRPr="009C5F11" w:rsidRDefault="005B3244" w:rsidP="00334F3B">
            <w:pPr>
              <w:pStyle w:val="Listparagraf"/>
              <w:numPr>
                <w:ilvl w:val="0"/>
                <w:numId w:val="196"/>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w:t>
            </w:r>
            <w:r w:rsidR="00E67CD1" w:rsidRPr="009C5F11">
              <w:rPr>
                <w:rFonts w:ascii="Times New Roman" w:hAnsi="Times New Roman" w:cs="Times New Roman"/>
                <w:sz w:val="18"/>
                <w:szCs w:val="14"/>
                <w:lang w:val="ro-RO" w:eastAsia="de-DE"/>
              </w:rPr>
              <w:t xml:space="preserve">             177,900.0</w:t>
            </w:r>
            <w:r w:rsidR="006E69B0" w:rsidRPr="009C5F11">
              <w:rPr>
                <w:rFonts w:ascii="Times New Roman" w:hAnsi="Times New Roman" w:cs="Times New Roman"/>
                <w:sz w:val="18"/>
                <w:szCs w:val="14"/>
                <w:lang w:val="ro-RO" w:eastAsia="de-DE"/>
              </w:rPr>
              <w:t xml:space="preserve">   mii lei</w:t>
            </w:r>
          </w:p>
          <w:p w14:paraId="57CD9115" w14:textId="77777777" w:rsidR="005B3244" w:rsidRPr="009C5F11" w:rsidRDefault="006F2A15" w:rsidP="005B3244">
            <w:p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w:t>
            </w:r>
            <w:r w:rsidR="00F53252" w:rsidRPr="009C5F11">
              <w:rPr>
                <w:rFonts w:ascii="Times New Roman" w:hAnsi="Times New Roman" w:cs="Times New Roman"/>
                <w:sz w:val="18"/>
                <w:szCs w:val="14"/>
                <w:lang w:val="ro-RO" w:eastAsia="de-DE"/>
              </w:rPr>
              <w:t>in care</w:t>
            </w:r>
            <w:r w:rsidR="005B3244" w:rsidRPr="009C5F11">
              <w:rPr>
                <w:rFonts w:ascii="Times New Roman" w:hAnsi="Times New Roman" w:cs="Times New Roman"/>
                <w:sz w:val="18"/>
                <w:szCs w:val="14"/>
                <w:lang w:val="ro-RO" w:eastAsia="de-DE"/>
              </w:rPr>
              <w:t xml:space="preserve">, </w:t>
            </w:r>
            <w:r w:rsidRPr="009C5F11">
              <w:rPr>
                <w:rFonts w:ascii="Times New Roman" w:hAnsi="Times New Roman" w:cs="Times New Roman"/>
                <w:b/>
                <w:sz w:val="18"/>
                <w:szCs w:val="14"/>
                <w:lang w:val="ro-RO" w:eastAsia="de-DE"/>
              </w:rPr>
              <w:t>următoarele</w:t>
            </w:r>
            <w:r w:rsidR="005B3244" w:rsidRPr="009C5F11">
              <w:rPr>
                <w:rFonts w:ascii="Times New Roman" w:hAnsi="Times New Roman" w:cs="Times New Roman"/>
                <w:b/>
                <w:sz w:val="18"/>
                <w:szCs w:val="14"/>
                <w:lang w:val="ro-RO" w:eastAsia="de-DE"/>
              </w:rPr>
              <w:t xml:space="preserve"> </w:t>
            </w:r>
            <w:r w:rsidR="007F77BE" w:rsidRPr="009C5F11">
              <w:rPr>
                <w:rFonts w:ascii="Times New Roman" w:hAnsi="Times New Roman" w:cs="Times New Roman"/>
                <w:b/>
                <w:sz w:val="18"/>
                <w:szCs w:val="14"/>
                <w:lang w:val="ro-RO" w:eastAsia="de-DE"/>
              </w:rPr>
              <w:t>fonduri</w:t>
            </w:r>
            <w:r w:rsidR="005B3244" w:rsidRPr="009C5F11">
              <w:rPr>
                <w:rFonts w:ascii="Times New Roman" w:hAnsi="Times New Roman" w:cs="Times New Roman"/>
                <w:b/>
                <w:sz w:val="18"/>
                <w:szCs w:val="14"/>
                <w:lang w:val="ro-RO" w:eastAsia="de-DE"/>
              </w:rPr>
              <w:t xml:space="preserve"> </w:t>
            </w:r>
            <w:r w:rsidRPr="009C5F11">
              <w:rPr>
                <w:rFonts w:ascii="Times New Roman" w:hAnsi="Times New Roman" w:cs="Times New Roman"/>
                <w:b/>
                <w:sz w:val="18"/>
                <w:szCs w:val="14"/>
                <w:lang w:val="ro-RO" w:eastAsia="de-DE"/>
              </w:rPr>
              <w:t>sunt direcţionate</w:t>
            </w:r>
            <w:r w:rsidR="005B3244" w:rsidRPr="009C5F11">
              <w:rPr>
                <w:rFonts w:ascii="Times New Roman" w:hAnsi="Times New Roman" w:cs="Times New Roman"/>
                <w:b/>
                <w:sz w:val="18"/>
                <w:szCs w:val="14"/>
                <w:lang w:val="ro-RO" w:eastAsia="de-DE"/>
              </w:rPr>
              <w:t xml:space="preserve"> </w:t>
            </w:r>
            <w:r w:rsidRPr="009C5F11">
              <w:rPr>
                <w:rFonts w:ascii="Times New Roman" w:hAnsi="Times New Roman" w:cs="Times New Roman"/>
                <w:b/>
                <w:sz w:val="18"/>
                <w:szCs w:val="14"/>
                <w:lang w:val="ro-RO" w:eastAsia="de-DE"/>
              </w:rPr>
              <w:t>către</w:t>
            </w:r>
            <w:r w:rsidR="005B3244" w:rsidRPr="009C5F11">
              <w:rPr>
                <w:rFonts w:ascii="Times New Roman" w:hAnsi="Times New Roman" w:cs="Times New Roman"/>
                <w:b/>
                <w:sz w:val="18"/>
                <w:szCs w:val="14"/>
                <w:lang w:val="ro-RO" w:eastAsia="de-DE"/>
              </w:rPr>
              <w:t xml:space="preserve"> </w:t>
            </w:r>
            <w:r w:rsidR="00AA0566" w:rsidRPr="009C5F11">
              <w:rPr>
                <w:rFonts w:ascii="Times New Roman" w:hAnsi="Times New Roman" w:cs="Times New Roman"/>
                <w:b/>
                <w:sz w:val="18"/>
                <w:szCs w:val="14"/>
                <w:lang w:val="ro-RO" w:eastAsia="de-DE"/>
              </w:rPr>
              <w:t>FEE</w:t>
            </w:r>
            <w:r w:rsidR="00094F20" w:rsidRPr="009C5F11">
              <w:rPr>
                <w:rFonts w:ascii="Times New Roman" w:hAnsi="Times New Roman" w:cs="Times New Roman"/>
                <w:b/>
                <w:sz w:val="18"/>
                <w:szCs w:val="14"/>
                <w:lang w:val="ro-RO" w:eastAsia="de-DE"/>
              </w:rPr>
              <w:t>:</w:t>
            </w:r>
          </w:p>
          <w:p w14:paraId="0443C9D8" w14:textId="77777777" w:rsidR="005B3244" w:rsidRPr="009C5F11" w:rsidRDefault="005B3244" w:rsidP="005B3244">
            <w:pPr>
              <w:tabs>
                <w:tab w:val="left" w:pos="702"/>
                <w:tab w:val="left" w:pos="5040"/>
                <w:tab w:val="right" w:pos="8504"/>
              </w:tabs>
              <w:spacing w:before="40" w:after="0" w:line="240" w:lineRule="auto"/>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2016-2018 </w:t>
            </w:r>
          </w:p>
          <w:p w14:paraId="37A31692" w14:textId="77777777" w:rsidR="00E67CD1" w:rsidRPr="009C5F11" w:rsidRDefault="005B3244" w:rsidP="00334F3B">
            <w:pPr>
              <w:pStyle w:val="Listparagraf"/>
              <w:numPr>
                <w:ilvl w:val="0"/>
                <w:numId w:val="197"/>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2016</w:t>
            </w:r>
            <w:r w:rsidR="00055095" w:rsidRPr="009C5F11">
              <w:rPr>
                <w:rFonts w:ascii="Times New Roman" w:hAnsi="Times New Roman" w:cs="Times New Roman"/>
                <w:sz w:val="18"/>
                <w:szCs w:val="14"/>
                <w:lang w:val="ro-RO" w:eastAsia="de-DE"/>
              </w:rPr>
              <w:t xml:space="preserve">       </w:t>
            </w:r>
            <w:r w:rsidR="006713D8" w:rsidRPr="009C5F11">
              <w:rPr>
                <w:rFonts w:ascii="Times New Roman" w:hAnsi="Times New Roman" w:cs="Times New Roman"/>
                <w:sz w:val="18"/>
                <w:szCs w:val="14"/>
                <w:lang w:val="ro-RO" w:eastAsia="de-DE"/>
              </w:rPr>
              <w:t xml:space="preserve">    </w:t>
            </w:r>
            <w:r w:rsidR="00E67CD1" w:rsidRPr="009C5F11">
              <w:rPr>
                <w:rFonts w:ascii="Times New Roman" w:hAnsi="Times New Roman" w:cs="Times New Roman"/>
                <w:sz w:val="18"/>
                <w:szCs w:val="14"/>
                <w:lang w:val="ro-RO" w:eastAsia="de-DE"/>
              </w:rPr>
              <w:t xml:space="preserve"> 172,680     </w:t>
            </w:r>
            <w:r w:rsidR="006E69B0" w:rsidRPr="009C5F11">
              <w:rPr>
                <w:rFonts w:ascii="Times New Roman" w:hAnsi="Times New Roman" w:cs="Times New Roman"/>
                <w:sz w:val="18"/>
                <w:szCs w:val="14"/>
                <w:lang w:val="ro-RO" w:eastAsia="de-DE"/>
              </w:rPr>
              <w:t>mii lei</w:t>
            </w:r>
          </w:p>
          <w:p w14:paraId="06A5B43D" w14:textId="77777777" w:rsidR="00E67CD1" w:rsidRPr="009C5F11" w:rsidRDefault="005B3244" w:rsidP="00334F3B">
            <w:pPr>
              <w:pStyle w:val="Listparagraf"/>
              <w:numPr>
                <w:ilvl w:val="0"/>
                <w:numId w:val="197"/>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2017</w:t>
            </w:r>
            <w:r w:rsidR="00055095" w:rsidRPr="009C5F11">
              <w:rPr>
                <w:rFonts w:ascii="Times New Roman" w:hAnsi="Times New Roman" w:cs="Times New Roman"/>
                <w:sz w:val="18"/>
                <w:szCs w:val="14"/>
                <w:lang w:val="ro-RO" w:eastAsia="de-DE"/>
              </w:rPr>
              <w:t xml:space="preserve">     </w:t>
            </w:r>
            <w:r w:rsidR="006713D8" w:rsidRPr="009C5F11">
              <w:rPr>
                <w:rFonts w:ascii="Times New Roman" w:hAnsi="Times New Roman" w:cs="Times New Roman"/>
                <w:sz w:val="18"/>
                <w:szCs w:val="14"/>
                <w:lang w:val="ro-RO" w:eastAsia="de-DE"/>
              </w:rPr>
              <w:t xml:space="preserve">  </w:t>
            </w:r>
            <w:r w:rsidR="00055095" w:rsidRPr="009C5F11">
              <w:rPr>
                <w:rFonts w:ascii="Times New Roman" w:hAnsi="Times New Roman" w:cs="Times New Roman"/>
                <w:sz w:val="18"/>
                <w:szCs w:val="14"/>
                <w:lang w:val="ro-RO" w:eastAsia="de-DE"/>
              </w:rPr>
              <w:t xml:space="preserve"> </w:t>
            </w:r>
            <w:r w:rsidR="00E67CD1" w:rsidRPr="009C5F11">
              <w:rPr>
                <w:rFonts w:ascii="Times New Roman" w:hAnsi="Times New Roman" w:cs="Times New Roman"/>
                <w:sz w:val="18"/>
                <w:szCs w:val="14"/>
                <w:lang w:val="ro-RO" w:eastAsia="de-DE"/>
              </w:rPr>
              <w:t xml:space="preserve">    172,680    </w:t>
            </w:r>
            <w:r w:rsidR="006E69B0" w:rsidRPr="009C5F11">
              <w:rPr>
                <w:rFonts w:ascii="Times New Roman" w:hAnsi="Times New Roman" w:cs="Times New Roman"/>
                <w:sz w:val="18"/>
                <w:szCs w:val="14"/>
                <w:lang w:val="ro-RO" w:eastAsia="de-DE"/>
              </w:rPr>
              <w:t xml:space="preserve"> mii lei</w:t>
            </w:r>
          </w:p>
          <w:p w14:paraId="1E00296E" w14:textId="77777777" w:rsidR="005B3244" w:rsidRPr="009C5F11" w:rsidRDefault="005B3244" w:rsidP="00334F3B">
            <w:pPr>
              <w:pStyle w:val="Listparagraf"/>
              <w:numPr>
                <w:ilvl w:val="0"/>
                <w:numId w:val="197"/>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w:t>
            </w:r>
            <w:r w:rsidR="00E67CD1" w:rsidRPr="009C5F11">
              <w:rPr>
                <w:rFonts w:ascii="Times New Roman" w:hAnsi="Times New Roman" w:cs="Times New Roman"/>
                <w:sz w:val="18"/>
                <w:szCs w:val="14"/>
                <w:lang w:val="ro-RO" w:eastAsia="de-DE"/>
              </w:rPr>
              <w:t xml:space="preserve">            172,680</w:t>
            </w:r>
            <w:r w:rsidR="006E69B0" w:rsidRPr="009C5F11">
              <w:rPr>
                <w:rFonts w:ascii="Times New Roman" w:hAnsi="Times New Roman" w:cs="Times New Roman"/>
                <w:sz w:val="18"/>
                <w:szCs w:val="14"/>
                <w:lang w:val="ro-RO" w:eastAsia="de-DE"/>
              </w:rPr>
              <w:t xml:space="preserve">     mii lei</w:t>
            </w:r>
          </w:p>
          <w:p w14:paraId="07422D51" w14:textId="77777777" w:rsidR="005B3244" w:rsidRPr="009C5F11" w:rsidRDefault="006713D8" w:rsidP="005B3244">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 parte din aceste mijloace</w:t>
            </w:r>
            <w:r w:rsidR="005B3244"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ar putea fi utilizate pentru </w:t>
            </w:r>
            <w:r w:rsidR="00F43616" w:rsidRPr="009C5F11">
              <w:rPr>
                <w:rFonts w:ascii="Times New Roman" w:hAnsi="Times New Roman" w:cs="Times New Roman"/>
                <w:sz w:val="18"/>
                <w:szCs w:val="14"/>
                <w:lang w:val="ro-RO" w:eastAsia="de-DE"/>
              </w:rPr>
              <w:t xml:space="preserve">iluminatul </w:t>
            </w:r>
            <w:r w:rsidRPr="009C5F11">
              <w:rPr>
                <w:rFonts w:ascii="Times New Roman" w:hAnsi="Times New Roman" w:cs="Times New Roman"/>
                <w:sz w:val="18"/>
                <w:szCs w:val="14"/>
                <w:lang w:val="ro-RO" w:eastAsia="de-DE"/>
              </w:rPr>
              <w:t xml:space="preserve">public </w:t>
            </w:r>
            <w:r w:rsidR="00F43616" w:rsidRPr="009C5F11">
              <w:rPr>
                <w:rFonts w:ascii="Times New Roman" w:hAnsi="Times New Roman" w:cs="Times New Roman"/>
                <w:sz w:val="18"/>
                <w:szCs w:val="14"/>
                <w:lang w:val="ro-RO" w:eastAsia="de-DE"/>
              </w:rPr>
              <w:t>stradal</w:t>
            </w:r>
            <w:r w:rsidRPr="009C5F11">
              <w:rPr>
                <w:rFonts w:ascii="Times New Roman" w:hAnsi="Times New Roman" w:cs="Times New Roman"/>
                <w:sz w:val="18"/>
                <w:szCs w:val="14"/>
                <w:lang w:val="ro-RO" w:eastAsia="de-DE"/>
              </w:rPr>
              <w:t>.</w:t>
            </w:r>
            <w:r w:rsidR="005B3244" w:rsidRPr="009C5F11">
              <w:rPr>
                <w:rFonts w:ascii="Times New Roman" w:hAnsi="Times New Roman" w:cs="Times New Roman"/>
                <w:sz w:val="18"/>
                <w:szCs w:val="14"/>
                <w:lang w:val="ro-RO" w:eastAsia="de-DE"/>
              </w:rPr>
              <w:t xml:space="preserve"> </w:t>
            </w:r>
          </w:p>
          <w:p w14:paraId="10D1336D" w14:textId="77777777" w:rsidR="005B4A9D" w:rsidRPr="009C5F11" w:rsidRDefault="005B4A9D" w:rsidP="005B3244">
            <w:p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p>
          <w:p w14:paraId="44AE9C83" w14:textId="77777777" w:rsidR="00936847" w:rsidRPr="009C5F11" w:rsidRDefault="006F2A15" w:rsidP="00D4530F">
            <w:pPr>
              <w:tabs>
                <w:tab w:val="left" w:pos="702"/>
                <w:tab w:val="left" w:pos="5040"/>
                <w:tab w:val="right" w:pos="8504"/>
              </w:tabs>
              <w:spacing w:before="40" w:after="0" w:line="240" w:lineRule="auto"/>
              <w:ind w:left="360" w:hanging="360"/>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Fondul special de energie verde</w:t>
            </w:r>
            <w:r w:rsidR="006713D8" w:rsidRPr="009C5F11">
              <w:rPr>
                <w:rFonts w:ascii="Times New Roman" w:hAnsi="Times New Roman" w:cs="Times New Roman"/>
                <w:b/>
                <w:sz w:val="18"/>
                <w:szCs w:val="14"/>
                <w:lang w:val="ro-RO" w:eastAsia="de-DE"/>
              </w:rPr>
              <w:t xml:space="preserve"> </w:t>
            </w:r>
            <w:r w:rsidR="00936847" w:rsidRPr="009C5F11">
              <w:rPr>
                <w:rFonts w:ascii="Times New Roman" w:hAnsi="Times New Roman" w:cs="Times New Roman"/>
                <w:b/>
                <w:sz w:val="18"/>
                <w:szCs w:val="14"/>
                <w:lang w:val="ro-RO" w:eastAsia="de-DE"/>
              </w:rPr>
              <w:t>(</w:t>
            </w:r>
            <w:r w:rsidR="00AA0566" w:rsidRPr="009C5F11">
              <w:rPr>
                <w:rFonts w:ascii="Times New Roman" w:hAnsi="Times New Roman" w:cs="Times New Roman"/>
                <w:b/>
                <w:sz w:val="18"/>
                <w:szCs w:val="14"/>
                <w:lang w:val="ro-RO" w:eastAsia="de-DE"/>
              </w:rPr>
              <w:t>BERD</w:t>
            </w:r>
            <w:r w:rsidR="00936847" w:rsidRPr="009C5F11">
              <w:rPr>
                <w:rFonts w:ascii="Times New Roman" w:hAnsi="Times New Roman" w:cs="Times New Roman"/>
                <w:b/>
                <w:sz w:val="18"/>
                <w:szCs w:val="14"/>
                <w:lang w:val="ro-RO" w:eastAsia="de-DE"/>
              </w:rPr>
              <w:t xml:space="preserve">) </w:t>
            </w:r>
          </w:p>
          <w:p w14:paraId="79B7251A" w14:textId="77777777" w:rsidR="00936847" w:rsidRPr="009C5F11" w:rsidRDefault="006713D8" w:rsidP="00430626">
            <w:p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 cadrul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Proiectului în sectorul drumurilor urbane din </w:t>
            </w:r>
            <w:r w:rsidR="00AA0566" w:rsidRPr="009C5F11">
              <w:rPr>
                <w:rFonts w:ascii="Times New Roman" w:hAnsi="Times New Roman" w:cs="Times New Roman"/>
                <w:sz w:val="18"/>
                <w:szCs w:val="14"/>
                <w:lang w:val="ro-RO" w:eastAsia="de-DE"/>
              </w:rPr>
              <w:t>Chişinău</w:t>
            </w:r>
            <w:r w:rsidR="00936847" w:rsidRPr="009C5F11">
              <w:rPr>
                <w:rFonts w:ascii="Times New Roman" w:hAnsi="Times New Roman" w:cs="Times New Roman"/>
                <w:sz w:val="18"/>
                <w:szCs w:val="14"/>
                <w:vertAlign w:val="superscript"/>
                <w:lang w:val="ro-RO" w:eastAsia="de-DE"/>
              </w:rPr>
              <w:footnoteReference w:id="19"/>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cu un buget total de</w:t>
            </w:r>
            <w:r w:rsidR="00936847" w:rsidRPr="009C5F11">
              <w:rPr>
                <w:rFonts w:ascii="Times New Roman" w:hAnsi="Times New Roman" w:cs="Times New Roman"/>
                <w:sz w:val="18"/>
                <w:szCs w:val="14"/>
                <w:lang w:val="ro-RO" w:eastAsia="de-DE"/>
              </w:rPr>
              <w:t xml:space="preserve"> 32.8</w:t>
            </w:r>
            <w:r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milioane euro</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ce urmează a fi lansat</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2016)</w:t>
            </w:r>
            <w:r w:rsidRPr="009C5F11">
              <w:rPr>
                <w:rFonts w:ascii="Times New Roman" w:hAnsi="Times New Roman" w:cs="Times New Roman"/>
                <w:sz w:val="18"/>
                <w:szCs w:val="14"/>
                <w:lang w:val="ro-RO" w:eastAsia="de-DE"/>
              </w:rPr>
              <w:t xml:space="preserve">, una dintre componente se va axa pe iluminatul </w:t>
            </w:r>
            <w:r w:rsidR="00E67CD1" w:rsidRPr="009C5F11">
              <w:rPr>
                <w:rFonts w:ascii="Times New Roman" w:hAnsi="Times New Roman" w:cs="Times New Roman"/>
                <w:sz w:val="18"/>
                <w:szCs w:val="14"/>
                <w:lang w:val="ro-RO" w:eastAsia="de-DE"/>
              </w:rPr>
              <w:t xml:space="preserve">public </w:t>
            </w:r>
            <w:r w:rsidRPr="009C5F11">
              <w:rPr>
                <w:rFonts w:ascii="Times New Roman" w:hAnsi="Times New Roman" w:cs="Times New Roman"/>
                <w:sz w:val="18"/>
                <w:szCs w:val="14"/>
                <w:lang w:val="ro-RO" w:eastAsia="de-DE"/>
              </w:rPr>
              <w:t xml:space="preserve">stradal din </w:t>
            </w:r>
            <w:r w:rsidR="00AA0566" w:rsidRPr="009C5F11">
              <w:rPr>
                <w:rFonts w:ascii="Times New Roman" w:hAnsi="Times New Roman" w:cs="Times New Roman"/>
                <w:sz w:val="18"/>
                <w:szCs w:val="14"/>
                <w:lang w:val="ro-RO" w:eastAsia="de-DE"/>
              </w:rPr>
              <w:t>Chişinău</w:t>
            </w:r>
            <w:r w:rsidRPr="009C5F11">
              <w:rPr>
                <w:rFonts w:ascii="Times New Roman" w:hAnsi="Times New Roman" w:cs="Times New Roman"/>
                <w:sz w:val="18"/>
                <w:szCs w:val="14"/>
                <w:lang w:val="ro-RO" w:eastAsia="de-DE"/>
              </w:rPr>
              <w:t xml:space="preserve">, având un buget de </w:t>
            </w:r>
            <w:r w:rsidR="00936847" w:rsidRPr="009C5F11">
              <w:rPr>
                <w:rFonts w:ascii="Times New Roman" w:hAnsi="Times New Roman" w:cs="Times New Roman"/>
                <w:sz w:val="18"/>
                <w:szCs w:val="14"/>
                <w:lang w:val="ro-RO" w:eastAsia="de-DE"/>
              </w:rPr>
              <w:t>1.4</w:t>
            </w:r>
            <w:r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milioane euro</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oferit de</w:t>
            </w:r>
            <w:r w:rsidR="006F2A15"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 xml:space="preserve">GESF. </w:t>
            </w:r>
          </w:p>
          <w:p w14:paraId="02175CA5" w14:textId="77777777" w:rsidR="00936847" w:rsidRPr="009C5F11" w:rsidRDefault="006713D8" w:rsidP="00430626">
            <w:p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w:t>
            </w:r>
            <w:r w:rsidR="00936847" w:rsidRPr="009C5F11">
              <w:rPr>
                <w:rFonts w:ascii="Times New Roman" w:hAnsi="Times New Roman" w:cs="Times New Roman"/>
                <w:sz w:val="18"/>
                <w:szCs w:val="14"/>
                <w:lang w:val="ro-RO" w:eastAsia="de-DE"/>
              </w:rPr>
              <w:t>b</w:t>
            </w:r>
            <w:r w:rsidRPr="009C5F11">
              <w:rPr>
                <w:rFonts w:ascii="Times New Roman" w:hAnsi="Times New Roman" w:cs="Times New Roman"/>
                <w:sz w:val="18"/>
                <w:szCs w:val="14"/>
                <w:lang w:val="ro-RO" w:eastAsia="de-DE"/>
              </w:rPr>
              <w:t>iectivul</w:t>
            </w:r>
            <w:r w:rsidR="00936847" w:rsidRPr="009C5F11">
              <w:rPr>
                <w:rFonts w:ascii="Times New Roman" w:hAnsi="Times New Roman" w:cs="Times New Roman"/>
                <w:sz w:val="18"/>
                <w:szCs w:val="14"/>
                <w:lang w:val="ro-RO" w:eastAsia="de-DE"/>
              </w:rPr>
              <w:t xml:space="preserve"> </w:t>
            </w:r>
            <w:r w:rsidR="00CD7240" w:rsidRPr="009C5F11">
              <w:rPr>
                <w:rFonts w:ascii="Times New Roman" w:hAnsi="Times New Roman" w:cs="Times New Roman"/>
                <w:sz w:val="18"/>
                <w:szCs w:val="14"/>
                <w:lang w:val="ro-RO" w:eastAsia="de-DE"/>
              </w:rPr>
              <w:t>proiectul</w:t>
            </w:r>
            <w:r w:rsidRPr="009C5F11">
              <w:rPr>
                <w:rFonts w:ascii="Times New Roman" w:hAnsi="Times New Roman" w:cs="Times New Roman"/>
                <w:sz w:val="18"/>
                <w:szCs w:val="14"/>
                <w:lang w:val="ro-RO" w:eastAsia="de-DE"/>
              </w:rPr>
              <w:t xml:space="preserve">ui este de a </w:t>
            </w:r>
            <w:r w:rsidR="00936847" w:rsidRPr="009C5F11">
              <w:rPr>
                <w:rFonts w:ascii="Times New Roman" w:hAnsi="Times New Roman" w:cs="Times New Roman"/>
                <w:sz w:val="18"/>
                <w:szCs w:val="14"/>
                <w:lang w:val="ro-RO" w:eastAsia="de-DE"/>
              </w:rPr>
              <w:t>moderniz</w:t>
            </w:r>
            <w:r w:rsidRPr="009C5F11">
              <w:rPr>
                <w:rFonts w:ascii="Times New Roman" w:hAnsi="Times New Roman" w:cs="Times New Roman"/>
                <w:sz w:val="18"/>
                <w:szCs w:val="14"/>
                <w:lang w:val="ro-RO" w:eastAsia="de-DE"/>
              </w:rPr>
              <w:t xml:space="preserve">a sistemul de </w:t>
            </w:r>
            <w:r w:rsidR="006F2A15" w:rsidRPr="009C5F11">
              <w:rPr>
                <w:rFonts w:ascii="Times New Roman" w:hAnsi="Times New Roman" w:cs="Times New Roman"/>
                <w:sz w:val="18"/>
                <w:szCs w:val="14"/>
                <w:lang w:val="ro-RO" w:eastAsia="de-DE"/>
              </w:rPr>
              <w:t xml:space="preserve">iluminat </w:t>
            </w:r>
            <w:r w:rsidR="00E67CD1" w:rsidRPr="009C5F11">
              <w:rPr>
                <w:rFonts w:ascii="Times New Roman" w:hAnsi="Times New Roman" w:cs="Times New Roman"/>
                <w:sz w:val="18"/>
                <w:szCs w:val="14"/>
                <w:lang w:val="ro-RO" w:eastAsia="de-DE"/>
              </w:rPr>
              <w:t xml:space="preserve">public </w:t>
            </w:r>
            <w:r w:rsidR="006F2A15" w:rsidRPr="009C5F11">
              <w:rPr>
                <w:rFonts w:ascii="Times New Roman" w:hAnsi="Times New Roman" w:cs="Times New Roman"/>
                <w:sz w:val="18"/>
                <w:szCs w:val="14"/>
                <w:lang w:val="ro-RO" w:eastAsia="de-DE"/>
              </w:rPr>
              <w:t>stradal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din Chişinău prin înlocuirea becurilor de presiune înaltă bazate pe mercur cu becuri moderne bazate pe tehnologii eficiente din punct de vedere energetic în </w:t>
            </w:r>
            <w:r w:rsidRPr="009C5F11">
              <w:rPr>
                <w:rFonts w:ascii="Times New Roman" w:hAnsi="Times New Roman" w:cs="Times New Roman"/>
                <w:sz w:val="18"/>
                <w:szCs w:val="14"/>
                <w:lang w:val="ro-RO" w:eastAsia="de-DE"/>
              </w:rPr>
              <w:lastRenderedPageBreak/>
              <w:t xml:space="preserve">toată reţeaua cu o lungime de </w:t>
            </w:r>
            <w:r w:rsidR="003A5D89" w:rsidRPr="009C5F11">
              <w:rPr>
                <w:rFonts w:ascii="Times New Roman" w:hAnsi="Times New Roman" w:cs="Times New Roman"/>
                <w:sz w:val="18"/>
                <w:szCs w:val="14"/>
                <w:lang w:val="ro-RO" w:eastAsia="de-DE"/>
              </w:rPr>
              <w:t>până la</w:t>
            </w:r>
            <w:r w:rsidR="00936847" w:rsidRPr="009C5F11">
              <w:rPr>
                <w:rFonts w:ascii="Times New Roman" w:hAnsi="Times New Roman" w:cs="Times New Roman"/>
                <w:sz w:val="18"/>
                <w:szCs w:val="14"/>
                <w:lang w:val="ro-RO" w:eastAsia="de-DE"/>
              </w:rPr>
              <w:t xml:space="preserve"> 13 </w:t>
            </w:r>
            <w:r w:rsidR="001D4E8D" w:rsidRPr="009C5F11">
              <w:rPr>
                <w:rFonts w:ascii="Times New Roman" w:hAnsi="Times New Roman" w:cs="Times New Roman"/>
                <w:sz w:val="18"/>
                <w:szCs w:val="14"/>
                <w:lang w:val="ro-RO" w:eastAsia="de-DE"/>
              </w:rPr>
              <w:t>kilometr</w:t>
            </w:r>
            <w:r w:rsidR="00D8474E" w:rsidRPr="009C5F11">
              <w:rPr>
                <w:rFonts w:ascii="Times New Roman" w:hAnsi="Times New Roman" w:cs="Times New Roman"/>
                <w:sz w:val="18"/>
                <w:szCs w:val="14"/>
                <w:lang w:val="ro-RO" w:eastAsia="de-DE"/>
              </w:rPr>
              <w:t>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de străzi </w:t>
            </w:r>
            <w:r w:rsidR="00936847" w:rsidRPr="009C5F11">
              <w:rPr>
                <w:rFonts w:ascii="Times New Roman" w:hAnsi="Times New Roman" w:cs="Times New Roman"/>
                <w:sz w:val="18"/>
                <w:szCs w:val="14"/>
                <w:lang w:val="ro-RO" w:eastAsia="de-DE"/>
              </w:rPr>
              <w:t>pri</w:t>
            </w:r>
            <w:r w:rsidR="00D8474E" w:rsidRPr="009C5F11">
              <w:rPr>
                <w:rFonts w:ascii="Times New Roman" w:hAnsi="Times New Roman" w:cs="Times New Roman"/>
                <w:sz w:val="18"/>
                <w:szCs w:val="14"/>
                <w:lang w:val="ro-RO" w:eastAsia="de-DE"/>
              </w:rPr>
              <w:t>ncipale</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sec</w:t>
            </w:r>
            <w:r w:rsidRPr="009C5F11">
              <w:rPr>
                <w:rFonts w:ascii="Times New Roman" w:hAnsi="Times New Roman" w:cs="Times New Roman"/>
                <w:sz w:val="18"/>
                <w:szCs w:val="14"/>
                <w:lang w:val="ro-RO" w:eastAsia="de-DE"/>
              </w:rPr>
              <w:t>u</w:t>
            </w:r>
            <w:r w:rsidR="00936847" w:rsidRPr="009C5F11">
              <w:rPr>
                <w:rFonts w:ascii="Times New Roman" w:hAnsi="Times New Roman" w:cs="Times New Roman"/>
                <w:sz w:val="18"/>
                <w:szCs w:val="14"/>
                <w:lang w:val="ro-RO" w:eastAsia="de-DE"/>
              </w:rPr>
              <w:t>ndar</w:t>
            </w:r>
            <w:r w:rsidRPr="009C5F11">
              <w:rPr>
                <w:rFonts w:ascii="Times New Roman" w:hAnsi="Times New Roman" w:cs="Times New Roman"/>
                <w:sz w:val="18"/>
                <w:szCs w:val="14"/>
                <w:lang w:val="ro-RO" w:eastAsia="de-DE"/>
              </w:rPr>
              <w:t xml:space="preserve">e din centrul oraşului. </w:t>
            </w:r>
          </w:p>
          <w:p w14:paraId="5549E5B4" w14:textId="77777777" w:rsidR="00936847" w:rsidRPr="009C5F11" w:rsidRDefault="006713D8" w:rsidP="00430626">
            <w:p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Datorită modernizării se anticipează eficientizarea sistemului de iluminat stradal cu </w:t>
            </w:r>
            <w:r w:rsidR="00936847" w:rsidRPr="009C5F11">
              <w:rPr>
                <w:rFonts w:ascii="Times New Roman" w:hAnsi="Times New Roman" w:cs="Times New Roman"/>
                <w:sz w:val="18"/>
                <w:szCs w:val="14"/>
                <w:lang w:val="ro-RO" w:eastAsia="de-DE"/>
              </w:rPr>
              <w:t>70%.</w:t>
            </w:r>
          </w:p>
          <w:p w14:paraId="0EFE1A57" w14:textId="77777777" w:rsidR="005B4A9D" w:rsidRPr="009C5F11" w:rsidRDefault="005B4A9D" w:rsidP="005B4A9D">
            <w:pPr>
              <w:tabs>
                <w:tab w:val="left" w:pos="702"/>
                <w:tab w:val="left" w:pos="5040"/>
                <w:tab w:val="right" w:pos="8504"/>
              </w:tabs>
              <w:spacing w:before="40" w:after="0" w:line="240" w:lineRule="auto"/>
              <w:ind w:left="720"/>
              <w:jc w:val="both"/>
              <w:rPr>
                <w:rFonts w:ascii="Times New Roman" w:hAnsi="Times New Roman" w:cs="Times New Roman"/>
                <w:b/>
                <w:sz w:val="18"/>
                <w:szCs w:val="14"/>
                <w:lang w:val="ro-RO" w:eastAsia="de-DE"/>
              </w:rPr>
            </w:pPr>
          </w:p>
          <w:p w14:paraId="45452DF5" w14:textId="77777777" w:rsidR="00936847" w:rsidRPr="009C5F11" w:rsidRDefault="00F53252" w:rsidP="00D4530F">
            <w:pPr>
              <w:tabs>
                <w:tab w:val="left" w:pos="702"/>
                <w:tab w:val="left" w:pos="5040"/>
                <w:tab w:val="right" w:pos="8504"/>
              </w:tabs>
              <w:spacing w:before="40" w:after="0" w:line="240" w:lineRule="auto"/>
              <w:ind w:left="360" w:hanging="247"/>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FISM</w:t>
            </w:r>
            <w:r w:rsidR="00936847" w:rsidRPr="009C5F11">
              <w:rPr>
                <w:rFonts w:ascii="Times New Roman" w:hAnsi="Times New Roman" w:cs="Times New Roman"/>
                <w:b/>
                <w:sz w:val="18"/>
                <w:szCs w:val="14"/>
                <w:lang w:val="ro-RO" w:eastAsia="de-DE"/>
              </w:rPr>
              <w:t xml:space="preserve"> </w:t>
            </w:r>
          </w:p>
          <w:p w14:paraId="0A00EC3F" w14:textId="77777777" w:rsidR="00936847" w:rsidRPr="009C5F11" w:rsidRDefault="007E7C41" w:rsidP="00430626">
            <w:pPr>
              <w:tabs>
                <w:tab w:val="left" w:pos="5040"/>
                <w:tab w:val="right" w:pos="8504"/>
              </w:tabs>
              <w:spacing w:before="40" w:after="0" w:line="240" w:lineRule="auto"/>
              <w:ind w:left="7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FISM a fost contractat de organizaţii locale şi străine pentru a presta servicii de consultanţă în gestionarea proiectelor realizate în Republica Moldova şi peste hotare, susţinute de donatori străini</w:t>
            </w:r>
            <w:r w:rsidR="00936847" w:rsidRPr="009C5F11">
              <w:rPr>
                <w:rFonts w:ascii="Times New Roman" w:hAnsi="Times New Roman" w:cs="Times New Roman"/>
                <w:sz w:val="18"/>
                <w:szCs w:val="14"/>
                <w:lang w:val="ro-RO" w:eastAsia="de-DE"/>
              </w:rPr>
              <w:t>.</w:t>
            </w:r>
          </w:p>
          <w:p w14:paraId="6073D100" w14:textId="77777777" w:rsidR="00936847" w:rsidRPr="009C5F11" w:rsidRDefault="007E7C41" w:rsidP="00334F3B">
            <w:pPr>
              <w:numPr>
                <w:ilvl w:val="0"/>
                <w:numId w:val="110"/>
              </w:numPr>
              <w:tabs>
                <w:tab w:val="left" w:pos="882"/>
                <w:tab w:val="left" w:pos="5040"/>
                <w:tab w:val="right" w:pos="8504"/>
              </w:tabs>
              <w:spacing w:before="40" w:after="0" w:line="240" w:lineRule="auto"/>
              <w:ind w:left="853" w:hanging="283"/>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Proiectul infrastructura socială şi eficienţa energetică, grantul oferit de KfW:</w:t>
            </w:r>
            <w:r w:rsidRPr="009C5F11">
              <w:rPr>
                <w:rFonts w:ascii="Times New Roman" w:hAnsi="Times New Roman" w:cs="Times New Roman"/>
                <w:sz w:val="18"/>
                <w:szCs w:val="14"/>
                <w:lang w:val="ro-RO" w:eastAsia="de-DE"/>
              </w:rPr>
              <w:t xml:space="preserve"> Proiectul vizează investiţiile în infrastructura socială (alimentarea cu apă şi sanitaţie, şcoli, grădiniţe de copii, drumuri etc.) a comunităţilor locale cu un număr de locuitori până la 20 000 cu axare specială pe eficientizarea consumului de energie şi utilizarea resurselor alternative de energie. Pe parcursul perioadei 2013-2015 pe baza acestui sprijin au fost finanţate proiecte, în acest scop fiind alocate 5.481 milioane euro. Per total, au fost suportate următoarele costuri pe sectoare</w:t>
            </w:r>
            <w:r w:rsidR="00936847" w:rsidRPr="009C5F11">
              <w:rPr>
                <w:rFonts w:ascii="Times New Roman" w:hAnsi="Times New Roman" w:cs="Times New Roman"/>
                <w:sz w:val="18"/>
                <w:szCs w:val="14"/>
                <w:lang w:val="ro-RO" w:eastAsia="de-DE"/>
              </w:rPr>
              <w:t>:</w:t>
            </w:r>
          </w:p>
          <w:p w14:paraId="5625DBF8" w14:textId="77777777" w:rsidR="00936847" w:rsidRPr="009C5F11" w:rsidRDefault="005D06FD" w:rsidP="00334F3B">
            <w:pPr>
              <w:numPr>
                <w:ilvl w:val="0"/>
                <w:numId w:val="113"/>
              </w:numPr>
              <w:tabs>
                <w:tab w:val="left" w:pos="702"/>
                <w:tab w:val="left" w:pos="1962"/>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Clădiri publice</w:t>
            </w:r>
            <w:r w:rsidR="00936847" w:rsidRPr="009C5F11">
              <w:rPr>
                <w:rFonts w:ascii="Times New Roman" w:hAnsi="Times New Roman" w:cs="Times New Roman"/>
                <w:sz w:val="18"/>
                <w:szCs w:val="14"/>
                <w:lang w:val="ro-RO" w:eastAsia="de-DE"/>
              </w:rPr>
              <w:t>: 3,380,527 Euro</w:t>
            </w:r>
            <w:r w:rsidR="006F2A15" w:rsidRPr="009C5F11">
              <w:rPr>
                <w:rFonts w:ascii="Times New Roman" w:hAnsi="Times New Roman" w:cs="Times New Roman"/>
                <w:sz w:val="18"/>
                <w:szCs w:val="14"/>
                <w:lang w:val="ro-RO" w:eastAsia="de-DE"/>
              </w:rPr>
              <w:t>;</w:t>
            </w:r>
          </w:p>
          <w:p w14:paraId="05749350" w14:textId="77777777" w:rsidR="00936847" w:rsidRPr="009C5F11" w:rsidRDefault="000E55A5" w:rsidP="00334F3B">
            <w:pPr>
              <w:numPr>
                <w:ilvl w:val="0"/>
                <w:numId w:val="113"/>
              </w:numPr>
              <w:tabs>
                <w:tab w:val="left" w:pos="702"/>
                <w:tab w:val="left" w:pos="1962"/>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Infrastructura </w:t>
            </w:r>
            <w:r w:rsidR="00B23C12" w:rsidRPr="009C5F11">
              <w:rPr>
                <w:rFonts w:ascii="Times New Roman" w:hAnsi="Times New Roman" w:cs="Times New Roman"/>
                <w:sz w:val="18"/>
                <w:szCs w:val="14"/>
                <w:lang w:val="ro-RO" w:eastAsia="de-DE"/>
              </w:rPr>
              <w:t>alimentare cu apa</w:t>
            </w:r>
            <w:r w:rsidR="00936847" w:rsidRPr="009C5F11">
              <w:rPr>
                <w:rFonts w:ascii="Times New Roman" w:hAnsi="Times New Roman" w:cs="Times New Roman"/>
                <w:sz w:val="18"/>
                <w:szCs w:val="14"/>
                <w:lang w:val="ro-RO" w:eastAsia="de-DE"/>
              </w:rPr>
              <w:t>: 611,286 Euro</w:t>
            </w:r>
            <w:r w:rsidR="006F2A15" w:rsidRPr="009C5F11">
              <w:rPr>
                <w:rFonts w:ascii="Times New Roman" w:hAnsi="Times New Roman" w:cs="Times New Roman"/>
                <w:sz w:val="18"/>
                <w:szCs w:val="14"/>
                <w:lang w:val="ro-RO" w:eastAsia="de-DE"/>
              </w:rPr>
              <w:t>;</w:t>
            </w:r>
          </w:p>
          <w:p w14:paraId="64440BD9" w14:textId="77777777" w:rsidR="00936847" w:rsidRPr="009C5F11" w:rsidRDefault="000E55A5" w:rsidP="00334F3B">
            <w:pPr>
              <w:numPr>
                <w:ilvl w:val="0"/>
                <w:numId w:val="113"/>
              </w:numPr>
              <w:tabs>
                <w:tab w:val="left" w:pos="702"/>
                <w:tab w:val="left" w:pos="1962"/>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Infrastructura rutieră</w:t>
            </w:r>
            <w:r w:rsidR="00936847" w:rsidRPr="009C5F11">
              <w:rPr>
                <w:rFonts w:ascii="Times New Roman" w:hAnsi="Times New Roman" w:cs="Times New Roman"/>
                <w:sz w:val="18"/>
                <w:szCs w:val="14"/>
                <w:lang w:val="ro-RO" w:eastAsia="de-DE"/>
              </w:rPr>
              <w:t>: 926,498 Euro</w:t>
            </w:r>
            <w:r w:rsidR="006F2A15" w:rsidRPr="009C5F11">
              <w:rPr>
                <w:rFonts w:ascii="Times New Roman" w:hAnsi="Times New Roman" w:cs="Times New Roman"/>
                <w:sz w:val="18"/>
                <w:szCs w:val="14"/>
                <w:lang w:val="ro-RO" w:eastAsia="de-DE"/>
              </w:rPr>
              <w:t>;</w:t>
            </w:r>
          </w:p>
          <w:p w14:paraId="21876EFB" w14:textId="77777777" w:rsidR="00936847" w:rsidRPr="009C5F11" w:rsidRDefault="000E55A5" w:rsidP="00334F3B">
            <w:pPr>
              <w:numPr>
                <w:ilvl w:val="0"/>
                <w:numId w:val="113"/>
              </w:numPr>
              <w:tabs>
                <w:tab w:val="left" w:pos="702"/>
                <w:tab w:val="left" w:pos="1962"/>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Iluminatul stradal</w:t>
            </w:r>
            <w:r w:rsidR="00936847" w:rsidRPr="009C5F11">
              <w:rPr>
                <w:rFonts w:ascii="Times New Roman" w:hAnsi="Times New Roman" w:cs="Times New Roman"/>
                <w:sz w:val="18"/>
                <w:szCs w:val="14"/>
                <w:lang w:val="ro-RO" w:eastAsia="de-DE"/>
              </w:rPr>
              <w:t>: 138,976 Euro</w:t>
            </w:r>
            <w:r w:rsidR="006F2A15" w:rsidRPr="009C5F11">
              <w:rPr>
                <w:rFonts w:ascii="Times New Roman" w:hAnsi="Times New Roman" w:cs="Times New Roman"/>
                <w:sz w:val="18"/>
                <w:szCs w:val="14"/>
                <w:lang w:val="ro-RO" w:eastAsia="de-DE"/>
              </w:rPr>
              <w:t>.</w:t>
            </w:r>
          </w:p>
          <w:p w14:paraId="63B96348" w14:textId="77777777" w:rsidR="00936847" w:rsidRPr="009C5F11" w:rsidRDefault="00936847" w:rsidP="00430626">
            <w:pPr>
              <w:tabs>
                <w:tab w:val="left" w:pos="702"/>
                <w:tab w:val="left" w:pos="1962"/>
                <w:tab w:val="right" w:pos="8504"/>
              </w:tabs>
              <w:spacing w:before="40" w:after="0" w:line="240" w:lineRule="auto"/>
              <w:ind w:left="720"/>
              <w:jc w:val="both"/>
              <w:rPr>
                <w:rFonts w:ascii="Times New Roman" w:hAnsi="Times New Roman" w:cs="Times New Roman"/>
                <w:sz w:val="18"/>
                <w:szCs w:val="14"/>
                <w:lang w:val="ro-RO" w:eastAsia="de-DE"/>
              </w:rPr>
            </w:pPr>
          </w:p>
          <w:p w14:paraId="5A22A1AA" w14:textId="77777777" w:rsidR="00936847" w:rsidRPr="009C5F11" w:rsidRDefault="00E46DD7" w:rsidP="00D4530F">
            <w:pPr>
              <w:tabs>
                <w:tab w:val="left" w:pos="702"/>
                <w:tab w:val="left" w:pos="5040"/>
                <w:tab w:val="right" w:pos="8504"/>
              </w:tabs>
              <w:spacing w:before="40" w:after="0" w:line="240" w:lineRule="auto"/>
              <w:ind w:left="360" w:hanging="337"/>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Proiectul </w:t>
            </w:r>
            <w:r w:rsidR="00936847" w:rsidRPr="009C5F11">
              <w:rPr>
                <w:rFonts w:ascii="Times New Roman" w:hAnsi="Times New Roman" w:cs="Times New Roman"/>
                <w:b/>
                <w:sz w:val="18"/>
                <w:szCs w:val="14"/>
                <w:lang w:val="ro-RO" w:eastAsia="de-DE"/>
              </w:rPr>
              <w:t xml:space="preserve">E5P </w:t>
            </w:r>
          </w:p>
          <w:p w14:paraId="7DA0CECC" w14:textId="77777777" w:rsidR="00936847" w:rsidRPr="009C5F11" w:rsidRDefault="007E7C41" w:rsidP="000C7819">
            <w:p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Uniunea Europeană va oferi Republicii Moldova 18 milioane euro </w:t>
            </w:r>
            <w:r w:rsidR="000C7819" w:rsidRPr="009C5F11">
              <w:rPr>
                <w:rFonts w:ascii="Times New Roman" w:hAnsi="Times New Roman" w:cs="Times New Roman"/>
                <w:sz w:val="18"/>
                <w:szCs w:val="14"/>
                <w:lang w:val="ro-RO" w:eastAsia="de-DE"/>
              </w:rPr>
              <w:t>pentru</w:t>
            </w:r>
            <w:r w:rsidRPr="009C5F11">
              <w:rPr>
                <w:rFonts w:ascii="Times New Roman" w:hAnsi="Times New Roman" w:cs="Times New Roman"/>
                <w:sz w:val="18"/>
                <w:szCs w:val="14"/>
                <w:lang w:val="ro-RO" w:eastAsia="de-DE"/>
              </w:rPr>
              <w:t xml:space="preserve"> implement</w:t>
            </w:r>
            <w:r w:rsidR="000C7819" w:rsidRPr="009C5F11">
              <w:rPr>
                <w:rFonts w:ascii="Times New Roman" w:hAnsi="Times New Roman" w:cs="Times New Roman"/>
                <w:sz w:val="18"/>
                <w:szCs w:val="14"/>
                <w:lang w:val="ro-RO" w:eastAsia="de-DE"/>
              </w:rPr>
              <w:t>area</w:t>
            </w:r>
            <w:r w:rsidRPr="009C5F11">
              <w:rPr>
                <w:rFonts w:ascii="Times New Roman" w:hAnsi="Times New Roman" w:cs="Times New Roman"/>
                <w:sz w:val="18"/>
                <w:szCs w:val="14"/>
                <w:lang w:val="ro-RO" w:eastAsia="de-DE"/>
              </w:rPr>
              <w:t xml:space="preserve"> unor proiecte de eficienţă energetică şi de protecţie a mediului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promotorul fiind Programul</w:t>
            </w:r>
            <w:r w:rsidR="00936847" w:rsidRPr="009C5F11">
              <w:rPr>
                <w:rFonts w:ascii="Times New Roman" w:hAnsi="Times New Roman" w:cs="Times New Roman"/>
                <w:sz w:val="18"/>
                <w:szCs w:val="14"/>
                <w:lang w:val="ro-RO" w:eastAsia="de-DE"/>
              </w:rPr>
              <w:t xml:space="preserve"> E5P </w:t>
            </w:r>
            <w:r w:rsidRPr="009C5F11">
              <w:rPr>
                <w:rFonts w:ascii="Times New Roman" w:hAnsi="Times New Roman" w:cs="Times New Roman"/>
                <w:sz w:val="18"/>
                <w:szCs w:val="14"/>
                <w:lang w:val="ro-RO" w:eastAsia="de-DE"/>
              </w:rPr>
              <w:t xml:space="preserve">care va investi </w:t>
            </w:r>
            <w:r w:rsidR="00936847" w:rsidRPr="009C5F11">
              <w:rPr>
                <w:rFonts w:ascii="Times New Roman" w:hAnsi="Times New Roman" w:cs="Times New Roman"/>
                <w:sz w:val="18"/>
                <w:szCs w:val="14"/>
                <w:lang w:val="ro-RO" w:eastAsia="de-DE"/>
              </w:rPr>
              <w:t>20</w:t>
            </w:r>
            <w:r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 xml:space="preserve">milioane </w:t>
            </w:r>
            <w:r w:rsidRPr="009C5F11">
              <w:rPr>
                <w:rFonts w:ascii="Times New Roman" w:hAnsi="Times New Roman" w:cs="Times New Roman"/>
                <w:sz w:val="18"/>
                <w:szCs w:val="14"/>
                <w:lang w:val="ro-RO" w:eastAsia="de-DE"/>
              </w:rPr>
              <w:t xml:space="preserve">de </w:t>
            </w:r>
            <w:r w:rsidR="00421FA7" w:rsidRPr="009C5F11">
              <w:rPr>
                <w:rFonts w:ascii="Times New Roman" w:hAnsi="Times New Roman" w:cs="Times New Roman"/>
                <w:sz w:val="18"/>
                <w:szCs w:val="14"/>
                <w:lang w:val="ro-RO" w:eastAsia="de-DE"/>
              </w:rPr>
              <w:t>euro</w:t>
            </w:r>
            <w:r w:rsidR="00321CD5" w:rsidRPr="009C5F11">
              <w:rPr>
                <w:rFonts w:ascii="Times New Roman" w:hAnsi="Times New Roman" w:cs="Times New Roman"/>
                <w:sz w:val="18"/>
                <w:szCs w:val="14"/>
                <w:lang w:val="ro-RO" w:eastAsia="de-DE"/>
              </w:rPr>
              <w:t xml:space="preserve"> în </w:t>
            </w:r>
            <w:r w:rsidR="00F43616" w:rsidRPr="009C5F11">
              <w:rPr>
                <w:rFonts w:ascii="Times New Roman" w:hAnsi="Times New Roman" w:cs="Times New Roman"/>
                <w:sz w:val="18"/>
                <w:szCs w:val="14"/>
                <w:lang w:val="ro-RO" w:eastAsia="de-DE"/>
              </w:rPr>
              <w:t>sectorul public</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cu axare pe</w:t>
            </w:r>
            <w:r w:rsidR="00936847" w:rsidRPr="009C5F11">
              <w:rPr>
                <w:rFonts w:ascii="Times New Roman" w:hAnsi="Times New Roman" w:cs="Times New Roman"/>
                <w:sz w:val="18"/>
                <w:szCs w:val="14"/>
                <w:lang w:val="ro-RO" w:eastAsia="de-DE"/>
              </w:rPr>
              <w:t xml:space="preserve"> </w:t>
            </w:r>
            <w:r w:rsidR="007F77BE" w:rsidRPr="009C5F11">
              <w:rPr>
                <w:rFonts w:ascii="Times New Roman" w:hAnsi="Times New Roman" w:cs="Times New Roman"/>
                <w:sz w:val="18"/>
                <w:szCs w:val="14"/>
                <w:lang w:val="ro-RO" w:eastAsia="de-DE"/>
              </w:rPr>
              <w:t>clădirile publice</w:t>
            </w:r>
            <w:r w:rsidR="00936847" w:rsidRPr="009C5F11">
              <w:rPr>
                <w:rFonts w:ascii="Times New Roman" w:hAnsi="Times New Roman" w:cs="Times New Roman"/>
                <w:sz w:val="18"/>
                <w:szCs w:val="14"/>
                <w:lang w:val="ro-RO" w:eastAsia="de-DE"/>
              </w:rPr>
              <w:t xml:space="preserve">, </w:t>
            </w:r>
            <w:r w:rsidR="006F2A15" w:rsidRPr="009C5F11">
              <w:rPr>
                <w:rFonts w:ascii="Times New Roman" w:hAnsi="Times New Roman" w:cs="Times New Roman"/>
                <w:sz w:val="18"/>
                <w:szCs w:val="14"/>
                <w:lang w:val="ro-RO" w:eastAsia="de-DE"/>
              </w:rPr>
              <w:t>transportul public</w:t>
            </w:r>
            <w:r w:rsidR="00321CD5" w:rsidRPr="009C5F11">
              <w:rPr>
                <w:rFonts w:ascii="Times New Roman" w:hAnsi="Times New Roman" w:cs="Times New Roman"/>
                <w:sz w:val="18"/>
                <w:szCs w:val="14"/>
                <w:lang w:val="ro-RO" w:eastAsia="de-DE"/>
              </w:rPr>
              <w:t xml:space="preserve"> şi </w:t>
            </w:r>
            <w:r w:rsidR="006F2A15" w:rsidRPr="009C5F11">
              <w:rPr>
                <w:rFonts w:ascii="Times New Roman" w:hAnsi="Times New Roman" w:cs="Times New Roman"/>
                <w:sz w:val="18"/>
                <w:szCs w:val="14"/>
                <w:lang w:val="ro-RO" w:eastAsia="de-DE"/>
              </w:rPr>
              <w:t xml:space="preserve">iluminatul </w:t>
            </w:r>
            <w:r w:rsidR="00B23C12" w:rsidRPr="009C5F11">
              <w:rPr>
                <w:rFonts w:ascii="Times New Roman" w:hAnsi="Times New Roman" w:cs="Times New Roman"/>
                <w:sz w:val="18"/>
                <w:szCs w:val="14"/>
                <w:lang w:val="ro-RO" w:eastAsia="de-DE"/>
              </w:rPr>
              <w:t xml:space="preserve">public </w:t>
            </w:r>
            <w:r w:rsidR="006F2A15" w:rsidRPr="009C5F11">
              <w:rPr>
                <w:rFonts w:ascii="Times New Roman" w:hAnsi="Times New Roman" w:cs="Times New Roman"/>
                <w:sz w:val="18"/>
                <w:szCs w:val="14"/>
                <w:lang w:val="ro-RO" w:eastAsia="de-DE"/>
              </w:rPr>
              <w:t>stradal</w:t>
            </w:r>
            <w:r w:rsidR="00936847" w:rsidRPr="009C5F11">
              <w:rPr>
                <w:rFonts w:ascii="Times New Roman" w:hAnsi="Times New Roman" w:cs="Times New Roman"/>
                <w:sz w:val="18"/>
                <w:szCs w:val="14"/>
                <w:vertAlign w:val="superscript"/>
                <w:lang w:val="ro-RO" w:eastAsia="de-DE"/>
              </w:rPr>
              <w:footnoteReference w:id="20"/>
            </w:r>
            <w:r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tc>
      </w:tr>
      <w:tr w:rsidR="00936847" w:rsidRPr="009C5F11" w14:paraId="2273890B" w14:textId="77777777" w:rsidTr="00BF6432">
        <w:trPr>
          <w:trHeight w:val="80"/>
        </w:trPr>
        <w:tc>
          <w:tcPr>
            <w:tcW w:w="743" w:type="pct"/>
            <w:vMerge/>
          </w:tcPr>
          <w:p w14:paraId="7BA65CC6"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8421177"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59A4CDAF" w14:textId="77777777" w:rsidR="00936847" w:rsidRPr="009C5F11" w:rsidRDefault="006F2A15"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w:t>
            </w:r>
            <w:r w:rsidR="00FD5F1C" w:rsidRPr="009C5F11">
              <w:rPr>
                <w:rFonts w:ascii="Times New Roman" w:hAnsi="Times New Roman" w:cs="Times New Roman"/>
                <w:sz w:val="18"/>
                <w:szCs w:val="14"/>
                <w:lang w:val="ro-RO" w:eastAsia="de-DE"/>
              </w:rPr>
              <w:t>utorităţile publice locale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cu sprijinul MF şi al AEE</w:t>
            </w:r>
            <w:r w:rsidR="007E7C41" w:rsidRPr="009C5F11">
              <w:rPr>
                <w:rFonts w:ascii="Times New Roman" w:hAnsi="Times New Roman" w:cs="Times New Roman"/>
                <w:sz w:val="18"/>
                <w:szCs w:val="14"/>
                <w:lang w:val="ro-RO" w:eastAsia="de-DE"/>
              </w:rPr>
              <w:t>.</w:t>
            </w:r>
          </w:p>
        </w:tc>
      </w:tr>
      <w:tr w:rsidR="00936847" w:rsidRPr="009C5F11" w14:paraId="4622BBA2" w14:textId="77777777" w:rsidTr="00BF6432">
        <w:trPr>
          <w:trHeight w:val="67"/>
        </w:trPr>
        <w:tc>
          <w:tcPr>
            <w:tcW w:w="743" w:type="pct"/>
            <w:vMerge/>
          </w:tcPr>
          <w:p w14:paraId="455D3600"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3ED710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6715B08B" w14:textId="77777777" w:rsidR="00936847" w:rsidRPr="009C5F11" w:rsidRDefault="00AA056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936847" w:rsidRPr="009C5F11" w14:paraId="75B51E2F" w14:textId="77777777" w:rsidTr="00BF6432">
        <w:trPr>
          <w:trHeight w:val="233"/>
        </w:trPr>
        <w:tc>
          <w:tcPr>
            <w:tcW w:w="743" w:type="pct"/>
            <w:vMerge w:val="restart"/>
          </w:tcPr>
          <w:p w14:paraId="3D850859"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339E17A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52FE0290"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w:t>
            </w:r>
          </w:p>
        </w:tc>
      </w:tr>
      <w:tr w:rsidR="00936847" w:rsidRPr="009C5F11" w14:paraId="59784D5A" w14:textId="77777777" w:rsidTr="00BF6432">
        <w:trPr>
          <w:trHeight w:val="296"/>
        </w:trPr>
        <w:tc>
          <w:tcPr>
            <w:tcW w:w="743" w:type="pct"/>
            <w:vMerge/>
          </w:tcPr>
          <w:p w14:paraId="4053E30A"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D39DB1C"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prevăzute în anul 2016 conform primului PNAEE</w:t>
            </w:r>
            <w:r w:rsidR="00936847" w:rsidRPr="009C5F11">
              <w:rPr>
                <w:rFonts w:ascii="Times New Roman" w:hAnsi="Times New Roman" w:cs="Times New Roman"/>
                <w:sz w:val="18"/>
                <w:szCs w:val="14"/>
                <w:lang w:val="ro-RO" w:eastAsia="de-DE"/>
              </w:rPr>
              <w:t xml:space="preserve"> </w:t>
            </w:r>
          </w:p>
        </w:tc>
        <w:tc>
          <w:tcPr>
            <w:tcW w:w="3244" w:type="pct"/>
          </w:tcPr>
          <w:p w14:paraId="5F97B143" w14:textId="77777777" w:rsidR="00936847" w:rsidRPr="009C5F11" w:rsidRDefault="006F2A15"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Estimarea</w:t>
            </w:r>
            <w:r w:rsidR="00936847"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2013-2015: 0.0516 </w:t>
            </w:r>
            <w:r w:rsidR="00E52940" w:rsidRPr="009C5F11">
              <w:rPr>
                <w:rFonts w:ascii="Times New Roman" w:hAnsi="Times New Roman" w:cs="Times New Roman"/>
                <w:sz w:val="18"/>
                <w:szCs w:val="14"/>
                <w:lang w:val="ro-RO" w:eastAsia="de-DE"/>
              </w:rPr>
              <w:t>ktep</w:t>
            </w:r>
          </w:p>
        </w:tc>
      </w:tr>
      <w:tr w:rsidR="00936847" w:rsidRPr="009C5F11" w14:paraId="557BF34D" w14:textId="77777777" w:rsidTr="00BF6432">
        <w:trPr>
          <w:trHeight w:val="341"/>
        </w:trPr>
        <w:tc>
          <w:tcPr>
            <w:tcW w:w="743" w:type="pct"/>
            <w:vMerge/>
          </w:tcPr>
          <w:p w14:paraId="773C52C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03FA6E1" w14:textId="77777777" w:rsidR="00936847"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04F1EDD1"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sz w:val="18"/>
                <w:szCs w:val="14"/>
                <w:lang w:val="ro-RO" w:eastAsia="de-DE"/>
              </w:rPr>
              <w:t xml:space="preserve">Total </w:t>
            </w:r>
            <w:r w:rsidRPr="009C5F11">
              <w:rPr>
                <w:rFonts w:ascii="Times New Roman" w:hAnsi="Times New Roman" w:cs="Times New Roman"/>
                <w:b/>
                <w:sz w:val="18"/>
                <w:szCs w:val="14"/>
                <w:lang w:val="ro-RO" w:eastAsia="de-DE"/>
              </w:rPr>
              <w:t xml:space="preserve">0.28 </w:t>
            </w:r>
            <w:r w:rsidR="00E52940" w:rsidRPr="009C5F11">
              <w:rPr>
                <w:rFonts w:ascii="Times New Roman" w:hAnsi="Times New Roman" w:cs="Times New Roman"/>
                <w:b/>
                <w:sz w:val="18"/>
                <w:szCs w:val="14"/>
                <w:lang w:val="ro-RO" w:eastAsia="de-DE"/>
              </w:rPr>
              <w:t>ktep</w:t>
            </w:r>
          </w:p>
          <w:p w14:paraId="503D29DD" w14:textId="77777777" w:rsidR="00936847" w:rsidRPr="009C5F11" w:rsidRDefault="007E7C41" w:rsidP="007E7C41">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Depăşirea obiectivului iniţial de </w:t>
            </w:r>
            <w:r w:rsidR="00936847" w:rsidRPr="009C5F11">
              <w:rPr>
                <w:rFonts w:ascii="Times New Roman" w:hAnsi="Times New Roman" w:cs="Times New Roman"/>
                <w:sz w:val="18"/>
                <w:szCs w:val="14"/>
                <w:lang w:val="ro-RO" w:eastAsia="de-DE"/>
              </w:rPr>
              <w:t xml:space="preserve">0.258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w:t>
            </w:r>
            <w:r w:rsidR="00603237" w:rsidRPr="009C5F11">
              <w:rPr>
                <w:rFonts w:ascii="Times New Roman" w:hAnsi="Times New Roman" w:cs="Times New Roman"/>
                <w:sz w:val="18"/>
                <w:szCs w:val="14"/>
                <w:lang w:val="ro-RO" w:eastAsia="de-DE"/>
              </w:rPr>
              <w:t>până în 2020</w:t>
            </w:r>
            <w:r w:rsidR="00936847" w:rsidRPr="009C5F11">
              <w:rPr>
                <w:rFonts w:ascii="Times New Roman" w:hAnsi="Times New Roman" w:cs="Times New Roman"/>
                <w:sz w:val="18"/>
                <w:szCs w:val="14"/>
                <w:lang w:val="ro-RO" w:eastAsia="de-DE"/>
              </w:rPr>
              <w:t xml:space="preserve">. </w:t>
            </w:r>
            <w:r w:rsidR="005E7974" w:rsidRPr="009C5F11">
              <w:rPr>
                <w:rFonts w:ascii="Times New Roman" w:hAnsi="Times New Roman" w:cs="Times New Roman"/>
                <w:sz w:val="18"/>
                <w:szCs w:val="14"/>
                <w:lang w:val="ro-RO" w:eastAsia="de-DE"/>
              </w:rPr>
              <w:t>Prin urmare</w:t>
            </w:r>
            <w:r w:rsidRPr="009C5F11">
              <w:rPr>
                <w:rFonts w:ascii="Times New Roman" w:hAnsi="Times New Roman" w:cs="Times New Roman"/>
                <w:sz w:val="18"/>
                <w:szCs w:val="14"/>
                <w:lang w:val="ro-RO" w:eastAsia="de-DE"/>
              </w:rPr>
              <w:t xml:space="preserve">, pentru anul 2020 sunt propuse obiective mai ambiţioase. </w:t>
            </w:r>
          </w:p>
        </w:tc>
      </w:tr>
      <w:tr w:rsidR="00936847" w:rsidRPr="009C5F11" w14:paraId="19689EF1" w14:textId="77777777" w:rsidTr="00BF6432">
        <w:trPr>
          <w:trHeight w:val="476"/>
        </w:trPr>
        <w:tc>
          <w:tcPr>
            <w:tcW w:w="743" w:type="pct"/>
            <w:vMerge/>
          </w:tcPr>
          <w:p w14:paraId="0F31C005"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2A03AA4"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2020 </w:t>
            </w:r>
          </w:p>
        </w:tc>
        <w:tc>
          <w:tcPr>
            <w:tcW w:w="3244" w:type="pct"/>
          </w:tcPr>
          <w:p w14:paraId="57F6493E" w14:textId="77777777" w:rsidR="00936847" w:rsidRPr="009C5F11" w:rsidRDefault="007E7C41"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w:t>
            </w:r>
            <w:r w:rsidR="004424A0" w:rsidRPr="009C5F11">
              <w:rPr>
                <w:rFonts w:ascii="Times New Roman" w:hAnsi="Times New Roman" w:cs="Times New Roman"/>
                <w:sz w:val="18"/>
                <w:szCs w:val="14"/>
                <w:lang w:val="ro-RO" w:eastAsia="de-DE"/>
              </w:rPr>
              <w:t>conomii</w:t>
            </w:r>
            <w:r w:rsidRPr="009C5F11">
              <w:rPr>
                <w:rFonts w:ascii="Times New Roman" w:hAnsi="Times New Roman" w:cs="Times New Roman"/>
                <w:sz w:val="18"/>
                <w:szCs w:val="14"/>
                <w:lang w:val="ro-RO" w:eastAsia="de-DE"/>
              </w:rPr>
              <w:t>le estimate</w:t>
            </w:r>
            <w:r w:rsidR="004424A0" w:rsidRPr="009C5F11">
              <w:rPr>
                <w:rFonts w:ascii="Times New Roman" w:hAnsi="Times New Roman" w:cs="Times New Roman"/>
                <w:sz w:val="18"/>
                <w:szCs w:val="14"/>
                <w:lang w:val="ro-RO" w:eastAsia="de-DE"/>
              </w:rPr>
              <w:t xml:space="preserve"> de energie</w:t>
            </w:r>
            <w:r w:rsidR="00936847"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2013-2015: 0.258 </w:t>
            </w:r>
            <w:r w:rsidR="00E52940" w:rsidRPr="009C5F11">
              <w:rPr>
                <w:rFonts w:ascii="Times New Roman" w:hAnsi="Times New Roman" w:cs="Times New Roman"/>
                <w:sz w:val="18"/>
                <w:szCs w:val="14"/>
                <w:lang w:val="ro-RO" w:eastAsia="de-DE"/>
              </w:rPr>
              <w:t>ktep</w:t>
            </w:r>
          </w:p>
          <w:p w14:paraId="1E64BB0D" w14:textId="77777777" w:rsidR="00936847" w:rsidRPr="009C5F11" w:rsidRDefault="007E7C41" w:rsidP="000C7819">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w:t>
            </w:r>
            <w:r w:rsidR="00C639BC" w:rsidRPr="009C5F11">
              <w:rPr>
                <w:rFonts w:ascii="Times New Roman" w:hAnsi="Times New Roman" w:cs="Times New Roman"/>
                <w:sz w:val="18"/>
                <w:szCs w:val="14"/>
                <w:lang w:val="ro-RO" w:eastAsia="de-DE"/>
              </w:rPr>
              <w:t>conomii</w:t>
            </w:r>
            <w:r w:rsidRPr="009C5F11">
              <w:rPr>
                <w:rFonts w:ascii="Times New Roman" w:hAnsi="Times New Roman" w:cs="Times New Roman"/>
                <w:sz w:val="18"/>
                <w:szCs w:val="14"/>
                <w:lang w:val="ro-RO" w:eastAsia="de-DE"/>
              </w:rPr>
              <w:t>le stabilite</w:t>
            </w:r>
            <w:r w:rsidR="00936847" w:rsidRPr="009C5F11">
              <w:rPr>
                <w:rFonts w:ascii="Times New Roman" w:hAnsi="Times New Roman" w:cs="Times New Roman"/>
                <w:sz w:val="18"/>
                <w:szCs w:val="14"/>
                <w:lang w:val="ro-RO" w:eastAsia="de-DE"/>
              </w:rPr>
              <w:t xml:space="preserve"> (</w:t>
            </w:r>
            <w:r w:rsidR="000C7819" w:rsidRPr="009C5F11">
              <w:rPr>
                <w:rFonts w:ascii="Times New Roman" w:hAnsi="Times New Roman" w:cs="Times New Roman"/>
                <w:sz w:val="18"/>
                <w:szCs w:val="14"/>
                <w:lang w:val="ro-RO" w:eastAsia="de-DE"/>
              </w:rPr>
              <w:t>p</w:t>
            </w:r>
            <w:r w:rsidR="00E46DD7" w:rsidRPr="009C5F11">
              <w:rPr>
                <w:rFonts w:ascii="Times New Roman" w:hAnsi="Times New Roman" w:cs="Times New Roman"/>
                <w:sz w:val="18"/>
                <w:szCs w:val="14"/>
                <w:lang w:val="ro-RO" w:eastAsia="de-DE"/>
              </w:rPr>
              <w:t>reviziune BU</w:t>
            </w:r>
            <w:r w:rsidR="00936847" w:rsidRPr="009C5F11">
              <w:rPr>
                <w:rFonts w:ascii="Times New Roman" w:hAnsi="Times New Roman" w:cs="Times New Roman"/>
                <w:sz w:val="18"/>
                <w:szCs w:val="14"/>
                <w:lang w:val="ro-RO" w:eastAsia="de-DE"/>
              </w:rPr>
              <w:t xml:space="preserve"> 2020): </w:t>
            </w:r>
            <w:r w:rsidR="00936847" w:rsidRPr="009C5F11">
              <w:rPr>
                <w:rFonts w:ascii="Times New Roman" w:hAnsi="Times New Roman" w:cs="Times New Roman"/>
                <w:b/>
                <w:sz w:val="18"/>
                <w:szCs w:val="14"/>
                <w:lang w:val="ro-RO" w:eastAsia="de-DE"/>
              </w:rPr>
              <w:t xml:space="preserve">0.98 </w:t>
            </w:r>
            <w:r w:rsidR="00E52940" w:rsidRPr="009C5F11">
              <w:rPr>
                <w:rFonts w:ascii="Times New Roman" w:hAnsi="Times New Roman" w:cs="Times New Roman"/>
                <w:b/>
                <w:sz w:val="18"/>
                <w:szCs w:val="14"/>
                <w:lang w:val="ro-RO" w:eastAsia="de-DE"/>
              </w:rPr>
              <w:t>ktep</w:t>
            </w:r>
            <w:r w:rsidR="00936847" w:rsidRPr="009C5F11">
              <w:rPr>
                <w:rFonts w:ascii="Times New Roman" w:hAnsi="Times New Roman" w:cs="Times New Roman"/>
                <w:sz w:val="18"/>
                <w:szCs w:val="14"/>
                <w:lang w:val="ro-RO" w:eastAsia="de-DE"/>
              </w:rPr>
              <w:t xml:space="preserve"> </w:t>
            </w:r>
          </w:p>
        </w:tc>
      </w:tr>
      <w:tr w:rsidR="00936847" w:rsidRPr="009C5F11" w14:paraId="30F047E5" w14:textId="77777777" w:rsidTr="00BF6432">
        <w:trPr>
          <w:trHeight w:val="476"/>
        </w:trPr>
        <w:tc>
          <w:tcPr>
            <w:tcW w:w="743" w:type="pct"/>
            <w:vMerge/>
          </w:tcPr>
          <w:p w14:paraId="5DA6466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EE71EB4"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Asumări</w:t>
            </w:r>
          </w:p>
        </w:tc>
        <w:tc>
          <w:tcPr>
            <w:tcW w:w="3244" w:type="pct"/>
          </w:tcPr>
          <w:p w14:paraId="1391B7F5"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Calcula</w:t>
            </w:r>
            <w:r w:rsidR="007E7C41" w:rsidRPr="009C5F11">
              <w:rPr>
                <w:rFonts w:ascii="Times New Roman" w:hAnsi="Times New Roman" w:cs="Times New Roman"/>
                <w:sz w:val="18"/>
                <w:szCs w:val="14"/>
                <w:lang w:val="ro-RO" w:eastAsia="de-DE"/>
              </w:rPr>
              <w:t>rea</w:t>
            </w:r>
            <w:r w:rsidRPr="009C5F11">
              <w:rPr>
                <w:rFonts w:ascii="Times New Roman" w:hAnsi="Times New Roman" w:cs="Times New Roman"/>
                <w:sz w:val="18"/>
                <w:szCs w:val="14"/>
                <w:lang w:val="ro-RO" w:eastAsia="de-DE"/>
              </w:rPr>
              <w:t xml:space="preserve"> </w:t>
            </w:r>
            <w:r w:rsidR="00C639BC" w:rsidRPr="009C5F11">
              <w:rPr>
                <w:rFonts w:ascii="Times New Roman" w:hAnsi="Times New Roman" w:cs="Times New Roman"/>
                <w:sz w:val="18"/>
                <w:szCs w:val="14"/>
                <w:lang w:val="ro-RO" w:eastAsia="de-DE"/>
              </w:rPr>
              <w:t>economii</w:t>
            </w:r>
            <w:r w:rsidR="007E7C41" w:rsidRPr="009C5F11">
              <w:rPr>
                <w:rFonts w:ascii="Times New Roman" w:hAnsi="Times New Roman" w:cs="Times New Roman"/>
                <w:sz w:val="18"/>
                <w:szCs w:val="14"/>
                <w:lang w:val="ro-RO" w:eastAsia="de-DE"/>
              </w:rPr>
              <w:t>lor pentru</w:t>
            </w:r>
            <w:r w:rsidRPr="009C5F11">
              <w:rPr>
                <w:rFonts w:ascii="Times New Roman" w:hAnsi="Times New Roman" w:cs="Times New Roman"/>
                <w:sz w:val="18"/>
                <w:szCs w:val="14"/>
                <w:lang w:val="ro-RO" w:eastAsia="de-DE"/>
              </w:rPr>
              <w:t xml:space="preserve"> 2020 </w:t>
            </w:r>
            <w:r w:rsidR="007E7C41" w:rsidRPr="009C5F11">
              <w:rPr>
                <w:rFonts w:ascii="Times New Roman" w:hAnsi="Times New Roman" w:cs="Times New Roman"/>
                <w:sz w:val="18"/>
                <w:szCs w:val="14"/>
                <w:lang w:val="ro-RO" w:eastAsia="de-DE"/>
              </w:rPr>
              <w:t>se bazează pe următoarele asumări</w:t>
            </w:r>
            <w:r w:rsidRPr="009C5F11">
              <w:rPr>
                <w:rFonts w:ascii="Times New Roman" w:hAnsi="Times New Roman" w:cs="Times New Roman"/>
                <w:sz w:val="18"/>
                <w:szCs w:val="14"/>
                <w:lang w:val="ro-RO" w:eastAsia="de-DE"/>
              </w:rPr>
              <w:t>:</w:t>
            </w:r>
          </w:p>
          <w:p w14:paraId="584B004E"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w:t>
            </w:r>
            <w:r w:rsidR="007E7C41" w:rsidRPr="009C5F11">
              <w:rPr>
                <w:rFonts w:ascii="Times New Roman" w:hAnsi="Times New Roman" w:cs="Times New Roman"/>
                <w:sz w:val="18"/>
                <w:szCs w:val="14"/>
                <w:lang w:val="ro-RO" w:eastAsia="de-DE"/>
              </w:rPr>
              <w:t xml:space="preserve">erea consumului de </w:t>
            </w:r>
            <w:r w:rsidR="00E75612" w:rsidRPr="009C5F11">
              <w:rPr>
                <w:rFonts w:ascii="Times New Roman" w:hAnsi="Times New Roman" w:cs="Times New Roman"/>
                <w:sz w:val="18"/>
                <w:szCs w:val="14"/>
                <w:lang w:val="ro-RO" w:eastAsia="de-DE"/>
              </w:rPr>
              <w:t>energie electric</w:t>
            </w:r>
            <w:r w:rsidR="007E7C41" w:rsidRPr="009C5F11">
              <w:rPr>
                <w:rFonts w:ascii="Times New Roman" w:hAnsi="Times New Roman" w:cs="Times New Roman"/>
                <w:sz w:val="18"/>
                <w:szCs w:val="14"/>
                <w:lang w:val="ro-RO" w:eastAsia="de-DE"/>
              </w:rPr>
              <w:t>ă</w:t>
            </w:r>
            <w:r w:rsidRPr="009C5F11">
              <w:rPr>
                <w:rFonts w:ascii="Times New Roman" w:hAnsi="Times New Roman" w:cs="Times New Roman"/>
                <w:sz w:val="18"/>
                <w:szCs w:val="14"/>
                <w:lang w:val="ro-RO" w:eastAsia="de-DE"/>
              </w:rPr>
              <w:t xml:space="preserve"> </w:t>
            </w:r>
          </w:p>
          <w:p w14:paraId="5057830E"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0.258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 xml:space="preserve"> (</w:t>
            </w:r>
            <w:r w:rsidR="006F2A15" w:rsidRPr="009C5F11">
              <w:rPr>
                <w:rFonts w:ascii="Times New Roman" w:hAnsi="Times New Roman" w:cs="Times New Roman"/>
                <w:sz w:val="18"/>
                <w:szCs w:val="14"/>
                <w:lang w:val="ro-RO" w:eastAsia="de-DE"/>
              </w:rPr>
              <w:t>estimarea</w:t>
            </w:r>
            <w:r w:rsidR="00321CD5"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Pr="009C5F11">
              <w:rPr>
                <w:rFonts w:ascii="Times New Roman" w:hAnsi="Times New Roman" w:cs="Times New Roman"/>
                <w:sz w:val="18"/>
                <w:szCs w:val="14"/>
                <w:lang w:val="ro-RO" w:eastAsia="de-DE"/>
              </w:rPr>
              <w:t xml:space="preserve"> 2013 – 2015)</w:t>
            </w:r>
          </w:p>
          <w:p w14:paraId="484B9E4E" w14:textId="77777777" w:rsidR="00936847" w:rsidRPr="009C5F11" w:rsidRDefault="00E46DD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BU</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2016: 0.276 </w:t>
            </w:r>
            <w:r w:rsidR="00E52940" w:rsidRPr="009C5F11">
              <w:rPr>
                <w:rFonts w:ascii="Times New Roman" w:hAnsi="Times New Roman" w:cs="Times New Roman"/>
                <w:sz w:val="18"/>
                <w:szCs w:val="14"/>
                <w:lang w:val="ro-RO" w:eastAsia="de-DE"/>
              </w:rPr>
              <w:t>ktep</w:t>
            </w:r>
          </w:p>
          <w:p w14:paraId="1804F798" w14:textId="77777777" w:rsidR="00936847" w:rsidRPr="009C5F11" w:rsidRDefault="00936847" w:rsidP="00334F3B">
            <w:pPr>
              <w:numPr>
                <w:ilvl w:val="0"/>
                <w:numId w:val="88"/>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2013-2015 </w:t>
            </w:r>
            <w:r w:rsidR="00AA0566" w:rsidRPr="009C5F11">
              <w:rPr>
                <w:rFonts w:ascii="Times New Roman" w:hAnsi="Times New Roman" w:cs="Times New Roman"/>
                <w:sz w:val="18"/>
                <w:szCs w:val="14"/>
                <w:lang w:val="ro-RO" w:eastAsia="de-DE"/>
              </w:rPr>
              <w:t>FEE</w:t>
            </w:r>
            <w:r w:rsidR="001D4E8D"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(APP5) : 0.057 </w:t>
            </w:r>
            <w:r w:rsidR="00E52940" w:rsidRPr="009C5F11">
              <w:rPr>
                <w:rFonts w:ascii="Times New Roman" w:hAnsi="Times New Roman" w:cs="Times New Roman"/>
                <w:sz w:val="18"/>
                <w:szCs w:val="14"/>
                <w:lang w:val="ro-RO" w:eastAsia="de-DE"/>
              </w:rPr>
              <w:t>ktep</w:t>
            </w:r>
            <w:r w:rsidR="006F2A15"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w:t>
            </w:r>
          </w:p>
          <w:p w14:paraId="119B5338" w14:textId="77777777" w:rsidR="00936847" w:rsidRPr="009C5F11" w:rsidRDefault="00936847" w:rsidP="00334F3B">
            <w:pPr>
              <w:numPr>
                <w:ilvl w:val="0"/>
                <w:numId w:val="88"/>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2014 </w:t>
            </w:r>
            <w:r w:rsidR="00210C2C" w:rsidRPr="009C5F11">
              <w:rPr>
                <w:rFonts w:ascii="Times New Roman" w:hAnsi="Times New Roman" w:cs="Times New Roman"/>
                <w:sz w:val="18"/>
                <w:szCs w:val="14"/>
                <w:lang w:val="ro-RO" w:eastAsia="de-DE"/>
              </w:rPr>
              <w:t>Bălţi</w:t>
            </w:r>
            <w:r w:rsidRPr="009C5F11">
              <w:rPr>
                <w:rFonts w:ascii="Times New Roman" w:hAnsi="Times New Roman" w:cs="Times New Roman"/>
                <w:sz w:val="18"/>
                <w:szCs w:val="14"/>
                <w:lang w:val="ro-RO" w:eastAsia="de-DE"/>
              </w:rPr>
              <w:t xml:space="preserve">: 0.207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 xml:space="preserve"> (2014)</w:t>
            </w:r>
            <w:r w:rsidR="006F2A15" w:rsidRPr="009C5F11">
              <w:rPr>
                <w:rFonts w:ascii="Times New Roman" w:hAnsi="Times New Roman" w:cs="Times New Roman"/>
                <w:sz w:val="18"/>
                <w:szCs w:val="14"/>
                <w:lang w:val="ro-RO" w:eastAsia="de-DE"/>
              </w:rPr>
              <w:t>;</w:t>
            </w:r>
          </w:p>
          <w:p w14:paraId="0ED44C63" w14:textId="77777777" w:rsidR="00936847" w:rsidRPr="009C5F11" w:rsidRDefault="00936847" w:rsidP="00334F3B">
            <w:pPr>
              <w:numPr>
                <w:ilvl w:val="0"/>
                <w:numId w:val="88"/>
              </w:numPr>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2015 </w:t>
            </w:r>
            <w:r w:rsidR="00F53252" w:rsidRPr="009C5F11">
              <w:rPr>
                <w:rFonts w:ascii="Times New Roman" w:hAnsi="Times New Roman" w:cs="Times New Roman"/>
                <w:sz w:val="18"/>
                <w:szCs w:val="14"/>
                <w:lang w:val="ro-RO" w:eastAsia="de-DE"/>
              </w:rPr>
              <w:t>FISM</w:t>
            </w:r>
            <w:r w:rsidRPr="009C5F11">
              <w:rPr>
                <w:rFonts w:ascii="Times New Roman" w:hAnsi="Times New Roman" w:cs="Times New Roman"/>
                <w:sz w:val="18"/>
                <w:szCs w:val="14"/>
                <w:lang w:val="ro-RO" w:eastAsia="de-DE"/>
              </w:rPr>
              <w:t>: 0.012</w:t>
            </w:r>
            <w:r w:rsidR="006F2A15" w:rsidRPr="009C5F11">
              <w:rPr>
                <w:rFonts w:ascii="Times New Roman" w:hAnsi="Times New Roman" w:cs="Times New Roman"/>
                <w:sz w:val="18"/>
                <w:szCs w:val="14"/>
                <w:lang w:val="ro-RO" w:eastAsia="de-DE"/>
              </w:rPr>
              <w:t>;</w:t>
            </w:r>
          </w:p>
          <w:p w14:paraId="0183188F" w14:textId="77777777" w:rsidR="00936847" w:rsidRPr="009C5F11" w:rsidRDefault="007E7C41" w:rsidP="00430626">
            <w:pPr>
              <w:spacing w:before="40" w:after="0" w:line="240" w:lineRule="auto"/>
              <w:ind w:left="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totale estimate</w:t>
            </w:r>
            <w:r w:rsidR="00936847" w:rsidRPr="009C5F11">
              <w:rPr>
                <w:rFonts w:ascii="Times New Roman" w:hAnsi="Times New Roman" w:cs="Times New Roman"/>
                <w:sz w:val="18"/>
                <w:szCs w:val="14"/>
                <w:lang w:val="ro-RO" w:eastAsia="de-DE"/>
              </w:rPr>
              <w:t xml:space="preserve"> 2020: 0.98 </w:t>
            </w:r>
            <w:r w:rsidR="00E52940" w:rsidRPr="009C5F11">
              <w:rPr>
                <w:rFonts w:ascii="Times New Roman" w:hAnsi="Times New Roman" w:cs="Times New Roman"/>
                <w:sz w:val="18"/>
                <w:szCs w:val="14"/>
                <w:lang w:val="ro-RO" w:eastAsia="de-DE"/>
              </w:rPr>
              <w:t>ktep</w:t>
            </w:r>
          </w:p>
          <w:p w14:paraId="1D51C7F8" w14:textId="77777777" w:rsidR="00936847" w:rsidRPr="009C5F11" w:rsidRDefault="00C639BC" w:rsidP="00334F3B">
            <w:pPr>
              <w:numPr>
                <w:ilvl w:val="0"/>
                <w:numId w:val="114"/>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w:t>
            </w:r>
            <w:r w:rsidR="00936847" w:rsidRPr="009C5F11">
              <w:rPr>
                <w:rFonts w:ascii="Times New Roman" w:hAnsi="Times New Roman" w:cs="Times New Roman"/>
                <w:sz w:val="18"/>
                <w:szCs w:val="14"/>
                <w:lang w:val="ro-RO" w:eastAsia="de-DE"/>
              </w:rPr>
              <w:t xml:space="preserve"> </w:t>
            </w:r>
            <w:r w:rsidR="007E7C41" w:rsidRPr="009C5F11">
              <w:rPr>
                <w:rFonts w:ascii="Times New Roman" w:hAnsi="Times New Roman" w:cs="Times New Roman"/>
                <w:sz w:val="18"/>
                <w:szCs w:val="14"/>
                <w:lang w:val="ro-RO" w:eastAsia="de-DE"/>
              </w:rPr>
              <w:t xml:space="preserve">estimate </w:t>
            </w:r>
            <w:r w:rsidR="006F2A15" w:rsidRPr="009C5F11">
              <w:rPr>
                <w:rFonts w:ascii="Times New Roman" w:hAnsi="Times New Roman" w:cs="Times New Roman"/>
                <w:sz w:val="18"/>
                <w:szCs w:val="14"/>
                <w:lang w:val="ro-RO" w:eastAsia="de-DE"/>
              </w:rPr>
              <w:t>din</w:t>
            </w:r>
            <w:r w:rsidR="00936847" w:rsidRPr="009C5F11">
              <w:rPr>
                <w:rFonts w:ascii="Times New Roman" w:hAnsi="Times New Roman" w:cs="Times New Roman"/>
                <w:sz w:val="18"/>
                <w:szCs w:val="14"/>
                <w:lang w:val="ro-RO" w:eastAsia="de-DE"/>
              </w:rPr>
              <w:t xml:space="preserve"> </w:t>
            </w:r>
            <w:r w:rsidR="00E10BE5" w:rsidRPr="009C5F11">
              <w:rPr>
                <w:rFonts w:ascii="Times New Roman" w:hAnsi="Times New Roman" w:cs="Times New Roman"/>
                <w:sz w:val="18"/>
                <w:szCs w:val="14"/>
                <w:lang w:val="ro-RO" w:eastAsia="de-DE"/>
              </w:rPr>
              <w:t>măsuri</w:t>
            </w:r>
            <w:r w:rsidR="00936847" w:rsidRPr="009C5F11">
              <w:rPr>
                <w:rFonts w:ascii="Times New Roman" w:hAnsi="Times New Roman" w:cs="Times New Roman"/>
                <w:sz w:val="18"/>
                <w:szCs w:val="14"/>
                <w:lang w:val="ro-RO" w:eastAsia="de-DE"/>
              </w:rPr>
              <w:t xml:space="preserve"> </w:t>
            </w:r>
            <w:r w:rsidR="007E7C41" w:rsidRPr="009C5F11">
              <w:rPr>
                <w:rFonts w:ascii="Times New Roman" w:hAnsi="Times New Roman" w:cs="Times New Roman"/>
                <w:sz w:val="18"/>
                <w:szCs w:val="14"/>
                <w:lang w:val="ro-RO" w:eastAsia="de-DE"/>
              </w:rPr>
              <w:t xml:space="preserve">prin metoda BU </w:t>
            </w:r>
            <w:r w:rsidR="006F2A15" w:rsidRPr="009C5F11">
              <w:rPr>
                <w:rFonts w:ascii="Times New Roman" w:hAnsi="Times New Roman" w:cs="Times New Roman"/>
                <w:sz w:val="18"/>
                <w:szCs w:val="14"/>
                <w:lang w:val="ro-RO" w:eastAsia="de-DE"/>
              </w:rPr>
              <w:t>începând din</w:t>
            </w:r>
            <w:r w:rsidR="00936847" w:rsidRPr="009C5F11">
              <w:rPr>
                <w:rFonts w:ascii="Times New Roman" w:hAnsi="Times New Roman" w:cs="Times New Roman"/>
                <w:sz w:val="18"/>
                <w:szCs w:val="14"/>
                <w:lang w:val="ro-RO" w:eastAsia="de-DE"/>
              </w:rPr>
              <w:t xml:space="preserve"> 2016: 0.28 </w:t>
            </w:r>
            <w:r w:rsidR="00E52940" w:rsidRPr="009C5F11">
              <w:rPr>
                <w:rFonts w:ascii="Times New Roman" w:hAnsi="Times New Roman" w:cs="Times New Roman"/>
                <w:sz w:val="18"/>
                <w:szCs w:val="14"/>
                <w:lang w:val="ro-RO" w:eastAsia="de-DE"/>
              </w:rPr>
              <w:t>ktep</w:t>
            </w:r>
            <w:r w:rsidR="006F2A15" w:rsidRPr="009C5F11">
              <w:rPr>
                <w:rFonts w:ascii="Times New Roman" w:hAnsi="Times New Roman" w:cs="Times New Roman"/>
                <w:sz w:val="18"/>
                <w:szCs w:val="14"/>
                <w:lang w:val="ro-RO" w:eastAsia="de-DE"/>
              </w:rPr>
              <w:t>;</w:t>
            </w:r>
          </w:p>
          <w:p w14:paraId="65713A67" w14:textId="77777777" w:rsidR="00936847" w:rsidRPr="009C5F11" w:rsidRDefault="00AA0566" w:rsidP="00334F3B">
            <w:pPr>
              <w:numPr>
                <w:ilvl w:val="0"/>
                <w:numId w:val="88"/>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FEE</w:t>
            </w:r>
            <w:r w:rsidR="00936847" w:rsidRPr="009C5F11">
              <w:rPr>
                <w:rFonts w:ascii="Times New Roman" w:hAnsi="Times New Roman" w:cs="Times New Roman"/>
                <w:sz w:val="18"/>
                <w:szCs w:val="14"/>
                <w:lang w:val="ro-RO" w:eastAsia="de-DE"/>
              </w:rPr>
              <w:t xml:space="preserve">: 0.06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w:t>
            </w:r>
            <w:r w:rsidR="007E7C41" w:rsidRPr="009C5F11">
              <w:rPr>
                <w:rFonts w:ascii="Times New Roman" w:hAnsi="Times New Roman" w:cs="Times New Roman"/>
                <w:sz w:val="18"/>
                <w:szCs w:val="14"/>
                <w:lang w:val="ro-RO" w:eastAsia="de-DE"/>
              </w:rPr>
              <w:t xml:space="preserve">deja aprobat la situaţia din 1 </w:t>
            </w:r>
            <w:r w:rsidR="000A4CC7" w:rsidRPr="009C5F11">
              <w:rPr>
                <w:rFonts w:ascii="Times New Roman" w:hAnsi="Times New Roman" w:cs="Times New Roman"/>
                <w:sz w:val="18"/>
                <w:szCs w:val="14"/>
                <w:lang w:val="ro-RO" w:eastAsia="de-DE"/>
              </w:rPr>
              <w:t>martie</w:t>
            </w:r>
            <w:r w:rsidR="00936847" w:rsidRPr="009C5F11">
              <w:rPr>
                <w:rFonts w:ascii="Times New Roman" w:hAnsi="Times New Roman" w:cs="Times New Roman"/>
                <w:sz w:val="18"/>
                <w:szCs w:val="14"/>
                <w:lang w:val="ro-RO" w:eastAsia="de-DE"/>
              </w:rPr>
              <w:t xml:space="preserve"> 2016) – estimate</w:t>
            </w:r>
            <w:r w:rsidR="007E7C41" w:rsidRPr="009C5F11">
              <w:rPr>
                <w:rFonts w:ascii="Times New Roman" w:hAnsi="Times New Roman" w:cs="Times New Roman"/>
                <w:sz w:val="18"/>
                <w:szCs w:val="14"/>
                <w:lang w:val="ro-RO" w:eastAsia="de-DE"/>
              </w:rPr>
              <w:t xml:space="preserve"> la</w:t>
            </w:r>
            <w:r w:rsidR="00936847" w:rsidRPr="009C5F11">
              <w:rPr>
                <w:rFonts w:ascii="Times New Roman" w:hAnsi="Times New Roman" w:cs="Times New Roman"/>
                <w:sz w:val="18"/>
                <w:szCs w:val="14"/>
                <w:lang w:val="ro-RO" w:eastAsia="de-DE"/>
              </w:rPr>
              <w:t xml:space="preserve"> 16.4 </w:t>
            </w:r>
            <w:r w:rsidR="00421FA7" w:rsidRPr="009C5F11">
              <w:rPr>
                <w:rFonts w:ascii="Times New Roman" w:hAnsi="Times New Roman" w:cs="Times New Roman"/>
                <w:sz w:val="18"/>
                <w:szCs w:val="14"/>
                <w:lang w:val="ro-RO" w:eastAsia="de-DE"/>
              </w:rPr>
              <w:t xml:space="preserve">milioane </w:t>
            </w:r>
            <w:r w:rsidR="007E7C41" w:rsidRPr="009C5F11">
              <w:rPr>
                <w:rFonts w:ascii="Times New Roman" w:hAnsi="Times New Roman" w:cs="Times New Roman"/>
                <w:sz w:val="18"/>
                <w:szCs w:val="14"/>
                <w:lang w:val="ro-RO" w:eastAsia="de-DE"/>
              </w:rPr>
              <w:t>l</w:t>
            </w:r>
            <w:r w:rsidR="00936847" w:rsidRPr="009C5F11">
              <w:rPr>
                <w:rFonts w:ascii="Times New Roman" w:hAnsi="Times New Roman" w:cs="Times New Roman"/>
                <w:sz w:val="18"/>
                <w:szCs w:val="14"/>
                <w:lang w:val="ro-RO" w:eastAsia="de-DE"/>
              </w:rPr>
              <w:t xml:space="preserve">ei (0.75 </w:t>
            </w:r>
            <w:r w:rsidR="00421FA7" w:rsidRPr="009C5F11">
              <w:rPr>
                <w:rFonts w:ascii="Times New Roman" w:hAnsi="Times New Roman" w:cs="Times New Roman"/>
                <w:sz w:val="18"/>
                <w:szCs w:val="14"/>
                <w:lang w:val="ro-RO" w:eastAsia="de-DE"/>
              </w:rPr>
              <w:t>milioane euro</w:t>
            </w:r>
            <w:r w:rsidR="00936847" w:rsidRPr="009C5F11">
              <w:rPr>
                <w:rFonts w:ascii="Times New Roman" w:hAnsi="Times New Roman" w:cs="Times New Roman"/>
                <w:sz w:val="18"/>
                <w:szCs w:val="14"/>
                <w:lang w:val="ro-RO" w:eastAsia="de-DE"/>
              </w:rPr>
              <w:t>)</w:t>
            </w:r>
            <w:r w:rsidR="007E7C41" w:rsidRPr="009C5F11">
              <w:rPr>
                <w:rFonts w:ascii="Times New Roman" w:hAnsi="Times New Roman" w:cs="Times New Roman"/>
                <w:sz w:val="18"/>
                <w:szCs w:val="14"/>
                <w:lang w:val="ro-RO" w:eastAsia="de-DE"/>
              </w:rPr>
              <w:t>;</w:t>
            </w:r>
          </w:p>
          <w:p w14:paraId="43DA676F" w14:textId="77777777" w:rsidR="00936847" w:rsidRPr="009C5F11" w:rsidRDefault="00AA0566" w:rsidP="00334F3B">
            <w:pPr>
              <w:numPr>
                <w:ilvl w:val="0"/>
                <w:numId w:val="88"/>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FEE</w:t>
            </w:r>
            <w:r w:rsidR="00936847" w:rsidRPr="009C5F11">
              <w:rPr>
                <w:rFonts w:ascii="Times New Roman" w:hAnsi="Times New Roman" w:cs="Times New Roman"/>
                <w:sz w:val="18"/>
                <w:szCs w:val="14"/>
                <w:lang w:val="ro-RO" w:eastAsia="de-DE"/>
              </w:rPr>
              <w:t xml:space="preserve"> 2017-2019: 0.264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(asum</w:t>
            </w:r>
            <w:r w:rsidR="007E7C41" w:rsidRPr="009C5F11">
              <w:rPr>
                <w:rFonts w:ascii="Times New Roman" w:hAnsi="Times New Roman" w:cs="Times New Roman"/>
                <w:sz w:val="18"/>
                <w:szCs w:val="14"/>
                <w:lang w:val="ro-RO" w:eastAsia="de-DE"/>
              </w:rPr>
              <w:t>ând aceeaşi rată anuală medie de economii ca în anii</w:t>
            </w:r>
            <w:r w:rsidR="00936847" w:rsidRPr="009C5F11">
              <w:rPr>
                <w:rFonts w:ascii="Times New Roman" w:hAnsi="Times New Roman" w:cs="Times New Roman"/>
                <w:sz w:val="18"/>
                <w:szCs w:val="14"/>
                <w:lang w:val="ro-RO" w:eastAsia="de-DE"/>
              </w:rPr>
              <w:t xml:space="preserve"> 2013-2016)</w:t>
            </w:r>
            <w:r w:rsidR="006F2A15" w:rsidRPr="009C5F11">
              <w:rPr>
                <w:rFonts w:ascii="Times New Roman" w:hAnsi="Times New Roman" w:cs="Times New Roman"/>
                <w:sz w:val="18"/>
                <w:szCs w:val="14"/>
                <w:lang w:val="ro-RO" w:eastAsia="de-DE"/>
              </w:rPr>
              <w:t>;</w:t>
            </w:r>
          </w:p>
          <w:p w14:paraId="2CBEDF99" w14:textId="77777777" w:rsidR="00936847" w:rsidRPr="009C5F11" w:rsidRDefault="00FD08F0" w:rsidP="00334F3B">
            <w:pPr>
              <w:numPr>
                <w:ilvl w:val="0"/>
                <w:numId w:val="88"/>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lastRenderedPageBreak/>
              <w:t>GESF</w:t>
            </w:r>
            <w:r w:rsidR="00936847" w:rsidRPr="009C5F11">
              <w:rPr>
                <w:rFonts w:ascii="Times New Roman" w:hAnsi="Times New Roman" w:cs="Times New Roman"/>
                <w:sz w:val="18"/>
                <w:szCs w:val="14"/>
                <w:lang w:val="ro-RO" w:eastAsia="de-DE"/>
              </w:rPr>
              <w:t xml:space="preserve">: 0.120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w:t>
            </w:r>
            <w:r w:rsidR="007E7C41" w:rsidRPr="009C5F11">
              <w:rPr>
                <w:rFonts w:ascii="Times New Roman" w:hAnsi="Times New Roman" w:cs="Times New Roman"/>
                <w:sz w:val="18"/>
                <w:szCs w:val="14"/>
                <w:lang w:val="ro-RO" w:eastAsia="de-DE"/>
              </w:rPr>
              <w:t xml:space="preserve">asumând aceeaşi rată medie </w:t>
            </w:r>
            <w:r w:rsidR="00936847" w:rsidRPr="009C5F11">
              <w:rPr>
                <w:rFonts w:ascii="Times New Roman" w:hAnsi="Times New Roman" w:cs="Times New Roman"/>
                <w:sz w:val="18"/>
                <w:szCs w:val="14"/>
                <w:lang w:val="ro-RO" w:eastAsia="de-DE"/>
              </w:rPr>
              <w:t>cost</w:t>
            </w:r>
            <w:r w:rsidR="000C7819"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eficien</w:t>
            </w:r>
            <w:r w:rsidR="007E7C41" w:rsidRPr="009C5F11">
              <w:rPr>
                <w:rFonts w:ascii="Times New Roman" w:hAnsi="Times New Roman" w:cs="Times New Roman"/>
                <w:sz w:val="18"/>
                <w:szCs w:val="14"/>
                <w:lang w:val="ro-RO" w:eastAsia="de-DE"/>
              </w:rPr>
              <w:t>ţă</w:t>
            </w:r>
            <w:r w:rsidR="00936847" w:rsidRPr="009C5F11">
              <w:rPr>
                <w:rFonts w:ascii="Times New Roman" w:hAnsi="Times New Roman" w:cs="Times New Roman"/>
                <w:sz w:val="18"/>
                <w:szCs w:val="14"/>
                <w:lang w:val="ro-RO" w:eastAsia="de-DE"/>
              </w:rPr>
              <w:t xml:space="preserve"> </w:t>
            </w:r>
            <w:r w:rsidR="007E7C41" w:rsidRPr="009C5F11">
              <w:rPr>
                <w:rFonts w:ascii="Times New Roman" w:hAnsi="Times New Roman" w:cs="Times New Roman"/>
                <w:sz w:val="18"/>
                <w:szCs w:val="14"/>
                <w:lang w:val="ro-RO" w:eastAsia="de-DE"/>
              </w:rPr>
              <w:t>ca pentru</w:t>
            </w:r>
            <w:r w:rsidR="00936847" w:rsidRPr="009C5F11">
              <w:rPr>
                <w:rFonts w:ascii="Times New Roman" w:hAnsi="Times New Roman" w:cs="Times New Roman"/>
                <w:sz w:val="18"/>
                <w:szCs w:val="14"/>
                <w:lang w:val="ro-RO" w:eastAsia="de-DE"/>
              </w:rPr>
              <w:t xml:space="preserve"> </w:t>
            </w:r>
            <w:r w:rsidR="00E10BE5" w:rsidRPr="009C5F11">
              <w:rPr>
                <w:rFonts w:ascii="Times New Roman" w:hAnsi="Times New Roman" w:cs="Times New Roman"/>
                <w:sz w:val="18"/>
                <w:szCs w:val="14"/>
                <w:lang w:val="ro-RO" w:eastAsia="de-DE"/>
              </w:rPr>
              <w:t>proiecte</w:t>
            </w:r>
            <w:r w:rsidR="007E7C41" w:rsidRPr="009C5F11">
              <w:rPr>
                <w:rFonts w:ascii="Times New Roman" w:hAnsi="Times New Roman" w:cs="Times New Roman"/>
                <w:sz w:val="18"/>
                <w:szCs w:val="14"/>
                <w:lang w:val="ro-RO" w:eastAsia="de-DE"/>
              </w:rPr>
              <w:t>le FEE</w:t>
            </w:r>
            <w:r w:rsidR="00936847" w:rsidRPr="009C5F11">
              <w:rPr>
                <w:rFonts w:ascii="Times New Roman" w:hAnsi="Times New Roman" w:cs="Times New Roman"/>
                <w:sz w:val="18"/>
                <w:szCs w:val="14"/>
                <w:lang w:val="ro-RO" w:eastAsia="de-DE"/>
              </w:rPr>
              <w:t>)</w:t>
            </w:r>
            <w:r w:rsidR="006F2A15" w:rsidRPr="009C5F11">
              <w:rPr>
                <w:rFonts w:ascii="Times New Roman" w:hAnsi="Times New Roman" w:cs="Times New Roman"/>
                <w:sz w:val="18"/>
                <w:szCs w:val="14"/>
                <w:lang w:val="ro-RO" w:eastAsia="de-DE"/>
              </w:rPr>
              <w:t>;</w:t>
            </w:r>
          </w:p>
          <w:p w14:paraId="3194B4FE" w14:textId="77777777" w:rsidR="00936847" w:rsidRPr="009C5F11" w:rsidRDefault="00936847" w:rsidP="00334F3B">
            <w:pPr>
              <w:numPr>
                <w:ilvl w:val="0"/>
                <w:numId w:val="88"/>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rPr>
              <w:t>E5P: 0.26</w:t>
            </w:r>
            <w:r w:rsidR="00E52940" w:rsidRPr="009C5F11">
              <w:rPr>
                <w:rFonts w:ascii="Times New Roman" w:hAnsi="Times New Roman" w:cs="Times New Roman"/>
                <w:sz w:val="18"/>
                <w:szCs w:val="14"/>
                <w:lang w:val="ro-RO"/>
              </w:rPr>
              <w:t>ktep</w:t>
            </w:r>
            <w:r w:rsidRPr="009C5F11">
              <w:rPr>
                <w:rFonts w:ascii="Times New Roman" w:hAnsi="Times New Roman" w:cs="Times New Roman"/>
                <w:sz w:val="18"/>
                <w:szCs w:val="14"/>
                <w:lang w:val="ro-RO"/>
              </w:rPr>
              <w:t xml:space="preserve">: </w:t>
            </w:r>
            <w:r w:rsidR="007E7C41" w:rsidRPr="009C5F11">
              <w:rPr>
                <w:rFonts w:ascii="Times New Roman" w:hAnsi="Times New Roman" w:cs="Times New Roman"/>
                <w:sz w:val="18"/>
                <w:szCs w:val="14"/>
                <w:lang w:val="ro-RO" w:eastAsia="de-DE"/>
              </w:rPr>
              <w:t>asumând</w:t>
            </w:r>
            <w:r w:rsidR="007E7C41" w:rsidRPr="009C5F11">
              <w:rPr>
                <w:rFonts w:ascii="Times New Roman" w:hAnsi="Times New Roman" w:cs="Times New Roman"/>
                <w:sz w:val="18"/>
                <w:szCs w:val="14"/>
                <w:lang w:val="ro-RO"/>
              </w:rPr>
              <w:t xml:space="preserve"> că obiectivul </w:t>
            </w:r>
            <w:r w:rsidRPr="009C5F11">
              <w:rPr>
                <w:rFonts w:ascii="Times New Roman" w:hAnsi="Times New Roman" w:cs="Times New Roman"/>
                <w:sz w:val="18"/>
                <w:szCs w:val="14"/>
                <w:lang w:val="ro-RO"/>
              </w:rPr>
              <w:t xml:space="preserve">E5P </w:t>
            </w:r>
            <w:r w:rsidR="007E7C41" w:rsidRPr="009C5F11">
              <w:rPr>
                <w:rFonts w:ascii="Times New Roman" w:hAnsi="Times New Roman" w:cs="Times New Roman"/>
                <w:sz w:val="18"/>
                <w:szCs w:val="14"/>
                <w:lang w:val="ro-RO"/>
              </w:rPr>
              <w:t>de</w:t>
            </w:r>
            <w:r w:rsidRPr="009C5F11">
              <w:rPr>
                <w:rFonts w:ascii="Times New Roman" w:hAnsi="Times New Roman" w:cs="Times New Roman"/>
                <w:sz w:val="18"/>
                <w:szCs w:val="14"/>
                <w:lang w:val="ro-RO"/>
              </w:rPr>
              <w:t xml:space="preserve"> 3</w:t>
            </w:r>
            <w:r w:rsidR="007E7C41" w:rsidRPr="009C5F11">
              <w:rPr>
                <w:rFonts w:ascii="Times New Roman" w:hAnsi="Times New Roman" w:cs="Times New Roman"/>
                <w:sz w:val="18"/>
                <w:szCs w:val="14"/>
                <w:lang w:val="ro-RO"/>
              </w:rPr>
              <w:t xml:space="preserve"> </w:t>
            </w:r>
            <w:r w:rsidR="00421FA7" w:rsidRPr="009C5F11">
              <w:rPr>
                <w:rFonts w:ascii="Times New Roman" w:hAnsi="Times New Roman" w:cs="Times New Roman"/>
                <w:sz w:val="18"/>
                <w:szCs w:val="14"/>
                <w:lang w:val="ro-RO"/>
              </w:rPr>
              <w:t>milioane euro</w:t>
            </w:r>
            <w:r w:rsidRPr="009C5F11">
              <w:rPr>
                <w:rFonts w:ascii="Times New Roman" w:hAnsi="Times New Roman" w:cs="Times New Roman"/>
                <w:sz w:val="18"/>
                <w:szCs w:val="14"/>
                <w:lang w:val="ro-RO"/>
              </w:rPr>
              <w:t xml:space="preserve"> </w:t>
            </w:r>
            <w:r w:rsidR="007E7C41" w:rsidRPr="009C5F11">
              <w:rPr>
                <w:rFonts w:ascii="Times New Roman" w:hAnsi="Times New Roman" w:cs="Times New Roman"/>
                <w:sz w:val="18"/>
                <w:szCs w:val="14"/>
                <w:lang w:val="ro-RO"/>
              </w:rPr>
              <w:t>pentru</w:t>
            </w:r>
            <w:r w:rsidRPr="009C5F11">
              <w:rPr>
                <w:rFonts w:ascii="Times New Roman" w:hAnsi="Times New Roman" w:cs="Times New Roman"/>
                <w:sz w:val="18"/>
                <w:szCs w:val="14"/>
                <w:lang w:val="ro-RO"/>
              </w:rPr>
              <w:t xml:space="preserve"> </w:t>
            </w:r>
            <w:r w:rsidR="00F43616" w:rsidRPr="009C5F11">
              <w:rPr>
                <w:rFonts w:ascii="Times New Roman" w:hAnsi="Times New Roman" w:cs="Times New Roman"/>
                <w:sz w:val="18"/>
                <w:szCs w:val="14"/>
                <w:lang w:val="ro-RO"/>
              </w:rPr>
              <w:t xml:space="preserve">iluminatul </w:t>
            </w:r>
            <w:r w:rsidR="00B23C12" w:rsidRPr="009C5F11">
              <w:rPr>
                <w:rFonts w:ascii="Times New Roman" w:hAnsi="Times New Roman" w:cs="Times New Roman"/>
                <w:sz w:val="18"/>
                <w:szCs w:val="14"/>
                <w:lang w:val="ro-RO"/>
              </w:rPr>
              <w:t xml:space="preserve">public </w:t>
            </w:r>
            <w:r w:rsidR="00F43616" w:rsidRPr="009C5F11">
              <w:rPr>
                <w:rFonts w:ascii="Times New Roman" w:hAnsi="Times New Roman" w:cs="Times New Roman"/>
                <w:sz w:val="18"/>
                <w:szCs w:val="14"/>
                <w:lang w:val="ro-RO"/>
              </w:rPr>
              <w:t>stradal</w:t>
            </w:r>
            <w:r w:rsidRPr="009C5F11">
              <w:rPr>
                <w:rFonts w:ascii="Times New Roman" w:hAnsi="Times New Roman" w:cs="Times New Roman"/>
                <w:sz w:val="18"/>
                <w:szCs w:val="14"/>
                <w:lang w:val="ro-RO"/>
              </w:rPr>
              <w:t xml:space="preserve"> </w:t>
            </w:r>
            <w:r w:rsidR="007E7C41" w:rsidRPr="009C5F11">
              <w:rPr>
                <w:rFonts w:ascii="Times New Roman" w:hAnsi="Times New Roman" w:cs="Times New Roman"/>
                <w:sz w:val="18"/>
                <w:szCs w:val="14"/>
                <w:lang w:val="ro-RO"/>
              </w:rPr>
              <w:t xml:space="preserve">are </w:t>
            </w:r>
            <w:r w:rsidR="007E7C41" w:rsidRPr="009C5F11">
              <w:rPr>
                <w:rFonts w:ascii="Times New Roman" w:hAnsi="Times New Roman" w:cs="Times New Roman"/>
                <w:sz w:val="18"/>
                <w:szCs w:val="14"/>
                <w:lang w:val="ro-RO" w:eastAsia="de-DE"/>
              </w:rPr>
              <w:t>aceeaşi rată medie cost</w:t>
            </w:r>
            <w:r w:rsidR="000C7819" w:rsidRPr="009C5F11">
              <w:rPr>
                <w:rFonts w:ascii="Times New Roman" w:hAnsi="Times New Roman" w:cs="Times New Roman"/>
                <w:sz w:val="18"/>
                <w:szCs w:val="14"/>
                <w:lang w:val="ro-RO" w:eastAsia="de-DE"/>
              </w:rPr>
              <w:t>-</w:t>
            </w:r>
            <w:r w:rsidR="007E7C41" w:rsidRPr="009C5F11">
              <w:rPr>
                <w:rFonts w:ascii="Times New Roman" w:hAnsi="Times New Roman" w:cs="Times New Roman"/>
                <w:sz w:val="18"/>
                <w:szCs w:val="14"/>
                <w:lang w:val="ro-RO" w:eastAsia="de-DE"/>
              </w:rPr>
              <w:t>eficienţă ca proiectele FEE</w:t>
            </w:r>
            <w:r w:rsidR="006F2A15" w:rsidRPr="009C5F11">
              <w:rPr>
                <w:rFonts w:ascii="Times New Roman" w:hAnsi="Times New Roman" w:cs="Times New Roman"/>
                <w:sz w:val="18"/>
                <w:szCs w:val="14"/>
                <w:lang w:val="ro-RO"/>
              </w:rPr>
              <w:t>.</w:t>
            </w:r>
          </w:p>
        </w:tc>
      </w:tr>
      <w:tr w:rsidR="00936847" w:rsidRPr="009C5F11" w14:paraId="27EBEBC0" w14:textId="77777777" w:rsidTr="00BF6432">
        <w:trPr>
          <w:trHeight w:val="197"/>
        </w:trPr>
        <w:tc>
          <w:tcPr>
            <w:tcW w:w="743" w:type="pct"/>
            <w:vMerge/>
          </w:tcPr>
          <w:p w14:paraId="0D02EAF2"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3FBF5B8"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340E6957" w14:textId="77777777" w:rsidR="00936847" w:rsidRPr="009C5F11" w:rsidRDefault="00936847" w:rsidP="00430626">
            <w:pPr>
              <w:tabs>
                <w:tab w:val="left" w:pos="1440"/>
                <w:tab w:val="left" w:pos="5040"/>
              </w:tabs>
              <w:spacing w:after="0" w:line="240" w:lineRule="auto"/>
              <w:rPr>
                <w:rFonts w:ascii="Times New Roman" w:hAnsi="Times New Roman" w:cs="Times New Roman"/>
                <w:i/>
                <w:sz w:val="18"/>
                <w:szCs w:val="14"/>
                <w:lang w:val="ro-RO"/>
              </w:rPr>
            </w:pPr>
          </w:p>
        </w:tc>
      </w:tr>
    </w:tbl>
    <w:p w14:paraId="20BFE09F" w14:textId="77777777" w:rsidR="00936847" w:rsidRPr="009C5F11" w:rsidRDefault="00936847" w:rsidP="00936847">
      <w:pPr>
        <w:tabs>
          <w:tab w:val="left" w:pos="1440"/>
          <w:tab w:val="left" w:pos="5040"/>
          <w:tab w:val="right" w:pos="8504"/>
        </w:tabs>
        <w:spacing w:after="0" w:line="240" w:lineRule="auto"/>
        <w:jc w:val="both"/>
        <w:rPr>
          <w:rFonts w:ascii="Times New Roman" w:hAnsi="Times New Roman" w:cs="Times New Roman"/>
          <w:b/>
          <w:strike/>
          <w:sz w:val="20"/>
          <w:szCs w:val="16"/>
          <w:lang w:val="ro-RO" w:eastAsia="de-DE"/>
        </w:rPr>
      </w:pPr>
      <w:r w:rsidRPr="009C5F11">
        <w:rPr>
          <w:rFonts w:ascii="Times New Roman" w:hAnsi="Times New Roman" w:cs="Times New Roman"/>
          <w:b/>
          <w:strike/>
          <w:sz w:val="20"/>
          <w:szCs w:val="16"/>
          <w:lang w:val="ro-RO" w:eastAsia="de-DE"/>
        </w:rPr>
        <w:br w:type="page"/>
      </w:r>
    </w:p>
    <w:p w14:paraId="7C18EC41" w14:textId="77777777" w:rsidR="006E2338" w:rsidRPr="009C5F11" w:rsidRDefault="00321CD5" w:rsidP="006E2338">
      <w:pPr>
        <w:pStyle w:val="Legend"/>
        <w:keepNext/>
        <w:jc w:val="center"/>
        <w:rPr>
          <w:rFonts w:ascii="Times New Roman" w:hAnsi="Times New Roman" w:cs="Times New Roman"/>
          <w:b/>
          <w:sz w:val="22"/>
          <w:lang w:val="ro-RO"/>
        </w:rPr>
      </w:pPr>
      <w:bookmarkStart w:id="200" w:name="_Toc447724176"/>
      <w:r w:rsidRPr="009C5F11">
        <w:rPr>
          <w:rFonts w:ascii="Times New Roman" w:hAnsi="Times New Roman" w:cs="Times New Roman"/>
          <w:b/>
          <w:sz w:val="22"/>
          <w:lang w:val="ro-RO"/>
        </w:rPr>
        <w:lastRenderedPageBreak/>
        <w:t>Tabelul</w:t>
      </w:r>
      <w:r w:rsidR="006E2338" w:rsidRPr="009C5F11">
        <w:rPr>
          <w:rFonts w:ascii="Times New Roman" w:hAnsi="Times New Roman" w:cs="Times New Roman"/>
          <w:b/>
          <w:sz w:val="22"/>
          <w:lang w:val="ro-RO"/>
        </w:rPr>
        <w:t xml:space="preserve"> P </w:t>
      </w:r>
      <w:r w:rsidR="003A6ADB" w:rsidRPr="009C5F11">
        <w:rPr>
          <w:rFonts w:ascii="Times New Roman" w:hAnsi="Times New Roman" w:cs="Times New Roman"/>
          <w:b/>
          <w:sz w:val="22"/>
          <w:lang w:val="ro-RO"/>
        </w:rPr>
        <w:fldChar w:fldCharType="begin"/>
      </w:r>
      <w:r w:rsidR="006E2338" w:rsidRPr="009C5F11">
        <w:rPr>
          <w:rFonts w:ascii="Times New Roman" w:hAnsi="Times New Roman" w:cs="Times New Roman"/>
          <w:b/>
          <w:sz w:val="22"/>
          <w:lang w:val="ro-RO"/>
        </w:rPr>
        <w:instrText xml:space="preserve"> SEQ Table_P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3</w:t>
      </w:r>
      <w:r w:rsidR="003A6ADB" w:rsidRPr="009C5F11">
        <w:rPr>
          <w:rFonts w:ascii="Times New Roman" w:hAnsi="Times New Roman" w:cs="Times New Roman"/>
          <w:b/>
          <w:sz w:val="22"/>
          <w:lang w:val="ro-RO"/>
        </w:rPr>
        <w:fldChar w:fldCharType="end"/>
      </w:r>
      <w:r w:rsidR="006E2338" w:rsidRPr="009C5F11">
        <w:rPr>
          <w:rFonts w:ascii="Times New Roman" w:hAnsi="Times New Roman" w:cs="Times New Roman"/>
          <w:b/>
          <w:sz w:val="22"/>
          <w:lang w:val="ro-RO"/>
        </w:rPr>
        <w:t xml:space="preserve"> - </w:t>
      </w:r>
      <w:r w:rsidR="000C7819" w:rsidRPr="009C5F11">
        <w:rPr>
          <w:rFonts w:ascii="Times New Roman" w:hAnsi="Times New Roman" w:cs="Times New Roman"/>
          <w:b/>
          <w:sz w:val="22"/>
          <w:lang w:val="ro-RO"/>
        </w:rPr>
        <w:t>E</w:t>
      </w:r>
      <w:r w:rsidR="00FD5F1C" w:rsidRPr="009C5F11">
        <w:rPr>
          <w:rFonts w:ascii="Times New Roman" w:hAnsi="Times New Roman" w:cs="Times New Roman"/>
          <w:b/>
          <w:sz w:val="22"/>
          <w:lang w:val="ro-RO"/>
        </w:rPr>
        <w:t>ficien</w:t>
      </w:r>
      <w:r w:rsidR="000C7819" w:rsidRPr="009C5F11">
        <w:rPr>
          <w:rFonts w:ascii="Times New Roman" w:hAnsi="Times New Roman" w:cs="Times New Roman"/>
          <w:b/>
          <w:sz w:val="22"/>
          <w:lang w:val="ro-RO"/>
        </w:rPr>
        <w:t>tizarea</w:t>
      </w:r>
      <w:r w:rsidR="00FD5F1C" w:rsidRPr="009C5F11">
        <w:rPr>
          <w:rFonts w:ascii="Times New Roman" w:hAnsi="Times New Roman" w:cs="Times New Roman"/>
          <w:b/>
          <w:sz w:val="22"/>
          <w:lang w:val="ro-RO"/>
        </w:rPr>
        <w:t xml:space="preserve"> energetic</w:t>
      </w:r>
      <w:r w:rsidR="000C7819" w:rsidRPr="009C5F11">
        <w:rPr>
          <w:rFonts w:ascii="Times New Roman" w:hAnsi="Times New Roman" w:cs="Times New Roman"/>
          <w:b/>
          <w:sz w:val="22"/>
          <w:lang w:val="ro-RO"/>
        </w:rPr>
        <w:t>ă a</w:t>
      </w:r>
      <w:r w:rsidR="006F2A15" w:rsidRPr="009C5F11">
        <w:rPr>
          <w:rFonts w:ascii="Times New Roman" w:hAnsi="Times New Roman" w:cs="Times New Roman"/>
          <w:b/>
          <w:sz w:val="22"/>
          <w:lang w:val="ro-RO"/>
        </w:rPr>
        <w:t xml:space="preserve"> serviciil</w:t>
      </w:r>
      <w:r w:rsidR="000C7819" w:rsidRPr="009C5F11">
        <w:rPr>
          <w:rFonts w:ascii="Times New Roman" w:hAnsi="Times New Roman" w:cs="Times New Roman"/>
          <w:b/>
          <w:sz w:val="22"/>
          <w:lang w:val="ro-RO"/>
        </w:rPr>
        <w:t>or</w:t>
      </w:r>
      <w:r w:rsidR="006F2A15" w:rsidRPr="009C5F11">
        <w:rPr>
          <w:rFonts w:ascii="Times New Roman" w:hAnsi="Times New Roman" w:cs="Times New Roman"/>
          <w:b/>
          <w:sz w:val="22"/>
          <w:lang w:val="ro-RO"/>
        </w:rPr>
        <w:t xml:space="preserve"> municipale/regionale de alimentare cu apă şi evacuare a apelor uzate</w:t>
      </w:r>
      <w:bookmarkEnd w:id="200"/>
      <w:r w:rsidR="006F2A15" w:rsidRPr="009C5F11">
        <w:rPr>
          <w:rFonts w:ascii="Times New Roman" w:hAnsi="Times New Roman" w:cs="Times New Roman"/>
          <w:b/>
          <w:sz w:val="22"/>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936847" w:rsidRPr="009C5F11" w14:paraId="07944540" w14:textId="77777777" w:rsidTr="00BF6432">
        <w:trPr>
          <w:trHeight w:val="80"/>
        </w:trPr>
        <w:tc>
          <w:tcPr>
            <w:tcW w:w="1756" w:type="pct"/>
            <w:gridSpan w:val="2"/>
          </w:tcPr>
          <w:p w14:paraId="632C782A" w14:textId="77777777" w:rsidR="00936847" w:rsidRPr="009C5F11" w:rsidRDefault="0094635F"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3C0ADB85" w14:textId="77777777" w:rsidR="00936847" w:rsidRPr="009C5F11" w:rsidRDefault="000C7819" w:rsidP="00430626">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rPr>
              <w:t>Eficientizarea energetică a serviciilor</w:t>
            </w:r>
            <w:r w:rsidRPr="009C5F11">
              <w:rPr>
                <w:rFonts w:ascii="Times New Roman" w:hAnsi="Times New Roman" w:cs="Times New Roman"/>
                <w:b/>
                <w:sz w:val="18"/>
                <w:szCs w:val="14"/>
                <w:lang w:val="ro-RO" w:eastAsia="de-DE"/>
              </w:rPr>
              <w:t xml:space="preserve"> </w:t>
            </w:r>
            <w:r w:rsidR="00FD5F1C" w:rsidRPr="009C5F11">
              <w:rPr>
                <w:rFonts w:ascii="Times New Roman" w:hAnsi="Times New Roman" w:cs="Times New Roman"/>
                <w:b/>
                <w:sz w:val="18"/>
                <w:szCs w:val="14"/>
                <w:lang w:val="ro-RO" w:eastAsia="de-DE"/>
              </w:rPr>
              <w:t>municipale/regionale de alimentare cu apă şi evacuare a apelor uzate</w:t>
            </w:r>
          </w:p>
        </w:tc>
      </w:tr>
      <w:tr w:rsidR="00936847" w:rsidRPr="009C5F11" w14:paraId="01E34EED" w14:textId="77777777" w:rsidTr="00BF6432">
        <w:trPr>
          <w:trHeight w:val="480"/>
        </w:trPr>
        <w:tc>
          <w:tcPr>
            <w:tcW w:w="1756" w:type="pct"/>
            <w:gridSpan w:val="2"/>
          </w:tcPr>
          <w:p w14:paraId="5E316A1C" w14:textId="77777777" w:rsidR="00936847" w:rsidRPr="009C5F11" w:rsidRDefault="00E46DD7"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28C0A76A" w14:textId="77777777" w:rsidR="00936847" w:rsidRPr="009C5F11" w:rsidRDefault="00936847" w:rsidP="00430626">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P3</w:t>
            </w:r>
          </w:p>
        </w:tc>
      </w:tr>
      <w:tr w:rsidR="00936847" w:rsidRPr="009C5F11" w14:paraId="72B55614" w14:textId="77777777" w:rsidTr="00BF6432">
        <w:trPr>
          <w:trHeight w:val="107"/>
        </w:trPr>
        <w:tc>
          <w:tcPr>
            <w:tcW w:w="743" w:type="pct"/>
            <w:vMerge w:val="restart"/>
          </w:tcPr>
          <w:p w14:paraId="08577D2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1F698E67"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2F88BD3B"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2BD05764" w14:textId="77777777" w:rsidR="00936847" w:rsidRPr="009C5F11" w:rsidRDefault="000E55A5"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Proiecte investiţionale</w:t>
            </w:r>
          </w:p>
        </w:tc>
      </w:tr>
      <w:tr w:rsidR="00936847" w:rsidRPr="009C5F11" w14:paraId="67356F97" w14:textId="77777777" w:rsidTr="00BF6432">
        <w:trPr>
          <w:trHeight w:val="476"/>
        </w:trPr>
        <w:tc>
          <w:tcPr>
            <w:tcW w:w="743" w:type="pct"/>
            <w:vMerge/>
          </w:tcPr>
          <w:p w14:paraId="31B42F0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87D9F4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365417F2"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2013</w:t>
            </w:r>
            <w:r w:rsidR="000C7819" w:rsidRPr="009C5F11">
              <w:rPr>
                <w:rFonts w:ascii="Times New Roman" w:hAnsi="Times New Roman" w:cs="Times New Roman"/>
                <w:b/>
                <w:sz w:val="18"/>
                <w:szCs w:val="14"/>
                <w:lang w:val="ro-RO" w:eastAsia="de-DE"/>
              </w:rPr>
              <w:t>.</w:t>
            </w:r>
            <w:r w:rsidR="00936847" w:rsidRPr="009C5F11">
              <w:rPr>
                <w:rFonts w:ascii="Times New Roman" w:hAnsi="Times New Roman" w:cs="Times New Roman"/>
                <w:b/>
                <w:sz w:val="18"/>
                <w:szCs w:val="14"/>
                <w:lang w:val="ro-RO" w:eastAsia="de-DE"/>
              </w:rPr>
              <w:t xml:space="preserve"> </w:t>
            </w:r>
          </w:p>
          <w:p w14:paraId="53277EBF"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2019</w:t>
            </w:r>
            <w:r w:rsidR="000C7819" w:rsidRPr="009C5F11">
              <w:rPr>
                <w:rFonts w:ascii="Times New Roman" w:hAnsi="Times New Roman" w:cs="Times New Roman"/>
                <w:b/>
                <w:sz w:val="18"/>
                <w:szCs w:val="14"/>
                <w:lang w:val="ro-RO" w:eastAsia="de-DE"/>
              </w:rPr>
              <w:t>.</w:t>
            </w:r>
          </w:p>
          <w:p w14:paraId="2D364B71"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Inter</w:t>
            </w:r>
            <w:r w:rsidR="000C7819" w:rsidRPr="009C5F11">
              <w:rPr>
                <w:rFonts w:ascii="Times New Roman" w:hAnsi="Times New Roman" w:cs="Times New Roman"/>
                <w:b/>
                <w:sz w:val="18"/>
                <w:szCs w:val="14"/>
                <w:lang w:val="ro-RO" w:eastAsia="de-DE"/>
              </w:rPr>
              <w:t>mediară</w:t>
            </w:r>
            <w:r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Pr="009C5F11">
              <w:rPr>
                <w:rFonts w:ascii="Times New Roman" w:hAnsi="Times New Roman" w:cs="Times New Roman"/>
                <w:b/>
                <w:sz w:val="18"/>
                <w:szCs w:val="14"/>
                <w:lang w:val="ro-RO" w:eastAsia="de-DE"/>
              </w:rPr>
              <w:t xml:space="preserve"> 2018</w:t>
            </w:r>
            <w:r w:rsidR="000C7819" w:rsidRPr="009C5F11">
              <w:rPr>
                <w:rFonts w:ascii="Times New Roman" w:hAnsi="Times New Roman" w:cs="Times New Roman"/>
                <w:b/>
                <w:sz w:val="18"/>
                <w:szCs w:val="14"/>
                <w:lang w:val="ro-RO" w:eastAsia="de-DE"/>
              </w:rPr>
              <w:t>.</w:t>
            </w:r>
          </w:p>
          <w:p w14:paraId="16F8F0AA" w14:textId="77777777" w:rsidR="00936847" w:rsidRPr="009C5F11" w:rsidRDefault="00204033" w:rsidP="005D3541">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nouă</w:t>
            </w:r>
            <w:r w:rsidR="00936847" w:rsidRPr="009C5F11">
              <w:rPr>
                <w:rFonts w:ascii="Times New Roman" w:hAnsi="Times New Roman" w:cs="Times New Roman"/>
                <w:sz w:val="18"/>
                <w:szCs w:val="14"/>
                <w:lang w:val="ro-RO" w:eastAsia="de-DE"/>
              </w:rPr>
              <w:t xml:space="preserve"> </w:t>
            </w:r>
            <w:r w:rsidR="00395782" w:rsidRPr="009C5F11">
              <w:rPr>
                <w:rFonts w:ascii="Times New Roman" w:hAnsi="Times New Roman" w:cs="Times New Roman"/>
                <w:sz w:val="18"/>
                <w:szCs w:val="14"/>
                <w:lang w:val="ro-RO" w:eastAsia="de-DE"/>
              </w:rPr>
              <w:t>ce derivă din măsura generală a</w:t>
            </w:r>
            <w:r w:rsidR="00936847"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2013-2015 “</w:t>
            </w:r>
            <w:r w:rsidR="00395782" w:rsidRPr="009C5F11">
              <w:rPr>
                <w:rFonts w:ascii="Times New Roman" w:hAnsi="Times New Roman" w:cs="Times New Roman"/>
                <w:sz w:val="18"/>
                <w:szCs w:val="14"/>
                <w:lang w:val="ro-RO" w:eastAsia="de-DE"/>
              </w:rPr>
              <w:t>Asigurarea eficientizării consumului energetic în sectorul public</w:t>
            </w:r>
            <w:r w:rsidR="00936847" w:rsidRPr="009C5F11">
              <w:rPr>
                <w:rFonts w:ascii="Times New Roman" w:hAnsi="Times New Roman" w:cs="Times New Roman"/>
                <w:sz w:val="18"/>
                <w:szCs w:val="14"/>
                <w:lang w:val="ro-RO" w:eastAsia="de-DE"/>
              </w:rPr>
              <w:t xml:space="preserve">” </w:t>
            </w:r>
            <w:r w:rsidR="00395782" w:rsidRPr="009C5F11">
              <w:rPr>
                <w:rFonts w:ascii="Times New Roman" w:hAnsi="Times New Roman" w:cs="Times New Roman"/>
                <w:sz w:val="18"/>
                <w:szCs w:val="14"/>
                <w:lang w:val="ro-RO" w:eastAsia="de-DE"/>
              </w:rPr>
              <w:t xml:space="preserve">care îşi propune să îmbunătăţească </w:t>
            </w:r>
            <w:r w:rsidR="00936847" w:rsidRPr="009C5F11">
              <w:rPr>
                <w:rFonts w:ascii="Times New Roman" w:hAnsi="Times New Roman" w:cs="Times New Roman"/>
                <w:sz w:val="18"/>
                <w:szCs w:val="14"/>
                <w:lang w:val="ro-RO" w:eastAsia="de-DE"/>
              </w:rPr>
              <w:t>management</w:t>
            </w:r>
            <w:r w:rsidR="00395782" w:rsidRPr="009C5F11">
              <w:rPr>
                <w:rFonts w:ascii="Times New Roman" w:hAnsi="Times New Roman" w:cs="Times New Roman"/>
                <w:sz w:val="18"/>
                <w:szCs w:val="14"/>
                <w:lang w:val="ro-RO" w:eastAsia="de-DE"/>
              </w:rPr>
              <w:t xml:space="preserve">ul </w:t>
            </w:r>
            <w:r w:rsidR="005D3541" w:rsidRPr="009C5F11">
              <w:rPr>
                <w:rFonts w:ascii="Times New Roman" w:hAnsi="Times New Roman" w:cs="Times New Roman"/>
                <w:sz w:val="18"/>
                <w:szCs w:val="14"/>
                <w:lang w:val="ro-RO" w:eastAsia="de-DE"/>
              </w:rPr>
              <w:t>serviciilor</w:t>
            </w:r>
            <w:r w:rsidR="00395782" w:rsidRPr="009C5F11">
              <w:rPr>
                <w:rFonts w:ascii="Times New Roman" w:hAnsi="Times New Roman" w:cs="Times New Roman"/>
                <w:sz w:val="18"/>
                <w:szCs w:val="14"/>
                <w:lang w:val="ro-RO" w:eastAsia="de-DE"/>
              </w:rPr>
              <w:t xml:space="preserve"> de alimentare cu apă şi evacuare a apelor uzate astfel încât să fie obţinute </w:t>
            </w:r>
            <w:r w:rsidR="004424A0" w:rsidRPr="009C5F11">
              <w:rPr>
                <w:rFonts w:ascii="Times New Roman" w:hAnsi="Times New Roman" w:cs="Times New Roman"/>
                <w:sz w:val="18"/>
                <w:szCs w:val="14"/>
                <w:lang w:val="ro-RO" w:eastAsia="de-DE"/>
              </w:rPr>
              <w:t>economii de energie</w:t>
            </w:r>
            <w:r w:rsidR="00395782" w:rsidRPr="009C5F11">
              <w:rPr>
                <w:rFonts w:ascii="Times New Roman" w:hAnsi="Times New Roman" w:cs="Times New Roman"/>
                <w:sz w:val="18"/>
                <w:szCs w:val="14"/>
                <w:lang w:val="ro-RO" w:eastAsia="de-DE"/>
              </w:rPr>
              <w:t>.</w:t>
            </w:r>
          </w:p>
        </w:tc>
      </w:tr>
      <w:tr w:rsidR="00936847" w:rsidRPr="009C5F11" w14:paraId="7EE15DA0" w14:textId="77777777" w:rsidTr="00BF6432">
        <w:trPr>
          <w:trHeight w:val="107"/>
        </w:trPr>
        <w:tc>
          <w:tcPr>
            <w:tcW w:w="743" w:type="pct"/>
            <w:vMerge/>
          </w:tcPr>
          <w:p w14:paraId="0806D8CA"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9B7643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5B8BAF73" w14:textId="77777777" w:rsidR="00936847" w:rsidRPr="009C5F11" w:rsidRDefault="00127E34"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Reducerea consumului de energie</w:t>
            </w:r>
            <w:r w:rsidR="00321CD5" w:rsidRPr="009C5F11">
              <w:rPr>
                <w:rFonts w:ascii="Times New Roman" w:hAnsi="Times New Roman" w:cs="Times New Roman"/>
                <w:sz w:val="18"/>
                <w:szCs w:val="14"/>
                <w:lang w:val="ro-RO" w:eastAsia="de-DE"/>
              </w:rPr>
              <w:t xml:space="preserve"> </w:t>
            </w:r>
            <w:r w:rsidR="000C7819" w:rsidRPr="009C5F11">
              <w:rPr>
                <w:rFonts w:ascii="Times New Roman" w:hAnsi="Times New Roman" w:cs="Times New Roman"/>
                <w:sz w:val="18"/>
                <w:szCs w:val="14"/>
                <w:lang w:val="ro-RO" w:eastAsia="de-DE"/>
              </w:rPr>
              <w:t>de către</w:t>
            </w:r>
            <w:r w:rsidR="005D3541" w:rsidRPr="009C5F11">
              <w:rPr>
                <w:rFonts w:ascii="Times New Roman" w:hAnsi="Times New Roman" w:cs="Times New Roman"/>
                <w:sz w:val="18"/>
                <w:szCs w:val="14"/>
                <w:lang w:val="ro-RO" w:eastAsia="de-DE"/>
              </w:rPr>
              <w:t xml:space="preserve"> serviciile de alimentare cu apă şi evacuare a apelor uzate</w:t>
            </w:r>
            <w:r w:rsidR="00936847" w:rsidRPr="009C5F11">
              <w:rPr>
                <w:rFonts w:ascii="Times New Roman" w:hAnsi="Times New Roman" w:cs="Times New Roman"/>
                <w:sz w:val="18"/>
                <w:szCs w:val="14"/>
                <w:lang w:val="ro-RO" w:eastAsia="de-DE"/>
              </w:rPr>
              <w:t xml:space="preserve"> </w:t>
            </w:r>
            <w:r w:rsidR="005D3541" w:rsidRPr="009C5F11">
              <w:rPr>
                <w:rFonts w:ascii="Times New Roman" w:hAnsi="Times New Roman" w:cs="Times New Roman"/>
                <w:sz w:val="18"/>
                <w:szCs w:val="14"/>
                <w:lang w:val="ro-RO" w:eastAsia="de-DE"/>
              </w:rPr>
              <w:t>prin operaţiuni mai eficiente, reducere a costurilor operaţionale şi îmbunătăţirea performanţei de mediu</w:t>
            </w:r>
            <w:r w:rsidR="00936847" w:rsidRPr="009C5F11">
              <w:rPr>
                <w:rFonts w:ascii="Times New Roman" w:hAnsi="Times New Roman" w:cs="Times New Roman"/>
                <w:sz w:val="18"/>
                <w:szCs w:val="14"/>
                <w:lang w:val="ro-RO" w:eastAsia="de-DE"/>
              </w:rPr>
              <w:t>.</w:t>
            </w:r>
          </w:p>
          <w:p w14:paraId="18D6AE17" w14:textId="77777777" w:rsidR="00936847" w:rsidRPr="009C5F11" w:rsidRDefault="005D3541" w:rsidP="003238C2">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Instalaţiile de evacuare a apelor </w:t>
            </w:r>
            <w:r w:rsidR="000C7819" w:rsidRPr="009C5F11">
              <w:rPr>
                <w:rFonts w:ascii="Times New Roman" w:hAnsi="Times New Roman" w:cs="Times New Roman"/>
                <w:sz w:val="18"/>
                <w:szCs w:val="14"/>
                <w:lang w:val="ro-RO" w:eastAsia="de-DE"/>
              </w:rPr>
              <w:t>uzate</w:t>
            </w:r>
            <w:r w:rsidRPr="009C5F11">
              <w:rPr>
                <w:rFonts w:ascii="Times New Roman" w:hAnsi="Times New Roman" w:cs="Times New Roman"/>
                <w:sz w:val="18"/>
                <w:szCs w:val="14"/>
                <w:lang w:val="ro-RO" w:eastAsia="de-DE"/>
              </w:rPr>
              <w:t xml:space="preserve"> şi sistemele de alimentare cu apă potabilă pot reprezenta </w:t>
            </w:r>
            <w:r w:rsidR="003A5D89" w:rsidRPr="009C5F11">
              <w:rPr>
                <w:rFonts w:ascii="Times New Roman" w:hAnsi="Times New Roman" w:cs="Times New Roman"/>
                <w:sz w:val="18"/>
                <w:szCs w:val="14"/>
                <w:lang w:val="ro-RO" w:eastAsia="de-DE"/>
              </w:rPr>
              <w:t>până la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o treime din factura pentru energie</w:t>
            </w:r>
            <w:r w:rsidR="00936847" w:rsidRPr="009C5F11">
              <w:rPr>
                <w:rFonts w:ascii="Times New Roman" w:hAnsi="Times New Roman" w:cs="Times New Roman"/>
                <w:sz w:val="18"/>
                <w:szCs w:val="14"/>
                <w:lang w:val="ro-RO" w:eastAsia="de-DE"/>
              </w:rPr>
              <w:t>. Instal</w:t>
            </w:r>
            <w:r w:rsidRPr="009C5F11">
              <w:rPr>
                <w:rFonts w:ascii="Times New Roman" w:hAnsi="Times New Roman" w:cs="Times New Roman"/>
                <w:sz w:val="18"/>
                <w:szCs w:val="14"/>
                <w:lang w:val="ro-RO" w:eastAsia="de-DE"/>
              </w:rPr>
              <w:t xml:space="preserve">area unor sisteme noi şi mai eficiente de pompare </w:t>
            </w:r>
            <w:r w:rsidR="00321CD5" w:rsidRPr="009C5F11">
              <w:rPr>
                <w:rFonts w:ascii="Times New Roman" w:hAnsi="Times New Roman" w:cs="Times New Roman"/>
                <w:sz w:val="18"/>
                <w:szCs w:val="14"/>
                <w:lang w:val="ro-RO" w:eastAsia="de-DE"/>
              </w:rPr>
              <w:t xml:space="preserve">şi </w:t>
            </w:r>
            <w:r w:rsidR="00936847" w:rsidRPr="009C5F11">
              <w:rPr>
                <w:rFonts w:ascii="Times New Roman" w:hAnsi="Times New Roman" w:cs="Times New Roman"/>
                <w:sz w:val="18"/>
                <w:szCs w:val="14"/>
                <w:lang w:val="ro-RO" w:eastAsia="de-DE"/>
              </w:rPr>
              <w:t>control</w:t>
            </w:r>
            <w:r w:rsidR="00321CD5" w:rsidRPr="009C5F11">
              <w:rPr>
                <w:rFonts w:ascii="Times New Roman" w:hAnsi="Times New Roman" w:cs="Times New Roman"/>
                <w:sz w:val="18"/>
                <w:szCs w:val="14"/>
                <w:lang w:val="ro-RO" w:eastAsia="de-DE"/>
              </w:rPr>
              <w:t xml:space="preserve"> şi </w:t>
            </w:r>
            <w:r w:rsidR="003238C2" w:rsidRPr="009C5F11">
              <w:rPr>
                <w:rFonts w:ascii="Times New Roman" w:hAnsi="Times New Roman" w:cs="Times New Roman"/>
                <w:sz w:val="18"/>
                <w:szCs w:val="14"/>
                <w:lang w:val="ro-RO" w:eastAsia="de-DE"/>
              </w:rPr>
              <w:t xml:space="preserve">a unor </w:t>
            </w:r>
            <w:r w:rsidR="0087273F" w:rsidRPr="009C5F11">
              <w:rPr>
                <w:rFonts w:ascii="Times New Roman" w:hAnsi="Times New Roman" w:cs="Times New Roman"/>
                <w:sz w:val="18"/>
                <w:szCs w:val="14"/>
                <w:lang w:val="ro-RO" w:eastAsia="de-DE"/>
              </w:rPr>
              <w:t>senzori</w:t>
            </w:r>
            <w:r w:rsidRPr="009C5F11">
              <w:rPr>
                <w:rFonts w:ascii="Times New Roman" w:hAnsi="Times New Roman" w:cs="Times New Roman"/>
                <w:sz w:val="18"/>
                <w:szCs w:val="14"/>
                <w:lang w:val="ro-RO" w:eastAsia="de-DE"/>
              </w:rPr>
              <w:t xml:space="preserve"> pentru a spori automatizarea sistemului poate</w:t>
            </w:r>
            <w:r w:rsidR="00936847" w:rsidRPr="009C5F11">
              <w:rPr>
                <w:rFonts w:ascii="Times New Roman" w:hAnsi="Times New Roman" w:cs="Times New Roman"/>
                <w:sz w:val="18"/>
                <w:szCs w:val="14"/>
                <w:lang w:val="ro-RO" w:eastAsia="de-DE"/>
              </w:rPr>
              <w:t xml:space="preserve"> produce </w:t>
            </w:r>
            <w:r w:rsidR="004424A0" w:rsidRPr="009C5F11">
              <w:rPr>
                <w:rFonts w:ascii="Times New Roman" w:hAnsi="Times New Roman" w:cs="Times New Roman"/>
                <w:sz w:val="18"/>
                <w:szCs w:val="14"/>
                <w:lang w:val="ro-RO" w:eastAsia="de-DE"/>
              </w:rPr>
              <w:t>economii de energie</w:t>
            </w:r>
            <w:r w:rsidR="00936847" w:rsidRPr="009C5F11">
              <w:rPr>
                <w:rFonts w:ascii="Times New Roman" w:hAnsi="Times New Roman" w:cs="Times New Roman"/>
                <w:sz w:val="18"/>
                <w:szCs w:val="14"/>
                <w:lang w:val="ro-RO" w:eastAsia="de-DE"/>
              </w:rPr>
              <w:t xml:space="preserve"> </w:t>
            </w:r>
            <w:r w:rsidR="003238C2" w:rsidRPr="009C5F11">
              <w:rPr>
                <w:rFonts w:ascii="Times New Roman" w:hAnsi="Times New Roman" w:cs="Times New Roman"/>
                <w:sz w:val="18"/>
                <w:szCs w:val="14"/>
                <w:lang w:val="ro-RO" w:eastAsia="de-DE"/>
              </w:rPr>
              <w:t>în cuantum de circa</w:t>
            </w:r>
            <w:r w:rsidR="00936847" w:rsidRPr="009C5F11">
              <w:rPr>
                <w:rFonts w:ascii="Times New Roman" w:hAnsi="Times New Roman" w:cs="Times New Roman"/>
                <w:sz w:val="18"/>
                <w:szCs w:val="14"/>
                <w:lang w:val="ro-RO" w:eastAsia="de-DE"/>
              </w:rPr>
              <w:t xml:space="preserve"> 20%.</w:t>
            </w:r>
          </w:p>
        </w:tc>
      </w:tr>
      <w:tr w:rsidR="00936847" w:rsidRPr="009C5F11" w14:paraId="3B03FF3B" w14:textId="77777777" w:rsidTr="00BF6432">
        <w:trPr>
          <w:trHeight w:val="61"/>
        </w:trPr>
        <w:tc>
          <w:tcPr>
            <w:tcW w:w="743" w:type="pct"/>
            <w:vMerge/>
          </w:tcPr>
          <w:p w14:paraId="26D1C8F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916D5A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5C0EB35E" w14:textId="77777777" w:rsidR="00936847" w:rsidRPr="009C5F11" w:rsidRDefault="005D3541"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Gestionarea alimentării cu apă şi evacuarea apelor uzate</w:t>
            </w:r>
          </w:p>
        </w:tc>
      </w:tr>
      <w:tr w:rsidR="00936847" w:rsidRPr="009C5F11" w14:paraId="562D48D6" w14:textId="77777777" w:rsidTr="00BF6432">
        <w:trPr>
          <w:trHeight w:val="61"/>
        </w:trPr>
        <w:tc>
          <w:tcPr>
            <w:tcW w:w="743" w:type="pct"/>
            <w:vMerge/>
          </w:tcPr>
          <w:p w14:paraId="23634B5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34EC27E"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6F882CD8" w14:textId="77777777" w:rsidR="00936847" w:rsidRPr="009C5F11" w:rsidRDefault="005D3541" w:rsidP="005D3541">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Utilizatori ai sistemului de alimentare cu apă din</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zonele </w:t>
            </w:r>
            <w:r w:rsidR="00936847" w:rsidRPr="009C5F11">
              <w:rPr>
                <w:rFonts w:ascii="Times New Roman" w:hAnsi="Times New Roman" w:cs="Times New Roman"/>
                <w:sz w:val="18"/>
                <w:szCs w:val="14"/>
                <w:lang w:val="ro-RO" w:eastAsia="de-DE"/>
              </w:rPr>
              <w:t>municipal</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/regional</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clienţi </w:t>
            </w:r>
            <w:r w:rsidR="00AB1710" w:rsidRPr="009C5F11">
              <w:rPr>
                <w:rFonts w:ascii="Times New Roman" w:hAnsi="Times New Roman" w:cs="Times New Roman"/>
                <w:sz w:val="18"/>
                <w:szCs w:val="14"/>
                <w:lang w:val="ro-RO" w:eastAsia="de-DE"/>
              </w:rPr>
              <w:t>rezidenţial</w:t>
            </w:r>
            <w:r w:rsidRPr="009C5F11">
              <w:rPr>
                <w:rFonts w:ascii="Times New Roman" w:hAnsi="Times New Roman" w:cs="Times New Roman"/>
                <w:sz w:val="18"/>
                <w:szCs w:val="14"/>
                <w:lang w:val="ro-RO" w:eastAsia="de-DE"/>
              </w:rPr>
              <w:t>i</w:t>
            </w:r>
            <w:r w:rsidR="00321CD5" w:rsidRPr="009C5F11">
              <w:rPr>
                <w:rFonts w:ascii="Times New Roman" w:hAnsi="Times New Roman" w:cs="Times New Roman"/>
                <w:sz w:val="18"/>
                <w:szCs w:val="14"/>
                <w:lang w:val="ro-RO" w:eastAsia="de-DE"/>
              </w:rPr>
              <w:t xml:space="preserve"> şi </w:t>
            </w:r>
            <w:r w:rsidR="00AB1710" w:rsidRPr="009C5F11">
              <w:rPr>
                <w:rFonts w:ascii="Times New Roman" w:hAnsi="Times New Roman" w:cs="Times New Roman"/>
                <w:sz w:val="18"/>
                <w:szCs w:val="14"/>
                <w:lang w:val="ro-RO" w:eastAsia="de-DE"/>
              </w:rPr>
              <w:t>comercial</w:t>
            </w:r>
            <w:r w:rsidRPr="009C5F11">
              <w:rPr>
                <w:rFonts w:ascii="Times New Roman" w:hAnsi="Times New Roman" w:cs="Times New Roman"/>
                <w:sz w:val="18"/>
                <w:szCs w:val="14"/>
                <w:lang w:val="ro-RO" w:eastAsia="de-DE"/>
              </w:rPr>
              <w:t>i.</w:t>
            </w:r>
            <w:r w:rsidR="00936847" w:rsidRPr="009C5F11">
              <w:rPr>
                <w:rFonts w:ascii="Times New Roman" w:hAnsi="Times New Roman" w:cs="Times New Roman"/>
                <w:sz w:val="18"/>
                <w:szCs w:val="14"/>
                <w:lang w:val="ro-RO" w:eastAsia="de-DE"/>
              </w:rPr>
              <w:t xml:space="preserve"> </w:t>
            </w:r>
          </w:p>
        </w:tc>
      </w:tr>
      <w:tr w:rsidR="00936847" w:rsidRPr="009C5F11" w14:paraId="64AAAB14" w14:textId="77777777" w:rsidTr="00B40DB5">
        <w:trPr>
          <w:trHeight w:val="1214"/>
        </w:trPr>
        <w:tc>
          <w:tcPr>
            <w:tcW w:w="743" w:type="pct"/>
            <w:vMerge/>
          </w:tcPr>
          <w:p w14:paraId="2250290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84227CF"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1CFE3A98"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p>
          <w:p w14:paraId="601A9F93" w14:textId="77777777" w:rsidR="00936847" w:rsidRPr="009C5F11" w:rsidRDefault="005D3541" w:rsidP="00334F3B">
            <w:pPr>
              <w:numPr>
                <w:ilvl w:val="0"/>
                <w:numId w:val="93"/>
              </w:numPr>
              <w:tabs>
                <w:tab w:val="left" w:pos="432"/>
                <w:tab w:val="left" w:pos="5040"/>
                <w:tab w:val="right" w:pos="8504"/>
              </w:tabs>
              <w:spacing w:after="0" w:line="240" w:lineRule="auto"/>
              <w:ind w:left="43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Prestatorul desemnat de servicii de alimentare cu apă şi evacuare a apelor uzate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în raza mun. </w:t>
            </w:r>
            <w:r w:rsidR="0087273F" w:rsidRPr="009C5F11">
              <w:rPr>
                <w:rFonts w:ascii="Times New Roman" w:hAnsi="Times New Roman" w:cs="Times New Roman"/>
                <w:sz w:val="18"/>
                <w:szCs w:val="14"/>
                <w:lang w:val="ro-RO" w:eastAsia="de-DE"/>
              </w:rPr>
              <w:t>Chișinău</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este</w:t>
            </w:r>
            <w:r w:rsidR="00936847" w:rsidRPr="009C5F11">
              <w:rPr>
                <w:rFonts w:ascii="Times New Roman" w:hAnsi="Times New Roman" w:cs="Times New Roman"/>
                <w:sz w:val="18"/>
                <w:szCs w:val="14"/>
                <w:lang w:val="ro-RO" w:eastAsia="de-DE"/>
              </w:rPr>
              <w:t xml:space="preserve"> S.A. Ap</w:t>
            </w:r>
            <w:r w:rsidRPr="009C5F11">
              <w:rPr>
                <w:rFonts w:ascii="Times New Roman" w:hAnsi="Times New Roman" w:cs="Times New Roman"/>
                <w:sz w:val="18"/>
                <w:szCs w:val="14"/>
                <w:lang w:val="ro-RO" w:eastAsia="de-DE"/>
              </w:rPr>
              <w:t>ă</w:t>
            </w:r>
            <w:r w:rsidR="003238C2"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Canal </w:t>
            </w:r>
            <w:r w:rsidR="0087273F" w:rsidRPr="009C5F11">
              <w:rPr>
                <w:rFonts w:ascii="Times New Roman" w:hAnsi="Times New Roman" w:cs="Times New Roman"/>
                <w:sz w:val="18"/>
                <w:szCs w:val="14"/>
                <w:lang w:val="ro-RO" w:eastAsia="de-DE"/>
              </w:rPr>
              <w:t>Chișinău</w:t>
            </w:r>
            <w:r w:rsidR="00936847" w:rsidRPr="009C5F11">
              <w:rPr>
                <w:rFonts w:ascii="Times New Roman" w:hAnsi="Times New Roman" w:cs="Times New Roman"/>
                <w:sz w:val="18"/>
                <w:szCs w:val="14"/>
                <w:lang w:val="ro-RO" w:eastAsia="de-DE"/>
              </w:rPr>
              <w:t xml:space="preserve"> (ACC), creat</w:t>
            </w:r>
            <w:r w:rsidRPr="009C5F11">
              <w:rPr>
                <w:rFonts w:ascii="Times New Roman" w:hAnsi="Times New Roman" w:cs="Times New Roman"/>
                <w:sz w:val="18"/>
                <w:szCs w:val="14"/>
                <w:lang w:val="ro-RO" w:eastAsia="de-DE"/>
              </w:rPr>
              <w:t>ă</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1997</w:t>
            </w:r>
            <w:r w:rsidRPr="009C5F11">
              <w:rPr>
                <w:rFonts w:ascii="Times New Roman" w:hAnsi="Times New Roman" w:cs="Times New Roman"/>
                <w:sz w:val="18"/>
                <w:szCs w:val="14"/>
                <w:lang w:val="ro-RO" w:eastAsia="de-DE"/>
              </w:rPr>
              <w:t xml:space="preserve"> pe baza </w:t>
            </w:r>
            <w:r w:rsidR="0087273F" w:rsidRPr="009C5F11">
              <w:rPr>
                <w:rFonts w:ascii="Times New Roman" w:hAnsi="Times New Roman" w:cs="Times New Roman"/>
                <w:sz w:val="18"/>
                <w:szCs w:val="14"/>
                <w:lang w:val="ro-RO" w:eastAsia="de-DE"/>
              </w:rPr>
              <w:t>întreprinderii</w:t>
            </w:r>
            <w:r w:rsidRPr="009C5F11">
              <w:rPr>
                <w:rFonts w:ascii="Times New Roman" w:hAnsi="Times New Roman" w:cs="Times New Roman"/>
                <w:sz w:val="18"/>
                <w:szCs w:val="14"/>
                <w:lang w:val="ro-RO" w:eastAsia="de-DE"/>
              </w:rPr>
              <w:t xml:space="preserve"> de stat </w:t>
            </w:r>
            <w:r w:rsidR="00936847" w:rsidRPr="009C5F11">
              <w:rPr>
                <w:rFonts w:ascii="Times New Roman" w:hAnsi="Times New Roman" w:cs="Times New Roman"/>
                <w:sz w:val="18"/>
                <w:szCs w:val="14"/>
                <w:lang w:val="ro-RO" w:eastAsia="de-DE"/>
              </w:rPr>
              <w:t>Regia “Ap</w:t>
            </w:r>
            <w:r w:rsidRPr="009C5F11">
              <w:rPr>
                <w:rFonts w:ascii="Times New Roman" w:hAnsi="Times New Roman" w:cs="Times New Roman"/>
                <w:sz w:val="18"/>
                <w:szCs w:val="14"/>
                <w:lang w:val="ro-RO" w:eastAsia="de-DE"/>
              </w:rPr>
              <w:t>ă</w:t>
            </w:r>
            <w:r w:rsidR="00936847" w:rsidRPr="009C5F11">
              <w:rPr>
                <w:rFonts w:ascii="Times New Roman" w:hAnsi="Times New Roman" w:cs="Times New Roman"/>
                <w:sz w:val="18"/>
                <w:szCs w:val="14"/>
                <w:lang w:val="ro-RO" w:eastAsia="de-DE"/>
              </w:rPr>
              <w:t xml:space="preserve">-Canal </w:t>
            </w:r>
            <w:r w:rsidR="0087273F" w:rsidRPr="009C5F11">
              <w:rPr>
                <w:rFonts w:ascii="Times New Roman" w:hAnsi="Times New Roman" w:cs="Times New Roman"/>
                <w:sz w:val="18"/>
                <w:szCs w:val="14"/>
                <w:lang w:val="ro-RO" w:eastAsia="de-DE"/>
              </w:rPr>
              <w:t>Chișinău</w:t>
            </w:r>
            <w:r w:rsidR="00936847" w:rsidRPr="009C5F11">
              <w:rPr>
                <w:rFonts w:ascii="Times New Roman" w:hAnsi="Times New Roman" w:cs="Times New Roman"/>
                <w:sz w:val="18"/>
                <w:szCs w:val="14"/>
                <w:lang w:val="ro-RO" w:eastAsia="de-DE"/>
              </w:rPr>
              <w:t>”.</w:t>
            </w:r>
          </w:p>
          <w:p w14:paraId="7868B9BE" w14:textId="77777777" w:rsidR="00936847" w:rsidRPr="009C5F11" w:rsidRDefault="005D3541" w:rsidP="00334F3B">
            <w:pPr>
              <w:numPr>
                <w:ilvl w:val="0"/>
                <w:numId w:val="93"/>
              </w:numPr>
              <w:tabs>
                <w:tab w:val="left" w:pos="432"/>
                <w:tab w:val="left" w:pos="5040"/>
                <w:tab w:val="right" w:pos="8504"/>
              </w:tabs>
              <w:spacing w:after="0" w:line="240" w:lineRule="auto"/>
              <w:ind w:left="43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w:t>
            </w:r>
            <w:r w:rsidR="00E10BE5" w:rsidRPr="009C5F11">
              <w:rPr>
                <w:rFonts w:ascii="Times New Roman" w:hAnsi="Times New Roman" w:cs="Times New Roman"/>
                <w:sz w:val="18"/>
                <w:szCs w:val="14"/>
                <w:lang w:val="ro-RO" w:eastAsia="de-DE"/>
              </w:rPr>
              <w:t>ăsuri</w:t>
            </w:r>
            <w:r w:rsidRPr="009C5F11">
              <w:rPr>
                <w:rFonts w:ascii="Times New Roman" w:hAnsi="Times New Roman" w:cs="Times New Roman"/>
                <w:sz w:val="18"/>
                <w:szCs w:val="14"/>
                <w:lang w:val="ro-RO" w:eastAsia="de-DE"/>
              </w:rPr>
              <w:t xml:space="preserve"> similare vor fi</w:t>
            </w:r>
            <w:r w:rsidR="001B3DCF" w:rsidRPr="009C5F11">
              <w:rPr>
                <w:rFonts w:ascii="Times New Roman" w:hAnsi="Times New Roman" w:cs="Times New Roman"/>
                <w:sz w:val="18"/>
                <w:szCs w:val="14"/>
                <w:lang w:val="ro-RO" w:eastAsia="de-DE"/>
              </w:rPr>
              <w:t xml:space="preserve"> implementat</w:t>
            </w:r>
            <w:r w:rsidRPr="009C5F11">
              <w:rPr>
                <w:rFonts w:ascii="Times New Roman" w:hAnsi="Times New Roman" w:cs="Times New Roman"/>
                <w:sz w:val="18"/>
                <w:szCs w:val="14"/>
                <w:lang w:val="ro-RO" w:eastAsia="de-DE"/>
              </w:rPr>
              <w:t>e</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în alte zone relevante de gestionare a apei </w:t>
            </w:r>
            <w:r w:rsidR="00936847" w:rsidRPr="009C5F11">
              <w:rPr>
                <w:rFonts w:ascii="Times New Roman" w:hAnsi="Times New Roman" w:cs="Times New Roman"/>
                <w:sz w:val="18"/>
                <w:szCs w:val="14"/>
                <w:lang w:val="ro-RO" w:eastAsia="de-DE"/>
              </w:rPr>
              <w:t>(regi</w:t>
            </w:r>
            <w:r w:rsidRPr="009C5F11">
              <w:rPr>
                <w:rFonts w:ascii="Times New Roman" w:hAnsi="Times New Roman" w:cs="Times New Roman"/>
                <w:sz w:val="18"/>
                <w:szCs w:val="14"/>
                <w:lang w:val="ro-RO" w:eastAsia="de-DE"/>
              </w:rPr>
              <w:t>uni</w:t>
            </w:r>
            <w:r w:rsidR="00936847" w:rsidRPr="009C5F11">
              <w:rPr>
                <w:rFonts w:ascii="Times New Roman" w:hAnsi="Times New Roman" w:cs="Times New Roman"/>
                <w:sz w:val="18"/>
                <w:szCs w:val="14"/>
                <w:lang w:val="ro-RO" w:eastAsia="de-DE"/>
              </w:rPr>
              <w:t>/municip</w:t>
            </w:r>
            <w:r w:rsidRPr="009C5F11">
              <w:rPr>
                <w:rFonts w:ascii="Times New Roman" w:hAnsi="Times New Roman" w:cs="Times New Roman"/>
                <w:sz w:val="18"/>
                <w:szCs w:val="14"/>
                <w:lang w:val="ro-RO" w:eastAsia="de-DE"/>
              </w:rPr>
              <w:t>ii</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tc>
      </w:tr>
      <w:tr w:rsidR="00936847" w:rsidRPr="009C5F11" w14:paraId="298CB618" w14:textId="77777777" w:rsidTr="00BF6432">
        <w:trPr>
          <w:trHeight w:val="476"/>
        </w:trPr>
        <w:tc>
          <w:tcPr>
            <w:tcW w:w="743" w:type="pct"/>
            <w:vMerge w:val="restart"/>
          </w:tcPr>
          <w:p w14:paraId="0271FE41"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6A33AAE0"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244" w:type="pct"/>
          </w:tcPr>
          <w:p w14:paraId="5B2F341C" w14:textId="77777777" w:rsidR="00936847" w:rsidRPr="009C5F11" w:rsidRDefault="0087273F"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Autoritățile</w:t>
            </w:r>
            <w:r w:rsidR="00E46DD7" w:rsidRPr="009C5F11">
              <w:rPr>
                <w:rFonts w:ascii="Times New Roman" w:hAnsi="Times New Roman" w:cs="Times New Roman"/>
                <w:sz w:val="18"/>
                <w:szCs w:val="14"/>
                <w:lang w:val="ro-RO" w:eastAsia="de-DE"/>
              </w:rPr>
              <w:t xml:space="preserve"> publice locale</w:t>
            </w:r>
            <w:r w:rsidR="00936847" w:rsidRPr="009C5F11">
              <w:rPr>
                <w:rFonts w:ascii="Times New Roman" w:hAnsi="Times New Roman" w:cs="Times New Roman"/>
                <w:sz w:val="18"/>
                <w:szCs w:val="14"/>
                <w:lang w:val="ro-RO" w:eastAsia="de-DE"/>
              </w:rPr>
              <w:t xml:space="preserve"> </w:t>
            </w:r>
            <w:r w:rsidR="003238C2" w:rsidRPr="009C5F11">
              <w:rPr>
                <w:rFonts w:ascii="Times New Roman" w:hAnsi="Times New Roman" w:cs="Times New Roman"/>
                <w:sz w:val="18"/>
                <w:szCs w:val="14"/>
                <w:lang w:val="ro-RO" w:eastAsia="de-DE"/>
              </w:rPr>
              <w:t>urmează să</w:t>
            </w:r>
            <w:r w:rsidR="00936847" w:rsidRPr="009C5F11">
              <w:rPr>
                <w:rFonts w:ascii="Times New Roman" w:hAnsi="Times New Roman" w:cs="Times New Roman"/>
                <w:sz w:val="18"/>
                <w:szCs w:val="14"/>
                <w:lang w:val="ro-RO" w:eastAsia="de-DE"/>
              </w:rPr>
              <w:t xml:space="preserve"> implement</w:t>
            </w:r>
            <w:r w:rsidR="003238C2" w:rsidRPr="009C5F11">
              <w:rPr>
                <w:rFonts w:ascii="Times New Roman" w:hAnsi="Times New Roman" w:cs="Times New Roman"/>
                <w:sz w:val="18"/>
                <w:szCs w:val="14"/>
                <w:lang w:val="ro-RO" w:eastAsia="de-DE"/>
              </w:rPr>
              <w:t>eze</w:t>
            </w:r>
            <w:r w:rsidR="00936847" w:rsidRPr="009C5F11">
              <w:rPr>
                <w:rFonts w:ascii="Times New Roman" w:hAnsi="Times New Roman" w:cs="Times New Roman"/>
                <w:sz w:val="18"/>
                <w:szCs w:val="14"/>
                <w:lang w:val="ro-RO" w:eastAsia="de-DE"/>
              </w:rPr>
              <w:t xml:space="preserve"> </w:t>
            </w:r>
            <w:r w:rsidR="00D77687" w:rsidRPr="009C5F11">
              <w:rPr>
                <w:rFonts w:ascii="Times New Roman" w:hAnsi="Times New Roman" w:cs="Times New Roman"/>
                <w:sz w:val="18"/>
                <w:szCs w:val="14"/>
                <w:lang w:val="ro-RO" w:eastAsia="de-DE"/>
              </w:rPr>
              <w:t>măsuri de eficienţă energetică</w:t>
            </w:r>
            <w:r w:rsidR="00936847" w:rsidRPr="009C5F11">
              <w:rPr>
                <w:rFonts w:ascii="Times New Roman" w:hAnsi="Times New Roman" w:cs="Times New Roman"/>
                <w:sz w:val="18"/>
                <w:szCs w:val="14"/>
                <w:lang w:val="ro-RO" w:eastAsia="de-DE"/>
              </w:rPr>
              <w:t xml:space="preserve"> </w:t>
            </w:r>
            <w:r w:rsidR="003238C2" w:rsidRPr="009C5F11">
              <w:rPr>
                <w:rFonts w:ascii="Times New Roman" w:hAnsi="Times New Roman" w:cs="Times New Roman"/>
                <w:sz w:val="18"/>
                <w:szCs w:val="14"/>
                <w:lang w:val="ro-RO" w:eastAsia="de-DE"/>
              </w:rPr>
              <w:t xml:space="preserve">în cadrul serviciilor de alimentare cu apă şi evacuare a apelor uzate prin elaborare de </w:t>
            </w:r>
            <w:r w:rsidR="006025D6" w:rsidRPr="009C5F11">
              <w:rPr>
                <w:rFonts w:ascii="Times New Roman" w:hAnsi="Times New Roman" w:cs="Times New Roman"/>
                <w:sz w:val="18"/>
                <w:szCs w:val="14"/>
                <w:lang w:val="ro-RO" w:eastAsia="de-DE"/>
              </w:rPr>
              <w:t>politici</w:t>
            </w:r>
            <w:r w:rsidR="00936847" w:rsidRPr="009C5F11">
              <w:rPr>
                <w:rFonts w:ascii="Times New Roman" w:hAnsi="Times New Roman" w:cs="Times New Roman"/>
                <w:sz w:val="18"/>
                <w:szCs w:val="14"/>
                <w:lang w:val="ro-RO" w:eastAsia="de-DE"/>
              </w:rPr>
              <w:t xml:space="preserve"> </w:t>
            </w:r>
            <w:r w:rsidR="003238C2" w:rsidRPr="009C5F11">
              <w:rPr>
                <w:rFonts w:ascii="Times New Roman" w:hAnsi="Times New Roman" w:cs="Times New Roman"/>
                <w:sz w:val="18"/>
                <w:szCs w:val="14"/>
                <w:lang w:val="ro-RO" w:eastAsia="de-DE"/>
              </w:rPr>
              <w:t xml:space="preserve">care să </w:t>
            </w:r>
            <w:r w:rsidR="005664F4" w:rsidRPr="009C5F11">
              <w:rPr>
                <w:rFonts w:ascii="Times New Roman" w:hAnsi="Times New Roman" w:cs="Times New Roman"/>
                <w:sz w:val="18"/>
                <w:szCs w:val="14"/>
                <w:lang w:val="ro-RO" w:eastAsia="de-DE"/>
              </w:rPr>
              <w:t>sprijin</w:t>
            </w:r>
            <w:r w:rsidR="003238C2" w:rsidRPr="009C5F11">
              <w:rPr>
                <w:rFonts w:ascii="Times New Roman" w:hAnsi="Times New Roman" w:cs="Times New Roman"/>
                <w:sz w:val="18"/>
                <w:szCs w:val="14"/>
                <w:lang w:val="ro-RO" w:eastAsia="de-DE"/>
              </w:rPr>
              <w:t xml:space="preserve">e aceste servicii pe întreaga durată a </w:t>
            </w:r>
            <w:r w:rsidR="00936847" w:rsidRPr="009C5F11">
              <w:rPr>
                <w:rFonts w:ascii="Times New Roman" w:hAnsi="Times New Roman" w:cs="Times New Roman"/>
                <w:sz w:val="18"/>
                <w:szCs w:val="14"/>
                <w:lang w:val="ro-RO" w:eastAsia="de-DE"/>
              </w:rPr>
              <w:t>proces</w:t>
            </w:r>
            <w:r w:rsidR="003238C2" w:rsidRPr="009C5F11">
              <w:rPr>
                <w:rFonts w:ascii="Times New Roman" w:hAnsi="Times New Roman" w:cs="Times New Roman"/>
                <w:sz w:val="18"/>
                <w:szCs w:val="14"/>
                <w:lang w:val="ro-RO" w:eastAsia="de-DE"/>
              </w:rPr>
              <w:t>ului</w:t>
            </w:r>
            <w:r w:rsidR="00936847" w:rsidRPr="009C5F11">
              <w:rPr>
                <w:rFonts w:ascii="Times New Roman" w:hAnsi="Times New Roman" w:cs="Times New Roman"/>
                <w:sz w:val="18"/>
                <w:szCs w:val="14"/>
                <w:lang w:val="ro-RO" w:eastAsia="de-DE"/>
              </w:rPr>
              <w:t>.</w:t>
            </w:r>
          </w:p>
          <w:p w14:paraId="3CEEF3C2"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p>
          <w:p w14:paraId="360A2E4C" w14:textId="77777777" w:rsidR="00936847" w:rsidRPr="009C5F11" w:rsidRDefault="006B22C8"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ACŢIUNI GENERALE </w:t>
            </w:r>
          </w:p>
          <w:p w14:paraId="3F9EE4C3" w14:textId="77777777" w:rsidR="00936847" w:rsidRPr="009C5F11" w:rsidRDefault="005D06FD"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Măsuri</w:t>
            </w:r>
            <w:r w:rsidR="006B22C8" w:rsidRPr="009C5F11">
              <w:rPr>
                <w:rFonts w:ascii="Times New Roman" w:hAnsi="Times New Roman" w:cs="Times New Roman"/>
                <w:sz w:val="18"/>
                <w:szCs w:val="14"/>
                <w:lang w:val="ro-RO" w:eastAsia="de-DE"/>
              </w:rPr>
              <w:t>le</w:t>
            </w:r>
            <w:r w:rsidRPr="009C5F11">
              <w:rPr>
                <w:rFonts w:ascii="Times New Roman" w:hAnsi="Times New Roman" w:cs="Times New Roman"/>
                <w:sz w:val="18"/>
                <w:szCs w:val="14"/>
                <w:lang w:val="ro-RO" w:eastAsia="de-DE"/>
              </w:rPr>
              <w:t xml:space="preserve"> de eficienţă energetică</w:t>
            </w:r>
            <w:r w:rsidR="00321CD5" w:rsidRPr="009C5F11">
              <w:rPr>
                <w:rFonts w:ascii="Times New Roman" w:hAnsi="Times New Roman" w:cs="Times New Roman"/>
                <w:sz w:val="18"/>
                <w:szCs w:val="14"/>
                <w:lang w:val="ro-RO" w:eastAsia="de-DE"/>
              </w:rPr>
              <w:t xml:space="preserve"> </w:t>
            </w:r>
            <w:r w:rsidR="005D3541" w:rsidRPr="009C5F11">
              <w:rPr>
                <w:rFonts w:ascii="Times New Roman" w:hAnsi="Times New Roman" w:cs="Times New Roman"/>
                <w:sz w:val="18"/>
                <w:szCs w:val="14"/>
                <w:lang w:val="ro-RO" w:eastAsia="de-DE"/>
              </w:rPr>
              <w:t>în serviciile de alimentare cu apă şi evacuare a apelor uzate</w:t>
            </w:r>
            <w:r w:rsidR="00936847" w:rsidRPr="009C5F11">
              <w:rPr>
                <w:rFonts w:ascii="Times New Roman" w:hAnsi="Times New Roman" w:cs="Times New Roman"/>
                <w:sz w:val="18"/>
                <w:szCs w:val="14"/>
                <w:lang w:val="ro-RO" w:eastAsia="de-DE"/>
              </w:rPr>
              <w:t xml:space="preserve"> </w:t>
            </w:r>
            <w:r w:rsidR="006B22C8" w:rsidRPr="009C5F11">
              <w:rPr>
                <w:rFonts w:ascii="Times New Roman" w:hAnsi="Times New Roman" w:cs="Times New Roman"/>
                <w:sz w:val="18"/>
                <w:szCs w:val="14"/>
                <w:lang w:val="ro-RO" w:eastAsia="de-DE"/>
              </w:rPr>
              <w:t>se vor axa pe:</w:t>
            </w:r>
            <w:r w:rsidR="00936847" w:rsidRPr="009C5F11">
              <w:rPr>
                <w:rFonts w:ascii="Times New Roman" w:hAnsi="Times New Roman" w:cs="Times New Roman"/>
                <w:sz w:val="18"/>
                <w:szCs w:val="14"/>
                <w:lang w:val="ro-RO" w:eastAsia="de-DE"/>
              </w:rPr>
              <w:t xml:space="preserve"> </w:t>
            </w:r>
          </w:p>
          <w:p w14:paraId="4DBAEDCC" w14:textId="77777777" w:rsidR="00936847" w:rsidRPr="009C5F11" w:rsidRDefault="00FD08F0" w:rsidP="00334F3B">
            <w:pPr>
              <w:numPr>
                <w:ilvl w:val="0"/>
                <w:numId w:val="92"/>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Instalarea </w:t>
            </w:r>
            <w:r w:rsidR="00EF0B1C" w:rsidRPr="009C5F11">
              <w:rPr>
                <w:rFonts w:ascii="Times New Roman" w:hAnsi="Times New Roman" w:cs="Times New Roman"/>
                <w:sz w:val="18"/>
                <w:szCs w:val="14"/>
                <w:lang w:val="ro-RO" w:eastAsia="de-DE"/>
              </w:rPr>
              <w:t>echipamentului eficient din punct de vedere energetic</w:t>
            </w:r>
            <w:r w:rsidR="00936847" w:rsidRPr="009C5F11">
              <w:rPr>
                <w:rFonts w:ascii="Times New Roman" w:hAnsi="Times New Roman" w:cs="Times New Roman"/>
                <w:sz w:val="18"/>
                <w:szCs w:val="14"/>
                <w:lang w:val="ro-RO" w:eastAsia="de-DE"/>
              </w:rPr>
              <w:t xml:space="preserve">: </w:t>
            </w:r>
            <w:r w:rsidR="00EF0B1C" w:rsidRPr="009C5F11">
              <w:rPr>
                <w:rFonts w:ascii="Times New Roman" w:hAnsi="Times New Roman" w:cs="Times New Roman"/>
                <w:sz w:val="18"/>
                <w:szCs w:val="14"/>
                <w:lang w:val="ro-RO" w:eastAsia="de-DE"/>
              </w:rPr>
              <w:t>pompe eficiente</w:t>
            </w:r>
            <w:r w:rsidR="00936847" w:rsidRPr="009C5F11">
              <w:rPr>
                <w:rFonts w:ascii="Times New Roman" w:hAnsi="Times New Roman" w:cs="Times New Roman"/>
                <w:sz w:val="18"/>
                <w:szCs w:val="14"/>
                <w:lang w:val="ro-RO" w:eastAsia="de-DE"/>
              </w:rPr>
              <w:t xml:space="preserve">, </w:t>
            </w:r>
            <w:r w:rsidR="00EF0B1C" w:rsidRPr="009C5F11">
              <w:rPr>
                <w:rFonts w:ascii="Times New Roman" w:hAnsi="Times New Roman" w:cs="Times New Roman"/>
                <w:sz w:val="18"/>
                <w:szCs w:val="14"/>
                <w:lang w:val="ro-RO" w:eastAsia="de-DE"/>
              </w:rPr>
              <w:t>motoare eficiente</w:t>
            </w:r>
            <w:r w:rsidR="00321CD5" w:rsidRPr="009C5F11">
              <w:rPr>
                <w:rFonts w:ascii="Times New Roman" w:hAnsi="Times New Roman" w:cs="Times New Roman"/>
                <w:sz w:val="18"/>
                <w:szCs w:val="14"/>
                <w:lang w:val="ro-RO" w:eastAsia="de-DE"/>
              </w:rPr>
              <w:t xml:space="preserve"> şi </w:t>
            </w:r>
            <w:r w:rsidR="00EF0B1C" w:rsidRPr="009C5F11">
              <w:rPr>
                <w:rFonts w:ascii="Times New Roman" w:hAnsi="Times New Roman" w:cs="Times New Roman"/>
                <w:sz w:val="18"/>
                <w:szCs w:val="14"/>
                <w:lang w:val="ro-RO" w:eastAsia="de-DE"/>
              </w:rPr>
              <w:t>comenzi cu frecvenţă variabilă</w:t>
            </w:r>
            <w:r w:rsidR="00936847" w:rsidRPr="009C5F11">
              <w:rPr>
                <w:rFonts w:ascii="Times New Roman" w:hAnsi="Times New Roman" w:cs="Times New Roman"/>
                <w:sz w:val="18"/>
                <w:szCs w:val="14"/>
                <w:lang w:val="ro-RO" w:eastAsia="de-DE"/>
              </w:rPr>
              <w:t xml:space="preserve"> (</w:t>
            </w:r>
            <w:r w:rsidR="00EF0B1C" w:rsidRPr="009C5F11">
              <w:rPr>
                <w:rFonts w:ascii="Times New Roman" w:hAnsi="Times New Roman" w:cs="Times New Roman"/>
                <w:sz w:val="18"/>
                <w:szCs w:val="14"/>
                <w:lang w:val="ro-RO" w:eastAsia="de-DE"/>
              </w:rPr>
              <w:t xml:space="preserve">motoarele pentru pompe şi ventilatoare generează </w:t>
            </w:r>
            <w:r w:rsidR="00936847" w:rsidRPr="009C5F11">
              <w:rPr>
                <w:rFonts w:ascii="Times New Roman" w:hAnsi="Times New Roman" w:cs="Times New Roman"/>
                <w:sz w:val="18"/>
                <w:szCs w:val="14"/>
                <w:lang w:val="ro-RO" w:eastAsia="de-DE"/>
              </w:rPr>
              <w:t>80</w:t>
            </w:r>
            <w:r w:rsidR="00EF0B1C"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90% </w:t>
            </w:r>
            <w:r w:rsidR="00EF0B1C" w:rsidRPr="009C5F11">
              <w:rPr>
                <w:rFonts w:ascii="Times New Roman" w:hAnsi="Times New Roman" w:cs="Times New Roman"/>
                <w:sz w:val="18"/>
                <w:szCs w:val="14"/>
                <w:lang w:val="ro-RO" w:eastAsia="de-DE"/>
              </w:rPr>
              <w:t>din costurile pentru energie</w:t>
            </w:r>
            <w:r w:rsidR="00321CD5" w:rsidRPr="009C5F11">
              <w:rPr>
                <w:rFonts w:ascii="Times New Roman" w:hAnsi="Times New Roman" w:cs="Times New Roman"/>
                <w:sz w:val="18"/>
                <w:szCs w:val="14"/>
                <w:lang w:val="ro-RO" w:eastAsia="de-DE"/>
              </w:rPr>
              <w:t xml:space="preserve"> </w:t>
            </w:r>
            <w:r w:rsidR="00EF0B1C" w:rsidRPr="009C5F11">
              <w:rPr>
                <w:rFonts w:ascii="Times New Roman" w:hAnsi="Times New Roman" w:cs="Times New Roman"/>
                <w:sz w:val="18"/>
                <w:szCs w:val="14"/>
                <w:lang w:val="ro-RO" w:eastAsia="de-DE"/>
              </w:rPr>
              <w:t>la instalaţiile de alimentare cu apă şi epurare a apelor uzate</w:t>
            </w:r>
            <w:r w:rsidR="00936847" w:rsidRPr="009C5F11">
              <w:rPr>
                <w:rFonts w:ascii="Times New Roman" w:hAnsi="Times New Roman" w:cs="Times New Roman"/>
                <w:sz w:val="18"/>
                <w:szCs w:val="14"/>
                <w:lang w:val="ro-RO" w:eastAsia="de-DE"/>
              </w:rPr>
              <w:t>)</w:t>
            </w:r>
            <w:r w:rsidR="00EF0B1C" w:rsidRPr="009C5F11">
              <w:rPr>
                <w:rFonts w:ascii="Times New Roman" w:hAnsi="Times New Roman" w:cs="Times New Roman"/>
                <w:sz w:val="18"/>
                <w:szCs w:val="14"/>
                <w:lang w:val="ro-RO" w:eastAsia="de-DE"/>
              </w:rPr>
              <w:t>;</w:t>
            </w:r>
          </w:p>
          <w:p w14:paraId="1741869A" w14:textId="77777777" w:rsidR="00936847" w:rsidRPr="009C5F11" w:rsidRDefault="00936847" w:rsidP="00334F3B">
            <w:pPr>
              <w:numPr>
                <w:ilvl w:val="0"/>
                <w:numId w:val="92"/>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Adopt</w:t>
            </w:r>
            <w:r w:rsidR="00EF0B1C" w:rsidRPr="009C5F11">
              <w:rPr>
                <w:rFonts w:ascii="Times New Roman" w:hAnsi="Times New Roman" w:cs="Times New Roman"/>
                <w:sz w:val="18"/>
                <w:szCs w:val="14"/>
                <w:lang w:val="ro-RO" w:eastAsia="de-DE"/>
              </w:rPr>
              <w:t xml:space="preserve">area unor procese îmbunătăţite; </w:t>
            </w:r>
          </w:p>
          <w:p w14:paraId="47D56D1B" w14:textId="77777777" w:rsidR="00936847" w:rsidRPr="009C5F11" w:rsidRDefault="00FD5F1C" w:rsidP="00334F3B">
            <w:pPr>
              <w:numPr>
                <w:ilvl w:val="0"/>
                <w:numId w:val="92"/>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Strategii</w:t>
            </w:r>
            <w:r w:rsidR="00EF0B1C" w:rsidRPr="009C5F11">
              <w:rPr>
                <w:rFonts w:ascii="Times New Roman" w:hAnsi="Times New Roman" w:cs="Times New Roman"/>
                <w:sz w:val="18"/>
                <w:szCs w:val="14"/>
                <w:lang w:val="ro-RO" w:eastAsia="de-DE"/>
              </w:rPr>
              <w:t xml:space="preserve"> de gestionare a sarcinii electrice;</w:t>
            </w:r>
          </w:p>
          <w:p w14:paraId="61C77042" w14:textId="77777777" w:rsidR="00936847" w:rsidRPr="009C5F11" w:rsidRDefault="004A7A66" w:rsidP="00334F3B">
            <w:pPr>
              <w:numPr>
                <w:ilvl w:val="0"/>
                <w:numId w:val="92"/>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Îmbunătăţirea</w:t>
            </w:r>
            <w:r w:rsidR="00936847" w:rsidRPr="009C5F11">
              <w:rPr>
                <w:rFonts w:ascii="Times New Roman" w:hAnsi="Times New Roman" w:cs="Times New Roman"/>
                <w:sz w:val="18"/>
                <w:szCs w:val="14"/>
                <w:lang w:val="ro-RO" w:eastAsia="de-DE"/>
              </w:rPr>
              <w:t xml:space="preserve"> </w:t>
            </w:r>
            <w:r w:rsidR="00EF0B1C" w:rsidRPr="009C5F11">
              <w:rPr>
                <w:rFonts w:ascii="Times New Roman" w:hAnsi="Times New Roman" w:cs="Times New Roman"/>
                <w:sz w:val="18"/>
                <w:szCs w:val="14"/>
                <w:lang w:val="ro-RO" w:eastAsia="de-DE"/>
              </w:rPr>
              <w:t>gestionării funcţionării</w:t>
            </w:r>
            <w:r w:rsidR="00321CD5" w:rsidRPr="009C5F11">
              <w:rPr>
                <w:rFonts w:ascii="Times New Roman" w:hAnsi="Times New Roman" w:cs="Times New Roman"/>
                <w:sz w:val="18"/>
                <w:szCs w:val="14"/>
                <w:lang w:val="ro-RO" w:eastAsia="de-DE"/>
              </w:rPr>
              <w:t xml:space="preserve"> şi </w:t>
            </w:r>
            <w:r w:rsidR="00210C2C" w:rsidRPr="009C5F11">
              <w:rPr>
                <w:rFonts w:ascii="Times New Roman" w:hAnsi="Times New Roman" w:cs="Times New Roman"/>
                <w:sz w:val="18"/>
                <w:szCs w:val="14"/>
                <w:lang w:val="ro-RO" w:eastAsia="de-DE"/>
              </w:rPr>
              <w:t>monitorizare</w:t>
            </w:r>
            <w:r w:rsidR="00EF0B1C" w:rsidRPr="009C5F11">
              <w:rPr>
                <w:rFonts w:ascii="Times New Roman" w:hAnsi="Times New Roman" w:cs="Times New Roman"/>
                <w:sz w:val="18"/>
                <w:szCs w:val="14"/>
                <w:lang w:val="ro-RO" w:eastAsia="de-DE"/>
              </w:rPr>
              <w:t>a</w:t>
            </w:r>
            <w:r w:rsidR="00936847" w:rsidRPr="009C5F11">
              <w:rPr>
                <w:rFonts w:ascii="Times New Roman" w:hAnsi="Times New Roman" w:cs="Times New Roman"/>
                <w:sz w:val="18"/>
                <w:szCs w:val="14"/>
                <w:lang w:val="ro-RO" w:eastAsia="de-DE"/>
              </w:rPr>
              <w:t xml:space="preserve"> </w:t>
            </w:r>
            <w:r w:rsidR="00334259" w:rsidRPr="009C5F11">
              <w:rPr>
                <w:rFonts w:ascii="Times New Roman" w:hAnsi="Times New Roman" w:cs="Times New Roman"/>
                <w:sz w:val="18"/>
                <w:szCs w:val="14"/>
                <w:lang w:val="ro-RO" w:eastAsia="de-DE"/>
              </w:rPr>
              <w:t>consumul</w:t>
            </w:r>
            <w:r w:rsidR="00EF0B1C" w:rsidRPr="009C5F11">
              <w:rPr>
                <w:rFonts w:ascii="Times New Roman" w:hAnsi="Times New Roman" w:cs="Times New Roman"/>
                <w:sz w:val="18"/>
                <w:szCs w:val="14"/>
                <w:lang w:val="ro-RO" w:eastAsia="de-DE"/>
              </w:rPr>
              <w:t>ui</w:t>
            </w:r>
            <w:r w:rsidR="00936847" w:rsidRPr="009C5F11">
              <w:rPr>
                <w:rFonts w:ascii="Times New Roman" w:hAnsi="Times New Roman" w:cs="Times New Roman"/>
                <w:sz w:val="18"/>
                <w:szCs w:val="14"/>
                <w:lang w:val="ro-RO" w:eastAsia="de-DE"/>
              </w:rPr>
              <w:t xml:space="preserve"> (SCADA)</w:t>
            </w:r>
            <w:r w:rsidR="00EF0B1C" w:rsidRPr="009C5F11">
              <w:rPr>
                <w:rFonts w:ascii="Times New Roman" w:hAnsi="Times New Roman" w:cs="Times New Roman"/>
                <w:sz w:val="18"/>
                <w:szCs w:val="14"/>
                <w:lang w:val="ro-RO" w:eastAsia="de-DE"/>
              </w:rPr>
              <w:t>.</w:t>
            </w:r>
          </w:p>
          <w:p w14:paraId="3B2A90CF"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p>
          <w:p w14:paraId="6B022033" w14:textId="77777777" w:rsidR="00936847" w:rsidRPr="009C5F11" w:rsidRDefault="006B1229"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SPRIJIN </w:t>
            </w:r>
            <w:r w:rsidR="00936847" w:rsidRPr="009C5F11">
              <w:rPr>
                <w:rFonts w:ascii="Times New Roman" w:hAnsi="Times New Roman" w:cs="Times New Roman"/>
                <w:sz w:val="18"/>
                <w:szCs w:val="14"/>
                <w:lang w:val="ro-RO" w:eastAsia="de-DE"/>
              </w:rPr>
              <w:t xml:space="preserve">ADMINISTRATIV / LOGISTIC </w:t>
            </w:r>
          </w:p>
          <w:p w14:paraId="4B9A3DE9" w14:textId="77777777" w:rsidR="00936847" w:rsidRPr="009C5F11" w:rsidRDefault="006B1229"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Întocmirea planurilor şi programelor APL, </w:t>
            </w:r>
            <w:r w:rsidR="00AB1710" w:rsidRPr="009C5F11">
              <w:rPr>
                <w:rFonts w:ascii="Times New Roman" w:hAnsi="Times New Roman" w:cs="Times New Roman"/>
                <w:sz w:val="18"/>
                <w:szCs w:val="14"/>
                <w:lang w:val="ro-RO" w:eastAsia="de-DE"/>
              </w:rPr>
              <w:t>inclusiv</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colectarea datelor</w:t>
            </w:r>
            <w:r w:rsidR="00936847" w:rsidRPr="009C5F11">
              <w:rPr>
                <w:rFonts w:ascii="Times New Roman" w:hAnsi="Times New Roman" w:cs="Times New Roman"/>
                <w:sz w:val="18"/>
                <w:szCs w:val="14"/>
                <w:lang w:val="ro-RO" w:eastAsia="de-DE"/>
              </w:rPr>
              <w:t xml:space="preserve"> (instal</w:t>
            </w:r>
            <w:r w:rsidRPr="009C5F11">
              <w:rPr>
                <w:rFonts w:ascii="Times New Roman" w:hAnsi="Times New Roman" w:cs="Times New Roman"/>
                <w:sz w:val="18"/>
                <w:szCs w:val="14"/>
                <w:lang w:val="ro-RO" w:eastAsia="de-DE"/>
              </w:rPr>
              <w:t xml:space="preserve">area sistemelor </w:t>
            </w:r>
            <w:r w:rsidR="00936847" w:rsidRPr="009C5F11">
              <w:rPr>
                <w:rFonts w:ascii="Times New Roman" w:hAnsi="Times New Roman" w:cs="Times New Roman"/>
                <w:sz w:val="18"/>
                <w:szCs w:val="14"/>
                <w:lang w:val="ro-RO" w:eastAsia="de-DE"/>
              </w:rPr>
              <w:t xml:space="preserve">SCADA </w:t>
            </w:r>
            <w:r w:rsidRPr="009C5F11">
              <w:rPr>
                <w:rFonts w:ascii="Times New Roman" w:hAnsi="Times New Roman" w:cs="Times New Roman"/>
                <w:sz w:val="18"/>
                <w:szCs w:val="14"/>
                <w:lang w:val="ro-RO" w:eastAsia="de-DE"/>
              </w:rPr>
              <w:t>ar fi utilă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criterii de referinţă</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 xml:space="preserve">stabilirea obiectivelor. </w:t>
            </w:r>
          </w:p>
          <w:p w14:paraId="7745F75F"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p>
          <w:p w14:paraId="522FEEA6" w14:textId="77777777" w:rsidR="00936847" w:rsidRPr="009C5F11" w:rsidRDefault="00E46DD7" w:rsidP="00430626">
            <w:pPr>
              <w:tabs>
                <w:tab w:val="left" w:pos="1440"/>
                <w:tab w:val="left" w:pos="5040"/>
                <w:tab w:val="right" w:pos="8504"/>
              </w:tabs>
              <w:spacing w:before="40"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PRIMĂRIA CHIŞINĂU</w:t>
            </w:r>
            <w:r w:rsidR="00936847" w:rsidRPr="009C5F11">
              <w:rPr>
                <w:rFonts w:ascii="Times New Roman" w:hAnsi="Times New Roman" w:cs="Times New Roman"/>
                <w:b/>
                <w:sz w:val="18"/>
                <w:szCs w:val="14"/>
                <w:lang w:val="ro-RO" w:eastAsia="de-DE"/>
              </w:rPr>
              <w:t xml:space="preserve"> </w:t>
            </w:r>
          </w:p>
          <w:p w14:paraId="13E328F4" w14:textId="77777777" w:rsidR="00936847" w:rsidRPr="009C5F11" w:rsidRDefault="006B1229"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Campania de m</w:t>
            </w:r>
            <w:r w:rsidR="006F2A15" w:rsidRPr="009C5F11">
              <w:rPr>
                <w:rFonts w:ascii="Times New Roman" w:hAnsi="Times New Roman" w:cs="Times New Roman"/>
                <w:sz w:val="18"/>
                <w:szCs w:val="14"/>
                <w:lang w:val="ro-RO" w:eastAsia="de-DE"/>
              </w:rPr>
              <w:t>ăsura</w:t>
            </w:r>
            <w:r w:rsidRPr="009C5F11">
              <w:rPr>
                <w:rFonts w:ascii="Times New Roman" w:hAnsi="Times New Roman" w:cs="Times New Roman"/>
                <w:sz w:val="18"/>
                <w:szCs w:val="14"/>
                <w:lang w:val="ro-RO" w:eastAsia="de-DE"/>
              </w:rPr>
              <w:t>re realizată în reţeaua de alimentare cu apă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a indicat faptul că </w:t>
            </w:r>
            <w:r w:rsidR="00936847" w:rsidRPr="009C5F11">
              <w:rPr>
                <w:rFonts w:ascii="Times New Roman" w:hAnsi="Times New Roman" w:cs="Times New Roman"/>
                <w:sz w:val="18"/>
                <w:szCs w:val="14"/>
                <w:lang w:val="ro-RO" w:eastAsia="de-DE"/>
              </w:rPr>
              <w:t xml:space="preserve">ACC </w:t>
            </w:r>
            <w:r w:rsidRPr="009C5F11">
              <w:rPr>
                <w:rFonts w:ascii="Times New Roman" w:hAnsi="Times New Roman" w:cs="Times New Roman"/>
                <w:sz w:val="18"/>
                <w:szCs w:val="14"/>
                <w:lang w:val="ro-RO" w:eastAsia="de-DE"/>
              </w:rPr>
              <w:t>are un nivel mai ridicat de pierderi fizice în reţelele sale decât nivelul acceptabil, fapt ce necesită abordare</w:t>
            </w:r>
            <w:r w:rsidR="00936847" w:rsidRPr="009C5F11">
              <w:rPr>
                <w:rFonts w:ascii="Times New Roman" w:hAnsi="Times New Roman" w:cs="Times New Roman"/>
                <w:sz w:val="18"/>
                <w:szCs w:val="14"/>
                <w:lang w:val="ro-RO" w:eastAsia="de-DE"/>
              </w:rPr>
              <w:t>.</w:t>
            </w:r>
          </w:p>
          <w:p w14:paraId="0CA6D988" w14:textId="77777777" w:rsidR="00936847" w:rsidRPr="009C5F11" w:rsidRDefault="006B1229"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În prezent </w:t>
            </w:r>
            <w:r w:rsidR="00936847" w:rsidRPr="009C5F11">
              <w:rPr>
                <w:rFonts w:ascii="Times New Roman" w:hAnsi="Times New Roman" w:cs="Times New Roman"/>
                <w:sz w:val="18"/>
                <w:szCs w:val="14"/>
                <w:lang w:val="ro-RO" w:eastAsia="de-DE"/>
              </w:rPr>
              <w:t xml:space="preserve">ACC </w:t>
            </w:r>
            <w:r w:rsidR="00532A33" w:rsidRPr="009C5F11">
              <w:rPr>
                <w:rFonts w:ascii="Times New Roman" w:hAnsi="Times New Roman" w:cs="Times New Roman"/>
                <w:sz w:val="18"/>
                <w:szCs w:val="14"/>
                <w:lang w:val="ro-RO" w:eastAsia="de-DE"/>
              </w:rPr>
              <w:t>implement</w:t>
            </w:r>
            <w:r w:rsidRPr="009C5F11">
              <w:rPr>
                <w:rFonts w:ascii="Times New Roman" w:hAnsi="Times New Roman" w:cs="Times New Roman"/>
                <w:sz w:val="18"/>
                <w:szCs w:val="14"/>
                <w:lang w:val="ro-RO" w:eastAsia="de-DE"/>
              </w:rPr>
              <w:t xml:space="preserve">ează </w:t>
            </w:r>
            <w:r w:rsidR="00421FA7" w:rsidRPr="009C5F11">
              <w:rPr>
                <w:rFonts w:ascii="Times New Roman" w:hAnsi="Times New Roman" w:cs="Times New Roman"/>
                <w:sz w:val="18"/>
                <w:szCs w:val="14"/>
                <w:lang w:val="ro-RO" w:eastAsia="de-DE"/>
              </w:rPr>
              <w:t>programe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investiţionale </w:t>
            </w:r>
            <w:r w:rsidR="00D62784" w:rsidRPr="009C5F11">
              <w:rPr>
                <w:rFonts w:ascii="Times New Roman" w:hAnsi="Times New Roman" w:cs="Times New Roman"/>
                <w:sz w:val="18"/>
                <w:szCs w:val="14"/>
                <w:lang w:val="ro-RO" w:eastAsia="de-DE"/>
              </w:rPr>
              <w:t>în conformitate cu</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constatările studiului de fezabilitate</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i/>
                <w:sz w:val="18"/>
                <w:szCs w:val="14"/>
                <w:lang w:val="ro-RO" w:eastAsia="de-DE"/>
              </w:rPr>
              <w:t>“</w:t>
            </w:r>
            <w:r w:rsidRPr="009C5F11">
              <w:rPr>
                <w:rFonts w:ascii="Times New Roman" w:hAnsi="Times New Roman" w:cs="Times New Roman"/>
                <w:i/>
                <w:sz w:val="18"/>
                <w:szCs w:val="14"/>
                <w:lang w:val="ro-RO" w:eastAsia="de-DE"/>
              </w:rPr>
              <w:t>Alimentarea cu apă</w:t>
            </w:r>
            <w:r w:rsidR="00321CD5" w:rsidRPr="009C5F11">
              <w:rPr>
                <w:rFonts w:ascii="Times New Roman" w:hAnsi="Times New Roman" w:cs="Times New Roman"/>
                <w:i/>
                <w:sz w:val="18"/>
                <w:szCs w:val="14"/>
                <w:lang w:val="ro-RO" w:eastAsia="de-DE"/>
              </w:rPr>
              <w:t xml:space="preserve"> şi </w:t>
            </w:r>
            <w:r w:rsidRPr="009C5F11">
              <w:rPr>
                <w:rFonts w:ascii="Times New Roman" w:hAnsi="Times New Roman" w:cs="Times New Roman"/>
                <w:i/>
                <w:sz w:val="18"/>
                <w:szCs w:val="14"/>
                <w:lang w:val="ro-RO" w:eastAsia="de-DE"/>
              </w:rPr>
              <w:t xml:space="preserve">epurarea apelor </w:t>
            </w:r>
            <w:r w:rsidRPr="009C5F11">
              <w:rPr>
                <w:rFonts w:ascii="Times New Roman" w:hAnsi="Times New Roman" w:cs="Times New Roman"/>
                <w:i/>
                <w:sz w:val="18"/>
                <w:szCs w:val="14"/>
                <w:lang w:val="ro-RO" w:eastAsia="de-DE"/>
              </w:rPr>
              <w:lastRenderedPageBreak/>
              <w:t xml:space="preserve">uzate la </w:t>
            </w:r>
            <w:r w:rsidR="0087273F" w:rsidRPr="009C5F11">
              <w:rPr>
                <w:rFonts w:ascii="Times New Roman" w:hAnsi="Times New Roman" w:cs="Times New Roman"/>
                <w:i/>
                <w:sz w:val="18"/>
                <w:szCs w:val="14"/>
                <w:lang w:val="ro-RO" w:eastAsia="de-DE"/>
              </w:rPr>
              <w:t>Chișinău</w:t>
            </w:r>
            <w:r w:rsidRPr="009C5F11">
              <w:rPr>
                <w:rFonts w:ascii="Times New Roman" w:hAnsi="Times New Roman" w:cs="Times New Roman"/>
                <w:i/>
                <w:sz w:val="18"/>
                <w:szCs w:val="14"/>
                <w:lang w:val="ro-RO" w:eastAsia="de-DE"/>
              </w:rPr>
              <w:t>”.</w:t>
            </w:r>
          </w:p>
          <w:p w14:paraId="77F3F56B" w14:textId="77777777" w:rsidR="00936847" w:rsidRPr="009C5F11" w:rsidRDefault="0087273F" w:rsidP="00334F3B">
            <w:pPr>
              <w:numPr>
                <w:ilvl w:val="0"/>
                <w:numId w:val="94"/>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Programul investiţional pe termen lung</w:t>
            </w:r>
            <w:r w:rsidRPr="009C5F11">
              <w:rPr>
                <w:rFonts w:ascii="Times New Roman" w:hAnsi="Times New Roman" w:cs="Times New Roman"/>
                <w:sz w:val="18"/>
                <w:szCs w:val="14"/>
                <w:lang w:val="ro-RO" w:eastAsia="de-DE"/>
              </w:rPr>
              <w:t xml:space="preserve"> (LTIP) îşi propune să realizeze o eficienţă operaţională maximă cu servicii durabile şi sigure atât pentru sistemul de alimentare cu apă, cât şi pentru cel de evacuare a apelor uzate timp de 25 de ani, astfel încât ACC să fie aliniată cu alte utilităţi în următorii 25 de ani.</w:t>
            </w:r>
          </w:p>
          <w:p w14:paraId="651B00DB" w14:textId="77777777" w:rsidR="00936847" w:rsidRPr="009C5F11" w:rsidRDefault="00421FA7" w:rsidP="00334F3B">
            <w:pPr>
              <w:numPr>
                <w:ilvl w:val="0"/>
                <w:numId w:val="94"/>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Programul</w:t>
            </w:r>
            <w:r w:rsidR="00936847" w:rsidRPr="009C5F11">
              <w:rPr>
                <w:rFonts w:ascii="Times New Roman" w:hAnsi="Times New Roman" w:cs="Times New Roman"/>
                <w:sz w:val="18"/>
                <w:szCs w:val="14"/>
                <w:lang w:val="ro-RO" w:eastAsia="de-DE"/>
              </w:rPr>
              <w:t xml:space="preserve"> </w:t>
            </w:r>
            <w:r w:rsidR="006B1229" w:rsidRPr="009C5F11">
              <w:rPr>
                <w:rFonts w:ascii="Times New Roman" w:hAnsi="Times New Roman" w:cs="Times New Roman"/>
                <w:sz w:val="18"/>
                <w:szCs w:val="14"/>
                <w:u w:val="single"/>
                <w:lang w:val="ro-RO" w:eastAsia="de-DE"/>
              </w:rPr>
              <w:t xml:space="preserve">investiţional prioritar </w:t>
            </w:r>
            <w:r w:rsidR="00936847" w:rsidRPr="009C5F11">
              <w:rPr>
                <w:rFonts w:ascii="Times New Roman" w:hAnsi="Times New Roman" w:cs="Times New Roman"/>
                <w:sz w:val="18"/>
                <w:szCs w:val="14"/>
                <w:lang w:val="ro-RO" w:eastAsia="de-DE"/>
              </w:rPr>
              <w:t xml:space="preserve">(5 </w:t>
            </w:r>
            <w:r w:rsidR="00C639BC" w:rsidRPr="009C5F11">
              <w:rPr>
                <w:rFonts w:ascii="Times New Roman" w:hAnsi="Times New Roman" w:cs="Times New Roman"/>
                <w:sz w:val="18"/>
                <w:szCs w:val="14"/>
                <w:lang w:val="ro-RO" w:eastAsia="de-DE"/>
              </w:rPr>
              <w:t>ani</w:t>
            </w:r>
            <w:r w:rsidR="00936847" w:rsidRPr="009C5F11">
              <w:rPr>
                <w:rFonts w:ascii="Times New Roman" w:hAnsi="Times New Roman" w:cs="Times New Roman"/>
                <w:sz w:val="18"/>
                <w:szCs w:val="14"/>
                <w:lang w:val="ro-RO" w:eastAsia="de-DE"/>
              </w:rPr>
              <w:t xml:space="preserve">), </w:t>
            </w:r>
            <w:r w:rsidR="006B1229" w:rsidRPr="009C5F11">
              <w:rPr>
                <w:rFonts w:ascii="Times New Roman" w:hAnsi="Times New Roman" w:cs="Times New Roman"/>
                <w:sz w:val="18"/>
                <w:szCs w:val="14"/>
                <w:lang w:val="ro-RO" w:eastAsia="de-DE"/>
              </w:rPr>
              <w:t xml:space="preserve">prima etapă a </w:t>
            </w:r>
            <w:r w:rsidR="00936847" w:rsidRPr="009C5F11">
              <w:rPr>
                <w:rFonts w:ascii="Times New Roman" w:hAnsi="Times New Roman" w:cs="Times New Roman"/>
                <w:sz w:val="18"/>
                <w:szCs w:val="14"/>
                <w:lang w:val="ro-RO" w:eastAsia="de-DE"/>
              </w:rPr>
              <w:t xml:space="preserve">LTIP, </w:t>
            </w:r>
            <w:r w:rsidR="00C8619D" w:rsidRPr="009C5F11">
              <w:rPr>
                <w:rFonts w:ascii="Times New Roman" w:hAnsi="Times New Roman" w:cs="Times New Roman"/>
                <w:sz w:val="18"/>
                <w:szCs w:val="14"/>
                <w:lang w:val="ro-RO" w:eastAsia="de-DE"/>
              </w:rPr>
              <w:t>îşi propune să</w:t>
            </w:r>
            <w:r w:rsidR="00936847" w:rsidRPr="009C5F11">
              <w:rPr>
                <w:rFonts w:ascii="Times New Roman" w:hAnsi="Times New Roman" w:cs="Times New Roman"/>
                <w:sz w:val="18"/>
                <w:szCs w:val="14"/>
                <w:lang w:val="ro-RO" w:eastAsia="de-DE"/>
              </w:rPr>
              <w:t xml:space="preserve"> </w:t>
            </w:r>
            <w:r w:rsidR="006B1229" w:rsidRPr="009C5F11">
              <w:rPr>
                <w:rFonts w:ascii="Times New Roman" w:hAnsi="Times New Roman" w:cs="Times New Roman"/>
                <w:sz w:val="18"/>
                <w:szCs w:val="14"/>
                <w:lang w:val="ro-RO" w:eastAsia="de-DE"/>
              </w:rPr>
              <w:t xml:space="preserve">îndeplinească necesităţile primordiale şi urgente ale </w:t>
            </w:r>
            <w:r w:rsidR="00936847" w:rsidRPr="009C5F11">
              <w:rPr>
                <w:rFonts w:ascii="Times New Roman" w:hAnsi="Times New Roman" w:cs="Times New Roman"/>
                <w:sz w:val="18"/>
                <w:szCs w:val="14"/>
                <w:lang w:val="ro-RO" w:eastAsia="de-DE"/>
              </w:rPr>
              <w:t xml:space="preserve">ACC. </w:t>
            </w:r>
          </w:p>
          <w:p w14:paraId="57FCBC7B" w14:textId="77777777" w:rsidR="00936847" w:rsidRPr="009C5F11" w:rsidRDefault="006B1229" w:rsidP="00430626">
            <w:pPr>
              <w:tabs>
                <w:tab w:val="left" w:pos="1440"/>
                <w:tab w:val="left" w:pos="5040"/>
                <w:tab w:val="right" w:pos="8504"/>
              </w:tabs>
              <w:spacing w:before="40"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 ceea ce priveşte economiile</w:t>
            </w:r>
            <w:r w:rsidR="004424A0" w:rsidRPr="009C5F11">
              <w:rPr>
                <w:rFonts w:ascii="Times New Roman" w:hAnsi="Times New Roman" w:cs="Times New Roman"/>
                <w:sz w:val="18"/>
                <w:szCs w:val="14"/>
                <w:lang w:val="ro-RO" w:eastAsia="de-DE"/>
              </w:rPr>
              <w:t xml:space="preserve"> de energie</w:t>
            </w:r>
            <w:r w:rsidR="00936847" w:rsidRPr="009C5F11">
              <w:rPr>
                <w:rFonts w:ascii="Times New Roman" w:hAnsi="Times New Roman" w:cs="Times New Roman"/>
                <w:sz w:val="18"/>
                <w:szCs w:val="14"/>
                <w:lang w:val="ro-RO" w:eastAsia="de-DE"/>
              </w:rPr>
              <w:t>:</w:t>
            </w:r>
          </w:p>
          <w:p w14:paraId="15D79C3E" w14:textId="77777777" w:rsidR="00936847" w:rsidRPr="009C5F11" w:rsidRDefault="00936847" w:rsidP="00334F3B">
            <w:pPr>
              <w:numPr>
                <w:ilvl w:val="0"/>
                <w:numId w:val="95"/>
              </w:num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Optimiza</w:t>
            </w:r>
            <w:r w:rsidR="003719BD" w:rsidRPr="009C5F11">
              <w:rPr>
                <w:rFonts w:ascii="Times New Roman" w:hAnsi="Times New Roman" w:cs="Times New Roman"/>
                <w:sz w:val="18"/>
                <w:szCs w:val="14"/>
                <w:lang w:val="ro-RO" w:eastAsia="de-DE"/>
              </w:rPr>
              <w:t>rea</w:t>
            </w:r>
            <w:r w:rsidRPr="009C5F11">
              <w:rPr>
                <w:rFonts w:ascii="Times New Roman" w:hAnsi="Times New Roman" w:cs="Times New Roman"/>
                <w:sz w:val="18"/>
                <w:szCs w:val="14"/>
                <w:lang w:val="ro-RO" w:eastAsia="de-DE"/>
              </w:rPr>
              <w:t xml:space="preserve"> p</w:t>
            </w:r>
            <w:r w:rsidR="003719BD" w:rsidRPr="009C5F11">
              <w:rPr>
                <w:rFonts w:ascii="Times New Roman" w:hAnsi="Times New Roman" w:cs="Times New Roman"/>
                <w:sz w:val="18"/>
                <w:szCs w:val="14"/>
                <w:lang w:val="ro-RO" w:eastAsia="de-DE"/>
              </w:rPr>
              <w:t>o</w:t>
            </w:r>
            <w:r w:rsidRPr="009C5F11">
              <w:rPr>
                <w:rFonts w:ascii="Times New Roman" w:hAnsi="Times New Roman" w:cs="Times New Roman"/>
                <w:sz w:val="18"/>
                <w:szCs w:val="14"/>
                <w:lang w:val="ro-RO" w:eastAsia="de-DE"/>
              </w:rPr>
              <w:t>mp</w:t>
            </w:r>
            <w:r w:rsidR="003719BD" w:rsidRPr="009C5F11">
              <w:rPr>
                <w:rFonts w:ascii="Times New Roman" w:hAnsi="Times New Roman" w:cs="Times New Roman"/>
                <w:sz w:val="18"/>
                <w:szCs w:val="14"/>
                <w:lang w:val="ro-RO" w:eastAsia="de-DE"/>
              </w:rPr>
              <w:t>elor</w:t>
            </w:r>
            <w:r w:rsidRPr="009C5F11">
              <w:rPr>
                <w:rFonts w:ascii="Times New Roman" w:hAnsi="Times New Roman" w:cs="Times New Roman"/>
                <w:sz w:val="18"/>
                <w:szCs w:val="14"/>
                <w:lang w:val="ro-RO" w:eastAsia="de-DE"/>
              </w:rPr>
              <w:t>;</w:t>
            </w:r>
          </w:p>
          <w:p w14:paraId="0B91BD09" w14:textId="77777777" w:rsidR="00936847" w:rsidRPr="009C5F11" w:rsidRDefault="003719BD" w:rsidP="00334F3B">
            <w:pPr>
              <w:numPr>
                <w:ilvl w:val="0"/>
                <w:numId w:val="95"/>
              </w:num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Reducerea</w:t>
            </w:r>
            <w:r w:rsidR="00936847" w:rsidRPr="009C5F11">
              <w:rPr>
                <w:rFonts w:ascii="Times New Roman" w:hAnsi="Times New Roman" w:cs="Times New Roman"/>
                <w:sz w:val="18"/>
                <w:szCs w:val="14"/>
                <w:lang w:val="ro-RO" w:eastAsia="de-DE"/>
              </w:rPr>
              <w:t xml:space="preserve"> </w:t>
            </w:r>
            <w:r w:rsidR="00BA5A89" w:rsidRPr="009C5F11">
              <w:rPr>
                <w:rFonts w:ascii="Times New Roman" w:hAnsi="Times New Roman" w:cs="Times New Roman"/>
                <w:sz w:val="18"/>
                <w:szCs w:val="14"/>
                <w:lang w:val="ro-RO" w:eastAsia="de-DE"/>
              </w:rPr>
              <w:t>pierderil</w:t>
            </w:r>
            <w:r w:rsidRPr="009C5F11">
              <w:rPr>
                <w:rFonts w:ascii="Times New Roman" w:hAnsi="Times New Roman" w:cs="Times New Roman"/>
                <w:sz w:val="18"/>
                <w:szCs w:val="14"/>
                <w:lang w:val="ro-RO" w:eastAsia="de-DE"/>
              </w:rPr>
              <w:t>or de apă</w:t>
            </w:r>
            <w:r w:rsidR="00936847" w:rsidRPr="009C5F11">
              <w:rPr>
                <w:rFonts w:ascii="Times New Roman" w:hAnsi="Times New Roman" w:cs="Times New Roman"/>
                <w:sz w:val="18"/>
                <w:szCs w:val="14"/>
                <w:lang w:val="ro-RO" w:eastAsia="de-DE"/>
              </w:rPr>
              <w:t xml:space="preserve"> </w:t>
            </w:r>
            <w:r w:rsidR="004A7A66" w:rsidRPr="009C5F11">
              <w:rPr>
                <w:rFonts w:ascii="Times New Roman" w:hAnsi="Times New Roman" w:cs="Times New Roman"/>
                <w:sz w:val="18"/>
                <w:szCs w:val="14"/>
                <w:lang w:val="ro-RO" w:eastAsia="de-DE"/>
              </w:rPr>
              <w:t xml:space="preserve">pe baza </w:t>
            </w:r>
            <w:r w:rsidRPr="009C5F11">
              <w:rPr>
                <w:rFonts w:ascii="Times New Roman" w:hAnsi="Times New Roman" w:cs="Times New Roman"/>
                <w:sz w:val="18"/>
                <w:szCs w:val="14"/>
                <w:lang w:val="ro-RO" w:eastAsia="de-DE"/>
              </w:rPr>
              <w:t>renovării ţevilor</w:t>
            </w:r>
            <w:r w:rsidR="00936847" w:rsidRPr="009C5F11">
              <w:rPr>
                <w:rFonts w:ascii="Times New Roman" w:hAnsi="Times New Roman" w:cs="Times New Roman"/>
                <w:sz w:val="18"/>
                <w:szCs w:val="14"/>
                <w:lang w:val="ro-RO" w:eastAsia="de-DE"/>
              </w:rPr>
              <w:t>;</w:t>
            </w:r>
          </w:p>
          <w:p w14:paraId="710DB2D2" w14:textId="77777777" w:rsidR="00936847" w:rsidRPr="009C5F11" w:rsidRDefault="003719BD" w:rsidP="00334F3B">
            <w:pPr>
              <w:numPr>
                <w:ilvl w:val="0"/>
                <w:numId w:val="95"/>
              </w:num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Producerea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de</w:t>
            </w:r>
            <w:r w:rsidR="00936847" w:rsidRPr="009C5F11">
              <w:rPr>
                <w:rFonts w:ascii="Times New Roman" w:hAnsi="Times New Roman" w:cs="Times New Roman"/>
                <w:sz w:val="18"/>
                <w:szCs w:val="14"/>
                <w:lang w:val="ro-RO" w:eastAsia="de-DE"/>
              </w:rPr>
              <w:t xml:space="preserve"> </w:t>
            </w:r>
            <w:r w:rsidR="001E3482" w:rsidRPr="009C5F11">
              <w:rPr>
                <w:rFonts w:ascii="Times New Roman" w:hAnsi="Times New Roman" w:cs="Times New Roman"/>
                <w:sz w:val="18"/>
                <w:szCs w:val="14"/>
                <w:lang w:val="ro-RO" w:eastAsia="de-DE"/>
              </w:rPr>
              <w:t>energie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verde </w:t>
            </w:r>
            <w:r w:rsidR="00936847" w:rsidRPr="009C5F11">
              <w:rPr>
                <w:rFonts w:ascii="Times New Roman" w:hAnsi="Times New Roman" w:cs="Times New Roman"/>
                <w:sz w:val="18"/>
                <w:szCs w:val="14"/>
                <w:lang w:val="ro-RO" w:eastAsia="de-DE"/>
              </w:rPr>
              <w:t>(bioga</w:t>
            </w:r>
            <w:r w:rsidRPr="009C5F11">
              <w:rPr>
                <w:rFonts w:ascii="Times New Roman" w:hAnsi="Times New Roman" w:cs="Times New Roman"/>
                <w:sz w:val="18"/>
                <w:szCs w:val="14"/>
                <w:lang w:val="ro-RO" w:eastAsia="de-DE"/>
              </w:rPr>
              <w:t>z</w:t>
            </w:r>
            <w:r w:rsidR="00936847" w:rsidRPr="009C5F11">
              <w:rPr>
                <w:rFonts w:ascii="Times New Roman" w:hAnsi="Times New Roman" w:cs="Times New Roman"/>
                <w:sz w:val="18"/>
                <w:szCs w:val="14"/>
                <w:lang w:val="ro-RO" w:eastAsia="de-DE"/>
              </w:rPr>
              <w:t>);</w:t>
            </w:r>
          </w:p>
          <w:p w14:paraId="3592171A" w14:textId="77777777" w:rsidR="00936847" w:rsidRPr="009C5F11" w:rsidRDefault="003719BD" w:rsidP="00334F3B">
            <w:pPr>
              <w:numPr>
                <w:ilvl w:val="0"/>
                <w:numId w:val="95"/>
              </w:num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Producerea</w:t>
            </w:r>
            <w:r w:rsidR="00936847" w:rsidRPr="009C5F11">
              <w:rPr>
                <w:rFonts w:ascii="Times New Roman" w:hAnsi="Times New Roman" w:cs="Times New Roman"/>
                <w:sz w:val="18"/>
                <w:szCs w:val="14"/>
                <w:lang w:val="ro-RO" w:eastAsia="de-DE"/>
              </w:rPr>
              <w:t xml:space="preserve"> </w:t>
            </w:r>
            <w:r w:rsidR="00334259" w:rsidRPr="009C5F11">
              <w:rPr>
                <w:rFonts w:ascii="Times New Roman" w:hAnsi="Times New Roman" w:cs="Times New Roman"/>
                <w:sz w:val="18"/>
                <w:szCs w:val="14"/>
                <w:lang w:val="ro-RO" w:eastAsia="de-DE"/>
              </w:rPr>
              <w:t>energi</w:t>
            </w:r>
            <w:r w:rsidRPr="009C5F11">
              <w:rPr>
                <w:rFonts w:ascii="Times New Roman" w:hAnsi="Times New Roman" w:cs="Times New Roman"/>
                <w:sz w:val="18"/>
                <w:szCs w:val="14"/>
                <w:lang w:val="ro-RO" w:eastAsia="de-DE"/>
              </w:rPr>
              <w:t>ei</w:t>
            </w:r>
            <w:r w:rsidR="00334259" w:rsidRPr="009C5F11">
              <w:rPr>
                <w:rFonts w:ascii="Times New Roman" w:hAnsi="Times New Roman" w:cs="Times New Roman"/>
                <w:sz w:val="18"/>
                <w:szCs w:val="14"/>
                <w:lang w:val="ro-RO" w:eastAsia="de-DE"/>
              </w:rPr>
              <w:t xml:space="preserve"> electric</w:t>
            </w:r>
            <w:r w:rsidRPr="009C5F11">
              <w:rPr>
                <w:rFonts w:ascii="Times New Roman" w:hAnsi="Times New Roman" w:cs="Times New Roman"/>
                <w:sz w:val="18"/>
                <w:szCs w:val="14"/>
                <w:lang w:val="ro-RO" w:eastAsia="de-DE"/>
              </w:rPr>
              <w:t>e hidro</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prin</w:t>
            </w:r>
            <w:r w:rsidR="00936847" w:rsidRPr="009C5F11">
              <w:rPr>
                <w:rFonts w:ascii="Times New Roman" w:hAnsi="Times New Roman" w:cs="Times New Roman"/>
                <w:sz w:val="18"/>
                <w:szCs w:val="14"/>
                <w:lang w:val="ro-RO" w:eastAsia="de-DE"/>
              </w:rPr>
              <w:t xml:space="preserve"> instal</w:t>
            </w:r>
            <w:r w:rsidRPr="009C5F11">
              <w:rPr>
                <w:rFonts w:ascii="Times New Roman" w:hAnsi="Times New Roman" w:cs="Times New Roman"/>
                <w:sz w:val="18"/>
                <w:szCs w:val="14"/>
                <w:lang w:val="ro-RO" w:eastAsia="de-DE"/>
              </w:rPr>
              <w:t xml:space="preserve">area unei </w:t>
            </w:r>
            <w:r w:rsidR="00936847" w:rsidRPr="009C5F11">
              <w:rPr>
                <w:rFonts w:ascii="Times New Roman" w:hAnsi="Times New Roman" w:cs="Times New Roman"/>
                <w:sz w:val="18"/>
                <w:szCs w:val="14"/>
                <w:lang w:val="ro-RO" w:eastAsia="de-DE"/>
              </w:rPr>
              <w:t xml:space="preserve">turbine </w:t>
            </w:r>
            <w:r w:rsidRPr="009C5F11">
              <w:rPr>
                <w:rFonts w:ascii="Times New Roman" w:hAnsi="Times New Roman" w:cs="Times New Roman"/>
                <w:sz w:val="18"/>
                <w:szCs w:val="14"/>
                <w:lang w:val="ro-RO" w:eastAsia="de-DE"/>
              </w:rPr>
              <w:t>pe reţeaua de alimentare cu apă potabilă.</w:t>
            </w:r>
          </w:p>
          <w:p w14:paraId="408D212E"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w:t>
            </w:r>
            <w:r w:rsidR="006B1229" w:rsidRPr="009C5F11">
              <w:rPr>
                <w:rFonts w:ascii="Times New Roman" w:hAnsi="Times New Roman" w:cs="Times New Roman"/>
                <w:sz w:val="18"/>
                <w:szCs w:val="14"/>
                <w:lang w:val="ro-RO" w:eastAsia="de-DE"/>
              </w:rPr>
              <w:t>I</w:t>
            </w:r>
            <w:r w:rsidRPr="009C5F11">
              <w:rPr>
                <w:rFonts w:ascii="Times New Roman" w:hAnsi="Times New Roman" w:cs="Times New Roman"/>
                <w:sz w:val="18"/>
                <w:szCs w:val="14"/>
                <w:lang w:val="ro-RO" w:eastAsia="de-DE"/>
              </w:rPr>
              <w:t>ECT</w:t>
            </w:r>
            <w:r w:rsidR="006B1229" w:rsidRPr="009C5F11">
              <w:rPr>
                <w:rFonts w:ascii="Times New Roman" w:hAnsi="Times New Roman" w:cs="Times New Roman"/>
                <w:sz w:val="18"/>
                <w:szCs w:val="14"/>
                <w:lang w:val="ro-RO" w:eastAsia="de-DE"/>
              </w:rPr>
              <w:t>E</w:t>
            </w:r>
          </w:p>
          <w:p w14:paraId="013EA84C" w14:textId="77777777" w:rsidR="00936847" w:rsidRPr="009C5F11" w:rsidRDefault="00421FA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Proiect</w:t>
            </w:r>
            <w:r w:rsidR="002F6E9D" w:rsidRPr="009C5F11">
              <w:rPr>
                <w:rFonts w:ascii="Times New Roman" w:hAnsi="Times New Roman" w:cs="Times New Roman"/>
                <w:sz w:val="18"/>
                <w:szCs w:val="14"/>
                <w:u w:val="single"/>
                <w:lang w:val="ro-RO" w:eastAsia="de-DE"/>
              </w:rPr>
              <w:t>ul</w:t>
            </w:r>
            <w:r w:rsidR="00936847" w:rsidRPr="009C5F11">
              <w:rPr>
                <w:rFonts w:ascii="Times New Roman" w:hAnsi="Times New Roman" w:cs="Times New Roman"/>
                <w:sz w:val="18"/>
                <w:szCs w:val="14"/>
                <w:u w:val="single"/>
                <w:lang w:val="ro-RO" w:eastAsia="de-DE"/>
              </w:rPr>
              <w:t xml:space="preserve"> “</w:t>
            </w:r>
            <w:r w:rsidR="00FD5F1C" w:rsidRPr="009C5F11">
              <w:rPr>
                <w:rFonts w:ascii="Times New Roman" w:hAnsi="Times New Roman" w:cs="Times New Roman"/>
                <w:i/>
                <w:sz w:val="18"/>
                <w:szCs w:val="14"/>
                <w:u w:val="single"/>
                <w:lang w:val="ro-RO" w:eastAsia="de-DE"/>
              </w:rPr>
              <w:t>Modernizarea gestionării apei şi a apelor uzate în Chişinău</w:t>
            </w:r>
            <w:r w:rsidR="00936847" w:rsidRPr="009C5F11">
              <w:rPr>
                <w:rFonts w:ascii="Times New Roman" w:hAnsi="Times New Roman" w:cs="Times New Roman"/>
                <w:sz w:val="18"/>
                <w:szCs w:val="14"/>
                <w:u w:val="single"/>
                <w:lang w:val="ro-RO" w:eastAsia="de-DE"/>
              </w:rPr>
              <w:t>”</w:t>
            </w:r>
            <w:r w:rsidR="00936847" w:rsidRPr="009C5F11">
              <w:rPr>
                <w:rFonts w:ascii="Times New Roman" w:hAnsi="Times New Roman" w:cs="Times New Roman"/>
                <w:sz w:val="18"/>
                <w:szCs w:val="14"/>
                <w:lang w:val="ro-RO" w:eastAsia="de-DE"/>
              </w:rPr>
              <w:t xml:space="preserve"> (</w:t>
            </w:r>
            <w:r w:rsidR="003719BD" w:rsidRPr="009C5F11">
              <w:rPr>
                <w:rFonts w:ascii="Times New Roman" w:hAnsi="Times New Roman" w:cs="Times New Roman"/>
                <w:sz w:val="18"/>
                <w:szCs w:val="14"/>
                <w:lang w:val="ro-RO" w:eastAsia="de-DE"/>
              </w:rPr>
              <w:t>Anunţul de intenţii din</w:t>
            </w:r>
            <w:r w:rsidR="00936847" w:rsidRPr="009C5F11">
              <w:rPr>
                <w:rFonts w:ascii="Times New Roman" w:hAnsi="Times New Roman" w:cs="Times New Roman"/>
                <w:sz w:val="18"/>
                <w:szCs w:val="14"/>
                <w:lang w:val="ro-RO" w:eastAsia="de-DE"/>
              </w:rPr>
              <w:t xml:space="preserve"> 2.03.2015</w:t>
            </w:r>
            <w:r w:rsidR="003719BD" w:rsidRPr="009C5F11">
              <w:rPr>
                <w:rFonts w:ascii="Times New Roman" w:hAnsi="Times New Roman" w:cs="Times New Roman"/>
                <w:sz w:val="18"/>
                <w:szCs w:val="14"/>
                <w:lang w:val="ro-RO" w:eastAsia="de-DE"/>
              </w:rPr>
              <w:t xml:space="preserve"> pentru achiziţii</w:t>
            </w:r>
            <w:r w:rsidR="00936847" w:rsidRPr="009C5F11">
              <w:rPr>
                <w:rFonts w:ascii="Times New Roman" w:hAnsi="Times New Roman" w:cs="Times New Roman"/>
                <w:sz w:val="18"/>
                <w:szCs w:val="14"/>
                <w:lang w:val="ro-RO" w:eastAsia="de-DE"/>
              </w:rPr>
              <w:t xml:space="preserve">) </w:t>
            </w:r>
            <w:r w:rsidR="003719BD" w:rsidRPr="009C5F11">
              <w:rPr>
                <w:rFonts w:ascii="Times New Roman" w:hAnsi="Times New Roman" w:cs="Times New Roman"/>
                <w:sz w:val="18"/>
                <w:szCs w:val="14"/>
                <w:lang w:val="ro-RO" w:eastAsia="de-DE"/>
              </w:rPr>
              <w:t>ce urmează a fi</w:t>
            </w:r>
            <w:r w:rsidR="001B3DCF" w:rsidRPr="009C5F11">
              <w:rPr>
                <w:rFonts w:ascii="Times New Roman" w:hAnsi="Times New Roman" w:cs="Times New Roman"/>
                <w:sz w:val="18"/>
                <w:szCs w:val="14"/>
                <w:lang w:val="ro-RO" w:eastAsia="de-DE"/>
              </w:rPr>
              <w:t xml:space="preserve"> implementat</w:t>
            </w:r>
            <w:r w:rsidR="00936847" w:rsidRPr="009C5F11">
              <w:rPr>
                <w:rFonts w:ascii="Times New Roman" w:hAnsi="Times New Roman" w:cs="Times New Roman"/>
                <w:sz w:val="18"/>
                <w:szCs w:val="14"/>
                <w:lang w:val="ro-RO" w:eastAsia="de-DE"/>
              </w:rPr>
              <w:t xml:space="preserve"> </w:t>
            </w:r>
            <w:r w:rsidR="003719BD" w:rsidRPr="009C5F11">
              <w:rPr>
                <w:rFonts w:ascii="Times New Roman" w:hAnsi="Times New Roman" w:cs="Times New Roman"/>
                <w:sz w:val="18"/>
                <w:szCs w:val="14"/>
                <w:lang w:val="ro-RO" w:eastAsia="de-DE"/>
              </w:rPr>
              <w:t xml:space="preserve">în perioada </w:t>
            </w:r>
            <w:r w:rsidR="00936847" w:rsidRPr="009C5F11">
              <w:rPr>
                <w:rFonts w:ascii="Times New Roman" w:hAnsi="Times New Roman" w:cs="Times New Roman"/>
                <w:sz w:val="18"/>
                <w:szCs w:val="14"/>
                <w:lang w:val="ro-RO" w:eastAsia="de-DE"/>
              </w:rPr>
              <w:t xml:space="preserve">2016-2018 </w:t>
            </w:r>
            <w:r w:rsidR="003719BD" w:rsidRPr="009C5F11">
              <w:rPr>
                <w:rFonts w:ascii="Times New Roman" w:hAnsi="Times New Roman" w:cs="Times New Roman"/>
                <w:sz w:val="18"/>
                <w:szCs w:val="14"/>
                <w:lang w:val="ro-RO" w:eastAsia="de-DE"/>
              </w:rPr>
              <w:t>pe baza</w:t>
            </w:r>
            <w:r w:rsidR="00936847" w:rsidRPr="009C5F11">
              <w:rPr>
                <w:rFonts w:ascii="Times New Roman" w:hAnsi="Times New Roman" w:cs="Times New Roman"/>
                <w:sz w:val="18"/>
                <w:szCs w:val="14"/>
                <w:lang w:val="ro-RO" w:eastAsia="de-DE"/>
              </w:rPr>
              <w:t xml:space="preserve"> </w:t>
            </w:r>
            <w:r w:rsidR="006B1229" w:rsidRPr="009C5F11">
              <w:rPr>
                <w:rFonts w:ascii="Times New Roman" w:hAnsi="Times New Roman" w:cs="Times New Roman"/>
                <w:sz w:val="18"/>
                <w:szCs w:val="14"/>
                <w:lang w:val="ro-RO" w:eastAsia="de-DE"/>
              </w:rPr>
              <w:t>studiului de fezabilitate</w:t>
            </w:r>
            <w:r w:rsidR="00936847" w:rsidRPr="009C5F11">
              <w:rPr>
                <w:rFonts w:ascii="Times New Roman" w:hAnsi="Times New Roman" w:cs="Times New Roman"/>
                <w:sz w:val="18"/>
                <w:szCs w:val="14"/>
                <w:lang w:val="ro-RO" w:eastAsia="de-DE"/>
              </w:rPr>
              <w:t xml:space="preserve"> </w:t>
            </w:r>
            <w:r w:rsidR="003719BD" w:rsidRPr="009C5F11">
              <w:rPr>
                <w:rFonts w:ascii="Times New Roman" w:hAnsi="Times New Roman" w:cs="Times New Roman"/>
                <w:sz w:val="18"/>
                <w:szCs w:val="14"/>
                <w:lang w:val="ro-RO" w:eastAsia="de-DE"/>
              </w:rPr>
              <w:t>întocmit</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2012</w:t>
            </w:r>
            <w:r w:rsidR="003719BD" w:rsidRPr="009C5F11">
              <w:rPr>
                <w:rFonts w:ascii="Times New Roman" w:hAnsi="Times New Roman" w:cs="Times New Roman"/>
                <w:sz w:val="18"/>
                <w:szCs w:val="14"/>
                <w:lang w:val="ro-RO" w:eastAsia="de-DE"/>
              </w:rPr>
              <w:t>:</w:t>
            </w:r>
          </w:p>
          <w:p w14:paraId="5BCB2321" w14:textId="77777777" w:rsidR="00936847" w:rsidRPr="009C5F11" w:rsidRDefault="00421FA7" w:rsidP="00334F3B">
            <w:pPr>
              <w:numPr>
                <w:ilvl w:val="0"/>
                <w:numId w:val="91"/>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Programul</w:t>
            </w:r>
            <w:r w:rsidR="00936847" w:rsidRPr="009C5F11">
              <w:rPr>
                <w:rFonts w:ascii="Times New Roman" w:hAnsi="Times New Roman" w:cs="Times New Roman"/>
                <w:sz w:val="18"/>
                <w:szCs w:val="14"/>
                <w:lang w:val="ro-RO" w:eastAsia="de-DE"/>
              </w:rPr>
              <w:t xml:space="preserve"> </w:t>
            </w:r>
            <w:r w:rsidR="003719BD" w:rsidRPr="009C5F11">
              <w:rPr>
                <w:rFonts w:ascii="Times New Roman" w:hAnsi="Times New Roman" w:cs="Times New Roman"/>
                <w:sz w:val="18"/>
                <w:szCs w:val="14"/>
                <w:lang w:val="ro-RO" w:eastAsia="de-DE"/>
              </w:rPr>
              <w:t>va permite</w:t>
            </w:r>
            <w:r w:rsidR="00936847" w:rsidRPr="009C5F11">
              <w:rPr>
                <w:rFonts w:ascii="Times New Roman" w:hAnsi="Times New Roman" w:cs="Times New Roman"/>
                <w:sz w:val="18"/>
                <w:szCs w:val="14"/>
                <w:lang w:val="ro-RO" w:eastAsia="de-DE"/>
              </w:rPr>
              <w:t xml:space="preserve"> ACC </w:t>
            </w:r>
            <w:r w:rsidR="003238C2" w:rsidRPr="009C5F11">
              <w:rPr>
                <w:rFonts w:ascii="Times New Roman" w:hAnsi="Times New Roman" w:cs="Times New Roman"/>
                <w:sz w:val="18"/>
                <w:szCs w:val="14"/>
                <w:lang w:val="ro-RO" w:eastAsia="de-DE"/>
              </w:rPr>
              <w:t>să fortifice eficienţa operaţională</w:t>
            </w:r>
            <w:r w:rsidR="00936847" w:rsidRPr="009C5F11">
              <w:rPr>
                <w:rFonts w:ascii="Times New Roman" w:hAnsi="Times New Roman" w:cs="Times New Roman"/>
                <w:sz w:val="18"/>
                <w:szCs w:val="14"/>
                <w:lang w:val="ro-RO" w:eastAsia="de-DE"/>
              </w:rPr>
              <w:t xml:space="preserve">, </w:t>
            </w:r>
            <w:r w:rsidR="003238C2" w:rsidRPr="009C5F11">
              <w:rPr>
                <w:rFonts w:ascii="Times New Roman" w:hAnsi="Times New Roman" w:cs="Times New Roman"/>
                <w:sz w:val="18"/>
                <w:szCs w:val="14"/>
                <w:lang w:val="ro-RO" w:eastAsia="de-DE"/>
              </w:rPr>
              <w:t>c</w:t>
            </w:r>
            <w:r w:rsidR="00936847" w:rsidRPr="009C5F11">
              <w:rPr>
                <w:rFonts w:ascii="Times New Roman" w:hAnsi="Times New Roman" w:cs="Times New Roman"/>
                <w:sz w:val="18"/>
                <w:szCs w:val="14"/>
                <w:lang w:val="ro-RO" w:eastAsia="de-DE"/>
              </w:rPr>
              <w:t>alit</w:t>
            </w:r>
            <w:r w:rsidR="003238C2" w:rsidRPr="009C5F11">
              <w:rPr>
                <w:rFonts w:ascii="Times New Roman" w:hAnsi="Times New Roman" w:cs="Times New Roman"/>
                <w:sz w:val="18"/>
                <w:szCs w:val="14"/>
                <w:lang w:val="ro-RO" w:eastAsia="de-DE"/>
              </w:rPr>
              <w:t>atea serviciilor oferite clienţilor</w:t>
            </w:r>
            <w:r w:rsidR="00321CD5" w:rsidRPr="009C5F11">
              <w:rPr>
                <w:rFonts w:ascii="Times New Roman" w:hAnsi="Times New Roman" w:cs="Times New Roman"/>
                <w:sz w:val="18"/>
                <w:szCs w:val="14"/>
                <w:lang w:val="ro-RO" w:eastAsia="de-DE"/>
              </w:rPr>
              <w:t xml:space="preserve"> şi </w:t>
            </w:r>
            <w:r w:rsidR="00FD08F0" w:rsidRPr="009C5F11">
              <w:rPr>
                <w:rFonts w:ascii="Times New Roman" w:hAnsi="Times New Roman" w:cs="Times New Roman"/>
                <w:sz w:val="18"/>
                <w:szCs w:val="14"/>
                <w:lang w:val="ro-RO" w:eastAsia="de-DE"/>
              </w:rPr>
              <w:t xml:space="preserve">va </w:t>
            </w:r>
            <w:r w:rsidR="00936847" w:rsidRPr="009C5F11">
              <w:rPr>
                <w:rFonts w:ascii="Times New Roman" w:hAnsi="Times New Roman" w:cs="Times New Roman"/>
                <w:sz w:val="18"/>
                <w:szCs w:val="14"/>
                <w:lang w:val="ro-RO" w:eastAsia="de-DE"/>
              </w:rPr>
              <w:t xml:space="preserve">reduce </w:t>
            </w:r>
            <w:r w:rsidR="003238C2" w:rsidRPr="009C5F11">
              <w:rPr>
                <w:rFonts w:ascii="Times New Roman" w:hAnsi="Times New Roman" w:cs="Times New Roman"/>
                <w:sz w:val="18"/>
                <w:szCs w:val="14"/>
                <w:lang w:val="ro-RO" w:eastAsia="de-DE"/>
              </w:rPr>
              <w:t>impactul asupra mediului</w:t>
            </w:r>
            <w:r w:rsidR="00321CD5" w:rsidRPr="009C5F11">
              <w:rPr>
                <w:rFonts w:ascii="Times New Roman" w:hAnsi="Times New Roman" w:cs="Times New Roman"/>
                <w:sz w:val="18"/>
                <w:szCs w:val="14"/>
                <w:lang w:val="ro-RO" w:eastAsia="de-DE"/>
              </w:rPr>
              <w:t xml:space="preserve"> în </w:t>
            </w:r>
            <w:r w:rsidR="003238C2" w:rsidRPr="009C5F11">
              <w:rPr>
                <w:rFonts w:ascii="Times New Roman" w:hAnsi="Times New Roman" w:cs="Times New Roman"/>
                <w:sz w:val="18"/>
                <w:szCs w:val="14"/>
                <w:lang w:val="ro-RO" w:eastAsia="de-DE"/>
              </w:rPr>
              <w:t>domeniul său de activitate</w:t>
            </w:r>
            <w:r w:rsidR="00936847" w:rsidRPr="009C5F11">
              <w:rPr>
                <w:rFonts w:ascii="Times New Roman" w:hAnsi="Times New Roman" w:cs="Times New Roman"/>
                <w:sz w:val="18"/>
                <w:szCs w:val="14"/>
                <w:lang w:val="ro-RO" w:eastAsia="de-DE"/>
              </w:rPr>
              <w:t>.</w:t>
            </w:r>
          </w:p>
          <w:p w14:paraId="1B0F99AF" w14:textId="77777777" w:rsidR="00936847" w:rsidRPr="009C5F11" w:rsidRDefault="003719BD" w:rsidP="00334F3B">
            <w:pPr>
              <w:numPr>
                <w:ilvl w:val="0"/>
                <w:numId w:val="91"/>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Programul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va îmbunătăţi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eficienţa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reţelei de alimentare cu apă a oraşului</w:t>
            </w:r>
            <w:r w:rsidR="00936847" w:rsidRPr="009C5F11">
              <w:rPr>
                <w:rFonts w:ascii="Times New Roman" w:hAnsi="Times New Roman" w:cs="Times New Roman"/>
                <w:sz w:val="18"/>
                <w:szCs w:val="14"/>
                <w:lang w:val="ro-RO" w:eastAsia="de-DE"/>
              </w:rPr>
              <w:t xml:space="preserve">, </w:t>
            </w:r>
            <w:r w:rsidR="00FD08F0" w:rsidRPr="009C5F11">
              <w:rPr>
                <w:rFonts w:ascii="Times New Roman" w:hAnsi="Times New Roman" w:cs="Times New Roman"/>
                <w:sz w:val="18"/>
                <w:szCs w:val="14"/>
                <w:lang w:val="ro-RO" w:eastAsia="de-DE"/>
              </w:rPr>
              <w:t xml:space="preserve">va </w:t>
            </w:r>
            <w:r w:rsidRPr="009C5F11">
              <w:rPr>
                <w:rFonts w:ascii="Times New Roman" w:hAnsi="Times New Roman" w:cs="Times New Roman"/>
                <w:sz w:val="18"/>
                <w:szCs w:val="14"/>
                <w:lang w:val="ro-RO" w:eastAsia="de-DE"/>
              </w:rPr>
              <w:t>economisi</w:t>
            </w:r>
            <w:r w:rsidR="00936847" w:rsidRPr="009C5F11">
              <w:rPr>
                <w:rFonts w:ascii="Times New Roman" w:hAnsi="Times New Roman" w:cs="Times New Roman"/>
                <w:sz w:val="18"/>
                <w:szCs w:val="14"/>
                <w:lang w:val="ro-RO" w:eastAsia="de-DE"/>
              </w:rPr>
              <w:t xml:space="preserve"> </w:t>
            </w:r>
            <w:r w:rsidR="001E3482" w:rsidRPr="009C5F11">
              <w:rPr>
                <w:rFonts w:ascii="Times New Roman" w:hAnsi="Times New Roman" w:cs="Times New Roman"/>
                <w:sz w:val="18"/>
                <w:szCs w:val="14"/>
                <w:lang w:val="ro-RO" w:eastAsia="de-DE"/>
              </w:rPr>
              <w:t>energie</w:t>
            </w:r>
            <w:r w:rsidR="00321CD5" w:rsidRPr="009C5F11">
              <w:rPr>
                <w:rFonts w:ascii="Times New Roman" w:hAnsi="Times New Roman" w:cs="Times New Roman"/>
                <w:sz w:val="18"/>
                <w:szCs w:val="14"/>
                <w:lang w:val="ro-RO" w:eastAsia="de-DE"/>
              </w:rPr>
              <w:t xml:space="preserve"> şi </w:t>
            </w:r>
            <w:r w:rsidR="00FD08F0" w:rsidRPr="009C5F11">
              <w:rPr>
                <w:rFonts w:ascii="Times New Roman" w:hAnsi="Times New Roman" w:cs="Times New Roman"/>
                <w:sz w:val="18"/>
                <w:szCs w:val="14"/>
                <w:lang w:val="ro-RO" w:eastAsia="de-DE"/>
              </w:rPr>
              <w:t xml:space="preserve">va </w:t>
            </w:r>
            <w:r w:rsidR="00936847" w:rsidRPr="009C5F11">
              <w:rPr>
                <w:rFonts w:ascii="Times New Roman" w:hAnsi="Times New Roman" w:cs="Times New Roman"/>
                <w:sz w:val="18"/>
                <w:szCs w:val="14"/>
                <w:lang w:val="ro-RO" w:eastAsia="de-DE"/>
              </w:rPr>
              <w:t>contribu</w:t>
            </w:r>
            <w:r w:rsidRPr="009C5F11">
              <w:rPr>
                <w:rFonts w:ascii="Times New Roman" w:hAnsi="Times New Roman" w:cs="Times New Roman"/>
                <w:sz w:val="18"/>
                <w:szCs w:val="14"/>
                <w:lang w:val="ro-RO" w:eastAsia="de-DE"/>
              </w:rPr>
              <w:t xml:space="preserve">i la asigurarea </w:t>
            </w:r>
            <w:r w:rsidR="0087273F" w:rsidRPr="009C5F11">
              <w:rPr>
                <w:rFonts w:ascii="Times New Roman" w:hAnsi="Times New Roman" w:cs="Times New Roman"/>
                <w:sz w:val="18"/>
                <w:szCs w:val="14"/>
                <w:lang w:val="ro-RO" w:eastAsia="de-DE"/>
              </w:rPr>
              <w:t>conformității</w:t>
            </w:r>
            <w:r w:rsidRPr="009C5F11">
              <w:rPr>
                <w:rFonts w:ascii="Times New Roman" w:hAnsi="Times New Roman" w:cs="Times New Roman"/>
                <w:sz w:val="18"/>
                <w:szCs w:val="14"/>
                <w:lang w:val="ro-RO" w:eastAsia="de-DE"/>
              </w:rPr>
              <w:t xml:space="preserve"> cu directivele relevante ale UE în viitor; </w:t>
            </w:r>
          </w:p>
          <w:p w14:paraId="408794B5" w14:textId="77777777" w:rsidR="00936847" w:rsidRPr="009C5F11" w:rsidRDefault="00936847" w:rsidP="00334F3B">
            <w:pPr>
              <w:numPr>
                <w:ilvl w:val="0"/>
                <w:numId w:val="195"/>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Instal</w:t>
            </w:r>
            <w:r w:rsidR="003719BD" w:rsidRPr="009C5F11">
              <w:rPr>
                <w:rFonts w:ascii="Times New Roman" w:hAnsi="Times New Roman" w:cs="Times New Roman"/>
                <w:sz w:val="18"/>
                <w:szCs w:val="14"/>
                <w:lang w:val="ro-RO" w:eastAsia="de-DE"/>
              </w:rPr>
              <w:t>area sistemelor</w:t>
            </w:r>
            <w:r w:rsidRPr="009C5F11">
              <w:rPr>
                <w:rFonts w:ascii="Times New Roman" w:hAnsi="Times New Roman" w:cs="Times New Roman"/>
                <w:sz w:val="18"/>
                <w:szCs w:val="14"/>
                <w:lang w:val="ro-RO" w:eastAsia="de-DE"/>
              </w:rPr>
              <w:t xml:space="preserve"> SCADA </w:t>
            </w:r>
            <w:r w:rsidR="003719BD" w:rsidRPr="009C5F11">
              <w:rPr>
                <w:rFonts w:ascii="Times New Roman" w:hAnsi="Times New Roman" w:cs="Times New Roman"/>
                <w:sz w:val="18"/>
                <w:szCs w:val="14"/>
                <w:lang w:val="ro-RO" w:eastAsia="de-DE"/>
              </w:rPr>
              <w:t>pentru operare</w:t>
            </w:r>
            <w:r w:rsidR="003238C2" w:rsidRPr="009C5F11">
              <w:rPr>
                <w:rFonts w:ascii="Times New Roman" w:hAnsi="Times New Roman" w:cs="Times New Roman"/>
                <w:sz w:val="18"/>
                <w:szCs w:val="14"/>
                <w:lang w:val="ro-RO" w:eastAsia="de-DE"/>
              </w:rPr>
              <w:t>a</w:t>
            </w:r>
            <w:r w:rsidR="003719BD" w:rsidRPr="009C5F11">
              <w:rPr>
                <w:rFonts w:ascii="Times New Roman" w:hAnsi="Times New Roman" w:cs="Times New Roman"/>
                <w:sz w:val="18"/>
                <w:szCs w:val="14"/>
                <w:lang w:val="ro-RO" w:eastAsia="de-DE"/>
              </w:rPr>
              <w:t xml:space="preserve"> eficientă şi monitorizarea </w:t>
            </w:r>
            <w:r w:rsidR="00334259" w:rsidRPr="009C5F11">
              <w:rPr>
                <w:rFonts w:ascii="Times New Roman" w:hAnsi="Times New Roman" w:cs="Times New Roman"/>
                <w:sz w:val="18"/>
                <w:szCs w:val="14"/>
                <w:lang w:val="ro-RO" w:eastAsia="de-DE"/>
              </w:rPr>
              <w:t>consumul</w:t>
            </w:r>
            <w:r w:rsidR="003719BD" w:rsidRPr="009C5F11">
              <w:rPr>
                <w:rFonts w:ascii="Times New Roman" w:hAnsi="Times New Roman" w:cs="Times New Roman"/>
                <w:sz w:val="18"/>
                <w:szCs w:val="14"/>
                <w:lang w:val="ro-RO" w:eastAsia="de-DE"/>
              </w:rPr>
              <w:t>ui.</w:t>
            </w:r>
          </w:p>
          <w:p w14:paraId="2C60BE32" w14:textId="77777777" w:rsidR="00936847" w:rsidRPr="009C5F11" w:rsidRDefault="003719BD"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 special,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Proiectul</w:t>
            </w:r>
            <w:r w:rsidR="00936847" w:rsidRPr="009C5F11">
              <w:rPr>
                <w:rFonts w:ascii="Times New Roman" w:hAnsi="Times New Roman" w:cs="Times New Roman"/>
                <w:sz w:val="18"/>
                <w:szCs w:val="14"/>
                <w:lang w:val="ro-RO" w:eastAsia="de-DE"/>
              </w:rPr>
              <w:t xml:space="preserve"> SCADA (</w:t>
            </w:r>
            <w:r w:rsidRPr="009C5F11">
              <w:rPr>
                <w:rFonts w:ascii="Times New Roman" w:hAnsi="Times New Roman" w:cs="Times New Roman"/>
                <w:sz w:val="18"/>
                <w:szCs w:val="14"/>
                <w:lang w:val="ro-RO" w:eastAsia="de-DE"/>
              </w:rPr>
              <w:t>Solicitarea de oferte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din </w:t>
            </w:r>
            <w:r w:rsidR="00936847" w:rsidRPr="009C5F11">
              <w:rPr>
                <w:rFonts w:ascii="Times New Roman" w:hAnsi="Times New Roman" w:cs="Times New Roman"/>
                <w:sz w:val="18"/>
                <w:szCs w:val="14"/>
                <w:lang w:val="ro-RO" w:eastAsia="de-DE"/>
              </w:rPr>
              <w:t xml:space="preserve">16.12.2015) </w:t>
            </w:r>
            <w:r w:rsidRPr="009C5F11">
              <w:rPr>
                <w:rFonts w:ascii="Times New Roman" w:hAnsi="Times New Roman" w:cs="Times New Roman"/>
                <w:sz w:val="18"/>
                <w:szCs w:val="14"/>
                <w:lang w:val="ro-RO" w:eastAsia="de-DE"/>
              </w:rPr>
              <w:t xml:space="preserve">va </w:t>
            </w:r>
            <w:r w:rsidR="00B73D43" w:rsidRPr="009C5F11">
              <w:rPr>
                <w:rFonts w:ascii="Times New Roman" w:hAnsi="Times New Roman" w:cs="Times New Roman"/>
                <w:sz w:val="18"/>
                <w:szCs w:val="14"/>
                <w:lang w:val="ro-RO" w:eastAsia="de-DE"/>
              </w:rPr>
              <w:t>asigura</w:t>
            </w:r>
            <w:r w:rsidR="00936847" w:rsidRPr="009C5F11">
              <w:rPr>
                <w:rFonts w:ascii="Times New Roman" w:hAnsi="Times New Roman" w:cs="Times New Roman"/>
                <w:sz w:val="18"/>
                <w:szCs w:val="14"/>
                <w:lang w:val="ro-RO" w:eastAsia="de-DE"/>
              </w:rPr>
              <w:t>:</w:t>
            </w:r>
          </w:p>
          <w:p w14:paraId="166D40DC" w14:textId="77777777" w:rsidR="00936847" w:rsidRPr="009C5F11" w:rsidRDefault="00B73D43" w:rsidP="00334F3B">
            <w:pPr>
              <w:numPr>
                <w:ilvl w:val="0"/>
                <w:numId w:val="89"/>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instalarea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de </w:t>
            </w:r>
            <w:r w:rsidR="00936847" w:rsidRPr="009C5F11">
              <w:rPr>
                <w:rFonts w:ascii="Times New Roman" w:hAnsi="Times New Roman" w:cs="Times New Roman"/>
                <w:sz w:val="18"/>
                <w:szCs w:val="14"/>
                <w:lang w:val="ro-RO" w:eastAsia="de-DE"/>
              </w:rPr>
              <w:t xml:space="preserve">hardware, </w:t>
            </w:r>
            <w:r w:rsidRPr="009C5F11">
              <w:rPr>
                <w:rFonts w:ascii="Times New Roman" w:hAnsi="Times New Roman" w:cs="Times New Roman"/>
                <w:sz w:val="18"/>
                <w:szCs w:val="14"/>
                <w:lang w:val="ro-RO" w:eastAsia="de-DE"/>
              </w:rPr>
              <w:t xml:space="preserve">a echipamentului </w:t>
            </w:r>
            <w:r w:rsidR="00936847" w:rsidRPr="009C5F11">
              <w:rPr>
                <w:rFonts w:ascii="Times New Roman" w:hAnsi="Times New Roman" w:cs="Times New Roman"/>
                <w:sz w:val="18"/>
                <w:szCs w:val="14"/>
                <w:lang w:val="ro-RO" w:eastAsia="de-DE"/>
              </w:rPr>
              <w:t xml:space="preserve">mecanic, electric </w:t>
            </w:r>
            <w:r w:rsidR="00321CD5" w:rsidRPr="009C5F11">
              <w:rPr>
                <w:rFonts w:ascii="Times New Roman" w:hAnsi="Times New Roman" w:cs="Times New Roman"/>
                <w:sz w:val="18"/>
                <w:szCs w:val="14"/>
                <w:lang w:val="ro-RO" w:eastAsia="de-DE"/>
              </w:rPr>
              <w:t xml:space="preserve">şi </w:t>
            </w:r>
            <w:r w:rsidR="00936847" w:rsidRPr="009C5F11">
              <w:rPr>
                <w:rFonts w:ascii="Times New Roman" w:hAnsi="Times New Roman" w:cs="Times New Roman"/>
                <w:sz w:val="18"/>
                <w:szCs w:val="14"/>
                <w:lang w:val="ro-RO" w:eastAsia="de-DE"/>
              </w:rPr>
              <w:t xml:space="preserve">software </w:t>
            </w:r>
            <w:r w:rsidRPr="009C5F11">
              <w:rPr>
                <w:rFonts w:ascii="Times New Roman" w:hAnsi="Times New Roman" w:cs="Times New Roman"/>
                <w:sz w:val="18"/>
                <w:szCs w:val="14"/>
                <w:lang w:val="ro-RO" w:eastAsia="de-DE"/>
              </w:rPr>
              <w:t>pentru:</w:t>
            </w:r>
            <w:r w:rsidR="00936847" w:rsidRPr="009C5F11">
              <w:rPr>
                <w:rFonts w:ascii="Times New Roman" w:hAnsi="Times New Roman" w:cs="Times New Roman"/>
                <w:sz w:val="18"/>
                <w:szCs w:val="14"/>
                <w:lang w:val="ro-RO" w:eastAsia="de-DE"/>
              </w:rPr>
              <w:t xml:space="preserve"> </w:t>
            </w:r>
          </w:p>
          <w:p w14:paraId="785DF057" w14:textId="77777777" w:rsidR="00936847" w:rsidRPr="009C5F11" w:rsidRDefault="00F17AC7" w:rsidP="00334F3B">
            <w:pPr>
              <w:numPr>
                <w:ilvl w:val="0"/>
                <w:numId w:val="89"/>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oficiul c</w:t>
            </w:r>
            <w:r w:rsidR="00936847" w:rsidRPr="009C5F11">
              <w:rPr>
                <w:rFonts w:ascii="Times New Roman" w:hAnsi="Times New Roman" w:cs="Times New Roman"/>
                <w:sz w:val="18"/>
                <w:szCs w:val="14"/>
                <w:lang w:val="ro-RO" w:eastAsia="de-DE"/>
              </w:rPr>
              <w:t xml:space="preserve">entral </w:t>
            </w:r>
            <w:r w:rsidRPr="009C5F11">
              <w:rPr>
                <w:rFonts w:ascii="Times New Roman" w:hAnsi="Times New Roman" w:cs="Times New Roman"/>
                <w:sz w:val="18"/>
                <w:szCs w:val="14"/>
                <w:lang w:val="ro-RO" w:eastAsia="de-DE"/>
              </w:rPr>
              <w:t xml:space="preserve">de control al expedierii </w:t>
            </w:r>
            <w:r w:rsidR="00B73D43" w:rsidRPr="009C5F11">
              <w:rPr>
                <w:rFonts w:ascii="Times New Roman" w:hAnsi="Times New Roman" w:cs="Times New Roman"/>
                <w:sz w:val="18"/>
                <w:szCs w:val="14"/>
                <w:lang w:val="ro-RO" w:eastAsia="de-DE"/>
              </w:rPr>
              <w:t>a</w:t>
            </w:r>
            <w:r w:rsidRPr="009C5F11">
              <w:rPr>
                <w:rFonts w:ascii="Times New Roman" w:hAnsi="Times New Roman" w:cs="Times New Roman"/>
                <w:sz w:val="18"/>
                <w:szCs w:val="14"/>
                <w:lang w:val="ro-RO" w:eastAsia="de-DE"/>
              </w:rPr>
              <w:t>l</w:t>
            </w:r>
            <w:r w:rsidR="00B73D43" w:rsidRPr="009C5F11">
              <w:rPr>
                <w:rFonts w:ascii="Times New Roman" w:hAnsi="Times New Roman" w:cs="Times New Roman"/>
                <w:sz w:val="18"/>
                <w:szCs w:val="14"/>
                <w:lang w:val="ro-RO" w:eastAsia="de-DE"/>
              </w:rPr>
              <w:t xml:space="preserve"> sistemului SCADA</w:t>
            </w:r>
            <w:r w:rsidR="00936847" w:rsidRPr="009C5F11">
              <w:rPr>
                <w:rFonts w:ascii="Times New Roman" w:hAnsi="Times New Roman" w:cs="Times New Roman"/>
                <w:sz w:val="18"/>
                <w:szCs w:val="14"/>
                <w:lang w:val="ro-RO" w:eastAsia="de-DE"/>
              </w:rPr>
              <w:t xml:space="preserve">, </w:t>
            </w:r>
          </w:p>
          <w:p w14:paraId="46DA3131" w14:textId="77777777" w:rsidR="00936847" w:rsidRPr="009C5F11" w:rsidRDefault="00F17AC7" w:rsidP="00334F3B">
            <w:pPr>
              <w:numPr>
                <w:ilvl w:val="0"/>
                <w:numId w:val="89"/>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oficiile locale de control al expedierii; </w:t>
            </w:r>
          </w:p>
          <w:p w14:paraId="3B9DFABE" w14:textId="77777777" w:rsidR="00936847" w:rsidRPr="009C5F11" w:rsidRDefault="0087273F" w:rsidP="00334F3B">
            <w:pPr>
              <w:numPr>
                <w:ilvl w:val="0"/>
                <w:numId w:val="89"/>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echipament</w:t>
            </w:r>
            <w:r w:rsidR="00F17AC7" w:rsidRPr="009C5F11">
              <w:rPr>
                <w:rFonts w:ascii="Times New Roman" w:hAnsi="Times New Roman" w:cs="Times New Roman"/>
                <w:sz w:val="18"/>
                <w:szCs w:val="14"/>
                <w:lang w:val="ro-RO" w:eastAsia="de-DE"/>
              </w:rPr>
              <w:t xml:space="preserve"> de control şi colectare a datelor locale instalat la</w:t>
            </w:r>
            <w:r w:rsidR="00936847" w:rsidRPr="009C5F11">
              <w:rPr>
                <w:rFonts w:ascii="Times New Roman" w:hAnsi="Times New Roman" w:cs="Times New Roman"/>
                <w:sz w:val="18"/>
                <w:szCs w:val="14"/>
                <w:lang w:val="ro-RO" w:eastAsia="de-DE"/>
              </w:rPr>
              <w:t xml:space="preserve">: 25 </w:t>
            </w:r>
            <w:r w:rsidR="00F17AC7" w:rsidRPr="009C5F11">
              <w:rPr>
                <w:rFonts w:ascii="Times New Roman" w:hAnsi="Times New Roman" w:cs="Times New Roman"/>
                <w:sz w:val="18"/>
                <w:szCs w:val="14"/>
                <w:lang w:val="ro-RO" w:eastAsia="de-DE"/>
              </w:rPr>
              <w:t>de staţii principale de pompare a apei</w:t>
            </w:r>
            <w:r w:rsidR="00936847" w:rsidRPr="009C5F11">
              <w:rPr>
                <w:rFonts w:ascii="Times New Roman" w:hAnsi="Times New Roman" w:cs="Times New Roman"/>
                <w:sz w:val="18"/>
                <w:szCs w:val="14"/>
                <w:lang w:val="ro-RO" w:eastAsia="de-DE"/>
              </w:rPr>
              <w:t xml:space="preserve">, 1 </w:t>
            </w:r>
            <w:r w:rsidR="00F17AC7" w:rsidRPr="009C5F11">
              <w:rPr>
                <w:rFonts w:ascii="Times New Roman" w:hAnsi="Times New Roman" w:cs="Times New Roman"/>
                <w:sz w:val="18"/>
                <w:szCs w:val="14"/>
                <w:lang w:val="ro-RO" w:eastAsia="de-DE"/>
              </w:rPr>
              <w:t>staţie de epurare a apelor uzate</w:t>
            </w:r>
            <w:r w:rsidR="00936847" w:rsidRPr="009C5F11">
              <w:rPr>
                <w:rFonts w:ascii="Times New Roman" w:hAnsi="Times New Roman" w:cs="Times New Roman"/>
                <w:sz w:val="18"/>
                <w:szCs w:val="14"/>
                <w:lang w:val="ro-RO" w:eastAsia="de-DE"/>
              </w:rPr>
              <w:t xml:space="preserve">, 58 </w:t>
            </w:r>
            <w:r w:rsidR="00F17AC7" w:rsidRPr="009C5F11">
              <w:rPr>
                <w:rFonts w:ascii="Times New Roman" w:hAnsi="Times New Roman" w:cs="Times New Roman"/>
                <w:sz w:val="18"/>
                <w:szCs w:val="14"/>
                <w:lang w:val="ro-RO" w:eastAsia="de-DE"/>
              </w:rPr>
              <w:t>staţii de compresie de pompare</w:t>
            </w:r>
            <w:r w:rsidR="00936847" w:rsidRPr="009C5F11">
              <w:rPr>
                <w:rFonts w:ascii="Times New Roman" w:hAnsi="Times New Roman" w:cs="Times New Roman"/>
                <w:sz w:val="18"/>
                <w:szCs w:val="14"/>
                <w:lang w:val="ro-RO" w:eastAsia="de-DE"/>
              </w:rPr>
              <w:t xml:space="preserve">, 33 </w:t>
            </w:r>
            <w:r w:rsidR="00F17AC7" w:rsidRPr="009C5F11">
              <w:rPr>
                <w:rFonts w:ascii="Times New Roman" w:hAnsi="Times New Roman" w:cs="Times New Roman"/>
                <w:sz w:val="18"/>
                <w:szCs w:val="14"/>
                <w:lang w:val="ro-RO" w:eastAsia="de-DE"/>
              </w:rPr>
              <w:t>staţii de pompare a apelor uzate</w:t>
            </w:r>
            <w:r w:rsidR="00A114C8"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36A931FA" w14:textId="77777777" w:rsidR="00936847" w:rsidRPr="009C5F11" w:rsidRDefault="00F17AC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Toate </w:t>
            </w:r>
            <w:r w:rsidR="0087273F" w:rsidRPr="009C5F11">
              <w:rPr>
                <w:rFonts w:ascii="Times New Roman" w:hAnsi="Times New Roman" w:cs="Times New Roman"/>
                <w:sz w:val="18"/>
                <w:szCs w:val="14"/>
                <w:lang w:val="ro-RO" w:eastAsia="de-DE"/>
              </w:rPr>
              <w:t>instalațiile</w:t>
            </w:r>
            <w:r w:rsidRPr="009C5F11">
              <w:rPr>
                <w:rFonts w:ascii="Times New Roman" w:hAnsi="Times New Roman" w:cs="Times New Roman"/>
                <w:sz w:val="18"/>
                <w:szCs w:val="14"/>
                <w:lang w:val="ro-RO" w:eastAsia="de-DE"/>
              </w:rPr>
              <w:t xml:space="preserve"> sunt amplasate în raza mun. </w:t>
            </w:r>
            <w:r w:rsidR="00AA0566" w:rsidRPr="009C5F11">
              <w:rPr>
                <w:rFonts w:ascii="Times New Roman" w:hAnsi="Times New Roman" w:cs="Times New Roman"/>
                <w:sz w:val="18"/>
                <w:szCs w:val="14"/>
                <w:lang w:val="ro-RO" w:eastAsia="de-DE"/>
              </w:rPr>
              <w:t>Chişinău</w:t>
            </w:r>
            <w:r w:rsidRPr="009C5F11">
              <w:rPr>
                <w:rFonts w:ascii="Times New Roman" w:hAnsi="Times New Roman" w:cs="Times New Roman"/>
                <w:sz w:val="18"/>
                <w:szCs w:val="14"/>
                <w:lang w:val="ro-RO" w:eastAsia="de-DE"/>
              </w:rPr>
              <w:t>.</w:t>
            </w:r>
          </w:p>
          <w:p w14:paraId="13EF0D54"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p>
          <w:p w14:paraId="54DF0A42"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w:t>
            </w:r>
            <w:r w:rsidR="00DA7EE0" w:rsidRPr="009C5F11">
              <w:rPr>
                <w:rFonts w:ascii="Times New Roman" w:hAnsi="Times New Roman" w:cs="Times New Roman"/>
                <w:sz w:val="18"/>
                <w:szCs w:val="14"/>
                <w:u w:val="single"/>
                <w:lang w:val="ro-RO" w:eastAsia="de-DE"/>
              </w:rPr>
              <w:t xml:space="preserve">PROIECTUL </w:t>
            </w:r>
            <w:r w:rsidR="003238C2" w:rsidRPr="009C5F11">
              <w:rPr>
                <w:rFonts w:ascii="Times New Roman" w:hAnsi="Times New Roman" w:cs="Times New Roman"/>
                <w:sz w:val="18"/>
                <w:szCs w:val="14"/>
                <w:u w:val="single"/>
                <w:lang w:val="ro-RO" w:eastAsia="de-DE"/>
              </w:rPr>
              <w:t>ÎN</w:t>
            </w:r>
            <w:r w:rsidR="00DA7EE0" w:rsidRPr="009C5F11">
              <w:rPr>
                <w:rFonts w:ascii="Times New Roman" w:hAnsi="Times New Roman" w:cs="Times New Roman"/>
                <w:sz w:val="18"/>
                <w:szCs w:val="14"/>
                <w:u w:val="single"/>
                <w:lang w:val="ro-RO" w:eastAsia="de-DE"/>
              </w:rPr>
              <w:t xml:space="preserve"> SECTORUL </w:t>
            </w:r>
            <w:r w:rsidR="003238C2" w:rsidRPr="009C5F11">
              <w:rPr>
                <w:rFonts w:ascii="Times New Roman" w:hAnsi="Times New Roman" w:cs="Times New Roman"/>
                <w:sz w:val="18"/>
                <w:szCs w:val="14"/>
                <w:u w:val="single"/>
                <w:lang w:val="ro-RO" w:eastAsia="de-DE"/>
              </w:rPr>
              <w:t xml:space="preserve">DRUMURILOR </w:t>
            </w:r>
            <w:r w:rsidR="00DA7EE0" w:rsidRPr="009C5F11">
              <w:rPr>
                <w:rFonts w:ascii="Times New Roman" w:hAnsi="Times New Roman" w:cs="Times New Roman"/>
                <w:sz w:val="18"/>
                <w:szCs w:val="14"/>
                <w:u w:val="single"/>
                <w:lang w:val="ro-RO" w:eastAsia="de-DE"/>
              </w:rPr>
              <w:t>URBAN</w:t>
            </w:r>
            <w:r w:rsidR="003238C2" w:rsidRPr="009C5F11">
              <w:rPr>
                <w:rFonts w:ascii="Times New Roman" w:hAnsi="Times New Roman" w:cs="Times New Roman"/>
                <w:sz w:val="18"/>
                <w:szCs w:val="14"/>
                <w:u w:val="single"/>
                <w:lang w:val="ro-RO" w:eastAsia="de-DE"/>
              </w:rPr>
              <w:t>E</w:t>
            </w:r>
            <w:r w:rsidR="00DA7EE0" w:rsidRPr="009C5F11">
              <w:rPr>
                <w:rFonts w:ascii="Times New Roman" w:hAnsi="Times New Roman" w:cs="Times New Roman"/>
                <w:sz w:val="18"/>
                <w:szCs w:val="14"/>
                <w:u w:val="single"/>
                <w:lang w:val="ro-RO" w:eastAsia="de-DE"/>
              </w:rPr>
              <w:t xml:space="preserve"> </w:t>
            </w:r>
            <w:r w:rsidR="003238C2" w:rsidRPr="009C5F11">
              <w:rPr>
                <w:rFonts w:ascii="Times New Roman" w:hAnsi="Times New Roman" w:cs="Times New Roman"/>
                <w:sz w:val="18"/>
                <w:szCs w:val="14"/>
                <w:u w:val="single"/>
                <w:lang w:val="ro-RO" w:eastAsia="de-DE"/>
              </w:rPr>
              <w:t xml:space="preserve">DIN </w:t>
            </w:r>
            <w:r w:rsidR="00E46DD7" w:rsidRPr="009C5F11">
              <w:rPr>
                <w:rFonts w:ascii="Times New Roman" w:hAnsi="Times New Roman" w:cs="Times New Roman"/>
                <w:sz w:val="18"/>
                <w:szCs w:val="14"/>
                <w:u w:val="single"/>
                <w:lang w:val="ro-RO" w:eastAsia="de-DE"/>
              </w:rPr>
              <w:t>CHIŞINĂU</w:t>
            </w:r>
            <w:r w:rsidRPr="009C5F11">
              <w:rPr>
                <w:rFonts w:ascii="Times New Roman" w:hAnsi="Times New Roman" w:cs="Times New Roman"/>
                <w:sz w:val="18"/>
                <w:szCs w:val="14"/>
                <w:u w:val="single"/>
                <w:lang w:val="ro-RO" w:eastAsia="de-DE"/>
              </w:rPr>
              <w:t>” (</w:t>
            </w:r>
            <w:r w:rsidR="00F17AC7" w:rsidRPr="009C5F11">
              <w:rPr>
                <w:rFonts w:ascii="Times New Roman" w:hAnsi="Times New Roman" w:cs="Times New Roman"/>
                <w:sz w:val="18"/>
                <w:szCs w:val="14"/>
                <w:u w:val="single"/>
                <w:lang w:val="ro-RO" w:eastAsia="de-DE"/>
              </w:rPr>
              <w:t>Banca Europeană de Investiţii</w:t>
            </w:r>
            <w:r w:rsidRPr="009C5F11">
              <w:rPr>
                <w:rFonts w:ascii="Times New Roman" w:hAnsi="Times New Roman" w:cs="Times New Roman"/>
                <w:sz w:val="18"/>
                <w:szCs w:val="14"/>
                <w:u w:val="single"/>
                <w:lang w:val="ro-RO" w:eastAsia="de-DE"/>
              </w:rPr>
              <w:t>)</w:t>
            </w:r>
            <w:r w:rsidRPr="009C5F11">
              <w:rPr>
                <w:rFonts w:ascii="Times New Roman" w:hAnsi="Times New Roman" w:cs="Times New Roman"/>
                <w:sz w:val="18"/>
                <w:szCs w:val="14"/>
                <w:lang w:val="ro-RO" w:eastAsia="de-DE"/>
              </w:rPr>
              <w:t xml:space="preserve"> </w:t>
            </w:r>
            <w:r w:rsidR="00DA7EE0" w:rsidRPr="009C5F11">
              <w:rPr>
                <w:rFonts w:ascii="Times New Roman" w:hAnsi="Times New Roman" w:cs="Times New Roman"/>
                <w:sz w:val="18"/>
                <w:szCs w:val="14"/>
                <w:lang w:val="ro-RO" w:eastAsia="de-DE"/>
              </w:rPr>
              <w:t xml:space="preserve">cu o </w:t>
            </w:r>
            <w:r w:rsidRPr="009C5F11">
              <w:rPr>
                <w:rFonts w:ascii="Times New Roman" w:hAnsi="Times New Roman" w:cs="Times New Roman"/>
                <w:sz w:val="18"/>
                <w:szCs w:val="14"/>
                <w:lang w:val="ro-RO" w:eastAsia="de-DE"/>
              </w:rPr>
              <w:t>contribu</w:t>
            </w:r>
            <w:r w:rsidR="00DA7EE0" w:rsidRPr="009C5F11">
              <w:rPr>
                <w:rFonts w:ascii="Times New Roman" w:hAnsi="Times New Roman" w:cs="Times New Roman"/>
                <w:sz w:val="18"/>
                <w:szCs w:val="14"/>
                <w:lang w:val="ro-RO" w:eastAsia="de-DE"/>
              </w:rPr>
              <w:t>ţie din partea</w:t>
            </w:r>
            <w:r w:rsidRPr="009C5F11">
              <w:rPr>
                <w:rFonts w:ascii="Times New Roman" w:hAnsi="Times New Roman" w:cs="Times New Roman"/>
                <w:sz w:val="18"/>
                <w:szCs w:val="14"/>
                <w:lang w:val="ro-RO" w:eastAsia="de-DE"/>
              </w:rPr>
              <w:t xml:space="preserve"> </w:t>
            </w:r>
            <w:r w:rsidR="00F53252" w:rsidRPr="009C5F11">
              <w:rPr>
                <w:rFonts w:ascii="Times New Roman" w:hAnsi="Times New Roman" w:cs="Times New Roman"/>
                <w:sz w:val="18"/>
                <w:szCs w:val="14"/>
                <w:lang w:val="ro-RO" w:eastAsia="de-DE"/>
              </w:rPr>
              <w:t>Primări</w:t>
            </w:r>
            <w:r w:rsidR="00DA7EE0" w:rsidRPr="009C5F11">
              <w:rPr>
                <w:rFonts w:ascii="Times New Roman" w:hAnsi="Times New Roman" w:cs="Times New Roman"/>
                <w:sz w:val="18"/>
                <w:szCs w:val="14"/>
                <w:lang w:val="ro-RO" w:eastAsia="de-DE"/>
              </w:rPr>
              <w:t>ei</w:t>
            </w:r>
            <w:r w:rsidR="00F53252" w:rsidRPr="009C5F11">
              <w:rPr>
                <w:rFonts w:ascii="Times New Roman" w:hAnsi="Times New Roman" w:cs="Times New Roman"/>
                <w:sz w:val="18"/>
                <w:szCs w:val="14"/>
                <w:lang w:val="ro-RO" w:eastAsia="de-DE"/>
              </w:rPr>
              <w:t xml:space="preserve"> Chişinău</w:t>
            </w:r>
            <w:r w:rsidRPr="009C5F11">
              <w:rPr>
                <w:rFonts w:ascii="Times New Roman" w:hAnsi="Times New Roman" w:cs="Times New Roman"/>
                <w:sz w:val="18"/>
                <w:szCs w:val="14"/>
                <w:lang w:val="ro-RO" w:eastAsia="de-DE"/>
              </w:rPr>
              <w:t xml:space="preserve"> </w:t>
            </w:r>
            <w:r w:rsidR="00DA7EE0" w:rsidRPr="009C5F11">
              <w:rPr>
                <w:rFonts w:ascii="Times New Roman" w:hAnsi="Times New Roman" w:cs="Times New Roman"/>
                <w:sz w:val="18"/>
                <w:szCs w:val="14"/>
                <w:lang w:val="ro-RO" w:eastAsia="de-DE"/>
              </w:rPr>
              <w:t xml:space="preserve">vine să finanţeze, </w:t>
            </w:r>
            <w:r w:rsidR="00E05FEE" w:rsidRPr="009C5F11">
              <w:rPr>
                <w:rFonts w:ascii="Times New Roman" w:hAnsi="Times New Roman" w:cs="Times New Roman"/>
                <w:sz w:val="18"/>
                <w:szCs w:val="14"/>
                <w:lang w:val="ro-RO" w:eastAsia="de-DE"/>
              </w:rPr>
              <w:t>printre altele</w:t>
            </w:r>
            <w:r w:rsidR="00DA7EE0"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infrastructur</w:t>
            </w:r>
            <w:r w:rsidR="00DA7EE0" w:rsidRPr="009C5F11">
              <w:rPr>
                <w:rFonts w:ascii="Times New Roman" w:hAnsi="Times New Roman" w:cs="Times New Roman"/>
                <w:sz w:val="18"/>
                <w:szCs w:val="14"/>
                <w:lang w:val="ro-RO" w:eastAsia="de-DE"/>
              </w:rPr>
              <w:t xml:space="preserve">a </w:t>
            </w:r>
            <w:r w:rsidR="00E05FEE" w:rsidRPr="009C5F11">
              <w:rPr>
                <w:rFonts w:ascii="Times New Roman" w:hAnsi="Times New Roman" w:cs="Times New Roman"/>
                <w:sz w:val="18"/>
                <w:szCs w:val="14"/>
                <w:lang w:val="ro-RO" w:eastAsia="de-DE"/>
              </w:rPr>
              <w:t>de alimentare cu apa si de termoficare</w:t>
            </w:r>
            <w:r w:rsidR="00DA7EE0" w:rsidRPr="009C5F11">
              <w:rPr>
                <w:rFonts w:ascii="Times New Roman" w:hAnsi="Times New Roman" w:cs="Times New Roman"/>
                <w:sz w:val="18"/>
                <w:szCs w:val="14"/>
                <w:lang w:val="ro-RO" w:eastAsia="de-DE"/>
              </w:rPr>
              <w:t xml:space="preserve"> </w:t>
            </w:r>
            <w:r w:rsidR="003238C2" w:rsidRPr="009C5F11">
              <w:rPr>
                <w:rFonts w:ascii="Times New Roman" w:hAnsi="Times New Roman" w:cs="Times New Roman"/>
                <w:sz w:val="18"/>
                <w:szCs w:val="14"/>
                <w:lang w:val="ro-RO" w:eastAsia="de-DE"/>
              </w:rPr>
              <w:t xml:space="preserve">de </w:t>
            </w:r>
            <w:r w:rsidR="00DA7EE0" w:rsidRPr="009C5F11">
              <w:rPr>
                <w:rFonts w:ascii="Times New Roman" w:hAnsi="Times New Roman" w:cs="Times New Roman"/>
                <w:sz w:val="18"/>
                <w:szCs w:val="14"/>
                <w:lang w:val="ro-RO" w:eastAsia="de-DE"/>
              </w:rPr>
              <w:t>pe străzile selectate.</w:t>
            </w:r>
            <w:r w:rsidRPr="009C5F11">
              <w:rPr>
                <w:rFonts w:ascii="Times New Roman" w:hAnsi="Times New Roman" w:cs="Times New Roman"/>
                <w:sz w:val="18"/>
                <w:szCs w:val="14"/>
                <w:lang w:val="ro-RO" w:eastAsia="de-DE"/>
              </w:rPr>
              <w:t xml:space="preserve"> </w:t>
            </w:r>
          </w:p>
          <w:p w14:paraId="0B996F67"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b/>
                <w:sz w:val="18"/>
                <w:szCs w:val="14"/>
                <w:lang w:val="ro-RO" w:eastAsia="de-DE"/>
              </w:rPr>
            </w:pPr>
          </w:p>
          <w:p w14:paraId="18538BB3" w14:textId="77777777" w:rsidR="00936847" w:rsidRPr="009C5F11" w:rsidRDefault="00E46DD7" w:rsidP="00430626">
            <w:pPr>
              <w:tabs>
                <w:tab w:val="left" w:pos="1440"/>
                <w:tab w:val="left" w:pos="5040"/>
                <w:tab w:val="right" w:pos="8504"/>
              </w:tabs>
              <w:spacing w:before="40"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REGIUNEA NORD</w:t>
            </w:r>
          </w:p>
          <w:p w14:paraId="58231E3A" w14:textId="77777777" w:rsidR="00936847" w:rsidRPr="009C5F11" w:rsidRDefault="00CD7240"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Proiectul</w:t>
            </w:r>
            <w:r w:rsidR="00936847" w:rsidRPr="009C5F11">
              <w:rPr>
                <w:rFonts w:ascii="Times New Roman" w:hAnsi="Times New Roman" w:cs="Times New Roman"/>
                <w:sz w:val="18"/>
                <w:szCs w:val="14"/>
                <w:lang w:val="ro-RO" w:eastAsia="de-DE"/>
              </w:rPr>
              <w:t xml:space="preserve"> </w:t>
            </w:r>
            <w:r w:rsidR="009D5677" w:rsidRPr="009C5F11">
              <w:rPr>
                <w:rFonts w:ascii="Times New Roman" w:hAnsi="Times New Roman" w:cs="Times New Roman"/>
                <w:sz w:val="18"/>
                <w:szCs w:val="14"/>
                <w:u w:val="single"/>
                <w:lang w:val="ro-RO" w:eastAsia="de-DE"/>
              </w:rPr>
              <w:t>regional sectorial de alimentare cu apă și de canalizare pentru Regiunea de dezvoltare Nord</w:t>
            </w:r>
            <w:r w:rsidR="00E05FEE" w:rsidRPr="009C5F11">
              <w:rPr>
                <w:rFonts w:ascii="Times New Roman" w:hAnsi="Times New Roman" w:cs="Times New Roman"/>
                <w:sz w:val="18"/>
                <w:szCs w:val="14"/>
                <w:u w:val="single"/>
                <w:lang w:val="ro-RO" w:eastAsia="de-DE"/>
              </w:rPr>
              <w:t xml:space="preserve"> </w:t>
            </w:r>
            <w:r w:rsidR="009D5677" w:rsidRPr="009C5F11">
              <w:rPr>
                <w:rFonts w:ascii="Times New Roman" w:hAnsi="Times New Roman" w:cs="Times New Roman"/>
                <w:sz w:val="18"/>
                <w:szCs w:val="14"/>
                <w:u w:val="single"/>
                <w:lang w:val="ro-RO" w:eastAsia="de-DE"/>
              </w:rPr>
              <w:t xml:space="preserve">/ </w:t>
            </w:r>
            <w:r w:rsidR="00936847" w:rsidRPr="009C5F11">
              <w:rPr>
                <w:rFonts w:ascii="Times New Roman" w:hAnsi="Times New Roman" w:cs="Times New Roman"/>
                <w:sz w:val="18"/>
                <w:szCs w:val="14"/>
                <w:u w:val="single"/>
                <w:lang w:val="ro-RO" w:eastAsia="de-DE"/>
              </w:rPr>
              <w:t xml:space="preserve">NORTH MOLDOVA WATER </w:t>
            </w:r>
            <w:r w:rsidR="00F8444F" w:rsidRPr="009C5F11">
              <w:rPr>
                <w:rFonts w:ascii="Times New Roman" w:hAnsi="Times New Roman" w:cs="Times New Roman"/>
                <w:sz w:val="18"/>
                <w:szCs w:val="14"/>
                <w:u w:val="single"/>
                <w:lang w:val="ro-RO" w:eastAsia="de-DE"/>
              </w:rPr>
              <w:t>va</w:t>
            </w:r>
            <w:r w:rsidR="00F8444F" w:rsidRPr="009C5F11">
              <w:rPr>
                <w:rFonts w:ascii="Times New Roman" w:hAnsi="Times New Roman" w:cs="Times New Roman"/>
                <w:sz w:val="18"/>
                <w:szCs w:val="14"/>
                <w:lang w:val="ro-RO" w:eastAsia="de-DE"/>
              </w:rPr>
              <w:t xml:space="preserve"> susţine un program investiţional prioritar pentru reabilitarea sistemelor de alimentare cu apă şi modernizarea staţiilor de epurare a apelor uzate </w:t>
            </w:r>
            <w:r w:rsidR="00321CD5" w:rsidRPr="009C5F11">
              <w:rPr>
                <w:rFonts w:ascii="Times New Roman" w:hAnsi="Times New Roman" w:cs="Times New Roman"/>
                <w:sz w:val="18"/>
                <w:szCs w:val="14"/>
                <w:lang w:val="ro-RO" w:eastAsia="de-DE"/>
              </w:rPr>
              <w:t xml:space="preserve">în </w:t>
            </w:r>
            <w:r w:rsidR="00F8444F" w:rsidRPr="009C5F11">
              <w:rPr>
                <w:rFonts w:ascii="Times New Roman" w:hAnsi="Times New Roman" w:cs="Times New Roman"/>
                <w:sz w:val="18"/>
                <w:szCs w:val="14"/>
                <w:lang w:val="ro-RO" w:eastAsia="de-DE"/>
              </w:rPr>
              <w:t>regiunea de Nord a</w:t>
            </w:r>
            <w:r w:rsidR="00137156" w:rsidRPr="009C5F11">
              <w:rPr>
                <w:rFonts w:ascii="Times New Roman" w:hAnsi="Times New Roman" w:cs="Times New Roman"/>
                <w:sz w:val="18"/>
                <w:szCs w:val="14"/>
                <w:lang w:val="ro-RO" w:eastAsia="de-DE"/>
              </w:rPr>
              <w:t xml:space="preserve"> Republicii Moldova</w:t>
            </w:r>
            <w:r w:rsidR="0093684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Investiţia</w:t>
            </w:r>
            <w:r w:rsidR="00936847" w:rsidRPr="009C5F11">
              <w:rPr>
                <w:rFonts w:ascii="Times New Roman" w:hAnsi="Times New Roman" w:cs="Times New Roman"/>
                <w:sz w:val="18"/>
                <w:szCs w:val="14"/>
                <w:lang w:val="ro-RO" w:eastAsia="de-DE"/>
              </w:rPr>
              <w:t xml:space="preserve"> </w:t>
            </w:r>
            <w:r w:rsidR="003719BD" w:rsidRPr="009C5F11">
              <w:rPr>
                <w:rFonts w:ascii="Times New Roman" w:hAnsi="Times New Roman" w:cs="Times New Roman"/>
                <w:sz w:val="18"/>
                <w:szCs w:val="14"/>
                <w:lang w:val="ro-RO" w:eastAsia="de-DE"/>
              </w:rPr>
              <w:t>va permite</w:t>
            </w:r>
            <w:r w:rsidR="0093684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 xml:space="preserve">dezvoltarea unui sistem regional de alimentare cu apă în partea de nord a Republicii </w:t>
            </w:r>
            <w:r w:rsidR="00936847" w:rsidRPr="009C5F11">
              <w:rPr>
                <w:rFonts w:ascii="Times New Roman" w:hAnsi="Times New Roman" w:cs="Times New Roman"/>
                <w:sz w:val="18"/>
                <w:szCs w:val="14"/>
                <w:lang w:val="ro-RO" w:eastAsia="de-DE"/>
              </w:rPr>
              <w:t>Moldova</w:t>
            </w:r>
            <w:r w:rsidR="009D567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 xml:space="preserve">pe baza conductei existente </w:t>
            </w:r>
            <w:r w:rsidR="00936847" w:rsidRPr="009C5F11">
              <w:rPr>
                <w:rFonts w:ascii="Times New Roman" w:hAnsi="Times New Roman" w:cs="Times New Roman"/>
                <w:sz w:val="18"/>
                <w:szCs w:val="14"/>
                <w:lang w:val="ro-RO" w:eastAsia="de-DE"/>
              </w:rPr>
              <w:t>Soroca-</w:t>
            </w:r>
            <w:r w:rsidR="00210C2C" w:rsidRPr="009C5F11">
              <w:rPr>
                <w:rFonts w:ascii="Times New Roman" w:hAnsi="Times New Roman" w:cs="Times New Roman"/>
                <w:sz w:val="18"/>
                <w:szCs w:val="14"/>
                <w:lang w:val="ro-RO" w:eastAsia="de-DE"/>
              </w:rPr>
              <w:t>Bălţi</w:t>
            </w:r>
            <w:r w:rsidR="00936847" w:rsidRPr="009C5F11">
              <w:rPr>
                <w:rFonts w:ascii="Times New Roman" w:hAnsi="Times New Roman" w:cs="Times New Roman"/>
                <w:sz w:val="18"/>
                <w:szCs w:val="14"/>
                <w:lang w:val="ro-RO" w:eastAsia="de-DE"/>
              </w:rPr>
              <w:t xml:space="preserve"> (SBP)</w:t>
            </w:r>
            <w:r w:rsidR="00321CD5" w:rsidRPr="009C5F11">
              <w:rPr>
                <w:rFonts w:ascii="Times New Roman" w:hAnsi="Times New Roman" w:cs="Times New Roman"/>
                <w:sz w:val="18"/>
                <w:szCs w:val="14"/>
                <w:lang w:val="ro-RO" w:eastAsia="de-DE"/>
              </w:rPr>
              <w:t xml:space="preserve"> şi </w:t>
            </w:r>
            <w:r w:rsidR="003719BD" w:rsidRPr="009C5F11">
              <w:rPr>
                <w:rFonts w:ascii="Times New Roman" w:hAnsi="Times New Roman" w:cs="Times New Roman"/>
                <w:sz w:val="18"/>
                <w:szCs w:val="14"/>
                <w:lang w:val="ro-RO" w:eastAsia="de-DE"/>
              </w:rPr>
              <w:t>va îmbunătăţi</w:t>
            </w:r>
            <w:r w:rsidR="0093684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calitatea</w:t>
            </w:r>
            <w:r w:rsidR="00321CD5" w:rsidRPr="009C5F11">
              <w:rPr>
                <w:rFonts w:ascii="Times New Roman" w:hAnsi="Times New Roman" w:cs="Times New Roman"/>
                <w:sz w:val="18"/>
                <w:szCs w:val="14"/>
                <w:lang w:val="ro-RO" w:eastAsia="de-DE"/>
              </w:rPr>
              <w:t xml:space="preserve"> şi </w:t>
            </w:r>
            <w:r w:rsidR="00F8444F" w:rsidRPr="009C5F11">
              <w:rPr>
                <w:rFonts w:ascii="Times New Roman" w:hAnsi="Times New Roman" w:cs="Times New Roman"/>
                <w:sz w:val="18"/>
                <w:szCs w:val="14"/>
                <w:lang w:val="ro-RO" w:eastAsia="de-DE"/>
              </w:rPr>
              <w:t>eficienţa</w:t>
            </w:r>
            <w:r w:rsidR="0093684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serviciilor de alimentare cu apă şi evacuare a apelor uzate</w:t>
            </w:r>
            <w:r w:rsidR="00321CD5" w:rsidRPr="009C5F11">
              <w:rPr>
                <w:rFonts w:ascii="Times New Roman" w:hAnsi="Times New Roman" w:cs="Times New Roman"/>
                <w:sz w:val="18"/>
                <w:szCs w:val="14"/>
                <w:lang w:val="ro-RO" w:eastAsia="de-DE"/>
              </w:rPr>
              <w:t xml:space="preserve"> în </w:t>
            </w:r>
            <w:r w:rsidR="009D5677" w:rsidRPr="009C5F11">
              <w:rPr>
                <w:rFonts w:ascii="Times New Roman" w:hAnsi="Times New Roman" w:cs="Times New Roman"/>
                <w:sz w:val="18"/>
                <w:szCs w:val="14"/>
                <w:lang w:val="ro-RO" w:eastAsia="de-DE"/>
              </w:rPr>
              <w:t>zona de</w:t>
            </w:r>
            <w:r w:rsidR="00F8444F" w:rsidRPr="009C5F11">
              <w:rPr>
                <w:rFonts w:ascii="Times New Roman" w:hAnsi="Times New Roman" w:cs="Times New Roman"/>
                <w:sz w:val="18"/>
                <w:szCs w:val="14"/>
                <w:lang w:val="ro-RO" w:eastAsia="de-DE"/>
              </w:rPr>
              <w:t xml:space="preserve"> operaţiuni</w:t>
            </w:r>
            <w:r w:rsidR="0093684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 xml:space="preserve">Împrumutul va fi recreditat companiei operaţionale regionale </w:t>
            </w:r>
            <w:r w:rsidR="00936847" w:rsidRPr="009C5F11">
              <w:rPr>
                <w:rFonts w:ascii="Times New Roman" w:hAnsi="Times New Roman" w:cs="Times New Roman"/>
                <w:sz w:val="18"/>
                <w:szCs w:val="14"/>
                <w:lang w:val="ro-RO" w:eastAsia="de-DE"/>
              </w:rPr>
              <w:t xml:space="preserve">(ROC) </w:t>
            </w:r>
            <w:r w:rsidR="00F8444F" w:rsidRPr="009C5F11">
              <w:rPr>
                <w:rFonts w:ascii="Times New Roman" w:hAnsi="Times New Roman" w:cs="Times New Roman"/>
                <w:sz w:val="18"/>
                <w:szCs w:val="14"/>
                <w:lang w:val="ro-RO" w:eastAsia="de-DE"/>
              </w:rPr>
              <w:t xml:space="preserve">ce urmează a fi instituită de 7 autorităţi locale </w:t>
            </w:r>
            <w:r w:rsidR="00936847" w:rsidRPr="009C5F11">
              <w:rPr>
                <w:rFonts w:ascii="Times New Roman" w:hAnsi="Times New Roman" w:cs="Times New Roman"/>
                <w:sz w:val="18"/>
                <w:szCs w:val="14"/>
                <w:lang w:val="ro-RO" w:eastAsia="de-DE"/>
              </w:rPr>
              <w:t>(</w:t>
            </w:r>
            <w:r w:rsidR="00210C2C" w:rsidRPr="009C5F11">
              <w:rPr>
                <w:rFonts w:ascii="Times New Roman" w:hAnsi="Times New Roman" w:cs="Times New Roman"/>
                <w:sz w:val="18"/>
                <w:szCs w:val="14"/>
                <w:lang w:val="ro-RO" w:eastAsia="de-DE"/>
              </w:rPr>
              <w:t>Bălţi</w:t>
            </w:r>
            <w:r w:rsidR="00936847" w:rsidRPr="009C5F11">
              <w:rPr>
                <w:rFonts w:ascii="Times New Roman" w:hAnsi="Times New Roman" w:cs="Times New Roman"/>
                <w:sz w:val="18"/>
                <w:szCs w:val="14"/>
                <w:lang w:val="ro-RO" w:eastAsia="de-DE"/>
              </w:rPr>
              <w:t xml:space="preserve">, </w:t>
            </w:r>
            <w:r w:rsidR="005D06FD" w:rsidRPr="009C5F11">
              <w:rPr>
                <w:rFonts w:ascii="Times New Roman" w:hAnsi="Times New Roman" w:cs="Times New Roman"/>
                <w:sz w:val="18"/>
                <w:szCs w:val="14"/>
                <w:lang w:val="ro-RO" w:eastAsia="de-DE"/>
              </w:rPr>
              <w:t>Floreşti</w:t>
            </w:r>
            <w:r w:rsidR="00936847" w:rsidRPr="009C5F11">
              <w:rPr>
                <w:rFonts w:ascii="Times New Roman" w:hAnsi="Times New Roman" w:cs="Times New Roman"/>
                <w:sz w:val="18"/>
                <w:szCs w:val="14"/>
                <w:lang w:val="ro-RO" w:eastAsia="de-DE"/>
              </w:rPr>
              <w:t xml:space="preserve">, Soroca, </w:t>
            </w:r>
            <w:r w:rsidR="005D06FD" w:rsidRPr="009C5F11">
              <w:rPr>
                <w:rFonts w:ascii="Times New Roman" w:hAnsi="Times New Roman" w:cs="Times New Roman"/>
                <w:sz w:val="18"/>
                <w:szCs w:val="14"/>
                <w:lang w:val="ro-RO" w:eastAsia="de-DE"/>
              </w:rPr>
              <w:t>Sîngerei</w:t>
            </w:r>
            <w:r w:rsidR="00936847" w:rsidRPr="009C5F11">
              <w:rPr>
                <w:rFonts w:ascii="Times New Roman" w:hAnsi="Times New Roman" w:cs="Times New Roman"/>
                <w:sz w:val="18"/>
                <w:szCs w:val="14"/>
                <w:lang w:val="ro-RO" w:eastAsia="de-DE"/>
              </w:rPr>
              <w:t xml:space="preserve">, </w:t>
            </w:r>
            <w:r w:rsidR="005D06FD" w:rsidRPr="009C5F11">
              <w:rPr>
                <w:rFonts w:ascii="Times New Roman" w:hAnsi="Times New Roman" w:cs="Times New Roman"/>
                <w:sz w:val="18"/>
                <w:szCs w:val="14"/>
                <w:lang w:val="ro-RO" w:eastAsia="de-DE"/>
              </w:rPr>
              <w:t>Teleneşti</w:t>
            </w:r>
            <w:r w:rsidR="00936847" w:rsidRPr="009C5F11">
              <w:rPr>
                <w:rFonts w:ascii="Times New Roman" w:hAnsi="Times New Roman" w:cs="Times New Roman"/>
                <w:sz w:val="18"/>
                <w:szCs w:val="14"/>
                <w:lang w:val="ro-RO" w:eastAsia="de-DE"/>
              </w:rPr>
              <w:t xml:space="preserve">, </w:t>
            </w:r>
            <w:r w:rsidR="005D06FD" w:rsidRPr="009C5F11">
              <w:rPr>
                <w:rFonts w:ascii="Times New Roman" w:hAnsi="Times New Roman" w:cs="Times New Roman"/>
                <w:sz w:val="18"/>
                <w:szCs w:val="14"/>
                <w:lang w:val="ro-RO" w:eastAsia="de-DE"/>
              </w:rPr>
              <w:t>Rîşcani</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Drochia)</w:t>
            </w:r>
            <w:r w:rsidR="00321CD5" w:rsidRPr="009C5F11">
              <w:rPr>
                <w:rFonts w:ascii="Times New Roman" w:hAnsi="Times New Roman" w:cs="Times New Roman"/>
                <w:sz w:val="18"/>
                <w:szCs w:val="14"/>
                <w:lang w:val="ro-RO" w:eastAsia="de-DE"/>
              </w:rPr>
              <w:t xml:space="preserve"> şi </w:t>
            </w:r>
            <w:r w:rsidR="00F8444F" w:rsidRPr="009C5F11">
              <w:rPr>
                <w:rFonts w:ascii="Times New Roman" w:hAnsi="Times New Roman" w:cs="Times New Roman"/>
                <w:sz w:val="18"/>
                <w:szCs w:val="14"/>
                <w:lang w:val="ro-RO" w:eastAsia="de-DE"/>
              </w:rPr>
              <w:t>Ministerul Mediului</w:t>
            </w:r>
            <w:r w:rsidR="0093684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Rezultatele preconizate</w:t>
            </w:r>
            <w:r w:rsidR="00936847" w:rsidRPr="009C5F11">
              <w:rPr>
                <w:rFonts w:ascii="Times New Roman" w:hAnsi="Times New Roman" w:cs="Times New Roman"/>
                <w:sz w:val="18"/>
                <w:szCs w:val="14"/>
                <w:lang w:val="ro-RO" w:eastAsia="de-DE"/>
              </w:rPr>
              <w:t>:</w:t>
            </w:r>
          </w:p>
          <w:p w14:paraId="564B8CDB" w14:textId="77777777" w:rsidR="00936847" w:rsidRPr="009C5F11" w:rsidRDefault="003719BD" w:rsidP="00334F3B">
            <w:pPr>
              <w:numPr>
                <w:ilvl w:val="0"/>
                <w:numId w:val="105"/>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Reducerea</w:t>
            </w:r>
            <w:r w:rsidR="0093684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pierderilor fizice</w:t>
            </w:r>
            <w:r w:rsidR="0093684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în magistralele de apă</w:t>
            </w:r>
            <w:r w:rsidR="00177E9C"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w:t>
            </w:r>
            <w:r w:rsidR="00F8444F" w:rsidRPr="009C5F11">
              <w:rPr>
                <w:rFonts w:ascii="Times New Roman" w:hAnsi="Times New Roman" w:cs="Times New Roman"/>
                <w:sz w:val="18"/>
                <w:szCs w:val="14"/>
                <w:lang w:val="ro-RO" w:eastAsia="de-DE"/>
              </w:rPr>
              <w:t>reducerea captării ape</w:t>
            </w:r>
            <w:r w:rsidR="00E05FEE" w:rsidRPr="009C5F11">
              <w:rPr>
                <w:rFonts w:ascii="Times New Roman" w:hAnsi="Times New Roman" w:cs="Times New Roman"/>
                <w:sz w:val="18"/>
                <w:szCs w:val="14"/>
                <w:lang w:val="ro-RO" w:eastAsia="de-DE"/>
              </w:rPr>
              <w:t>i de rau</w:t>
            </w:r>
            <w:r w:rsidR="00F8444F" w:rsidRPr="009C5F11">
              <w:rPr>
                <w:rFonts w:ascii="Times New Roman" w:hAnsi="Times New Roman" w:cs="Times New Roman"/>
                <w:sz w:val="18"/>
                <w:szCs w:val="14"/>
                <w:lang w:val="ro-RO" w:eastAsia="de-DE"/>
              </w:rPr>
              <w:t xml:space="preserve"> pentru a furniza acelaşi volum de apă</w:t>
            </w:r>
            <w:r w:rsidR="00936847" w:rsidRPr="009C5F11">
              <w:rPr>
                <w:rFonts w:ascii="Times New Roman" w:hAnsi="Times New Roman" w:cs="Times New Roman"/>
                <w:sz w:val="18"/>
                <w:szCs w:val="14"/>
                <w:lang w:val="ro-RO" w:eastAsia="de-DE"/>
              </w:rPr>
              <w:t>);</w:t>
            </w:r>
          </w:p>
          <w:p w14:paraId="2B679C14" w14:textId="77777777" w:rsidR="00936847" w:rsidRPr="009C5F11" w:rsidRDefault="00E46DD7" w:rsidP="00334F3B">
            <w:pPr>
              <w:numPr>
                <w:ilvl w:val="0"/>
                <w:numId w:val="105"/>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r w:rsidR="0093684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pe baza utilizării pompelor mai eficiente şi furnizării unor volume mai mic</w:t>
            </w:r>
            <w:r w:rsidR="005F656D" w:rsidRPr="009C5F11">
              <w:rPr>
                <w:rFonts w:ascii="Times New Roman" w:hAnsi="Times New Roman" w:cs="Times New Roman"/>
                <w:sz w:val="18"/>
                <w:szCs w:val="14"/>
                <w:lang w:val="ro-RO" w:eastAsia="de-DE"/>
              </w:rPr>
              <w:t>i</w:t>
            </w:r>
            <w:r w:rsidR="00F8444F" w:rsidRPr="009C5F11">
              <w:rPr>
                <w:rFonts w:ascii="Times New Roman" w:hAnsi="Times New Roman" w:cs="Times New Roman"/>
                <w:sz w:val="18"/>
                <w:szCs w:val="14"/>
                <w:lang w:val="ro-RO" w:eastAsia="de-DE"/>
              </w:rPr>
              <w:t xml:space="preserve"> de apă datorită reducerii scurgerilor de apă. </w:t>
            </w:r>
          </w:p>
          <w:p w14:paraId="40DB8208"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p>
          <w:p w14:paraId="401853C8" w14:textId="77777777" w:rsidR="00936847" w:rsidRPr="009C5F11" w:rsidRDefault="00E46DD7"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PROIECTE ÎN ALTE MUNICIPII</w:t>
            </w:r>
          </w:p>
          <w:p w14:paraId="0053088F" w14:textId="77777777" w:rsidR="00936847" w:rsidRPr="009C5F11" w:rsidRDefault="001B1A25"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 conformitate cu</w:t>
            </w:r>
            <w:r w:rsidR="00936847" w:rsidRPr="009C5F11">
              <w:rPr>
                <w:rFonts w:ascii="Times New Roman" w:hAnsi="Times New Roman" w:cs="Times New Roman"/>
                <w:sz w:val="18"/>
                <w:szCs w:val="14"/>
                <w:lang w:val="ro-RO" w:eastAsia="de-DE"/>
              </w:rPr>
              <w:t xml:space="preserve"> </w:t>
            </w:r>
            <w:r w:rsidR="00F8444F" w:rsidRPr="009C5F11">
              <w:rPr>
                <w:rFonts w:ascii="Times New Roman" w:hAnsi="Times New Roman" w:cs="Times New Roman"/>
                <w:sz w:val="18"/>
                <w:szCs w:val="14"/>
                <w:lang w:val="ro-RO" w:eastAsia="de-DE"/>
              </w:rPr>
              <w:t>PLANUL DE ACŢIUNI</w:t>
            </w:r>
            <w:r w:rsidR="00936847" w:rsidRPr="009C5F11">
              <w:rPr>
                <w:rFonts w:ascii="Times New Roman" w:hAnsi="Times New Roman" w:cs="Times New Roman"/>
                <w:sz w:val="18"/>
                <w:szCs w:val="14"/>
                <w:lang w:val="ro-RO" w:eastAsia="de-DE"/>
              </w:rPr>
              <w:t xml:space="preserve"> 2014-2018 </w:t>
            </w:r>
            <w:r w:rsidR="00F8444F" w:rsidRPr="009C5F11">
              <w:rPr>
                <w:rFonts w:ascii="Times New Roman" w:hAnsi="Times New Roman" w:cs="Times New Roman"/>
                <w:sz w:val="18"/>
                <w:szCs w:val="14"/>
                <w:lang w:val="ro-RO" w:eastAsia="de-DE"/>
              </w:rPr>
              <w:t xml:space="preserve">PENTRU </w:t>
            </w:r>
            <w:r w:rsidR="00F8444F" w:rsidRPr="009C5F11">
              <w:rPr>
                <w:rFonts w:ascii="Times New Roman" w:hAnsi="Times New Roman" w:cs="Times New Roman"/>
                <w:sz w:val="18"/>
                <w:szCs w:val="14"/>
                <w:lang w:val="ro-RO" w:eastAsia="de-DE"/>
              </w:rPr>
              <w:lastRenderedPageBreak/>
              <w:t>IMPLEMENTAREA STRATEGIEI DE ALIMENTARE CU APĂ ŞI SANITAŢIE</w:t>
            </w:r>
            <w:r w:rsidR="00936847" w:rsidRPr="009C5F11">
              <w:rPr>
                <w:rFonts w:ascii="Times New Roman" w:hAnsi="Times New Roman" w:cs="Times New Roman"/>
                <w:sz w:val="18"/>
                <w:szCs w:val="14"/>
                <w:lang w:val="ro-RO" w:eastAsia="de-DE"/>
              </w:rPr>
              <w:t xml:space="preserve"> (2014-2028), </w:t>
            </w:r>
            <w:r w:rsidR="009D5677" w:rsidRPr="009C5F11">
              <w:rPr>
                <w:rFonts w:ascii="Times New Roman" w:hAnsi="Times New Roman" w:cs="Times New Roman"/>
                <w:sz w:val="18"/>
                <w:szCs w:val="14"/>
                <w:lang w:val="ro-RO" w:eastAsia="de-DE"/>
              </w:rPr>
              <w:t>sunt</w:t>
            </w:r>
            <w:r w:rsidR="00936847" w:rsidRPr="009C5F11">
              <w:rPr>
                <w:rFonts w:ascii="Times New Roman" w:hAnsi="Times New Roman" w:cs="Times New Roman"/>
                <w:sz w:val="18"/>
                <w:szCs w:val="14"/>
                <w:lang w:val="ro-RO" w:eastAsia="de-DE"/>
              </w:rPr>
              <w:t xml:space="preserve"> relevant</w:t>
            </w:r>
            <w:r w:rsidR="009D5677" w:rsidRPr="009C5F11">
              <w:rPr>
                <w:rFonts w:ascii="Times New Roman" w:hAnsi="Times New Roman" w:cs="Times New Roman"/>
                <w:sz w:val="18"/>
                <w:szCs w:val="14"/>
                <w:lang w:val="ro-RO" w:eastAsia="de-DE"/>
              </w:rPr>
              <w:t>e următoarele măsuri</w:t>
            </w:r>
            <w:r w:rsidR="00936847" w:rsidRPr="009C5F11">
              <w:rPr>
                <w:rFonts w:ascii="Times New Roman" w:hAnsi="Times New Roman" w:cs="Times New Roman"/>
                <w:sz w:val="18"/>
                <w:szCs w:val="14"/>
                <w:lang w:val="ro-RO" w:eastAsia="de-DE"/>
              </w:rPr>
              <w:t>:</w:t>
            </w:r>
          </w:p>
          <w:p w14:paraId="0C7C14D1" w14:textId="77777777" w:rsidR="00936847" w:rsidRPr="009C5F11" w:rsidRDefault="00F8444F" w:rsidP="00334F3B">
            <w:pPr>
              <w:numPr>
                <w:ilvl w:val="0"/>
                <w:numId w:val="106"/>
              </w:numPr>
              <w:tabs>
                <w:tab w:val="left" w:pos="702"/>
                <w:tab w:val="left" w:pos="5040"/>
                <w:tab w:val="right" w:pos="8504"/>
              </w:tabs>
              <w:spacing w:before="40" w:after="0" w:line="240" w:lineRule="auto"/>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Reabilitarea</w:t>
            </w:r>
            <w:r w:rsidR="00936847" w:rsidRPr="009C5F11">
              <w:rPr>
                <w:rFonts w:ascii="Times New Roman" w:hAnsi="Times New Roman" w:cs="Times New Roman"/>
                <w:sz w:val="18"/>
                <w:szCs w:val="14"/>
                <w:u w:val="single"/>
                <w:lang w:val="ro-RO" w:eastAsia="de-DE"/>
              </w:rPr>
              <w:t xml:space="preserve"> </w:t>
            </w:r>
            <w:r w:rsidR="00FC7371" w:rsidRPr="009C5F11">
              <w:rPr>
                <w:rFonts w:ascii="Times New Roman" w:hAnsi="Times New Roman" w:cs="Times New Roman"/>
                <w:sz w:val="18"/>
                <w:szCs w:val="14"/>
                <w:u w:val="single"/>
                <w:lang w:val="ro-RO" w:eastAsia="de-DE"/>
              </w:rPr>
              <w:t xml:space="preserve">staţiilor de pompare ale sistemului de alimentare cu apă pe conducta </w:t>
            </w:r>
            <w:r w:rsidR="00936847" w:rsidRPr="009C5F11">
              <w:rPr>
                <w:rFonts w:ascii="Times New Roman" w:hAnsi="Times New Roman" w:cs="Times New Roman"/>
                <w:sz w:val="18"/>
                <w:szCs w:val="14"/>
                <w:u w:val="single"/>
                <w:lang w:val="ro-RO" w:eastAsia="de-DE"/>
              </w:rPr>
              <w:t>Soroca-</w:t>
            </w:r>
            <w:r w:rsidR="00210C2C" w:rsidRPr="009C5F11">
              <w:rPr>
                <w:rFonts w:ascii="Times New Roman" w:hAnsi="Times New Roman" w:cs="Times New Roman"/>
                <w:sz w:val="18"/>
                <w:szCs w:val="14"/>
                <w:u w:val="single"/>
                <w:lang w:val="ro-RO" w:eastAsia="de-DE"/>
              </w:rPr>
              <w:t>Bălţi</w:t>
            </w:r>
            <w:r w:rsidR="00936847" w:rsidRPr="009C5F11">
              <w:rPr>
                <w:rFonts w:ascii="Times New Roman" w:hAnsi="Times New Roman" w:cs="Times New Roman"/>
                <w:sz w:val="18"/>
                <w:szCs w:val="14"/>
                <w:u w:val="single"/>
                <w:lang w:val="ro-RO" w:eastAsia="de-DE"/>
              </w:rPr>
              <w:t xml:space="preserve"> </w:t>
            </w:r>
            <w:r w:rsidR="00FC7371" w:rsidRPr="009C5F11">
              <w:rPr>
                <w:rFonts w:ascii="Times New Roman" w:hAnsi="Times New Roman" w:cs="Times New Roman"/>
                <w:sz w:val="18"/>
                <w:szCs w:val="14"/>
                <w:u w:val="single"/>
                <w:lang w:val="ro-RO" w:eastAsia="de-DE"/>
              </w:rPr>
              <w:t>–</w:t>
            </w:r>
            <w:r w:rsidR="00936847" w:rsidRPr="009C5F11">
              <w:rPr>
                <w:rFonts w:ascii="Times New Roman" w:hAnsi="Times New Roman" w:cs="Times New Roman"/>
                <w:sz w:val="18"/>
                <w:szCs w:val="14"/>
                <w:u w:val="single"/>
                <w:lang w:val="ro-RO" w:eastAsia="de-DE"/>
              </w:rPr>
              <w:t xml:space="preserve"> 2016</w:t>
            </w:r>
            <w:r w:rsidR="00FC7371" w:rsidRPr="009C5F11">
              <w:rPr>
                <w:rFonts w:ascii="Times New Roman" w:hAnsi="Times New Roman" w:cs="Times New Roman"/>
                <w:sz w:val="18"/>
                <w:szCs w:val="14"/>
                <w:u w:val="single"/>
                <w:lang w:val="ro-RO" w:eastAsia="de-DE"/>
              </w:rPr>
              <w:t>;</w:t>
            </w:r>
          </w:p>
          <w:p w14:paraId="0F37589E"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p>
          <w:p w14:paraId="594F5A36" w14:textId="77777777" w:rsidR="00936847" w:rsidRPr="009C5F11" w:rsidRDefault="005F656D"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PROGRAMUL DE SU</w:t>
            </w:r>
            <w:r w:rsidR="00D042F1" w:rsidRPr="009C5F11">
              <w:rPr>
                <w:rFonts w:ascii="Times New Roman" w:hAnsi="Times New Roman" w:cs="Times New Roman"/>
                <w:sz w:val="18"/>
                <w:szCs w:val="14"/>
                <w:lang w:val="ro-RO" w:eastAsia="de-DE"/>
              </w:rPr>
              <w:t>STINERE</w:t>
            </w:r>
            <w:r w:rsidRPr="009C5F11">
              <w:rPr>
                <w:rFonts w:ascii="Times New Roman" w:hAnsi="Times New Roman" w:cs="Times New Roman"/>
                <w:sz w:val="18"/>
                <w:szCs w:val="14"/>
                <w:lang w:val="ro-RO" w:eastAsia="de-DE"/>
              </w:rPr>
              <w:t xml:space="preserve"> A POLITICII SECTORIALE ÎN DOMENIUL </w:t>
            </w:r>
            <w:r w:rsidR="00D042F1" w:rsidRPr="009C5F11">
              <w:rPr>
                <w:rFonts w:ascii="Times New Roman" w:hAnsi="Times New Roman" w:cs="Times New Roman"/>
                <w:sz w:val="18"/>
                <w:szCs w:val="14"/>
                <w:lang w:val="ro-RO" w:eastAsia="de-DE"/>
              </w:rPr>
              <w:t xml:space="preserve">ALIMENTARII CU </w:t>
            </w:r>
            <w:r w:rsidRPr="009C5F11">
              <w:rPr>
                <w:rFonts w:ascii="Times New Roman" w:hAnsi="Times New Roman" w:cs="Times New Roman"/>
                <w:sz w:val="18"/>
                <w:szCs w:val="14"/>
                <w:lang w:val="ro-RO" w:eastAsia="de-DE"/>
              </w:rPr>
              <w:t>AP</w:t>
            </w:r>
            <w:r w:rsidR="00D042F1" w:rsidRPr="009C5F11">
              <w:rPr>
                <w:rFonts w:ascii="Times New Roman" w:hAnsi="Times New Roman" w:cs="Times New Roman"/>
                <w:sz w:val="18"/>
                <w:szCs w:val="14"/>
                <w:lang w:val="ro-RO" w:eastAsia="de-DE"/>
              </w:rPr>
              <w:t>A</w:t>
            </w:r>
            <w:r w:rsidRPr="009C5F11">
              <w:rPr>
                <w:rFonts w:ascii="Times New Roman" w:hAnsi="Times New Roman" w:cs="Times New Roman"/>
                <w:sz w:val="18"/>
                <w:szCs w:val="14"/>
                <w:lang w:val="ro-RO" w:eastAsia="de-DE"/>
              </w:rPr>
              <w:t xml:space="preserve"> finanţat de</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UE</w:t>
            </w:r>
            <w:r w:rsidR="00936847" w:rsidRPr="009C5F11">
              <w:rPr>
                <w:rFonts w:ascii="Times New Roman" w:hAnsi="Times New Roman" w:cs="Times New Roman"/>
                <w:sz w:val="18"/>
                <w:szCs w:val="14"/>
                <w:lang w:val="ro-RO" w:eastAsia="de-DE"/>
              </w:rPr>
              <w:t xml:space="preserve"> include </w:t>
            </w:r>
            <w:r w:rsidR="00FC7371" w:rsidRPr="009C5F11">
              <w:rPr>
                <w:rFonts w:ascii="Times New Roman" w:hAnsi="Times New Roman" w:cs="Times New Roman"/>
                <w:sz w:val="18"/>
                <w:szCs w:val="14"/>
                <w:lang w:val="ro-RO" w:eastAsia="de-DE"/>
              </w:rPr>
              <w:t>3</w:t>
            </w:r>
            <w:r w:rsidR="00936847" w:rsidRPr="009C5F11">
              <w:rPr>
                <w:rFonts w:ascii="Times New Roman" w:hAnsi="Times New Roman" w:cs="Times New Roman"/>
                <w:sz w:val="18"/>
                <w:szCs w:val="14"/>
                <w:lang w:val="ro-RO" w:eastAsia="de-DE"/>
              </w:rPr>
              <w:t xml:space="preserve"> </w:t>
            </w:r>
            <w:r w:rsidR="00E10BE5" w:rsidRPr="009C5F11">
              <w:rPr>
                <w:rFonts w:ascii="Times New Roman" w:hAnsi="Times New Roman" w:cs="Times New Roman"/>
                <w:sz w:val="18"/>
                <w:szCs w:val="14"/>
                <w:lang w:val="ro-RO" w:eastAsia="de-DE"/>
              </w:rPr>
              <w:t>componente</w:t>
            </w:r>
            <w:r w:rsidR="00936847" w:rsidRPr="009C5F11">
              <w:rPr>
                <w:rFonts w:ascii="Times New Roman" w:hAnsi="Times New Roman" w:cs="Times New Roman"/>
                <w:sz w:val="18"/>
                <w:szCs w:val="14"/>
                <w:lang w:val="ro-RO" w:eastAsia="de-DE"/>
              </w:rPr>
              <w:t>:</w:t>
            </w:r>
          </w:p>
          <w:p w14:paraId="5444BCBE" w14:textId="77777777" w:rsidR="00936847" w:rsidRPr="009C5F11" w:rsidRDefault="003D1233" w:rsidP="00334F3B">
            <w:pPr>
              <w:numPr>
                <w:ilvl w:val="0"/>
                <w:numId w:val="106"/>
              </w:numPr>
              <w:tabs>
                <w:tab w:val="left" w:pos="702"/>
                <w:tab w:val="left" w:pos="5040"/>
                <w:tab w:val="right" w:pos="8504"/>
              </w:tabs>
              <w:spacing w:before="40"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Programul de su</w:t>
            </w:r>
            <w:r w:rsidR="00D042F1" w:rsidRPr="009C5F11">
              <w:rPr>
                <w:rFonts w:ascii="Times New Roman" w:hAnsi="Times New Roman" w:cs="Times New Roman"/>
                <w:sz w:val="18"/>
                <w:szCs w:val="14"/>
                <w:u w:val="single"/>
                <w:lang w:val="ro-RO" w:eastAsia="de-DE"/>
              </w:rPr>
              <w:t>stinere</w:t>
            </w:r>
            <w:r w:rsidRPr="009C5F11">
              <w:rPr>
                <w:rFonts w:ascii="Times New Roman" w:hAnsi="Times New Roman" w:cs="Times New Roman"/>
                <w:sz w:val="18"/>
                <w:szCs w:val="14"/>
                <w:u w:val="single"/>
                <w:lang w:val="ro-RO" w:eastAsia="de-DE"/>
              </w:rPr>
              <w:t xml:space="preserve"> bugetar</w:t>
            </w:r>
            <w:r w:rsidR="00D042F1" w:rsidRPr="009C5F11">
              <w:rPr>
                <w:rFonts w:ascii="Times New Roman" w:hAnsi="Times New Roman" w:cs="Times New Roman"/>
                <w:sz w:val="18"/>
                <w:szCs w:val="14"/>
                <w:u w:val="single"/>
                <w:lang w:val="ro-RO" w:eastAsia="de-DE"/>
              </w:rPr>
              <w:t>a</w:t>
            </w:r>
            <w:r w:rsidRPr="009C5F11">
              <w:rPr>
                <w:rFonts w:ascii="Times New Roman" w:hAnsi="Times New Roman" w:cs="Times New Roman"/>
                <w:sz w:val="18"/>
                <w:szCs w:val="14"/>
                <w:u w:val="single"/>
                <w:lang w:val="ro-RO" w:eastAsia="de-DE"/>
              </w:rPr>
              <w:t xml:space="preserve"> sectorial</w:t>
            </w:r>
            <w:r w:rsidR="00D042F1" w:rsidRPr="009C5F11">
              <w:rPr>
                <w:rFonts w:ascii="Times New Roman" w:hAnsi="Times New Roman" w:cs="Times New Roman"/>
                <w:sz w:val="18"/>
                <w:szCs w:val="14"/>
                <w:u w:val="single"/>
                <w:lang w:val="ro-RO" w:eastAsia="de-DE"/>
              </w:rPr>
              <w:t>a</w:t>
            </w:r>
            <w:r w:rsidRPr="009C5F11">
              <w:rPr>
                <w:rFonts w:ascii="Times New Roman" w:hAnsi="Times New Roman" w:cs="Times New Roman"/>
                <w:sz w:val="18"/>
                <w:szCs w:val="14"/>
                <w:u w:val="single"/>
                <w:lang w:val="ro-RO" w:eastAsia="de-DE"/>
              </w:rPr>
              <w:t xml:space="preserve"> în domeniul </w:t>
            </w:r>
            <w:r w:rsidR="00D042F1" w:rsidRPr="009C5F11">
              <w:rPr>
                <w:rFonts w:ascii="Times New Roman" w:hAnsi="Times New Roman" w:cs="Times New Roman"/>
                <w:sz w:val="18"/>
                <w:szCs w:val="14"/>
                <w:u w:val="single"/>
                <w:lang w:val="ro-RO" w:eastAsia="de-DE"/>
              </w:rPr>
              <w:t xml:space="preserve">alimentarii cu </w:t>
            </w:r>
            <w:r w:rsidRPr="009C5F11">
              <w:rPr>
                <w:rFonts w:ascii="Times New Roman" w:hAnsi="Times New Roman" w:cs="Times New Roman"/>
                <w:sz w:val="18"/>
                <w:szCs w:val="14"/>
                <w:u w:val="single"/>
                <w:lang w:val="ro-RO" w:eastAsia="de-DE"/>
              </w:rPr>
              <w:t>ap</w:t>
            </w:r>
            <w:r w:rsidR="00D042F1" w:rsidRPr="009C5F11">
              <w:rPr>
                <w:rFonts w:ascii="Times New Roman" w:hAnsi="Times New Roman" w:cs="Times New Roman"/>
                <w:sz w:val="18"/>
                <w:szCs w:val="14"/>
                <w:u w:val="single"/>
                <w:lang w:val="ro-RO" w:eastAsia="de-DE"/>
              </w:rPr>
              <w:t>a</w:t>
            </w:r>
            <w:r w:rsidRPr="009C5F11">
              <w:rPr>
                <w:rFonts w:ascii="Times New Roman" w:hAnsi="Times New Roman" w:cs="Times New Roman"/>
                <w:sz w:val="18"/>
                <w:szCs w:val="14"/>
                <w:u w:val="single"/>
                <w:lang w:val="ro-RO" w:eastAsia="de-DE"/>
              </w:rPr>
              <w:t xml:space="preserve"> în sumă de</w:t>
            </w:r>
            <w:r w:rsidR="00936847" w:rsidRPr="009C5F11">
              <w:rPr>
                <w:rFonts w:ascii="Times New Roman" w:hAnsi="Times New Roman" w:cs="Times New Roman"/>
                <w:sz w:val="18"/>
                <w:szCs w:val="14"/>
                <w:u w:val="single"/>
                <w:lang w:val="ro-RO" w:eastAsia="de-DE"/>
              </w:rPr>
              <w:t xml:space="preserve"> 42 </w:t>
            </w:r>
            <w:r w:rsidR="00421FA7" w:rsidRPr="009C5F11">
              <w:rPr>
                <w:rFonts w:ascii="Times New Roman" w:hAnsi="Times New Roman" w:cs="Times New Roman"/>
                <w:sz w:val="18"/>
                <w:szCs w:val="14"/>
                <w:u w:val="single"/>
                <w:lang w:val="ro-RO" w:eastAsia="de-DE"/>
              </w:rPr>
              <w:t>milioane euro</w:t>
            </w:r>
            <w:r w:rsidRPr="009C5F11">
              <w:rPr>
                <w:rFonts w:ascii="Times New Roman" w:hAnsi="Times New Roman" w:cs="Times New Roman"/>
                <w:sz w:val="18"/>
                <w:szCs w:val="14"/>
                <w:u w:val="single"/>
                <w:lang w:val="ro-RO" w:eastAsia="de-DE"/>
              </w:rPr>
              <w:t>;</w:t>
            </w:r>
          </w:p>
          <w:p w14:paraId="6C09B590" w14:textId="77777777" w:rsidR="00936847" w:rsidRPr="009C5F11" w:rsidRDefault="003D1233" w:rsidP="00334F3B">
            <w:pPr>
              <w:numPr>
                <w:ilvl w:val="0"/>
                <w:numId w:val="106"/>
              </w:numPr>
              <w:tabs>
                <w:tab w:val="left" w:pos="702"/>
                <w:tab w:val="left" w:pos="5040"/>
                <w:tab w:val="right" w:pos="8504"/>
              </w:tabs>
              <w:spacing w:before="40"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Reabilitarea sistemului de alimentare cu apă de la </w:t>
            </w:r>
            <w:r w:rsidR="00936847" w:rsidRPr="009C5F11">
              <w:rPr>
                <w:rFonts w:ascii="Times New Roman" w:hAnsi="Times New Roman" w:cs="Times New Roman"/>
                <w:sz w:val="18"/>
                <w:szCs w:val="14"/>
                <w:u w:val="single"/>
                <w:lang w:val="ro-RO" w:eastAsia="de-DE"/>
              </w:rPr>
              <w:t xml:space="preserve">Nisporeni </w:t>
            </w:r>
            <w:r w:rsidRPr="009C5F11">
              <w:rPr>
                <w:rFonts w:ascii="Times New Roman" w:hAnsi="Times New Roman" w:cs="Times New Roman"/>
                <w:sz w:val="18"/>
                <w:szCs w:val="14"/>
                <w:u w:val="single"/>
                <w:lang w:val="ro-RO" w:eastAsia="de-DE"/>
              </w:rPr>
              <w:t>în sumă de</w:t>
            </w:r>
            <w:r w:rsidR="00936847" w:rsidRPr="009C5F11">
              <w:rPr>
                <w:rFonts w:ascii="Times New Roman" w:hAnsi="Times New Roman" w:cs="Times New Roman"/>
                <w:sz w:val="18"/>
                <w:szCs w:val="14"/>
                <w:u w:val="single"/>
                <w:lang w:val="ro-RO" w:eastAsia="de-DE"/>
              </w:rPr>
              <w:t xml:space="preserve"> 5</w:t>
            </w:r>
            <w:r w:rsidR="00D042F1" w:rsidRPr="009C5F11">
              <w:rPr>
                <w:rFonts w:ascii="Times New Roman" w:hAnsi="Times New Roman" w:cs="Times New Roman"/>
                <w:sz w:val="18"/>
                <w:szCs w:val="14"/>
                <w:u w:val="single"/>
                <w:lang w:val="ro-RO" w:eastAsia="de-DE"/>
              </w:rPr>
              <w:t xml:space="preserve"> </w:t>
            </w:r>
            <w:r w:rsidR="00421FA7" w:rsidRPr="009C5F11">
              <w:rPr>
                <w:rFonts w:ascii="Times New Roman" w:hAnsi="Times New Roman" w:cs="Times New Roman"/>
                <w:sz w:val="18"/>
                <w:szCs w:val="14"/>
                <w:u w:val="single"/>
                <w:lang w:val="ro-RO" w:eastAsia="de-DE"/>
              </w:rPr>
              <w:t>milioane euro</w:t>
            </w:r>
            <w:r w:rsidRPr="009C5F11">
              <w:rPr>
                <w:rFonts w:ascii="Times New Roman" w:hAnsi="Times New Roman" w:cs="Times New Roman"/>
                <w:sz w:val="18"/>
                <w:szCs w:val="14"/>
                <w:u w:val="single"/>
                <w:lang w:val="ro-RO" w:eastAsia="de-DE"/>
              </w:rPr>
              <w:t>;</w:t>
            </w:r>
          </w:p>
          <w:p w14:paraId="4B874EC5" w14:textId="77777777" w:rsidR="00936847" w:rsidRPr="009C5F11" w:rsidRDefault="003D1233" w:rsidP="00334F3B">
            <w:pPr>
              <w:numPr>
                <w:ilvl w:val="0"/>
                <w:numId w:val="106"/>
              </w:numPr>
              <w:tabs>
                <w:tab w:val="left" w:pos="702"/>
                <w:tab w:val="left" w:pos="5040"/>
                <w:tab w:val="right" w:pos="8504"/>
              </w:tabs>
              <w:spacing w:before="40"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Asistenţă tehnică </w:t>
            </w:r>
            <w:r w:rsidR="00936847" w:rsidRPr="009C5F11">
              <w:rPr>
                <w:rFonts w:ascii="Times New Roman" w:hAnsi="Times New Roman" w:cs="Times New Roman"/>
                <w:sz w:val="18"/>
                <w:szCs w:val="14"/>
                <w:u w:val="single"/>
                <w:lang w:val="ro-RO" w:eastAsia="de-DE"/>
              </w:rPr>
              <w:t xml:space="preserve">SPSP </w:t>
            </w:r>
            <w:r w:rsidRPr="009C5F11">
              <w:rPr>
                <w:rFonts w:ascii="Times New Roman" w:hAnsi="Times New Roman" w:cs="Times New Roman"/>
                <w:sz w:val="18"/>
                <w:szCs w:val="14"/>
                <w:u w:val="single"/>
                <w:lang w:val="ro-RO" w:eastAsia="de-DE"/>
              </w:rPr>
              <w:t>în domeniul apelor</w:t>
            </w:r>
            <w:r w:rsidR="00936847" w:rsidRPr="009C5F11">
              <w:rPr>
                <w:rFonts w:ascii="Times New Roman" w:hAnsi="Times New Roman" w:cs="Times New Roman"/>
                <w:sz w:val="18"/>
                <w:szCs w:val="14"/>
                <w:u w:val="single"/>
                <w:lang w:val="ro-RO" w:eastAsia="de-DE"/>
              </w:rPr>
              <w:t xml:space="preserve"> </w:t>
            </w:r>
            <w:r w:rsidRPr="009C5F11">
              <w:rPr>
                <w:rFonts w:ascii="Times New Roman" w:hAnsi="Times New Roman" w:cs="Times New Roman"/>
                <w:sz w:val="18"/>
                <w:szCs w:val="14"/>
                <w:u w:val="single"/>
                <w:lang w:val="ro-RO" w:eastAsia="de-DE"/>
              </w:rPr>
              <w:t>în sumă de</w:t>
            </w:r>
            <w:r w:rsidR="00936847" w:rsidRPr="009C5F11">
              <w:rPr>
                <w:rFonts w:ascii="Times New Roman" w:hAnsi="Times New Roman" w:cs="Times New Roman"/>
                <w:sz w:val="18"/>
                <w:szCs w:val="14"/>
                <w:u w:val="single"/>
                <w:lang w:val="ro-RO" w:eastAsia="de-DE"/>
              </w:rPr>
              <w:t xml:space="preserve"> 3 </w:t>
            </w:r>
            <w:r w:rsidR="00421FA7" w:rsidRPr="009C5F11">
              <w:rPr>
                <w:rFonts w:ascii="Times New Roman" w:hAnsi="Times New Roman" w:cs="Times New Roman"/>
                <w:sz w:val="18"/>
                <w:szCs w:val="14"/>
                <w:u w:val="single"/>
                <w:lang w:val="ro-RO" w:eastAsia="de-DE"/>
              </w:rPr>
              <w:t>milioane euro</w:t>
            </w:r>
            <w:r w:rsidRPr="009C5F11">
              <w:rPr>
                <w:rFonts w:ascii="Times New Roman" w:hAnsi="Times New Roman" w:cs="Times New Roman"/>
                <w:sz w:val="18"/>
                <w:szCs w:val="14"/>
                <w:u w:val="single"/>
                <w:lang w:val="ro-RO" w:eastAsia="de-DE"/>
              </w:rPr>
              <w:t>.</w:t>
            </w:r>
          </w:p>
          <w:p w14:paraId="20E5C657" w14:textId="77777777" w:rsidR="00936847" w:rsidRPr="009C5F11" w:rsidRDefault="003D1233"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 afară de aceasta</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UE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susţine </w:t>
            </w:r>
            <w:r w:rsidR="00936847" w:rsidRPr="009C5F11">
              <w:rPr>
                <w:rFonts w:ascii="Times New Roman" w:hAnsi="Times New Roman" w:cs="Times New Roman"/>
                <w:sz w:val="18"/>
                <w:szCs w:val="14"/>
                <w:u w:val="single"/>
                <w:lang w:val="ro-RO" w:eastAsia="de-DE"/>
              </w:rPr>
              <w:t>Construc</w:t>
            </w:r>
            <w:r w:rsidRPr="009C5F11">
              <w:rPr>
                <w:rFonts w:ascii="Times New Roman" w:hAnsi="Times New Roman" w:cs="Times New Roman"/>
                <w:sz w:val="18"/>
                <w:szCs w:val="14"/>
                <w:u w:val="single"/>
                <w:lang w:val="ro-RO" w:eastAsia="de-DE"/>
              </w:rPr>
              <w:t xml:space="preserve">ţia </w:t>
            </w:r>
            <w:r w:rsidR="00AD1C17" w:rsidRPr="009C5F11">
              <w:rPr>
                <w:rFonts w:ascii="Times New Roman" w:hAnsi="Times New Roman" w:cs="Times New Roman"/>
                <w:sz w:val="18"/>
                <w:szCs w:val="14"/>
                <w:u w:val="single"/>
                <w:lang w:val="ro-RO" w:eastAsia="de-DE"/>
              </w:rPr>
              <w:t xml:space="preserve">instalaţiei de epurare a apelor uzate de la </w:t>
            </w:r>
            <w:r w:rsidR="00936847" w:rsidRPr="009C5F11">
              <w:rPr>
                <w:rFonts w:ascii="Times New Roman" w:hAnsi="Times New Roman" w:cs="Times New Roman"/>
                <w:sz w:val="18"/>
                <w:szCs w:val="14"/>
                <w:u w:val="single"/>
                <w:lang w:val="ro-RO" w:eastAsia="de-DE"/>
              </w:rPr>
              <w:t xml:space="preserve">Orhei </w:t>
            </w:r>
            <w:r w:rsidR="00AD1C17" w:rsidRPr="009C5F11">
              <w:rPr>
                <w:rFonts w:ascii="Times New Roman" w:hAnsi="Times New Roman" w:cs="Times New Roman"/>
                <w:sz w:val="18"/>
                <w:szCs w:val="14"/>
                <w:u w:val="single"/>
                <w:lang w:val="ro-RO" w:eastAsia="de-DE"/>
              </w:rPr>
              <w:t>în sumă de</w:t>
            </w:r>
            <w:r w:rsidR="00936847" w:rsidRPr="009C5F11">
              <w:rPr>
                <w:rFonts w:ascii="Times New Roman" w:hAnsi="Times New Roman" w:cs="Times New Roman"/>
                <w:sz w:val="18"/>
                <w:szCs w:val="14"/>
                <w:u w:val="single"/>
                <w:lang w:val="ro-RO" w:eastAsia="de-DE"/>
              </w:rPr>
              <w:t xml:space="preserve"> 2.84</w:t>
            </w:r>
            <w:r w:rsidR="00421FA7" w:rsidRPr="009C5F11">
              <w:rPr>
                <w:rFonts w:ascii="Times New Roman" w:hAnsi="Times New Roman" w:cs="Times New Roman"/>
                <w:sz w:val="18"/>
                <w:szCs w:val="14"/>
                <w:u w:val="single"/>
                <w:lang w:val="ro-RO" w:eastAsia="de-DE"/>
              </w:rPr>
              <w:t>milioane euro</w:t>
            </w:r>
            <w:r w:rsidR="00CE1968" w:rsidRPr="009C5F11">
              <w:rPr>
                <w:rFonts w:ascii="Times New Roman" w:hAnsi="Times New Roman" w:cs="Times New Roman"/>
                <w:sz w:val="18"/>
                <w:szCs w:val="14"/>
                <w:u w:val="single"/>
                <w:lang w:val="ro-RO" w:eastAsia="de-DE"/>
              </w:rPr>
              <w:t>.</w:t>
            </w:r>
          </w:p>
          <w:p w14:paraId="29F6CB3A"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p>
          <w:p w14:paraId="7BDF3ED1" w14:textId="77777777" w:rsidR="00936847" w:rsidRPr="009C5F11" w:rsidRDefault="00CE1968"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 xml:space="preserve">PROGRAMUL </w:t>
            </w:r>
            <w:r w:rsidR="00B5353F" w:rsidRPr="009C5F11">
              <w:rPr>
                <w:rFonts w:ascii="Times New Roman" w:hAnsi="Times New Roman" w:cs="Times New Roman"/>
                <w:sz w:val="18"/>
                <w:szCs w:val="14"/>
                <w:u w:val="single"/>
                <w:lang w:val="ro-RO" w:eastAsia="de-DE"/>
              </w:rPr>
              <w:t>DE DEZVOLTARE A UTILITĂŢILOR DE APĂ DIN MOLDOVA</w:t>
            </w:r>
            <w:r w:rsidR="00936847" w:rsidRPr="009C5F11">
              <w:rPr>
                <w:rFonts w:ascii="Times New Roman" w:hAnsi="Times New Roman" w:cs="Times New Roman"/>
                <w:sz w:val="18"/>
                <w:szCs w:val="14"/>
                <w:lang w:val="ro-RO" w:eastAsia="de-DE"/>
              </w:rPr>
              <w:t xml:space="preserve"> </w:t>
            </w:r>
            <w:r w:rsidR="00B5353F" w:rsidRPr="009C5F11">
              <w:rPr>
                <w:rFonts w:ascii="Times New Roman" w:hAnsi="Times New Roman" w:cs="Times New Roman"/>
                <w:sz w:val="18"/>
                <w:szCs w:val="14"/>
                <w:lang w:val="ro-RO" w:eastAsia="de-DE"/>
              </w:rPr>
              <w:t>este un program comun finanţat de BEI, BERD şi UE cu un buget de</w:t>
            </w:r>
            <w:r w:rsidR="00936847" w:rsidRPr="009C5F11">
              <w:rPr>
                <w:rFonts w:ascii="Times New Roman" w:hAnsi="Times New Roman" w:cs="Times New Roman"/>
                <w:sz w:val="18"/>
                <w:szCs w:val="14"/>
                <w:lang w:val="ro-RO" w:eastAsia="de-DE"/>
              </w:rPr>
              <w:t xml:space="preserve"> 30 </w:t>
            </w:r>
            <w:r w:rsidR="00421FA7" w:rsidRPr="009C5F11">
              <w:rPr>
                <w:rFonts w:ascii="Times New Roman" w:hAnsi="Times New Roman" w:cs="Times New Roman"/>
                <w:sz w:val="18"/>
                <w:szCs w:val="14"/>
                <w:lang w:val="ro-RO" w:eastAsia="de-DE"/>
              </w:rPr>
              <w:t>milioane euro</w:t>
            </w:r>
            <w:r w:rsidR="00936847" w:rsidRPr="009C5F11">
              <w:rPr>
                <w:rFonts w:ascii="Times New Roman" w:hAnsi="Times New Roman" w:cs="Times New Roman"/>
                <w:sz w:val="18"/>
                <w:szCs w:val="14"/>
                <w:lang w:val="ro-RO" w:eastAsia="de-DE"/>
              </w:rPr>
              <w:t xml:space="preserve"> </w:t>
            </w:r>
            <w:r w:rsidR="00B5353F" w:rsidRPr="009C5F11">
              <w:rPr>
                <w:rFonts w:ascii="Times New Roman" w:hAnsi="Times New Roman" w:cs="Times New Roman"/>
                <w:sz w:val="18"/>
                <w:szCs w:val="14"/>
                <w:lang w:val="ro-RO" w:eastAsia="de-DE"/>
              </w:rPr>
              <w:t>care-şi propune</w:t>
            </w:r>
            <w:r w:rsidR="00936847" w:rsidRPr="009C5F11">
              <w:rPr>
                <w:rFonts w:ascii="Times New Roman" w:hAnsi="Times New Roman" w:cs="Times New Roman"/>
                <w:sz w:val="18"/>
                <w:szCs w:val="14"/>
                <w:lang w:val="ro-RO" w:eastAsia="de-DE"/>
              </w:rPr>
              <w:t>:</w:t>
            </w:r>
          </w:p>
          <w:p w14:paraId="3E79D475" w14:textId="77777777" w:rsidR="00936847" w:rsidRPr="009C5F11" w:rsidRDefault="00CE2BB1" w:rsidP="00334F3B">
            <w:pPr>
              <w:numPr>
                <w:ilvl w:val="0"/>
                <w:numId w:val="106"/>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să creeze </w:t>
            </w:r>
            <w:r w:rsidR="00936847" w:rsidRPr="009C5F11">
              <w:rPr>
                <w:rFonts w:ascii="Times New Roman" w:hAnsi="Times New Roman" w:cs="Times New Roman"/>
                <w:sz w:val="18"/>
                <w:szCs w:val="14"/>
                <w:lang w:val="ro-RO" w:eastAsia="de-DE"/>
              </w:rPr>
              <w:t xml:space="preserve">6 </w:t>
            </w:r>
            <w:r w:rsidRPr="009C5F11">
              <w:rPr>
                <w:rFonts w:ascii="Times New Roman" w:hAnsi="Times New Roman" w:cs="Times New Roman"/>
                <w:sz w:val="18"/>
                <w:szCs w:val="14"/>
                <w:lang w:val="ro-RO" w:eastAsia="de-DE"/>
              </w:rPr>
              <w:t xml:space="preserve">companii operaţionale regionale </w:t>
            </w:r>
            <w:r w:rsidR="00936847" w:rsidRPr="009C5F11">
              <w:rPr>
                <w:rFonts w:ascii="Times New Roman" w:hAnsi="Times New Roman" w:cs="Times New Roman"/>
                <w:sz w:val="18"/>
                <w:szCs w:val="14"/>
                <w:lang w:val="ro-RO" w:eastAsia="de-DE"/>
              </w:rPr>
              <w:t>(ROC)</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 xml:space="preserve">oraşe mici şi la sate pentru a </w:t>
            </w:r>
            <w:r w:rsidR="00936847" w:rsidRPr="009C5F11">
              <w:rPr>
                <w:rFonts w:ascii="Times New Roman" w:hAnsi="Times New Roman" w:cs="Times New Roman"/>
                <w:sz w:val="18"/>
                <w:szCs w:val="14"/>
                <w:lang w:val="ro-RO" w:eastAsia="de-DE"/>
              </w:rPr>
              <w:t>reabilita</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ex</w:t>
            </w:r>
            <w:r w:rsidRPr="009C5F11">
              <w:rPr>
                <w:rFonts w:ascii="Times New Roman" w:hAnsi="Times New Roman" w:cs="Times New Roman"/>
                <w:sz w:val="18"/>
                <w:szCs w:val="14"/>
                <w:lang w:val="ro-RO" w:eastAsia="de-DE"/>
              </w:rPr>
              <w:t>tinde infrastructura de sanitaţie</w:t>
            </w:r>
            <w:r w:rsidR="00321CD5" w:rsidRPr="009C5F11">
              <w:rPr>
                <w:rFonts w:ascii="Times New Roman" w:hAnsi="Times New Roman" w:cs="Times New Roman"/>
                <w:sz w:val="18"/>
                <w:szCs w:val="14"/>
                <w:lang w:val="ro-RO" w:eastAsia="de-DE"/>
              </w:rPr>
              <w:t xml:space="preserve"> şi </w:t>
            </w:r>
            <w:r w:rsidR="00102440" w:rsidRPr="009C5F11">
              <w:rPr>
                <w:rFonts w:ascii="Times New Roman" w:hAnsi="Times New Roman" w:cs="Times New Roman"/>
                <w:sz w:val="18"/>
                <w:szCs w:val="14"/>
                <w:lang w:val="ro-RO" w:eastAsia="de-DE"/>
              </w:rPr>
              <w:t xml:space="preserve">pentru a </w:t>
            </w:r>
            <w:r w:rsidRPr="009C5F11">
              <w:rPr>
                <w:rFonts w:ascii="Times New Roman" w:hAnsi="Times New Roman" w:cs="Times New Roman"/>
                <w:sz w:val="18"/>
                <w:szCs w:val="14"/>
                <w:lang w:val="ro-RO" w:eastAsia="de-DE"/>
              </w:rPr>
              <w:t xml:space="preserve">deservi </w:t>
            </w:r>
            <w:r w:rsidR="009D5677" w:rsidRPr="009C5F11">
              <w:rPr>
                <w:rFonts w:ascii="Times New Roman" w:hAnsi="Times New Roman" w:cs="Times New Roman"/>
                <w:sz w:val="18"/>
                <w:szCs w:val="14"/>
                <w:lang w:val="ro-RO" w:eastAsia="de-DE"/>
              </w:rPr>
              <w:t>un teritoriu</w:t>
            </w:r>
            <w:r w:rsidRPr="009C5F11">
              <w:rPr>
                <w:rFonts w:ascii="Times New Roman" w:hAnsi="Times New Roman" w:cs="Times New Roman"/>
                <w:sz w:val="18"/>
                <w:szCs w:val="14"/>
                <w:lang w:val="ro-RO" w:eastAsia="de-DE"/>
              </w:rPr>
              <w:t xml:space="preserve"> mai </w:t>
            </w:r>
            <w:r w:rsidR="009D5677" w:rsidRPr="009C5F11">
              <w:rPr>
                <w:rFonts w:ascii="Times New Roman" w:hAnsi="Times New Roman" w:cs="Times New Roman"/>
                <w:sz w:val="18"/>
                <w:szCs w:val="14"/>
                <w:lang w:val="ro-RO" w:eastAsia="de-DE"/>
              </w:rPr>
              <w:t>mare</w:t>
            </w:r>
            <w:r w:rsidRPr="009C5F11">
              <w:rPr>
                <w:rFonts w:ascii="Times New Roman" w:hAnsi="Times New Roman" w:cs="Times New Roman"/>
                <w:sz w:val="18"/>
                <w:szCs w:val="14"/>
                <w:lang w:val="ro-RO" w:eastAsia="de-DE"/>
              </w:rPr>
              <w:t xml:space="preserve">; </w:t>
            </w:r>
          </w:p>
          <w:p w14:paraId="62D86225" w14:textId="77777777" w:rsidR="00936847" w:rsidRPr="009C5F11" w:rsidRDefault="00CE2BB1" w:rsidP="00334F3B">
            <w:pPr>
              <w:numPr>
                <w:ilvl w:val="0"/>
                <w:numId w:val="106"/>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să presteze servicii pentru circa </w:t>
            </w:r>
            <w:r w:rsidR="00936847" w:rsidRPr="009C5F11">
              <w:rPr>
                <w:rFonts w:ascii="Times New Roman" w:hAnsi="Times New Roman" w:cs="Times New Roman"/>
                <w:sz w:val="18"/>
                <w:szCs w:val="14"/>
                <w:lang w:val="ro-RO" w:eastAsia="de-DE"/>
              </w:rPr>
              <w:t xml:space="preserve">200,000 </w:t>
            </w:r>
            <w:r w:rsidRPr="009C5F11">
              <w:rPr>
                <w:rFonts w:ascii="Times New Roman" w:hAnsi="Times New Roman" w:cs="Times New Roman"/>
                <w:sz w:val="18"/>
                <w:szCs w:val="14"/>
                <w:lang w:val="ro-RO" w:eastAsia="de-DE"/>
              </w:rPr>
              <w:t>de locuitori din</w:t>
            </w:r>
            <w:r w:rsidR="00321CD5"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 xml:space="preserve">Soroca, </w:t>
            </w:r>
            <w:r w:rsidR="005D06FD" w:rsidRPr="009C5F11">
              <w:rPr>
                <w:rFonts w:ascii="Times New Roman" w:hAnsi="Times New Roman" w:cs="Times New Roman"/>
                <w:sz w:val="18"/>
                <w:szCs w:val="14"/>
                <w:lang w:val="ro-RO" w:eastAsia="de-DE"/>
              </w:rPr>
              <w:t>Floreşti</w:t>
            </w:r>
            <w:r w:rsidR="00936847" w:rsidRPr="009C5F11">
              <w:rPr>
                <w:rFonts w:ascii="Times New Roman" w:hAnsi="Times New Roman" w:cs="Times New Roman"/>
                <w:sz w:val="18"/>
                <w:szCs w:val="14"/>
                <w:lang w:val="ro-RO" w:eastAsia="de-DE"/>
              </w:rPr>
              <w:t xml:space="preserve">, </w:t>
            </w:r>
            <w:r w:rsidR="005D06FD" w:rsidRPr="009C5F11">
              <w:rPr>
                <w:rFonts w:ascii="Times New Roman" w:hAnsi="Times New Roman" w:cs="Times New Roman"/>
                <w:sz w:val="18"/>
                <w:szCs w:val="14"/>
                <w:lang w:val="ro-RO" w:eastAsia="de-DE"/>
              </w:rPr>
              <w:t>Hînceşti</w:t>
            </w:r>
            <w:r w:rsidR="00936847" w:rsidRPr="009C5F11">
              <w:rPr>
                <w:rFonts w:ascii="Times New Roman" w:hAnsi="Times New Roman" w:cs="Times New Roman"/>
                <w:sz w:val="18"/>
                <w:szCs w:val="14"/>
                <w:lang w:val="ro-RO" w:eastAsia="de-DE"/>
              </w:rPr>
              <w:t>, Orhei, Leova</w:t>
            </w:r>
            <w:r w:rsidRPr="009C5F11">
              <w:rPr>
                <w:rFonts w:ascii="Times New Roman" w:hAnsi="Times New Roman" w:cs="Times New Roman"/>
                <w:sz w:val="18"/>
                <w:szCs w:val="14"/>
                <w:lang w:val="ro-RO" w:eastAsia="de-DE"/>
              </w:rPr>
              <w:t xml:space="preserve"> şi</w:t>
            </w:r>
            <w:r w:rsidR="00936847" w:rsidRPr="009C5F11">
              <w:rPr>
                <w:rFonts w:ascii="Times New Roman" w:hAnsi="Times New Roman" w:cs="Times New Roman"/>
                <w:sz w:val="18"/>
                <w:szCs w:val="14"/>
                <w:lang w:val="ro-RO" w:eastAsia="de-DE"/>
              </w:rPr>
              <w:t xml:space="preserve"> </w:t>
            </w:r>
            <w:r w:rsidR="0087273F" w:rsidRPr="009C5F11">
              <w:rPr>
                <w:rFonts w:ascii="Times New Roman" w:hAnsi="Times New Roman" w:cs="Times New Roman"/>
                <w:sz w:val="18"/>
                <w:szCs w:val="14"/>
                <w:lang w:val="ro-RO" w:eastAsia="de-DE"/>
              </w:rPr>
              <w:t>Ceadâr-Lunga</w:t>
            </w:r>
            <w:r w:rsidR="006B22C8"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223A16E3"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p>
        </w:tc>
      </w:tr>
      <w:tr w:rsidR="00936847" w:rsidRPr="009C5F11" w14:paraId="5E3AA0EE" w14:textId="77777777" w:rsidTr="00BF6432">
        <w:trPr>
          <w:trHeight w:val="278"/>
        </w:trPr>
        <w:tc>
          <w:tcPr>
            <w:tcW w:w="743" w:type="pct"/>
            <w:vMerge/>
          </w:tcPr>
          <w:p w14:paraId="16326FF8"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7FE27E1"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5C4CB1B6" w14:textId="77777777" w:rsidR="00936847" w:rsidRPr="009C5F11" w:rsidRDefault="00CE2BB1"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Sectorul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este finanţat din câteva surse</w:t>
            </w:r>
            <w:r w:rsidR="00936847" w:rsidRPr="009C5F11">
              <w:rPr>
                <w:rFonts w:ascii="Times New Roman" w:hAnsi="Times New Roman" w:cs="Times New Roman"/>
                <w:sz w:val="18"/>
                <w:szCs w:val="14"/>
                <w:lang w:val="ro-RO" w:eastAsia="de-DE"/>
              </w:rPr>
              <w:t>:</w:t>
            </w:r>
          </w:p>
          <w:p w14:paraId="054A7E32" w14:textId="77777777" w:rsidR="00936847" w:rsidRPr="009C5F11" w:rsidRDefault="00CE2BB1" w:rsidP="00334F3B">
            <w:pPr>
              <w:numPr>
                <w:ilvl w:val="0"/>
                <w:numId w:val="90"/>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bugetele de toate nivelurile</w:t>
            </w:r>
            <w:r w:rsidR="00936847" w:rsidRPr="009C5F11">
              <w:rPr>
                <w:rFonts w:ascii="Times New Roman" w:hAnsi="Times New Roman" w:cs="Times New Roman"/>
                <w:sz w:val="18"/>
                <w:szCs w:val="14"/>
                <w:lang w:val="ro-RO" w:eastAsia="de-DE"/>
              </w:rPr>
              <w:t>,</w:t>
            </w:r>
          </w:p>
          <w:p w14:paraId="15D7E6EF" w14:textId="77777777" w:rsidR="00936847" w:rsidRPr="009C5F11" w:rsidRDefault="00CE2BB1" w:rsidP="00334F3B">
            <w:pPr>
              <w:numPr>
                <w:ilvl w:val="0"/>
                <w:numId w:val="90"/>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mijloace oferite de Fondul Naţional de Mediu</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gestionat de Ministerul Mediului;</w:t>
            </w:r>
          </w:p>
          <w:p w14:paraId="16C31D18" w14:textId="77777777" w:rsidR="00936847" w:rsidRPr="009C5F11" w:rsidRDefault="00CE2BB1" w:rsidP="00334F3B">
            <w:pPr>
              <w:numPr>
                <w:ilvl w:val="0"/>
                <w:numId w:val="90"/>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mijloacele</w:t>
            </w:r>
            <w:r w:rsidR="00936847" w:rsidRPr="009C5F11">
              <w:rPr>
                <w:rFonts w:ascii="Times New Roman" w:hAnsi="Times New Roman" w:cs="Times New Roman"/>
                <w:sz w:val="18"/>
                <w:szCs w:val="14"/>
                <w:lang w:val="ro-RO" w:eastAsia="de-DE"/>
              </w:rPr>
              <w:t xml:space="preserve"> </w:t>
            </w:r>
            <w:r w:rsidR="00177E9C" w:rsidRPr="009C5F11">
              <w:rPr>
                <w:rFonts w:ascii="Times New Roman" w:hAnsi="Times New Roman" w:cs="Times New Roman"/>
                <w:sz w:val="18"/>
                <w:szCs w:val="14"/>
                <w:lang w:val="ro-RO" w:eastAsia="de-DE"/>
              </w:rPr>
              <w:t>companii</w:t>
            </w:r>
            <w:r w:rsidRPr="009C5F11">
              <w:rPr>
                <w:rFonts w:ascii="Times New Roman" w:hAnsi="Times New Roman" w:cs="Times New Roman"/>
                <w:sz w:val="18"/>
                <w:szCs w:val="14"/>
                <w:lang w:val="ro-RO" w:eastAsia="de-DE"/>
              </w:rPr>
              <w:t>lor;</w:t>
            </w:r>
          </w:p>
          <w:p w14:paraId="563FD305" w14:textId="77777777" w:rsidR="00936847" w:rsidRPr="009C5F11" w:rsidRDefault="00CE2BB1" w:rsidP="00334F3B">
            <w:pPr>
              <w:numPr>
                <w:ilvl w:val="0"/>
                <w:numId w:val="90"/>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mijloace oferite de investitorii străini sub formă de împrumuturi </w:t>
            </w:r>
            <w:r w:rsidR="00AB1710" w:rsidRPr="009C5F11">
              <w:rPr>
                <w:rFonts w:ascii="Times New Roman" w:hAnsi="Times New Roman" w:cs="Times New Roman"/>
                <w:sz w:val="18"/>
                <w:szCs w:val="14"/>
                <w:lang w:val="ro-RO" w:eastAsia="de-DE"/>
              </w:rPr>
              <w:t>comercial</w:t>
            </w:r>
            <w:r w:rsidRPr="009C5F11">
              <w:rPr>
                <w:rFonts w:ascii="Times New Roman" w:hAnsi="Times New Roman" w:cs="Times New Roman"/>
                <w:sz w:val="18"/>
                <w:szCs w:val="14"/>
                <w:lang w:val="ro-RO" w:eastAsia="de-DE"/>
              </w:rPr>
              <w:t>e</w:t>
            </w:r>
            <w:r w:rsidR="00321CD5" w:rsidRPr="009C5F11">
              <w:rPr>
                <w:rFonts w:ascii="Times New Roman" w:hAnsi="Times New Roman" w:cs="Times New Roman"/>
                <w:sz w:val="18"/>
                <w:szCs w:val="14"/>
                <w:lang w:val="ro-RO" w:eastAsia="de-DE"/>
              </w:rPr>
              <w:t xml:space="preserve"> şi </w:t>
            </w:r>
            <w:r w:rsidR="00EB460D" w:rsidRPr="009C5F11">
              <w:rPr>
                <w:rFonts w:ascii="Times New Roman" w:hAnsi="Times New Roman" w:cs="Times New Roman"/>
                <w:sz w:val="18"/>
                <w:szCs w:val="14"/>
                <w:lang w:val="ro-RO" w:eastAsia="de-DE"/>
              </w:rPr>
              <w:t>granturi</w:t>
            </w:r>
            <w:r w:rsidRPr="009C5F11">
              <w:rPr>
                <w:rFonts w:ascii="Times New Roman" w:hAnsi="Times New Roman" w:cs="Times New Roman"/>
                <w:sz w:val="18"/>
                <w:szCs w:val="14"/>
                <w:lang w:val="ro-RO" w:eastAsia="de-DE"/>
              </w:rPr>
              <w:t>.</w:t>
            </w:r>
          </w:p>
          <w:p w14:paraId="698F5496" w14:textId="77777777" w:rsidR="00936847" w:rsidRPr="009C5F11" w:rsidRDefault="00936847"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p>
          <w:p w14:paraId="3AACDC4E" w14:textId="77777777" w:rsidR="00936847" w:rsidRPr="009C5F11" w:rsidRDefault="00936847" w:rsidP="00334F3B">
            <w:pPr>
              <w:numPr>
                <w:ilvl w:val="0"/>
                <w:numId w:val="108"/>
              </w:numPr>
              <w:tabs>
                <w:tab w:val="left" w:pos="702"/>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w:t>
            </w:r>
            <w:r w:rsidR="00CE2BB1" w:rsidRPr="009C5F11">
              <w:rPr>
                <w:rFonts w:ascii="Times New Roman" w:hAnsi="Times New Roman" w:cs="Times New Roman"/>
                <w:b/>
                <w:sz w:val="18"/>
                <w:szCs w:val="14"/>
                <w:lang w:val="ro-RO" w:eastAsia="de-DE"/>
              </w:rPr>
              <w:t>INANŢAREA PROIECTULUI DIN</w:t>
            </w:r>
            <w:r w:rsidRPr="009C5F11">
              <w:rPr>
                <w:rFonts w:ascii="Times New Roman" w:hAnsi="Times New Roman" w:cs="Times New Roman"/>
                <w:b/>
                <w:sz w:val="18"/>
                <w:szCs w:val="14"/>
                <w:lang w:val="ro-RO" w:eastAsia="de-DE"/>
              </w:rPr>
              <w:t xml:space="preserve"> </w:t>
            </w:r>
            <w:r w:rsidR="00E46DD7" w:rsidRPr="009C5F11">
              <w:rPr>
                <w:rFonts w:ascii="Times New Roman" w:hAnsi="Times New Roman" w:cs="Times New Roman"/>
                <w:b/>
                <w:sz w:val="18"/>
                <w:szCs w:val="14"/>
                <w:lang w:val="ro-RO" w:eastAsia="de-DE"/>
              </w:rPr>
              <w:t>CHIŞINĂU</w:t>
            </w:r>
            <w:r w:rsidRPr="009C5F11">
              <w:rPr>
                <w:rFonts w:ascii="Times New Roman" w:hAnsi="Times New Roman" w:cs="Times New Roman"/>
                <w:b/>
                <w:sz w:val="18"/>
                <w:szCs w:val="14"/>
                <w:lang w:val="ro-RO" w:eastAsia="de-DE"/>
              </w:rPr>
              <w:t xml:space="preserve"> </w:t>
            </w:r>
          </w:p>
          <w:p w14:paraId="148C5FB3" w14:textId="77777777" w:rsidR="00936847" w:rsidRPr="009C5F11" w:rsidRDefault="00FD5F1C"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Proiectul ACC</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Modernizarea gestionării apei şi a apelor uzate în Chişinău</w:t>
            </w:r>
            <w:r w:rsidR="00936847" w:rsidRPr="009C5F11">
              <w:rPr>
                <w:rFonts w:ascii="Times New Roman" w:hAnsi="Times New Roman" w:cs="Times New Roman"/>
                <w:sz w:val="18"/>
                <w:szCs w:val="14"/>
                <w:lang w:val="ro-RO" w:eastAsia="de-DE"/>
              </w:rPr>
              <w:t xml:space="preserve">” </w:t>
            </w:r>
            <w:r w:rsidR="009D5677" w:rsidRPr="009C5F11">
              <w:rPr>
                <w:rFonts w:ascii="Times New Roman" w:hAnsi="Times New Roman" w:cs="Times New Roman"/>
                <w:sz w:val="18"/>
                <w:szCs w:val="14"/>
                <w:lang w:val="ro-RO" w:eastAsia="de-DE"/>
              </w:rPr>
              <w:t xml:space="preserve">în valoare de </w:t>
            </w:r>
            <w:r w:rsidR="00936847" w:rsidRPr="009C5F11">
              <w:rPr>
                <w:rFonts w:ascii="Times New Roman" w:hAnsi="Times New Roman" w:cs="Times New Roman"/>
                <w:sz w:val="18"/>
                <w:szCs w:val="14"/>
                <w:lang w:val="ro-RO" w:eastAsia="de-DE"/>
              </w:rPr>
              <w:t xml:space="preserve">59 </w:t>
            </w:r>
            <w:r w:rsidR="00CE2BB1" w:rsidRPr="009C5F11">
              <w:rPr>
                <w:rFonts w:ascii="Times New Roman" w:hAnsi="Times New Roman" w:cs="Times New Roman"/>
                <w:sz w:val="18"/>
                <w:szCs w:val="14"/>
                <w:lang w:val="ro-RO" w:eastAsia="de-DE"/>
              </w:rPr>
              <w:t>milioane de</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euro</w:t>
            </w:r>
            <w:r w:rsidR="00936847" w:rsidRPr="009C5F11">
              <w:rPr>
                <w:rFonts w:ascii="Times New Roman" w:hAnsi="Times New Roman" w:cs="Times New Roman"/>
                <w:sz w:val="18"/>
                <w:szCs w:val="14"/>
                <w:lang w:val="ro-RO" w:eastAsia="de-DE"/>
              </w:rPr>
              <w:t xml:space="preserve"> </w:t>
            </w:r>
            <w:r w:rsidR="00CE2BB1" w:rsidRPr="009C5F11">
              <w:rPr>
                <w:rFonts w:ascii="Times New Roman" w:hAnsi="Times New Roman" w:cs="Times New Roman"/>
                <w:sz w:val="18"/>
                <w:szCs w:val="14"/>
                <w:lang w:val="ro-RO" w:eastAsia="de-DE"/>
              </w:rPr>
              <w:t xml:space="preserve">este finanţat de </w:t>
            </w:r>
            <w:r w:rsidR="00936847" w:rsidRPr="009C5F11">
              <w:rPr>
                <w:rFonts w:ascii="Times New Roman" w:hAnsi="Times New Roman" w:cs="Times New Roman"/>
                <w:i/>
                <w:sz w:val="18"/>
                <w:szCs w:val="14"/>
                <w:lang w:val="ro-RO" w:eastAsia="de-DE"/>
              </w:rPr>
              <w:t>“</w:t>
            </w:r>
            <w:r w:rsidR="00CE2BB1" w:rsidRPr="009C5F11">
              <w:rPr>
                <w:rFonts w:ascii="Times New Roman" w:hAnsi="Times New Roman" w:cs="Times New Roman"/>
                <w:i/>
                <w:sz w:val="18"/>
                <w:szCs w:val="14"/>
                <w:lang w:val="ro-RO" w:eastAsia="de-DE"/>
              </w:rPr>
              <w:t xml:space="preserve">Programul de dezvoltare a serviciilor de alimentare cu apă din </w:t>
            </w:r>
            <w:r w:rsidR="00AA0566" w:rsidRPr="009C5F11">
              <w:rPr>
                <w:rFonts w:ascii="Times New Roman" w:hAnsi="Times New Roman" w:cs="Times New Roman"/>
                <w:i/>
                <w:sz w:val="18"/>
                <w:szCs w:val="14"/>
                <w:lang w:val="ro-RO" w:eastAsia="de-DE"/>
              </w:rPr>
              <w:t>Chişinău</w:t>
            </w:r>
            <w:r w:rsidR="00936847" w:rsidRPr="009C5F11">
              <w:rPr>
                <w:rFonts w:ascii="Times New Roman" w:hAnsi="Times New Roman" w:cs="Times New Roman"/>
                <w:i/>
                <w:sz w:val="18"/>
                <w:szCs w:val="14"/>
                <w:lang w:val="ro-RO" w:eastAsia="de-DE"/>
              </w:rPr>
              <w:t>”</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BERD</w:t>
            </w:r>
            <w:r w:rsidR="00936847" w:rsidRPr="009C5F11">
              <w:rPr>
                <w:rFonts w:ascii="Times New Roman" w:hAnsi="Times New Roman" w:cs="Times New Roman"/>
                <w:sz w:val="18"/>
                <w:szCs w:val="14"/>
                <w:lang w:val="ro-RO" w:eastAsia="de-DE"/>
              </w:rPr>
              <w:t xml:space="preserve">: 24 </w:t>
            </w:r>
            <w:r w:rsidR="00CE2BB1" w:rsidRPr="009C5F11">
              <w:rPr>
                <w:rFonts w:ascii="Times New Roman" w:hAnsi="Times New Roman" w:cs="Times New Roman"/>
                <w:sz w:val="18"/>
                <w:szCs w:val="14"/>
                <w:lang w:val="ro-RO" w:eastAsia="de-DE"/>
              </w:rPr>
              <w:t>milioane</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euro</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BEI</w:t>
            </w:r>
            <w:r w:rsidR="00ED7663" w:rsidRPr="009C5F11">
              <w:rPr>
                <w:rFonts w:ascii="Times New Roman" w:hAnsi="Times New Roman" w:cs="Times New Roman"/>
                <w:sz w:val="18"/>
                <w:szCs w:val="14"/>
                <w:lang w:val="ro-RO" w:eastAsia="de-DE"/>
              </w:rPr>
              <w:t xml:space="preserve">: 24 </w:t>
            </w:r>
            <w:r w:rsidR="00CE2BB1" w:rsidRPr="009C5F11">
              <w:rPr>
                <w:rFonts w:ascii="Times New Roman" w:hAnsi="Times New Roman" w:cs="Times New Roman"/>
                <w:sz w:val="18"/>
                <w:szCs w:val="14"/>
                <w:lang w:val="ro-RO" w:eastAsia="de-DE"/>
              </w:rPr>
              <w:t>milioane</w:t>
            </w:r>
            <w:r w:rsidR="00ED7663"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euro</w:t>
            </w:r>
            <w:r w:rsidR="00ED7663"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UE</w:t>
            </w:r>
            <w:r w:rsidR="00ED7663" w:rsidRPr="009C5F11">
              <w:rPr>
                <w:rFonts w:ascii="Times New Roman" w:hAnsi="Times New Roman" w:cs="Times New Roman"/>
                <w:sz w:val="18"/>
                <w:szCs w:val="14"/>
                <w:lang w:val="ro-RO" w:eastAsia="de-DE"/>
              </w:rPr>
              <w:t xml:space="preserve"> </w:t>
            </w:r>
            <w:r w:rsidR="00CE2BB1" w:rsidRPr="009C5F11">
              <w:rPr>
                <w:rFonts w:ascii="Times New Roman" w:hAnsi="Times New Roman" w:cs="Times New Roman"/>
                <w:sz w:val="18"/>
                <w:szCs w:val="14"/>
                <w:lang w:val="ro-RO" w:eastAsia="de-DE"/>
              </w:rPr>
              <w:t>prin intermediul</w:t>
            </w:r>
            <w:r w:rsidR="00ED7663" w:rsidRPr="009C5F11">
              <w:rPr>
                <w:rFonts w:ascii="Times New Roman" w:hAnsi="Times New Roman" w:cs="Times New Roman"/>
                <w:sz w:val="18"/>
                <w:szCs w:val="14"/>
                <w:lang w:val="ro-RO" w:eastAsia="de-DE"/>
              </w:rPr>
              <w:t xml:space="preserve"> NIF: 11</w:t>
            </w:r>
            <w:r w:rsidR="00936847" w:rsidRPr="009C5F11">
              <w:rPr>
                <w:rFonts w:ascii="Times New Roman" w:hAnsi="Times New Roman" w:cs="Times New Roman"/>
                <w:sz w:val="18"/>
                <w:szCs w:val="14"/>
                <w:lang w:val="ro-RO" w:eastAsia="de-DE"/>
              </w:rPr>
              <w:t xml:space="preserve"> </w:t>
            </w:r>
            <w:r w:rsidR="00CE2BB1" w:rsidRPr="009C5F11">
              <w:rPr>
                <w:rFonts w:ascii="Times New Roman" w:hAnsi="Times New Roman" w:cs="Times New Roman"/>
                <w:sz w:val="18"/>
                <w:szCs w:val="14"/>
                <w:lang w:val="ro-RO" w:eastAsia="de-DE"/>
              </w:rPr>
              <w:t>milioane</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euro</w:t>
            </w:r>
            <w:r w:rsidR="00ED7663" w:rsidRPr="009C5F11">
              <w:rPr>
                <w:rFonts w:ascii="Times New Roman" w:hAnsi="Times New Roman" w:cs="Times New Roman"/>
                <w:sz w:val="18"/>
                <w:szCs w:val="14"/>
                <w:lang w:val="ro-RO" w:eastAsia="de-DE"/>
              </w:rPr>
              <w:t xml:space="preserve"> </w:t>
            </w:r>
            <w:r w:rsidR="00CE2BB1" w:rsidRPr="009C5F11">
              <w:rPr>
                <w:rFonts w:ascii="Times New Roman" w:hAnsi="Times New Roman" w:cs="Times New Roman"/>
                <w:sz w:val="18"/>
                <w:szCs w:val="14"/>
                <w:lang w:val="ro-RO" w:eastAsia="de-DE"/>
              </w:rPr>
              <w:t xml:space="preserve">sub formă de </w:t>
            </w:r>
            <w:r w:rsidR="00ED7663" w:rsidRPr="009C5F11">
              <w:rPr>
                <w:rFonts w:ascii="Times New Roman" w:hAnsi="Times New Roman" w:cs="Times New Roman"/>
                <w:sz w:val="18"/>
                <w:szCs w:val="14"/>
                <w:lang w:val="ro-RO" w:eastAsia="de-DE"/>
              </w:rPr>
              <w:t>grant</w:t>
            </w:r>
            <w:r w:rsidR="00936847" w:rsidRPr="009C5F11">
              <w:rPr>
                <w:rFonts w:ascii="Times New Roman" w:hAnsi="Times New Roman" w:cs="Times New Roman"/>
                <w:sz w:val="18"/>
                <w:szCs w:val="14"/>
                <w:lang w:val="ro-RO" w:eastAsia="de-DE"/>
              </w:rPr>
              <w:t>)</w:t>
            </w:r>
            <w:r w:rsidR="00CE2BB1"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684014D1" w14:textId="77777777" w:rsidR="00936847" w:rsidRPr="009C5F11" w:rsidRDefault="00CE2BB1"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Din acestea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mijloace</w:t>
            </w:r>
            <w:r w:rsidR="009D5677" w:rsidRPr="009C5F11">
              <w:rPr>
                <w:rFonts w:ascii="Times New Roman" w:hAnsi="Times New Roman" w:cs="Times New Roman"/>
                <w:sz w:val="18"/>
                <w:szCs w:val="14"/>
                <w:lang w:val="ro-RO" w:eastAsia="de-DE"/>
              </w:rPr>
              <w:t>le alocate</w:t>
            </w:r>
            <w:r w:rsidRPr="009C5F11">
              <w:rPr>
                <w:rFonts w:ascii="Times New Roman" w:hAnsi="Times New Roman" w:cs="Times New Roman"/>
                <w:sz w:val="18"/>
                <w:szCs w:val="14"/>
                <w:lang w:val="ro-RO" w:eastAsia="de-DE"/>
              </w:rPr>
              <w:t xml:space="preserve"> ce </w:t>
            </w:r>
            <w:r w:rsidR="009D5677" w:rsidRPr="009C5F11">
              <w:rPr>
                <w:rFonts w:ascii="Times New Roman" w:hAnsi="Times New Roman" w:cs="Times New Roman"/>
                <w:sz w:val="18"/>
                <w:szCs w:val="14"/>
                <w:lang w:val="ro-RO" w:eastAsia="de-DE"/>
              </w:rPr>
              <w:t xml:space="preserve">vor </w:t>
            </w:r>
            <w:r w:rsidRPr="009C5F11">
              <w:rPr>
                <w:rFonts w:ascii="Times New Roman" w:hAnsi="Times New Roman" w:cs="Times New Roman"/>
                <w:sz w:val="18"/>
                <w:szCs w:val="14"/>
                <w:lang w:val="ro-RO" w:eastAsia="de-DE"/>
              </w:rPr>
              <w:t>contribui la generarea</w:t>
            </w:r>
            <w:r w:rsidR="00936847" w:rsidRPr="009C5F11">
              <w:rPr>
                <w:rFonts w:ascii="Times New Roman" w:hAnsi="Times New Roman" w:cs="Times New Roman"/>
                <w:sz w:val="18"/>
                <w:szCs w:val="14"/>
                <w:lang w:val="ro-RO" w:eastAsia="de-DE"/>
              </w:rPr>
              <w:t xml:space="preserve"> </w:t>
            </w:r>
            <w:r w:rsidR="00E10BE5" w:rsidRPr="009C5F11">
              <w:rPr>
                <w:rFonts w:ascii="Times New Roman" w:hAnsi="Times New Roman" w:cs="Times New Roman"/>
                <w:sz w:val="18"/>
                <w:szCs w:val="14"/>
                <w:lang w:val="ro-RO" w:eastAsia="de-DE"/>
              </w:rPr>
              <w:t>economiilor de energie</w:t>
            </w:r>
            <w:r w:rsidR="00936847" w:rsidRPr="009C5F11">
              <w:rPr>
                <w:rFonts w:ascii="Times New Roman" w:hAnsi="Times New Roman" w:cs="Times New Roman"/>
                <w:sz w:val="18"/>
                <w:szCs w:val="14"/>
                <w:lang w:val="ro-RO" w:eastAsia="de-DE"/>
              </w:rPr>
              <w:t>:</w:t>
            </w:r>
          </w:p>
          <w:p w14:paraId="7D6B7801" w14:textId="77777777" w:rsidR="00936847" w:rsidRPr="009C5F11" w:rsidRDefault="00F8444F" w:rsidP="00334F3B">
            <w:pPr>
              <w:numPr>
                <w:ilvl w:val="0"/>
                <w:numId w:val="104"/>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Reabilitarea</w:t>
            </w:r>
            <w:r w:rsidR="00936847" w:rsidRPr="009C5F11">
              <w:rPr>
                <w:rFonts w:ascii="Times New Roman" w:hAnsi="Times New Roman" w:cs="Times New Roman"/>
                <w:sz w:val="18"/>
                <w:szCs w:val="14"/>
                <w:lang w:val="ro-RO" w:eastAsia="de-DE"/>
              </w:rPr>
              <w:t xml:space="preserve"> </w:t>
            </w:r>
            <w:r w:rsidR="00CE2BB1" w:rsidRPr="009C5F11">
              <w:rPr>
                <w:rFonts w:ascii="Times New Roman" w:hAnsi="Times New Roman" w:cs="Times New Roman"/>
                <w:sz w:val="18"/>
                <w:szCs w:val="14"/>
                <w:lang w:val="ro-RO" w:eastAsia="de-DE"/>
              </w:rPr>
              <w:t xml:space="preserve">ţevilor pe o lungime de </w:t>
            </w:r>
            <w:r w:rsidR="00936847" w:rsidRPr="009C5F11">
              <w:rPr>
                <w:rFonts w:ascii="Times New Roman" w:hAnsi="Times New Roman" w:cs="Times New Roman"/>
                <w:sz w:val="18"/>
                <w:szCs w:val="14"/>
                <w:lang w:val="ro-RO" w:eastAsia="de-DE"/>
              </w:rPr>
              <w:t xml:space="preserve">190 km </w:t>
            </w:r>
            <w:r w:rsidR="00321CD5" w:rsidRPr="009C5F11">
              <w:rPr>
                <w:rFonts w:ascii="Times New Roman" w:hAnsi="Times New Roman" w:cs="Times New Roman"/>
                <w:sz w:val="18"/>
                <w:szCs w:val="14"/>
                <w:lang w:val="ro-RO" w:eastAsia="de-DE"/>
              </w:rPr>
              <w:t xml:space="preserve">şi </w:t>
            </w:r>
            <w:r w:rsidR="00CE2BB1" w:rsidRPr="009C5F11">
              <w:rPr>
                <w:rFonts w:ascii="Times New Roman" w:hAnsi="Times New Roman" w:cs="Times New Roman"/>
                <w:sz w:val="18"/>
                <w:szCs w:val="14"/>
                <w:lang w:val="ro-RO" w:eastAsia="de-DE"/>
              </w:rPr>
              <w:t xml:space="preserve">a </w:t>
            </w:r>
            <w:r w:rsidR="00936847" w:rsidRPr="009C5F11">
              <w:rPr>
                <w:rFonts w:ascii="Times New Roman" w:hAnsi="Times New Roman" w:cs="Times New Roman"/>
                <w:sz w:val="18"/>
                <w:szCs w:val="14"/>
                <w:lang w:val="ro-RO" w:eastAsia="de-DE"/>
              </w:rPr>
              <w:t xml:space="preserve">3270 </w:t>
            </w:r>
            <w:r w:rsidR="00CE2BB1" w:rsidRPr="009C5F11">
              <w:rPr>
                <w:rFonts w:ascii="Times New Roman" w:hAnsi="Times New Roman" w:cs="Times New Roman"/>
                <w:sz w:val="18"/>
                <w:szCs w:val="14"/>
                <w:lang w:val="ro-RO" w:eastAsia="de-DE"/>
              </w:rPr>
              <w:t>de contoare cu conexiune pentru deservirea blocurilor</w:t>
            </w:r>
            <w:r w:rsidR="00936847" w:rsidRPr="009C5F11">
              <w:rPr>
                <w:rFonts w:ascii="Times New Roman" w:hAnsi="Times New Roman" w:cs="Times New Roman"/>
                <w:sz w:val="18"/>
                <w:szCs w:val="14"/>
                <w:lang w:val="ro-RO" w:eastAsia="de-DE"/>
              </w:rPr>
              <w:t xml:space="preserve"> + </w:t>
            </w:r>
            <w:r w:rsidR="00CE2BB1" w:rsidRPr="009C5F11">
              <w:rPr>
                <w:rFonts w:ascii="Times New Roman" w:hAnsi="Times New Roman" w:cs="Times New Roman"/>
                <w:sz w:val="18"/>
                <w:szCs w:val="14"/>
                <w:lang w:val="ro-RO" w:eastAsia="de-DE"/>
              </w:rPr>
              <w:t>accesorii hidraulice</w:t>
            </w:r>
            <w:r w:rsidR="00936847" w:rsidRPr="009C5F11">
              <w:rPr>
                <w:rFonts w:ascii="Times New Roman" w:hAnsi="Times New Roman" w:cs="Times New Roman"/>
                <w:sz w:val="18"/>
                <w:szCs w:val="14"/>
                <w:lang w:val="ro-RO" w:eastAsia="de-DE"/>
              </w:rPr>
              <w:t xml:space="preserve"> – 12,468,000 </w:t>
            </w:r>
            <w:r w:rsidR="00CE2BB1" w:rsidRPr="009C5F11">
              <w:rPr>
                <w:rFonts w:ascii="Times New Roman" w:hAnsi="Times New Roman" w:cs="Times New Roman"/>
                <w:sz w:val="18"/>
                <w:szCs w:val="14"/>
                <w:lang w:val="ro-RO" w:eastAsia="de-DE"/>
              </w:rPr>
              <w:t>euro;</w:t>
            </w:r>
          </w:p>
          <w:p w14:paraId="1EE7B5A7" w14:textId="77777777" w:rsidR="00936847" w:rsidRPr="009C5F11" w:rsidRDefault="00F8444F" w:rsidP="00334F3B">
            <w:pPr>
              <w:numPr>
                <w:ilvl w:val="0"/>
                <w:numId w:val="9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Reabilitarea</w:t>
            </w:r>
            <w:r w:rsidR="00936847" w:rsidRPr="009C5F11">
              <w:rPr>
                <w:rFonts w:ascii="Times New Roman" w:hAnsi="Times New Roman" w:cs="Times New Roman"/>
                <w:sz w:val="18"/>
                <w:szCs w:val="14"/>
                <w:lang w:val="ro-RO" w:eastAsia="de-DE"/>
              </w:rPr>
              <w:t xml:space="preserve"> </w:t>
            </w:r>
            <w:r w:rsidR="00CE2BB1" w:rsidRPr="009C5F11">
              <w:rPr>
                <w:rFonts w:ascii="Times New Roman" w:hAnsi="Times New Roman" w:cs="Times New Roman"/>
                <w:sz w:val="18"/>
                <w:szCs w:val="14"/>
                <w:lang w:val="ro-RO" w:eastAsia="de-DE"/>
              </w:rPr>
              <w:t>staţiilor de pompare:</w:t>
            </w:r>
            <w:r w:rsidR="00936847" w:rsidRPr="009C5F11">
              <w:rPr>
                <w:rFonts w:ascii="Times New Roman" w:hAnsi="Times New Roman" w:cs="Times New Roman"/>
                <w:sz w:val="18"/>
                <w:szCs w:val="14"/>
                <w:lang w:val="ro-RO" w:eastAsia="de-DE"/>
              </w:rPr>
              <w:t xml:space="preserve"> </w:t>
            </w:r>
          </w:p>
          <w:p w14:paraId="3A3081BD" w14:textId="77777777" w:rsidR="00936847" w:rsidRPr="009C5F11" w:rsidRDefault="00CE2BB1" w:rsidP="00334F3B">
            <w:pPr>
              <w:numPr>
                <w:ilvl w:val="0"/>
                <w:numId w:val="98"/>
              </w:numPr>
              <w:tabs>
                <w:tab w:val="left" w:pos="702"/>
                <w:tab w:val="left" w:pos="972"/>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apă potabilă</w:t>
            </w:r>
            <w:r w:rsidR="00936847" w:rsidRPr="009C5F11">
              <w:rPr>
                <w:rFonts w:ascii="Times New Roman" w:hAnsi="Times New Roman" w:cs="Times New Roman"/>
                <w:sz w:val="18"/>
                <w:szCs w:val="14"/>
                <w:lang w:val="ro-RO" w:eastAsia="de-DE"/>
              </w:rPr>
              <w:t xml:space="preserve"> - 825,000 </w:t>
            </w:r>
            <w:r w:rsidRPr="009C5F11">
              <w:rPr>
                <w:rFonts w:ascii="Times New Roman" w:hAnsi="Times New Roman" w:cs="Times New Roman"/>
                <w:sz w:val="18"/>
                <w:szCs w:val="14"/>
                <w:lang w:val="ro-RO" w:eastAsia="de-DE"/>
              </w:rPr>
              <w:t>euro;</w:t>
            </w:r>
          </w:p>
          <w:p w14:paraId="71EE00BB" w14:textId="77777777" w:rsidR="00936847" w:rsidRPr="009C5F11" w:rsidRDefault="00CE2BB1" w:rsidP="00334F3B">
            <w:pPr>
              <w:numPr>
                <w:ilvl w:val="0"/>
                <w:numId w:val="98"/>
              </w:numPr>
              <w:tabs>
                <w:tab w:val="left" w:pos="702"/>
                <w:tab w:val="left" w:pos="972"/>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ape uzate</w:t>
            </w:r>
            <w:r w:rsidR="00936847" w:rsidRPr="009C5F11">
              <w:rPr>
                <w:rFonts w:ascii="Times New Roman" w:hAnsi="Times New Roman" w:cs="Times New Roman"/>
                <w:sz w:val="18"/>
                <w:szCs w:val="14"/>
                <w:lang w:val="ro-RO" w:eastAsia="de-DE"/>
              </w:rPr>
              <w:t xml:space="preserve"> - 1,051,000 </w:t>
            </w:r>
            <w:r w:rsidRPr="009C5F11">
              <w:rPr>
                <w:rFonts w:ascii="Times New Roman" w:hAnsi="Times New Roman" w:cs="Times New Roman"/>
                <w:sz w:val="18"/>
                <w:szCs w:val="14"/>
                <w:lang w:val="ro-RO" w:eastAsia="de-DE"/>
              </w:rPr>
              <w:t>euro;</w:t>
            </w:r>
          </w:p>
          <w:p w14:paraId="529EF44D" w14:textId="77777777" w:rsidR="00936847" w:rsidRPr="009C5F11" w:rsidRDefault="00CE2BB1" w:rsidP="00334F3B">
            <w:pPr>
              <w:numPr>
                <w:ilvl w:val="0"/>
                <w:numId w:val="96"/>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sistemul </w:t>
            </w:r>
            <w:r w:rsidR="00936847" w:rsidRPr="009C5F11">
              <w:rPr>
                <w:rFonts w:ascii="Times New Roman" w:hAnsi="Times New Roman" w:cs="Times New Roman"/>
                <w:sz w:val="18"/>
                <w:szCs w:val="14"/>
                <w:lang w:val="ro-RO" w:eastAsia="de-DE"/>
              </w:rPr>
              <w:t xml:space="preserve">SCADA </w:t>
            </w:r>
            <w:r w:rsidR="00AA0566" w:rsidRPr="009C5F11">
              <w:rPr>
                <w:rFonts w:ascii="Times New Roman" w:hAnsi="Times New Roman" w:cs="Times New Roman"/>
                <w:sz w:val="18"/>
                <w:szCs w:val="14"/>
                <w:lang w:val="ro-RO" w:eastAsia="de-DE"/>
              </w:rPr>
              <w:t>Chişinău</w:t>
            </w:r>
            <w:r w:rsidR="00936847" w:rsidRPr="009C5F11">
              <w:rPr>
                <w:rFonts w:ascii="Times New Roman" w:hAnsi="Times New Roman" w:cs="Times New Roman"/>
                <w:sz w:val="18"/>
                <w:szCs w:val="14"/>
                <w:lang w:val="ro-RO" w:eastAsia="de-DE"/>
              </w:rPr>
              <w:t xml:space="preserve"> (ACC) - 325,000 </w:t>
            </w:r>
            <w:r w:rsidRPr="009C5F11">
              <w:rPr>
                <w:rFonts w:ascii="Times New Roman" w:hAnsi="Times New Roman" w:cs="Times New Roman"/>
                <w:sz w:val="18"/>
                <w:szCs w:val="14"/>
                <w:lang w:val="ro-RO" w:eastAsia="de-DE"/>
              </w:rPr>
              <w:t>euro.</w:t>
            </w:r>
          </w:p>
          <w:p w14:paraId="370F1D3E" w14:textId="77777777" w:rsidR="00936847" w:rsidRPr="009C5F11" w:rsidRDefault="00CE2BB1"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estimat pentru</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Programul investiţional suplimentar</w:t>
            </w:r>
            <w:r w:rsidR="009D567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este de</w:t>
            </w:r>
            <w:r w:rsidR="00936847" w:rsidRPr="009C5F11">
              <w:rPr>
                <w:rFonts w:ascii="Times New Roman" w:hAnsi="Times New Roman" w:cs="Times New Roman"/>
                <w:sz w:val="18"/>
                <w:szCs w:val="14"/>
                <w:lang w:val="ro-RO" w:eastAsia="de-DE"/>
              </w:rPr>
              <w:t xml:space="preserve"> 220.78 </w:t>
            </w:r>
            <w:r w:rsidRPr="009C5F11">
              <w:rPr>
                <w:rFonts w:ascii="Times New Roman" w:hAnsi="Times New Roman" w:cs="Times New Roman"/>
                <w:sz w:val="18"/>
                <w:szCs w:val="14"/>
                <w:lang w:val="ro-RO" w:eastAsia="de-DE"/>
              </w:rPr>
              <w:t>milioane euro.</w:t>
            </w:r>
          </w:p>
          <w:p w14:paraId="59E1A33F" w14:textId="77777777" w:rsidR="00936847" w:rsidRPr="009C5F11" w:rsidRDefault="00CE2BB1"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estimat pentru</w:t>
            </w:r>
            <w:r w:rsidR="00936847" w:rsidRPr="009C5F11">
              <w:rPr>
                <w:rFonts w:ascii="Times New Roman" w:hAnsi="Times New Roman" w:cs="Times New Roman"/>
                <w:sz w:val="18"/>
                <w:szCs w:val="14"/>
                <w:lang w:val="ro-RO" w:eastAsia="de-DE"/>
              </w:rPr>
              <w:t xml:space="preserve"> LTIP (PIP+CIP): 280.5 </w:t>
            </w:r>
            <w:r w:rsidRPr="009C5F11">
              <w:rPr>
                <w:rFonts w:ascii="Times New Roman" w:hAnsi="Times New Roman" w:cs="Times New Roman"/>
                <w:sz w:val="18"/>
                <w:szCs w:val="14"/>
                <w:lang w:val="ro-RO" w:eastAsia="de-DE"/>
              </w:rPr>
              <w:t>milioane euro.</w:t>
            </w:r>
          </w:p>
          <w:p w14:paraId="40408BEB" w14:textId="77777777" w:rsidR="00936847" w:rsidRPr="009C5F11" w:rsidRDefault="00CE2BB1"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Din acestea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costuri</w:t>
            </w:r>
            <w:r w:rsidR="009D5677" w:rsidRPr="009C5F11">
              <w:rPr>
                <w:rFonts w:ascii="Times New Roman" w:hAnsi="Times New Roman" w:cs="Times New Roman"/>
                <w:sz w:val="18"/>
                <w:szCs w:val="14"/>
                <w:lang w:val="ro-RO" w:eastAsia="de-DE"/>
              </w:rPr>
              <w:t>le</w:t>
            </w:r>
            <w:r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tota</w:t>
            </w:r>
            <w:r w:rsidRPr="009C5F11">
              <w:rPr>
                <w:rFonts w:ascii="Times New Roman" w:hAnsi="Times New Roman" w:cs="Times New Roman"/>
                <w:sz w:val="18"/>
                <w:szCs w:val="14"/>
                <w:lang w:val="ro-RO" w:eastAsia="de-DE"/>
              </w:rPr>
              <w:t>le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pentru renovarea staţiilor de pompare a apei</w:t>
            </w:r>
            <w:r w:rsidR="009D5677" w:rsidRPr="009C5F11">
              <w:rPr>
                <w:rFonts w:ascii="Times New Roman" w:hAnsi="Times New Roman" w:cs="Times New Roman"/>
                <w:sz w:val="18"/>
                <w:szCs w:val="14"/>
                <w:lang w:val="ro-RO" w:eastAsia="de-DE"/>
              </w:rPr>
              <w:t xml:space="preserve"> sunt după cum urmează</w:t>
            </w:r>
            <w:r w:rsidR="00936847" w:rsidRPr="009C5F11">
              <w:rPr>
                <w:rFonts w:ascii="Times New Roman" w:hAnsi="Times New Roman" w:cs="Times New Roman"/>
                <w:sz w:val="18"/>
                <w:szCs w:val="14"/>
                <w:lang w:val="ro-RO" w:eastAsia="de-DE"/>
              </w:rPr>
              <w:t>:</w:t>
            </w:r>
          </w:p>
          <w:p w14:paraId="07447CA8" w14:textId="77777777" w:rsidR="00936847" w:rsidRPr="009C5F11" w:rsidRDefault="00CE2BB1" w:rsidP="00334F3B">
            <w:pPr>
              <w:numPr>
                <w:ilvl w:val="0"/>
                <w:numId w:val="100"/>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ape uzate:</w:t>
            </w:r>
            <w:r w:rsidR="00936847" w:rsidRPr="009C5F11">
              <w:rPr>
                <w:rFonts w:ascii="Times New Roman" w:hAnsi="Times New Roman" w:cs="Times New Roman"/>
                <w:sz w:val="18"/>
                <w:szCs w:val="14"/>
                <w:lang w:val="ro-RO" w:eastAsia="de-DE"/>
              </w:rPr>
              <w:t xml:space="preserve"> 2,081,000 </w:t>
            </w:r>
            <w:r w:rsidRPr="009C5F11">
              <w:rPr>
                <w:rFonts w:ascii="Times New Roman" w:hAnsi="Times New Roman" w:cs="Times New Roman"/>
                <w:sz w:val="18"/>
                <w:szCs w:val="14"/>
                <w:lang w:val="ro-RO" w:eastAsia="de-DE"/>
              </w:rPr>
              <w:t>euro</w:t>
            </w:r>
            <w:r w:rsidR="00936847" w:rsidRPr="009C5F11">
              <w:rPr>
                <w:rFonts w:ascii="Times New Roman" w:hAnsi="Times New Roman" w:cs="Times New Roman"/>
                <w:sz w:val="18"/>
                <w:szCs w:val="14"/>
                <w:lang w:val="ro-RO" w:eastAsia="de-DE"/>
              </w:rPr>
              <w:t xml:space="preserve"> </w:t>
            </w:r>
          </w:p>
          <w:p w14:paraId="696EFB0A" w14:textId="77777777" w:rsidR="00936847" w:rsidRPr="009C5F11" w:rsidRDefault="00CE2BB1" w:rsidP="00334F3B">
            <w:pPr>
              <w:numPr>
                <w:ilvl w:val="0"/>
                <w:numId w:val="100"/>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apă potabilă</w:t>
            </w:r>
            <w:r w:rsidR="00936847" w:rsidRPr="009C5F11">
              <w:rPr>
                <w:rFonts w:ascii="Times New Roman" w:hAnsi="Times New Roman" w:cs="Times New Roman"/>
                <w:sz w:val="18"/>
                <w:szCs w:val="14"/>
                <w:lang w:val="ro-RO" w:eastAsia="de-DE"/>
              </w:rPr>
              <w:t xml:space="preserve">: 3,061,000 </w:t>
            </w:r>
            <w:r w:rsidRPr="009C5F11">
              <w:rPr>
                <w:rFonts w:ascii="Times New Roman" w:hAnsi="Times New Roman" w:cs="Times New Roman"/>
                <w:sz w:val="18"/>
                <w:szCs w:val="14"/>
                <w:lang w:val="ro-RO" w:eastAsia="de-DE"/>
              </w:rPr>
              <w:t>euro</w:t>
            </w:r>
          </w:p>
          <w:p w14:paraId="61A1AFCF" w14:textId="77777777" w:rsidR="00936847" w:rsidRPr="009C5F11" w:rsidRDefault="00936847"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p>
          <w:p w14:paraId="12E277BC" w14:textId="77777777" w:rsidR="00936847" w:rsidRPr="009C5F11" w:rsidRDefault="00E46DD7" w:rsidP="00334F3B">
            <w:pPr>
              <w:numPr>
                <w:ilvl w:val="0"/>
                <w:numId w:val="108"/>
              </w:numPr>
              <w:tabs>
                <w:tab w:val="left" w:pos="702"/>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FINANŢAREA PROIECTULUI</w:t>
            </w:r>
            <w:r w:rsidR="00FD5F1C" w:rsidRPr="009C5F11">
              <w:rPr>
                <w:rFonts w:ascii="Times New Roman" w:hAnsi="Times New Roman" w:cs="Times New Roman"/>
                <w:b/>
                <w:sz w:val="18"/>
                <w:szCs w:val="14"/>
                <w:lang w:val="ro-RO" w:eastAsia="de-DE"/>
              </w:rPr>
              <w:t xml:space="preserve"> </w:t>
            </w:r>
            <w:r w:rsidR="003635E8" w:rsidRPr="009C5F11">
              <w:rPr>
                <w:rFonts w:ascii="Times New Roman" w:hAnsi="Times New Roman" w:cs="Times New Roman"/>
                <w:b/>
                <w:sz w:val="18"/>
                <w:szCs w:val="14"/>
                <w:lang w:val="ro-RO" w:eastAsia="de-DE"/>
              </w:rPr>
              <w:t>DI</w:t>
            </w:r>
            <w:r w:rsidR="00FD5F1C" w:rsidRPr="009C5F11">
              <w:rPr>
                <w:rFonts w:ascii="Times New Roman" w:hAnsi="Times New Roman" w:cs="Times New Roman"/>
                <w:b/>
                <w:sz w:val="18"/>
                <w:szCs w:val="14"/>
                <w:lang w:val="ro-RO" w:eastAsia="de-DE"/>
              </w:rPr>
              <w:t xml:space="preserve">N REGIUNEA </w:t>
            </w:r>
            <w:r w:rsidR="009D5677" w:rsidRPr="009C5F11">
              <w:rPr>
                <w:rFonts w:ascii="Times New Roman" w:hAnsi="Times New Roman" w:cs="Times New Roman"/>
                <w:b/>
                <w:sz w:val="18"/>
                <w:szCs w:val="14"/>
                <w:lang w:val="ro-RO" w:eastAsia="de-DE"/>
              </w:rPr>
              <w:t xml:space="preserve">DE DEZVOLTARE </w:t>
            </w:r>
            <w:r w:rsidR="00FD5F1C" w:rsidRPr="009C5F11">
              <w:rPr>
                <w:rFonts w:ascii="Times New Roman" w:hAnsi="Times New Roman" w:cs="Times New Roman"/>
                <w:b/>
                <w:sz w:val="18"/>
                <w:szCs w:val="14"/>
                <w:lang w:val="ro-RO" w:eastAsia="de-DE"/>
              </w:rPr>
              <w:t>NORD</w:t>
            </w:r>
          </w:p>
          <w:p w14:paraId="1518317B" w14:textId="77777777" w:rsidR="00936847" w:rsidRPr="009C5F11" w:rsidRDefault="00421FA7" w:rsidP="00430626">
            <w:pPr>
              <w:tabs>
                <w:tab w:val="left" w:pos="702"/>
                <w:tab w:val="left" w:pos="5040"/>
                <w:tab w:val="right" w:pos="8504"/>
              </w:tabs>
              <w:spacing w:after="0" w:line="240" w:lineRule="auto"/>
              <w:ind w:left="25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w:t>
            </w:r>
            <w:r w:rsidR="00CE2BB1" w:rsidRPr="009C5F11">
              <w:rPr>
                <w:rFonts w:ascii="Times New Roman" w:hAnsi="Times New Roman" w:cs="Times New Roman"/>
                <w:sz w:val="18"/>
                <w:szCs w:val="14"/>
                <w:lang w:val="ro-RO" w:eastAsia="de-DE"/>
              </w:rPr>
              <w:t>ul</w:t>
            </w:r>
            <w:r w:rsidR="00936847" w:rsidRPr="009C5F11">
              <w:rPr>
                <w:rFonts w:ascii="Times New Roman" w:hAnsi="Times New Roman" w:cs="Times New Roman"/>
                <w:sz w:val="18"/>
                <w:szCs w:val="14"/>
                <w:lang w:val="ro-RO" w:eastAsia="de-DE"/>
              </w:rPr>
              <w:t xml:space="preserve"> </w:t>
            </w:r>
            <w:r w:rsidR="009D5677" w:rsidRPr="009C5F11">
              <w:rPr>
                <w:rFonts w:ascii="Times New Roman" w:hAnsi="Times New Roman" w:cs="Times New Roman"/>
                <w:sz w:val="18"/>
                <w:szCs w:val="14"/>
                <w:lang w:val="ro-RO" w:eastAsia="de-DE"/>
              </w:rPr>
              <w:t xml:space="preserve">regional sectorial de alimentare cu apă și de canalizare pentru Regiunea de dezvoltare Nord/ </w:t>
            </w:r>
            <w:r w:rsidR="00936847" w:rsidRPr="009C5F11">
              <w:rPr>
                <w:rFonts w:ascii="Times New Roman" w:hAnsi="Times New Roman" w:cs="Times New Roman"/>
                <w:sz w:val="18"/>
                <w:szCs w:val="14"/>
                <w:lang w:val="ro-RO" w:eastAsia="de-DE"/>
              </w:rPr>
              <w:t xml:space="preserve">NORTH MOLDOVA WATER </w:t>
            </w:r>
            <w:r w:rsidR="00CE2BB1" w:rsidRPr="009C5F11">
              <w:rPr>
                <w:rFonts w:ascii="Times New Roman" w:hAnsi="Times New Roman" w:cs="Times New Roman"/>
                <w:sz w:val="18"/>
                <w:szCs w:val="14"/>
                <w:lang w:val="ro-RO" w:eastAsia="de-DE"/>
              </w:rPr>
              <w:t>are un buget de</w:t>
            </w:r>
            <w:r w:rsidR="00936847" w:rsidRPr="009C5F11">
              <w:rPr>
                <w:rFonts w:ascii="Times New Roman" w:hAnsi="Times New Roman" w:cs="Times New Roman"/>
                <w:sz w:val="18"/>
                <w:szCs w:val="14"/>
                <w:lang w:val="ro-RO" w:eastAsia="de-DE"/>
              </w:rPr>
              <w:t xml:space="preserve"> 30 </w:t>
            </w:r>
            <w:r w:rsidR="00CE2BB1" w:rsidRPr="009C5F11">
              <w:rPr>
                <w:rFonts w:ascii="Times New Roman" w:hAnsi="Times New Roman" w:cs="Times New Roman"/>
                <w:sz w:val="18"/>
                <w:szCs w:val="14"/>
                <w:lang w:val="ro-RO" w:eastAsia="de-DE"/>
              </w:rPr>
              <w:t>milioane de euro, fiind finanţat de</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BERD</w:t>
            </w:r>
            <w:r w:rsidR="00936847" w:rsidRPr="009C5F11">
              <w:rPr>
                <w:rFonts w:ascii="Times New Roman" w:hAnsi="Times New Roman" w:cs="Times New Roman"/>
                <w:sz w:val="18"/>
                <w:szCs w:val="14"/>
                <w:lang w:val="ro-RO" w:eastAsia="de-DE"/>
              </w:rPr>
              <w:t xml:space="preserve"> (10 </w:t>
            </w:r>
            <w:r w:rsidR="00CE2BB1" w:rsidRPr="009C5F11">
              <w:rPr>
                <w:rFonts w:ascii="Times New Roman" w:hAnsi="Times New Roman" w:cs="Times New Roman"/>
                <w:sz w:val="18"/>
                <w:szCs w:val="14"/>
                <w:lang w:val="ro-RO" w:eastAsia="de-DE"/>
              </w:rPr>
              <w:t>milioane de euro</w:t>
            </w:r>
            <w:r w:rsidR="00936847" w:rsidRPr="009C5F11">
              <w:rPr>
                <w:rFonts w:ascii="Times New Roman" w:hAnsi="Times New Roman" w:cs="Times New Roman"/>
                <w:sz w:val="18"/>
                <w:szCs w:val="14"/>
                <w:lang w:val="ro-RO" w:eastAsia="de-DE"/>
              </w:rPr>
              <w:t xml:space="preserve"> </w:t>
            </w:r>
            <w:r w:rsidR="00B95682" w:rsidRPr="009C5F11">
              <w:rPr>
                <w:rFonts w:ascii="Times New Roman" w:hAnsi="Times New Roman" w:cs="Times New Roman"/>
                <w:sz w:val="18"/>
                <w:szCs w:val="14"/>
                <w:lang w:val="ro-RO" w:eastAsia="de-DE"/>
              </w:rPr>
              <w:t>în calitate de împrumut suveran</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BEI</w:t>
            </w:r>
            <w:r w:rsidR="00936847" w:rsidRPr="009C5F11">
              <w:rPr>
                <w:rFonts w:ascii="Times New Roman" w:hAnsi="Times New Roman" w:cs="Times New Roman"/>
                <w:sz w:val="18"/>
                <w:szCs w:val="14"/>
                <w:lang w:val="ro-RO" w:eastAsia="de-DE"/>
              </w:rPr>
              <w:t xml:space="preserve"> (10 </w:t>
            </w:r>
            <w:r w:rsidR="00CE2BB1" w:rsidRPr="009C5F11">
              <w:rPr>
                <w:rFonts w:ascii="Times New Roman" w:hAnsi="Times New Roman" w:cs="Times New Roman"/>
                <w:sz w:val="18"/>
                <w:szCs w:val="14"/>
                <w:lang w:val="ro-RO" w:eastAsia="de-DE"/>
              </w:rPr>
              <w:t>milioane de euro</w:t>
            </w:r>
            <w:r w:rsidR="00936847" w:rsidRPr="009C5F11">
              <w:rPr>
                <w:rFonts w:ascii="Times New Roman" w:hAnsi="Times New Roman" w:cs="Times New Roman"/>
                <w:sz w:val="18"/>
                <w:szCs w:val="14"/>
                <w:lang w:val="ro-RO" w:eastAsia="de-DE"/>
              </w:rPr>
              <w:t xml:space="preserve"> </w:t>
            </w:r>
            <w:r w:rsidR="00B95682" w:rsidRPr="009C5F11">
              <w:rPr>
                <w:rFonts w:ascii="Times New Roman" w:hAnsi="Times New Roman" w:cs="Times New Roman"/>
                <w:sz w:val="18"/>
                <w:szCs w:val="14"/>
                <w:lang w:val="ro-RO" w:eastAsia="de-DE"/>
              </w:rPr>
              <w:t>în calitate de împrumut suveran</w:t>
            </w:r>
            <w:r w:rsidR="00936847"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şi </w:t>
            </w:r>
            <w:r w:rsidR="00FD5F1C" w:rsidRPr="009C5F11">
              <w:rPr>
                <w:rFonts w:ascii="Times New Roman" w:hAnsi="Times New Roman" w:cs="Times New Roman"/>
                <w:sz w:val="18"/>
                <w:szCs w:val="14"/>
                <w:lang w:val="ro-RO" w:eastAsia="de-DE"/>
              </w:rPr>
              <w:t>UE prin intermediul NIF</w:t>
            </w:r>
            <w:r w:rsidR="00936847" w:rsidRPr="009C5F11">
              <w:rPr>
                <w:rFonts w:ascii="Times New Roman" w:hAnsi="Times New Roman" w:cs="Times New Roman"/>
                <w:sz w:val="18"/>
                <w:szCs w:val="14"/>
                <w:lang w:val="ro-RO" w:eastAsia="de-DE"/>
              </w:rPr>
              <w:t xml:space="preserve"> (10 </w:t>
            </w:r>
            <w:r w:rsidR="00CE2BB1" w:rsidRPr="009C5F11">
              <w:rPr>
                <w:rFonts w:ascii="Times New Roman" w:hAnsi="Times New Roman" w:cs="Times New Roman"/>
                <w:sz w:val="18"/>
                <w:szCs w:val="14"/>
                <w:lang w:val="ro-RO" w:eastAsia="de-DE"/>
              </w:rPr>
              <w:t>milioane de euro</w:t>
            </w:r>
            <w:r w:rsidR="00936847" w:rsidRPr="009C5F11">
              <w:rPr>
                <w:rFonts w:ascii="Times New Roman" w:hAnsi="Times New Roman" w:cs="Times New Roman"/>
                <w:sz w:val="18"/>
                <w:szCs w:val="14"/>
                <w:lang w:val="ro-RO" w:eastAsia="de-DE"/>
              </w:rPr>
              <w:t>, grant</w:t>
            </w:r>
            <w:r w:rsidR="00B95682" w:rsidRPr="009C5F11">
              <w:rPr>
                <w:rFonts w:ascii="Times New Roman" w:hAnsi="Times New Roman" w:cs="Times New Roman"/>
                <w:sz w:val="18"/>
                <w:szCs w:val="14"/>
                <w:lang w:val="ro-RO" w:eastAsia="de-DE"/>
              </w:rPr>
              <w:t xml:space="preserve"> de </w:t>
            </w:r>
            <w:r w:rsidR="0087273F" w:rsidRPr="009C5F11">
              <w:rPr>
                <w:rFonts w:ascii="Times New Roman" w:hAnsi="Times New Roman" w:cs="Times New Roman"/>
                <w:sz w:val="18"/>
                <w:szCs w:val="14"/>
                <w:lang w:val="ro-RO" w:eastAsia="de-DE"/>
              </w:rPr>
              <w:t>cofinanțare</w:t>
            </w:r>
            <w:r w:rsidR="00936847" w:rsidRPr="009C5F11">
              <w:rPr>
                <w:rFonts w:ascii="Times New Roman" w:hAnsi="Times New Roman" w:cs="Times New Roman"/>
                <w:sz w:val="18"/>
                <w:szCs w:val="14"/>
                <w:lang w:val="ro-RO" w:eastAsia="de-DE"/>
              </w:rPr>
              <w:t>)</w:t>
            </w:r>
            <w:r w:rsidR="00B95682" w:rsidRPr="009C5F11">
              <w:rPr>
                <w:rFonts w:ascii="Times New Roman" w:hAnsi="Times New Roman" w:cs="Times New Roman"/>
                <w:sz w:val="18"/>
                <w:szCs w:val="14"/>
                <w:lang w:val="ro-RO" w:eastAsia="de-DE"/>
              </w:rPr>
              <w:t>.</w:t>
            </w:r>
          </w:p>
          <w:p w14:paraId="5C2EE86A" w14:textId="77777777" w:rsidR="00936847" w:rsidRPr="009C5F11" w:rsidRDefault="00B95682" w:rsidP="00430626">
            <w:pPr>
              <w:tabs>
                <w:tab w:val="left" w:pos="702"/>
                <w:tab w:val="left" w:pos="5040"/>
                <w:tab w:val="right" w:pos="8504"/>
              </w:tabs>
              <w:spacing w:after="0" w:line="240" w:lineRule="auto"/>
              <w:ind w:left="25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lastRenderedPageBreak/>
              <w:t>Debitor este</w:t>
            </w:r>
            <w:r w:rsidR="00936847" w:rsidRPr="009C5F11">
              <w:rPr>
                <w:rFonts w:ascii="Times New Roman" w:hAnsi="Times New Roman" w:cs="Times New Roman"/>
                <w:sz w:val="18"/>
                <w:szCs w:val="14"/>
                <w:lang w:val="ro-RO" w:eastAsia="de-DE"/>
              </w:rPr>
              <w:t xml:space="preserve"> </w:t>
            </w:r>
            <w:r w:rsidR="00800247" w:rsidRPr="009C5F11">
              <w:rPr>
                <w:rFonts w:ascii="Times New Roman" w:hAnsi="Times New Roman" w:cs="Times New Roman"/>
                <w:sz w:val="18"/>
                <w:szCs w:val="14"/>
                <w:lang w:val="ro-RO" w:eastAsia="de-DE"/>
              </w:rPr>
              <w:t>Guvernul</w:t>
            </w:r>
            <w:r w:rsidR="00936847" w:rsidRPr="009C5F11">
              <w:rPr>
                <w:rFonts w:ascii="Times New Roman" w:hAnsi="Times New Roman" w:cs="Times New Roman"/>
                <w:sz w:val="18"/>
                <w:szCs w:val="14"/>
                <w:lang w:val="ro-RO" w:eastAsia="de-DE"/>
              </w:rPr>
              <w:t xml:space="preserve"> </w:t>
            </w:r>
            <w:r w:rsidR="00137156" w:rsidRPr="009C5F11">
              <w:rPr>
                <w:rFonts w:ascii="Times New Roman" w:hAnsi="Times New Roman" w:cs="Times New Roman"/>
                <w:sz w:val="18"/>
                <w:szCs w:val="14"/>
                <w:lang w:val="ro-RO" w:eastAsia="de-DE"/>
              </w:rPr>
              <w:t>Republicii Moldova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reprezentat de</w:t>
            </w:r>
            <w:r w:rsidR="00936847" w:rsidRPr="009C5F11">
              <w:rPr>
                <w:rFonts w:ascii="Times New Roman" w:hAnsi="Times New Roman" w:cs="Times New Roman"/>
                <w:sz w:val="18"/>
                <w:szCs w:val="14"/>
                <w:lang w:val="ro-RO" w:eastAsia="de-DE"/>
              </w:rPr>
              <w:t xml:space="preserve"> </w:t>
            </w:r>
            <w:r w:rsidR="00D55D28" w:rsidRPr="009C5F11">
              <w:rPr>
                <w:rFonts w:ascii="Times New Roman" w:hAnsi="Times New Roman" w:cs="Times New Roman"/>
                <w:sz w:val="18"/>
                <w:szCs w:val="14"/>
                <w:lang w:val="ro-RO" w:eastAsia="de-DE"/>
              </w:rPr>
              <w:t>Ministerul</w:t>
            </w:r>
            <w:r w:rsidR="00321CD5" w:rsidRPr="009C5F11">
              <w:rPr>
                <w:rFonts w:ascii="Times New Roman" w:hAnsi="Times New Roman" w:cs="Times New Roman"/>
                <w:sz w:val="18"/>
                <w:szCs w:val="14"/>
                <w:lang w:val="ro-RO" w:eastAsia="de-DE"/>
              </w:rPr>
              <w:t xml:space="preserve"> Finanţelor</w:t>
            </w:r>
            <w:r w:rsidR="00936847" w:rsidRPr="009C5F11">
              <w:rPr>
                <w:rFonts w:ascii="Times New Roman" w:hAnsi="Times New Roman" w:cs="Times New Roman"/>
                <w:sz w:val="18"/>
                <w:szCs w:val="14"/>
                <w:lang w:val="ro-RO" w:eastAsia="de-DE"/>
              </w:rPr>
              <w:t>.</w:t>
            </w:r>
          </w:p>
          <w:p w14:paraId="0E971536" w14:textId="77777777" w:rsidR="00936847" w:rsidRPr="009C5F11" w:rsidRDefault="00936847" w:rsidP="00430626">
            <w:pPr>
              <w:tabs>
                <w:tab w:val="left" w:pos="702"/>
                <w:tab w:val="left" w:pos="5040"/>
                <w:tab w:val="right" w:pos="8504"/>
              </w:tabs>
              <w:spacing w:after="0" w:line="240" w:lineRule="auto"/>
              <w:ind w:left="252"/>
              <w:jc w:val="both"/>
              <w:rPr>
                <w:rFonts w:ascii="Times New Roman" w:hAnsi="Times New Roman" w:cs="Times New Roman"/>
                <w:sz w:val="18"/>
                <w:szCs w:val="14"/>
                <w:lang w:val="ro-RO" w:eastAsia="de-DE"/>
              </w:rPr>
            </w:pPr>
          </w:p>
          <w:p w14:paraId="55155EE8" w14:textId="77777777" w:rsidR="00936847" w:rsidRPr="009C5F11" w:rsidRDefault="00B95682" w:rsidP="00334F3B">
            <w:pPr>
              <w:numPr>
                <w:ilvl w:val="0"/>
                <w:numId w:val="108"/>
              </w:numPr>
              <w:tabs>
                <w:tab w:val="left" w:pos="702"/>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FINANŢAREA</w:t>
            </w:r>
            <w:r w:rsidR="00936847" w:rsidRPr="009C5F11">
              <w:rPr>
                <w:rFonts w:ascii="Times New Roman" w:hAnsi="Times New Roman" w:cs="Times New Roman"/>
                <w:b/>
                <w:sz w:val="18"/>
                <w:szCs w:val="14"/>
                <w:lang w:val="ro-RO" w:eastAsia="de-DE"/>
              </w:rPr>
              <w:t xml:space="preserve"> </w:t>
            </w:r>
            <w:r w:rsidRPr="009C5F11">
              <w:rPr>
                <w:rFonts w:ascii="Times New Roman" w:hAnsi="Times New Roman" w:cs="Times New Roman"/>
                <w:b/>
                <w:sz w:val="18"/>
                <w:szCs w:val="14"/>
                <w:lang w:val="ro-RO" w:eastAsia="de-DE"/>
              </w:rPr>
              <w:t>STAŢI</w:t>
            </w:r>
            <w:r w:rsidR="00D042F1" w:rsidRPr="009C5F11">
              <w:rPr>
                <w:rFonts w:ascii="Times New Roman" w:hAnsi="Times New Roman" w:cs="Times New Roman"/>
                <w:b/>
                <w:sz w:val="18"/>
                <w:szCs w:val="14"/>
                <w:lang w:val="ro-RO" w:eastAsia="de-DE"/>
              </w:rPr>
              <w:t>EI</w:t>
            </w:r>
            <w:r w:rsidRPr="009C5F11">
              <w:rPr>
                <w:rFonts w:ascii="Times New Roman" w:hAnsi="Times New Roman" w:cs="Times New Roman"/>
                <w:b/>
                <w:sz w:val="18"/>
                <w:szCs w:val="14"/>
                <w:lang w:val="ro-RO" w:eastAsia="de-DE"/>
              </w:rPr>
              <w:t xml:space="preserve"> DE POMPARE </w:t>
            </w:r>
            <w:r w:rsidR="00936847" w:rsidRPr="009C5F11">
              <w:rPr>
                <w:rFonts w:ascii="Times New Roman" w:hAnsi="Times New Roman" w:cs="Times New Roman"/>
                <w:b/>
                <w:sz w:val="18"/>
                <w:szCs w:val="14"/>
                <w:lang w:val="ro-RO" w:eastAsia="de-DE"/>
              </w:rPr>
              <w:t>SOROCA-B</w:t>
            </w:r>
            <w:r w:rsidRPr="009C5F11">
              <w:rPr>
                <w:rFonts w:ascii="Times New Roman" w:hAnsi="Times New Roman" w:cs="Times New Roman"/>
                <w:b/>
                <w:sz w:val="18"/>
                <w:szCs w:val="14"/>
                <w:lang w:val="ro-RO" w:eastAsia="de-DE"/>
              </w:rPr>
              <w:t>Ă</w:t>
            </w:r>
            <w:r w:rsidR="00936847" w:rsidRPr="009C5F11">
              <w:rPr>
                <w:rFonts w:ascii="Times New Roman" w:hAnsi="Times New Roman" w:cs="Times New Roman"/>
                <w:b/>
                <w:sz w:val="18"/>
                <w:szCs w:val="14"/>
                <w:lang w:val="ro-RO" w:eastAsia="de-DE"/>
              </w:rPr>
              <w:t>L</w:t>
            </w:r>
            <w:r w:rsidRPr="009C5F11">
              <w:rPr>
                <w:rFonts w:ascii="Times New Roman" w:hAnsi="Times New Roman" w:cs="Times New Roman"/>
                <w:b/>
                <w:sz w:val="18"/>
                <w:szCs w:val="14"/>
                <w:lang w:val="ro-RO" w:eastAsia="de-DE"/>
              </w:rPr>
              <w:t>Ţ</w:t>
            </w:r>
            <w:r w:rsidR="00936847" w:rsidRPr="009C5F11">
              <w:rPr>
                <w:rFonts w:ascii="Times New Roman" w:hAnsi="Times New Roman" w:cs="Times New Roman"/>
                <w:b/>
                <w:sz w:val="18"/>
                <w:szCs w:val="14"/>
                <w:lang w:val="ro-RO" w:eastAsia="de-DE"/>
              </w:rPr>
              <w:t xml:space="preserve">I </w:t>
            </w:r>
            <w:r w:rsidR="00321CD5" w:rsidRPr="009C5F11">
              <w:rPr>
                <w:rFonts w:ascii="Times New Roman" w:hAnsi="Times New Roman" w:cs="Times New Roman"/>
                <w:b/>
                <w:sz w:val="18"/>
                <w:szCs w:val="14"/>
                <w:lang w:val="ro-RO" w:eastAsia="de-DE"/>
              </w:rPr>
              <w:t xml:space="preserve">şi </w:t>
            </w:r>
            <w:r w:rsidRPr="009C5F11">
              <w:rPr>
                <w:rFonts w:ascii="Times New Roman" w:hAnsi="Times New Roman" w:cs="Times New Roman"/>
                <w:b/>
                <w:sz w:val="18"/>
                <w:szCs w:val="14"/>
                <w:lang w:val="ro-RO" w:eastAsia="de-DE"/>
              </w:rPr>
              <w:t>alt</w:t>
            </w:r>
            <w:r w:rsidR="00C87EEA" w:rsidRPr="009C5F11">
              <w:rPr>
                <w:rFonts w:ascii="Times New Roman" w:hAnsi="Times New Roman" w:cs="Times New Roman"/>
                <w:b/>
                <w:sz w:val="18"/>
                <w:szCs w:val="14"/>
                <w:lang w:val="ro-RO" w:eastAsia="de-DE"/>
              </w:rPr>
              <w:t>or</w:t>
            </w:r>
            <w:r w:rsidRPr="009C5F11">
              <w:rPr>
                <w:rFonts w:ascii="Times New Roman" w:hAnsi="Times New Roman" w:cs="Times New Roman"/>
                <w:b/>
                <w:sz w:val="18"/>
                <w:szCs w:val="14"/>
                <w:lang w:val="ro-RO" w:eastAsia="de-DE"/>
              </w:rPr>
              <w:t xml:space="preserve"> staţii mici de pompare din </w:t>
            </w:r>
            <w:r w:rsidR="00223DAC" w:rsidRPr="009C5F11">
              <w:rPr>
                <w:rFonts w:ascii="Times New Roman" w:hAnsi="Times New Roman" w:cs="Times New Roman"/>
                <w:b/>
                <w:sz w:val="18"/>
                <w:szCs w:val="14"/>
                <w:lang w:val="ro-RO" w:eastAsia="de-DE"/>
              </w:rPr>
              <w:t>Republica Moldova</w:t>
            </w:r>
          </w:p>
          <w:p w14:paraId="2FE6BD27" w14:textId="77777777" w:rsidR="00936847" w:rsidRPr="009C5F11" w:rsidRDefault="00B95682" w:rsidP="00430626">
            <w:pPr>
              <w:tabs>
                <w:tab w:val="left" w:pos="702"/>
                <w:tab w:val="left" w:pos="5040"/>
                <w:tab w:val="right" w:pos="8504"/>
              </w:tabs>
              <w:spacing w:after="0" w:line="240" w:lineRule="auto"/>
              <w:ind w:left="25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Acest</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proiect</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va fi susţinut de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Fondul Ecologic Naţional</w:t>
            </w:r>
            <w:r w:rsidR="00321CD5" w:rsidRPr="009C5F11">
              <w:rPr>
                <w:rFonts w:ascii="Times New Roman" w:hAnsi="Times New Roman" w:cs="Times New Roman"/>
                <w:sz w:val="18"/>
                <w:szCs w:val="14"/>
                <w:lang w:val="ro-RO" w:eastAsia="de-DE"/>
              </w:rPr>
              <w:t xml:space="preserve"> şi </w:t>
            </w:r>
            <w:r w:rsidR="00E550A4" w:rsidRPr="009C5F11">
              <w:rPr>
                <w:rFonts w:ascii="Times New Roman" w:hAnsi="Times New Roman" w:cs="Times New Roman"/>
                <w:sz w:val="18"/>
                <w:szCs w:val="14"/>
                <w:lang w:val="ro-RO" w:eastAsia="de-DE"/>
              </w:rPr>
              <w:t>va utiliza</w:t>
            </w:r>
            <w:r w:rsidRPr="009C5F11">
              <w:rPr>
                <w:rFonts w:ascii="Times New Roman" w:hAnsi="Times New Roman" w:cs="Times New Roman"/>
                <w:sz w:val="18"/>
                <w:szCs w:val="14"/>
                <w:lang w:val="ro-RO" w:eastAsia="de-DE"/>
              </w:rPr>
              <w:t xml:space="preserve"> circa</w:t>
            </w:r>
            <w:r w:rsidR="00936847" w:rsidRPr="009C5F11">
              <w:rPr>
                <w:rFonts w:ascii="Times New Roman" w:hAnsi="Times New Roman" w:cs="Times New Roman"/>
                <w:sz w:val="18"/>
                <w:szCs w:val="14"/>
                <w:lang w:val="ro-RO" w:eastAsia="de-DE"/>
              </w:rPr>
              <w:t xml:space="preserve"> 4</w:t>
            </w:r>
            <w:r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milioane euro</w:t>
            </w:r>
            <w:r w:rsidR="00936847" w:rsidRPr="009C5F11">
              <w:rPr>
                <w:rFonts w:ascii="Times New Roman" w:hAnsi="Times New Roman" w:cs="Times New Roman"/>
                <w:sz w:val="18"/>
                <w:szCs w:val="14"/>
                <w:lang w:val="ro-RO" w:eastAsia="de-DE"/>
              </w:rPr>
              <w:t xml:space="preserve"> </w:t>
            </w:r>
            <w:r w:rsidR="00360BED" w:rsidRPr="009C5F11">
              <w:rPr>
                <w:rFonts w:ascii="Times New Roman" w:hAnsi="Times New Roman" w:cs="Times New Roman"/>
                <w:sz w:val="18"/>
                <w:szCs w:val="14"/>
                <w:lang w:val="ro-RO" w:eastAsia="de-DE"/>
              </w:rPr>
              <w:t xml:space="preserve">Pe parcursul </w:t>
            </w:r>
            <w:r w:rsidRPr="009C5F11">
              <w:rPr>
                <w:rFonts w:ascii="Times New Roman" w:hAnsi="Times New Roman" w:cs="Times New Roman"/>
                <w:sz w:val="18"/>
                <w:szCs w:val="14"/>
                <w:lang w:val="ro-RO" w:eastAsia="de-DE"/>
              </w:rPr>
              <w:t>perioadei</w:t>
            </w:r>
            <w:r w:rsidR="00936847" w:rsidRPr="009C5F11">
              <w:rPr>
                <w:rFonts w:ascii="Times New Roman" w:hAnsi="Times New Roman" w:cs="Times New Roman"/>
                <w:sz w:val="18"/>
                <w:szCs w:val="14"/>
                <w:lang w:val="ro-RO" w:eastAsia="de-DE"/>
              </w:rPr>
              <w:t xml:space="preserve"> 2011-2015 </w:t>
            </w:r>
            <w:r w:rsidRPr="009C5F11">
              <w:rPr>
                <w:rFonts w:ascii="Times New Roman" w:hAnsi="Times New Roman" w:cs="Times New Roman"/>
                <w:sz w:val="18"/>
                <w:szCs w:val="14"/>
                <w:lang w:val="ro-RO" w:eastAsia="de-DE"/>
              </w:rPr>
              <w:t xml:space="preserve">în acest scop au fost efectuate </w:t>
            </w:r>
            <w:r w:rsidR="004E138F" w:rsidRPr="009C5F11">
              <w:rPr>
                <w:rFonts w:ascii="Times New Roman" w:hAnsi="Times New Roman" w:cs="Times New Roman"/>
                <w:sz w:val="18"/>
                <w:szCs w:val="14"/>
                <w:lang w:val="ro-RO" w:eastAsia="de-DE"/>
              </w:rPr>
              <w:t>investiţii</w:t>
            </w:r>
            <w:r w:rsidRPr="009C5F11">
              <w:rPr>
                <w:rFonts w:ascii="Times New Roman" w:hAnsi="Times New Roman" w:cs="Times New Roman"/>
                <w:sz w:val="18"/>
                <w:szCs w:val="14"/>
                <w:lang w:val="ro-RO" w:eastAsia="de-DE"/>
              </w:rPr>
              <w:t xml:space="preserve"> în valoare de</w:t>
            </w:r>
            <w:r w:rsidR="00936847" w:rsidRPr="009C5F11">
              <w:rPr>
                <w:rFonts w:ascii="Times New Roman" w:hAnsi="Times New Roman" w:cs="Times New Roman"/>
                <w:sz w:val="18"/>
                <w:szCs w:val="14"/>
                <w:lang w:val="ro-RO" w:eastAsia="de-DE"/>
              </w:rPr>
              <w:t xml:space="preserve"> 3,282,753 </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uro):</w:t>
            </w:r>
          </w:p>
          <w:p w14:paraId="41F356F6" w14:textId="77777777" w:rsidR="00936847" w:rsidRPr="009C5F11" w:rsidRDefault="00936847" w:rsidP="00334F3B">
            <w:pPr>
              <w:numPr>
                <w:ilvl w:val="0"/>
                <w:numId w:val="96"/>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2011: 8,627,345 </w:t>
            </w:r>
            <w:r w:rsidR="00421FA7" w:rsidRPr="009C5F11">
              <w:rPr>
                <w:rFonts w:ascii="Times New Roman" w:hAnsi="Times New Roman" w:cs="Times New Roman"/>
                <w:sz w:val="18"/>
                <w:szCs w:val="14"/>
                <w:lang w:val="ro-RO" w:eastAsia="de-DE"/>
              </w:rPr>
              <w:t>lei</w:t>
            </w:r>
            <w:r w:rsidRPr="009C5F11">
              <w:rPr>
                <w:rFonts w:ascii="Times New Roman" w:hAnsi="Times New Roman" w:cs="Times New Roman"/>
                <w:sz w:val="18"/>
                <w:szCs w:val="14"/>
                <w:lang w:val="ro-RO" w:eastAsia="de-DE"/>
              </w:rPr>
              <w:t xml:space="preserve"> (~556,603 </w:t>
            </w:r>
            <w:r w:rsidR="00B95682"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uro)</w:t>
            </w:r>
            <w:r w:rsidR="00B95682" w:rsidRPr="009C5F11">
              <w:rPr>
                <w:rFonts w:ascii="Times New Roman" w:hAnsi="Times New Roman" w:cs="Times New Roman"/>
                <w:sz w:val="18"/>
                <w:szCs w:val="14"/>
                <w:lang w:val="ro-RO" w:eastAsia="de-DE"/>
              </w:rPr>
              <w:t>;</w:t>
            </w:r>
          </w:p>
          <w:p w14:paraId="2F5BF462" w14:textId="77777777" w:rsidR="00936847" w:rsidRPr="009C5F11" w:rsidRDefault="00936847" w:rsidP="00334F3B">
            <w:pPr>
              <w:numPr>
                <w:ilvl w:val="0"/>
                <w:numId w:val="96"/>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2012: 23,894,128 </w:t>
            </w:r>
            <w:r w:rsidR="00421FA7" w:rsidRPr="009C5F11">
              <w:rPr>
                <w:rFonts w:ascii="Times New Roman" w:hAnsi="Times New Roman" w:cs="Times New Roman"/>
                <w:sz w:val="18"/>
                <w:szCs w:val="14"/>
                <w:lang w:val="ro-RO" w:eastAsia="de-DE"/>
              </w:rPr>
              <w:t>lei</w:t>
            </w:r>
            <w:r w:rsidRPr="009C5F11">
              <w:rPr>
                <w:rFonts w:ascii="Times New Roman" w:hAnsi="Times New Roman" w:cs="Times New Roman"/>
                <w:sz w:val="18"/>
                <w:szCs w:val="14"/>
                <w:lang w:val="ro-RO" w:eastAsia="de-DE"/>
              </w:rPr>
              <w:t xml:space="preserve"> (~1,535,750 </w:t>
            </w:r>
            <w:r w:rsidR="00B95682"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uro)</w:t>
            </w:r>
            <w:r w:rsidR="00B95682" w:rsidRPr="009C5F11">
              <w:rPr>
                <w:rFonts w:ascii="Times New Roman" w:hAnsi="Times New Roman" w:cs="Times New Roman"/>
                <w:sz w:val="18"/>
                <w:szCs w:val="14"/>
                <w:lang w:val="ro-RO" w:eastAsia="de-DE"/>
              </w:rPr>
              <w:t>;</w:t>
            </w:r>
          </w:p>
          <w:p w14:paraId="75BB2558" w14:textId="77777777" w:rsidR="00936847" w:rsidRPr="009C5F11" w:rsidRDefault="00936847" w:rsidP="00334F3B">
            <w:pPr>
              <w:numPr>
                <w:ilvl w:val="0"/>
                <w:numId w:val="96"/>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2013: 4,600,000 </w:t>
            </w:r>
            <w:r w:rsidR="00421FA7" w:rsidRPr="009C5F11">
              <w:rPr>
                <w:rFonts w:ascii="Times New Roman" w:hAnsi="Times New Roman" w:cs="Times New Roman"/>
                <w:sz w:val="18"/>
                <w:szCs w:val="14"/>
                <w:lang w:val="ro-RO" w:eastAsia="de-DE"/>
              </w:rPr>
              <w:t>lei</w:t>
            </w:r>
            <w:r w:rsidRPr="009C5F11">
              <w:rPr>
                <w:rFonts w:ascii="Times New Roman" w:hAnsi="Times New Roman" w:cs="Times New Roman"/>
                <w:sz w:val="18"/>
                <w:szCs w:val="14"/>
                <w:lang w:val="ro-RO" w:eastAsia="de-DE"/>
              </w:rPr>
              <w:t xml:space="preserve"> (~273,809 </w:t>
            </w:r>
            <w:r w:rsidR="00B95682"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uro)</w:t>
            </w:r>
            <w:r w:rsidR="00B95682" w:rsidRPr="009C5F11">
              <w:rPr>
                <w:rFonts w:ascii="Times New Roman" w:hAnsi="Times New Roman" w:cs="Times New Roman"/>
                <w:sz w:val="18"/>
                <w:szCs w:val="14"/>
                <w:lang w:val="ro-RO" w:eastAsia="de-DE"/>
              </w:rPr>
              <w:t>;</w:t>
            </w:r>
          </w:p>
          <w:p w14:paraId="2794A7B1" w14:textId="77777777" w:rsidR="00936847" w:rsidRPr="009C5F11" w:rsidRDefault="00936847" w:rsidP="00334F3B">
            <w:pPr>
              <w:numPr>
                <w:ilvl w:val="0"/>
                <w:numId w:val="96"/>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2014: 7,807,453 </w:t>
            </w:r>
            <w:r w:rsidR="00421FA7" w:rsidRPr="009C5F11">
              <w:rPr>
                <w:rFonts w:ascii="Times New Roman" w:hAnsi="Times New Roman" w:cs="Times New Roman"/>
                <w:sz w:val="18"/>
                <w:szCs w:val="14"/>
                <w:lang w:val="ro-RO" w:eastAsia="de-DE"/>
              </w:rPr>
              <w:t>lei</w:t>
            </w:r>
            <w:r w:rsidRPr="009C5F11">
              <w:rPr>
                <w:rFonts w:ascii="Times New Roman" w:hAnsi="Times New Roman" w:cs="Times New Roman"/>
                <w:sz w:val="18"/>
                <w:szCs w:val="14"/>
                <w:lang w:val="ro-RO" w:eastAsia="de-DE"/>
              </w:rPr>
              <w:t xml:space="preserve"> (~422,024 </w:t>
            </w:r>
            <w:r w:rsidR="00B95682"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uro)</w:t>
            </w:r>
            <w:r w:rsidR="00B95682" w:rsidRPr="009C5F11">
              <w:rPr>
                <w:rFonts w:ascii="Times New Roman" w:hAnsi="Times New Roman" w:cs="Times New Roman"/>
                <w:sz w:val="18"/>
                <w:szCs w:val="14"/>
                <w:lang w:val="ro-RO" w:eastAsia="de-DE"/>
              </w:rPr>
              <w:t>;</w:t>
            </w:r>
          </w:p>
          <w:p w14:paraId="0CF1FB8F" w14:textId="77777777" w:rsidR="00936847" w:rsidRPr="009C5F11" w:rsidRDefault="00936847" w:rsidP="00334F3B">
            <w:pPr>
              <w:numPr>
                <w:ilvl w:val="0"/>
                <w:numId w:val="96"/>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2015: 9,891,349 </w:t>
            </w:r>
            <w:r w:rsidR="00421FA7" w:rsidRPr="009C5F11">
              <w:rPr>
                <w:rFonts w:ascii="Times New Roman" w:hAnsi="Times New Roman" w:cs="Times New Roman"/>
                <w:sz w:val="18"/>
                <w:szCs w:val="14"/>
                <w:lang w:val="ro-RO" w:eastAsia="de-DE"/>
              </w:rPr>
              <w:t>lei</w:t>
            </w:r>
            <w:r w:rsidRPr="009C5F11">
              <w:rPr>
                <w:rFonts w:ascii="Times New Roman" w:hAnsi="Times New Roman" w:cs="Times New Roman"/>
                <w:sz w:val="18"/>
                <w:szCs w:val="14"/>
                <w:lang w:val="ro-RO" w:eastAsia="de-DE"/>
              </w:rPr>
              <w:t xml:space="preserve"> (~494,567 </w:t>
            </w:r>
            <w:r w:rsidR="00B95682"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uro)</w:t>
            </w:r>
            <w:r w:rsidR="00B95682" w:rsidRPr="009C5F11">
              <w:rPr>
                <w:rFonts w:ascii="Times New Roman" w:hAnsi="Times New Roman" w:cs="Times New Roman"/>
                <w:sz w:val="18"/>
                <w:szCs w:val="14"/>
                <w:lang w:val="ro-RO" w:eastAsia="de-DE"/>
              </w:rPr>
              <w:t>.</w:t>
            </w:r>
          </w:p>
          <w:p w14:paraId="3A4C50A7" w14:textId="77777777" w:rsidR="00936847" w:rsidRPr="009C5F11" w:rsidRDefault="00334DD0" w:rsidP="00B40DB5">
            <w:pPr>
              <w:tabs>
                <w:tab w:val="left" w:pos="702"/>
                <w:tab w:val="left" w:pos="5040"/>
                <w:tab w:val="right" w:pos="8504"/>
              </w:tabs>
              <w:spacing w:after="0" w:line="240" w:lineRule="auto"/>
              <w:ind w:left="293"/>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În </w:t>
            </w:r>
            <w:r w:rsidR="00936847" w:rsidRPr="009C5F11">
              <w:rPr>
                <w:rFonts w:ascii="Times New Roman" w:hAnsi="Times New Roman" w:cs="Times New Roman"/>
                <w:sz w:val="18"/>
                <w:szCs w:val="14"/>
                <w:lang w:val="ro-RO" w:eastAsia="de-DE"/>
              </w:rPr>
              <w:t xml:space="preserve">2016 </w:t>
            </w:r>
            <w:r w:rsidR="00B95682" w:rsidRPr="009C5F11">
              <w:rPr>
                <w:rFonts w:ascii="Times New Roman" w:hAnsi="Times New Roman" w:cs="Times New Roman"/>
                <w:sz w:val="18"/>
                <w:szCs w:val="14"/>
                <w:lang w:val="ro-RO" w:eastAsia="de-DE"/>
              </w:rPr>
              <w:t xml:space="preserve">se preconizează alocarea a circa </w:t>
            </w:r>
            <w:r w:rsidR="00936847" w:rsidRPr="009C5F11">
              <w:rPr>
                <w:rFonts w:ascii="Times New Roman" w:hAnsi="Times New Roman" w:cs="Times New Roman"/>
                <w:sz w:val="18"/>
                <w:szCs w:val="14"/>
                <w:lang w:val="ro-RO" w:eastAsia="de-DE"/>
              </w:rPr>
              <w:t xml:space="preserve">700,000 </w:t>
            </w:r>
            <w:r w:rsidR="00B95682"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uro</w:t>
            </w:r>
            <w:r w:rsidR="00B95682" w:rsidRPr="009C5F11">
              <w:rPr>
                <w:rFonts w:ascii="Times New Roman" w:hAnsi="Times New Roman" w:cs="Times New Roman"/>
                <w:sz w:val="18"/>
                <w:szCs w:val="14"/>
                <w:lang w:val="ro-RO" w:eastAsia="de-DE"/>
              </w:rPr>
              <w:t xml:space="preserve"> în acest scop</w:t>
            </w:r>
            <w:r w:rsidR="00936847" w:rsidRPr="009C5F11">
              <w:rPr>
                <w:rFonts w:ascii="Times New Roman" w:hAnsi="Times New Roman" w:cs="Times New Roman"/>
                <w:sz w:val="18"/>
                <w:szCs w:val="14"/>
                <w:lang w:val="ro-RO" w:eastAsia="de-DE"/>
              </w:rPr>
              <w:t>.</w:t>
            </w:r>
          </w:p>
          <w:p w14:paraId="1CBED6E2" w14:textId="77777777" w:rsidR="00936847" w:rsidRPr="009C5F11" w:rsidRDefault="00936847"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p>
          <w:p w14:paraId="60466920" w14:textId="77777777" w:rsidR="00936847" w:rsidRPr="009C5F11" w:rsidRDefault="00E46DD7" w:rsidP="00334F3B">
            <w:pPr>
              <w:numPr>
                <w:ilvl w:val="0"/>
                <w:numId w:val="108"/>
              </w:numPr>
              <w:tabs>
                <w:tab w:val="left" w:pos="702"/>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DELEGAŢIA UE</w:t>
            </w:r>
            <w:r w:rsidR="00936847" w:rsidRPr="009C5F11">
              <w:rPr>
                <w:rFonts w:ascii="Times New Roman" w:hAnsi="Times New Roman" w:cs="Times New Roman"/>
                <w:b/>
                <w:sz w:val="18"/>
                <w:szCs w:val="14"/>
                <w:lang w:val="ro-RO" w:eastAsia="de-DE"/>
              </w:rPr>
              <w:t xml:space="preserve">: </w:t>
            </w:r>
          </w:p>
          <w:p w14:paraId="083BE657" w14:textId="77777777" w:rsidR="00936847" w:rsidRPr="009C5F11" w:rsidRDefault="00B95682" w:rsidP="00334F3B">
            <w:pPr>
              <w:numPr>
                <w:ilvl w:val="0"/>
                <w:numId w:val="10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Reabilitarea serviciului de </w:t>
            </w:r>
            <w:r w:rsidR="006B1229" w:rsidRPr="009C5F11">
              <w:rPr>
                <w:rFonts w:ascii="Times New Roman" w:hAnsi="Times New Roman" w:cs="Times New Roman"/>
                <w:sz w:val="18"/>
                <w:szCs w:val="14"/>
                <w:lang w:val="ro-RO" w:eastAsia="de-DE"/>
              </w:rPr>
              <w:t>alimentare cu apă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de la Nisporeni</w:t>
            </w:r>
            <w:r w:rsidR="00936847" w:rsidRPr="009C5F11">
              <w:rPr>
                <w:rFonts w:ascii="Times New Roman" w:hAnsi="Times New Roman" w:cs="Times New Roman"/>
                <w:sz w:val="18"/>
                <w:szCs w:val="14"/>
                <w:lang w:val="ro-RO" w:eastAsia="de-DE"/>
              </w:rPr>
              <w:t xml:space="preserve"> (2010-2016): 5</w:t>
            </w:r>
            <w:r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milioane euro</w:t>
            </w:r>
            <w:r w:rsidRPr="009C5F11">
              <w:rPr>
                <w:rFonts w:ascii="Times New Roman" w:hAnsi="Times New Roman" w:cs="Times New Roman"/>
                <w:sz w:val="18"/>
                <w:szCs w:val="14"/>
                <w:lang w:val="ro-RO" w:eastAsia="de-DE"/>
              </w:rPr>
              <w:t>;</w:t>
            </w:r>
          </w:p>
          <w:p w14:paraId="7D0058CA" w14:textId="77777777" w:rsidR="00936847" w:rsidRPr="009C5F11" w:rsidRDefault="00B95682" w:rsidP="00334F3B">
            <w:pPr>
              <w:numPr>
                <w:ilvl w:val="0"/>
                <w:numId w:val="107"/>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Staţia de epurare a apelor uzate de la Orhei</w:t>
            </w:r>
            <w:r w:rsidR="00936847" w:rsidRPr="009C5F11">
              <w:rPr>
                <w:rFonts w:ascii="Times New Roman" w:hAnsi="Times New Roman" w:cs="Times New Roman"/>
                <w:sz w:val="18"/>
                <w:szCs w:val="14"/>
                <w:lang w:val="ro-RO" w:eastAsia="de-DE"/>
              </w:rPr>
              <w:t xml:space="preserve">: 2.84 </w:t>
            </w:r>
            <w:r w:rsidR="00421FA7" w:rsidRPr="009C5F11">
              <w:rPr>
                <w:rFonts w:ascii="Times New Roman" w:hAnsi="Times New Roman" w:cs="Times New Roman"/>
                <w:sz w:val="18"/>
                <w:szCs w:val="14"/>
                <w:lang w:val="ro-RO" w:eastAsia="de-DE"/>
              </w:rPr>
              <w:t>milioane euro</w:t>
            </w:r>
            <w:r w:rsidRPr="009C5F11">
              <w:rPr>
                <w:rFonts w:ascii="Times New Roman" w:hAnsi="Times New Roman" w:cs="Times New Roman"/>
                <w:sz w:val="18"/>
                <w:szCs w:val="14"/>
                <w:lang w:val="ro-RO" w:eastAsia="de-DE"/>
              </w:rPr>
              <w:t>.</w:t>
            </w:r>
          </w:p>
          <w:p w14:paraId="115B3EA3" w14:textId="77777777" w:rsidR="00936847" w:rsidRPr="009C5F11" w:rsidRDefault="00936847"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p>
          <w:p w14:paraId="747EB36D" w14:textId="77777777" w:rsidR="00936847" w:rsidRPr="009C5F11" w:rsidRDefault="00B95682" w:rsidP="00334F3B">
            <w:pPr>
              <w:numPr>
                <w:ilvl w:val="0"/>
                <w:numId w:val="108"/>
              </w:numPr>
              <w:tabs>
                <w:tab w:val="left" w:pos="702"/>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sz w:val="18"/>
                <w:szCs w:val="14"/>
                <w:u w:val="single"/>
                <w:lang w:val="ro-RO" w:eastAsia="de-DE"/>
              </w:rPr>
              <w:t xml:space="preserve">Prin intermediul </w:t>
            </w:r>
            <w:r w:rsidRPr="009C5F11">
              <w:rPr>
                <w:rFonts w:ascii="Times New Roman" w:hAnsi="Times New Roman" w:cs="Times New Roman"/>
                <w:b/>
                <w:sz w:val="18"/>
                <w:szCs w:val="14"/>
                <w:u w:val="single"/>
                <w:lang w:val="ro-RO" w:eastAsia="de-DE"/>
              </w:rPr>
              <w:t>PROGRAMULUI DE DEZVOLTARE A UTILITĂŢILOR DE APĂ DIN MOLDOVA</w:t>
            </w:r>
            <w:r w:rsidR="00936847" w:rsidRPr="009C5F11">
              <w:rPr>
                <w:rFonts w:ascii="Times New Roman" w:hAnsi="Times New Roman" w:cs="Times New Roman"/>
                <w:b/>
                <w:sz w:val="18"/>
                <w:szCs w:val="14"/>
                <w:lang w:val="ro-RO" w:eastAsia="de-DE"/>
              </w:rPr>
              <w:t xml:space="preserve">: </w:t>
            </w:r>
          </w:p>
          <w:p w14:paraId="3BB64FFD" w14:textId="77777777" w:rsidR="00936847" w:rsidRPr="009C5F11" w:rsidRDefault="00B95682" w:rsidP="00334F3B">
            <w:pPr>
              <w:numPr>
                <w:ilvl w:val="0"/>
                <w:numId w:val="106"/>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Realizarea </w:t>
            </w:r>
            <w:r w:rsidR="00936847" w:rsidRPr="009C5F11">
              <w:rPr>
                <w:rFonts w:ascii="Times New Roman" w:hAnsi="Times New Roman" w:cs="Times New Roman"/>
                <w:sz w:val="18"/>
                <w:szCs w:val="14"/>
                <w:lang w:val="ro-RO" w:eastAsia="de-DE"/>
              </w:rPr>
              <w:t>program</w:t>
            </w:r>
            <w:r w:rsidRPr="009C5F11">
              <w:rPr>
                <w:rFonts w:ascii="Times New Roman" w:hAnsi="Times New Roman" w:cs="Times New Roman"/>
                <w:sz w:val="18"/>
                <w:szCs w:val="14"/>
                <w:lang w:val="ro-RO" w:eastAsia="de-DE"/>
              </w:rPr>
              <w:t>ului a avut loc în perioada</w:t>
            </w:r>
            <w:r w:rsidR="00936847" w:rsidRPr="009C5F11">
              <w:rPr>
                <w:rFonts w:ascii="Times New Roman" w:hAnsi="Times New Roman" w:cs="Times New Roman"/>
                <w:sz w:val="18"/>
                <w:szCs w:val="14"/>
                <w:lang w:val="ro-RO" w:eastAsia="de-DE"/>
              </w:rPr>
              <w:t xml:space="preserve"> 2011-2015</w:t>
            </w:r>
            <w:r w:rsidRPr="009C5F11">
              <w:rPr>
                <w:rFonts w:ascii="Times New Roman" w:hAnsi="Times New Roman" w:cs="Times New Roman"/>
                <w:sz w:val="18"/>
                <w:szCs w:val="14"/>
                <w:lang w:val="ro-RO" w:eastAsia="de-DE"/>
              </w:rPr>
              <w:t>;</w:t>
            </w:r>
          </w:p>
          <w:p w14:paraId="5C276C42" w14:textId="77777777" w:rsidR="00936847" w:rsidRPr="009C5F11" w:rsidRDefault="00B95682" w:rsidP="00334F3B">
            <w:pPr>
              <w:numPr>
                <w:ilvl w:val="0"/>
                <w:numId w:val="106"/>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Finanţare</w:t>
            </w:r>
            <w:r w:rsidR="00936847" w:rsidRPr="009C5F11">
              <w:rPr>
                <w:rFonts w:ascii="Times New Roman" w:hAnsi="Times New Roman" w:cs="Times New Roman"/>
                <w:sz w:val="18"/>
                <w:szCs w:val="14"/>
                <w:lang w:val="ro-RO" w:eastAsia="de-DE"/>
              </w:rPr>
              <w:t xml:space="preserve">: 30 </w:t>
            </w:r>
            <w:r w:rsidR="00421FA7" w:rsidRPr="009C5F11">
              <w:rPr>
                <w:rFonts w:ascii="Times New Roman" w:hAnsi="Times New Roman" w:cs="Times New Roman"/>
                <w:sz w:val="18"/>
                <w:szCs w:val="14"/>
                <w:lang w:val="ro-RO" w:eastAsia="de-DE"/>
              </w:rPr>
              <w:t xml:space="preserve">milioane </w:t>
            </w:r>
            <w:r w:rsidRPr="009C5F11">
              <w:rPr>
                <w:rFonts w:ascii="Times New Roman" w:hAnsi="Times New Roman" w:cs="Times New Roman"/>
                <w:sz w:val="18"/>
                <w:szCs w:val="14"/>
                <w:lang w:val="ro-RO" w:eastAsia="de-DE"/>
              </w:rPr>
              <w:t xml:space="preserve">euro </w:t>
            </w:r>
            <w:r w:rsidR="00321CD5" w:rsidRPr="009C5F11">
              <w:rPr>
                <w:rFonts w:ascii="Times New Roman" w:hAnsi="Times New Roman" w:cs="Times New Roman"/>
                <w:sz w:val="18"/>
                <w:szCs w:val="14"/>
                <w:lang w:val="ro-RO" w:eastAsia="de-DE"/>
              </w:rPr>
              <w:t xml:space="preserve">în </w:t>
            </w:r>
            <w:r w:rsidR="00936847" w:rsidRPr="009C5F11">
              <w:rPr>
                <w:rFonts w:ascii="Times New Roman" w:hAnsi="Times New Roman" w:cs="Times New Roman"/>
                <w:sz w:val="18"/>
                <w:szCs w:val="14"/>
                <w:lang w:val="ro-RO" w:eastAsia="de-DE"/>
              </w:rPr>
              <w:t xml:space="preserve">total = </w:t>
            </w:r>
            <w:r w:rsidRPr="009C5F11">
              <w:rPr>
                <w:rFonts w:ascii="Times New Roman" w:hAnsi="Times New Roman" w:cs="Times New Roman"/>
                <w:sz w:val="18"/>
                <w:szCs w:val="14"/>
                <w:lang w:val="ro-RO" w:eastAsia="de-DE"/>
              </w:rPr>
              <w:t>împrumuturi</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BERD</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10</w:t>
            </w:r>
            <w:r w:rsidRPr="009C5F11">
              <w:rPr>
                <w:rFonts w:ascii="Times New Roman" w:hAnsi="Times New Roman" w:cs="Times New Roman"/>
                <w:sz w:val="18"/>
                <w:szCs w:val="14"/>
                <w:lang w:val="ro-RO" w:eastAsia="de-DE"/>
              </w:rPr>
              <w:t xml:space="preserve"> milioane euro</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BEI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10</w:t>
            </w:r>
            <w:r w:rsidRPr="009C5F11">
              <w:rPr>
                <w:rFonts w:ascii="Times New Roman" w:hAnsi="Times New Roman" w:cs="Times New Roman"/>
                <w:sz w:val="18"/>
                <w:szCs w:val="14"/>
                <w:lang w:val="ro-RO" w:eastAsia="de-DE"/>
              </w:rPr>
              <w:t xml:space="preserve"> milioane euro</w:t>
            </w:r>
            <w:r w:rsidR="00936847"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10</w:t>
            </w:r>
            <w:r w:rsidRPr="009C5F11">
              <w:rPr>
                <w:rFonts w:ascii="Times New Roman" w:hAnsi="Times New Roman" w:cs="Times New Roman"/>
                <w:sz w:val="18"/>
                <w:szCs w:val="14"/>
                <w:lang w:val="ro-RO" w:eastAsia="de-DE"/>
              </w:rPr>
              <w:t xml:space="preserve"> milioane euro</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gra</w:t>
            </w:r>
            <w:r w:rsidR="00292A27" w:rsidRPr="009C5F11">
              <w:rPr>
                <w:rFonts w:ascii="Times New Roman" w:hAnsi="Times New Roman" w:cs="Times New Roman"/>
                <w:sz w:val="18"/>
                <w:szCs w:val="14"/>
                <w:lang w:val="ro-RO" w:eastAsia="de-DE"/>
              </w:rPr>
              <w:t>n</w:t>
            </w:r>
            <w:r w:rsidRPr="009C5F11">
              <w:rPr>
                <w:rFonts w:ascii="Times New Roman" w:hAnsi="Times New Roman" w:cs="Times New Roman"/>
                <w:sz w:val="18"/>
                <w:szCs w:val="14"/>
                <w:lang w:val="ro-RO" w:eastAsia="de-DE"/>
              </w:rPr>
              <w:t xml:space="preserve">t </w:t>
            </w:r>
            <w:r w:rsidR="00421FA7" w:rsidRPr="009C5F11">
              <w:rPr>
                <w:rFonts w:ascii="Times New Roman" w:hAnsi="Times New Roman" w:cs="Times New Roman"/>
                <w:sz w:val="18"/>
                <w:szCs w:val="14"/>
                <w:lang w:val="ro-RO" w:eastAsia="de-DE"/>
              </w:rPr>
              <w:t>UE</w:t>
            </w:r>
            <w:r w:rsidRPr="009C5F11">
              <w:rPr>
                <w:rFonts w:ascii="Times New Roman" w:hAnsi="Times New Roman" w:cs="Times New Roman"/>
                <w:sz w:val="18"/>
                <w:szCs w:val="14"/>
                <w:lang w:val="ro-RO" w:eastAsia="de-DE"/>
              </w:rPr>
              <w:t>.</w:t>
            </w:r>
          </w:p>
          <w:p w14:paraId="6F710786" w14:textId="77777777" w:rsidR="00936847" w:rsidRPr="009C5F11" w:rsidRDefault="00936847"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p>
        </w:tc>
      </w:tr>
      <w:tr w:rsidR="00936847" w:rsidRPr="009C5F11" w14:paraId="21DCDB94" w14:textId="77777777" w:rsidTr="00BF6432">
        <w:trPr>
          <w:trHeight w:val="80"/>
        </w:trPr>
        <w:tc>
          <w:tcPr>
            <w:tcW w:w="743" w:type="pct"/>
            <w:vMerge/>
          </w:tcPr>
          <w:p w14:paraId="0A3CB10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56099A8"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75F3B7BE" w14:textId="77777777" w:rsidR="00936847" w:rsidRPr="009C5F11" w:rsidRDefault="00936847" w:rsidP="00B95682">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S.A. “Apa-Canal </w:t>
            </w:r>
            <w:r w:rsidR="00AA0566" w:rsidRPr="009C5F11">
              <w:rPr>
                <w:rFonts w:ascii="Times New Roman" w:hAnsi="Times New Roman" w:cs="Times New Roman"/>
                <w:sz w:val="18"/>
                <w:szCs w:val="14"/>
                <w:lang w:val="ro-RO" w:eastAsia="de-DE"/>
              </w:rPr>
              <w:t>Chişinău</w:t>
            </w:r>
            <w:r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şi </w:t>
            </w:r>
            <w:r w:rsidR="00B95682" w:rsidRPr="009C5F11">
              <w:rPr>
                <w:rFonts w:ascii="Times New Roman" w:hAnsi="Times New Roman" w:cs="Times New Roman"/>
                <w:sz w:val="18"/>
                <w:szCs w:val="14"/>
                <w:lang w:val="ro-RO" w:eastAsia="de-DE"/>
              </w:rPr>
              <w:t xml:space="preserve">alte servicii </w:t>
            </w:r>
            <w:r w:rsidRPr="009C5F11">
              <w:rPr>
                <w:rFonts w:ascii="Times New Roman" w:hAnsi="Times New Roman" w:cs="Times New Roman"/>
                <w:sz w:val="18"/>
                <w:szCs w:val="14"/>
                <w:lang w:val="ro-RO" w:eastAsia="de-DE"/>
              </w:rPr>
              <w:t>municipal</w:t>
            </w:r>
            <w:r w:rsidR="00B95682"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 xml:space="preserve"> / regional</w:t>
            </w:r>
            <w:r w:rsidR="00B95682"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 xml:space="preserve"> </w:t>
            </w:r>
          </w:p>
        </w:tc>
      </w:tr>
      <w:tr w:rsidR="00936847" w:rsidRPr="009C5F11" w14:paraId="7E1994E7" w14:textId="77777777" w:rsidTr="00BF6432">
        <w:trPr>
          <w:trHeight w:val="67"/>
        </w:trPr>
        <w:tc>
          <w:tcPr>
            <w:tcW w:w="743" w:type="pct"/>
            <w:vMerge/>
          </w:tcPr>
          <w:p w14:paraId="30E0717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D6CCA21"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419311CE" w14:textId="77777777" w:rsidR="00936847" w:rsidRPr="009C5F11" w:rsidRDefault="00E46DD7"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Primăria Chişinău</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alte</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APL</w:t>
            </w:r>
            <w:r w:rsidRPr="009C5F11">
              <w:rPr>
                <w:rFonts w:ascii="Times New Roman" w:hAnsi="Times New Roman" w:cs="Times New Roman"/>
                <w:sz w:val="18"/>
                <w:szCs w:val="14"/>
                <w:lang w:val="ro-RO" w:eastAsia="de-DE"/>
              </w:rPr>
              <w:t>-uri</w:t>
            </w:r>
          </w:p>
          <w:p w14:paraId="421EE00E" w14:textId="77777777" w:rsidR="00936847" w:rsidRPr="009C5F11" w:rsidRDefault="00421FA7"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p>
          <w:p w14:paraId="35865938" w14:textId="77777777" w:rsidR="00936847" w:rsidRPr="009C5F11" w:rsidRDefault="00AA056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936847" w:rsidRPr="009C5F11" w14:paraId="49872472" w14:textId="77777777" w:rsidTr="00BF6432">
        <w:trPr>
          <w:trHeight w:val="233"/>
        </w:trPr>
        <w:tc>
          <w:tcPr>
            <w:tcW w:w="743" w:type="pct"/>
            <w:vMerge w:val="restart"/>
          </w:tcPr>
          <w:p w14:paraId="367260C6"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5CF7535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1744E80E"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w:t>
            </w:r>
          </w:p>
        </w:tc>
      </w:tr>
      <w:tr w:rsidR="00936847" w:rsidRPr="009C5F11" w14:paraId="5814627C" w14:textId="77777777" w:rsidTr="00BF6432">
        <w:trPr>
          <w:trHeight w:val="296"/>
        </w:trPr>
        <w:tc>
          <w:tcPr>
            <w:tcW w:w="743" w:type="pct"/>
            <w:vMerge/>
          </w:tcPr>
          <w:p w14:paraId="608E0E9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4D1B2C2"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prevăzute în anul 2016 conform primului PNAEE</w:t>
            </w:r>
            <w:r w:rsidR="00936847" w:rsidRPr="009C5F11">
              <w:rPr>
                <w:rFonts w:ascii="Times New Roman" w:hAnsi="Times New Roman" w:cs="Times New Roman"/>
                <w:sz w:val="18"/>
                <w:szCs w:val="14"/>
                <w:lang w:val="ro-RO" w:eastAsia="de-DE"/>
              </w:rPr>
              <w:t xml:space="preserve"> </w:t>
            </w:r>
          </w:p>
        </w:tc>
        <w:tc>
          <w:tcPr>
            <w:tcW w:w="3244" w:type="pct"/>
          </w:tcPr>
          <w:p w14:paraId="3BC38D66" w14:textId="77777777" w:rsidR="00936847" w:rsidRPr="009C5F11" w:rsidRDefault="00534A4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C87EEA" w:rsidRPr="009C5F11">
              <w:rPr>
                <w:rFonts w:ascii="Times New Roman" w:hAnsi="Times New Roman" w:cs="Times New Roman"/>
                <w:sz w:val="18"/>
                <w:szCs w:val="14"/>
                <w:lang w:val="ro-RO" w:eastAsia="de-DE"/>
              </w:rPr>
              <w:t>/A</w:t>
            </w:r>
            <w:r w:rsidR="00936847" w:rsidRPr="009C5F11">
              <w:rPr>
                <w:rFonts w:ascii="Times New Roman" w:hAnsi="Times New Roman" w:cs="Times New Roman"/>
                <w:sz w:val="18"/>
                <w:szCs w:val="14"/>
                <w:lang w:val="ro-RO" w:eastAsia="de-DE"/>
              </w:rPr>
              <w:t xml:space="preserve"> (</w:t>
            </w:r>
            <w:r w:rsidR="00204033" w:rsidRPr="009C5F11">
              <w:rPr>
                <w:rFonts w:ascii="Times New Roman" w:hAnsi="Times New Roman" w:cs="Times New Roman"/>
                <w:sz w:val="18"/>
                <w:szCs w:val="14"/>
                <w:lang w:val="ro-RO" w:eastAsia="de-DE"/>
              </w:rPr>
              <w:t>Măsură nouă</w:t>
            </w:r>
            <w:r w:rsidR="00936847" w:rsidRPr="009C5F11">
              <w:rPr>
                <w:rFonts w:ascii="Times New Roman" w:hAnsi="Times New Roman" w:cs="Times New Roman"/>
                <w:sz w:val="18"/>
                <w:szCs w:val="14"/>
                <w:lang w:val="ro-RO" w:eastAsia="de-DE"/>
              </w:rPr>
              <w:t>)</w:t>
            </w:r>
          </w:p>
        </w:tc>
      </w:tr>
      <w:tr w:rsidR="00936847" w:rsidRPr="009C5F11" w14:paraId="0DEDC5A8" w14:textId="77777777" w:rsidTr="00BF6432">
        <w:trPr>
          <w:trHeight w:val="1775"/>
        </w:trPr>
        <w:tc>
          <w:tcPr>
            <w:tcW w:w="743" w:type="pct"/>
            <w:vMerge/>
          </w:tcPr>
          <w:p w14:paraId="2113267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6B82B0D" w14:textId="77777777" w:rsidR="00936847"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125880EB" w14:textId="77777777" w:rsidR="00936847" w:rsidRPr="009C5F11" w:rsidRDefault="00936847" w:rsidP="00430626">
            <w:pPr>
              <w:tabs>
                <w:tab w:val="left" w:pos="702"/>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0.71</w:t>
            </w:r>
            <w:r w:rsidR="00E52940" w:rsidRPr="009C5F11">
              <w:rPr>
                <w:rFonts w:ascii="Times New Roman" w:hAnsi="Times New Roman" w:cs="Times New Roman"/>
                <w:b/>
                <w:sz w:val="18"/>
                <w:szCs w:val="14"/>
                <w:lang w:val="ro-RO" w:eastAsia="de-DE"/>
              </w:rPr>
              <w:t>ktep</w:t>
            </w:r>
          </w:p>
          <w:p w14:paraId="68568020" w14:textId="77777777" w:rsidR="00936847" w:rsidRPr="009C5F11" w:rsidRDefault="00B95682" w:rsidP="00334F3B">
            <w:pPr>
              <w:numPr>
                <w:ilvl w:val="0"/>
                <w:numId w:val="109"/>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STAŢIA DE POMPARE</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SOROCA-BĂLŢI </w:t>
            </w:r>
            <w:r w:rsidR="00321CD5" w:rsidRPr="009C5F11">
              <w:rPr>
                <w:rFonts w:ascii="Times New Roman" w:hAnsi="Times New Roman" w:cs="Times New Roman"/>
                <w:sz w:val="18"/>
                <w:szCs w:val="14"/>
                <w:lang w:val="ro-RO" w:eastAsia="de-DE"/>
              </w:rPr>
              <w:t xml:space="preserve">şi </w:t>
            </w:r>
            <w:r w:rsidRPr="009C5F11">
              <w:rPr>
                <w:rFonts w:ascii="Times New Roman" w:hAnsi="Times New Roman" w:cs="Times New Roman"/>
                <w:sz w:val="18"/>
                <w:szCs w:val="14"/>
                <w:lang w:val="ro-RO" w:eastAsia="de-DE"/>
              </w:rPr>
              <w:t>alte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staţii mici de pompare din</w:t>
            </w:r>
            <w:r w:rsidR="00223DAC" w:rsidRPr="009C5F11">
              <w:rPr>
                <w:rFonts w:ascii="Times New Roman" w:hAnsi="Times New Roman" w:cs="Times New Roman"/>
                <w:sz w:val="18"/>
                <w:szCs w:val="14"/>
                <w:lang w:val="ro-RO" w:eastAsia="de-DE"/>
              </w:rPr>
              <w:t xml:space="preserve"> Republica Moldova</w:t>
            </w:r>
            <w:r w:rsidRPr="009C5F11">
              <w:rPr>
                <w:rFonts w:ascii="Times New Roman" w:hAnsi="Times New Roman" w:cs="Times New Roman"/>
                <w:sz w:val="18"/>
                <w:szCs w:val="14"/>
                <w:lang w:val="ro-RO" w:eastAsia="de-DE"/>
              </w:rPr>
              <w:t>.</w:t>
            </w:r>
          </w:p>
          <w:p w14:paraId="597E33C6" w14:textId="77777777" w:rsidR="00936847" w:rsidRPr="009C5F11" w:rsidRDefault="00B95682" w:rsidP="00430626">
            <w:pPr>
              <w:tabs>
                <w:tab w:val="left" w:pos="1440"/>
                <w:tab w:val="left" w:pos="5040"/>
                <w:tab w:val="right" w:pos="8504"/>
              </w:tabs>
              <w:spacing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Nu au fost evaluate direct </w:t>
            </w:r>
            <w:r w:rsidR="004424A0" w:rsidRPr="009C5F11">
              <w:rPr>
                <w:rFonts w:ascii="Times New Roman" w:hAnsi="Times New Roman" w:cs="Times New Roman"/>
                <w:sz w:val="18"/>
                <w:szCs w:val="14"/>
                <w:lang w:val="ro-RO" w:eastAsia="de-DE"/>
              </w:rPr>
              <w:t>economii</w:t>
            </w:r>
            <w:r w:rsidRPr="009C5F11">
              <w:rPr>
                <w:rFonts w:ascii="Times New Roman" w:hAnsi="Times New Roman" w:cs="Times New Roman"/>
                <w:sz w:val="18"/>
                <w:szCs w:val="14"/>
                <w:lang w:val="ro-RO" w:eastAsia="de-DE"/>
              </w:rPr>
              <w:t>le</w:t>
            </w:r>
            <w:r w:rsidR="004424A0" w:rsidRPr="009C5F11">
              <w:rPr>
                <w:rFonts w:ascii="Times New Roman" w:hAnsi="Times New Roman" w:cs="Times New Roman"/>
                <w:sz w:val="18"/>
                <w:szCs w:val="14"/>
                <w:lang w:val="ro-RO" w:eastAsia="de-DE"/>
              </w:rPr>
              <w:t xml:space="preserve"> de energie</w:t>
            </w:r>
            <w:r w:rsidR="00936847" w:rsidRPr="009C5F11">
              <w:rPr>
                <w:rFonts w:ascii="Times New Roman" w:hAnsi="Times New Roman" w:cs="Times New Roman"/>
                <w:sz w:val="18"/>
                <w:szCs w:val="14"/>
                <w:lang w:val="ro-RO" w:eastAsia="de-DE"/>
              </w:rPr>
              <w:t xml:space="preserve">. </w:t>
            </w:r>
            <w:r w:rsidR="00401F29" w:rsidRPr="009C5F11">
              <w:rPr>
                <w:rFonts w:ascii="Times New Roman" w:hAnsi="Times New Roman" w:cs="Times New Roman"/>
                <w:sz w:val="18"/>
                <w:szCs w:val="14"/>
                <w:lang w:val="ro-RO" w:eastAsia="de-DE"/>
              </w:rPr>
              <w:t>Cu toate acestea</w:t>
            </w:r>
            <w:r w:rsidR="00936847" w:rsidRPr="009C5F11">
              <w:rPr>
                <w:rFonts w:ascii="Times New Roman" w:hAnsi="Times New Roman" w:cs="Times New Roman"/>
                <w:sz w:val="18"/>
                <w:szCs w:val="14"/>
                <w:lang w:val="ro-RO" w:eastAsia="de-DE"/>
              </w:rPr>
              <w:t xml:space="preserve">, </w:t>
            </w:r>
            <w:r w:rsidR="003719BD" w:rsidRPr="009C5F11">
              <w:rPr>
                <w:rFonts w:ascii="Times New Roman" w:hAnsi="Times New Roman" w:cs="Times New Roman"/>
                <w:sz w:val="18"/>
                <w:szCs w:val="14"/>
                <w:lang w:val="ro-RO" w:eastAsia="de-DE"/>
              </w:rPr>
              <w:t>eficienţa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poate fi estimată pe baza </w:t>
            </w:r>
            <w:r w:rsidR="00292A27" w:rsidRPr="009C5F11">
              <w:rPr>
                <w:rFonts w:ascii="Times New Roman" w:hAnsi="Times New Roman" w:cs="Times New Roman"/>
                <w:sz w:val="18"/>
                <w:szCs w:val="14"/>
                <w:lang w:val="ro-RO" w:eastAsia="de-DE"/>
              </w:rPr>
              <w:t xml:space="preserve">analizării </w:t>
            </w:r>
            <w:r w:rsidR="00B40A7C" w:rsidRPr="009C5F11">
              <w:rPr>
                <w:rFonts w:ascii="Times New Roman" w:hAnsi="Times New Roman" w:cs="Times New Roman"/>
                <w:sz w:val="18"/>
                <w:szCs w:val="14"/>
                <w:lang w:val="ro-RO" w:eastAsia="de-DE"/>
              </w:rPr>
              <w:t>informaţii</w:t>
            </w:r>
            <w:r w:rsidRPr="009C5F11">
              <w:rPr>
                <w:rFonts w:ascii="Times New Roman" w:hAnsi="Times New Roman" w:cs="Times New Roman"/>
                <w:sz w:val="18"/>
                <w:szCs w:val="14"/>
                <w:lang w:val="ro-RO" w:eastAsia="de-DE"/>
              </w:rPr>
              <w:t>lor despre</w:t>
            </w:r>
            <w:r w:rsidR="00936847" w:rsidRPr="009C5F11">
              <w:rPr>
                <w:rFonts w:ascii="Times New Roman" w:hAnsi="Times New Roman" w:cs="Times New Roman"/>
                <w:sz w:val="18"/>
                <w:szCs w:val="14"/>
                <w:lang w:val="ro-RO" w:eastAsia="de-DE"/>
              </w:rPr>
              <w:t xml:space="preserve"> </w:t>
            </w:r>
            <w:r w:rsidR="004E138F" w:rsidRPr="009C5F11">
              <w:rPr>
                <w:rFonts w:ascii="Times New Roman" w:hAnsi="Times New Roman" w:cs="Times New Roman"/>
                <w:sz w:val="18"/>
                <w:szCs w:val="14"/>
                <w:lang w:val="ro-RO" w:eastAsia="de-DE"/>
              </w:rPr>
              <w:t>investiţiile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efectuate pentru</w:t>
            </w:r>
            <w:r w:rsidR="00936847" w:rsidRPr="009C5F11">
              <w:rPr>
                <w:rFonts w:ascii="Times New Roman" w:hAnsi="Times New Roman" w:cs="Times New Roman"/>
                <w:sz w:val="18"/>
                <w:szCs w:val="14"/>
                <w:lang w:val="ro-RO" w:eastAsia="de-DE"/>
              </w:rPr>
              <w:t xml:space="preserve"> </w:t>
            </w:r>
            <w:r w:rsidR="00E10BE5" w:rsidRPr="009C5F11">
              <w:rPr>
                <w:rFonts w:ascii="Times New Roman" w:hAnsi="Times New Roman" w:cs="Times New Roman"/>
                <w:sz w:val="18"/>
                <w:szCs w:val="14"/>
                <w:lang w:val="ro-RO" w:eastAsia="de-DE"/>
              </w:rPr>
              <w:t>proiecte</w:t>
            </w:r>
            <w:r w:rsidRPr="009C5F11">
              <w:rPr>
                <w:rFonts w:ascii="Times New Roman" w:hAnsi="Times New Roman" w:cs="Times New Roman"/>
                <w:sz w:val="18"/>
                <w:szCs w:val="14"/>
                <w:lang w:val="ro-RO" w:eastAsia="de-DE"/>
              </w:rPr>
              <w:t>le ACC</w:t>
            </w:r>
            <w:r w:rsidR="00936847" w:rsidRPr="009C5F11">
              <w:rPr>
                <w:rFonts w:ascii="Times New Roman" w:hAnsi="Times New Roman" w:cs="Times New Roman"/>
                <w:sz w:val="18"/>
                <w:szCs w:val="14"/>
                <w:lang w:val="ro-RO" w:eastAsia="de-DE"/>
              </w:rPr>
              <w:t xml:space="preserve"> (0.442</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5,142,000 Euro): 0.28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w:t>
            </w:r>
          </w:p>
          <w:p w14:paraId="59951F33" w14:textId="77777777" w:rsidR="00936847" w:rsidRPr="009C5F11" w:rsidRDefault="00B95682" w:rsidP="00334F3B">
            <w:pPr>
              <w:numPr>
                <w:ilvl w:val="0"/>
                <w:numId w:val="109"/>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REABILITAREA </w:t>
            </w:r>
            <w:r w:rsidR="0060148D" w:rsidRPr="009C5F11">
              <w:rPr>
                <w:rFonts w:ascii="Times New Roman" w:hAnsi="Times New Roman" w:cs="Times New Roman"/>
                <w:sz w:val="18"/>
                <w:szCs w:val="14"/>
                <w:lang w:val="ro-RO" w:eastAsia="de-DE"/>
              </w:rPr>
              <w:t>S</w:t>
            </w:r>
            <w:r w:rsidR="00292A27" w:rsidRPr="009C5F11">
              <w:rPr>
                <w:rFonts w:ascii="Times New Roman" w:hAnsi="Times New Roman" w:cs="Times New Roman"/>
                <w:sz w:val="18"/>
                <w:szCs w:val="14"/>
                <w:lang w:val="ro-RO" w:eastAsia="de-DE"/>
              </w:rPr>
              <w:t>E</w:t>
            </w:r>
            <w:r w:rsidR="0060148D" w:rsidRPr="009C5F11">
              <w:rPr>
                <w:rFonts w:ascii="Times New Roman" w:hAnsi="Times New Roman" w:cs="Times New Roman"/>
                <w:sz w:val="18"/>
                <w:szCs w:val="14"/>
                <w:lang w:val="ro-RO" w:eastAsia="de-DE"/>
              </w:rPr>
              <w:t>R</w:t>
            </w:r>
            <w:r w:rsidRPr="009C5F11">
              <w:rPr>
                <w:rFonts w:ascii="Times New Roman" w:hAnsi="Times New Roman" w:cs="Times New Roman"/>
                <w:sz w:val="18"/>
                <w:szCs w:val="14"/>
                <w:lang w:val="ro-RO" w:eastAsia="de-DE"/>
              </w:rPr>
              <w:t>VICIULUI DE ALIMENTARE CU APĂ DE LA NISPORENI</w:t>
            </w:r>
            <w:r w:rsidR="00936847" w:rsidRPr="009C5F11">
              <w:rPr>
                <w:rFonts w:ascii="Times New Roman" w:hAnsi="Times New Roman" w:cs="Times New Roman"/>
                <w:sz w:val="18"/>
                <w:szCs w:val="14"/>
                <w:lang w:val="ro-RO" w:eastAsia="de-DE"/>
              </w:rPr>
              <w:t>:</w:t>
            </w:r>
          </w:p>
          <w:p w14:paraId="48DAD36D" w14:textId="77777777" w:rsidR="00936847" w:rsidRPr="009C5F11" w:rsidRDefault="00B95682" w:rsidP="00B95682">
            <w:pPr>
              <w:tabs>
                <w:tab w:val="left" w:pos="1440"/>
                <w:tab w:val="left" w:pos="5040"/>
                <w:tab w:val="right" w:pos="8504"/>
              </w:tabs>
              <w:spacing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 fost aplicată o abordare s</w:t>
            </w:r>
            <w:r w:rsidR="00936847" w:rsidRPr="009C5F11">
              <w:rPr>
                <w:rFonts w:ascii="Times New Roman" w:hAnsi="Times New Roman" w:cs="Times New Roman"/>
                <w:sz w:val="18"/>
                <w:szCs w:val="14"/>
                <w:lang w:val="ro-RO" w:eastAsia="de-DE"/>
              </w:rPr>
              <w:t>imilar</w:t>
            </w:r>
            <w:r w:rsidRPr="009C5F11">
              <w:rPr>
                <w:rFonts w:ascii="Times New Roman" w:hAnsi="Times New Roman" w:cs="Times New Roman"/>
                <w:sz w:val="18"/>
                <w:szCs w:val="14"/>
                <w:lang w:val="ro-RO" w:eastAsia="de-DE"/>
              </w:rPr>
              <w:t xml:space="preserve">ă celei de mai sus, </w:t>
            </w:r>
            <w:r w:rsidR="00C639BC" w:rsidRPr="009C5F11">
              <w:rPr>
                <w:rFonts w:ascii="Times New Roman" w:hAnsi="Times New Roman" w:cs="Times New Roman"/>
                <w:sz w:val="18"/>
                <w:szCs w:val="14"/>
                <w:lang w:val="ro-RO" w:eastAsia="de-DE"/>
              </w:rPr>
              <w:t>economii</w:t>
            </w:r>
            <w:r w:rsidRPr="009C5F11">
              <w:rPr>
                <w:rFonts w:ascii="Times New Roman" w:hAnsi="Times New Roman" w:cs="Times New Roman"/>
                <w:sz w:val="18"/>
                <w:szCs w:val="14"/>
                <w:lang w:val="ro-RO" w:eastAsia="de-DE"/>
              </w:rPr>
              <w:t xml:space="preserve">le estimate însumând </w:t>
            </w:r>
            <w:r w:rsidR="00936847" w:rsidRPr="009C5F11">
              <w:rPr>
                <w:rFonts w:ascii="Times New Roman" w:hAnsi="Times New Roman" w:cs="Times New Roman"/>
                <w:sz w:val="18"/>
                <w:szCs w:val="14"/>
                <w:lang w:val="ro-RO" w:eastAsia="de-DE"/>
              </w:rPr>
              <w:t xml:space="preserve">0.430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tc>
      </w:tr>
      <w:tr w:rsidR="00936847" w:rsidRPr="009C5F11" w14:paraId="30F1998B" w14:textId="77777777" w:rsidTr="00BF6432">
        <w:trPr>
          <w:trHeight w:val="476"/>
        </w:trPr>
        <w:tc>
          <w:tcPr>
            <w:tcW w:w="743" w:type="pct"/>
            <w:vMerge/>
          </w:tcPr>
          <w:p w14:paraId="75C4755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CD5F34E"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2020 </w:t>
            </w:r>
          </w:p>
        </w:tc>
        <w:tc>
          <w:tcPr>
            <w:tcW w:w="3244" w:type="pct"/>
          </w:tcPr>
          <w:p w14:paraId="06E3BE72"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b/>
                <w:sz w:val="18"/>
                <w:szCs w:val="14"/>
                <w:lang w:val="ro-RO" w:eastAsia="de-DE"/>
              </w:rPr>
              <w:t xml:space="preserve">2.05 </w:t>
            </w:r>
            <w:r w:rsidR="00E52940" w:rsidRPr="009C5F11">
              <w:rPr>
                <w:rFonts w:ascii="Times New Roman" w:hAnsi="Times New Roman" w:cs="Times New Roman"/>
                <w:b/>
                <w:sz w:val="18"/>
                <w:szCs w:val="14"/>
                <w:lang w:val="ro-RO" w:eastAsia="de-DE"/>
              </w:rPr>
              <w:t>ktep</w:t>
            </w:r>
            <w:r w:rsidRPr="009C5F11">
              <w:rPr>
                <w:rFonts w:ascii="Times New Roman" w:hAnsi="Times New Roman" w:cs="Times New Roman"/>
                <w:sz w:val="18"/>
                <w:szCs w:val="14"/>
                <w:lang w:val="ro-RO" w:eastAsia="de-DE"/>
              </w:rPr>
              <w:t xml:space="preserve"> =0.71 (2016) +1 (</w:t>
            </w:r>
            <w:r w:rsidR="00AA0566" w:rsidRPr="009C5F11">
              <w:rPr>
                <w:rFonts w:ascii="Times New Roman" w:hAnsi="Times New Roman" w:cs="Times New Roman"/>
                <w:sz w:val="18"/>
                <w:szCs w:val="14"/>
                <w:lang w:val="ro-RO" w:eastAsia="de-DE"/>
              </w:rPr>
              <w:t>Chişinău</w:t>
            </w:r>
            <w:r w:rsidRPr="009C5F11">
              <w:rPr>
                <w:rFonts w:ascii="Times New Roman" w:hAnsi="Times New Roman" w:cs="Times New Roman"/>
                <w:sz w:val="18"/>
                <w:szCs w:val="14"/>
                <w:lang w:val="ro-RO" w:eastAsia="de-DE"/>
              </w:rPr>
              <w:t>) + 0.06 (Soroca-</w:t>
            </w:r>
            <w:r w:rsidR="00210C2C" w:rsidRPr="009C5F11">
              <w:rPr>
                <w:rFonts w:ascii="Times New Roman" w:hAnsi="Times New Roman" w:cs="Times New Roman"/>
                <w:sz w:val="18"/>
                <w:szCs w:val="14"/>
                <w:lang w:val="ro-RO" w:eastAsia="de-DE"/>
              </w:rPr>
              <w:t>Bălţi</w:t>
            </w:r>
            <w:r w:rsidRPr="009C5F11">
              <w:rPr>
                <w:rFonts w:ascii="Times New Roman" w:hAnsi="Times New Roman" w:cs="Times New Roman"/>
                <w:sz w:val="18"/>
                <w:szCs w:val="14"/>
                <w:lang w:val="ro-RO" w:eastAsia="de-DE"/>
              </w:rPr>
              <w:t>) + 0.28 (</w:t>
            </w:r>
            <w:r w:rsidR="00B95682" w:rsidRPr="009C5F11">
              <w:rPr>
                <w:rFonts w:ascii="Times New Roman" w:hAnsi="Times New Roman" w:cs="Times New Roman"/>
                <w:sz w:val="18"/>
                <w:szCs w:val="14"/>
                <w:lang w:val="ro-RO" w:eastAsia="de-DE"/>
              </w:rPr>
              <w:t xml:space="preserve">Regiunea </w:t>
            </w:r>
            <w:r w:rsidR="00292A27" w:rsidRPr="009C5F11">
              <w:rPr>
                <w:rFonts w:ascii="Times New Roman" w:hAnsi="Times New Roman" w:cs="Times New Roman"/>
                <w:sz w:val="18"/>
                <w:szCs w:val="14"/>
                <w:lang w:val="ro-RO" w:eastAsia="de-DE"/>
              </w:rPr>
              <w:t xml:space="preserve">de dezvoltare </w:t>
            </w:r>
            <w:r w:rsidR="00B95682" w:rsidRPr="009C5F11">
              <w:rPr>
                <w:rFonts w:ascii="Times New Roman" w:hAnsi="Times New Roman" w:cs="Times New Roman"/>
                <w:sz w:val="18"/>
                <w:szCs w:val="14"/>
                <w:lang w:val="ro-RO" w:eastAsia="de-DE"/>
              </w:rPr>
              <w:t>Nord</w:t>
            </w:r>
            <w:r w:rsidRPr="009C5F11">
              <w:rPr>
                <w:rFonts w:ascii="Times New Roman" w:hAnsi="Times New Roman" w:cs="Times New Roman"/>
                <w:sz w:val="18"/>
                <w:szCs w:val="14"/>
                <w:lang w:val="ro-RO" w:eastAsia="de-DE"/>
              </w:rPr>
              <w:t>)</w:t>
            </w:r>
            <w:r w:rsidR="00B95682" w:rsidRPr="009C5F11">
              <w:rPr>
                <w:rFonts w:ascii="Times New Roman" w:hAnsi="Times New Roman" w:cs="Times New Roman"/>
                <w:sz w:val="18"/>
                <w:szCs w:val="14"/>
                <w:lang w:val="ro-RO" w:eastAsia="de-DE"/>
              </w:rPr>
              <w:t>.</w:t>
            </w:r>
          </w:p>
          <w:p w14:paraId="6A0DDD59"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936847" w:rsidRPr="009C5F11" w14:paraId="7C6C9773" w14:textId="77777777" w:rsidTr="00BF6432">
        <w:trPr>
          <w:trHeight w:val="476"/>
        </w:trPr>
        <w:tc>
          <w:tcPr>
            <w:tcW w:w="743" w:type="pct"/>
            <w:vMerge/>
          </w:tcPr>
          <w:p w14:paraId="3F9C26CA"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488DD2F" w14:textId="77777777" w:rsidR="00936847" w:rsidRPr="009C5F11" w:rsidRDefault="006E69B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719A510D" w14:textId="77777777" w:rsidR="00936847" w:rsidRPr="009C5F11" w:rsidRDefault="00B95682"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Proiectul ACC:</w:t>
            </w:r>
          </w:p>
          <w:p w14:paraId="48245F07" w14:textId="77777777" w:rsidR="00936847" w:rsidRPr="009C5F11" w:rsidRDefault="00B95682" w:rsidP="00334F3B">
            <w:pPr>
              <w:numPr>
                <w:ilvl w:val="0"/>
                <w:numId w:val="102"/>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înlocuirea</w:t>
            </w:r>
            <w:r w:rsidR="00936847" w:rsidRPr="009C5F11">
              <w:rPr>
                <w:rFonts w:ascii="Times New Roman" w:hAnsi="Times New Roman" w:cs="Times New Roman"/>
                <w:sz w:val="18"/>
                <w:szCs w:val="14"/>
                <w:u w:val="single"/>
                <w:lang w:val="ro-RO" w:eastAsia="de-DE"/>
              </w:rPr>
              <w:t xml:space="preserve"> </w:t>
            </w:r>
            <w:r w:rsidRPr="009C5F11">
              <w:rPr>
                <w:rFonts w:ascii="Times New Roman" w:hAnsi="Times New Roman" w:cs="Times New Roman"/>
                <w:sz w:val="18"/>
                <w:szCs w:val="14"/>
                <w:u w:val="single"/>
                <w:lang w:val="ro-RO" w:eastAsia="de-DE"/>
              </w:rPr>
              <w:t>ţevilor pe un segment cu lungimea de 190 km</w:t>
            </w:r>
            <w:r w:rsidR="00936847" w:rsidRPr="009C5F11">
              <w:rPr>
                <w:rFonts w:ascii="Times New Roman" w:hAnsi="Times New Roman" w:cs="Times New Roman"/>
                <w:sz w:val="18"/>
                <w:szCs w:val="14"/>
                <w:u w:val="single"/>
                <w:lang w:val="ro-RO" w:eastAsia="de-DE"/>
              </w:rPr>
              <w:t xml:space="preserve"> </w:t>
            </w:r>
            <w:r w:rsidRPr="009C5F11">
              <w:rPr>
                <w:rFonts w:ascii="Times New Roman" w:hAnsi="Times New Roman" w:cs="Times New Roman"/>
                <w:sz w:val="18"/>
                <w:szCs w:val="14"/>
                <w:lang w:val="ro-RO" w:eastAsia="de-DE"/>
              </w:rPr>
              <w:t>(preponderent, ţevi de oţel cu</w:t>
            </w:r>
            <w:r w:rsidR="00936847" w:rsidRPr="009C5F11">
              <w:rPr>
                <w:rFonts w:ascii="Times New Roman" w:hAnsi="Times New Roman" w:cs="Times New Roman"/>
                <w:sz w:val="18"/>
                <w:szCs w:val="14"/>
                <w:lang w:val="ro-RO" w:eastAsia="de-DE"/>
              </w:rPr>
              <w:t xml:space="preserve"> D</w:t>
            </w:r>
            <w:r w:rsidRPr="009C5F11">
              <w:rPr>
                <w:rFonts w:ascii="Times New Roman" w:hAnsi="Times New Roman" w:cs="Times New Roman"/>
                <w:sz w:val="18"/>
                <w:szCs w:val="14"/>
                <w:lang w:val="ro-RO" w:eastAsia="de-DE"/>
              </w:rPr>
              <w:t>N</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între</w:t>
            </w:r>
            <w:r w:rsidR="00936847" w:rsidRPr="009C5F11">
              <w:rPr>
                <w:rFonts w:ascii="Times New Roman" w:hAnsi="Times New Roman" w:cs="Times New Roman"/>
                <w:sz w:val="18"/>
                <w:szCs w:val="14"/>
                <w:lang w:val="ro-RO" w:eastAsia="de-DE"/>
              </w:rPr>
              <w:t xml:space="preserve"> 100</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 xml:space="preserve">200) </w:t>
            </w:r>
            <w:r w:rsidRPr="009C5F11">
              <w:rPr>
                <w:rFonts w:ascii="Times New Roman" w:hAnsi="Times New Roman" w:cs="Times New Roman"/>
                <w:sz w:val="18"/>
                <w:szCs w:val="14"/>
                <w:lang w:val="ro-RO" w:eastAsia="de-DE"/>
              </w:rPr>
              <w:t xml:space="preserve">în scopul reducerii </w:t>
            </w:r>
            <w:r w:rsidR="00BA5A89" w:rsidRPr="009C5F11">
              <w:rPr>
                <w:rFonts w:ascii="Times New Roman" w:hAnsi="Times New Roman" w:cs="Times New Roman"/>
                <w:sz w:val="18"/>
                <w:szCs w:val="14"/>
                <w:lang w:val="ro-RO" w:eastAsia="de-DE"/>
              </w:rPr>
              <w:t>pierderil</w:t>
            </w:r>
            <w:r w:rsidRPr="009C5F11">
              <w:rPr>
                <w:rFonts w:ascii="Times New Roman" w:hAnsi="Times New Roman" w:cs="Times New Roman"/>
                <w:sz w:val="18"/>
                <w:szCs w:val="14"/>
                <w:lang w:val="ro-RO" w:eastAsia="de-DE"/>
              </w:rPr>
              <w:t xml:space="preserve">or de apă, ceea ce va </w:t>
            </w:r>
            <w:r w:rsidR="00936847" w:rsidRPr="009C5F11">
              <w:rPr>
                <w:rFonts w:ascii="Times New Roman" w:hAnsi="Times New Roman" w:cs="Times New Roman"/>
                <w:sz w:val="18"/>
                <w:szCs w:val="14"/>
                <w:lang w:val="ro-RO" w:eastAsia="de-DE"/>
              </w:rPr>
              <w:t>reduc</w:t>
            </w:r>
            <w:r w:rsidRPr="009C5F11">
              <w:rPr>
                <w:rFonts w:ascii="Times New Roman" w:hAnsi="Times New Roman" w:cs="Times New Roman"/>
                <w:sz w:val="18"/>
                <w:szCs w:val="14"/>
                <w:lang w:val="ro-RO" w:eastAsia="de-DE"/>
              </w:rPr>
              <w:t xml:space="preserve">e consumul de </w:t>
            </w:r>
            <w:r w:rsidR="001E3482" w:rsidRPr="009C5F11">
              <w:rPr>
                <w:rFonts w:ascii="Times New Roman" w:hAnsi="Times New Roman" w:cs="Times New Roman"/>
                <w:sz w:val="18"/>
                <w:szCs w:val="14"/>
                <w:lang w:val="ro-RO" w:eastAsia="de-DE"/>
              </w:rPr>
              <w:t>energie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la staţia de pompare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V</w:t>
            </w:r>
            <w:r w:rsidR="00936847" w:rsidRPr="009C5F11">
              <w:rPr>
                <w:rFonts w:ascii="Times New Roman" w:hAnsi="Times New Roman" w:cs="Times New Roman"/>
                <w:sz w:val="18"/>
                <w:szCs w:val="14"/>
                <w:lang w:val="ro-RO" w:eastAsia="de-DE"/>
              </w:rPr>
              <w:t>olum</w:t>
            </w:r>
            <w:r w:rsidRPr="009C5F11">
              <w:rPr>
                <w:rFonts w:ascii="Times New Roman" w:hAnsi="Times New Roman" w:cs="Times New Roman"/>
                <w:sz w:val="18"/>
                <w:szCs w:val="14"/>
                <w:lang w:val="ro-RO" w:eastAsia="de-DE"/>
              </w:rPr>
              <w:t xml:space="preserve">ul pierderilor de apă se va reduce cu </w:t>
            </w:r>
            <w:r w:rsidR="00936847" w:rsidRPr="009C5F11">
              <w:rPr>
                <w:rFonts w:ascii="Times New Roman" w:hAnsi="Times New Roman" w:cs="Times New Roman"/>
                <w:sz w:val="18"/>
                <w:szCs w:val="14"/>
                <w:u w:val="single"/>
                <w:lang w:val="ro-RO" w:eastAsia="de-DE"/>
              </w:rPr>
              <w:t>30%.</w:t>
            </w:r>
          </w:p>
          <w:p w14:paraId="365E5A66" w14:textId="77777777" w:rsidR="00936847" w:rsidRPr="009C5F11" w:rsidRDefault="00F5421E" w:rsidP="00334F3B">
            <w:pPr>
              <w:numPr>
                <w:ilvl w:val="0"/>
                <w:numId w:val="102"/>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Prin</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u w:val="single"/>
                <w:lang w:val="ro-RO" w:eastAsia="de-DE"/>
              </w:rPr>
              <w:t>reduc</w:t>
            </w:r>
            <w:r w:rsidRPr="009C5F11">
              <w:rPr>
                <w:rFonts w:ascii="Times New Roman" w:hAnsi="Times New Roman" w:cs="Times New Roman"/>
                <w:sz w:val="18"/>
                <w:szCs w:val="14"/>
                <w:u w:val="single"/>
                <w:lang w:val="ro-RO" w:eastAsia="de-DE"/>
              </w:rPr>
              <w:t>erea</w:t>
            </w:r>
            <w:r w:rsidR="00936847" w:rsidRPr="009C5F11">
              <w:rPr>
                <w:rFonts w:ascii="Times New Roman" w:hAnsi="Times New Roman" w:cs="Times New Roman"/>
                <w:sz w:val="18"/>
                <w:szCs w:val="14"/>
                <w:u w:val="single"/>
                <w:lang w:val="ro-RO" w:eastAsia="de-DE"/>
              </w:rPr>
              <w:t xml:space="preserve"> </w:t>
            </w:r>
            <w:r w:rsidR="0087273F" w:rsidRPr="009C5F11">
              <w:rPr>
                <w:rFonts w:ascii="Times New Roman" w:hAnsi="Times New Roman" w:cs="Times New Roman"/>
                <w:sz w:val="18"/>
                <w:szCs w:val="14"/>
                <w:u w:val="single"/>
                <w:lang w:val="ro-RO" w:eastAsia="de-DE"/>
              </w:rPr>
              <w:t>presiunii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pierderea de apă </w:t>
            </w:r>
            <w:r w:rsidR="00292A27" w:rsidRPr="009C5F11">
              <w:rPr>
                <w:rFonts w:ascii="Times New Roman" w:hAnsi="Times New Roman" w:cs="Times New Roman"/>
                <w:sz w:val="18"/>
                <w:szCs w:val="14"/>
                <w:lang w:val="ro-RO" w:eastAsia="de-DE"/>
              </w:rPr>
              <w:t>prin</w:t>
            </w:r>
            <w:r w:rsidRPr="009C5F11">
              <w:rPr>
                <w:rFonts w:ascii="Times New Roman" w:hAnsi="Times New Roman" w:cs="Times New Roman"/>
                <w:sz w:val="18"/>
                <w:szCs w:val="14"/>
                <w:lang w:val="ro-RO" w:eastAsia="de-DE"/>
              </w:rPr>
              <w:t xml:space="preserve"> fiecare scurgere descreşte</w:t>
            </w:r>
            <w:r w:rsidR="00936847"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iar</w:t>
            </w:r>
            <w:r w:rsidR="00936847" w:rsidRPr="009C5F11">
              <w:rPr>
                <w:rFonts w:ascii="Times New Roman" w:hAnsi="Times New Roman" w:cs="Times New Roman"/>
                <w:sz w:val="18"/>
                <w:szCs w:val="14"/>
                <w:lang w:val="ro-RO" w:eastAsia="de-DE"/>
              </w:rPr>
              <w:t xml:space="preserve"> num</w:t>
            </w:r>
            <w:r w:rsidRPr="009C5F11">
              <w:rPr>
                <w:rFonts w:ascii="Times New Roman" w:hAnsi="Times New Roman" w:cs="Times New Roman"/>
                <w:sz w:val="18"/>
                <w:szCs w:val="14"/>
                <w:lang w:val="ro-RO" w:eastAsia="de-DE"/>
              </w:rPr>
              <w:t xml:space="preserve">ărul de noi fisuri este mai mic. </w:t>
            </w:r>
            <w:r w:rsidR="00936847" w:rsidRPr="009C5F11">
              <w:rPr>
                <w:rFonts w:ascii="Times New Roman" w:hAnsi="Times New Roman" w:cs="Times New Roman"/>
                <w:sz w:val="18"/>
                <w:szCs w:val="14"/>
                <w:lang w:val="ro-RO" w:eastAsia="de-DE"/>
              </w:rPr>
              <w:t>Instal</w:t>
            </w:r>
            <w:r w:rsidR="00E214CD" w:rsidRPr="009C5F11">
              <w:rPr>
                <w:rFonts w:ascii="Times New Roman" w:hAnsi="Times New Roman" w:cs="Times New Roman"/>
                <w:sz w:val="18"/>
                <w:szCs w:val="14"/>
                <w:lang w:val="ro-RO" w:eastAsia="de-DE"/>
              </w:rPr>
              <w:t>area reductoarelor de presiune, a noilor supape/clapete</w:t>
            </w:r>
            <w:r w:rsidR="00936847" w:rsidRPr="009C5F11">
              <w:rPr>
                <w:rFonts w:ascii="Times New Roman" w:hAnsi="Times New Roman" w:cs="Times New Roman"/>
                <w:sz w:val="18"/>
                <w:szCs w:val="14"/>
                <w:lang w:val="ro-RO" w:eastAsia="de-DE"/>
              </w:rPr>
              <w:t xml:space="preserve">, </w:t>
            </w:r>
            <w:r w:rsidR="00E214CD" w:rsidRPr="009C5F11">
              <w:rPr>
                <w:rFonts w:ascii="Times New Roman" w:hAnsi="Times New Roman" w:cs="Times New Roman"/>
                <w:sz w:val="18"/>
                <w:szCs w:val="14"/>
                <w:lang w:val="ro-RO" w:eastAsia="de-DE"/>
              </w:rPr>
              <w:t>senzorilor de presiune</w:t>
            </w:r>
            <w:r w:rsidR="00936847" w:rsidRPr="009C5F11">
              <w:rPr>
                <w:rFonts w:ascii="Times New Roman" w:hAnsi="Times New Roman" w:cs="Times New Roman"/>
                <w:sz w:val="18"/>
                <w:szCs w:val="14"/>
                <w:lang w:val="ro-RO" w:eastAsia="de-DE"/>
              </w:rPr>
              <w:t xml:space="preserve">, </w:t>
            </w:r>
            <w:r w:rsidR="00E214CD" w:rsidRPr="009C5F11">
              <w:rPr>
                <w:rFonts w:ascii="Times New Roman" w:hAnsi="Times New Roman" w:cs="Times New Roman"/>
                <w:sz w:val="18"/>
                <w:szCs w:val="14"/>
                <w:lang w:val="ro-RO" w:eastAsia="de-DE"/>
              </w:rPr>
              <w:t>contoarelor pentru măsurarea sau amplificarea debitului</w:t>
            </w:r>
            <w:r w:rsidR="00936847" w:rsidRPr="009C5F11">
              <w:rPr>
                <w:rFonts w:ascii="Times New Roman" w:hAnsi="Times New Roman" w:cs="Times New Roman"/>
                <w:sz w:val="18"/>
                <w:szCs w:val="14"/>
                <w:lang w:val="ro-RO" w:eastAsia="de-DE"/>
              </w:rPr>
              <w:t xml:space="preserve">, </w:t>
            </w:r>
            <w:r w:rsidR="00B95682" w:rsidRPr="009C5F11">
              <w:rPr>
                <w:rFonts w:ascii="Times New Roman" w:hAnsi="Times New Roman" w:cs="Times New Roman"/>
                <w:sz w:val="18"/>
                <w:szCs w:val="14"/>
                <w:lang w:val="ro-RO" w:eastAsia="de-DE"/>
              </w:rPr>
              <w:t>v</w:t>
            </w:r>
            <w:r w:rsidR="00292A27" w:rsidRPr="009C5F11">
              <w:rPr>
                <w:rFonts w:ascii="Times New Roman" w:hAnsi="Times New Roman" w:cs="Times New Roman"/>
                <w:sz w:val="18"/>
                <w:szCs w:val="14"/>
                <w:lang w:val="ro-RO" w:eastAsia="de-DE"/>
              </w:rPr>
              <w:t>or</w:t>
            </w:r>
            <w:r w:rsidR="00B95682" w:rsidRPr="009C5F11">
              <w:rPr>
                <w:rFonts w:ascii="Times New Roman" w:hAnsi="Times New Roman" w:cs="Times New Roman"/>
                <w:sz w:val="18"/>
                <w:szCs w:val="14"/>
                <w:lang w:val="ro-RO" w:eastAsia="de-DE"/>
              </w:rPr>
              <w:t xml:space="preserve"> reduce</w:t>
            </w:r>
            <w:r w:rsidR="00936847" w:rsidRPr="009C5F11">
              <w:rPr>
                <w:rFonts w:ascii="Times New Roman" w:hAnsi="Times New Roman" w:cs="Times New Roman"/>
                <w:sz w:val="18"/>
                <w:szCs w:val="14"/>
                <w:lang w:val="ro-RO" w:eastAsia="de-DE"/>
              </w:rPr>
              <w:t xml:space="preserve"> </w:t>
            </w:r>
            <w:r w:rsidR="00BA5A89" w:rsidRPr="009C5F11">
              <w:rPr>
                <w:rFonts w:ascii="Times New Roman" w:hAnsi="Times New Roman" w:cs="Times New Roman"/>
                <w:sz w:val="18"/>
                <w:szCs w:val="14"/>
                <w:lang w:val="ro-RO" w:eastAsia="de-DE"/>
              </w:rPr>
              <w:t>pierderile</w:t>
            </w:r>
            <w:r w:rsidR="00936847" w:rsidRPr="009C5F11">
              <w:rPr>
                <w:rFonts w:ascii="Times New Roman" w:hAnsi="Times New Roman" w:cs="Times New Roman"/>
                <w:sz w:val="18"/>
                <w:szCs w:val="14"/>
                <w:lang w:val="ro-RO" w:eastAsia="de-DE"/>
              </w:rPr>
              <w:t xml:space="preserve"> </w:t>
            </w:r>
            <w:r w:rsidR="00B95682" w:rsidRPr="009C5F11">
              <w:rPr>
                <w:rFonts w:ascii="Times New Roman" w:hAnsi="Times New Roman" w:cs="Times New Roman"/>
                <w:sz w:val="18"/>
                <w:szCs w:val="14"/>
                <w:lang w:val="ro-RO" w:eastAsia="de-DE"/>
              </w:rPr>
              <w:t>fizice cu</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u w:val="single"/>
                <w:lang w:val="ro-RO" w:eastAsia="de-DE"/>
              </w:rPr>
              <w:t>10%.</w:t>
            </w:r>
          </w:p>
          <w:p w14:paraId="5CBEC023" w14:textId="77777777" w:rsidR="00936847" w:rsidRPr="009C5F11" w:rsidRDefault="00B95682" w:rsidP="00430626">
            <w:pPr>
              <w:tabs>
                <w:tab w:val="left" w:pos="1440"/>
                <w:tab w:val="left" w:pos="5040"/>
                <w:tab w:val="right" w:pos="8504"/>
              </w:tabs>
              <w:spacing w:before="40" w:after="0" w:line="240" w:lineRule="auto"/>
              <w:ind w:left="70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Studiul de fezabilitate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prevede măsurarea </w:t>
            </w:r>
            <w:r w:rsidR="0087273F" w:rsidRPr="009C5F11">
              <w:rPr>
                <w:rFonts w:ascii="Times New Roman" w:hAnsi="Times New Roman" w:cs="Times New Roman"/>
                <w:sz w:val="18"/>
                <w:szCs w:val="14"/>
                <w:lang w:val="ro-RO" w:eastAsia="de-DE"/>
              </w:rPr>
              <w:t>succesului</w:t>
            </w:r>
            <w:r w:rsidRPr="009C5F11">
              <w:rPr>
                <w:rFonts w:ascii="Times New Roman" w:hAnsi="Times New Roman" w:cs="Times New Roman"/>
                <w:sz w:val="18"/>
                <w:szCs w:val="14"/>
                <w:lang w:val="ro-RO" w:eastAsia="de-DE"/>
              </w:rPr>
              <w:t xml:space="preserve"> </w:t>
            </w:r>
            <w:r w:rsidR="00CD7240" w:rsidRPr="009C5F11">
              <w:rPr>
                <w:rFonts w:ascii="Times New Roman" w:hAnsi="Times New Roman" w:cs="Times New Roman"/>
                <w:sz w:val="18"/>
                <w:szCs w:val="14"/>
                <w:lang w:val="ro-RO" w:eastAsia="de-DE"/>
              </w:rPr>
              <w:t>proiectul</w:t>
            </w:r>
            <w:r w:rsidRPr="009C5F11">
              <w:rPr>
                <w:rFonts w:ascii="Times New Roman" w:hAnsi="Times New Roman" w:cs="Times New Roman"/>
                <w:sz w:val="18"/>
                <w:szCs w:val="14"/>
                <w:lang w:val="ro-RO" w:eastAsia="de-DE"/>
              </w:rPr>
              <w:t>ui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pe </w:t>
            </w:r>
            <w:r w:rsidRPr="009C5F11">
              <w:rPr>
                <w:rFonts w:ascii="Times New Roman" w:hAnsi="Times New Roman" w:cs="Times New Roman"/>
                <w:sz w:val="18"/>
                <w:szCs w:val="14"/>
                <w:lang w:val="ro-RO" w:eastAsia="de-DE"/>
              </w:rPr>
              <w:lastRenderedPageBreak/>
              <w:t>baza valorii medii de</w:t>
            </w:r>
            <w:r w:rsidR="00936847" w:rsidRPr="009C5F11">
              <w:rPr>
                <w:rFonts w:ascii="Times New Roman" w:hAnsi="Times New Roman" w:cs="Times New Roman"/>
                <w:sz w:val="18"/>
                <w:szCs w:val="14"/>
                <w:lang w:val="ro-RO" w:eastAsia="de-DE"/>
              </w:rPr>
              <w:t xml:space="preserve"> k</w:t>
            </w:r>
            <w:r w:rsidRPr="009C5F11">
              <w:rPr>
                <w:rFonts w:ascii="Times New Roman" w:hAnsi="Times New Roman" w:cs="Times New Roman"/>
                <w:sz w:val="18"/>
                <w:szCs w:val="14"/>
                <w:lang w:val="ro-RO" w:eastAsia="de-DE"/>
              </w:rPr>
              <w:t>W</w:t>
            </w:r>
            <w:r w:rsidR="00936847" w:rsidRPr="009C5F11">
              <w:rPr>
                <w:rFonts w:ascii="Times New Roman" w:hAnsi="Times New Roman" w:cs="Times New Roman"/>
                <w:sz w:val="18"/>
                <w:szCs w:val="14"/>
                <w:lang w:val="ro-RO" w:eastAsia="de-DE"/>
              </w:rPr>
              <w:t xml:space="preserve">h </w:t>
            </w:r>
            <w:r w:rsidRPr="009C5F11">
              <w:rPr>
                <w:rFonts w:ascii="Times New Roman" w:hAnsi="Times New Roman" w:cs="Times New Roman"/>
                <w:sz w:val="18"/>
                <w:szCs w:val="14"/>
                <w:lang w:val="ro-RO" w:eastAsia="de-DE"/>
              </w:rPr>
              <w:t>consumată pentru a</w:t>
            </w:r>
            <w:r w:rsidR="00936847" w:rsidRPr="009C5F11">
              <w:rPr>
                <w:rFonts w:ascii="Times New Roman" w:hAnsi="Times New Roman" w:cs="Times New Roman"/>
                <w:sz w:val="18"/>
                <w:szCs w:val="14"/>
                <w:lang w:val="ro-RO" w:eastAsia="de-DE"/>
              </w:rPr>
              <w:t xml:space="preserve"> produce 1 </w:t>
            </w:r>
            <w:r w:rsidRPr="009C5F11">
              <w:rPr>
                <w:rFonts w:ascii="Times New Roman" w:hAnsi="Times New Roman" w:cs="Times New Roman"/>
                <w:sz w:val="18"/>
                <w:szCs w:val="14"/>
                <w:lang w:val="ro-RO" w:eastAsia="de-DE"/>
              </w:rPr>
              <w:t>metru cub de apă</w:t>
            </w:r>
            <w:r w:rsidR="00936847" w:rsidRPr="009C5F11">
              <w:rPr>
                <w:rFonts w:ascii="Times New Roman" w:hAnsi="Times New Roman" w:cs="Times New Roman"/>
                <w:sz w:val="18"/>
                <w:szCs w:val="14"/>
                <w:lang w:val="ro-RO" w:eastAsia="de-DE"/>
              </w:rPr>
              <w:t>, multipli</w:t>
            </w:r>
            <w:r w:rsidRPr="009C5F11">
              <w:rPr>
                <w:rFonts w:ascii="Times New Roman" w:hAnsi="Times New Roman" w:cs="Times New Roman"/>
                <w:sz w:val="18"/>
                <w:szCs w:val="14"/>
                <w:lang w:val="ro-RO" w:eastAsia="de-DE"/>
              </w:rPr>
              <w:t xml:space="preserve">cat cu cantitatea </w:t>
            </w:r>
            <w:r w:rsidR="00BA5A89" w:rsidRPr="009C5F11">
              <w:rPr>
                <w:rFonts w:ascii="Times New Roman" w:hAnsi="Times New Roman" w:cs="Times New Roman"/>
                <w:sz w:val="18"/>
                <w:szCs w:val="14"/>
                <w:lang w:val="ro-RO" w:eastAsia="de-DE"/>
              </w:rPr>
              <w:t>pierderil</w:t>
            </w:r>
            <w:r w:rsidRPr="009C5F11">
              <w:rPr>
                <w:rFonts w:ascii="Times New Roman" w:hAnsi="Times New Roman" w:cs="Times New Roman"/>
                <w:sz w:val="18"/>
                <w:szCs w:val="14"/>
                <w:lang w:val="ro-RO" w:eastAsia="de-DE"/>
              </w:rPr>
              <w:t>or de apă</w:t>
            </w:r>
            <w:r w:rsidR="00936847" w:rsidRPr="009C5F11">
              <w:rPr>
                <w:rFonts w:ascii="Times New Roman" w:hAnsi="Times New Roman" w:cs="Times New Roman"/>
                <w:sz w:val="18"/>
                <w:szCs w:val="14"/>
                <w:lang w:val="ro-RO" w:eastAsia="de-DE"/>
              </w:rPr>
              <w:t xml:space="preserve"> </w:t>
            </w:r>
            <w:r w:rsidR="00292A27" w:rsidRPr="009C5F11">
              <w:rPr>
                <w:rFonts w:ascii="Times New Roman" w:hAnsi="Times New Roman" w:cs="Times New Roman"/>
                <w:sz w:val="18"/>
                <w:szCs w:val="14"/>
                <w:lang w:val="ro-RO" w:eastAsia="de-DE"/>
              </w:rPr>
              <w:t xml:space="preserve">(în metri cubi) </w:t>
            </w:r>
            <w:r w:rsidR="00936847" w:rsidRPr="009C5F11">
              <w:rPr>
                <w:rFonts w:ascii="Times New Roman" w:hAnsi="Times New Roman" w:cs="Times New Roman"/>
                <w:sz w:val="18"/>
                <w:szCs w:val="14"/>
                <w:lang w:val="ro-RO" w:eastAsia="de-DE"/>
              </w:rPr>
              <w:t xml:space="preserve">eliminate. </w:t>
            </w:r>
            <w:r w:rsidR="00E214CD" w:rsidRPr="009C5F11">
              <w:rPr>
                <w:rFonts w:ascii="Times New Roman" w:hAnsi="Times New Roman" w:cs="Times New Roman"/>
                <w:sz w:val="18"/>
                <w:szCs w:val="14"/>
                <w:lang w:val="ro-RO" w:eastAsia="de-DE"/>
              </w:rPr>
              <w:t xml:space="preserve">Staţia de epurare </w:t>
            </w:r>
            <w:r w:rsidR="00F17AC7" w:rsidRPr="009C5F11">
              <w:rPr>
                <w:rFonts w:ascii="Times New Roman" w:hAnsi="Times New Roman" w:cs="Times New Roman"/>
                <w:sz w:val="18"/>
                <w:szCs w:val="14"/>
                <w:lang w:val="ro-RO" w:eastAsia="de-DE"/>
              </w:rPr>
              <w:t>a apelor uzate</w:t>
            </w:r>
            <w:r w:rsidR="00936847" w:rsidRPr="009C5F11">
              <w:rPr>
                <w:rFonts w:ascii="Times New Roman" w:hAnsi="Times New Roman" w:cs="Times New Roman"/>
                <w:sz w:val="18"/>
                <w:szCs w:val="14"/>
                <w:lang w:val="ro-RO" w:eastAsia="de-DE"/>
              </w:rPr>
              <w:t xml:space="preserve"> </w:t>
            </w:r>
            <w:r w:rsidR="00E214CD" w:rsidRPr="009C5F11">
              <w:rPr>
                <w:rFonts w:ascii="Times New Roman" w:hAnsi="Times New Roman" w:cs="Times New Roman"/>
                <w:sz w:val="18"/>
                <w:szCs w:val="14"/>
                <w:lang w:val="ro-RO" w:eastAsia="de-DE"/>
              </w:rPr>
              <w:t>consumă</w:t>
            </w:r>
            <w:r w:rsidR="00936847" w:rsidRPr="009C5F11">
              <w:rPr>
                <w:rFonts w:ascii="Times New Roman" w:hAnsi="Times New Roman" w:cs="Times New Roman"/>
                <w:sz w:val="18"/>
                <w:szCs w:val="14"/>
                <w:lang w:val="ro-RO" w:eastAsia="de-DE"/>
              </w:rPr>
              <w:t xml:space="preserve"> 16,000 MWh/</w:t>
            </w:r>
            <w:r w:rsidR="00E214CD" w:rsidRPr="009C5F11">
              <w:rPr>
                <w:rFonts w:ascii="Times New Roman" w:hAnsi="Times New Roman" w:cs="Times New Roman"/>
                <w:sz w:val="18"/>
                <w:szCs w:val="14"/>
                <w:lang w:val="ro-RO" w:eastAsia="de-DE"/>
              </w:rPr>
              <w:t>an</w:t>
            </w:r>
            <w:r w:rsidR="00936847" w:rsidRPr="009C5F11">
              <w:rPr>
                <w:rFonts w:ascii="Times New Roman" w:hAnsi="Times New Roman" w:cs="Times New Roman"/>
                <w:sz w:val="18"/>
                <w:szCs w:val="14"/>
                <w:lang w:val="ro-RO" w:eastAsia="de-DE"/>
              </w:rPr>
              <w:t xml:space="preserve">. </w:t>
            </w:r>
            <w:r w:rsidR="00127723" w:rsidRPr="009C5F11">
              <w:rPr>
                <w:rFonts w:ascii="Times New Roman" w:hAnsi="Times New Roman" w:cs="Times New Roman"/>
                <w:sz w:val="18"/>
                <w:szCs w:val="14"/>
                <w:lang w:val="ro-RO" w:eastAsia="de-DE"/>
              </w:rPr>
              <w:t>Reducerea</w:t>
            </w:r>
            <w:r w:rsidR="00936847" w:rsidRPr="009C5F11">
              <w:rPr>
                <w:rFonts w:ascii="Times New Roman" w:hAnsi="Times New Roman" w:cs="Times New Roman"/>
                <w:sz w:val="18"/>
                <w:szCs w:val="14"/>
                <w:lang w:val="ro-RO" w:eastAsia="de-DE"/>
              </w:rPr>
              <w:t xml:space="preserve"> </w:t>
            </w:r>
            <w:r w:rsidR="00BA5A89" w:rsidRPr="009C5F11">
              <w:rPr>
                <w:rFonts w:ascii="Times New Roman" w:hAnsi="Times New Roman" w:cs="Times New Roman"/>
                <w:sz w:val="18"/>
                <w:szCs w:val="14"/>
                <w:lang w:val="ro-RO" w:eastAsia="de-DE"/>
              </w:rPr>
              <w:t>pierderil</w:t>
            </w:r>
            <w:r w:rsidRPr="009C5F11">
              <w:rPr>
                <w:rFonts w:ascii="Times New Roman" w:hAnsi="Times New Roman" w:cs="Times New Roman"/>
                <w:sz w:val="18"/>
                <w:szCs w:val="14"/>
                <w:lang w:val="ro-RO" w:eastAsia="de-DE"/>
              </w:rPr>
              <w:t>or cu</w:t>
            </w:r>
            <w:r w:rsidR="00936847" w:rsidRPr="009C5F11">
              <w:rPr>
                <w:rFonts w:ascii="Times New Roman" w:hAnsi="Times New Roman" w:cs="Times New Roman"/>
                <w:sz w:val="18"/>
                <w:szCs w:val="14"/>
                <w:lang w:val="ro-RO" w:eastAsia="de-DE"/>
              </w:rPr>
              <w:t xml:space="preserve"> 40% </w:t>
            </w:r>
            <w:r w:rsidRPr="009C5F11">
              <w:rPr>
                <w:rFonts w:ascii="Times New Roman" w:hAnsi="Times New Roman" w:cs="Times New Roman"/>
                <w:sz w:val="18"/>
                <w:szCs w:val="14"/>
                <w:lang w:val="ro-RO" w:eastAsia="de-DE"/>
              </w:rPr>
              <w:t>rezultă în reducerea consumului de</w:t>
            </w:r>
            <w:r w:rsidR="00936847" w:rsidRPr="009C5F11">
              <w:rPr>
                <w:rFonts w:ascii="Times New Roman" w:hAnsi="Times New Roman" w:cs="Times New Roman"/>
                <w:sz w:val="18"/>
                <w:szCs w:val="14"/>
                <w:lang w:val="ro-RO" w:eastAsia="de-DE"/>
              </w:rPr>
              <w:t xml:space="preserve"> </w:t>
            </w:r>
            <w:r w:rsidR="00E75612" w:rsidRPr="009C5F11">
              <w:rPr>
                <w:rFonts w:ascii="Times New Roman" w:hAnsi="Times New Roman" w:cs="Times New Roman"/>
                <w:sz w:val="18"/>
                <w:szCs w:val="14"/>
                <w:lang w:val="ro-RO" w:eastAsia="de-DE"/>
              </w:rPr>
              <w:t>energie electric</w:t>
            </w:r>
            <w:r w:rsidRPr="009C5F11">
              <w:rPr>
                <w:rFonts w:ascii="Times New Roman" w:hAnsi="Times New Roman" w:cs="Times New Roman"/>
                <w:sz w:val="18"/>
                <w:szCs w:val="14"/>
                <w:lang w:val="ro-RO" w:eastAsia="de-DE"/>
              </w:rPr>
              <w:t>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cu</w:t>
            </w:r>
            <w:r w:rsidR="00936847" w:rsidRPr="009C5F11">
              <w:rPr>
                <w:rFonts w:ascii="Times New Roman" w:hAnsi="Times New Roman" w:cs="Times New Roman"/>
                <w:sz w:val="18"/>
                <w:szCs w:val="14"/>
                <w:lang w:val="ro-RO" w:eastAsia="de-DE"/>
              </w:rPr>
              <w:t xml:space="preserve"> 6,400 MWh/</w:t>
            </w:r>
            <w:r w:rsidRPr="009C5F11">
              <w:rPr>
                <w:rFonts w:ascii="Times New Roman" w:hAnsi="Times New Roman" w:cs="Times New Roman"/>
                <w:sz w:val="18"/>
                <w:szCs w:val="14"/>
                <w:lang w:val="ro-RO" w:eastAsia="de-DE"/>
              </w:rPr>
              <w:t>an</w:t>
            </w:r>
            <w:r w:rsidR="00936847" w:rsidRPr="009C5F11">
              <w:rPr>
                <w:rFonts w:ascii="Times New Roman" w:hAnsi="Times New Roman" w:cs="Times New Roman"/>
                <w:sz w:val="18"/>
                <w:szCs w:val="14"/>
                <w:lang w:val="ro-RO" w:eastAsia="de-DE"/>
              </w:rPr>
              <w:t xml:space="preserve"> = </w:t>
            </w:r>
            <w:r w:rsidR="00936847" w:rsidRPr="009C5F11">
              <w:rPr>
                <w:rFonts w:ascii="Times New Roman" w:hAnsi="Times New Roman" w:cs="Times New Roman"/>
                <w:sz w:val="18"/>
                <w:szCs w:val="14"/>
                <w:u w:val="single"/>
                <w:lang w:val="ro-RO" w:eastAsia="de-DE"/>
              </w:rPr>
              <w:t xml:space="preserve">0.55 </w:t>
            </w:r>
            <w:r w:rsidR="00E52940" w:rsidRPr="009C5F11">
              <w:rPr>
                <w:rFonts w:ascii="Times New Roman" w:hAnsi="Times New Roman" w:cs="Times New Roman"/>
                <w:sz w:val="18"/>
                <w:szCs w:val="14"/>
                <w:u w:val="single"/>
                <w:lang w:val="ro-RO" w:eastAsia="de-DE"/>
              </w:rPr>
              <w:t>ktep</w:t>
            </w:r>
            <w:r w:rsidR="00017161" w:rsidRPr="009C5F11">
              <w:rPr>
                <w:rFonts w:ascii="Times New Roman" w:hAnsi="Times New Roman" w:cs="Times New Roman"/>
                <w:sz w:val="18"/>
                <w:szCs w:val="14"/>
                <w:u w:val="single"/>
                <w:lang w:val="ro-RO" w:eastAsia="de-DE"/>
              </w:rPr>
              <w:t>/an</w:t>
            </w:r>
            <w:r w:rsidR="00936847" w:rsidRPr="009C5F11">
              <w:rPr>
                <w:rFonts w:ascii="Times New Roman" w:hAnsi="Times New Roman" w:cs="Times New Roman"/>
                <w:sz w:val="18"/>
                <w:szCs w:val="14"/>
                <w:u w:val="single"/>
                <w:lang w:val="ro-RO" w:eastAsia="de-DE"/>
              </w:rPr>
              <w:t>.</w:t>
            </w:r>
          </w:p>
          <w:p w14:paraId="1CDDEAB0" w14:textId="77777777" w:rsidR="00936847" w:rsidRPr="009C5F11" w:rsidRDefault="00B95682" w:rsidP="00334F3B">
            <w:pPr>
              <w:numPr>
                <w:ilvl w:val="0"/>
                <w:numId w:val="102"/>
              </w:numPr>
              <w:tabs>
                <w:tab w:val="left" w:pos="702"/>
                <w:tab w:val="left" w:pos="5040"/>
                <w:tab w:val="right" w:pos="8504"/>
              </w:tabs>
              <w:spacing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reabilitarea staţiilor de pompare</w:t>
            </w:r>
            <w:r w:rsidR="00E214CD" w:rsidRPr="009C5F11">
              <w:rPr>
                <w:rFonts w:ascii="Times New Roman" w:hAnsi="Times New Roman" w:cs="Times New Roman"/>
                <w:sz w:val="18"/>
                <w:szCs w:val="14"/>
                <w:u w:val="single"/>
                <w:lang w:val="ro-RO" w:eastAsia="de-DE"/>
              </w:rPr>
              <w:t>:</w:t>
            </w:r>
            <w:r w:rsidR="00936847" w:rsidRPr="009C5F11">
              <w:rPr>
                <w:rFonts w:ascii="Times New Roman" w:hAnsi="Times New Roman" w:cs="Times New Roman"/>
                <w:sz w:val="18"/>
                <w:szCs w:val="14"/>
                <w:u w:val="single"/>
                <w:lang w:val="ro-RO" w:eastAsia="de-DE"/>
              </w:rPr>
              <w:t xml:space="preserve"> </w:t>
            </w:r>
          </w:p>
          <w:p w14:paraId="088131F7" w14:textId="77777777" w:rsidR="00936847" w:rsidRPr="009C5F11" w:rsidRDefault="00B95682" w:rsidP="00C87EEA">
            <w:pPr>
              <w:tabs>
                <w:tab w:val="left" w:pos="1440"/>
                <w:tab w:val="left" w:pos="5040"/>
                <w:tab w:val="right" w:pos="8504"/>
              </w:tabs>
              <w:spacing w:after="0" w:line="240" w:lineRule="auto"/>
              <w:ind w:left="743"/>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staţii de pompare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a apei potabile </w:t>
            </w:r>
            <w:r w:rsidR="00936847" w:rsidRPr="009C5F11">
              <w:rPr>
                <w:rFonts w:ascii="Times New Roman" w:hAnsi="Times New Roman" w:cs="Times New Roman"/>
                <w:sz w:val="18"/>
                <w:szCs w:val="14"/>
                <w:lang w:val="ro-RO" w:eastAsia="de-DE"/>
              </w:rPr>
              <w:t>(reduc</w:t>
            </w:r>
            <w:r w:rsidRPr="009C5F11">
              <w:rPr>
                <w:rFonts w:ascii="Times New Roman" w:hAnsi="Times New Roman" w:cs="Times New Roman"/>
                <w:sz w:val="18"/>
                <w:szCs w:val="14"/>
                <w:lang w:val="ro-RO" w:eastAsia="de-DE"/>
              </w:rPr>
              <w:t>erea</w:t>
            </w:r>
            <w:r w:rsidR="00936847" w:rsidRPr="009C5F11">
              <w:rPr>
                <w:rFonts w:ascii="Times New Roman" w:hAnsi="Times New Roman" w:cs="Times New Roman"/>
                <w:sz w:val="18"/>
                <w:szCs w:val="14"/>
                <w:lang w:val="ro-RO" w:eastAsia="de-DE"/>
              </w:rPr>
              <w:t xml:space="preserve"> </w:t>
            </w:r>
            <w:r w:rsidR="00A07A79" w:rsidRPr="009C5F11">
              <w:rPr>
                <w:rFonts w:ascii="Times New Roman" w:hAnsi="Times New Roman" w:cs="Times New Roman"/>
                <w:sz w:val="18"/>
                <w:szCs w:val="14"/>
                <w:lang w:val="ro-RO" w:eastAsia="de-DE"/>
              </w:rPr>
              <w:t>consumului de energie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cu</w:t>
            </w:r>
            <w:r w:rsidR="00936847" w:rsidRPr="009C5F11">
              <w:rPr>
                <w:rFonts w:ascii="Times New Roman" w:hAnsi="Times New Roman" w:cs="Times New Roman"/>
                <w:sz w:val="18"/>
                <w:szCs w:val="14"/>
                <w:lang w:val="ro-RO" w:eastAsia="de-DE"/>
              </w:rPr>
              <w:t xml:space="preserve"> 27%): </w:t>
            </w:r>
          </w:p>
          <w:p w14:paraId="5F6683E8" w14:textId="77777777" w:rsidR="00936847" w:rsidRPr="009C5F11" w:rsidRDefault="00936847" w:rsidP="00334F3B">
            <w:pPr>
              <w:numPr>
                <w:ilvl w:val="0"/>
                <w:numId w:val="101"/>
              </w:numPr>
              <w:tabs>
                <w:tab w:val="left" w:pos="1152"/>
                <w:tab w:val="left" w:pos="5040"/>
                <w:tab w:val="right" w:pos="8504"/>
              </w:tabs>
              <w:spacing w:after="0" w:line="240" w:lineRule="auto"/>
              <w:ind w:hanging="18"/>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2,277,929 </w:t>
            </w:r>
            <w:r w:rsidR="00292A27" w:rsidRPr="009C5F11">
              <w:rPr>
                <w:rFonts w:ascii="Times New Roman" w:hAnsi="Times New Roman" w:cs="Times New Roman"/>
                <w:sz w:val="18"/>
                <w:szCs w:val="14"/>
                <w:lang w:val="ro-RO" w:eastAsia="de-DE"/>
              </w:rPr>
              <w:t>kWh/an</w:t>
            </w:r>
            <w:r w:rsidRPr="009C5F11">
              <w:rPr>
                <w:rFonts w:ascii="Times New Roman" w:hAnsi="Times New Roman" w:cs="Times New Roman"/>
                <w:sz w:val="18"/>
                <w:szCs w:val="14"/>
                <w:lang w:val="ro-RO" w:eastAsia="de-DE"/>
              </w:rPr>
              <w:t xml:space="preserve"> = </w:t>
            </w:r>
            <w:r w:rsidRPr="009C5F11">
              <w:rPr>
                <w:rFonts w:ascii="Times New Roman" w:hAnsi="Times New Roman" w:cs="Times New Roman"/>
                <w:sz w:val="18"/>
                <w:szCs w:val="14"/>
                <w:u w:val="single"/>
                <w:lang w:val="ro-RO" w:eastAsia="de-DE"/>
              </w:rPr>
              <w:t xml:space="preserve">0.195 </w:t>
            </w:r>
            <w:r w:rsidR="00E52940" w:rsidRPr="009C5F11">
              <w:rPr>
                <w:rFonts w:ascii="Times New Roman" w:hAnsi="Times New Roman" w:cs="Times New Roman"/>
                <w:sz w:val="18"/>
                <w:szCs w:val="14"/>
                <w:u w:val="single"/>
                <w:lang w:val="ro-RO" w:eastAsia="de-DE"/>
              </w:rPr>
              <w:t>ktep</w:t>
            </w:r>
          </w:p>
          <w:p w14:paraId="7ADF3771" w14:textId="77777777" w:rsidR="00936847" w:rsidRPr="009C5F11" w:rsidRDefault="00B95682" w:rsidP="00C87EEA">
            <w:pPr>
              <w:tabs>
                <w:tab w:val="left" w:pos="1440"/>
                <w:tab w:val="left" w:pos="5040"/>
                <w:tab w:val="right" w:pos="8504"/>
              </w:tabs>
              <w:spacing w:before="40" w:after="0" w:line="240" w:lineRule="auto"/>
              <w:ind w:left="743"/>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staţii de pompare a apelor uzate</w:t>
            </w:r>
            <w:r w:rsidR="00936847" w:rsidRPr="009C5F11">
              <w:rPr>
                <w:rFonts w:ascii="Times New Roman" w:hAnsi="Times New Roman" w:cs="Times New Roman"/>
                <w:sz w:val="18"/>
                <w:szCs w:val="14"/>
                <w:lang w:val="ro-RO" w:eastAsia="de-DE"/>
              </w:rPr>
              <w:t xml:space="preserve"> (reduc</w:t>
            </w:r>
            <w:r w:rsidRPr="009C5F11">
              <w:rPr>
                <w:rFonts w:ascii="Times New Roman" w:hAnsi="Times New Roman" w:cs="Times New Roman"/>
                <w:sz w:val="18"/>
                <w:szCs w:val="14"/>
                <w:lang w:val="ro-RO" w:eastAsia="de-DE"/>
              </w:rPr>
              <w:t>erea</w:t>
            </w:r>
            <w:r w:rsidR="00936847" w:rsidRPr="009C5F11">
              <w:rPr>
                <w:rFonts w:ascii="Times New Roman" w:hAnsi="Times New Roman" w:cs="Times New Roman"/>
                <w:sz w:val="18"/>
                <w:szCs w:val="14"/>
                <w:lang w:val="ro-RO" w:eastAsia="de-DE"/>
              </w:rPr>
              <w:t xml:space="preserve"> </w:t>
            </w:r>
            <w:r w:rsidR="00A07A79" w:rsidRPr="009C5F11">
              <w:rPr>
                <w:rFonts w:ascii="Times New Roman" w:hAnsi="Times New Roman" w:cs="Times New Roman"/>
                <w:sz w:val="18"/>
                <w:szCs w:val="14"/>
                <w:lang w:val="ro-RO" w:eastAsia="de-DE"/>
              </w:rPr>
              <w:t>consumului de energie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cu</w:t>
            </w:r>
            <w:r w:rsidR="00936847" w:rsidRPr="009C5F11">
              <w:rPr>
                <w:rFonts w:ascii="Times New Roman" w:hAnsi="Times New Roman" w:cs="Times New Roman"/>
                <w:sz w:val="18"/>
                <w:szCs w:val="14"/>
                <w:lang w:val="ro-RO" w:eastAsia="de-DE"/>
              </w:rPr>
              <w:t xml:space="preserve"> 60%): </w:t>
            </w:r>
          </w:p>
          <w:p w14:paraId="605ED3EC" w14:textId="77777777" w:rsidR="00936847" w:rsidRPr="009C5F11" w:rsidRDefault="00E214CD" w:rsidP="00334F3B">
            <w:pPr>
              <w:numPr>
                <w:ilvl w:val="0"/>
                <w:numId w:val="99"/>
              </w:numPr>
              <w:tabs>
                <w:tab w:val="left" w:pos="1152"/>
                <w:tab w:val="left" w:pos="5040"/>
                <w:tab w:val="right" w:pos="8504"/>
              </w:tabs>
              <w:spacing w:after="0" w:line="240" w:lineRule="auto"/>
              <w:ind w:left="1152" w:hanging="45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Reţeaua de sanitaţie</w:t>
            </w:r>
            <w:r w:rsidR="00936847" w:rsidRPr="009C5F11">
              <w:rPr>
                <w:rFonts w:ascii="Times New Roman" w:hAnsi="Times New Roman" w:cs="Times New Roman"/>
                <w:sz w:val="18"/>
                <w:szCs w:val="14"/>
                <w:lang w:val="ro-RO" w:eastAsia="de-DE"/>
              </w:rPr>
              <w:t xml:space="preserve"> S</w:t>
            </w:r>
            <w:r w:rsidR="00D62D8B" w:rsidRPr="009C5F11">
              <w:rPr>
                <w:rFonts w:ascii="Times New Roman" w:hAnsi="Times New Roman" w:cs="Times New Roman"/>
                <w:sz w:val="18"/>
                <w:szCs w:val="14"/>
                <w:lang w:val="ro-RO" w:eastAsia="de-DE"/>
              </w:rPr>
              <w:t>P</w:t>
            </w:r>
            <w:r w:rsidR="00936847" w:rsidRPr="009C5F11">
              <w:rPr>
                <w:rFonts w:ascii="Times New Roman" w:hAnsi="Times New Roman" w:cs="Times New Roman"/>
                <w:sz w:val="18"/>
                <w:szCs w:val="14"/>
                <w:lang w:val="ro-RO" w:eastAsia="de-DE"/>
              </w:rPr>
              <w:t xml:space="preserve"> - 263,033 </w:t>
            </w:r>
            <w:r w:rsidR="00292A27" w:rsidRPr="009C5F11">
              <w:rPr>
                <w:rFonts w:ascii="Times New Roman" w:hAnsi="Times New Roman" w:cs="Times New Roman"/>
                <w:sz w:val="18"/>
                <w:szCs w:val="14"/>
                <w:lang w:val="ro-RO" w:eastAsia="de-DE"/>
              </w:rPr>
              <w:t>kWh/an</w:t>
            </w:r>
            <w:r w:rsidR="00936847" w:rsidRPr="009C5F11">
              <w:rPr>
                <w:rFonts w:ascii="Times New Roman" w:hAnsi="Times New Roman" w:cs="Times New Roman"/>
                <w:sz w:val="18"/>
                <w:szCs w:val="14"/>
                <w:lang w:val="ro-RO" w:eastAsia="de-DE"/>
              </w:rPr>
              <w:t xml:space="preserve"> = </w:t>
            </w:r>
            <w:r w:rsidR="00936847" w:rsidRPr="009C5F11">
              <w:rPr>
                <w:rFonts w:ascii="Times New Roman" w:hAnsi="Times New Roman" w:cs="Times New Roman"/>
                <w:sz w:val="18"/>
                <w:szCs w:val="14"/>
                <w:u w:val="single"/>
                <w:lang w:val="ro-RO" w:eastAsia="de-DE"/>
              </w:rPr>
              <w:t xml:space="preserve">0.023 </w:t>
            </w:r>
            <w:r w:rsidR="00E52940" w:rsidRPr="009C5F11">
              <w:rPr>
                <w:rFonts w:ascii="Times New Roman" w:hAnsi="Times New Roman" w:cs="Times New Roman"/>
                <w:sz w:val="18"/>
                <w:szCs w:val="14"/>
                <w:u w:val="single"/>
                <w:lang w:val="ro-RO" w:eastAsia="de-DE"/>
              </w:rPr>
              <w:t>ktep</w:t>
            </w:r>
          </w:p>
          <w:p w14:paraId="30F4F7E7" w14:textId="77777777" w:rsidR="00936847" w:rsidRPr="009C5F11" w:rsidRDefault="00E214CD" w:rsidP="00334F3B">
            <w:pPr>
              <w:numPr>
                <w:ilvl w:val="0"/>
                <w:numId w:val="99"/>
              </w:numPr>
              <w:tabs>
                <w:tab w:val="left" w:pos="1152"/>
                <w:tab w:val="left" w:pos="5040"/>
                <w:tab w:val="right" w:pos="8504"/>
              </w:tabs>
              <w:spacing w:after="0" w:line="240" w:lineRule="auto"/>
              <w:ind w:left="1152" w:hanging="45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Suplimentar</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priza</w:t>
            </w:r>
            <w:r w:rsidR="00936847" w:rsidRPr="009C5F11">
              <w:rPr>
                <w:rFonts w:ascii="Times New Roman" w:hAnsi="Times New Roman" w:cs="Times New Roman"/>
                <w:sz w:val="18"/>
                <w:szCs w:val="14"/>
                <w:lang w:val="ro-RO" w:eastAsia="de-DE"/>
              </w:rPr>
              <w:t xml:space="preserve"> S</w:t>
            </w:r>
            <w:r w:rsidR="00D62D8B" w:rsidRPr="009C5F11">
              <w:rPr>
                <w:rFonts w:ascii="Times New Roman" w:hAnsi="Times New Roman" w:cs="Times New Roman"/>
                <w:sz w:val="18"/>
                <w:szCs w:val="14"/>
                <w:lang w:val="ro-RO" w:eastAsia="de-DE"/>
              </w:rPr>
              <w:t>P</w:t>
            </w:r>
            <w:r w:rsidR="00936847" w:rsidRPr="009C5F11">
              <w:rPr>
                <w:rFonts w:ascii="Times New Roman" w:hAnsi="Times New Roman" w:cs="Times New Roman"/>
                <w:sz w:val="18"/>
                <w:szCs w:val="14"/>
                <w:lang w:val="ro-RO" w:eastAsia="de-DE"/>
              </w:rPr>
              <w:t xml:space="preserve"> (70% </w:t>
            </w:r>
            <w:r w:rsidRPr="009C5F11">
              <w:rPr>
                <w:rFonts w:ascii="Times New Roman" w:hAnsi="Times New Roman" w:cs="Times New Roman"/>
                <w:sz w:val="18"/>
                <w:szCs w:val="14"/>
                <w:lang w:val="ro-RO" w:eastAsia="de-DE"/>
              </w:rPr>
              <w:t xml:space="preserve">din </w:t>
            </w:r>
            <w:r w:rsidR="00334259" w:rsidRPr="009C5F11">
              <w:rPr>
                <w:rFonts w:ascii="Times New Roman" w:hAnsi="Times New Roman" w:cs="Times New Roman"/>
                <w:sz w:val="18"/>
                <w:szCs w:val="14"/>
                <w:lang w:val="ro-RO" w:eastAsia="de-DE"/>
              </w:rPr>
              <w:t>consumul</w:t>
            </w:r>
            <w:r w:rsidRPr="009C5F11">
              <w:rPr>
                <w:rFonts w:ascii="Times New Roman" w:hAnsi="Times New Roman" w:cs="Times New Roman"/>
                <w:sz w:val="18"/>
                <w:szCs w:val="14"/>
                <w:lang w:val="ro-RO" w:eastAsia="de-DE"/>
              </w:rPr>
              <w:t xml:space="preserve"> global</w:t>
            </w:r>
            <w:r w:rsidR="00936847" w:rsidRPr="009C5F11">
              <w:rPr>
                <w:rFonts w:ascii="Times New Roman" w:hAnsi="Times New Roman" w:cs="Times New Roman"/>
                <w:sz w:val="18"/>
                <w:szCs w:val="14"/>
                <w:lang w:val="ro-RO" w:eastAsia="de-DE"/>
              </w:rPr>
              <w:t xml:space="preserve">) – 2,613,558.422 </w:t>
            </w:r>
            <w:r w:rsidR="00292A27" w:rsidRPr="009C5F11">
              <w:rPr>
                <w:rFonts w:ascii="Times New Roman" w:hAnsi="Times New Roman" w:cs="Times New Roman"/>
                <w:sz w:val="18"/>
                <w:szCs w:val="14"/>
                <w:lang w:val="ro-RO" w:eastAsia="de-DE"/>
              </w:rPr>
              <w:t>kWh/an</w:t>
            </w:r>
            <w:r w:rsidR="00936847" w:rsidRPr="009C5F11">
              <w:rPr>
                <w:rFonts w:ascii="Times New Roman" w:hAnsi="Times New Roman" w:cs="Times New Roman"/>
                <w:sz w:val="18"/>
                <w:szCs w:val="14"/>
                <w:lang w:val="ro-RO" w:eastAsia="de-DE"/>
              </w:rPr>
              <w:t xml:space="preserve"> = </w:t>
            </w:r>
            <w:r w:rsidR="00936847" w:rsidRPr="009C5F11">
              <w:rPr>
                <w:rFonts w:ascii="Times New Roman" w:hAnsi="Times New Roman" w:cs="Times New Roman"/>
                <w:sz w:val="18"/>
                <w:szCs w:val="14"/>
                <w:u w:val="single"/>
                <w:lang w:val="ro-RO" w:eastAsia="de-DE"/>
              </w:rPr>
              <w:t xml:space="preserve">0.224 </w:t>
            </w:r>
            <w:r w:rsidR="00E52940" w:rsidRPr="009C5F11">
              <w:rPr>
                <w:rFonts w:ascii="Times New Roman" w:hAnsi="Times New Roman" w:cs="Times New Roman"/>
                <w:sz w:val="18"/>
                <w:szCs w:val="14"/>
                <w:u w:val="single"/>
                <w:lang w:val="ro-RO" w:eastAsia="de-DE"/>
              </w:rPr>
              <w:t>ktep</w:t>
            </w:r>
          </w:p>
          <w:p w14:paraId="40D7135D" w14:textId="77777777" w:rsidR="00936847" w:rsidRPr="009C5F11" w:rsidRDefault="00936847" w:rsidP="00430626">
            <w:pPr>
              <w:tabs>
                <w:tab w:val="left" w:pos="1440"/>
                <w:tab w:val="left" w:pos="5040"/>
                <w:tab w:val="right" w:pos="8504"/>
              </w:tabs>
              <w:spacing w:after="0" w:line="240" w:lineRule="auto"/>
              <w:ind w:firstLine="70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TOTAL </w:t>
            </w:r>
            <w:r w:rsidR="00C639BC" w:rsidRPr="009C5F11">
              <w:rPr>
                <w:rFonts w:ascii="Times New Roman" w:hAnsi="Times New Roman" w:cs="Times New Roman"/>
                <w:sz w:val="18"/>
                <w:szCs w:val="14"/>
                <w:lang w:val="ro-RO" w:eastAsia="de-DE"/>
              </w:rPr>
              <w:t>economii</w:t>
            </w:r>
            <w:r w:rsidRPr="009C5F11">
              <w:rPr>
                <w:rFonts w:ascii="Times New Roman" w:hAnsi="Times New Roman" w:cs="Times New Roman"/>
                <w:sz w:val="18"/>
                <w:szCs w:val="14"/>
                <w:lang w:val="ro-RO" w:eastAsia="de-DE"/>
              </w:rPr>
              <w:t xml:space="preserve"> </w:t>
            </w:r>
          </w:p>
          <w:p w14:paraId="160EA457" w14:textId="77777777" w:rsidR="00936847" w:rsidRPr="009C5F11" w:rsidRDefault="00936847" w:rsidP="00334F3B">
            <w:pPr>
              <w:numPr>
                <w:ilvl w:val="0"/>
                <w:numId w:val="103"/>
              </w:numPr>
              <w:tabs>
                <w:tab w:val="left" w:pos="1152"/>
                <w:tab w:val="left" w:pos="5040"/>
                <w:tab w:val="right" w:pos="8504"/>
              </w:tabs>
              <w:spacing w:after="0" w:line="240" w:lineRule="auto"/>
              <w:ind w:left="1152" w:hanging="45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0.55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 xml:space="preserve"> (a+b) + 0.442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 xml:space="preserve"> (c) = </w:t>
            </w:r>
            <w:r w:rsidRPr="009C5F11">
              <w:rPr>
                <w:rFonts w:ascii="Times New Roman" w:hAnsi="Times New Roman" w:cs="Times New Roman"/>
                <w:sz w:val="18"/>
                <w:szCs w:val="14"/>
                <w:u w:val="single"/>
                <w:lang w:val="ro-RO" w:eastAsia="de-DE"/>
              </w:rPr>
              <w:t xml:space="preserve">1 </w:t>
            </w:r>
            <w:r w:rsidR="00E52940" w:rsidRPr="009C5F11">
              <w:rPr>
                <w:rFonts w:ascii="Times New Roman" w:hAnsi="Times New Roman" w:cs="Times New Roman"/>
                <w:sz w:val="18"/>
                <w:szCs w:val="14"/>
                <w:u w:val="single"/>
                <w:lang w:val="ro-RO" w:eastAsia="de-DE"/>
              </w:rPr>
              <w:t>ktep</w:t>
            </w:r>
            <w:r w:rsidRPr="009C5F11">
              <w:rPr>
                <w:rFonts w:ascii="Times New Roman" w:hAnsi="Times New Roman" w:cs="Times New Roman"/>
                <w:sz w:val="18"/>
                <w:szCs w:val="14"/>
                <w:u w:val="single"/>
                <w:lang w:val="ro-RO" w:eastAsia="de-DE"/>
              </w:rPr>
              <w:t xml:space="preserve"> </w:t>
            </w:r>
            <w:r w:rsidR="00017161" w:rsidRPr="009C5F11">
              <w:rPr>
                <w:rFonts w:ascii="Times New Roman" w:hAnsi="Times New Roman" w:cs="Times New Roman"/>
                <w:sz w:val="18"/>
                <w:szCs w:val="14"/>
                <w:lang w:val="ro-RO" w:eastAsia="de-DE"/>
              </w:rPr>
              <w:t>/an</w:t>
            </w:r>
            <w:r w:rsidR="00321CD5" w:rsidRPr="009C5F11">
              <w:rPr>
                <w:rFonts w:ascii="Times New Roman" w:hAnsi="Times New Roman" w:cs="Times New Roman"/>
                <w:sz w:val="18"/>
                <w:szCs w:val="14"/>
                <w:lang w:val="ro-RO" w:eastAsia="de-DE"/>
              </w:rPr>
              <w:t xml:space="preserve"> în </w:t>
            </w:r>
            <w:r w:rsidR="00E214CD" w:rsidRPr="009C5F11">
              <w:rPr>
                <w:rFonts w:ascii="Times New Roman" w:hAnsi="Times New Roman" w:cs="Times New Roman"/>
                <w:sz w:val="18"/>
                <w:szCs w:val="14"/>
                <w:lang w:val="ro-RO" w:eastAsia="de-DE"/>
              </w:rPr>
              <w:t xml:space="preserve">raza mun. </w:t>
            </w:r>
            <w:r w:rsidR="00E46DD7" w:rsidRPr="009C5F11">
              <w:rPr>
                <w:rFonts w:ascii="Times New Roman" w:hAnsi="Times New Roman" w:cs="Times New Roman"/>
                <w:sz w:val="18"/>
                <w:szCs w:val="14"/>
                <w:lang w:val="ro-RO" w:eastAsia="de-DE"/>
              </w:rPr>
              <w:t>Chişinău</w:t>
            </w:r>
            <w:r w:rsidR="00E214CD" w:rsidRPr="009C5F11">
              <w:rPr>
                <w:rFonts w:ascii="Times New Roman" w:hAnsi="Times New Roman" w:cs="Times New Roman"/>
                <w:sz w:val="18"/>
                <w:szCs w:val="14"/>
                <w:lang w:val="ro-RO" w:eastAsia="de-DE"/>
              </w:rPr>
              <w:t>.</w:t>
            </w:r>
          </w:p>
          <w:p w14:paraId="4AC35102"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p w14:paraId="4207846E" w14:textId="77777777" w:rsidR="00936847" w:rsidRPr="009C5F11" w:rsidRDefault="00E214CD"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Proiectul din </w:t>
            </w:r>
            <w:r w:rsidR="00E46DD7" w:rsidRPr="009C5F11">
              <w:rPr>
                <w:rFonts w:ascii="Times New Roman" w:hAnsi="Times New Roman" w:cs="Times New Roman"/>
                <w:sz w:val="18"/>
                <w:szCs w:val="14"/>
                <w:lang w:val="ro-RO" w:eastAsia="de-DE"/>
              </w:rPr>
              <w:t xml:space="preserve">REGIUNEA </w:t>
            </w:r>
            <w:r w:rsidR="00292A27" w:rsidRPr="009C5F11">
              <w:rPr>
                <w:rFonts w:ascii="Times New Roman" w:hAnsi="Times New Roman" w:cs="Times New Roman"/>
                <w:sz w:val="18"/>
                <w:szCs w:val="14"/>
                <w:lang w:val="ro-RO" w:eastAsia="de-DE"/>
              </w:rPr>
              <w:t xml:space="preserve">DE DEZVOLTARE </w:t>
            </w:r>
            <w:r w:rsidR="00E46DD7" w:rsidRPr="009C5F11">
              <w:rPr>
                <w:rFonts w:ascii="Times New Roman" w:hAnsi="Times New Roman" w:cs="Times New Roman"/>
                <w:sz w:val="18"/>
                <w:szCs w:val="14"/>
                <w:lang w:val="ro-RO" w:eastAsia="de-DE"/>
              </w:rPr>
              <w:t>NORD</w:t>
            </w:r>
            <w:r w:rsidR="00936847" w:rsidRPr="009C5F11">
              <w:rPr>
                <w:rFonts w:ascii="Times New Roman" w:hAnsi="Times New Roman" w:cs="Times New Roman"/>
                <w:sz w:val="18"/>
                <w:szCs w:val="14"/>
                <w:lang w:val="ro-RO" w:eastAsia="de-DE"/>
              </w:rPr>
              <w:t xml:space="preserve"> </w:t>
            </w:r>
          </w:p>
          <w:p w14:paraId="35704D79" w14:textId="77777777" w:rsidR="00936847" w:rsidRPr="009C5F11" w:rsidRDefault="00E214CD"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Prin aplicarea unor calcule </w:t>
            </w:r>
            <w:r w:rsidR="00936847" w:rsidRPr="009C5F11">
              <w:rPr>
                <w:rFonts w:ascii="Times New Roman" w:hAnsi="Times New Roman" w:cs="Times New Roman"/>
                <w:sz w:val="18"/>
                <w:szCs w:val="14"/>
                <w:lang w:val="ro-RO" w:eastAsia="de-DE"/>
              </w:rPr>
              <w:t>similar</w:t>
            </w:r>
            <w:r w:rsidR="00BC3559"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 xml:space="preserve"> </w:t>
            </w:r>
            <w:r w:rsidR="00BC3559" w:rsidRPr="009C5F11">
              <w:rPr>
                <w:rFonts w:ascii="Times New Roman" w:hAnsi="Times New Roman" w:cs="Times New Roman"/>
                <w:sz w:val="18"/>
                <w:szCs w:val="14"/>
                <w:lang w:val="ro-RO" w:eastAsia="de-DE"/>
              </w:rPr>
              <w:t>ca pentru</w:t>
            </w:r>
            <w:r w:rsidR="00936847" w:rsidRPr="009C5F11">
              <w:rPr>
                <w:rFonts w:ascii="Times New Roman" w:hAnsi="Times New Roman" w:cs="Times New Roman"/>
                <w:sz w:val="18"/>
                <w:szCs w:val="14"/>
                <w:lang w:val="ro-RO" w:eastAsia="de-DE"/>
              </w:rPr>
              <w:t xml:space="preserve"> Soroca-</w:t>
            </w:r>
            <w:r w:rsidR="00210C2C" w:rsidRPr="009C5F11">
              <w:rPr>
                <w:rFonts w:ascii="Times New Roman" w:hAnsi="Times New Roman" w:cs="Times New Roman"/>
                <w:sz w:val="18"/>
                <w:szCs w:val="14"/>
                <w:lang w:val="ro-RO" w:eastAsia="de-DE"/>
              </w:rPr>
              <w:t>Bălţi</w:t>
            </w:r>
            <w:r w:rsidR="00321CD5" w:rsidRPr="009C5F11">
              <w:rPr>
                <w:rFonts w:ascii="Times New Roman" w:hAnsi="Times New Roman" w:cs="Times New Roman"/>
                <w:sz w:val="18"/>
                <w:szCs w:val="14"/>
                <w:lang w:val="ro-RO" w:eastAsia="de-DE"/>
              </w:rPr>
              <w:t xml:space="preserve"> şi </w:t>
            </w:r>
            <w:r w:rsidR="00B95682" w:rsidRPr="009C5F11">
              <w:rPr>
                <w:rFonts w:ascii="Times New Roman" w:hAnsi="Times New Roman" w:cs="Times New Roman"/>
                <w:sz w:val="18"/>
                <w:szCs w:val="14"/>
                <w:lang w:val="ro-RO" w:eastAsia="de-DE"/>
              </w:rPr>
              <w:t>Proiectul ACC</w:t>
            </w:r>
            <w:r w:rsidR="00321CD5" w:rsidRPr="009C5F11">
              <w:rPr>
                <w:rFonts w:ascii="Times New Roman" w:hAnsi="Times New Roman" w:cs="Times New Roman"/>
                <w:sz w:val="18"/>
                <w:szCs w:val="14"/>
                <w:lang w:val="ro-RO" w:eastAsia="de-DE"/>
              </w:rPr>
              <w:t xml:space="preserve"> şi </w:t>
            </w:r>
            <w:r w:rsidR="00BC3559" w:rsidRPr="009C5F11">
              <w:rPr>
                <w:rFonts w:ascii="Times New Roman" w:hAnsi="Times New Roman" w:cs="Times New Roman"/>
                <w:sz w:val="18"/>
                <w:szCs w:val="14"/>
                <w:lang w:val="ro-RO" w:eastAsia="de-DE"/>
              </w:rPr>
              <w:t xml:space="preserve">luând în considerare faptul că vor fi alocate </w:t>
            </w:r>
            <w:r w:rsidR="00936847" w:rsidRPr="009C5F11">
              <w:rPr>
                <w:rFonts w:ascii="Times New Roman" w:hAnsi="Times New Roman" w:cs="Times New Roman"/>
                <w:sz w:val="18"/>
                <w:szCs w:val="14"/>
                <w:lang w:val="ro-RO" w:eastAsia="de-DE"/>
              </w:rPr>
              <w:t xml:space="preserve">3.25 </w:t>
            </w:r>
            <w:r w:rsidR="00421FA7" w:rsidRPr="009C5F11">
              <w:rPr>
                <w:rFonts w:ascii="Times New Roman" w:hAnsi="Times New Roman" w:cs="Times New Roman"/>
                <w:sz w:val="18"/>
                <w:szCs w:val="14"/>
                <w:lang w:val="ro-RO" w:eastAsia="de-DE"/>
              </w:rPr>
              <w:t>milioane euro</w:t>
            </w:r>
            <w:r w:rsidR="00936847" w:rsidRPr="009C5F11">
              <w:rPr>
                <w:rFonts w:ascii="Times New Roman" w:hAnsi="Times New Roman" w:cs="Times New Roman"/>
                <w:sz w:val="18"/>
                <w:szCs w:val="14"/>
                <w:lang w:val="ro-RO" w:eastAsia="de-DE"/>
              </w:rPr>
              <w:t xml:space="preserve"> </w:t>
            </w:r>
            <w:r w:rsidR="00BC3559" w:rsidRPr="009C5F11">
              <w:rPr>
                <w:rFonts w:ascii="Times New Roman" w:hAnsi="Times New Roman" w:cs="Times New Roman"/>
                <w:sz w:val="18"/>
                <w:szCs w:val="14"/>
                <w:lang w:val="ro-RO" w:eastAsia="de-DE"/>
              </w:rPr>
              <w:t>pentru</w:t>
            </w:r>
            <w:r w:rsidR="00936847" w:rsidRPr="009C5F11">
              <w:rPr>
                <w:rFonts w:ascii="Times New Roman" w:hAnsi="Times New Roman" w:cs="Times New Roman"/>
                <w:sz w:val="18"/>
                <w:szCs w:val="14"/>
                <w:lang w:val="ro-RO" w:eastAsia="de-DE"/>
              </w:rPr>
              <w:t xml:space="preserve"> </w:t>
            </w:r>
            <w:r w:rsidR="00D77687" w:rsidRPr="009C5F11">
              <w:rPr>
                <w:rFonts w:ascii="Times New Roman" w:hAnsi="Times New Roman" w:cs="Times New Roman"/>
                <w:sz w:val="18"/>
                <w:szCs w:val="14"/>
                <w:lang w:val="ro-RO" w:eastAsia="de-DE"/>
              </w:rPr>
              <w:t>modernizarea</w:t>
            </w:r>
            <w:r w:rsidR="00936847" w:rsidRPr="009C5F11">
              <w:rPr>
                <w:rFonts w:ascii="Times New Roman" w:hAnsi="Times New Roman" w:cs="Times New Roman"/>
                <w:sz w:val="18"/>
                <w:szCs w:val="14"/>
                <w:lang w:val="ro-RO" w:eastAsia="de-DE"/>
              </w:rPr>
              <w:t xml:space="preserve"> </w:t>
            </w:r>
            <w:r w:rsidR="00BC3559" w:rsidRPr="009C5F11">
              <w:rPr>
                <w:rFonts w:ascii="Times New Roman" w:hAnsi="Times New Roman" w:cs="Times New Roman"/>
                <w:sz w:val="18"/>
                <w:szCs w:val="14"/>
                <w:lang w:val="ro-RO" w:eastAsia="de-DE"/>
              </w:rPr>
              <w:t>staţiilor de pompare</w:t>
            </w:r>
            <w:r w:rsidR="00936847" w:rsidRPr="009C5F11">
              <w:rPr>
                <w:rFonts w:ascii="Times New Roman" w:hAnsi="Times New Roman" w:cs="Times New Roman"/>
                <w:sz w:val="18"/>
                <w:szCs w:val="14"/>
                <w:lang w:val="ro-RO" w:eastAsia="de-DE"/>
              </w:rPr>
              <w:t xml:space="preserve">, </w:t>
            </w:r>
            <w:r w:rsidR="00C639BC" w:rsidRPr="009C5F11">
              <w:rPr>
                <w:rFonts w:ascii="Times New Roman" w:hAnsi="Times New Roman" w:cs="Times New Roman"/>
                <w:sz w:val="18"/>
                <w:szCs w:val="14"/>
                <w:lang w:val="ro-RO" w:eastAsia="de-DE"/>
              </w:rPr>
              <w:t>economii</w:t>
            </w:r>
            <w:r w:rsidR="00BC3559" w:rsidRPr="009C5F11">
              <w:rPr>
                <w:rFonts w:ascii="Times New Roman" w:hAnsi="Times New Roman" w:cs="Times New Roman"/>
                <w:sz w:val="18"/>
                <w:szCs w:val="14"/>
                <w:lang w:val="ro-RO" w:eastAsia="de-DE"/>
              </w:rPr>
              <w:t>le</w:t>
            </w:r>
            <w:r w:rsidR="00936847" w:rsidRPr="009C5F11">
              <w:rPr>
                <w:rFonts w:ascii="Times New Roman" w:hAnsi="Times New Roman" w:cs="Times New Roman"/>
                <w:sz w:val="18"/>
                <w:szCs w:val="14"/>
                <w:lang w:val="ro-RO" w:eastAsia="de-DE"/>
              </w:rPr>
              <w:t xml:space="preserve"> </w:t>
            </w:r>
            <w:r w:rsidR="00BC3559" w:rsidRPr="009C5F11">
              <w:rPr>
                <w:rFonts w:ascii="Times New Roman" w:hAnsi="Times New Roman" w:cs="Times New Roman"/>
                <w:sz w:val="18"/>
                <w:szCs w:val="14"/>
                <w:lang w:val="ro-RO" w:eastAsia="de-DE"/>
              </w:rPr>
              <w:t>sunt</w:t>
            </w:r>
            <w:r w:rsidR="00936847" w:rsidRPr="009C5F11">
              <w:rPr>
                <w:rFonts w:ascii="Times New Roman" w:hAnsi="Times New Roman" w:cs="Times New Roman"/>
                <w:sz w:val="18"/>
                <w:szCs w:val="14"/>
                <w:lang w:val="ro-RO" w:eastAsia="de-DE"/>
              </w:rPr>
              <w:t xml:space="preserve"> estimate</w:t>
            </w:r>
            <w:r w:rsidR="00BC3559" w:rsidRPr="009C5F11">
              <w:rPr>
                <w:rFonts w:ascii="Times New Roman" w:hAnsi="Times New Roman" w:cs="Times New Roman"/>
                <w:sz w:val="18"/>
                <w:szCs w:val="14"/>
                <w:lang w:val="ro-RO" w:eastAsia="de-DE"/>
              </w:rPr>
              <w:t xml:space="preserve"> la nivel de </w:t>
            </w:r>
            <w:r w:rsidR="00936847" w:rsidRPr="009C5F11">
              <w:rPr>
                <w:rFonts w:ascii="Times New Roman" w:hAnsi="Times New Roman" w:cs="Times New Roman"/>
                <w:sz w:val="18"/>
                <w:szCs w:val="14"/>
                <w:lang w:val="ro-RO" w:eastAsia="de-DE"/>
              </w:rPr>
              <w:t xml:space="preserve">0.28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w:t>
            </w:r>
          </w:p>
          <w:p w14:paraId="3058E8CF" w14:textId="77777777" w:rsidR="00C87EEA" w:rsidRPr="009C5F11" w:rsidRDefault="00C87EEA"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p>
          <w:p w14:paraId="5DE81C79" w14:textId="77777777" w:rsidR="00936847" w:rsidRPr="009C5F11" w:rsidRDefault="00B95682"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STAŢIA DE POMPARE</w:t>
            </w:r>
            <w:r w:rsidR="00BC3559" w:rsidRPr="009C5F11">
              <w:rPr>
                <w:rFonts w:ascii="Times New Roman" w:hAnsi="Times New Roman" w:cs="Times New Roman"/>
                <w:sz w:val="18"/>
                <w:szCs w:val="14"/>
                <w:lang w:val="ro-RO" w:eastAsia="de-DE"/>
              </w:rPr>
              <w:t xml:space="preserve"> SOROCA-BĂLŢI</w:t>
            </w:r>
          </w:p>
          <w:p w14:paraId="2C992E8B"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w:t>
            </w:r>
            <w:r w:rsidR="00A114C8" w:rsidRPr="009C5F11">
              <w:rPr>
                <w:rFonts w:ascii="Times New Roman" w:hAnsi="Times New Roman" w:cs="Times New Roman"/>
                <w:sz w:val="18"/>
                <w:szCs w:val="14"/>
                <w:lang w:val="ro-RO" w:eastAsia="de-DE"/>
              </w:rPr>
              <w:t xml:space="preserve">icând calcule </w:t>
            </w:r>
            <w:r w:rsidRPr="009C5F11">
              <w:rPr>
                <w:rFonts w:ascii="Times New Roman" w:hAnsi="Times New Roman" w:cs="Times New Roman"/>
                <w:sz w:val="18"/>
                <w:szCs w:val="14"/>
                <w:lang w:val="ro-RO" w:eastAsia="de-DE"/>
              </w:rPr>
              <w:t>similar</w:t>
            </w:r>
            <w:r w:rsidR="00A114C8" w:rsidRPr="009C5F11">
              <w:rPr>
                <w:rFonts w:ascii="Times New Roman" w:hAnsi="Times New Roman" w:cs="Times New Roman"/>
                <w:sz w:val="18"/>
                <w:szCs w:val="14"/>
                <w:lang w:val="ro-RO" w:eastAsia="de-DE"/>
              </w:rPr>
              <w:t xml:space="preserve">e celor </w:t>
            </w:r>
            <w:r w:rsidR="009239C2" w:rsidRPr="009C5F11">
              <w:rPr>
                <w:rFonts w:ascii="Times New Roman" w:hAnsi="Times New Roman" w:cs="Times New Roman"/>
                <w:sz w:val="18"/>
                <w:szCs w:val="14"/>
                <w:lang w:val="ro-RO" w:eastAsia="de-DE"/>
              </w:rPr>
              <w:t xml:space="preserve">folosite pentru reabilitarea staţiei de pompare </w:t>
            </w:r>
            <w:r w:rsidRPr="009C5F11">
              <w:rPr>
                <w:rFonts w:ascii="Times New Roman" w:hAnsi="Times New Roman" w:cs="Times New Roman"/>
                <w:sz w:val="18"/>
                <w:szCs w:val="14"/>
                <w:lang w:val="ro-RO" w:eastAsia="de-DE"/>
              </w:rPr>
              <w:t xml:space="preserve">ACC, </w:t>
            </w:r>
            <w:r w:rsidR="00C639BC" w:rsidRPr="009C5F11">
              <w:rPr>
                <w:rFonts w:ascii="Times New Roman" w:hAnsi="Times New Roman" w:cs="Times New Roman"/>
                <w:sz w:val="18"/>
                <w:szCs w:val="14"/>
                <w:lang w:val="ro-RO" w:eastAsia="de-DE"/>
              </w:rPr>
              <w:t>economii</w:t>
            </w:r>
            <w:r w:rsidR="009239C2" w:rsidRPr="009C5F11">
              <w:rPr>
                <w:rFonts w:ascii="Times New Roman" w:hAnsi="Times New Roman" w:cs="Times New Roman"/>
                <w:sz w:val="18"/>
                <w:szCs w:val="14"/>
                <w:lang w:val="ro-RO" w:eastAsia="de-DE"/>
              </w:rPr>
              <w:t xml:space="preserve">le estimate pe baza </w:t>
            </w:r>
            <w:r w:rsidR="00292A27" w:rsidRPr="009C5F11">
              <w:rPr>
                <w:rFonts w:ascii="Times New Roman" w:hAnsi="Times New Roman" w:cs="Times New Roman"/>
                <w:sz w:val="18"/>
                <w:szCs w:val="14"/>
                <w:lang w:val="ro-RO" w:eastAsia="de-DE"/>
              </w:rPr>
              <w:t xml:space="preserve">valorificării </w:t>
            </w:r>
            <w:r w:rsidR="009239C2" w:rsidRPr="009C5F11">
              <w:rPr>
                <w:rFonts w:ascii="Times New Roman" w:hAnsi="Times New Roman" w:cs="Times New Roman"/>
                <w:sz w:val="18"/>
                <w:szCs w:val="14"/>
                <w:lang w:val="ro-RO" w:eastAsia="de-DE"/>
              </w:rPr>
              <w:t>investiţiilor</w:t>
            </w:r>
            <w:r w:rsidR="00292A27" w:rsidRPr="009C5F11">
              <w:rPr>
                <w:rFonts w:ascii="Times New Roman" w:hAnsi="Times New Roman" w:cs="Times New Roman"/>
                <w:sz w:val="18"/>
                <w:szCs w:val="14"/>
                <w:lang w:val="ro-RO" w:eastAsia="de-DE"/>
              </w:rPr>
              <w:t xml:space="preserve"> rămase</w:t>
            </w:r>
            <w:r w:rsidR="009239C2" w:rsidRPr="009C5F11">
              <w:rPr>
                <w:rFonts w:ascii="Times New Roman" w:hAnsi="Times New Roman" w:cs="Times New Roman"/>
                <w:sz w:val="18"/>
                <w:szCs w:val="14"/>
                <w:lang w:val="ro-RO" w:eastAsia="de-DE"/>
              </w:rPr>
              <w:t xml:space="preserve"> în sumă de </w:t>
            </w:r>
            <w:r w:rsidRPr="009C5F11">
              <w:rPr>
                <w:rFonts w:ascii="Times New Roman" w:hAnsi="Times New Roman" w:cs="Times New Roman"/>
                <w:sz w:val="18"/>
                <w:szCs w:val="14"/>
                <w:lang w:val="ro-RO" w:eastAsia="de-DE"/>
              </w:rPr>
              <w:t>700</w:t>
            </w:r>
            <w:r w:rsidR="009239C2" w:rsidRPr="009C5F11">
              <w:rPr>
                <w:rFonts w:ascii="Times New Roman" w:hAnsi="Times New Roman" w:cs="Times New Roman"/>
                <w:sz w:val="18"/>
                <w:szCs w:val="14"/>
                <w:lang w:val="ro-RO" w:eastAsia="de-DE"/>
              </w:rPr>
              <w:t>,000 e</w:t>
            </w:r>
            <w:r w:rsidRPr="009C5F11">
              <w:rPr>
                <w:rFonts w:ascii="Times New Roman" w:hAnsi="Times New Roman" w:cs="Times New Roman"/>
                <w:sz w:val="18"/>
                <w:szCs w:val="14"/>
                <w:lang w:val="ro-RO" w:eastAsia="de-DE"/>
              </w:rPr>
              <w:t>uro</w:t>
            </w:r>
            <w:r w:rsidR="009239C2" w:rsidRPr="009C5F11">
              <w:rPr>
                <w:rFonts w:ascii="Times New Roman" w:hAnsi="Times New Roman" w:cs="Times New Roman"/>
                <w:sz w:val="18"/>
                <w:szCs w:val="14"/>
                <w:lang w:val="ro-RO" w:eastAsia="de-DE"/>
              </w:rPr>
              <w:t xml:space="preserve"> constituie</w:t>
            </w:r>
            <w:r w:rsidRPr="009C5F11">
              <w:rPr>
                <w:rFonts w:ascii="Times New Roman" w:hAnsi="Times New Roman" w:cs="Times New Roman"/>
                <w:sz w:val="18"/>
                <w:szCs w:val="14"/>
                <w:lang w:val="ro-RO" w:eastAsia="de-DE"/>
              </w:rPr>
              <w:t xml:space="preserve"> 0.06</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w:t>
            </w:r>
          </w:p>
          <w:p w14:paraId="0B9B4325"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p w14:paraId="5E6BA234" w14:textId="77777777" w:rsidR="00936847" w:rsidRPr="009C5F11" w:rsidRDefault="009239C2"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stima</w:t>
            </w:r>
            <w:r w:rsidRPr="009C5F11">
              <w:rPr>
                <w:rFonts w:ascii="Times New Roman" w:hAnsi="Times New Roman" w:cs="Times New Roman"/>
                <w:sz w:val="18"/>
                <w:szCs w:val="14"/>
                <w:lang w:val="ro-RO" w:eastAsia="de-DE"/>
              </w:rPr>
              <w:t>rea</w:t>
            </w:r>
            <w:r w:rsidR="00936847" w:rsidRPr="009C5F11">
              <w:rPr>
                <w:rFonts w:ascii="Times New Roman" w:hAnsi="Times New Roman" w:cs="Times New Roman"/>
                <w:sz w:val="18"/>
                <w:szCs w:val="14"/>
                <w:lang w:val="ro-RO" w:eastAsia="de-DE"/>
              </w:rPr>
              <w:t xml:space="preserve"> </w:t>
            </w:r>
            <w:r w:rsidR="00C639BC" w:rsidRPr="009C5F11">
              <w:rPr>
                <w:rFonts w:ascii="Times New Roman" w:hAnsi="Times New Roman" w:cs="Times New Roman"/>
                <w:sz w:val="18"/>
                <w:szCs w:val="14"/>
                <w:lang w:val="ro-RO" w:eastAsia="de-DE"/>
              </w:rPr>
              <w:t>economii</w:t>
            </w:r>
            <w:r w:rsidRPr="009C5F11">
              <w:rPr>
                <w:rFonts w:ascii="Times New Roman" w:hAnsi="Times New Roman" w:cs="Times New Roman"/>
                <w:sz w:val="18"/>
                <w:szCs w:val="14"/>
                <w:lang w:val="ro-RO" w:eastAsia="de-DE"/>
              </w:rPr>
              <w:t xml:space="preserve">lor se bazează pe rezultatele </w:t>
            </w:r>
            <w:r w:rsidR="006B1229" w:rsidRPr="009C5F11">
              <w:rPr>
                <w:rFonts w:ascii="Times New Roman" w:hAnsi="Times New Roman" w:cs="Times New Roman"/>
                <w:sz w:val="18"/>
                <w:szCs w:val="14"/>
                <w:lang w:val="ro-RO" w:eastAsia="de-DE"/>
              </w:rPr>
              <w:t>studiul</w:t>
            </w:r>
            <w:r w:rsidRPr="009C5F11">
              <w:rPr>
                <w:rFonts w:ascii="Times New Roman" w:hAnsi="Times New Roman" w:cs="Times New Roman"/>
                <w:sz w:val="18"/>
                <w:szCs w:val="14"/>
                <w:lang w:val="ro-RO" w:eastAsia="de-DE"/>
              </w:rPr>
              <w:t>ui</w:t>
            </w:r>
            <w:r w:rsidR="006B1229" w:rsidRPr="009C5F11">
              <w:rPr>
                <w:rFonts w:ascii="Times New Roman" w:hAnsi="Times New Roman" w:cs="Times New Roman"/>
                <w:sz w:val="18"/>
                <w:szCs w:val="14"/>
                <w:lang w:val="ro-RO" w:eastAsia="de-DE"/>
              </w:rPr>
              <w:t xml:space="preserve"> de fezabilitate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Serviciul de</w:t>
            </w:r>
            <w:r w:rsidR="00936847" w:rsidRPr="009C5F11">
              <w:rPr>
                <w:rFonts w:ascii="Times New Roman" w:hAnsi="Times New Roman" w:cs="Times New Roman"/>
                <w:sz w:val="18"/>
                <w:szCs w:val="14"/>
                <w:lang w:val="ro-RO" w:eastAsia="de-DE"/>
              </w:rPr>
              <w:t xml:space="preserve"> </w:t>
            </w:r>
            <w:r w:rsidR="006B1229" w:rsidRPr="009C5F11">
              <w:rPr>
                <w:rFonts w:ascii="Times New Roman" w:hAnsi="Times New Roman" w:cs="Times New Roman"/>
                <w:sz w:val="18"/>
                <w:szCs w:val="14"/>
                <w:lang w:val="ro-RO" w:eastAsia="de-DE"/>
              </w:rPr>
              <w:t>alimentare cu apă</w:t>
            </w:r>
            <w:r w:rsidR="00321CD5" w:rsidRPr="009C5F11">
              <w:rPr>
                <w:rFonts w:ascii="Times New Roman" w:hAnsi="Times New Roman" w:cs="Times New Roman"/>
                <w:sz w:val="18"/>
                <w:szCs w:val="14"/>
                <w:lang w:val="ro-RO" w:eastAsia="de-DE"/>
              </w:rPr>
              <w:t xml:space="preserve"> şi </w:t>
            </w:r>
            <w:r w:rsidR="006B1229" w:rsidRPr="009C5F11">
              <w:rPr>
                <w:rFonts w:ascii="Times New Roman" w:hAnsi="Times New Roman" w:cs="Times New Roman"/>
                <w:sz w:val="18"/>
                <w:szCs w:val="14"/>
                <w:lang w:val="ro-RO" w:eastAsia="de-DE"/>
              </w:rPr>
              <w:t>epurare</w:t>
            </w:r>
            <w:r w:rsidRPr="009C5F11">
              <w:rPr>
                <w:rFonts w:ascii="Times New Roman" w:hAnsi="Times New Roman" w:cs="Times New Roman"/>
                <w:sz w:val="18"/>
                <w:szCs w:val="14"/>
                <w:lang w:val="ro-RO" w:eastAsia="de-DE"/>
              </w:rPr>
              <w:t xml:space="preserve"> </w:t>
            </w:r>
            <w:r w:rsidR="006B1229" w:rsidRPr="009C5F11">
              <w:rPr>
                <w:rFonts w:ascii="Times New Roman" w:hAnsi="Times New Roman" w:cs="Times New Roman"/>
                <w:sz w:val="18"/>
                <w:szCs w:val="14"/>
                <w:lang w:val="ro-RO" w:eastAsia="de-DE"/>
              </w:rPr>
              <w:t>a apelor uzate</w:t>
            </w:r>
            <w:r w:rsidRPr="009C5F11">
              <w:rPr>
                <w:rFonts w:ascii="Times New Roman" w:hAnsi="Times New Roman" w:cs="Times New Roman"/>
                <w:sz w:val="18"/>
                <w:szCs w:val="14"/>
                <w:lang w:val="ro-RO" w:eastAsia="de-DE"/>
              </w:rPr>
              <w:t xml:space="preserve"> din </w:t>
            </w:r>
            <w:r w:rsidR="0087273F" w:rsidRPr="009C5F11">
              <w:rPr>
                <w:rFonts w:ascii="Times New Roman" w:hAnsi="Times New Roman" w:cs="Times New Roman"/>
                <w:sz w:val="18"/>
                <w:szCs w:val="14"/>
                <w:lang w:val="ro-RO" w:eastAsia="de-DE"/>
              </w:rPr>
              <w:t>Chișinău</w:t>
            </w:r>
            <w:r w:rsidR="00936847" w:rsidRPr="009C5F11">
              <w:rPr>
                <w:rFonts w:ascii="Times New Roman" w:hAnsi="Times New Roman" w:cs="Times New Roman"/>
                <w:sz w:val="18"/>
                <w:szCs w:val="14"/>
                <w:lang w:val="ro-RO" w:eastAsia="de-DE"/>
              </w:rPr>
              <w:t xml:space="preserve">”. </w:t>
            </w:r>
          </w:p>
          <w:p w14:paraId="623A94D5" w14:textId="77777777" w:rsidR="00936847" w:rsidRPr="009C5F11" w:rsidRDefault="009239C2" w:rsidP="00292A27">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Asumarea de bază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este</w:t>
            </w:r>
            <w:r w:rsidR="00936847" w:rsidRPr="009C5F11">
              <w:rPr>
                <w:rFonts w:ascii="Times New Roman" w:hAnsi="Times New Roman" w:cs="Times New Roman"/>
                <w:sz w:val="18"/>
                <w:szCs w:val="14"/>
                <w:lang w:val="ro-RO" w:eastAsia="de-DE"/>
              </w:rPr>
              <w:t xml:space="preserve"> </w:t>
            </w:r>
            <w:r w:rsidR="00532A33" w:rsidRPr="009C5F11">
              <w:rPr>
                <w:rFonts w:ascii="Times New Roman" w:hAnsi="Times New Roman" w:cs="Times New Roman"/>
                <w:sz w:val="18"/>
                <w:szCs w:val="14"/>
                <w:lang w:val="ro-RO" w:eastAsia="de-DE"/>
              </w:rPr>
              <w:t>implementarea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cu succes </w:t>
            </w:r>
            <w:r w:rsidR="00603237" w:rsidRPr="009C5F11">
              <w:rPr>
                <w:rFonts w:ascii="Times New Roman" w:hAnsi="Times New Roman" w:cs="Times New Roman"/>
                <w:sz w:val="18"/>
                <w:szCs w:val="14"/>
                <w:lang w:val="ro-RO" w:eastAsia="de-DE"/>
              </w:rPr>
              <w:t xml:space="preserve">pe parcursul </w:t>
            </w:r>
            <w:r w:rsidRPr="009C5F11">
              <w:rPr>
                <w:rFonts w:ascii="Times New Roman" w:hAnsi="Times New Roman" w:cs="Times New Roman"/>
                <w:sz w:val="18"/>
                <w:szCs w:val="14"/>
                <w:lang w:val="ro-RO" w:eastAsia="de-DE"/>
              </w:rPr>
              <w:t xml:space="preserve">perioadei </w:t>
            </w:r>
            <w:r w:rsidR="00936847" w:rsidRPr="009C5F11">
              <w:rPr>
                <w:rFonts w:ascii="Times New Roman" w:hAnsi="Times New Roman" w:cs="Times New Roman"/>
                <w:sz w:val="18"/>
                <w:szCs w:val="14"/>
                <w:lang w:val="ro-RO" w:eastAsia="de-DE"/>
              </w:rPr>
              <w:t xml:space="preserve">2015-2019 </w:t>
            </w:r>
            <w:r w:rsidR="00292A27" w:rsidRPr="009C5F11">
              <w:rPr>
                <w:rFonts w:ascii="Times New Roman" w:hAnsi="Times New Roman" w:cs="Times New Roman"/>
                <w:sz w:val="18"/>
                <w:szCs w:val="14"/>
                <w:lang w:val="ro-RO" w:eastAsia="de-DE"/>
              </w:rPr>
              <w:t>a</w:t>
            </w:r>
            <w:r w:rsidRPr="009C5F11">
              <w:rPr>
                <w:rFonts w:ascii="Times New Roman" w:hAnsi="Times New Roman" w:cs="Times New Roman"/>
                <w:sz w:val="18"/>
                <w:szCs w:val="14"/>
                <w:lang w:val="ro-RO" w:eastAsia="de-DE"/>
              </w:rPr>
              <w:t xml:space="preserve"> Planului de investiţii prioritare</w:t>
            </w:r>
            <w:r w:rsidR="00292A27" w:rsidRPr="009C5F11">
              <w:rPr>
                <w:rFonts w:ascii="Times New Roman" w:hAnsi="Times New Roman" w:cs="Times New Roman"/>
                <w:sz w:val="18"/>
                <w:szCs w:val="14"/>
                <w:lang w:val="ro-RO" w:eastAsia="de-DE"/>
              </w:rPr>
              <w:t xml:space="preserve"> de 5 ani</w:t>
            </w:r>
            <w:r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tc>
      </w:tr>
      <w:tr w:rsidR="00936847" w:rsidRPr="009C5F11" w14:paraId="4E889579" w14:textId="77777777" w:rsidTr="00BF6432">
        <w:trPr>
          <w:trHeight w:val="179"/>
        </w:trPr>
        <w:tc>
          <w:tcPr>
            <w:tcW w:w="743" w:type="pct"/>
            <w:vMerge/>
          </w:tcPr>
          <w:p w14:paraId="6CFB227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9653911"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3B4B304C" w14:textId="77777777" w:rsidR="00936847" w:rsidRPr="009C5F11" w:rsidRDefault="009239C2" w:rsidP="00292A27">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 cadrul Proiectului Regiunea de </w:t>
            </w:r>
            <w:r w:rsidR="00292A27" w:rsidRPr="009C5F11">
              <w:rPr>
                <w:rFonts w:ascii="Times New Roman" w:hAnsi="Times New Roman" w:cs="Times New Roman"/>
                <w:sz w:val="18"/>
                <w:szCs w:val="14"/>
                <w:lang w:val="ro-RO"/>
              </w:rPr>
              <w:t xml:space="preserve">dezvoltare </w:t>
            </w:r>
            <w:r w:rsidR="004A7A66" w:rsidRPr="009C5F11">
              <w:rPr>
                <w:rFonts w:ascii="Times New Roman" w:hAnsi="Times New Roman" w:cs="Times New Roman"/>
                <w:sz w:val="18"/>
                <w:szCs w:val="14"/>
                <w:lang w:val="ro-RO"/>
              </w:rPr>
              <w:t>Nord</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va fi abordată şi reabilitarea staţiei de pompare</w:t>
            </w:r>
            <w:r w:rsidR="00936847" w:rsidRPr="009C5F11">
              <w:rPr>
                <w:rFonts w:ascii="Times New Roman" w:hAnsi="Times New Roman" w:cs="Times New Roman"/>
                <w:sz w:val="18"/>
                <w:szCs w:val="14"/>
                <w:lang w:val="ro-RO"/>
              </w:rPr>
              <w:t xml:space="preserve"> Soroca-</w:t>
            </w:r>
            <w:r w:rsidR="00210C2C" w:rsidRPr="009C5F11">
              <w:rPr>
                <w:rFonts w:ascii="Times New Roman" w:hAnsi="Times New Roman" w:cs="Times New Roman"/>
                <w:sz w:val="18"/>
                <w:szCs w:val="14"/>
                <w:lang w:val="ro-RO"/>
              </w:rPr>
              <w:t>Bălţi</w:t>
            </w:r>
            <w:r w:rsidRPr="009C5F11">
              <w:rPr>
                <w:rFonts w:ascii="Times New Roman" w:hAnsi="Times New Roman" w:cs="Times New Roman"/>
                <w:sz w:val="18"/>
                <w:szCs w:val="14"/>
                <w:lang w:val="ro-RO"/>
              </w:rPr>
              <w:t>.</w:t>
            </w:r>
          </w:p>
        </w:tc>
      </w:tr>
    </w:tbl>
    <w:p w14:paraId="68DB0FD5" w14:textId="77777777" w:rsidR="00936847" w:rsidRPr="009C5F11" w:rsidRDefault="00936847" w:rsidP="00936847">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br w:type="page"/>
      </w:r>
    </w:p>
    <w:p w14:paraId="36FB4628" w14:textId="77777777" w:rsidR="00936847" w:rsidRPr="00D9464A" w:rsidRDefault="007E1094" w:rsidP="004D5E36">
      <w:pPr>
        <w:pStyle w:val="Titlu4"/>
        <w:rPr>
          <w:rFonts w:ascii="Times New Roman" w:hAnsi="Times New Roman" w:cs="Times New Roman"/>
          <w:b/>
          <w:color w:val="000000" w:themeColor="text1"/>
          <w:sz w:val="28"/>
          <w:lang w:val="ro-RO"/>
        </w:rPr>
      </w:pPr>
      <w:bookmarkStart w:id="201" w:name="_Toc274304028"/>
      <w:bookmarkStart w:id="202" w:name="_Toc319555401"/>
      <w:bookmarkStart w:id="203" w:name="_Toc322013167"/>
      <w:r w:rsidRPr="00D9464A">
        <w:rPr>
          <w:rFonts w:ascii="Times New Roman" w:hAnsi="Times New Roman" w:cs="Times New Roman"/>
          <w:b/>
          <w:color w:val="000000" w:themeColor="text1"/>
          <w:sz w:val="28"/>
          <w:lang w:val="ro-RO"/>
        </w:rPr>
        <w:lastRenderedPageBreak/>
        <w:t>Măsuri în sectorul</w:t>
      </w:r>
      <w:r w:rsidR="00E46DD7" w:rsidRPr="00D9464A">
        <w:rPr>
          <w:rFonts w:ascii="Times New Roman" w:hAnsi="Times New Roman" w:cs="Times New Roman"/>
          <w:b/>
          <w:color w:val="000000" w:themeColor="text1"/>
          <w:sz w:val="28"/>
          <w:lang w:val="ro-RO"/>
        </w:rPr>
        <w:t xml:space="preserve"> </w:t>
      </w:r>
      <w:r w:rsidR="00936847" w:rsidRPr="00D9464A">
        <w:rPr>
          <w:rFonts w:ascii="Times New Roman" w:hAnsi="Times New Roman" w:cs="Times New Roman"/>
          <w:b/>
          <w:color w:val="000000" w:themeColor="text1"/>
          <w:sz w:val="28"/>
          <w:lang w:val="ro-RO"/>
        </w:rPr>
        <w:t>industr</w:t>
      </w:r>
      <w:r w:rsidR="00E46DD7" w:rsidRPr="00D9464A">
        <w:rPr>
          <w:rFonts w:ascii="Times New Roman" w:hAnsi="Times New Roman" w:cs="Times New Roman"/>
          <w:b/>
          <w:color w:val="000000" w:themeColor="text1"/>
          <w:sz w:val="28"/>
          <w:lang w:val="ro-RO"/>
        </w:rPr>
        <w:t>ie</w:t>
      </w:r>
      <w:r w:rsidR="00321CD5" w:rsidRPr="00D9464A">
        <w:rPr>
          <w:rFonts w:ascii="Times New Roman" w:hAnsi="Times New Roman" w:cs="Times New Roman"/>
          <w:b/>
          <w:color w:val="000000" w:themeColor="text1"/>
          <w:sz w:val="28"/>
          <w:lang w:val="ro-RO"/>
        </w:rPr>
        <w:t xml:space="preserve"> şi </w:t>
      </w:r>
      <w:r w:rsidR="001B3DCF" w:rsidRPr="00D9464A">
        <w:rPr>
          <w:rFonts w:ascii="Times New Roman" w:hAnsi="Times New Roman" w:cs="Times New Roman"/>
          <w:b/>
          <w:color w:val="000000" w:themeColor="text1"/>
          <w:sz w:val="28"/>
          <w:lang w:val="ro-RO"/>
        </w:rPr>
        <w:t>IMM</w:t>
      </w:r>
      <w:bookmarkEnd w:id="201"/>
      <w:bookmarkEnd w:id="202"/>
      <w:bookmarkEnd w:id="203"/>
    </w:p>
    <w:p w14:paraId="60BF35F6" w14:textId="613E8ECA" w:rsidR="00936847" w:rsidRPr="009C5F11" w:rsidRDefault="00E46DD7"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Sumarul informaţiilor privind măsurile</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din</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sectorul </w:t>
      </w:r>
      <w:r w:rsidR="00936847" w:rsidRPr="009C5F11">
        <w:rPr>
          <w:rFonts w:ascii="Times New Roman" w:hAnsi="Times New Roman" w:cs="Times New Roman"/>
          <w:sz w:val="24"/>
          <w:lang w:val="ro-RO"/>
        </w:rPr>
        <w:t xml:space="preserve">industrial </w:t>
      </w:r>
      <w:r w:rsidRPr="009C5F11">
        <w:rPr>
          <w:rFonts w:ascii="Times New Roman" w:hAnsi="Times New Roman" w:cs="Times New Roman"/>
          <w:sz w:val="24"/>
          <w:lang w:val="ro-RO"/>
        </w:rPr>
        <w:t>este prezentat în</w:t>
      </w:r>
      <w:r w:rsidR="00A0191C"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A0191C" w:rsidRPr="009C5F11">
        <w:rPr>
          <w:rFonts w:ascii="Times New Roman" w:hAnsi="Times New Roman" w:cs="Times New Roman"/>
          <w:sz w:val="24"/>
          <w:lang w:val="ro-RO"/>
        </w:rPr>
        <w:instrText xml:space="preserve"> REF _Ref319622114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19</w:t>
      </w:r>
      <w:r w:rsidR="003A6ADB" w:rsidRPr="009C5F11">
        <w:rPr>
          <w:rFonts w:ascii="Times New Roman" w:hAnsi="Times New Roman" w:cs="Times New Roman"/>
          <w:sz w:val="24"/>
          <w:lang w:val="ro-RO"/>
        </w:rPr>
        <w:fldChar w:fldCharType="end"/>
      </w:r>
      <w:r w:rsidR="00936847"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 mai jos</w:t>
      </w:r>
      <w:r w:rsidR="00936847" w:rsidRPr="009C5F11">
        <w:rPr>
          <w:rFonts w:ascii="Times New Roman" w:hAnsi="Times New Roman" w:cs="Times New Roman"/>
          <w:sz w:val="24"/>
          <w:lang w:val="ro-RO"/>
        </w:rPr>
        <w:t>.</w:t>
      </w:r>
    </w:p>
    <w:p w14:paraId="2285F882" w14:textId="77777777" w:rsidR="00DC6008" w:rsidRPr="009C5F11" w:rsidRDefault="00DC6008" w:rsidP="009D30FD">
      <w:pPr>
        <w:spacing w:before="120" w:after="120" w:line="240" w:lineRule="auto"/>
        <w:jc w:val="both"/>
        <w:textAlignment w:val="baseline"/>
        <w:rPr>
          <w:rFonts w:ascii="Times New Roman" w:hAnsi="Times New Roman" w:cs="Times New Roman"/>
          <w:sz w:val="24"/>
          <w:lang w:val="ro-RO"/>
        </w:rPr>
      </w:pPr>
    </w:p>
    <w:p w14:paraId="089B5A6A" w14:textId="77777777" w:rsidR="00936847" w:rsidRPr="009C5F11" w:rsidRDefault="00321CD5" w:rsidP="00DC6008">
      <w:pPr>
        <w:pStyle w:val="Legend"/>
        <w:keepNext/>
        <w:spacing w:after="120"/>
        <w:jc w:val="center"/>
        <w:rPr>
          <w:rFonts w:ascii="Times New Roman" w:hAnsi="Times New Roman" w:cs="Times New Roman"/>
          <w:sz w:val="22"/>
          <w:lang w:val="ro-RO"/>
        </w:rPr>
      </w:pPr>
      <w:bookmarkStart w:id="204" w:name="_Ref319622114"/>
      <w:bookmarkStart w:id="205" w:name="_Toc322013242"/>
      <w:r w:rsidRPr="009C5F11">
        <w:rPr>
          <w:rFonts w:ascii="Times New Roman" w:hAnsi="Times New Roman" w:cs="Times New Roman"/>
          <w:sz w:val="22"/>
          <w:lang w:val="ro-RO"/>
        </w:rPr>
        <w:t>Tabelul</w:t>
      </w:r>
      <w:r w:rsidR="00936847"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936847"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19</w:t>
      </w:r>
      <w:r w:rsidR="003A6ADB" w:rsidRPr="009C5F11">
        <w:rPr>
          <w:rFonts w:ascii="Times New Roman" w:hAnsi="Times New Roman" w:cs="Times New Roman"/>
          <w:sz w:val="22"/>
          <w:lang w:val="ro-RO"/>
        </w:rPr>
        <w:fldChar w:fldCharType="end"/>
      </w:r>
      <w:bookmarkEnd w:id="204"/>
      <w:r w:rsidR="00A0191C" w:rsidRPr="009C5F11">
        <w:rPr>
          <w:rFonts w:ascii="Times New Roman" w:hAnsi="Times New Roman" w:cs="Times New Roman"/>
          <w:sz w:val="22"/>
          <w:lang w:val="ro-RO"/>
        </w:rPr>
        <w:t xml:space="preserve"> -</w:t>
      </w:r>
      <w:r w:rsidR="00936847" w:rsidRPr="009C5F11">
        <w:rPr>
          <w:rFonts w:ascii="Times New Roman" w:hAnsi="Times New Roman" w:cs="Times New Roman"/>
          <w:sz w:val="22"/>
          <w:lang w:val="ro-RO"/>
        </w:rPr>
        <w:t xml:space="preserve"> </w:t>
      </w:r>
      <w:r w:rsidR="004D0283" w:rsidRPr="009C5F11">
        <w:rPr>
          <w:rFonts w:ascii="Times New Roman" w:hAnsi="Times New Roman" w:cs="Times New Roman"/>
          <w:sz w:val="22"/>
          <w:lang w:val="ro-RO"/>
        </w:rPr>
        <w:t>Privire de ansamblu</w:t>
      </w:r>
      <w:r w:rsidR="00936847" w:rsidRPr="009C5F11">
        <w:rPr>
          <w:rFonts w:ascii="Times New Roman" w:hAnsi="Times New Roman" w:cs="Times New Roman"/>
          <w:sz w:val="22"/>
          <w:lang w:val="ro-RO"/>
        </w:rPr>
        <w:t xml:space="preserve"> </w:t>
      </w:r>
      <w:r w:rsidR="00E46DD7" w:rsidRPr="009C5F11">
        <w:rPr>
          <w:rFonts w:ascii="Times New Roman" w:hAnsi="Times New Roman" w:cs="Times New Roman"/>
          <w:sz w:val="22"/>
          <w:lang w:val="ro-RO"/>
        </w:rPr>
        <w:t>a măsurilor individuale din</w:t>
      </w:r>
      <w:r w:rsidRPr="009C5F11">
        <w:rPr>
          <w:rFonts w:ascii="Times New Roman" w:hAnsi="Times New Roman" w:cs="Times New Roman"/>
          <w:sz w:val="22"/>
          <w:lang w:val="ro-RO"/>
        </w:rPr>
        <w:t xml:space="preserve"> </w:t>
      </w:r>
      <w:r w:rsidR="00936847" w:rsidRPr="009C5F11">
        <w:rPr>
          <w:rFonts w:ascii="Times New Roman" w:hAnsi="Times New Roman" w:cs="Times New Roman"/>
          <w:sz w:val="22"/>
          <w:lang w:val="ro-RO"/>
        </w:rPr>
        <w:t>industr</w:t>
      </w:r>
      <w:r w:rsidR="00E46DD7" w:rsidRPr="009C5F11">
        <w:rPr>
          <w:rFonts w:ascii="Times New Roman" w:hAnsi="Times New Roman" w:cs="Times New Roman"/>
          <w:sz w:val="22"/>
          <w:lang w:val="ro-RO"/>
        </w:rPr>
        <w:t>ie</w:t>
      </w:r>
      <w:r w:rsidRPr="009C5F11">
        <w:rPr>
          <w:rFonts w:ascii="Times New Roman" w:hAnsi="Times New Roman" w:cs="Times New Roman"/>
          <w:sz w:val="22"/>
          <w:lang w:val="ro-RO"/>
        </w:rPr>
        <w:t xml:space="preserve"> şi </w:t>
      </w:r>
      <w:r w:rsidR="001B3DCF" w:rsidRPr="009C5F11">
        <w:rPr>
          <w:rFonts w:ascii="Times New Roman" w:hAnsi="Times New Roman" w:cs="Times New Roman"/>
          <w:sz w:val="22"/>
          <w:lang w:val="ro-RO"/>
        </w:rPr>
        <w:t>IMM</w:t>
      </w:r>
      <w:r w:rsidR="00E46DD7" w:rsidRPr="009C5F11">
        <w:rPr>
          <w:rFonts w:ascii="Times New Roman" w:hAnsi="Times New Roman" w:cs="Times New Roman"/>
          <w:sz w:val="22"/>
          <w:lang w:val="ro-RO"/>
        </w:rPr>
        <w:t>.</w:t>
      </w:r>
      <w:bookmarkEnd w:id="205"/>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A0" w:firstRow="1" w:lastRow="0" w:firstColumn="1" w:lastColumn="0" w:noHBand="0" w:noVBand="0"/>
      </w:tblPr>
      <w:tblGrid>
        <w:gridCol w:w="531"/>
        <w:gridCol w:w="1924"/>
        <w:gridCol w:w="1361"/>
        <w:gridCol w:w="1186"/>
        <w:gridCol w:w="991"/>
        <w:gridCol w:w="991"/>
        <w:gridCol w:w="1083"/>
        <w:gridCol w:w="1176"/>
      </w:tblGrid>
      <w:tr w:rsidR="00936847" w:rsidRPr="009C5F11" w14:paraId="315110E9" w14:textId="77777777" w:rsidTr="00BF6432">
        <w:tc>
          <w:tcPr>
            <w:tcW w:w="300" w:type="pct"/>
            <w:shd w:val="clear" w:color="auto" w:fill="000080"/>
          </w:tcPr>
          <w:p w14:paraId="4AE8370D" w14:textId="77777777" w:rsidR="00936847" w:rsidRPr="009C5F11" w:rsidRDefault="00D55D28"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nr.</w:t>
            </w:r>
          </w:p>
        </w:tc>
        <w:tc>
          <w:tcPr>
            <w:tcW w:w="1054" w:type="pct"/>
            <w:shd w:val="clear" w:color="auto" w:fill="000080"/>
          </w:tcPr>
          <w:p w14:paraId="4994BD72" w14:textId="77777777" w:rsidR="00936847" w:rsidRPr="009C5F11" w:rsidRDefault="0094635F"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Denumirea măsurii de economisire a energiei</w:t>
            </w:r>
            <w:r w:rsidR="00936847" w:rsidRPr="009C5F11">
              <w:rPr>
                <w:rFonts w:ascii="Times New Roman" w:hAnsi="Times New Roman" w:cs="Times New Roman"/>
                <w:b/>
                <w:sz w:val="18"/>
                <w:szCs w:val="14"/>
                <w:lang w:val="ro-RO"/>
              </w:rPr>
              <w:br/>
            </w:r>
          </w:p>
        </w:tc>
        <w:tc>
          <w:tcPr>
            <w:tcW w:w="749" w:type="pct"/>
            <w:shd w:val="clear" w:color="auto" w:fill="000080"/>
          </w:tcPr>
          <w:p w14:paraId="6A34A271" w14:textId="77777777" w:rsidR="00936847" w:rsidRPr="009C5F11" w:rsidRDefault="00204033"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Utilizatorul final vizat</w:t>
            </w:r>
          </w:p>
        </w:tc>
        <w:tc>
          <w:tcPr>
            <w:tcW w:w="549" w:type="pct"/>
            <w:shd w:val="clear" w:color="auto" w:fill="000080"/>
          </w:tcPr>
          <w:p w14:paraId="0048B5B3" w14:textId="77777777" w:rsidR="00936847" w:rsidRPr="009C5F11" w:rsidRDefault="00204033"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Durata</w:t>
            </w:r>
          </w:p>
        </w:tc>
        <w:tc>
          <w:tcPr>
            <w:tcW w:w="549" w:type="pct"/>
            <w:shd w:val="clear" w:color="auto" w:fill="000080"/>
          </w:tcPr>
          <w:p w14:paraId="006F560B" w14:textId="77777777" w:rsidR="00936847" w:rsidRPr="009C5F11" w:rsidRDefault="00204033"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obţinute</w:t>
            </w:r>
            <w:r w:rsidR="00321CD5" w:rsidRPr="009C5F11">
              <w:rPr>
                <w:rFonts w:ascii="Times New Roman" w:hAnsi="Times New Roman" w:cs="Times New Roman"/>
                <w:b/>
                <w:sz w:val="18"/>
                <w:szCs w:val="14"/>
                <w:lang w:val="ro-RO"/>
              </w:rPr>
              <w:t xml:space="preserve"> în </w:t>
            </w:r>
            <w:r w:rsidR="00936847" w:rsidRPr="009C5F11">
              <w:rPr>
                <w:rFonts w:ascii="Times New Roman" w:hAnsi="Times New Roman" w:cs="Times New Roman"/>
                <w:b/>
                <w:sz w:val="18"/>
                <w:szCs w:val="14"/>
                <w:lang w:val="ro-RO"/>
              </w:rPr>
              <w:t>2016 (</w:t>
            </w:r>
            <w:r w:rsidR="00E52940" w:rsidRPr="009C5F11">
              <w:rPr>
                <w:rFonts w:ascii="Times New Roman" w:hAnsi="Times New Roman" w:cs="Times New Roman"/>
                <w:b/>
                <w:sz w:val="18"/>
                <w:szCs w:val="14"/>
                <w:lang w:val="ro-RO"/>
              </w:rPr>
              <w:t>ktep</w:t>
            </w:r>
            <w:r w:rsidR="00936847" w:rsidRPr="009C5F11">
              <w:rPr>
                <w:rFonts w:ascii="Times New Roman" w:hAnsi="Times New Roman" w:cs="Times New Roman"/>
                <w:b/>
                <w:sz w:val="18"/>
                <w:szCs w:val="14"/>
                <w:lang w:val="ro-RO"/>
              </w:rPr>
              <w:t>)</w:t>
            </w:r>
          </w:p>
        </w:tc>
        <w:tc>
          <w:tcPr>
            <w:tcW w:w="549" w:type="pct"/>
            <w:shd w:val="clear" w:color="auto" w:fill="000080"/>
          </w:tcPr>
          <w:p w14:paraId="4A449872" w14:textId="77777777" w:rsidR="00936847" w:rsidRPr="009C5F11" w:rsidRDefault="00204033"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prevăzute</w:t>
            </w:r>
            <w:r w:rsidR="00321CD5" w:rsidRPr="009C5F11">
              <w:rPr>
                <w:rFonts w:ascii="Times New Roman" w:hAnsi="Times New Roman" w:cs="Times New Roman"/>
                <w:b/>
                <w:sz w:val="18"/>
                <w:szCs w:val="14"/>
                <w:lang w:val="ro-RO"/>
              </w:rPr>
              <w:t xml:space="preserve"> în </w:t>
            </w:r>
            <w:r w:rsidR="00936847" w:rsidRPr="009C5F11">
              <w:rPr>
                <w:rFonts w:ascii="Times New Roman" w:hAnsi="Times New Roman" w:cs="Times New Roman"/>
                <w:b/>
                <w:sz w:val="18"/>
                <w:szCs w:val="14"/>
                <w:lang w:val="ro-RO"/>
              </w:rPr>
              <w:t>2020 (</w:t>
            </w:r>
            <w:r w:rsidR="00E52940" w:rsidRPr="009C5F11">
              <w:rPr>
                <w:rFonts w:ascii="Times New Roman" w:hAnsi="Times New Roman" w:cs="Times New Roman"/>
                <w:b/>
                <w:sz w:val="18"/>
                <w:szCs w:val="14"/>
                <w:lang w:val="ro-RO"/>
              </w:rPr>
              <w:t>ktep</w:t>
            </w:r>
            <w:r w:rsidR="00936847" w:rsidRPr="009C5F11">
              <w:rPr>
                <w:rFonts w:ascii="Times New Roman" w:hAnsi="Times New Roman" w:cs="Times New Roman"/>
                <w:b/>
                <w:sz w:val="18"/>
                <w:szCs w:val="14"/>
                <w:lang w:val="ro-RO"/>
              </w:rPr>
              <w:t>)</w:t>
            </w:r>
          </w:p>
        </w:tc>
        <w:tc>
          <w:tcPr>
            <w:tcW w:w="599" w:type="pct"/>
            <w:shd w:val="clear" w:color="auto" w:fill="000080"/>
          </w:tcPr>
          <w:p w14:paraId="44993B52" w14:textId="77777777" w:rsidR="00936847" w:rsidRPr="009C5F11" w:rsidRDefault="00204033"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Situaţia în raport cu primul PNAEE</w:t>
            </w:r>
          </w:p>
        </w:tc>
        <w:tc>
          <w:tcPr>
            <w:tcW w:w="649" w:type="pct"/>
            <w:shd w:val="clear" w:color="auto" w:fill="000080"/>
          </w:tcPr>
          <w:p w14:paraId="45859926" w14:textId="77777777" w:rsidR="00936847" w:rsidRPr="009C5F11" w:rsidRDefault="00204033"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Comentarii adiţionale</w:t>
            </w:r>
          </w:p>
        </w:tc>
      </w:tr>
      <w:tr w:rsidR="00936847" w:rsidRPr="009C5F11" w14:paraId="45BF4A39" w14:textId="77777777" w:rsidTr="00BF6432">
        <w:tc>
          <w:tcPr>
            <w:tcW w:w="300" w:type="pct"/>
            <w:shd w:val="clear" w:color="auto" w:fill="99CCFF"/>
          </w:tcPr>
          <w:p w14:paraId="0E0286C6" w14:textId="77777777" w:rsidR="00936847" w:rsidRPr="009C5F11" w:rsidRDefault="0093684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I.1.</w:t>
            </w:r>
          </w:p>
        </w:tc>
        <w:tc>
          <w:tcPr>
            <w:tcW w:w="1054" w:type="pct"/>
            <w:shd w:val="clear" w:color="auto" w:fill="99CCFF"/>
          </w:tcPr>
          <w:p w14:paraId="11F92263" w14:textId="77777777" w:rsidR="00936847" w:rsidRPr="009C5F11" w:rsidRDefault="00B2689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Modernizarea şi renovarea</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sectorului industrial</w:t>
            </w:r>
            <w:r w:rsidR="007172FB" w:rsidRPr="009C5F11">
              <w:rPr>
                <w:rFonts w:ascii="Times New Roman" w:hAnsi="Times New Roman" w:cs="Times New Roman"/>
                <w:sz w:val="18"/>
                <w:szCs w:val="14"/>
                <w:lang w:val="ro-RO"/>
              </w:rPr>
              <w:t>.</w:t>
            </w:r>
          </w:p>
        </w:tc>
        <w:tc>
          <w:tcPr>
            <w:tcW w:w="749" w:type="pct"/>
            <w:shd w:val="clear" w:color="auto" w:fill="99CCFF"/>
          </w:tcPr>
          <w:p w14:paraId="1DA8FC3F" w14:textId="77777777" w:rsidR="00936847" w:rsidRPr="009C5F11" w:rsidRDefault="007172FB"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Sectorul industrial</w:t>
            </w:r>
          </w:p>
        </w:tc>
        <w:tc>
          <w:tcPr>
            <w:tcW w:w="549" w:type="pct"/>
            <w:shd w:val="clear" w:color="auto" w:fill="99CCFF"/>
          </w:tcPr>
          <w:p w14:paraId="76E1ACEA" w14:textId="77777777" w:rsidR="00936847" w:rsidRPr="009C5F11" w:rsidRDefault="0093684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r w:rsidR="00292A27" w:rsidRPr="009C5F11">
              <w:rPr>
                <w:rFonts w:ascii="Times New Roman" w:hAnsi="Times New Roman" w:cs="Times New Roman"/>
                <w:sz w:val="18"/>
                <w:szCs w:val="14"/>
                <w:lang w:val="ro-RO"/>
              </w:rPr>
              <w:t xml:space="preserve"> -</w:t>
            </w:r>
          </w:p>
          <w:p w14:paraId="4AB37768" w14:textId="77777777" w:rsidR="00936847" w:rsidRPr="009C5F11" w:rsidRDefault="0093684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31/12/20</w:t>
            </w:r>
          </w:p>
        </w:tc>
        <w:tc>
          <w:tcPr>
            <w:tcW w:w="549" w:type="pct"/>
            <w:shd w:val="clear" w:color="auto" w:fill="99CCFF"/>
          </w:tcPr>
          <w:p w14:paraId="61F8A7EC" w14:textId="77777777" w:rsidR="00936847" w:rsidRPr="009C5F11" w:rsidRDefault="0093684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8.9</w:t>
            </w:r>
          </w:p>
        </w:tc>
        <w:tc>
          <w:tcPr>
            <w:tcW w:w="549" w:type="pct"/>
            <w:shd w:val="clear" w:color="auto" w:fill="99CCFF"/>
          </w:tcPr>
          <w:p w14:paraId="1B4EEC18" w14:textId="77777777" w:rsidR="00936847" w:rsidRPr="009C5F11" w:rsidRDefault="0093684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12.9</w:t>
            </w:r>
          </w:p>
        </w:tc>
        <w:tc>
          <w:tcPr>
            <w:tcW w:w="599" w:type="pct"/>
            <w:shd w:val="clear" w:color="auto" w:fill="99CCFF"/>
          </w:tcPr>
          <w:p w14:paraId="3DC402A6" w14:textId="77777777" w:rsidR="00936847" w:rsidRPr="009C5F11" w:rsidRDefault="00DA7FD2"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Preluată din primul PNAEE </w:t>
            </w:r>
            <w:r w:rsidR="00936847" w:rsidRPr="009C5F11">
              <w:rPr>
                <w:rFonts w:ascii="Times New Roman" w:hAnsi="Times New Roman" w:cs="Times New Roman"/>
                <w:sz w:val="18"/>
                <w:szCs w:val="14"/>
                <w:lang w:val="ro-RO"/>
              </w:rPr>
              <w:t xml:space="preserve"> </w:t>
            </w:r>
          </w:p>
        </w:tc>
        <w:tc>
          <w:tcPr>
            <w:tcW w:w="649" w:type="pct"/>
            <w:shd w:val="clear" w:color="auto" w:fill="99CCFF"/>
          </w:tcPr>
          <w:p w14:paraId="23A68168" w14:textId="77777777" w:rsidR="00936847" w:rsidRPr="009C5F11" w:rsidRDefault="00936847" w:rsidP="00147CE6">
            <w:pPr>
              <w:spacing w:before="40" w:after="40" w:line="240" w:lineRule="auto"/>
              <w:rPr>
                <w:rFonts w:ascii="Times New Roman" w:hAnsi="Times New Roman" w:cs="Times New Roman"/>
                <w:sz w:val="18"/>
                <w:szCs w:val="14"/>
                <w:lang w:val="ro-RO"/>
              </w:rPr>
            </w:pPr>
          </w:p>
        </w:tc>
      </w:tr>
      <w:tr w:rsidR="00936847" w:rsidRPr="009C5F11" w14:paraId="4D0350A2" w14:textId="77777777" w:rsidTr="00BF6432">
        <w:tc>
          <w:tcPr>
            <w:tcW w:w="300" w:type="pct"/>
            <w:shd w:val="clear" w:color="auto" w:fill="99CCFF"/>
          </w:tcPr>
          <w:p w14:paraId="568F4592" w14:textId="77777777" w:rsidR="00936847" w:rsidRPr="009C5F11" w:rsidRDefault="0093684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I.2</w:t>
            </w:r>
          </w:p>
        </w:tc>
        <w:tc>
          <w:tcPr>
            <w:tcW w:w="1054" w:type="pct"/>
            <w:shd w:val="clear" w:color="auto" w:fill="99CCFF"/>
          </w:tcPr>
          <w:p w14:paraId="516CDC36" w14:textId="77777777" w:rsidR="00936847" w:rsidRPr="009C5F11" w:rsidRDefault="007172FB"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Introducerea</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managementului energetic</w:t>
            </w:r>
            <w:r w:rsidR="00321CD5"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şi a celor mai bune practici în industrie</w:t>
            </w:r>
          </w:p>
        </w:tc>
        <w:tc>
          <w:tcPr>
            <w:tcW w:w="749" w:type="pct"/>
            <w:shd w:val="clear" w:color="auto" w:fill="99CCFF"/>
          </w:tcPr>
          <w:p w14:paraId="5848EC37" w14:textId="77777777" w:rsidR="00936847" w:rsidRPr="009C5F11" w:rsidRDefault="007172FB"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Sectorul industrial</w:t>
            </w:r>
          </w:p>
        </w:tc>
        <w:tc>
          <w:tcPr>
            <w:tcW w:w="549" w:type="pct"/>
            <w:shd w:val="clear" w:color="auto" w:fill="99CCFF"/>
          </w:tcPr>
          <w:p w14:paraId="009AE9B4" w14:textId="77777777" w:rsidR="00936847" w:rsidRPr="009C5F11" w:rsidRDefault="0093684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p>
          <w:p w14:paraId="52044B32" w14:textId="77777777" w:rsidR="00936847" w:rsidRPr="009C5F11" w:rsidRDefault="00292A2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p>
          <w:p w14:paraId="09C5AED6" w14:textId="77777777" w:rsidR="00936847" w:rsidRPr="009C5F11" w:rsidRDefault="0093684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31.12.18</w:t>
            </w:r>
          </w:p>
        </w:tc>
        <w:tc>
          <w:tcPr>
            <w:tcW w:w="549" w:type="pct"/>
            <w:shd w:val="clear" w:color="auto" w:fill="99CCFF"/>
          </w:tcPr>
          <w:p w14:paraId="7FD0F55F" w14:textId="77777777" w:rsidR="00936847" w:rsidRPr="009C5F11" w:rsidRDefault="0093684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1.15</w:t>
            </w:r>
          </w:p>
        </w:tc>
        <w:tc>
          <w:tcPr>
            <w:tcW w:w="549" w:type="pct"/>
            <w:shd w:val="clear" w:color="auto" w:fill="99CCFF"/>
          </w:tcPr>
          <w:p w14:paraId="0E622F1B" w14:textId="77777777" w:rsidR="00936847" w:rsidRPr="009C5F11" w:rsidRDefault="00936847"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2.3</w:t>
            </w:r>
          </w:p>
        </w:tc>
        <w:tc>
          <w:tcPr>
            <w:tcW w:w="599" w:type="pct"/>
            <w:shd w:val="clear" w:color="auto" w:fill="99CCFF"/>
          </w:tcPr>
          <w:p w14:paraId="67B5E05E" w14:textId="77777777" w:rsidR="00936847" w:rsidRPr="009C5F11" w:rsidRDefault="00DA7FD2" w:rsidP="00147CE6">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Preluată din primul PNAEE </w:t>
            </w:r>
          </w:p>
        </w:tc>
        <w:tc>
          <w:tcPr>
            <w:tcW w:w="649" w:type="pct"/>
            <w:shd w:val="clear" w:color="auto" w:fill="99CCFF"/>
          </w:tcPr>
          <w:p w14:paraId="476D73E1" w14:textId="77777777" w:rsidR="00936847" w:rsidRPr="009C5F11" w:rsidRDefault="00936847" w:rsidP="00147CE6">
            <w:pPr>
              <w:spacing w:before="40" w:after="40" w:line="240" w:lineRule="auto"/>
              <w:rPr>
                <w:rFonts w:ascii="Times New Roman" w:hAnsi="Times New Roman" w:cs="Times New Roman"/>
                <w:sz w:val="18"/>
                <w:szCs w:val="14"/>
                <w:lang w:val="ro-RO"/>
              </w:rPr>
            </w:pPr>
          </w:p>
        </w:tc>
      </w:tr>
      <w:tr w:rsidR="00936847" w:rsidRPr="009C5F11" w14:paraId="0BF83471" w14:textId="77777777" w:rsidTr="00BF6432">
        <w:tc>
          <w:tcPr>
            <w:tcW w:w="300" w:type="pct"/>
            <w:shd w:val="clear" w:color="auto" w:fill="99CCFF"/>
          </w:tcPr>
          <w:p w14:paraId="13394526" w14:textId="77777777" w:rsidR="00936847" w:rsidRPr="009C5F11" w:rsidRDefault="00936847" w:rsidP="00147CE6">
            <w:pPr>
              <w:spacing w:before="40" w:after="40" w:line="240" w:lineRule="auto"/>
              <w:rPr>
                <w:rFonts w:ascii="Times New Roman" w:hAnsi="Times New Roman" w:cs="Times New Roman"/>
                <w:b/>
                <w:sz w:val="18"/>
                <w:szCs w:val="14"/>
                <w:lang w:val="ro-RO"/>
              </w:rPr>
            </w:pPr>
          </w:p>
        </w:tc>
        <w:tc>
          <w:tcPr>
            <w:tcW w:w="1054" w:type="pct"/>
            <w:shd w:val="clear" w:color="auto" w:fill="99CCFF"/>
          </w:tcPr>
          <w:p w14:paraId="171E84AB" w14:textId="77777777" w:rsidR="00936847" w:rsidRPr="009C5F11" w:rsidRDefault="00936847" w:rsidP="00147CE6">
            <w:pPr>
              <w:spacing w:before="40" w:after="40" w:line="240" w:lineRule="auto"/>
              <w:rPr>
                <w:rFonts w:ascii="Times New Roman" w:hAnsi="Times New Roman" w:cs="Times New Roman"/>
                <w:b/>
                <w:sz w:val="18"/>
                <w:szCs w:val="14"/>
                <w:lang w:val="ro-RO"/>
              </w:rPr>
            </w:pPr>
          </w:p>
        </w:tc>
        <w:tc>
          <w:tcPr>
            <w:tcW w:w="749" w:type="pct"/>
            <w:shd w:val="clear" w:color="auto" w:fill="99CCFF"/>
          </w:tcPr>
          <w:p w14:paraId="08D46100" w14:textId="77777777" w:rsidR="00936847" w:rsidRPr="009C5F11" w:rsidRDefault="00936847" w:rsidP="00147CE6">
            <w:pPr>
              <w:spacing w:before="40" w:after="40" w:line="240" w:lineRule="auto"/>
              <w:rPr>
                <w:rFonts w:ascii="Times New Roman" w:hAnsi="Times New Roman" w:cs="Times New Roman"/>
                <w:b/>
                <w:sz w:val="18"/>
                <w:szCs w:val="14"/>
                <w:lang w:val="ro-RO"/>
              </w:rPr>
            </w:pPr>
          </w:p>
        </w:tc>
        <w:tc>
          <w:tcPr>
            <w:tcW w:w="549" w:type="pct"/>
            <w:shd w:val="clear" w:color="auto" w:fill="99CCFF"/>
          </w:tcPr>
          <w:p w14:paraId="5699FE69" w14:textId="77777777" w:rsidR="00936847" w:rsidRPr="009C5F11" w:rsidRDefault="00E46DD7"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Suma economiilor</w:t>
            </w:r>
            <w:r w:rsidR="00936847" w:rsidRPr="009C5F11">
              <w:rPr>
                <w:rFonts w:ascii="Times New Roman" w:hAnsi="Times New Roman" w:cs="Times New Roman"/>
                <w:b/>
                <w:sz w:val="18"/>
                <w:szCs w:val="14"/>
                <w:lang w:val="ro-RO"/>
              </w:rPr>
              <w:t>:</w:t>
            </w:r>
          </w:p>
        </w:tc>
        <w:tc>
          <w:tcPr>
            <w:tcW w:w="549" w:type="pct"/>
            <w:shd w:val="clear" w:color="auto" w:fill="99CCFF"/>
          </w:tcPr>
          <w:p w14:paraId="6CC1F1EF" w14:textId="77777777" w:rsidR="00936847" w:rsidRPr="009C5F11" w:rsidRDefault="00936847"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10.05</w:t>
            </w:r>
          </w:p>
        </w:tc>
        <w:tc>
          <w:tcPr>
            <w:tcW w:w="549" w:type="pct"/>
            <w:shd w:val="clear" w:color="auto" w:fill="99CCFF"/>
          </w:tcPr>
          <w:p w14:paraId="676B5E53" w14:textId="77777777" w:rsidR="00936847" w:rsidRPr="009C5F11" w:rsidRDefault="00BC436A" w:rsidP="00147CE6">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15.20</w:t>
            </w:r>
          </w:p>
        </w:tc>
        <w:tc>
          <w:tcPr>
            <w:tcW w:w="599" w:type="pct"/>
            <w:shd w:val="clear" w:color="auto" w:fill="99CCFF"/>
          </w:tcPr>
          <w:p w14:paraId="1D0E83C6" w14:textId="77777777" w:rsidR="00936847" w:rsidRPr="009C5F11" w:rsidRDefault="00936847" w:rsidP="00147CE6">
            <w:pPr>
              <w:spacing w:before="40" w:after="40" w:line="240" w:lineRule="auto"/>
              <w:rPr>
                <w:rFonts w:ascii="Times New Roman" w:hAnsi="Times New Roman" w:cs="Times New Roman"/>
                <w:b/>
                <w:sz w:val="18"/>
                <w:szCs w:val="14"/>
                <w:lang w:val="ro-RO"/>
              </w:rPr>
            </w:pPr>
          </w:p>
        </w:tc>
        <w:tc>
          <w:tcPr>
            <w:tcW w:w="649" w:type="pct"/>
            <w:shd w:val="clear" w:color="auto" w:fill="99CCFF"/>
          </w:tcPr>
          <w:p w14:paraId="50E212CD" w14:textId="77777777" w:rsidR="00936847" w:rsidRPr="009C5F11" w:rsidRDefault="00936847" w:rsidP="00147CE6">
            <w:pPr>
              <w:spacing w:before="40" w:after="40" w:line="240" w:lineRule="auto"/>
              <w:rPr>
                <w:rFonts w:ascii="Times New Roman" w:hAnsi="Times New Roman" w:cs="Times New Roman"/>
                <w:b/>
                <w:sz w:val="18"/>
                <w:szCs w:val="14"/>
                <w:lang w:val="ro-RO"/>
              </w:rPr>
            </w:pPr>
          </w:p>
        </w:tc>
      </w:tr>
    </w:tbl>
    <w:p w14:paraId="4C009117" w14:textId="77777777" w:rsidR="00936847" w:rsidRPr="009C5F11" w:rsidRDefault="00E46DD7" w:rsidP="009D30FD">
      <w:p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Tabelele cu măsuri sunt </w:t>
      </w:r>
      <w:r w:rsidR="009B74AF" w:rsidRPr="009C5F11">
        <w:rPr>
          <w:rFonts w:ascii="Times New Roman" w:hAnsi="Times New Roman" w:cs="Times New Roman"/>
          <w:sz w:val="24"/>
          <w:lang w:val="ro-RO"/>
        </w:rPr>
        <w:t>elaborate şi prezentate în continuare</w:t>
      </w:r>
      <w:r w:rsidR="00936847" w:rsidRPr="009C5F11">
        <w:rPr>
          <w:rFonts w:ascii="Times New Roman" w:hAnsi="Times New Roman" w:cs="Times New Roman"/>
          <w:sz w:val="24"/>
          <w:lang w:val="ro-RO"/>
        </w:rPr>
        <w:t xml:space="preserve">. </w:t>
      </w:r>
    </w:p>
    <w:p w14:paraId="4CCB087B" w14:textId="77777777" w:rsidR="00A22AE1" w:rsidRPr="009C5F11" w:rsidRDefault="00A22AE1" w:rsidP="009D30FD">
      <w:pPr>
        <w:spacing w:before="120" w:after="120" w:line="240" w:lineRule="auto"/>
        <w:jc w:val="both"/>
        <w:textAlignment w:val="baseline"/>
        <w:rPr>
          <w:rFonts w:ascii="Times New Roman" w:hAnsi="Times New Roman" w:cs="Times New Roman"/>
          <w:sz w:val="24"/>
          <w:lang w:val="ro-RO"/>
        </w:rPr>
      </w:pPr>
    </w:p>
    <w:p w14:paraId="24112A75" w14:textId="77777777" w:rsidR="00A22AE1" w:rsidRPr="009C5F11" w:rsidRDefault="00A22AE1" w:rsidP="009D30FD">
      <w:pPr>
        <w:spacing w:before="120" w:after="120" w:line="240" w:lineRule="auto"/>
        <w:jc w:val="both"/>
        <w:textAlignment w:val="baseline"/>
        <w:rPr>
          <w:rFonts w:ascii="Times New Roman" w:hAnsi="Times New Roman" w:cs="Times New Roman"/>
          <w:sz w:val="24"/>
          <w:lang w:val="ro-RO"/>
        </w:rPr>
        <w:sectPr w:rsidR="00A22AE1" w:rsidRPr="009C5F11" w:rsidSect="00430626">
          <w:pgSz w:w="11907" w:h="16840" w:code="9"/>
          <w:pgMar w:top="1440" w:right="1440" w:bottom="1440" w:left="1440" w:header="720" w:footer="720" w:gutter="0"/>
          <w:cols w:space="720"/>
          <w:docGrid w:linePitch="360"/>
        </w:sectPr>
      </w:pPr>
    </w:p>
    <w:p w14:paraId="45D912F1" w14:textId="77777777" w:rsidR="00762CE6" w:rsidRPr="009C5F11" w:rsidRDefault="00321CD5" w:rsidP="00762CE6">
      <w:pPr>
        <w:pStyle w:val="Legend"/>
        <w:keepNext/>
        <w:spacing w:after="120"/>
        <w:jc w:val="center"/>
        <w:rPr>
          <w:rFonts w:ascii="Times New Roman" w:hAnsi="Times New Roman" w:cs="Times New Roman"/>
          <w:b/>
          <w:sz w:val="22"/>
          <w:lang w:val="ro-RO"/>
        </w:rPr>
      </w:pPr>
      <w:bookmarkStart w:id="206" w:name="_Toc447724213"/>
      <w:r w:rsidRPr="009C5F11">
        <w:rPr>
          <w:rFonts w:ascii="Times New Roman" w:hAnsi="Times New Roman" w:cs="Times New Roman"/>
          <w:b/>
          <w:sz w:val="22"/>
          <w:lang w:val="ro-RO"/>
        </w:rPr>
        <w:lastRenderedPageBreak/>
        <w:t>Tabelul</w:t>
      </w:r>
      <w:r w:rsidR="00762CE6" w:rsidRPr="009C5F11">
        <w:rPr>
          <w:rFonts w:ascii="Times New Roman" w:hAnsi="Times New Roman" w:cs="Times New Roman"/>
          <w:b/>
          <w:sz w:val="22"/>
          <w:lang w:val="ro-RO"/>
        </w:rPr>
        <w:t xml:space="preserve"> I </w:t>
      </w:r>
      <w:r w:rsidR="003A6ADB" w:rsidRPr="009C5F11">
        <w:rPr>
          <w:rFonts w:ascii="Times New Roman" w:hAnsi="Times New Roman" w:cs="Times New Roman"/>
          <w:b/>
          <w:sz w:val="22"/>
          <w:lang w:val="ro-RO"/>
        </w:rPr>
        <w:fldChar w:fldCharType="begin"/>
      </w:r>
      <w:r w:rsidR="00762CE6" w:rsidRPr="009C5F11">
        <w:rPr>
          <w:rFonts w:ascii="Times New Roman" w:hAnsi="Times New Roman" w:cs="Times New Roman"/>
          <w:b/>
          <w:sz w:val="22"/>
          <w:lang w:val="ro-RO"/>
        </w:rPr>
        <w:instrText xml:space="preserve"> SEQ Table_I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1</w:t>
      </w:r>
      <w:r w:rsidR="003A6ADB" w:rsidRPr="009C5F11">
        <w:rPr>
          <w:rFonts w:ascii="Times New Roman" w:hAnsi="Times New Roman" w:cs="Times New Roman"/>
          <w:b/>
          <w:sz w:val="22"/>
          <w:lang w:val="ro-RO"/>
        </w:rPr>
        <w:fldChar w:fldCharType="end"/>
      </w:r>
      <w:r w:rsidR="00762CE6" w:rsidRPr="009C5F11">
        <w:rPr>
          <w:rFonts w:ascii="Times New Roman" w:hAnsi="Times New Roman" w:cs="Times New Roman"/>
          <w:b/>
          <w:sz w:val="22"/>
          <w:lang w:val="ro-RO"/>
        </w:rPr>
        <w:t xml:space="preserve"> - </w:t>
      </w:r>
      <w:r w:rsidR="00F231AC" w:rsidRPr="009C5F11">
        <w:rPr>
          <w:rFonts w:ascii="Times New Roman" w:hAnsi="Times New Roman" w:cs="Times New Roman"/>
          <w:b/>
          <w:sz w:val="22"/>
          <w:lang w:val="ro-RO"/>
        </w:rPr>
        <w:t>Modernizarea</w:t>
      </w:r>
      <w:r w:rsidRPr="009C5F11">
        <w:rPr>
          <w:rFonts w:ascii="Times New Roman" w:hAnsi="Times New Roman" w:cs="Times New Roman"/>
          <w:b/>
          <w:sz w:val="22"/>
          <w:lang w:val="ro-RO"/>
        </w:rPr>
        <w:t xml:space="preserve"> şi </w:t>
      </w:r>
      <w:r w:rsidR="00762CE6" w:rsidRPr="009C5F11">
        <w:rPr>
          <w:rFonts w:ascii="Times New Roman" w:hAnsi="Times New Roman" w:cs="Times New Roman"/>
          <w:b/>
          <w:sz w:val="22"/>
          <w:lang w:val="ro-RO"/>
        </w:rPr>
        <w:t>renova</w:t>
      </w:r>
      <w:r w:rsidR="0087273F" w:rsidRPr="009C5F11">
        <w:rPr>
          <w:rFonts w:ascii="Times New Roman" w:hAnsi="Times New Roman" w:cs="Times New Roman"/>
          <w:b/>
          <w:sz w:val="22"/>
          <w:lang w:val="ro-RO"/>
        </w:rPr>
        <w:t>rea</w:t>
      </w:r>
      <w:r w:rsidR="00762CE6" w:rsidRPr="009C5F11">
        <w:rPr>
          <w:rFonts w:ascii="Times New Roman" w:hAnsi="Times New Roman" w:cs="Times New Roman"/>
          <w:b/>
          <w:sz w:val="22"/>
          <w:lang w:val="ro-RO"/>
        </w:rPr>
        <w:t xml:space="preserve"> </w:t>
      </w:r>
      <w:r w:rsidR="00B26897" w:rsidRPr="009C5F11">
        <w:rPr>
          <w:rFonts w:ascii="Times New Roman" w:hAnsi="Times New Roman" w:cs="Times New Roman"/>
          <w:b/>
          <w:sz w:val="22"/>
          <w:lang w:val="ro-RO"/>
        </w:rPr>
        <w:t>sectorului industrial</w:t>
      </w:r>
      <w:r w:rsidR="00762CE6" w:rsidRPr="009C5F11">
        <w:rPr>
          <w:rFonts w:ascii="Times New Roman" w:hAnsi="Times New Roman" w:cs="Times New Roman"/>
          <w:b/>
          <w:sz w:val="22"/>
          <w:lang w:val="ro-RO"/>
        </w:rPr>
        <w:t xml:space="preserve"> </w:t>
      </w:r>
      <w:r w:rsidR="002B232C" w:rsidRPr="009C5F11">
        <w:rPr>
          <w:rFonts w:ascii="Times New Roman" w:hAnsi="Times New Roman" w:cs="Times New Roman"/>
          <w:b/>
          <w:sz w:val="22"/>
          <w:lang w:val="ro-RO"/>
        </w:rPr>
        <w:t>folosind stimulente financiare</w:t>
      </w:r>
      <w:r w:rsidR="007172FB" w:rsidRPr="009C5F11">
        <w:rPr>
          <w:rFonts w:ascii="Times New Roman" w:hAnsi="Times New Roman" w:cs="Times New Roman"/>
          <w:b/>
          <w:sz w:val="22"/>
          <w:lang w:val="ro-RO"/>
        </w:rPr>
        <w:t>.</w:t>
      </w:r>
      <w:bookmarkEnd w:id="2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936847" w:rsidRPr="009C5F11" w14:paraId="79A11DA2" w14:textId="77777777" w:rsidTr="00CA706E">
        <w:trPr>
          <w:trHeight w:val="67"/>
        </w:trPr>
        <w:tc>
          <w:tcPr>
            <w:tcW w:w="1756" w:type="pct"/>
            <w:gridSpan w:val="2"/>
          </w:tcPr>
          <w:p w14:paraId="33B87DCB" w14:textId="77777777" w:rsidR="00936847" w:rsidRPr="009C5F11" w:rsidRDefault="0094635F" w:rsidP="00430626">
            <w:pPr>
              <w:tabs>
                <w:tab w:val="left" w:pos="1440"/>
                <w:tab w:val="left" w:pos="5040"/>
                <w:tab w:val="right" w:pos="8504"/>
              </w:tabs>
              <w:spacing w:before="40" w:after="40" w:line="240"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47BEB135" w14:textId="77777777" w:rsidR="00936847" w:rsidRPr="009C5F11" w:rsidRDefault="00B26897" w:rsidP="00430626">
            <w:pPr>
              <w:tabs>
                <w:tab w:val="left" w:pos="1440"/>
                <w:tab w:val="left" w:pos="5040"/>
                <w:tab w:val="right" w:pos="8504"/>
              </w:tabs>
              <w:spacing w:before="40" w:after="40" w:line="240"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Modernizarea şi renovarea</w:t>
            </w:r>
            <w:r w:rsidR="00936847" w:rsidRPr="009C5F11">
              <w:rPr>
                <w:rFonts w:ascii="Times New Roman" w:hAnsi="Times New Roman" w:cs="Times New Roman"/>
                <w:b/>
                <w:sz w:val="18"/>
                <w:szCs w:val="14"/>
                <w:lang w:val="ro-RO" w:eastAsia="de-DE"/>
              </w:rPr>
              <w:t xml:space="preserve"> </w:t>
            </w:r>
            <w:r w:rsidRPr="009C5F11">
              <w:rPr>
                <w:rFonts w:ascii="Times New Roman" w:hAnsi="Times New Roman" w:cs="Times New Roman"/>
                <w:b/>
                <w:sz w:val="18"/>
                <w:szCs w:val="14"/>
                <w:lang w:val="ro-RO" w:eastAsia="de-DE"/>
              </w:rPr>
              <w:t>sectorului industrial</w:t>
            </w:r>
          </w:p>
        </w:tc>
      </w:tr>
      <w:tr w:rsidR="00936847" w:rsidRPr="009C5F11" w14:paraId="00FCA314" w14:textId="77777777" w:rsidTr="00CA706E">
        <w:trPr>
          <w:trHeight w:val="61"/>
        </w:trPr>
        <w:tc>
          <w:tcPr>
            <w:tcW w:w="1756" w:type="pct"/>
            <w:gridSpan w:val="2"/>
          </w:tcPr>
          <w:p w14:paraId="34FAD8D2" w14:textId="77777777" w:rsidR="00936847" w:rsidRPr="009C5F11" w:rsidRDefault="00E46DD7" w:rsidP="00430626">
            <w:pPr>
              <w:tabs>
                <w:tab w:val="left" w:pos="1440"/>
                <w:tab w:val="left" w:pos="5040"/>
                <w:tab w:val="right" w:pos="8504"/>
              </w:tabs>
              <w:spacing w:before="40" w:after="40" w:line="240"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165CCBA1" w14:textId="77777777" w:rsidR="00936847" w:rsidRPr="009C5F11" w:rsidRDefault="00936847" w:rsidP="00430626">
            <w:pPr>
              <w:tabs>
                <w:tab w:val="left" w:pos="1440"/>
                <w:tab w:val="left" w:pos="5040"/>
                <w:tab w:val="right" w:pos="8504"/>
              </w:tabs>
              <w:spacing w:before="40" w:after="4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I1</w:t>
            </w:r>
          </w:p>
        </w:tc>
      </w:tr>
      <w:tr w:rsidR="00936847" w:rsidRPr="009C5F11" w14:paraId="023D4BB9" w14:textId="77777777" w:rsidTr="00CA706E">
        <w:trPr>
          <w:trHeight w:val="107"/>
        </w:trPr>
        <w:tc>
          <w:tcPr>
            <w:tcW w:w="743" w:type="pct"/>
            <w:vMerge w:val="restart"/>
          </w:tcPr>
          <w:p w14:paraId="7708E398"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p w14:paraId="2B103A4E"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2899798F"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22D937C5" w14:textId="77777777" w:rsidR="00936847" w:rsidRPr="009C5F11" w:rsidRDefault="007172FB"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Împrumuturi</w:t>
            </w:r>
            <w:r w:rsidR="00936847" w:rsidRPr="009C5F11">
              <w:rPr>
                <w:rFonts w:ascii="Times New Roman" w:hAnsi="Times New Roman" w:cs="Times New Roman"/>
                <w:sz w:val="18"/>
                <w:szCs w:val="14"/>
                <w:lang w:val="ro-RO" w:eastAsia="de-DE"/>
              </w:rPr>
              <w:t xml:space="preserve">, </w:t>
            </w:r>
            <w:r w:rsidR="00EB460D" w:rsidRPr="009C5F11">
              <w:rPr>
                <w:rFonts w:ascii="Times New Roman" w:hAnsi="Times New Roman" w:cs="Times New Roman"/>
                <w:sz w:val="18"/>
                <w:szCs w:val="14"/>
                <w:lang w:val="ro-RO" w:eastAsia="de-DE"/>
              </w:rPr>
              <w:t>granturi</w:t>
            </w:r>
          </w:p>
        </w:tc>
      </w:tr>
      <w:tr w:rsidR="00936847" w:rsidRPr="009C5F11" w14:paraId="4270E489" w14:textId="77777777" w:rsidTr="00CA706E">
        <w:trPr>
          <w:trHeight w:val="476"/>
        </w:trPr>
        <w:tc>
          <w:tcPr>
            <w:tcW w:w="743" w:type="pct"/>
            <w:vMerge/>
          </w:tcPr>
          <w:p w14:paraId="048EB2CE"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716E3DF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2D4BEEE2"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2013 </w:t>
            </w:r>
          </w:p>
          <w:p w14:paraId="55182DA4"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2020</w:t>
            </w:r>
          </w:p>
          <w:p w14:paraId="1B9BC8BE" w14:textId="77777777" w:rsidR="00936847" w:rsidRPr="009C5F11" w:rsidRDefault="00A861EB" w:rsidP="00A861EB">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Măsură preluată din PNAEE 2013-2015, fiind ajustată </w:t>
            </w:r>
            <w:r w:rsidR="007172FB" w:rsidRPr="009C5F11">
              <w:rPr>
                <w:rFonts w:ascii="Times New Roman" w:hAnsi="Times New Roman" w:cs="Times New Roman"/>
                <w:sz w:val="18"/>
                <w:szCs w:val="14"/>
                <w:lang w:val="ro-RO" w:eastAsia="de-DE"/>
              </w:rPr>
              <w:t>denumire</w:t>
            </w:r>
            <w:r w:rsidRPr="009C5F11">
              <w:rPr>
                <w:rFonts w:ascii="Times New Roman" w:hAnsi="Times New Roman" w:cs="Times New Roman"/>
                <w:sz w:val="18"/>
                <w:szCs w:val="14"/>
                <w:lang w:val="ro-RO" w:eastAsia="de-DE"/>
              </w:rPr>
              <w:t>a.</w:t>
            </w:r>
          </w:p>
        </w:tc>
      </w:tr>
      <w:tr w:rsidR="00936847" w:rsidRPr="009C5F11" w14:paraId="1E683409" w14:textId="77777777" w:rsidTr="00CA706E">
        <w:trPr>
          <w:trHeight w:val="107"/>
        </w:trPr>
        <w:tc>
          <w:tcPr>
            <w:tcW w:w="743" w:type="pct"/>
            <w:vMerge/>
          </w:tcPr>
          <w:p w14:paraId="7FFC287E"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07AA69FB"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2FB06D92" w14:textId="77777777" w:rsidR="00936847" w:rsidRPr="009C5F11" w:rsidRDefault="00936847" w:rsidP="002A270D">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w:t>
            </w:r>
            <w:r w:rsidR="00677FAC" w:rsidRPr="009C5F11">
              <w:rPr>
                <w:rFonts w:ascii="Times New Roman" w:hAnsi="Times New Roman" w:cs="Times New Roman"/>
                <w:sz w:val="18"/>
                <w:szCs w:val="14"/>
                <w:lang w:val="ro-RO" w:eastAsia="de-DE"/>
              </w:rPr>
              <w:t xml:space="preserve">usţinerea instrumentelor de finanţare pentru </w:t>
            </w:r>
            <w:r w:rsidR="000C7BEC" w:rsidRPr="009C5F11">
              <w:rPr>
                <w:rFonts w:ascii="Times New Roman" w:hAnsi="Times New Roman" w:cs="Times New Roman"/>
                <w:sz w:val="18"/>
                <w:szCs w:val="14"/>
                <w:lang w:val="ro-RO" w:eastAsia="de-DE"/>
              </w:rPr>
              <w:t>proiecte de eficienţă energetică</w:t>
            </w:r>
            <w:r w:rsidRPr="009C5F11">
              <w:rPr>
                <w:rFonts w:ascii="Times New Roman" w:hAnsi="Times New Roman" w:cs="Times New Roman"/>
                <w:sz w:val="18"/>
                <w:szCs w:val="14"/>
                <w:lang w:val="ro-RO" w:eastAsia="de-DE"/>
              </w:rPr>
              <w:t xml:space="preserve"> </w:t>
            </w:r>
            <w:r w:rsidR="00677FAC" w:rsidRPr="009C5F11">
              <w:rPr>
                <w:rFonts w:ascii="Times New Roman" w:hAnsi="Times New Roman" w:cs="Times New Roman"/>
                <w:sz w:val="18"/>
                <w:szCs w:val="14"/>
                <w:lang w:val="ro-RO" w:eastAsia="de-DE"/>
              </w:rPr>
              <w:t xml:space="preserve">din cadrul </w:t>
            </w:r>
            <w:r w:rsidRPr="009C5F11">
              <w:rPr>
                <w:rFonts w:ascii="Times New Roman" w:hAnsi="Times New Roman" w:cs="Times New Roman"/>
                <w:sz w:val="18"/>
                <w:szCs w:val="14"/>
                <w:lang w:val="ro-RO" w:eastAsia="de-DE"/>
              </w:rPr>
              <w:t>sector</w:t>
            </w:r>
            <w:r w:rsidR="00677FAC" w:rsidRPr="009C5F11">
              <w:rPr>
                <w:rFonts w:ascii="Times New Roman" w:hAnsi="Times New Roman" w:cs="Times New Roman"/>
                <w:sz w:val="18"/>
                <w:szCs w:val="14"/>
                <w:lang w:val="ro-RO" w:eastAsia="de-DE"/>
              </w:rPr>
              <w:t>ului</w:t>
            </w:r>
            <w:r w:rsidRPr="009C5F11">
              <w:rPr>
                <w:rFonts w:ascii="Times New Roman" w:hAnsi="Times New Roman" w:cs="Times New Roman"/>
                <w:sz w:val="18"/>
                <w:szCs w:val="14"/>
                <w:lang w:val="ro-RO" w:eastAsia="de-DE"/>
              </w:rPr>
              <w:t xml:space="preserve"> </w:t>
            </w:r>
            <w:r w:rsidR="00677FAC" w:rsidRPr="009C5F11">
              <w:rPr>
                <w:rFonts w:ascii="Times New Roman" w:hAnsi="Times New Roman" w:cs="Times New Roman"/>
                <w:sz w:val="18"/>
                <w:szCs w:val="14"/>
                <w:lang w:val="ro-RO" w:eastAsia="de-DE"/>
              </w:rPr>
              <w:t xml:space="preserve">prin instituirea unei linii de </w:t>
            </w:r>
            <w:r w:rsidRPr="009C5F11">
              <w:rPr>
                <w:rFonts w:ascii="Times New Roman" w:hAnsi="Times New Roman" w:cs="Times New Roman"/>
                <w:sz w:val="18"/>
                <w:szCs w:val="14"/>
                <w:lang w:val="ro-RO" w:eastAsia="de-DE"/>
              </w:rPr>
              <w:t>credit (</w:t>
            </w:r>
            <w:r w:rsidR="007172FB" w:rsidRPr="009C5F11">
              <w:rPr>
                <w:rFonts w:ascii="Times New Roman" w:hAnsi="Times New Roman" w:cs="Times New Roman"/>
                <w:sz w:val="18"/>
                <w:szCs w:val="14"/>
                <w:lang w:val="ro-RO" w:eastAsia="de-DE"/>
              </w:rPr>
              <w:t>componenta de grant</w:t>
            </w:r>
            <w:r w:rsidRPr="009C5F11">
              <w:rPr>
                <w:rFonts w:ascii="Times New Roman" w:hAnsi="Times New Roman" w:cs="Times New Roman"/>
                <w:sz w:val="18"/>
                <w:szCs w:val="14"/>
                <w:lang w:val="ro-RO" w:eastAsia="de-DE"/>
              </w:rPr>
              <w:t xml:space="preserve"> - 5-20%) </w:t>
            </w:r>
            <w:r w:rsidR="00677FAC" w:rsidRPr="009C5F11">
              <w:rPr>
                <w:rFonts w:ascii="Times New Roman" w:hAnsi="Times New Roman" w:cs="Times New Roman"/>
                <w:sz w:val="18"/>
                <w:szCs w:val="14"/>
                <w:lang w:val="ro-RO" w:eastAsia="de-DE"/>
              </w:rPr>
              <w:t>pentru sectorul industrial</w:t>
            </w:r>
            <w:r w:rsidRPr="009C5F11">
              <w:rPr>
                <w:rFonts w:ascii="Times New Roman" w:hAnsi="Times New Roman" w:cs="Times New Roman"/>
                <w:sz w:val="18"/>
                <w:szCs w:val="14"/>
                <w:lang w:val="ro-RO" w:eastAsia="de-DE"/>
              </w:rPr>
              <w:t>. Credit</w:t>
            </w:r>
            <w:r w:rsidR="00AA492C" w:rsidRPr="009C5F11">
              <w:rPr>
                <w:rFonts w:ascii="Times New Roman" w:hAnsi="Times New Roman" w:cs="Times New Roman"/>
                <w:sz w:val="18"/>
                <w:szCs w:val="14"/>
                <w:lang w:val="ro-RO" w:eastAsia="de-DE"/>
              </w:rPr>
              <w:t xml:space="preserve">ele sunt acordate în scopul </w:t>
            </w:r>
            <w:r w:rsidR="004E138F" w:rsidRPr="009C5F11">
              <w:rPr>
                <w:rFonts w:ascii="Times New Roman" w:hAnsi="Times New Roman" w:cs="Times New Roman"/>
                <w:sz w:val="18"/>
                <w:szCs w:val="14"/>
                <w:lang w:val="ro-RO" w:eastAsia="de-DE"/>
              </w:rPr>
              <w:t>investi</w:t>
            </w:r>
            <w:r w:rsidR="00AA492C" w:rsidRPr="009C5F11">
              <w:rPr>
                <w:rFonts w:ascii="Times New Roman" w:hAnsi="Times New Roman" w:cs="Times New Roman"/>
                <w:sz w:val="18"/>
                <w:szCs w:val="14"/>
                <w:lang w:val="ro-RO" w:eastAsia="de-DE"/>
              </w:rPr>
              <w:t xml:space="preserve">rii în tehnologii de reducere a consumului </w:t>
            </w:r>
            <w:r w:rsidR="00454AB3" w:rsidRPr="009C5F11">
              <w:rPr>
                <w:rFonts w:ascii="Times New Roman" w:hAnsi="Times New Roman" w:cs="Times New Roman"/>
                <w:sz w:val="18"/>
                <w:szCs w:val="14"/>
                <w:lang w:val="ro-RO" w:eastAsia="de-DE"/>
              </w:rPr>
              <w:t xml:space="preserve">energetic </w:t>
            </w:r>
            <w:r w:rsidR="00321CD5" w:rsidRPr="009C5F11">
              <w:rPr>
                <w:rFonts w:ascii="Times New Roman" w:hAnsi="Times New Roman" w:cs="Times New Roman"/>
                <w:sz w:val="18"/>
                <w:szCs w:val="14"/>
                <w:lang w:val="ro-RO" w:eastAsia="de-DE"/>
              </w:rPr>
              <w:t xml:space="preserve">sau </w:t>
            </w:r>
            <w:r w:rsidR="00454AB3" w:rsidRPr="009C5F11">
              <w:rPr>
                <w:rFonts w:ascii="Times New Roman" w:hAnsi="Times New Roman" w:cs="Times New Roman"/>
                <w:sz w:val="18"/>
                <w:szCs w:val="14"/>
                <w:lang w:val="ro-RO" w:eastAsia="de-DE"/>
              </w:rPr>
              <w:t xml:space="preserve">pentru valorificarea </w:t>
            </w:r>
            <w:r w:rsidR="00127E34" w:rsidRPr="009C5F11">
              <w:rPr>
                <w:rFonts w:ascii="Times New Roman" w:hAnsi="Times New Roman" w:cs="Times New Roman"/>
                <w:sz w:val="18"/>
                <w:szCs w:val="14"/>
                <w:lang w:val="ro-RO" w:eastAsia="de-DE"/>
              </w:rPr>
              <w:t>surse</w:t>
            </w:r>
            <w:r w:rsidR="00454AB3" w:rsidRPr="009C5F11">
              <w:rPr>
                <w:rFonts w:ascii="Times New Roman" w:hAnsi="Times New Roman" w:cs="Times New Roman"/>
                <w:sz w:val="18"/>
                <w:szCs w:val="14"/>
                <w:lang w:val="ro-RO" w:eastAsia="de-DE"/>
              </w:rPr>
              <w:t>lor</w:t>
            </w:r>
            <w:r w:rsidR="00127E34" w:rsidRPr="009C5F11">
              <w:rPr>
                <w:rFonts w:ascii="Times New Roman" w:hAnsi="Times New Roman" w:cs="Times New Roman"/>
                <w:sz w:val="18"/>
                <w:szCs w:val="14"/>
                <w:lang w:val="ro-RO" w:eastAsia="de-DE"/>
              </w:rPr>
              <w:t xml:space="preserve"> </w:t>
            </w:r>
            <w:r w:rsidR="002A270D" w:rsidRPr="009C5F11">
              <w:rPr>
                <w:rFonts w:ascii="Times New Roman" w:hAnsi="Times New Roman" w:cs="Times New Roman"/>
                <w:sz w:val="18"/>
                <w:szCs w:val="14"/>
                <w:lang w:val="ro-RO" w:eastAsia="de-DE"/>
              </w:rPr>
              <w:t xml:space="preserve">regenerabile </w:t>
            </w:r>
            <w:r w:rsidR="00127E34" w:rsidRPr="009C5F11">
              <w:rPr>
                <w:rFonts w:ascii="Times New Roman" w:hAnsi="Times New Roman" w:cs="Times New Roman"/>
                <w:sz w:val="18"/>
                <w:szCs w:val="14"/>
                <w:lang w:val="ro-RO" w:eastAsia="de-DE"/>
              </w:rPr>
              <w:t>de energie</w:t>
            </w:r>
            <w:r w:rsidRPr="009C5F11">
              <w:rPr>
                <w:rFonts w:ascii="Times New Roman" w:hAnsi="Times New Roman" w:cs="Times New Roman"/>
                <w:sz w:val="18"/>
                <w:szCs w:val="14"/>
                <w:lang w:val="ro-RO" w:eastAsia="de-DE"/>
              </w:rPr>
              <w:t>.</w:t>
            </w:r>
          </w:p>
        </w:tc>
      </w:tr>
      <w:tr w:rsidR="00936847" w:rsidRPr="009C5F11" w14:paraId="70DAC490" w14:textId="77777777" w:rsidTr="00CA706E">
        <w:trPr>
          <w:trHeight w:val="61"/>
        </w:trPr>
        <w:tc>
          <w:tcPr>
            <w:tcW w:w="743" w:type="pct"/>
            <w:vMerge/>
          </w:tcPr>
          <w:p w14:paraId="1EA10760"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22A4BA01"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248080D2" w14:textId="77777777" w:rsidR="00936847" w:rsidRPr="009C5F11" w:rsidRDefault="0009071F"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w:t>
            </w:r>
            <w:r w:rsidR="00C87EEA" w:rsidRPr="009C5F11">
              <w:rPr>
                <w:rFonts w:ascii="Times New Roman" w:hAnsi="Times New Roman" w:cs="Times New Roman"/>
                <w:sz w:val="18"/>
                <w:szCs w:val="14"/>
                <w:lang w:val="ro-RO" w:eastAsia="de-DE"/>
              </w:rPr>
              <w:t>s</w:t>
            </w:r>
            <w:r w:rsidRPr="009C5F11">
              <w:rPr>
                <w:rFonts w:ascii="Times New Roman" w:hAnsi="Times New Roman" w:cs="Times New Roman"/>
                <w:sz w:val="18"/>
                <w:szCs w:val="14"/>
                <w:lang w:val="ro-RO" w:eastAsia="de-DE"/>
              </w:rPr>
              <w:t xml:space="preserve">umul de energie din </w:t>
            </w:r>
            <w:r w:rsidR="007172FB" w:rsidRPr="009C5F11">
              <w:rPr>
                <w:rFonts w:ascii="Times New Roman" w:hAnsi="Times New Roman" w:cs="Times New Roman"/>
                <w:sz w:val="18"/>
                <w:szCs w:val="14"/>
                <w:lang w:val="ro-RO" w:eastAsia="de-DE"/>
              </w:rPr>
              <w:t>Sectorul industrial</w:t>
            </w:r>
          </w:p>
        </w:tc>
      </w:tr>
      <w:tr w:rsidR="00936847" w:rsidRPr="009C5F11" w14:paraId="78B346BD" w14:textId="77777777" w:rsidTr="00CA706E">
        <w:trPr>
          <w:trHeight w:val="61"/>
        </w:trPr>
        <w:tc>
          <w:tcPr>
            <w:tcW w:w="743" w:type="pct"/>
            <w:vMerge/>
          </w:tcPr>
          <w:p w14:paraId="13B3C512"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729C07A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66DE496A" w14:textId="77777777" w:rsidR="00936847" w:rsidRPr="009C5F11" w:rsidRDefault="007172FB"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Sectorul industrial şi sectorul comercial</w:t>
            </w:r>
          </w:p>
        </w:tc>
      </w:tr>
      <w:tr w:rsidR="00936847" w:rsidRPr="009C5F11" w14:paraId="3360DDDC" w14:textId="77777777" w:rsidTr="00CA706E">
        <w:trPr>
          <w:trHeight w:val="116"/>
        </w:trPr>
        <w:tc>
          <w:tcPr>
            <w:tcW w:w="743" w:type="pct"/>
            <w:vMerge/>
          </w:tcPr>
          <w:p w14:paraId="10ADBBB2"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74065907"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329258AE" w14:textId="77777777" w:rsidR="00936847" w:rsidRPr="009C5F11" w:rsidRDefault="0076167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936847" w:rsidRPr="009C5F11" w14:paraId="19526909" w14:textId="77777777" w:rsidTr="00CA706E">
        <w:trPr>
          <w:trHeight w:val="476"/>
        </w:trPr>
        <w:tc>
          <w:tcPr>
            <w:tcW w:w="743" w:type="pct"/>
            <w:vMerge w:val="restart"/>
          </w:tcPr>
          <w:p w14:paraId="262C01D0"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014E479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244" w:type="pct"/>
          </w:tcPr>
          <w:p w14:paraId="331CC964" w14:textId="77777777" w:rsidR="00936847" w:rsidRPr="009C5F11" w:rsidRDefault="00B95682" w:rsidP="00334F3B">
            <w:pPr>
              <w:numPr>
                <w:ilvl w:val="0"/>
                <w:numId w:val="118"/>
              </w:numPr>
              <w:tabs>
                <w:tab w:val="left" w:pos="432"/>
                <w:tab w:val="left" w:pos="1242"/>
                <w:tab w:val="left" w:pos="5040"/>
                <w:tab w:val="right" w:pos="8504"/>
              </w:tabs>
              <w:spacing w:before="40" w:after="0" w:line="240" w:lineRule="auto"/>
              <w:ind w:left="432" w:hanging="180"/>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Finanţare</w:t>
            </w:r>
            <w:r w:rsidR="007172FB" w:rsidRPr="009C5F11">
              <w:rPr>
                <w:rFonts w:ascii="Times New Roman" w:hAnsi="Times New Roman" w:cs="Times New Roman"/>
                <w:b/>
                <w:sz w:val="18"/>
                <w:szCs w:val="14"/>
                <w:lang w:val="ro-RO" w:eastAsia="de-DE"/>
              </w:rPr>
              <w:t xml:space="preserve">a proiectelor de </w:t>
            </w:r>
            <w:r w:rsidR="00812E1D" w:rsidRPr="009C5F11">
              <w:rPr>
                <w:rFonts w:ascii="Times New Roman" w:hAnsi="Times New Roman" w:cs="Times New Roman"/>
                <w:b/>
                <w:sz w:val="18"/>
                <w:szCs w:val="14"/>
                <w:lang w:val="ro-RO" w:eastAsia="de-DE"/>
              </w:rPr>
              <w:t>eficienţa energetică</w:t>
            </w:r>
            <w:r w:rsidR="00321CD5" w:rsidRPr="009C5F11">
              <w:rPr>
                <w:rFonts w:ascii="Times New Roman" w:hAnsi="Times New Roman" w:cs="Times New Roman"/>
                <w:b/>
                <w:sz w:val="18"/>
                <w:szCs w:val="14"/>
                <w:lang w:val="ro-RO" w:eastAsia="de-DE"/>
              </w:rPr>
              <w:t xml:space="preserve"> şi </w:t>
            </w:r>
            <w:r w:rsidR="007172FB" w:rsidRPr="009C5F11">
              <w:rPr>
                <w:rFonts w:ascii="Times New Roman" w:hAnsi="Times New Roman" w:cs="Times New Roman"/>
                <w:b/>
                <w:sz w:val="18"/>
                <w:szCs w:val="14"/>
                <w:lang w:val="ro-RO" w:eastAsia="de-DE"/>
              </w:rPr>
              <w:t>de energie regenerabilă folosind</w:t>
            </w:r>
            <w:r w:rsidR="00936847" w:rsidRPr="009C5F11">
              <w:rPr>
                <w:rFonts w:ascii="Times New Roman" w:hAnsi="Times New Roman" w:cs="Times New Roman"/>
                <w:b/>
                <w:sz w:val="18"/>
                <w:szCs w:val="14"/>
                <w:lang w:val="ro-RO" w:eastAsia="de-DE"/>
              </w:rPr>
              <w:t xml:space="preserve"> </w:t>
            </w:r>
            <w:r w:rsidR="007172FB" w:rsidRPr="009C5F11">
              <w:rPr>
                <w:rFonts w:ascii="Times New Roman" w:hAnsi="Times New Roman" w:cs="Times New Roman"/>
                <w:b/>
                <w:sz w:val="18"/>
                <w:szCs w:val="14"/>
                <w:lang w:val="ro-RO" w:eastAsia="de-DE"/>
              </w:rPr>
              <w:t>î</w:t>
            </w:r>
            <w:r w:rsidR="00E04DEC" w:rsidRPr="009C5F11">
              <w:rPr>
                <w:rFonts w:ascii="Times New Roman" w:hAnsi="Times New Roman" w:cs="Times New Roman"/>
                <w:b/>
                <w:sz w:val="18"/>
                <w:szCs w:val="14"/>
                <w:lang w:val="ro-RO" w:eastAsia="de-DE"/>
              </w:rPr>
              <w:t>mprumuturi</w:t>
            </w:r>
            <w:r w:rsidR="00321CD5" w:rsidRPr="009C5F11">
              <w:rPr>
                <w:rFonts w:ascii="Times New Roman" w:hAnsi="Times New Roman" w:cs="Times New Roman"/>
                <w:b/>
                <w:sz w:val="18"/>
                <w:szCs w:val="14"/>
                <w:lang w:val="ro-RO" w:eastAsia="de-DE"/>
              </w:rPr>
              <w:t xml:space="preserve"> şi </w:t>
            </w:r>
            <w:r w:rsidR="00E04DEC" w:rsidRPr="009C5F11">
              <w:rPr>
                <w:rFonts w:ascii="Times New Roman" w:hAnsi="Times New Roman" w:cs="Times New Roman"/>
                <w:b/>
                <w:sz w:val="18"/>
                <w:szCs w:val="14"/>
                <w:lang w:val="ro-RO" w:eastAsia="de-DE"/>
              </w:rPr>
              <w:t>granturi</w:t>
            </w:r>
            <w:r w:rsidR="00936847" w:rsidRPr="009C5F11">
              <w:rPr>
                <w:rFonts w:ascii="Times New Roman" w:hAnsi="Times New Roman" w:cs="Times New Roman"/>
                <w:b/>
                <w:sz w:val="18"/>
                <w:szCs w:val="14"/>
                <w:lang w:val="ro-RO" w:eastAsia="de-DE"/>
              </w:rPr>
              <w:t xml:space="preserve"> </w:t>
            </w:r>
            <w:r w:rsidR="007172FB" w:rsidRPr="009C5F11">
              <w:rPr>
                <w:rFonts w:ascii="Times New Roman" w:hAnsi="Times New Roman" w:cs="Times New Roman"/>
                <w:b/>
                <w:sz w:val="18"/>
                <w:szCs w:val="14"/>
                <w:lang w:val="ro-RO" w:eastAsia="de-DE"/>
              </w:rPr>
              <w:t>din partea</w:t>
            </w:r>
            <w:r w:rsidR="00936847" w:rsidRPr="009C5F11">
              <w:rPr>
                <w:rFonts w:ascii="Times New Roman" w:hAnsi="Times New Roman" w:cs="Times New Roman"/>
                <w:b/>
                <w:sz w:val="18"/>
                <w:szCs w:val="14"/>
                <w:lang w:val="ro-RO" w:eastAsia="de-DE"/>
              </w:rPr>
              <w:t xml:space="preserve"> </w:t>
            </w:r>
            <w:r w:rsidR="00AA0566" w:rsidRPr="009C5F11">
              <w:rPr>
                <w:rFonts w:ascii="Times New Roman" w:hAnsi="Times New Roman" w:cs="Times New Roman"/>
                <w:b/>
                <w:sz w:val="18"/>
                <w:szCs w:val="14"/>
                <w:lang w:val="ro-RO" w:eastAsia="de-DE"/>
              </w:rPr>
              <w:t>BERD</w:t>
            </w:r>
            <w:r w:rsidR="007172FB" w:rsidRPr="009C5F11">
              <w:rPr>
                <w:rFonts w:ascii="Times New Roman" w:hAnsi="Times New Roman" w:cs="Times New Roman"/>
                <w:b/>
                <w:sz w:val="18"/>
                <w:szCs w:val="14"/>
                <w:lang w:val="ro-RO" w:eastAsia="de-DE"/>
              </w:rPr>
              <w:t>.</w:t>
            </w:r>
          </w:p>
          <w:p w14:paraId="7266C5E3" w14:textId="77777777" w:rsidR="00936847" w:rsidRPr="009C5F11" w:rsidRDefault="00454AB3" w:rsidP="00430626">
            <w:pPr>
              <w:tabs>
                <w:tab w:val="left" w:pos="1440"/>
                <w:tab w:val="left" w:pos="5040"/>
                <w:tab w:val="right" w:pos="8504"/>
              </w:tabs>
              <w:spacing w:after="0" w:line="240" w:lineRule="auto"/>
              <w:ind w:firstLine="252"/>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Descrierea </w:t>
            </w:r>
            <w:r w:rsidR="008F7BD5" w:rsidRPr="009C5F11">
              <w:rPr>
                <w:rFonts w:ascii="Times New Roman" w:hAnsi="Times New Roman" w:cs="Times New Roman"/>
                <w:sz w:val="18"/>
                <w:szCs w:val="14"/>
                <w:lang w:val="ro-RO"/>
              </w:rPr>
              <w:t>acţiun</w:t>
            </w:r>
            <w:r w:rsidRPr="009C5F11">
              <w:rPr>
                <w:rFonts w:ascii="Times New Roman" w:hAnsi="Times New Roman" w:cs="Times New Roman"/>
                <w:sz w:val="18"/>
                <w:szCs w:val="14"/>
                <w:lang w:val="ro-RO"/>
              </w:rPr>
              <w:t>ii</w:t>
            </w:r>
            <w:r w:rsidR="00936847" w:rsidRPr="009C5F11">
              <w:rPr>
                <w:rFonts w:ascii="Times New Roman" w:hAnsi="Times New Roman" w:cs="Times New Roman"/>
                <w:sz w:val="18"/>
                <w:szCs w:val="14"/>
                <w:lang w:val="ro-RO"/>
              </w:rPr>
              <w:t>:</w:t>
            </w:r>
          </w:p>
          <w:p w14:paraId="6BC28285" w14:textId="77777777" w:rsidR="00936847" w:rsidRPr="009C5F11" w:rsidRDefault="00454AB3" w:rsidP="00334F3B">
            <w:pPr>
              <w:numPr>
                <w:ilvl w:val="0"/>
                <w:numId w:val="116"/>
              </w:numPr>
              <w:tabs>
                <w:tab w:val="left" w:pos="702"/>
                <w:tab w:val="left" w:pos="5040"/>
                <w:tab w:val="right" w:pos="8504"/>
              </w:tabs>
              <w:spacing w:after="0" w:line="240" w:lineRule="auto"/>
              <w:ind w:left="61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Linie de c</w:t>
            </w:r>
            <w:r w:rsidR="00936847" w:rsidRPr="009C5F11">
              <w:rPr>
                <w:rFonts w:ascii="Times New Roman" w:hAnsi="Times New Roman" w:cs="Times New Roman"/>
                <w:sz w:val="18"/>
                <w:szCs w:val="14"/>
                <w:lang w:val="ro-RO"/>
              </w:rPr>
              <w:t xml:space="preserve">redit </w:t>
            </w:r>
            <w:r w:rsidRPr="009C5F11">
              <w:rPr>
                <w:rFonts w:ascii="Times New Roman" w:hAnsi="Times New Roman" w:cs="Times New Roman"/>
                <w:sz w:val="18"/>
                <w:szCs w:val="14"/>
                <w:lang w:val="ro-RO"/>
              </w:rPr>
              <w:t xml:space="preserve">disponibilă prin intermediul băncilor partenere din Republica </w:t>
            </w:r>
            <w:r w:rsidR="00936847" w:rsidRPr="009C5F11">
              <w:rPr>
                <w:rFonts w:ascii="Times New Roman" w:hAnsi="Times New Roman" w:cs="Times New Roman"/>
                <w:sz w:val="18"/>
                <w:szCs w:val="14"/>
                <w:lang w:val="ro-RO"/>
              </w:rPr>
              <w:t>Moldova</w:t>
            </w:r>
            <w:r w:rsidRPr="009C5F11">
              <w:rPr>
                <w:rFonts w:ascii="Times New Roman" w:hAnsi="Times New Roman" w:cs="Times New Roman"/>
                <w:sz w:val="18"/>
                <w:szCs w:val="14"/>
                <w:lang w:val="ro-RO"/>
              </w:rPr>
              <w:t>;</w:t>
            </w:r>
          </w:p>
          <w:p w14:paraId="201623E0" w14:textId="77777777" w:rsidR="00936847" w:rsidRPr="009C5F11" w:rsidRDefault="00454AB3" w:rsidP="00334F3B">
            <w:pPr>
              <w:numPr>
                <w:ilvl w:val="0"/>
                <w:numId w:val="116"/>
              </w:numPr>
              <w:tabs>
                <w:tab w:val="left" w:pos="702"/>
                <w:tab w:val="left" w:pos="5040"/>
                <w:tab w:val="right" w:pos="8504"/>
              </w:tabs>
              <w:spacing w:after="0" w:line="240" w:lineRule="auto"/>
              <w:ind w:left="61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Sprijină</w:t>
            </w:r>
            <w:r w:rsidR="00936847" w:rsidRPr="009C5F11">
              <w:rPr>
                <w:rFonts w:ascii="Times New Roman" w:hAnsi="Times New Roman" w:cs="Times New Roman"/>
                <w:sz w:val="18"/>
                <w:szCs w:val="14"/>
                <w:lang w:val="ro-RO"/>
              </w:rPr>
              <w:t xml:space="preserve"> </w:t>
            </w:r>
            <w:r w:rsidR="004E138F" w:rsidRPr="009C5F11">
              <w:rPr>
                <w:rFonts w:ascii="Times New Roman" w:hAnsi="Times New Roman" w:cs="Times New Roman"/>
                <w:sz w:val="18"/>
                <w:szCs w:val="14"/>
                <w:lang w:val="ro-RO"/>
              </w:rPr>
              <w:t>investiţiile</w:t>
            </w:r>
            <w:r w:rsidR="00321CD5" w:rsidRPr="009C5F11">
              <w:rPr>
                <w:rFonts w:ascii="Times New Roman" w:hAnsi="Times New Roman" w:cs="Times New Roman"/>
                <w:sz w:val="18"/>
                <w:szCs w:val="14"/>
                <w:lang w:val="ro-RO"/>
              </w:rPr>
              <w:t xml:space="preserve"> în </w:t>
            </w:r>
            <w:r w:rsidR="002A270D" w:rsidRPr="009C5F11">
              <w:rPr>
                <w:rFonts w:ascii="Times New Roman" w:hAnsi="Times New Roman" w:cs="Times New Roman"/>
                <w:sz w:val="18"/>
                <w:szCs w:val="14"/>
                <w:lang w:val="ro-RO"/>
              </w:rPr>
              <w:t>domeniul eficienţei</w:t>
            </w:r>
            <w:r w:rsidR="00812E1D" w:rsidRPr="009C5F11">
              <w:rPr>
                <w:rFonts w:ascii="Times New Roman" w:hAnsi="Times New Roman" w:cs="Times New Roman"/>
                <w:sz w:val="18"/>
                <w:szCs w:val="14"/>
                <w:lang w:val="ro-RO"/>
              </w:rPr>
              <w:t xml:space="preserve"> energetic</w:t>
            </w:r>
            <w:r w:rsidR="002A270D" w:rsidRPr="009C5F11">
              <w:rPr>
                <w:rFonts w:ascii="Times New Roman" w:hAnsi="Times New Roman" w:cs="Times New Roman"/>
                <w:sz w:val="18"/>
                <w:szCs w:val="14"/>
                <w:lang w:val="ro-RO"/>
              </w:rPr>
              <w:t>e</w:t>
            </w:r>
            <w:r w:rsidR="00321CD5" w:rsidRPr="009C5F11">
              <w:rPr>
                <w:rFonts w:ascii="Times New Roman" w:hAnsi="Times New Roman" w:cs="Times New Roman"/>
                <w:sz w:val="18"/>
                <w:szCs w:val="14"/>
                <w:lang w:val="ro-RO"/>
              </w:rPr>
              <w:t xml:space="preserve"> şi </w:t>
            </w:r>
            <w:r w:rsidR="002A270D" w:rsidRPr="009C5F11">
              <w:rPr>
                <w:rFonts w:ascii="Times New Roman" w:hAnsi="Times New Roman" w:cs="Times New Roman"/>
                <w:sz w:val="18"/>
                <w:szCs w:val="14"/>
                <w:lang w:val="ro-RO"/>
              </w:rPr>
              <w:t xml:space="preserve">al </w:t>
            </w:r>
            <w:r w:rsidRPr="009C5F11">
              <w:rPr>
                <w:rFonts w:ascii="Times New Roman" w:hAnsi="Times New Roman" w:cs="Times New Roman"/>
                <w:sz w:val="18"/>
                <w:szCs w:val="14"/>
                <w:lang w:val="ro-RO"/>
              </w:rPr>
              <w:t>tehnologiil</w:t>
            </w:r>
            <w:r w:rsidR="002A270D" w:rsidRPr="009C5F11">
              <w:rPr>
                <w:rFonts w:ascii="Times New Roman" w:hAnsi="Times New Roman" w:cs="Times New Roman"/>
                <w:sz w:val="18"/>
                <w:szCs w:val="14"/>
                <w:lang w:val="ro-RO"/>
              </w:rPr>
              <w:t>or</w:t>
            </w:r>
            <w:r w:rsidRPr="009C5F11">
              <w:rPr>
                <w:rFonts w:ascii="Times New Roman" w:hAnsi="Times New Roman" w:cs="Times New Roman"/>
                <w:sz w:val="18"/>
                <w:szCs w:val="14"/>
                <w:lang w:val="ro-RO"/>
              </w:rPr>
              <w:t xml:space="preserve"> energiei </w:t>
            </w:r>
            <w:r w:rsidR="00B466CC" w:rsidRPr="009C5F11">
              <w:rPr>
                <w:rFonts w:ascii="Times New Roman" w:hAnsi="Times New Roman" w:cs="Times New Roman"/>
                <w:sz w:val="18"/>
                <w:szCs w:val="14"/>
                <w:lang w:val="ro-RO"/>
              </w:rPr>
              <w:t>regenerabile;</w:t>
            </w:r>
          </w:p>
          <w:p w14:paraId="0C6B1016" w14:textId="77777777" w:rsidR="00936847" w:rsidRPr="009C5F11" w:rsidRDefault="00B466CC" w:rsidP="00334F3B">
            <w:pPr>
              <w:numPr>
                <w:ilvl w:val="0"/>
                <w:numId w:val="116"/>
              </w:numPr>
              <w:tabs>
                <w:tab w:val="left" w:pos="702"/>
                <w:tab w:val="left" w:pos="5040"/>
                <w:tab w:val="right" w:pos="8504"/>
              </w:tabs>
              <w:spacing w:after="0" w:line="240" w:lineRule="auto"/>
              <w:ind w:left="61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Asistenţă tehnică gratuită;</w:t>
            </w:r>
          </w:p>
          <w:p w14:paraId="0254C8F4" w14:textId="77777777" w:rsidR="00936847" w:rsidRPr="009C5F11" w:rsidRDefault="00B466CC" w:rsidP="00334F3B">
            <w:pPr>
              <w:numPr>
                <w:ilvl w:val="0"/>
                <w:numId w:val="116"/>
              </w:numPr>
              <w:tabs>
                <w:tab w:val="left" w:pos="702"/>
                <w:tab w:val="left" w:pos="5040"/>
                <w:tab w:val="right" w:pos="8504"/>
              </w:tabs>
              <w:spacing w:after="0" w:line="240" w:lineRule="auto"/>
              <w:ind w:left="61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C</w:t>
            </w:r>
            <w:r w:rsidR="007172FB" w:rsidRPr="009C5F11">
              <w:rPr>
                <w:rFonts w:ascii="Times New Roman" w:hAnsi="Times New Roman" w:cs="Times New Roman"/>
                <w:sz w:val="18"/>
                <w:szCs w:val="14"/>
                <w:lang w:val="ro-RO"/>
              </w:rPr>
              <w:t>omponent</w:t>
            </w:r>
            <w:r w:rsidRPr="009C5F11">
              <w:rPr>
                <w:rFonts w:ascii="Times New Roman" w:hAnsi="Times New Roman" w:cs="Times New Roman"/>
                <w:sz w:val="18"/>
                <w:szCs w:val="14"/>
                <w:lang w:val="ro-RO"/>
              </w:rPr>
              <w:t xml:space="preserve">ă </w:t>
            </w:r>
            <w:r w:rsidR="0009071F" w:rsidRPr="009C5F11">
              <w:rPr>
                <w:rFonts w:ascii="Times New Roman" w:hAnsi="Times New Roman" w:cs="Times New Roman"/>
                <w:sz w:val="18"/>
                <w:szCs w:val="14"/>
                <w:lang w:val="ro-RO"/>
              </w:rPr>
              <w:t xml:space="preserve">de grant </w:t>
            </w:r>
            <w:r w:rsidRPr="009C5F11">
              <w:rPr>
                <w:rFonts w:ascii="Times New Roman" w:hAnsi="Times New Roman" w:cs="Times New Roman"/>
                <w:sz w:val="18"/>
                <w:szCs w:val="14"/>
                <w:lang w:val="ro-RO"/>
              </w:rPr>
              <w:t>atractivă pentru proiectele</w:t>
            </w:r>
            <w:r w:rsidR="001B3DCF" w:rsidRPr="009C5F11">
              <w:rPr>
                <w:rFonts w:ascii="Times New Roman" w:hAnsi="Times New Roman" w:cs="Times New Roman"/>
                <w:sz w:val="18"/>
                <w:szCs w:val="14"/>
                <w:lang w:val="ro-RO"/>
              </w:rPr>
              <w:t xml:space="preserve"> implementat</w:t>
            </w:r>
            <w:r w:rsidRPr="009C5F11">
              <w:rPr>
                <w:rFonts w:ascii="Times New Roman" w:hAnsi="Times New Roman" w:cs="Times New Roman"/>
                <w:sz w:val="18"/>
                <w:szCs w:val="14"/>
                <w:lang w:val="ro-RO"/>
              </w:rPr>
              <w:t xml:space="preserve">e cu succes, </w:t>
            </w:r>
          </w:p>
          <w:p w14:paraId="09ADEB85" w14:textId="77777777" w:rsidR="00936847" w:rsidRPr="009C5F11" w:rsidRDefault="00B466CC" w:rsidP="00430626">
            <w:pPr>
              <w:tabs>
                <w:tab w:val="left" w:pos="1440"/>
                <w:tab w:val="left" w:pos="5040"/>
                <w:tab w:val="right" w:pos="8504"/>
              </w:tabs>
              <w:spacing w:after="0" w:line="240" w:lineRule="auto"/>
              <w:ind w:firstLine="252"/>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Etapele acţiunii</w:t>
            </w:r>
            <w:r w:rsidR="00936847" w:rsidRPr="009C5F11">
              <w:rPr>
                <w:rFonts w:ascii="Times New Roman" w:hAnsi="Times New Roman" w:cs="Times New Roman"/>
                <w:sz w:val="18"/>
                <w:szCs w:val="14"/>
                <w:lang w:val="ro-RO"/>
              </w:rPr>
              <w:t>:</w:t>
            </w:r>
          </w:p>
          <w:p w14:paraId="70310D9B" w14:textId="77777777" w:rsidR="00936847" w:rsidRPr="009C5F11" w:rsidRDefault="00B466CC" w:rsidP="00334F3B">
            <w:pPr>
              <w:numPr>
                <w:ilvl w:val="0"/>
                <w:numId w:val="117"/>
              </w:numPr>
              <w:tabs>
                <w:tab w:val="left" w:pos="702"/>
                <w:tab w:val="left" w:pos="5040"/>
                <w:tab w:val="right" w:pos="8504"/>
              </w:tabs>
              <w:spacing w:after="0" w:line="240" w:lineRule="auto"/>
              <w:ind w:left="61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verificarea</w:t>
            </w:r>
            <w:r w:rsidR="00936847" w:rsidRPr="009C5F11">
              <w:rPr>
                <w:rFonts w:ascii="Times New Roman" w:hAnsi="Times New Roman" w:cs="Times New Roman"/>
                <w:sz w:val="18"/>
                <w:szCs w:val="14"/>
                <w:lang w:val="ro-RO"/>
              </w:rPr>
              <w:t xml:space="preserve"> eligibilit</w:t>
            </w:r>
            <w:r w:rsidRPr="009C5F11">
              <w:rPr>
                <w:rFonts w:ascii="Times New Roman" w:hAnsi="Times New Roman" w:cs="Times New Roman"/>
                <w:sz w:val="18"/>
                <w:szCs w:val="14"/>
                <w:lang w:val="ro-RO"/>
              </w:rPr>
              <w:t>ăţii</w:t>
            </w:r>
            <w:r w:rsidR="00936847" w:rsidRPr="009C5F11">
              <w:rPr>
                <w:rFonts w:ascii="Times New Roman" w:hAnsi="Times New Roman" w:cs="Times New Roman"/>
                <w:sz w:val="18"/>
                <w:szCs w:val="14"/>
                <w:lang w:val="ro-RO"/>
              </w:rPr>
              <w:t>;</w:t>
            </w:r>
          </w:p>
          <w:p w14:paraId="24E3DE4C" w14:textId="77777777" w:rsidR="00936847" w:rsidRPr="009C5F11" w:rsidRDefault="00B466CC" w:rsidP="00334F3B">
            <w:pPr>
              <w:numPr>
                <w:ilvl w:val="0"/>
                <w:numId w:val="117"/>
              </w:numPr>
              <w:tabs>
                <w:tab w:val="left" w:pos="702"/>
                <w:tab w:val="left" w:pos="5040"/>
                <w:tab w:val="right" w:pos="8504"/>
              </w:tabs>
              <w:spacing w:after="0" w:line="240" w:lineRule="auto"/>
              <w:ind w:left="61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a</w:t>
            </w:r>
            <w:r w:rsidR="00936847" w:rsidRPr="009C5F11">
              <w:rPr>
                <w:rFonts w:ascii="Times New Roman" w:hAnsi="Times New Roman" w:cs="Times New Roman"/>
                <w:sz w:val="18"/>
                <w:szCs w:val="14"/>
                <w:lang w:val="ro-RO"/>
              </w:rPr>
              <w:t>udit</w:t>
            </w:r>
            <w:r w:rsidR="00321CD5" w:rsidRPr="009C5F11">
              <w:rPr>
                <w:rFonts w:ascii="Times New Roman" w:hAnsi="Times New Roman" w:cs="Times New Roman"/>
                <w:sz w:val="18"/>
                <w:szCs w:val="14"/>
                <w:lang w:val="ro-RO"/>
              </w:rPr>
              <w:t xml:space="preserve"> şi </w:t>
            </w:r>
            <w:r w:rsidRPr="009C5F11">
              <w:rPr>
                <w:rFonts w:ascii="Times New Roman" w:hAnsi="Times New Roman" w:cs="Times New Roman"/>
                <w:sz w:val="18"/>
                <w:szCs w:val="14"/>
                <w:lang w:val="ro-RO"/>
              </w:rPr>
              <w:t>aprobare tehnică</w:t>
            </w:r>
            <w:r w:rsidR="00936847" w:rsidRPr="009C5F11">
              <w:rPr>
                <w:rFonts w:ascii="Times New Roman" w:hAnsi="Times New Roman" w:cs="Times New Roman"/>
                <w:sz w:val="18"/>
                <w:szCs w:val="14"/>
                <w:lang w:val="ro-RO"/>
              </w:rPr>
              <w:t>;</w:t>
            </w:r>
          </w:p>
          <w:p w14:paraId="54D3E2FF" w14:textId="77777777" w:rsidR="00936847" w:rsidRPr="009C5F11" w:rsidRDefault="00B466CC" w:rsidP="00334F3B">
            <w:pPr>
              <w:numPr>
                <w:ilvl w:val="0"/>
                <w:numId w:val="117"/>
              </w:numPr>
              <w:tabs>
                <w:tab w:val="left" w:pos="702"/>
                <w:tab w:val="left" w:pos="5040"/>
                <w:tab w:val="right" w:pos="8504"/>
              </w:tabs>
              <w:spacing w:after="0" w:line="240" w:lineRule="auto"/>
              <w:ind w:left="61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diligenţa necesară în materie financiară;</w:t>
            </w:r>
          </w:p>
          <w:p w14:paraId="5FB84539" w14:textId="77777777" w:rsidR="00936847" w:rsidRPr="009C5F11" w:rsidRDefault="00532A33" w:rsidP="00334F3B">
            <w:pPr>
              <w:numPr>
                <w:ilvl w:val="0"/>
                <w:numId w:val="117"/>
              </w:numPr>
              <w:tabs>
                <w:tab w:val="left" w:pos="702"/>
                <w:tab w:val="left" w:pos="5040"/>
                <w:tab w:val="right" w:pos="8504"/>
              </w:tabs>
              <w:spacing w:after="0" w:line="240" w:lineRule="auto"/>
              <w:ind w:left="61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implementarea</w:t>
            </w:r>
            <w:r w:rsidR="00B466CC" w:rsidRPr="009C5F11">
              <w:rPr>
                <w:rFonts w:ascii="Times New Roman" w:hAnsi="Times New Roman" w:cs="Times New Roman"/>
                <w:sz w:val="18"/>
                <w:szCs w:val="14"/>
                <w:lang w:val="ro-RO"/>
              </w:rPr>
              <w:t xml:space="preserve"> proiectului;</w:t>
            </w:r>
          </w:p>
          <w:p w14:paraId="3B448DD3" w14:textId="77777777" w:rsidR="00936847" w:rsidRPr="009C5F11" w:rsidRDefault="00B466CC" w:rsidP="00334F3B">
            <w:pPr>
              <w:numPr>
                <w:ilvl w:val="0"/>
                <w:numId w:val="117"/>
              </w:numPr>
              <w:tabs>
                <w:tab w:val="left" w:pos="702"/>
                <w:tab w:val="left" w:pos="5040"/>
                <w:tab w:val="right" w:pos="8504"/>
              </w:tabs>
              <w:spacing w:after="0" w:line="240" w:lineRule="auto"/>
              <w:ind w:left="61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verificarea</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implementării;</w:t>
            </w:r>
          </w:p>
          <w:p w14:paraId="5001A3A1" w14:textId="77777777" w:rsidR="00936847" w:rsidRPr="009C5F11" w:rsidRDefault="00B466CC" w:rsidP="00334F3B">
            <w:pPr>
              <w:numPr>
                <w:ilvl w:val="0"/>
                <w:numId w:val="117"/>
              </w:numPr>
              <w:tabs>
                <w:tab w:val="left" w:pos="702"/>
                <w:tab w:val="left" w:pos="5040"/>
                <w:tab w:val="right" w:pos="8504"/>
              </w:tabs>
              <w:spacing w:after="0" w:line="240" w:lineRule="auto"/>
              <w:ind w:left="61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oferirea granturilor.</w:t>
            </w:r>
          </w:p>
          <w:p w14:paraId="69EF385E" w14:textId="77777777" w:rsidR="00936847" w:rsidRPr="009C5F11" w:rsidRDefault="00B26897" w:rsidP="00334F3B">
            <w:pPr>
              <w:numPr>
                <w:ilvl w:val="0"/>
                <w:numId w:val="118"/>
              </w:numPr>
              <w:tabs>
                <w:tab w:val="left" w:pos="432"/>
                <w:tab w:val="left" w:pos="1242"/>
                <w:tab w:val="left" w:pos="5040"/>
                <w:tab w:val="right" w:pos="8504"/>
              </w:tabs>
              <w:spacing w:before="40" w:after="0" w:line="240" w:lineRule="auto"/>
              <w:ind w:left="432" w:hanging="180"/>
              <w:jc w:val="both"/>
              <w:rPr>
                <w:rFonts w:ascii="Times New Roman" w:hAnsi="Times New Roman" w:cs="Times New Roman"/>
                <w:sz w:val="18"/>
                <w:szCs w:val="14"/>
                <w:lang w:val="ro-RO"/>
              </w:rPr>
            </w:pPr>
            <w:r w:rsidRPr="009C5F11">
              <w:rPr>
                <w:rFonts w:ascii="Times New Roman" w:hAnsi="Times New Roman" w:cs="Times New Roman"/>
                <w:b/>
                <w:sz w:val="18"/>
                <w:szCs w:val="14"/>
                <w:lang w:val="ro-RO" w:eastAsia="de-DE"/>
              </w:rPr>
              <w:t>Alte stimulente financiare similare</w:t>
            </w:r>
          </w:p>
        </w:tc>
      </w:tr>
      <w:tr w:rsidR="00936847" w:rsidRPr="009C5F11" w14:paraId="23680B40" w14:textId="77777777" w:rsidTr="00CA706E">
        <w:trPr>
          <w:trHeight w:val="278"/>
        </w:trPr>
        <w:tc>
          <w:tcPr>
            <w:tcW w:w="743" w:type="pct"/>
            <w:vMerge/>
          </w:tcPr>
          <w:p w14:paraId="09942D8E"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14A4454E"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7D0374F5" w14:textId="77777777" w:rsidR="00936847" w:rsidRPr="009C5F11" w:rsidRDefault="00B2689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b/>
                <w:sz w:val="18"/>
                <w:szCs w:val="14"/>
                <w:lang w:val="ro-RO" w:eastAsia="de-DE"/>
              </w:rPr>
              <w:t xml:space="preserve">Linia de credit </w:t>
            </w:r>
            <w:r w:rsidR="002A270D" w:rsidRPr="009C5F11">
              <w:rPr>
                <w:rFonts w:ascii="Times New Roman" w:hAnsi="Times New Roman" w:cs="Times New Roman"/>
                <w:b/>
                <w:sz w:val="18"/>
                <w:szCs w:val="14"/>
                <w:lang w:val="ro-RO" w:eastAsia="de-DE"/>
              </w:rPr>
              <w:t>MoSEEF</w:t>
            </w:r>
            <w:r w:rsidRPr="009C5F11">
              <w:rPr>
                <w:rFonts w:ascii="Times New Roman" w:hAnsi="Times New Roman" w:cs="Times New Roman"/>
                <w:b/>
                <w:sz w:val="18"/>
                <w:szCs w:val="14"/>
                <w:lang w:val="ro-RO" w:eastAsia="de-DE"/>
              </w:rPr>
              <w:t xml:space="preserve"> III BERD</w:t>
            </w:r>
            <w:r w:rsidR="00936847" w:rsidRPr="009C5F11">
              <w:rPr>
                <w:rFonts w:ascii="Times New Roman" w:hAnsi="Times New Roman" w:cs="Times New Roman"/>
                <w:sz w:val="18"/>
                <w:szCs w:val="14"/>
                <w:lang w:val="ro-RO" w:eastAsia="de-DE"/>
              </w:rPr>
              <w:t xml:space="preserve">: </w:t>
            </w:r>
          </w:p>
          <w:p w14:paraId="08AAE0FB" w14:textId="77777777" w:rsidR="00936847" w:rsidRPr="009C5F11" w:rsidRDefault="00936847" w:rsidP="00334F3B">
            <w:pPr>
              <w:numPr>
                <w:ilvl w:val="0"/>
                <w:numId w:val="115"/>
              </w:numPr>
              <w:tabs>
                <w:tab w:val="left" w:pos="702"/>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(estimat</w:t>
            </w:r>
            <w:r w:rsidR="00B466CC" w:rsidRPr="009C5F11">
              <w:rPr>
                <w:rFonts w:ascii="Times New Roman" w:hAnsi="Times New Roman" w:cs="Times New Roman"/>
                <w:sz w:val="18"/>
                <w:szCs w:val="14"/>
                <w:lang w:val="ro-RO" w:eastAsia="de-DE"/>
              </w:rPr>
              <w:t>ă la nivel de</w:t>
            </w:r>
            <w:r w:rsidRPr="009C5F11">
              <w:rPr>
                <w:rFonts w:ascii="Times New Roman" w:hAnsi="Times New Roman" w:cs="Times New Roman"/>
                <w:sz w:val="18"/>
                <w:szCs w:val="14"/>
                <w:lang w:val="ro-RO" w:eastAsia="de-DE"/>
              </w:rPr>
              <w:t xml:space="preserve"> 20 </w:t>
            </w:r>
            <w:r w:rsidR="00B26897" w:rsidRPr="009C5F11">
              <w:rPr>
                <w:rFonts w:ascii="Times New Roman" w:hAnsi="Times New Roman" w:cs="Times New Roman"/>
                <w:sz w:val="18"/>
                <w:szCs w:val="14"/>
                <w:lang w:val="ro-RO" w:eastAsia="de-DE"/>
              </w:rPr>
              <w:t>milioane euro</w:t>
            </w:r>
            <w:r w:rsidRPr="009C5F11">
              <w:rPr>
                <w:rFonts w:ascii="Times New Roman" w:hAnsi="Times New Roman" w:cs="Times New Roman"/>
                <w:sz w:val="18"/>
                <w:szCs w:val="14"/>
                <w:lang w:val="ro-RO" w:eastAsia="de-DE"/>
              </w:rPr>
              <w:t>)</w:t>
            </w:r>
            <w:r w:rsidR="00B466CC" w:rsidRPr="009C5F11">
              <w:rPr>
                <w:rFonts w:ascii="Times New Roman" w:hAnsi="Times New Roman" w:cs="Times New Roman"/>
                <w:sz w:val="18"/>
                <w:szCs w:val="14"/>
                <w:lang w:val="ro-RO" w:eastAsia="de-DE"/>
              </w:rPr>
              <w:t>.</w:t>
            </w:r>
          </w:p>
          <w:p w14:paraId="1E85A7F8" w14:textId="77777777" w:rsidR="00936847" w:rsidRPr="009C5F11" w:rsidRDefault="00B2689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Alte stimulente financiare similare</w:t>
            </w:r>
          </w:p>
          <w:p w14:paraId="0889A412" w14:textId="77777777" w:rsidR="00936847" w:rsidRPr="009C5F11" w:rsidRDefault="00B466CC" w:rsidP="00334F3B">
            <w:pPr>
              <w:numPr>
                <w:ilvl w:val="0"/>
                <w:numId w:val="115"/>
              </w:numPr>
              <w:tabs>
                <w:tab w:val="left" w:pos="702"/>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w:t>
            </w:r>
            <w:r w:rsidR="00B26897" w:rsidRPr="009C5F11">
              <w:rPr>
                <w:rFonts w:ascii="Times New Roman" w:hAnsi="Times New Roman" w:cs="Times New Roman"/>
                <w:sz w:val="18"/>
                <w:szCs w:val="14"/>
                <w:lang w:val="ro-RO" w:eastAsia="de-DE"/>
              </w:rPr>
              <w:t>uget</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urmează a fi identificat.</w:t>
            </w:r>
          </w:p>
        </w:tc>
      </w:tr>
      <w:tr w:rsidR="00936847" w:rsidRPr="009C5F11" w14:paraId="7ED17743" w14:textId="77777777" w:rsidTr="00CA706E">
        <w:trPr>
          <w:trHeight w:val="476"/>
        </w:trPr>
        <w:tc>
          <w:tcPr>
            <w:tcW w:w="743" w:type="pct"/>
            <w:vMerge/>
          </w:tcPr>
          <w:p w14:paraId="69845F61"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164BF0DF"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7A644C50" w14:textId="77777777" w:rsidR="00936847" w:rsidRPr="009C5F11" w:rsidRDefault="00AA056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BERD</w:t>
            </w:r>
            <w:r w:rsidR="00936847" w:rsidRPr="009C5F11">
              <w:rPr>
                <w:rFonts w:ascii="Times New Roman" w:hAnsi="Times New Roman" w:cs="Times New Roman"/>
                <w:sz w:val="18"/>
                <w:szCs w:val="14"/>
                <w:lang w:val="ro-RO" w:eastAsia="de-DE"/>
              </w:rPr>
              <w:t xml:space="preserve"> ac</w:t>
            </w:r>
            <w:r w:rsidR="00B466CC" w:rsidRPr="009C5F11">
              <w:rPr>
                <w:rFonts w:ascii="Times New Roman" w:hAnsi="Times New Roman" w:cs="Times New Roman"/>
                <w:sz w:val="18"/>
                <w:szCs w:val="14"/>
                <w:lang w:val="ro-RO" w:eastAsia="de-DE"/>
              </w:rPr>
              <w:t xml:space="preserve">ţionează în calitate de </w:t>
            </w:r>
            <w:r w:rsidR="00936847" w:rsidRPr="009C5F11">
              <w:rPr>
                <w:rFonts w:ascii="Times New Roman" w:hAnsi="Times New Roman" w:cs="Times New Roman"/>
                <w:sz w:val="18"/>
                <w:szCs w:val="14"/>
                <w:lang w:val="ro-RO" w:eastAsia="de-DE"/>
              </w:rPr>
              <w:t>facilitator,</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coopera</w:t>
            </w:r>
            <w:r w:rsidR="00B466CC" w:rsidRPr="009C5F11">
              <w:rPr>
                <w:rFonts w:ascii="Times New Roman" w:hAnsi="Times New Roman" w:cs="Times New Roman"/>
                <w:sz w:val="18"/>
                <w:szCs w:val="14"/>
                <w:lang w:val="ro-RO" w:eastAsia="de-DE"/>
              </w:rPr>
              <w:t>re cu băncile</w:t>
            </w:r>
            <w:r w:rsidR="00936847" w:rsidRPr="009C5F11">
              <w:rPr>
                <w:rFonts w:ascii="Times New Roman" w:hAnsi="Times New Roman" w:cs="Times New Roman"/>
                <w:sz w:val="18"/>
                <w:szCs w:val="14"/>
                <w:lang w:val="ro-RO" w:eastAsia="de-DE"/>
              </w:rPr>
              <w:t xml:space="preserve"> participa</w:t>
            </w:r>
            <w:r w:rsidR="00B466CC" w:rsidRPr="009C5F11">
              <w:rPr>
                <w:rFonts w:ascii="Times New Roman" w:hAnsi="Times New Roman" w:cs="Times New Roman"/>
                <w:sz w:val="18"/>
                <w:szCs w:val="14"/>
                <w:lang w:val="ro-RO" w:eastAsia="de-DE"/>
              </w:rPr>
              <w:t>nte.</w:t>
            </w:r>
            <w:r w:rsidR="00936847" w:rsidRPr="009C5F11">
              <w:rPr>
                <w:rFonts w:ascii="Times New Roman" w:hAnsi="Times New Roman" w:cs="Times New Roman"/>
                <w:sz w:val="18"/>
                <w:szCs w:val="14"/>
                <w:lang w:val="ro-RO" w:eastAsia="de-DE"/>
              </w:rPr>
              <w:t xml:space="preserve"> </w:t>
            </w:r>
          </w:p>
          <w:p w14:paraId="74D086D4" w14:textId="77777777" w:rsidR="00936847" w:rsidRPr="009C5F11" w:rsidRDefault="00017161">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Al</w:t>
            </w:r>
            <w:r w:rsidR="002A270D" w:rsidRPr="009C5F11">
              <w:rPr>
                <w:rFonts w:ascii="Times New Roman" w:hAnsi="Times New Roman" w:cs="Times New Roman"/>
                <w:sz w:val="18"/>
                <w:szCs w:val="14"/>
                <w:lang w:val="ro-RO" w:eastAsia="de-DE"/>
              </w:rPr>
              <w:t>ţi</w:t>
            </w:r>
            <w:r w:rsidR="00936847" w:rsidRPr="009C5F11">
              <w:rPr>
                <w:rFonts w:ascii="Times New Roman" w:hAnsi="Times New Roman" w:cs="Times New Roman"/>
                <w:sz w:val="18"/>
                <w:szCs w:val="14"/>
                <w:lang w:val="ro-RO" w:eastAsia="de-DE"/>
              </w:rPr>
              <w:t xml:space="preserve"> facilitator</w:t>
            </w:r>
            <w:r w:rsidR="002A270D" w:rsidRPr="009C5F11">
              <w:rPr>
                <w:rFonts w:ascii="Times New Roman" w:hAnsi="Times New Roman" w:cs="Times New Roman"/>
                <w:sz w:val="18"/>
                <w:szCs w:val="14"/>
                <w:lang w:val="ro-RO" w:eastAsia="de-DE"/>
              </w:rPr>
              <w:t>i</w:t>
            </w:r>
            <w:r w:rsidR="00936847" w:rsidRPr="009C5F11">
              <w:rPr>
                <w:rFonts w:ascii="Times New Roman" w:hAnsi="Times New Roman" w:cs="Times New Roman"/>
                <w:sz w:val="18"/>
                <w:szCs w:val="14"/>
                <w:lang w:val="ro-RO" w:eastAsia="de-DE"/>
              </w:rPr>
              <w:t xml:space="preserve">: </w:t>
            </w:r>
            <w:r w:rsidR="00534A4C" w:rsidRPr="009C5F11">
              <w:rPr>
                <w:rFonts w:ascii="Times New Roman" w:hAnsi="Times New Roman" w:cs="Times New Roman"/>
                <w:sz w:val="18"/>
                <w:szCs w:val="14"/>
                <w:lang w:val="ro-RO" w:eastAsia="de-DE"/>
              </w:rPr>
              <w:t>N</w:t>
            </w:r>
            <w:r w:rsidR="00C87EEA" w:rsidRPr="009C5F11">
              <w:rPr>
                <w:rFonts w:ascii="Times New Roman" w:hAnsi="Times New Roman" w:cs="Times New Roman"/>
                <w:sz w:val="18"/>
                <w:szCs w:val="14"/>
                <w:lang w:val="ro-RO" w:eastAsia="de-DE"/>
              </w:rPr>
              <w:t>/A</w:t>
            </w:r>
          </w:p>
        </w:tc>
      </w:tr>
      <w:tr w:rsidR="00936847" w:rsidRPr="009C5F11" w14:paraId="6D70045E" w14:textId="77777777" w:rsidTr="00CA706E">
        <w:trPr>
          <w:trHeight w:val="67"/>
        </w:trPr>
        <w:tc>
          <w:tcPr>
            <w:tcW w:w="743" w:type="pct"/>
            <w:vMerge/>
          </w:tcPr>
          <w:p w14:paraId="44D9361B"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5BFD91E2"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29D27068" w14:textId="77777777" w:rsidR="00936847" w:rsidRPr="009C5F11" w:rsidRDefault="00AA056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p w14:paraId="092F0F70" w14:textId="77777777" w:rsidR="00936847" w:rsidRPr="009C5F11" w:rsidRDefault="00421FA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p>
        </w:tc>
      </w:tr>
      <w:tr w:rsidR="00936847" w:rsidRPr="009C5F11" w14:paraId="7748055D" w14:textId="77777777" w:rsidTr="00CA706E">
        <w:trPr>
          <w:trHeight w:val="233"/>
        </w:trPr>
        <w:tc>
          <w:tcPr>
            <w:tcW w:w="743" w:type="pct"/>
            <w:vMerge w:val="restart"/>
          </w:tcPr>
          <w:p w14:paraId="7D646B54"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107665FC"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293340C0" w14:textId="77777777" w:rsidR="00936847" w:rsidRPr="009C5F11" w:rsidRDefault="00B40A7C"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w:t>
            </w:r>
            <w:r w:rsidR="00B466CC" w:rsidRPr="009C5F11">
              <w:rPr>
                <w:rFonts w:ascii="Times New Roman" w:hAnsi="Times New Roman" w:cs="Times New Roman"/>
                <w:sz w:val="18"/>
                <w:szCs w:val="14"/>
                <w:lang w:val="ro-RO" w:eastAsia="de-DE"/>
              </w:rPr>
              <w:t>etoda de m</w:t>
            </w:r>
            <w:r w:rsidRPr="009C5F11">
              <w:rPr>
                <w:rFonts w:ascii="Times New Roman" w:hAnsi="Times New Roman" w:cs="Times New Roman"/>
                <w:sz w:val="18"/>
                <w:szCs w:val="14"/>
                <w:lang w:val="ro-RO" w:eastAsia="de-DE"/>
              </w:rPr>
              <w:t>onitorizare</w:t>
            </w:r>
            <w:r w:rsidR="00936847" w:rsidRPr="009C5F11">
              <w:rPr>
                <w:rFonts w:ascii="Times New Roman" w:hAnsi="Times New Roman" w:cs="Times New Roman"/>
                <w:sz w:val="18"/>
                <w:szCs w:val="14"/>
                <w:lang w:val="ro-RO" w:eastAsia="de-DE"/>
              </w:rPr>
              <w:t xml:space="preserve"> – BU: </w:t>
            </w:r>
          </w:p>
          <w:p w14:paraId="2E47D52D" w14:textId="77777777" w:rsidR="00936847" w:rsidRPr="009C5F11" w:rsidRDefault="00C87EEA" w:rsidP="00334F3B">
            <w:pPr>
              <w:numPr>
                <w:ilvl w:val="0"/>
                <w:numId w:val="119"/>
              </w:numPr>
              <w:tabs>
                <w:tab w:val="left" w:pos="342"/>
                <w:tab w:val="left" w:pos="5040"/>
                <w:tab w:val="right" w:pos="8504"/>
              </w:tabs>
              <w:spacing w:after="0" w:line="240" w:lineRule="auto"/>
              <w:ind w:left="342" w:hanging="18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examinarea</w:t>
            </w:r>
            <w:r w:rsidR="00B466CC" w:rsidRPr="009C5F11">
              <w:rPr>
                <w:rFonts w:ascii="Times New Roman" w:hAnsi="Times New Roman" w:cs="Times New Roman"/>
                <w:sz w:val="18"/>
                <w:szCs w:val="14"/>
                <w:lang w:val="ro-RO" w:eastAsia="de-DE"/>
              </w:rPr>
              <w:t xml:space="preserve"> rezultatelor</w:t>
            </w:r>
            <w:r w:rsidR="00936847" w:rsidRPr="009C5F11">
              <w:rPr>
                <w:rFonts w:ascii="Times New Roman" w:hAnsi="Times New Roman" w:cs="Times New Roman"/>
                <w:sz w:val="18"/>
                <w:szCs w:val="14"/>
                <w:lang w:val="ro-RO" w:eastAsia="de-DE"/>
              </w:rPr>
              <w:t xml:space="preserve"> </w:t>
            </w:r>
            <w:r w:rsidR="002A270D" w:rsidRPr="009C5F11">
              <w:rPr>
                <w:rFonts w:ascii="Times New Roman" w:hAnsi="Times New Roman" w:cs="Times New Roman"/>
                <w:sz w:val="18"/>
                <w:szCs w:val="14"/>
                <w:lang w:val="ro-RO" w:eastAsia="de-DE"/>
              </w:rPr>
              <w:t>MoSEEF</w:t>
            </w:r>
            <w:r w:rsidR="00936847" w:rsidRPr="009C5F11">
              <w:rPr>
                <w:rFonts w:ascii="Times New Roman" w:hAnsi="Times New Roman" w:cs="Times New Roman"/>
                <w:sz w:val="18"/>
                <w:szCs w:val="14"/>
                <w:lang w:val="ro-RO" w:eastAsia="de-DE"/>
              </w:rPr>
              <w:t xml:space="preserve"> I, </w:t>
            </w:r>
            <w:r w:rsidR="002A270D" w:rsidRPr="009C5F11">
              <w:rPr>
                <w:rFonts w:ascii="Times New Roman" w:hAnsi="Times New Roman" w:cs="Times New Roman"/>
                <w:sz w:val="18"/>
                <w:szCs w:val="14"/>
                <w:lang w:val="ro-RO" w:eastAsia="de-DE"/>
              </w:rPr>
              <w:t>MoSEEF</w:t>
            </w:r>
            <w:r w:rsidR="00936847" w:rsidRPr="009C5F11">
              <w:rPr>
                <w:rFonts w:ascii="Times New Roman" w:hAnsi="Times New Roman" w:cs="Times New Roman"/>
                <w:sz w:val="18"/>
                <w:szCs w:val="14"/>
                <w:lang w:val="ro-RO" w:eastAsia="de-DE"/>
              </w:rPr>
              <w:t xml:space="preserve"> II </w:t>
            </w:r>
            <w:r w:rsidR="00321CD5" w:rsidRPr="009C5F11">
              <w:rPr>
                <w:rFonts w:ascii="Times New Roman" w:hAnsi="Times New Roman" w:cs="Times New Roman"/>
                <w:sz w:val="18"/>
                <w:szCs w:val="14"/>
                <w:lang w:val="ro-RO" w:eastAsia="de-DE"/>
              </w:rPr>
              <w:t xml:space="preserve">şi </w:t>
            </w:r>
            <w:r w:rsidR="00B466CC" w:rsidRPr="009C5F11">
              <w:rPr>
                <w:rFonts w:ascii="Times New Roman" w:hAnsi="Times New Roman" w:cs="Times New Roman"/>
                <w:sz w:val="18"/>
                <w:szCs w:val="14"/>
                <w:lang w:val="ro-RO" w:eastAsia="de-DE"/>
              </w:rPr>
              <w:t xml:space="preserve">a </w:t>
            </w:r>
            <w:r w:rsidR="00B95682" w:rsidRPr="009C5F11">
              <w:rPr>
                <w:rFonts w:ascii="Times New Roman" w:hAnsi="Times New Roman" w:cs="Times New Roman"/>
                <w:sz w:val="18"/>
                <w:szCs w:val="14"/>
                <w:lang w:val="ro-RO" w:eastAsia="de-DE"/>
              </w:rPr>
              <w:t>alt</w:t>
            </w:r>
            <w:r w:rsidR="00B466CC" w:rsidRPr="009C5F11">
              <w:rPr>
                <w:rFonts w:ascii="Times New Roman" w:hAnsi="Times New Roman" w:cs="Times New Roman"/>
                <w:sz w:val="18"/>
                <w:szCs w:val="14"/>
                <w:lang w:val="ro-RO" w:eastAsia="de-DE"/>
              </w:rPr>
              <w:t>or</w:t>
            </w:r>
            <w:r w:rsidR="00936847" w:rsidRPr="009C5F11">
              <w:rPr>
                <w:rFonts w:ascii="Times New Roman" w:hAnsi="Times New Roman" w:cs="Times New Roman"/>
                <w:sz w:val="18"/>
                <w:szCs w:val="14"/>
                <w:lang w:val="ro-RO" w:eastAsia="de-DE"/>
              </w:rPr>
              <w:t xml:space="preserve"> </w:t>
            </w:r>
            <w:r w:rsidR="00B466CC" w:rsidRPr="009C5F11">
              <w:rPr>
                <w:rFonts w:ascii="Times New Roman" w:hAnsi="Times New Roman" w:cs="Times New Roman"/>
                <w:sz w:val="18"/>
                <w:szCs w:val="14"/>
                <w:lang w:val="ro-RO" w:eastAsia="de-DE"/>
              </w:rPr>
              <w:t>instrumente de su</w:t>
            </w:r>
            <w:r w:rsidRPr="009C5F11">
              <w:rPr>
                <w:rFonts w:ascii="Times New Roman" w:hAnsi="Times New Roman" w:cs="Times New Roman"/>
                <w:sz w:val="18"/>
                <w:szCs w:val="14"/>
                <w:lang w:val="ro-RO" w:eastAsia="de-DE"/>
              </w:rPr>
              <w:t>stinere</w:t>
            </w:r>
            <w:r w:rsidR="00936847" w:rsidRPr="009C5F11">
              <w:rPr>
                <w:rFonts w:ascii="Times New Roman" w:hAnsi="Times New Roman" w:cs="Times New Roman"/>
                <w:sz w:val="18"/>
                <w:szCs w:val="14"/>
                <w:lang w:val="ro-RO" w:eastAsia="de-DE"/>
              </w:rPr>
              <w:t xml:space="preserve">; </w:t>
            </w:r>
          </w:p>
          <w:p w14:paraId="14C9E782" w14:textId="77777777" w:rsidR="00936847" w:rsidRPr="009C5F11" w:rsidRDefault="00B466CC" w:rsidP="00334F3B">
            <w:pPr>
              <w:numPr>
                <w:ilvl w:val="0"/>
                <w:numId w:val="119"/>
              </w:numPr>
              <w:tabs>
                <w:tab w:val="left" w:pos="342"/>
                <w:tab w:val="left" w:pos="5040"/>
                <w:tab w:val="right" w:pos="8504"/>
              </w:tabs>
              <w:spacing w:after="0" w:line="240" w:lineRule="auto"/>
              <w:ind w:left="342" w:hanging="18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crearea unei baze de date pentru evaluarea consumului de energie</w:t>
            </w:r>
            <w:r w:rsidR="00936847" w:rsidRPr="009C5F11">
              <w:rPr>
                <w:rFonts w:ascii="Times New Roman" w:hAnsi="Times New Roman" w:cs="Times New Roman"/>
                <w:sz w:val="18"/>
                <w:szCs w:val="14"/>
                <w:lang w:val="ro-RO" w:eastAsia="de-DE"/>
              </w:rPr>
              <w:t xml:space="preserve">; </w:t>
            </w:r>
          </w:p>
          <w:p w14:paraId="20C316A2" w14:textId="77777777" w:rsidR="00936847" w:rsidRPr="009C5F11" w:rsidRDefault="00936847" w:rsidP="00334F3B">
            <w:pPr>
              <w:numPr>
                <w:ilvl w:val="0"/>
                <w:numId w:val="119"/>
              </w:numPr>
              <w:tabs>
                <w:tab w:val="left" w:pos="342"/>
                <w:tab w:val="left" w:pos="5040"/>
                <w:tab w:val="right" w:pos="8504"/>
              </w:tabs>
              <w:spacing w:after="0" w:line="240" w:lineRule="auto"/>
              <w:ind w:left="342" w:hanging="18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colect</w:t>
            </w:r>
            <w:r w:rsidR="00B466CC" w:rsidRPr="009C5F11">
              <w:rPr>
                <w:rFonts w:ascii="Times New Roman" w:hAnsi="Times New Roman" w:cs="Times New Roman"/>
                <w:sz w:val="18"/>
                <w:szCs w:val="14"/>
                <w:lang w:val="ro-RO" w:eastAsia="de-DE"/>
              </w:rPr>
              <w:t xml:space="preserve">area formularelor completate de întreprinderile din </w:t>
            </w:r>
            <w:r w:rsidR="00677FAC" w:rsidRPr="009C5F11">
              <w:rPr>
                <w:rFonts w:ascii="Times New Roman" w:hAnsi="Times New Roman" w:cs="Times New Roman"/>
                <w:sz w:val="18"/>
                <w:szCs w:val="14"/>
                <w:lang w:val="ro-RO" w:eastAsia="de-DE"/>
              </w:rPr>
              <w:t>sectorul industrial</w:t>
            </w:r>
            <w:r w:rsidRPr="009C5F11">
              <w:rPr>
                <w:rFonts w:ascii="Times New Roman" w:hAnsi="Times New Roman" w:cs="Times New Roman"/>
                <w:sz w:val="18"/>
                <w:szCs w:val="14"/>
                <w:lang w:val="ro-RO" w:eastAsia="de-DE"/>
              </w:rPr>
              <w:t xml:space="preserve"> </w:t>
            </w:r>
            <w:r w:rsidR="00B466CC" w:rsidRPr="009C5F11">
              <w:rPr>
                <w:rFonts w:ascii="Times New Roman" w:hAnsi="Times New Roman" w:cs="Times New Roman"/>
                <w:sz w:val="18"/>
                <w:szCs w:val="14"/>
                <w:lang w:val="ro-RO" w:eastAsia="de-DE"/>
              </w:rPr>
              <w:t>la sfârşitul fiecărui an</w:t>
            </w:r>
            <w:r w:rsidRPr="009C5F11">
              <w:rPr>
                <w:rFonts w:ascii="Times New Roman" w:hAnsi="Times New Roman" w:cs="Times New Roman"/>
                <w:sz w:val="18"/>
                <w:szCs w:val="14"/>
                <w:lang w:val="ro-RO" w:eastAsia="de-DE"/>
              </w:rPr>
              <w:t>.</w:t>
            </w:r>
          </w:p>
        </w:tc>
      </w:tr>
      <w:tr w:rsidR="00936847" w:rsidRPr="009C5F11" w14:paraId="77F9C43B" w14:textId="77777777" w:rsidTr="00CA706E">
        <w:trPr>
          <w:trHeight w:val="296"/>
        </w:trPr>
        <w:tc>
          <w:tcPr>
            <w:tcW w:w="743" w:type="pct"/>
            <w:vMerge/>
          </w:tcPr>
          <w:p w14:paraId="2102A9B0"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7E3483C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prevăzute în anul 2016 conform primului PNAEE</w:t>
            </w:r>
            <w:r w:rsidR="00936847" w:rsidRPr="009C5F11">
              <w:rPr>
                <w:rFonts w:ascii="Times New Roman" w:hAnsi="Times New Roman" w:cs="Times New Roman"/>
                <w:sz w:val="18"/>
                <w:szCs w:val="14"/>
                <w:lang w:val="ro-RO" w:eastAsia="de-DE"/>
              </w:rPr>
              <w:t xml:space="preserve"> </w:t>
            </w:r>
          </w:p>
        </w:tc>
        <w:tc>
          <w:tcPr>
            <w:tcW w:w="3244" w:type="pct"/>
          </w:tcPr>
          <w:p w14:paraId="3FB13886" w14:textId="77777777" w:rsidR="00936847" w:rsidRPr="009C5F11" w:rsidRDefault="006F2A15"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Estimare</w:t>
            </w:r>
            <w:r w:rsidR="00936847" w:rsidRPr="009C5F11">
              <w:rPr>
                <w:rFonts w:ascii="Times New Roman" w:hAnsi="Times New Roman" w:cs="Times New Roman"/>
                <w:sz w:val="18"/>
                <w:szCs w:val="14"/>
                <w:lang w:val="ro-RO" w:eastAsia="de-DE"/>
              </w:rPr>
              <w:t xml:space="preserve"> </w:t>
            </w:r>
            <w:r w:rsidR="002A270D" w:rsidRPr="009C5F11">
              <w:rPr>
                <w:rFonts w:ascii="Times New Roman" w:hAnsi="Times New Roman" w:cs="Times New Roman"/>
                <w:sz w:val="18"/>
                <w:szCs w:val="14"/>
                <w:lang w:val="ro-RO" w:eastAsia="de-DE"/>
              </w:rPr>
              <w:t xml:space="preserve">efectuată de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2013-2015: 15.9 </w:t>
            </w:r>
            <w:r w:rsidR="00E52940" w:rsidRPr="009C5F11">
              <w:rPr>
                <w:rFonts w:ascii="Times New Roman" w:hAnsi="Times New Roman" w:cs="Times New Roman"/>
                <w:sz w:val="18"/>
                <w:szCs w:val="14"/>
                <w:lang w:val="ro-RO" w:eastAsia="de-DE"/>
              </w:rPr>
              <w:t>ktep</w:t>
            </w:r>
          </w:p>
          <w:p w14:paraId="0CD239A2" w14:textId="77777777" w:rsidR="00936847" w:rsidRPr="009C5F11" w:rsidRDefault="00B466CC" w:rsidP="00B466C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w:t>
            </w:r>
            <w:r w:rsidR="00B40A7C" w:rsidRPr="009C5F11">
              <w:rPr>
                <w:rFonts w:ascii="Times New Roman" w:hAnsi="Times New Roman" w:cs="Times New Roman"/>
                <w:sz w:val="18"/>
                <w:szCs w:val="14"/>
                <w:lang w:val="ro-RO" w:eastAsia="de-DE"/>
              </w:rPr>
              <w:t>biectivul</w:t>
            </w:r>
            <w:r w:rsidR="00936847" w:rsidRPr="009C5F11">
              <w:rPr>
                <w:rFonts w:ascii="Times New Roman" w:hAnsi="Times New Roman" w:cs="Times New Roman"/>
                <w:sz w:val="18"/>
                <w:szCs w:val="14"/>
                <w:lang w:val="ro-RO" w:eastAsia="de-DE"/>
              </w:rPr>
              <w:t xml:space="preserve"> </w:t>
            </w:r>
            <w:r w:rsidR="00871B4E" w:rsidRPr="009C5F11">
              <w:rPr>
                <w:rFonts w:ascii="Times New Roman" w:hAnsi="Times New Roman" w:cs="Times New Roman"/>
                <w:sz w:val="18"/>
                <w:szCs w:val="14"/>
                <w:lang w:val="ro-RO" w:eastAsia="de-DE"/>
              </w:rPr>
              <w:t>DSE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recalculat pentru</w:t>
            </w:r>
            <w:r w:rsidR="00936847" w:rsidRPr="009C5F11">
              <w:rPr>
                <w:rFonts w:ascii="Times New Roman" w:hAnsi="Times New Roman" w:cs="Times New Roman"/>
                <w:sz w:val="18"/>
                <w:szCs w:val="14"/>
                <w:lang w:val="ro-RO" w:eastAsia="de-DE"/>
              </w:rPr>
              <w:t xml:space="preserve"> 2016: 11.2 </w:t>
            </w:r>
            <w:r w:rsidR="00E52940" w:rsidRPr="009C5F11">
              <w:rPr>
                <w:rFonts w:ascii="Times New Roman" w:hAnsi="Times New Roman" w:cs="Times New Roman"/>
                <w:sz w:val="18"/>
                <w:szCs w:val="14"/>
                <w:lang w:val="ro-RO" w:eastAsia="de-DE"/>
              </w:rPr>
              <w:t>ktep</w:t>
            </w:r>
          </w:p>
        </w:tc>
      </w:tr>
      <w:tr w:rsidR="00936847" w:rsidRPr="009C5F11" w14:paraId="24C8601F" w14:textId="77777777" w:rsidTr="00CA706E">
        <w:trPr>
          <w:trHeight w:val="125"/>
        </w:trPr>
        <w:tc>
          <w:tcPr>
            <w:tcW w:w="743" w:type="pct"/>
            <w:vMerge/>
          </w:tcPr>
          <w:p w14:paraId="43E9F71B"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01B9A167" w14:textId="77777777" w:rsidR="00936847"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497190AF" w14:textId="77777777" w:rsidR="00936847" w:rsidRPr="009C5F11" w:rsidRDefault="00936847" w:rsidP="00B466CC">
            <w:pPr>
              <w:tabs>
                <w:tab w:val="left" w:pos="1440"/>
                <w:tab w:val="left" w:pos="5040"/>
                <w:tab w:val="right" w:pos="8504"/>
              </w:tabs>
              <w:spacing w:after="0" w:line="240" w:lineRule="auto"/>
              <w:ind w:left="720" w:hanging="720"/>
              <w:jc w:val="both"/>
              <w:rPr>
                <w:rFonts w:ascii="Times New Roman" w:hAnsi="Times New Roman" w:cs="Times New Roman"/>
                <w:sz w:val="18"/>
                <w:szCs w:val="14"/>
                <w:lang w:val="ro-RO" w:eastAsia="de-DE"/>
              </w:rPr>
            </w:pPr>
            <w:r w:rsidRPr="009C5F11">
              <w:rPr>
                <w:rFonts w:ascii="Times New Roman" w:hAnsi="Times New Roman" w:cs="Times New Roman"/>
                <w:b/>
                <w:sz w:val="18"/>
                <w:szCs w:val="14"/>
                <w:lang w:val="ro-RO" w:eastAsia="de-DE"/>
              </w:rPr>
              <w:t xml:space="preserve">8.9 </w:t>
            </w:r>
            <w:r w:rsidR="00E52940" w:rsidRPr="009C5F11">
              <w:rPr>
                <w:rFonts w:ascii="Times New Roman" w:hAnsi="Times New Roman" w:cs="Times New Roman"/>
                <w:b/>
                <w:sz w:val="18"/>
                <w:szCs w:val="14"/>
                <w:lang w:val="ro-RO" w:eastAsia="de-DE"/>
              </w:rPr>
              <w:t>ktep</w:t>
            </w:r>
          </w:p>
        </w:tc>
      </w:tr>
      <w:tr w:rsidR="00936847" w:rsidRPr="009C5F11" w14:paraId="2B0C4854" w14:textId="77777777" w:rsidTr="00CA706E">
        <w:trPr>
          <w:trHeight w:val="260"/>
        </w:trPr>
        <w:tc>
          <w:tcPr>
            <w:tcW w:w="743" w:type="pct"/>
            <w:vMerge/>
          </w:tcPr>
          <w:p w14:paraId="361C47E0"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75FE223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2020 </w:t>
            </w:r>
          </w:p>
        </w:tc>
        <w:tc>
          <w:tcPr>
            <w:tcW w:w="3244" w:type="pct"/>
          </w:tcPr>
          <w:p w14:paraId="3173302F"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b/>
                <w:sz w:val="18"/>
                <w:szCs w:val="14"/>
                <w:lang w:val="ro-RO" w:eastAsia="de-DE"/>
              </w:rPr>
              <w:t xml:space="preserve">12.9 </w:t>
            </w:r>
            <w:r w:rsidR="00E52940" w:rsidRPr="009C5F11">
              <w:rPr>
                <w:rFonts w:ascii="Times New Roman" w:hAnsi="Times New Roman" w:cs="Times New Roman"/>
                <w:b/>
                <w:sz w:val="18"/>
                <w:szCs w:val="14"/>
                <w:lang w:val="ro-RO" w:eastAsia="de-DE"/>
              </w:rPr>
              <w:t>ktep</w:t>
            </w:r>
          </w:p>
        </w:tc>
      </w:tr>
      <w:tr w:rsidR="00936847" w:rsidRPr="009C5F11" w14:paraId="38ACA4BF" w14:textId="77777777" w:rsidTr="00CA706E">
        <w:trPr>
          <w:trHeight w:val="215"/>
        </w:trPr>
        <w:tc>
          <w:tcPr>
            <w:tcW w:w="743" w:type="pct"/>
            <w:vMerge/>
          </w:tcPr>
          <w:p w14:paraId="113F7C69"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4B947CF8" w14:textId="77777777" w:rsidR="00936847" w:rsidRPr="009C5F11" w:rsidRDefault="0009071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1A8B121C" w14:textId="77777777" w:rsidR="00936847" w:rsidRPr="009C5F11" w:rsidRDefault="00B466CC" w:rsidP="00430626">
            <w:pPr>
              <w:widowControl w:val="0"/>
              <w:autoSpaceDE w:val="0"/>
              <w:autoSpaceDN w:val="0"/>
              <w:adjustRightInd w:val="0"/>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w:t>
            </w:r>
            <w:r w:rsidR="00C639BC" w:rsidRPr="009C5F11">
              <w:rPr>
                <w:rFonts w:ascii="Times New Roman" w:hAnsi="Times New Roman" w:cs="Times New Roman"/>
                <w:sz w:val="18"/>
                <w:szCs w:val="14"/>
                <w:lang w:val="ro-RO"/>
              </w:rPr>
              <w:t>conomii</w:t>
            </w:r>
            <w:r w:rsidRPr="009C5F11">
              <w:rPr>
                <w:rFonts w:ascii="Times New Roman" w:hAnsi="Times New Roman" w:cs="Times New Roman"/>
                <w:sz w:val="18"/>
                <w:szCs w:val="14"/>
                <w:lang w:val="ro-RO"/>
              </w:rPr>
              <w:t>le estimate pe termen lung</w:t>
            </w:r>
            <w:r w:rsidR="00936847" w:rsidRPr="009C5F11">
              <w:rPr>
                <w:rFonts w:ascii="Times New Roman" w:hAnsi="Times New Roman" w:cs="Times New Roman"/>
                <w:sz w:val="18"/>
                <w:szCs w:val="14"/>
                <w:lang w:val="ro-RO"/>
              </w:rPr>
              <w:t xml:space="preserve"> (20.22 </w:t>
            </w:r>
            <w:r w:rsidR="00E52940" w:rsidRPr="009C5F11">
              <w:rPr>
                <w:rFonts w:ascii="Times New Roman" w:hAnsi="Times New Roman" w:cs="Times New Roman"/>
                <w:sz w:val="18"/>
                <w:szCs w:val="14"/>
                <w:lang w:val="ro-RO"/>
              </w:rPr>
              <w:t>ktep</w:t>
            </w:r>
            <w:r w:rsidR="00936847" w:rsidRPr="009C5F11">
              <w:rPr>
                <w:rFonts w:ascii="Times New Roman" w:hAnsi="Times New Roman" w:cs="Times New Roman"/>
                <w:sz w:val="18"/>
                <w:szCs w:val="14"/>
                <w:lang w:val="ro-RO"/>
              </w:rPr>
              <w:t xml:space="preserve"> </w:t>
            </w:r>
            <w:r w:rsidR="00603237" w:rsidRPr="009C5F11">
              <w:rPr>
                <w:rFonts w:ascii="Times New Roman" w:hAnsi="Times New Roman" w:cs="Times New Roman"/>
                <w:sz w:val="18"/>
                <w:szCs w:val="14"/>
                <w:lang w:val="ro-RO"/>
              </w:rPr>
              <w:t>până în 2020</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 xml:space="preserve">vor fi realizate cu condiţia că </w:t>
            </w:r>
            <w:r w:rsidR="0009071F" w:rsidRPr="009C5F11">
              <w:rPr>
                <w:rFonts w:ascii="Times New Roman" w:hAnsi="Times New Roman" w:cs="Times New Roman"/>
                <w:sz w:val="18"/>
                <w:szCs w:val="14"/>
                <w:lang w:val="ro-RO"/>
              </w:rPr>
              <w:t>vor fi</w:t>
            </w:r>
            <w:r w:rsidRPr="009C5F11">
              <w:rPr>
                <w:rFonts w:ascii="Times New Roman" w:hAnsi="Times New Roman" w:cs="Times New Roman"/>
                <w:sz w:val="18"/>
                <w:szCs w:val="14"/>
                <w:lang w:val="ro-RO"/>
              </w:rPr>
              <w:t xml:space="preserve"> disponibile mijloace suficiente pentru finanţarea </w:t>
            </w:r>
            <w:r w:rsidR="00CD7240" w:rsidRPr="009C5F11">
              <w:rPr>
                <w:rFonts w:ascii="Times New Roman" w:hAnsi="Times New Roman" w:cs="Times New Roman"/>
                <w:sz w:val="18"/>
                <w:szCs w:val="14"/>
                <w:lang w:val="ro-RO"/>
              </w:rPr>
              <w:t>proiect</w:t>
            </w:r>
            <w:r w:rsidRPr="009C5F11">
              <w:rPr>
                <w:rFonts w:ascii="Times New Roman" w:hAnsi="Times New Roman" w:cs="Times New Roman"/>
                <w:sz w:val="18"/>
                <w:szCs w:val="14"/>
                <w:lang w:val="ro-RO"/>
              </w:rPr>
              <w:t>elor</w:t>
            </w:r>
            <w:r w:rsidR="000C7BEC" w:rsidRPr="009C5F11">
              <w:rPr>
                <w:rFonts w:ascii="Times New Roman" w:hAnsi="Times New Roman" w:cs="Times New Roman"/>
                <w:sz w:val="18"/>
                <w:szCs w:val="14"/>
                <w:lang w:val="ro-RO"/>
              </w:rPr>
              <w:t xml:space="preserve"> de eficienţă energetică</w:t>
            </w:r>
            <w:r w:rsidR="00936847" w:rsidRPr="009C5F11">
              <w:rPr>
                <w:rFonts w:ascii="Times New Roman" w:hAnsi="Times New Roman" w:cs="Times New Roman"/>
                <w:sz w:val="18"/>
                <w:szCs w:val="14"/>
                <w:lang w:val="ro-RO"/>
              </w:rPr>
              <w:t>.</w:t>
            </w:r>
          </w:p>
          <w:p w14:paraId="644271BE" w14:textId="77777777" w:rsidR="00936847" w:rsidRPr="009C5F11" w:rsidRDefault="0087273F"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Liniile de credit vor fi aplicate în scopul creării de precedent şi experienţă pentru băncile locale, astfel încât cele din urmă să poată prelua practica de creditare a proiectelor de eficienţă energetică în viitor, atunci când fondurile </w:t>
            </w:r>
            <w:r w:rsidRPr="009C5F11">
              <w:rPr>
                <w:rFonts w:ascii="Times New Roman" w:hAnsi="Times New Roman" w:cs="Times New Roman"/>
                <w:sz w:val="18"/>
                <w:szCs w:val="14"/>
                <w:lang w:val="ro-RO" w:eastAsia="de-DE"/>
              </w:rPr>
              <w:lastRenderedPageBreak/>
              <w:t xml:space="preserve">donatorilor vor fi epuizate. </w:t>
            </w:r>
          </w:p>
          <w:p w14:paraId="6412815B" w14:textId="77777777" w:rsidR="00936847" w:rsidRPr="009C5F11" w:rsidRDefault="001A3D16" w:rsidP="00430626">
            <w:pPr>
              <w:tabs>
                <w:tab w:val="left" w:pos="1440"/>
                <w:tab w:val="left" w:pos="5040"/>
                <w:tab w:val="right" w:pos="8504"/>
              </w:tabs>
              <w:spacing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Economii</w:t>
            </w:r>
            <w:r w:rsidR="00936847" w:rsidRPr="009C5F11">
              <w:rPr>
                <w:rFonts w:ascii="Times New Roman" w:hAnsi="Times New Roman" w:cs="Times New Roman"/>
                <w:sz w:val="18"/>
                <w:szCs w:val="14"/>
                <w:u w:val="single"/>
                <w:lang w:val="ro-RO" w:eastAsia="de-DE"/>
              </w:rPr>
              <w:t xml:space="preserve"> 2016: 8.9</w:t>
            </w:r>
            <w:r w:rsidR="002A270D" w:rsidRPr="009C5F11">
              <w:rPr>
                <w:rFonts w:ascii="Times New Roman" w:hAnsi="Times New Roman" w:cs="Times New Roman"/>
                <w:sz w:val="18"/>
                <w:szCs w:val="14"/>
                <w:lang w:val="ro-RO" w:eastAsia="de-DE"/>
              </w:rPr>
              <w:t xml:space="preserve"> ktep</w:t>
            </w:r>
          </w:p>
          <w:p w14:paraId="34F95926" w14:textId="77777777" w:rsidR="00936847" w:rsidRPr="009C5F11" w:rsidRDefault="00E46DD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BU</w:t>
            </w:r>
            <w:r w:rsidR="00936847" w:rsidRPr="009C5F11">
              <w:rPr>
                <w:rFonts w:ascii="Times New Roman" w:hAnsi="Times New Roman" w:cs="Times New Roman"/>
                <w:sz w:val="18"/>
                <w:szCs w:val="14"/>
                <w:lang w:val="ro-RO" w:eastAsia="de-DE"/>
              </w:rPr>
              <w:t xml:space="preserve"> 2013 – 2015</w:t>
            </w:r>
          </w:p>
          <w:p w14:paraId="5CDDDF85" w14:textId="77777777" w:rsidR="00936847" w:rsidRPr="009C5F11" w:rsidRDefault="00936847" w:rsidP="00334F3B">
            <w:pPr>
              <w:numPr>
                <w:ilvl w:val="0"/>
                <w:numId w:val="120"/>
              </w:numPr>
              <w:tabs>
                <w:tab w:val="left" w:pos="522"/>
                <w:tab w:val="left" w:pos="5040"/>
                <w:tab w:val="right" w:pos="8504"/>
              </w:tabs>
              <w:spacing w:after="0" w:line="240" w:lineRule="auto"/>
              <w:ind w:left="522" w:hanging="16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8.9 </w:t>
            </w:r>
            <w:r w:rsidR="00E52940" w:rsidRPr="009C5F11">
              <w:rPr>
                <w:rFonts w:ascii="Times New Roman" w:hAnsi="Times New Roman" w:cs="Times New Roman"/>
                <w:sz w:val="18"/>
                <w:szCs w:val="14"/>
                <w:lang w:val="ro-RO" w:eastAsia="de-DE"/>
              </w:rPr>
              <w:t>ktep</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 xml:space="preserve">2016 </w:t>
            </w:r>
            <w:r w:rsidR="00B466CC" w:rsidRPr="009C5F11">
              <w:rPr>
                <w:rFonts w:ascii="Times New Roman" w:hAnsi="Times New Roman" w:cs="Times New Roman"/>
                <w:sz w:val="18"/>
                <w:szCs w:val="14"/>
                <w:lang w:val="ro-RO" w:eastAsia="de-DE"/>
              </w:rPr>
              <w:t>din economiile raportate de</w:t>
            </w:r>
            <w:r w:rsidRPr="009C5F11">
              <w:rPr>
                <w:rFonts w:ascii="Times New Roman" w:hAnsi="Times New Roman" w:cs="Times New Roman"/>
                <w:sz w:val="18"/>
                <w:szCs w:val="14"/>
                <w:lang w:val="ro-RO" w:eastAsia="de-DE"/>
              </w:rPr>
              <w:t xml:space="preserve"> </w:t>
            </w:r>
            <w:r w:rsidR="002A270D" w:rsidRPr="009C5F11">
              <w:rPr>
                <w:rFonts w:ascii="Times New Roman" w:hAnsi="Times New Roman" w:cs="Times New Roman"/>
                <w:sz w:val="18"/>
                <w:szCs w:val="14"/>
                <w:lang w:val="ro-RO" w:eastAsia="de-DE"/>
              </w:rPr>
              <w:t>MoSEEF</w:t>
            </w:r>
            <w:r w:rsidR="00B466CC" w:rsidRPr="009C5F11">
              <w:rPr>
                <w:rFonts w:ascii="Times New Roman" w:hAnsi="Times New Roman" w:cs="Times New Roman"/>
                <w:sz w:val="18"/>
                <w:szCs w:val="14"/>
                <w:lang w:val="ro-RO" w:eastAsia="de-DE"/>
              </w:rPr>
              <w:t>.</w:t>
            </w:r>
          </w:p>
          <w:p w14:paraId="46D4CD8E" w14:textId="77777777" w:rsidR="00936847" w:rsidRPr="009C5F11" w:rsidRDefault="00E46DD7" w:rsidP="00430626">
            <w:pPr>
              <w:tabs>
                <w:tab w:val="left" w:pos="1440"/>
                <w:tab w:val="left" w:pos="5040"/>
                <w:tab w:val="right" w:pos="8504"/>
              </w:tabs>
              <w:spacing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Economii BU</w:t>
            </w:r>
            <w:r w:rsidR="00936847" w:rsidRPr="009C5F11">
              <w:rPr>
                <w:rFonts w:ascii="Times New Roman" w:hAnsi="Times New Roman" w:cs="Times New Roman"/>
                <w:sz w:val="18"/>
                <w:szCs w:val="14"/>
                <w:u w:val="single"/>
                <w:lang w:val="ro-RO" w:eastAsia="de-DE"/>
              </w:rPr>
              <w:t xml:space="preserve"> 2020</w:t>
            </w:r>
          </w:p>
          <w:p w14:paraId="6CDE8B10" w14:textId="77777777" w:rsidR="00936847" w:rsidRPr="009C5F11" w:rsidRDefault="00B466CC"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Se presupune că </w:t>
            </w:r>
            <w:r w:rsidR="00AA0566" w:rsidRPr="009C5F11">
              <w:rPr>
                <w:rFonts w:ascii="Times New Roman" w:hAnsi="Times New Roman" w:cs="Times New Roman"/>
                <w:sz w:val="18"/>
                <w:szCs w:val="14"/>
                <w:lang w:val="ro-RO" w:eastAsia="de-DE"/>
              </w:rPr>
              <w:t>BERD</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va lansa </w:t>
            </w:r>
            <w:r w:rsidR="00F21480" w:rsidRPr="009C5F11">
              <w:rPr>
                <w:rFonts w:ascii="Times New Roman" w:hAnsi="Times New Roman" w:cs="Times New Roman"/>
                <w:sz w:val="18"/>
                <w:szCs w:val="14"/>
                <w:lang w:val="ro-RO" w:eastAsia="de-DE"/>
              </w:rPr>
              <w:t xml:space="preserve">cea de a treia </w:t>
            </w:r>
            <w:r w:rsidRPr="009C5F11">
              <w:rPr>
                <w:rFonts w:ascii="Times New Roman" w:hAnsi="Times New Roman" w:cs="Times New Roman"/>
                <w:sz w:val="18"/>
                <w:szCs w:val="14"/>
                <w:lang w:val="ro-RO" w:eastAsia="de-DE"/>
              </w:rPr>
              <w:t>lini</w:t>
            </w:r>
            <w:r w:rsidR="00F21480"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 xml:space="preserve"> de credit </w:t>
            </w:r>
            <w:r w:rsidR="00F21480" w:rsidRPr="009C5F11">
              <w:rPr>
                <w:rFonts w:ascii="Times New Roman" w:hAnsi="Times New Roman" w:cs="Times New Roman"/>
                <w:sz w:val="18"/>
                <w:szCs w:val="14"/>
                <w:lang w:val="ro-RO" w:eastAsia="de-DE"/>
              </w:rPr>
              <w:t>avand</w:t>
            </w:r>
            <w:r w:rsidRPr="009C5F11">
              <w:rPr>
                <w:rFonts w:ascii="Times New Roman" w:hAnsi="Times New Roman" w:cs="Times New Roman"/>
                <w:sz w:val="18"/>
                <w:szCs w:val="14"/>
                <w:lang w:val="ro-RO" w:eastAsia="de-DE"/>
              </w:rPr>
              <w:t xml:space="preserve"> aceeaşi intensitate</w:t>
            </w:r>
            <w:r w:rsidR="00F21480" w:rsidRPr="009C5F11">
              <w:rPr>
                <w:rFonts w:ascii="Times New Roman" w:hAnsi="Times New Roman" w:cs="Times New Roman"/>
                <w:sz w:val="18"/>
                <w:szCs w:val="14"/>
                <w:lang w:val="ro-RO" w:eastAsia="de-DE"/>
              </w:rPr>
              <w:t xml:space="preserve"> cu cea de </w:t>
            </w:r>
            <w:r w:rsidRPr="009C5F11">
              <w:rPr>
                <w:rFonts w:ascii="Times New Roman" w:hAnsi="Times New Roman" w:cs="Times New Roman"/>
                <w:sz w:val="18"/>
                <w:szCs w:val="14"/>
                <w:lang w:val="ro-RO" w:eastAsia="de-DE"/>
              </w:rPr>
              <w:t>a</w:t>
            </w:r>
            <w:r w:rsidR="00F21480" w:rsidRPr="009C5F11">
              <w:rPr>
                <w:rFonts w:ascii="Times New Roman" w:hAnsi="Times New Roman" w:cs="Times New Roman"/>
                <w:sz w:val="18"/>
                <w:szCs w:val="14"/>
                <w:lang w:val="ro-RO" w:eastAsia="de-DE"/>
              </w:rPr>
              <w:t xml:space="preserve"> doua</w:t>
            </w:r>
            <w:r w:rsidRPr="009C5F11">
              <w:rPr>
                <w:rFonts w:ascii="Times New Roman" w:hAnsi="Times New Roman" w:cs="Times New Roman"/>
                <w:sz w:val="18"/>
                <w:szCs w:val="14"/>
                <w:lang w:val="ro-RO" w:eastAsia="de-DE"/>
              </w:rPr>
              <w:t xml:space="preserve"> lini</w:t>
            </w:r>
            <w:r w:rsidR="00F21480" w:rsidRPr="009C5F11">
              <w:rPr>
                <w:rFonts w:ascii="Times New Roman" w:hAnsi="Times New Roman" w:cs="Times New Roman"/>
                <w:sz w:val="18"/>
                <w:szCs w:val="14"/>
                <w:lang w:val="ro-RO" w:eastAsia="de-DE"/>
              </w:rPr>
              <w:t>e</w:t>
            </w:r>
            <w:r w:rsidRPr="009C5F11">
              <w:rPr>
                <w:rFonts w:ascii="Times New Roman" w:hAnsi="Times New Roman" w:cs="Times New Roman"/>
                <w:sz w:val="18"/>
                <w:szCs w:val="14"/>
                <w:lang w:val="ro-RO" w:eastAsia="de-DE"/>
              </w:rPr>
              <w:t xml:space="preserve">, contribuind astfel la </w:t>
            </w:r>
            <w:r w:rsidR="00C639BC" w:rsidRPr="009C5F11">
              <w:rPr>
                <w:rFonts w:ascii="Times New Roman" w:hAnsi="Times New Roman" w:cs="Times New Roman"/>
                <w:sz w:val="18"/>
                <w:szCs w:val="14"/>
                <w:lang w:val="ro-RO" w:eastAsia="de-DE"/>
              </w:rPr>
              <w:t>economii</w:t>
            </w:r>
            <w:r w:rsidRPr="009C5F11">
              <w:rPr>
                <w:rFonts w:ascii="Times New Roman" w:hAnsi="Times New Roman" w:cs="Times New Roman"/>
                <w:sz w:val="18"/>
                <w:szCs w:val="14"/>
                <w:lang w:val="ro-RO" w:eastAsia="de-DE"/>
              </w:rPr>
              <w:t>l</w:t>
            </w:r>
            <w:r w:rsidR="00F21480" w:rsidRPr="009C5F11">
              <w:rPr>
                <w:rFonts w:ascii="Times New Roman" w:hAnsi="Times New Roman" w:cs="Times New Roman"/>
                <w:sz w:val="18"/>
                <w:szCs w:val="14"/>
                <w:lang w:val="ro-RO" w:eastAsia="de-DE"/>
              </w:rPr>
              <w:t>e din</w:t>
            </w:r>
            <w:r w:rsidRPr="009C5F11">
              <w:rPr>
                <w:rFonts w:ascii="Times New Roman" w:hAnsi="Times New Roman" w:cs="Times New Roman"/>
                <w:sz w:val="18"/>
                <w:szCs w:val="14"/>
                <w:lang w:val="ro-RO" w:eastAsia="de-DE"/>
              </w:rPr>
              <w:t xml:space="preserve"> </w:t>
            </w:r>
            <w:r w:rsidR="00F21480" w:rsidRPr="009C5F11">
              <w:rPr>
                <w:rFonts w:ascii="Times New Roman" w:hAnsi="Times New Roman" w:cs="Times New Roman"/>
                <w:sz w:val="18"/>
                <w:szCs w:val="14"/>
                <w:lang w:val="ro-RO" w:eastAsia="de-DE"/>
              </w:rPr>
              <w:t>anul 2020 cu</w:t>
            </w:r>
            <w:r w:rsidR="00321CD5"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4 ktep</w:t>
            </w:r>
            <w:r w:rsidR="00936847" w:rsidRPr="009C5F11">
              <w:rPr>
                <w:rFonts w:ascii="Times New Roman" w:hAnsi="Times New Roman" w:cs="Times New Roman"/>
                <w:sz w:val="18"/>
                <w:szCs w:val="14"/>
                <w:lang w:val="ro-RO" w:eastAsia="de-DE"/>
              </w:rPr>
              <w:t>.</w:t>
            </w:r>
          </w:p>
          <w:p w14:paraId="3089D3C8" w14:textId="77777777" w:rsidR="00936847" w:rsidRPr="009C5F11" w:rsidRDefault="006F2A15"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Estimarea</w:t>
            </w:r>
            <w:r w:rsidR="00936847"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2013-2015: 47.75 </w:t>
            </w:r>
            <w:r w:rsidR="00E52940" w:rsidRPr="009C5F11">
              <w:rPr>
                <w:rFonts w:ascii="Times New Roman" w:hAnsi="Times New Roman" w:cs="Times New Roman"/>
                <w:sz w:val="18"/>
                <w:szCs w:val="14"/>
                <w:lang w:val="ro-RO" w:eastAsia="de-DE"/>
              </w:rPr>
              <w:t>ktep</w:t>
            </w:r>
            <w:r w:rsidR="00B466CC" w:rsidRPr="009C5F11">
              <w:rPr>
                <w:rFonts w:ascii="Times New Roman" w:hAnsi="Times New Roman" w:cs="Times New Roman"/>
                <w:sz w:val="18"/>
                <w:szCs w:val="14"/>
                <w:lang w:val="ro-RO" w:eastAsia="de-DE"/>
              </w:rPr>
              <w:t>.</w:t>
            </w:r>
          </w:p>
          <w:p w14:paraId="328E79F2" w14:textId="77777777" w:rsidR="00936847" w:rsidRPr="009C5F11" w:rsidRDefault="00B466CC"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Obiectivul DSE recalculat</w:t>
            </w:r>
            <w:r w:rsidR="00936847"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u w:val="single"/>
                <w:lang w:val="ro-RO" w:eastAsia="de-DE"/>
              </w:rPr>
              <w:t>20.22</w:t>
            </w:r>
            <w:r w:rsidR="00936847" w:rsidRPr="009C5F11">
              <w:rPr>
                <w:rFonts w:ascii="Times New Roman" w:hAnsi="Times New Roman" w:cs="Times New Roman"/>
                <w:sz w:val="18"/>
                <w:szCs w:val="14"/>
                <w:lang w:val="ro-RO" w:eastAsia="de-DE"/>
              </w:rPr>
              <w:t xml:space="preserve"> </w:t>
            </w:r>
            <w:r w:rsidR="00E52940" w:rsidRPr="009C5F11">
              <w:rPr>
                <w:rFonts w:ascii="Times New Roman" w:hAnsi="Times New Roman" w:cs="Times New Roman"/>
                <w:sz w:val="18"/>
                <w:szCs w:val="14"/>
                <w:lang w:val="ro-RO" w:eastAsia="de-DE"/>
              </w:rPr>
              <w:t>ktep</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2020</w:t>
            </w:r>
            <w:r w:rsidRPr="009C5F11">
              <w:rPr>
                <w:rFonts w:ascii="Times New Roman" w:hAnsi="Times New Roman" w:cs="Times New Roman"/>
                <w:sz w:val="18"/>
                <w:szCs w:val="14"/>
                <w:lang w:val="ro-RO" w:eastAsia="de-DE"/>
              </w:rPr>
              <w:t>.</w:t>
            </w:r>
          </w:p>
          <w:p w14:paraId="1EE90E09" w14:textId="77777777" w:rsidR="00936847" w:rsidRPr="009C5F11" w:rsidRDefault="00E46DD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BU</w:t>
            </w:r>
            <w:r w:rsidR="00936847" w:rsidRPr="009C5F11">
              <w:rPr>
                <w:rFonts w:ascii="Times New Roman" w:hAnsi="Times New Roman" w:cs="Times New Roman"/>
                <w:sz w:val="18"/>
                <w:szCs w:val="14"/>
                <w:lang w:val="ro-RO" w:eastAsia="de-DE"/>
              </w:rPr>
              <w:t xml:space="preserve"> 2013 – 2020</w:t>
            </w:r>
            <w:r w:rsidR="00B466CC" w:rsidRPr="009C5F11">
              <w:rPr>
                <w:rFonts w:ascii="Times New Roman" w:hAnsi="Times New Roman" w:cs="Times New Roman"/>
                <w:sz w:val="18"/>
                <w:szCs w:val="14"/>
                <w:lang w:val="ro-RO" w:eastAsia="de-DE"/>
              </w:rPr>
              <w:t>:</w:t>
            </w:r>
          </w:p>
          <w:p w14:paraId="6DCC2FEE" w14:textId="77777777" w:rsidR="00936847" w:rsidRPr="009C5F11" w:rsidRDefault="00936847" w:rsidP="00334F3B">
            <w:pPr>
              <w:numPr>
                <w:ilvl w:val="0"/>
                <w:numId w:val="120"/>
              </w:numPr>
              <w:tabs>
                <w:tab w:val="left" w:pos="52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8.9 </w:t>
            </w:r>
            <w:r w:rsidR="00E52940" w:rsidRPr="009C5F11">
              <w:rPr>
                <w:rFonts w:ascii="Times New Roman" w:hAnsi="Times New Roman" w:cs="Times New Roman"/>
                <w:sz w:val="18"/>
                <w:szCs w:val="14"/>
                <w:lang w:val="ro-RO" w:eastAsia="de-DE"/>
              </w:rPr>
              <w:t>ktep</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2016</w:t>
            </w:r>
            <w:r w:rsidR="00B466CC"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w:t>
            </w:r>
            <w:r w:rsidR="002A270D" w:rsidRPr="009C5F11">
              <w:rPr>
                <w:rFonts w:ascii="Times New Roman" w:hAnsi="Times New Roman" w:cs="Times New Roman"/>
                <w:sz w:val="18"/>
                <w:szCs w:val="14"/>
                <w:lang w:val="ro-RO" w:eastAsia="de-DE"/>
              </w:rPr>
              <w:t>MoSEEF</w:t>
            </w:r>
            <w:r w:rsidRPr="009C5F11">
              <w:rPr>
                <w:rFonts w:ascii="Times New Roman" w:hAnsi="Times New Roman" w:cs="Times New Roman"/>
                <w:sz w:val="18"/>
                <w:szCs w:val="14"/>
                <w:lang w:val="ro-RO" w:eastAsia="de-DE"/>
              </w:rPr>
              <w:t xml:space="preserve"> I+II</w:t>
            </w:r>
            <w:r w:rsidR="00B466CC" w:rsidRPr="009C5F11">
              <w:rPr>
                <w:rFonts w:ascii="Times New Roman" w:hAnsi="Times New Roman" w:cs="Times New Roman"/>
                <w:sz w:val="18"/>
                <w:szCs w:val="14"/>
                <w:lang w:val="ro-RO" w:eastAsia="de-DE"/>
              </w:rPr>
              <w:t>;</w:t>
            </w:r>
          </w:p>
          <w:p w14:paraId="4D57B44C" w14:textId="77777777" w:rsidR="00936847" w:rsidRPr="009C5F11" w:rsidRDefault="00936847" w:rsidP="00334F3B">
            <w:pPr>
              <w:numPr>
                <w:ilvl w:val="0"/>
                <w:numId w:val="120"/>
              </w:numPr>
              <w:tabs>
                <w:tab w:val="left" w:pos="52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4 </w:t>
            </w:r>
            <w:r w:rsidR="00E52940" w:rsidRPr="009C5F11">
              <w:rPr>
                <w:rFonts w:ascii="Times New Roman" w:hAnsi="Times New Roman" w:cs="Times New Roman"/>
                <w:sz w:val="18"/>
                <w:szCs w:val="14"/>
                <w:lang w:val="ro-RO" w:eastAsia="de-DE"/>
              </w:rPr>
              <w:t>ktep</w:t>
            </w:r>
            <w:r w:rsidRPr="009C5F11">
              <w:rPr>
                <w:rFonts w:ascii="Times New Roman" w:hAnsi="Times New Roman" w:cs="Times New Roman"/>
                <w:sz w:val="18"/>
                <w:szCs w:val="14"/>
                <w:lang w:val="ro-RO" w:eastAsia="de-DE"/>
              </w:rPr>
              <w:t xml:space="preserve"> 2016-2018</w:t>
            </w:r>
            <w:r w:rsidR="00B466CC"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MOSEFF III (estimat)</w:t>
            </w:r>
            <w:r w:rsidR="00B466CC" w:rsidRPr="009C5F11">
              <w:rPr>
                <w:rFonts w:ascii="Times New Roman" w:hAnsi="Times New Roman" w:cs="Times New Roman"/>
                <w:sz w:val="18"/>
                <w:szCs w:val="14"/>
                <w:lang w:val="ro-RO" w:eastAsia="de-DE"/>
              </w:rPr>
              <w:t>.</w:t>
            </w:r>
          </w:p>
        </w:tc>
      </w:tr>
      <w:tr w:rsidR="00936847" w:rsidRPr="009C5F11" w14:paraId="2DBE66D2" w14:textId="77777777" w:rsidTr="00CA706E">
        <w:trPr>
          <w:trHeight w:val="67"/>
        </w:trPr>
        <w:tc>
          <w:tcPr>
            <w:tcW w:w="743" w:type="pct"/>
            <w:vMerge/>
          </w:tcPr>
          <w:p w14:paraId="523904C2"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70786A5A"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569503C4"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bl>
    <w:p w14:paraId="7C7B6059" w14:textId="77777777" w:rsidR="00936847" w:rsidRPr="009C5F11" w:rsidRDefault="00936847" w:rsidP="00936847">
      <w:pPr>
        <w:shd w:val="clear" w:color="auto" w:fill="FFFFFF"/>
        <w:spacing w:after="0" w:line="240" w:lineRule="auto"/>
        <w:jc w:val="both"/>
        <w:rPr>
          <w:rFonts w:ascii="Times New Roman" w:hAnsi="Times New Roman" w:cs="Times New Roman"/>
          <w:sz w:val="24"/>
          <w:lang w:val="ro-RO"/>
        </w:rPr>
      </w:pPr>
    </w:p>
    <w:p w14:paraId="242C4346" w14:textId="77777777" w:rsidR="007735E9" w:rsidRPr="009C5F11" w:rsidRDefault="007735E9" w:rsidP="00936847">
      <w:pPr>
        <w:shd w:val="clear" w:color="auto" w:fill="FFFFFF"/>
        <w:spacing w:after="0" w:line="240" w:lineRule="auto"/>
        <w:jc w:val="both"/>
        <w:rPr>
          <w:rFonts w:ascii="Times New Roman" w:hAnsi="Times New Roman" w:cs="Times New Roman"/>
          <w:sz w:val="24"/>
          <w:lang w:val="ro-RO"/>
        </w:rPr>
        <w:sectPr w:rsidR="007735E9" w:rsidRPr="009C5F11" w:rsidSect="00430626">
          <w:pgSz w:w="11907" w:h="16840" w:code="9"/>
          <w:pgMar w:top="1440" w:right="1440" w:bottom="1440" w:left="1440" w:header="720" w:footer="720" w:gutter="0"/>
          <w:cols w:space="720"/>
          <w:docGrid w:linePitch="360"/>
        </w:sectPr>
      </w:pPr>
    </w:p>
    <w:p w14:paraId="78CAB4B8" w14:textId="77777777" w:rsidR="00F6294D" w:rsidRPr="009C5F11" w:rsidRDefault="00321CD5" w:rsidP="00F6294D">
      <w:pPr>
        <w:pStyle w:val="Legend"/>
        <w:keepNext/>
        <w:jc w:val="center"/>
        <w:rPr>
          <w:rFonts w:ascii="Times New Roman" w:hAnsi="Times New Roman" w:cs="Times New Roman"/>
          <w:b/>
          <w:sz w:val="22"/>
          <w:lang w:val="ro-RO"/>
        </w:rPr>
      </w:pPr>
      <w:bookmarkStart w:id="207" w:name="_Toc447724214"/>
      <w:r w:rsidRPr="009C5F11">
        <w:rPr>
          <w:rFonts w:ascii="Times New Roman" w:hAnsi="Times New Roman" w:cs="Times New Roman"/>
          <w:b/>
          <w:sz w:val="22"/>
          <w:lang w:val="ro-RO"/>
        </w:rPr>
        <w:lastRenderedPageBreak/>
        <w:t>Tabelul</w:t>
      </w:r>
      <w:r w:rsidR="00F6294D" w:rsidRPr="009C5F11">
        <w:rPr>
          <w:rFonts w:ascii="Times New Roman" w:hAnsi="Times New Roman" w:cs="Times New Roman"/>
          <w:b/>
          <w:sz w:val="22"/>
          <w:lang w:val="ro-RO"/>
        </w:rPr>
        <w:t xml:space="preserve"> I </w:t>
      </w:r>
      <w:r w:rsidR="003A6ADB" w:rsidRPr="009C5F11">
        <w:rPr>
          <w:rFonts w:ascii="Times New Roman" w:hAnsi="Times New Roman" w:cs="Times New Roman"/>
          <w:b/>
          <w:sz w:val="22"/>
          <w:lang w:val="ro-RO"/>
        </w:rPr>
        <w:fldChar w:fldCharType="begin"/>
      </w:r>
      <w:r w:rsidR="00F6294D" w:rsidRPr="009C5F11">
        <w:rPr>
          <w:rFonts w:ascii="Times New Roman" w:hAnsi="Times New Roman" w:cs="Times New Roman"/>
          <w:b/>
          <w:sz w:val="22"/>
          <w:lang w:val="ro-RO"/>
        </w:rPr>
        <w:instrText xml:space="preserve"> SEQ Table_I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2</w:t>
      </w:r>
      <w:r w:rsidR="003A6ADB" w:rsidRPr="009C5F11">
        <w:rPr>
          <w:rFonts w:ascii="Times New Roman" w:hAnsi="Times New Roman" w:cs="Times New Roman"/>
          <w:b/>
          <w:sz w:val="22"/>
          <w:lang w:val="ro-RO"/>
        </w:rPr>
        <w:fldChar w:fldCharType="end"/>
      </w:r>
      <w:r w:rsidR="00F6294D" w:rsidRPr="009C5F11">
        <w:rPr>
          <w:rFonts w:ascii="Times New Roman" w:hAnsi="Times New Roman" w:cs="Times New Roman"/>
          <w:b/>
          <w:sz w:val="22"/>
          <w:lang w:val="ro-RO"/>
        </w:rPr>
        <w:t xml:space="preserve"> - </w:t>
      </w:r>
      <w:r w:rsidR="007172FB" w:rsidRPr="009C5F11">
        <w:rPr>
          <w:rFonts w:ascii="Times New Roman" w:hAnsi="Times New Roman" w:cs="Times New Roman"/>
          <w:b/>
          <w:sz w:val="22"/>
          <w:lang w:val="ro-RO"/>
        </w:rPr>
        <w:t>Introducerea</w:t>
      </w:r>
      <w:r w:rsidR="00F6294D" w:rsidRPr="009C5F11">
        <w:rPr>
          <w:rFonts w:ascii="Times New Roman" w:hAnsi="Times New Roman" w:cs="Times New Roman"/>
          <w:b/>
          <w:sz w:val="22"/>
          <w:lang w:val="ro-RO"/>
        </w:rPr>
        <w:t xml:space="preserve"> </w:t>
      </w:r>
      <w:r w:rsidR="007172FB" w:rsidRPr="009C5F11">
        <w:rPr>
          <w:rFonts w:ascii="Times New Roman" w:hAnsi="Times New Roman" w:cs="Times New Roman"/>
          <w:b/>
          <w:sz w:val="22"/>
          <w:lang w:val="ro-RO"/>
        </w:rPr>
        <w:t>managementului energetic</w:t>
      </w:r>
      <w:r w:rsidRPr="009C5F11">
        <w:rPr>
          <w:rFonts w:ascii="Times New Roman" w:hAnsi="Times New Roman" w:cs="Times New Roman"/>
          <w:b/>
          <w:sz w:val="22"/>
          <w:lang w:val="ro-RO"/>
        </w:rPr>
        <w:t xml:space="preserve"> </w:t>
      </w:r>
      <w:r w:rsidR="007172FB" w:rsidRPr="009C5F11">
        <w:rPr>
          <w:rFonts w:ascii="Times New Roman" w:hAnsi="Times New Roman" w:cs="Times New Roman"/>
          <w:b/>
          <w:sz w:val="22"/>
          <w:lang w:val="ro-RO"/>
        </w:rPr>
        <w:t>şi a celor mai bune practici în industrie</w:t>
      </w:r>
      <w:bookmarkEnd w:id="2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936847" w:rsidRPr="009C5F11" w14:paraId="4701332C" w14:textId="77777777" w:rsidTr="00CA706E">
        <w:trPr>
          <w:trHeight w:val="67"/>
        </w:trPr>
        <w:tc>
          <w:tcPr>
            <w:tcW w:w="1756" w:type="pct"/>
            <w:gridSpan w:val="2"/>
          </w:tcPr>
          <w:p w14:paraId="138400A4" w14:textId="77777777" w:rsidR="00936847" w:rsidRPr="009C5F11" w:rsidRDefault="0094635F" w:rsidP="00430626">
            <w:pPr>
              <w:tabs>
                <w:tab w:val="left" w:pos="1440"/>
                <w:tab w:val="left" w:pos="5040"/>
                <w:tab w:val="right" w:pos="8504"/>
              </w:tabs>
              <w:spacing w:before="40" w:after="40" w:line="240"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4A19488D" w14:textId="77777777" w:rsidR="00936847" w:rsidRPr="009C5F11" w:rsidRDefault="007172FB" w:rsidP="00430626">
            <w:pPr>
              <w:tabs>
                <w:tab w:val="left" w:pos="1440"/>
                <w:tab w:val="left" w:pos="5040"/>
                <w:tab w:val="right" w:pos="8504"/>
              </w:tabs>
              <w:spacing w:before="40" w:after="40" w:line="240"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Introducerea</w:t>
            </w:r>
            <w:r w:rsidR="00936847" w:rsidRPr="009C5F11">
              <w:rPr>
                <w:rFonts w:ascii="Times New Roman" w:hAnsi="Times New Roman" w:cs="Times New Roman"/>
                <w:b/>
                <w:sz w:val="18"/>
                <w:szCs w:val="14"/>
                <w:lang w:val="ro-RO" w:eastAsia="de-DE"/>
              </w:rPr>
              <w:t xml:space="preserve"> </w:t>
            </w:r>
            <w:r w:rsidRPr="009C5F11">
              <w:rPr>
                <w:rFonts w:ascii="Times New Roman" w:hAnsi="Times New Roman" w:cs="Times New Roman"/>
                <w:b/>
                <w:sz w:val="18"/>
                <w:szCs w:val="14"/>
                <w:lang w:val="ro-RO" w:eastAsia="de-DE"/>
              </w:rPr>
              <w:t>managementului energetic</w:t>
            </w:r>
            <w:r w:rsidR="00321CD5" w:rsidRPr="009C5F11">
              <w:rPr>
                <w:rFonts w:ascii="Times New Roman" w:hAnsi="Times New Roman" w:cs="Times New Roman"/>
                <w:b/>
                <w:sz w:val="18"/>
                <w:szCs w:val="14"/>
                <w:lang w:val="ro-RO" w:eastAsia="de-DE"/>
              </w:rPr>
              <w:t xml:space="preserve"> </w:t>
            </w:r>
            <w:r w:rsidRPr="009C5F11">
              <w:rPr>
                <w:rFonts w:ascii="Times New Roman" w:hAnsi="Times New Roman" w:cs="Times New Roman"/>
                <w:b/>
                <w:sz w:val="18"/>
                <w:szCs w:val="14"/>
                <w:lang w:val="ro-RO" w:eastAsia="de-DE"/>
              </w:rPr>
              <w:t>şi a celor mai bune practici în industrie</w:t>
            </w:r>
          </w:p>
        </w:tc>
      </w:tr>
      <w:tr w:rsidR="00936847" w:rsidRPr="009C5F11" w14:paraId="07DEC683" w14:textId="77777777" w:rsidTr="00CA706E">
        <w:trPr>
          <w:trHeight w:val="71"/>
        </w:trPr>
        <w:tc>
          <w:tcPr>
            <w:tcW w:w="1756" w:type="pct"/>
            <w:gridSpan w:val="2"/>
          </w:tcPr>
          <w:p w14:paraId="1414F2AF" w14:textId="77777777" w:rsidR="00936847" w:rsidRPr="009C5F11" w:rsidRDefault="00E46DD7" w:rsidP="00430626">
            <w:pPr>
              <w:tabs>
                <w:tab w:val="left" w:pos="1440"/>
                <w:tab w:val="left" w:pos="5040"/>
                <w:tab w:val="right" w:pos="8504"/>
              </w:tabs>
              <w:spacing w:before="40" w:after="40" w:line="240"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02AED2EF" w14:textId="77777777" w:rsidR="00936847" w:rsidRPr="009C5F11" w:rsidRDefault="00936847" w:rsidP="00430626">
            <w:pPr>
              <w:tabs>
                <w:tab w:val="left" w:pos="1440"/>
                <w:tab w:val="left" w:pos="5040"/>
                <w:tab w:val="right" w:pos="8504"/>
              </w:tabs>
              <w:spacing w:before="40" w:after="4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I2</w:t>
            </w:r>
          </w:p>
        </w:tc>
      </w:tr>
      <w:tr w:rsidR="00936847" w:rsidRPr="009C5F11" w14:paraId="4607503A" w14:textId="77777777" w:rsidTr="00CA706E">
        <w:trPr>
          <w:trHeight w:val="107"/>
        </w:trPr>
        <w:tc>
          <w:tcPr>
            <w:tcW w:w="743" w:type="pct"/>
            <w:vMerge w:val="restart"/>
          </w:tcPr>
          <w:p w14:paraId="08723F1A"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p w14:paraId="21EB72B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609BF254"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59AC6764" w14:textId="77777777" w:rsidR="00936847" w:rsidRPr="009C5F11" w:rsidRDefault="00AA45D2" w:rsidP="00B466C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Instruire şi formare</w:t>
            </w:r>
            <w:r w:rsidR="00936847" w:rsidRPr="009C5F11">
              <w:rPr>
                <w:rFonts w:ascii="Times New Roman" w:hAnsi="Times New Roman" w:cs="Times New Roman"/>
                <w:sz w:val="18"/>
                <w:szCs w:val="14"/>
                <w:lang w:val="ro-RO" w:eastAsia="de-DE"/>
              </w:rPr>
              <w:t>, demonstra</w:t>
            </w:r>
            <w:r w:rsidR="00B466CC" w:rsidRPr="009C5F11">
              <w:rPr>
                <w:rFonts w:ascii="Times New Roman" w:hAnsi="Times New Roman" w:cs="Times New Roman"/>
                <w:sz w:val="18"/>
                <w:szCs w:val="14"/>
                <w:lang w:val="ro-RO" w:eastAsia="de-DE"/>
              </w:rPr>
              <w:t>re</w:t>
            </w:r>
          </w:p>
        </w:tc>
      </w:tr>
      <w:tr w:rsidR="00936847" w:rsidRPr="009C5F11" w14:paraId="2A1D347E" w14:textId="77777777" w:rsidTr="00CA706E">
        <w:trPr>
          <w:trHeight w:val="476"/>
        </w:trPr>
        <w:tc>
          <w:tcPr>
            <w:tcW w:w="743" w:type="pct"/>
            <w:vMerge/>
          </w:tcPr>
          <w:p w14:paraId="219DA64D"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38019AA9"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30971233"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2013</w:t>
            </w:r>
            <w:r w:rsidR="002A270D" w:rsidRPr="009C5F11">
              <w:rPr>
                <w:rFonts w:ascii="Times New Roman" w:hAnsi="Times New Roman" w:cs="Times New Roman"/>
                <w:b/>
                <w:sz w:val="18"/>
                <w:szCs w:val="14"/>
                <w:lang w:val="ro-RO" w:eastAsia="de-DE"/>
              </w:rPr>
              <w:t>.</w:t>
            </w:r>
            <w:r w:rsidR="00936847" w:rsidRPr="009C5F11">
              <w:rPr>
                <w:rFonts w:ascii="Times New Roman" w:hAnsi="Times New Roman" w:cs="Times New Roman"/>
                <w:b/>
                <w:sz w:val="18"/>
                <w:szCs w:val="14"/>
                <w:lang w:val="ro-RO" w:eastAsia="de-DE"/>
              </w:rPr>
              <w:t xml:space="preserve"> </w:t>
            </w:r>
          </w:p>
          <w:p w14:paraId="2EA1E8F9"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2018</w:t>
            </w:r>
            <w:r w:rsidR="002A270D" w:rsidRPr="009C5F11">
              <w:rPr>
                <w:rFonts w:ascii="Times New Roman" w:hAnsi="Times New Roman" w:cs="Times New Roman"/>
                <w:b/>
                <w:sz w:val="18"/>
                <w:szCs w:val="14"/>
                <w:lang w:val="ro-RO" w:eastAsia="de-DE"/>
              </w:rPr>
              <w:t>.</w:t>
            </w:r>
          </w:p>
          <w:p w14:paraId="14736603" w14:textId="77777777" w:rsidR="00936847" w:rsidRPr="009C5F11" w:rsidRDefault="00502CA3" w:rsidP="00502CA3">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preluată din PNAEE 2013-2015 şi continuată în</w:t>
            </w:r>
            <w:r w:rsidR="00936847" w:rsidRPr="009C5F11">
              <w:rPr>
                <w:rFonts w:ascii="Times New Roman" w:hAnsi="Times New Roman" w:cs="Times New Roman"/>
                <w:sz w:val="18"/>
                <w:szCs w:val="14"/>
                <w:lang w:val="ro-RO" w:eastAsia="de-DE"/>
              </w:rPr>
              <w:t xml:space="preserve"> </w:t>
            </w:r>
            <w:r w:rsidR="00D4035F"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w:t>
            </w:r>
            <w:r w:rsidRPr="009C5F11">
              <w:rPr>
                <w:rFonts w:ascii="Times New Roman" w:hAnsi="Times New Roman" w:cs="Times New Roman"/>
                <w:sz w:val="18"/>
                <w:szCs w:val="14"/>
                <w:lang w:val="ro-RO" w:eastAsia="de-DE"/>
              </w:rPr>
              <w:t>6</w:t>
            </w:r>
            <w:r w:rsidR="00936847" w:rsidRPr="009C5F11">
              <w:rPr>
                <w:rFonts w:ascii="Times New Roman" w:hAnsi="Times New Roman" w:cs="Times New Roman"/>
                <w:sz w:val="18"/>
                <w:szCs w:val="14"/>
                <w:lang w:val="ro-RO" w:eastAsia="de-DE"/>
              </w:rPr>
              <w:t>-201</w:t>
            </w:r>
            <w:r w:rsidRPr="009C5F11">
              <w:rPr>
                <w:rFonts w:ascii="Times New Roman" w:hAnsi="Times New Roman" w:cs="Times New Roman"/>
                <w:sz w:val="18"/>
                <w:szCs w:val="14"/>
                <w:lang w:val="ro-RO" w:eastAsia="de-DE"/>
              </w:rPr>
              <w:t>8.</w:t>
            </w:r>
            <w:r w:rsidR="00936847" w:rsidRPr="009C5F11">
              <w:rPr>
                <w:rFonts w:ascii="Times New Roman" w:hAnsi="Times New Roman" w:cs="Times New Roman"/>
                <w:sz w:val="18"/>
                <w:szCs w:val="14"/>
                <w:lang w:val="ro-RO" w:eastAsia="de-DE"/>
              </w:rPr>
              <w:t xml:space="preserve"> </w:t>
            </w:r>
          </w:p>
        </w:tc>
      </w:tr>
      <w:tr w:rsidR="00936847" w:rsidRPr="009C5F11" w14:paraId="1027D857" w14:textId="77777777" w:rsidTr="00CA706E">
        <w:trPr>
          <w:trHeight w:val="107"/>
        </w:trPr>
        <w:tc>
          <w:tcPr>
            <w:tcW w:w="743" w:type="pct"/>
            <w:vMerge/>
          </w:tcPr>
          <w:p w14:paraId="3D73907A"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157A75D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16073A3B" w14:textId="77777777" w:rsidR="00936847" w:rsidRPr="009C5F11" w:rsidRDefault="004A7A66"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Îmbunătăţirea</w:t>
            </w:r>
            <w:r w:rsidR="00936847" w:rsidRPr="009C5F11">
              <w:rPr>
                <w:rFonts w:ascii="Times New Roman" w:hAnsi="Times New Roman" w:cs="Times New Roman"/>
                <w:sz w:val="18"/>
                <w:szCs w:val="14"/>
                <w:lang w:val="ro-RO" w:eastAsia="de-DE"/>
              </w:rPr>
              <w:t xml:space="preserve"> </w:t>
            </w:r>
            <w:r w:rsidR="005664F4" w:rsidRPr="009C5F11">
              <w:rPr>
                <w:rFonts w:ascii="Times New Roman" w:hAnsi="Times New Roman" w:cs="Times New Roman"/>
                <w:sz w:val="18"/>
                <w:szCs w:val="14"/>
                <w:lang w:val="ro-RO" w:eastAsia="de-DE"/>
              </w:rPr>
              <w:t xml:space="preserve">productivităţii </w:t>
            </w:r>
            <w:r w:rsidR="00936847" w:rsidRPr="009C5F11">
              <w:rPr>
                <w:rFonts w:ascii="Times New Roman" w:hAnsi="Times New Roman" w:cs="Times New Roman"/>
                <w:sz w:val="18"/>
                <w:szCs w:val="14"/>
                <w:lang w:val="ro-RO" w:eastAsia="de-DE"/>
              </w:rPr>
              <w:t>resur</w:t>
            </w:r>
            <w:r w:rsidR="005664F4" w:rsidRPr="009C5F11">
              <w:rPr>
                <w:rFonts w:ascii="Times New Roman" w:hAnsi="Times New Roman" w:cs="Times New Roman"/>
                <w:sz w:val="18"/>
                <w:szCs w:val="14"/>
                <w:lang w:val="ro-RO" w:eastAsia="de-DE"/>
              </w:rPr>
              <w:t>selor</w:t>
            </w:r>
            <w:r w:rsidR="00321CD5" w:rsidRPr="009C5F11">
              <w:rPr>
                <w:rFonts w:ascii="Times New Roman" w:hAnsi="Times New Roman" w:cs="Times New Roman"/>
                <w:sz w:val="18"/>
                <w:szCs w:val="14"/>
                <w:lang w:val="ro-RO" w:eastAsia="de-DE"/>
              </w:rPr>
              <w:t xml:space="preserve"> şi </w:t>
            </w:r>
            <w:r w:rsidR="005664F4" w:rsidRPr="009C5F11">
              <w:rPr>
                <w:rFonts w:ascii="Times New Roman" w:hAnsi="Times New Roman" w:cs="Times New Roman"/>
                <w:sz w:val="18"/>
                <w:szCs w:val="14"/>
                <w:lang w:val="ro-RO" w:eastAsia="de-DE"/>
              </w:rPr>
              <w:t>a performanţei de mediu a</w:t>
            </w:r>
            <w:r w:rsidR="00480806" w:rsidRPr="009C5F11">
              <w:rPr>
                <w:rFonts w:ascii="Times New Roman" w:hAnsi="Times New Roman" w:cs="Times New Roman"/>
                <w:sz w:val="18"/>
                <w:szCs w:val="14"/>
                <w:lang w:val="ro-RO" w:eastAsia="de-DE"/>
              </w:rPr>
              <w:t xml:space="preserve"> </w:t>
            </w:r>
            <w:r w:rsidR="005664F4" w:rsidRPr="009C5F11">
              <w:rPr>
                <w:rFonts w:ascii="Times New Roman" w:hAnsi="Times New Roman" w:cs="Times New Roman"/>
                <w:sz w:val="18"/>
                <w:szCs w:val="14"/>
                <w:lang w:val="ro-RO" w:eastAsia="de-DE"/>
              </w:rPr>
              <w:t>întreprinderilor</w:t>
            </w:r>
            <w:r w:rsidR="00480806" w:rsidRPr="009C5F11">
              <w:rPr>
                <w:rFonts w:ascii="Times New Roman" w:hAnsi="Times New Roman" w:cs="Times New Roman"/>
                <w:sz w:val="18"/>
                <w:szCs w:val="14"/>
                <w:lang w:val="ro-RO" w:eastAsia="de-DE"/>
              </w:rPr>
              <w:t xml:space="preserve"> </w:t>
            </w:r>
            <w:r w:rsidR="005664F4" w:rsidRPr="009C5F11">
              <w:rPr>
                <w:rFonts w:ascii="Times New Roman" w:hAnsi="Times New Roman" w:cs="Times New Roman"/>
                <w:sz w:val="18"/>
                <w:szCs w:val="14"/>
                <w:lang w:val="ro-RO" w:eastAsia="de-DE"/>
              </w:rPr>
              <w:t xml:space="preserve">şi a </w:t>
            </w:r>
            <w:r w:rsidR="00B95682" w:rsidRPr="009C5F11">
              <w:rPr>
                <w:rFonts w:ascii="Times New Roman" w:hAnsi="Times New Roman" w:cs="Times New Roman"/>
                <w:sz w:val="18"/>
                <w:szCs w:val="14"/>
                <w:lang w:val="ro-RO" w:eastAsia="de-DE"/>
              </w:rPr>
              <w:t>alt</w:t>
            </w:r>
            <w:r w:rsidR="005664F4" w:rsidRPr="009C5F11">
              <w:rPr>
                <w:rFonts w:ascii="Times New Roman" w:hAnsi="Times New Roman" w:cs="Times New Roman"/>
                <w:sz w:val="18"/>
                <w:szCs w:val="14"/>
                <w:lang w:val="ro-RO" w:eastAsia="de-DE"/>
              </w:rPr>
              <w:t>or</w:t>
            </w:r>
            <w:r w:rsidR="00936847" w:rsidRPr="009C5F11">
              <w:rPr>
                <w:rFonts w:ascii="Times New Roman" w:hAnsi="Times New Roman" w:cs="Times New Roman"/>
                <w:sz w:val="18"/>
                <w:szCs w:val="14"/>
                <w:lang w:val="ro-RO" w:eastAsia="de-DE"/>
              </w:rPr>
              <w:t xml:space="preserve"> </w:t>
            </w:r>
            <w:r w:rsidR="005664F4" w:rsidRPr="009C5F11">
              <w:rPr>
                <w:rFonts w:ascii="Times New Roman" w:hAnsi="Times New Roman" w:cs="Times New Roman"/>
                <w:sz w:val="18"/>
                <w:szCs w:val="14"/>
                <w:lang w:val="ro-RO" w:eastAsia="de-DE"/>
              </w:rPr>
              <w:t>organizaţii</w:t>
            </w:r>
            <w:r w:rsidR="00936847" w:rsidRPr="009C5F11">
              <w:rPr>
                <w:rFonts w:ascii="Times New Roman" w:hAnsi="Times New Roman" w:cs="Times New Roman"/>
                <w:sz w:val="18"/>
                <w:szCs w:val="14"/>
                <w:lang w:val="ro-RO" w:eastAsia="de-DE"/>
              </w:rPr>
              <w:t xml:space="preserve"> </w:t>
            </w:r>
            <w:r w:rsidR="005664F4" w:rsidRPr="009C5F11">
              <w:rPr>
                <w:rFonts w:ascii="Times New Roman" w:hAnsi="Times New Roman" w:cs="Times New Roman"/>
                <w:sz w:val="18"/>
                <w:szCs w:val="14"/>
                <w:lang w:val="ro-RO" w:eastAsia="de-DE"/>
              </w:rPr>
              <w:t>prin ap</w:t>
            </w:r>
            <w:r w:rsidR="00936847" w:rsidRPr="009C5F11">
              <w:rPr>
                <w:rFonts w:ascii="Times New Roman" w:hAnsi="Times New Roman" w:cs="Times New Roman"/>
                <w:sz w:val="18"/>
                <w:szCs w:val="14"/>
                <w:lang w:val="ro-RO" w:eastAsia="de-DE"/>
              </w:rPr>
              <w:t>lica</w:t>
            </w:r>
            <w:r w:rsidR="005664F4" w:rsidRPr="009C5F11">
              <w:rPr>
                <w:rFonts w:ascii="Times New Roman" w:hAnsi="Times New Roman" w:cs="Times New Roman"/>
                <w:sz w:val="18"/>
                <w:szCs w:val="14"/>
                <w:lang w:val="ro-RO" w:eastAsia="de-DE"/>
              </w:rPr>
              <w:t xml:space="preserve">rea metodelor, tehnicilor şi politicilor de eficientizare a resurselor şi producerea mai pură </w:t>
            </w:r>
            <w:r w:rsidR="00936847" w:rsidRPr="009C5F11">
              <w:rPr>
                <w:rFonts w:ascii="Times New Roman" w:hAnsi="Times New Roman" w:cs="Times New Roman"/>
                <w:sz w:val="18"/>
                <w:szCs w:val="14"/>
                <w:lang w:val="ro-RO" w:eastAsia="de-DE"/>
              </w:rPr>
              <w:t>(RECP)</w:t>
            </w:r>
            <w:r w:rsidR="005664F4"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2E51B8B6" w14:textId="77777777" w:rsidR="00936847" w:rsidRPr="009C5F11" w:rsidRDefault="005664F4" w:rsidP="005664F4">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Pentru a acorda sprijin întreprinderilor din</w:t>
            </w:r>
            <w:r w:rsidR="00936847" w:rsidRPr="009C5F11">
              <w:rPr>
                <w:rFonts w:ascii="Times New Roman" w:hAnsi="Times New Roman" w:cs="Times New Roman"/>
                <w:sz w:val="18"/>
                <w:szCs w:val="14"/>
                <w:lang w:val="ro-RO" w:eastAsia="de-DE"/>
              </w:rPr>
              <w:t xml:space="preserve"> </w:t>
            </w:r>
            <w:r w:rsidR="00677FAC" w:rsidRPr="009C5F11">
              <w:rPr>
                <w:rFonts w:ascii="Times New Roman" w:hAnsi="Times New Roman" w:cs="Times New Roman"/>
                <w:sz w:val="18"/>
                <w:szCs w:val="14"/>
                <w:lang w:val="ro-RO" w:eastAsia="de-DE"/>
              </w:rPr>
              <w:t>sectorul industrial</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cu scopul de a </w:t>
            </w:r>
            <w:r w:rsidR="00936847" w:rsidRPr="009C5F11">
              <w:rPr>
                <w:rFonts w:ascii="Times New Roman" w:hAnsi="Times New Roman" w:cs="Times New Roman"/>
                <w:sz w:val="18"/>
                <w:szCs w:val="14"/>
                <w:lang w:val="ro-RO" w:eastAsia="de-DE"/>
              </w:rPr>
              <w:t>introduc</w:t>
            </w:r>
            <w:r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 xml:space="preserve"> </w:t>
            </w:r>
            <w:r w:rsidR="00177E9C" w:rsidRPr="009C5F11">
              <w:rPr>
                <w:rFonts w:ascii="Times New Roman" w:hAnsi="Times New Roman" w:cs="Times New Roman"/>
                <w:sz w:val="18"/>
                <w:szCs w:val="14"/>
                <w:lang w:val="ro-RO" w:eastAsia="de-DE"/>
              </w:rPr>
              <w:t>Sistemul de management energetic</w:t>
            </w:r>
            <w:r w:rsidR="00936847" w:rsidRPr="009C5F11">
              <w:rPr>
                <w:rFonts w:ascii="Times New Roman" w:hAnsi="Times New Roman" w:cs="Times New Roman"/>
                <w:sz w:val="18"/>
                <w:szCs w:val="14"/>
                <w:lang w:val="ro-RO" w:eastAsia="de-DE"/>
              </w:rPr>
              <w:t xml:space="preserve"> (</w:t>
            </w:r>
            <w:r w:rsidR="00177E9C" w:rsidRPr="009C5F11">
              <w:rPr>
                <w:rFonts w:ascii="Times New Roman" w:hAnsi="Times New Roman" w:cs="Times New Roman"/>
                <w:sz w:val="18"/>
                <w:szCs w:val="14"/>
                <w:lang w:val="ro-RO" w:eastAsia="de-DE"/>
              </w:rPr>
              <w:t>SME</w:t>
            </w:r>
            <w:r w:rsidR="00936847"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cele mai bune practici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care nu impun costuri mari, dar implică costuri mici</w:t>
            </w:r>
            <w:r w:rsidR="00936847" w:rsidRPr="009C5F11">
              <w:rPr>
                <w:rFonts w:ascii="Times New Roman" w:hAnsi="Times New Roman" w:cs="Times New Roman"/>
                <w:sz w:val="18"/>
                <w:szCs w:val="14"/>
                <w:lang w:val="ro-RO" w:eastAsia="de-DE"/>
              </w:rPr>
              <w:t>.</w:t>
            </w:r>
          </w:p>
        </w:tc>
      </w:tr>
      <w:tr w:rsidR="00936847" w:rsidRPr="009C5F11" w14:paraId="69B64B00" w14:textId="77777777" w:rsidTr="00CA706E">
        <w:trPr>
          <w:trHeight w:val="80"/>
        </w:trPr>
        <w:tc>
          <w:tcPr>
            <w:tcW w:w="743" w:type="pct"/>
            <w:vMerge/>
          </w:tcPr>
          <w:p w14:paraId="63A33A40"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07FE8F62"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4BCF45D1" w14:textId="77777777" w:rsidR="00936847" w:rsidRPr="009C5F11" w:rsidRDefault="00F21480"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Consumul din </w:t>
            </w:r>
            <w:r w:rsidR="007172FB" w:rsidRPr="009C5F11">
              <w:rPr>
                <w:rFonts w:ascii="Times New Roman" w:hAnsi="Times New Roman" w:cs="Times New Roman"/>
                <w:sz w:val="18"/>
                <w:szCs w:val="14"/>
                <w:lang w:val="ro-RO" w:eastAsia="de-DE"/>
              </w:rPr>
              <w:t>Sectorul industrial</w:t>
            </w:r>
          </w:p>
        </w:tc>
      </w:tr>
      <w:tr w:rsidR="00936847" w:rsidRPr="009C5F11" w14:paraId="066E9ED4" w14:textId="77777777" w:rsidTr="00CA706E">
        <w:trPr>
          <w:trHeight w:val="170"/>
        </w:trPr>
        <w:tc>
          <w:tcPr>
            <w:tcW w:w="743" w:type="pct"/>
            <w:vMerge/>
          </w:tcPr>
          <w:p w14:paraId="1168244E"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63458DF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7E6511F3" w14:textId="77777777" w:rsidR="00936847" w:rsidRPr="009C5F11" w:rsidRDefault="00AA056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Sectorul industrial</w:t>
            </w:r>
          </w:p>
        </w:tc>
      </w:tr>
      <w:tr w:rsidR="00936847" w:rsidRPr="009C5F11" w14:paraId="214F397B" w14:textId="77777777" w:rsidTr="00CA706E">
        <w:trPr>
          <w:trHeight w:val="116"/>
        </w:trPr>
        <w:tc>
          <w:tcPr>
            <w:tcW w:w="743" w:type="pct"/>
            <w:vMerge/>
          </w:tcPr>
          <w:p w14:paraId="5CCFCEC1"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2B3BB49B"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2C8C66C4" w14:textId="77777777" w:rsidR="00936847" w:rsidRPr="009C5F11" w:rsidRDefault="0076167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936847" w:rsidRPr="009C5F11" w14:paraId="7D550C6F" w14:textId="77777777" w:rsidTr="00CA706E">
        <w:trPr>
          <w:trHeight w:val="476"/>
        </w:trPr>
        <w:tc>
          <w:tcPr>
            <w:tcW w:w="743" w:type="pct"/>
            <w:vMerge w:val="restart"/>
          </w:tcPr>
          <w:p w14:paraId="775CFA1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44F2954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244" w:type="pct"/>
          </w:tcPr>
          <w:p w14:paraId="2956821E" w14:textId="77777777" w:rsidR="00936847" w:rsidRPr="009C5F11" w:rsidRDefault="005664F4" w:rsidP="00334F3B">
            <w:pPr>
              <w:numPr>
                <w:ilvl w:val="0"/>
                <w:numId w:val="170"/>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Instruirea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experţilor naţionali</w:t>
            </w:r>
            <w:r w:rsidR="00321CD5" w:rsidRPr="009C5F11">
              <w:rPr>
                <w:rFonts w:ascii="Times New Roman" w:hAnsi="Times New Roman" w:cs="Times New Roman"/>
                <w:sz w:val="18"/>
                <w:szCs w:val="14"/>
                <w:lang w:val="ro-RO" w:eastAsia="de-DE"/>
              </w:rPr>
              <w:t xml:space="preserve"> şi </w:t>
            </w:r>
            <w:r w:rsidRPr="009C5F11">
              <w:rPr>
                <w:rFonts w:ascii="Times New Roman" w:hAnsi="Times New Roman" w:cs="Times New Roman"/>
                <w:sz w:val="18"/>
                <w:szCs w:val="14"/>
                <w:lang w:val="ro-RO" w:eastAsia="de-DE"/>
              </w:rPr>
              <w:t>asistenţă</w:t>
            </w:r>
            <w:r w:rsidR="00321CD5" w:rsidRPr="009C5F11">
              <w:rPr>
                <w:rFonts w:ascii="Times New Roman" w:hAnsi="Times New Roman" w:cs="Times New Roman"/>
                <w:sz w:val="18"/>
                <w:szCs w:val="14"/>
                <w:lang w:val="ro-RO" w:eastAsia="de-DE"/>
              </w:rPr>
              <w:t xml:space="preserve"> în </w:t>
            </w:r>
            <w:r w:rsidR="00532A33" w:rsidRPr="009C5F11">
              <w:rPr>
                <w:rFonts w:ascii="Times New Roman" w:hAnsi="Times New Roman" w:cs="Times New Roman"/>
                <w:sz w:val="18"/>
                <w:szCs w:val="14"/>
                <w:lang w:val="ro-RO" w:eastAsia="de-DE"/>
              </w:rPr>
              <w:t>implementarea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eficientizării resurselor şi producerii mai pure </w:t>
            </w:r>
            <w:r w:rsidR="00B70200" w:rsidRPr="009C5F11">
              <w:rPr>
                <w:rFonts w:ascii="Times New Roman" w:hAnsi="Times New Roman" w:cs="Times New Roman"/>
                <w:sz w:val="18"/>
                <w:szCs w:val="14"/>
                <w:lang w:val="ro-RO" w:eastAsia="de-DE"/>
              </w:rPr>
              <w:t>(RECP)</w:t>
            </w:r>
            <w:r w:rsidR="00936847" w:rsidRPr="009C5F11">
              <w:rPr>
                <w:rFonts w:ascii="Times New Roman" w:hAnsi="Times New Roman" w:cs="Times New Roman"/>
                <w:sz w:val="18"/>
                <w:szCs w:val="14"/>
                <w:lang w:val="ro-RO" w:eastAsia="de-DE"/>
              </w:rPr>
              <w:t>;</w:t>
            </w:r>
          </w:p>
          <w:p w14:paraId="76CA75E3" w14:textId="77777777" w:rsidR="00936847" w:rsidRPr="009C5F11" w:rsidRDefault="005664F4" w:rsidP="00334F3B">
            <w:pPr>
              <w:numPr>
                <w:ilvl w:val="0"/>
                <w:numId w:val="170"/>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Asistenţă tehnică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întreprinderilor </w:t>
            </w:r>
            <w:r w:rsidR="00321CD5" w:rsidRPr="009C5F11">
              <w:rPr>
                <w:rFonts w:ascii="Times New Roman" w:hAnsi="Times New Roman" w:cs="Times New Roman"/>
                <w:sz w:val="18"/>
                <w:szCs w:val="14"/>
                <w:lang w:val="ro-RO" w:eastAsia="de-DE"/>
              </w:rPr>
              <w:t xml:space="preserve">şi </w:t>
            </w:r>
            <w:r w:rsidR="00B95682" w:rsidRPr="009C5F11">
              <w:rPr>
                <w:rFonts w:ascii="Times New Roman" w:hAnsi="Times New Roman" w:cs="Times New Roman"/>
                <w:sz w:val="18"/>
                <w:szCs w:val="14"/>
                <w:lang w:val="ro-RO" w:eastAsia="de-DE"/>
              </w:rPr>
              <w:t>alt</w:t>
            </w:r>
            <w:r w:rsidRPr="009C5F11">
              <w:rPr>
                <w:rFonts w:ascii="Times New Roman" w:hAnsi="Times New Roman" w:cs="Times New Roman"/>
                <w:sz w:val="18"/>
                <w:szCs w:val="14"/>
                <w:lang w:val="ro-RO" w:eastAsia="de-DE"/>
              </w:rPr>
              <w:t>or</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organizaţii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în vederea identificării </w:t>
            </w:r>
            <w:r w:rsidR="00321CD5" w:rsidRPr="009C5F11">
              <w:rPr>
                <w:rFonts w:ascii="Times New Roman" w:hAnsi="Times New Roman" w:cs="Times New Roman"/>
                <w:sz w:val="18"/>
                <w:szCs w:val="14"/>
                <w:lang w:val="ro-RO" w:eastAsia="de-DE"/>
              </w:rPr>
              <w:t xml:space="preserve">şi </w:t>
            </w:r>
            <w:r w:rsidR="00936847" w:rsidRPr="009C5F11">
              <w:rPr>
                <w:rFonts w:ascii="Times New Roman" w:hAnsi="Times New Roman" w:cs="Times New Roman"/>
                <w:sz w:val="18"/>
                <w:szCs w:val="14"/>
                <w:lang w:val="ro-RO" w:eastAsia="de-DE"/>
              </w:rPr>
              <w:t>implement</w:t>
            </w:r>
            <w:r w:rsidRPr="009C5F11">
              <w:rPr>
                <w:rFonts w:ascii="Times New Roman" w:hAnsi="Times New Roman" w:cs="Times New Roman"/>
                <w:sz w:val="18"/>
                <w:szCs w:val="14"/>
                <w:lang w:val="ro-RO" w:eastAsia="de-DE"/>
              </w:rPr>
              <w:t>ării opţiunilor</w:t>
            </w:r>
            <w:r w:rsidR="00936847" w:rsidRPr="009C5F11">
              <w:rPr>
                <w:rFonts w:ascii="Times New Roman" w:hAnsi="Times New Roman" w:cs="Times New Roman"/>
                <w:sz w:val="18"/>
                <w:szCs w:val="14"/>
                <w:lang w:val="ro-RO" w:eastAsia="de-DE"/>
              </w:rPr>
              <w:t xml:space="preserve"> RECP </w:t>
            </w:r>
            <w:r w:rsidRPr="009C5F11">
              <w:rPr>
                <w:rFonts w:ascii="Times New Roman" w:hAnsi="Times New Roman" w:cs="Times New Roman"/>
                <w:sz w:val="18"/>
                <w:szCs w:val="14"/>
                <w:lang w:val="ro-RO" w:eastAsia="de-DE"/>
              </w:rPr>
              <w:t xml:space="preserve">pe baza evaluării în detaliu şi sprijinului </w:t>
            </w:r>
            <w:r w:rsidR="002A270D" w:rsidRPr="009C5F11">
              <w:rPr>
                <w:rFonts w:ascii="Times New Roman" w:hAnsi="Times New Roman" w:cs="Times New Roman"/>
                <w:sz w:val="18"/>
                <w:szCs w:val="14"/>
                <w:lang w:val="ro-RO" w:eastAsia="de-DE"/>
              </w:rPr>
              <w:t xml:space="preserve">acordat </w:t>
            </w:r>
            <w:r w:rsidRPr="009C5F11">
              <w:rPr>
                <w:rFonts w:ascii="Times New Roman" w:hAnsi="Times New Roman" w:cs="Times New Roman"/>
                <w:sz w:val="18"/>
                <w:szCs w:val="14"/>
                <w:lang w:val="ro-RO" w:eastAsia="de-DE"/>
              </w:rPr>
              <w:t>pentru autoevaluare</w:t>
            </w:r>
            <w:r w:rsidR="00936847" w:rsidRPr="009C5F11">
              <w:rPr>
                <w:rFonts w:ascii="Times New Roman" w:hAnsi="Times New Roman" w:cs="Times New Roman"/>
                <w:sz w:val="18"/>
                <w:szCs w:val="14"/>
                <w:lang w:val="ro-RO" w:eastAsia="de-DE"/>
              </w:rPr>
              <w:t>;</w:t>
            </w:r>
          </w:p>
          <w:p w14:paraId="5019801F" w14:textId="77777777" w:rsidR="00936847" w:rsidRPr="009C5F11" w:rsidRDefault="005664F4" w:rsidP="00334F3B">
            <w:pPr>
              <w:numPr>
                <w:ilvl w:val="0"/>
                <w:numId w:val="170"/>
              </w:numPr>
              <w:tabs>
                <w:tab w:val="left" w:pos="702"/>
                <w:tab w:val="left" w:pos="5040"/>
                <w:tab w:val="right" w:pos="8504"/>
              </w:tabs>
              <w:spacing w:after="0" w:line="240" w:lineRule="auto"/>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Sprijin</w:t>
            </w:r>
            <w:r w:rsidR="00936847"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rPr>
              <w:t>pentru</w:t>
            </w:r>
            <w:r w:rsidR="00936847" w:rsidRPr="009C5F11">
              <w:rPr>
                <w:rFonts w:ascii="Times New Roman" w:hAnsi="Times New Roman" w:cs="Times New Roman"/>
                <w:sz w:val="18"/>
                <w:szCs w:val="14"/>
                <w:lang w:val="ro-RO"/>
              </w:rPr>
              <w:t xml:space="preserve"> </w:t>
            </w:r>
            <w:r w:rsidR="00532A33" w:rsidRPr="009C5F11">
              <w:rPr>
                <w:rFonts w:ascii="Times New Roman" w:hAnsi="Times New Roman" w:cs="Times New Roman"/>
                <w:sz w:val="18"/>
                <w:szCs w:val="14"/>
                <w:lang w:val="ro-RO"/>
              </w:rPr>
              <w:t>implementarea</w:t>
            </w:r>
            <w:r w:rsidR="00936847" w:rsidRPr="009C5F11">
              <w:rPr>
                <w:rFonts w:ascii="Times New Roman" w:hAnsi="Times New Roman" w:cs="Times New Roman"/>
                <w:sz w:val="18"/>
                <w:szCs w:val="14"/>
                <w:lang w:val="ro-RO"/>
              </w:rPr>
              <w:t xml:space="preserve"> RECP </w:t>
            </w:r>
            <w:r w:rsidRPr="009C5F11">
              <w:rPr>
                <w:rFonts w:ascii="Times New Roman" w:hAnsi="Times New Roman" w:cs="Times New Roman"/>
                <w:sz w:val="18"/>
                <w:szCs w:val="14"/>
                <w:lang w:val="ro-RO"/>
              </w:rPr>
              <w:t xml:space="preserve">de </w:t>
            </w:r>
            <w:r w:rsidR="00936847" w:rsidRPr="009C5F11">
              <w:rPr>
                <w:rFonts w:ascii="Times New Roman" w:hAnsi="Times New Roman" w:cs="Times New Roman"/>
                <w:sz w:val="18"/>
                <w:szCs w:val="14"/>
                <w:lang w:val="ro-RO"/>
              </w:rPr>
              <w:t>promo</w:t>
            </w:r>
            <w:r w:rsidRPr="009C5F11">
              <w:rPr>
                <w:rFonts w:ascii="Times New Roman" w:hAnsi="Times New Roman" w:cs="Times New Roman"/>
                <w:sz w:val="18"/>
                <w:szCs w:val="14"/>
                <w:lang w:val="ro-RO"/>
              </w:rPr>
              <w:t>vare a</w:t>
            </w:r>
            <w:r w:rsidR="00936847" w:rsidRPr="009C5F11">
              <w:rPr>
                <w:rFonts w:ascii="Times New Roman" w:hAnsi="Times New Roman" w:cs="Times New Roman"/>
                <w:sz w:val="18"/>
                <w:szCs w:val="14"/>
                <w:lang w:val="ro-RO"/>
              </w:rPr>
              <w:t xml:space="preserve"> </w:t>
            </w:r>
            <w:r w:rsidR="006025D6" w:rsidRPr="009C5F11">
              <w:rPr>
                <w:rFonts w:ascii="Times New Roman" w:hAnsi="Times New Roman" w:cs="Times New Roman"/>
                <w:sz w:val="18"/>
                <w:szCs w:val="14"/>
                <w:lang w:val="ro-RO"/>
              </w:rPr>
              <w:t>politici</w:t>
            </w:r>
            <w:r w:rsidRPr="009C5F11">
              <w:rPr>
                <w:rFonts w:ascii="Times New Roman" w:hAnsi="Times New Roman" w:cs="Times New Roman"/>
                <w:sz w:val="18"/>
                <w:szCs w:val="14"/>
                <w:lang w:val="ro-RO"/>
              </w:rPr>
              <w:t xml:space="preserve">lor la nivel guvernamental. </w:t>
            </w:r>
          </w:p>
        </w:tc>
      </w:tr>
      <w:tr w:rsidR="00936847" w:rsidRPr="009C5F11" w14:paraId="2171C89C" w14:textId="77777777" w:rsidTr="00CA706E">
        <w:trPr>
          <w:trHeight w:val="278"/>
        </w:trPr>
        <w:tc>
          <w:tcPr>
            <w:tcW w:w="743" w:type="pct"/>
            <w:vMerge/>
          </w:tcPr>
          <w:p w14:paraId="42CB0319"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0142AAD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75A04B33" w14:textId="77777777" w:rsidR="00936847" w:rsidRPr="009C5F11" w:rsidRDefault="00B26897" w:rsidP="002A270D">
            <w:pPr>
              <w:tabs>
                <w:tab w:val="left" w:pos="1440"/>
                <w:tab w:val="left" w:pos="5040"/>
                <w:tab w:val="right" w:pos="8504"/>
              </w:tabs>
              <w:spacing w:before="40" w:after="0" w:line="240" w:lineRule="auto"/>
              <w:ind w:left="25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Programul naţional de producere mai pură (NCPP Moldova)</w:t>
            </w:r>
            <w:r w:rsidR="00936847" w:rsidRPr="009C5F11">
              <w:rPr>
                <w:rFonts w:ascii="Times New Roman" w:hAnsi="Times New Roman" w:cs="Times New Roman"/>
                <w:sz w:val="18"/>
                <w:szCs w:val="14"/>
                <w:lang w:val="ro-RO" w:eastAsia="de-DE"/>
              </w:rPr>
              <w:t xml:space="preserve"> </w:t>
            </w:r>
            <w:r w:rsidR="005664F4" w:rsidRPr="009C5F11">
              <w:rPr>
                <w:rFonts w:ascii="Times New Roman" w:hAnsi="Times New Roman" w:cs="Times New Roman"/>
                <w:sz w:val="18"/>
                <w:szCs w:val="14"/>
                <w:lang w:val="ro-RO" w:eastAsia="de-DE"/>
              </w:rPr>
              <w:t>a fost instituit</w:t>
            </w:r>
            <w:r w:rsidR="00936847" w:rsidRPr="009C5F11">
              <w:rPr>
                <w:rFonts w:ascii="Times New Roman" w:hAnsi="Times New Roman" w:cs="Times New Roman"/>
                <w:sz w:val="18"/>
                <w:szCs w:val="14"/>
                <w:lang w:val="ro-RO" w:eastAsia="de-DE"/>
              </w:rPr>
              <w:t xml:space="preserve"> </w:t>
            </w:r>
            <w:r w:rsidR="00321CD5" w:rsidRPr="009C5F11">
              <w:rPr>
                <w:rFonts w:ascii="Times New Roman" w:hAnsi="Times New Roman" w:cs="Times New Roman"/>
                <w:sz w:val="18"/>
                <w:szCs w:val="14"/>
                <w:lang w:val="ro-RO" w:eastAsia="de-DE"/>
              </w:rPr>
              <w:t xml:space="preserve">în </w:t>
            </w:r>
            <w:r w:rsidR="00223DAC" w:rsidRPr="009C5F11">
              <w:rPr>
                <w:rFonts w:ascii="Times New Roman" w:hAnsi="Times New Roman" w:cs="Times New Roman"/>
                <w:sz w:val="18"/>
                <w:szCs w:val="14"/>
                <w:lang w:val="ro-RO" w:eastAsia="de-DE"/>
              </w:rPr>
              <w:t>Republica Moldova</w:t>
            </w:r>
            <w:r w:rsidR="005664F4" w:rsidRPr="009C5F11">
              <w:rPr>
                <w:rFonts w:ascii="Times New Roman" w:hAnsi="Times New Roman" w:cs="Times New Roman"/>
                <w:sz w:val="18"/>
                <w:szCs w:val="14"/>
                <w:lang w:val="ro-RO" w:eastAsia="de-DE"/>
              </w:rPr>
              <w:t xml:space="preserve"> în 2011</w:t>
            </w:r>
            <w:r w:rsidR="00936847" w:rsidRPr="009C5F11">
              <w:rPr>
                <w:rFonts w:ascii="Times New Roman" w:hAnsi="Times New Roman" w:cs="Times New Roman"/>
                <w:sz w:val="18"/>
                <w:szCs w:val="14"/>
                <w:lang w:val="ro-RO" w:eastAsia="de-DE"/>
              </w:rPr>
              <w:t xml:space="preserve">, </w:t>
            </w:r>
            <w:r w:rsidR="005664F4" w:rsidRPr="009C5F11">
              <w:rPr>
                <w:rFonts w:ascii="Times New Roman" w:hAnsi="Times New Roman" w:cs="Times New Roman"/>
                <w:sz w:val="18"/>
                <w:szCs w:val="14"/>
                <w:lang w:val="ro-RO" w:eastAsia="de-DE"/>
              </w:rPr>
              <w:t>fiind lansat oficial</w:t>
            </w:r>
            <w:r w:rsidR="00321CD5" w:rsidRPr="009C5F11">
              <w:rPr>
                <w:rFonts w:ascii="Times New Roman" w:hAnsi="Times New Roman" w:cs="Times New Roman"/>
                <w:sz w:val="18"/>
                <w:szCs w:val="14"/>
                <w:lang w:val="ro-RO" w:eastAsia="de-DE"/>
              </w:rPr>
              <w:t xml:space="preserve"> în </w:t>
            </w:r>
            <w:r w:rsidR="00C669EE" w:rsidRPr="009C5F11">
              <w:rPr>
                <w:rFonts w:ascii="Times New Roman" w:hAnsi="Times New Roman" w:cs="Times New Roman"/>
                <w:sz w:val="18"/>
                <w:szCs w:val="14"/>
                <w:lang w:val="ro-RO" w:eastAsia="de-DE"/>
              </w:rPr>
              <w:t>2012</w:t>
            </w:r>
            <w:r w:rsidR="002A270D" w:rsidRPr="009C5F11">
              <w:rPr>
                <w:rFonts w:ascii="Times New Roman" w:hAnsi="Times New Roman" w:cs="Times New Roman"/>
                <w:sz w:val="18"/>
                <w:szCs w:val="14"/>
                <w:lang w:val="ro-RO" w:eastAsia="de-DE"/>
              </w:rPr>
              <w:t xml:space="preserve">. Programul se </w:t>
            </w:r>
            <w:r w:rsidR="005664F4" w:rsidRPr="009C5F11">
              <w:rPr>
                <w:rFonts w:ascii="Times New Roman" w:hAnsi="Times New Roman" w:cs="Times New Roman"/>
                <w:sz w:val="18"/>
                <w:szCs w:val="14"/>
                <w:lang w:val="ro-RO" w:eastAsia="de-DE"/>
              </w:rPr>
              <w:t>ax</w:t>
            </w:r>
            <w:r w:rsidR="002A270D" w:rsidRPr="009C5F11">
              <w:rPr>
                <w:rFonts w:ascii="Times New Roman" w:hAnsi="Times New Roman" w:cs="Times New Roman"/>
                <w:sz w:val="18"/>
                <w:szCs w:val="14"/>
                <w:lang w:val="ro-RO" w:eastAsia="de-DE"/>
              </w:rPr>
              <w:t>e</w:t>
            </w:r>
            <w:r w:rsidR="005664F4" w:rsidRPr="009C5F11">
              <w:rPr>
                <w:rFonts w:ascii="Times New Roman" w:hAnsi="Times New Roman" w:cs="Times New Roman"/>
                <w:sz w:val="18"/>
                <w:szCs w:val="14"/>
                <w:lang w:val="ro-RO" w:eastAsia="de-DE"/>
              </w:rPr>
              <w:t>a</w:t>
            </w:r>
            <w:r w:rsidR="002A270D" w:rsidRPr="009C5F11">
              <w:rPr>
                <w:rFonts w:ascii="Times New Roman" w:hAnsi="Times New Roman" w:cs="Times New Roman"/>
                <w:sz w:val="18"/>
                <w:szCs w:val="14"/>
                <w:lang w:val="ro-RO" w:eastAsia="de-DE"/>
              </w:rPr>
              <w:t>ză</w:t>
            </w:r>
            <w:r w:rsidR="005664F4" w:rsidRPr="009C5F11">
              <w:rPr>
                <w:rFonts w:ascii="Times New Roman" w:hAnsi="Times New Roman" w:cs="Times New Roman"/>
                <w:sz w:val="18"/>
                <w:szCs w:val="14"/>
                <w:lang w:val="ro-RO" w:eastAsia="de-DE"/>
              </w:rPr>
              <w:t xml:space="preserve"> pe promovarea</w:t>
            </w:r>
            <w:r w:rsidR="00321CD5" w:rsidRPr="009C5F11">
              <w:rPr>
                <w:rFonts w:ascii="Times New Roman" w:hAnsi="Times New Roman" w:cs="Times New Roman"/>
                <w:sz w:val="18"/>
                <w:szCs w:val="14"/>
                <w:lang w:val="ro-RO" w:eastAsia="de-DE"/>
              </w:rPr>
              <w:t xml:space="preserve"> şi </w:t>
            </w:r>
            <w:r w:rsidR="00D17141" w:rsidRPr="009C5F11">
              <w:rPr>
                <w:rFonts w:ascii="Times New Roman" w:hAnsi="Times New Roman" w:cs="Times New Roman"/>
                <w:sz w:val="18"/>
                <w:szCs w:val="14"/>
                <w:lang w:val="ro-RO" w:eastAsia="de-DE"/>
              </w:rPr>
              <w:t>adoptarea</w:t>
            </w:r>
            <w:r w:rsidR="00936847" w:rsidRPr="009C5F11">
              <w:rPr>
                <w:rFonts w:ascii="Times New Roman" w:hAnsi="Times New Roman" w:cs="Times New Roman"/>
                <w:sz w:val="18"/>
                <w:szCs w:val="14"/>
                <w:lang w:val="ro-RO" w:eastAsia="de-DE"/>
              </w:rPr>
              <w:t xml:space="preserve"> </w:t>
            </w:r>
            <w:r w:rsidR="00D3625D" w:rsidRPr="009C5F11">
              <w:rPr>
                <w:rFonts w:ascii="Times New Roman" w:hAnsi="Times New Roman" w:cs="Times New Roman"/>
                <w:sz w:val="18"/>
                <w:szCs w:val="14"/>
                <w:lang w:val="ro-RO" w:eastAsia="de-DE"/>
              </w:rPr>
              <w:t>conceptului</w:t>
            </w:r>
            <w:r w:rsidR="00936847" w:rsidRPr="009C5F11">
              <w:rPr>
                <w:rFonts w:ascii="Times New Roman" w:hAnsi="Times New Roman" w:cs="Times New Roman"/>
                <w:sz w:val="18"/>
                <w:szCs w:val="14"/>
                <w:lang w:val="ro-RO" w:eastAsia="de-DE"/>
              </w:rPr>
              <w:t xml:space="preserve"> </w:t>
            </w:r>
            <w:r w:rsidR="00D3625D" w:rsidRPr="009C5F11">
              <w:rPr>
                <w:rFonts w:ascii="Times New Roman" w:hAnsi="Times New Roman" w:cs="Times New Roman"/>
                <w:sz w:val="18"/>
                <w:szCs w:val="14"/>
                <w:lang w:val="ro-RO" w:eastAsia="de-DE"/>
              </w:rPr>
              <w:t xml:space="preserve">de eficientizare a resurselor şi producerii mai pure </w:t>
            </w:r>
            <w:r w:rsidR="00B70200" w:rsidRPr="009C5F11">
              <w:rPr>
                <w:rFonts w:ascii="Times New Roman" w:hAnsi="Times New Roman" w:cs="Times New Roman"/>
                <w:sz w:val="18"/>
                <w:szCs w:val="14"/>
                <w:lang w:val="ro-RO" w:eastAsia="de-DE"/>
              </w:rPr>
              <w:t>(RECP</w:t>
            </w:r>
            <w:r w:rsidR="00936847" w:rsidRPr="009C5F11">
              <w:rPr>
                <w:rFonts w:ascii="Times New Roman" w:hAnsi="Times New Roman" w:cs="Times New Roman"/>
                <w:sz w:val="18"/>
                <w:szCs w:val="14"/>
                <w:lang w:val="ro-RO" w:eastAsia="de-DE"/>
              </w:rPr>
              <w:t xml:space="preserve">) </w:t>
            </w:r>
            <w:r w:rsidR="00D3625D" w:rsidRPr="009C5F11">
              <w:rPr>
                <w:rFonts w:ascii="Times New Roman" w:hAnsi="Times New Roman" w:cs="Times New Roman"/>
                <w:sz w:val="18"/>
                <w:szCs w:val="14"/>
                <w:lang w:val="ro-RO" w:eastAsia="de-DE"/>
              </w:rPr>
              <w:t>de către întreprinderi</w:t>
            </w:r>
            <w:r w:rsidR="00321CD5" w:rsidRPr="009C5F11">
              <w:rPr>
                <w:rFonts w:ascii="Times New Roman" w:hAnsi="Times New Roman" w:cs="Times New Roman"/>
                <w:sz w:val="18"/>
                <w:szCs w:val="14"/>
                <w:lang w:val="ro-RO" w:eastAsia="de-DE"/>
              </w:rPr>
              <w:t xml:space="preserve"> şi </w:t>
            </w:r>
            <w:r w:rsidR="005664F4" w:rsidRPr="009C5F11">
              <w:rPr>
                <w:rFonts w:ascii="Times New Roman" w:hAnsi="Times New Roman" w:cs="Times New Roman"/>
                <w:sz w:val="18"/>
                <w:szCs w:val="14"/>
                <w:lang w:val="ro-RO" w:eastAsia="de-DE"/>
              </w:rPr>
              <w:t>organizaţii</w:t>
            </w:r>
            <w:r w:rsidR="00936847" w:rsidRPr="009C5F11">
              <w:rPr>
                <w:rFonts w:ascii="Times New Roman" w:hAnsi="Times New Roman" w:cs="Times New Roman"/>
                <w:sz w:val="18"/>
                <w:szCs w:val="14"/>
                <w:lang w:val="ro-RO" w:eastAsia="de-DE"/>
              </w:rPr>
              <w:t xml:space="preserve">. </w:t>
            </w:r>
            <w:r w:rsidR="00C669EE" w:rsidRPr="009C5F11">
              <w:rPr>
                <w:rFonts w:ascii="Times New Roman" w:hAnsi="Times New Roman" w:cs="Times New Roman"/>
                <w:sz w:val="18"/>
                <w:szCs w:val="14"/>
                <w:lang w:val="ro-RO" w:eastAsia="de-DE"/>
              </w:rPr>
              <w:t>UNIDO</w:t>
            </w:r>
            <w:r w:rsidR="00534A4C" w:rsidRPr="009C5F11">
              <w:rPr>
                <w:rFonts w:ascii="Times New Roman" w:hAnsi="Times New Roman" w:cs="Times New Roman"/>
                <w:sz w:val="18"/>
                <w:szCs w:val="14"/>
                <w:lang w:val="ro-RO" w:eastAsia="de-DE"/>
              </w:rPr>
              <w:t xml:space="preserve"> oferă sprijin profesional</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 xml:space="preserve">managerial NCPP Moldova, </w:t>
            </w:r>
            <w:r w:rsidRPr="009C5F11">
              <w:rPr>
                <w:rFonts w:ascii="Times New Roman" w:hAnsi="Times New Roman" w:cs="Times New Roman"/>
                <w:sz w:val="18"/>
                <w:szCs w:val="14"/>
                <w:lang w:val="ro-RO" w:eastAsia="de-DE"/>
              </w:rPr>
              <w:t>finanţarea fiind asigurată de Guvernul Austri</w:t>
            </w:r>
            <w:r w:rsidR="00534A4C" w:rsidRPr="009C5F11">
              <w:rPr>
                <w:rFonts w:ascii="Times New Roman" w:hAnsi="Times New Roman" w:cs="Times New Roman"/>
                <w:sz w:val="18"/>
                <w:szCs w:val="14"/>
                <w:lang w:val="ro-RO" w:eastAsia="de-DE"/>
              </w:rPr>
              <w:t>ei</w:t>
            </w:r>
            <w:r w:rsidR="00936847" w:rsidRPr="009C5F11">
              <w:rPr>
                <w:rFonts w:ascii="Times New Roman" w:hAnsi="Times New Roman" w:cs="Times New Roman"/>
                <w:sz w:val="18"/>
                <w:szCs w:val="14"/>
                <w:lang w:val="ro-RO" w:eastAsia="de-DE"/>
              </w:rPr>
              <w:t>.</w:t>
            </w:r>
          </w:p>
        </w:tc>
      </w:tr>
      <w:tr w:rsidR="00936847" w:rsidRPr="009C5F11" w14:paraId="3D937B38" w14:textId="77777777" w:rsidTr="00CA706E">
        <w:trPr>
          <w:trHeight w:val="71"/>
        </w:trPr>
        <w:tc>
          <w:tcPr>
            <w:tcW w:w="743" w:type="pct"/>
            <w:vMerge/>
          </w:tcPr>
          <w:p w14:paraId="2529C90A"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4F12393B"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092A79E8" w14:textId="77777777" w:rsidR="00936847" w:rsidRPr="009C5F11" w:rsidRDefault="00421FA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UNIDO</w:t>
            </w:r>
          </w:p>
        </w:tc>
      </w:tr>
      <w:tr w:rsidR="00936847" w:rsidRPr="009C5F11" w14:paraId="65AA8D8C" w14:textId="77777777" w:rsidTr="00CA706E">
        <w:trPr>
          <w:trHeight w:val="67"/>
        </w:trPr>
        <w:tc>
          <w:tcPr>
            <w:tcW w:w="743" w:type="pct"/>
            <w:vMerge/>
          </w:tcPr>
          <w:p w14:paraId="5DEAE730"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17B40018"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6F746285" w14:textId="77777777" w:rsidR="00936847" w:rsidRPr="009C5F11" w:rsidRDefault="00AA056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p w14:paraId="5EF4854C" w14:textId="77777777" w:rsidR="00936847" w:rsidRPr="009C5F11" w:rsidRDefault="00421FA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p>
        </w:tc>
      </w:tr>
      <w:tr w:rsidR="00936847" w:rsidRPr="009C5F11" w14:paraId="0DFE5FA0" w14:textId="77777777" w:rsidTr="00CA706E">
        <w:trPr>
          <w:trHeight w:val="233"/>
        </w:trPr>
        <w:tc>
          <w:tcPr>
            <w:tcW w:w="743" w:type="pct"/>
            <w:vMerge w:val="restart"/>
          </w:tcPr>
          <w:p w14:paraId="5B052500"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6F69557A"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3701196A" w14:textId="77777777" w:rsidR="00936847" w:rsidRPr="009C5F11" w:rsidRDefault="00534A4C"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w:t>
            </w:r>
            <w:r w:rsidR="00936847" w:rsidRPr="009C5F11">
              <w:rPr>
                <w:rFonts w:ascii="Times New Roman" w:hAnsi="Times New Roman" w:cs="Times New Roman"/>
                <w:sz w:val="18"/>
                <w:szCs w:val="14"/>
                <w:lang w:val="ro-RO" w:eastAsia="de-DE"/>
              </w:rPr>
              <w:t xml:space="preserve"> – BU: </w:t>
            </w:r>
          </w:p>
          <w:p w14:paraId="4038C728" w14:textId="77777777" w:rsidR="00936847" w:rsidRPr="009C5F11" w:rsidRDefault="00534A4C" w:rsidP="00334F3B">
            <w:pPr>
              <w:numPr>
                <w:ilvl w:val="0"/>
                <w:numId w:val="119"/>
              </w:numPr>
              <w:tabs>
                <w:tab w:val="left" w:pos="342"/>
                <w:tab w:val="left" w:pos="5040"/>
                <w:tab w:val="right" w:pos="8504"/>
              </w:tabs>
              <w:spacing w:after="0" w:line="240" w:lineRule="auto"/>
              <w:ind w:left="342" w:hanging="18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revizuirea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rezultatelor </w:t>
            </w:r>
            <w:r w:rsidR="00936847" w:rsidRPr="009C5F11">
              <w:rPr>
                <w:rFonts w:ascii="Times New Roman" w:hAnsi="Times New Roman" w:cs="Times New Roman"/>
                <w:sz w:val="18"/>
                <w:szCs w:val="14"/>
                <w:lang w:val="ro-RO" w:eastAsia="de-DE"/>
              </w:rPr>
              <w:t xml:space="preserve">NCPP </w:t>
            </w:r>
            <w:r w:rsidR="00321CD5" w:rsidRPr="009C5F11">
              <w:rPr>
                <w:rFonts w:ascii="Times New Roman" w:hAnsi="Times New Roman" w:cs="Times New Roman"/>
                <w:sz w:val="18"/>
                <w:szCs w:val="14"/>
                <w:lang w:val="ro-RO" w:eastAsia="de-DE"/>
              </w:rPr>
              <w:t xml:space="preserve">şi </w:t>
            </w:r>
            <w:r w:rsidRPr="009C5F11">
              <w:rPr>
                <w:rFonts w:ascii="Times New Roman" w:hAnsi="Times New Roman" w:cs="Times New Roman"/>
                <w:sz w:val="18"/>
                <w:szCs w:val="14"/>
                <w:lang w:val="ro-RO" w:eastAsia="de-DE"/>
              </w:rPr>
              <w:t xml:space="preserve">a </w:t>
            </w:r>
            <w:r w:rsidR="00B95682" w:rsidRPr="009C5F11">
              <w:rPr>
                <w:rFonts w:ascii="Times New Roman" w:hAnsi="Times New Roman" w:cs="Times New Roman"/>
                <w:sz w:val="18"/>
                <w:szCs w:val="14"/>
                <w:lang w:val="ro-RO" w:eastAsia="de-DE"/>
              </w:rPr>
              <w:t>alt</w:t>
            </w:r>
            <w:r w:rsidRPr="009C5F11">
              <w:rPr>
                <w:rFonts w:ascii="Times New Roman" w:hAnsi="Times New Roman" w:cs="Times New Roman"/>
                <w:sz w:val="18"/>
                <w:szCs w:val="14"/>
                <w:lang w:val="ro-RO" w:eastAsia="de-DE"/>
              </w:rPr>
              <w:t>or instrumente de suport</w:t>
            </w:r>
            <w:r w:rsidR="00936847" w:rsidRPr="009C5F11">
              <w:rPr>
                <w:rFonts w:ascii="Times New Roman" w:hAnsi="Times New Roman" w:cs="Times New Roman"/>
                <w:sz w:val="18"/>
                <w:szCs w:val="14"/>
                <w:lang w:val="ro-RO" w:eastAsia="de-DE"/>
              </w:rPr>
              <w:t xml:space="preserve">; </w:t>
            </w:r>
          </w:p>
          <w:p w14:paraId="5D3D2697" w14:textId="77777777" w:rsidR="00936847" w:rsidRPr="009C5F11" w:rsidRDefault="00936847" w:rsidP="00334F3B">
            <w:pPr>
              <w:numPr>
                <w:ilvl w:val="0"/>
                <w:numId w:val="119"/>
              </w:numPr>
              <w:tabs>
                <w:tab w:val="left" w:pos="342"/>
                <w:tab w:val="left" w:pos="5040"/>
                <w:tab w:val="right" w:pos="8504"/>
              </w:tabs>
              <w:spacing w:after="0" w:line="240" w:lineRule="auto"/>
              <w:ind w:left="342" w:hanging="18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colect</w:t>
            </w:r>
            <w:r w:rsidR="00534A4C" w:rsidRPr="009C5F11">
              <w:rPr>
                <w:rFonts w:ascii="Times New Roman" w:hAnsi="Times New Roman" w:cs="Times New Roman"/>
                <w:sz w:val="18"/>
                <w:szCs w:val="14"/>
                <w:lang w:val="ro-RO" w:eastAsia="de-DE"/>
              </w:rPr>
              <w:t>area</w:t>
            </w:r>
            <w:r w:rsidRPr="009C5F11">
              <w:rPr>
                <w:rFonts w:ascii="Times New Roman" w:hAnsi="Times New Roman" w:cs="Times New Roman"/>
                <w:sz w:val="18"/>
                <w:szCs w:val="14"/>
                <w:lang w:val="ro-RO" w:eastAsia="de-DE"/>
              </w:rPr>
              <w:t xml:space="preserve"> </w:t>
            </w:r>
            <w:r w:rsidR="00534A4C" w:rsidRPr="009C5F11">
              <w:rPr>
                <w:rFonts w:ascii="Times New Roman" w:hAnsi="Times New Roman" w:cs="Times New Roman"/>
                <w:sz w:val="18"/>
                <w:szCs w:val="14"/>
                <w:lang w:val="ro-RO" w:eastAsia="de-DE"/>
              </w:rPr>
              <w:t xml:space="preserve">formularelor completate de </w:t>
            </w:r>
            <w:r w:rsidR="005664F4" w:rsidRPr="009C5F11">
              <w:rPr>
                <w:rFonts w:ascii="Times New Roman" w:hAnsi="Times New Roman" w:cs="Times New Roman"/>
                <w:sz w:val="18"/>
                <w:szCs w:val="14"/>
                <w:lang w:val="ro-RO" w:eastAsia="de-DE"/>
              </w:rPr>
              <w:t>întreprinderi</w:t>
            </w:r>
            <w:r w:rsidR="00534A4C" w:rsidRPr="009C5F11">
              <w:rPr>
                <w:rFonts w:ascii="Times New Roman" w:hAnsi="Times New Roman" w:cs="Times New Roman"/>
                <w:sz w:val="18"/>
                <w:szCs w:val="14"/>
                <w:lang w:val="ro-RO" w:eastAsia="de-DE"/>
              </w:rPr>
              <w:t>le din sectorul industrial la sfârşitul fiecărui an</w:t>
            </w:r>
            <w:r w:rsidRPr="009C5F11">
              <w:rPr>
                <w:rFonts w:ascii="Times New Roman" w:hAnsi="Times New Roman" w:cs="Times New Roman"/>
                <w:sz w:val="18"/>
                <w:szCs w:val="14"/>
                <w:lang w:val="ro-RO" w:eastAsia="de-DE"/>
              </w:rPr>
              <w:t>.</w:t>
            </w:r>
          </w:p>
        </w:tc>
      </w:tr>
      <w:tr w:rsidR="00936847" w:rsidRPr="009C5F11" w14:paraId="67B194CD" w14:textId="77777777" w:rsidTr="00CA706E">
        <w:trPr>
          <w:trHeight w:val="296"/>
        </w:trPr>
        <w:tc>
          <w:tcPr>
            <w:tcW w:w="743" w:type="pct"/>
            <w:vMerge/>
          </w:tcPr>
          <w:p w14:paraId="72A73EC2"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151F9D2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prevăzute în anul 2016 conform primului PNAEE</w:t>
            </w:r>
            <w:r w:rsidR="00936847" w:rsidRPr="009C5F11">
              <w:rPr>
                <w:rFonts w:ascii="Times New Roman" w:hAnsi="Times New Roman" w:cs="Times New Roman"/>
                <w:sz w:val="18"/>
                <w:szCs w:val="14"/>
                <w:lang w:val="ro-RO" w:eastAsia="de-DE"/>
              </w:rPr>
              <w:t xml:space="preserve"> </w:t>
            </w:r>
          </w:p>
        </w:tc>
        <w:tc>
          <w:tcPr>
            <w:tcW w:w="3244" w:type="pct"/>
          </w:tcPr>
          <w:p w14:paraId="78DD9532" w14:textId="77777777" w:rsidR="00936847" w:rsidRPr="009C5F11" w:rsidRDefault="009F3BAB"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936847" w:rsidRPr="009C5F11" w14:paraId="17DCA876" w14:textId="77777777" w:rsidTr="00CA706E">
        <w:trPr>
          <w:trHeight w:val="647"/>
        </w:trPr>
        <w:tc>
          <w:tcPr>
            <w:tcW w:w="743" w:type="pct"/>
            <w:vMerge/>
          </w:tcPr>
          <w:p w14:paraId="22A65D35"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635280D6" w14:textId="77777777" w:rsidR="00936847"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6F256FA0"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1.15 </w:t>
            </w:r>
            <w:r w:rsidR="00E52940" w:rsidRPr="009C5F11">
              <w:rPr>
                <w:rFonts w:ascii="Times New Roman" w:hAnsi="Times New Roman" w:cs="Times New Roman"/>
                <w:b/>
                <w:sz w:val="18"/>
                <w:szCs w:val="14"/>
                <w:lang w:val="ro-RO" w:eastAsia="de-DE"/>
              </w:rPr>
              <w:t>ktep</w:t>
            </w:r>
            <w:r w:rsidRPr="009C5F11">
              <w:rPr>
                <w:rFonts w:ascii="Times New Roman" w:hAnsi="Times New Roman" w:cs="Times New Roman"/>
                <w:b/>
                <w:sz w:val="18"/>
                <w:szCs w:val="14"/>
                <w:lang w:val="ro-RO" w:eastAsia="de-DE"/>
              </w:rPr>
              <w:t xml:space="preserve"> </w:t>
            </w:r>
          </w:p>
          <w:p w14:paraId="0A383DD2" w14:textId="77777777" w:rsidR="00936847" w:rsidRPr="009C5F11" w:rsidRDefault="00534A4C"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Informaţii </w:t>
            </w:r>
            <w:r w:rsidR="00936847" w:rsidRPr="009C5F11">
              <w:rPr>
                <w:rFonts w:ascii="Times New Roman" w:hAnsi="Times New Roman" w:cs="Times New Roman"/>
                <w:sz w:val="18"/>
                <w:szCs w:val="14"/>
                <w:lang w:val="ro-RO" w:eastAsia="de-DE"/>
              </w:rPr>
              <w:t xml:space="preserve">NCPP 2014 </w:t>
            </w:r>
            <w:r w:rsidRPr="009C5F11">
              <w:rPr>
                <w:rFonts w:ascii="Times New Roman" w:hAnsi="Times New Roman" w:cs="Times New Roman"/>
                <w:sz w:val="18"/>
                <w:szCs w:val="14"/>
                <w:lang w:val="ro-RO" w:eastAsia="de-DE"/>
              </w:rPr>
              <w:t>pentru</w:t>
            </w:r>
            <w:r w:rsidR="00936847" w:rsidRPr="009C5F11">
              <w:rPr>
                <w:rFonts w:ascii="Times New Roman" w:hAnsi="Times New Roman" w:cs="Times New Roman"/>
                <w:sz w:val="18"/>
                <w:szCs w:val="14"/>
                <w:lang w:val="ro-RO" w:eastAsia="de-DE"/>
              </w:rPr>
              <w:t xml:space="preserve"> 2012-2014: 9,043 MWh (0.778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pentru </w:t>
            </w:r>
            <w:r w:rsidR="001E3482" w:rsidRPr="009C5F11">
              <w:rPr>
                <w:rFonts w:ascii="Times New Roman" w:hAnsi="Times New Roman" w:cs="Times New Roman"/>
                <w:sz w:val="18"/>
                <w:szCs w:val="14"/>
                <w:lang w:val="ro-RO" w:eastAsia="de-DE"/>
              </w:rPr>
              <w:t>energie</w:t>
            </w:r>
            <w:r w:rsidRPr="009C5F11">
              <w:rPr>
                <w:rFonts w:ascii="Times New Roman" w:hAnsi="Times New Roman" w:cs="Times New Roman"/>
                <w:sz w:val="18"/>
                <w:szCs w:val="14"/>
                <w:lang w:val="ro-RO" w:eastAsia="de-DE"/>
              </w:rPr>
              <w:t>;</w:t>
            </w:r>
          </w:p>
          <w:p w14:paraId="2AA85BF6" w14:textId="77777777" w:rsidR="00936847" w:rsidRPr="009C5F11" w:rsidRDefault="00534A4C" w:rsidP="00534A4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Informaţii </w:t>
            </w:r>
            <w:r w:rsidR="00936847" w:rsidRPr="009C5F11">
              <w:rPr>
                <w:rFonts w:ascii="Times New Roman" w:hAnsi="Times New Roman" w:cs="Times New Roman"/>
                <w:sz w:val="18"/>
                <w:szCs w:val="14"/>
                <w:lang w:val="ro-RO" w:eastAsia="de-DE"/>
              </w:rPr>
              <w:t xml:space="preserve">NCPP 2015: 1,470 MWh (0.126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pentru </w:t>
            </w:r>
            <w:r w:rsidR="00334259" w:rsidRPr="009C5F11">
              <w:rPr>
                <w:rFonts w:ascii="Times New Roman" w:hAnsi="Times New Roman" w:cs="Times New Roman"/>
                <w:sz w:val="18"/>
                <w:szCs w:val="14"/>
                <w:lang w:val="ro-RO" w:eastAsia="de-DE"/>
              </w:rPr>
              <w:t>energia electrică</w:t>
            </w:r>
            <w:r w:rsidR="00936847" w:rsidRPr="009C5F11">
              <w:rPr>
                <w:rFonts w:ascii="Times New Roman" w:hAnsi="Times New Roman" w:cs="Times New Roman"/>
                <w:sz w:val="18"/>
                <w:szCs w:val="14"/>
                <w:lang w:val="ro-RO" w:eastAsia="de-DE"/>
              </w:rPr>
              <w:t xml:space="preserve">, 257,000 m3 (2,875 MWh – 0.247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pentru</w:t>
            </w:r>
            <w:r w:rsidR="00936847" w:rsidRPr="009C5F11">
              <w:rPr>
                <w:rFonts w:ascii="Times New Roman" w:hAnsi="Times New Roman" w:cs="Times New Roman"/>
                <w:sz w:val="18"/>
                <w:szCs w:val="14"/>
                <w:lang w:val="ro-RO" w:eastAsia="de-DE"/>
              </w:rPr>
              <w:t xml:space="preserve"> </w:t>
            </w:r>
            <w:r w:rsidR="001D6122" w:rsidRPr="009C5F11">
              <w:rPr>
                <w:rFonts w:ascii="Times New Roman" w:hAnsi="Times New Roman" w:cs="Times New Roman"/>
                <w:sz w:val="18"/>
                <w:szCs w:val="14"/>
                <w:lang w:val="ro-RO" w:eastAsia="de-DE"/>
              </w:rPr>
              <w:t>gaze naturale</w:t>
            </w:r>
            <w:r w:rsidRPr="009C5F11">
              <w:rPr>
                <w:rFonts w:ascii="Times New Roman" w:hAnsi="Times New Roman" w:cs="Times New Roman"/>
                <w:sz w:val="18"/>
                <w:szCs w:val="14"/>
                <w:lang w:val="ro-RO" w:eastAsia="de-DE"/>
              </w:rPr>
              <w:t>.</w:t>
            </w:r>
          </w:p>
        </w:tc>
      </w:tr>
      <w:tr w:rsidR="00936847" w:rsidRPr="009C5F11" w14:paraId="0103758E" w14:textId="77777777" w:rsidTr="00CA706E">
        <w:trPr>
          <w:trHeight w:val="260"/>
        </w:trPr>
        <w:tc>
          <w:tcPr>
            <w:tcW w:w="743" w:type="pct"/>
            <w:vMerge/>
          </w:tcPr>
          <w:p w14:paraId="07378446"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77DA16E4"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2020 </w:t>
            </w:r>
          </w:p>
        </w:tc>
        <w:tc>
          <w:tcPr>
            <w:tcW w:w="3244" w:type="pct"/>
          </w:tcPr>
          <w:p w14:paraId="04AD2224"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b/>
                <w:sz w:val="18"/>
                <w:szCs w:val="14"/>
                <w:lang w:val="ro-RO" w:eastAsia="de-DE"/>
              </w:rPr>
              <w:t xml:space="preserve">2.3 </w:t>
            </w:r>
            <w:r w:rsidR="00E52940" w:rsidRPr="009C5F11">
              <w:rPr>
                <w:rFonts w:ascii="Times New Roman" w:hAnsi="Times New Roman" w:cs="Times New Roman"/>
                <w:b/>
                <w:sz w:val="18"/>
                <w:szCs w:val="14"/>
                <w:lang w:val="ro-RO" w:eastAsia="de-DE"/>
              </w:rPr>
              <w:t>ktep</w:t>
            </w:r>
            <w:r w:rsidRPr="009C5F11">
              <w:rPr>
                <w:rFonts w:ascii="Times New Roman" w:hAnsi="Times New Roman" w:cs="Times New Roman"/>
                <w:sz w:val="18"/>
                <w:szCs w:val="14"/>
                <w:lang w:val="ro-RO" w:eastAsia="de-DE"/>
              </w:rPr>
              <w:t xml:space="preserve"> </w:t>
            </w:r>
          </w:p>
        </w:tc>
      </w:tr>
      <w:tr w:rsidR="00936847" w:rsidRPr="009C5F11" w14:paraId="4ADB2957" w14:textId="77777777" w:rsidTr="00CA706E">
        <w:trPr>
          <w:trHeight w:val="215"/>
        </w:trPr>
        <w:tc>
          <w:tcPr>
            <w:tcW w:w="743" w:type="pct"/>
            <w:vMerge/>
          </w:tcPr>
          <w:p w14:paraId="7CC17E15"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260EDFFF" w14:textId="77777777" w:rsidR="00936847" w:rsidRPr="009C5F11" w:rsidRDefault="0009071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23B3FC1A" w14:textId="77777777" w:rsidR="00936847" w:rsidRPr="009C5F11" w:rsidRDefault="001A3D16" w:rsidP="00534A4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w:t>
            </w:r>
            <w:r w:rsidR="00534A4C" w:rsidRPr="009C5F11">
              <w:rPr>
                <w:rFonts w:ascii="Times New Roman" w:hAnsi="Times New Roman" w:cs="Times New Roman"/>
                <w:sz w:val="18"/>
                <w:szCs w:val="14"/>
                <w:lang w:val="ro-RO" w:eastAsia="de-DE"/>
              </w:rPr>
              <w:t>le pentru anul</w:t>
            </w:r>
            <w:r w:rsidR="00936847" w:rsidRPr="009C5F11">
              <w:rPr>
                <w:rFonts w:ascii="Times New Roman" w:hAnsi="Times New Roman" w:cs="Times New Roman"/>
                <w:sz w:val="18"/>
                <w:szCs w:val="14"/>
                <w:lang w:val="ro-RO" w:eastAsia="de-DE"/>
              </w:rPr>
              <w:t xml:space="preserve"> 2020 </w:t>
            </w:r>
            <w:r w:rsidR="00534A4C" w:rsidRPr="009C5F11">
              <w:rPr>
                <w:rFonts w:ascii="Times New Roman" w:hAnsi="Times New Roman" w:cs="Times New Roman"/>
                <w:sz w:val="18"/>
                <w:szCs w:val="14"/>
                <w:lang w:val="ro-RO" w:eastAsia="de-DE"/>
              </w:rPr>
              <w:t>sunt</w:t>
            </w:r>
            <w:r w:rsidR="00936847" w:rsidRPr="009C5F11">
              <w:rPr>
                <w:rFonts w:ascii="Times New Roman" w:hAnsi="Times New Roman" w:cs="Times New Roman"/>
                <w:sz w:val="18"/>
                <w:szCs w:val="14"/>
                <w:lang w:val="ro-RO" w:eastAsia="de-DE"/>
              </w:rPr>
              <w:t xml:space="preserve"> calculate </w:t>
            </w:r>
            <w:r w:rsidR="00534A4C" w:rsidRPr="009C5F11">
              <w:rPr>
                <w:rFonts w:ascii="Times New Roman" w:hAnsi="Times New Roman" w:cs="Times New Roman"/>
                <w:sz w:val="18"/>
                <w:szCs w:val="14"/>
                <w:lang w:val="ro-RO" w:eastAsia="de-DE"/>
              </w:rPr>
              <w:t xml:space="preserve">prin </w:t>
            </w:r>
            <w:r w:rsidR="00936847" w:rsidRPr="009C5F11">
              <w:rPr>
                <w:rFonts w:ascii="Times New Roman" w:hAnsi="Times New Roman" w:cs="Times New Roman"/>
                <w:sz w:val="18"/>
                <w:szCs w:val="14"/>
                <w:lang w:val="ro-RO" w:eastAsia="de-DE"/>
              </w:rPr>
              <w:t>extrapola</w:t>
            </w:r>
            <w:r w:rsidR="00534A4C" w:rsidRPr="009C5F11">
              <w:rPr>
                <w:rFonts w:ascii="Times New Roman" w:hAnsi="Times New Roman" w:cs="Times New Roman"/>
                <w:sz w:val="18"/>
                <w:szCs w:val="14"/>
                <w:lang w:val="ro-RO" w:eastAsia="de-DE"/>
              </w:rPr>
              <w:t>rea</w:t>
            </w:r>
            <w:r w:rsidR="00936847" w:rsidRPr="009C5F11">
              <w:rPr>
                <w:rFonts w:ascii="Times New Roman" w:hAnsi="Times New Roman" w:cs="Times New Roman"/>
                <w:sz w:val="18"/>
                <w:szCs w:val="14"/>
                <w:lang w:val="ro-RO" w:eastAsia="de-DE"/>
              </w:rPr>
              <w:t xml:space="preserve"> </w:t>
            </w:r>
            <w:r w:rsidR="00C639BC" w:rsidRPr="009C5F11">
              <w:rPr>
                <w:rFonts w:ascii="Times New Roman" w:hAnsi="Times New Roman" w:cs="Times New Roman"/>
                <w:sz w:val="18"/>
                <w:szCs w:val="14"/>
                <w:lang w:val="ro-RO" w:eastAsia="de-DE"/>
              </w:rPr>
              <w:t>economii</w:t>
            </w:r>
            <w:r w:rsidR="00534A4C" w:rsidRPr="009C5F11">
              <w:rPr>
                <w:rFonts w:ascii="Times New Roman" w:hAnsi="Times New Roman" w:cs="Times New Roman"/>
                <w:sz w:val="18"/>
                <w:szCs w:val="14"/>
                <w:lang w:val="ro-RO" w:eastAsia="de-DE"/>
              </w:rPr>
              <w:t>lor obţinute în perioada</w:t>
            </w:r>
            <w:r w:rsidR="00936847" w:rsidRPr="009C5F11">
              <w:rPr>
                <w:rFonts w:ascii="Times New Roman" w:hAnsi="Times New Roman" w:cs="Times New Roman"/>
                <w:sz w:val="18"/>
                <w:szCs w:val="14"/>
                <w:lang w:val="ro-RO" w:eastAsia="de-DE"/>
              </w:rPr>
              <w:t xml:space="preserve"> 2012-2015</w:t>
            </w:r>
            <w:r w:rsidR="00534A4C" w:rsidRPr="009C5F11">
              <w:rPr>
                <w:rFonts w:ascii="Times New Roman" w:hAnsi="Times New Roman" w:cs="Times New Roman"/>
                <w:sz w:val="18"/>
                <w:szCs w:val="14"/>
                <w:lang w:val="ro-RO" w:eastAsia="de-DE"/>
              </w:rPr>
              <w:t>.</w:t>
            </w:r>
          </w:p>
        </w:tc>
      </w:tr>
      <w:tr w:rsidR="00936847" w:rsidRPr="009C5F11" w14:paraId="23AA0A38" w14:textId="77777777" w:rsidTr="00CA706E">
        <w:trPr>
          <w:trHeight w:val="67"/>
        </w:trPr>
        <w:tc>
          <w:tcPr>
            <w:tcW w:w="743" w:type="pct"/>
            <w:vMerge/>
          </w:tcPr>
          <w:p w14:paraId="54CDDBC6" w14:textId="77777777" w:rsidR="00936847" w:rsidRPr="009C5F11" w:rsidRDefault="0093684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78752DB7"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4267D02C" w14:textId="77777777" w:rsidR="00936847" w:rsidRPr="009C5F11" w:rsidRDefault="00936847" w:rsidP="00480806">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NCPP ac</w:t>
            </w:r>
            <w:r w:rsidR="00480806" w:rsidRPr="009C5F11">
              <w:rPr>
                <w:rFonts w:ascii="Times New Roman" w:hAnsi="Times New Roman" w:cs="Times New Roman"/>
                <w:sz w:val="18"/>
                <w:szCs w:val="14"/>
                <w:lang w:val="ro-RO"/>
              </w:rPr>
              <w:t xml:space="preserve">ţionează ca </w:t>
            </w:r>
            <w:r w:rsidRPr="009C5F11">
              <w:rPr>
                <w:rFonts w:ascii="Times New Roman" w:hAnsi="Times New Roman" w:cs="Times New Roman"/>
                <w:sz w:val="18"/>
                <w:szCs w:val="14"/>
                <w:lang w:val="ro-RO"/>
              </w:rPr>
              <w:t>facilitator</w:t>
            </w:r>
            <w:r w:rsidR="00321CD5" w:rsidRPr="009C5F11">
              <w:rPr>
                <w:rFonts w:ascii="Times New Roman" w:hAnsi="Times New Roman" w:cs="Times New Roman"/>
                <w:sz w:val="18"/>
                <w:szCs w:val="14"/>
                <w:lang w:val="ro-RO"/>
              </w:rPr>
              <w:t xml:space="preserve"> </w:t>
            </w:r>
            <w:r w:rsidR="00480806" w:rsidRPr="009C5F11">
              <w:rPr>
                <w:rFonts w:ascii="Times New Roman" w:hAnsi="Times New Roman" w:cs="Times New Roman"/>
                <w:sz w:val="18"/>
                <w:szCs w:val="14"/>
                <w:lang w:val="ro-RO"/>
              </w:rPr>
              <w:t>tehnic, dar nu ca investitor</w:t>
            </w:r>
            <w:r w:rsidRPr="009C5F11">
              <w:rPr>
                <w:rFonts w:ascii="Times New Roman" w:hAnsi="Times New Roman" w:cs="Times New Roman"/>
                <w:sz w:val="18"/>
                <w:szCs w:val="14"/>
                <w:lang w:val="ro-RO"/>
              </w:rPr>
              <w:t xml:space="preserve"> direct </w:t>
            </w:r>
            <w:r w:rsidR="00321CD5" w:rsidRPr="009C5F11">
              <w:rPr>
                <w:rFonts w:ascii="Times New Roman" w:hAnsi="Times New Roman" w:cs="Times New Roman"/>
                <w:sz w:val="18"/>
                <w:szCs w:val="14"/>
                <w:lang w:val="ro-RO"/>
              </w:rPr>
              <w:t xml:space="preserve">sau </w:t>
            </w:r>
            <w:r w:rsidRPr="009C5F11">
              <w:rPr>
                <w:rFonts w:ascii="Times New Roman" w:hAnsi="Times New Roman" w:cs="Times New Roman"/>
                <w:sz w:val="18"/>
                <w:szCs w:val="14"/>
                <w:lang w:val="ro-RO"/>
              </w:rPr>
              <w:t>facilitator</w:t>
            </w:r>
            <w:r w:rsidR="00480806" w:rsidRPr="009C5F11">
              <w:rPr>
                <w:rFonts w:ascii="Times New Roman" w:hAnsi="Times New Roman" w:cs="Times New Roman"/>
                <w:sz w:val="18"/>
                <w:szCs w:val="14"/>
                <w:lang w:val="ro-RO"/>
              </w:rPr>
              <w:t xml:space="preserve"> financiar, fapt ce induce un anumit risc de suprapunere cu economiile raportate de FEE</w:t>
            </w:r>
            <w:r w:rsidRPr="009C5F11">
              <w:rPr>
                <w:rFonts w:ascii="Times New Roman" w:hAnsi="Times New Roman" w:cs="Times New Roman"/>
                <w:sz w:val="18"/>
                <w:szCs w:val="14"/>
                <w:lang w:val="ro-RO"/>
              </w:rPr>
              <w:t>.</w:t>
            </w:r>
          </w:p>
        </w:tc>
      </w:tr>
    </w:tbl>
    <w:p w14:paraId="4D56BED7" w14:textId="77777777" w:rsidR="00936847" w:rsidRPr="009C5F11" w:rsidRDefault="00936847" w:rsidP="00936847">
      <w:pPr>
        <w:shd w:val="clear" w:color="auto" w:fill="FFFFFF"/>
        <w:spacing w:after="0" w:line="240" w:lineRule="auto"/>
        <w:jc w:val="both"/>
        <w:rPr>
          <w:rFonts w:ascii="Times New Roman" w:hAnsi="Times New Roman" w:cs="Times New Roman"/>
          <w:sz w:val="24"/>
          <w:lang w:val="ro-RO"/>
        </w:rPr>
      </w:pPr>
      <w:r w:rsidRPr="009C5F11">
        <w:rPr>
          <w:rFonts w:ascii="Times New Roman" w:hAnsi="Times New Roman" w:cs="Times New Roman"/>
          <w:sz w:val="24"/>
          <w:lang w:val="ro-RO"/>
        </w:rPr>
        <w:br w:type="page"/>
      </w:r>
    </w:p>
    <w:p w14:paraId="13E4164D" w14:textId="77777777" w:rsidR="00936847" w:rsidRPr="00D9464A" w:rsidRDefault="007E1094" w:rsidP="004D5E36">
      <w:pPr>
        <w:pStyle w:val="Titlu4"/>
        <w:rPr>
          <w:rFonts w:ascii="Times New Roman" w:hAnsi="Times New Roman" w:cs="Times New Roman"/>
          <w:b/>
          <w:color w:val="000000" w:themeColor="text1"/>
          <w:sz w:val="28"/>
          <w:lang w:val="ro-RO"/>
        </w:rPr>
      </w:pPr>
      <w:bookmarkStart w:id="208" w:name="_Toc274304029"/>
      <w:bookmarkStart w:id="209" w:name="_Toc319555402"/>
      <w:bookmarkStart w:id="210" w:name="_Toc322013168"/>
      <w:r w:rsidRPr="00D9464A">
        <w:rPr>
          <w:rFonts w:ascii="Times New Roman" w:hAnsi="Times New Roman" w:cs="Times New Roman"/>
          <w:b/>
          <w:color w:val="000000" w:themeColor="text1"/>
          <w:sz w:val="28"/>
          <w:lang w:val="ro-RO"/>
        </w:rPr>
        <w:lastRenderedPageBreak/>
        <w:t>Măsuri în sectorul</w:t>
      </w:r>
      <w:r w:rsidR="00421FA7" w:rsidRPr="00D9464A">
        <w:rPr>
          <w:rFonts w:ascii="Times New Roman" w:hAnsi="Times New Roman" w:cs="Times New Roman"/>
          <w:b/>
          <w:color w:val="000000" w:themeColor="text1"/>
          <w:sz w:val="28"/>
          <w:lang w:val="ro-RO"/>
        </w:rPr>
        <w:t xml:space="preserve"> energetic</w:t>
      </w:r>
      <w:bookmarkEnd w:id="208"/>
      <w:bookmarkEnd w:id="209"/>
      <w:bookmarkEnd w:id="210"/>
    </w:p>
    <w:p w14:paraId="3038336F" w14:textId="37F8C99A" w:rsidR="00936847" w:rsidRPr="009C5F11" w:rsidRDefault="00480806"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Măsurile </w:t>
      </w:r>
      <w:r w:rsidR="003B4DAB" w:rsidRPr="009C5F11">
        <w:rPr>
          <w:rFonts w:ascii="Times New Roman" w:hAnsi="Times New Roman" w:cs="Times New Roman"/>
          <w:sz w:val="24"/>
          <w:lang w:val="ro-RO"/>
        </w:rPr>
        <w:t>din</w:t>
      </w:r>
      <w:r w:rsidRPr="009C5F11">
        <w:rPr>
          <w:rFonts w:ascii="Times New Roman" w:hAnsi="Times New Roman" w:cs="Times New Roman"/>
          <w:sz w:val="24"/>
          <w:lang w:val="ro-RO"/>
        </w:rPr>
        <w:t xml:space="preserve"> sectorul</w:t>
      </w:r>
      <w:r w:rsidR="00421FA7" w:rsidRPr="009C5F11">
        <w:rPr>
          <w:rFonts w:ascii="Times New Roman" w:hAnsi="Times New Roman" w:cs="Times New Roman"/>
          <w:sz w:val="24"/>
          <w:lang w:val="ro-RO"/>
        </w:rPr>
        <w:t xml:space="preserve"> energetic</w:t>
      </w:r>
      <w:r w:rsidR="00936847" w:rsidRPr="009C5F11">
        <w:rPr>
          <w:rFonts w:ascii="Times New Roman" w:hAnsi="Times New Roman" w:cs="Times New Roman"/>
          <w:sz w:val="24"/>
          <w:lang w:val="ro-RO"/>
        </w:rPr>
        <w:t xml:space="preserve"> includ </w:t>
      </w:r>
      <w:r w:rsidR="00E10BE5" w:rsidRPr="009C5F11">
        <w:rPr>
          <w:rFonts w:ascii="Times New Roman" w:hAnsi="Times New Roman" w:cs="Times New Roman"/>
          <w:sz w:val="24"/>
          <w:lang w:val="ro-RO"/>
        </w:rPr>
        <w:t>măsuri</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pentru</w:t>
      </w:r>
      <w:r w:rsidR="00321CD5" w:rsidRPr="009C5F11">
        <w:rPr>
          <w:rFonts w:ascii="Times New Roman" w:hAnsi="Times New Roman" w:cs="Times New Roman"/>
          <w:sz w:val="24"/>
          <w:lang w:val="ro-RO"/>
        </w:rPr>
        <w:t xml:space="preserve"> </w:t>
      </w:r>
      <w:r w:rsidR="00F43616" w:rsidRPr="009C5F11">
        <w:rPr>
          <w:rFonts w:ascii="Times New Roman" w:hAnsi="Times New Roman" w:cs="Times New Roman"/>
          <w:sz w:val="24"/>
          <w:lang w:val="ro-RO"/>
        </w:rPr>
        <w:t>diverse subsectoare</w:t>
      </w:r>
      <w:r w:rsidR="00936847" w:rsidRPr="009C5F11">
        <w:rPr>
          <w:rFonts w:ascii="Times New Roman" w:hAnsi="Times New Roman" w:cs="Times New Roman"/>
          <w:sz w:val="24"/>
          <w:lang w:val="ro-RO"/>
        </w:rPr>
        <w:t xml:space="preserve">, </w:t>
      </w:r>
      <w:r w:rsidR="003826B8" w:rsidRPr="009C5F11">
        <w:rPr>
          <w:rFonts w:ascii="Times New Roman" w:hAnsi="Times New Roman" w:cs="Times New Roman"/>
          <w:sz w:val="24"/>
          <w:lang w:val="ro-RO"/>
        </w:rPr>
        <w:t>cum ar fi</w:t>
      </w:r>
      <w:r w:rsidR="00936847"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cel </w:t>
      </w:r>
      <w:r w:rsidR="00F21480" w:rsidRPr="009C5F11">
        <w:rPr>
          <w:rFonts w:ascii="Times New Roman" w:hAnsi="Times New Roman" w:cs="Times New Roman"/>
          <w:sz w:val="24"/>
          <w:lang w:val="ro-RO"/>
        </w:rPr>
        <w:t>al energiei termice</w:t>
      </w:r>
      <w:r w:rsidR="00936847" w:rsidRPr="009C5F11">
        <w:rPr>
          <w:rFonts w:ascii="Times New Roman" w:hAnsi="Times New Roman" w:cs="Times New Roman"/>
          <w:sz w:val="24"/>
          <w:lang w:val="ro-RO"/>
        </w:rPr>
        <w:t xml:space="preserve">, </w:t>
      </w:r>
      <w:r w:rsidR="00334259" w:rsidRPr="009C5F11">
        <w:rPr>
          <w:rFonts w:ascii="Times New Roman" w:hAnsi="Times New Roman" w:cs="Times New Roman"/>
          <w:sz w:val="24"/>
          <w:lang w:val="ro-RO"/>
        </w:rPr>
        <w:t>electr</w:t>
      </w:r>
      <w:r w:rsidR="003B4DAB" w:rsidRPr="009C5F11">
        <w:rPr>
          <w:rFonts w:ascii="Times New Roman" w:hAnsi="Times New Roman" w:cs="Times New Roman"/>
          <w:sz w:val="24"/>
          <w:lang w:val="ro-RO"/>
        </w:rPr>
        <w:t>oenergeti</w:t>
      </w:r>
      <w:r w:rsidR="00334259" w:rsidRPr="009C5F11">
        <w:rPr>
          <w:rFonts w:ascii="Times New Roman" w:hAnsi="Times New Roman" w:cs="Times New Roman"/>
          <w:sz w:val="24"/>
          <w:lang w:val="ro-RO"/>
        </w:rPr>
        <w:t>c</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de </w:t>
      </w:r>
      <w:r w:rsidR="00936847" w:rsidRPr="009C5F11">
        <w:rPr>
          <w:rFonts w:ascii="Times New Roman" w:hAnsi="Times New Roman" w:cs="Times New Roman"/>
          <w:sz w:val="24"/>
          <w:lang w:val="ro-RO"/>
        </w:rPr>
        <w:t>infrastructur</w:t>
      </w:r>
      <w:r w:rsidRPr="009C5F11">
        <w:rPr>
          <w:rFonts w:ascii="Times New Roman" w:hAnsi="Times New Roman" w:cs="Times New Roman"/>
          <w:sz w:val="24"/>
          <w:lang w:val="ro-RO"/>
        </w:rPr>
        <w:t>ă</w:t>
      </w:r>
      <w:r w:rsidR="00936847" w:rsidRPr="009C5F11">
        <w:rPr>
          <w:rFonts w:ascii="Times New Roman" w:hAnsi="Times New Roman" w:cs="Times New Roman"/>
          <w:sz w:val="24"/>
          <w:lang w:val="ro-RO"/>
        </w:rPr>
        <w:t xml:space="preserve">. </w:t>
      </w:r>
      <w:r w:rsidR="00F21480" w:rsidRPr="009C5F11">
        <w:rPr>
          <w:rFonts w:ascii="Times New Roman" w:hAnsi="Times New Roman" w:cs="Times New Roman"/>
          <w:sz w:val="24"/>
          <w:lang w:val="ro-RO"/>
        </w:rPr>
        <w:t>I</w:t>
      </w:r>
      <w:r w:rsidR="00E46DD7" w:rsidRPr="009C5F11">
        <w:rPr>
          <w:rFonts w:ascii="Times New Roman" w:hAnsi="Times New Roman" w:cs="Times New Roman"/>
          <w:sz w:val="24"/>
          <w:lang w:val="ro-RO"/>
        </w:rPr>
        <w:t>nformaţi</w:t>
      </w:r>
      <w:r w:rsidR="00F21480" w:rsidRPr="009C5F11">
        <w:rPr>
          <w:rFonts w:ascii="Times New Roman" w:hAnsi="Times New Roman" w:cs="Times New Roman"/>
          <w:sz w:val="24"/>
          <w:lang w:val="ro-RO"/>
        </w:rPr>
        <w:t>a</w:t>
      </w:r>
      <w:r w:rsidR="00E46DD7" w:rsidRPr="009C5F11">
        <w:rPr>
          <w:rFonts w:ascii="Times New Roman" w:hAnsi="Times New Roman" w:cs="Times New Roman"/>
          <w:sz w:val="24"/>
          <w:lang w:val="ro-RO"/>
        </w:rPr>
        <w:t xml:space="preserve"> privind măsurile</w:t>
      </w:r>
      <w:r w:rsidR="00DA20A8"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este prezentat</w:t>
      </w:r>
      <w:r w:rsidR="00F21480" w:rsidRPr="009C5F11">
        <w:rPr>
          <w:rFonts w:ascii="Times New Roman" w:hAnsi="Times New Roman" w:cs="Times New Roman"/>
          <w:sz w:val="24"/>
          <w:lang w:val="ro-RO"/>
        </w:rPr>
        <w:t>a</w:t>
      </w:r>
      <w:r w:rsidR="00E46DD7" w:rsidRPr="009C5F11">
        <w:rPr>
          <w:rFonts w:ascii="Times New Roman" w:hAnsi="Times New Roman" w:cs="Times New Roman"/>
          <w:sz w:val="24"/>
          <w:lang w:val="ro-RO"/>
        </w:rPr>
        <w:t xml:space="preserve"> în</w:t>
      </w:r>
      <w:r w:rsidR="00DA20A8"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DA20A8" w:rsidRPr="009C5F11">
        <w:rPr>
          <w:rFonts w:ascii="Times New Roman" w:hAnsi="Times New Roman" w:cs="Times New Roman"/>
          <w:sz w:val="24"/>
          <w:lang w:val="ro-RO"/>
        </w:rPr>
        <w:instrText xml:space="preserve"> REF _Ref319622479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20</w:t>
      </w:r>
      <w:r w:rsidR="003A6ADB" w:rsidRPr="009C5F11">
        <w:rPr>
          <w:rFonts w:ascii="Times New Roman" w:hAnsi="Times New Roman" w:cs="Times New Roman"/>
          <w:sz w:val="24"/>
          <w:lang w:val="ro-RO"/>
        </w:rPr>
        <w:fldChar w:fldCharType="end"/>
      </w:r>
      <w:r w:rsidR="00936847"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de mai jos</w:t>
      </w:r>
      <w:r w:rsidR="00936847"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Aceste</w:t>
      </w:r>
      <w:r w:rsidR="00936847"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00936847"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nu</w:t>
      </w:r>
      <w:r w:rsidR="00936847" w:rsidRPr="009C5F11">
        <w:rPr>
          <w:rFonts w:ascii="Times New Roman" w:hAnsi="Times New Roman" w:cs="Times New Roman"/>
          <w:sz w:val="24"/>
          <w:lang w:val="ro-RO"/>
        </w:rPr>
        <w:t xml:space="preserve"> contribu</w:t>
      </w:r>
      <w:r w:rsidRPr="009C5F11">
        <w:rPr>
          <w:rFonts w:ascii="Times New Roman" w:hAnsi="Times New Roman" w:cs="Times New Roman"/>
          <w:sz w:val="24"/>
          <w:lang w:val="ro-RO"/>
        </w:rPr>
        <w:t>i</w:t>
      </w:r>
      <w:r w:rsidR="00936847" w:rsidRPr="009C5F11">
        <w:rPr>
          <w:rFonts w:ascii="Times New Roman" w:hAnsi="Times New Roman" w:cs="Times New Roman"/>
          <w:sz w:val="24"/>
          <w:lang w:val="ro-RO"/>
        </w:rPr>
        <w:t xml:space="preserve">e </w:t>
      </w:r>
      <w:r w:rsidRPr="009C5F11">
        <w:rPr>
          <w:rFonts w:ascii="Times New Roman" w:hAnsi="Times New Roman" w:cs="Times New Roman"/>
          <w:sz w:val="24"/>
          <w:lang w:val="ro-RO"/>
        </w:rPr>
        <w:t xml:space="preserve">la </w:t>
      </w:r>
      <w:r w:rsidR="0009071F" w:rsidRPr="009C5F11">
        <w:rPr>
          <w:rFonts w:ascii="Times New Roman" w:hAnsi="Times New Roman" w:cs="Times New Roman"/>
          <w:sz w:val="24"/>
          <w:lang w:val="ro-RO"/>
        </w:rPr>
        <w:t>realizarea</w:t>
      </w:r>
      <w:r w:rsidRPr="009C5F11">
        <w:rPr>
          <w:rFonts w:ascii="Times New Roman" w:hAnsi="Times New Roman" w:cs="Times New Roman"/>
          <w:sz w:val="24"/>
          <w:lang w:val="ro-RO"/>
        </w:rPr>
        <w:t xml:space="preserve"> economiilor de energie stabilite de </w:t>
      </w:r>
      <w:r w:rsidR="00871B4E" w:rsidRPr="009C5F11">
        <w:rPr>
          <w:rFonts w:ascii="Times New Roman" w:hAnsi="Times New Roman" w:cs="Times New Roman"/>
          <w:sz w:val="24"/>
          <w:lang w:val="ro-RO"/>
        </w:rPr>
        <w:t>DSE</w:t>
      </w:r>
      <w:r w:rsidR="00936847"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în </w:t>
      </w:r>
      <w:r w:rsidR="00936847" w:rsidRPr="009C5F11">
        <w:rPr>
          <w:rFonts w:ascii="Times New Roman" w:hAnsi="Times New Roman" w:cs="Times New Roman"/>
          <w:sz w:val="24"/>
          <w:lang w:val="ro-RO"/>
        </w:rPr>
        <w:t>term</w:t>
      </w:r>
      <w:r w:rsidRPr="009C5F11">
        <w:rPr>
          <w:rFonts w:ascii="Times New Roman" w:hAnsi="Times New Roman" w:cs="Times New Roman"/>
          <w:sz w:val="24"/>
          <w:lang w:val="ro-RO"/>
        </w:rPr>
        <w:t>eni de</w:t>
      </w:r>
      <w:r w:rsidR="00936847" w:rsidRPr="009C5F11">
        <w:rPr>
          <w:rFonts w:ascii="Times New Roman" w:hAnsi="Times New Roman" w:cs="Times New Roman"/>
          <w:sz w:val="24"/>
          <w:lang w:val="ro-RO"/>
        </w:rPr>
        <w:t xml:space="preserve"> </w:t>
      </w:r>
      <w:r w:rsidR="00F231AC" w:rsidRPr="009C5F11">
        <w:rPr>
          <w:rFonts w:ascii="Times New Roman" w:hAnsi="Times New Roman" w:cs="Times New Roman"/>
          <w:sz w:val="24"/>
          <w:lang w:val="ro-RO"/>
        </w:rPr>
        <w:t>economii de energie finală</w:t>
      </w:r>
      <w:r w:rsidRPr="009C5F11">
        <w:rPr>
          <w:rFonts w:ascii="Times New Roman" w:hAnsi="Times New Roman" w:cs="Times New Roman"/>
          <w:sz w:val="24"/>
          <w:lang w:val="ro-RO"/>
        </w:rPr>
        <w:t xml:space="preserve">; cu toate acestea, măsurile </w:t>
      </w:r>
      <w:r w:rsidR="003719BD" w:rsidRPr="009C5F11">
        <w:rPr>
          <w:rFonts w:ascii="Times New Roman" w:hAnsi="Times New Roman" w:cs="Times New Roman"/>
          <w:sz w:val="24"/>
          <w:lang w:val="ro-RO"/>
        </w:rPr>
        <w:t>îmbunătăţ</w:t>
      </w:r>
      <w:r w:rsidR="0009071F" w:rsidRPr="009C5F11">
        <w:rPr>
          <w:rFonts w:ascii="Times New Roman" w:hAnsi="Times New Roman" w:cs="Times New Roman"/>
          <w:sz w:val="24"/>
          <w:lang w:val="ro-RO"/>
        </w:rPr>
        <w:t>esc</w:t>
      </w:r>
      <w:r w:rsidR="00936847"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semnificativ indicatorii privind </w:t>
      </w:r>
      <w:r w:rsidR="001A3D16" w:rsidRPr="009C5F11">
        <w:rPr>
          <w:rFonts w:ascii="Times New Roman" w:hAnsi="Times New Roman" w:cs="Times New Roman"/>
          <w:sz w:val="24"/>
          <w:lang w:val="ro-RO"/>
        </w:rPr>
        <w:t>consumul de energie primară</w:t>
      </w:r>
      <w:r w:rsidR="00936847" w:rsidRPr="009C5F11">
        <w:rPr>
          <w:rFonts w:ascii="Times New Roman" w:hAnsi="Times New Roman" w:cs="Times New Roman"/>
          <w:sz w:val="24"/>
          <w:lang w:val="ro-RO"/>
        </w:rPr>
        <w:t>.</w:t>
      </w:r>
    </w:p>
    <w:p w14:paraId="7719EA49" w14:textId="77777777" w:rsidR="00A22AE1" w:rsidRPr="009C5F11" w:rsidRDefault="00A22AE1" w:rsidP="00DA20A8">
      <w:pPr>
        <w:spacing w:before="120" w:after="120" w:line="240" w:lineRule="auto"/>
        <w:jc w:val="both"/>
        <w:textAlignment w:val="baseline"/>
        <w:rPr>
          <w:rFonts w:ascii="Times New Roman" w:hAnsi="Times New Roman" w:cs="Times New Roman"/>
          <w:sz w:val="24"/>
          <w:lang w:val="ro-RO"/>
        </w:rPr>
      </w:pPr>
    </w:p>
    <w:p w14:paraId="383DDEDE" w14:textId="77777777" w:rsidR="00936847" w:rsidRPr="009C5F11" w:rsidRDefault="00321CD5" w:rsidP="00530E65">
      <w:pPr>
        <w:pStyle w:val="Legend"/>
        <w:keepNext/>
        <w:spacing w:after="120"/>
        <w:jc w:val="center"/>
        <w:rPr>
          <w:rFonts w:ascii="Times New Roman" w:hAnsi="Times New Roman" w:cs="Times New Roman"/>
          <w:sz w:val="22"/>
          <w:lang w:val="ro-RO"/>
        </w:rPr>
      </w:pPr>
      <w:bookmarkStart w:id="211" w:name="_Ref319622479"/>
      <w:bookmarkStart w:id="212" w:name="_Toc322013243"/>
      <w:r w:rsidRPr="009C5F11">
        <w:rPr>
          <w:rFonts w:ascii="Times New Roman" w:hAnsi="Times New Roman" w:cs="Times New Roman"/>
          <w:sz w:val="22"/>
          <w:lang w:val="ro-RO"/>
        </w:rPr>
        <w:t>Tabelul</w:t>
      </w:r>
      <w:r w:rsidR="00936847"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936847"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20</w:t>
      </w:r>
      <w:r w:rsidR="003A6ADB" w:rsidRPr="009C5F11">
        <w:rPr>
          <w:rFonts w:ascii="Times New Roman" w:hAnsi="Times New Roman" w:cs="Times New Roman"/>
          <w:sz w:val="22"/>
          <w:lang w:val="ro-RO"/>
        </w:rPr>
        <w:fldChar w:fldCharType="end"/>
      </w:r>
      <w:bookmarkEnd w:id="211"/>
      <w:r w:rsidR="004A3B4F" w:rsidRPr="009C5F11">
        <w:rPr>
          <w:rFonts w:ascii="Times New Roman" w:hAnsi="Times New Roman" w:cs="Times New Roman"/>
          <w:sz w:val="22"/>
          <w:lang w:val="ro-RO"/>
        </w:rPr>
        <w:t xml:space="preserve"> - </w:t>
      </w:r>
      <w:r w:rsidR="004D0283" w:rsidRPr="009C5F11">
        <w:rPr>
          <w:rFonts w:ascii="Times New Roman" w:hAnsi="Times New Roman" w:cs="Times New Roman"/>
          <w:sz w:val="22"/>
          <w:lang w:val="ro-RO"/>
        </w:rPr>
        <w:t>Privire de ansamblu</w:t>
      </w:r>
      <w:r w:rsidR="00936847" w:rsidRPr="009C5F11">
        <w:rPr>
          <w:rFonts w:ascii="Times New Roman" w:hAnsi="Times New Roman" w:cs="Times New Roman"/>
          <w:sz w:val="22"/>
          <w:lang w:val="ro-RO"/>
        </w:rPr>
        <w:t xml:space="preserve"> </w:t>
      </w:r>
      <w:r w:rsidR="00E46DD7" w:rsidRPr="009C5F11">
        <w:rPr>
          <w:rFonts w:ascii="Times New Roman" w:hAnsi="Times New Roman" w:cs="Times New Roman"/>
          <w:sz w:val="22"/>
          <w:lang w:val="ro-RO"/>
        </w:rPr>
        <w:t>a măsurilor individuale din</w:t>
      </w:r>
      <w:r w:rsidRPr="009C5F11">
        <w:rPr>
          <w:rFonts w:ascii="Times New Roman" w:hAnsi="Times New Roman" w:cs="Times New Roman"/>
          <w:sz w:val="22"/>
          <w:lang w:val="ro-RO"/>
        </w:rPr>
        <w:t xml:space="preserve"> </w:t>
      </w:r>
      <w:r w:rsidR="00421FA7" w:rsidRPr="009C5F11">
        <w:rPr>
          <w:rFonts w:ascii="Times New Roman" w:hAnsi="Times New Roman" w:cs="Times New Roman"/>
          <w:sz w:val="22"/>
          <w:lang w:val="ro-RO"/>
        </w:rPr>
        <w:t>sectorul energetic</w:t>
      </w:r>
      <w:r w:rsidR="003D35EE" w:rsidRPr="009C5F11">
        <w:rPr>
          <w:rFonts w:ascii="Times New Roman" w:hAnsi="Times New Roman" w:cs="Times New Roman"/>
          <w:sz w:val="22"/>
          <w:lang w:val="ro-RO"/>
        </w:rPr>
        <w:t>.</w:t>
      </w:r>
      <w:bookmarkEnd w:id="212"/>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A0" w:firstRow="1" w:lastRow="0" w:firstColumn="1" w:lastColumn="0" w:noHBand="0" w:noVBand="0"/>
      </w:tblPr>
      <w:tblGrid>
        <w:gridCol w:w="531"/>
        <w:gridCol w:w="1924"/>
        <w:gridCol w:w="1361"/>
        <w:gridCol w:w="1186"/>
        <w:gridCol w:w="991"/>
        <w:gridCol w:w="991"/>
        <w:gridCol w:w="1083"/>
        <w:gridCol w:w="1176"/>
      </w:tblGrid>
      <w:tr w:rsidR="00480806" w:rsidRPr="009C5F11" w14:paraId="0B2C6AC3" w14:textId="77777777" w:rsidTr="00530E65">
        <w:tc>
          <w:tcPr>
            <w:tcW w:w="300" w:type="pct"/>
            <w:shd w:val="clear" w:color="auto" w:fill="000080"/>
          </w:tcPr>
          <w:p w14:paraId="389BB74D" w14:textId="77777777" w:rsidR="00936847" w:rsidRPr="009C5F11" w:rsidRDefault="00D55D28"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nr.</w:t>
            </w:r>
          </w:p>
        </w:tc>
        <w:tc>
          <w:tcPr>
            <w:tcW w:w="1054" w:type="pct"/>
            <w:shd w:val="clear" w:color="auto" w:fill="000080"/>
          </w:tcPr>
          <w:p w14:paraId="48D3D7D8" w14:textId="77777777" w:rsidR="00936847" w:rsidRPr="009C5F11" w:rsidRDefault="0094635F"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Denumirea măsurii de economisire a energiei</w:t>
            </w:r>
          </w:p>
        </w:tc>
        <w:tc>
          <w:tcPr>
            <w:tcW w:w="749" w:type="pct"/>
            <w:shd w:val="clear" w:color="auto" w:fill="000080"/>
          </w:tcPr>
          <w:p w14:paraId="020C4F44" w14:textId="77777777" w:rsidR="00936847" w:rsidRPr="009C5F11" w:rsidRDefault="00204033"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Utilizatorul final vizat</w:t>
            </w:r>
          </w:p>
        </w:tc>
        <w:tc>
          <w:tcPr>
            <w:tcW w:w="549" w:type="pct"/>
            <w:shd w:val="clear" w:color="auto" w:fill="000080"/>
          </w:tcPr>
          <w:p w14:paraId="2D49965B" w14:textId="77777777" w:rsidR="00936847" w:rsidRPr="009C5F11" w:rsidRDefault="00204033"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Durata</w:t>
            </w:r>
          </w:p>
        </w:tc>
        <w:tc>
          <w:tcPr>
            <w:tcW w:w="549" w:type="pct"/>
            <w:shd w:val="clear" w:color="auto" w:fill="000080"/>
          </w:tcPr>
          <w:p w14:paraId="7B19F2CE" w14:textId="77777777" w:rsidR="00936847" w:rsidRPr="009C5F11" w:rsidRDefault="00204033"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obţinute</w:t>
            </w:r>
            <w:r w:rsidR="00321CD5" w:rsidRPr="009C5F11">
              <w:rPr>
                <w:rFonts w:ascii="Times New Roman" w:hAnsi="Times New Roman" w:cs="Times New Roman"/>
                <w:b/>
                <w:sz w:val="18"/>
                <w:szCs w:val="14"/>
                <w:lang w:val="ro-RO"/>
              </w:rPr>
              <w:t xml:space="preserve"> în </w:t>
            </w:r>
            <w:r w:rsidR="00936847" w:rsidRPr="009C5F11">
              <w:rPr>
                <w:rFonts w:ascii="Times New Roman" w:hAnsi="Times New Roman" w:cs="Times New Roman"/>
                <w:b/>
                <w:sz w:val="18"/>
                <w:szCs w:val="14"/>
                <w:lang w:val="ro-RO"/>
              </w:rPr>
              <w:t>2016 (</w:t>
            </w:r>
            <w:r w:rsidR="00E52940" w:rsidRPr="009C5F11">
              <w:rPr>
                <w:rFonts w:ascii="Times New Roman" w:hAnsi="Times New Roman" w:cs="Times New Roman"/>
                <w:b/>
                <w:sz w:val="18"/>
                <w:szCs w:val="14"/>
                <w:lang w:val="ro-RO"/>
              </w:rPr>
              <w:t>ktep</w:t>
            </w:r>
            <w:r w:rsidR="00936847" w:rsidRPr="009C5F11">
              <w:rPr>
                <w:rFonts w:ascii="Times New Roman" w:hAnsi="Times New Roman" w:cs="Times New Roman"/>
                <w:b/>
                <w:sz w:val="18"/>
                <w:szCs w:val="14"/>
                <w:lang w:val="ro-RO"/>
              </w:rPr>
              <w:t>)</w:t>
            </w:r>
          </w:p>
        </w:tc>
        <w:tc>
          <w:tcPr>
            <w:tcW w:w="549" w:type="pct"/>
            <w:shd w:val="clear" w:color="auto" w:fill="000080"/>
          </w:tcPr>
          <w:p w14:paraId="2D84C033" w14:textId="77777777" w:rsidR="00936847" w:rsidRPr="009C5F11" w:rsidRDefault="00204033"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prevăzute</w:t>
            </w:r>
            <w:r w:rsidR="00321CD5" w:rsidRPr="009C5F11">
              <w:rPr>
                <w:rFonts w:ascii="Times New Roman" w:hAnsi="Times New Roman" w:cs="Times New Roman"/>
                <w:b/>
                <w:sz w:val="18"/>
                <w:szCs w:val="14"/>
                <w:lang w:val="ro-RO"/>
              </w:rPr>
              <w:t xml:space="preserve"> în </w:t>
            </w:r>
            <w:r w:rsidR="00936847" w:rsidRPr="009C5F11">
              <w:rPr>
                <w:rFonts w:ascii="Times New Roman" w:hAnsi="Times New Roman" w:cs="Times New Roman"/>
                <w:b/>
                <w:sz w:val="18"/>
                <w:szCs w:val="14"/>
                <w:lang w:val="ro-RO"/>
              </w:rPr>
              <w:t>2020 (</w:t>
            </w:r>
            <w:r w:rsidR="00E52940" w:rsidRPr="009C5F11">
              <w:rPr>
                <w:rFonts w:ascii="Times New Roman" w:hAnsi="Times New Roman" w:cs="Times New Roman"/>
                <w:b/>
                <w:sz w:val="18"/>
                <w:szCs w:val="14"/>
                <w:lang w:val="ro-RO"/>
              </w:rPr>
              <w:t>ktep</w:t>
            </w:r>
            <w:r w:rsidR="00936847" w:rsidRPr="009C5F11">
              <w:rPr>
                <w:rFonts w:ascii="Times New Roman" w:hAnsi="Times New Roman" w:cs="Times New Roman"/>
                <w:b/>
                <w:sz w:val="18"/>
                <w:szCs w:val="14"/>
                <w:lang w:val="ro-RO"/>
              </w:rPr>
              <w:t>)</w:t>
            </w:r>
          </w:p>
        </w:tc>
        <w:tc>
          <w:tcPr>
            <w:tcW w:w="599" w:type="pct"/>
            <w:shd w:val="clear" w:color="auto" w:fill="000080"/>
          </w:tcPr>
          <w:p w14:paraId="58CE25A4" w14:textId="77777777" w:rsidR="00936847" w:rsidRPr="009C5F11" w:rsidRDefault="00204033"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Situaţia în raport cu primul PNAEE</w:t>
            </w:r>
          </w:p>
        </w:tc>
        <w:tc>
          <w:tcPr>
            <w:tcW w:w="649" w:type="pct"/>
            <w:shd w:val="clear" w:color="auto" w:fill="000080"/>
          </w:tcPr>
          <w:p w14:paraId="7786D87F" w14:textId="77777777" w:rsidR="00936847" w:rsidRPr="009C5F11" w:rsidRDefault="00204033"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Comentarii adiţionale</w:t>
            </w:r>
          </w:p>
        </w:tc>
      </w:tr>
      <w:tr w:rsidR="00480806" w:rsidRPr="009C5F11" w14:paraId="36D842B5" w14:textId="77777777" w:rsidTr="00530E65">
        <w:tc>
          <w:tcPr>
            <w:tcW w:w="300" w:type="pct"/>
            <w:shd w:val="clear" w:color="auto" w:fill="99CCFF"/>
          </w:tcPr>
          <w:p w14:paraId="42088099"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E.1.</w:t>
            </w:r>
          </w:p>
        </w:tc>
        <w:tc>
          <w:tcPr>
            <w:tcW w:w="1054" w:type="pct"/>
            <w:shd w:val="clear" w:color="auto" w:fill="99CCFF"/>
          </w:tcPr>
          <w:p w14:paraId="5B3A4B8A" w14:textId="77777777" w:rsidR="00936847" w:rsidRPr="009C5F11" w:rsidRDefault="003D35EE"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Programe proprii de eficienţă energetică ale operatorilor de transport/distribuţie a energiei electrice</w:t>
            </w:r>
            <w:r w:rsidR="00480806" w:rsidRPr="009C5F11">
              <w:rPr>
                <w:rFonts w:ascii="Times New Roman" w:hAnsi="Times New Roman" w:cs="Times New Roman"/>
                <w:sz w:val="18"/>
                <w:szCs w:val="14"/>
                <w:lang w:val="ro-RO"/>
              </w:rPr>
              <w:t>.</w:t>
            </w:r>
          </w:p>
        </w:tc>
        <w:tc>
          <w:tcPr>
            <w:tcW w:w="749" w:type="pct"/>
            <w:shd w:val="clear" w:color="auto" w:fill="99CCFF"/>
          </w:tcPr>
          <w:p w14:paraId="6670E4CB" w14:textId="77777777" w:rsidR="00936847" w:rsidRPr="009C5F11" w:rsidRDefault="00480806"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Consumul de energie electrică (pierderile)</w:t>
            </w:r>
          </w:p>
        </w:tc>
        <w:tc>
          <w:tcPr>
            <w:tcW w:w="549" w:type="pct"/>
            <w:shd w:val="clear" w:color="auto" w:fill="99CCFF"/>
          </w:tcPr>
          <w:p w14:paraId="14061CA9"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p>
          <w:p w14:paraId="49863BDD" w14:textId="77777777" w:rsidR="00936847" w:rsidRPr="009C5F11" w:rsidRDefault="003B4DAB"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p>
          <w:p w14:paraId="3DB3572A"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31/12/18</w:t>
            </w:r>
          </w:p>
        </w:tc>
        <w:tc>
          <w:tcPr>
            <w:tcW w:w="549" w:type="pct"/>
            <w:shd w:val="clear" w:color="auto" w:fill="99CCFF"/>
          </w:tcPr>
          <w:p w14:paraId="2423C3D8" w14:textId="77777777" w:rsidR="00936847" w:rsidRPr="009C5F11" w:rsidRDefault="007971A6"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10.60</w:t>
            </w:r>
          </w:p>
        </w:tc>
        <w:tc>
          <w:tcPr>
            <w:tcW w:w="549" w:type="pct"/>
            <w:shd w:val="clear" w:color="auto" w:fill="99CCFF"/>
          </w:tcPr>
          <w:p w14:paraId="0B1D0A4B"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12.76</w:t>
            </w:r>
          </w:p>
        </w:tc>
        <w:tc>
          <w:tcPr>
            <w:tcW w:w="599" w:type="pct"/>
            <w:shd w:val="clear" w:color="auto" w:fill="99CCFF"/>
          </w:tcPr>
          <w:p w14:paraId="74208408" w14:textId="77777777" w:rsidR="00936847" w:rsidRPr="009C5F11" w:rsidRDefault="00DA7FD2"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Preluată din primul PNAEE </w:t>
            </w:r>
            <w:r w:rsidR="00936847" w:rsidRPr="009C5F11">
              <w:rPr>
                <w:rFonts w:ascii="Times New Roman" w:hAnsi="Times New Roman" w:cs="Times New Roman"/>
                <w:sz w:val="18"/>
                <w:szCs w:val="14"/>
                <w:lang w:val="ro-RO"/>
              </w:rPr>
              <w:t xml:space="preserve"> </w:t>
            </w:r>
          </w:p>
        </w:tc>
        <w:tc>
          <w:tcPr>
            <w:tcW w:w="649" w:type="pct"/>
            <w:shd w:val="clear" w:color="auto" w:fill="99CCFF"/>
          </w:tcPr>
          <w:p w14:paraId="1E762E3B" w14:textId="77777777" w:rsidR="00936847" w:rsidRPr="009C5F11" w:rsidRDefault="00936847" w:rsidP="008D567C">
            <w:pPr>
              <w:spacing w:before="40" w:after="40" w:line="240" w:lineRule="auto"/>
              <w:rPr>
                <w:rFonts w:ascii="Times New Roman" w:hAnsi="Times New Roman" w:cs="Times New Roman"/>
                <w:sz w:val="18"/>
                <w:szCs w:val="14"/>
                <w:lang w:val="ro-RO"/>
              </w:rPr>
            </w:pPr>
          </w:p>
        </w:tc>
      </w:tr>
      <w:tr w:rsidR="00480806" w:rsidRPr="009C5F11" w14:paraId="4E694F79" w14:textId="77777777" w:rsidTr="00530E65">
        <w:tc>
          <w:tcPr>
            <w:tcW w:w="300" w:type="pct"/>
            <w:shd w:val="clear" w:color="auto" w:fill="99CCFF"/>
          </w:tcPr>
          <w:p w14:paraId="2183F937"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E.2.</w:t>
            </w:r>
          </w:p>
        </w:tc>
        <w:tc>
          <w:tcPr>
            <w:tcW w:w="1054" w:type="pct"/>
            <w:shd w:val="clear" w:color="auto" w:fill="99CCFF"/>
          </w:tcPr>
          <w:p w14:paraId="5EFC7631" w14:textId="77777777" w:rsidR="00936847" w:rsidRPr="009C5F11" w:rsidRDefault="003D35EE"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Îmbunătăţiri cost-eficace a</w:t>
            </w:r>
            <w:r w:rsidR="003B4DAB" w:rsidRPr="009C5F11">
              <w:rPr>
                <w:rFonts w:ascii="Times New Roman" w:hAnsi="Times New Roman" w:cs="Times New Roman"/>
                <w:sz w:val="18"/>
                <w:szCs w:val="14"/>
                <w:lang w:val="ro-RO"/>
              </w:rPr>
              <w:t>le</w:t>
            </w:r>
            <w:r w:rsidRPr="009C5F11">
              <w:rPr>
                <w:rFonts w:ascii="Times New Roman" w:hAnsi="Times New Roman" w:cs="Times New Roman"/>
                <w:sz w:val="18"/>
                <w:szCs w:val="14"/>
                <w:lang w:val="ro-RO"/>
              </w:rPr>
              <w:t xml:space="preserve"> eficienţei energetice în infrastructura reţelei de gaze naturale cu economiile asociate</w:t>
            </w:r>
          </w:p>
        </w:tc>
        <w:tc>
          <w:tcPr>
            <w:tcW w:w="749" w:type="pct"/>
            <w:shd w:val="clear" w:color="auto" w:fill="99CCFF"/>
          </w:tcPr>
          <w:p w14:paraId="164F0D05" w14:textId="77777777" w:rsidR="00936847" w:rsidRPr="009C5F11" w:rsidRDefault="003D35EE"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Consumul de gaze naturale</w:t>
            </w:r>
            <w:r w:rsidR="00936847" w:rsidRPr="009C5F11">
              <w:rPr>
                <w:rFonts w:ascii="Times New Roman" w:hAnsi="Times New Roman" w:cs="Times New Roman"/>
                <w:sz w:val="18"/>
                <w:szCs w:val="14"/>
                <w:lang w:val="ro-RO"/>
              </w:rPr>
              <w:t xml:space="preserve"> (</w:t>
            </w:r>
            <w:r w:rsidR="00BA5A89" w:rsidRPr="009C5F11">
              <w:rPr>
                <w:rFonts w:ascii="Times New Roman" w:hAnsi="Times New Roman" w:cs="Times New Roman"/>
                <w:sz w:val="18"/>
                <w:szCs w:val="14"/>
                <w:lang w:val="ro-RO"/>
              </w:rPr>
              <w:t>pierderile</w:t>
            </w:r>
            <w:r w:rsidR="00936847" w:rsidRPr="009C5F11">
              <w:rPr>
                <w:rFonts w:ascii="Times New Roman" w:hAnsi="Times New Roman" w:cs="Times New Roman"/>
                <w:sz w:val="18"/>
                <w:szCs w:val="14"/>
                <w:lang w:val="ro-RO"/>
              </w:rPr>
              <w:t>)</w:t>
            </w:r>
          </w:p>
        </w:tc>
        <w:tc>
          <w:tcPr>
            <w:tcW w:w="549" w:type="pct"/>
            <w:shd w:val="clear" w:color="auto" w:fill="99CCFF"/>
          </w:tcPr>
          <w:p w14:paraId="71B33CC6"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01/01/16</w:t>
            </w:r>
          </w:p>
          <w:p w14:paraId="042F6E78" w14:textId="77777777" w:rsidR="00936847" w:rsidRPr="009C5F11" w:rsidRDefault="003B4DAB"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p>
          <w:p w14:paraId="2AADB2DC"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31.12.18</w:t>
            </w:r>
          </w:p>
        </w:tc>
        <w:tc>
          <w:tcPr>
            <w:tcW w:w="549" w:type="pct"/>
            <w:shd w:val="clear" w:color="auto" w:fill="99CCFF"/>
          </w:tcPr>
          <w:p w14:paraId="64B35D6A" w14:textId="77777777" w:rsidR="0009071F" w:rsidRPr="009C5F11" w:rsidRDefault="0009071F" w:rsidP="008D567C">
            <w:pPr>
              <w:spacing w:before="40" w:after="40" w:line="240" w:lineRule="auto"/>
              <w:rPr>
                <w:rFonts w:ascii="Times New Roman" w:hAnsi="Times New Roman" w:cs="Times New Roman"/>
                <w:sz w:val="18"/>
                <w:szCs w:val="14"/>
                <w:lang w:val="ro-RO"/>
              </w:rPr>
            </w:pPr>
          </w:p>
          <w:p w14:paraId="50138DE3" w14:textId="77777777" w:rsidR="00936847" w:rsidRPr="009C5F11" w:rsidRDefault="0009071F"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N/A</w:t>
            </w:r>
          </w:p>
        </w:tc>
        <w:tc>
          <w:tcPr>
            <w:tcW w:w="549" w:type="pct"/>
            <w:shd w:val="clear" w:color="auto" w:fill="99CCFF"/>
          </w:tcPr>
          <w:p w14:paraId="19372A43"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26.36</w:t>
            </w:r>
          </w:p>
        </w:tc>
        <w:tc>
          <w:tcPr>
            <w:tcW w:w="599" w:type="pct"/>
            <w:shd w:val="clear" w:color="auto" w:fill="99CCFF"/>
          </w:tcPr>
          <w:p w14:paraId="745D1C49"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80806" w:rsidRPr="009C5F11">
              <w:rPr>
                <w:rFonts w:ascii="Times New Roman" w:hAnsi="Times New Roman" w:cs="Times New Roman"/>
                <w:sz w:val="18"/>
                <w:szCs w:val="14"/>
                <w:lang w:val="ro-RO"/>
              </w:rPr>
              <w:t>ouă</w:t>
            </w:r>
          </w:p>
          <w:p w14:paraId="33131574" w14:textId="77777777" w:rsidR="00936847" w:rsidRPr="009C5F11" w:rsidRDefault="00936847" w:rsidP="008D567C">
            <w:pPr>
              <w:spacing w:before="40" w:after="40" w:line="240" w:lineRule="auto"/>
              <w:rPr>
                <w:rFonts w:ascii="Times New Roman" w:hAnsi="Times New Roman" w:cs="Times New Roman"/>
                <w:sz w:val="18"/>
                <w:szCs w:val="14"/>
                <w:lang w:val="ro-RO"/>
              </w:rPr>
            </w:pPr>
          </w:p>
        </w:tc>
        <w:tc>
          <w:tcPr>
            <w:tcW w:w="649" w:type="pct"/>
            <w:shd w:val="clear" w:color="auto" w:fill="99CCFF"/>
          </w:tcPr>
          <w:p w14:paraId="7E2AE392" w14:textId="77777777" w:rsidR="00936847" w:rsidRPr="009C5F11" w:rsidRDefault="00936847" w:rsidP="008D567C">
            <w:pPr>
              <w:spacing w:before="40" w:after="40" w:line="240" w:lineRule="auto"/>
              <w:rPr>
                <w:rFonts w:ascii="Times New Roman" w:hAnsi="Times New Roman" w:cs="Times New Roman"/>
                <w:sz w:val="18"/>
                <w:szCs w:val="14"/>
                <w:lang w:val="ro-RO"/>
              </w:rPr>
            </w:pPr>
          </w:p>
        </w:tc>
      </w:tr>
      <w:tr w:rsidR="00480806" w:rsidRPr="009C5F11" w14:paraId="781DBD9A" w14:textId="77777777" w:rsidTr="00530E65">
        <w:tc>
          <w:tcPr>
            <w:tcW w:w="300" w:type="pct"/>
            <w:shd w:val="clear" w:color="auto" w:fill="99CCFF"/>
          </w:tcPr>
          <w:p w14:paraId="391AC37A"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E.3.</w:t>
            </w:r>
          </w:p>
        </w:tc>
        <w:tc>
          <w:tcPr>
            <w:tcW w:w="1054" w:type="pct"/>
            <w:shd w:val="clear" w:color="auto" w:fill="99CCFF"/>
          </w:tcPr>
          <w:p w14:paraId="52C9F616" w14:textId="77777777" w:rsidR="00936847" w:rsidRPr="009C5F11" w:rsidRDefault="003D35EE"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Îmbunătăţirea contorizării şi facturării consumului de gaze naturale prin implementarea tehnologiilor de ultimă oră</w:t>
            </w:r>
            <w:r w:rsidR="00936847" w:rsidRPr="009C5F11">
              <w:rPr>
                <w:rFonts w:ascii="Times New Roman" w:hAnsi="Times New Roman" w:cs="Times New Roman"/>
                <w:sz w:val="18"/>
                <w:szCs w:val="14"/>
                <w:lang w:val="ro-RO"/>
              </w:rPr>
              <w:t>.</w:t>
            </w:r>
          </w:p>
        </w:tc>
        <w:tc>
          <w:tcPr>
            <w:tcW w:w="749" w:type="pct"/>
            <w:shd w:val="clear" w:color="auto" w:fill="99CCFF"/>
          </w:tcPr>
          <w:p w14:paraId="28F290DF" w14:textId="77777777" w:rsidR="00936847" w:rsidRPr="009C5F11" w:rsidRDefault="003D35EE"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Consumul de gaze naturale</w:t>
            </w:r>
          </w:p>
        </w:tc>
        <w:tc>
          <w:tcPr>
            <w:tcW w:w="549" w:type="pct"/>
            <w:shd w:val="clear" w:color="auto" w:fill="99CCFF"/>
          </w:tcPr>
          <w:p w14:paraId="7CAC7D8B"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01/01/13 </w:t>
            </w:r>
            <w:r w:rsidR="003B4DAB"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 xml:space="preserve"> </w:t>
            </w:r>
          </w:p>
          <w:p w14:paraId="00594917"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31/12/19</w:t>
            </w:r>
          </w:p>
        </w:tc>
        <w:tc>
          <w:tcPr>
            <w:tcW w:w="549" w:type="pct"/>
            <w:shd w:val="clear" w:color="auto" w:fill="99CCFF"/>
          </w:tcPr>
          <w:p w14:paraId="7C55BA1D" w14:textId="77777777" w:rsidR="0009071F" w:rsidRPr="009C5F11" w:rsidRDefault="0009071F"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N/A </w:t>
            </w:r>
          </w:p>
          <w:p w14:paraId="7FD1E4AB" w14:textId="77777777" w:rsidR="00936847" w:rsidRPr="009C5F11" w:rsidRDefault="00936847" w:rsidP="008D567C">
            <w:pPr>
              <w:spacing w:before="40" w:after="40" w:line="240" w:lineRule="auto"/>
              <w:rPr>
                <w:rFonts w:ascii="Times New Roman" w:hAnsi="Times New Roman" w:cs="Times New Roman"/>
                <w:sz w:val="18"/>
                <w:szCs w:val="14"/>
                <w:lang w:val="ro-RO"/>
              </w:rPr>
            </w:pPr>
          </w:p>
        </w:tc>
        <w:tc>
          <w:tcPr>
            <w:tcW w:w="549" w:type="pct"/>
            <w:shd w:val="clear" w:color="auto" w:fill="99CCFF"/>
          </w:tcPr>
          <w:p w14:paraId="323E5F32" w14:textId="77777777" w:rsidR="0009071F" w:rsidRPr="009C5F11" w:rsidRDefault="0009071F"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N/A </w:t>
            </w:r>
          </w:p>
          <w:p w14:paraId="1DD6CA5F" w14:textId="77777777" w:rsidR="00936847" w:rsidRPr="009C5F11" w:rsidRDefault="00936847" w:rsidP="008D567C">
            <w:pPr>
              <w:spacing w:before="40" w:after="40" w:line="240" w:lineRule="auto"/>
              <w:rPr>
                <w:rFonts w:ascii="Times New Roman" w:hAnsi="Times New Roman" w:cs="Times New Roman"/>
                <w:sz w:val="18"/>
                <w:szCs w:val="14"/>
                <w:lang w:val="ro-RO"/>
              </w:rPr>
            </w:pPr>
          </w:p>
        </w:tc>
        <w:tc>
          <w:tcPr>
            <w:tcW w:w="599" w:type="pct"/>
            <w:shd w:val="clear" w:color="auto" w:fill="99CCFF"/>
          </w:tcPr>
          <w:p w14:paraId="541E63BF" w14:textId="77777777" w:rsidR="00936847" w:rsidRPr="009C5F11" w:rsidRDefault="00480806"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Preluată, redenumită</w:t>
            </w:r>
          </w:p>
        </w:tc>
        <w:tc>
          <w:tcPr>
            <w:tcW w:w="649" w:type="pct"/>
            <w:shd w:val="clear" w:color="auto" w:fill="99CCFF"/>
          </w:tcPr>
          <w:p w14:paraId="2CE569EF" w14:textId="77777777" w:rsidR="00936847" w:rsidRPr="009C5F11" w:rsidRDefault="00936847" w:rsidP="008D567C">
            <w:pPr>
              <w:spacing w:before="40" w:after="40" w:line="240" w:lineRule="auto"/>
              <w:rPr>
                <w:rFonts w:ascii="Times New Roman" w:hAnsi="Times New Roman" w:cs="Times New Roman"/>
                <w:sz w:val="18"/>
                <w:szCs w:val="14"/>
                <w:lang w:val="ro-RO"/>
              </w:rPr>
            </w:pPr>
          </w:p>
        </w:tc>
      </w:tr>
      <w:tr w:rsidR="00480806" w:rsidRPr="009C5F11" w14:paraId="3D915B4A" w14:textId="77777777" w:rsidTr="00530E65">
        <w:tc>
          <w:tcPr>
            <w:tcW w:w="300" w:type="pct"/>
            <w:shd w:val="clear" w:color="auto" w:fill="99CCFF"/>
          </w:tcPr>
          <w:p w14:paraId="27FFBD99"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E.4.</w:t>
            </w:r>
          </w:p>
        </w:tc>
        <w:tc>
          <w:tcPr>
            <w:tcW w:w="1054" w:type="pct"/>
            <w:shd w:val="clear" w:color="auto" w:fill="99CCFF"/>
          </w:tcPr>
          <w:p w14:paraId="19196BC7" w14:textId="77777777" w:rsidR="00936847" w:rsidRPr="009C5F11" w:rsidRDefault="003D35EE"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Elaborarea cadrului normativ şi crearea sistemului de monitorizare pentru sectorul </w:t>
            </w:r>
            <w:r w:rsidR="00F37778" w:rsidRPr="009C5F11">
              <w:rPr>
                <w:rFonts w:ascii="Times New Roman" w:hAnsi="Times New Roman" w:cs="Times New Roman"/>
                <w:sz w:val="18"/>
                <w:szCs w:val="14"/>
                <w:lang w:val="ro-RO"/>
              </w:rPr>
              <w:t>energie termica</w:t>
            </w:r>
            <w:r w:rsidR="00480806" w:rsidRPr="009C5F11">
              <w:rPr>
                <w:rFonts w:ascii="Times New Roman" w:hAnsi="Times New Roman" w:cs="Times New Roman"/>
                <w:sz w:val="18"/>
                <w:szCs w:val="14"/>
                <w:lang w:val="ro-RO"/>
              </w:rPr>
              <w:t>.</w:t>
            </w:r>
          </w:p>
        </w:tc>
        <w:tc>
          <w:tcPr>
            <w:tcW w:w="749" w:type="pct"/>
            <w:shd w:val="clear" w:color="auto" w:fill="99CCFF"/>
          </w:tcPr>
          <w:p w14:paraId="7F4878EC" w14:textId="77777777" w:rsidR="00936847" w:rsidRPr="009C5F11" w:rsidRDefault="003D35EE"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Consumul de energie termică</w:t>
            </w:r>
          </w:p>
        </w:tc>
        <w:tc>
          <w:tcPr>
            <w:tcW w:w="549" w:type="pct"/>
            <w:shd w:val="clear" w:color="auto" w:fill="99CCFF"/>
          </w:tcPr>
          <w:p w14:paraId="1A53E874" w14:textId="77777777" w:rsidR="009329D9"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p>
          <w:p w14:paraId="20096137"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 </w:t>
            </w:r>
            <w:r w:rsidR="003D35EE"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 xml:space="preserve"> </w:t>
            </w:r>
          </w:p>
          <w:p w14:paraId="22E341DD"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31/12/19</w:t>
            </w:r>
          </w:p>
        </w:tc>
        <w:tc>
          <w:tcPr>
            <w:tcW w:w="549" w:type="pct"/>
            <w:shd w:val="clear" w:color="auto" w:fill="99CCFF"/>
          </w:tcPr>
          <w:p w14:paraId="03628EAF" w14:textId="77777777" w:rsidR="0009071F" w:rsidRPr="009C5F11" w:rsidRDefault="0009071F"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N/A </w:t>
            </w:r>
          </w:p>
          <w:p w14:paraId="7708896A" w14:textId="77777777" w:rsidR="00936847" w:rsidRPr="009C5F11" w:rsidRDefault="00936847" w:rsidP="008D567C">
            <w:pPr>
              <w:spacing w:before="40" w:after="40" w:line="240" w:lineRule="auto"/>
              <w:rPr>
                <w:rFonts w:ascii="Times New Roman" w:hAnsi="Times New Roman" w:cs="Times New Roman"/>
                <w:sz w:val="18"/>
                <w:szCs w:val="14"/>
                <w:lang w:val="ro-RO"/>
              </w:rPr>
            </w:pPr>
          </w:p>
        </w:tc>
        <w:tc>
          <w:tcPr>
            <w:tcW w:w="549" w:type="pct"/>
            <w:shd w:val="clear" w:color="auto" w:fill="99CCFF"/>
          </w:tcPr>
          <w:p w14:paraId="1D8CB067" w14:textId="77777777" w:rsidR="0009071F" w:rsidRPr="009C5F11" w:rsidRDefault="0009071F"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N/A </w:t>
            </w:r>
          </w:p>
          <w:p w14:paraId="395833DD" w14:textId="77777777" w:rsidR="00936847" w:rsidRPr="009C5F11" w:rsidRDefault="00936847" w:rsidP="008D567C">
            <w:pPr>
              <w:spacing w:before="40" w:after="40" w:line="240" w:lineRule="auto"/>
              <w:rPr>
                <w:rFonts w:ascii="Times New Roman" w:hAnsi="Times New Roman" w:cs="Times New Roman"/>
                <w:sz w:val="18"/>
                <w:szCs w:val="14"/>
                <w:lang w:val="ro-RO"/>
              </w:rPr>
            </w:pPr>
          </w:p>
        </w:tc>
        <w:tc>
          <w:tcPr>
            <w:tcW w:w="599" w:type="pct"/>
            <w:shd w:val="clear" w:color="auto" w:fill="99CCFF"/>
          </w:tcPr>
          <w:p w14:paraId="07CA73F7" w14:textId="77777777" w:rsidR="00936847" w:rsidRPr="009C5F11" w:rsidRDefault="00DA7FD2"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Preluată din primul PNAEE </w:t>
            </w:r>
          </w:p>
        </w:tc>
        <w:tc>
          <w:tcPr>
            <w:tcW w:w="649" w:type="pct"/>
            <w:shd w:val="clear" w:color="auto" w:fill="99CCFF"/>
          </w:tcPr>
          <w:p w14:paraId="7CCF7390" w14:textId="77777777" w:rsidR="00936847" w:rsidRPr="009C5F11" w:rsidRDefault="00936847" w:rsidP="008D567C">
            <w:pPr>
              <w:spacing w:before="40" w:after="40" w:line="240" w:lineRule="auto"/>
              <w:rPr>
                <w:rFonts w:ascii="Times New Roman" w:hAnsi="Times New Roman" w:cs="Times New Roman"/>
                <w:sz w:val="18"/>
                <w:szCs w:val="14"/>
                <w:lang w:val="ro-RO"/>
              </w:rPr>
            </w:pPr>
          </w:p>
        </w:tc>
      </w:tr>
      <w:tr w:rsidR="00480806" w:rsidRPr="009C5F11" w14:paraId="1342DD3F" w14:textId="77777777" w:rsidTr="00530E65">
        <w:tc>
          <w:tcPr>
            <w:tcW w:w="300" w:type="pct"/>
            <w:shd w:val="clear" w:color="auto" w:fill="99CCFF"/>
          </w:tcPr>
          <w:p w14:paraId="0C680904"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E.5.</w:t>
            </w:r>
          </w:p>
        </w:tc>
        <w:tc>
          <w:tcPr>
            <w:tcW w:w="1054" w:type="pct"/>
            <w:shd w:val="clear" w:color="auto" w:fill="99CCFF"/>
          </w:tcPr>
          <w:p w14:paraId="0E2E9DD9" w14:textId="77777777" w:rsidR="00936847" w:rsidRPr="009C5F11" w:rsidRDefault="003D35EE"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Programe proprii de eficienţă energetică ale sectorului </w:t>
            </w:r>
            <w:r w:rsidR="00F37778" w:rsidRPr="009C5F11">
              <w:rPr>
                <w:rFonts w:ascii="Times New Roman" w:hAnsi="Times New Roman" w:cs="Times New Roman"/>
                <w:sz w:val="18"/>
                <w:szCs w:val="14"/>
                <w:lang w:val="ro-RO"/>
              </w:rPr>
              <w:t>energie termica</w:t>
            </w:r>
            <w:r w:rsidR="00480806" w:rsidRPr="009C5F11">
              <w:rPr>
                <w:rFonts w:ascii="Times New Roman" w:hAnsi="Times New Roman" w:cs="Times New Roman"/>
                <w:sz w:val="18"/>
                <w:szCs w:val="14"/>
                <w:lang w:val="ro-RO"/>
              </w:rPr>
              <w:t>.</w:t>
            </w:r>
          </w:p>
        </w:tc>
        <w:tc>
          <w:tcPr>
            <w:tcW w:w="749" w:type="pct"/>
            <w:shd w:val="clear" w:color="auto" w:fill="99CCFF"/>
          </w:tcPr>
          <w:p w14:paraId="2D6A3492" w14:textId="77777777" w:rsidR="00936847" w:rsidRPr="009C5F11" w:rsidRDefault="003D35EE"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Consumul de energie termică</w:t>
            </w:r>
          </w:p>
        </w:tc>
        <w:tc>
          <w:tcPr>
            <w:tcW w:w="549" w:type="pct"/>
            <w:shd w:val="clear" w:color="auto" w:fill="99CCFF"/>
          </w:tcPr>
          <w:p w14:paraId="5E6F9B5B"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p>
          <w:p w14:paraId="7AA7D57C" w14:textId="77777777" w:rsidR="00936847" w:rsidRPr="009C5F11" w:rsidRDefault="003D35EE"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p>
          <w:p w14:paraId="13B5F7AD"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31.12.18</w:t>
            </w:r>
          </w:p>
        </w:tc>
        <w:tc>
          <w:tcPr>
            <w:tcW w:w="549" w:type="pct"/>
            <w:shd w:val="clear" w:color="auto" w:fill="99CCFF"/>
          </w:tcPr>
          <w:p w14:paraId="46EB649D"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3.14</w:t>
            </w:r>
          </w:p>
        </w:tc>
        <w:tc>
          <w:tcPr>
            <w:tcW w:w="549" w:type="pct"/>
            <w:shd w:val="clear" w:color="auto" w:fill="99CCFF"/>
          </w:tcPr>
          <w:p w14:paraId="4F7FC0CA"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19.35</w:t>
            </w:r>
          </w:p>
          <w:p w14:paraId="7313D27B" w14:textId="77777777" w:rsidR="00DC6008" w:rsidRPr="009C5F11" w:rsidRDefault="00DC6008"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8.45 </w:t>
            </w:r>
            <w:r w:rsidR="00480806" w:rsidRPr="009C5F11">
              <w:rPr>
                <w:rFonts w:ascii="Times New Roman" w:hAnsi="Times New Roman" w:cs="Times New Roman"/>
                <w:sz w:val="18"/>
                <w:szCs w:val="14"/>
                <w:lang w:val="ro-RO"/>
              </w:rPr>
              <w:t>pot fi luate în calcul pentru</w:t>
            </w:r>
            <w:r w:rsidRPr="009C5F11">
              <w:rPr>
                <w:rFonts w:ascii="Times New Roman" w:hAnsi="Times New Roman" w:cs="Times New Roman"/>
                <w:sz w:val="18"/>
                <w:szCs w:val="14"/>
                <w:lang w:val="ro-RO"/>
              </w:rPr>
              <w:t xml:space="preserve"> </w:t>
            </w:r>
            <w:r w:rsidR="00A74B8C" w:rsidRPr="009C5F11">
              <w:rPr>
                <w:rFonts w:ascii="Times New Roman" w:hAnsi="Times New Roman" w:cs="Times New Roman"/>
                <w:sz w:val="18"/>
                <w:szCs w:val="14"/>
                <w:lang w:val="ro-RO"/>
              </w:rPr>
              <w:t>CEF</w:t>
            </w:r>
            <w:r w:rsidRPr="009C5F11">
              <w:rPr>
                <w:rFonts w:ascii="Times New Roman" w:hAnsi="Times New Roman" w:cs="Times New Roman"/>
                <w:sz w:val="18"/>
                <w:szCs w:val="14"/>
                <w:lang w:val="ro-RO"/>
              </w:rPr>
              <w:t xml:space="preserve"> </w:t>
            </w:r>
            <w:r w:rsidR="00480806" w:rsidRPr="009C5F11">
              <w:rPr>
                <w:rFonts w:ascii="Times New Roman" w:hAnsi="Times New Roman" w:cs="Times New Roman"/>
                <w:sz w:val="18"/>
                <w:szCs w:val="14"/>
                <w:lang w:val="ro-RO"/>
              </w:rPr>
              <w:t>conform</w:t>
            </w:r>
            <w:r w:rsidR="000D6270" w:rsidRPr="009C5F11">
              <w:rPr>
                <w:rFonts w:ascii="Times New Roman" w:hAnsi="Times New Roman" w:cs="Times New Roman"/>
                <w:sz w:val="18"/>
                <w:szCs w:val="14"/>
                <w:lang w:val="ro-RO"/>
              </w:rPr>
              <w:t xml:space="preserve"> </w:t>
            </w:r>
            <w:r w:rsidR="00871B4E" w:rsidRPr="009C5F11">
              <w:rPr>
                <w:rFonts w:ascii="Times New Roman" w:hAnsi="Times New Roman" w:cs="Times New Roman"/>
                <w:sz w:val="18"/>
                <w:szCs w:val="14"/>
                <w:lang w:val="ro-RO"/>
              </w:rPr>
              <w:t>DSE</w:t>
            </w:r>
          </w:p>
        </w:tc>
        <w:tc>
          <w:tcPr>
            <w:tcW w:w="599" w:type="pct"/>
            <w:shd w:val="clear" w:color="auto" w:fill="99CCFF"/>
          </w:tcPr>
          <w:p w14:paraId="5A7EB55D" w14:textId="77777777" w:rsidR="00936847" w:rsidRPr="009C5F11" w:rsidRDefault="00DA7FD2"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Preluată din primul PNAEE </w:t>
            </w:r>
          </w:p>
        </w:tc>
        <w:tc>
          <w:tcPr>
            <w:tcW w:w="649" w:type="pct"/>
            <w:shd w:val="clear" w:color="auto" w:fill="99CCFF"/>
          </w:tcPr>
          <w:p w14:paraId="4A009437" w14:textId="77777777" w:rsidR="00936847" w:rsidRPr="009C5F11" w:rsidRDefault="00936847" w:rsidP="008D567C">
            <w:pPr>
              <w:spacing w:before="40" w:after="40" w:line="240" w:lineRule="auto"/>
              <w:rPr>
                <w:rFonts w:ascii="Times New Roman" w:hAnsi="Times New Roman" w:cs="Times New Roman"/>
                <w:sz w:val="18"/>
                <w:szCs w:val="14"/>
                <w:lang w:val="ro-RO"/>
              </w:rPr>
            </w:pPr>
          </w:p>
        </w:tc>
      </w:tr>
      <w:tr w:rsidR="00480806" w:rsidRPr="009C5F11" w14:paraId="7317EA2B" w14:textId="77777777" w:rsidTr="00530E65">
        <w:tc>
          <w:tcPr>
            <w:tcW w:w="300" w:type="pct"/>
            <w:shd w:val="clear" w:color="auto" w:fill="99CCFF"/>
          </w:tcPr>
          <w:p w14:paraId="072E7682"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E.6.</w:t>
            </w:r>
          </w:p>
        </w:tc>
        <w:tc>
          <w:tcPr>
            <w:tcW w:w="1054" w:type="pct"/>
            <w:shd w:val="clear" w:color="auto" w:fill="99CCFF"/>
          </w:tcPr>
          <w:p w14:paraId="1C850AAF" w14:textId="77777777" w:rsidR="00936847" w:rsidRPr="009C5F11" w:rsidRDefault="005F4F1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Evaluarea cuprinzătoare a potenţialului pentru aplicarea cogenerării de înaltă eficiență și a termoficării și răcirii centralizate eficient</w:t>
            </w:r>
          </w:p>
        </w:tc>
        <w:tc>
          <w:tcPr>
            <w:tcW w:w="749" w:type="pct"/>
            <w:shd w:val="clear" w:color="auto" w:fill="99CCFF"/>
          </w:tcPr>
          <w:p w14:paraId="36F78A8E" w14:textId="77777777" w:rsidR="00936847" w:rsidRPr="009C5F11" w:rsidRDefault="00480806"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Consumul de energie electrică şi energie termică </w:t>
            </w:r>
          </w:p>
        </w:tc>
        <w:tc>
          <w:tcPr>
            <w:tcW w:w="549" w:type="pct"/>
            <w:shd w:val="clear" w:color="auto" w:fill="99CCFF"/>
          </w:tcPr>
          <w:p w14:paraId="518B3F27"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01/01/16</w:t>
            </w:r>
          </w:p>
          <w:p w14:paraId="6602A5A4" w14:textId="77777777" w:rsidR="00936847" w:rsidRPr="009C5F11" w:rsidRDefault="003B4DAB"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p>
          <w:p w14:paraId="0E9962B1"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31.12.17</w:t>
            </w:r>
          </w:p>
        </w:tc>
        <w:tc>
          <w:tcPr>
            <w:tcW w:w="549" w:type="pct"/>
            <w:shd w:val="clear" w:color="auto" w:fill="99CCFF"/>
          </w:tcPr>
          <w:p w14:paraId="2D6BD92C" w14:textId="77777777" w:rsidR="0009071F" w:rsidRPr="009C5F11" w:rsidRDefault="0009071F"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N/A </w:t>
            </w:r>
          </w:p>
          <w:p w14:paraId="1D7741A8" w14:textId="77777777" w:rsidR="00936847" w:rsidRPr="009C5F11" w:rsidRDefault="00936847" w:rsidP="008D567C">
            <w:pPr>
              <w:spacing w:before="40" w:after="40" w:line="240" w:lineRule="auto"/>
              <w:rPr>
                <w:rFonts w:ascii="Times New Roman" w:hAnsi="Times New Roman" w:cs="Times New Roman"/>
                <w:sz w:val="18"/>
                <w:szCs w:val="14"/>
                <w:lang w:val="ro-RO"/>
              </w:rPr>
            </w:pPr>
          </w:p>
        </w:tc>
        <w:tc>
          <w:tcPr>
            <w:tcW w:w="549" w:type="pct"/>
            <w:shd w:val="clear" w:color="auto" w:fill="99CCFF"/>
          </w:tcPr>
          <w:p w14:paraId="031E8740" w14:textId="77777777" w:rsidR="0009071F" w:rsidRPr="009C5F11" w:rsidRDefault="0009071F"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N/A </w:t>
            </w:r>
          </w:p>
          <w:p w14:paraId="45376516" w14:textId="77777777" w:rsidR="00936847" w:rsidRPr="009C5F11" w:rsidRDefault="00936847" w:rsidP="008D567C">
            <w:pPr>
              <w:spacing w:before="40" w:after="40" w:line="240" w:lineRule="auto"/>
              <w:rPr>
                <w:rFonts w:ascii="Times New Roman" w:hAnsi="Times New Roman" w:cs="Times New Roman"/>
                <w:sz w:val="18"/>
                <w:szCs w:val="14"/>
                <w:lang w:val="ro-RO"/>
              </w:rPr>
            </w:pPr>
          </w:p>
        </w:tc>
        <w:tc>
          <w:tcPr>
            <w:tcW w:w="599" w:type="pct"/>
            <w:shd w:val="clear" w:color="auto" w:fill="99CCFF"/>
          </w:tcPr>
          <w:p w14:paraId="792DD7BB" w14:textId="77777777" w:rsidR="00936847" w:rsidRPr="009C5F11" w:rsidRDefault="00936847" w:rsidP="008D567C">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80806" w:rsidRPr="009C5F11">
              <w:rPr>
                <w:rFonts w:ascii="Times New Roman" w:hAnsi="Times New Roman" w:cs="Times New Roman"/>
                <w:sz w:val="18"/>
                <w:szCs w:val="14"/>
                <w:lang w:val="ro-RO"/>
              </w:rPr>
              <w:t>ouă</w:t>
            </w:r>
          </w:p>
        </w:tc>
        <w:tc>
          <w:tcPr>
            <w:tcW w:w="649" w:type="pct"/>
            <w:shd w:val="clear" w:color="auto" w:fill="99CCFF"/>
          </w:tcPr>
          <w:p w14:paraId="6EBA1080" w14:textId="77777777" w:rsidR="00936847" w:rsidRPr="009C5F11" w:rsidRDefault="00936847" w:rsidP="008D567C">
            <w:pPr>
              <w:spacing w:before="40" w:after="40" w:line="240" w:lineRule="auto"/>
              <w:rPr>
                <w:rFonts w:ascii="Times New Roman" w:hAnsi="Times New Roman" w:cs="Times New Roman"/>
                <w:sz w:val="18"/>
                <w:szCs w:val="14"/>
                <w:lang w:val="ro-RO"/>
              </w:rPr>
            </w:pPr>
          </w:p>
        </w:tc>
      </w:tr>
      <w:tr w:rsidR="00480806" w:rsidRPr="009C5F11" w14:paraId="72734E15" w14:textId="77777777" w:rsidTr="00530E65">
        <w:tc>
          <w:tcPr>
            <w:tcW w:w="300" w:type="pct"/>
            <w:shd w:val="clear" w:color="auto" w:fill="99CCFF"/>
          </w:tcPr>
          <w:p w14:paraId="777F7492" w14:textId="77777777" w:rsidR="00936847" w:rsidRPr="009C5F11" w:rsidRDefault="00936847" w:rsidP="008D567C">
            <w:pPr>
              <w:spacing w:before="40" w:after="40" w:line="240" w:lineRule="auto"/>
              <w:rPr>
                <w:rFonts w:ascii="Times New Roman" w:hAnsi="Times New Roman" w:cs="Times New Roman"/>
                <w:b/>
                <w:sz w:val="18"/>
                <w:szCs w:val="14"/>
                <w:lang w:val="ro-RO"/>
              </w:rPr>
            </w:pPr>
          </w:p>
        </w:tc>
        <w:tc>
          <w:tcPr>
            <w:tcW w:w="1054" w:type="pct"/>
            <w:shd w:val="clear" w:color="auto" w:fill="99CCFF"/>
          </w:tcPr>
          <w:p w14:paraId="6FA7F61A" w14:textId="77777777" w:rsidR="00936847" w:rsidRPr="009C5F11" w:rsidRDefault="00936847" w:rsidP="008D567C">
            <w:pPr>
              <w:spacing w:before="40" w:after="40" w:line="240" w:lineRule="auto"/>
              <w:rPr>
                <w:rFonts w:ascii="Times New Roman" w:hAnsi="Times New Roman" w:cs="Times New Roman"/>
                <w:b/>
                <w:sz w:val="18"/>
                <w:szCs w:val="14"/>
                <w:lang w:val="ro-RO"/>
              </w:rPr>
            </w:pPr>
          </w:p>
        </w:tc>
        <w:tc>
          <w:tcPr>
            <w:tcW w:w="749" w:type="pct"/>
            <w:shd w:val="clear" w:color="auto" w:fill="99CCFF"/>
          </w:tcPr>
          <w:p w14:paraId="19994766" w14:textId="77777777" w:rsidR="00936847" w:rsidRPr="009C5F11" w:rsidRDefault="00936847" w:rsidP="008D567C">
            <w:pPr>
              <w:spacing w:before="40" w:after="40" w:line="240" w:lineRule="auto"/>
              <w:rPr>
                <w:rFonts w:ascii="Times New Roman" w:hAnsi="Times New Roman" w:cs="Times New Roman"/>
                <w:b/>
                <w:sz w:val="18"/>
                <w:szCs w:val="14"/>
                <w:lang w:val="ro-RO"/>
              </w:rPr>
            </w:pPr>
          </w:p>
        </w:tc>
        <w:tc>
          <w:tcPr>
            <w:tcW w:w="549" w:type="pct"/>
            <w:shd w:val="clear" w:color="auto" w:fill="99CCFF"/>
          </w:tcPr>
          <w:p w14:paraId="2854C296" w14:textId="77777777" w:rsidR="00936847" w:rsidRPr="009C5F11" w:rsidRDefault="00E46DD7"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Suma economiilor</w:t>
            </w:r>
            <w:r w:rsidR="00936847" w:rsidRPr="009C5F11">
              <w:rPr>
                <w:rFonts w:ascii="Times New Roman" w:hAnsi="Times New Roman" w:cs="Times New Roman"/>
                <w:b/>
                <w:sz w:val="18"/>
                <w:szCs w:val="14"/>
                <w:lang w:val="ro-RO"/>
              </w:rPr>
              <w:t>:</w:t>
            </w:r>
          </w:p>
        </w:tc>
        <w:tc>
          <w:tcPr>
            <w:tcW w:w="549" w:type="pct"/>
            <w:shd w:val="clear" w:color="auto" w:fill="99CCFF"/>
          </w:tcPr>
          <w:p w14:paraId="56B9C69D" w14:textId="77777777" w:rsidR="00936847" w:rsidRPr="009C5F11" w:rsidRDefault="007971A6"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13</w:t>
            </w:r>
            <w:r w:rsidR="00936847" w:rsidRPr="009C5F11">
              <w:rPr>
                <w:rFonts w:ascii="Times New Roman" w:hAnsi="Times New Roman" w:cs="Times New Roman"/>
                <w:b/>
                <w:sz w:val="18"/>
                <w:szCs w:val="14"/>
                <w:lang w:val="ro-RO"/>
              </w:rPr>
              <w:t>.7</w:t>
            </w:r>
            <w:r w:rsidRPr="009C5F11">
              <w:rPr>
                <w:rFonts w:ascii="Times New Roman" w:hAnsi="Times New Roman" w:cs="Times New Roman"/>
                <w:b/>
                <w:sz w:val="18"/>
                <w:szCs w:val="14"/>
                <w:lang w:val="ro-RO"/>
              </w:rPr>
              <w:t>4</w:t>
            </w:r>
          </w:p>
        </w:tc>
        <w:tc>
          <w:tcPr>
            <w:tcW w:w="549" w:type="pct"/>
            <w:shd w:val="clear" w:color="auto" w:fill="99CCFF"/>
          </w:tcPr>
          <w:p w14:paraId="300551DF" w14:textId="77777777" w:rsidR="00936847" w:rsidRPr="009C5F11" w:rsidRDefault="00936847" w:rsidP="008D567C">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58.47</w:t>
            </w:r>
          </w:p>
        </w:tc>
        <w:tc>
          <w:tcPr>
            <w:tcW w:w="599" w:type="pct"/>
            <w:shd w:val="clear" w:color="auto" w:fill="99CCFF"/>
          </w:tcPr>
          <w:p w14:paraId="5722B3DF" w14:textId="77777777" w:rsidR="00936847" w:rsidRPr="009C5F11" w:rsidRDefault="00936847" w:rsidP="008D567C">
            <w:pPr>
              <w:spacing w:before="40" w:after="40" w:line="240" w:lineRule="auto"/>
              <w:rPr>
                <w:rFonts w:ascii="Times New Roman" w:hAnsi="Times New Roman" w:cs="Times New Roman"/>
                <w:b/>
                <w:sz w:val="18"/>
                <w:szCs w:val="14"/>
                <w:lang w:val="ro-RO"/>
              </w:rPr>
            </w:pPr>
          </w:p>
        </w:tc>
        <w:tc>
          <w:tcPr>
            <w:tcW w:w="649" w:type="pct"/>
            <w:shd w:val="clear" w:color="auto" w:fill="99CCFF"/>
          </w:tcPr>
          <w:p w14:paraId="695B6660" w14:textId="77777777" w:rsidR="00936847" w:rsidRPr="009C5F11" w:rsidRDefault="00936847" w:rsidP="008D567C">
            <w:pPr>
              <w:spacing w:before="40" w:after="40" w:line="240" w:lineRule="auto"/>
              <w:rPr>
                <w:rFonts w:ascii="Times New Roman" w:hAnsi="Times New Roman" w:cs="Times New Roman"/>
                <w:b/>
                <w:sz w:val="18"/>
                <w:szCs w:val="14"/>
                <w:lang w:val="ro-RO"/>
              </w:rPr>
            </w:pPr>
          </w:p>
        </w:tc>
      </w:tr>
    </w:tbl>
    <w:p w14:paraId="4C877A55" w14:textId="77777777" w:rsidR="00936847" w:rsidRPr="009C5F11" w:rsidRDefault="00E46DD7" w:rsidP="00DA20A8">
      <w:p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Tabelele cu măsuri sunt </w:t>
      </w:r>
      <w:r w:rsidR="009B74AF" w:rsidRPr="009C5F11">
        <w:rPr>
          <w:rFonts w:ascii="Times New Roman" w:hAnsi="Times New Roman" w:cs="Times New Roman"/>
          <w:sz w:val="24"/>
          <w:lang w:val="ro-RO"/>
        </w:rPr>
        <w:t>elaborate şi prezentate în continuare</w:t>
      </w:r>
      <w:r w:rsidR="00936847" w:rsidRPr="009C5F11">
        <w:rPr>
          <w:rFonts w:ascii="Times New Roman" w:hAnsi="Times New Roman" w:cs="Times New Roman"/>
          <w:sz w:val="24"/>
          <w:lang w:val="ro-RO"/>
        </w:rPr>
        <w:t xml:space="preserve">. </w:t>
      </w:r>
    </w:p>
    <w:p w14:paraId="620EA22B" w14:textId="77777777" w:rsidR="00B53C62" w:rsidRPr="009C5F11" w:rsidRDefault="00321CD5" w:rsidP="002E306C">
      <w:pPr>
        <w:keepNext/>
        <w:spacing w:after="0"/>
        <w:ind w:right="-540"/>
        <w:rPr>
          <w:rFonts w:ascii="Times New Roman" w:hAnsi="Times New Roman" w:cs="Times New Roman"/>
          <w:b/>
          <w:lang w:val="ro-RO"/>
        </w:rPr>
      </w:pPr>
      <w:bookmarkStart w:id="213" w:name="_Toc447724256"/>
      <w:r w:rsidRPr="009C5F11">
        <w:rPr>
          <w:rFonts w:ascii="Times New Roman" w:hAnsi="Times New Roman" w:cs="Times New Roman"/>
          <w:b/>
          <w:lang w:val="ro-RO"/>
        </w:rPr>
        <w:lastRenderedPageBreak/>
        <w:t>Tabelul</w:t>
      </w:r>
      <w:r w:rsidR="00B53C62" w:rsidRPr="009C5F11">
        <w:rPr>
          <w:rFonts w:ascii="Times New Roman" w:hAnsi="Times New Roman" w:cs="Times New Roman"/>
          <w:b/>
          <w:lang w:val="ro-RO"/>
        </w:rPr>
        <w:t xml:space="preserve"> E </w:t>
      </w:r>
      <w:r w:rsidR="003A6ADB" w:rsidRPr="009C5F11">
        <w:rPr>
          <w:rFonts w:ascii="Times New Roman" w:hAnsi="Times New Roman" w:cs="Times New Roman"/>
          <w:b/>
          <w:lang w:val="ro-RO"/>
        </w:rPr>
        <w:fldChar w:fldCharType="begin"/>
      </w:r>
      <w:r w:rsidR="00B53C62" w:rsidRPr="009C5F11">
        <w:rPr>
          <w:rFonts w:ascii="Times New Roman" w:hAnsi="Times New Roman" w:cs="Times New Roman"/>
          <w:b/>
          <w:lang w:val="ro-RO"/>
        </w:rPr>
        <w:instrText xml:space="preserve"> SEQ Table_E \* ARABIC </w:instrText>
      </w:r>
      <w:r w:rsidR="003A6ADB" w:rsidRPr="009C5F11">
        <w:rPr>
          <w:rFonts w:ascii="Times New Roman" w:hAnsi="Times New Roman" w:cs="Times New Roman"/>
          <w:b/>
          <w:lang w:val="ro-RO"/>
        </w:rPr>
        <w:fldChar w:fldCharType="separate"/>
      </w:r>
      <w:r w:rsidR="0014013D">
        <w:rPr>
          <w:rFonts w:ascii="Times New Roman" w:hAnsi="Times New Roman" w:cs="Times New Roman"/>
          <w:b/>
          <w:noProof/>
          <w:lang w:val="ro-RO"/>
        </w:rPr>
        <w:t>1</w:t>
      </w:r>
      <w:r w:rsidR="003A6ADB" w:rsidRPr="009C5F11">
        <w:rPr>
          <w:rFonts w:ascii="Times New Roman" w:hAnsi="Times New Roman" w:cs="Times New Roman"/>
          <w:b/>
          <w:lang w:val="ro-RO"/>
        </w:rPr>
        <w:fldChar w:fldCharType="end"/>
      </w:r>
      <w:r w:rsidR="00B53C62" w:rsidRPr="009C5F11">
        <w:rPr>
          <w:rFonts w:ascii="Times New Roman" w:hAnsi="Times New Roman" w:cs="Times New Roman"/>
          <w:b/>
          <w:lang w:val="ro-RO"/>
        </w:rPr>
        <w:t xml:space="preserve"> - </w:t>
      </w:r>
      <w:r w:rsidR="00480806" w:rsidRPr="009C5F11">
        <w:rPr>
          <w:rFonts w:ascii="Times New Roman" w:hAnsi="Times New Roman" w:cs="Times New Roman"/>
          <w:b/>
          <w:lang w:val="ro-RO"/>
        </w:rPr>
        <w:t>Programe proprii de eficienţă energetică</w:t>
      </w:r>
      <w:r w:rsidR="00B53C62" w:rsidRPr="009C5F11">
        <w:rPr>
          <w:rFonts w:ascii="Times New Roman" w:hAnsi="Times New Roman" w:cs="Times New Roman"/>
          <w:b/>
          <w:lang w:val="ro-RO"/>
        </w:rPr>
        <w:t xml:space="preserve"> </w:t>
      </w:r>
      <w:r w:rsidR="00480806" w:rsidRPr="009C5F11">
        <w:rPr>
          <w:rFonts w:ascii="Times New Roman" w:hAnsi="Times New Roman" w:cs="Times New Roman"/>
          <w:b/>
          <w:lang w:val="ro-RO"/>
        </w:rPr>
        <w:t>ale operatorilor de transport/distribuţie a energiei electrice</w:t>
      </w:r>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936847" w:rsidRPr="009C5F11" w14:paraId="5423A26F" w14:textId="77777777" w:rsidTr="005E08E6">
        <w:trPr>
          <w:trHeight w:val="67"/>
        </w:trPr>
        <w:tc>
          <w:tcPr>
            <w:tcW w:w="1756" w:type="pct"/>
            <w:gridSpan w:val="2"/>
          </w:tcPr>
          <w:p w14:paraId="66703498" w14:textId="77777777" w:rsidR="00936847" w:rsidRPr="009C5F11" w:rsidRDefault="0094635F"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799E9769" w14:textId="77777777" w:rsidR="00936847" w:rsidRPr="009C5F11" w:rsidRDefault="00480806" w:rsidP="00480806">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Programe proprii de eficienţă energetică ale operatorilor de transport/distribuţie a energiei electrice</w:t>
            </w:r>
          </w:p>
        </w:tc>
      </w:tr>
      <w:tr w:rsidR="00936847" w:rsidRPr="009C5F11" w14:paraId="09DC8064" w14:textId="77777777" w:rsidTr="005E08E6">
        <w:trPr>
          <w:trHeight w:val="71"/>
        </w:trPr>
        <w:tc>
          <w:tcPr>
            <w:tcW w:w="1756" w:type="pct"/>
            <w:gridSpan w:val="2"/>
          </w:tcPr>
          <w:p w14:paraId="761B6FF0" w14:textId="77777777" w:rsidR="00936847" w:rsidRPr="009C5F11" w:rsidRDefault="00E46DD7"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15A22E72" w14:textId="77777777" w:rsidR="00936847" w:rsidRPr="009C5F11" w:rsidRDefault="00936847" w:rsidP="00430626">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E1</w:t>
            </w:r>
          </w:p>
        </w:tc>
      </w:tr>
      <w:tr w:rsidR="00936847" w:rsidRPr="009C5F11" w14:paraId="24E8821B" w14:textId="77777777" w:rsidTr="005E08E6">
        <w:trPr>
          <w:trHeight w:val="107"/>
        </w:trPr>
        <w:tc>
          <w:tcPr>
            <w:tcW w:w="743" w:type="pct"/>
            <w:vMerge w:val="restart"/>
          </w:tcPr>
          <w:p w14:paraId="6B363FE9"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1B3EC7B5"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52801A2F"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17795618" w14:textId="77777777" w:rsidR="00936847" w:rsidRPr="009C5F11" w:rsidRDefault="000E55A5"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Proiecte investiţionale</w:t>
            </w:r>
          </w:p>
        </w:tc>
      </w:tr>
      <w:tr w:rsidR="00936847" w:rsidRPr="009C5F11" w14:paraId="6E0A1672" w14:textId="77777777" w:rsidTr="005E08E6">
        <w:trPr>
          <w:trHeight w:val="476"/>
        </w:trPr>
        <w:tc>
          <w:tcPr>
            <w:tcW w:w="743" w:type="pct"/>
            <w:vMerge/>
          </w:tcPr>
          <w:p w14:paraId="06D3FFCF"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E094BF2"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15B328AE"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2013</w:t>
            </w:r>
            <w:r w:rsidR="003B4DAB" w:rsidRPr="009C5F11">
              <w:rPr>
                <w:rFonts w:ascii="Times New Roman" w:hAnsi="Times New Roman" w:cs="Times New Roman"/>
                <w:b/>
                <w:sz w:val="18"/>
                <w:szCs w:val="14"/>
                <w:lang w:val="ro-RO" w:eastAsia="de-DE"/>
              </w:rPr>
              <w:t>.</w:t>
            </w:r>
            <w:r w:rsidR="00936847" w:rsidRPr="009C5F11">
              <w:rPr>
                <w:rFonts w:ascii="Times New Roman" w:hAnsi="Times New Roman" w:cs="Times New Roman"/>
                <w:b/>
                <w:sz w:val="18"/>
                <w:szCs w:val="14"/>
                <w:lang w:val="ro-RO" w:eastAsia="de-DE"/>
              </w:rPr>
              <w:t xml:space="preserve"> </w:t>
            </w:r>
          </w:p>
          <w:p w14:paraId="152C63AB"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2018</w:t>
            </w:r>
            <w:r w:rsidR="003B4DAB" w:rsidRPr="009C5F11">
              <w:rPr>
                <w:rFonts w:ascii="Times New Roman" w:hAnsi="Times New Roman" w:cs="Times New Roman"/>
                <w:b/>
                <w:sz w:val="18"/>
                <w:szCs w:val="14"/>
                <w:lang w:val="ro-RO" w:eastAsia="de-DE"/>
              </w:rPr>
              <w:t>.</w:t>
            </w:r>
          </w:p>
          <w:p w14:paraId="62F86365" w14:textId="77777777" w:rsidR="00936847" w:rsidRPr="009C5F11" w:rsidRDefault="00502CA3" w:rsidP="003B4DAB">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preluată din PNAEE 2013-2015 şi continuată în PNAEE 2016-2018.</w:t>
            </w:r>
          </w:p>
        </w:tc>
      </w:tr>
      <w:tr w:rsidR="00936847" w:rsidRPr="009C5F11" w14:paraId="6400144F" w14:textId="77777777" w:rsidTr="005E08E6">
        <w:trPr>
          <w:trHeight w:val="107"/>
        </w:trPr>
        <w:tc>
          <w:tcPr>
            <w:tcW w:w="743" w:type="pct"/>
            <w:vMerge/>
          </w:tcPr>
          <w:p w14:paraId="140BFDD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B14EBB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5CA33BBE" w14:textId="77777777" w:rsidR="00936847" w:rsidRPr="009C5F11" w:rsidRDefault="00421FA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va întreprinde</w:t>
            </w:r>
            <w:r w:rsidR="00936847" w:rsidRPr="009C5F11">
              <w:rPr>
                <w:rFonts w:ascii="Times New Roman" w:hAnsi="Times New Roman" w:cs="Times New Roman"/>
                <w:sz w:val="18"/>
                <w:szCs w:val="14"/>
                <w:lang w:val="ro-RO" w:eastAsia="de-DE"/>
              </w:rPr>
              <w:t xml:space="preserve"> </w:t>
            </w:r>
            <w:r w:rsidR="00E10BE5" w:rsidRPr="009C5F11">
              <w:rPr>
                <w:rFonts w:ascii="Times New Roman" w:hAnsi="Times New Roman" w:cs="Times New Roman"/>
                <w:sz w:val="18"/>
                <w:szCs w:val="14"/>
                <w:lang w:val="ro-RO" w:eastAsia="de-DE"/>
              </w:rPr>
              <w:t>măsuri</w:t>
            </w:r>
            <w:r w:rsidR="00480806" w:rsidRPr="009C5F11">
              <w:rPr>
                <w:rFonts w:ascii="Times New Roman" w:hAnsi="Times New Roman" w:cs="Times New Roman"/>
                <w:sz w:val="18"/>
                <w:szCs w:val="14"/>
                <w:lang w:val="ro-RO" w:eastAsia="de-DE"/>
              </w:rPr>
              <w:t>le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necesare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pentru a încuraja elaborarea unor programe proprii de</w:t>
            </w:r>
            <w:r w:rsidR="00936847" w:rsidRPr="009C5F11">
              <w:rPr>
                <w:rFonts w:ascii="Times New Roman" w:hAnsi="Times New Roman" w:cs="Times New Roman"/>
                <w:sz w:val="18"/>
                <w:szCs w:val="14"/>
                <w:lang w:val="ro-RO" w:eastAsia="de-DE"/>
              </w:rPr>
              <w:t xml:space="preserve"> </w:t>
            </w:r>
            <w:r w:rsidR="000C7BEC" w:rsidRPr="009C5F11">
              <w:rPr>
                <w:rFonts w:ascii="Times New Roman" w:hAnsi="Times New Roman" w:cs="Times New Roman"/>
                <w:sz w:val="18"/>
                <w:szCs w:val="14"/>
                <w:lang w:val="ro-RO" w:eastAsia="de-DE"/>
              </w:rPr>
              <w:t>eficienţă energetică</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de către</w:t>
            </w:r>
            <w:r w:rsidR="00936847" w:rsidRPr="009C5F11">
              <w:rPr>
                <w:rFonts w:ascii="Times New Roman" w:hAnsi="Times New Roman" w:cs="Times New Roman"/>
                <w:sz w:val="18"/>
                <w:szCs w:val="14"/>
                <w:lang w:val="ro-RO" w:eastAsia="de-DE"/>
              </w:rPr>
              <w:t xml:space="preserve"> </w:t>
            </w:r>
            <w:r w:rsidR="004000CC" w:rsidRPr="009C5F11">
              <w:rPr>
                <w:rFonts w:ascii="Times New Roman" w:hAnsi="Times New Roman" w:cs="Times New Roman"/>
                <w:sz w:val="18"/>
                <w:szCs w:val="14"/>
                <w:lang w:val="ro-RO" w:eastAsia="de-DE"/>
              </w:rPr>
              <w:t>operatori</w:t>
            </w:r>
            <w:r w:rsidR="00936847" w:rsidRPr="009C5F11">
              <w:rPr>
                <w:rFonts w:ascii="Times New Roman" w:hAnsi="Times New Roman" w:cs="Times New Roman"/>
                <w:sz w:val="18"/>
                <w:szCs w:val="14"/>
                <w:lang w:val="ro-RO" w:eastAsia="de-DE"/>
              </w:rPr>
              <w:t xml:space="preserve"> (Moldelectrica, RED </w:t>
            </w:r>
            <w:r w:rsidR="00800247" w:rsidRPr="009C5F11">
              <w:rPr>
                <w:rFonts w:ascii="Times New Roman" w:hAnsi="Times New Roman" w:cs="Times New Roman"/>
                <w:sz w:val="18"/>
                <w:szCs w:val="14"/>
                <w:lang w:val="ro-RO" w:eastAsia="de-DE"/>
              </w:rPr>
              <w:t>Nord</w:t>
            </w:r>
            <w:r w:rsidR="00936847" w:rsidRPr="009C5F11">
              <w:rPr>
                <w:rFonts w:ascii="Times New Roman" w:hAnsi="Times New Roman" w:cs="Times New Roman"/>
                <w:sz w:val="18"/>
                <w:szCs w:val="14"/>
                <w:lang w:val="ro-RO" w:eastAsia="de-DE"/>
              </w:rPr>
              <w:t xml:space="preserve">, RED </w:t>
            </w:r>
            <w:r w:rsidR="00800247" w:rsidRPr="009C5F11">
              <w:rPr>
                <w:rFonts w:ascii="Times New Roman" w:hAnsi="Times New Roman" w:cs="Times New Roman"/>
                <w:sz w:val="18"/>
                <w:szCs w:val="14"/>
                <w:lang w:val="ro-RO" w:eastAsia="de-DE"/>
              </w:rPr>
              <w:t>Nord</w:t>
            </w:r>
            <w:r w:rsidR="00936847" w:rsidRPr="009C5F11">
              <w:rPr>
                <w:rFonts w:ascii="Times New Roman" w:hAnsi="Times New Roman" w:cs="Times New Roman"/>
                <w:sz w:val="18"/>
                <w:szCs w:val="14"/>
                <w:lang w:val="ro-RO" w:eastAsia="de-DE"/>
              </w:rPr>
              <w:t>-Vest</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 xml:space="preserve">RED Union Fenosa) </w:t>
            </w:r>
            <w:r w:rsidR="00480806" w:rsidRPr="009C5F11">
              <w:rPr>
                <w:rFonts w:ascii="Times New Roman" w:hAnsi="Times New Roman" w:cs="Times New Roman"/>
                <w:sz w:val="18"/>
                <w:szCs w:val="14"/>
                <w:lang w:val="ro-RO" w:eastAsia="de-DE"/>
              </w:rPr>
              <w:t xml:space="preserve">orientate spre reducerea </w:t>
            </w:r>
            <w:r w:rsidR="00BA5A89" w:rsidRPr="009C5F11">
              <w:rPr>
                <w:rFonts w:ascii="Times New Roman" w:hAnsi="Times New Roman" w:cs="Times New Roman"/>
                <w:sz w:val="18"/>
                <w:szCs w:val="14"/>
                <w:lang w:val="ro-RO" w:eastAsia="de-DE"/>
              </w:rPr>
              <w:t>pierderil</w:t>
            </w:r>
            <w:r w:rsidR="00480806" w:rsidRPr="009C5F11">
              <w:rPr>
                <w:rFonts w:ascii="Times New Roman" w:hAnsi="Times New Roman" w:cs="Times New Roman"/>
                <w:sz w:val="18"/>
                <w:szCs w:val="14"/>
                <w:lang w:val="ro-RO" w:eastAsia="de-DE"/>
              </w:rPr>
              <w:t xml:space="preserve">or de energie în </w:t>
            </w:r>
            <w:r w:rsidR="008E0271" w:rsidRPr="009C5F11">
              <w:rPr>
                <w:rFonts w:ascii="Times New Roman" w:hAnsi="Times New Roman" w:cs="Times New Roman"/>
                <w:sz w:val="18"/>
                <w:szCs w:val="14"/>
                <w:lang w:val="ro-RO" w:eastAsia="de-DE"/>
              </w:rPr>
              <w:t>reţelele de distribuţie</w:t>
            </w:r>
            <w:r w:rsidR="00936847" w:rsidRPr="009C5F11">
              <w:rPr>
                <w:rFonts w:ascii="Times New Roman" w:hAnsi="Times New Roman" w:cs="Times New Roman"/>
                <w:sz w:val="18"/>
                <w:szCs w:val="14"/>
                <w:lang w:val="ro-RO" w:eastAsia="de-DE"/>
              </w:rPr>
              <w:t xml:space="preserve">. </w:t>
            </w:r>
          </w:p>
          <w:p w14:paraId="7D37E2AD" w14:textId="77777777" w:rsidR="00936847" w:rsidRPr="009C5F11" w:rsidRDefault="00421FA7" w:rsidP="0048080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 xml:space="preserve">va elabora un </w:t>
            </w:r>
            <w:r w:rsidR="00936847" w:rsidRPr="009C5F11">
              <w:rPr>
                <w:rFonts w:ascii="Times New Roman" w:hAnsi="Times New Roman" w:cs="Times New Roman"/>
                <w:sz w:val="18"/>
                <w:szCs w:val="14"/>
                <w:lang w:val="ro-RO" w:eastAsia="de-DE"/>
              </w:rPr>
              <w:t>program</w:t>
            </w:r>
            <w:r w:rsidR="00480806" w:rsidRPr="009C5F11">
              <w:rPr>
                <w:rFonts w:ascii="Times New Roman" w:hAnsi="Times New Roman" w:cs="Times New Roman"/>
                <w:sz w:val="18"/>
                <w:szCs w:val="14"/>
                <w:lang w:val="ro-RO" w:eastAsia="de-DE"/>
              </w:rPr>
              <w:t xml:space="preserve"> pentru dezvoltarea sistemului de transport al </w:t>
            </w:r>
            <w:r w:rsidR="00334259" w:rsidRPr="009C5F11">
              <w:rPr>
                <w:rFonts w:ascii="Times New Roman" w:hAnsi="Times New Roman" w:cs="Times New Roman"/>
                <w:sz w:val="18"/>
                <w:szCs w:val="14"/>
                <w:lang w:val="ro-RO" w:eastAsia="de-DE"/>
              </w:rPr>
              <w:t>energi</w:t>
            </w:r>
            <w:r w:rsidR="00480806" w:rsidRPr="009C5F11">
              <w:rPr>
                <w:rFonts w:ascii="Times New Roman" w:hAnsi="Times New Roman" w:cs="Times New Roman"/>
                <w:sz w:val="18"/>
                <w:szCs w:val="14"/>
                <w:lang w:val="ro-RO" w:eastAsia="de-DE"/>
              </w:rPr>
              <w:t>ei</w:t>
            </w:r>
            <w:r w:rsidR="00334259" w:rsidRPr="009C5F11">
              <w:rPr>
                <w:rFonts w:ascii="Times New Roman" w:hAnsi="Times New Roman" w:cs="Times New Roman"/>
                <w:sz w:val="18"/>
                <w:szCs w:val="14"/>
                <w:lang w:val="ro-RO" w:eastAsia="de-DE"/>
              </w:rPr>
              <w:t xml:space="preserve"> electric</w:t>
            </w:r>
            <w:r w:rsidR="00480806" w:rsidRPr="009C5F11">
              <w:rPr>
                <w:rFonts w:ascii="Times New Roman" w:hAnsi="Times New Roman" w:cs="Times New Roman"/>
                <w:sz w:val="18"/>
                <w:szCs w:val="14"/>
                <w:lang w:val="ro-RO" w:eastAsia="de-DE"/>
              </w:rPr>
              <w:t>e</w:t>
            </w:r>
            <w:r w:rsidR="003B4DAB"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în temeiul</w:t>
            </w:r>
            <w:r w:rsidR="00936847" w:rsidRPr="009C5F11">
              <w:rPr>
                <w:rFonts w:ascii="Times New Roman" w:hAnsi="Times New Roman" w:cs="Times New Roman"/>
                <w:sz w:val="18"/>
                <w:szCs w:val="14"/>
                <w:lang w:val="ro-RO" w:eastAsia="de-DE"/>
              </w:rPr>
              <w:t xml:space="preserve"> </w:t>
            </w:r>
            <w:r w:rsidR="000A4CC7" w:rsidRPr="009C5F11">
              <w:rPr>
                <w:rFonts w:ascii="Times New Roman" w:hAnsi="Times New Roman" w:cs="Times New Roman"/>
                <w:sz w:val="18"/>
                <w:szCs w:val="14"/>
                <w:lang w:val="ro-RO" w:eastAsia="de-DE"/>
              </w:rPr>
              <w:t>PNEE</w:t>
            </w:r>
            <w:r w:rsidR="00936847" w:rsidRPr="009C5F11">
              <w:rPr>
                <w:rFonts w:ascii="Times New Roman" w:hAnsi="Times New Roman" w:cs="Times New Roman"/>
                <w:sz w:val="18"/>
                <w:szCs w:val="14"/>
                <w:lang w:val="ro-RO" w:eastAsia="de-DE"/>
              </w:rPr>
              <w:t xml:space="preserve"> 2011-2020 </w:t>
            </w:r>
            <w:r w:rsidR="00334DD0" w:rsidRPr="009C5F11">
              <w:rPr>
                <w:rFonts w:ascii="Times New Roman" w:hAnsi="Times New Roman" w:cs="Times New Roman"/>
                <w:sz w:val="18"/>
                <w:szCs w:val="14"/>
                <w:lang w:val="ro-RO" w:eastAsia="de-DE"/>
              </w:rPr>
              <w:t>aprobat de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HG</w:t>
            </w:r>
            <w:r w:rsidR="00936847" w:rsidRPr="009C5F11">
              <w:rPr>
                <w:rFonts w:ascii="Times New Roman" w:hAnsi="Times New Roman" w:cs="Times New Roman"/>
                <w:sz w:val="18"/>
                <w:szCs w:val="14"/>
                <w:lang w:val="ro-RO" w:eastAsia="de-DE"/>
              </w:rPr>
              <w:t xml:space="preserve"> </w:t>
            </w:r>
            <w:r w:rsidR="00D55D28" w:rsidRPr="009C5F11">
              <w:rPr>
                <w:rFonts w:ascii="Times New Roman" w:hAnsi="Times New Roman" w:cs="Times New Roman"/>
                <w:sz w:val="18"/>
                <w:szCs w:val="14"/>
                <w:lang w:val="ro-RO" w:eastAsia="de-DE"/>
              </w:rPr>
              <w:t>nr.</w:t>
            </w:r>
            <w:r w:rsidR="00936847" w:rsidRPr="009C5F11">
              <w:rPr>
                <w:rFonts w:ascii="Times New Roman" w:hAnsi="Times New Roman" w:cs="Times New Roman"/>
                <w:sz w:val="18"/>
                <w:szCs w:val="14"/>
                <w:lang w:val="ro-RO" w:eastAsia="de-DE"/>
              </w:rPr>
              <w:t xml:space="preserve"> 833 d</w:t>
            </w:r>
            <w:r w:rsidR="00480806" w:rsidRPr="009C5F11">
              <w:rPr>
                <w:rFonts w:ascii="Times New Roman" w:hAnsi="Times New Roman" w:cs="Times New Roman"/>
                <w:sz w:val="18"/>
                <w:szCs w:val="14"/>
                <w:lang w:val="ro-RO" w:eastAsia="de-DE"/>
              </w:rPr>
              <w:t>in</w:t>
            </w:r>
            <w:r w:rsidR="00936847" w:rsidRPr="009C5F11">
              <w:rPr>
                <w:rFonts w:ascii="Times New Roman" w:hAnsi="Times New Roman" w:cs="Times New Roman"/>
                <w:sz w:val="18"/>
                <w:szCs w:val="14"/>
                <w:lang w:val="ro-RO" w:eastAsia="de-DE"/>
              </w:rPr>
              <w:t xml:space="preserve"> 10 </w:t>
            </w:r>
            <w:r w:rsidR="000A4CC7" w:rsidRPr="009C5F11">
              <w:rPr>
                <w:rFonts w:ascii="Times New Roman" w:hAnsi="Times New Roman" w:cs="Times New Roman"/>
                <w:sz w:val="18"/>
                <w:szCs w:val="14"/>
                <w:lang w:val="ro-RO" w:eastAsia="de-DE"/>
              </w:rPr>
              <w:t>noiembrie</w:t>
            </w:r>
            <w:r w:rsidR="00936847" w:rsidRPr="009C5F11">
              <w:rPr>
                <w:rFonts w:ascii="Times New Roman" w:hAnsi="Times New Roman" w:cs="Times New Roman"/>
                <w:sz w:val="18"/>
                <w:szCs w:val="14"/>
                <w:lang w:val="ro-RO" w:eastAsia="de-DE"/>
              </w:rPr>
              <w:t xml:space="preserve"> 2011.</w:t>
            </w:r>
          </w:p>
        </w:tc>
      </w:tr>
      <w:tr w:rsidR="00936847" w:rsidRPr="009C5F11" w14:paraId="7C8AF35C" w14:textId="77777777" w:rsidTr="005E08E6">
        <w:trPr>
          <w:trHeight w:val="71"/>
        </w:trPr>
        <w:tc>
          <w:tcPr>
            <w:tcW w:w="743" w:type="pct"/>
            <w:vMerge/>
          </w:tcPr>
          <w:p w14:paraId="72181880"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170E5BB"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0329FAE6" w14:textId="77777777" w:rsidR="00936847" w:rsidRPr="009C5F11" w:rsidRDefault="0048080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Consumul de energie electrică (pierderile)</w:t>
            </w:r>
          </w:p>
        </w:tc>
      </w:tr>
      <w:tr w:rsidR="00936847" w:rsidRPr="009C5F11" w14:paraId="268CF69F" w14:textId="77777777" w:rsidTr="005E08E6">
        <w:trPr>
          <w:trHeight w:val="476"/>
        </w:trPr>
        <w:tc>
          <w:tcPr>
            <w:tcW w:w="743" w:type="pct"/>
            <w:vMerge/>
          </w:tcPr>
          <w:p w14:paraId="79A71E4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B40DB44"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22287AF9" w14:textId="77777777" w:rsidR="00936847" w:rsidRPr="009C5F11" w:rsidRDefault="000E55A5"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Măsura</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este</w:t>
            </w:r>
            <w:r w:rsidR="001B3DCF" w:rsidRPr="009C5F11">
              <w:rPr>
                <w:rFonts w:ascii="Times New Roman" w:hAnsi="Times New Roman" w:cs="Times New Roman"/>
                <w:sz w:val="18"/>
                <w:szCs w:val="14"/>
                <w:lang w:val="ro-RO" w:eastAsia="de-DE"/>
              </w:rPr>
              <w:t xml:space="preserve"> implementat</w:t>
            </w:r>
            <w:r w:rsidR="00480806" w:rsidRPr="009C5F11">
              <w:rPr>
                <w:rFonts w:ascii="Times New Roman" w:hAnsi="Times New Roman" w:cs="Times New Roman"/>
                <w:sz w:val="18"/>
                <w:szCs w:val="14"/>
                <w:lang w:val="ro-RO" w:eastAsia="de-DE"/>
              </w:rPr>
              <w:t>ă</w:t>
            </w:r>
            <w:r w:rsidR="00936847" w:rsidRPr="009C5F11">
              <w:rPr>
                <w:rFonts w:ascii="Times New Roman" w:hAnsi="Times New Roman" w:cs="Times New Roman"/>
                <w:sz w:val="18"/>
                <w:szCs w:val="14"/>
                <w:lang w:val="ro-RO" w:eastAsia="de-DE"/>
              </w:rPr>
              <w:t xml:space="preserve"> </w:t>
            </w:r>
            <w:r w:rsidR="003B4DAB" w:rsidRPr="009C5F11">
              <w:rPr>
                <w:rFonts w:ascii="Times New Roman" w:hAnsi="Times New Roman" w:cs="Times New Roman"/>
                <w:sz w:val="18"/>
                <w:szCs w:val="14"/>
                <w:lang w:val="ro-RO" w:eastAsia="de-DE"/>
              </w:rPr>
              <w:t xml:space="preserve">de </w:t>
            </w:r>
            <w:r w:rsidR="00480806" w:rsidRPr="009C5F11">
              <w:rPr>
                <w:rFonts w:ascii="Times New Roman" w:hAnsi="Times New Roman" w:cs="Times New Roman"/>
                <w:sz w:val="18"/>
                <w:szCs w:val="14"/>
                <w:lang w:val="ro-RO" w:eastAsia="de-DE"/>
              </w:rPr>
              <w:t>operatorii de transport/distribuţie a energiei electrice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în cadrul activelor sale de reţea</w:t>
            </w:r>
            <w:r w:rsidR="00936847" w:rsidRPr="009C5F11">
              <w:rPr>
                <w:rFonts w:ascii="Times New Roman" w:hAnsi="Times New Roman" w:cs="Times New Roman"/>
                <w:sz w:val="18"/>
                <w:szCs w:val="14"/>
                <w:lang w:val="ro-RO" w:eastAsia="de-DE"/>
              </w:rPr>
              <w:t>;</w:t>
            </w:r>
          </w:p>
          <w:p w14:paraId="06026FF0" w14:textId="77777777" w:rsidR="00936847" w:rsidRPr="009C5F11" w:rsidRDefault="00480806" w:rsidP="003B4DAB">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Principalii beneficiari</w:t>
            </w:r>
            <w:r w:rsidR="00936847" w:rsidRPr="009C5F11">
              <w:rPr>
                <w:rFonts w:ascii="Times New Roman" w:hAnsi="Times New Roman" w:cs="Times New Roman"/>
                <w:sz w:val="18"/>
                <w:szCs w:val="14"/>
                <w:lang w:val="ro-RO" w:eastAsia="de-DE"/>
              </w:rPr>
              <w:t xml:space="preserve"> </w:t>
            </w:r>
            <w:r w:rsidR="003B4DAB" w:rsidRPr="009C5F11">
              <w:rPr>
                <w:rFonts w:ascii="Times New Roman" w:hAnsi="Times New Roman" w:cs="Times New Roman"/>
                <w:sz w:val="18"/>
                <w:szCs w:val="14"/>
                <w:lang w:val="ro-RO" w:eastAsia="de-DE"/>
              </w:rPr>
              <w:t>s</w:t>
            </w:r>
            <w:r w:rsidRPr="009C5F11">
              <w:rPr>
                <w:rFonts w:ascii="Times New Roman" w:hAnsi="Times New Roman" w:cs="Times New Roman"/>
                <w:sz w:val="18"/>
                <w:szCs w:val="14"/>
                <w:lang w:val="ro-RO" w:eastAsia="de-DE"/>
              </w:rPr>
              <w:t>unt consumatorii de</w:t>
            </w:r>
            <w:r w:rsidR="00936847" w:rsidRPr="009C5F11">
              <w:rPr>
                <w:rFonts w:ascii="Times New Roman" w:hAnsi="Times New Roman" w:cs="Times New Roman"/>
                <w:sz w:val="18"/>
                <w:szCs w:val="14"/>
                <w:lang w:val="ro-RO" w:eastAsia="de-DE"/>
              </w:rPr>
              <w:t xml:space="preserve"> </w:t>
            </w:r>
            <w:r w:rsidR="00334259" w:rsidRPr="009C5F11">
              <w:rPr>
                <w:rFonts w:ascii="Times New Roman" w:hAnsi="Times New Roman" w:cs="Times New Roman"/>
                <w:sz w:val="18"/>
                <w:szCs w:val="14"/>
                <w:lang w:val="ro-RO" w:eastAsia="de-DE"/>
              </w:rPr>
              <w:t>energi</w:t>
            </w:r>
            <w:r w:rsidRPr="009C5F11">
              <w:rPr>
                <w:rFonts w:ascii="Times New Roman" w:hAnsi="Times New Roman" w:cs="Times New Roman"/>
                <w:sz w:val="18"/>
                <w:szCs w:val="14"/>
                <w:lang w:val="ro-RO" w:eastAsia="de-DE"/>
              </w:rPr>
              <w:t>e</w:t>
            </w:r>
            <w:r w:rsidR="00334259" w:rsidRPr="009C5F11">
              <w:rPr>
                <w:rFonts w:ascii="Times New Roman" w:hAnsi="Times New Roman" w:cs="Times New Roman"/>
                <w:sz w:val="18"/>
                <w:szCs w:val="14"/>
                <w:lang w:val="ro-RO" w:eastAsia="de-DE"/>
              </w:rPr>
              <w:t xml:space="preserve"> electrică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care </w:t>
            </w:r>
            <w:r w:rsidR="00936847" w:rsidRPr="009C5F11">
              <w:rPr>
                <w:rFonts w:ascii="Times New Roman" w:hAnsi="Times New Roman" w:cs="Times New Roman"/>
                <w:sz w:val="18"/>
                <w:szCs w:val="14"/>
                <w:lang w:val="ro-RO" w:eastAsia="de-DE"/>
              </w:rPr>
              <w:t>benefi</w:t>
            </w:r>
            <w:r w:rsidRPr="009C5F11">
              <w:rPr>
                <w:rFonts w:ascii="Times New Roman" w:hAnsi="Times New Roman" w:cs="Times New Roman"/>
                <w:sz w:val="18"/>
                <w:szCs w:val="14"/>
                <w:lang w:val="ro-RO" w:eastAsia="de-DE"/>
              </w:rPr>
              <w:t xml:space="preserve">ciază de costuri reduse în cazul în care </w:t>
            </w:r>
            <w:r w:rsidR="00BA5A89" w:rsidRPr="009C5F11">
              <w:rPr>
                <w:rFonts w:ascii="Times New Roman" w:hAnsi="Times New Roman" w:cs="Times New Roman"/>
                <w:sz w:val="18"/>
                <w:szCs w:val="14"/>
                <w:lang w:val="ro-RO" w:eastAsia="de-DE"/>
              </w:rPr>
              <w:t>pierderile</w:t>
            </w:r>
            <w:r w:rsidR="00321CD5" w:rsidRPr="009C5F11">
              <w:rPr>
                <w:rFonts w:ascii="Times New Roman" w:hAnsi="Times New Roman" w:cs="Times New Roman"/>
                <w:sz w:val="18"/>
                <w:szCs w:val="14"/>
                <w:lang w:val="ro-RO" w:eastAsia="de-DE"/>
              </w:rPr>
              <w:t xml:space="preserve"> în </w:t>
            </w:r>
            <w:r w:rsidR="003B4DAB" w:rsidRPr="009C5F11">
              <w:rPr>
                <w:rFonts w:ascii="Times New Roman" w:hAnsi="Times New Roman" w:cs="Times New Roman"/>
                <w:sz w:val="18"/>
                <w:szCs w:val="14"/>
                <w:lang w:val="ro-RO" w:eastAsia="de-DE"/>
              </w:rPr>
              <w:t xml:space="preserve">reţelele de </w:t>
            </w:r>
            <w:r w:rsidR="008F7BD5" w:rsidRPr="009C5F11">
              <w:rPr>
                <w:rFonts w:ascii="Times New Roman" w:hAnsi="Times New Roman" w:cs="Times New Roman"/>
                <w:sz w:val="18"/>
                <w:szCs w:val="14"/>
                <w:lang w:val="ro-RO" w:eastAsia="de-DE"/>
              </w:rPr>
              <w:t>distribuţie</w:t>
            </w:r>
            <w:r w:rsidR="00936847" w:rsidRPr="009C5F11">
              <w:rPr>
                <w:rFonts w:ascii="Times New Roman" w:hAnsi="Times New Roman" w:cs="Times New Roman"/>
                <w:sz w:val="18"/>
                <w:szCs w:val="14"/>
                <w:lang w:val="ro-RO" w:eastAsia="de-DE"/>
              </w:rPr>
              <w:t>/</w:t>
            </w:r>
            <w:r w:rsidR="008F7BD5" w:rsidRPr="009C5F11">
              <w:rPr>
                <w:rFonts w:ascii="Times New Roman" w:hAnsi="Times New Roman" w:cs="Times New Roman"/>
                <w:sz w:val="18"/>
                <w:szCs w:val="14"/>
                <w:lang w:val="ro-RO" w:eastAsia="de-DE"/>
              </w:rPr>
              <w:t>transport</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sunt reduse</w:t>
            </w:r>
            <w:r w:rsidR="00936847" w:rsidRPr="009C5F11">
              <w:rPr>
                <w:rFonts w:ascii="Times New Roman" w:hAnsi="Times New Roman" w:cs="Times New Roman"/>
                <w:sz w:val="18"/>
                <w:szCs w:val="14"/>
                <w:lang w:val="ro-RO" w:eastAsia="de-DE"/>
              </w:rPr>
              <w:t>.</w:t>
            </w:r>
          </w:p>
        </w:tc>
      </w:tr>
      <w:tr w:rsidR="00936847" w:rsidRPr="009C5F11" w14:paraId="162B122F" w14:textId="77777777" w:rsidTr="005E08E6">
        <w:trPr>
          <w:trHeight w:val="476"/>
        </w:trPr>
        <w:tc>
          <w:tcPr>
            <w:tcW w:w="743" w:type="pct"/>
            <w:vMerge/>
          </w:tcPr>
          <w:p w14:paraId="08DE0097"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7C957A1"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12338CDD" w14:textId="77777777" w:rsidR="00936847" w:rsidRPr="009C5F11" w:rsidRDefault="0076167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p w14:paraId="5EAFB7CD" w14:textId="77777777" w:rsidR="00936847" w:rsidRPr="009C5F11" w:rsidRDefault="001D01E9">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Zone de retea relevante</w:t>
            </w:r>
            <w:r w:rsidR="00936847" w:rsidRPr="009C5F11">
              <w:rPr>
                <w:rFonts w:ascii="Times New Roman" w:hAnsi="Times New Roman" w:cs="Times New Roman"/>
                <w:sz w:val="18"/>
                <w:szCs w:val="14"/>
                <w:lang w:val="ro-RO" w:eastAsia="de-DE"/>
              </w:rPr>
              <w:t xml:space="preserve"> (regional</w:t>
            </w:r>
            <w:r w:rsidR="00480806" w:rsidRPr="009C5F11">
              <w:rPr>
                <w:rFonts w:ascii="Times New Roman" w:hAnsi="Times New Roman" w:cs="Times New Roman"/>
                <w:sz w:val="18"/>
                <w:szCs w:val="14"/>
                <w:lang w:val="ro-RO" w:eastAsia="de-DE"/>
              </w:rPr>
              <w:t>e</w:t>
            </w:r>
            <w:r w:rsidR="00936847" w:rsidRPr="009C5F11">
              <w:rPr>
                <w:rFonts w:ascii="Times New Roman" w:hAnsi="Times New Roman" w:cs="Times New Roman"/>
                <w:sz w:val="18"/>
                <w:szCs w:val="14"/>
                <w:lang w:val="ro-RO" w:eastAsia="de-DE"/>
              </w:rPr>
              <w:t xml:space="preserve">)  </w:t>
            </w:r>
          </w:p>
        </w:tc>
      </w:tr>
      <w:tr w:rsidR="00936847" w:rsidRPr="009C5F11" w14:paraId="11EE4098" w14:textId="77777777" w:rsidTr="005E08E6">
        <w:trPr>
          <w:trHeight w:val="476"/>
        </w:trPr>
        <w:tc>
          <w:tcPr>
            <w:tcW w:w="743" w:type="pct"/>
            <w:vMerge w:val="restart"/>
          </w:tcPr>
          <w:p w14:paraId="0D655F55"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0506F39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244" w:type="pct"/>
          </w:tcPr>
          <w:p w14:paraId="76BB5B57" w14:textId="77777777" w:rsidR="00936847" w:rsidRPr="009C5F11" w:rsidRDefault="00480806"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ACŢIUNI</w:t>
            </w:r>
          </w:p>
          <w:p w14:paraId="0CAC0C00" w14:textId="77777777" w:rsidR="00936847" w:rsidRPr="009C5F11" w:rsidRDefault="00480806" w:rsidP="00334F3B">
            <w:pPr>
              <w:numPr>
                <w:ilvl w:val="0"/>
                <w:numId w:val="124"/>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Operatorii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reţelelor</w:t>
            </w:r>
            <w:r w:rsidR="008E0271" w:rsidRPr="009C5F11">
              <w:rPr>
                <w:rFonts w:ascii="Times New Roman" w:hAnsi="Times New Roman" w:cs="Times New Roman"/>
                <w:sz w:val="18"/>
                <w:szCs w:val="14"/>
                <w:lang w:val="ro-RO" w:eastAsia="de-DE"/>
              </w:rPr>
              <w:t xml:space="preserve"> de distribuţie</w:t>
            </w:r>
            <w:r w:rsidR="00936847"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coopera</w:t>
            </w:r>
            <w:r w:rsidRPr="009C5F11">
              <w:rPr>
                <w:rFonts w:ascii="Times New Roman" w:hAnsi="Times New Roman" w:cs="Times New Roman"/>
                <w:sz w:val="18"/>
                <w:szCs w:val="14"/>
                <w:lang w:val="ro-RO" w:eastAsia="de-DE"/>
              </w:rPr>
              <w:t>re cu</w:t>
            </w:r>
            <w:r w:rsidR="00936847" w:rsidRPr="009C5F11">
              <w:rPr>
                <w:rFonts w:ascii="Times New Roman" w:hAnsi="Times New Roman" w:cs="Times New Roman"/>
                <w:sz w:val="18"/>
                <w:szCs w:val="14"/>
                <w:lang w:val="ro-RO" w:eastAsia="de-DE"/>
              </w:rPr>
              <w:t xml:space="preserve"> </w:t>
            </w:r>
            <w:r w:rsidR="00D55D28" w:rsidRPr="009C5F11">
              <w:rPr>
                <w:rFonts w:ascii="Times New Roman" w:hAnsi="Times New Roman" w:cs="Times New Roman"/>
                <w:sz w:val="18"/>
                <w:szCs w:val="14"/>
                <w:lang w:val="ro-RO" w:eastAsia="de-DE"/>
              </w:rPr>
              <w:t>Ministerul</w:t>
            </w:r>
            <w:r w:rsidR="00321CD5" w:rsidRPr="009C5F11">
              <w:rPr>
                <w:rFonts w:ascii="Times New Roman" w:hAnsi="Times New Roman" w:cs="Times New Roman"/>
                <w:sz w:val="18"/>
                <w:szCs w:val="14"/>
                <w:lang w:val="ro-RO" w:eastAsia="de-DE"/>
              </w:rPr>
              <w:t xml:space="preserve"> Economiei şi </w:t>
            </w:r>
            <w:r w:rsidRPr="009C5F11">
              <w:rPr>
                <w:rFonts w:ascii="Times New Roman" w:hAnsi="Times New Roman" w:cs="Times New Roman"/>
                <w:sz w:val="18"/>
                <w:szCs w:val="14"/>
                <w:lang w:val="ro-RO" w:eastAsia="de-DE"/>
              </w:rPr>
              <w:t>AEE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vor elabora </w:t>
            </w:r>
            <w:r w:rsidRPr="009C5F11">
              <w:rPr>
                <w:rFonts w:ascii="Times New Roman" w:hAnsi="Times New Roman" w:cs="Times New Roman"/>
                <w:b/>
                <w:sz w:val="18"/>
                <w:szCs w:val="14"/>
                <w:lang w:val="ro-RO" w:eastAsia="de-DE"/>
              </w:rPr>
              <w:t>programe proprii de</w:t>
            </w:r>
            <w:r w:rsidR="00936847" w:rsidRPr="009C5F11">
              <w:rPr>
                <w:rFonts w:ascii="Times New Roman" w:hAnsi="Times New Roman" w:cs="Times New Roman"/>
                <w:sz w:val="18"/>
                <w:szCs w:val="14"/>
                <w:lang w:val="ro-RO" w:eastAsia="de-DE"/>
              </w:rPr>
              <w:t xml:space="preserve"> </w:t>
            </w:r>
            <w:r w:rsidR="000C7BEC" w:rsidRPr="009C5F11">
              <w:rPr>
                <w:rFonts w:ascii="Times New Roman" w:hAnsi="Times New Roman" w:cs="Times New Roman"/>
                <w:b/>
                <w:sz w:val="18"/>
                <w:szCs w:val="14"/>
                <w:lang w:val="ro-RO" w:eastAsia="de-DE"/>
              </w:rPr>
              <w:t>eficienţă energetică</w:t>
            </w:r>
            <w:r w:rsidR="00936847" w:rsidRPr="009C5F11">
              <w:rPr>
                <w:rFonts w:ascii="Times New Roman" w:hAnsi="Times New Roman" w:cs="Times New Roman"/>
                <w:b/>
                <w:sz w:val="18"/>
                <w:szCs w:val="14"/>
                <w:lang w:val="ro-RO" w:eastAsia="de-DE"/>
              </w:rPr>
              <w:t xml:space="preserve"> </w:t>
            </w:r>
            <w:r w:rsidRPr="009C5F11">
              <w:rPr>
                <w:rFonts w:ascii="Times New Roman" w:hAnsi="Times New Roman" w:cs="Times New Roman"/>
                <w:b/>
                <w:sz w:val="18"/>
                <w:szCs w:val="14"/>
                <w:lang w:val="ro-RO" w:eastAsia="de-DE"/>
              </w:rPr>
              <w:t>care să permită reducerea</w:t>
            </w:r>
            <w:r w:rsidR="00936847" w:rsidRPr="009C5F11">
              <w:rPr>
                <w:rFonts w:ascii="Times New Roman" w:hAnsi="Times New Roman" w:cs="Times New Roman"/>
                <w:b/>
                <w:sz w:val="18"/>
                <w:szCs w:val="14"/>
                <w:lang w:val="ro-RO" w:eastAsia="de-DE"/>
              </w:rPr>
              <w:t xml:space="preserve"> </w:t>
            </w:r>
            <w:r w:rsidR="00BA5A89" w:rsidRPr="009C5F11">
              <w:rPr>
                <w:rFonts w:ascii="Times New Roman" w:hAnsi="Times New Roman" w:cs="Times New Roman"/>
                <w:b/>
                <w:sz w:val="18"/>
                <w:szCs w:val="14"/>
                <w:lang w:val="ro-RO" w:eastAsia="de-DE"/>
              </w:rPr>
              <w:t>pierderil</w:t>
            </w:r>
            <w:r w:rsidRPr="009C5F11">
              <w:rPr>
                <w:rFonts w:ascii="Times New Roman" w:hAnsi="Times New Roman" w:cs="Times New Roman"/>
                <w:b/>
                <w:sz w:val="18"/>
                <w:szCs w:val="14"/>
                <w:lang w:val="ro-RO" w:eastAsia="de-DE"/>
              </w:rPr>
              <w:t>or</w:t>
            </w:r>
            <w:r w:rsidR="00321CD5" w:rsidRPr="009C5F11">
              <w:rPr>
                <w:rFonts w:ascii="Times New Roman" w:hAnsi="Times New Roman" w:cs="Times New Roman"/>
                <w:b/>
                <w:sz w:val="18"/>
                <w:szCs w:val="14"/>
                <w:lang w:val="ro-RO" w:eastAsia="de-DE"/>
              </w:rPr>
              <w:t xml:space="preserve"> în </w:t>
            </w:r>
            <w:r w:rsidR="008E0271" w:rsidRPr="009C5F11">
              <w:rPr>
                <w:rFonts w:ascii="Times New Roman" w:hAnsi="Times New Roman" w:cs="Times New Roman"/>
                <w:b/>
                <w:sz w:val="18"/>
                <w:szCs w:val="14"/>
                <w:lang w:val="ro-RO" w:eastAsia="de-DE"/>
              </w:rPr>
              <w:t>reţelele de distribuţie</w:t>
            </w:r>
            <w:r w:rsidRPr="009C5F11">
              <w:rPr>
                <w:rFonts w:ascii="Times New Roman" w:hAnsi="Times New Roman" w:cs="Times New Roman"/>
                <w:b/>
                <w:sz w:val="18"/>
                <w:szCs w:val="14"/>
                <w:lang w:val="ro-RO" w:eastAsia="de-DE"/>
              </w:rPr>
              <w:t xml:space="preserve"> a energiei electrice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destul de frecvent aceste </w:t>
            </w:r>
            <w:r w:rsidR="00E10BE5" w:rsidRPr="009C5F11">
              <w:rPr>
                <w:rFonts w:ascii="Times New Roman" w:hAnsi="Times New Roman" w:cs="Times New Roman"/>
                <w:sz w:val="18"/>
                <w:szCs w:val="14"/>
                <w:lang w:val="ro-RO" w:eastAsia="de-DE"/>
              </w:rPr>
              <w:t>măsuri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pot fi</w:t>
            </w:r>
            <w:r w:rsidR="00936847" w:rsidRPr="009C5F11">
              <w:rPr>
                <w:rFonts w:ascii="Times New Roman" w:hAnsi="Times New Roman" w:cs="Times New Roman"/>
                <w:sz w:val="18"/>
                <w:szCs w:val="14"/>
                <w:lang w:val="ro-RO" w:eastAsia="de-DE"/>
              </w:rPr>
              <w:t xml:space="preserve"> identifi</w:t>
            </w:r>
            <w:r w:rsidRPr="009C5F11">
              <w:rPr>
                <w:rFonts w:ascii="Times New Roman" w:hAnsi="Times New Roman" w:cs="Times New Roman"/>
                <w:sz w:val="18"/>
                <w:szCs w:val="14"/>
                <w:lang w:val="ro-RO" w:eastAsia="de-DE"/>
              </w:rPr>
              <w:t xml:space="preserve">cate în </w:t>
            </w:r>
            <w:r w:rsidR="00421FA7" w:rsidRPr="009C5F11">
              <w:rPr>
                <w:rFonts w:ascii="Times New Roman" w:hAnsi="Times New Roman" w:cs="Times New Roman"/>
                <w:sz w:val="18"/>
                <w:szCs w:val="14"/>
                <w:lang w:val="ro-RO" w:eastAsia="de-DE"/>
              </w:rPr>
              <w:t>programe</w:t>
            </w:r>
            <w:r w:rsidRPr="009C5F11">
              <w:rPr>
                <w:rFonts w:ascii="Times New Roman" w:hAnsi="Times New Roman" w:cs="Times New Roman"/>
                <w:sz w:val="18"/>
                <w:szCs w:val="14"/>
                <w:lang w:val="ro-RO" w:eastAsia="de-DE"/>
              </w:rPr>
              <w:t xml:space="preserve">le investiţionale ale </w:t>
            </w:r>
            <w:r w:rsidR="004000CC" w:rsidRPr="009C5F11">
              <w:rPr>
                <w:rFonts w:ascii="Times New Roman" w:hAnsi="Times New Roman" w:cs="Times New Roman"/>
                <w:sz w:val="18"/>
                <w:szCs w:val="14"/>
                <w:lang w:val="ro-RO" w:eastAsia="de-DE"/>
              </w:rPr>
              <w:t>operatori</w:t>
            </w:r>
            <w:r w:rsidRPr="009C5F11">
              <w:rPr>
                <w:rFonts w:ascii="Times New Roman" w:hAnsi="Times New Roman" w:cs="Times New Roman"/>
                <w:sz w:val="18"/>
                <w:szCs w:val="14"/>
                <w:lang w:val="ro-RO" w:eastAsia="de-DE"/>
              </w:rPr>
              <w:t>lor</w:t>
            </w:r>
            <w:r w:rsidR="00936847" w:rsidRPr="009C5F11">
              <w:rPr>
                <w:rFonts w:ascii="Times New Roman" w:hAnsi="Times New Roman" w:cs="Times New Roman"/>
                <w:sz w:val="18"/>
                <w:szCs w:val="14"/>
                <w:lang w:val="ro-RO" w:eastAsia="de-DE"/>
              </w:rPr>
              <w:t>).</w:t>
            </w:r>
          </w:p>
          <w:p w14:paraId="3F5504FC" w14:textId="77777777" w:rsidR="00936847" w:rsidRPr="009C5F11" w:rsidRDefault="00321CD5" w:rsidP="00334F3B">
            <w:pPr>
              <w:numPr>
                <w:ilvl w:val="0"/>
                <w:numId w:val="124"/>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Ministerul Economiei</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 xml:space="preserve">va elabora un </w:t>
            </w:r>
            <w:r w:rsidR="00936847" w:rsidRPr="009C5F11">
              <w:rPr>
                <w:rFonts w:ascii="Times New Roman" w:hAnsi="Times New Roman" w:cs="Times New Roman"/>
                <w:b/>
                <w:sz w:val="18"/>
                <w:szCs w:val="14"/>
                <w:lang w:val="ro-RO" w:eastAsia="de-DE"/>
              </w:rPr>
              <w:t>progra</w:t>
            </w:r>
            <w:r w:rsidR="00480806" w:rsidRPr="009C5F11">
              <w:rPr>
                <w:rFonts w:ascii="Times New Roman" w:hAnsi="Times New Roman" w:cs="Times New Roman"/>
                <w:b/>
                <w:sz w:val="18"/>
                <w:szCs w:val="14"/>
                <w:lang w:val="ro-RO" w:eastAsia="de-DE"/>
              </w:rPr>
              <w:t>m de dezvoltare</w:t>
            </w:r>
            <w:r w:rsidR="00936847" w:rsidRPr="009C5F11">
              <w:rPr>
                <w:rFonts w:ascii="Times New Roman" w:hAnsi="Times New Roman" w:cs="Times New Roman"/>
                <w:b/>
                <w:sz w:val="18"/>
                <w:szCs w:val="14"/>
                <w:lang w:val="ro-RO" w:eastAsia="de-DE"/>
              </w:rPr>
              <w:t xml:space="preserve"> </w:t>
            </w:r>
            <w:r w:rsidR="00480806" w:rsidRPr="009C5F11">
              <w:rPr>
                <w:rFonts w:ascii="Times New Roman" w:hAnsi="Times New Roman" w:cs="Times New Roman"/>
                <w:b/>
                <w:sz w:val="18"/>
                <w:szCs w:val="14"/>
                <w:lang w:val="ro-RO" w:eastAsia="de-DE"/>
              </w:rPr>
              <w:t xml:space="preserve">pentru sistemul de transport al </w:t>
            </w:r>
            <w:r w:rsidR="00334259" w:rsidRPr="009C5F11">
              <w:rPr>
                <w:rFonts w:ascii="Times New Roman" w:hAnsi="Times New Roman" w:cs="Times New Roman"/>
                <w:b/>
                <w:sz w:val="18"/>
                <w:szCs w:val="14"/>
                <w:lang w:val="ro-RO" w:eastAsia="de-DE"/>
              </w:rPr>
              <w:t>energi</w:t>
            </w:r>
            <w:r w:rsidR="00480806" w:rsidRPr="009C5F11">
              <w:rPr>
                <w:rFonts w:ascii="Times New Roman" w:hAnsi="Times New Roman" w:cs="Times New Roman"/>
                <w:b/>
                <w:sz w:val="18"/>
                <w:szCs w:val="14"/>
                <w:lang w:val="ro-RO" w:eastAsia="de-DE"/>
              </w:rPr>
              <w:t>ei</w:t>
            </w:r>
            <w:r w:rsidR="00334259" w:rsidRPr="009C5F11">
              <w:rPr>
                <w:rFonts w:ascii="Times New Roman" w:hAnsi="Times New Roman" w:cs="Times New Roman"/>
                <w:b/>
                <w:sz w:val="18"/>
                <w:szCs w:val="14"/>
                <w:lang w:val="ro-RO" w:eastAsia="de-DE"/>
              </w:rPr>
              <w:t xml:space="preserve"> electric</w:t>
            </w:r>
            <w:r w:rsidR="00480806" w:rsidRPr="009C5F11">
              <w:rPr>
                <w:rFonts w:ascii="Times New Roman" w:hAnsi="Times New Roman" w:cs="Times New Roman"/>
                <w:b/>
                <w:sz w:val="18"/>
                <w:szCs w:val="14"/>
                <w:lang w:val="ro-RO" w:eastAsia="de-DE"/>
              </w:rPr>
              <w:t>e</w:t>
            </w:r>
            <w:r w:rsidR="00936847" w:rsidRPr="009C5F11">
              <w:rPr>
                <w:rFonts w:ascii="Times New Roman" w:hAnsi="Times New Roman" w:cs="Times New Roman"/>
                <w:sz w:val="18"/>
                <w:szCs w:val="14"/>
                <w:lang w:val="ro-RO" w:eastAsia="de-DE"/>
              </w:rPr>
              <w:t xml:space="preserve">. </w:t>
            </w:r>
          </w:p>
          <w:p w14:paraId="3BAD1F19" w14:textId="77777777" w:rsidR="00936847" w:rsidRPr="009C5F11" w:rsidRDefault="00480806" w:rsidP="00334F3B">
            <w:pPr>
              <w:numPr>
                <w:ilvl w:val="0"/>
                <w:numId w:val="124"/>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Programele proprii de eficienţă energetică </w:t>
            </w:r>
            <w:r w:rsidR="00334DD0" w:rsidRPr="009C5F11">
              <w:rPr>
                <w:rFonts w:ascii="Times New Roman" w:hAnsi="Times New Roman" w:cs="Times New Roman"/>
                <w:sz w:val="18"/>
                <w:szCs w:val="14"/>
                <w:lang w:val="ro-RO" w:eastAsia="de-DE"/>
              </w:rPr>
              <w:t>aprobat</w:t>
            </w:r>
            <w:r w:rsidRPr="009C5F11">
              <w:rPr>
                <w:rFonts w:ascii="Times New Roman" w:hAnsi="Times New Roman" w:cs="Times New Roman"/>
                <w:sz w:val="18"/>
                <w:szCs w:val="14"/>
                <w:lang w:val="ro-RO" w:eastAsia="de-DE"/>
              </w:rPr>
              <w:t>e</w:t>
            </w:r>
            <w:r w:rsidR="00334DD0" w:rsidRPr="009C5F11">
              <w:rPr>
                <w:rFonts w:ascii="Times New Roman" w:hAnsi="Times New Roman" w:cs="Times New Roman"/>
                <w:sz w:val="18"/>
                <w:szCs w:val="14"/>
                <w:lang w:val="ro-RO" w:eastAsia="de-DE"/>
              </w:rPr>
              <w:t xml:space="preserve"> de</w:t>
            </w:r>
            <w:r w:rsidR="00936847" w:rsidRPr="009C5F11">
              <w:rPr>
                <w:rFonts w:ascii="Times New Roman" w:hAnsi="Times New Roman" w:cs="Times New Roman"/>
                <w:sz w:val="18"/>
                <w:szCs w:val="14"/>
                <w:lang w:val="ro-RO" w:eastAsia="de-DE"/>
              </w:rPr>
              <w:t xml:space="preserve"> </w:t>
            </w:r>
            <w:r w:rsidR="004000CC" w:rsidRPr="009C5F11">
              <w:rPr>
                <w:rFonts w:ascii="Times New Roman" w:hAnsi="Times New Roman" w:cs="Times New Roman"/>
                <w:sz w:val="18"/>
                <w:szCs w:val="14"/>
                <w:lang w:val="ro-RO" w:eastAsia="de-DE"/>
              </w:rPr>
              <w:t>operatori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vor fi prezentate</w:t>
            </w:r>
            <w:r w:rsidR="00936847" w:rsidRPr="009C5F11">
              <w:rPr>
                <w:rFonts w:ascii="Times New Roman" w:hAnsi="Times New Roman" w:cs="Times New Roman"/>
                <w:sz w:val="18"/>
                <w:szCs w:val="14"/>
                <w:lang w:val="ro-RO" w:eastAsia="de-DE"/>
              </w:rPr>
              <w:t xml:space="preserve"> </w:t>
            </w:r>
            <w:r w:rsidR="00EA007D" w:rsidRPr="009C5F11">
              <w:rPr>
                <w:rFonts w:ascii="Times New Roman" w:hAnsi="Times New Roman" w:cs="Times New Roman"/>
                <w:sz w:val="18"/>
                <w:szCs w:val="14"/>
                <w:lang w:val="ro-RO" w:eastAsia="de-DE"/>
              </w:rPr>
              <w:t>AEE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Operatorii</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vor completa şi prezenta AEE</w:t>
            </w:r>
            <w:r w:rsidR="003B4DAB"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din 3 în 3 ani</w:t>
            </w:r>
            <w:r w:rsidR="003B4DAB"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formulare tipizate cu date despre consumul de energie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Aceste formulare/</w:t>
            </w:r>
            <w:r w:rsidR="003B4DAB" w:rsidRPr="009C5F11">
              <w:rPr>
                <w:rFonts w:ascii="Times New Roman" w:hAnsi="Times New Roman" w:cs="Times New Roman"/>
                <w:sz w:val="18"/>
                <w:szCs w:val="14"/>
                <w:lang w:val="ro-RO" w:eastAsia="de-DE"/>
              </w:rPr>
              <w:t>modele</w:t>
            </w:r>
            <w:r w:rsidRPr="009C5F11">
              <w:rPr>
                <w:rFonts w:ascii="Times New Roman" w:hAnsi="Times New Roman" w:cs="Times New Roman"/>
                <w:sz w:val="18"/>
                <w:szCs w:val="14"/>
                <w:lang w:val="ro-RO" w:eastAsia="de-DE"/>
              </w:rPr>
              <w:t xml:space="preserve"> vor fi elaborate de </w:t>
            </w:r>
            <w:r w:rsidR="00EA007D" w:rsidRPr="009C5F11">
              <w:rPr>
                <w:rFonts w:ascii="Times New Roman" w:hAnsi="Times New Roman" w:cs="Times New Roman"/>
                <w:sz w:val="18"/>
                <w:szCs w:val="14"/>
                <w:lang w:val="ro-RO" w:eastAsia="de-DE"/>
              </w:rPr>
              <w:t>AEE</w:t>
            </w:r>
            <w:r w:rsidR="00321CD5" w:rsidRPr="009C5F11">
              <w:rPr>
                <w:rFonts w:ascii="Times New Roman" w:hAnsi="Times New Roman" w:cs="Times New Roman"/>
                <w:sz w:val="18"/>
                <w:szCs w:val="14"/>
                <w:lang w:val="ro-RO" w:eastAsia="de-DE"/>
              </w:rPr>
              <w:t xml:space="preserve"> în </w:t>
            </w:r>
            <w:r w:rsidRPr="009C5F11">
              <w:rPr>
                <w:rFonts w:ascii="Times New Roman" w:hAnsi="Times New Roman" w:cs="Times New Roman"/>
                <w:sz w:val="18"/>
                <w:szCs w:val="14"/>
                <w:lang w:val="ro-RO" w:eastAsia="de-DE"/>
              </w:rPr>
              <w:t xml:space="preserve">conformitate cu </w:t>
            </w:r>
            <w:r w:rsidR="000A4CC7" w:rsidRPr="009C5F11">
              <w:rPr>
                <w:rFonts w:ascii="Times New Roman" w:hAnsi="Times New Roman" w:cs="Times New Roman"/>
                <w:sz w:val="18"/>
                <w:szCs w:val="14"/>
                <w:lang w:val="ro-RO" w:eastAsia="de-DE"/>
              </w:rPr>
              <w:t>Articolul</w:t>
            </w:r>
            <w:r w:rsidR="00936847" w:rsidRPr="009C5F11">
              <w:rPr>
                <w:rFonts w:ascii="Times New Roman" w:hAnsi="Times New Roman" w:cs="Times New Roman"/>
                <w:sz w:val="18"/>
                <w:szCs w:val="14"/>
                <w:lang w:val="ro-RO" w:eastAsia="de-DE"/>
              </w:rPr>
              <w:t xml:space="preserve"> 23(1) </w:t>
            </w:r>
            <w:r w:rsidRPr="009C5F11">
              <w:rPr>
                <w:rFonts w:ascii="Times New Roman" w:hAnsi="Times New Roman" w:cs="Times New Roman"/>
                <w:sz w:val="18"/>
                <w:szCs w:val="14"/>
                <w:lang w:val="ro-RO" w:eastAsia="de-DE"/>
              </w:rPr>
              <w:t xml:space="preserve">din Legea cu privire la </w:t>
            </w:r>
            <w:r w:rsidR="00812E1D" w:rsidRPr="009C5F11">
              <w:rPr>
                <w:rFonts w:ascii="Times New Roman" w:hAnsi="Times New Roman" w:cs="Times New Roman"/>
                <w:sz w:val="18"/>
                <w:szCs w:val="14"/>
                <w:lang w:val="ro-RO" w:eastAsia="de-DE"/>
              </w:rPr>
              <w:t>eficienţa energetică</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(nr.</w:t>
            </w:r>
            <w:r w:rsidR="00936847" w:rsidRPr="009C5F11">
              <w:rPr>
                <w:rFonts w:ascii="Times New Roman" w:hAnsi="Times New Roman" w:cs="Times New Roman"/>
                <w:sz w:val="18"/>
                <w:szCs w:val="14"/>
                <w:lang w:val="ro-RO" w:eastAsia="de-DE"/>
              </w:rPr>
              <w:t xml:space="preserve"> 142 d</w:t>
            </w:r>
            <w:r w:rsidRPr="009C5F11">
              <w:rPr>
                <w:rFonts w:ascii="Times New Roman" w:hAnsi="Times New Roman" w:cs="Times New Roman"/>
                <w:sz w:val="18"/>
                <w:szCs w:val="14"/>
                <w:lang w:val="ro-RO" w:eastAsia="de-DE"/>
              </w:rPr>
              <w:t>in</w:t>
            </w:r>
            <w:r w:rsidR="00936847" w:rsidRPr="009C5F11">
              <w:rPr>
                <w:rFonts w:ascii="Times New Roman" w:hAnsi="Times New Roman" w:cs="Times New Roman"/>
                <w:sz w:val="18"/>
                <w:szCs w:val="14"/>
                <w:lang w:val="ro-RO" w:eastAsia="de-DE"/>
              </w:rPr>
              <w:t xml:space="preserve"> 02 </w:t>
            </w:r>
            <w:r w:rsidR="000A4CC7" w:rsidRPr="009C5F11">
              <w:rPr>
                <w:rFonts w:ascii="Times New Roman" w:hAnsi="Times New Roman" w:cs="Times New Roman"/>
                <w:sz w:val="18"/>
                <w:szCs w:val="14"/>
                <w:lang w:val="ro-RO" w:eastAsia="de-DE"/>
              </w:rPr>
              <w:t>iulie</w:t>
            </w:r>
            <w:r w:rsidR="00936847" w:rsidRPr="009C5F11">
              <w:rPr>
                <w:rFonts w:ascii="Times New Roman" w:hAnsi="Times New Roman" w:cs="Times New Roman"/>
                <w:sz w:val="18"/>
                <w:szCs w:val="14"/>
                <w:lang w:val="ro-RO" w:eastAsia="de-DE"/>
              </w:rPr>
              <w:t xml:space="preserve"> 2010</w:t>
            </w:r>
            <w:r w:rsidRPr="009C5F11">
              <w:rPr>
                <w:rFonts w:ascii="Times New Roman" w:hAnsi="Times New Roman" w:cs="Times New Roman"/>
                <w:sz w:val="18"/>
                <w:szCs w:val="14"/>
                <w:lang w:val="ro-RO" w:eastAsia="de-DE"/>
              </w:rPr>
              <w:t>)</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distribu</w:t>
            </w:r>
            <w:r w:rsidRPr="009C5F11">
              <w:rPr>
                <w:rFonts w:ascii="Times New Roman" w:hAnsi="Times New Roman" w:cs="Times New Roman"/>
                <w:sz w:val="18"/>
                <w:szCs w:val="14"/>
                <w:lang w:val="ro-RO" w:eastAsia="de-DE"/>
              </w:rPr>
              <w:t>ite</w:t>
            </w:r>
            <w:r w:rsidR="00936847" w:rsidRPr="009C5F11">
              <w:rPr>
                <w:rFonts w:ascii="Times New Roman" w:hAnsi="Times New Roman" w:cs="Times New Roman"/>
                <w:sz w:val="18"/>
                <w:szCs w:val="14"/>
                <w:lang w:val="ro-RO" w:eastAsia="de-DE"/>
              </w:rPr>
              <w:t xml:space="preserve"> </w:t>
            </w:r>
            <w:r w:rsidR="004000CC" w:rsidRPr="009C5F11">
              <w:rPr>
                <w:rFonts w:ascii="Times New Roman" w:hAnsi="Times New Roman" w:cs="Times New Roman"/>
                <w:sz w:val="18"/>
                <w:szCs w:val="14"/>
                <w:lang w:val="ro-RO" w:eastAsia="de-DE"/>
              </w:rPr>
              <w:t>operatori</w:t>
            </w:r>
            <w:r w:rsidRPr="009C5F11">
              <w:rPr>
                <w:rFonts w:ascii="Times New Roman" w:hAnsi="Times New Roman" w:cs="Times New Roman"/>
                <w:sz w:val="18"/>
                <w:szCs w:val="14"/>
                <w:lang w:val="ro-RO" w:eastAsia="de-DE"/>
              </w:rPr>
              <w:t>lor din timp</w:t>
            </w:r>
            <w:r w:rsidR="00936847" w:rsidRPr="009C5F11">
              <w:rPr>
                <w:rFonts w:ascii="Times New Roman" w:hAnsi="Times New Roman" w:cs="Times New Roman"/>
                <w:sz w:val="18"/>
                <w:szCs w:val="14"/>
                <w:lang w:val="ro-RO" w:eastAsia="de-DE"/>
              </w:rPr>
              <w:t>.</w:t>
            </w:r>
          </w:p>
          <w:p w14:paraId="7B8EDCF7" w14:textId="77777777" w:rsidR="00936847" w:rsidRPr="009C5F11" w:rsidRDefault="00421FA7" w:rsidP="00334F3B">
            <w:pPr>
              <w:numPr>
                <w:ilvl w:val="0"/>
                <w:numId w:val="124"/>
              </w:num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Program</w:t>
            </w:r>
            <w:r w:rsidR="00480806" w:rsidRPr="009C5F11">
              <w:rPr>
                <w:rFonts w:ascii="Times New Roman" w:hAnsi="Times New Roman" w:cs="Times New Roman"/>
                <w:sz w:val="18"/>
                <w:szCs w:val="14"/>
                <w:lang w:val="ro-RO" w:eastAsia="de-DE"/>
              </w:rPr>
              <w:t xml:space="preserve">ele vor cuprinde </w:t>
            </w:r>
            <w:r w:rsidR="00D77687" w:rsidRPr="009C5F11">
              <w:rPr>
                <w:rFonts w:ascii="Times New Roman" w:hAnsi="Times New Roman" w:cs="Times New Roman"/>
                <w:sz w:val="18"/>
                <w:szCs w:val="14"/>
                <w:lang w:val="ro-RO" w:eastAsia="de-DE"/>
              </w:rPr>
              <w:t>măsuri de eficienţă energetică</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ce urmează a fi realizate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costul estimat şi sursa de finanţare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 xml:space="preserve">termenul-limită </w:t>
            </w:r>
            <w:r w:rsidR="00321CD5" w:rsidRPr="009C5F11">
              <w:rPr>
                <w:rFonts w:ascii="Times New Roman" w:hAnsi="Times New Roman" w:cs="Times New Roman"/>
                <w:sz w:val="18"/>
                <w:szCs w:val="14"/>
                <w:lang w:val="ro-RO" w:eastAsia="de-DE"/>
              </w:rPr>
              <w:t xml:space="preserve">şi </w:t>
            </w:r>
            <w:r w:rsidR="00C639BC" w:rsidRPr="009C5F11">
              <w:rPr>
                <w:rFonts w:ascii="Times New Roman" w:hAnsi="Times New Roman" w:cs="Times New Roman"/>
                <w:sz w:val="18"/>
                <w:szCs w:val="14"/>
                <w:lang w:val="ro-RO" w:eastAsia="de-DE"/>
              </w:rPr>
              <w:t>economii</w:t>
            </w:r>
            <w:r w:rsidR="00480806" w:rsidRPr="009C5F11">
              <w:rPr>
                <w:rFonts w:ascii="Times New Roman" w:hAnsi="Times New Roman" w:cs="Times New Roman"/>
                <w:sz w:val="18"/>
                <w:szCs w:val="14"/>
                <w:lang w:val="ro-RO" w:eastAsia="de-DE"/>
              </w:rPr>
              <w:t>le</w:t>
            </w:r>
            <w:r w:rsidR="00936847" w:rsidRPr="009C5F11">
              <w:rPr>
                <w:rFonts w:ascii="Times New Roman" w:hAnsi="Times New Roman" w:cs="Times New Roman"/>
                <w:sz w:val="18"/>
                <w:szCs w:val="14"/>
                <w:lang w:val="ro-RO" w:eastAsia="de-DE"/>
              </w:rPr>
              <w:t xml:space="preserve"> </w:t>
            </w:r>
            <w:r w:rsidR="005F3110" w:rsidRPr="009C5F11">
              <w:rPr>
                <w:rFonts w:ascii="Times New Roman" w:hAnsi="Times New Roman" w:cs="Times New Roman"/>
                <w:sz w:val="18"/>
                <w:szCs w:val="14"/>
                <w:lang w:val="ro-RO" w:eastAsia="de-DE"/>
              </w:rPr>
              <w:t>preconizate</w:t>
            </w:r>
            <w:r w:rsidR="00480806" w:rsidRPr="009C5F11">
              <w:rPr>
                <w:rFonts w:ascii="Times New Roman" w:hAnsi="Times New Roman" w:cs="Times New Roman"/>
                <w:sz w:val="18"/>
                <w:szCs w:val="14"/>
                <w:lang w:val="ro-RO" w:eastAsia="de-DE"/>
              </w:rPr>
              <w:t xml:space="preserve"> pe durata </w:t>
            </w:r>
            <w:r w:rsidRPr="009C5F11">
              <w:rPr>
                <w:rFonts w:ascii="Times New Roman" w:hAnsi="Times New Roman" w:cs="Times New Roman"/>
                <w:sz w:val="18"/>
                <w:szCs w:val="14"/>
                <w:lang w:val="ro-RO" w:eastAsia="de-DE"/>
              </w:rPr>
              <w:t>program</w:t>
            </w:r>
            <w:r w:rsidR="00480806" w:rsidRPr="009C5F11">
              <w:rPr>
                <w:rFonts w:ascii="Times New Roman" w:hAnsi="Times New Roman" w:cs="Times New Roman"/>
                <w:sz w:val="18"/>
                <w:szCs w:val="14"/>
                <w:lang w:val="ro-RO" w:eastAsia="de-DE"/>
              </w:rPr>
              <w:t>elor</w:t>
            </w:r>
            <w:r w:rsidR="00936847" w:rsidRPr="009C5F11">
              <w:rPr>
                <w:rFonts w:ascii="Times New Roman" w:hAnsi="Times New Roman" w:cs="Times New Roman"/>
                <w:sz w:val="18"/>
                <w:szCs w:val="14"/>
                <w:lang w:val="ro-RO" w:eastAsia="de-DE"/>
              </w:rPr>
              <w:t xml:space="preserve">. </w:t>
            </w:r>
          </w:p>
          <w:p w14:paraId="32BFFC99" w14:textId="77777777" w:rsidR="00936847" w:rsidRPr="009C5F11" w:rsidRDefault="00480806" w:rsidP="00334F3B">
            <w:pPr>
              <w:numPr>
                <w:ilvl w:val="0"/>
                <w:numId w:val="123"/>
              </w:numPr>
              <w:tabs>
                <w:tab w:val="left" w:pos="1440"/>
                <w:tab w:val="left" w:pos="5040"/>
                <w:tab w:val="right" w:pos="8504"/>
              </w:tabs>
              <w:spacing w:after="0" w:line="240" w:lineRule="auto"/>
              <w:ind w:left="972" w:hanging="27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Sistem de</w:t>
            </w:r>
            <w:r w:rsidR="00936847" w:rsidRPr="009C5F11">
              <w:rPr>
                <w:rFonts w:ascii="Times New Roman" w:hAnsi="Times New Roman" w:cs="Times New Roman"/>
                <w:sz w:val="18"/>
                <w:szCs w:val="14"/>
                <w:lang w:val="ro-RO" w:eastAsia="de-DE"/>
              </w:rPr>
              <w:t xml:space="preserve"> management </w:t>
            </w:r>
            <w:r w:rsidRPr="009C5F11">
              <w:rPr>
                <w:rFonts w:ascii="Times New Roman" w:hAnsi="Times New Roman" w:cs="Times New Roman"/>
                <w:sz w:val="18"/>
                <w:szCs w:val="14"/>
                <w:lang w:val="ro-RO" w:eastAsia="de-DE"/>
              </w:rPr>
              <w:t>energetic</w:t>
            </w:r>
            <w:r w:rsidR="00177E9C" w:rsidRPr="009C5F11">
              <w:rPr>
                <w:rFonts w:ascii="Times New Roman" w:hAnsi="Times New Roman" w:cs="Times New Roman"/>
                <w:sz w:val="18"/>
                <w:szCs w:val="14"/>
                <w:lang w:val="ro-RO" w:eastAsia="de-DE"/>
              </w:rPr>
              <w:t xml:space="preserve"> </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achiziţii de </w:t>
            </w:r>
            <w:r w:rsidR="000C7BEC" w:rsidRPr="009C5F11">
              <w:rPr>
                <w:rFonts w:ascii="Times New Roman" w:hAnsi="Times New Roman" w:cs="Times New Roman"/>
                <w:sz w:val="18"/>
                <w:szCs w:val="14"/>
                <w:lang w:val="ro-RO" w:eastAsia="de-DE"/>
              </w:rPr>
              <w:t>eficienţă energetică</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w:t>
            </w:r>
          </w:p>
          <w:p w14:paraId="0A4A3FA5" w14:textId="77777777" w:rsidR="00936847" w:rsidRPr="009C5F11" w:rsidRDefault="00480806" w:rsidP="00334F3B">
            <w:pPr>
              <w:numPr>
                <w:ilvl w:val="0"/>
                <w:numId w:val="123"/>
              </w:numPr>
              <w:tabs>
                <w:tab w:val="left" w:pos="1440"/>
                <w:tab w:val="left" w:pos="5040"/>
                <w:tab w:val="right" w:pos="8504"/>
              </w:tabs>
              <w:spacing w:after="0" w:line="240" w:lineRule="auto"/>
              <w:ind w:left="972" w:hanging="27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w:t>
            </w:r>
            <w:r w:rsidR="00936847" w:rsidRPr="009C5F11">
              <w:rPr>
                <w:rFonts w:ascii="Times New Roman" w:hAnsi="Times New Roman" w:cs="Times New Roman"/>
                <w:sz w:val="18"/>
                <w:szCs w:val="14"/>
                <w:lang w:val="ro-RO" w:eastAsia="de-DE"/>
              </w:rPr>
              <w:t>creening</w:t>
            </w:r>
            <w:r w:rsidRPr="009C5F11">
              <w:rPr>
                <w:rFonts w:ascii="Times New Roman" w:hAnsi="Times New Roman" w:cs="Times New Roman"/>
                <w:sz w:val="18"/>
                <w:szCs w:val="14"/>
                <w:lang w:val="ro-RO" w:eastAsia="de-DE"/>
              </w:rPr>
              <w:t>-ul fluxului energetic</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pregătirea domeniilor pentru investigaţii speciale</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w:t>
            </w:r>
          </w:p>
          <w:p w14:paraId="5D784A0C" w14:textId="77777777" w:rsidR="00936847" w:rsidRPr="009C5F11" w:rsidRDefault="00480806" w:rsidP="00334F3B">
            <w:pPr>
              <w:numPr>
                <w:ilvl w:val="0"/>
                <w:numId w:val="123"/>
              </w:numPr>
              <w:tabs>
                <w:tab w:val="left" w:pos="1440"/>
                <w:tab w:val="left" w:pos="5040"/>
                <w:tab w:val="right" w:pos="8504"/>
              </w:tabs>
              <w:spacing w:after="0" w:line="240" w:lineRule="auto"/>
              <w:ind w:left="972" w:hanging="27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w:t>
            </w:r>
            <w:r w:rsidR="00936847" w:rsidRPr="009C5F11">
              <w:rPr>
                <w:rFonts w:ascii="Times New Roman" w:hAnsi="Times New Roman" w:cs="Times New Roman"/>
                <w:sz w:val="18"/>
                <w:szCs w:val="14"/>
                <w:lang w:val="ro-RO" w:eastAsia="de-DE"/>
              </w:rPr>
              <w:t>nvestiga</w:t>
            </w:r>
            <w:r w:rsidRPr="009C5F11">
              <w:rPr>
                <w:rFonts w:ascii="Times New Roman" w:hAnsi="Times New Roman" w:cs="Times New Roman"/>
                <w:sz w:val="18"/>
                <w:szCs w:val="14"/>
                <w:lang w:val="ro-RO" w:eastAsia="de-DE"/>
              </w:rPr>
              <w:t>ţii speciale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pentru a</w:t>
            </w:r>
            <w:r w:rsidR="00936847" w:rsidRPr="009C5F11">
              <w:rPr>
                <w:rFonts w:ascii="Times New Roman" w:hAnsi="Times New Roman" w:cs="Times New Roman"/>
                <w:sz w:val="18"/>
                <w:szCs w:val="14"/>
                <w:lang w:val="ro-RO" w:eastAsia="de-DE"/>
              </w:rPr>
              <w:t xml:space="preserve"> identif</w:t>
            </w:r>
            <w:r w:rsidRPr="009C5F11">
              <w:rPr>
                <w:rFonts w:ascii="Times New Roman" w:hAnsi="Times New Roman" w:cs="Times New Roman"/>
                <w:sz w:val="18"/>
                <w:szCs w:val="14"/>
                <w:lang w:val="ro-RO" w:eastAsia="de-DE"/>
              </w:rPr>
              <w:t xml:space="preserve">ica proiecte de economisire a </w:t>
            </w:r>
            <w:r w:rsidR="001E3482" w:rsidRPr="009C5F11">
              <w:rPr>
                <w:rFonts w:ascii="Times New Roman" w:hAnsi="Times New Roman" w:cs="Times New Roman"/>
                <w:sz w:val="18"/>
                <w:szCs w:val="14"/>
                <w:lang w:val="ro-RO" w:eastAsia="de-DE"/>
              </w:rPr>
              <w:t>energie</w:t>
            </w:r>
            <w:r w:rsidRPr="009C5F11">
              <w:rPr>
                <w:rFonts w:ascii="Times New Roman" w:hAnsi="Times New Roman" w:cs="Times New Roman"/>
                <w:sz w:val="18"/>
                <w:szCs w:val="14"/>
                <w:lang w:val="ro-RO" w:eastAsia="de-DE"/>
              </w:rPr>
              <w:t>i</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w:t>
            </w:r>
          </w:p>
          <w:p w14:paraId="6ABD9589" w14:textId="77777777" w:rsidR="00936847" w:rsidRPr="009C5F11" w:rsidRDefault="00480806" w:rsidP="00334F3B">
            <w:pPr>
              <w:numPr>
                <w:ilvl w:val="0"/>
                <w:numId w:val="123"/>
              </w:numPr>
              <w:tabs>
                <w:tab w:val="left" w:pos="1440"/>
                <w:tab w:val="left" w:pos="5040"/>
                <w:tab w:val="right" w:pos="8504"/>
              </w:tabs>
              <w:spacing w:after="0" w:line="240" w:lineRule="auto"/>
              <w:ind w:left="972" w:hanging="27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Proiecte de economisire a energiei </w:t>
            </w:r>
            <w:r w:rsidR="00936847" w:rsidRPr="009C5F11">
              <w:rPr>
                <w:rFonts w:ascii="Times New Roman" w:hAnsi="Times New Roman" w:cs="Times New Roman"/>
                <w:sz w:val="18"/>
                <w:szCs w:val="14"/>
                <w:lang w:val="ro-RO" w:eastAsia="de-DE"/>
              </w:rPr>
              <w:t>(</w:t>
            </w:r>
            <w:r w:rsidR="004E138F" w:rsidRPr="009C5F11">
              <w:rPr>
                <w:rFonts w:ascii="Times New Roman" w:hAnsi="Times New Roman" w:cs="Times New Roman"/>
                <w:sz w:val="18"/>
                <w:szCs w:val="14"/>
                <w:lang w:val="ro-RO" w:eastAsia="de-DE"/>
              </w:rPr>
              <w:t>investiţii</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w:t>
            </w:r>
          </w:p>
          <w:p w14:paraId="061E872F" w14:textId="77777777" w:rsidR="00936847" w:rsidRPr="009C5F11" w:rsidRDefault="00B40A7C" w:rsidP="00334F3B">
            <w:pPr>
              <w:numPr>
                <w:ilvl w:val="0"/>
                <w:numId w:val="123"/>
              </w:numPr>
              <w:tabs>
                <w:tab w:val="left" w:pos="1440"/>
                <w:tab w:val="left" w:pos="5040"/>
                <w:tab w:val="right" w:pos="8504"/>
              </w:tabs>
              <w:spacing w:after="0" w:line="240" w:lineRule="auto"/>
              <w:ind w:left="972" w:hanging="27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Monitorizarea</w:t>
            </w:r>
            <w:r w:rsidR="00936847" w:rsidRPr="009C5F11">
              <w:rPr>
                <w:rFonts w:ascii="Times New Roman" w:hAnsi="Times New Roman" w:cs="Times New Roman"/>
                <w:sz w:val="18"/>
                <w:szCs w:val="14"/>
                <w:lang w:val="ro-RO" w:eastAsia="de-DE"/>
              </w:rPr>
              <w:t xml:space="preserve"> </w:t>
            </w:r>
            <w:r w:rsidR="00D27C3A" w:rsidRPr="009C5F11">
              <w:rPr>
                <w:rFonts w:ascii="Times New Roman" w:hAnsi="Times New Roman" w:cs="Times New Roman"/>
                <w:sz w:val="18"/>
                <w:szCs w:val="14"/>
                <w:lang w:val="ro-RO" w:eastAsia="de-DE"/>
              </w:rPr>
              <w:t>indicatori</w:t>
            </w:r>
            <w:r w:rsidR="00480806" w:rsidRPr="009C5F11">
              <w:rPr>
                <w:rFonts w:ascii="Times New Roman" w:hAnsi="Times New Roman" w:cs="Times New Roman"/>
                <w:sz w:val="18"/>
                <w:szCs w:val="14"/>
                <w:lang w:val="ro-RO" w:eastAsia="de-DE"/>
              </w:rPr>
              <w:t>lor</w:t>
            </w:r>
            <w:r w:rsidR="00936847" w:rsidRPr="009C5F11">
              <w:rPr>
                <w:rFonts w:ascii="Times New Roman" w:hAnsi="Times New Roman" w:cs="Times New Roman"/>
                <w:sz w:val="18"/>
                <w:szCs w:val="14"/>
                <w:lang w:val="ro-RO" w:eastAsia="de-DE"/>
              </w:rPr>
              <w:t xml:space="preserve"> (2015-2017) </w:t>
            </w:r>
            <w:r w:rsidR="00480806" w:rsidRPr="009C5F11">
              <w:rPr>
                <w:rFonts w:ascii="Times New Roman" w:hAnsi="Times New Roman" w:cs="Times New Roman"/>
                <w:sz w:val="18"/>
                <w:szCs w:val="14"/>
                <w:lang w:val="ro-RO" w:eastAsia="de-DE"/>
              </w:rPr>
              <w:t>pentru</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Programul</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 xml:space="preserve">de </w:t>
            </w:r>
            <w:r w:rsidR="00C2356A" w:rsidRPr="009C5F11">
              <w:rPr>
                <w:rFonts w:ascii="Times New Roman" w:hAnsi="Times New Roman" w:cs="Times New Roman"/>
                <w:sz w:val="18"/>
                <w:szCs w:val="14"/>
                <w:lang w:val="ro-RO" w:eastAsia="de-DE"/>
              </w:rPr>
              <w:t>reabilitare</w:t>
            </w:r>
            <w:r w:rsidR="00480806" w:rsidRPr="009C5F11">
              <w:rPr>
                <w:rFonts w:ascii="Times New Roman" w:hAnsi="Times New Roman" w:cs="Times New Roman"/>
                <w:sz w:val="18"/>
                <w:szCs w:val="14"/>
                <w:lang w:val="ro-RO" w:eastAsia="de-DE"/>
              </w:rPr>
              <w:t xml:space="preserve"> </w:t>
            </w:r>
            <w:r w:rsidR="00C2356A" w:rsidRPr="009C5F11">
              <w:rPr>
                <w:rFonts w:ascii="Times New Roman" w:hAnsi="Times New Roman" w:cs="Times New Roman"/>
                <w:sz w:val="18"/>
                <w:szCs w:val="14"/>
                <w:lang w:val="ro-RO" w:eastAsia="de-DE"/>
              </w:rPr>
              <w:t>a</w:t>
            </w:r>
            <w:r w:rsidR="00936847"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reţelelor de transport al energiei electrice</w:t>
            </w:r>
            <w:r w:rsidR="00936847" w:rsidRPr="009C5F11">
              <w:rPr>
                <w:rFonts w:ascii="Times New Roman" w:hAnsi="Times New Roman" w:cs="Times New Roman"/>
                <w:sz w:val="18"/>
                <w:szCs w:val="14"/>
                <w:lang w:val="ro-RO" w:eastAsia="de-DE"/>
              </w:rPr>
              <w:t>:</w:t>
            </w:r>
          </w:p>
          <w:p w14:paraId="5C34C474" w14:textId="77777777" w:rsidR="00936847" w:rsidRPr="009C5F11" w:rsidRDefault="00936847" w:rsidP="00334F3B">
            <w:pPr>
              <w:numPr>
                <w:ilvl w:val="0"/>
                <w:numId w:val="121"/>
              </w:numPr>
              <w:tabs>
                <w:tab w:val="left" w:pos="1242"/>
                <w:tab w:val="left" w:pos="5040"/>
                <w:tab w:val="right" w:pos="8504"/>
              </w:tabs>
              <w:spacing w:after="0" w:line="240" w:lineRule="auto"/>
              <w:ind w:left="972" w:firstLine="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Reabilita</w:t>
            </w:r>
            <w:r w:rsidR="00480806" w:rsidRPr="009C5F11">
              <w:rPr>
                <w:rFonts w:ascii="Times New Roman" w:hAnsi="Times New Roman" w:cs="Times New Roman"/>
                <w:sz w:val="18"/>
                <w:szCs w:val="14"/>
                <w:lang w:val="ro-RO" w:eastAsia="de-DE"/>
              </w:rPr>
              <w:t xml:space="preserve">rea reţelei de </w:t>
            </w:r>
            <w:r w:rsidR="008F7BD5" w:rsidRPr="009C5F11">
              <w:rPr>
                <w:rFonts w:ascii="Times New Roman" w:hAnsi="Times New Roman" w:cs="Times New Roman"/>
                <w:sz w:val="18"/>
                <w:szCs w:val="14"/>
                <w:lang w:val="ro-RO" w:eastAsia="de-DE"/>
              </w:rPr>
              <w:t>transport</w:t>
            </w:r>
            <w:r w:rsidRPr="009C5F11">
              <w:rPr>
                <w:rFonts w:ascii="Times New Roman" w:hAnsi="Times New Roman" w:cs="Times New Roman"/>
                <w:sz w:val="18"/>
                <w:szCs w:val="14"/>
                <w:lang w:val="ro-RO" w:eastAsia="de-DE"/>
              </w:rPr>
              <w:t>: 128.1 km</w:t>
            </w:r>
            <w:r w:rsidR="00480806" w:rsidRPr="009C5F11">
              <w:rPr>
                <w:rFonts w:ascii="Times New Roman" w:hAnsi="Times New Roman" w:cs="Times New Roman"/>
                <w:sz w:val="18"/>
                <w:szCs w:val="14"/>
                <w:lang w:val="ro-RO" w:eastAsia="de-DE"/>
              </w:rPr>
              <w:t>;</w:t>
            </w:r>
          </w:p>
          <w:p w14:paraId="6F6180B0" w14:textId="77777777" w:rsidR="00936847" w:rsidRPr="009C5F11" w:rsidRDefault="00480806" w:rsidP="00334F3B">
            <w:pPr>
              <w:numPr>
                <w:ilvl w:val="0"/>
                <w:numId w:val="121"/>
              </w:numPr>
              <w:tabs>
                <w:tab w:val="left" w:pos="1242"/>
                <w:tab w:val="left" w:pos="5040"/>
                <w:tab w:val="right" w:pos="8504"/>
              </w:tabs>
              <w:spacing w:after="0" w:line="240" w:lineRule="auto"/>
              <w:ind w:left="972" w:firstLine="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Reconstrucţia</w:t>
            </w:r>
            <w:r w:rsidR="00936847" w:rsidRPr="009C5F11">
              <w:rPr>
                <w:rFonts w:ascii="Times New Roman" w:hAnsi="Times New Roman" w:cs="Times New Roman"/>
                <w:sz w:val="18"/>
                <w:szCs w:val="14"/>
                <w:lang w:val="ro-RO" w:eastAsia="de-DE"/>
              </w:rPr>
              <w:t xml:space="preserve"> </w:t>
            </w:r>
            <w:r w:rsidR="005F3110" w:rsidRPr="009C5F11">
              <w:rPr>
                <w:rFonts w:ascii="Times New Roman" w:hAnsi="Times New Roman" w:cs="Times New Roman"/>
                <w:sz w:val="18"/>
                <w:szCs w:val="14"/>
                <w:lang w:val="ro-RO" w:eastAsia="de-DE"/>
              </w:rPr>
              <w:t>facilităţilor</w:t>
            </w:r>
            <w:r w:rsidR="00936847" w:rsidRPr="009C5F11">
              <w:rPr>
                <w:rFonts w:ascii="Times New Roman" w:hAnsi="Times New Roman" w:cs="Times New Roman"/>
                <w:sz w:val="18"/>
                <w:szCs w:val="14"/>
                <w:lang w:val="ro-RO" w:eastAsia="de-DE"/>
              </w:rPr>
              <w:t>: 45</w:t>
            </w:r>
            <w:r w:rsidRPr="009C5F11">
              <w:rPr>
                <w:rFonts w:ascii="Times New Roman" w:hAnsi="Times New Roman" w:cs="Times New Roman"/>
                <w:sz w:val="18"/>
                <w:szCs w:val="14"/>
                <w:lang w:val="ro-RO" w:eastAsia="de-DE"/>
              </w:rPr>
              <w:t>;</w:t>
            </w:r>
          </w:p>
          <w:p w14:paraId="0A92C505" w14:textId="77777777" w:rsidR="00936847" w:rsidRPr="009C5F11" w:rsidRDefault="00480806" w:rsidP="00334F3B">
            <w:pPr>
              <w:numPr>
                <w:ilvl w:val="0"/>
                <w:numId w:val="121"/>
              </w:numPr>
              <w:tabs>
                <w:tab w:val="left" w:pos="1242"/>
                <w:tab w:val="left" w:pos="5040"/>
                <w:tab w:val="right" w:pos="8504"/>
              </w:tabs>
              <w:spacing w:after="0" w:line="240" w:lineRule="auto"/>
              <w:ind w:left="972" w:firstLine="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Reconstrucţia</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instalaţiilor de </w:t>
            </w:r>
            <w:r w:rsidR="008F7BD5" w:rsidRPr="009C5F11">
              <w:rPr>
                <w:rFonts w:ascii="Times New Roman" w:hAnsi="Times New Roman" w:cs="Times New Roman"/>
                <w:sz w:val="18"/>
                <w:szCs w:val="14"/>
                <w:lang w:val="ro-RO" w:eastAsia="de-DE"/>
              </w:rPr>
              <w:t>distribuţie</w:t>
            </w:r>
            <w:r w:rsidR="00936847" w:rsidRPr="009C5F11">
              <w:rPr>
                <w:rFonts w:ascii="Times New Roman" w:hAnsi="Times New Roman" w:cs="Times New Roman"/>
                <w:sz w:val="18"/>
                <w:szCs w:val="14"/>
                <w:lang w:val="ro-RO" w:eastAsia="de-DE"/>
              </w:rPr>
              <w:t xml:space="preserve"> 10 kV: 3</w:t>
            </w:r>
            <w:r w:rsidRPr="009C5F11">
              <w:rPr>
                <w:rFonts w:ascii="Times New Roman" w:hAnsi="Times New Roman" w:cs="Times New Roman"/>
                <w:sz w:val="18"/>
                <w:szCs w:val="14"/>
                <w:lang w:val="ro-RO" w:eastAsia="de-DE"/>
              </w:rPr>
              <w:t>;</w:t>
            </w:r>
          </w:p>
          <w:p w14:paraId="3B9D05A4" w14:textId="77777777" w:rsidR="00936847" w:rsidRPr="009C5F11" w:rsidRDefault="00480806" w:rsidP="00334F3B">
            <w:pPr>
              <w:numPr>
                <w:ilvl w:val="0"/>
                <w:numId w:val="121"/>
              </w:numPr>
              <w:tabs>
                <w:tab w:val="left" w:pos="1242"/>
                <w:tab w:val="left" w:pos="5040"/>
                <w:tab w:val="right" w:pos="8504"/>
              </w:tabs>
              <w:spacing w:after="0" w:line="240" w:lineRule="auto"/>
              <w:ind w:left="1283" w:hanging="311"/>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Substaţii</w:t>
            </w:r>
            <w:r w:rsidR="00936847" w:rsidRPr="009C5F11">
              <w:rPr>
                <w:rFonts w:ascii="Times New Roman" w:hAnsi="Times New Roman" w:cs="Times New Roman"/>
                <w:sz w:val="18"/>
                <w:szCs w:val="14"/>
                <w:lang w:val="ro-RO" w:eastAsia="de-DE"/>
              </w:rPr>
              <w:t xml:space="preserve"> total</w:t>
            </w:r>
            <w:r w:rsidR="00321CD5" w:rsidRPr="009C5F11">
              <w:rPr>
                <w:rFonts w:ascii="Times New Roman" w:hAnsi="Times New Roman" w:cs="Times New Roman"/>
                <w:sz w:val="18"/>
                <w:szCs w:val="14"/>
                <w:lang w:val="ro-RO" w:eastAsia="de-DE"/>
              </w:rPr>
              <w:t xml:space="preserve"> sau </w:t>
            </w:r>
            <w:r w:rsidR="00936847" w:rsidRPr="009C5F11">
              <w:rPr>
                <w:rFonts w:ascii="Times New Roman" w:hAnsi="Times New Roman" w:cs="Times New Roman"/>
                <w:sz w:val="18"/>
                <w:szCs w:val="14"/>
                <w:lang w:val="ro-RO" w:eastAsia="de-DE"/>
              </w:rPr>
              <w:t>par</w:t>
            </w:r>
            <w:r w:rsidRPr="009C5F11">
              <w:rPr>
                <w:rFonts w:ascii="Times New Roman" w:hAnsi="Times New Roman" w:cs="Times New Roman"/>
                <w:sz w:val="18"/>
                <w:szCs w:val="14"/>
                <w:lang w:val="ro-RO" w:eastAsia="de-DE"/>
              </w:rPr>
              <w:t>ţ</w:t>
            </w:r>
            <w:r w:rsidR="00936847" w:rsidRPr="009C5F11">
              <w:rPr>
                <w:rFonts w:ascii="Times New Roman" w:hAnsi="Times New Roman" w:cs="Times New Roman"/>
                <w:sz w:val="18"/>
                <w:szCs w:val="14"/>
                <w:lang w:val="ro-RO" w:eastAsia="de-DE"/>
              </w:rPr>
              <w:t>ial re</w:t>
            </w:r>
            <w:r w:rsidRPr="009C5F11">
              <w:rPr>
                <w:rFonts w:ascii="Times New Roman" w:hAnsi="Times New Roman" w:cs="Times New Roman"/>
                <w:sz w:val="18"/>
                <w:szCs w:val="14"/>
                <w:lang w:val="ro-RO" w:eastAsia="de-DE"/>
              </w:rPr>
              <w:t>construite</w:t>
            </w:r>
            <w:r w:rsidR="00936847" w:rsidRPr="009C5F11">
              <w:rPr>
                <w:rFonts w:ascii="Times New Roman" w:hAnsi="Times New Roman" w:cs="Times New Roman"/>
                <w:sz w:val="18"/>
                <w:szCs w:val="14"/>
                <w:lang w:val="ro-RO" w:eastAsia="de-DE"/>
              </w:rPr>
              <w:t xml:space="preserve"> (</w:t>
            </w:r>
            <w:r w:rsidR="00603237" w:rsidRPr="009C5F11">
              <w:rPr>
                <w:rFonts w:ascii="Times New Roman" w:hAnsi="Times New Roman" w:cs="Times New Roman"/>
                <w:sz w:val="18"/>
                <w:szCs w:val="14"/>
                <w:lang w:val="ro-RO" w:eastAsia="de-DE"/>
              </w:rPr>
              <w:t>din</w:t>
            </w:r>
            <w:r w:rsidR="00936847" w:rsidRPr="009C5F11">
              <w:rPr>
                <w:rFonts w:ascii="Times New Roman" w:hAnsi="Times New Roman" w:cs="Times New Roman"/>
                <w:sz w:val="18"/>
                <w:szCs w:val="14"/>
                <w:lang w:val="ro-RO" w:eastAsia="de-DE"/>
              </w:rPr>
              <w:t xml:space="preserve"> 45 </w:t>
            </w:r>
            <w:r w:rsidRPr="009C5F11">
              <w:rPr>
                <w:rFonts w:ascii="Times New Roman" w:hAnsi="Times New Roman" w:cs="Times New Roman"/>
                <w:sz w:val="18"/>
                <w:szCs w:val="14"/>
                <w:lang w:val="ro-RO" w:eastAsia="de-DE"/>
              </w:rPr>
              <w:t xml:space="preserve">de </w:t>
            </w:r>
            <w:r w:rsidR="005F3110" w:rsidRPr="009C5F11">
              <w:rPr>
                <w:rFonts w:ascii="Times New Roman" w:hAnsi="Times New Roman" w:cs="Times New Roman"/>
                <w:sz w:val="18"/>
                <w:szCs w:val="14"/>
                <w:lang w:val="ro-RO" w:eastAsia="de-DE"/>
              </w:rPr>
              <w:t>facilităţi</w:t>
            </w:r>
            <w:r w:rsidR="00936847" w:rsidRPr="009C5F11">
              <w:rPr>
                <w:rFonts w:ascii="Times New Roman" w:hAnsi="Times New Roman" w:cs="Times New Roman"/>
                <w:sz w:val="18"/>
                <w:szCs w:val="14"/>
                <w:lang w:val="ro-RO" w:eastAsia="de-DE"/>
              </w:rPr>
              <w:t>): 5</w:t>
            </w:r>
            <w:r w:rsidRPr="009C5F11">
              <w:rPr>
                <w:rFonts w:ascii="Times New Roman" w:hAnsi="Times New Roman" w:cs="Times New Roman"/>
                <w:sz w:val="18"/>
                <w:szCs w:val="14"/>
                <w:lang w:val="ro-RO" w:eastAsia="de-DE"/>
              </w:rPr>
              <w:t>.</w:t>
            </w:r>
          </w:p>
        </w:tc>
      </w:tr>
      <w:tr w:rsidR="00936847" w:rsidRPr="009C5F11" w14:paraId="48CA48B6" w14:textId="77777777" w:rsidTr="005E08E6">
        <w:trPr>
          <w:trHeight w:val="278"/>
        </w:trPr>
        <w:tc>
          <w:tcPr>
            <w:tcW w:w="743" w:type="pct"/>
            <w:vMerge/>
          </w:tcPr>
          <w:p w14:paraId="7C30BCCA"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4C78CB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266E21B9" w14:textId="77777777" w:rsidR="00715A44" w:rsidRPr="009C5F11" w:rsidRDefault="00792AA6" w:rsidP="00B40DB5">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Strategia sectorială de cheltuieli în domeniul energetic</w:t>
            </w:r>
            <w:r w:rsidR="00936847" w:rsidRPr="009C5F11">
              <w:rPr>
                <w:rFonts w:ascii="Times New Roman" w:hAnsi="Times New Roman" w:cs="Times New Roman"/>
                <w:sz w:val="18"/>
                <w:szCs w:val="14"/>
                <w:lang w:val="ro-RO" w:eastAsia="de-DE"/>
              </w:rPr>
              <w:t>, (</w:t>
            </w:r>
            <w:r w:rsidR="00421FA7" w:rsidRPr="009C5F11">
              <w:rPr>
                <w:rFonts w:ascii="Times New Roman" w:hAnsi="Times New Roman" w:cs="Times New Roman"/>
                <w:sz w:val="18"/>
                <w:szCs w:val="14"/>
                <w:lang w:val="ro-RO" w:eastAsia="de-DE"/>
              </w:rPr>
              <w:t>Programul</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Dezvoltarea sectorului energetic</w:t>
            </w:r>
            <w:r w:rsidR="00936847"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subprogramul</w:t>
            </w:r>
            <w:r w:rsidR="00936847" w:rsidRPr="009C5F11">
              <w:rPr>
                <w:rFonts w:ascii="Times New Roman" w:hAnsi="Times New Roman" w:cs="Times New Roman"/>
                <w:sz w:val="18"/>
                <w:szCs w:val="14"/>
                <w:lang w:val="ro-RO" w:eastAsia="de-DE"/>
              </w:rPr>
              <w:t xml:space="preserve"> “</w:t>
            </w:r>
            <w:r w:rsidR="00A651DF" w:rsidRPr="009C5F11">
              <w:rPr>
                <w:rFonts w:ascii="Times New Roman" w:hAnsi="Times New Roman" w:cs="Times New Roman"/>
                <w:sz w:val="18"/>
                <w:szCs w:val="14"/>
                <w:lang w:val="ro-RO" w:eastAsia="de-DE"/>
              </w:rPr>
              <w:t>Politici şi management în sectorul energetic</w:t>
            </w:r>
            <w:r w:rsidR="00936847" w:rsidRPr="009C5F11">
              <w:rPr>
                <w:rFonts w:ascii="Times New Roman" w:hAnsi="Times New Roman" w:cs="Times New Roman"/>
                <w:sz w:val="18"/>
                <w:szCs w:val="14"/>
                <w:lang w:val="ro-RO" w:eastAsia="de-DE"/>
              </w:rPr>
              <w:t xml:space="preserve">”) </w:t>
            </w:r>
          </w:p>
          <w:p w14:paraId="6A107691" w14:textId="77777777" w:rsidR="00936847" w:rsidRPr="009C5F11" w:rsidRDefault="00936847" w:rsidP="00715A44">
            <w:pPr>
              <w:tabs>
                <w:tab w:val="left" w:pos="702"/>
                <w:tab w:val="left" w:pos="5040"/>
                <w:tab w:val="right" w:pos="8504"/>
              </w:tabs>
              <w:spacing w:before="40"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2016-2018 </w:t>
            </w:r>
          </w:p>
          <w:p w14:paraId="14A19A01" w14:textId="77777777" w:rsidR="00715A44" w:rsidRPr="009C5F11" w:rsidRDefault="00715A44" w:rsidP="00715A44">
            <w:pPr>
              <w:tabs>
                <w:tab w:val="left" w:pos="702"/>
                <w:tab w:val="left" w:pos="5040"/>
                <w:tab w:val="right" w:pos="8504"/>
              </w:tabs>
              <w:spacing w:before="40" w:after="0" w:line="240" w:lineRule="auto"/>
              <w:ind w:firstLine="34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t xml:space="preserve">2016: </w:t>
            </w:r>
            <w:r w:rsidRPr="009C5F11">
              <w:rPr>
                <w:rFonts w:ascii="Times New Roman" w:hAnsi="Times New Roman" w:cs="Times New Roman"/>
                <w:sz w:val="18"/>
                <w:szCs w:val="14"/>
                <w:lang w:val="ro-RO"/>
              </w:rPr>
              <w:t>19,426.2</w:t>
            </w:r>
            <w:r w:rsidR="00480806" w:rsidRPr="009C5F11">
              <w:rPr>
                <w:rFonts w:ascii="Times New Roman" w:hAnsi="Times New Roman" w:cs="Times New Roman"/>
                <w:sz w:val="18"/>
                <w:szCs w:val="14"/>
                <w:lang w:val="ro-RO"/>
              </w:rPr>
              <w:t xml:space="preserve"> </w:t>
            </w:r>
            <w:r w:rsidR="00AA0566" w:rsidRPr="009C5F11">
              <w:rPr>
                <w:rFonts w:ascii="Times New Roman" w:hAnsi="Times New Roman" w:cs="Times New Roman"/>
                <w:sz w:val="18"/>
                <w:szCs w:val="14"/>
                <w:lang w:val="ro-RO" w:eastAsia="de-DE"/>
              </w:rPr>
              <w:t>mii lei</w:t>
            </w:r>
          </w:p>
          <w:p w14:paraId="169DDF79" w14:textId="77777777" w:rsidR="00715A44" w:rsidRPr="009C5F11" w:rsidRDefault="00715A44" w:rsidP="00715A44">
            <w:pPr>
              <w:tabs>
                <w:tab w:val="left" w:pos="702"/>
                <w:tab w:val="left" w:pos="5040"/>
                <w:tab w:val="right" w:pos="8504"/>
              </w:tabs>
              <w:spacing w:after="0" w:line="240" w:lineRule="auto"/>
              <w:ind w:firstLine="34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t>2017: 24,946.6</w:t>
            </w:r>
            <w:r w:rsidR="00480806"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mii lei</w:t>
            </w:r>
          </w:p>
          <w:p w14:paraId="4192E6E5" w14:textId="77777777" w:rsidR="00715A44" w:rsidRPr="009C5F11" w:rsidRDefault="00715A44" w:rsidP="00334F3B">
            <w:pPr>
              <w:numPr>
                <w:ilvl w:val="0"/>
                <w:numId w:val="122"/>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 25,862.7</w:t>
            </w:r>
            <w:r w:rsidR="00480806"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mii lei</w:t>
            </w:r>
          </w:p>
          <w:p w14:paraId="3BB0B309" w14:textId="77777777" w:rsidR="00F675E0" w:rsidRPr="009C5F11" w:rsidRDefault="00480806" w:rsidP="00F675E0">
            <w:pPr>
              <w:tabs>
                <w:tab w:val="left" w:pos="72"/>
                <w:tab w:val="left" w:pos="162"/>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lastRenderedPageBreak/>
              <w:t>Principala sursă</w:t>
            </w:r>
            <w:r w:rsidR="00F675E0" w:rsidRPr="009C5F11">
              <w:rPr>
                <w:rFonts w:ascii="Times New Roman" w:hAnsi="Times New Roman" w:cs="Times New Roman"/>
                <w:sz w:val="18"/>
                <w:szCs w:val="14"/>
                <w:lang w:val="ro-RO" w:eastAsia="de-DE"/>
              </w:rPr>
              <w:t xml:space="preserve"> </w:t>
            </w:r>
            <w:r w:rsidR="005F3110" w:rsidRPr="009C5F11">
              <w:rPr>
                <w:rFonts w:ascii="Times New Roman" w:hAnsi="Times New Roman" w:cs="Times New Roman"/>
                <w:sz w:val="18"/>
                <w:szCs w:val="14"/>
                <w:lang w:val="ro-RO" w:eastAsia="de-DE"/>
              </w:rPr>
              <w:t xml:space="preserve">de </w:t>
            </w:r>
            <w:r w:rsidR="00E54D88" w:rsidRPr="009C5F11">
              <w:rPr>
                <w:rFonts w:ascii="Times New Roman" w:hAnsi="Times New Roman" w:cs="Times New Roman"/>
                <w:sz w:val="18"/>
                <w:szCs w:val="14"/>
                <w:lang w:val="ro-RO" w:eastAsia="de-DE"/>
              </w:rPr>
              <w:t>finan</w:t>
            </w:r>
            <w:r w:rsidR="005F3110" w:rsidRPr="009C5F11">
              <w:rPr>
                <w:rFonts w:ascii="Times New Roman" w:hAnsi="Times New Roman" w:cs="Times New Roman"/>
                <w:sz w:val="18"/>
                <w:szCs w:val="14"/>
                <w:lang w:val="ro-RO" w:eastAsia="de-DE"/>
              </w:rPr>
              <w:t>ţare a</w:t>
            </w:r>
            <w:r w:rsidR="00F675E0" w:rsidRPr="009C5F11">
              <w:rPr>
                <w:rFonts w:ascii="Times New Roman" w:hAnsi="Times New Roman" w:cs="Times New Roman"/>
                <w:sz w:val="18"/>
                <w:szCs w:val="14"/>
                <w:lang w:val="ro-RO" w:eastAsia="de-DE"/>
              </w:rPr>
              <w:t xml:space="preserve"> </w:t>
            </w:r>
            <w:r w:rsidR="000E55A5" w:rsidRPr="009C5F11">
              <w:rPr>
                <w:rFonts w:ascii="Times New Roman" w:hAnsi="Times New Roman" w:cs="Times New Roman"/>
                <w:sz w:val="18"/>
                <w:szCs w:val="14"/>
                <w:lang w:val="ro-RO" w:eastAsia="de-DE"/>
              </w:rPr>
              <w:t>măsur</w:t>
            </w:r>
            <w:r w:rsidRPr="009C5F11">
              <w:rPr>
                <w:rFonts w:ascii="Times New Roman" w:hAnsi="Times New Roman" w:cs="Times New Roman"/>
                <w:sz w:val="18"/>
                <w:szCs w:val="14"/>
                <w:lang w:val="ro-RO" w:eastAsia="de-DE"/>
              </w:rPr>
              <w:t xml:space="preserve">ii o reprezintă tarifele aprobate de autoritatea de reglementare şi achitate de consumatorii finali. </w:t>
            </w:r>
          </w:p>
          <w:p w14:paraId="04D143EE" w14:textId="77777777" w:rsidR="00F675E0" w:rsidRPr="009C5F11" w:rsidRDefault="00792AA6" w:rsidP="00F675E0">
            <w:pPr>
              <w:tabs>
                <w:tab w:val="left" w:pos="72"/>
                <w:tab w:val="left" w:pos="162"/>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Strategia sectorială de cheltuieli în domeniul energetic</w:t>
            </w:r>
            <w:r w:rsidR="00F675E0" w:rsidRPr="009C5F11">
              <w:rPr>
                <w:rFonts w:ascii="Times New Roman" w:hAnsi="Times New Roman" w:cs="Times New Roman"/>
                <w:sz w:val="18"/>
                <w:szCs w:val="14"/>
                <w:lang w:val="ro-RO" w:eastAsia="de-DE"/>
              </w:rPr>
              <w:t xml:space="preserve"> 2016-2018, (</w:t>
            </w:r>
            <w:r w:rsidR="00421FA7" w:rsidRPr="009C5F11">
              <w:rPr>
                <w:rFonts w:ascii="Times New Roman" w:hAnsi="Times New Roman" w:cs="Times New Roman"/>
                <w:sz w:val="18"/>
                <w:szCs w:val="14"/>
                <w:lang w:val="ro-RO" w:eastAsia="de-DE"/>
              </w:rPr>
              <w:t>Programul</w:t>
            </w:r>
            <w:r w:rsidR="00F675E0"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Dezvoltarea sectorului energetic</w:t>
            </w:r>
            <w:r w:rsidR="00F675E0"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subprogramul</w:t>
            </w:r>
            <w:r w:rsidR="00F675E0" w:rsidRPr="009C5F11">
              <w:rPr>
                <w:rFonts w:ascii="Times New Roman" w:hAnsi="Times New Roman" w:cs="Times New Roman"/>
                <w:sz w:val="18"/>
                <w:szCs w:val="14"/>
                <w:lang w:val="ro-RO" w:eastAsia="de-DE"/>
              </w:rPr>
              <w:t xml:space="preserve"> III “</w:t>
            </w:r>
            <w:r w:rsidR="008F7BD5" w:rsidRPr="009C5F11">
              <w:rPr>
                <w:rFonts w:ascii="Times New Roman" w:hAnsi="Times New Roman" w:cs="Times New Roman"/>
                <w:sz w:val="18"/>
                <w:szCs w:val="14"/>
                <w:lang w:val="ro-RO" w:eastAsia="de-DE"/>
              </w:rPr>
              <w:t>Dezvoltarea sectorului electroenergetic</w:t>
            </w:r>
            <w:r w:rsidR="00F675E0"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acţiunea</w:t>
            </w:r>
            <w:r w:rsidR="00F675E0" w:rsidRPr="009C5F11">
              <w:rPr>
                <w:rFonts w:ascii="Times New Roman" w:hAnsi="Times New Roman" w:cs="Times New Roman"/>
                <w:sz w:val="18"/>
                <w:szCs w:val="14"/>
                <w:lang w:val="ro-RO" w:eastAsia="de-DE"/>
              </w:rPr>
              <w:t>: ”</w:t>
            </w:r>
            <w:r w:rsidR="005F3110" w:rsidRPr="009C5F11">
              <w:rPr>
                <w:rFonts w:ascii="Times New Roman" w:hAnsi="Times New Roman" w:cs="Times New Roman"/>
                <w:sz w:val="18"/>
                <w:szCs w:val="14"/>
                <w:lang w:val="ro-RO" w:eastAsia="de-DE"/>
              </w:rPr>
              <w:t>R</w:t>
            </w:r>
            <w:r w:rsidR="008F7BD5" w:rsidRPr="009C5F11">
              <w:rPr>
                <w:rFonts w:ascii="Times New Roman" w:hAnsi="Times New Roman" w:cs="Times New Roman"/>
                <w:sz w:val="18"/>
                <w:szCs w:val="14"/>
                <w:lang w:val="ro-RO" w:eastAsia="de-DE"/>
              </w:rPr>
              <w:t>eabilitarea reţelelor de transport al energiei electrice</w:t>
            </w:r>
            <w:r w:rsidR="00F675E0" w:rsidRPr="009C5F11">
              <w:rPr>
                <w:rFonts w:ascii="Times New Roman" w:hAnsi="Times New Roman" w:cs="Times New Roman"/>
                <w:sz w:val="18"/>
                <w:szCs w:val="14"/>
                <w:lang w:val="ro-RO" w:eastAsia="de-DE"/>
              </w:rPr>
              <w:t xml:space="preserve">” </w:t>
            </w:r>
          </w:p>
          <w:p w14:paraId="6B27A4E6" w14:textId="77777777" w:rsidR="00F675E0" w:rsidRPr="009C5F11" w:rsidRDefault="00F675E0" w:rsidP="00F675E0">
            <w:pPr>
              <w:tabs>
                <w:tab w:val="left" w:pos="702"/>
                <w:tab w:val="left" w:pos="5040"/>
                <w:tab w:val="right" w:pos="8504"/>
              </w:tabs>
              <w:spacing w:before="40" w:after="0" w:line="240" w:lineRule="auto"/>
              <w:ind w:firstLine="34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t xml:space="preserve">2016: 260,877.0 </w:t>
            </w:r>
            <w:r w:rsidR="00AA0566" w:rsidRPr="009C5F11">
              <w:rPr>
                <w:rFonts w:ascii="Times New Roman" w:hAnsi="Times New Roman" w:cs="Times New Roman"/>
                <w:sz w:val="18"/>
                <w:szCs w:val="14"/>
                <w:lang w:val="ro-RO" w:eastAsia="de-DE"/>
              </w:rPr>
              <w:t>mii lei</w:t>
            </w:r>
          </w:p>
          <w:p w14:paraId="6AEE0888" w14:textId="77777777" w:rsidR="00936847" w:rsidRPr="009C5F11" w:rsidRDefault="00F675E0" w:rsidP="00F675E0">
            <w:pPr>
              <w:tabs>
                <w:tab w:val="left" w:pos="702"/>
                <w:tab w:val="left" w:pos="5040"/>
                <w:tab w:val="right" w:pos="8504"/>
              </w:tabs>
              <w:spacing w:before="40" w:after="0" w:line="240" w:lineRule="auto"/>
              <w:ind w:firstLine="34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t xml:space="preserve">2017: 225,020.8 </w:t>
            </w:r>
            <w:r w:rsidR="00AA0566" w:rsidRPr="009C5F11">
              <w:rPr>
                <w:rFonts w:ascii="Times New Roman" w:hAnsi="Times New Roman" w:cs="Times New Roman"/>
                <w:sz w:val="18"/>
                <w:szCs w:val="14"/>
                <w:lang w:val="ro-RO" w:eastAsia="de-DE"/>
              </w:rPr>
              <w:t>mii lei</w:t>
            </w:r>
          </w:p>
        </w:tc>
      </w:tr>
      <w:tr w:rsidR="00936847" w:rsidRPr="009C5F11" w14:paraId="148E5EEC" w14:textId="77777777" w:rsidTr="005E08E6">
        <w:trPr>
          <w:trHeight w:val="305"/>
        </w:trPr>
        <w:tc>
          <w:tcPr>
            <w:tcW w:w="743" w:type="pct"/>
            <w:vMerge/>
          </w:tcPr>
          <w:p w14:paraId="135438F9"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11A6D8B"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0DE9331C" w14:textId="77777777" w:rsidR="00936847" w:rsidRPr="009C5F11" w:rsidRDefault="0048080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w:t>
            </w:r>
            <w:r w:rsidR="004000CC" w:rsidRPr="009C5F11">
              <w:rPr>
                <w:rFonts w:ascii="Times New Roman" w:hAnsi="Times New Roman" w:cs="Times New Roman"/>
                <w:sz w:val="18"/>
                <w:szCs w:val="14"/>
                <w:lang w:val="ro-RO" w:eastAsia="de-DE"/>
              </w:rPr>
              <w:t>peratori</w:t>
            </w:r>
            <w:r w:rsidRPr="009C5F11">
              <w:rPr>
                <w:rFonts w:ascii="Times New Roman" w:hAnsi="Times New Roman" w:cs="Times New Roman"/>
                <w:sz w:val="18"/>
                <w:szCs w:val="14"/>
                <w:lang w:val="ro-RO" w:eastAsia="de-DE"/>
              </w:rPr>
              <w:t>i reţelelor electrice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de </w:t>
            </w:r>
            <w:r w:rsidR="008F7BD5" w:rsidRPr="009C5F11">
              <w:rPr>
                <w:rFonts w:ascii="Times New Roman" w:hAnsi="Times New Roman" w:cs="Times New Roman"/>
                <w:sz w:val="18"/>
                <w:szCs w:val="14"/>
                <w:lang w:val="ro-RO" w:eastAsia="de-DE"/>
              </w:rPr>
              <w:t>distribuţie</w:t>
            </w:r>
            <w:r w:rsidR="00936847" w:rsidRPr="009C5F11">
              <w:rPr>
                <w:rFonts w:ascii="Times New Roman" w:hAnsi="Times New Roman" w:cs="Times New Roman"/>
                <w:sz w:val="18"/>
                <w:szCs w:val="14"/>
                <w:lang w:val="ro-RO" w:eastAsia="de-DE"/>
              </w:rPr>
              <w:t>/</w:t>
            </w:r>
            <w:r w:rsidR="008F7BD5" w:rsidRPr="009C5F11">
              <w:rPr>
                <w:rFonts w:ascii="Times New Roman" w:hAnsi="Times New Roman" w:cs="Times New Roman"/>
                <w:sz w:val="18"/>
                <w:szCs w:val="14"/>
                <w:lang w:val="ro-RO" w:eastAsia="de-DE"/>
              </w:rPr>
              <w:t>transport</w:t>
            </w:r>
          </w:p>
          <w:p w14:paraId="465A62D5" w14:textId="77777777" w:rsidR="00936847" w:rsidRPr="009C5F11" w:rsidRDefault="00421FA7"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p>
        </w:tc>
      </w:tr>
      <w:tr w:rsidR="00936847" w:rsidRPr="009C5F11" w14:paraId="595C35F0" w14:textId="77777777" w:rsidTr="005E08E6">
        <w:trPr>
          <w:trHeight w:val="67"/>
        </w:trPr>
        <w:tc>
          <w:tcPr>
            <w:tcW w:w="743" w:type="pct"/>
            <w:vMerge/>
          </w:tcPr>
          <w:p w14:paraId="34DC3989"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F980047"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054F96E3" w14:textId="77777777" w:rsidR="00936847" w:rsidRPr="009C5F11" w:rsidRDefault="00AA056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936847" w:rsidRPr="009C5F11" w14:paraId="7CF04F73" w14:textId="77777777" w:rsidTr="005E08E6">
        <w:trPr>
          <w:trHeight w:val="233"/>
        </w:trPr>
        <w:tc>
          <w:tcPr>
            <w:tcW w:w="743" w:type="pct"/>
            <w:vMerge w:val="restart"/>
          </w:tcPr>
          <w:p w14:paraId="418E3039"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06DCD41A"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60C1914E"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w:t>
            </w:r>
          </w:p>
        </w:tc>
      </w:tr>
      <w:tr w:rsidR="00936847" w:rsidRPr="009C5F11" w14:paraId="3AE1DCC6" w14:textId="77777777" w:rsidTr="005E08E6">
        <w:trPr>
          <w:trHeight w:val="296"/>
        </w:trPr>
        <w:tc>
          <w:tcPr>
            <w:tcW w:w="743" w:type="pct"/>
            <w:vMerge/>
          </w:tcPr>
          <w:p w14:paraId="2A24E11F"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3DD1CEE"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prevăzute în anul 2016 conform primului PNAEE</w:t>
            </w:r>
            <w:r w:rsidR="00936847" w:rsidRPr="009C5F11">
              <w:rPr>
                <w:rFonts w:ascii="Times New Roman" w:hAnsi="Times New Roman" w:cs="Times New Roman"/>
                <w:sz w:val="18"/>
                <w:szCs w:val="14"/>
                <w:lang w:val="ro-RO" w:eastAsia="de-DE"/>
              </w:rPr>
              <w:t xml:space="preserve"> </w:t>
            </w:r>
          </w:p>
        </w:tc>
        <w:tc>
          <w:tcPr>
            <w:tcW w:w="3244" w:type="pct"/>
          </w:tcPr>
          <w:p w14:paraId="34ABB8EB"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b/>
                <w:i/>
                <w:sz w:val="18"/>
                <w:szCs w:val="14"/>
                <w:lang w:val="ro-RO" w:eastAsia="de-DE"/>
              </w:rPr>
            </w:pPr>
            <w:r w:rsidRPr="009C5F11">
              <w:rPr>
                <w:rFonts w:ascii="Times New Roman" w:hAnsi="Times New Roman" w:cs="Times New Roman"/>
                <w:b/>
                <w:sz w:val="18"/>
                <w:szCs w:val="14"/>
                <w:lang w:val="ro-RO" w:eastAsia="de-DE"/>
              </w:rPr>
              <w:t xml:space="preserve">9.58 </w:t>
            </w:r>
            <w:r w:rsidR="00E52940" w:rsidRPr="009C5F11">
              <w:rPr>
                <w:rFonts w:ascii="Times New Roman" w:hAnsi="Times New Roman" w:cs="Times New Roman"/>
                <w:b/>
                <w:sz w:val="18"/>
                <w:szCs w:val="14"/>
                <w:lang w:val="ro-RO" w:eastAsia="de-DE"/>
              </w:rPr>
              <w:t>ktep</w:t>
            </w:r>
          </w:p>
        </w:tc>
      </w:tr>
      <w:tr w:rsidR="00936847" w:rsidRPr="009C5F11" w14:paraId="0E292188" w14:textId="77777777" w:rsidTr="005E08E6">
        <w:trPr>
          <w:trHeight w:val="548"/>
        </w:trPr>
        <w:tc>
          <w:tcPr>
            <w:tcW w:w="743" w:type="pct"/>
            <w:vMerge/>
          </w:tcPr>
          <w:p w14:paraId="05DF63C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602DC6C" w14:textId="77777777" w:rsidR="00936847"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16CEF800" w14:textId="77777777" w:rsidR="00936847" w:rsidRPr="009C5F11" w:rsidRDefault="00850A3D" w:rsidP="00430626">
            <w:pPr>
              <w:keepNext/>
              <w:keepLines/>
              <w:tabs>
                <w:tab w:val="left" w:pos="1440"/>
                <w:tab w:val="left" w:pos="5040"/>
                <w:tab w:val="right" w:pos="8504"/>
              </w:tabs>
              <w:spacing w:after="0" w:line="240" w:lineRule="auto"/>
              <w:jc w:val="both"/>
              <w:outlineLvl w:val="3"/>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10.6 </w:t>
            </w:r>
            <w:r w:rsidR="00E52940" w:rsidRPr="009C5F11">
              <w:rPr>
                <w:rFonts w:ascii="Times New Roman" w:hAnsi="Times New Roman" w:cs="Times New Roman"/>
                <w:b/>
                <w:sz w:val="18"/>
                <w:szCs w:val="14"/>
                <w:lang w:val="ro-RO" w:eastAsia="de-DE"/>
              </w:rPr>
              <w:t>ktep</w:t>
            </w:r>
          </w:p>
          <w:p w14:paraId="1D0CC688" w14:textId="77777777" w:rsidR="00936847" w:rsidRPr="009C5F11" w:rsidRDefault="003719BD" w:rsidP="005F3110">
            <w:pPr>
              <w:keepNext/>
              <w:keepLines/>
              <w:tabs>
                <w:tab w:val="left" w:pos="1440"/>
                <w:tab w:val="left" w:pos="5040"/>
                <w:tab w:val="right" w:pos="8504"/>
              </w:tabs>
              <w:spacing w:after="0" w:line="240" w:lineRule="auto"/>
              <w:jc w:val="both"/>
              <w:outlineLvl w:val="3"/>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Reducerea</w:t>
            </w:r>
            <w:r w:rsidR="00936847" w:rsidRPr="009C5F11">
              <w:rPr>
                <w:rFonts w:ascii="Times New Roman" w:hAnsi="Times New Roman" w:cs="Times New Roman"/>
                <w:sz w:val="18"/>
                <w:szCs w:val="14"/>
                <w:lang w:val="ro-RO" w:eastAsia="de-DE"/>
              </w:rPr>
              <w:t xml:space="preserve"> </w:t>
            </w:r>
            <w:r w:rsidR="008E0271" w:rsidRPr="009C5F11">
              <w:rPr>
                <w:rFonts w:ascii="Times New Roman" w:hAnsi="Times New Roman" w:cs="Times New Roman"/>
                <w:sz w:val="18"/>
                <w:szCs w:val="14"/>
                <w:lang w:val="ro-RO" w:eastAsia="de-DE"/>
              </w:rPr>
              <w:t>pierderil</w:t>
            </w:r>
            <w:r w:rsidR="00480806" w:rsidRPr="009C5F11">
              <w:rPr>
                <w:rFonts w:ascii="Times New Roman" w:hAnsi="Times New Roman" w:cs="Times New Roman"/>
                <w:sz w:val="18"/>
                <w:szCs w:val="14"/>
                <w:lang w:val="ro-RO" w:eastAsia="de-DE"/>
              </w:rPr>
              <w:t>or</w:t>
            </w:r>
            <w:r w:rsidR="008E0271" w:rsidRPr="009C5F11">
              <w:rPr>
                <w:rFonts w:ascii="Times New Roman" w:hAnsi="Times New Roman" w:cs="Times New Roman"/>
                <w:sz w:val="18"/>
                <w:szCs w:val="14"/>
                <w:lang w:val="ro-RO" w:eastAsia="de-DE"/>
              </w:rPr>
              <w:t xml:space="preserve"> de energie electrică</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 xml:space="preserve">în sistemele de </w:t>
            </w:r>
            <w:r w:rsidR="008F7BD5" w:rsidRPr="009C5F11">
              <w:rPr>
                <w:rFonts w:ascii="Times New Roman" w:hAnsi="Times New Roman" w:cs="Times New Roman"/>
                <w:sz w:val="18"/>
                <w:szCs w:val="14"/>
                <w:lang w:val="ro-RO" w:eastAsia="de-DE"/>
              </w:rPr>
              <w:t>transport</w:t>
            </w:r>
            <w:r w:rsidR="00321CD5" w:rsidRPr="009C5F11">
              <w:rPr>
                <w:rFonts w:ascii="Times New Roman" w:hAnsi="Times New Roman" w:cs="Times New Roman"/>
                <w:sz w:val="18"/>
                <w:szCs w:val="14"/>
                <w:lang w:val="ro-RO" w:eastAsia="de-DE"/>
              </w:rPr>
              <w:t xml:space="preserve"> şi </w:t>
            </w:r>
            <w:r w:rsidR="008F7BD5" w:rsidRPr="009C5F11">
              <w:rPr>
                <w:rFonts w:ascii="Times New Roman" w:hAnsi="Times New Roman" w:cs="Times New Roman"/>
                <w:sz w:val="18"/>
                <w:szCs w:val="14"/>
                <w:lang w:val="ro-RO" w:eastAsia="de-DE"/>
              </w:rPr>
              <w:t>distribuţie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împreună</w:t>
            </w:r>
            <w:r w:rsidR="00936847" w:rsidRPr="009C5F11">
              <w:rPr>
                <w:rFonts w:ascii="Times New Roman" w:hAnsi="Times New Roman" w:cs="Times New Roman"/>
                <w:sz w:val="18"/>
                <w:szCs w:val="14"/>
                <w:lang w:val="ro-RO" w:eastAsia="de-DE"/>
              </w:rPr>
              <w:t xml:space="preserve">) </w:t>
            </w:r>
            <w:r w:rsidR="00603237" w:rsidRPr="009C5F11">
              <w:rPr>
                <w:rFonts w:ascii="Times New Roman" w:hAnsi="Times New Roman" w:cs="Times New Roman"/>
                <w:sz w:val="18"/>
                <w:szCs w:val="14"/>
                <w:lang w:val="ro-RO" w:eastAsia="de-DE"/>
              </w:rPr>
              <w:t xml:space="preserve">pe parcursul </w:t>
            </w:r>
            <w:r w:rsidR="00936847" w:rsidRPr="009C5F11">
              <w:rPr>
                <w:rFonts w:ascii="Times New Roman" w:hAnsi="Times New Roman" w:cs="Times New Roman"/>
                <w:sz w:val="18"/>
                <w:szCs w:val="14"/>
                <w:lang w:val="ro-RO" w:eastAsia="de-DE"/>
              </w:rPr>
              <w:t xml:space="preserve">2013-2014 </w:t>
            </w:r>
            <w:r w:rsidR="00480806" w:rsidRPr="009C5F11">
              <w:rPr>
                <w:rFonts w:ascii="Times New Roman" w:hAnsi="Times New Roman" w:cs="Times New Roman"/>
                <w:sz w:val="18"/>
                <w:szCs w:val="14"/>
                <w:lang w:val="ro-RO" w:eastAsia="de-DE"/>
              </w:rPr>
              <w:t xml:space="preserve">a </w:t>
            </w:r>
            <w:r w:rsidR="005F3110" w:rsidRPr="009C5F11">
              <w:rPr>
                <w:rFonts w:ascii="Times New Roman" w:hAnsi="Times New Roman" w:cs="Times New Roman"/>
                <w:sz w:val="18"/>
                <w:szCs w:val="14"/>
                <w:lang w:val="ro-RO" w:eastAsia="de-DE"/>
              </w:rPr>
              <w:t>constituit</w:t>
            </w:r>
            <w:r w:rsidR="00936847" w:rsidRPr="009C5F11">
              <w:rPr>
                <w:rFonts w:ascii="Times New Roman" w:hAnsi="Times New Roman" w:cs="Times New Roman"/>
                <w:sz w:val="18"/>
                <w:szCs w:val="14"/>
                <w:lang w:val="ro-RO" w:eastAsia="de-DE"/>
              </w:rPr>
              <w:t xml:space="preserve"> 8.58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w:t>
            </w:r>
            <w:r w:rsidR="00AB1710" w:rsidRPr="009C5F11">
              <w:rPr>
                <w:rFonts w:ascii="Times New Roman" w:hAnsi="Times New Roman" w:cs="Times New Roman"/>
                <w:sz w:val="18"/>
                <w:szCs w:val="14"/>
                <w:lang w:val="ro-RO" w:eastAsia="de-DE"/>
              </w:rPr>
              <w:t>inclusiv</w:t>
            </w:r>
            <w:r w:rsidR="00936847" w:rsidRPr="009C5F11">
              <w:rPr>
                <w:rFonts w:ascii="Times New Roman" w:hAnsi="Times New Roman" w:cs="Times New Roman"/>
                <w:sz w:val="18"/>
                <w:szCs w:val="14"/>
                <w:lang w:val="ro-RO" w:eastAsia="de-DE"/>
              </w:rPr>
              <w:t xml:space="preserve"> 4.02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(46.8GWh)</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2013</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 xml:space="preserve">4.56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 xml:space="preserve"> (53GWh)</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2014,</w:t>
            </w:r>
            <w:r w:rsidR="00321CD5" w:rsidRPr="009C5F11">
              <w:rPr>
                <w:rFonts w:ascii="Times New Roman" w:hAnsi="Times New Roman" w:cs="Times New Roman"/>
                <w:sz w:val="18"/>
                <w:szCs w:val="14"/>
                <w:lang w:val="ro-RO" w:eastAsia="de-DE"/>
              </w:rPr>
              <w:t xml:space="preserve"> şi </w:t>
            </w:r>
            <w:r w:rsidR="00480806" w:rsidRPr="009C5F11">
              <w:rPr>
                <w:rFonts w:ascii="Times New Roman" w:hAnsi="Times New Roman" w:cs="Times New Roman"/>
                <w:sz w:val="18"/>
                <w:szCs w:val="14"/>
                <w:lang w:val="ro-RO" w:eastAsia="de-DE"/>
              </w:rPr>
              <w:t>în perioada</w:t>
            </w:r>
            <w:r w:rsidR="00936847" w:rsidRPr="009C5F11">
              <w:rPr>
                <w:rFonts w:ascii="Times New Roman" w:hAnsi="Times New Roman" w:cs="Times New Roman"/>
                <w:sz w:val="18"/>
                <w:szCs w:val="14"/>
                <w:lang w:val="ro-RO" w:eastAsia="de-DE"/>
              </w:rPr>
              <w:t xml:space="preserve"> 2012-2014 – 10.6 </w:t>
            </w:r>
            <w:r w:rsidR="00E52940" w:rsidRPr="009C5F11">
              <w:rPr>
                <w:rFonts w:ascii="Times New Roman" w:hAnsi="Times New Roman" w:cs="Times New Roman"/>
                <w:sz w:val="18"/>
                <w:szCs w:val="14"/>
                <w:lang w:val="ro-RO" w:eastAsia="de-DE"/>
              </w:rPr>
              <w:t>ktep</w:t>
            </w:r>
            <w:r w:rsidR="00936847" w:rsidRPr="009C5F11">
              <w:rPr>
                <w:rFonts w:ascii="Times New Roman" w:hAnsi="Times New Roman" w:cs="Times New Roman"/>
                <w:sz w:val="18"/>
                <w:szCs w:val="14"/>
                <w:lang w:val="ro-RO" w:eastAsia="de-DE"/>
              </w:rPr>
              <w:t>.</w:t>
            </w:r>
          </w:p>
        </w:tc>
      </w:tr>
      <w:tr w:rsidR="00936847" w:rsidRPr="009C5F11" w14:paraId="1A715CD7" w14:textId="77777777" w:rsidTr="005E08E6">
        <w:trPr>
          <w:trHeight w:val="476"/>
        </w:trPr>
        <w:tc>
          <w:tcPr>
            <w:tcW w:w="743" w:type="pct"/>
            <w:vMerge/>
          </w:tcPr>
          <w:p w14:paraId="5AF814E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A45D799"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2020 </w:t>
            </w:r>
          </w:p>
        </w:tc>
        <w:tc>
          <w:tcPr>
            <w:tcW w:w="3244" w:type="pct"/>
          </w:tcPr>
          <w:p w14:paraId="646CFCF2"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b/>
                <w:sz w:val="18"/>
                <w:szCs w:val="14"/>
                <w:lang w:val="ro-RO" w:eastAsia="de-DE"/>
              </w:rPr>
              <w:t xml:space="preserve">12.76 </w:t>
            </w:r>
            <w:r w:rsidR="00E52940" w:rsidRPr="009C5F11">
              <w:rPr>
                <w:rFonts w:ascii="Times New Roman" w:hAnsi="Times New Roman" w:cs="Times New Roman"/>
                <w:b/>
                <w:sz w:val="18"/>
                <w:szCs w:val="14"/>
                <w:lang w:val="ro-RO" w:eastAsia="de-DE"/>
              </w:rPr>
              <w:t>ktep</w:t>
            </w:r>
            <w:r w:rsidRPr="009C5F11">
              <w:rPr>
                <w:rFonts w:ascii="Times New Roman" w:hAnsi="Times New Roman" w:cs="Times New Roman"/>
                <w:sz w:val="18"/>
                <w:szCs w:val="14"/>
                <w:lang w:val="ro-RO" w:eastAsia="de-DE"/>
              </w:rPr>
              <w:t xml:space="preserve"> </w:t>
            </w:r>
          </w:p>
          <w:p w14:paraId="4430AD33" w14:textId="77777777" w:rsidR="00936847" w:rsidRPr="009C5F11" w:rsidRDefault="003719BD" w:rsidP="0048080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Reducerea</w:t>
            </w:r>
            <w:r w:rsidR="00936847" w:rsidRPr="009C5F11">
              <w:rPr>
                <w:rFonts w:ascii="Times New Roman" w:hAnsi="Times New Roman" w:cs="Times New Roman"/>
                <w:sz w:val="18"/>
                <w:szCs w:val="14"/>
                <w:lang w:val="ro-RO" w:eastAsia="de-DE"/>
              </w:rPr>
              <w:t xml:space="preserve"> </w:t>
            </w:r>
            <w:r w:rsidR="00BA5A89" w:rsidRPr="009C5F11">
              <w:rPr>
                <w:rFonts w:ascii="Times New Roman" w:hAnsi="Times New Roman" w:cs="Times New Roman"/>
                <w:sz w:val="18"/>
                <w:szCs w:val="14"/>
                <w:lang w:val="ro-RO" w:eastAsia="de-DE"/>
              </w:rPr>
              <w:t>pierderil</w:t>
            </w:r>
            <w:r w:rsidR="00480806" w:rsidRPr="009C5F11">
              <w:rPr>
                <w:rFonts w:ascii="Times New Roman" w:hAnsi="Times New Roman" w:cs="Times New Roman"/>
                <w:sz w:val="18"/>
                <w:szCs w:val="14"/>
                <w:lang w:val="ro-RO" w:eastAsia="de-DE"/>
              </w:rPr>
              <w:t>or în reţelele de</w:t>
            </w:r>
            <w:r w:rsidR="00321CD5"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transport</w:t>
            </w:r>
            <w:r w:rsidR="00936847" w:rsidRPr="009C5F11">
              <w:rPr>
                <w:rFonts w:ascii="Times New Roman" w:hAnsi="Times New Roman" w:cs="Times New Roman"/>
                <w:sz w:val="18"/>
                <w:szCs w:val="14"/>
                <w:lang w:val="ro-RO" w:eastAsia="de-DE"/>
              </w:rPr>
              <w:t xml:space="preserve"> / </w:t>
            </w:r>
            <w:r w:rsidR="008F7BD5" w:rsidRPr="009C5F11">
              <w:rPr>
                <w:rFonts w:ascii="Times New Roman" w:hAnsi="Times New Roman" w:cs="Times New Roman"/>
                <w:sz w:val="18"/>
                <w:szCs w:val="14"/>
                <w:lang w:val="ro-RO" w:eastAsia="de-DE"/>
              </w:rPr>
              <w:t>distribuţie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până la</w:t>
            </w:r>
            <w:r w:rsidR="00936847" w:rsidRPr="009C5F11">
              <w:rPr>
                <w:rFonts w:ascii="Times New Roman" w:hAnsi="Times New Roman" w:cs="Times New Roman"/>
                <w:sz w:val="18"/>
                <w:szCs w:val="14"/>
                <w:lang w:val="ro-RO" w:eastAsia="de-DE"/>
              </w:rPr>
              <w:t xml:space="preserve"> 11% (</w:t>
            </w:r>
            <w:r w:rsidR="00480806" w:rsidRPr="009C5F11">
              <w:rPr>
                <w:rFonts w:ascii="Times New Roman" w:hAnsi="Times New Roman" w:cs="Times New Roman"/>
                <w:sz w:val="18"/>
                <w:szCs w:val="14"/>
                <w:lang w:val="ro-RO" w:eastAsia="de-DE"/>
              </w:rPr>
              <w:t>obiectivul Strategiei energetice 2030</w:t>
            </w:r>
            <w:r w:rsidR="00936847" w:rsidRPr="009C5F11">
              <w:rPr>
                <w:rFonts w:ascii="Times New Roman" w:hAnsi="Times New Roman" w:cs="Times New Roman"/>
                <w:sz w:val="18"/>
                <w:szCs w:val="14"/>
                <w:lang w:val="ro-RO" w:eastAsia="de-DE"/>
              </w:rPr>
              <w:t>)</w:t>
            </w:r>
            <w:r w:rsidR="00480806" w:rsidRPr="009C5F11">
              <w:rPr>
                <w:rFonts w:ascii="Times New Roman" w:hAnsi="Times New Roman" w:cs="Times New Roman"/>
                <w:sz w:val="18"/>
                <w:szCs w:val="14"/>
                <w:lang w:val="ro-RO" w:eastAsia="de-DE"/>
              </w:rPr>
              <w:t>.</w:t>
            </w:r>
          </w:p>
        </w:tc>
      </w:tr>
      <w:tr w:rsidR="00936847" w:rsidRPr="009C5F11" w14:paraId="797FF332" w14:textId="77777777" w:rsidTr="005E08E6">
        <w:trPr>
          <w:trHeight w:val="647"/>
        </w:trPr>
        <w:tc>
          <w:tcPr>
            <w:tcW w:w="743" w:type="pct"/>
            <w:vMerge/>
          </w:tcPr>
          <w:p w14:paraId="0A035962"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D88BDB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Asumări</w:t>
            </w:r>
          </w:p>
        </w:tc>
        <w:tc>
          <w:tcPr>
            <w:tcW w:w="3244" w:type="pct"/>
          </w:tcPr>
          <w:p w14:paraId="41E23F3D" w14:textId="77777777" w:rsidR="00936847" w:rsidRPr="009C5F11" w:rsidRDefault="0048080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w:t>
            </w:r>
            <w:r w:rsidR="00936847" w:rsidRPr="009C5F11">
              <w:rPr>
                <w:rFonts w:ascii="Times New Roman" w:hAnsi="Times New Roman" w:cs="Times New Roman"/>
                <w:sz w:val="18"/>
                <w:szCs w:val="14"/>
                <w:lang w:val="ro-RO" w:eastAsia="de-DE"/>
              </w:rPr>
              <w:t>at</w:t>
            </w:r>
            <w:r w:rsidRPr="009C5F11">
              <w:rPr>
                <w:rFonts w:ascii="Times New Roman" w:hAnsi="Times New Roman" w:cs="Times New Roman"/>
                <w:sz w:val="18"/>
                <w:szCs w:val="14"/>
                <w:lang w:val="ro-RO" w:eastAsia="de-DE"/>
              </w:rPr>
              <w:t xml:space="preserve">e de intrare </w:t>
            </w:r>
            <w:r w:rsidR="005F3110" w:rsidRPr="009C5F11">
              <w:rPr>
                <w:rFonts w:ascii="Times New Roman" w:hAnsi="Times New Roman" w:cs="Times New Roman"/>
                <w:sz w:val="18"/>
                <w:szCs w:val="14"/>
                <w:lang w:val="ro-RO" w:eastAsia="de-DE"/>
              </w:rPr>
              <w:t xml:space="preserve">sunt </w:t>
            </w:r>
            <w:r w:rsidRPr="009C5F11">
              <w:rPr>
                <w:rFonts w:ascii="Times New Roman" w:hAnsi="Times New Roman" w:cs="Times New Roman"/>
                <w:sz w:val="18"/>
                <w:szCs w:val="14"/>
                <w:lang w:val="ro-RO" w:eastAsia="de-DE"/>
              </w:rPr>
              <w:t xml:space="preserve">generate de rapoartele de monitorizare a pieţei ale </w:t>
            </w:r>
            <w:r w:rsidR="00936847" w:rsidRPr="009C5F11">
              <w:rPr>
                <w:rFonts w:ascii="Times New Roman" w:hAnsi="Times New Roman" w:cs="Times New Roman"/>
                <w:sz w:val="18"/>
                <w:szCs w:val="14"/>
                <w:lang w:val="ro-RO" w:eastAsia="de-DE"/>
              </w:rPr>
              <w:t>ANRE.</w:t>
            </w:r>
          </w:p>
          <w:p w14:paraId="1FA0DE61" w14:textId="77777777" w:rsidR="00936847" w:rsidRPr="009C5F11" w:rsidRDefault="005F3110" w:rsidP="005F3110">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Dispoziţiile PNEE 2011-2020 au fost utilizate î</w:t>
            </w:r>
            <w:r w:rsidR="00480806" w:rsidRPr="009C5F11">
              <w:rPr>
                <w:rFonts w:ascii="Times New Roman" w:hAnsi="Times New Roman" w:cs="Times New Roman"/>
                <w:sz w:val="18"/>
                <w:szCs w:val="14"/>
                <w:lang w:val="ro-RO" w:eastAsia="de-DE"/>
              </w:rPr>
              <w:t>n procesul de e</w:t>
            </w:r>
            <w:r w:rsidRPr="009C5F11">
              <w:rPr>
                <w:rFonts w:ascii="Times New Roman" w:hAnsi="Times New Roman" w:cs="Times New Roman"/>
                <w:sz w:val="18"/>
                <w:szCs w:val="14"/>
                <w:lang w:val="ro-RO" w:eastAsia="de-DE"/>
              </w:rPr>
              <w:t>stimare</w:t>
            </w:r>
            <w:r w:rsidR="00480806" w:rsidRPr="009C5F11">
              <w:rPr>
                <w:rFonts w:ascii="Times New Roman" w:hAnsi="Times New Roman" w:cs="Times New Roman"/>
                <w:sz w:val="18"/>
                <w:szCs w:val="14"/>
                <w:lang w:val="ro-RO" w:eastAsia="de-DE"/>
              </w:rPr>
              <w:t xml:space="preserve"> a</w:t>
            </w:r>
            <w:r w:rsidR="00936847" w:rsidRPr="009C5F11">
              <w:rPr>
                <w:rFonts w:ascii="Times New Roman" w:hAnsi="Times New Roman" w:cs="Times New Roman"/>
                <w:sz w:val="18"/>
                <w:szCs w:val="14"/>
                <w:lang w:val="ro-RO" w:eastAsia="de-DE"/>
              </w:rPr>
              <w:t xml:space="preserve"> </w:t>
            </w:r>
            <w:r w:rsidR="00C639BC" w:rsidRPr="009C5F11">
              <w:rPr>
                <w:rFonts w:ascii="Times New Roman" w:hAnsi="Times New Roman" w:cs="Times New Roman"/>
                <w:sz w:val="18"/>
                <w:szCs w:val="14"/>
                <w:lang w:val="ro-RO" w:eastAsia="de-DE"/>
              </w:rPr>
              <w:t>economii</w:t>
            </w:r>
            <w:r w:rsidR="00480806" w:rsidRPr="009C5F11">
              <w:rPr>
                <w:rFonts w:ascii="Times New Roman" w:hAnsi="Times New Roman" w:cs="Times New Roman"/>
                <w:sz w:val="18"/>
                <w:szCs w:val="14"/>
                <w:lang w:val="ro-RO" w:eastAsia="de-DE"/>
              </w:rPr>
              <w:t xml:space="preserve">lor preconizate pentru </w:t>
            </w:r>
            <w:r w:rsidR="00936847" w:rsidRPr="009C5F11">
              <w:rPr>
                <w:rFonts w:ascii="Times New Roman" w:hAnsi="Times New Roman" w:cs="Times New Roman"/>
                <w:sz w:val="18"/>
                <w:szCs w:val="14"/>
                <w:lang w:val="ro-RO" w:eastAsia="de-DE"/>
              </w:rPr>
              <w:t>2015</w:t>
            </w:r>
            <w:r w:rsidR="00480806"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în temeiul</w:t>
            </w:r>
            <w:r w:rsidR="00480806" w:rsidRPr="009C5F11">
              <w:rPr>
                <w:rFonts w:ascii="Times New Roman" w:hAnsi="Times New Roman" w:cs="Times New Roman"/>
                <w:sz w:val="18"/>
                <w:szCs w:val="14"/>
                <w:lang w:val="ro-RO" w:eastAsia="de-DE"/>
              </w:rPr>
              <w:t xml:space="preserve"> primului</w:t>
            </w:r>
            <w:r w:rsidR="00936847" w:rsidRPr="009C5F11">
              <w:rPr>
                <w:rFonts w:ascii="Times New Roman" w:hAnsi="Times New Roman" w:cs="Times New Roman"/>
                <w:sz w:val="18"/>
                <w:szCs w:val="14"/>
                <w:vertAlign w:val="superscript"/>
                <w:lang w:val="ro-RO" w:eastAsia="de-DE"/>
              </w:rPr>
              <w:t xml:space="preserv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iar cele ale Strategiei energetice 2030 au fost utilizate </w:t>
            </w:r>
            <w:r w:rsidR="00480806" w:rsidRPr="009C5F11">
              <w:rPr>
                <w:rFonts w:ascii="Times New Roman" w:hAnsi="Times New Roman" w:cs="Times New Roman"/>
                <w:sz w:val="18"/>
                <w:szCs w:val="14"/>
                <w:lang w:val="ro-RO" w:eastAsia="de-DE"/>
              </w:rPr>
              <w:t>în e</w:t>
            </w:r>
            <w:r w:rsidRPr="009C5F11">
              <w:rPr>
                <w:rFonts w:ascii="Times New Roman" w:hAnsi="Times New Roman" w:cs="Times New Roman"/>
                <w:sz w:val="18"/>
                <w:szCs w:val="14"/>
                <w:lang w:val="ro-RO" w:eastAsia="de-DE"/>
              </w:rPr>
              <w:t>stimarea</w:t>
            </w:r>
            <w:r w:rsidR="00480806" w:rsidRPr="009C5F11">
              <w:rPr>
                <w:rFonts w:ascii="Times New Roman" w:hAnsi="Times New Roman" w:cs="Times New Roman"/>
                <w:sz w:val="18"/>
                <w:szCs w:val="14"/>
                <w:lang w:val="ro-RO" w:eastAsia="de-DE"/>
              </w:rPr>
              <w:t xml:space="preserve"> economiilor </w:t>
            </w:r>
            <w:r w:rsidRPr="009C5F11">
              <w:rPr>
                <w:rFonts w:ascii="Times New Roman" w:hAnsi="Times New Roman" w:cs="Times New Roman"/>
                <w:sz w:val="18"/>
                <w:szCs w:val="14"/>
                <w:lang w:val="ro-RO" w:eastAsia="de-DE"/>
              </w:rPr>
              <w:t>pe anul 2020</w:t>
            </w:r>
            <w:r w:rsidR="00480806" w:rsidRPr="009C5F11">
              <w:rPr>
                <w:rFonts w:ascii="Times New Roman" w:hAnsi="Times New Roman" w:cs="Times New Roman"/>
                <w:sz w:val="18"/>
                <w:szCs w:val="14"/>
                <w:lang w:val="ro-RO" w:eastAsia="de-DE"/>
              </w:rPr>
              <w:t>.</w:t>
            </w:r>
          </w:p>
        </w:tc>
      </w:tr>
      <w:tr w:rsidR="00936847" w:rsidRPr="009C5F11" w14:paraId="2F19F010" w14:textId="77777777" w:rsidTr="005E08E6">
        <w:trPr>
          <w:trHeight w:val="278"/>
        </w:trPr>
        <w:tc>
          <w:tcPr>
            <w:tcW w:w="743" w:type="pct"/>
            <w:vMerge/>
          </w:tcPr>
          <w:p w14:paraId="3CA1BBB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3AAA9A8"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653B4D86" w14:textId="77777777" w:rsidR="00936847" w:rsidRPr="009C5F11" w:rsidRDefault="00936847" w:rsidP="00430626">
            <w:pPr>
              <w:tabs>
                <w:tab w:val="left" w:pos="1440"/>
                <w:tab w:val="left" w:pos="5040"/>
              </w:tabs>
              <w:spacing w:after="0" w:line="240" w:lineRule="auto"/>
              <w:rPr>
                <w:rFonts w:ascii="Times New Roman" w:hAnsi="Times New Roman" w:cs="Times New Roman"/>
                <w:i/>
                <w:sz w:val="18"/>
                <w:szCs w:val="14"/>
                <w:lang w:val="ro-RO"/>
              </w:rPr>
            </w:pPr>
          </w:p>
        </w:tc>
      </w:tr>
    </w:tbl>
    <w:p w14:paraId="111B5C40" w14:textId="77777777" w:rsidR="00936847" w:rsidRPr="009C5F11" w:rsidRDefault="00936847" w:rsidP="00936847">
      <w:pPr>
        <w:keepNext/>
        <w:spacing w:after="0"/>
        <w:ind w:right="-540"/>
        <w:jc w:val="center"/>
        <w:rPr>
          <w:rFonts w:ascii="Times New Roman" w:hAnsi="Times New Roman" w:cs="Times New Roman"/>
          <w:b/>
          <w:i/>
          <w:color w:val="FF0000"/>
          <w:sz w:val="18"/>
          <w:szCs w:val="14"/>
          <w:lang w:val="ro-RO"/>
        </w:rPr>
      </w:pPr>
    </w:p>
    <w:p w14:paraId="61AEACD5" w14:textId="77777777" w:rsidR="00936847" w:rsidRPr="009C5F11" w:rsidRDefault="00936847" w:rsidP="00212952">
      <w:pPr>
        <w:keepNext/>
        <w:spacing w:after="0"/>
        <w:ind w:right="-540"/>
        <w:jc w:val="center"/>
        <w:rPr>
          <w:rFonts w:ascii="Times New Roman" w:hAnsi="Times New Roman" w:cs="Times New Roman"/>
          <w:b/>
          <w:bCs/>
          <w:sz w:val="24"/>
          <w:lang w:val="ro-RO"/>
        </w:rPr>
      </w:pPr>
      <w:r w:rsidRPr="009C5F11">
        <w:rPr>
          <w:rFonts w:ascii="Times New Roman" w:hAnsi="Times New Roman" w:cs="Times New Roman"/>
          <w:b/>
          <w:bCs/>
          <w:sz w:val="24"/>
          <w:lang w:val="ro-RO"/>
        </w:rPr>
        <w:br w:type="page"/>
      </w:r>
    </w:p>
    <w:p w14:paraId="05296051" w14:textId="77777777" w:rsidR="00A26C0D" w:rsidRPr="009C5F11" w:rsidRDefault="00321CD5" w:rsidP="00A26C0D">
      <w:pPr>
        <w:pStyle w:val="Legend"/>
        <w:keepNext/>
        <w:jc w:val="center"/>
        <w:rPr>
          <w:rFonts w:ascii="Times New Roman" w:hAnsi="Times New Roman" w:cs="Times New Roman"/>
          <w:b/>
          <w:sz w:val="22"/>
          <w:lang w:val="ro-RO"/>
        </w:rPr>
      </w:pPr>
      <w:bookmarkStart w:id="214" w:name="_Toc447724257"/>
      <w:r w:rsidRPr="009C5F11">
        <w:rPr>
          <w:rFonts w:ascii="Times New Roman" w:hAnsi="Times New Roman" w:cs="Times New Roman"/>
          <w:b/>
          <w:sz w:val="22"/>
          <w:lang w:val="ro-RO"/>
        </w:rPr>
        <w:lastRenderedPageBreak/>
        <w:t>Tabelul</w:t>
      </w:r>
      <w:r w:rsidR="00A26C0D" w:rsidRPr="009C5F11">
        <w:rPr>
          <w:rFonts w:ascii="Times New Roman" w:hAnsi="Times New Roman" w:cs="Times New Roman"/>
          <w:b/>
          <w:sz w:val="22"/>
          <w:lang w:val="ro-RO"/>
        </w:rPr>
        <w:t xml:space="preserve"> E </w:t>
      </w:r>
      <w:r w:rsidR="003A6ADB" w:rsidRPr="009C5F11">
        <w:rPr>
          <w:rFonts w:ascii="Times New Roman" w:hAnsi="Times New Roman" w:cs="Times New Roman"/>
          <w:b/>
          <w:sz w:val="22"/>
          <w:lang w:val="ro-RO"/>
        </w:rPr>
        <w:fldChar w:fldCharType="begin"/>
      </w:r>
      <w:r w:rsidR="00A26C0D" w:rsidRPr="009C5F11">
        <w:rPr>
          <w:rFonts w:ascii="Times New Roman" w:hAnsi="Times New Roman" w:cs="Times New Roman"/>
          <w:b/>
          <w:sz w:val="22"/>
          <w:lang w:val="ro-RO"/>
        </w:rPr>
        <w:instrText xml:space="preserve"> SEQ Table_E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2</w:t>
      </w:r>
      <w:r w:rsidR="003A6ADB" w:rsidRPr="009C5F11">
        <w:rPr>
          <w:rFonts w:ascii="Times New Roman" w:hAnsi="Times New Roman" w:cs="Times New Roman"/>
          <w:b/>
          <w:sz w:val="22"/>
          <w:lang w:val="ro-RO"/>
        </w:rPr>
        <w:fldChar w:fldCharType="end"/>
      </w:r>
      <w:r w:rsidR="00A26C0D" w:rsidRPr="009C5F11">
        <w:rPr>
          <w:rFonts w:ascii="Times New Roman" w:hAnsi="Times New Roman" w:cs="Times New Roman"/>
          <w:b/>
          <w:sz w:val="22"/>
          <w:lang w:val="ro-RO"/>
        </w:rPr>
        <w:t xml:space="preserve"> - </w:t>
      </w:r>
      <w:r w:rsidR="003D35EE" w:rsidRPr="009C5F11">
        <w:rPr>
          <w:rFonts w:ascii="Times New Roman" w:hAnsi="Times New Roman" w:cs="Times New Roman"/>
          <w:b/>
          <w:sz w:val="22"/>
          <w:lang w:val="ro-RO"/>
        </w:rPr>
        <w:t>Îmbunătăţiri cost-eficace a</w:t>
      </w:r>
      <w:r w:rsidR="005F3110" w:rsidRPr="009C5F11">
        <w:rPr>
          <w:rFonts w:ascii="Times New Roman" w:hAnsi="Times New Roman" w:cs="Times New Roman"/>
          <w:b/>
          <w:sz w:val="22"/>
          <w:lang w:val="ro-RO"/>
        </w:rPr>
        <w:t>le</w:t>
      </w:r>
      <w:r w:rsidR="003D35EE" w:rsidRPr="009C5F11">
        <w:rPr>
          <w:rFonts w:ascii="Times New Roman" w:hAnsi="Times New Roman" w:cs="Times New Roman"/>
          <w:b/>
          <w:sz w:val="22"/>
          <w:lang w:val="ro-RO"/>
        </w:rPr>
        <w:t xml:space="preserve"> eficienţei energetice în infrastructura reţelei de gaze naturale cu economiile asociate</w:t>
      </w:r>
      <w:bookmarkEnd w:id="2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936847" w:rsidRPr="009C5F11" w14:paraId="64CD45D7" w14:textId="77777777" w:rsidTr="00A26C0D">
        <w:trPr>
          <w:trHeight w:val="480"/>
        </w:trPr>
        <w:tc>
          <w:tcPr>
            <w:tcW w:w="1756" w:type="pct"/>
            <w:gridSpan w:val="2"/>
          </w:tcPr>
          <w:p w14:paraId="1F60BD59" w14:textId="77777777" w:rsidR="00936847" w:rsidRPr="009C5F11" w:rsidRDefault="0094635F"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5D4CC277" w14:textId="77777777" w:rsidR="00936847" w:rsidRPr="009C5F11" w:rsidRDefault="003D35EE" w:rsidP="00430626">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Îmbunătăţiri cost-eficace a</w:t>
            </w:r>
            <w:r w:rsidR="005F3110" w:rsidRPr="009C5F11">
              <w:rPr>
                <w:rFonts w:ascii="Times New Roman" w:hAnsi="Times New Roman" w:cs="Times New Roman"/>
                <w:b/>
                <w:sz w:val="18"/>
                <w:szCs w:val="14"/>
                <w:lang w:val="ro-RO" w:eastAsia="de-DE"/>
              </w:rPr>
              <w:t>le</w:t>
            </w:r>
            <w:r w:rsidRPr="009C5F11">
              <w:rPr>
                <w:rFonts w:ascii="Times New Roman" w:hAnsi="Times New Roman" w:cs="Times New Roman"/>
                <w:b/>
                <w:sz w:val="18"/>
                <w:szCs w:val="14"/>
                <w:lang w:val="ro-RO" w:eastAsia="de-DE"/>
              </w:rPr>
              <w:t xml:space="preserve"> eficienţei energetice în infrastructura reţelei de gaze naturale cu economiile asociate</w:t>
            </w:r>
          </w:p>
        </w:tc>
      </w:tr>
      <w:tr w:rsidR="00936847" w:rsidRPr="009C5F11" w14:paraId="3A9366D1" w14:textId="77777777" w:rsidTr="00A26C0D">
        <w:trPr>
          <w:trHeight w:val="75"/>
        </w:trPr>
        <w:tc>
          <w:tcPr>
            <w:tcW w:w="1756" w:type="pct"/>
            <w:gridSpan w:val="2"/>
          </w:tcPr>
          <w:p w14:paraId="31FD378D" w14:textId="77777777" w:rsidR="00936847" w:rsidRPr="009C5F11" w:rsidRDefault="00E46DD7"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5A48EC05" w14:textId="77777777" w:rsidR="00936847" w:rsidRPr="009C5F11" w:rsidRDefault="00936847" w:rsidP="00430626">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E2</w:t>
            </w:r>
          </w:p>
        </w:tc>
      </w:tr>
      <w:tr w:rsidR="00936847" w:rsidRPr="009C5F11" w14:paraId="6E565AFB" w14:textId="77777777" w:rsidTr="00A26C0D">
        <w:trPr>
          <w:trHeight w:val="107"/>
        </w:trPr>
        <w:tc>
          <w:tcPr>
            <w:tcW w:w="743" w:type="pct"/>
            <w:vMerge w:val="restart"/>
          </w:tcPr>
          <w:p w14:paraId="43DC2216"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6F148EBD"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02B4E652"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70F47C6D" w14:textId="77777777" w:rsidR="00936847" w:rsidRPr="009C5F11" w:rsidRDefault="000E55A5"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Proiecte investiţionale</w:t>
            </w:r>
          </w:p>
        </w:tc>
      </w:tr>
      <w:tr w:rsidR="00936847" w:rsidRPr="009C5F11" w14:paraId="2B61723A" w14:textId="77777777" w:rsidTr="00A26C0D">
        <w:trPr>
          <w:trHeight w:val="476"/>
        </w:trPr>
        <w:tc>
          <w:tcPr>
            <w:tcW w:w="743" w:type="pct"/>
            <w:vMerge/>
          </w:tcPr>
          <w:p w14:paraId="01ED49FF"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73C6407"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32D6105A"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2016</w:t>
            </w:r>
            <w:r w:rsidR="005F3110" w:rsidRPr="009C5F11">
              <w:rPr>
                <w:rFonts w:ascii="Times New Roman" w:hAnsi="Times New Roman" w:cs="Times New Roman"/>
                <w:b/>
                <w:sz w:val="18"/>
                <w:szCs w:val="14"/>
                <w:lang w:val="ro-RO" w:eastAsia="de-DE"/>
              </w:rPr>
              <w:t>.</w:t>
            </w:r>
            <w:r w:rsidR="00936847" w:rsidRPr="009C5F11">
              <w:rPr>
                <w:rFonts w:ascii="Times New Roman" w:hAnsi="Times New Roman" w:cs="Times New Roman"/>
                <w:b/>
                <w:sz w:val="18"/>
                <w:szCs w:val="14"/>
                <w:lang w:val="ro-RO" w:eastAsia="de-DE"/>
              </w:rPr>
              <w:t xml:space="preserve"> </w:t>
            </w:r>
          </w:p>
          <w:p w14:paraId="593E12D1"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2018</w:t>
            </w:r>
            <w:r w:rsidR="005F3110" w:rsidRPr="009C5F11">
              <w:rPr>
                <w:rFonts w:ascii="Times New Roman" w:hAnsi="Times New Roman" w:cs="Times New Roman"/>
                <w:b/>
                <w:sz w:val="18"/>
                <w:szCs w:val="14"/>
                <w:lang w:val="ro-RO" w:eastAsia="de-DE"/>
              </w:rPr>
              <w:t>.</w:t>
            </w:r>
          </w:p>
          <w:p w14:paraId="3D64CD7B" w14:textId="77777777" w:rsidR="00936847" w:rsidRPr="009C5F11" w:rsidRDefault="00D06555"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Este o măsură nouă ca</w:t>
            </w:r>
            <w:r w:rsidR="005F3110" w:rsidRPr="009C5F11">
              <w:rPr>
                <w:rFonts w:ascii="Times New Roman" w:hAnsi="Times New Roman" w:cs="Times New Roman"/>
                <w:sz w:val="18"/>
                <w:szCs w:val="14"/>
                <w:lang w:val="ro-RO" w:eastAsia="de-DE"/>
              </w:rPr>
              <w:t>re</w:t>
            </w:r>
            <w:r w:rsidRPr="009C5F11">
              <w:rPr>
                <w:rFonts w:ascii="Times New Roman" w:hAnsi="Times New Roman" w:cs="Times New Roman"/>
                <w:sz w:val="18"/>
                <w:szCs w:val="14"/>
                <w:lang w:val="ro-RO" w:eastAsia="de-DE"/>
              </w:rPr>
              <w:t xml:space="preserve">-şi propune să implementeze dispoziţiile </w:t>
            </w:r>
            <w:r w:rsidR="00936847" w:rsidRPr="009C5F11">
              <w:rPr>
                <w:rFonts w:ascii="Times New Roman" w:hAnsi="Times New Roman" w:cs="Times New Roman"/>
                <w:sz w:val="18"/>
                <w:szCs w:val="14"/>
                <w:lang w:val="ro-RO" w:eastAsia="de-DE"/>
              </w:rPr>
              <w:t>aplicab</w:t>
            </w:r>
            <w:r w:rsidRPr="009C5F11">
              <w:rPr>
                <w:rFonts w:ascii="Times New Roman" w:hAnsi="Times New Roman" w:cs="Times New Roman"/>
                <w:sz w:val="18"/>
                <w:szCs w:val="14"/>
                <w:lang w:val="ro-RO" w:eastAsia="de-DE"/>
              </w:rPr>
              <w:t>i</w:t>
            </w:r>
            <w:r w:rsidR="00936847" w:rsidRPr="009C5F11">
              <w:rPr>
                <w:rFonts w:ascii="Times New Roman" w:hAnsi="Times New Roman" w:cs="Times New Roman"/>
                <w:sz w:val="18"/>
                <w:szCs w:val="14"/>
                <w:lang w:val="ro-RO" w:eastAsia="de-DE"/>
              </w:rPr>
              <w:t xml:space="preserve">le </w:t>
            </w:r>
            <w:r w:rsidRPr="009C5F11">
              <w:rPr>
                <w:rFonts w:ascii="Times New Roman" w:hAnsi="Times New Roman" w:cs="Times New Roman"/>
                <w:sz w:val="18"/>
                <w:szCs w:val="14"/>
                <w:lang w:val="ro-RO" w:eastAsia="de-DE"/>
              </w:rPr>
              <w:t>din programele de dezvoltare/investiţionale ale operatorilor de transport şi distribuţie a gazelor naturale.</w:t>
            </w:r>
          </w:p>
          <w:p w14:paraId="5F2BB8E7" w14:textId="02A7E7D1" w:rsidR="00936847" w:rsidRPr="009C5F11" w:rsidRDefault="00043C69" w:rsidP="00013030">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Pr>
                <w:rFonts w:ascii="Times New Roman" w:hAnsi="Times New Roman" w:cs="Times New Roman"/>
                <w:sz w:val="18"/>
                <w:szCs w:val="14"/>
                <w:lang w:val="ro-RO" w:eastAsia="de-DE"/>
              </w:rPr>
              <w:t>E2</w:t>
            </w:r>
            <w:r w:rsidR="00936847" w:rsidRPr="009C5F11">
              <w:rPr>
                <w:rFonts w:ascii="Times New Roman" w:hAnsi="Times New Roman" w:cs="Times New Roman"/>
                <w:sz w:val="18"/>
                <w:szCs w:val="14"/>
                <w:lang w:val="ro-RO" w:eastAsia="de-DE"/>
              </w:rPr>
              <w:t xml:space="preserve"> </w:t>
            </w:r>
            <w:r w:rsidR="00013030" w:rsidRPr="009C5F11">
              <w:rPr>
                <w:rFonts w:ascii="Times New Roman" w:hAnsi="Times New Roman" w:cs="Times New Roman"/>
                <w:sz w:val="18"/>
                <w:szCs w:val="14"/>
                <w:lang w:val="ro-RO" w:eastAsia="de-DE"/>
              </w:rPr>
              <w:t xml:space="preserve">preia asumările cu privire la </w:t>
            </w:r>
            <w:r w:rsidR="00C639BC" w:rsidRPr="009C5F11">
              <w:rPr>
                <w:rFonts w:ascii="Times New Roman" w:hAnsi="Times New Roman" w:cs="Times New Roman"/>
                <w:sz w:val="18"/>
                <w:szCs w:val="14"/>
                <w:lang w:val="ro-RO" w:eastAsia="de-DE"/>
              </w:rPr>
              <w:t>economii</w:t>
            </w:r>
            <w:r w:rsidR="00936847" w:rsidRPr="009C5F11">
              <w:rPr>
                <w:rFonts w:ascii="Times New Roman" w:hAnsi="Times New Roman" w:cs="Times New Roman"/>
                <w:sz w:val="18"/>
                <w:szCs w:val="14"/>
                <w:lang w:val="ro-RO" w:eastAsia="de-DE"/>
              </w:rPr>
              <w:t xml:space="preserve"> </w:t>
            </w:r>
            <w:r w:rsidR="00013030" w:rsidRPr="009C5F11">
              <w:rPr>
                <w:rFonts w:ascii="Times New Roman" w:hAnsi="Times New Roman" w:cs="Times New Roman"/>
                <w:sz w:val="18"/>
                <w:szCs w:val="14"/>
                <w:lang w:val="ro-RO" w:eastAsia="de-DE"/>
              </w:rPr>
              <w:t>din</w:t>
            </w:r>
            <w:r w:rsidR="00936847" w:rsidRPr="009C5F11">
              <w:rPr>
                <w:rFonts w:ascii="Times New Roman" w:hAnsi="Times New Roman" w:cs="Times New Roman"/>
                <w:sz w:val="18"/>
                <w:szCs w:val="14"/>
                <w:lang w:val="ro-RO" w:eastAsia="de-DE"/>
              </w:rPr>
              <w:t xml:space="preserve"> </w:t>
            </w:r>
            <w:r w:rsidR="00204033" w:rsidRPr="009C5F11">
              <w:rPr>
                <w:rFonts w:ascii="Times New Roman" w:hAnsi="Times New Roman" w:cs="Times New Roman"/>
                <w:sz w:val="18"/>
                <w:szCs w:val="14"/>
                <w:lang w:val="ro-RO" w:eastAsia="de-DE"/>
              </w:rPr>
              <w:t>obiective</w:t>
            </w:r>
            <w:r w:rsidR="00013030" w:rsidRPr="009C5F11">
              <w:rPr>
                <w:rFonts w:ascii="Times New Roman" w:hAnsi="Times New Roman" w:cs="Times New Roman"/>
                <w:sz w:val="18"/>
                <w:szCs w:val="14"/>
                <w:lang w:val="ro-RO" w:eastAsia="de-DE"/>
              </w:rPr>
              <w:t>le stabilite de</w:t>
            </w:r>
            <w:r w:rsidR="00936847" w:rsidRPr="009C5F11">
              <w:rPr>
                <w:rFonts w:ascii="Times New Roman" w:hAnsi="Times New Roman" w:cs="Times New Roman"/>
                <w:sz w:val="18"/>
                <w:szCs w:val="14"/>
                <w:lang w:val="ro-RO" w:eastAsia="de-DE"/>
              </w:rPr>
              <w:t xml:space="preserve"> </w:t>
            </w:r>
            <w:r w:rsidR="00013030" w:rsidRPr="009C5F11">
              <w:rPr>
                <w:rFonts w:ascii="Times New Roman" w:hAnsi="Times New Roman" w:cs="Times New Roman"/>
                <w:sz w:val="18"/>
                <w:szCs w:val="14"/>
                <w:lang w:val="ro-RO" w:eastAsia="de-DE"/>
              </w:rPr>
              <w:t>Strategia energetică 2030.</w:t>
            </w:r>
          </w:p>
        </w:tc>
      </w:tr>
      <w:tr w:rsidR="00936847" w:rsidRPr="009C5F11" w14:paraId="242077D2" w14:textId="77777777" w:rsidTr="00A26C0D">
        <w:trPr>
          <w:trHeight w:val="107"/>
        </w:trPr>
        <w:tc>
          <w:tcPr>
            <w:tcW w:w="743" w:type="pct"/>
            <w:vMerge/>
          </w:tcPr>
          <w:p w14:paraId="5467DBA8"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F62ABE7"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776977A9" w14:textId="0170C47B" w:rsidR="00936847" w:rsidRPr="009C5F11" w:rsidRDefault="003719BD" w:rsidP="004F44AB">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Reducerea</w:t>
            </w:r>
            <w:r w:rsidR="00936847" w:rsidRPr="009C5F11">
              <w:rPr>
                <w:rFonts w:ascii="Times New Roman" w:hAnsi="Times New Roman" w:cs="Times New Roman"/>
                <w:sz w:val="18"/>
                <w:szCs w:val="14"/>
                <w:lang w:val="ro-RO" w:eastAsia="de-DE"/>
              </w:rPr>
              <w:t xml:space="preserve"> </w:t>
            </w:r>
            <w:r w:rsidR="00043C69" w:rsidRPr="00043C69">
              <w:rPr>
                <w:rFonts w:ascii="Times New Roman" w:hAnsi="Times New Roman" w:cs="Times New Roman"/>
                <w:sz w:val="18"/>
                <w:szCs w:val="14"/>
                <w:lang w:val="ro-RO" w:eastAsia="de-DE"/>
              </w:rPr>
              <w:t xml:space="preserve">consumului tehnologic și pierderilor de gaze </w:t>
            </w:r>
            <w:r w:rsidR="00F06282" w:rsidRPr="009C5F11">
              <w:rPr>
                <w:rFonts w:ascii="Times New Roman" w:hAnsi="Times New Roman" w:cs="Times New Roman"/>
                <w:sz w:val="18"/>
                <w:szCs w:val="14"/>
                <w:lang w:val="ro-RO" w:eastAsia="de-DE"/>
              </w:rPr>
              <w:t xml:space="preserve">în reţelele de transport şi distribuţie a </w:t>
            </w:r>
            <w:r w:rsidR="004F44AB" w:rsidRPr="009C5F11">
              <w:rPr>
                <w:rFonts w:ascii="Times New Roman" w:hAnsi="Times New Roman" w:cs="Times New Roman"/>
                <w:sz w:val="18"/>
                <w:szCs w:val="14"/>
                <w:lang w:val="ro-RO" w:eastAsia="de-DE"/>
              </w:rPr>
              <w:t>gazelor naturale</w:t>
            </w:r>
          </w:p>
        </w:tc>
      </w:tr>
      <w:tr w:rsidR="00936847" w:rsidRPr="009C5F11" w14:paraId="5434D8A3" w14:textId="77777777" w:rsidTr="00A26C0D">
        <w:trPr>
          <w:trHeight w:val="107"/>
        </w:trPr>
        <w:tc>
          <w:tcPr>
            <w:tcW w:w="743" w:type="pct"/>
            <w:vMerge/>
          </w:tcPr>
          <w:p w14:paraId="0CA17CA6"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A37991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31F9B8D7" w14:textId="77777777" w:rsidR="00936847" w:rsidRPr="009C5F11" w:rsidRDefault="003D35EE" w:rsidP="00F06282">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Consumul de gaze naturale</w:t>
            </w:r>
            <w:r w:rsidR="00936847" w:rsidRPr="009C5F11">
              <w:rPr>
                <w:rFonts w:ascii="Times New Roman" w:hAnsi="Times New Roman" w:cs="Times New Roman"/>
                <w:sz w:val="18"/>
                <w:szCs w:val="14"/>
                <w:lang w:val="ro-RO" w:eastAsia="de-DE"/>
              </w:rPr>
              <w:t xml:space="preserve"> (</w:t>
            </w:r>
            <w:r w:rsidR="00BA5A89" w:rsidRPr="009C5F11">
              <w:rPr>
                <w:rFonts w:ascii="Times New Roman" w:hAnsi="Times New Roman" w:cs="Times New Roman"/>
                <w:sz w:val="18"/>
                <w:szCs w:val="14"/>
                <w:lang w:val="ro-RO" w:eastAsia="de-DE"/>
              </w:rPr>
              <w:t>pierderi</w:t>
            </w:r>
            <w:r w:rsidR="00936847" w:rsidRPr="009C5F11">
              <w:rPr>
                <w:rFonts w:ascii="Times New Roman" w:hAnsi="Times New Roman" w:cs="Times New Roman"/>
                <w:sz w:val="18"/>
                <w:szCs w:val="14"/>
                <w:lang w:val="ro-RO" w:eastAsia="de-DE"/>
              </w:rPr>
              <w:t>)</w:t>
            </w:r>
          </w:p>
        </w:tc>
      </w:tr>
      <w:tr w:rsidR="00936847" w:rsidRPr="009C5F11" w14:paraId="4E5BE2A8" w14:textId="77777777" w:rsidTr="00A26C0D">
        <w:trPr>
          <w:trHeight w:val="476"/>
        </w:trPr>
        <w:tc>
          <w:tcPr>
            <w:tcW w:w="743" w:type="pct"/>
            <w:vMerge/>
          </w:tcPr>
          <w:p w14:paraId="0A67B877"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81C592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02947E7E" w14:textId="77777777" w:rsidR="004F44AB" w:rsidRDefault="004F44AB" w:rsidP="004F44AB">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Măsura este implementată </w:t>
            </w:r>
            <w:r w:rsidR="00025EC7" w:rsidRPr="009C5F11">
              <w:rPr>
                <w:rFonts w:ascii="Times New Roman" w:hAnsi="Times New Roman" w:cs="Times New Roman"/>
                <w:sz w:val="18"/>
                <w:szCs w:val="14"/>
                <w:lang w:val="ro-RO" w:eastAsia="de-DE"/>
              </w:rPr>
              <w:t xml:space="preserve">de </w:t>
            </w:r>
            <w:r w:rsidRPr="009C5F11">
              <w:rPr>
                <w:rFonts w:ascii="Times New Roman" w:hAnsi="Times New Roman" w:cs="Times New Roman"/>
                <w:sz w:val="18"/>
                <w:szCs w:val="14"/>
                <w:lang w:val="ro-RO" w:eastAsia="de-DE"/>
              </w:rPr>
              <w:t xml:space="preserve">operatorii de transport/distribuţie a </w:t>
            </w:r>
            <w:r w:rsidR="00025EC7" w:rsidRPr="009C5F11">
              <w:rPr>
                <w:rFonts w:ascii="Times New Roman" w:hAnsi="Times New Roman" w:cs="Times New Roman"/>
                <w:sz w:val="18"/>
                <w:szCs w:val="14"/>
                <w:lang w:val="ro-RO" w:eastAsia="de-DE"/>
              </w:rPr>
              <w:t>gazelor naturale</w:t>
            </w:r>
            <w:r w:rsidRPr="009C5F11">
              <w:rPr>
                <w:rFonts w:ascii="Times New Roman" w:hAnsi="Times New Roman" w:cs="Times New Roman"/>
                <w:sz w:val="18"/>
                <w:szCs w:val="14"/>
                <w:lang w:val="ro-RO" w:eastAsia="de-DE"/>
              </w:rPr>
              <w:t xml:space="preserve"> în cadrul activelor sale de reţea;</w:t>
            </w:r>
          </w:p>
          <w:p w14:paraId="08F71E99" w14:textId="77777777" w:rsidR="002B370D" w:rsidRPr="009C5F11" w:rsidRDefault="002B370D" w:rsidP="002B370D">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p w14:paraId="15C55508" w14:textId="0B7B5781" w:rsidR="002B370D" w:rsidRPr="009C5F11" w:rsidRDefault="002B370D" w:rsidP="002B370D">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2B370D">
              <w:rPr>
                <w:rFonts w:ascii="Times New Roman" w:hAnsi="Times New Roman" w:cs="Times New Roman"/>
                <w:sz w:val="18"/>
                <w:szCs w:val="14"/>
                <w:lang w:val="ro-RO" w:eastAsia="de-DE"/>
              </w:rPr>
              <w:t>Principalii beneficiari sunt consumatorii de gaze naturale care vor suporta un tarif relativ mai mic la gaze naturale ca urmare a impactului reducerii consumului tehnologic și pierderilor de gaze în reţelele de transport şi distribuţie a gazelor naturale</w:t>
            </w:r>
            <w:r w:rsidR="00491DCC">
              <w:rPr>
                <w:rFonts w:ascii="Times New Roman" w:hAnsi="Times New Roman" w:cs="Times New Roman"/>
                <w:sz w:val="18"/>
                <w:szCs w:val="14"/>
                <w:lang w:val="ro-RO" w:eastAsia="de-DE"/>
              </w:rPr>
              <w:t>.</w:t>
            </w:r>
          </w:p>
        </w:tc>
      </w:tr>
      <w:tr w:rsidR="00936847" w:rsidRPr="009C5F11" w14:paraId="34F0EC45" w14:textId="77777777" w:rsidTr="00A26C0D">
        <w:trPr>
          <w:trHeight w:val="71"/>
        </w:trPr>
        <w:tc>
          <w:tcPr>
            <w:tcW w:w="743" w:type="pct"/>
            <w:vMerge/>
          </w:tcPr>
          <w:p w14:paraId="36133434"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9C67B52"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6E75B6C1" w14:textId="77777777" w:rsidR="00936847" w:rsidRPr="009C5F11" w:rsidRDefault="001D01E9" w:rsidP="00B40DB5">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Zone de retea relevante (regionale) </w:t>
            </w:r>
          </w:p>
        </w:tc>
      </w:tr>
      <w:tr w:rsidR="00936847" w:rsidRPr="009C5F11" w14:paraId="6C1AFE48" w14:textId="77777777" w:rsidTr="00A26C0D">
        <w:trPr>
          <w:trHeight w:val="476"/>
        </w:trPr>
        <w:tc>
          <w:tcPr>
            <w:tcW w:w="743" w:type="pct"/>
            <w:vMerge w:val="restart"/>
          </w:tcPr>
          <w:p w14:paraId="19A4EB1C"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66DC550E"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244" w:type="pct"/>
          </w:tcPr>
          <w:p w14:paraId="2DB7E9A8" w14:textId="77777777" w:rsidR="00936847" w:rsidRPr="00836C2E" w:rsidRDefault="00642694" w:rsidP="00B40DB5">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836C2E">
              <w:rPr>
                <w:rFonts w:ascii="Times New Roman" w:hAnsi="Times New Roman" w:cs="Times New Roman"/>
                <w:sz w:val="18"/>
                <w:szCs w:val="14"/>
                <w:lang w:val="ro-RO" w:eastAsia="de-DE"/>
              </w:rPr>
              <w:t>Sistemul de management energetic</w:t>
            </w:r>
            <w:r w:rsidR="00177E9C" w:rsidRPr="00836C2E">
              <w:rPr>
                <w:rFonts w:ascii="Times New Roman" w:hAnsi="Times New Roman" w:cs="Times New Roman"/>
                <w:sz w:val="18"/>
                <w:szCs w:val="14"/>
                <w:lang w:val="ro-RO" w:eastAsia="de-DE"/>
              </w:rPr>
              <w:t xml:space="preserve"> </w:t>
            </w:r>
            <w:r w:rsidR="00936847" w:rsidRPr="00836C2E">
              <w:rPr>
                <w:rFonts w:ascii="Times New Roman" w:hAnsi="Times New Roman" w:cs="Times New Roman"/>
                <w:sz w:val="18"/>
                <w:szCs w:val="14"/>
                <w:lang w:val="ro-RO" w:eastAsia="de-DE"/>
              </w:rPr>
              <w:t>(</w:t>
            </w:r>
            <w:r w:rsidRPr="00836C2E">
              <w:rPr>
                <w:rFonts w:ascii="Times New Roman" w:hAnsi="Times New Roman" w:cs="Times New Roman"/>
                <w:sz w:val="18"/>
                <w:szCs w:val="14"/>
                <w:lang w:val="ro-RO" w:eastAsia="de-DE"/>
              </w:rPr>
              <w:t xml:space="preserve">achiziţii de </w:t>
            </w:r>
            <w:r w:rsidR="000C7BEC" w:rsidRPr="00836C2E">
              <w:rPr>
                <w:rFonts w:ascii="Times New Roman" w:hAnsi="Times New Roman" w:cs="Times New Roman"/>
                <w:sz w:val="18"/>
                <w:szCs w:val="14"/>
                <w:lang w:val="ro-RO" w:eastAsia="de-DE"/>
              </w:rPr>
              <w:t>eficienţă energetică</w:t>
            </w:r>
            <w:r w:rsidR="00936847" w:rsidRPr="00836C2E">
              <w:rPr>
                <w:rFonts w:ascii="Times New Roman" w:hAnsi="Times New Roman" w:cs="Times New Roman"/>
                <w:sz w:val="18"/>
                <w:szCs w:val="14"/>
                <w:lang w:val="ro-RO" w:eastAsia="de-DE"/>
              </w:rPr>
              <w:t>)</w:t>
            </w:r>
            <w:r w:rsidRPr="00836C2E">
              <w:rPr>
                <w:rFonts w:ascii="Times New Roman" w:hAnsi="Times New Roman" w:cs="Times New Roman"/>
                <w:sz w:val="18"/>
                <w:szCs w:val="14"/>
                <w:lang w:val="ro-RO" w:eastAsia="de-DE"/>
              </w:rPr>
              <w:t>.</w:t>
            </w:r>
          </w:p>
          <w:p w14:paraId="038B9745" w14:textId="77777777" w:rsidR="00936847" w:rsidRPr="00836C2E" w:rsidRDefault="00642694" w:rsidP="00B40DB5">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836C2E">
              <w:rPr>
                <w:rFonts w:ascii="Times New Roman" w:hAnsi="Times New Roman" w:cs="Times New Roman"/>
                <w:sz w:val="18"/>
                <w:szCs w:val="14"/>
                <w:lang w:val="ro-RO" w:eastAsia="de-DE"/>
              </w:rPr>
              <w:t>Screening-ul fluxului energetic</w:t>
            </w:r>
            <w:r w:rsidR="00936847" w:rsidRPr="00836C2E">
              <w:rPr>
                <w:rFonts w:ascii="Times New Roman" w:hAnsi="Times New Roman" w:cs="Times New Roman"/>
                <w:sz w:val="18"/>
                <w:szCs w:val="14"/>
                <w:lang w:val="ro-RO" w:eastAsia="de-DE"/>
              </w:rPr>
              <w:t xml:space="preserve"> (</w:t>
            </w:r>
            <w:r w:rsidRPr="00836C2E">
              <w:rPr>
                <w:rFonts w:ascii="Times New Roman" w:hAnsi="Times New Roman" w:cs="Times New Roman"/>
                <w:sz w:val="18"/>
                <w:szCs w:val="14"/>
                <w:lang w:val="ro-RO" w:eastAsia="de-DE"/>
              </w:rPr>
              <w:t>în vederea pregătirii domeniilor pentru investigaţii speciale</w:t>
            </w:r>
            <w:r w:rsidR="00936847" w:rsidRPr="00836C2E">
              <w:rPr>
                <w:rFonts w:ascii="Times New Roman" w:hAnsi="Times New Roman" w:cs="Times New Roman"/>
                <w:sz w:val="18"/>
                <w:szCs w:val="14"/>
                <w:lang w:val="ro-RO" w:eastAsia="de-DE"/>
              </w:rPr>
              <w:t>)</w:t>
            </w:r>
            <w:r w:rsidRPr="00836C2E">
              <w:rPr>
                <w:rFonts w:ascii="Times New Roman" w:hAnsi="Times New Roman" w:cs="Times New Roman"/>
                <w:sz w:val="18"/>
                <w:szCs w:val="14"/>
                <w:lang w:val="ro-RO" w:eastAsia="de-DE"/>
              </w:rPr>
              <w:t>.</w:t>
            </w:r>
          </w:p>
          <w:p w14:paraId="1D36DF40" w14:textId="77777777" w:rsidR="00936847" w:rsidRPr="00836C2E" w:rsidRDefault="00642694" w:rsidP="00B40DB5">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836C2E">
              <w:rPr>
                <w:rFonts w:ascii="Times New Roman" w:hAnsi="Times New Roman" w:cs="Times New Roman"/>
                <w:sz w:val="18"/>
                <w:szCs w:val="14"/>
                <w:lang w:val="ro-RO" w:eastAsia="de-DE"/>
              </w:rPr>
              <w:t>I</w:t>
            </w:r>
            <w:r w:rsidR="00936847" w:rsidRPr="00836C2E">
              <w:rPr>
                <w:rFonts w:ascii="Times New Roman" w:hAnsi="Times New Roman" w:cs="Times New Roman"/>
                <w:sz w:val="18"/>
                <w:szCs w:val="14"/>
                <w:lang w:val="ro-RO" w:eastAsia="de-DE"/>
              </w:rPr>
              <w:t>nvestiga</w:t>
            </w:r>
            <w:r w:rsidRPr="00836C2E">
              <w:rPr>
                <w:rFonts w:ascii="Times New Roman" w:hAnsi="Times New Roman" w:cs="Times New Roman"/>
                <w:sz w:val="18"/>
                <w:szCs w:val="14"/>
                <w:lang w:val="ro-RO" w:eastAsia="de-DE"/>
              </w:rPr>
              <w:t>ţii speciale</w:t>
            </w:r>
            <w:r w:rsidR="00936847" w:rsidRPr="00836C2E">
              <w:rPr>
                <w:rFonts w:ascii="Times New Roman" w:hAnsi="Times New Roman" w:cs="Times New Roman"/>
                <w:sz w:val="18"/>
                <w:szCs w:val="14"/>
                <w:lang w:val="ro-RO" w:eastAsia="de-DE"/>
              </w:rPr>
              <w:t xml:space="preserve"> (</w:t>
            </w:r>
            <w:r w:rsidRPr="00836C2E">
              <w:rPr>
                <w:rFonts w:ascii="Times New Roman" w:hAnsi="Times New Roman" w:cs="Times New Roman"/>
                <w:sz w:val="18"/>
                <w:szCs w:val="14"/>
                <w:lang w:val="ro-RO" w:eastAsia="de-DE"/>
              </w:rPr>
              <w:t xml:space="preserve">pentru a </w:t>
            </w:r>
            <w:r w:rsidR="00936847" w:rsidRPr="00836C2E">
              <w:rPr>
                <w:rFonts w:ascii="Times New Roman" w:hAnsi="Times New Roman" w:cs="Times New Roman"/>
                <w:sz w:val="18"/>
                <w:szCs w:val="14"/>
                <w:lang w:val="ro-RO" w:eastAsia="de-DE"/>
              </w:rPr>
              <w:t>identif</w:t>
            </w:r>
            <w:r w:rsidRPr="00836C2E">
              <w:rPr>
                <w:rFonts w:ascii="Times New Roman" w:hAnsi="Times New Roman" w:cs="Times New Roman"/>
                <w:sz w:val="18"/>
                <w:szCs w:val="14"/>
                <w:lang w:val="ro-RO" w:eastAsia="de-DE"/>
              </w:rPr>
              <w:t>ica proiectele de economisire a energiei</w:t>
            </w:r>
            <w:r w:rsidR="00936847" w:rsidRPr="00836C2E">
              <w:rPr>
                <w:rFonts w:ascii="Times New Roman" w:hAnsi="Times New Roman" w:cs="Times New Roman"/>
                <w:sz w:val="18"/>
                <w:szCs w:val="14"/>
                <w:lang w:val="ro-RO" w:eastAsia="de-DE"/>
              </w:rPr>
              <w:t>)</w:t>
            </w:r>
            <w:r w:rsidRPr="00836C2E">
              <w:rPr>
                <w:rFonts w:ascii="Times New Roman" w:hAnsi="Times New Roman" w:cs="Times New Roman"/>
                <w:sz w:val="18"/>
                <w:szCs w:val="14"/>
                <w:lang w:val="ro-RO" w:eastAsia="de-DE"/>
              </w:rPr>
              <w:t>.</w:t>
            </w:r>
          </w:p>
          <w:p w14:paraId="5D1F6208" w14:textId="77777777" w:rsidR="00936847" w:rsidRPr="00836C2E" w:rsidRDefault="005F3110" w:rsidP="00B40DB5">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836C2E">
              <w:rPr>
                <w:rFonts w:ascii="Times New Roman" w:hAnsi="Times New Roman" w:cs="Times New Roman"/>
                <w:sz w:val="18"/>
                <w:szCs w:val="14"/>
                <w:lang w:val="ro-RO" w:eastAsia="de-DE"/>
              </w:rPr>
              <w:t>P</w:t>
            </w:r>
            <w:r w:rsidR="00E10BE5" w:rsidRPr="00836C2E">
              <w:rPr>
                <w:rFonts w:ascii="Times New Roman" w:hAnsi="Times New Roman" w:cs="Times New Roman"/>
                <w:sz w:val="18"/>
                <w:szCs w:val="14"/>
                <w:lang w:val="ro-RO" w:eastAsia="de-DE"/>
              </w:rPr>
              <w:t>roiecte</w:t>
            </w:r>
            <w:r w:rsidR="00936847" w:rsidRPr="00836C2E">
              <w:rPr>
                <w:rFonts w:ascii="Times New Roman" w:hAnsi="Times New Roman" w:cs="Times New Roman"/>
                <w:sz w:val="18"/>
                <w:szCs w:val="14"/>
                <w:lang w:val="ro-RO" w:eastAsia="de-DE"/>
              </w:rPr>
              <w:t xml:space="preserve"> </w:t>
            </w:r>
            <w:r w:rsidR="00642694" w:rsidRPr="00836C2E">
              <w:rPr>
                <w:rFonts w:ascii="Times New Roman" w:hAnsi="Times New Roman" w:cs="Times New Roman"/>
                <w:sz w:val="18"/>
                <w:szCs w:val="14"/>
                <w:lang w:val="ro-RO" w:eastAsia="de-DE"/>
              </w:rPr>
              <w:t xml:space="preserve">de economisire a energiei </w:t>
            </w:r>
            <w:r w:rsidR="00936847" w:rsidRPr="00836C2E">
              <w:rPr>
                <w:rFonts w:ascii="Times New Roman" w:hAnsi="Times New Roman" w:cs="Times New Roman"/>
                <w:sz w:val="18"/>
                <w:szCs w:val="14"/>
                <w:lang w:val="ro-RO" w:eastAsia="de-DE"/>
              </w:rPr>
              <w:t>(</w:t>
            </w:r>
            <w:r w:rsidR="004E138F" w:rsidRPr="00836C2E">
              <w:rPr>
                <w:rFonts w:ascii="Times New Roman" w:hAnsi="Times New Roman" w:cs="Times New Roman"/>
                <w:sz w:val="18"/>
                <w:szCs w:val="14"/>
                <w:lang w:val="ro-RO" w:eastAsia="de-DE"/>
              </w:rPr>
              <w:t>investiţii</w:t>
            </w:r>
            <w:r w:rsidR="00936847" w:rsidRPr="00836C2E">
              <w:rPr>
                <w:rFonts w:ascii="Times New Roman" w:hAnsi="Times New Roman" w:cs="Times New Roman"/>
                <w:sz w:val="18"/>
                <w:szCs w:val="14"/>
                <w:lang w:val="ro-RO" w:eastAsia="de-DE"/>
              </w:rPr>
              <w:t>)</w:t>
            </w:r>
            <w:r w:rsidR="00642694" w:rsidRPr="00836C2E">
              <w:rPr>
                <w:rFonts w:ascii="Times New Roman" w:hAnsi="Times New Roman" w:cs="Times New Roman"/>
                <w:sz w:val="18"/>
                <w:szCs w:val="14"/>
                <w:lang w:val="ro-RO" w:eastAsia="de-DE"/>
              </w:rPr>
              <w:t>.</w:t>
            </w:r>
          </w:p>
          <w:p w14:paraId="1800A733" w14:textId="77777777" w:rsidR="00936847" w:rsidRPr="009C5F11" w:rsidRDefault="005F3110" w:rsidP="00B40DB5">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836C2E">
              <w:rPr>
                <w:rFonts w:ascii="Times New Roman" w:hAnsi="Times New Roman" w:cs="Times New Roman"/>
                <w:sz w:val="18"/>
                <w:szCs w:val="14"/>
                <w:lang w:val="ro-RO" w:eastAsia="de-DE"/>
              </w:rPr>
              <w:t xml:space="preserve">Construcţia conductei noi </w:t>
            </w:r>
            <w:r w:rsidR="00936847" w:rsidRPr="00836C2E">
              <w:rPr>
                <w:rFonts w:ascii="Times New Roman" w:hAnsi="Times New Roman" w:cs="Times New Roman"/>
                <w:sz w:val="18"/>
                <w:szCs w:val="14"/>
                <w:lang w:val="ro-RO" w:eastAsia="de-DE"/>
              </w:rPr>
              <w:t>Ungheni-</w:t>
            </w:r>
            <w:r w:rsidR="00AA0566" w:rsidRPr="00836C2E">
              <w:rPr>
                <w:rFonts w:ascii="Times New Roman" w:hAnsi="Times New Roman" w:cs="Times New Roman"/>
                <w:sz w:val="18"/>
                <w:szCs w:val="14"/>
                <w:lang w:val="ro-RO" w:eastAsia="de-DE"/>
              </w:rPr>
              <w:t>Chişinău</w:t>
            </w:r>
            <w:r w:rsidR="00321CD5" w:rsidRPr="00836C2E">
              <w:rPr>
                <w:rFonts w:ascii="Times New Roman" w:hAnsi="Times New Roman" w:cs="Times New Roman"/>
                <w:sz w:val="18"/>
                <w:szCs w:val="14"/>
                <w:lang w:val="ro-RO" w:eastAsia="de-DE"/>
              </w:rPr>
              <w:t xml:space="preserve"> şi </w:t>
            </w:r>
            <w:r w:rsidR="00936847" w:rsidRPr="00836C2E">
              <w:rPr>
                <w:rFonts w:ascii="Times New Roman" w:hAnsi="Times New Roman" w:cs="Times New Roman"/>
                <w:sz w:val="18"/>
                <w:szCs w:val="14"/>
                <w:lang w:val="ro-RO" w:eastAsia="de-DE"/>
              </w:rPr>
              <w:t>con</w:t>
            </w:r>
            <w:r w:rsidRPr="00836C2E">
              <w:rPr>
                <w:rFonts w:ascii="Times New Roman" w:hAnsi="Times New Roman" w:cs="Times New Roman"/>
                <w:sz w:val="18"/>
                <w:szCs w:val="14"/>
                <w:lang w:val="ro-RO" w:eastAsia="de-DE"/>
              </w:rPr>
              <w:t xml:space="preserve">exiunea cu </w:t>
            </w:r>
            <w:r w:rsidR="00936847" w:rsidRPr="00836C2E">
              <w:rPr>
                <w:rFonts w:ascii="Times New Roman" w:hAnsi="Times New Roman" w:cs="Times New Roman"/>
                <w:sz w:val="18"/>
                <w:szCs w:val="14"/>
                <w:lang w:val="ro-RO" w:eastAsia="de-DE"/>
              </w:rPr>
              <w:t>infrastructur</w:t>
            </w:r>
            <w:r w:rsidRPr="00836C2E">
              <w:rPr>
                <w:rFonts w:ascii="Times New Roman" w:hAnsi="Times New Roman" w:cs="Times New Roman"/>
                <w:sz w:val="18"/>
                <w:szCs w:val="14"/>
                <w:lang w:val="ro-RO" w:eastAsia="de-DE"/>
              </w:rPr>
              <w:t>a internă.</w:t>
            </w:r>
          </w:p>
        </w:tc>
      </w:tr>
      <w:tr w:rsidR="00936847" w:rsidRPr="009C5F11" w14:paraId="29D69071" w14:textId="77777777" w:rsidTr="00A26C0D">
        <w:trPr>
          <w:trHeight w:val="278"/>
        </w:trPr>
        <w:tc>
          <w:tcPr>
            <w:tcW w:w="743" w:type="pct"/>
            <w:vMerge/>
          </w:tcPr>
          <w:p w14:paraId="6299F72E"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7AC969F"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431B35B7" w14:textId="77777777" w:rsidR="00936847" w:rsidRPr="009C5F11" w:rsidRDefault="00642694"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Principala sursă </w:t>
            </w:r>
            <w:r w:rsidR="005F3110" w:rsidRPr="009C5F11">
              <w:rPr>
                <w:rFonts w:ascii="Times New Roman" w:hAnsi="Times New Roman" w:cs="Times New Roman"/>
                <w:sz w:val="18"/>
                <w:szCs w:val="14"/>
                <w:lang w:val="ro-RO" w:eastAsia="de-DE"/>
              </w:rPr>
              <w:t xml:space="preserve">de </w:t>
            </w:r>
            <w:r w:rsidRPr="009C5F11">
              <w:rPr>
                <w:rFonts w:ascii="Times New Roman" w:hAnsi="Times New Roman" w:cs="Times New Roman"/>
                <w:sz w:val="18"/>
                <w:szCs w:val="14"/>
                <w:lang w:val="ro-RO" w:eastAsia="de-DE"/>
              </w:rPr>
              <w:t>finan</w:t>
            </w:r>
            <w:r w:rsidR="005F3110" w:rsidRPr="009C5F11">
              <w:rPr>
                <w:rFonts w:ascii="Times New Roman" w:hAnsi="Times New Roman" w:cs="Times New Roman"/>
                <w:sz w:val="18"/>
                <w:szCs w:val="14"/>
                <w:lang w:val="ro-RO" w:eastAsia="de-DE"/>
              </w:rPr>
              <w:t xml:space="preserve">ţare </w:t>
            </w:r>
            <w:r w:rsidRPr="009C5F11">
              <w:rPr>
                <w:rFonts w:ascii="Times New Roman" w:hAnsi="Times New Roman" w:cs="Times New Roman"/>
                <w:sz w:val="18"/>
                <w:szCs w:val="14"/>
                <w:lang w:val="ro-RO" w:eastAsia="de-DE"/>
              </w:rPr>
              <w:t>a măsurii o reprezintă tarifele aprobate de autoritatea de reglementare şi achitate de consumatorii finali</w:t>
            </w:r>
            <w:r w:rsidR="00936847" w:rsidRPr="009C5F11">
              <w:rPr>
                <w:rFonts w:ascii="Times New Roman" w:hAnsi="Times New Roman" w:cs="Times New Roman"/>
                <w:sz w:val="18"/>
                <w:szCs w:val="14"/>
                <w:lang w:val="ro-RO" w:eastAsia="de-DE"/>
              </w:rPr>
              <w:t>.</w:t>
            </w:r>
          </w:p>
          <w:p w14:paraId="05E89329" w14:textId="7C58D5DE" w:rsidR="00936847" w:rsidRPr="009C5F11" w:rsidRDefault="00642694"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Mijloacele suplimentare provin din surse asigurate de strategiile succesive de cheltuieli în domeniul </w:t>
            </w:r>
            <w:r w:rsidR="001E3482" w:rsidRPr="009C5F11">
              <w:rPr>
                <w:rFonts w:ascii="Times New Roman" w:hAnsi="Times New Roman" w:cs="Times New Roman"/>
                <w:sz w:val="18"/>
                <w:szCs w:val="14"/>
                <w:lang w:val="ro-RO" w:eastAsia="de-DE"/>
              </w:rPr>
              <w:t>energ</w:t>
            </w:r>
            <w:r w:rsidRPr="009C5F11">
              <w:rPr>
                <w:rFonts w:ascii="Times New Roman" w:hAnsi="Times New Roman" w:cs="Times New Roman"/>
                <w:sz w:val="18"/>
                <w:szCs w:val="14"/>
                <w:lang w:val="ro-RO" w:eastAsia="de-DE"/>
              </w:rPr>
              <w:t>etic</w:t>
            </w:r>
            <w:r w:rsidR="007B125E"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oferite de</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ME</w:t>
            </w:r>
            <w:r w:rsidR="00936847"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axate pe reconfigurarea </w:t>
            </w:r>
            <w:r w:rsidR="00936847" w:rsidRPr="009C5F11">
              <w:rPr>
                <w:rFonts w:ascii="Times New Roman" w:hAnsi="Times New Roman" w:cs="Times New Roman"/>
                <w:sz w:val="18"/>
                <w:szCs w:val="14"/>
                <w:lang w:val="ro-RO" w:eastAsia="de-DE"/>
              </w:rPr>
              <w:t>infrastructur</w:t>
            </w:r>
            <w:r w:rsidRPr="009C5F11">
              <w:rPr>
                <w:rFonts w:ascii="Times New Roman" w:hAnsi="Times New Roman" w:cs="Times New Roman"/>
                <w:sz w:val="18"/>
                <w:szCs w:val="14"/>
                <w:lang w:val="ro-RO" w:eastAsia="de-DE"/>
              </w:rPr>
              <w:t xml:space="preserve">ii de transport a gazelor naturale </w:t>
            </w:r>
            <w:r w:rsidR="00321CD5" w:rsidRPr="009C5F11">
              <w:rPr>
                <w:rFonts w:ascii="Times New Roman" w:hAnsi="Times New Roman" w:cs="Times New Roman"/>
                <w:sz w:val="18"/>
                <w:szCs w:val="14"/>
                <w:lang w:val="ro-RO" w:eastAsia="de-DE"/>
              </w:rPr>
              <w:t xml:space="preserve">şi </w:t>
            </w:r>
            <w:r w:rsidR="00936847" w:rsidRPr="009C5F11">
              <w:rPr>
                <w:rFonts w:ascii="Times New Roman" w:hAnsi="Times New Roman" w:cs="Times New Roman"/>
                <w:sz w:val="18"/>
                <w:szCs w:val="14"/>
                <w:lang w:val="ro-RO" w:eastAsia="de-DE"/>
              </w:rPr>
              <w:t>con</w:t>
            </w:r>
            <w:r w:rsidRPr="009C5F11">
              <w:rPr>
                <w:rFonts w:ascii="Times New Roman" w:hAnsi="Times New Roman" w:cs="Times New Roman"/>
                <w:sz w:val="18"/>
                <w:szCs w:val="14"/>
                <w:lang w:val="ro-RO" w:eastAsia="de-DE"/>
              </w:rPr>
              <w:t>exiunea reţelei interne cu conducta de interconexiune</w:t>
            </w:r>
            <w:r w:rsidR="003673F6">
              <w:rPr>
                <w:rFonts w:ascii="Times New Roman" w:hAnsi="Times New Roman" w:cs="Times New Roman"/>
                <w:sz w:val="18"/>
                <w:szCs w:val="14"/>
                <w:lang w:val="ro-RO" w:eastAsia="de-DE"/>
              </w:rPr>
              <w:t xml:space="preserve"> </w:t>
            </w:r>
            <w:r w:rsidR="003673F6" w:rsidRPr="009C5F11">
              <w:rPr>
                <w:rFonts w:ascii="Times New Roman" w:hAnsi="Times New Roman" w:cs="Times New Roman"/>
                <w:sz w:val="18"/>
                <w:szCs w:val="14"/>
                <w:lang w:val="ro-RO" w:eastAsia="de-DE"/>
              </w:rPr>
              <w:t>cu România</w:t>
            </w:r>
            <w:r w:rsidR="00936847" w:rsidRPr="009C5F11">
              <w:rPr>
                <w:rFonts w:ascii="Times New Roman" w:hAnsi="Times New Roman" w:cs="Times New Roman"/>
                <w:sz w:val="18"/>
                <w:szCs w:val="14"/>
                <w:lang w:val="ro-RO" w:eastAsia="de-DE"/>
              </w:rPr>
              <w:t xml:space="preserve">. </w:t>
            </w:r>
          </w:p>
          <w:p w14:paraId="46625207" w14:textId="77777777" w:rsidR="00936847" w:rsidRPr="009C5F11" w:rsidRDefault="00792AA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Strategia sectorială de cheltuieli în domeniul energetic</w:t>
            </w:r>
            <w:r w:rsidR="00936847" w:rsidRPr="009C5F11">
              <w:rPr>
                <w:rFonts w:ascii="Times New Roman" w:hAnsi="Times New Roman" w:cs="Times New Roman"/>
                <w:sz w:val="18"/>
                <w:szCs w:val="14"/>
                <w:lang w:val="ro-RO" w:eastAsia="de-DE"/>
              </w:rPr>
              <w:t xml:space="preserve"> 2014-2016 (</w:t>
            </w:r>
            <w:r w:rsidR="00421FA7" w:rsidRPr="009C5F11">
              <w:rPr>
                <w:rFonts w:ascii="Times New Roman" w:hAnsi="Times New Roman" w:cs="Times New Roman"/>
                <w:sz w:val="18"/>
                <w:szCs w:val="14"/>
                <w:lang w:val="ro-RO" w:eastAsia="de-DE"/>
              </w:rPr>
              <w:t>Programul</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Dezvoltarea sectorului energetic</w:t>
            </w:r>
            <w:r w:rsidR="00936847"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subprogramul</w:t>
            </w:r>
            <w:r w:rsidR="00936847" w:rsidRPr="009C5F11">
              <w:rPr>
                <w:rFonts w:ascii="Times New Roman" w:hAnsi="Times New Roman" w:cs="Times New Roman"/>
                <w:sz w:val="18"/>
                <w:szCs w:val="14"/>
                <w:lang w:val="ro-RO" w:eastAsia="de-DE"/>
              </w:rPr>
              <w:t xml:space="preserve"> II “</w:t>
            </w:r>
            <w:r w:rsidR="00642694" w:rsidRPr="009C5F11">
              <w:rPr>
                <w:rFonts w:ascii="Times New Roman" w:hAnsi="Times New Roman" w:cs="Times New Roman"/>
                <w:sz w:val="18"/>
                <w:szCs w:val="14"/>
                <w:lang w:val="ro-RO" w:eastAsia="de-DE"/>
              </w:rPr>
              <w:t>Reţele şi conducte de gaze naturale</w:t>
            </w:r>
            <w:r w:rsidR="004816EC" w:rsidRPr="009C5F11">
              <w:rPr>
                <w:rFonts w:ascii="Times New Roman" w:hAnsi="Times New Roman" w:cs="Times New Roman"/>
                <w:sz w:val="18"/>
                <w:szCs w:val="14"/>
                <w:lang w:val="ro-RO" w:eastAsia="de-DE"/>
              </w:rPr>
              <w:t>”)</w:t>
            </w:r>
            <w:r w:rsidR="00642694" w:rsidRPr="009C5F11">
              <w:rPr>
                <w:rFonts w:ascii="Times New Roman" w:hAnsi="Times New Roman" w:cs="Times New Roman"/>
                <w:sz w:val="18"/>
                <w:szCs w:val="14"/>
                <w:lang w:val="ro-RO" w:eastAsia="de-DE"/>
              </w:rPr>
              <w:t>,</w:t>
            </w:r>
            <w:r w:rsidR="004816EC"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acţiunile</w:t>
            </w:r>
            <w:r w:rsidR="00936847" w:rsidRPr="009C5F11">
              <w:rPr>
                <w:rFonts w:ascii="Times New Roman" w:hAnsi="Times New Roman" w:cs="Times New Roman"/>
                <w:sz w:val="18"/>
                <w:szCs w:val="14"/>
                <w:lang w:val="ro-RO" w:eastAsia="de-DE"/>
              </w:rPr>
              <w:t>: ”</w:t>
            </w:r>
            <w:r w:rsidR="00642694" w:rsidRPr="009C5F11">
              <w:rPr>
                <w:rFonts w:ascii="Times New Roman" w:hAnsi="Times New Roman" w:cs="Times New Roman"/>
                <w:sz w:val="18"/>
                <w:szCs w:val="14"/>
                <w:lang w:val="ro-RO" w:eastAsia="de-DE"/>
              </w:rPr>
              <w:t xml:space="preserve">Conducta de interconexiune </w:t>
            </w:r>
            <w:r w:rsidR="00936847" w:rsidRPr="009C5F11">
              <w:rPr>
                <w:rFonts w:ascii="Times New Roman" w:hAnsi="Times New Roman" w:cs="Times New Roman"/>
                <w:sz w:val="18"/>
                <w:szCs w:val="14"/>
                <w:lang w:val="ro-RO" w:eastAsia="de-DE"/>
              </w:rPr>
              <w:t>Ungheni-</w:t>
            </w:r>
            <w:r w:rsidR="008F7BD5" w:rsidRPr="009C5F11">
              <w:rPr>
                <w:rFonts w:ascii="Times New Roman" w:hAnsi="Times New Roman" w:cs="Times New Roman"/>
                <w:sz w:val="18"/>
                <w:szCs w:val="14"/>
                <w:lang w:val="ro-RO" w:eastAsia="de-DE"/>
              </w:rPr>
              <w:t>Iaşi</w:t>
            </w:r>
            <w:r w:rsidR="00936847" w:rsidRPr="009C5F11">
              <w:rPr>
                <w:rFonts w:ascii="Times New Roman" w:hAnsi="Times New Roman" w:cs="Times New Roman"/>
                <w:sz w:val="18"/>
                <w:szCs w:val="14"/>
                <w:lang w:val="ro-RO" w:eastAsia="de-DE"/>
              </w:rPr>
              <w:t>” finali</w:t>
            </w:r>
            <w:r w:rsidR="00642694" w:rsidRPr="009C5F11">
              <w:rPr>
                <w:rFonts w:ascii="Times New Roman" w:hAnsi="Times New Roman" w:cs="Times New Roman"/>
                <w:sz w:val="18"/>
                <w:szCs w:val="14"/>
                <w:lang w:val="ro-RO" w:eastAsia="de-DE"/>
              </w:rPr>
              <w:t>zată</w:t>
            </w:r>
            <w:r w:rsidR="00936847" w:rsidRPr="009C5F11">
              <w:rPr>
                <w:rFonts w:ascii="Times New Roman" w:hAnsi="Times New Roman" w:cs="Times New Roman"/>
                <w:sz w:val="18"/>
                <w:szCs w:val="14"/>
                <w:lang w:val="ro-RO" w:eastAsia="de-DE"/>
              </w:rPr>
              <w:t xml:space="preserve">, </w:t>
            </w:r>
            <w:r w:rsidR="00642694" w:rsidRPr="009C5F11">
              <w:rPr>
                <w:rFonts w:ascii="Times New Roman" w:hAnsi="Times New Roman" w:cs="Times New Roman"/>
                <w:sz w:val="18"/>
                <w:szCs w:val="14"/>
                <w:lang w:val="ro-RO" w:eastAsia="de-DE"/>
              </w:rPr>
              <w:t xml:space="preserve">Contorizarea staţiei conductei </w:t>
            </w:r>
            <w:r w:rsidR="00936847" w:rsidRPr="009C5F11">
              <w:rPr>
                <w:rFonts w:ascii="Times New Roman" w:hAnsi="Times New Roman" w:cs="Times New Roman"/>
                <w:sz w:val="18"/>
                <w:szCs w:val="14"/>
                <w:lang w:val="ro-RO" w:eastAsia="de-DE"/>
              </w:rPr>
              <w:t>Ungheni-</w:t>
            </w:r>
            <w:r w:rsidR="008F7BD5" w:rsidRPr="009C5F11">
              <w:rPr>
                <w:rFonts w:ascii="Times New Roman" w:hAnsi="Times New Roman" w:cs="Times New Roman"/>
                <w:sz w:val="18"/>
                <w:szCs w:val="14"/>
                <w:lang w:val="ro-RO" w:eastAsia="de-DE"/>
              </w:rPr>
              <w:t>Iaşi</w:t>
            </w:r>
            <w:r w:rsidR="00936847" w:rsidRPr="009C5F11">
              <w:rPr>
                <w:rFonts w:ascii="Times New Roman" w:hAnsi="Times New Roman" w:cs="Times New Roman"/>
                <w:sz w:val="18"/>
                <w:szCs w:val="14"/>
                <w:lang w:val="ro-RO" w:eastAsia="de-DE"/>
              </w:rPr>
              <w:t>, finali</w:t>
            </w:r>
            <w:r w:rsidR="00642694" w:rsidRPr="009C5F11">
              <w:rPr>
                <w:rFonts w:ascii="Times New Roman" w:hAnsi="Times New Roman" w:cs="Times New Roman"/>
                <w:sz w:val="18"/>
                <w:szCs w:val="14"/>
                <w:lang w:val="ro-RO" w:eastAsia="de-DE"/>
              </w:rPr>
              <w:t>zată.</w:t>
            </w:r>
          </w:p>
          <w:p w14:paraId="44F1B0FB" w14:textId="77777777" w:rsidR="00936847" w:rsidRPr="009C5F11" w:rsidRDefault="00936847" w:rsidP="00334F3B">
            <w:pPr>
              <w:numPr>
                <w:ilvl w:val="0"/>
                <w:numId w:val="125"/>
              </w:numPr>
              <w:tabs>
                <w:tab w:val="left" w:pos="61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2014: 89,131.8 </w:t>
            </w:r>
            <w:r w:rsidR="00AA0566" w:rsidRPr="009C5F11">
              <w:rPr>
                <w:rFonts w:ascii="Times New Roman" w:hAnsi="Times New Roman" w:cs="Times New Roman"/>
                <w:sz w:val="18"/>
                <w:szCs w:val="14"/>
                <w:lang w:val="ro-RO" w:eastAsia="de-DE"/>
              </w:rPr>
              <w:t>mii lei</w:t>
            </w:r>
            <w:r w:rsidR="00642694" w:rsidRPr="009C5F11">
              <w:rPr>
                <w:rFonts w:ascii="Times New Roman" w:hAnsi="Times New Roman" w:cs="Times New Roman"/>
                <w:sz w:val="18"/>
                <w:szCs w:val="14"/>
                <w:lang w:val="ro-RO" w:eastAsia="de-DE"/>
              </w:rPr>
              <w:t>.</w:t>
            </w:r>
          </w:p>
          <w:p w14:paraId="071F703E" w14:textId="77777777" w:rsidR="00936847" w:rsidRPr="009C5F11" w:rsidRDefault="00792AA6"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Strategia sectorială de cheltuieli în domeniul energetic</w:t>
            </w:r>
            <w:r w:rsidR="00936847" w:rsidRPr="009C5F11">
              <w:rPr>
                <w:rFonts w:ascii="Times New Roman" w:hAnsi="Times New Roman" w:cs="Times New Roman"/>
                <w:sz w:val="18"/>
                <w:szCs w:val="14"/>
                <w:lang w:val="ro-RO" w:eastAsia="de-DE"/>
              </w:rPr>
              <w:t xml:space="preserve"> 2016-2018 , (</w:t>
            </w:r>
            <w:r w:rsidR="00421FA7" w:rsidRPr="009C5F11">
              <w:rPr>
                <w:rFonts w:ascii="Times New Roman" w:hAnsi="Times New Roman" w:cs="Times New Roman"/>
                <w:sz w:val="18"/>
                <w:szCs w:val="14"/>
                <w:lang w:val="ro-RO" w:eastAsia="de-DE"/>
              </w:rPr>
              <w:t>Programul</w:t>
            </w:r>
            <w:r w:rsidR="00936847" w:rsidRPr="009C5F11">
              <w:rPr>
                <w:rFonts w:ascii="Times New Roman" w:hAnsi="Times New Roman" w:cs="Times New Roman"/>
                <w:sz w:val="18"/>
                <w:szCs w:val="14"/>
                <w:lang w:val="ro-RO" w:eastAsia="de-DE"/>
              </w:rPr>
              <w:t xml:space="preserve"> “</w:t>
            </w:r>
            <w:r w:rsidR="00421FA7" w:rsidRPr="009C5F11">
              <w:rPr>
                <w:rFonts w:ascii="Times New Roman" w:hAnsi="Times New Roman" w:cs="Times New Roman"/>
                <w:sz w:val="18"/>
                <w:szCs w:val="14"/>
                <w:lang w:val="ro-RO" w:eastAsia="de-DE"/>
              </w:rPr>
              <w:t>Dezvoltarea sectorului energetic</w:t>
            </w:r>
            <w:r w:rsidR="00936847"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subprogramul</w:t>
            </w:r>
            <w:r w:rsidR="00936847" w:rsidRPr="009C5F11">
              <w:rPr>
                <w:rFonts w:ascii="Times New Roman" w:hAnsi="Times New Roman" w:cs="Times New Roman"/>
                <w:sz w:val="18"/>
                <w:szCs w:val="14"/>
                <w:lang w:val="ro-RO" w:eastAsia="de-DE"/>
              </w:rPr>
              <w:t xml:space="preserve"> III “</w:t>
            </w:r>
            <w:r w:rsidR="008F7BD5" w:rsidRPr="009C5F11">
              <w:rPr>
                <w:rFonts w:ascii="Times New Roman" w:hAnsi="Times New Roman" w:cs="Times New Roman"/>
                <w:sz w:val="18"/>
                <w:szCs w:val="14"/>
                <w:lang w:val="ro-RO" w:eastAsia="de-DE"/>
              </w:rPr>
              <w:t>Dezvoltarea sistemului intern pentru aprovizionarea cu gaze naturale</w:t>
            </w:r>
            <w:r w:rsidR="00936847" w:rsidRPr="009C5F11">
              <w:rPr>
                <w:rFonts w:ascii="Times New Roman" w:hAnsi="Times New Roman" w:cs="Times New Roman"/>
                <w:sz w:val="18"/>
                <w:szCs w:val="14"/>
                <w:lang w:val="ro-RO" w:eastAsia="de-DE"/>
              </w:rPr>
              <w:t>”)</w:t>
            </w:r>
            <w:r w:rsidR="00642694" w:rsidRPr="009C5F11">
              <w:rPr>
                <w:rFonts w:ascii="Times New Roman" w:hAnsi="Times New Roman" w:cs="Times New Roman"/>
                <w:sz w:val="18"/>
                <w:szCs w:val="14"/>
                <w:lang w:val="ro-RO" w:eastAsia="de-DE"/>
              </w:rPr>
              <w:t>.</w:t>
            </w:r>
            <w:r w:rsidR="00936847" w:rsidRPr="009C5F11">
              <w:rPr>
                <w:rFonts w:ascii="Times New Roman" w:hAnsi="Times New Roman" w:cs="Times New Roman"/>
                <w:sz w:val="18"/>
                <w:szCs w:val="14"/>
                <w:lang w:val="ro-RO" w:eastAsia="de-DE"/>
              </w:rPr>
              <w:t xml:space="preserve"> </w:t>
            </w:r>
          </w:p>
          <w:p w14:paraId="5C21B2F1" w14:textId="77777777" w:rsidR="00936847" w:rsidRPr="009C5F11" w:rsidRDefault="00642694"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ACŢIUNILE</w:t>
            </w:r>
            <w:r w:rsidR="00936847" w:rsidRPr="009C5F11">
              <w:rPr>
                <w:rFonts w:ascii="Times New Roman" w:hAnsi="Times New Roman" w:cs="Times New Roman"/>
                <w:sz w:val="18"/>
                <w:szCs w:val="14"/>
                <w:lang w:val="ro-RO" w:eastAsia="de-DE"/>
              </w:rPr>
              <w:t xml:space="preserve">: </w:t>
            </w:r>
          </w:p>
          <w:p w14:paraId="13DABF24"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00642694" w:rsidRPr="009C5F11">
              <w:rPr>
                <w:rFonts w:ascii="Times New Roman" w:hAnsi="Times New Roman" w:cs="Times New Roman"/>
                <w:sz w:val="18"/>
                <w:szCs w:val="14"/>
                <w:lang w:val="ro-RO" w:eastAsia="de-DE"/>
              </w:rPr>
              <w:t>F</w:t>
            </w:r>
            <w:r w:rsidRPr="009C5F11">
              <w:rPr>
                <w:rFonts w:ascii="Times New Roman" w:hAnsi="Times New Roman" w:cs="Times New Roman"/>
                <w:sz w:val="18"/>
                <w:szCs w:val="14"/>
                <w:lang w:val="ro-RO" w:eastAsia="de-DE"/>
              </w:rPr>
              <w:t>inali</w:t>
            </w:r>
            <w:r w:rsidR="00642694" w:rsidRPr="009C5F11">
              <w:rPr>
                <w:rFonts w:ascii="Times New Roman" w:hAnsi="Times New Roman" w:cs="Times New Roman"/>
                <w:sz w:val="18"/>
                <w:szCs w:val="14"/>
                <w:lang w:val="ro-RO" w:eastAsia="de-DE"/>
              </w:rPr>
              <w:t xml:space="preserve">zarea </w:t>
            </w:r>
            <w:r w:rsidR="00CD7240" w:rsidRPr="009C5F11">
              <w:rPr>
                <w:rFonts w:ascii="Times New Roman" w:hAnsi="Times New Roman" w:cs="Times New Roman"/>
                <w:sz w:val="18"/>
                <w:szCs w:val="14"/>
                <w:lang w:val="ro-RO" w:eastAsia="de-DE"/>
              </w:rPr>
              <w:t>proiectul</w:t>
            </w:r>
            <w:r w:rsidR="00642694" w:rsidRPr="009C5F11">
              <w:rPr>
                <w:rFonts w:ascii="Times New Roman" w:hAnsi="Times New Roman" w:cs="Times New Roman"/>
                <w:sz w:val="18"/>
                <w:szCs w:val="14"/>
                <w:lang w:val="ro-RO" w:eastAsia="de-DE"/>
              </w:rPr>
              <w:t xml:space="preserve">ui de construcţie a conductei </w:t>
            </w:r>
            <w:r w:rsidR="008F7BD5" w:rsidRPr="009C5F11">
              <w:rPr>
                <w:rFonts w:ascii="Times New Roman" w:hAnsi="Times New Roman" w:cs="Times New Roman"/>
                <w:sz w:val="18"/>
                <w:szCs w:val="14"/>
                <w:lang w:val="ro-RO" w:eastAsia="de-DE"/>
              </w:rPr>
              <w:t>Iaşi</w:t>
            </w:r>
            <w:r w:rsidRPr="009C5F11">
              <w:rPr>
                <w:rFonts w:ascii="Times New Roman" w:hAnsi="Times New Roman" w:cs="Times New Roman"/>
                <w:sz w:val="18"/>
                <w:szCs w:val="14"/>
                <w:lang w:val="ro-RO" w:eastAsia="de-DE"/>
              </w:rPr>
              <w:t xml:space="preserve">-Ungheni”, </w:t>
            </w:r>
          </w:p>
          <w:p w14:paraId="49E377A8" w14:textId="77777777" w:rsidR="00936847" w:rsidRPr="009C5F11" w:rsidRDefault="00936847" w:rsidP="00430626">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00642694" w:rsidRPr="009C5F11">
              <w:rPr>
                <w:rFonts w:ascii="Times New Roman" w:hAnsi="Times New Roman" w:cs="Times New Roman"/>
                <w:sz w:val="18"/>
                <w:szCs w:val="14"/>
                <w:lang w:val="ro-RO" w:eastAsia="de-DE"/>
              </w:rPr>
              <w:t xml:space="preserve">Construcţia conductei </w:t>
            </w:r>
            <w:r w:rsidRPr="009C5F11">
              <w:rPr>
                <w:rFonts w:ascii="Times New Roman" w:hAnsi="Times New Roman" w:cs="Times New Roman"/>
                <w:sz w:val="18"/>
                <w:szCs w:val="14"/>
                <w:lang w:val="ro-RO" w:eastAsia="de-DE"/>
              </w:rPr>
              <w:t>Ungheni-</w:t>
            </w:r>
            <w:r w:rsidR="00AA0566" w:rsidRPr="009C5F11">
              <w:rPr>
                <w:rFonts w:ascii="Times New Roman" w:hAnsi="Times New Roman" w:cs="Times New Roman"/>
                <w:sz w:val="18"/>
                <w:szCs w:val="14"/>
                <w:lang w:val="ro-RO" w:eastAsia="de-DE"/>
              </w:rPr>
              <w:t>Chişinău</w:t>
            </w:r>
            <w:r w:rsidRPr="009C5F11">
              <w:rPr>
                <w:rFonts w:ascii="Times New Roman" w:hAnsi="Times New Roman" w:cs="Times New Roman"/>
                <w:sz w:val="18"/>
                <w:szCs w:val="14"/>
                <w:lang w:val="ro-RO" w:eastAsia="de-DE"/>
              </w:rPr>
              <w:t>”</w:t>
            </w:r>
            <w:r w:rsidR="00642694"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 xml:space="preserve"> </w:t>
            </w:r>
          </w:p>
          <w:p w14:paraId="36724EFC" w14:textId="77777777" w:rsidR="00936847" w:rsidRPr="009C5F11" w:rsidRDefault="00DE2025" w:rsidP="00430626">
            <w:pPr>
              <w:tabs>
                <w:tab w:val="left" w:pos="702"/>
                <w:tab w:val="left" w:pos="5040"/>
                <w:tab w:val="right" w:pos="8504"/>
              </w:tabs>
              <w:spacing w:before="40" w:after="0" w:line="240" w:lineRule="auto"/>
              <w:ind w:firstLine="34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t>2016: 138,100</w:t>
            </w:r>
            <w:r w:rsidR="00936847" w:rsidRPr="009C5F11">
              <w:rPr>
                <w:rFonts w:ascii="Times New Roman" w:hAnsi="Times New Roman" w:cs="Times New Roman"/>
                <w:sz w:val="18"/>
                <w:szCs w:val="14"/>
                <w:lang w:val="ro-RO" w:eastAsia="de-DE"/>
              </w:rPr>
              <w:t xml:space="preserve"> </w:t>
            </w:r>
            <w:r w:rsidR="00AA0566" w:rsidRPr="009C5F11">
              <w:rPr>
                <w:rFonts w:ascii="Times New Roman" w:hAnsi="Times New Roman" w:cs="Times New Roman"/>
                <w:sz w:val="18"/>
                <w:szCs w:val="14"/>
                <w:lang w:val="ro-RO" w:eastAsia="de-DE"/>
              </w:rPr>
              <w:t>mii lei</w:t>
            </w:r>
            <w:r w:rsidR="00642694" w:rsidRPr="009C5F11">
              <w:rPr>
                <w:rFonts w:ascii="Times New Roman" w:hAnsi="Times New Roman" w:cs="Times New Roman"/>
                <w:sz w:val="18"/>
                <w:szCs w:val="14"/>
                <w:lang w:val="ro-RO" w:eastAsia="de-DE"/>
              </w:rPr>
              <w:t>;</w:t>
            </w:r>
          </w:p>
          <w:p w14:paraId="5A4CE30D" w14:textId="77777777" w:rsidR="00936847" w:rsidRPr="009C5F11" w:rsidRDefault="00936847" w:rsidP="00430626">
            <w:pPr>
              <w:tabs>
                <w:tab w:val="left" w:pos="702"/>
                <w:tab w:val="left" w:pos="5040"/>
                <w:tab w:val="right" w:pos="8504"/>
              </w:tabs>
              <w:spacing w:after="0" w:line="240" w:lineRule="auto"/>
              <w:ind w:firstLine="34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t xml:space="preserve">2017: 598,600 </w:t>
            </w:r>
            <w:r w:rsidR="00AA0566" w:rsidRPr="009C5F11">
              <w:rPr>
                <w:rFonts w:ascii="Times New Roman" w:hAnsi="Times New Roman" w:cs="Times New Roman"/>
                <w:sz w:val="18"/>
                <w:szCs w:val="14"/>
                <w:lang w:val="ro-RO" w:eastAsia="de-DE"/>
              </w:rPr>
              <w:t>mii lei</w:t>
            </w:r>
            <w:r w:rsidR="00642694" w:rsidRPr="009C5F11">
              <w:rPr>
                <w:rFonts w:ascii="Times New Roman" w:hAnsi="Times New Roman" w:cs="Times New Roman"/>
                <w:sz w:val="18"/>
                <w:szCs w:val="14"/>
                <w:lang w:val="ro-RO" w:eastAsia="de-DE"/>
              </w:rPr>
              <w:t>;</w:t>
            </w:r>
          </w:p>
          <w:p w14:paraId="52AF4AD4" w14:textId="77777777" w:rsidR="00936847" w:rsidRPr="009C5F11" w:rsidRDefault="00936847" w:rsidP="00334F3B">
            <w:pPr>
              <w:numPr>
                <w:ilvl w:val="0"/>
                <w:numId w:val="126"/>
              </w:numPr>
              <w:tabs>
                <w:tab w:val="left" w:pos="702"/>
                <w:tab w:val="left" w:pos="5040"/>
                <w:tab w:val="right" w:pos="8504"/>
              </w:tabs>
              <w:spacing w:after="0" w:line="240" w:lineRule="auto"/>
              <w:ind w:hanging="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w:t>
            </w:r>
            <w:r w:rsidR="00721056" w:rsidRPr="009C5F11">
              <w:rPr>
                <w:rFonts w:ascii="Times New Roman" w:hAnsi="Times New Roman" w:cs="Times New Roman"/>
                <w:sz w:val="18"/>
                <w:szCs w:val="14"/>
                <w:lang w:val="ro-RO" w:eastAsia="de-DE"/>
              </w:rPr>
              <w:t>18</w:t>
            </w:r>
            <w:r w:rsidRPr="009C5F11">
              <w:rPr>
                <w:rFonts w:ascii="Times New Roman" w:hAnsi="Times New Roman" w:cs="Times New Roman"/>
                <w:sz w:val="18"/>
                <w:szCs w:val="14"/>
                <w:lang w:val="ro-RO" w:eastAsia="de-DE"/>
              </w:rPr>
              <w:t xml:space="preserve">: 624,500 </w:t>
            </w:r>
            <w:r w:rsidR="00AA0566" w:rsidRPr="009C5F11">
              <w:rPr>
                <w:rFonts w:ascii="Times New Roman" w:hAnsi="Times New Roman" w:cs="Times New Roman"/>
                <w:sz w:val="18"/>
                <w:szCs w:val="14"/>
                <w:lang w:val="ro-RO" w:eastAsia="de-DE"/>
              </w:rPr>
              <w:t>mii lei</w:t>
            </w:r>
            <w:r w:rsidR="00642694" w:rsidRPr="009C5F11">
              <w:rPr>
                <w:rFonts w:ascii="Times New Roman" w:hAnsi="Times New Roman" w:cs="Times New Roman"/>
                <w:sz w:val="18"/>
                <w:szCs w:val="14"/>
                <w:lang w:val="ro-RO" w:eastAsia="de-DE"/>
              </w:rPr>
              <w:t>.</w:t>
            </w:r>
          </w:p>
        </w:tc>
      </w:tr>
      <w:tr w:rsidR="00936847" w:rsidRPr="009C5F11" w14:paraId="09DA9B3F" w14:textId="77777777" w:rsidTr="00A26C0D">
        <w:trPr>
          <w:trHeight w:val="73"/>
        </w:trPr>
        <w:tc>
          <w:tcPr>
            <w:tcW w:w="743" w:type="pct"/>
            <w:vMerge/>
          </w:tcPr>
          <w:p w14:paraId="27700855"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FFC7116"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628B020D" w14:textId="77777777" w:rsidR="00936847" w:rsidRPr="009C5F11" w:rsidRDefault="00642694" w:rsidP="00642694">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Operatorii reţelei de gaze naturale</w:t>
            </w:r>
            <w:r w:rsidR="00936847" w:rsidRPr="009C5F11">
              <w:rPr>
                <w:rFonts w:ascii="Times New Roman" w:hAnsi="Times New Roman" w:cs="Times New Roman"/>
                <w:sz w:val="18"/>
                <w:szCs w:val="14"/>
                <w:lang w:val="ro-RO" w:eastAsia="de-DE"/>
              </w:rPr>
              <w:t xml:space="preserve">: </w:t>
            </w:r>
            <w:r w:rsidR="008F7BD5" w:rsidRPr="009C5F11">
              <w:rPr>
                <w:rFonts w:ascii="Times New Roman" w:hAnsi="Times New Roman" w:cs="Times New Roman"/>
                <w:sz w:val="18"/>
                <w:szCs w:val="14"/>
                <w:lang w:val="ro-RO" w:eastAsia="de-DE"/>
              </w:rPr>
              <w:t>distribuţie</w:t>
            </w:r>
            <w:r w:rsidR="00936847" w:rsidRPr="009C5F11">
              <w:rPr>
                <w:rFonts w:ascii="Times New Roman" w:hAnsi="Times New Roman" w:cs="Times New Roman"/>
                <w:sz w:val="18"/>
                <w:szCs w:val="14"/>
                <w:lang w:val="ro-RO" w:eastAsia="de-DE"/>
              </w:rPr>
              <w:t>/</w:t>
            </w:r>
            <w:r w:rsidR="008F7BD5" w:rsidRPr="009C5F11">
              <w:rPr>
                <w:rFonts w:ascii="Times New Roman" w:hAnsi="Times New Roman" w:cs="Times New Roman"/>
                <w:sz w:val="18"/>
                <w:szCs w:val="14"/>
                <w:lang w:val="ro-RO" w:eastAsia="de-DE"/>
              </w:rPr>
              <w:t>transport</w:t>
            </w:r>
            <w:r w:rsidR="00936847"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depozitare.</w:t>
            </w:r>
          </w:p>
        </w:tc>
      </w:tr>
      <w:tr w:rsidR="00936847" w:rsidRPr="009C5F11" w14:paraId="0C6BE2E5" w14:textId="77777777" w:rsidTr="00A26C0D">
        <w:trPr>
          <w:trHeight w:val="67"/>
        </w:trPr>
        <w:tc>
          <w:tcPr>
            <w:tcW w:w="743" w:type="pct"/>
            <w:vMerge/>
          </w:tcPr>
          <w:p w14:paraId="2282704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11AADC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7788D460" w14:textId="77777777" w:rsidR="00936847" w:rsidRPr="009C5F11" w:rsidRDefault="00321CD5"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Agenţia pentru Eficienţă Energetică</w:t>
            </w:r>
          </w:p>
          <w:p w14:paraId="57484C1A" w14:textId="77777777" w:rsidR="00936847" w:rsidRPr="009C5F11" w:rsidRDefault="00421FA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p>
          <w:p w14:paraId="0B9C761D" w14:textId="77777777" w:rsidR="00936847" w:rsidRPr="009C5F11" w:rsidRDefault="00642694" w:rsidP="009F3BAB">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w:t>
            </w:r>
            <w:r w:rsidR="00E05978"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de reglementare care aprobă tarifele ca sursă de finanţare</w:t>
            </w:r>
            <w:r w:rsidR="00936847" w:rsidRPr="009C5F11">
              <w:rPr>
                <w:rFonts w:ascii="Times New Roman" w:hAnsi="Times New Roman" w:cs="Times New Roman"/>
                <w:sz w:val="18"/>
                <w:szCs w:val="14"/>
                <w:lang w:val="ro-RO" w:eastAsia="de-DE"/>
              </w:rPr>
              <w:t>: ANRE</w:t>
            </w:r>
            <w:r w:rsidRPr="009C5F11">
              <w:rPr>
                <w:rFonts w:ascii="Times New Roman" w:hAnsi="Times New Roman" w:cs="Times New Roman"/>
                <w:sz w:val="18"/>
                <w:szCs w:val="14"/>
                <w:lang w:val="ro-RO" w:eastAsia="de-DE"/>
              </w:rPr>
              <w:t>.</w:t>
            </w:r>
          </w:p>
        </w:tc>
      </w:tr>
      <w:tr w:rsidR="00936847" w:rsidRPr="009C5F11" w14:paraId="43C5A42B" w14:textId="77777777" w:rsidTr="00A26C0D">
        <w:trPr>
          <w:trHeight w:val="233"/>
        </w:trPr>
        <w:tc>
          <w:tcPr>
            <w:tcW w:w="743" w:type="pct"/>
            <w:vMerge w:val="restart"/>
          </w:tcPr>
          <w:p w14:paraId="21EC330D"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7D6F349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2E426266"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w:t>
            </w:r>
          </w:p>
        </w:tc>
      </w:tr>
      <w:tr w:rsidR="00936847" w:rsidRPr="009C5F11" w14:paraId="7F8E08E2" w14:textId="77777777" w:rsidTr="00A26C0D">
        <w:trPr>
          <w:trHeight w:val="296"/>
        </w:trPr>
        <w:tc>
          <w:tcPr>
            <w:tcW w:w="743" w:type="pct"/>
            <w:vMerge/>
          </w:tcPr>
          <w:p w14:paraId="1037D98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9A16DC1" w14:textId="4DFAF42C" w:rsidR="00936847" w:rsidRPr="009C5F11" w:rsidRDefault="00B40A7C" w:rsidP="001A293B">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preconizate</w:t>
            </w:r>
            <w:r w:rsidR="00321CD5" w:rsidRPr="009C5F11">
              <w:rPr>
                <w:rFonts w:ascii="Times New Roman" w:hAnsi="Times New Roman" w:cs="Times New Roman"/>
                <w:sz w:val="18"/>
                <w:szCs w:val="14"/>
                <w:lang w:val="ro-RO" w:eastAsia="de-DE"/>
              </w:rPr>
              <w:t xml:space="preserve"> în </w:t>
            </w:r>
            <w:r w:rsidR="001D01E9" w:rsidRPr="009C5F11">
              <w:rPr>
                <w:rFonts w:ascii="Times New Roman" w:hAnsi="Times New Roman" w:cs="Times New Roman"/>
                <w:sz w:val="18"/>
                <w:szCs w:val="14"/>
                <w:lang w:val="ro-RO" w:eastAsia="de-DE"/>
              </w:rPr>
              <w:t xml:space="preserve">2016 </w:t>
            </w:r>
            <w:r w:rsidR="001A293B">
              <w:rPr>
                <w:rFonts w:ascii="Times New Roman" w:hAnsi="Times New Roman" w:cs="Times New Roman"/>
                <w:sz w:val="18"/>
                <w:szCs w:val="14"/>
                <w:lang w:val="ro-RO" w:eastAsia="de-DE"/>
              </w:rPr>
              <w:t>conform 1ui</w:t>
            </w:r>
            <w:r w:rsidR="00936847"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w:t>
            </w:r>
          </w:p>
        </w:tc>
        <w:tc>
          <w:tcPr>
            <w:tcW w:w="3244" w:type="pct"/>
          </w:tcPr>
          <w:p w14:paraId="50FC7129"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p>
        </w:tc>
      </w:tr>
      <w:tr w:rsidR="00936847" w:rsidRPr="009C5F11" w14:paraId="63A48F29" w14:textId="77777777" w:rsidTr="00A26C0D">
        <w:trPr>
          <w:trHeight w:val="269"/>
        </w:trPr>
        <w:tc>
          <w:tcPr>
            <w:tcW w:w="743" w:type="pct"/>
            <w:vMerge/>
          </w:tcPr>
          <w:p w14:paraId="06F7C1E3"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9D5D7A3" w14:textId="77777777" w:rsidR="00936847"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7941387A" w14:textId="77777777" w:rsidR="00936847" w:rsidRDefault="00204033"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nouă</w:t>
            </w:r>
            <w:r w:rsidR="00620782">
              <w:rPr>
                <w:rFonts w:ascii="Times New Roman" w:hAnsi="Times New Roman" w:cs="Times New Roman"/>
                <w:sz w:val="18"/>
                <w:szCs w:val="14"/>
                <w:lang w:val="ro-RO" w:eastAsia="de-DE"/>
              </w:rPr>
              <w:t>.</w:t>
            </w:r>
          </w:p>
          <w:p w14:paraId="58C7206A" w14:textId="63A106F6" w:rsidR="00620782" w:rsidRPr="00620782" w:rsidRDefault="00620782" w:rsidP="00620782">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Pr>
                <w:rFonts w:ascii="Times New Roman" w:hAnsi="Times New Roman" w:cs="Times New Roman"/>
                <w:sz w:val="18"/>
                <w:szCs w:val="14"/>
                <w:lang w:val="ro-RO" w:eastAsia="de-DE"/>
              </w:rPr>
              <w:t xml:space="preserve">Cu toate acestea, pot fi raportate următoarele </w:t>
            </w:r>
            <w:r w:rsidRPr="00620782">
              <w:rPr>
                <w:rFonts w:ascii="Times New Roman" w:hAnsi="Times New Roman" w:cs="Times New Roman"/>
                <w:sz w:val="18"/>
                <w:szCs w:val="14"/>
                <w:lang w:val="ro-RO" w:eastAsia="de-DE"/>
              </w:rPr>
              <w:t>economii/ reduceri de pierderi în sistemul național de transport al gazelor naturale în volumele respective:</w:t>
            </w:r>
          </w:p>
          <w:p w14:paraId="4C230F78" w14:textId="77777777" w:rsidR="00620782" w:rsidRDefault="00620782" w:rsidP="00620782">
            <w:pPr>
              <w:pStyle w:val="Listparagraf"/>
              <w:numPr>
                <w:ilvl w:val="0"/>
                <w:numId w:val="218"/>
              </w:num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620782">
              <w:rPr>
                <w:rFonts w:ascii="Times New Roman" w:hAnsi="Times New Roman" w:cs="Times New Roman"/>
                <w:sz w:val="18"/>
                <w:szCs w:val="14"/>
                <w:lang w:val="ro-RO" w:eastAsia="de-DE"/>
              </w:rPr>
              <w:t>6 mln. m</w:t>
            </w:r>
            <w:r w:rsidRPr="00CF06C7">
              <w:rPr>
                <w:rFonts w:ascii="Times New Roman" w:hAnsi="Times New Roman" w:cs="Times New Roman"/>
                <w:sz w:val="18"/>
                <w:szCs w:val="14"/>
                <w:vertAlign w:val="superscript"/>
                <w:lang w:val="ro-RO" w:eastAsia="de-DE"/>
              </w:rPr>
              <w:t>3</w:t>
            </w:r>
            <w:r w:rsidRPr="00620782">
              <w:rPr>
                <w:rFonts w:ascii="Times New Roman" w:hAnsi="Times New Roman" w:cs="Times New Roman"/>
                <w:sz w:val="18"/>
                <w:szCs w:val="14"/>
                <w:lang w:val="ro-RO" w:eastAsia="de-DE"/>
              </w:rPr>
              <w:t xml:space="preserve"> – în rețele de transport;  </w:t>
            </w:r>
          </w:p>
          <w:p w14:paraId="4BBE6E91" w14:textId="70CD453F" w:rsidR="00620782" w:rsidRPr="00620782" w:rsidRDefault="00CF06C7" w:rsidP="00620782">
            <w:pPr>
              <w:pStyle w:val="Listparagraf"/>
              <w:numPr>
                <w:ilvl w:val="0"/>
                <w:numId w:val="218"/>
              </w:num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Pr>
                <w:rFonts w:ascii="Times New Roman" w:hAnsi="Times New Roman" w:cs="Times New Roman"/>
                <w:sz w:val="18"/>
                <w:szCs w:val="14"/>
                <w:lang w:val="ro-RO" w:eastAsia="de-DE"/>
              </w:rPr>
              <w:t>1,23 m</w:t>
            </w:r>
            <w:r w:rsidR="00620782" w:rsidRPr="00620782">
              <w:rPr>
                <w:rFonts w:ascii="Times New Roman" w:hAnsi="Times New Roman" w:cs="Times New Roman"/>
                <w:sz w:val="18"/>
                <w:szCs w:val="14"/>
                <w:lang w:val="ro-RO" w:eastAsia="de-DE"/>
              </w:rPr>
              <w:t>ln. m</w:t>
            </w:r>
            <w:r w:rsidR="00620782" w:rsidRPr="00CF06C7">
              <w:rPr>
                <w:rFonts w:ascii="Times New Roman" w:hAnsi="Times New Roman" w:cs="Times New Roman"/>
                <w:sz w:val="18"/>
                <w:szCs w:val="14"/>
                <w:vertAlign w:val="superscript"/>
                <w:lang w:val="ro-RO" w:eastAsia="de-DE"/>
              </w:rPr>
              <w:t>3</w:t>
            </w:r>
            <w:r w:rsidR="00620782" w:rsidRPr="00620782">
              <w:rPr>
                <w:rFonts w:ascii="Times New Roman" w:hAnsi="Times New Roman" w:cs="Times New Roman"/>
                <w:sz w:val="18"/>
                <w:szCs w:val="14"/>
                <w:lang w:val="ro-RO" w:eastAsia="de-DE"/>
              </w:rPr>
              <w:t xml:space="preserve"> – în rețele de distribuție”.</w:t>
            </w:r>
          </w:p>
        </w:tc>
      </w:tr>
      <w:tr w:rsidR="00936847" w:rsidRPr="009C5F11" w14:paraId="24E5557C" w14:textId="77777777" w:rsidTr="00A26C0D">
        <w:trPr>
          <w:trHeight w:val="476"/>
        </w:trPr>
        <w:tc>
          <w:tcPr>
            <w:tcW w:w="743" w:type="pct"/>
            <w:vMerge/>
          </w:tcPr>
          <w:p w14:paraId="3B14F39B"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DD267B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2020 </w:t>
            </w:r>
          </w:p>
        </w:tc>
        <w:tc>
          <w:tcPr>
            <w:tcW w:w="3244" w:type="pct"/>
          </w:tcPr>
          <w:p w14:paraId="7BE27CBF"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26.36 </w:t>
            </w:r>
            <w:r w:rsidR="00E52940" w:rsidRPr="009C5F11">
              <w:rPr>
                <w:rFonts w:ascii="Times New Roman" w:hAnsi="Times New Roman" w:cs="Times New Roman"/>
                <w:b/>
                <w:sz w:val="18"/>
                <w:szCs w:val="14"/>
                <w:lang w:val="ro-RO" w:eastAsia="de-DE"/>
              </w:rPr>
              <w:t>ktep</w:t>
            </w:r>
          </w:p>
          <w:p w14:paraId="3AD8A958" w14:textId="032E687E" w:rsidR="00936847" w:rsidRPr="009C5F11" w:rsidRDefault="003719BD" w:rsidP="00642694">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Reducerea</w:t>
            </w:r>
            <w:r w:rsidR="00936847" w:rsidRPr="009C5F11">
              <w:rPr>
                <w:rFonts w:ascii="Times New Roman" w:hAnsi="Times New Roman" w:cs="Times New Roman"/>
                <w:sz w:val="18"/>
                <w:szCs w:val="14"/>
                <w:lang w:val="ro-RO" w:eastAsia="de-DE"/>
              </w:rPr>
              <w:t xml:space="preserve"> </w:t>
            </w:r>
            <w:r w:rsidR="00A77137" w:rsidRPr="00A77137">
              <w:rPr>
                <w:rFonts w:ascii="Times New Roman" w:hAnsi="Times New Roman" w:cs="Times New Roman"/>
                <w:sz w:val="18"/>
                <w:szCs w:val="14"/>
                <w:lang w:val="ro-RO" w:eastAsia="de-DE"/>
              </w:rPr>
              <w:t xml:space="preserve">consumului tehnologic și pierderilor de gaze </w:t>
            </w:r>
            <w:r w:rsidR="00321CD5" w:rsidRPr="009C5F11">
              <w:rPr>
                <w:rFonts w:ascii="Times New Roman" w:hAnsi="Times New Roman" w:cs="Times New Roman"/>
                <w:sz w:val="18"/>
                <w:szCs w:val="14"/>
                <w:lang w:val="ro-RO" w:eastAsia="de-DE"/>
              </w:rPr>
              <w:t xml:space="preserve">în </w:t>
            </w:r>
            <w:r w:rsidR="00642694" w:rsidRPr="009C5F11">
              <w:rPr>
                <w:rFonts w:ascii="Times New Roman" w:hAnsi="Times New Roman" w:cs="Times New Roman"/>
                <w:sz w:val="18"/>
                <w:szCs w:val="14"/>
                <w:lang w:val="ro-RO" w:eastAsia="de-DE"/>
              </w:rPr>
              <w:t>reţeaua de transport/distribuţie</w:t>
            </w:r>
            <w:r w:rsidR="00936847" w:rsidRPr="009C5F11">
              <w:rPr>
                <w:rFonts w:ascii="Times New Roman" w:hAnsi="Times New Roman" w:cs="Times New Roman"/>
                <w:sz w:val="18"/>
                <w:szCs w:val="14"/>
                <w:lang w:val="ro-RO" w:eastAsia="de-DE"/>
              </w:rPr>
              <w:t xml:space="preserve"> </w:t>
            </w:r>
            <w:r w:rsidR="00642694" w:rsidRPr="009C5F11">
              <w:rPr>
                <w:rFonts w:ascii="Times New Roman" w:hAnsi="Times New Roman" w:cs="Times New Roman"/>
                <w:sz w:val="18"/>
                <w:szCs w:val="14"/>
                <w:lang w:val="ro-RO" w:eastAsia="de-DE"/>
              </w:rPr>
              <w:t>până la</w:t>
            </w:r>
            <w:r w:rsidR="00936847" w:rsidRPr="009C5F11">
              <w:rPr>
                <w:rFonts w:ascii="Times New Roman" w:hAnsi="Times New Roman" w:cs="Times New Roman"/>
                <w:sz w:val="18"/>
                <w:szCs w:val="14"/>
                <w:lang w:val="ro-RO" w:eastAsia="de-DE"/>
              </w:rPr>
              <w:t xml:space="preserve"> 39% </w:t>
            </w:r>
            <w:r w:rsidR="00A77137" w:rsidRPr="00A77137">
              <w:rPr>
                <w:rFonts w:ascii="Times New Roman" w:hAnsi="Times New Roman" w:cs="Times New Roman"/>
                <w:sz w:val="18"/>
                <w:szCs w:val="14"/>
                <w:lang w:val="ro-RO" w:eastAsia="de-DE"/>
              </w:rPr>
              <w:t>în raport cu indicii a</w:t>
            </w:r>
            <w:r w:rsidR="00A77137" w:rsidRPr="00794520">
              <w:rPr>
                <w:rFonts w:ascii="Times New Roman" w:hAnsi="Times New Roman" w:cs="Times New Roman"/>
                <w:sz w:val="18"/>
                <w:szCs w:val="14"/>
                <w:lang w:val="ro-RO" w:eastAsia="de-DE"/>
              </w:rPr>
              <w:t xml:space="preserve">nului </w:t>
            </w:r>
            <w:r w:rsidR="00794520" w:rsidRPr="00794520">
              <w:rPr>
                <w:rFonts w:ascii="Times New Roman" w:hAnsi="Times New Roman" w:cs="Times New Roman"/>
                <w:sz w:val="18"/>
                <w:szCs w:val="14"/>
                <w:lang w:val="ro-RO" w:eastAsia="de-DE"/>
              </w:rPr>
              <w:t>2009</w:t>
            </w:r>
            <w:r w:rsidR="00A77137" w:rsidRPr="00794520">
              <w:rPr>
                <w:rFonts w:ascii="Times New Roman" w:hAnsi="Times New Roman" w:cs="Times New Roman"/>
                <w:sz w:val="18"/>
                <w:szCs w:val="14"/>
                <w:lang w:val="ro-RO" w:eastAsia="de-DE"/>
              </w:rPr>
              <w:t xml:space="preserve"> </w:t>
            </w:r>
            <w:r w:rsidR="00936847" w:rsidRPr="00794520">
              <w:rPr>
                <w:rFonts w:ascii="Times New Roman" w:hAnsi="Times New Roman" w:cs="Times New Roman"/>
                <w:sz w:val="18"/>
                <w:szCs w:val="14"/>
                <w:lang w:val="ro-RO" w:eastAsia="de-DE"/>
              </w:rPr>
              <w:t>(</w:t>
            </w:r>
            <w:r w:rsidR="00480806" w:rsidRPr="00794520">
              <w:rPr>
                <w:rFonts w:ascii="Times New Roman" w:hAnsi="Times New Roman" w:cs="Times New Roman"/>
                <w:sz w:val="18"/>
                <w:szCs w:val="14"/>
                <w:lang w:val="ro-RO" w:eastAsia="de-DE"/>
              </w:rPr>
              <w:t xml:space="preserve">obiectivul Strategiei </w:t>
            </w:r>
            <w:r w:rsidR="00A77137" w:rsidRPr="00794520">
              <w:rPr>
                <w:rFonts w:ascii="Times New Roman" w:hAnsi="Times New Roman" w:cs="Times New Roman"/>
                <w:sz w:val="18"/>
                <w:szCs w:val="14"/>
                <w:lang w:val="ro-RO" w:eastAsia="de-DE"/>
              </w:rPr>
              <w:t xml:space="preserve">Energetice </w:t>
            </w:r>
            <w:r w:rsidR="00480806" w:rsidRPr="00794520">
              <w:rPr>
                <w:rFonts w:ascii="Times New Roman" w:hAnsi="Times New Roman" w:cs="Times New Roman"/>
                <w:sz w:val="18"/>
                <w:szCs w:val="14"/>
                <w:lang w:val="ro-RO" w:eastAsia="de-DE"/>
              </w:rPr>
              <w:t>2030</w:t>
            </w:r>
            <w:r w:rsidR="00794520">
              <w:rPr>
                <w:rFonts w:ascii="Times New Roman" w:hAnsi="Times New Roman" w:cs="Times New Roman"/>
                <w:sz w:val="18"/>
                <w:szCs w:val="14"/>
                <w:lang w:val="ro-RO" w:eastAsia="de-DE"/>
              </w:rPr>
              <w:t>, Strategiei Naționale de Dezvoltare „Moldova 2020” și PNEE 2011-2020</w:t>
            </w:r>
            <w:r w:rsidR="00936847" w:rsidRPr="00794520">
              <w:rPr>
                <w:rFonts w:ascii="Times New Roman" w:hAnsi="Times New Roman" w:cs="Times New Roman"/>
                <w:sz w:val="18"/>
                <w:szCs w:val="14"/>
                <w:lang w:val="ro-RO" w:eastAsia="de-DE"/>
              </w:rPr>
              <w:t>)</w:t>
            </w:r>
            <w:r w:rsidR="00642694" w:rsidRPr="00794520">
              <w:rPr>
                <w:rFonts w:ascii="Times New Roman" w:hAnsi="Times New Roman" w:cs="Times New Roman"/>
                <w:sz w:val="18"/>
                <w:szCs w:val="14"/>
                <w:lang w:val="ro-RO" w:eastAsia="de-DE"/>
              </w:rPr>
              <w:t>.</w:t>
            </w:r>
          </w:p>
        </w:tc>
      </w:tr>
      <w:tr w:rsidR="00936847" w:rsidRPr="009C5F11" w14:paraId="783CB3F8" w14:textId="77777777" w:rsidTr="00A26C0D">
        <w:trPr>
          <w:trHeight w:val="71"/>
        </w:trPr>
        <w:tc>
          <w:tcPr>
            <w:tcW w:w="743" w:type="pct"/>
            <w:vMerge/>
          </w:tcPr>
          <w:p w14:paraId="0D0D3896"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F40915B" w14:textId="77777777" w:rsidR="00936847" w:rsidRPr="009C5F11" w:rsidRDefault="001D01E9"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7B15391B" w14:textId="77777777" w:rsidR="00936847" w:rsidRPr="009C5F11" w:rsidRDefault="00642694" w:rsidP="00642694">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Evaluarea</w:t>
            </w:r>
            <w:r w:rsidR="00936847" w:rsidRPr="009C5F11">
              <w:rPr>
                <w:rFonts w:ascii="Times New Roman" w:hAnsi="Times New Roman" w:cs="Times New Roman"/>
                <w:sz w:val="18"/>
                <w:szCs w:val="14"/>
                <w:lang w:val="ro-RO" w:eastAsia="de-DE"/>
              </w:rPr>
              <w:t xml:space="preserve"> </w:t>
            </w:r>
            <w:r w:rsidR="00C639BC" w:rsidRPr="009C5F11">
              <w:rPr>
                <w:rFonts w:ascii="Times New Roman" w:hAnsi="Times New Roman" w:cs="Times New Roman"/>
                <w:sz w:val="18"/>
                <w:szCs w:val="14"/>
                <w:lang w:val="ro-RO" w:eastAsia="de-DE"/>
              </w:rPr>
              <w:t>economii</w:t>
            </w:r>
            <w:r w:rsidRPr="009C5F11">
              <w:rPr>
                <w:rFonts w:ascii="Times New Roman" w:hAnsi="Times New Roman" w:cs="Times New Roman"/>
                <w:sz w:val="18"/>
                <w:szCs w:val="14"/>
                <w:lang w:val="ro-RO" w:eastAsia="de-DE"/>
              </w:rPr>
              <w:t xml:space="preserve">lor pe anul </w:t>
            </w:r>
            <w:r w:rsidR="00936847" w:rsidRPr="009C5F11">
              <w:rPr>
                <w:rFonts w:ascii="Times New Roman" w:hAnsi="Times New Roman" w:cs="Times New Roman"/>
                <w:sz w:val="18"/>
                <w:szCs w:val="14"/>
                <w:lang w:val="ro-RO" w:eastAsia="de-DE"/>
              </w:rPr>
              <w:t xml:space="preserve">2020 </w:t>
            </w:r>
            <w:r w:rsidRPr="009C5F11">
              <w:rPr>
                <w:rFonts w:ascii="Times New Roman" w:hAnsi="Times New Roman" w:cs="Times New Roman"/>
                <w:sz w:val="18"/>
                <w:szCs w:val="14"/>
                <w:lang w:val="ro-RO" w:eastAsia="de-DE"/>
              </w:rPr>
              <w:t xml:space="preserve">se bazează pe </w:t>
            </w:r>
            <w:r w:rsidR="00204033" w:rsidRPr="009C5F11">
              <w:rPr>
                <w:rFonts w:ascii="Times New Roman" w:hAnsi="Times New Roman" w:cs="Times New Roman"/>
                <w:sz w:val="18"/>
                <w:szCs w:val="14"/>
                <w:lang w:val="ro-RO" w:eastAsia="de-DE"/>
              </w:rPr>
              <w:t>obiective</w:t>
            </w:r>
            <w:r w:rsidRPr="009C5F11">
              <w:rPr>
                <w:rFonts w:ascii="Times New Roman" w:hAnsi="Times New Roman" w:cs="Times New Roman"/>
                <w:sz w:val="18"/>
                <w:szCs w:val="14"/>
                <w:lang w:val="ro-RO" w:eastAsia="de-DE"/>
              </w:rPr>
              <w:t>le stabilite de</w:t>
            </w:r>
            <w:r w:rsidR="00936847" w:rsidRPr="009C5F11">
              <w:rPr>
                <w:rFonts w:ascii="Times New Roman" w:hAnsi="Times New Roman" w:cs="Times New Roman"/>
                <w:sz w:val="18"/>
                <w:szCs w:val="14"/>
                <w:lang w:val="ro-RO" w:eastAsia="de-DE"/>
              </w:rPr>
              <w:t xml:space="preserve"> </w:t>
            </w:r>
            <w:r w:rsidR="00480806" w:rsidRPr="009C5F11">
              <w:rPr>
                <w:rFonts w:ascii="Times New Roman" w:hAnsi="Times New Roman" w:cs="Times New Roman"/>
                <w:sz w:val="18"/>
                <w:szCs w:val="14"/>
                <w:lang w:val="ro-RO" w:eastAsia="de-DE"/>
              </w:rPr>
              <w:t>Strategia energetică 2030</w:t>
            </w:r>
            <w:r w:rsidRPr="009C5F11">
              <w:rPr>
                <w:rFonts w:ascii="Times New Roman" w:hAnsi="Times New Roman" w:cs="Times New Roman"/>
                <w:sz w:val="18"/>
                <w:szCs w:val="14"/>
                <w:lang w:val="ro-RO" w:eastAsia="de-DE"/>
              </w:rPr>
              <w:t>.</w:t>
            </w:r>
          </w:p>
        </w:tc>
      </w:tr>
      <w:tr w:rsidR="00936847" w:rsidRPr="009C5F11" w14:paraId="15B66F0A" w14:textId="77777777" w:rsidTr="00A26C0D">
        <w:trPr>
          <w:trHeight w:val="179"/>
        </w:trPr>
        <w:tc>
          <w:tcPr>
            <w:tcW w:w="743" w:type="pct"/>
            <w:vMerge/>
          </w:tcPr>
          <w:p w14:paraId="4BD13857"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46B363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100B1F24" w14:textId="77777777" w:rsidR="00936847" w:rsidRPr="009C5F11" w:rsidRDefault="00FF7936" w:rsidP="00FF7936">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w:t>
            </w:r>
            <w:r w:rsidR="001A3D16" w:rsidRPr="009C5F11">
              <w:rPr>
                <w:rFonts w:ascii="Times New Roman" w:hAnsi="Times New Roman" w:cs="Times New Roman"/>
                <w:sz w:val="18"/>
                <w:szCs w:val="14"/>
                <w:lang w:val="ro-RO"/>
              </w:rPr>
              <w:t>conomii</w:t>
            </w:r>
            <w:r w:rsidR="007B125E" w:rsidRPr="009C5F11">
              <w:rPr>
                <w:rFonts w:ascii="Times New Roman" w:hAnsi="Times New Roman" w:cs="Times New Roman"/>
                <w:sz w:val="18"/>
                <w:szCs w:val="14"/>
                <w:lang w:val="ro-RO"/>
              </w:rPr>
              <w:t>l</w:t>
            </w:r>
            <w:r w:rsidRPr="009C5F11">
              <w:rPr>
                <w:rFonts w:ascii="Times New Roman" w:hAnsi="Times New Roman" w:cs="Times New Roman"/>
                <w:sz w:val="18"/>
                <w:szCs w:val="14"/>
                <w:lang w:val="ro-RO"/>
              </w:rPr>
              <w:t>e</w:t>
            </w:r>
            <w:r w:rsidR="00936847" w:rsidRPr="009C5F11">
              <w:rPr>
                <w:rFonts w:ascii="Times New Roman" w:hAnsi="Times New Roman" w:cs="Times New Roman"/>
                <w:sz w:val="18"/>
                <w:szCs w:val="14"/>
                <w:lang w:val="ro-RO"/>
              </w:rPr>
              <w:t xml:space="preserve"> </w:t>
            </w:r>
            <w:r w:rsidR="00642694" w:rsidRPr="009C5F11">
              <w:rPr>
                <w:rFonts w:ascii="Times New Roman" w:hAnsi="Times New Roman" w:cs="Times New Roman"/>
                <w:sz w:val="18"/>
                <w:szCs w:val="14"/>
                <w:lang w:val="ro-RO"/>
              </w:rPr>
              <w:t>se v</w:t>
            </w:r>
            <w:r w:rsidRPr="009C5F11">
              <w:rPr>
                <w:rFonts w:ascii="Times New Roman" w:hAnsi="Times New Roman" w:cs="Times New Roman"/>
                <w:sz w:val="18"/>
                <w:szCs w:val="14"/>
                <w:lang w:val="ro-RO"/>
              </w:rPr>
              <w:t>or acumula</w:t>
            </w:r>
            <w:r w:rsidR="00642694" w:rsidRPr="009C5F11">
              <w:rPr>
                <w:rFonts w:ascii="Times New Roman" w:hAnsi="Times New Roman" w:cs="Times New Roman"/>
                <w:sz w:val="18"/>
                <w:szCs w:val="14"/>
                <w:lang w:val="ro-RO"/>
              </w:rPr>
              <w:t xml:space="preserve"> nu doar datorită </w:t>
            </w:r>
            <w:r w:rsidR="001F5C51" w:rsidRPr="009C5F11">
              <w:rPr>
                <w:rFonts w:ascii="Times New Roman" w:hAnsi="Times New Roman" w:cs="Times New Roman"/>
                <w:sz w:val="18"/>
                <w:szCs w:val="14"/>
                <w:lang w:val="ro-RO"/>
              </w:rPr>
              <w:t>eficienţei energetice</w:t>
            </w:r>
            <w:r w:rsidR="00642694" w:rsidRPr="009C5F11">
              <w:rPr>
                <w:rFonts w:ascii="Times New Roman" w:hAnsi="Times New Roman" w:cs="Times New Roman"/>
                <w:sz w:val="18"/>
                <w:szCs w:val="14"/>
                <w:lang w:val="ro-RO"/>
              </w:rPr>
              <w:t xml:space="preserve"> sporite pe baza acţiunilor realizate de </w:t>
            </w:r>
            <w:r w:rsidR="004000CC" w:rsidRPr="009C5F11">
              <w:rPr>
                <w:rFonts w:ascii="Times New Roman" w:hAnsi="Times New Roman" w:cs="Times New Roman"/>
                <w:sz w:val="18"/>
                <w:szCs w:val="14"/>
                <w:lang w:val="ro-RO"/>
              </w:rPr>
              <w:t>operatori</w:t>
            </w:r>
            <w:r w:rsidR="00642694" w:rsidRPr="009C5F11">
              <w:rPr>
                <w:rFonts w:ascii="Times New Roman" w:hAnsi="Times New Roman" w:cs="Times New Roman"/>
                <w:sz w:val="18"/>
                <w:szCs w:val="14"/>
                <w:lang w:val="ro-RO"/>
              </w:rPr>
              <w:t xml:space="preserve">, dar şi din cauza reducerii consumului odată cu creşterea preţurilor. </w:t>
            </w:r>
          </w:p>
        </w:tc>
      </w:tr>
    </w:tbl>
    <w:p w14:paraId="12CE86A3" w14:textId="77777777" w:rsidR="00C45BDD" w:rsidRPr="009C5F11" w:rsidRDefault="00C45BDD" w:rsidP="00936847">
      <w:pPr>
        <w:keepNext/>
        <w:spacing w:after="0"/>
        <w:ind w:right="-540"/>
        <w:rPr>
          <w:rFonts w:ascii="Times New Roman" w:hAnsi="Times New Roman" w:cs="Times New Roman"/>
          <w:b/>
          <w:bCs/>
          <w:sz w:val="24"/>
          <w:lang w:val="ro-RO"/>
        </w:rPr>
        <w:sectPr w:rsidR="00C45BDD" w:rsidRPr="009C5F11" w:rsidSect="00430626">
          <w:pgSz w:w="11907" w:h="16840" w:code="9"/>
          <w:pgMar w:top="1440" w:right="1440" w:bottom="1440" w:left="1440" w:header="720" w:footer="720" w:gutter="0"/>
          <w:cols w:space="720"/>
          <w:docGrid w:linePitch="360"/>
        </w:sectPr>
      </w:pPr>
    </w:p>
    <w:p w14:paraId="180FD0F1" w14:textId="77777777" w:rsidR="00C45BDD" w:rsidRPr="009C5F11" w:rsidRDefault="00321CD5" w:rsidP="00C45BDD">
      <w:pPr>
        <w:pStyle w:val="Legend"/>
        <w:keepNext/>
        <w:jc w:val="center"/>
        <w:rPr>
          <w:rFonts w:ascii="Times New Roman" w:hAnsi="Times New Roman" w:cs="Times New Roman"/>
          <w:b/>
          <w:sz w:val="22"/>
          <w:lang w:val="ro-RO"/>
        </w:rPr>
      </w:pPr>
      <w:bookmarkStart w:id="215" w:name="_Toc447724258"/>
      <w:r w:rsidRPr="009C5F11">
        <w:rPr>
          <w:rFonts w:ascii="Times New Roman" w:hAnsi="Times New Roman" w:cs="Times New Roman"/>
          <w:b/>
          <w:sz w:val="22"/>
          <w:lang w:val="ro-RO"/>
        </w:rPr>
        <w:lastRenderedPageBreak/>
        <w:t>Tabelul</w:t>
      </w:r>
      <w:r w:rsidR="00C45BDD" w:rsidRPr="009C5F11">
        <w:rPr>
          <w:rFonts w:ascii="Times New Roman" w:hAnsi="Times New Roman" w:cs="Times New Roman"/>
          <w:b/>
          <w:sz w:val="22"/>
          <w:lang w:val="ro-RO"/>
        </w:rPr>
        <w:t xml:space="preserve"> E </w:t>
      </w:r>
      <w:r w:rsidR="003A6ADB" w:rsidRPr="009C5F11">
        <w:rPr>
          <w:rFonts w:ascii="Times New Roman" w:hAnsi="Times New Roman" w:cs="Times New Roman"/>
          <w:b/>
          <w:sz w:val="22"/>
          <w:lang w:val="ro-RO"/>
        </w:rPr>
        <w:fldChar w:fldCharType="begin"/>
      </w:r>
      <w:r w:rsidR="00C45BDD" w:rsidRPr="009C5F11">
        <w:rPr>
          <w:rFonts w:ascii="Times New Roman" w:hAnsi="Times New Roman" w:cs="Times New Roman"/>
          <w:b/>
          <w:sz w:val="22"/>
          <w:lang w:val="ro-RO"/>
        </w:rPr>
        <w:instrText xml:space="preserve"> SEQ Table_E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3</w:t>
      </w:r>
      <w:r w:rsidR="003A6ADB" w:rsidRPr="009C5F11">
        <w:rPr>
          <w:rFonts w:ascii="Times New Roman" w:hAnsi="Times New Roman" w:cs="Times New Roman"/>
          <w:b/>
          <w:sz w:val="22"/>
          <w:lang w:val="ro-RO"/>
        </w:rPr>
        <w:fldChar w:fldCharType="end"/>
      </w:r>
      <w:r w:rsidR="00C45BDD" w:rsidRPr="009C5F11">
        <w:rPr>
          <w:rFonts w:ascii="Times New Roman" w:hAnsi="Times New Roman" w:cs="Times New Roman"/>
          <w:b/>
          <w:sz w:val="22"/>
          <w:lang w:val="ro-RO"/>
        </w:rPr>
        <w:t xml:space="preserve"> - </w:t>
      </w:r>
      <w:r w:rsidR="003D35EE" w:rsidRPr="009C5F11">
        <w:rPr>
          <w:rFonts w:ascii="Times New Roman" w:hAnsi="Times New Roman" w:cs="Times New Roman"/>
          <w:b/>
          <w:sz w:val="22"/>
          <w:lang w:val="ro-RO"/>
        </w:rPr>
        <w:t>Îmbunătăţirea contorizării şi facturării consumului de gaze naturale prin implementarea tehnologiilor de ultimă oră</w:t>
      </w:r>
      <w:bookmarkEnd w:id="2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936847" w:rsidRPr="009C5F11" w14:paraId="32CAF324" w14:textId="77777777" w:rsidTr="00B60C41">
        <w:trPr>
          <w:trHeight w:val="480"/>
        </w:trPr>
        <w:tc>
          <w:tcPr>
            <w:tcW w:w="1756" w:type="pct"/>
            <w:gridSpan w:val="2"/>
          </w:tcPr>
          <w:p w14:paraId="31CF6A18" w14:textId="77777777" w:rsidR="00936847" w:rsidRPr="009C5F11" w:rsidRDefault="0094635F"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7D25EB90" w14:textId="77777777" w:rsidR="00936847" w:rsidRPr="009C5F11" w:rsidRDefault="003D35EE" w:rsidP="00430626">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Îmbunătăţirea contorizării şi facturării consumului de gaze naturale prin implementarea tehnologiilor de ultimă oră</w:t>
            </w:r>
          </w:p>
        </w:tc>
      </w:tr>
      <w:tr w:rsidR="00936847" w:rsidRPr="009C5F11" w14:paraId="143E5FF3" w14:textId="77777777" w:rsidTr="00B60C41">
        <w:trPr>
          <w:trHeight w:val="75"/>
        </w:trPr>
        <w:tc>
          <w:tcPr>
            <w:tcW w:w="1756" w:type="pct"/>
            <w:gridSpan w:val="2"/>
          </w:tcPr>
          <w:p w14:paraId="2EDE816C" w14:textId="77777777" w:rsidR="00936847" w:rsidRPr="009C5F11" w:rsidRDefault="00E46DD7" w:rsidP="00430626">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2917E1CE" w14:textId="77777777" w:rsidR="00936847" w:rsidRPr="009C5F11" w:rsidRDefault="00936847" w:rsidP="00430626">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E3</w:t>
            </w:r>
          </w:p>
        </w:tc>
      </w:tr>
      <w:tr w:rsidR="00936847" w:rsidRPr="009C5F11" w14:paraId="5E58274C" w14:textId="77777777" w:rsidTr="00B60C41">
        <w:trPr>
          <w:trHeight w:val="107"/>
        </w:trPr>
        <w:tc>
          <w:tcPr>
            <w:tcW w:w="743" w:type="pct"/>
            <w:vMerge w:val="restart"/>
          </w:tcPr>
          <w:p w14:paraId="37F3A506"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190EB66B"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6478D52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0A9702EE" w14:textId="77777777" w:rsidR="00936847" w:rsidRPr="009C5F11" w:rsidRDefault="00642694"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Achiziţii de tehnologii</w:t>
            </w:r>
          </w:p>
        </w:tc>
      </w:tr>
      <w:tr w:rsidR="00936847" w:rsidRPr="009C5F11" w14:paraId="3BC6DEC1" w14:textId="77777777" w:rsidTr="00B60C41">
        <w:trPr>
          <w:trHeight w:val="476"/>
        </w:trPr>
        <w:tc>
          <w:tcPr>
            <w:tcW w:w="743" w:type="pct"/>
            <w:vMerge/>
          </w:tcPr>
          <w:p w14:paraId="76E86958"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D1E53E6"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1F856D02"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ianuarie</w:t>
            </w:r>
            <w:r w:rsidR="00936847" w:rsidRPr="009C5F11">
              <w:rPr>
                <w:rFonts w:ascii="Times New Roman" w:hAnsi="Times New Roman" w:cs="Times New Roman"/>
                <w:b/>
                <w:sz w:val="18"/>
                <w:szCs w:val="14"/>
                <w:lang w:val="ro-RO" w:eastAsia="de-DE"/>
              </w:rPr>
              <w:t xml:space="preserve"> 2013</w:t>
            </w:r>
            <w:r w:rsidR="00FF7936" w:rsidRPr="009C5F11">
              <w:rPr>
                <w:rFonts w:ascii="Times New Roman" w:hAnsi="Times New Roman" w:cs="Times New Roman"/>
                <w:b/>
                <w:sz w:val="18"/>
                <w:szCs w:val="14"/>
                <w:lang w:val="ro-RO" w:eastAsia="de-DE"/>
              </w:rPr>
              <w:t>.</w:t>
            </w:r>
            <w:r w:rsidR="00936847" w:rsidRPr="009C5F11">
              <w:rPr>
                <w:rFonts w:ascii="Times New Roman" w:hAnsi="Times New Roman" w:cs="Times New Roman"/>
                <w:b/>
                <w:sz w:val="18"/>
                <w:szCs w:val="14"/>
                <w:lang w:val="ro-RO" w:eastAsia="de-DE"/>
              </w:rPr>
              <w:t xml:space="preserve"> </w:t>
            </w:r>
          </w:p>
          <w:p w14:paraId="5CB3A005" w14:textId="77777777" w:rsidR="00936847" w:rsidRPr="009C5F11" w:rsidRDefault="008624F5"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w:t>
            </w:r>
            <w:r w:rsidR="00936847" w:rsidRPr="009C5F11">
              <w:rPr>
                <w:rFonts w:ascii="Times New Roman" w:hAnsi="Times New Roman" w:cs="Times New Roman"/>
                <w:b/>
                <w:sz w:val="18"/>
                <w:szCs w:val="14"/>
                <w:lang w:val="ro-RO" w:eastAsia="de-DE"/>
              </w:rPr>
              <w:t xml:space="preserve"> </w:t>
            </w:r>
            <w:r w:rsidR="000A4CC7" w:rsidRPr="009C5F11">
              <w:rPr>
                <w:rFonts w:ascii="Times New Roman" w:hAnsi="Times New Roman" w:cs="Times New Roman"/>
                <w:b/>
                <w:sz w:val="18"/>
                <w:szCs w:val="14"/>
                <w:lang w:val="ro-RO" w:eastAsia="de-DE"/>
              </w:rPr>
              <w:t>decembrie</w:t>
            </w:r>
            <w:r w:rsidR="00936847" w:rsidRPr="009C5F11">
              <w:rPr>
                <w:rFonts w:ascii="Times New Roman" w:hAnsi="Times New Roman" w:cs="Times New Roman"/>
                <w:b/>
                <w:sz w:val="18"/>
                <w:szCs w:val="14"/>
                <w:lang w:val="ro-RO" w:eastAsia="de-DE"/>
              </w:rPr>
              <w:t xml:space="preserve"> 2019</w:t>
            </w:r>
            <w:r w:rsidR="00FF7936" w:rsidRPr="009C5F11">
              <w:rPr>
                <w:rFonts w:ascii="Times New Roman" w:hAnsi="Times New Roman" w:cs="Times New Roman"/>
                <w:b/>
                <w:sz w:val="18"/>
                <w:szCs w:val="14"/>
                <w:lang w:val="ro-RO" w:eastAsia="de-DE"/>
              </w:rPr>
              <w:t>.</w:t>
            </w:r>
          </w:p>
          <w:p w14:paraId="720EC5CB" w14:textId="77777777" w:rsidR="00936847" w:rsidRPr="009C5F11" w:rsidRDefault="006F2A15" w:rsidP="00FF793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Măsura</w:t>
            </w:r>
            <w:r w:rsidR="00936847" w:rsidRPr="009C5F11">
              <w:rPr>
                <w:rFonts w:ascii="Times New Roman" w:hAnsi="Times New Roman" w:cs="Times New Roman"/>
                <w:sz w:val="18"/>
                <w:szCs w:val="14"/>
                <w:lang w:val="ro-RO" w:eastAsia="de-DE"/>
              </w:rPr>
              <w:t xml:space="preserve"> </w:t>
            </w:r>
            <w:r w:rsidR="00642694" w:rsidRPr="009C5F11">
              <w:rPr>
                <w:rFonts w:ascii="Times New Roman" w:hAnsi="Times New Roman" w:cs="Times New Roman"/>
                <w:sz w:val="18"/>
                <w:szCs w:val="14"/>
                <w:lang w:val="ro-RO" w:eastAsia="de-DE"/>
              </w:rPr>
              <w:t>este preluată din</w:t>
            </w:r>
            <w:r w:rsidR="00936847" w:rsidRPr="009C5F11">
              <w:rPr>
                <w:rFonts w:ascii="Times New Roman" w:hAnsi="Times New Roman" w:cs="Times New Roman"/>
                <w:sz w:val="18"/>
                <w:szCs w:val="14"/>
                <w:lang w:val="ro-RO" w:eastAsia="de-DE"/>
              </w:rPr>
              <w:t xml:space="preserve"> </w:t>
            </w:r>
            <w:r w:rsidR="00872DC2" w:rsidRPr="009C5F11">
              <w:rPr>
                <w:rFonts w:ascii="Times New Roman" w:hAnsi="Times New Roman" w:cs="Times New Roman"/>
                <w:sz w:val="18"/>
                <w:szCs w:val="14"/>
                <w:lang w:val="ro-RO" w:eastAsia="de-DE"/>
              </w:rPr>
              <w:t>PNAEE</w:t>
            </w:r>
            <w:r w:rsidR="00936847" w:rsidRPr="009C5F11">
              <w:rPr>
                <w:rFonts w:ascii="Times New Roman" w:hAnsi="Times New Roman" w:cs="Times New Roman"/>
                <w:sz w:val="18"/>
                <w:szCs w:val="14"/>
                <w:lang w:val="ro-RO" w:eastAsia="de-DE"/>
              </w:rPr>
              <w:t xml:space="preserve"> 2013-2015, </w:t>
            </w:r>
            <w:r w:rsidR="00FF7936" w:rsidRPr="009C5F11">
              <w:rPr>
                <w:rFonts w:ascii="Times New Roman" w:hAnsi="Times New Roman" w:cs="Times New Roman"/>
                <w:sz w:val="18"/>
                <w:szCs w:val="14"/>
                <w:lang w:val="ro-RO" w:eastAsia="de-DE"/>
              </w:rPr>
              <w:t>fiind</w:t>
            </w:r>
            <w:r w:rsidR="00642694" w:rsidRPr="009C5F11">
              <w:rPr>
                <w:rFonts w:ascii="Times New Roman" w:hAnsi="Times New Roman" w:cs="Times New Roman"/>
                <w:sz w:val="18"/>
                <w:szCs w:val="14"/>
                <w:lang w:val="ro-RO" w:eastAsia="de-DE"/>
              </w:rPr>
              <w:t xml:space="preserve"> redenumită</w:t>
            </w:r>
            <w:r w:rsidR="00502CA3" w:rsidRPr="009C5F11">
              <w:rPr>
                <w:rFonts w:ascii="Times New Roman" w:hAnsi="Times New Roman" w:cs="Times New Roman"/>
                <w:sz w:val="18"/>
                <w:szCs w:val="14"/>
                <w:lang w:val="ro-RO" w:eastAsia="de-DE"/>
              </w:rPr>
              <w:t>.</w:t>
            </w:r>
          </w:p>
        </w:tc>
      </w:tr>
      <w:tr w:rsidR="00936847" w:rsidRPr="009C5F11" w14:paraId="6E3B8C60" w14:textId="77777777" w:rsidTr="00B60C41">
        <w:trPr>
          <w:trHeight w:val="107"/>
        </w:trPr>
        <w:tc>
          <w:tcPr>
            <w:tcW w:w="743" w:type="pct"/>
            <w:vMerge/>
          </w:tcPr>
          <w:p w14:paraId="575C5C1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D44DCBC"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50D005C5" w14:textId="77777777" w:rsidR="00C45AE1" w:rsidRDefault="00936847" w:rsidP="00EE73E8">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w:t>
            </w:r>
            <w:r w:rsidR="00EE73E8" w:rsidRPr="009C5F11">
              <w:rPr>
                <w:rFonts w:ascii="Times New Roman" w:hAnsi="Times New Roman" w:cs="Times New Roman"/>
                <w:sz w:val="18"/>
                <w:szCs w:val="14"/>
                <w:lang w:val="ro-RO" w:eastAsia="de-DE"/>
              </w:rPr>
              <w:t>area</w:t>
            </w:r>
            <w:r w:rsidRPr="009C5F11">
              <w:rPr>
                <w:rFonts w:ascii="Times New Roman" w:hAnsi="Times New Roman" w:cs="Times New Roman"/>
                <w:sz w:val="18"/>
                <w:szCs w:val="14"/>
                <w:lang w:val="ro-RO" w:eastAsia="de-DE"/>
              </w:rPr>
              <w:t>, m</w:t>
            </w:r>
            <w:r w:rsidR="00EE73E8" w:rsidRPr="009C5F11">
              <w:rPr>
                <w:rFonts w:ascii="Times New Roman" w:hAnsi="Times New Roman" w:cs="Times New Roman"/>
                <w:sz w:val="18"/>
                <w:szCs w:val="14"/>
                <w:lang w:val="ro-RO" w:eastAsia="de-DE"/>
              </w:rPr>
              <w:t>ăsurarea</w:t>
            </w:r>
            <w:r w:rsidR="00321CD5" w:rsidRPr="009C5F11">
              <w:rPr>
                <w:rFonts w:ascii="Times New Roman" w:hAnsi="Times New Roman" w:cs="Times New Roman"/>
                <w:sz w:val="18"/>
                <w:szCs w:val="14"/>
                <w:lang w:val="ro-RO" w:eastAsia="de-DE"/>
              </w:rPr>
              <w:t xml:space="preserve"> şi </w:t>
            </w:r>
            <w:r w:rsidR="00EE73E8" w:rsidRPr="009C5F11">
              <w:rPr>
                <w:rFonts w:ascii="Times New Roman" w:hAnsi="Times New Roman" w:cs="Times New Roman"/>
                <w:sz w:val="18"/>
                <w:szCs w:val="14"/>
                <w:lang w:val="ro-RO" w:eastAsia="de-DE"/>
              </w:rPr>
              <w:t>facturarea pe baza consumului</w:t>
            </w:r>
            <w:r w:rsidRPr="009C5F11">
              <w:rPr>
                <w:rFonts w:ascii="Times New Roman" w:hAnsi="Times New Roman" w:cs="Times New Roman"/>
                <w:sz w:val="18"/>
                <w:szCs w:val="14"/>
                <w:lang w:val="ro-RO" w:eastAsia="de-DE"/>
              </w:rPr>
              <w:t xml:space="preserve"> real. </w:t>
            </w:r>
          </w:p>
          <w:p w14:paraId="31038C5B" w14:textId="77777777" w:rsidR="00936847" w:rsidRDefault="00EE73E8" w:rsidP="00EE73E8">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Creşterea informării consumatorilor finali despre c</w:t>
            </w:r>
            <w:r w:rsidR="00FF7936" w:rsidRPr="009C5F11">
              <w:rPr>
                <w:rFonts w:ascii="Times New Roman" w:hAnsi="Times New Roman" w:cs="Times New Roman"/>
                <w:sz w:val="18"/>
                <w:szCs w:val="14"/>
                <w:lang w:val="ro-RO" w:eastAsia="de-DE"/>
              </w:rPr>
              <w:t>o</w:t>
            </w:r>
            <w:r w:rsidRPr="009C5F11">
              <w:rPr>
                <w:rFonts w:ascii="Times New Roman" w:hAnsi="Times New Roman" w:cs="Times New Roman"/>
                <w:sz w:val="18"/>
                <w:szCs w:val="14"/>
                <w:lang w:val="ro-RO" w:eastAsia="de-DE"/>
              </w:rPr>
              <w:t xml:space="preserve">nsumul de </w:t>
            </w:r>
            <w:r w:rsidR="001D6122" w:rsidRPr="009C5F11">
              <w:rPr>
                <w:rFonts w:ascii="Times New Roman" w:hAnsi="Times New Roman" w:cs="Times New Roman"/>
                <w:sz w:val="18"/>
                <w:szCs w:val="14"/>
                <w:lang w:val="ro-RO" w:eastAsia="de-DE"/>
              </w:rPr>
              <w:t>gaze naturale</w:t>
            </w:r>
            <w:r w:rsidRPr="009C5F11">
              <w:rPr>
                <w:rFonts w:ascii="Times New Roman" w:hAnsi="Times New Roman" w:cs="Times New Roman"/>
                <w:sz w:val="18"/>
                <w:szCs w:val="14"/>
                <w:lang w:val="ro-RO" w:eastAsia="de-DE"/>
              </w:rPr>
              <w:t>.</w:t>
            </w:r>
          </w:p>
          <w:p w14:paraId="25D4C2A2" w14:textId="2EC3EFEC" w:rsidR="00C45AE1" w:rsidRPr="009C5F11" w:rsidRDefault="00C45AE1" w:rsidP="00EE73E8">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C45AE1">
              <w:rPr>
                <w:rFonts w:ascii="Times New Roman" w:hAnsi="Times New Roman" w:cs="Times New Roman"/>
                <w:sz w:val="18"/>
                <w:szCs w:val="14"/>
                <w:lang w:val="ro-RO" w:eastAsia="de-DE"/>
              </w:rPr>
              <w:t>Raționalizarea utilizării eficiente a gazelor naturale</w:t>
            </w:r>
            <w:r>
              <w:rPr>
                <w:rFonts w:ascii="Times New Roman" w:hAnsi="Times New Roman" w:cs="Times New Roman"/>
                <w:sz w:val="18"/>
                <w:szCs w:val="14"/>
                <w:lang w:val="ro-RO" w:eastAsia="de-DE"/>
              </w:rPr>
              <w:t>.</w:t>
            </w:r>
          </w:p>
        </w:tc>
      </w:tr>
      <w:tr w:rsidR="00936847" w:rsidRPr="009C5F11" w14:paraId="5D236A8F" w14:textId="77777777" w:rsidTr="00B60C41">
        <w:trPr>
          <w:trHeight w:val="71"/>
        </w:trPr>
        <w:tc>
          <w:tcPr>
            <w:tcW w:w="743" w:type="pct"/>
            <w:vMerge/>
          </w:tcPr>
          <w:p w14:paraId="7D8542A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C5BADC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64279246" w14:textId="77777777" w:rsidR="00936847" w:rsidRPr="009C5F11" w:rsidRDefault="003D35EE"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Consumul de gaze naturale</w:t>
            </w:r>
          </w:p>
        </w:tc>
      </w:tr>
      <w:tr w:rsidR="00936847" w:rsidRPr="009C5F11" w14:paraId="5F61CCC9" w14:textId="77777777" w:rsidTr="00B60C41">
        <w:trPr>
          <w:trHeight w:val="71"/>
        </w:trPr>
        <w:tc>
          <w:tcPr>
            <w:tcW w:w="743" w:type="pct"/>
            <w:vMerge/>
          </w:tcPr>
          <w:p w14:paraId="32BBD5B4"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B02277D"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4CB1E317" w14:textId="77777777" w:rsidR="00936847" w:rsidRPr="009C5F11" w:rsidRDefault="00642694"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Consumatorii finali de</w:t>
            </w:r>
            <w:r w:rsidR="00936847" w:rsidRPr="009C5F11">
              <w:rPr>
                <w:rFonts w:ascii="Times New Roman" w:hAnsi="Times New Roman" w:cs="Times New Roman"/>
                <w:sz w:val="18"/>
                <w:szCs w:val="14"/>
                <w:lang w:val="ro-RO" w:eastAsia="de-DE"/>
              </w:rPr>
              <w:t xml:space="preserve"> </w:t>
            </w:r>
            <w:r w:rsidR="001D6122" w:rsidRPr="009C5F11">
              <w:rPr>
                <w:rFonts w:ascii="Times New Roman" w:hAnsi="Times New Roman" w:cs="Times New Roman"/>
                <w:sz w:val="18"/>
                <w:szCs w:val="14"/>
                <w:lang w:val="ro-RO" w:eastAsia="de-DE"/>
              </w:rPr>
              <w:t>gaze naturale</w:t>
            </w:r>
          </w:p>
        </w:tc>
      </w:tr>
      <w:tr w:rsidR="00936847" w:rsidRPr="009C5F11" w14:paraId="545977C0" w14:textId="77777777" w:rsidTr="00B60C41">
        <w:trPr>
          <w:trHeight w:val="215"/>
        </w:trPr>
        <w:tc>
          <w:tcPr>
            <w:tcW w:w="743" w:type="pct"/>
            <w:vMerge/>
          </w:tcPr>
          <w:p w14:paraId="45FA1648"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635AB23"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73F33587" w14:textId="77777777" w:rsidR="00936847" w:rsidRPr="009C5F11" w:rsidRDefault="00761676" w:rsidP="00430626">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936847" w:rsidRPr="009C5F11" w14:paraId="0359ED33" w14:textId="77777777" w:rsidTr="00B60C41">
        <w:trPr>
          <w:trHeight w:val="566"/>
        </w:trPr>
        <w:tc>
          <w:tcPr>
            <w:tcW w:w="743" w:type="pct"/>
            <w:vMerge w:val="restart"/>
          </w:tcPr>
          <w:p w14:paraId="0753D666"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3654ABC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Lista şi descrierea acţiunilor </w:t>
            </w:r>
            <w:r w:rsidR="00127E34" w:rsidRPr="009C5F11">
              <w:rPr>
                <w:rFonts w:ascii="Times New Roman" w:hAnsi="Times New Roman" w:cs="Times New Roman"/>
                <w:sz w:val="18"/>
                <w:szCs w:val="14"/>
                <w:lang w:val="ro-RO" w:eastAsia="de-DE"/>
              </w:rPr>
              <w:t>de reducere a consumului energetic</w:t>
            </w:r>
            <w:r w:rsidRPr="009C5F11">
              <w:rPr>
                <w:rFonts w:ascii="Times New Roman" w:hAnsi="Times New Roman" w:cs="Times New Roman"/>
                <w:sz w:val="18"/>
                <w:szCs w:val="14"/>
                <w:lang w:val="ro-RO" w:eastAsia="de-DE"/>
              </w:rPr>
              <w:t xml:space="preserve"> care justifică măsura</w:t>
            </w:r>
          </w:p>
        </w:tc>
        <w:tc>
          <w:tcPr>
            <w:tcW w:w="3244" w:type="pct"/>
          </w:tcPr>
          <w:p w14:paraId="694E7E8E" w14:textId="45157052" w:rsidR="00936847" w:rsidRPr="009C5F11" w:rsidRDefault="00EE73E8" w:rsidP="00FE7FB4">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Elaborarea</w:t>
            </w:r>
            <w:r w:rsidR="00321CD5" w:rsidRPr="009C5F11">
              <w:rPr>
                <w:rFonts w:ascii="Times New Roman" w:hAnsi="Times New Roman" w:cs="Times New Roman"/>
                <w:sz w:val="18"/>
                <w:szCs w:val="14"/>
                <w:lang w:val="ro-RO" w:eastAsia="de-DE"/>
              </w:rPr>
              <w:t xml:space="preserve"> şi </w:t>
            </w:r>
            <w:r w:rsidR="00936847" w:rsidRPr="009C5F11">
              <w:rPr>
                <w:rFonts w:ascii="Times New Roman" w:hAnsi="Times New Roman" w:cs="Times New Roman"/>
                <w:sz w:val="18"/>
                <w:szCs w:val="14"/>
                <w:lang w:val="ro-RO" w:eastAsia="de-DE"/>
              </w:rPr>
              <w:t>implement</w:t>
            </w:r>
            <w:r w:rsidRPr="009C5F11">
              <w:rPr>
                <w:rFonts w:ascii="Times New Roman" w:hAnsi="Times New Roman" w:cs="Times New Roman"/>
                <w:sz w:val="18"/>
                <w:szCs w:val="14"/>
                <w:lang w:val="ro-RO" w:eastAsia="de-DE"/>
              </w:rPr>
              <w:t xml:space="preserve">area unui </w:t>
            </w:r>
            <w:r w:rsidR="00936847" w:rsidRPr="009C5F11">
              <w:rPr>
                <w:rFonts w:ascii="Times New Roman" w:hAnsi="Times New Roman" w:cs="Times New Roman"/>
                <w:sz w:val="18"/>
                <w:szCs w:val="14"/>
                <w:lang w:val="ro-RO" w:eastAsia="de-DE"/>
              </w:rPr>
              <w:t xml:space="preserve">plan </w:t>
            </w:r>
            <w:r w:rsidRPr="009C5F11">
              <w:rPr>
                <w:rFonts w:ascii="Times New Roman" w:hAnsi="Times New Roman" w:cs="Times New Roman"/>
                <w:sz w:val="18"/>
                <w:szCs w:val="14"/>
                <w:lang w:val="ro-RO" w:eastAsia="de-DE"/>
              </w:rPr>
              <w:t xml:space="preserve">pentru instalarea </w:t>
            </w:r>
            <w:r w:rsidR="0087273F" w:rsidRPr="009C5F11">
              <w:rPr>
                <w:rFonts w:ascii="Times New Roman" w:hAnsi="Times New Roman" w:cs="Times New Roman"/>
                <w:sz w:val="18"/>
                <w:szCs w:val="14"/>
                <w:lang w:val="ro-RO" w:eastAsia="de-DE"/>
              </w:rPr>
              <w:t>dispozitivelor</w:t>
            </w:r>
            <w:r w:rsidRPr="009C5F11">
              <w:rPr>
                <w:rFonts w:ascii="Times New Roman" w:hAnsi="Times New Roman" w:cs="Times New Roman"/>
                <w:sz w:val="18"/>
                <w:szCs w:val="14"/>
                <w:lang w:val="ro-RO" w:eastAsia="de-DE"/>
              </w:rPr>
              <w:t xml:space="preserve"> de contorizare</w:t>
            </w:r>
            <w:r w:rsidR="00FE7FB4">
              <w:rPr>
                <w:rFonts w:ascii="Times New Roman" w:hAnsi="Times New Roman" w:cs="Times New Roman"/>
                <w:sz w:val="18"/>
                <w:szCs w:val="14"/>
                <w:lang w:val="ro-RO" w:eastAsia="de-DE"/>
              </w:rPr>
              <w:t xml:space="preserve">/ </w:t>
            </w:r>
            <w:r w:rsidR="00FE7FB4" w:rsidRPr="00FE7FB4">
              <w:rPr>
                <w:rFonts w:ascii="Times New Roman" w:hAnsi="Times New Roman" w:cs="Times New Roman"/>
                <w:sz w:val="18"/>
                <w:szCs w:val="14"/>
                <w:lang w:val="ro-RO" w:eastAsia="de-DE"/>
              </w:rPr>
              <w:t>transmitere de date</w:t>
            </w:r>
            <w:r w:rsidR="00FE7FB4">
              <w:rPr>
                <w:rFonts w:ascii="Times New Roman" w:hAnsi="Times New Roman" w:cs="Times New Roman"/>
                <w:sz w:val="18"/>
                <w:szCs w:val="14"/>
                <w:lang w:val="ro-RO" w:eastAsia="de-DE"/>
              </w:rPr>
              <w:t xml:space="preserve"> cu privire la </w:t>
            </w:r>
            <w:r w:rsidRPr="009C5F11">
              <w:rPr>
                <w:rFonts w:ascii="Times New Roman" w:hAnsi="Times New Roman" w:cs="Times New Roman"/>
                <w:sz w:val="18"/>
                <w:szCs w:val="14"/>
                <w:lang w:val="ro-RO" w:eastAsia="de-DE"/>
              </w:rPr>
              <w:t>consumul</w:t>
            </w:r>
            <w:r w:rsidR="00FE7FB4">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 xml:space="preserve"> de </w:t>
            </w:r>
            <w:r w:rsidR="001D6122" w:rsidRPr="009C5F11">
              <w:rPr>
                <w:rFonts w:ascii="Times New Roman" w:hAnsi="Times New Roman" w:cs="Times New Roman"/>
                <w:sz w:val="18"/>
                <w:szCs w:val="14"/>
                <w:lang w:val="ro-RO" w:eastAsia="de-DE"/>
              </w:rPr>
              <w:t>gaze naturale</w:t>
            </w:r>
            <w:r w:rsidR="00FE7FB4">
              <w:rPr>
                <w:rFonts w:ascii="Times New Roman" w:hAnsi="Times New Roman" w:cs="Times New Roman"/>
                <w:sz w:val="18"/>
                <w:szCs w:val="14"/>
                <w:lang w:val="ro-RO" w:eastAsia="de-DE"/>
              </w:rPr>
              <w:t xml:space="preserve"> </w:t>
            </w:r>
            <w:r w:rsidR="00FE7FB4" w:rsidRPr="00FE7FB4">
              <w:rPr>
                <w:rFonts w:ascii="Times New Roman" w:hAnsi="Times New Roman" w:cs="Times New Roman"/>
                <w:sz w:val="18"/>
                <w:szCs w:val="14"/>
                <w:lang w:val="ro-RO" w:eastAsia="de-DE"/>
              </w:rPr>
              <w:t>de la echipamente de măsurare gaze și protecția lor antifraudă</w:t>
            </w:r>
            <w:r w:rsidR="00936847" w:rsidRPr="009C5F11">
              <w:rPr>
                <w:rFonts w:ascii="Times New Roman" w:hAnsi="Times New Roman" w:cs="Times New Roman"/>
                <w:sz w:val="18"/>
                <w:szCs w:val="14"/>
                <w:lang w:val="ro-RO" w:eastAsia="de-DE"/>
              </w:rPr>
              <w:t xml:space="preserve"> </w:t>
            </w:r>
            <w:r w:rsidR="00FF7936" w:rsidRPr="009C5F11">
              <w:rPr>
                <w:rFonts w:ascii="Times New Roman" w:hAnsi="Times New Roman" w:cs="Times New Roman"/>
                <w:sz w:val="18"/>
                <w:szCs w:val="14"/>
                <w:lang w:val="ro-RO" w:eastAsia="de-DE"/>
              </w:rPr>
              <w:t>la</w:t>
            </w:r>
            <w:r w:rsidRPr="009C5F11">
              <w:rPr>
                <w:rFonts w:ascii="Times New Roman" w:hAnsi="Times New Roman" w:cs="Times New Roman"/>
                <w:sz w:val="18"/>
                <w:szCs w:val="14"/>
                <w:lang w:val="ro-RO" w:eastAsia="de-DE"/>
              </w:rPr>
              <w:t xml:space="preserve"> toate categoriile de </w:t>
            </w:r>
            <w:r w:rsidR="00FE7FB4">
              <w:rPr>
                <w:rFonts w:ascii="Times New Roman" w:hAnsi="Times New Roman" w:cs="Times New Roman"/>
                <w:sz w:val="18"/>
                <w:szCs w:val="14"/>
                <w:lang w:val="ro-RO" w:eastAsia="de-DE"/>
              </w:rPr>
              <w:t>consumatori</w:t>
            </w:r>
            <w:r w:rsidRPr="009C5F11">
              <w:rPr>
                <w:rFonts w:ascii="Times New Roman" w:hAnsi="Times New Roman" w:cs="Times New Roman"/>
                <w:sz w:val="18"/>
                <w:szCs w:val="14"/>
                <w:lang w:val="ro-RO" w:eastAsia="de-DE"/>
              </w:rPr>
              <w:t xml:space="preserve"> finali, aplicând tehnologii de ultimă oră</w:t>
            </w:r>
            <w:r w:rsidR="00936847" w:rsidRPr="009C5F11">
              <w:rPr>
                <w:rFonts w:ascii="Times New Roman" w:hAnsi="Times New Roman" w:cs="Times New Roman"/>
                <w:sz w:val="18"/>
                <w:szCs w:val="14"/>
                <w:lang w:val="ro-RO" w:eastAsia="de-DE"/>
              </w:rPr>
              <w:t>.</w:t>
            </w:r>
          </w:p>
        </w:tc>
      </w:tr>
      <w:tr w:rsidR="00936847" w:rsidRPr="009C5F11" w14:paraId="6357E119" w14:textId="77777777" w:rsidTr="00B60C41">
        <w:trPr>
          <w:trHeight w:val="278"/>
        </w:trPr>
        <w:tc>
          <w:tcPr>
            <w:tcW w:w="743" w:type="pct"/>
            <w:vMerge/>
          </w:tcPr>
          <w:p w14:paraId="2BED6850"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DC79409"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57E6674B" w14:textId="77777777" w:rsidR="00936847" w:rsidRDefault="00642694"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Bugetele proprii ale furnizorilor</w:t>
            </w:r>
            <w:r w:rsidR="0097695B">
              <w:rPr>
                <w:rFonts w:ascii="Times New Roman" w:hAnsi="Times New Roman" w:cs="Times New Roman"/>
                <w:sz w:val="18"/>
                <w:szCs w:val="14"/>
                <w:lang w:val="ro-RO" w:eastAsia="de-DE"/>
              </w:rPr>
              <w:t>,  ope</w:t>
            </w:r>
            <w:r w:rsidR="0097695B" w:rsidRPr="0097695B">
              <w:rPr>
                <w:rFonts w:ascii="Times New Roman" w:hAnsi="Times New Roman" w:cs="Times New Roman"/>
                <w:sz w:val="18"/>
                <w:szCs w:val="14"/>
                <w:lang w:val="ro-RO" w:eastAsia="de-DE"/>
              </w:rPr>
              <w:t>ratorilor de transport și distribuție</w:t>
            </w:r>
            <w:r w:rsidR="0097695B">
              <w:rPr>
                <w:rFonts w:ascii="Times New Roman" w:hAnsi="Times New Roman" w:cs="Times New Roman"/>
                <w:sz w:val="18"/>
                <w:szCs w:val="14"/>
                <w:lang w:val="ro-RO" w:eastAsia="de-DE"/>
              </w:rPr>
              <w:t>.</w:t>
            </w:r>
          </w:p>
          <w:p w14:paraId="7C870857" w14:textId="40B051ED" w:rsidR="0097695B" w:rsidRPr="009C5F11" w:rsidRDefault="0097695B" w:rsidP="00430626">
            <w:p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7695B">
              <w:rPr>
                <w:rFonts w:ascii="Times New Roman" w:hAnsi="Times New Roman" w:cs="Times New Roman"/>
                <w:sz w:val="18"/>
                <w:szCs w:val="14"/>
                <w:lang w:val="ro-RO" w:eastAsia="de-DE"/>
              </w:rPr>
              <w:t>Principala sursă de finanţare a măsurii o reprezintă tarifele aprobate de autoritatea de reglementare şi achitate de consumatorii finali</w:t>
            </w:r>
            <w:r>
              <w:rPr>
                <w:rFonts w:ascii="Times New Roman" w:hAnsi="Times New Roman" w:cs="Times New Roman"/>
                <w:sz w:val="18"/>
                <w:szCs w:val="14"/>
                <w:lang w:val="ro-RO" w:eastAsia="de-DE"/>
              </w:rPr>
              <w:t>.</w:t>
            </w:r>
          </w:p>
        </w:tc>
      </w:tr>
      <w:tr w:rsidR="00936847" w:rsidRPr="009C5F11" w14:paraId="60AF6668" w14:textId="77777777" w:rsidTr="00B60C41">
        <w:trPr>
          <w:trHeight w:val="71"/>
        </w:trPr>
        <w:tc>
          <w:tcPr>
            <w:tcW w:w="743" w:type="pct"/>
            <w:vMerge/>
          </w:tcPr>
          <w:p w14:paraId="3D6360B6" w14:textId="3D15A00F"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881FDC9" w14:textId="77777777" w:rsidR="00936847" w:rsidRPr="009C5F11" w:rsidRDefault="00E52940"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1EFE4479" w14:textId="77777777" w:rsidR="00936847" w:rsidRDefault="00421FA7" w:rsidP="00EE73E8">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r w:rsidR="00936847" w:rsidRPr="009C5F11">
              <w:rPr>
                <w:rFonts w:ascii="Times New Roman" w:hAnsi="Times New Roman" w:cs="Times New Roman"/>
                <w:sz w:val="18"/>
                <w:szCs w:val="14"/>
                <w:lang w:val="ro-RO" w:eastAsia="de-DE"/>
              </w:rPr>
              <w:t xml:space="preserve">, </w:t>
            </w:r>
            <w:r w:rsidR="00EE73E8" w:rsidRPr="009C5F11">
              <w:rPr>
                <w:rFonts w:ascii="Times New Roman" w:hAnsi="Times New Roman" w:cs="Times New Roman"/>
                <w:sz w:val="18"/>
                <w:szCs w:val="14"/>
                <w:lang w:val="ro-RO" w:eastAsia="de-DE"/>
              </w:rPr>
              <w:t>f</w:t>
            </w:r>
            <w:r w:rsidRPr="009C5F11">
              <w:rPr>
                <w:rFonts w:ascii="Times New Roman" w:hAnsi="Times New Roman" w:cs="Times New Roman"/>
                <w:sz w:val="18"/>
                <w:szCs w:val="14"/>
                <w:lang w:val="ro-RO" w:eastAsia="de-DE"/>
              </w:rPr>
              <w:t>urnizorii</w:t>
            </w:r>
          </w:p>
          <w:p w14:paraId="1DF1CF6E" w14:textId="7DCF5C0B" w:rsidR="00B246A3" w:rsidRPr="009C5F11" w:rsidRDefault="00B246A3" w:rsidP="00EE73E8">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B246A3">
              <w:rPr>
                <w:rFonts w:ascii="Times New Roman" w:hAnsi="Times New Roman" w:cs="Times New Roman"/>
                <w:sz w:val="18"/>
                <w:szCs w:val="14"/>
                <w:lang w:val="ro-RO" w:eastAsia="de-DE"/>
              </w:rPr>
              <w:t>Operatorii rețelelor de transport și distribuție</w:t>
            </w:r>
            <w:r>
              <w:rPr>
                <w:rFonts w:ascii="Times New Roman" w:hAnsi="Times New Roman" w:cs="Times New Roman"/>
                <w:sz w:val="18"/>
                <w:szCs w:val="14"/>
                <w:lang w:val="ro-RO" w:eastAsia="de-DE"/>
              </w:rPr>
              <w:t>.</w:t>
            </w:r>
          </w:p>
        </w:tc>
      </w:tr>
      <w:tr w:rsidR="00936847" w:rsidRPr="009C5F11" w14:paraId="056B52B2" w14:textId="77777777" w:rsidTr="00B60C41">
        <w:trPr>
          <w:trHeight w:val="67"/>
        </w:trPr>
        <w:tc>
          <w:tcPr>
            <w:tcW w:w="743" w:type="pct"/>
            <w:vMerge/>
          </w:tcPr>
          <w:p w14:paraId="43F88D81"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159730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4F9E4289" w14:textId="77777777" w:rsidR="00936847" w:rsidRPr="009C5F11" w:rsidRDefault="00AA0566" w:rsidP="00430626">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936847" w:rsidRPr="009C5F11" w14:paraId="7342C683" w14:textId="77777777" w:rsidTr="00B60C41">
        <w:trPr>
          <w:trHeight w:val="233"/>
        </w:trPr>
        <w:tc>
          <w:tcPr>
            <w:tcW w:w="743" w:type="pct"/>
            <w:vMerge w:val="restart"/>
          </w:tcPr>
          <w:p w14:paraId="015030BD" w14:textId="77777777" w:rsidR="00936847" w:rsidRPr="009C5F11" w:rsidRDefault="00E46DD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7C6A6D5E"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5E6477E9" w14:textId="77777777" w:rsidR="003C6362" w:rsidRDefault="00EE73E8" w:rsidP="00430626">
            <w:pPr>
              <w:widowControl w:val="0"/>
              <w:autoSpaceDE w:val="0"/>
              <w:autoSpaceDN w:val="0"/>
              <w:adjustRightInd w:val="0"/>
              <w:spacing w:after="0" w:line="240" w:lineRule="auto"/>
              <w:rPr>
                <w:rFonts w:ascii="Times New Roman" w:hAnsi="Times New Roman" w:cs="Times New Roman"/>
                <w:bCs/>
                <w:sz w:val="18"/>
                <w:szCs w:val="14"/>
                <w:lang w:val="ro-RO"/>
              </w:rPr>
            </w:pPr>
            <w:r w:rsidRPr="009C5F11">
              <w:rPr>
                <w:rFonts w:ascii="Times New Roman" w:hAnsi="Times New Roman" w:cs="Times New Roman"/>
                <w:bCs/>
                <w:sz w:val="18"/>
                <w:szCs w:val="14"/>
                <w:lang w:val="ro-RO"/>
              </w:rPr>
              <w:t>Metoda de calcul</w:t>
            </w:r>
            <w:r w:rsidR="00936847" w:rsidRPr="009C5F11">
              <w:rPr>
                <w:rFonts w:ascii="Times New Roman" w:hAnsi="Times New Roman" w:cs="Times New Roman"/>
                <w:bCs/>
                <w:sz w:val="18"/>
                <w:szCs w:val="14"/>
                <w:lang w:val="ro-RO"/>
              </w:rPr>
              <w:t xml:space="preserve"> </w:t>
            </w:r>
            <w:r w:rsidRPr="009C5F11">
              <w:rPr>
                <w:rFonts w:ascii="Times New Roman" w:hAnsi="Times New Roman" w:cs="Times New Roman"/>
                <w:bCs/>
                <w:sz w:val="18"/>
                <w:szCs w:val="14"/>
                <w:lang w:val="ro-RO"/>
              </w:rPr>
              <w:t>a</w:t>
            </w:r>
            <w:r w:rsidR="00936847" w:rsidRPr="009C5F11">
              <w:rPr>
                <w:rFonts w:ascii="Times New Roman" w:hAnsi="Times New Roman" w:cs="Times New Roman"/>
                <w:bCs/>
                <w:sz w:val="18"/>
                <w:szCs w:val="14"/>
                <w:lang w:val="ro-RO"/>
              </w:rPr>
              <w:t xml:space="preserve"> </w:t>
            </w:r>
            <w:r w:rsidR="004424A0" w:rsidRPr="009C5F11">
              <w:rPr>
                <w:rFonts w:ascii="Times New Roman" w:hAnsi="Times New Roman" w:cs="Times New Roman"/>
                <w:bCs/>
                <w:sz w:val="18"/>
                <w:szCs w:val="14"/>
                <w:lang w:val="ro-RO"/>
              </w:rPr>
              <w:t>economii</w:t>
            </w:r>
            <w:r w:rsidRPr="009C5F11">
              <w:rPr>
                <w:rFonts w:ascii="Times New Roman" w:hAnsi="Times New Roman" w:cs="Times New Roman"/>
                <w:bCs/>
                <w:sz w:val="18"/>
                <w:szCs w:val="14"/>
                <w:lang w:val="ro-RO"/>
              </w:rPr>
              <w:t>lor</w:t>
            </w:r>
            <w:r w:rsidR="004424A0" w:rsidRPr="009C5F11">
              <w:rPr>
                <w:rFonts w:ascii="Times New Roman" w:hAnsi="Times New Roman" w:cs="Times New Roman"/>
                <w:bCs/>
                <w:sz w:val="18"/>
                <w:szCs w:val="14"/>
                <w:lang w:val="ro-RO"/>
              </w:rPr>
              <w:t xml:space="preserve"> de energie</w:t>
            </w:r>
            <w:r w:rsidR="003C6362">
              <w:rPr>
                <w:rFonts w:ascii="Times New Roman" w:hAnsi="Times New Roman" w:cs="Times New Roman"/>
                <w:bCs/>
                <w:sz w:val="18"/>
                <w:szCs w:val="14"/>
                <w:lang w:val="ro-RO"/>
              </w:rPr>
              <w:t>:</w:t>
            </w:r>
          </w:p>
          <w:p w14:paraId="19F29D86" w14:textId="43E0AD6B" w:rsidR="00936847" w:rsidRPr="009C5F11" w:rsidRDefault="0087273F" w:rsidP="00430626">
            <w:pPr>
              <w:widowControl w:val="0"/>
              <w:autoSpaceDE w:val="0"/>
              <w:autoSpaceDN w:val="0"/>
              <w:adjustRightInd w:val="0"/>
              <w:spacing w:after="0" w:line="240" w:lineRule="auto"/>
              <w:rPr>
                <w:rFonts w:ascii="Times New Roman" w:hAnsi="Times New Roman" w:cs="Times New Roman"/>
                <w:sz w:val="18"/>
                <w:szCs w:val="14"/>
                <w:lang w:val="ro-RO"/>
              </w:rPr>
            </w:pPr>
            <w:r w:rsidRPr="003C6362">
              <w:rPr>
                <w:rFonts w:ascii="Times New Roman" w:hAnsi="Times New Roman" w:cs="Times New Roman"/>
                <w:b/>
                <w:bCs/>
                <w:sz w:val="18"/>
                <w:szCs w:val="14"/>
                <w:lang w:val="ro-RO"/>
              </w:rPr>
              <w:t>Top-down</w:t>
            </w:r>
            <w:r w:rsidR="00936847" w:rsidRPr="009C5F11">
              <w:rPr>
                <w:rFonts w:ascii="Times New Roman" w:hAnsi="Times New Roman" w:cs="Times New Roman"/>
                <w:bCs/>
                <w:sz w:val="18"/>
                <w:szCs w:val="14"/>
                <w:lang w:val="ro-RO"/>
              </w:rPr>
              <w:t xml:space="preserve">: </w:t>
            </w:r>
            <w:r w:rsidR="00EE73E8" w:rsidRPr="009C5F11">
              <w:rPr>
                <w:rFonts w:ascii="Times New Roman" w:hAnsi="Times New Roman" w:cs="Times New Roman"/>
                <w:bCs/>
                <w:sz w:val="18"/>
                <w:szCs w:val="14"/>
                <w:lang w:val="ro-RO"/>
              </w:rPr>
              <w:t xml:space="preserve">la situaţia </w:t>
            </w:r>
            <w:r w:rsidR="00EE73E8" w:rsidRPr="00620782">
              <w:rPr>
                <w:rFonts w:ascii="Times New Roman" w:hAnsi="Times New Roman" w:cs="Times New Roman"/>
                <w:bCs/>
                <w:sz w:val="18"/>
                <w:szCs w:val="14"/>
                <w:lang w:val="ro-RO"/>
              </w:rPr>
              <w:t xml:space="preserve">din </w:t>
            </w:r>
            <w:r w:rsidR="000A4CC7" w:rsidRPr="00620782">
              <w:rPr>
                <w:rFonts w:ascii="Times New Roman" w:hAnsi="Times New Roman" w:cs="Times New Roman"/>
                <w:sz w:val="18"/>
                <w:szCs w:val="14"/>
                <w:lang w:val="ro-RO"/>
              </w:rPr>
              <w:t>iunie</w:t>
            </w:r>
            <w:r w:rsidR="00936847" w:rsidRPr="00620782">
              <w:rPr>
                <w:rFonts w:ascii="Times New Roman" w:hAnsi="Times New Roman" w:cs="Times New Roman"/>
                <w:sz w:val="18"/>
                <w:szCs w:val="14"/>
                <w:lang w:val="ro-RO"/>
              </w:rPr>
              <w:t xml:space="preserve"> 2012, </w:t>
            </w:r>
            <w:r w:rsidR="00EE73E8" w:rsidRPr="00620782">
              <w:rPr>
                <w:rFonts w:ascii="Times New Roman" w:hAnsi="Times New Roman" w:cs="Times New Roman"/>
                <w:sz w:val="18"/>
                <w:szCs w:val="14"/>
                <w:lang w:val="ro-RO"/>
              </w:rPr>
              <w:t>circa</w:t>
            </w:r>
            <w:r w:rsidR="00936847" w:rsidRPr="00620782">
              <w:rPr>
                <w:rFonts w:ascii="Times New Roman" w:hAnsi="Times New Roman" w:cs="Times New Roman"/>
                <w:sz w:val="18"/>
                <w:szCs w:val="14"/>
                <w:lang w:val="ro-RO"/>
              </w:rPr>
              <w:t xml:space="preserve"> 13-15%</w:t>
            </w:r>
            <w:r w:rsidR="00936847" w:rsidRPr="009C5F11">
              <w:rPr>
                <w:rFonts w:ascii="Times New Roman" w:hAnsi="Times New Roman" w:cs="Times New Roman"/>
                <w:sz w:val="18"/>
                <w:szCs w:val="14"/>
                <w:lang w:val="ro-RO"/>
              </w:rPr>
              <w:t xml:space="preserve"> </w:t>
            </w:r>
            <w:r w:rsidR="00EE73E8" w:rsidRPr="009C5F11">
              <w:rPr>
                <w:rFonts w:ascii="Times New Roman" w:hAnsi="Times New Roman" w:cs="Times New Roman"/>
                <w:sz w:val="18"/>
                <w:szCs w:val="14"/>
                <w:lang w:val="ro-RO"/>
              </w:rPr>
              <w:t xml:space="preserve">din numărul </w:t>
            </w:r>
            <w:r w:rsidR="00936847" w:rsidRPr="009C5F11">
              <w:rPr>
                <w:rFonts w:ascii="Times New Roman" w:hAnsi="Times New Roman" w:cs="Times New Roman"/>
                <w:sz w:val="18"/>
                <w:szCs w:val="14"/>
                <w:lang w:val="ro-RO"/>
              </w:rPr>
              <w:t>total</w:t>
            </w:r>
            <w:r w:rsidR="00EE73E8" w:rsidRPr="009C5F11">
              <w:rPr>
                <w:rFonts w:ascii="Times New Roman" w:hAnsi="Times New Roman" w:cs="Times New Roman"/>
                <w:sz w:val="18"/>
                <w:szCs w:val="14"/>
                <w:lang w:val="ro-RO"/>
              </w:rPr>
              <w:t xml:space="preserve"> de </w:t>
            </w:r>
            <w:r w:rsidR="001D6122" w:rsidRPr="009C5F11">
              <w:rPr>
                <w:rFonts w:ascii="Times New Roman" w:hAnsi="Times New Roman" w:cs="Times New Roman"/>
                <w:sz w:val="18"/>
                <w:szCs w:val="14"/>
                <w:lang w:val="ro-RO"/>
              </w:rPr>
              <w:t>gospodării casnice</w:t>
            </w:r>
            <w:r w:rsidR="00936847" w:rsidRPr="009C5F11">
              <w:rPr>
                <w:rFonts w:ascii="Times New Roman" w:hAnsi="Times New Roman" w:cs="Times New Roman"/>
                <w:sz w:val="18"/>
                <w:szCs w:val="14"/>
                <w:lang w:val="ro-RO"/>
              </w:rPr>
              <w:t xml:space="preserve"> </w:t>
            </w:r>
            <w:r w:rsidR="00EE73E8" w:rsidRPr="009C5F11">
              <w:rPr>
                <w:rFonts w:ascii="Times New Roman" w:hAnsi="Times New Roman" w:cs="Times New Roman"/>
                <w:sz w:val="18"/>
                <w:szCs w:val="14"/>
                <w:lang w:val="ro-RO"/>
              </w:rPr>
              <w:t xml:space="preserve">nu aveau contoare </w:t>
            </w:r>
            <w:r w:rsidR="00936847" w:rsidRPr="009C5F11">
              <w:rPr>
                <w:rFonts w:ascii="Times New Roman" w:hAnsi="Times New Roman" w:cs="Times New Roman"/>
                <w:sz w:val="18"/>
                <w:szCs w:val="14"/>
                <w:lang w:val="ro-RO"/>
              </w:rPr>
              <w:t>individual</w:t>
            </w:r>
            <w:r w:rsidR="00EE73E8" w:rsidRPr="009C5F11">
              <w:rPr>
                <w:rFonts w:ascii="Times New Roman" w:hAnsi="Times New Roman" w:cs="Times New Roman"/>
                <w:sz w:val="18"/>
                <w:szCs w:val="14"/>
                <w:lang w:val="ro-RO"/>
              </w:rPr>
              <w:t>e</w:t>
            </w:r>
            <w:r w:rsidR="00936847" w:rsidRPr="009C5F11">
              <w:rPr>
                <w:rFonts w:ascii="Times New Roman" w:hAnsi="Times New Roman" w:cs="Times New Roman"/>
                <w:sz w:val="18"/>
                <w:szCs w:val="14"/>
                <w:lang w:val="ro-RO"/>
              </w:rPr>
              <w:t xml:space="preserve">, </w:t>
            </w:r>
            <w:r w:rsidR="00EE73E8" w:rsidRPr="009C5F11">
              <w:rPr>
                <w:rFonts w:ascii="Times New Roman" w:hAnsi="Times New Roman" w:cs="Times New Roman"/>
                <w:sz w:val="18"/>
                <w:szCs w:val="14"/>
                <w:lang w:val="ro-RO"/>
              </w:rPr>
              <w:t>în timp ce consumatorii non-casnici erau contorizaţi integral (</w:t>
            </w:r>
            <w:r w:rsidR="00936847" w:rsidRPr="009C5F11">
              <w:rPr>
                <w:rFonts w:ascii="Times New Roman" w:hAnsi="Times New Roman" w:cs="Times New Roman"/>
                <w:sz w:val="18"/>
                <w:szCs w:val="14"/>
                <w:lang w:val="ro-RO"/>
              </w:rPr>
              <w:t>100%</w:t>
            </w:r>
            <w:r w:rsidR="00EE73E8" w:rsidRPr="009C5F11">
              <w:rPr>
                <w:rFonts w:ascii="Times New Roman" w:hAnsi="Times New Roman" w:cs="Times New Roman"/>
                <w:sz w:val="18"/>
                <w:szCs w:val="14"/>
                <w:lang w:val="ro-RO"/>
              </w:rPr>
              <w:t>)</w:t>
            </w:r>
            <w:r w:rsidR="00936847" w:rsidRPr="009C5F11">
              <w:rPr>
                <w:rFonts w:ascii="Times New Roman" w:hAnsi="Times New Roman" w:cs="Times New Roman"/>
                <w:sz w:val="18"/>
                <w:szCs w:val="14"/>
                <w:lang w:val="ro-RO"/>
              </w:rPr>
              <w:t xml:space="preserve">. </w:t>
            </w:r>
            <w:r w:rsidR="00EE73E8" w:rsidRPr="009C5F11">
              <w:rPr>
                <w:rFonts w:ascii="Times New Roman" w:hAnsi="Times New Roman" w:cs="Times New Roman"/>
                <w:sz w:val="18"/>
                <w:szCs w:val="14"/>
                <w:lang w:val="ro-RO"/>
              </w:rPr>
              <w:t xml:space="preserve">Se propune </w:t>
            </w:r>
            <w:r w:rsidR="001B56C2">
              <w:rPr>
                <w:rFonts w:ascii="Times New Roman" w:hAnsi="Times New Roman" w:cs="Times New Roman"/>
                <w:sz w:val="18"/>
                <w:szCs w:val="14"/>
                <w:lang w:val="ro-RO"/>
              </w:rPr>
              <w:t xml:space="preserve">analiza posibilității </w:t>
            </w:r>
            <w:r w:rsidR="00EE73E8" w:rsidRPr="009C5F11">
              <w:rPr>
                <w:rFonts w:ascii="Times New Roman" w:hAnsi="Times New Roman" w:cs="Times New Roman"/>
                <w:sz w:val="18"/>
                <w:szCs w:val="14"/>
                <w:lang w:val="ro-RO"/>
              </w:rPr>
              <w:t>asigur</w:t>
            </w:r>
            <w:r w:rsidR="001B56C2">
              <w:rPr>
                <w:rFonts w:ascii="Times New Roman" w:hAnsi="Times New Roman" w:cs="Times New Roman"/>
                <w:sz w:val="18"/>
                <w:szCs w:val="14"/>
                <w:lang w:val="ro-RO"/>
              </w:rPr>
              <w:t>ării</w:t>
            </w:r>
            <w:r w:rsidR="00EE73E8" w:rsidRPr="009C5F11">
              <w:rPr>
                <w:rFonts w:ascii="Times New Roman" w:hAnsi="Times New Roman" w:cs="Times New Roman"/>
                <w:sz w:val="18"/>
                <w:szCs w:val="14"/>
                <w:lang w:val="ro-RO"/>
              </w:rPr>
              <w:t xml:space="preserve"> tuturor </w:t>
            </w:r>
            <w:r w:rsidR="006F2A15" w:rsidRPr="009C5F11">
              <w:rPr>
                <w:rFonts w:ascii="Times New Roman" w:hAnsi="Times New Roman" w:cs="Times New Roman"/>
                <w:sz w:val="18"/>
                <w:szCs w:val="14"/>
                <w:lang w:val="ro-RO"/>
              </w:rPr>
              <w:t>gospodării</w:t>
            </w:r>
            <w:r w:rsidR="00EE73E8" w:rsidRPr="009C5F11">
              <w:rPr>
                <w:rFonts w:ascii="Times New Roman" w:hAnsi="Times New Roman" w:cs="Times New Roman"/>
                <w:sz w:val="18"/>
                <w:szCs w:val="14"/>
                <w:lang w:val="ro-RO"/>
              </w:rPr>
              <w:t>lor</w:t>
            </w:r>
            <w:r w:rsidR="006F2A15" w:rsidRPr="009C5F11">
              <w:rPr>
                <w:rFonts w:ascii="Times New Roman" w:hAnsi="Times New Roman" w:cs="Times New Roman"/>
                <w:sz w:val="18"/>
                <w:szCs w:val="14"/>
                <w:lang w:val="ro-RO"/>
              </w:rPr>
              <w:t xml:space="preserve"> casnice</w:t>
            </w:r>
            <w:r w:rsidR="00936847" w:rsidRPr="009C5F11">
              <w:rPr>
                <w:rFonts w:ascii="Times New Roman" w:hAnsi="Times New Roman" w:cs="Times New Roman"/>
                <w:sz w:val="18"/>
                <w:szCs w:val="14"/>
                <w:lang w:val="ro-RO"/>
              </w:rPr>
              <w:t xml:space="preserve"> </w:t>
            </w:r>
            <w:r w:rsidR="00EE73E8" w:rsidRPr="009C5F11">
              <w:rPr>
                <w:rFonts w:ascii="Times New Roman" w:hAnsi="Times New Roman" w:cs="Times New Roman"/>
                <w:sz w:val="18"/>
                <w:szCs w:val="14"/>
                <w:lang w:val="ro-RO"/>
              </w:rPr>
              <w:t xml:space="preserve">cu contoare </w:t>
            </w:r>
            <w:r w:rsidR="00FF7936" w:rsidRPr="009C5F11">
              <w:rPr>
                <w:rFonts w:ascii="Times New Roman" w:hAnsi="Times New Roman" w:cs="Times New Roman"/>
                <w:sz w:val="18"/>
                <w:szCs w:val="14"/>
                <w:lang w:val="ro-RO"/>
              </w:rPr>
              <w:t xml:space="preserve">pe parcursul </w:t>
            </w:r>
            <w:r w:rsidR="001B56C2">
              <w:rPr>
                <w:rFonts w:ascii="Times New Roman" w:hAnsi="Times New Roman" w:cs="Times New Roman"/>
                <w:sz w:val="18"/>
                <w:szCs w:val="14"/>
                <w:lang w:val="ro-RO"/>
              </w:rPr>
              <w:t>perioadei următoare. P</w:t>
            </w:r>
            <w:r w:rsidR="00EE73E8" w:rsidRPr="009C5F11">
              <w:rPr>
                <w:rFonts w:ascii="Times New Roman" w:hAnsi="Times New Roman" w:cs="Times New Roman"/>
                <w:sz w:val="18"/>
                <w:szCs w:val="14"/>
                <w:lang w:val="ro-RO"/>
              </w:rPr>
              <w:t>rin urmare, este nevoie de un plan de contorizare a</w:t>
            </w:r>
            <w:r w:rsidR="00FF7936" w:rsidRPr="009C5F11">
              <w:rPr>
                <w:rFonts w:ascii="Times New Roman" w:hAnsi="Times New Roman" w:cs="Times New Roman"/>
                <w:sz w:val="18"/>
                <w:szCs w:val="14"/>
                <w:lang w:val="ro-RO"/>
              </w:rPr>
              <w:t xml:space="preserve"> </w:t>
            </w:r>
            <w:r w:rsidR="00EE73E8" w:rsidRPr="009C5F11">
              <w:rPr>
                <w:rFonts w:ascii="Times New Roman" w:hAnsi="Times New Roman" w:cs="Times New Roman"/>
                <w:sz w:val="18"/>
                <w:szCs w:val="14"/>
                <w:lang w:val="ro-RO"/>
              </w:rPr>
              <w:t xml:space="preserve">tuturor consumatorilor </w:t>
            </w:r>
            <w:r w:rsidR="00936847" w:rsidRPr="009C5F11">
              <w:rPr>
                <w:rFonts w:ascii="Times New Roman" w:hAnsi="Times New Roman" w:cs="Times New Roman"/>
                <w:sz w:val="18"/>
                <w:szCs w:val="14"/>
                <w:lang w:val="ro-RO"/>
              </w:rPr>
              <w:t>(</w:t>
            </w:r>
            <w:r w:rsidR="001B56C2">
              <w:rPr>
                <w:rFonts w:ascii="Times New Roman" w:hAnsi="Times New Roman" w:cs="Times New Roman"/>
                <w:sz w:val="18"/>
                <w:szCs w:val="14"/>
                <w:lang w:val="ro-RO"/>
              </w:rPr>
              <w:t xml:space="preserve">în conformitate cu </w:t>
            </w:r>
            <w:r w:rsidR="00055095" w:rsidRPr="009C5F11">
              <w:rPr>
                <w:rFonts w:ascii="Times New Roman" w:hAnsi="Times New Roman" w:cs="Times New Roman"/>
                <w:sz w:val="18"/>
                <w:szCs w:val="14"/>
                <w:lang w:val="ro-RO"/>
              </w:rPr>
              <w:t xml:space="preserve">Legea </w:t>
            </w:r>
            <w:r w:rsidR="001B56C2">
              <w:rPr>
                <w:rFonts w:ascii="Times New Roman" w:hAnsi="Times New Roman" w:cs="Times New Roman"/>
                <w:sz w:val="18"/>
                <w:szCs w:val="14"/>
                <w:lang w:val="ro-RO"/>
              </w:rPr>
              <w:t>N</w:t>
            </w:r>
            <w:r w:rsidR="00D55D28" w:rsidRPr="009C5F11">
              <w:rPr>
                <w:rFonts w:ascii="Times New Roman" w:hAnsi="Times New Roman" w:cs="Times New Roman"/>
                <w:sz w:val="18"/>
                <w:szCs w:val="14"/>
                <w:lang w:val="ro-RO"/>
              </w:rPr>
              <w:t>r.</w:t>
            </w:r>
            <w:r w:rsidR="00936847" w:rsidRPr="009C5F11">
              <w:rPr>
                <w:rFonts w:ascii="Times New Roman" w:hAnsi="Times New Roman" w:cs="Times New Roman"/>
                <w:sz w:val="18"/>
                <w:szCs w:val="14"/>
                <w:lang w:val="ro-RO"/>
              </w:rPr>
              <w:t xml:space="preserve"> 123 </w:t>
            </w:r>
            <w:r w:rsidR="00642694" w:rsidRPr="009C5F11">
              <w:rPr>
                <w:rFonts w:ascii="Times New Roman" w:hAnsi="Times New Roman" w:cs="Times New Roman"/>
                <w:sz w:val="18"/>
                <w:szCs w:val="14"/>
                <w:lang w:val="ro-RO"/>
              </w:rPr>
              <w:t>din</w:t>
            </w:r>
            <w:r w:rsidR="00936847" w:rsidRPr="009C5F11">
              <w:rPr>
                <w:rFonts w:ascii="Times New Roman" w:hAnsi="Times New Roman" w:cs="Times New Roman"/>
                <w:sz w:val="18"/>
                <w:szCs w:val="14"/>
                <w:lang w:val="ro-RO"/>
              </w:rPr>
              <w:t xml:space="preserve"> 23 </w:t>
            </w:r>
            <w:r w:rsidR="000A4CC7" w:rsidRPr="009C5F11">
              <w:rPr>
                <w:rFonts w:ascii="Times New Roman" w:hAnsi="Times New Roman" w:cs="Times New Roman"/>
                <w:sz w:val="18"/>
                <w:szCs w:val="14"/>
                <w:lang w:val="ro-RO"/>
              </w:rPr>
              <w:t>decembrie</w:t>
            </w:r>
            <w:r w:rsidR="00936847" w:rsidRPr="009C5F11">
              <w:rPr>
                <w:rFonts w:ascii="Times New Roman" w:hAnsi="Times New Roman" w:cs="Times New Roman"/>
                <w:sz w:val="18"/>
                <w:szCs w:val="14"/>
                <w:lang w:val="ro-RO"/>
              </w:rPr>
              <w:t xml:space="preserve"> 2009, </w:t>
            </w:r>
            <w:r w:rsidR="000A4CC7" w:rsidRPr="009C5F11">
              <w:rPr>
                <w:rFonts w:ascii="Times New Roman" w:hAnsi="Times New Roman" w:cs="Times New Roman"/>
                <w:sz w:val="18"/>
                <w:szCs w:val="14"/>
                <w:lang w:val="ro-RO"/>
              </w:rPr>
              <w:t>Articolul</w:t>
            </w:r>
            <w:r w:rsidR="00936847" w:rsidRPr="009C5F11">
              <w:rPr>
                <w:rFonts w:ascii="Times New Roman" w:hAnsi="Times New Roman" w:cs="Times New Roman"/>
                <w:sz w:val="18"/>
                <w:szCs w:val="14"/>
                <w:lang w:val="ro-RO"/>
              </w:rPr>
              <w:t xml:space="preserve"> 51 (1)).</w:t>
            </w:r>
          </w:p>
          <w:p w14:paraId="0B91CBC4" w14:textId="31D65D06" w:rsidR="00936847" w:rsidRPr="009C5F11" w:rsidRDefault="0087273F" w:rsidP="001B56C2">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1B56C2">
              <w:rPr>
                <w:rFonts w:ascii="Times New Roman" w:hAnsi="Times New Roman" w:cs="Times New Roman"/>
                <w:b/>
                <w:sz w:val="18"/>
                <w:szCs w:val="14"/>
                <w:lang w:val="ro-RO" w:eastAsia="de-DE"/>
              </w:rPr>
              <w:t>Bottom-up</w:t>
            </w:r>
            <w:r w:rsidR="00EE73E8" w:rsidRPr="001B56C2">
              <w:rPr>
                <w:rFonts w:ascii="Times New Roman" w:hAnsi="Times New Roman" w:cs="Times New Roman"/>
                <w:b/>
                <w:sz w:val="18"/>
                <w:szCs w:val="14"/>
                <w:lang w:val="ro-RO" w:eastAsia="de-DE"/>
              </w:rPr>
              <w:t>:</w:t>
            </w:r>
            <w:r w:rsidR="00EE73E8" w:rsidRPr="009C5F11">
              <w:rPr>
                <w:rFonts w:ascii="Times New Roman" w:hAnsi="Times New Roman" w:cs="Times New Roman"/>
                <w:sz w:val="18"/>
                <w:szCs w:val="14"/>
                <w:lang w:val="ro-RO" w:eastAsia="de-DE"/>
              </w:rPr>
              <w:t xml:space="preserve"> col</w:t>
            </w:r>
            <w:r w:rsidR="00936847" w:rsidRPr="009C5F11">
              <w:rPr>
                <w:rFonts w:ascii="Times New Roman" w:hAnsi="Times New Roman" w:cs="Times New Roman"/>
                <w:sz w:val="18"/>
                <w:szCs w:val="14"/>
                <w:lang w:val="ro-RO" w:eastAsia="de-DE"/>
              </w:rPr>
              <w:t>ect</w:t>
            </w:r>
            <w:r w:rsidR="00EE73E8" w:rsidRPr="009C5F11">
              <w:rPr>
                <w:rFonts w:ascii="Times New Roman" w:hAnsi="Times New Roman" w:cs="Times New Roman"/>
                <w:sz w:val="18"/>
                <w:szCs w:val="14"/>
                <w:lang w:val="ro-RO" w:eastAsia="de-DE"/>
              </w:rPr>
              <w:t xml:space="preserve">area </w:t>
            </w:r>
            <w:r w:rsidR="00936847" w:rsidRPr="009C5F11">
              <w:rPr>
                <w:rFonts w:ascii="Times New Roman" w:hAnsi="Times New Roman" w:cs="Times New Roman"/>
                <w:sz w:val="18"/>
                <w:szCs w:val="14"/>
                <w:lang w:val="ro-RO" w:eastAsia="de-DE"/>
              </w:rPr>
              <w:t>dat</w:t>
            </w:r>
            <w:r w:rsidR="00EE73E8" w:rsidRPr="009C5F11">
              <w:rPr>
                <w:rFonts w:ascii="Times New Roman" w:hAnsi="Times New Roman" w:cs="Times New Roman"/>
                <w:sz w:val="18"/>
                <w:szCs w:val="14"/>
                <w:lang w:val="ro-RO" w:eastAsia="de-DE"/>
              </w:rPr>
              <w:t>elor</w:t>
            </w:r>
            <w:r w:rsidR="00936847" w:rsidRPr="009C5F11">
              <w:rPr>
                <w:rFonts w:ascii="Times New Roman" w:hAnsi="Times New Roman" w:cs="Times New Roman"/>
                <w:sz w:val="18"/>
                <w:szCs w:val="14"/>
                <w:lang w:val="ro-RO" w:eastAsia="de-DE"/>
              </w:rPr>
              <w:t xml:space="preserve"> </w:t>
            </w:r>
            <w:r w:rsidR="00EE73E8" w:rsidRPr="009C5F11">
              <w:rPr>
                <w:rFonts w:ascii="Times New Roman" w:hAnsi="Times New Roman" w:cs="Times New Roman"/>
                <w:sz w:val="18"/>
                <w:szCs w:val="14"/>
                <w:lang w:val="ro-RO" w:eastAsia="de-DE"/>
              </w:rPr>
              <w:t xml:space="preserve">despre </w:t>
            </w:r>
            <w:r w:rsidR="00334259" w:rsidRPr="009C5F11">
              <w:rPr>
                <w:rFonts w:ascii="Times New Roman" w:hAnsi="Times New Roman" w:cs="Times New Roman"/>
                <w:sz w:val="18"/>
                <w:szCs w:val="14"/>
                <w:lang w:val="ro-RO" w:eastAsia="de-DE"/>
              </w:rPr>
              <w:t>consum</w:t>
            </w:r>
            <w:r w:rsidR="00EE73E8" w:rsidRPr="009C5F11">
              <w:rPr>
                <w:rFonts w:ascii="Times New Roman" w:hAnsi="Times New Roman" w:cs="Times New Roman"/>
                <w:sz w:val="18"/>
                <w:szCs w:val="14"/>
                <w:lang w:val="ro-RO" w:eastAsia="de-DE"/>
              </w:rPr>
              <w:t xml:space="preserve"> din rapoartele anuale prezentate de furnizorii de </w:t>
            </w:r>
            <w:r w:rsidR="001D6122" w:rsidRPr="009C5F11">
              <w:rPr>
                <w:rFonts w:ascii="Times New Roman" w:hAnsi="Times New Roman" w:cs="Times New Roman"/>
                <w:sz w:val="18"/>
                <w:szCs w:val="14"/>
                <w:lang w:val="ro-RO" w:eastAsia="de-DE"/>
              </w:rPr>
              <w:t>gaze naturale</w:t>
            </w:r>
            <w:r w:rsidR="001B56C2">
              <w:rPr>
                <w:rFonts w:ascii="Times New Roman" w:hAnsi="Times New Roman" w:cs="Times New Roman"/>
                <w:sz w:val="18"/>
                <w:szCs w:val="14"/>
                <w:lang w:val="ro-RO" w:eastAsia="de-DE"/>
              </w:rPr>
              <w:t xml:space="preserve"> (inclusiv analiza bilanțurilor</w:t>
            </w:r>
            <w:r w:rsidR="001B56C2" w:rsidRPr="001B56C2">
              <w:rPr>
                <w:rFonts w:ascii="Times New Roman" w:hAnsi="Times New Roman" w:cs="Times New Roman"/>
                <w:sz w:val="18"/>
                <w:szCs w:val="14"/>
                <w:lang w:val="ro-RO" w:eastAsia="de-DE"/>
              </w:rPr>
              <w:t xml:space="preserve"> lunar</w:t>
            </w:r>
            <w:r w:rsidR="001B56C2">
              <w:rPr>
                <w:rFonts w:ascii="Times New Roman" w:hAnsi="Times New Roman" w:cs="Times New Roman"/>
                <w:sz w:val="18"/>
                <w:szCs w:val="14"/>
                <w:lang w:val="ro-RO" w:eastAsia="de-DE"/>
              </w:rPr>
              <w:t>e</w:t>
            </w:r>
            <w:r w:rsidR="001B56C2" w:rsidRPr="001B56C2">
              <w:rPr>
                <w:rFonts w:ascii="Times New Roman" w:hAnsi="Times New Roman" w:cs="Times New Roman"/>
                <w:sz w:val="18"/>
                <w:szCs w:val="14"/>
                <w:lang w:val="ro-RO" w:eastAsia="de-DE"/>
              </w:rPr>
              <w:t xml:space="preserve"> și anual</w:t>
            </w:r>
            <w:r w:rsidR="001B56C2">
              <w:rPr>
                <w:rFonts w:ascii="Times New Roman" w:hAnsi="Times New Roman" w:cs="Times New Roman"/>
                <w:sz w:val="18"/>
                <w:szCs w:val="14"/>
                <w:lang w:val="ro-RO" w:eastAsia="de-DE"/>
              </w:rPr>
              <w:t>e</w:t>
            </w:r>
            <w:r w:rsidR="001B56C2" w:rsidRPr="001B56C2">
              <w:rPr>
                <w:rFonts w:ascii="Times New Roman" w:hAnsi="Times New Roman" w:cs="Times New Roman"/>
                <w:sz w:val="18"/>
                <w:szCs w:val="14"/>
                <w:lang w:val="ro-RO" w:eastAsia="de-DE"/>
              </w:rPr>
              <w:t xml:space="preserve"> de achiziție și vînzări gaze naturale</w:t>
            </w:r>
            <w:r w:rsidR="001B56C2">
              <w:rPr>
                <w:rFonts w:ascii="Times New Roman" w:hAnsi="Times New Roman" w:cs="Times New Roman"/>
                <w:sz w:val="18"/>
                <w:szCs w:val="14"/>
                <w:lang w:val="ro-RO" w:eastAsia="de-DE"/>
              </w:rPr>
              <w:t>).</w:t>
            </w:r>
          </w:p>
        </w:tc>
      </w:tr>
      <w:tr w:rsidR="00936847" w:rsidRPr="009C5F11" w14:paraId="0BA78FAB" w14:textId="77777777" w:rsidTr="00B60C41">
        <w:trPr>
          <w:trHeight w:val="296"/>
        </w:trPr>
        <w:tc>
          <w:tcPr>
            <w:tcW w:w="743" w:type="pct"/>
            <w:vMerge/>
          </w:tcPr>
          <w:p w14:paraId="63C68527" w14:textId="4F591463"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1EF02DB"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prevăzute în anul 2016 conform primului PNAEE</w:t>
            </w:r>
            <w:r w:rsidR="00936847" w:rsidRPr="009C5F11">
              <w:rPr>
                <w:rFonts w:ascii="Times New Roman" w:hAnsi="Times New Roman" w:cs="Times New Roman"/>
                <w:sz w:val="18"/>
                <w:szCs w:val="14"/>
                <w:lang w:val="ro-RO" w:eastAsia="de-DE"/>
              </w:rPr>
              <w:t xml:space="preserve"> </w:t>
            </w:r>
          </w:p>
        </w:tc>
        <w:tc>
          <w:tcPr>
            <w:tcW w:w="3244" w:type="pct"/>
            <w:tcBorders>
              <w:bottom w:val="single" w:sz="4" w:space="0" w:color="auto"/>
            </w:tcBorders>
          </w:tcPr>
          <w:p w14:paraId="594D75A8"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b/>
                <w:i/>
                <w:sz w:val="18"/>
                <w:szCs w:val="14"/>
                <w:lang w:val="ro-RO" w:eastAsia="de-DE"/>
              </w:rPr>
            </w:pPr>
            <w:r w:rsidRPr="009C5F11">
              <w:rPr>
                <w:rFonts w:ascii="Times New Roman" w:hAnsi="Times New Roman" w:cs="Times New Roman"/>
                <w:b/>
                <w:sz w:val="18"/>
                <w:szCs w:val="14"/>
                <w:lang w:val="ro-RO" w:eastAsia="de-DE"/>
              </w:rPr>
              <w:t xml:space="preserve">0.74 </w:t>
            </w:r>
            <w:r w:rsidR="00E52940" w:rsidRPr="009C5F11">
              <w:rPr>
                <w:rFonts w:ascii="Times New Roman" w:hAnsi="Times New Roman" w:cs="Times New Roman"/>
                <w:b/>
                <w:sz w:val="18"/>
                <w:szCs w:val="14"/>
                <w:lang w:val="ro-RO" w:eastAsia="de-DE"/>
              </w:rPr>
              <w:t>ktep</w:t>
            </w:r>
          </w:p>
        </w:tc>
      </w:tr>
      <w:tr w:rsidR="00936847" w:rsidRPr="009C5F11" w14:paraId="38DD8D16" w14:textId="77777777" w:rsidTr="00B60C41">
        <w:trPr>
          <w:trHeight w:val="197"/>
        </w:trPr>
        <w:tc>
          <w:tcPr>
            <w:tcW w:w="743" w:type="pct"/>
            <w:vMerge/>
          </w:tcPr>
          <w:p w14:paraId="363F3A3C"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2A9E298" w14:textId="77777777" w:rsidR="00936847" w:rsidRPr="009C5F11" w:rsidRDefault="0094635F"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shd w:val="clear" w:color="auto" w:fill="auto"/>
          </w:tcPr>
          <w:p w14:paraId="3A66B00B" w14:textId="77777777" w:rsidR="00936847" w:rsidRPr="009C5F11" w:rsidRDefault="00F2014A" w:rsidP="00430626">
            <w:pPr>
              <w:tabs>
                <w:tab w:val="left" w:pos="1440"/>
                <w:tab w:val="left" w:pos="5040"/>
                <w:tab w:val="right" w:pos="8504"/>
              </w:tabs>
              <w:spacing w:after="0" w:line="240" w:lineRule="auto"/>
              <w:rPr>
                <w:rFonts w:ascii="Times New Roman" w:hAnsi="Times New Roman" w:cs="Times New Roman"/>
                <w:b/>
                <w:sz w:val="18"/>
                <w:szCs w:val="14"/>
                <w:lang w:val="ro-RO" w:eastAsia="ro-RO"/>
              </w:rPr>
            </w:pPr>
            <w:r w:rsidRPr="009C5F11">
              <w:rPr>
                <w:rFonts w:ascii="Times New Roman" w:hAnsi="Times New Roman" w:cs="Times New Roman"/>
                <w:b/>
                <w:sz w:val="18"/>
                <w:szCs w:val="14"/>
                <w:lang w:val="ro-RO" w:eastAsia="ro-RO"/>
              </w:rPr>
              <w:t>N/A</w:t>
            </w:r>
          </w:p>
          <w:p w14:paraId="0E8CE7BA" w14:textId="77777777" w:rsidR="004E1470" w:rsidRDefault="001B1A25" w:rsidP="00430626">
            <w:pPr>
              <w:tabs>
                <w:tab w:val="left" w:pos="1440"/>
                <w:tab w:val="left" w:pos="5040"/>
                <w:tab w:val="right" w:pos="8504"/>
              </w:tabs>
              <w:spacing w:after="0" w:line="240" w:lineRule="auto"/>
              <w:rPr>
                <w:rFonts w:ascii="Times New Roman" w:hAnsi="Times New Roman" w:cs="Times New Roman"/>
                <w:sz w:val="18"/>
                <w:szCs w:val="14"/>
                <w:lang w:val="ro-RO" w:eastAsia="ro-RO"/>
              </w:rPr>
            </w:pPr>
            <w:r w:rsidRPr="009C5F11">
              <w:rPr>
                <w:rFonts w:ascii="Times New Roman" w:hAnsi="Times New Roman" w:cs="Times New Roman"/>
                <w:sz w:val="18"/>
                <w:szCs w:val="14"/>
                <w:lang w:val="ro-RO" w:eastAsia="ro-RO"/>
              </w:rPr>
              <w:t>În conformitate cu</w:t>
            </w:r>
            <w:r w:rsidR="00DC6008" w:rsidRPr="009C5F11">
              <w:rPr>
                <w:rFonts w:ascii="Times New Roman" w:hAnsi="Times New Roman" w:cs="Times New Roman"/>
                <w:sz w:val="18"/>
                <w:szCs w:val="14"/>
                <w:lang w:val="ro-RO" w:eastAsia="ro-RO"/>
              </w:rPr>
              <w:t xml:space="preserve"> </w:t>
            </w:r>
            <w:r w:rsidR="00EE73E8" w:rsidRPr="009C5F11">
              <w:rPr>
                <w:rFonts w:ascii="Times New Roman" w:hAnsi="Times New Roman" w:cs="Times New Roman"/>
                <w:sz w:val="18"/>
                <w:szCs w:val="14"/>
                <w:lang w:val="ro-RO" w:eastAsia="ro-RO"/>
              </w:rPr>
              <w:t>rapoartele asigurate de</w:t>
            </w:r>
            <w:r w:rsidR="00DC6008" w:rsidRPr="009C5F11">
              <w:rPr>
                <w:rFonts w:ascii="Times New Roman" w:hAnsi="Times New Roman" w:cs="Times New Roman"/>
                <w:sz w:val="18"/>
                <w:szCs w:val="14"/>
                <w:lang w:val="ro-RO" w:eastAsia="ro-RO"/>
              </w:rPr>
              <w:t xml:space="preserve"> </w:t>
            </w:r>
            <w:r w:rsidR="004000CC" w:rsidRPr="009C5F11">
              <w:rPr>
                <w:rFonts w:ascii="Times New Roman" w:hAnsi="Times New Roman" w:cs="Times New Roman"/>
                <w:sz w:val="18"/>
                <w:szCs w:val="14"/>
                <w:lang w:val="ro-RO" w:eastAsia="ro-RO"/>
              </w:rPr>
              <w:t>operatori</w:t>
            </w:r>
            <w:r w:rsidR="00EE73E8" w:rsidRPr="009C5F11">
              <w:rPr>
                <w:rFonts w:ascii="Times New Roman" w:hAnsi="Times New Roman" w:cs="Times New Roman"/>
                <w:sz w:val="18"/>
                <w:szCs w:val="14"/>
                <w:lang w:val="ro-RO" w:eastAsia="ro-RO"/>
              </w:rPr>
              <w:t xml:space="preserve">, la situaţia din </w:t>
            </w:r>
            <w:r w:rsidR="00936847" w:rsidRPr="009C5F11">
              <w:rPr>
                <w:rFonts w:ascii="Times New Roman" w:hAnsi="Times New Roman" w:cs="Times New Roman"/>
                <w:sz w:val="18"/>
                <w:szCs w:val="14"/>
                <w:lang w:val="ro-RO" w:eastAsia="ro-RO"/>
              </w:rPr>
              <w:t xml:space="preserve">01.01.2016, </w:t>
            </w:r>
            <w:r w:rsidR="001D6122" w:rsidRPr="009C5F11">
              <w:rPr>
                <w:rFonts w:ascii="Times New Roman" w:hAnsi="Times New Roman" w:cs="Times New Roman"/>
                <w:sz w:val="18"/>
                <w:szCs w:val="14"/>
                <w:lang w:val="ro-RO" w:eastAsia="ro-RO"/>
              </w:rPr>
              <w:t xml:space="preserve">contorizarea </w:t>
            </w:r>
            <w:r w:rsidR="004E1470">
              <w:rPr>
                <w:rFonts w:ascii="Times New Roman" w:hAnsi="Times New Roman" w:cs="Times New Roman"/>
                <w:sz w:val="18"/>
                <w:szCs w:val="14"/>
                <w:lang w:val="ro-RO" w:eastAsia="ro-RO"/>
              </w:rPr>
              <w:t>consumatorilor casnici</w:t>
            </w:r>
            <w:r w:rsidR="001D6122" w:rsidRPr="009C5F11">
              <w:rPr>
                <w:rFonts w:ascii="Times New Roman" w:hAnsi="Times New Roman" w:cs="Times New Roman"/>
                <w:sz w:val="18"/>
                <w:szCs w:val="14"/>
                <w:lang w:val="ro-RO" w:eastAsia="ro-RO"/>
              </w:rPr>
              <w:t xml:space="preserve"> pentru consumul de gaze naturale</w:t>
            </w:r>
            <w:r w:rsidR="00936847" w:rsidRPr="009C5F11">
              <w:rPr>
                <w:rFonts w:ascii="Times New Roman" w:hAnsi="Times New Roman" w:cs="Times New Roman"/>
                <w:sz w:val="18"/>
                <w:szCs w:val="14"/>
                <w:lang w:val="ro-RO" w:eastAsia="ro-RO"/>
              </w:rPr>
              <w:t xml:space="preserve"> </w:t>
            </w:r>
            <w:r w:rsidR="00EE73E8" w:rsidRPr="009C5F11">
              <w:rPr>
                <w:rFonts w:ascii="Times New Roman" w:hAnsi="Times New Roman" w:cs="Times New Roman"/>
                <w:sz w:val="18"/>
                <w:szCs w:val="14"/>
                <w:lang w:val="ro-RO" w:eastAsia="ro-RO"/>
              </w:rPr>
              <w:t>a crescut până la</w:t>
            </w:r>
            <w:r w:rsidR="00936847" w:rsidRPr="009C5F11">
              <w:rPr>
                <w:rFonts w:ascii="Times New Roman" w:hAnsi="Times New Roman" w:cs="Times New Roman"/>
                <w:sz w:val="18"/>
                <w:szCs w:val="14"/>
                <w:lang w:val="ro-RO" w:eastAsia="ro-RO"/>
              </w:rPr>
              <w:t xml:space="preserve"> 94.4%.</w:t>
            </w:r>
            <w:r w:rsidR="004E1470">
              <w:rPr>
                <w:rFonts w:ascii="Times New Roman" w:hAnsi="Times New Roman" w:cs="Times New Roman"/>
                <w:sz w:val="18"/>
                <w:szCs w:val="14"/>
                <w:lang w:val="ro-RO" w:eastAsia="ro-RO"/>
              </w:rPr>
              <w:t xml:space="preserve"> </w:t>
            </w:r>
          </w:p>
          <w:p w14:paraId="5D91AB3B" w14:textId="794C009B" w:rsidR="004E1470" w:rsidRDefault="004E1470" w:rsidP="004E1470">
            <w:pPr>
              <w:tabs>
                <w:tab w:val="left" w:pos="1440"/>
                <w:tab w:val="left" w:pos="5040"/>
                <w:tab w:val="right" w:pos="8504"/>
              </w:tabs>
              <w:spacing w:before="120" w:after="0" w:line="240" w:lineRule="auto"/>
              <w:rPr>
                <w:rFonts w:ascii="Times New Roman" w:hAnsi="Times New Roman" w:cs="Times New Roman"/>
                <w:sz w:val="18"/>
                <w:szCs w:val="14"/>
                <w:lang w:val="ro-RO" w:eastAsia="ro-RO"/>
              </w:rPr>
            </w:pPr>
            <w:r w:rsidRPr="004E1470">
              <w:rPr>
                <w:rFonts w:ascii="Times New Roman" w:hAnsi="Times New Roman" w:cs="Times New Roman"/>
                <w:sz w:val="18"/>
                <w:szCs w:val="14"/>
                <w:lang w:val="ro-RO" w:eastAsia="ro-RO"/>
              </w:rPr>
              <w:t>Dotarea cu dispozitive de transmitere date de la echipamente de măsurare gaze este asigurată la</w:t>
            </w:r>
            <w:r w:rsidR="00885232">
              <w:rPr>
                <w:rFonts w:ascii="Times New Roman" w:hAnsi="Times New Roman" w:cs="Times New Roman"/>
                <w:sz w:val="18"/>
                <w:szCs w:val="14"/>
                <w:lang w:val="ro-RO" w:eastAsia="ro-RO"/>
              </w:rPr>
              <w:t xml:space="preserve"> nivelul</w:t>
            </w:r>
            <w:r w:rsidRPr="004E1470">
              <w:rPr>
                <w:rFonts w:ascii="Times New Roman" w:hAnsi="Times New Roman" w:cs="Times New Roman"/>
                <w:sz w:val="18"/>
                <w:szCs w:val="14"/>
                <w:lang w:val="ro-RO" w:eastAsia="ro-RO"/>
              </w:rPr>
              <w:t xml:space="preserve">: </w:t>
            </w:r>
          </w:p>
          <w:p w14:paraId="2F16D238" w14:textId="77777777" w:rsidR="004E1470" w:rsidRDefault="004E1470" w:rsidP="00430626">
            <w:pPr>
              <w:tabs>
                <w:tab w:val="left" w:pos="1440"/>
                <w:tab w:val="left" w:pos="5040"/>
                <w:tab w:val="right" w:pos="8504"/>
              </w:tabs>
              <w:spacing w:after="0" w:line="240" w:lineRule="auto"/>
              <w:rPr>
                <w:rFonts w:ascii="Times New Roman" w:hAnsi="Times New Roman" w:cs="Times New Roman"/>
                <w:sz w:val="18"/>
                <w:szCs w:val="14"/>
                <w:lang w:val="ro-RO" w:eastAsia="ro-RO"/>
              </w:rPr>
            </w:pPr>
            <w:r w:rsidRPr="004E1470">
              <w:rPr>
                <w:rFonts w:ascii="Times New Roman" w:hAnsi="Times New Roman" w:cs="Times New Roman"/>
                <w:sz w:val="18"/>
                <w:szCs w:val="14"/>
                <w:lang w:val="ro-RO" w:eastAsia="ro-RO"/>
              </w:rPr>
              <w:t xml:space="preserve">- 2,5% de consumatori casnici; </w:t>
            </w:r>
          </w:p>
          <w:p w14:paraId="428C9B46" w14:textId="77777777" w:rsidR="004E1470" w:rsidRDefault="004E1470" w:rsidP="00430626">
            <w:pPr>
              <w:tabs>
                <w:tab w:val="left" w:pos="1440"/>
                <w:tab w:val="left" w:pos="5040"/>
                <w:tab w:val="right" w:pos="8504"/>
              </w:tabs>
              <w:spacing w:after="0" w:line="240" w:lineRule="auto"/>
              <w:rPr>
                <w:rFonts w:ascii="Times New Roman" w:hAnsi="Times New Roman" w:cs="Times New Roman"/>
                <w:sz w:val="18"/>
                <w:szCs w:val="14"/>
                <w:lang w:val="ro-RO" w:eastAsia="ro-RO"/>
              </w:rPr>
            </w:pPr>
            <w:r w:rsidRPr="004E1470">
              <w:rPr>
                <w:rFonts w:ascii="Times New Roman" w:hAnsi="Times New Roman" w:cs="Times New Roman"/>
                <w:sz w:val="18"/>
                <w:szCs w:val="14"/>
                <w:lang w:val="ro-RO" w:eastAsia="ro-RO"/>
              </w:rPr>
              <w:t>- 1% de consumatori noncasnici (sector comunal-menajer);</w:t>
            </w:r>
          </w:p>
          <w:p w14:paraId="49C3D11C" w14:textId="36A37760" w:rsidR="004E1470" w:rsidRPr="009C5F11" w:rsidRDefault="004E1470" w:rsidP="00430626">
            <w:pPr>
              <w:tabs>
                <w:tab w:val="left" w:pos="1440"/>
                <w:tab w:val="left" w:pos="5040"/>
                <w:tab w:val="right" w:pos="8504"/>
              </w:tabs>
              <w:spacing w:after="0" w:line="240" w:lineRule="auto"/>
              <w:rPr>
                <w:rFonts w:ascii="Times New Roman" w:hAnsi="Times New Roman" w:cs="Times New Roman"/>
                <w:sz w:val="18"/>
                <w:szCs w:val="14"/>
                <w:lang w:val="ro-RO" w:eastAsia="ro-RO"/>
              </w:rPr>
            </w:pPr>
            <w:r w:rsidRPr="004E1470">
              <w:rPr>
                <w:rFonts w:ascii="Times New Roman" w:hAnsi="Times New Roman" w:cs="Times New Roman"/>
                <w:sz w:val="18"/>
                <w:szCs w:val="14"/>
                <w:lang w:val="ro-RO" w:eastAsia="ro-RO"/>
              </w:rPr>
              <w:t>- 100% de consumatori noncasnici (sector industrial)</w:t>
            </w:r>
          </w:p>
          <w:p w14:paraId="1159B0BA" w14:textId="1C5B756A" w:rsidR="00936847" w:rsidRPr="009C5F11" w:rsidRDefault="00401F29" w:rsidP="004E1470">
            <w:pPr>
              <w:tabs>
                <w:tab w:val="left" w:pos="1440"/>
                <w:tab w:val="left" w:pos="5040"/>
                <w:tab w:val="right" w:pos="8504"/>
              </w:tabs>
              <w:spacing w:before="12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ro-RO"/>
              </w:rPr>
              <w:t>Cu toate acestea</w:t>
            </w:r>
            <w:r w:rsidR="00936847" w:rsidRPr="009C5F11">
              <w:rPr>
                <w:rFonts w:ascii="Times New Roman" w:hAnsi="Times New Roman" w:cs="Times New Roman"/>
                <w:sz w:val="18"/>
                <w:szCs w:val="14"/>
                <w:lang w:val="ro-RO" w:eastAsia="ro-RO"/>
              </w:rPr>
              <w:t xml:space="preserve">, </w:t>
            </w:r>
            <w:r w:rsidR="00EE73E8" w:rsidRPr="009C5F11">
              <w:rPr>
                <w:rFonts w:ascii="Times New Roman" w:hAnsi="Times New Roman" w:cs="Times New Roman"/>
                <w:sz w:val="18"/>
                <w:szCs w:val="14"/>
                <w:lang w:val="ro-RO" w:eastAsia="ro-RO"/>
              </w:rPr>
              <w:t xml:space="preserve">este dificil de </w:t>
            </w:r>
            <w:r w:rsidR="00936847" w:rsidRPr="009C5F11">
              <w:rPr>
                <w:rFonts w:ascii="Times New Roman" w:hAnsi="Times New Roman" w:cs="Times New Roman"/>
                <w:sz w:val="18"/>
                <w:szCs w:val="14"/>
                <w:lang w:val="ro-RO" w:eastAsia="ro-RO"/>
              </w:rPr>
              <w:t>separat</w:t>
            </w:r>
            <w:r w:rsidR="00EE73E8" w:rsidRPr="009C5F11">
              <w:rPr>
                <w:rFonts w:ascii="Times New Roman" w:hAnsi="Times New Roman" w:cs="Times New Roman"/>
                <w:sz w:val="18"/>
                <w:szCs w:val="14"/>
                <w:lang w:val="ro-RO" w:eastAsia="ro-RO"/>
              </w:rPr>
              <w:t xml:space="preserve"> impactul</w:t>
            </w:r>
            <w:r w:rsidR="00936847" w:rsidRPr="009C5F11">
              <w:rPr>
                <w:rFonts w:ascii="Times New Roman" w:hAnsi="Times New Roman" w:cs="Times New Roman"/>
                <w:sz w:val="18"/>
                <w:szCs w:val="14"/>
                <w:lang w:val="ro-RO" w:eastAsia="ro-RO"/>
              </w:rPr>
              <w:t xml:space="preserve"> direct </w:t>
            </w:r>
            <w:r w:rsidR="00EE73E8" w:rsidRPr="009C5F11">
              <w:rPr>
                <w:rFonts w:ascii="Times New Roman" w:hAnsi="Times New Roman" w:cs="Times New Roman"/>
                <w:sz w:val="18"/>
                <w:szCs w:val="14"/>
                <w:lang w:val="ro-RO" w:eastAsia="ro-RO"/>
              </w:rPr>
              <w:t>al</w:t>
            </w:r>
            <w:r w:rsidR="00936847" w:rsidRPr="009C5F11">
              <w:rPr>
                <w:rFonts w:ascii="Times New Roman" w:hAnsi="Times New Roman" w:cs="Times New Roman"/>
                <w:sz w:val="18"/>
                <w:szCs w:val="14"/>
                <w:lang w:val="ro-RO" w:eastAsia="ro-RO"/>
              </w:rPr>
              <w:t xml:space="preserve"> </w:t>
            </w:r>
            <w:r w:rsidR="00D77687" w:rsidRPr="009C5F11">
              <w:rPr>
                <w:rFonts w:ascii="Times New Roman" w:hAnsi="Times New Roman" w:cs="Times New Roman"/>
                <w:sz w:val="18"/>
                <w:szCs w:val="14"/>
                <w:lang w:val="ro-RO" w:eastAsia="ro-RO"/>
              </w:rPr>
              <w:t>instal</w:t>
            </w:r>
            <w:r w:rsidR="00EE73E8" w:rsidRPr="009C5F11">
              <w:rPr>
                <w:rFonts w:ascii="Times New Roman" w:hAnsi="Times New Roman" w:cs="Times New Roman"/>
                <w:sz w:val="18"/>
                <w:szCs w:val="14"/>
                <w:lang w:val="ro-RO" w:eastAsia="ro-RO"/>
              </w:rPr>
              <w:t xml:space="preserve">ării contoarelor asupra comportamentului consumatorilor </w:t>
            </w:r>
            <w:r w:rsidR="00936847" w:rsidRPr="009C5F11">
              <w:rPr>
                <w:rFonts w:ascii="Times New Roman" w:hAnsi="Times New Roman" w:cs="Times New Roman"/>
                <w:sz w:val="18"/>
                <w:szCs w:val="14"/>
                <w:lang w:val="ro-RO" w:eastAsia="ro-RO"/>
              </w:rPr>
              <w:t>(</w:t>
            </w:r>
            <w:r w:rsidR="00EE73E8" w:rsidRPr="009C5F11">
              <w:rPr>
                <w:rFonts w:ascii="Times New Roman" w:hAnsi="Times New Roman" w:cs="Times New Roman"/>
                <w:sz w:val="18"/>
                <w:szCs w:val="14"/>
                <w:lang w:val="ro-RO" w:eastAsia="ro-RO"/>
              </w:rPr>
              <w:t>utilizare mai conştientă a instalaţiilor</w:t>
            </w:r>
            <w:r w:rsidR="00C4221E">
              <w:rPr>
                <w:rFonts w:ascii="Times New Roman" w:hAnsi="Times New Roman" w:cs="Times New Roman"/>
                <w:sz w:val="18"/>
                <w:szCs w:val="14"/>
                <w:lang w:val="ro-RO" w:eastAsia="ro-RO"/>
              </w:rPr>
              <w:t xml:space="preserve">, </w:t>
            </w:r>
            <w:r w:rsidR="00C4221E" w:rsidRPr="00C4221E">
              <w:rPr>
                <w:rFonts w:ascii="Times New Roman" w:hAnsi="Times New Roman" w:cs="Times New Roman"/>
                <w:sz w:val="18"/>
                <w:szCs w:val="14"/>
                <w:lang w:val="ro-RO" w:eastAsia="ro-RO"/>
              </w:rPr>
              <w:t>consum fraudulos de gaze</w:t>
            </w:r>
            <w:r w:rsidR="00936847" w:rsidRPr="009C5F11">
              <w:rPr>
                <w:rFonts w:ascii="Times New Roman" w:hAnsi="Times New Roman" w:cs="Times New Roman"/>
                <w:sz w:val="18"/>
                <w:szCs w:val="14"/>
                <w:lang w:val="ro-RO" w:eastAsia="ro-RO"/>
              </w:rPr>
              <w:t>)</w:t>
            </w:r>
            <w:r w:rsidR="00321CD5" w:rsidRPr="009C5F11">
              <w:rPr>
                <w:rFonts w:ascii="Times New Roman" w:hAnsi="Times New Roman" w:cs="Times New Roman"/>
                <w:sz w:val="18"/>
                <w:szCs w:val="14"/>
                <w:lang w:val="ro-RO" w:eastAsia="ro-RO"/>
              </w:rPr>
              <w:t xml:space="preserve"> şi </w:t>
            </w:r>
            <w:r w:rsidR="00936847" w:rsidRPr="009C5F11">
              <w:rPr>
                <w:rFonts w:ascii="Times New Roman" w:hAnsi="Times New Roman" w:cs="Times New Roman"/>
                <w:sz w:val="18"/>
                <w:szCs w:val="14"/>
                <w:lang w:val="ro-RO" w:eastAsia="ro-RO"/>
              </w:rPr>
              <w:t>diferen</w:t>
            </w:r>
            <w:r w:rsidR="008D4DC8" w:rsidRPr="009C5F11">
              <w:rPr>
                <w:rFonts w:ascii="Times New Roman" w:hAnsi="Times New Roman" w:cs="Times New Roman"/>
                <w:sz w:val="18"/>
                <w:szCs w:val="14"/>
                <w:lang w:val="ro-RO" w:eastAsia="ro-RO"/>
              </w:rPr>
              <w:t xml:space="preserve">ţierea acestuia de reducerea </w:t>
            </w:r>
            <w:r w:rsidR="00BA5A89" w:rsidRPr="009C5F11">
              <w:rPr>
                <w:rFonts w:ascii="Times New Roman" w:hAnsi="Times New Roman" w:cs="Times New Roman"/>
                <w:sz w:val="18"/>
                <w:szCs w:val="14"/>
                <w:lang w:val="ro-RO" w:eastAsia="ro-RO"/>
              </w:rPr>
              <w:t>pierderi</w:t>
            </w:r>
            <w:r w:rsidR="008D4DC8" w:rsidRPr="009C5F11">
              <w:rPr>
                <w:rFonts w:ascii="Times New Roman" w:hAnsi="Times New Roman" w:cs="Times New Roman"/>
                <w:sz w:val="18"/>
                <w:szCs w:val="14"/>
                <w:lang w:val="ro-RO" w:eastAsia="ro-RO"/>
              </w:rPr>
              <w:t>lor</w:t>
            </w:r>
            <w:r w:rsidR="00936847" w:rsidRPr="009C5F11">
              <w:rPr>
                <w:rFonts w:ascii="Times New Roman" w:hAnsi="Times New Roman" w:cs="Times New Roman"/>
                <w:sz w:val="18"/>
                <w:szCs w:val="14"/>
                <w:lang w:val="ro-RO" w:eastAsia="ro-RO"/>
              </w:rPr>
              <w:t xml:space="preserve"> (incl</w:t>
            </w:r>
            <w:r w:rsidR="008D4DC8" w:rsidRPr="009C5F11">
              <w:rPr>
                <w:rFonts w:ascii="Times New Roman" w:hAnsi="Times New Roman" w:cs="Times New Roman"/>
                <w:sz w:val="18"/>
                <w:szCs w:val="14"/>
                <w:lang w:val="ro-RO" w:eastAsia="ro-RO"/>
              </w:rPr>
              <w:t>usiv</w:t>
            </w:r>
            <w:r w:rsidR="00936847" w:rsidRPr="009C5F11">
              <w:rPr>
                <w:rFonts w:ascii="Times New Roman" w:hAnsi="Times New Roman" w:cs="Times New Roman"/>
                <w:sz w:val="18"/>
                <w:szCs w:val="14"/>
                <w:lang w:val="ro-RO" w:eastAsia="ro-RO"/>
              </w:rPr>
              <w:t xml:space="preserve"> </w:t>
            </w:r>
            <w:r w:rsidR="00EE73E8" w:rsidRPr="009C5F11">
              <w:rPr>
                <w:rFonts w:ascii="Times New Roman" w:hAnsi="Times New Roman" w:cs="Times New Roman"/>
                <w:sz w:val="18"/>
                <w:szCs w:val="14"/>
                <w:lang w:val="ro-RO" w:eastAsia="ro-RO"/>
              </w:rPr>
              <w:t xml:space="preserve">a celor </w:t>
            </w:r>
            <w:r w:rsidR="00AB1710" w:rsidRPr="009C5F11">
              <w:rPr>
                <w:rFonts w:ascii="Times New Roman" w:hAnsi="Times New Roman" w:cs="Times New Roman"/>
                <w:sz w:val="18"/>
                <w:szCs w:val="14"/>
                <w:lang w:val="ro-RO" w:eastAsia="ro-RO"/>
              </w:rPr>
              <w:t>comercial</w:t>
            </w:r>
            <w:r w:rsidR="00EE73E8" w:rsidRPr="009C5F11">
              <w:rPr>
                <w:rFonts w:ascii="Times New Roman" w:hAnsi="Times New Roman" w:cs="Times New Roman"/>
                <w:sz w:val="18"/>
                <w:szCs w:val="14"/>
                <w:lang w:val="ro-RO" w:eastAsia="ro-RO"/>
              </w:rPr>
              <w:t>e</w:t>
            </w:r>
            <w:r w:rsidR="00936847" w:rsidRPr="009C5F11">
              <w:rPr>
                <w:rFonts w:ascii="Times New Roman" w:hAnsi="Times New Roman" w:cs="Times New Roman"/>
                <w:sz w:val="18"/>
                <w:szCs w:val="14"/>
                <w:lang w:val="ro-RO" w:eastAsia="ro-RO"/>
              </w:rPr>
              <w:t>).</w:t>
            </w:r>
          </w:p>
        </w:tc>
      </w:tr>
      <w:tr w:rsidR="00936847" w:rsidRPr="009C5F11" w14:paraId="325A1C94" w14:textId="77777777" w:rsidTr="00B60C41">
        <w:trPr>
          <w:trHeight w:val="125"/>
        </w:trPr>
        <w:tc>
          <w:tcPr>
            <w:tcW w:w="743" w:type="pct"/>
            <w:vMerge/>
          </w:tcPr>
          <w:p w14:paraId="267A63B4"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04FBAA5"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Impactul scontat asupra economiilor de energie</w:t>
            </w:r>
            <w:r w:rsidR="00321CD5" w:rsidRPr="009C5F11">
              <w:rPr>
                <w:rFonts w:ascii="Times New Roman" w:hAnsi="Times New Roman" w:cs="Times New Roman"/>
                <w:sz w:val="18"/>
                <w:szCs w:val="14"/>
                <w:lang w:val="ro-RO" w:eastAsia="de-DE"/>
              </w:rPr>
              <w:t xml:space="preserve"> în </w:t>
            </w:r>
            <w:r w:rsidR="00936847" w:rsidRPr="009C5F11">
              <w:rPr>
                <w:rFonts w:ascii="Times New Roman" w:hAnsi="Times New Roman" w:cs="Times New Roman"/>
                <w:sz w:val="18"/>
                <w:szCs w:val="14"/>
                <w:lang w:val="ro-RO" w:eastAsia="de-DE"/>
              </w:rPr>
              <w:t xml:space="preserve">2020 </w:t>
            </w:r>
          </w:p>
        </w:tc>
        <w:tc>
          <w:tcPr>
            <w:tcW w:w="3244" w:type="pct"/>
            <w:shd w:val="clear" w:color="auto" w:fill="auto"/>
          </w:tcPr>
          <w:p w14:paraId="4DB82601" w14:textId="77777777" w:rsidR="00936847" w:rsidRPr="009C5F11" w:rsidRDefault="00F2014A" w:rsidP="00430626">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N/A</w:t>
            </w:r>
          </w:p>
          <w:p w14:paraId="25D8EF69" w14:textId="2A62BCDE" w:rsidR="006F79CE" w:rsidRDefault="008D4DC8" w:rsidP="008D4DC8">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Contoare de gaze naturale instalate </w:t>
            </w:r>
            <w:r w:rsidR="006F79CE">
              <w:rPr>
                <w:rFonts w:ascii="Times New Roman" w:hAnsi="Times New Roman" w:cs="Times New Roman"/>
                <w:sz w:val="18"/>
                <w:szCs w:val="14"/>
                <w:lang w:val="ro-RO" w:eastAsia="de-DE"/>
              </w:rPr>
              <w:t>la toți consumatorii casnici</w:t>
            </w:r>
            <w:r w:rsidRPr="009C5F11">
              <w:rPr>
                <w:rFonts w:ascii="Times New Roman" w:hAnsi="Times New Roman" w:cs="Times New Roman"/>
                <w:sz w:val="18"/>
                <w:szCs w:val="14"/>
                <w:lang w:val="ro-RO" w:eastAsia="de-DE"/>
              </w:rPr>
              <w:t xml:space="preserve"> (100%)</w:t>
            </w:r>
            <w:r w:rsidR="00936847" w:rsidRPr="009C5F11">
              <w:rPr>
                <w:rFonts w:ascii="Times New Roman" w:hAnsi="Times New Roman" w:cs="Times New Roman"/>
                <w:sz w:val="18"/>
                <w:szCs w:val="14"/>
                <w:lang w:val="ro-RO" w:eastAsia="de-DE"/>
              </w:rPr>
              <w:t>.</w:t>
            </w:r>
          </w:p>
          <w:p w14:paraId="26CA2F2D" w14:textId="77777777" w:rsidR="00885232" w:rsidRDefault="006F79CE" w:rsidP="006F79CE">
            <w:pPr>
              <w:tabs>
                <w:tab w:val="left" w:pos="1440"/>
                <w:tab w:val="left" w:pos="5040"/>
                <w:tab w:val="right" w:pos="8504"/>
              </w:tabs>
              <w:spacing w:before="120" w:after="0" w:line="240" w:lineRule="auto"/>
              <w:jc w:val="both"/>
              <w:rPr>
                <w:rFonts w:ascii="Times New Roman" w:hAnsi="Times New Roman" w:cs="Times New Roman"/>
                <w:sz w:val="18"/>
                <w:szCs w:val="14"/>
                <w:lang w:val="ro-RO" w:eastAsia="de-DE"/>
              </w:rPr>
            </w:pPr>
            <w:r w:rsidRPr="006F79CE">
              <w:rPr>
                <w:rFonts w:ascii="Times New Roman" w:hAnsi="Times New Roman" w:cs="Times New Roman"/>
                <w:sz w:val="18"/>
                <w:szCs w:val="14"/>
                <w:lang w:val="ro-RO" w:eastAsia="de-DE"/>
              </w:rPr>
              <w:t>Instalarea dispozitivelor de transmitere date a consumului de gaze naturale de la echipamente</w:t>
            </w:r>
            <w:r w:rsidR="00885232">
              <w:rPr>
                <w:rFonts w:ascii="Times New Roman" w:hAnsi="Times New Roman" w:cs="Times New Roman"/>
                <w:sz w:val="18"/>
                <w:szCs w:val="14"/>
                <w:lang w:val="ro-RO" w:eastAsia="de-DE"/>
              </w:rPr>
              <w:t>le</w:t>
            </w:r>
            <w:r w:rsidRPr="006F79CE">
              <w:rPr>
                <w:rFonts w:ascii="Times New Roman" w:hAnsi="Times New Roman" w:cs="Times New Roman"/>
                <w:sz w:val="18"/>
                <w:szCs w:val="14"/>
                <w:lang w:val="ro-RO" w:eastAsia="de-DE"/>
              </w:rPr>
              <w:t xml:space="preserve"> de măsurare gaze la</w:t>
            </w:r>
            <w:r w:rsidR="00885232">
              <w:rPr>
                <w:rFonts w:ascii="Times New Roman" w:hAnsi="Times New Roman" w:cs="Times New Roman"/>
                <w:sz w:val="18"/>
                <w:szCs w:val="14"/>
                <w:lang w:val="ro-RO" w:eastAsia="de-DE"/>
              </w:rPr>
              <w:t xml:space="preserve"> nivelul</w:t>
            </w:r>
            <w:r w:rsidRPr="006F79CE">
              <w:rPr>
                <w:rFonts w:ascii="Times New Roman" w:hAnsi="Times New Roman" w:cs="Times New Roman"/>
                <w:sz w:val="18"/>
                <w:szCs w:val="14"/>
                <w:lang w:val="ro-RO" w:eastAsia="de-DE"/>
              </w:rPr>
              <w:t>:</w:t>
            </w:r>
          </w:p>
          <w:p w14:paraId="7B481E4A" w14:textId="1D44B459" w:rsidR="008838B9" w:rsidRDefault="006F79CE" w:rsidP="008838B9">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6F79CE">
              <w:rPr>
                <w:rFonts w:ascii="Times New Roman" w:hAnsi="Times New Roman" w:cs="Times New Roman"/>
                <w:sz w:val="18"/>
                <w:szCs w:val="14"/>
                <w:lang w:val="ro-RO" w:eastAsia="de-DE"/>
              </w:rPr>
              <w:t>- 35% de consumatori casnici;</w:t>
            </w:r>
          </w:p>
          <w:p w14:paraId="12ADE353" w14:textId="77777777" w:rsidR="008838B9" w:rsidRDefault="006F79CE" w:rsidP="008838B9">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6F79CE">
              <w:rPr>
                <w:rFonts w:ascii="Times New Roman" w:hAnsi="Times New Roman" w:cs="Times New Roman"/>
                <w:sz w:val="18"/>
                <w:szCs w:val="14"/>
                <w:lang w:val="ro-RO" w:eastAsia="de-DE"/>
              </w:rPr>
              <w:lastRenderedPageBreak/>
              <w:t>- 100% de consumatori noncasnici (sector comunal-menajer).</w:t>
            </w:r>
          </w:p>
          <w:p w14:paraId="2C96DAF1" w14:textId="1DE40735" w:rsidR="006F79CE" w:rsidRPr="009C5F11" w:rsidRDefault="006F79CE" w:rsidP="006F79CE">
            <w:pPr>
              <w:tabs>
                <w:tab w:val="left" w:pos="1440"/>
                <w:tab w:val="left" w:pos="5040"/>
                <w:tab w:val="right" w:pos="8504"/>
              </w:tabs>
              <w:spacing w:before="120" w:after="0" w:line="240" w:lineRule="auto"/>
              <w:jc w:val="both"/>
              <w:rPr>
                <w:rFonts w:ascii="Times New Roman" w:hAnsi="Times New Roman" w:cs="Times New Roman"/>
                <w:sz w:val="18"/>
                <w:szCs w:val="14"/>
                <w:lang w:val="ro-RO" w:eastAsia="de-DE"/>
              </w:rPr>
            </w:pPr>
            <w:r w:rsidRPr="006F79CE">
              <w:rPr>
                <w:rFonts w:ascii="Times New Roman" w:hAnsi="Times New Roman" w:cs="Times New Roman"/>
                <w:sz w:val="18"/>
                <w:szCs w:val="14"/>
                <w:lang w:val="ro-RO" w:eastAsia="de-DE"/>
              </w:rPr>
              <w:t>Instalarea dispozitivelor de protecție antifraudă a echipamentelor de măsurare gaze</w:t>
            </w:r>
            <w:r w:rsidR="008838B9">
              <w:rPr>
                <w:rFonts w:ascii="Times New Roman" w:hAnsi="Times New Roman" w:cs="Times New Roman"/>
                <w:sz w:val="18"/>
                <w:szCs w:val="14"/>
                <w:lang w:val="ro-RO" w:eastAsia="de-DE"/>
              </w:rPr>
              <w:t xml:space="preserve"> la 32% de consumatori  casnici</w:t>
            </w:r>
            <w:r w:rsidRPr="006F79CE">
              <w:rPr>
                <w:rFonts w:ascii="Times New Roman" w:hAnsi="Times New Roman" w:cs="Times New Roman"/>
                <w:sz w:val="18"/>
                <w:szCs w:val="14"/>
                <w:lang w:val="ro-RO" w:eastAsia="de-DE"/>
              </w:rPr>
              <w:t>”.</w:t>
            </w:r>
          </w:p>
        </w:tc>
      </w:tr>
      <w:tr w:rsidR="00936847" w:rsidRPr="009C5F11" w14:paraId="53A7793D" w14:textId="77777777" w:rsidTr="00B60C41">
        <w:trPr>
          <w:trHeight w:val="71"/>
        </w:trPr>
        <w:tc>
          <w:tcPr>
            <w:tcW w:w="743" w:type="pct"/>
            <w:vMerge/>
          </w:tcPr>
          <w:p w14:paraId="4607291D"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BC12517" w14:textId="77777777" w:rsidR="00936847" w:rsidRPr="009C5F11" w:rsidRDefault="00F2014A"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5BB897E1" w14:textId="77777777" w:rsidR="00936847" w:rsidRPr="009C5F11" w:rsidRDefault="00936847" w:rsidP="00430626">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p>
        </w:tc>
      </w:tr>
      <w:tr w:rsidR="00936847" w:rsidRPr="009C5F11" w14:paraId="6561ACE2" w14:textId="77777777" w:rsidTr="00B60C41">
        <w:trPr>
          <w:trHeight w:val="206"/>
        </w:trPr>
        <w:tc>
          <w:tcPr>
            <w:tcW w:w="743" w:type="pct"/>
            <w:vMerge/>
          </w:tcPr>
          <w:p w14:paraId="5AE30594" w14:textId="77777777" w:rsidR="00936847" w:rsidRPr="009C5F11" w:rsidRDefault="00936847" w:rsidP="00430626">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259F899" w14:textId="77777777" w:rsidR="00936847" w:rsidRPr="009C5F11" w:rsidRDefault="00E46DD7" w:rsidP="00430626">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60A2ECC2" w14:textId="092BB387" w:rsidR="009E1C5D" w:rsidRPr="009C5F11" w:rsidRDefault="009E1C5D" w:rsidP="008D4DC8">
            <w:pPr>
              <w:tabs>
                <w:tab w:val="left" w:pos="1440"/>
                <w:tab w:val="left" w:pos="5040"/>
              </w:tabs>
              <w:spacing w:after="0" w:line="240" w:lineRule="auto"/>
              <w:rPr>
                <w:rFonts w:ascii="Times New Roman" w:hAnsi="Times New Roman" w:cs="Times New Roman"/>
                <w:sz w:val="18"/>
                <w:szCs w:val="14"/>
                <w:lang w:val="ro-RO"/>
              </w:rPr>
            </w:pPr>
            <w:r w:rsidRPr="009E1C5D">
              <w:rPr>
                <w:rFonts w:ascii="Times New Roman" w:hAnsi="Times New Roman" w:cs="Times New Roman"/>
                <w:sz w:val="18"/>
                <w:szCs w:val="14"/>
                <w:lang w:val="ro-RO"/>
              </w:rPr>
              <w:t xml:space="preserve">Este dificil de estimat impactul direct al instalării contoarelor, dispozitivelor de transmitere date de la echipamente de măsurare gaze și protecția lor antifraudă asupra </w:t>
            </w:r>
            <w:r w:rsidRPr="009C5F11">
              <w:rPr>
                <w:rFonts w:ascii="Times New Roman" w:hAnsi="Times New Roman" w:cs="Times New Roman"/>
                <w:sz w:val="18"/>
                <w:szCs w:val="14"/>
                <w:lang w:val="ro-RO" w:eastAsia="ro-RO"/>
              </w:rPr>
              <w:t>comportamentului consumatorilor</w:t>
            </w:r>
            <w:r>
              <w:rPr>
                <w:rFonts w:ascii="Times New Roman" w:hAnsi="Times New Roman" w:cs="Times New Roman"/>
                <w:sz w:val="18"/>
                <w:szCs w:val="14"/>
                <w:lang w:val="ro-RO" w:eastAsia="ro-RO"/>
              </w:rPr>
              <w:t xml:space="preserve"> de cel al reducerii pierderilor comerciale de gaze naturale prin aplicarea acestor soluții tehnice.</w:t>
            </w:r>
          </w:p>
        </w:tc>
      </w:tr>
    </w:tbl>
    <w:p w14:paraId="6F325535" w14:textId="77777777" w:rsidR="00936847" w:rsidRPr="009C5F11" w:rsidRDefault="00936847" w:rsidP="00936847">
      <w:pPr>
        <w:shd w:val="clear" w:color="auto" w:fill="FFFFFF"/>
        <w:spacing w:after="0" w:line="240" w:lineRule="auto"/>
        <w:jc w:val="both"/>
        <w:rPr>
          <w:rFonts w:ascii="Times New Roman" w:hAnsi="Times New Roman" w:cs="Times New Roman"/>
          <w:sz w:val="24"/>
          <w:lang w:val="ro-RO"/>
        </w:rPr>
      </w:pPr>
    </w:p>
    <w:p w14:paraId="78FBBCCC" w14:textId="77777777" w:rsidR="00936847" w:rsidRPr="009C5F11" w:rsidRDefault="00936847" w:rsidP="00936847">
      <w:pPr>
        <w:shd w:val="clear" w:color="auto" w:fill="FFFFFF"/>
        <w:spacing w:after="0" w:line="240" w:lineRule="auto"/>
        <w:jc w:val="both"/>
        <w:rPr>
          <w:rFonts w:ascii="Times New Roman" w:hAnsi="Times New Roman" w:cs="Times New Roman"/>
          <w:sz w:val="24"/>
          <w:lang w:val="ro-RO"/>
        </w:rPr>
      </w:pPr>
      <w:r w:rsidRPr="009C5F11">
        <w:rPr>
          <w:rFonts w:ascii="Times New Roman" w:hAnsi="Times New Roman" w:cs="Times New Roman"/>
          <w:sz w:val="24"/>
          <w:lang w:val="ro-RO"/>
        </w:rPr>
        <w:br w:type="page"/>
      </w:r>
    </w:p>
    <w:p w14:paraId="6C86E9B3" w14:textId="77777777" w:rsidR="00BA083C" w:rsidRPr="009C5F11" w:rsidRDefault="00BA083C" w:rsidP="00BA083C">
      <w:pPr>
        <w:pStyle w:val="Legend"/>
        <w:keepNext/>
        <w:jc w:val="center"/>
        <w:rPr>
          <w:rFonts w:ascii="Times New Roman" w:hAnsi="Times New Roman" w:cs="Times New Roman"/>
          <w:b/>
          <w:sz w:val="22"/>
          <w:lang w:val="ro-RO"/>
        </w:rPr>
      </w:pPr>
      <w:bookmarkStart w:id="216" w:name="_Toc447724259"/>
      <w:bookmarkStart w:id="217" w:name="_Toc274298548"/>
      <w:bookmarkStart w:id="218" w:name="_Toc274304043"/>
      <w:r w:rsidRPr="009C5F11">
        <w:rPr>
          <w:rFonts w:ascii="Times New Roman" w:hAnsi="Times New Roman" w:cs="Times New Roman"/>
          <w:b/>
          <w:sz w:val="22"/>
          <w:lang w:val="ro-RO"/>
        </w:rPr>
        <w:lastRenderedPageBreak/>
        <w:t xml:space="preserve">Tabelul E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Table_E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4</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Elaborarea cadrului normativ şi crearea sistemului de monitorizare pentru sectorul termoenergetic</w:t>
      </w:r>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3206FBBF" w14:textId="77777777" w:rsidTr="00F4274E">
        <w:trPr>
          <w:trHeight w:val="67"/>
        </w:trPr>
        <w:tc>
          <w:tcPr>
            <w:tcW w:w="1756" w:type="pct"/>
            <w:gridSpan w:val="2"/>
          </w:tcPr>
          <w:p w14:paraId="0EC06128"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055BE904"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Elaborarea cadrului normativ şi crearea sistemului de monitorizare pentru sectorul termoenergetic</w:t>
            </w:r>
          </w:p>
        </w:tc>
      </w:tr>
      <w:tr w:rsidR="00BA083C" w:rsidRPr="009C5F11" w14:paraId="7C88EFCF" w14:textId="77777777" w:rsidTr="00F4274E">
        <w:trPr>
          <w:trHeight w:val="74"/>
        </w:trPr>
        <w:tc>
          <w:tcPr>
            <w:tcW w:w="1756" w:type="pct"/>
            <w:gridSpan w:val="2"/>
          </w:tcPr>
          <w:p w14:paraId="50F49831"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527F666B" w14:textId="77777777" w:rsidR="00BA083C" w:rsidRPr="009C5F11" w:rsidRDefault="00BA083C" w:rsidP="00F4274E">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E4</w:t>
            </w:r>
          </w:p>
        </w:tc>
      </w:tr>
      <w:tr w:rsidR="00BA083C" w:rsidRPr="009C5F11" w14:paraId="2C69F307" w14:textId="77777777" w:rsidTr="00F4274E">
        <w:trPr>
          <w:trHeight w:val="107"/>
        </w:trPr>
        <w:tc>
          <w:tcPr>
            <w:tcW w:w="743" w:type="pct"/>
            <w:vMerge w:val="restart"/>
          </w:tcPr>
          <w:p w14:paraId="2C64C95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318CF33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075C1C7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73BCC8A2"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Codurile construcţiilor şi punerea în aplicare</w:t>
            </w:r>
          </w:p>
        </w:tc>
      </w:tr>
      <w:tr w:rsidR="00BA083C" w:rsidRPr="009C5F11" w14:paraId="70912934" w14:textId="77777777" w:rsidTr="00F4274E">
        <w:trPr>
          <w:trHeight w:val="476"/>
        </w:trPr>
        <w:tc>
          <w:tcPr>
            <w:tcW w:w="743" w:type="pct"/>
            <w:vMerge/>
          </w:tcPr>
          <w:p w14:paraId="779D16E7"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084811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565871C5"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Începută: ianuarie 2013. </w:t>
            </w:r>
          </w:p>
          <w:p w14:paraId="1A11716E"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decembrie 2018.</w:t>
            </w:r>
          </w:p>
          <w:p w14:paraId="2A393ACA"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preluată din PNAEE 2013-2015 şi continuată în PNAEE 2016-2018.</w:t>
            </w:r>
          </w:p>
        </w:tc>
      </w:tr>
      <w:tr w:rsidR="00BA083C" w:rsidRPr="009C5F11" w14:paraId="0AF48510" w14:textId="77777777" w:rsidTr="00F4274E">
        <w:trPr>
          <w:trHeight w:val="107"/>
        </w:trPr>
        <w:tc>
          <w:tcPr>
            <w:tcW w:w="743" w:type="pct"/>
            <w:vMerge/>
          </w:tcPr>
          <w:p w14:paraId="0BE6973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844056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549013E3"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Măsura prevede: </w:t>
            </w:r>
          </w:p>
          <w:p w14:paraId="3657D2A4"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 crearea cadrului regulatoriu pentru sectorul termoenergetic, </w:t>
            </w:r>
          </w:p>
          <w:p w14:paraId="6238BBFC" w14:textId="77777777" w:rsidR="00BA083C" w:rsidRPr="009C5F11" w:rsidRDefault="00BA083C" w:rsidP="00757136">
            <w:pPr>
              <w:tabs>
                <w:tab w:val="left" w:pos="1440"/>
                <w:tab w:val="left" w:pos="5040"/>
                <w:tab w:val="right" w:pos="8504"/>
              </w:tabs>
              <w:spacing w:after="0" w:line="240" w:lineRule="auto"/>
              <w:ind w:left="203" w:hanging="203"/>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promovarea cogenerării eficiente în funcţie de cererea de căldură utilă;</w:t>
            </w:r>
          </w:p>
          <w:p w14:paraId="3590ADA8"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 transpunerea Directivei privind cogenerarea, </w:t>
            </w:r>
          </w:p>
          <w:p w14:paraId="0A62CA38"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elaborarea studiilor, metodologiilor, crearea bazelor de date pentru monitorizarea consumului de energie termică şi planificarea acestuia.</w:t>
            </w:r>
          </w:p>
        </w:tc>
      </w:tr>
      <w:tr w:rsidR="00BA083C" w:rsidRPr="009C5F11" w14:paraId="246D727F" w14:textId="77777777" w:rsidTr="00F4274E">
        <w:trPr>
          <w:trHeight w:val="74"/>
        </w:trPr>
        <w:tc>
          <w:tcPr>
            <w:tcW w:w="743" w:type="pct"/>
            <w:vMerge/>
          </w:tcPr>
          <w:p w14:paraId="61A16B8F"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8A8485C"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3AECAB1E"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Consumul de energie termică </w:t>
            </w:r>
          </w:p>
        </w:tc>
      </w:tr>
      <w:tr w:rsidR="00BA083C" w:rsidRPr="009C5F11" w14:paraId="2705372C" w14:textId="77777777" w:rsidTr="00F4274E">
        <w:trPr>
          <w:trHeight w:val="74"/>
        </w:trPr>
        <w:tc>
          <w:tcPr>
            <w:tcW w:w="743" w:type="pct"/>
            <w:vMerge/>
          </w:tcPr>
          <w:p w14:paraId="15CE286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0F024E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37C54C19"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Producătorii, transportatorii, distribuitorii şi utilizatorii de căldură</w:t>
            </w:r>
          </w:p>
        </w:tc>
      </w:tr>
      <w:tr w:rsidR="00BA083C" w:rsidRPr="009C5F11" w14:paraId="0E38B471" w14:textId="77777777" w:rsidTr="00F4274E">
        <w:trPr>
          <w:trHeight w:val="75"/>
        </w:trPr>
        <w:tc>
          <w:tcPr>
            <w:tcW w:w="743" w:type="pct"/>
            <w:vMerge/>
          </w:tcPr>
          <w:p w14:paraId="0E224F8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551BEE4"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3C150A4B"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BA083C" w:rsidRPr="009C5F11" w14:paraId="798894FD" w14:textId="77777777" w:rsidTr="00F4274E">
        <w:trPr>
          <w:trHeight w:val="476"/>
        </w:trPr>
        <w:tc>
          <w:tcPr>
            <w:tcW w:w="743" w:type="pct"/>
            <w:vMerge w:val="restart"/>
          </w:tcPr>
          <w:p w14:paraId="306F1AAF"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315F77E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tcPr>
          <w:p w14:paraId="36889C76"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Acţiunile realizate:</w:t>
            </w:r>
          </w:p>
          <w:p w14:paraId="31E71AC8" w14:textId="77777777" w:rsidR="00BA083C" w:rsidRPr="009C5F11" w:rsidRDefault="00BA083C" w:rsidP="00334F3B">
            <w:pPr>
              <w:numPr>
                <w:ilvl w:val="0"/>
                <w:numId w:val="127"/>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A fost adoptată Legea cu privire la energia termică şi promovarea cogenerării: Legea nr. 92 din 29.05.2014; </w:t>
            </w:r>
          </w:p>
          <w:p w14:paraId="09FB422D" w14:textId="77777777" w:rsidR="00BA083C" w:rsidRPr="009C5F11" w:rsidRDefault="00BA083C" w:rsidP="00334F3B">
            <w:pPr>
              <w:numPr>
                <w:ilvl w:val="0"/>
                <w:numId w:val="127"/>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 fost elaborat cadrul normativ secundar privind cogenerarea; proiectul de Hotărâre a Guvernului pentru aprobarea valorilor de referinţă armonizate pentru generarea separată a energiei electrice şi termice a fost prezentat Guvernului spre aprobare;</w:t>
            </w:r>
          </w:p>
          <w:p w14:paraId="072671D2"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ACŢIUNI</w:t>
            </w:r>
          </w:p>
          <w:p w14:paraId="68E944FA"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Cadrul legal va stabili condiţii favorabile pentru dezvoltarea sectorului termoenergetic. În acest sens se propun următoarele acţiuni:</w:t>
            </w:r>
          </w:p>
          <w:p w14:paraId="580813CB" w14:textId="77777777" w:rsidR="00BA083C" w:rsidRPr="009C5F11" w:rsidRDefault="00BA083C" w:rsidP="00334F3B">
            <w:pPr>
              <w:numPr>
                <w:ilvl w:val="0"/>
                <w:numId w:val="129"/>
              </w:numPr>
              <w:tabs>
                <w:tab w:val="left" w:pos="702"/>
                <w:tab w:val="left" w:pos="5040"/>
                <w:tab w:val="right" w:pos="8504"/>
              </w:tabs>
              <w:spacing w:before="40" w:after="0" w:line="240" w:lineRule="auto"/>
              <w:ind w:left="702" w:hanging="450"/>
              <w:jc w:val="both"/>
              <w:rPr>
                <w:rFonts w:ascii="Times New Roman" w:hAnsi="Times New Roman" w:cs="Times New Roman"/>
                <w:i/>
                <w:sz w:val="18"/>
                <w:szCs w:val="14"/>
                <w:lang w:val="ro-RO" w:eastAsia="de-DE"/>
              </w:rPr>
            </w:pPr>
            <w:r w:rsidRPr="009C5F11">
              <w:rPr>
                <w:rFonts w:ascii="Times New Roman" w:hAnsi="Times New Roman" w:cs="Times New Roman"/>
                <w:sz w:val="18"/>
                <w:szCs w:val="14"/>
                <w:lang w:val="ro-RO" w:eastAsia="de-DE"/>
              </w:rPr>
              <w:t xml:space="preserve">crearea unei baze de date şi a unui atlas pentru a indica potenţialul de generare a energiei termice, inclusiv din surse regenerabile de energie, şi capacităţile ce urmează a fi instalate în teritorii; </w:t>
            </w:r>
            <w:r w:rsidRPr="009C5F11">
              <w:rPr>
                <w:rFonts w:ascii="Times New Roman" w:hAnsi="Times New Roman" w:cs="Times New Roman"/>
                <w:i/>
                <w:sz w:val="18"/>
                <w:szCs w:val="14"/>
                <w:lang w:val="ro-RO" w:eastAsia="de-DE"/>
              </w:rPr>
              <w:t>actualmente în proces de coordonare;</w:t>
            </w:r>
          </w:p>
          <w:p w14:paraId="48EC3EF1" w14:textId="77777777" w:rsidR="00BA083C" w:rsidRPr="009C5F11" w:rsidRDefault="00BA083C" w:rsidP="00334F3B">
            <w:pPr>
              <w:numPr>
                <w:ilvl w:val="0"/>
                <w:numId w:val="129"/>
              </w:numPr>
              <w:tabs>
                <w:tab w:val="left" w:pos="702"/>
                <w:tab w:val="left" w:pos="5040"/>
                <w:tab w:val="right" w:pos="8504"/>
              </w:tabs>
              <w:spacing w:before="40" w:after="0" w:line="240" w:lineRule="auto"/>
              <w:ind w:left="702" w:hanging="450"/>
              <w:jc w:val="both"/>
              <w:rPr>
                <w:rFonts w:ascii="Times New Roman" w:hAnsi="Times New Roman" w:cs="Times New Roman"/>
                <w:i/>
                <w:sz w:val="18"/>
                <w:szCs w:val="14"/>
                <w:lang w:val="ro-RO" w:eastAsia="de-DE"/>
              </w:rPr>
            </w:pPr>
            <w:r w:rsidRPr="009C5F11">
              <w:rPr>
                <w:rFonts w:ascii="Times New Roman" w:hAnsi="Times New Roman" w:cs="Times New Roman"/>
                <w:sz w:val="18"/>
                <w:szCs w:val="14"/>
                <w:lang w:val="ro-RO" w:eastAsia="de-DE"/>
              </w:rPr>
              <w:t>actualizarea Hotărârii Guvernului RM nr. 189 din 20 februarie 2003 pentru aprobarea Concepţiei privind renovarea sistemului republican de alimentare cu căldură</w:t>
            </w:r>
            <w:r w:rsidRPr="009C5F11">
              <w:rPr>
                <w:rFonts w:ascii="Times New Roman" w:hAnsi="Times New Roman" w:cs="Times New Roman"/>
                <w:i/>
                <w:sz w:val="18"/>
                <w:szCs w:val="14"/>
                <w:lang w:val="ro-RO" w:eastAsia="de-DE"/>
              </w:rPr>
              <w:t>; nu există informaţii despre progresul realizat în revizuirea Concepţiei privind renovarea sistemului republican de alimentare cu căldură;</w:t>
            </w:r>
          </w:p>
          <w:p w14:paraId="2A37887B" w14:textId="77777777" w:rsidR="00BA083C" w:rsidRPr="009C5F11" w:rsidRDefault="00BA083C" w:rsidP="00334F3B">
            <w:pPr>
              <w:numPr>
                <w:ilvl w:val="0"/>
                <w:numId w:val="129"/>
              </w:numPr>
              <w:tabs>
                <w:tab w:val="left" w:pos="702"/>
                <w:tab w:val="left" w:pos="5040"/>
                <w:tab w:val="right" w:pos="8504"/>
              </w:tabs>
              <w:spacing w:before="40" w:after="0" w:line="240" w:lineRule="auto"/>
              <w:ind w:left="702" w:hanging="450"/>
              <w:jc w:val="both"/>
              <w:rPr>
                <w:rFonts w:ascii="Times New Roman" w:hAnsi="Times New Roman" w:cs="Times New Roman"/>
                <w:i/>
                <w:sz w:val="18"/>
                <w:szCs w:val="14"/>
                <w:lang w:val="ro-RO" w:eastAsia="de-DE"/>
              </w:rPr>
            </w:pPr>
            <w:r w:rsidRPr="009C5F11">
              <w:rPr>
                <w:rFonts w:ascii="Times New Roman" w:hAnsi="Times New Roman" w:cs="Times New Roman"/>
                <w:sz w:val="18"/>
                <w:szCs w:val="14"/>
                <w:lang w:val="ro-RO" w:eastAsia="de-DE"/>
              </w:rPr>
              <w:t xml:space="preserve">elaborarea şi aprobarea planurilor de producere a energiei termice în regim de cogenerare. La situaţia din 2003, au fost elaborate 36 de astfel de planuri, care au nevoie de actualizare/modernizare; (aceste măsuri nu sunt incluse în versiunea în limba română a PNAEE 2013-2015); </w:t>
            </w:r>
            <w:r w:rsidRPr="009C5F11">
              <w:rPr>
                <w:rFonts w:ascii="Times New Roman" w:hAnsi="Times New Roman" w:cs="Times New Roman"/>
                <w:i/>
                <w:sz w:val="18"/>
                <w:szCs w:val="14"/>
                <w:lang w:val="ro-RO" w:eastAsia="de-DE"/>
              </w:rPr>
              <w:t>deocamdată, nu există informaţii referitoare la existenţa unor astfel de planuri. Acţiunea este marcată în verde, deoarece nu se conţine în PNAEE-2013-2015, versiunea în limba română. Cele 36 de planuri menţionate au făcut parte din HG RM nr. 1059 din 29.08.2003 despre aprobarea Programului naţional de renovare şi descentralizare a sistemelor de alimentare cu căldură a localităţilor din Republica Moldova, care a fost ulterior abrogată prin HG RM nr. 1103 din 29.09.08;</w:t>
            </w:r>
          </w:p>
          <w:p w14:paraId="2F7BA3DC" w14:textId="77777777" w:rsidR="00BA083C" w:rsidRPr="009C5F11" w:rsidRDefault="00BA083C" w:rsidP="00334F3B">
            <w:pPr>
              <w:numPr>
                <w:ilvl w:val="0"/>
                <w:numId w:val="129"/>
              </w:numPr>
              <w:tabs>
                <w:tab w:val="left" w:pos="702"/>
                <w:tab w:val="left" w:pos="5040"/>
                <w:tab w:val="right" w:pos="8504"/>
              </w:tabs>
              <w:spacing w:before="40" w:after="0" w:line="240" w:lineRule="auto"/>
              <w:ind w:left="702" w:hanging="45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elaborarea unei baze de date pentru a monitoriza consumul de căldură şi estima investiţiile necesare pentru sectorul termoenergetic; </w:t>
            </w:r>
            <w:r w:rsidRPr="009C5F11">
              <w:rPr>
                <w:rFonts w:ascii="Times New Roman" w:hAnsi="Times New Roman" w:cs="Times New Roman"/>
                <w:i/>
                <w:sz w:val="18"/>
                <w:szCs w:val="14"/>
                <w:lang w:val="ro-RO" w:eastAsia="de-DE"/>
              </w:rPr>
              <w:t>deocamdată, nu sunt disponibile informaţii în acest sens;</w:t>
            </w:r>
          </w:p>
          <w:p w14:paraId="354A0C35" w14:textId="77777777" w:rsidR="00BA083C" w:rsidRPr="009C5F11" w:rsidRDefault="00BA083C" w:rsidP="00334F3B">
            <w:pPr>
              <w:numPr>
                <w:ilvl w:val="0"/>
                <w:numId w:val="129"/>
              </w:numPr>
              <w:tabs>
                <w:tab w:val="left" w:pos="702"/>
                <w:tab w:val="left" w:pos="5040"/>
                <w:tab w:val="right" w:pos="8504"/>
              </w:tabs>
              <w:spacing w:after="0" w:line="240" w:lineRule="auto"/>
              <w:ind w:left="702" w:hanging="45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introducerea schemelor de suport pentru energia produsă în regim de cogenerare; </w:t>
            </w:r>
            <w:r w:rsidRPr="009C5F11">
              <w:rPr>
                <w:rFonts w:ascii="Times New Roman" w:hAnsi="Times New Roman" w:cs="Times New Roman"/>
                <w:i/>
                <w:sz w:val="18"/>
                <w:szCs w:val="14"/>
                <w:lang w:val="ro-RO" w:eastAsia="de-DE"/>
              </w:rPr>
              <w:t>planificată pentru trimestrul III, 2016.</w:t>
            </w:r>
          </w:p>
          <w:p w14:paraId="74C32C8F" w14:textId="77777777" w:rsidR="00BA083C" w:rsidRPr="009C5F11" w:rsidRDefault="00BA083C" w:rsidP="00F4274E">
            <w:pPr>
              <w:tabs>
                <w:tab w:val="left" w:pos="124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Punerea în aplicare a noii legi presupune:</w:t>
            </w:r>
          </w:p>
          <w:p w14:paraId="7E916BF2" w14:textId="77777777" w:rsidR="00BA083C" w:rsidRPr="009C5F11" w:rsidRDefault="00BA083C" w:rsidP="00334F3B">
            <w:pPr>
              <w:numPr>
                <w:ilvl w:val="0"/>
                <w:numId w:val="128"/>
              </w:numPr>
              <w:tabs>
                <w:tab w:val="left" w:pos="702"/>
                <w:tab w:val="left" w:pos="5040"/>
                <w:tab w:val="right" w:pos="8504"/>
              </w:tabs>
              <w:spacing w:before="40" w:after="0" w:line="240" w:lineRule="auto"/>
              <w:ind w:left="702" w:hanging="45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modificarea Regulamentului cu privire la furnizarea şi utilizarea energiei termice, aprobat prin Hotărârea Guvernului RM nr. 434 din 9 aprilie 1998 (trimestrul II 2013);</w:t>
            </w:r>
          </w:p>
          <w:p w14:paraId="2BE728D0" w14:textId="77777777" w:rsidR="00BA083C" w:rsidRPr="009C5F11" w:rsidRDefault="00BA083C" w:rsidP="00334F3B">
            <w:pPr>
              <w:numPr>
                <w:ilvl w:val="0"/>
                <w:numId w:val="128"/>
              </w:numPr>
              <w:tabs>
                <w:tab w:val="left" w:pos="702"/>
                <w:tab w:val="left" w:pos="5040"/>
                <w:tab w:val="right" w:pos="8504"/>
              </w:tabs>
              <w:spacing w:before="40" w:after="0" w:line="240" w:lineRule="auto"/>
              <w:ind w:left="702" w:hanging="45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modificarea Hotărârii Guvernului RM nr. 267 din 12 martie 2003 cu privire la optimizarea procedurii de instalare a cazanelor cu gaze în </w:t>
            </w:r>
            <w:r w:rsidRPr="009C5F11">
              <w:rPr>
                <w:rFonts w:ascii="Times New Roman" w:hAnsi="Times New Roman" w:cs="Times New Roman"/>
                <w:sz w:val="18"/>
                <w:szCs w:val="14"/>
                <w:lang w:val="ro-RO" w:eastAsia="de-DE"/>
              </w:rPr>
              <w:lastRenderedPageBreak/>
              <w:t xml:space="preserve">apartamente, case de locuit individuale şi la obiectele de menire socială (trimestrul II 2013); </w:t>
            </w:r>
          </w:p>
          <w:p w14:paraId="5E157DD1" w14:textId="77777777" w:rsidR="00BA083C" w:rsidRPr="009C5F11" w:rsidRDefault="00BA083C" w:rsidP="00334F3B">
            <w:pPr>
              <w:numPr>
                <w:ilvl w:val="0"/>
                <w:numId w:val="128"/>
              </w:numPr>
              <w:tabs>
                <w:tab w:val="left" w:pos="702"/>
                <w:tab w:val="left" w:pos="5040"/>
                <w:tab w:val="right" w:pos="8504"/>
              </w:tabs>
              <w:spacing w:before="40" w:after="0" w:line="240" w:lineRule="auto"/>
              <w:ind w:left="702" w:hanging="45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abrogarea Hotărârii Guvernului RM nr. 1224 din 21 decembrie 1998 privind aprobarea Regulilor provizorii de exploatare a locuinţelor, întreţinere a blocurilor locative şi teritoriilor aferente în Republica Moldova (trimestrul II 2013).</w:t>
            </w:r>
          </w:p>
        </w:tc>
      </w:tr>
      <w:tr w:rsidR="00BA083C" w:rsidRPr="009C5F11" w14:paraId="52C8052F" w14:textId="77777777" w:rsidTr="00F4274E">
        <w:trPr>
          <w:trHeight w:val="278"/>
        </w:trPr>
        <w:tc>
          <w:tcPr>
            <w:tcW w:w="743" w:type="pct"/>
            <w:vMerge/>
          </w:tcPr>
          <w:p w14:paraId="07C8947E"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4F54C8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418513E8"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Strategia sectorială de cheltuieli în domeniul energetic, (Programul “Dezvoltarea sectorului energetic”, subprogramul “Politici şi management în sectorul energetic”) </w:t>
            </w:r>
          </w:p>
          <w:p w14:paraId="29598EB6" w14:textId="77777777" w:rsidR="00BA083C" w:rsidRPr="009C5F11" w:rsidRDefault="00BA083C" w:rsidP="00F4274E">
            <w:pPr>
              <w:tabs>
                <w:tab w:val="left" w:pos="702"/>
                <w:tab w:val="left" w:pos="5040"/>
                <w:tab w:val="right" w:pos="8504"/>
              </w:tabs>
              <w:spacing w:before="40"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2016-2018 </w:t>
            </w:r>
          </w:p>
          <w:p w14:paraId="6BC4B761" w14:textId="77777777" w:rsidR="00BA083C" w:rsidRPr="009C5F11" w:rsidRDefault="00BA083C" w:rsidP="00F4274E">
            <w:pPr>
              <w:tabs>
                <w:tab w:val="left" w:pos="702"/>
                <w:tab w:val="left" w:pos="5040"/>
                <w:tab w:val="right" w:pos="8504"/>
              </w:tabs>
              <w:spacing w:before="40" w:after="0" w:line="240" w:lineRule="auto"/>
              <w:ind w:firstLine="34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t>2016: 19,426.2 mii lei;</w:t>
            </w:r>
          </w:p>
          <w:p w14:paraId="74BBE737" w14:textId="77777777" w:rsidR="00BA083C" w:rsidRPr="009C5F11" w:rsidRDefault="00BA083C" w:rsidP="00F4274E">
            <w:pPr>
              <w:tabs>
                <w:tab w:val="left" w:pos="702"/>
                <w:tab w:val="left" w:pos="5040"/>
                <w:tab w:val="right" w:pos="8504"/>
              </w:tabs>
              <w:spacing w:after="0" w:line="240" w:lineRule="auto"/>
              <w:ind w:firstLine="34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ab/>
              <w:t>2017: 24,946.6 mii lei;</w:t>
            </w:r>
          </w:p>
          <w:p w14:paraId="67A2273C" w14:textId="77777777" w:rsidR="00BA083C" w:rsidRPr="009C5F11" w:rsidRDefault="00BA083C" w:rsidP="00334F3B">
            <w:pPr>
              <w:numPr>
                <w:ilvl w:val="0"/>
                <w:numId w:val="122"/>
              </w:numPr>
              <w:tabs>
                <w:tab w:val="left" w:pos="70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 25,862.7 mii lei.</w:t>
            </w:r>
          </w:p>
        </w:tc>
      </w:tr>
      <w:tr w:rsidR="00BA083C" w:rsidRPr="009C5F11" w14:paraId="7DEAA550" w14:textId="77777777" w:rsidTr="00F4274E">
        <w:trPr>
          <w:trHeight w:val="68"/>
        </w:trPr>
        <w:tc>
          <w:tcPr>
            <w:tcW w:w="743" w:type="pct"/>
            <w:vMerge/>
          </w:tcPr>
          <w:p w14:paraId="5E7BB47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AC8062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76A047AD"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MDRC, ME, AEE</w:t>
            </w:r>
          </w:p>
        </w:tc>
      </w:tr>
      <w:tr w:rsidR="00BA083C" w:rsidRPr="009C5F11" w14:paraId="15A23429" w14:textId="77777777" w:rsidTr="00F4274E">
        <w:trPr>
          <w:trHeight w:val="67"/>
        </w:trPr>
        <w:tc>
          <w:tcPr>
            <w:tcW w:w="743" w:type="pct"/>
            <w:vMerge/>
          </w:tcPr>
          <w:p w14:paraId="2DD4FCC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EF31F5C"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3006F2ED"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34E48039" w14:textId="77777777" w:rsidTr="00F4274E">
        <w:trPr>
          <w:trHeight w:val="233"/>
        </w:trPr>
        <w:tc>
          <w:tcPr>
            <w:tcW w:w="743" w:type="pct"/>
            <w:vMerge w:val="restart"/>
          </w:tcPr>
          <w:p w14:paraId="0AB7B60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44CE052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2EA96DC2"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757136" w:rsidRPr="009C5F11">
              <w:rPr>
                <w:rFonts w:ascii="Times New Roman" w:hAnsi="Times New Roman" w:cs="Times New Roman"/>
                <w:sz w:val="18"/>
                <w:szCs w:val="14"/>
                <w:lang w:val="ro-RO" w:eastAsia="de-DE"/>
              </w:rPr>
              <w:t>/A</w:t>
            </w:r>
          </w:p>
        </w:tc>
      </w:tr>
      <w:tr w:rsidR="00BA083C" w:rsidRPr="009C5F11" w14:paraId="686F87BC" w14:textId="77777777" w:rsidTr="00F4274E">
        <w:trPr>
          <w:trHeight w:val="296"/>
        </w:trPr>
        <w:tc>
          <w:tcPr>
            <w:tcW w:w="743" w:type="pct"/>
            <w:vMerge/>
          </w:tcPr>
          <w:p w14:paraId="3D17CEE4"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568E5E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3448D065"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r w:rsidRPr="009C5F11">
              <w:rPr>
                <w:rFonts w:ascii="Times New Roman" w:hAnsi="Times New Roman" w:cs="Times New Roman"/>
                <w:sz w:val="18"/>
                <w:szCs w:val="14"/>
                <w:lang w:val="ro-RO" w:eastAsia="de-DE"/>
              </w:rPr>
              <w:t>N</w:t>
            </w:r>
            <w:r w:rsidR="00757136" w:rsidRPr="009C5F11">
              <w:rPr>
                <w:rFonts w:ascii="Times New Roman" w:hAnsi="Times New Roman" w:cs="Times New Roman"/>
                <w:sz w:val="18"/>
                <w:szCs w:val="14"/>
                <w:lang w:val="ro-RO" w:eastAsia="de-DE"/>
              </w:rPr>
              <w:t>/A</w:t>
            </w:r>
          </w:p>
        </w:tc>
      </w:tr>
      <w:tr w:rsidR="00BA083C" w:rsidRPr="009C5F11" w14:paraId="31BAEA1D" w14:textId="77777777" w:rsidTr="00F4274E">
        <w:trPr>
          <w:trHeight w:val="188"/>
        </w:trPr>
        <w:tc>
          <w:tcPr>
            <w:tcW w:w="743" w:type="pct"/>
            <w:vMerge/>
          </w:tcPr>
          <w:p w14:paraId="19B7175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007D2A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67292D47" w14:textId="77777777" w:rsidR="00BA083C" w:rsidRPr="009C5F11" w:rsidRDefault="00BA083C">
            <w:pPr>
              <w:keepNext/>
              <w:keepLines/>
              <w:tabs>
                <w:tab w:val="left" w:pos="1440"/>
                <w:tab w:val="left" w:pos="5040"/>
                <w:tab w:val="right" w:pos="8504"/>
              </w:tabs>
              <w:spacing w:after="0" w:line="240" w:lineRule="auto"/>
              <w:jc w:val="both"/>
              <w:outlineLvl w:val="3"/>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757136" w:rsidRPr="009C5F11">
              <w:rPr>
                <w:rFonts w:ascii="Times New Roman" w:hAnsi="Times New Roman" w:cs="Times New Roman"/>
                <w:sz w:val="18"/>
                <w:szCs w:val="14"/>
                <w:lang w:val="ro-RO" w:eastAsia="de-DE"/>
              </w:rPr>
              <w:t>/A</w:t>
            </w:r>
          </w:p>
        </w:tc>
      </w:tr>
      <w:tr w:rsidR="00BA083C" w:rsidRPr="009C5F11" w14:paraId="76D372E4" w14:textId="77777777" w:rsidTr="00F4274E">
        <w:trPr>
          <w:trHeight w:val="476"/>
        </w:trPr>
        <w:tc>
          <w:tcPr>
            <w:tcW w:w="743" w:type="pct"/>
            <w:vMerge/>
          </w:tcPr>
          <w:p w14:paraId="6AB434E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E5E37A5"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tcPr>
          <w:p w14:paraId="1F89717C"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757136" w:rsidRPr="009C5F11">
              <w:rPr>
                <w:rFonts w:ascii="Times New Roman" w:hAnsi="Times New Roman" w:cs="Times New Roman"/>
                <w:sz w:val="18"/>
                <w:szCs w:val="14"/>
                <w:lang w:val="ro-RO" w:eastAsia="de-DE"/>
              </w:rPr>
              <w:t>/A</w:t>
            </w:r>
          </w:p>
        </w:tc>
      </w:tr>
      <w:tr w:rsidR="00BA083C" w:rsidRPr="009C5F11" w14:paraId="30DCA7AD" w14:textId="77777777" w:rsidTr="00F4274E">
        <w:trPr>
          <w:trHeight w:val="74"/>
        </w:trPr>
        <w:tc>
          <w:tcPr>
            <w:tcW w:w="743" w:type="pct"/>
            <w:vMerge/>
          </w:tcPr>
          <w:p w14:paraId="28EB94A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0B2C65F" w14:textId="77777777" w:rsidR="00BA083C" w:rsidRPr="009C5F11" w:rsidRDefault="00757136"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1571267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p>
        </w:tc>
      </w:tr>
      <w:tr w:rsidR="00BA083C" w:rsidRPr="009C5F11" w14:paraId="405DAD7E" w14:textId="77777777" w:rsidTr="00F4274E">
        <w:trPr>
          <w:trHeight w:val="278"/>
        </w:trPr>
        <w:tc>
          <w:tcPr>
            <w:tcW w:w="743" w:type="pct"/>
            <w:vMerge/>
          </w:tcPr>
          <w:p w14:paraId="1C195D89"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426016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11107B7A" w14:textId="77777777" w:rsidR="00BA083C" w:rsidRPr="009C5F11" w:rsidRDefault="00BA083C" w:rsidP="00F4274E">
            <w:pPr>
              <w:tabs>
                <w:tab w:val="left" w:pos="1440"/>
                <w:tab w:val="left" w:pos="5040"/>
              </w:tabs>
              <w:spacing w:after="0" w:line="240" w:lineRule="auto"/>
              <w:rPr>
                <w:rFonts w:ascii="Times New Roman" w:hAnsi="Times New Roman" w:cs="Times New Roman"/>
                <w:i/>
                <w:sz w:val="18"/>
                <w:szCs w:val="14"/>
                <w:lang w:val="ro-RO"/>
              </w:rPr>
            </w:pPr>
          </w:p>
        </w:tc>
      </w:tr>
    </w:tbl>
    <w:p w14:paraId="64D5A120" w14:textId="77777777" w:rsidR="00BA083C" w:rsidRPr="009C5F11" w:rsidRDefault="00BA083C" w:rsidP="00BA083C">
      <w:pPr>
        <w:keepNext/>
        <w:spacing w:after="0"/>
        <w:ind w:right="-540"/>
        <w:rPr>
          <w:rFonts w:ascii="Times New Roman" w:hAnsi="Times New Roman" w:cs="Times New Roman"/>
          <w:b/>
          <w:bCs/>
          <w:sz w:val="24"/>
          <w:lang w:val="ro-RO"/>
        </w:rPr>
      </w:pPr>
      <w:r w:rsidRPr="009C5F11">
        <w:rPr>
          <w:rFonts w:ascii="Times New Roman" w:hAnsi="Times New Roman" w:cs="Times New Roman"/>
          <w:b/>
          <w:bCs/>
          <w:sz w:val="24"/>
          <w:lang w:val="ro-RO"/>
        </w:rPr>
        <w:br w:type="page"/>
      </w:r>
    </w:p>
    <w:p w14:paraId="7293271B" w14:textId="77777777" w:rsidR="00BA083C" w:rsidRPr="009C5F11" w:rsidRDefault="00BA083C" w:rsidP="00BA083C">
      <w:pPr>
        <w:pStyle w:val="Legend"/>
        <w:keepNext/>
        <w:jc w:val="center"/>
        <w:rPr>
          <w:rFonts w:ascii="Times New Roman" w:hAnsi="Times New Roman" w:cs="Times New Roman"/>
          <w:b/>
          <w:sz w:val="22"/>
          <w:lang w:val="ro-RO"/>
        </w:rPr>
      </w:pPr>
      <w:bookmarkStart w:id="219" w:name="_Toc447724260"/>
      <w:r w:rsidRPr="009C5F11">
        <w:rPr>
          <w:rFonts w:ascii="Times New Roman" w:hAnsi="Times New Roman" w:cs="Times New Roman"/>
          <w:b/>
          <w:sz w:val="22"/>
          <w:lang w:val="ro-RO"/>
        </w:rPr>
        <w:lastRenderedPageBreak/>
        <w:t xml:space="preserve">Tabelul E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Table_E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5</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Programe proprii de eficienţă energetică ale sectorului termoenergetic.</w:t>
      </w:r>
      <w:bookmarkEnd w:id="2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4E8A4C7F" w14:textId="77777777" w:rsidTr="00F4274E">
        <w:trPr>
          <w:trHeight w:val="71"/>
        </w:trPr>
        <w:tc>
          <w:tcPr>
            <w:tcW w:w="1756" w:type="pct"/>
            <w:gridSpan w:val="2"/>
          </w:tcPr>
          <w:p w14:paraId="125038E3"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2AA31C88"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Programe proprii de eficienţă energetică ale sectorului termoenergetic.</w:t>
            </w:r>
          </w:p>
        </w:tc>
      </w:tr>
      <w:tr w:rsidR="00BA083C" w:rsidRPr="009C5F11" w14:paraId="730B9F71" w14:textId="77777777" w:rsidTr="00F4274E">
        <w:trPr>
          <w:trHeight w:val="287"/>
        </w:trPr>
        <w:tc>
          <w:tcPr>
            <w:tcW w:w="1756" w:type="pct"/>
            <w:gridSpan w:val="2"/>
          </w:tcPr>
          <w:p w14:paraId="2AA57BBB"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29887560" w14:textId="77777777" w:rsidR="00BA083C" w:rsidRPr="009C5F11" w:rsidRDefault="00BA083C" w:rsidP="00F4274E">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E5</w:t>
            </w:r>
          </w:p>
        </w:tc>
      </w:tr>
      <w:tr w:rsidR="00BA083C" w:rsidRPr="009C5F11" w14:paraId="2D2BC572" w14:textId="77777777" w:rsidTr="00F4274E">
        <w:trPr>
          <w:trHeight w:val="107"/>
        </w:trPr>
        <w:tc>
          <w:tcPr>
            <w:tcW w:w="743" w:type="pct"/>
            <w:vMerge w:val="restart"/>
          </w:tcPr>
          <w:p w14:paraId="1FF09B67"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6C8680E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7F0B15F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6757C4F4"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Proiecte investiţionale</w:t>
            </w:r>
          </w:p>
        </w:tc>
      </w:tr>
      <w:tr w:rsidR="00BA083C" w:rsidRPr="009C5F11" w14:paraId="2057BF03" w14:textId="77777777" w:rsidTr="00F4274E">
        <w:trPr>
          <w:trHeight w:val="476"/>
        </w:trPr>
        <w:tc>
          <w:tcPr>
            <w:tcW w:w="743" w:type="pct"/>
            <w:vMerge/>
          </w:tcPr>
          <w:p w14:paraId="0342631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4E0E19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623B5571"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Începută: ianuarie 2013. </w:t>
            </w:r>
          </w:p>
          <w:p w14:paraId="1949BD00"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decembrie 2018.</w:t>
            </w:r>
          </w:p>
          <w:p w14:paraId="3CE46086" w14:textId="1F2B038F"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preluată din PNAEE 2013-2015 şi adaptată pentru incorporarea unui nou actor interesat: “Termoelectrica”</w:t>
            </w:r>
            <w:r w:rsidR="008C30D5">
              <w:rPr>
                <w:rFonts w:ascii="Times New Roman" w:hAnsi="Times New Roman" w:cs="Times New Roman"/>
                <w:sz w:val="18"/>
                <w:szCs w:val="14"/>
                <w:lang w:val="ro-RO" w:eastAsia="de-DE"/>
              </w:rPr>
              <w:t xml:space="preserve"> SA</w:t>
            </w:r>
          </w:p>
        </w:tc>
      </w:tr>
      <w:tr w:rsidR="00BA083C" w:rsidRPr="009C5F11" w14:paraId="6305B880" w14:textId="77777777" w:rsidTr="00F4274E">
        <w:trPr>
          <w:trHeight w:val="107"/>
        </w:trPr>
        <w:tc>
          <w:tcPr>
            <w:tcW w:w="743" w:type="pct"/>
            <w:vMerge/>
          </w:tcPr>
          <w:p w14:paraId="614790C2"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18944E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5A265239" w14:textId="08F55509"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Scopul acestei măsuri este de a </w:t>
            </w:r>
            <w:r w:rsidR="008C30D5">
              <w:rPr>
                <w:rFonts w:ascii="Times New Roman" w:hAnsi="Times New Roman" w:cs="Times New Roman"/>
                <w:sz w:val="18"/>
                <w:szCs w:val="14"/>
                <w:lang w:val="ro-RO" w:eastAsia="de-DE"/>
              </w:rPr>
              <w:t xml:space="preserve">favoriza </w:t>
            </w:r>
            <w:r w:rsidRPr="009C5F11">
              <w:rPr>
                <w:rFonts w:ascii="Times New Roman" w:hAnsi="Times New Roman" w:cs="Times New Roman"/>
                <w:b/>
                <w:sz w:val="18"/>
                <w:szCs w:val="14"/>
                <w:lang w:val="ro-RO" w:eastAsia="de-DE"/>
              </w:rPr>
              <w:t>optimiza</w:t>
            </w:r>
            <w:r w:rsidR="008C30D5">
              <w:rPr>
                <w:rFonts w:ascii="Times New Roman" w:hAnsi="Times New Roman" w:cs="Times New Roman"/>
                <w:b/>
                <w:sz w:val="18"/>
                <w:szCs w:val="14"/>
                <w:lang w:val="ro-RO" w:eastAsia="de-DE"/>
              </w:rPr>
              <w:t>rea producerii şi distribuţiei</w:t>
            </w:r>
            <w:r w:rsidRPr="009C5F11">
              <w:rPr>
                <w:rFonts w:ascii="Times New Roman" w:hAnsi="Times New Roman" w:cs="Times New Roman"/>
                <w:b/>
                <w:sz w:val="18"/>
                <w:szCs w:val="14"/>
                <w:lang w:val="ro-RO" w:eastAsia="de-DE"/>
              </w:rPr>
              <w:t xml:space="preserve"> de energie termică</w:t>
            </w:r>
            <w:r w:rsidRPr="009C5F11">
              <w:rPr>
                <w:rFonts w:ascii="Times New Roman" w:hAnsi="Times New Roman" w:cs="Times New Roman"/>
                <w:sz w:val="18"/>
                <w:szCs w:val="14"/>
                <w:lang w:val="ro-RO" w:eastAsia="de-DE"/>
              </w:rPr>
              <w:t>. Acţiunile incluse în această măsură se referă la eficienţa energetică a sistemului de livrare centralizată a ener</w:t>
            </w:r>
            <w:r w:rsidR="008C30D5">
              <w:rPr>
                <w:rFonts w:ascii="Times New Roman" w:hAnsi="Times New Roman" w:cs="Times New Roman"/>
                <w:sz w:val="18"/>
                <w:szCs w:val="14"/>
                <w:lang w:val="ro-RO" w:eastAsia="de-DE"/>
              </w:rPr>
              <w:t>giei termice din mun. Chişinău și mun. Bălți.</w:t>
            </w:r>
          </w:p>
          <w:p w14:paraId="0B2D46E7"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Scopul acestor programe este de a </w:t>
            </w:r>
            <w:r w:rsidRPr="009C5F11">
              <w:rPr>
                <w:rFonts w:ascii="Times New Roman" w:hAnsi="Times New Roman" w:cs="Times New Roman"/>
                <w:b/>
                <w:sz w:val="18"/>
                <w:szCs w:val="14"/>
                <w:lang w:val="ro-RO" w:eastAsia="de-DE"/>
              </w:rPr>
              <w:t>mobiliza eforturile şi planifica eficacitatea sistemului termoenergetic, reduce costurile operaţionale; îmbunătăţi serviciile</w:t>
            </w:r>
            <w:r w:rsidRPr="009C5F11">
              <w:rPr>
                <w:rFonts w:ascii="Times New Roman" w:hAnsi="Times New Roman" w:cs="Times New Roman"/>
                <w:sz w:val="18"/>
                <w:szCs w:val="14"/>
                <w:lang w:val="ro-RO" w:eastAsia="de-DE"/>
              </w:rPr>
              <w:t xml:space="preserve"> etc. Principalele activităţi vor include reconstrucţia şi modernizarea staţiilor termice existente în staţii de cogenerare; înlocuirea punctelor termice existente cu puncte termice individuale; instalarea echipamentului pentru evidenţa consumului de energie termică la hotarul definit al proprietăţii etc. </w:t>
            </w:r>
          </w:p>
        </w:tc>
      </w:tr>
      <w:tr w:rsidR="00BA083C" w:rsidRPr="009C5F11" w14:paraId="7D5CAD26" w14:textId="77777777" w:rsidTr="00F4274E">
        <w:trPr>
          <w:trHeight w:val="74"/>
        </w:trPr>
        <w:tc>
          <w:tcPr>
            <w:tcW w:w="743" w:type="pct"/>
            <w:vMerge/>
          </w:tcPr>
          <w:p w14:paraId="6D83E342"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7B2563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0FA30DFF"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Consumul de energie termică</w:t>
            </w:r>
          </w:p>
        </w:tc>
      </w:tr>
      <w:tr w:rsidR="00BA083C" w:rsidRPr="009C5F11" w14:paraId="60E6DFD1" w14:textId="77777777" w:rsidTr="00F4274E">
        <w:trPr>
          <w:trHeight w:val="74"/>
        </w:trPr>
        <w:tc>
          <w:tcPr>
            <w:tcW w:w="743" w:type="pct"/>
            <w:vMerge/>
          </w:tcPr>
          <w:p w14:paraId="676B8FE0"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47B74F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2F440E57"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Consumatorii de energie termică</w:t>
            </w:r>
          </w:p>
        </w:tc>
      </w:tr>
      <w:tr w:rsidR="00BA083C" w:rsidRPr="009C5F11" w14:paraId="67A31AB8" w14:textId="77777777" w:rsidTr="00F4274E">
        <w:trPr>
          <w:trHeight w:val="116"/>
        </w:trPr>
        <w:tc>
          <w:tcPr>
            <w:tcW w:w="743" w:type="pct"/>
            <w:vMerge/>
          </w:tcPr>
          <w:p w14:paraId="1425485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5541AC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3694057B"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La nivel naţional, la nivel de municipii </w:t>
            </w:r>
          </w:p>
        </w:tc>
      </w:tr>
      <w:tr w:rsidR="00BA083C" w:rsidRPr="009C5F11" w14:paraId="2928380E" w14:textId="77777777" w:rsidTr="00F4274E">
        <w:trPr>
          <w:trHeight w:val="476"/>
        </w:trPr>
        <w:tc>
          <w:tcPr>
            <w:tcW w:w="743" w:type="pct"/>
            <w:vMerge w:val="restart"/>
          </w:tcPr>
          <w:p w14:paraId="7744F947"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2C1C235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tcPr>
          <w:p w14:paraId="4E846E89"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Starea actuală:</w:t>
            </w:r>
          </w:p>
          <w:p w14:paraId="499164DF" w14:textId="77777777" w:rsidR="00BA083C" w:rsidRPr="009C5F11" w:rsidRDefault="00BA083C" w:rsidP="00334F3B">
            <w:pPr>
              <w:numPr>
                <w:ilvl w:val="0"/>
                <w:numId w:val="131"/>
              </w:numPr>
              <w:tabs>
                <w:tab w:val="left" w:pos="702"/>
                <w:tab w:val="left" w:pos="5040"/>
                <w:tab w:val="right" w:pos="8504"/>
              </w:tabs>
              <w:spacing w:after="0" w:line="240" w:lineRule="auto"/>
              <w:ind w:left="702" w:hanging="36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Restructurarea sistemului de încălzire centralizată din Chişinău prin lichidarea TERMOCOM, fiind creată o companie nouă. Măsuri pentru stoparea acumulării datoriilor la plata pentru servicii (HG RM nr. 707 din 20.09.2011 cu privire la unele măsuri de eficientizare a funcţionării sistemelor de alimentare centralizată cu energie termică).</w:t>
            </w:r>
          </w:p>
          <w:p w14:paraId="69D79673"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rPr>
            </w:pPr>
            <w:r w:rsidRPr="009C5F11">
              <w:rPr>
                <w:rFonts w:ascii="Times New Roman" w:hAnsi="Times New Roman" w:cs="Times New Roman"/>
                <w:b/>
                <w:sz w:val="18"/>
                <w:szCs w:val="14"/>
                <w:lang w:val="ro-RO"/>
              </w:rPr>
              <w:t xml:space="preserve">Două proiecte principale, la nivel de 2 urbe şi sisteme </w:t>
            </w:r>
            <w:r w:rsidRPr="009C5F11">
              <w:rPr>
                <w:rFonts w:ascii="Times New Roman" w:hAnsi="Times New Roman" w:cs="Times New Roman"/>
                <w:b/>
                <w:sz w:val="18"/>
                <w:szCs w:val="14"/>
                <w:lang w:val="ro-RO" w:eastAsia="de-DE"/>
              </w:rPr>
              <w:t>de alimentare centralizată cu energie termică</w:t>
            </w:r>
            <w:r w:rsidRPr="009C5F11">
              <w:rPr>
                <w:rFonts w:ascii="Times New Roman" w:hAnsi="Times New Roman" w:cs="Times New Roman"/>
                <w:b/>
                <w:sz w:val="18"/>
                <w:szCs w:val="14"/>
                <w:lang w:val="ro-RO"/>
              </w:rPr>
              <w:t>: Chişinău şi Bălţi</w:t>
            </w:r>
          </w:p>
          <w:p w14:paraId="0EB3B902" w14:textId="77777777" w:rsidR="00BA083C" w:rsidRPr="009C5F11" w:rsidRDefault="00BA083C" w:rsidP="00334F3B">
            <w:pPr>
              <w:numPr>
                <w:ilvl w:val="0"/>
                <w:numId w:val="134"/>
              </w:numPr>
              <w:tabs>
                <w:tab w:val="left" w:pos="702"/>
                <w:tab w:val="left" w:pos="5040"/>
                <w:tab w:val="right" w:pos="8504"/>
              </w:tabs>
              <w:spacing w:after="0" w:line="240" w:lineRule="auto"/>
              <w:contextualSpacing/>
              <w:jc w:val="both"/>
              <w:rPr>
                <w:rFonts w:ascii="Times New Roman" w:hAnsi="Times New Roman" w:cs="Times New Roman"/>
                <w:sz w:val="18"/>
                <w:szCs w:val="14"/>
                <w:u w:val="single"/>
                <w:lang w:val="ro-RO"/>
              </w:rPr>
            </w:pPr>
            <w:r w:rsidRPr="009C5F11">
              <w:rPr>
                <w:rFonts w:ascii="Times New Roman" w:hAnsi="Times New Roman" w:cs="Times New Roman"/>
                <w:sz w:val="18"/>
                <w:szCs w:val="14"/>
                <w:u w:val="single"/>
                <w:lang w:val="ro-RO"/>
              </w:rPr>
              <w:t>CHIŞINĂU</w:t>
            </w:r>
          </w:p>
          <w:p w14:paraId="1FCD458A" w14:textId="77777777" w:rsidR="00BA083C" w:rsidRPr="009C5F11" w:rsidRDefault="00BA083C" w:rsidP="00F4274E">
            <w:pPr>
              <w:tabs>
                <w:tab w:val="left" w:pos="1440"/>
                <w:tab w:val="left" w:pos="5040"/>
                <w:tab w:val="right" w:pos="8504"/>
              </w:tabs>
              <w:spacing w:after="0" w:line="240" w:lineRule="auto"/>
              <w:ind w:left="702"/>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Modernizarea reţelei de distribuţie şi a sistemului </w:t>
            </w:r>
            <w:r w:rsidRPr="009C5F11">
              <w:rPr>
                <w:rFonts w:ascii="Times New Roman" w:hAnsi="Times New Roman" w:cs="Times New Roman"/>
                <w:sz w:val="18"/>
                <w:szCs w:val="14"/>
                <w:lang w:val="ro-RO" w:eastAsia="de-DE"/>
              </w:rPr>
              <w:t>de alimentare centralizată cu energie termică</w:t>
            </w:r>
            <w:r w:rsidRPr="009C5F11">
              <w:rPr>
                <w:rFonts w:ascii="Times New Roman" w:hAnsi="Times New Roman" w:cs="Times New Roman"/>
                <w:sz w:val="18"/>
                <w:szCs w:val="14"/>
                <w:lang w:val="ro-RO"/>
              </w:rPr>
              <w:t xml:space="preserve"> din Chişinău pe baza, </w:t>
            </w:r>
            <w:r w:rsidRPr="009C5F11">
              <w:rPr>
                <w:rFonts w:ascii="Times New Roman" w:hAnsi="Times New Roman" w:cs="Times New Roman"/>
                <w:i/>
                <w:sz w:val="18"/>
                <w:szCs w:val="14"/>
                <w:lang w:val="ro-RO"/>
              </w:rPr>
              <w:t>inter alia</w:t>
            </w:r>
            <w:r w:rsidRPr="009C5F11">
              <w:rPr>
                <w:rFonts w:ascii="Times New Roman" w:hAnsi="Times New Roman" w:cs="Times New Roman"/>
                <w:sz w:val="18"/>
                <w:szCs w:val="14"/>
                <w:lang w:val="ro-RO"/>
              </w:rPr>
              <w:t>:</w:t>
            </w:r>
          </w:p>
          <w:p w14:paraId="20F1815F" w14:textId="77777777" w:rsidR="00BA083C" w:rsidRPr="009C5F11" w:rsidRDefault="00BA083C" w:rsidP="00334F3B">
            <w:pPr>
              <w:numPr>
                <w:ilvl w:val="0"/>
                <w:numId w:val="132"/>
              </w:numPr>
              <w:tabs>
                <w:tab w:val="left" w:pos="1152"/>
                <w:tab w:val="left" w:pos="5040"/>
                <w:tab w:val="right" w:pos="8504"/>
              </w:tabs>
              <w:spacing w:after="0" w:line="240" w:lineRule="auto"/>
              <w:ind w:left="1152" w:hanging="27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Modernizării staţiilor de pompare selectate din sistemul </w:t>
            </w:r>
            <w:r w:rsidRPr="009C5F11">
              <w:rPr>
                <w:rFonts w:ascii="Times New Roman" w:hAnsi="Times New Roman" w:cs="Times New Roman"/>
                <w:sz w:val="18"/>
                <w:szCs w:val="14"/>
                <w:lang w:val="ro-RO" w:eastAsia="de-DE"/>
              </w:rPr>
              <w:t>de alimentare centralizată cu energie termică</w:t>
            </w:r>
            <w:r w:rsidRPr="009C5F11">
              <w:rPr>
                <w:rFonts w:ascii="Times New Roman" w:hAnsi="Times New Roman" w:cs="Times New Roman"/>
                <w:sz w:val="18"/>
                <w:szCs w:val="14"/>
                <w:lang w:val="ro-RO"/>
              </w:rPr>
              <w:t xml:space="preserve"> din Chişinău pentru a reduce consumul de energie electrică şi asigura o funcţionare eficientă; </w:t>
            </w:r>
          </w:p>
          <w:p w14:paraId="6BFCE2DD" w14:textId="77777777" w:rsidR="00BA083C" w:rsidRPr="009C5F11" w:rsidRDefault="00BA083C" w:rsidP="00334F3B">
            <w:pPr>
              <w:numPr>
                <w:ilvl w:val="0"/>
                <w:numId w:val="132"/>
              </w:numPr>
              <w:tabs>
                <w:tab w:val="left" w:pos="1152"/>
                <w:tab w:val="left" w:pos="5040"/>
                <w:tab w:val="right" w:pos="8504"/>
              </w:tabs>
              <w:spacing w:after="0" w:line="240" w:lineRule="auto"/>
              <w:ind w:left="1152" w:hanging="27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Reabilitării segmentelor selectate ale reţelei de distribuţie din Chişinău pentru a continua prestarea serviciului de </w:t>
            </w:r>
            <w:r w:rsidRPr="009C5F11">
              <w:rPr>
                <w:rFonts w:ascii="Times New Roman" w:hAnsi="Times New Roman" w:cs="Times New Roman"/>
                <w:sz w:val="18"/>
                <w:szCs w:val="14"/>
                <w:lang w:val="ro-RO" w:eastAsia="de-DE"/>
              </w:rPr>
              <w:t>alimentare centralizată cu energie termică</w:t>
            </w:r>
            <w:r w:rsidRPr="009C5F11">
              <w:rPr>
                <w:rFonts w:ascii="Times New Roman" w:hAnsi="Times New Roman" w:cs="Times New Roman"/>
                <w:sz w:val="18"/>
                <w:szCs w:val="14"/>
                <w:lang w:val="ro-RO"/>
              </w:rPr>
              <w:t xml:space="preserve"> şi reduce pierderile de energie termică şi apă calcă; </w:t>
            </w:r>
          </w:p>
          <w:p w14:paraId="5F9831D1" w14:textId="77777777" w:rsidR="00BA083C" w:rsidRPr="009C5F11" w:rsidRDefault="00BA083C" w:rsidP="00334F3B">
            <w:pPr>
              <w:numPr>
                <w:ilvl w:val="0"/>
                <w:numId w:val="132"/>
              </w:numPr>
              <w:tabs>
                <w:tab w:val="left" w:pos="1152"/>
                <w:tab w:val="left" w:pos="5040"/>
                <w:tab w:val="right" w:pos="8504"/>
              </w:tabs>
              <w:spacing w:after="0" w:line="240" w:lineRule="auto"/>
              <w:ind w:left="1152" w:hanging="27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Înlocuirii substaţiilor din cadrul sistemului </w:t>
            </w:r>
            <w:r w:rsidRPr="009C5F11">
              <w:rPr>
                <w:rFonts w:ascii="Times New Roman" w:hAnsi="Times New Roman" w:cs="Times New Roman"/>
                <w:sz w:val="18"/>
                <w:szCs w:val="14"/>
                <w:lang w:val="ro-RO" w:eastAsia="de-DE"/>
              </w:rPr>
              <w:t>de alimentare centralizată cu energie termică</w:t>
            </w:r>
            <w:r w:rsidRPr="009C5F11">
              <w:rPr>
                <w:rFonts w:ascii="Times New Roman" w:hAnsi="Times New Roman" w:cs="Times New Roman"/>
                <w:sz w:val="18"/>
                <w:szCs w:val="14"/>
                <w:lang w:val="ro-RO"/>
              </w:rPr>
              <w:t xml:space="preserve"> cu substaţii automatizate de</w:t>
            </w:r>
            <w:r w:rsidRPr="009C5F11">
              <w:rPr>
                <w:rFonts w:ascii="Times New Roman" w:hAnsi="Times New Roman" w:cs="Times New Roman"/>
                <w:sz w:val="18"/>
                <w:szCs w:val="14"/>
                <w:lang w:val="ro-RO" w:eastAsia="de-DE"/>
              </w:rPr>
              <w:t xml:space="preserve"> alimentare </w:t>
            </w:r>
            <w:r w:rsidRPr="009C5F11">
              <w:rPr>
                <w:rFonts w:ascii="Times New Roman" w:hAnsi="Times New Roman" w:cs="Times New Roman"/>
                <w:sz w:val="18"/>
                <w:szCs w:val="14"/>
                <w:lang w:val="ro-RO"/>
              </w:rPr>
              <w:t xml:space="preserve">individuală </w:t>
            </w:r>
            <w:r w:rsidRPr="009C5F11">
              <w:rPr>
                <w:rFonts w:ascii="Times New Roman" w:hAnsi="Times New Roman" w:cs="Times New Roman"/>
                <w:sz w:val="18"/>
                <w:szCs w:val="14"/>
                <w:lang w:val="ro-RO" w:eastAsia="de-DE"/>
              </w:rPr>
              <w:t>cu energie termică</w:t>
            </w:r>
            <w:r w:rsidRPr="009C5F11">
              <w:rPr>
                <w:rFonts w:ascii="Times New Roman" w:hAnsi="Times New Roman" w:cs="Times New Roman"/>
                <w:sz w:val="18"/>
                <w:szCs w:val="14"/>
                <w:lang w:val="ro-RO"/>
              </w:rPr>
              <w:t xml:space="preserve"> la nivel de bloc; şi </w:t>
            </w:r>
          </w:p>
          <w:p w14:paraId="6CBC10BD" w14:textId="77777777" w:rsidR="00BA083C" w:rsidRPr="009C5F11" w:rsidRDefault="00BA083C" w:rsidP="00334F3B">
            <w:pPr>
              <w:numPr>
                <w:ilvl w:val="0"/>
                <w:numId w:val="132"/>
              </w:numPr>
              <w:tabs>
                <w:tab w:val="left" w:pos="1152"/>
                <w:tab w:val="left" w:pos="5040"/>
                <w:tab w:val="right" w:pos="8504"/>
              </w:tabs>
              <w:spacing w:after="0" w:line="240" w:lineRule="auto"/>
              <w:ind w:left="1152" w:hanging="27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Reconectării instituţiilor publice selectate la sistemul </w:t>
            </w:r>
            <w:r w:rsidRPr="009C5F11">
              <w:rPr>
                <w:rFonts w:ascii="Times New Roman" w:hAnsi="Times New Roman" w:cs="Times New Roman"/>
                <w:sz w:val="18"/>
                <w:szCs w:val="14"/>
                <w:lang w:val="ro-RO" w:eastAsia="de-DE"/>
              </w:rPr>
              <w:t>de alimentare centralizată cu energie termică</w:t>
            </w:r>
            <w:r w:rsidRPr="009C5F11">
              <w:rPr>
                <w:rFonts w:ascii="Times New Roman" w:hAnsi="Times New Roman" w:cs="Times New Roman"/>
                <w:sz w:val="18"/>
                <w:szCs w:val="14"/>
                <w:lang w:val="ro-RO"/>
              </w:rPr>
              <w:t>.</w:t>
            </w:r>
          </w:p>
          <w:p w14:paraId="05DB1F7F" w14:textId="77777777" w:rsidR="00BA083C" w:rsidRPr="009C5F11" w:rsidRDefault="00BA083C" w:rsidP="00334F3B">
            <w:pPr>
              <w:numPr>
                <w:ilvl w:val="0"/>
                <w:numId w:val="135"/>
              </w:numPr>
              <w:tabs>
                <w:tab w:val="left" w:pos="702"/>
                <w:tab w:val="left" w:pos="5040"/>
                <w:tab w:val="right" w:pos="8504"/>
              </w:tabs>
              <w:spacing w:after="0" w:line="240" w:lineRule="auto"/>
              <w:contextualSpacing/>
              <w:jc w:val="both"/>
              <w:rPr>
                <w:rFonts w:ascii="Times New Roman" w:hAnsi="Times New Roman" w:cs="Times New Roman"/>
                <w:sz w:val="18"/>
                <w:szCs w:val="14"/>
                <w:u w:val="single"/>
                <w:lang w:val="ro-RO"/>
              </w:rPr>
            </w:pPr>
            <w:r w:rsidRPr="009C5F11">
              <w:rPr>
                <w:rFonts w:ascii="Times New Roman" w:hAnsi="Times New Roman" w:cs="Times New Roman"/>
                <w:sz w:val="18"/>
                <w:szCs w:val="14"/>
                <w:u w:val="single"/>
                <w:lang w:val="ro-RO"/>
              </w:rPr>
              <w:t>BĂLŢI</w:t>
            </w:r>
          </w:p>
          <w:p w14:paraId="4253EFED" w14:textId="77777777" w:rsidR="00BA083C" w:rsidRPr="009C5F11" w:rsidRDefault="00BA083C" w:rsidP="00F4274E">
            <w:pPr>
              <w:tabs>
                <w:tab w:val="left" w:pos="1440"/>
                <w:tab w:val="left" w:pos="5040"/>
                <w:tab w:val="right" w:pos="8504"/>
              </w:tabs>
              <w:spacing w:after="0" w:line="240" w:lineRule="auto"/>
              <w:ind w:left="70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Va fi înlocuit echipamentul prestatorului de energie termică, inclusiv cazanele, care actualmente funcţionează pe bază de cărbune, cu cazane pe bază de biomasă. Proiectul prevede instalarea punctelor termice individuale în construcţiile din Bălţi, fapt ce va permite efectuarea unui control eficace al consumului de energie termică. Programul va contribui la îmbunătăţirea semnificativă a eficienţei energetice şi economiilor de apă în rezultatul exercitării controlului asupra consumului de energie termică din partea consumatorilor, îmbunătățind eficienţa capacităţii de generare, producerea energiei electrice în regim de cogenerare şi reducerea pierderilor în reţeaua de distribuţie.</w:t>
            </w:r>
          </w:p>
        </w:tc>
      </w:tr>
      <w:tr w:rsidR="00BA083C" w:rsidRPr="009C5F11" w14:paraId="3AB2FD4E" w14:textId="77777777" w:rsidTr="00F4274E">
        <w:trPr>
          <w:trHeight w:val="278"/>
        </w:trPr>
        <w:tc>
          <w:tcPr>
            <w:tcW w:w="743" w:type="pct"/>
            <w:vMerge/>
          </w:tcPr>
          <w:p w14:paraId="06FB4C94"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1B574EC"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5953738D" w14:textId="77777777" w:rsidR="00BA083C" w:rsidRPr="009C5F11" w:rsidRDefault="00BA083C" w:rsidP="00334F3B">
            <w:pPr>
              <w:numPr>
                <w:ilvl w:val="0"/>
                <w:numId w:val="135"/>
              </w:numPr>
              <w:tabs>
                <w:tab w:val="left" w:pos="61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 la Chişinău</w:t>
            </w:r>
          </w:p>
          <w:p w14:paraId="7184BEC3" w14:textId="77777777" w:rsidR="00BA083C" w:rsidRPr="009C5F11" w:rsidRDefault="00BA083C" w:rsidP="00334F3B">
            <w:pPr>
              <w:numPr>
                <w:ilvl w:val="0"/>
                <w:numId w:val="133"/>
              </w:numPr>
              <w:tabs>
                <w:tab w:val="left" w:pos="792"/>
                <w:tab w:val="left" w:pos="5040"/>
                <w:tab w:val="right" w:pos="8504"/>
              </w:tabs>
              <w:spacing w:after="0" w:line="240" w:lineRule="auto"/>
              <w:ind w:hanging="108"/>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$40,500,000, împrumut BIRD;</w:t>
            </w:r>
          </w:p>
          <w:p w14:paraId="0C97372E" w14:textId="77777777" w:rsidR="00BA083C" w:rsidRPr="009C5F11" w:rsidRDefault="00BA083C" w:rsidP="00334F3B">
            <w:pPr>
              <w:numPr>
                <w:ilvl w:val="0"/>
                <w:numId w:val="136"/>
              </w:numPr>
              <w:tabs>
                <w:tab w:val="left" w:pos="61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 la Bălţi</w:t>
            </w:r>
          </w:p>
          <w:p w14:paraId="202C8866" w14:textId="77777777" w:rsidR="00BA083C" w:rsidRPr="009C5F11" w:rsidRDefault="00BA083C" w:rsidP="00334F3B">
            <w:pPr>
              <w:numPr>
                <w:ilvl w:val="0"/>
                <w:numId w:val="133"/>
              </w:numPr>
              <w:tabs>
                <w:tab w:val="left" w:pos="79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lastRenderedPageBreak/>
              <w:t xml:space="preserve">€10,000,000: €7,000,000 – împrumut BERD, €3,000,000 - grant din partea </w:t>
            </w:r>
            <w:r w:rsidR="009329D9" w:rsidRPr="009C5F11">
              <w:rPr>
                <w:rFonts w:ascii="Times New Roman" w:hAnsi="Times New Roman" w:cs="Times New Roman"/>
                <w:sz w:val="18"/>
                <w:szCs w:val="14"/>
                <w:lang w:val="ro-RO" w:eastAsia="de-DE"/>
              </w:rPr>
              <w:t>Fondului de parteneriat pentru Europa de Est în eficienţă energetică şi mediu (</w:t>
            </w:r>
            <w:r w:rsidRPr="009C5F11">
              <w:rPr>
                <w:rFonts w:ascii="Times New Roman" w:hAnsi="Times New Roman" w:cs="Times New Roman"/>
                <w:sz w:val="18"/>
                <w:szCs w:val="14"/>
                <w:lang w:val="ro-RO" w:eastAsia="de-DE"/>
              </w:rPr>
              <w:t>E5P</w:t>
            </w:r>
            <w:r w:rsidR="009329D9"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w:t>
            </w:r>
          </w:p>
          <w:p w14:paraId="67797CBB" w14:textId="77777777" w:rsidR="00BA083C" w:rsidRPr="009C5F11" w:rsidRDefault="00BA083C" w:rsidP="00334F3B">
            <w:pPr>
              <w:numPr>
                <w:ilvl w:val="0"/>
                <w:numId w:val="133"/>
              </w:numPr>
              <w:tabs>
                <w:tab w:val="left" w:pos="792"/>
                <w:tab w:val="right" w:pos="8504"/>
              </w:tabs>
              <w:spacing w:before="40" w:after="0" w:line="240" w:lineRule="auto"/>
              <w:ind w:left="792" w:hanging="18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Modernizarea sistemului termoenergetic din mun. Bălţi este primul proiect care beneficiază de asistenţa Fondului E5P, la care Republica Moldova a aderat recent. E5P este un fond creat de mai mulţi donatori, care acumulează mijloace din surse ale UE – cel mai mare donator al Fondului, împreună cu 12 ţări. Fondul oferă împrumuturi şi granturi care vin să completeze împrumuturile oferite de IFI, inclusiv BERD, acordate autorităţilor municipale pentru a le investi în proiecte menite să îmbunătăţească eficienţa energetică şi impactul asupra mediului.</w:t>
            </w:r>
          </w:p>
        </w:tc>
      </w:tr>
      <w:tr w:rsidR="00BA083C" w:rsidRPr="009C5F11" w14:paraId="040B3191" w14:textId="77777777" w:rsidTr="00F4274E">
        <w:trPr>
          <w:trHeight w:val="74"/>
        </w:trPr>
        <w:tc>
          <w:tcPr>
            <w:tcW w:w="743" w:type="pct"/>
            <w:vMerge/>
          </w:tcPr>
          <w:p w14:paraId="7FAC7E5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777A3C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19C30CAA" w14:textId="15AA1371" w:rsidR="00BA083C" w:rsidRDefault="008C30D5"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Pr>
                <w:rFonts w:ascii="Times New Roman" w:hAnsi="Times New Roman" w:cs="Times New Roman"/>
                <w:sz w:val="18"/>
                <w:szCs w:val="14"/>
                <w:lang w:val="ro-RO" w:eastAsia="de-DE"/>
              </w:rPr>
              <w:t>„</w:t>
            </w:r>
            <w:r w:rsidR="00BA083C" w:rsidRPr="009C5F11">
              <w:rPr>
                <w:rFonts w:ascii="Times New Roman" w:hAnsi="Times New Roman" w:cs="Times New Roman"/>
                <w:sz w:val="18"/>
                <w:szCs w:val="14"/>
                <w:lang w:val="ro-RO" w:eastAsia="de-DE"/>
              </w:rPr>
              <w:t>Termoelectrica</w:t>
            </w:r>
            <w:r>
              <w:rPr>
                <w:rFonts w:ascii="Times New Roman" w:hAnsi="Times New Roman" w:cs="Times New Roman"/>
                <w:sz w:val="18"/>
                <w:szCs w:val="14"/>
                <w:lang w:val="ro-RO" w:eastAsia="de-DE"/>
              </w:rPr>
              <w:t>” SA</w:t>
            </w:r>
          </w:p>
          <w:p w14:paraId="1ABBF986" w14:textId="42B2E18F" w:rsidR="008C30D5" w:rsidRDefault="008C30D5"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Pr>
                <w:rFonts w:ascii="Times New Roman" w:hAnsi="Times New Roman" w:cs="Times New Roman"/>
                <w:sz w:val="18"/>
                <w:szCs w:val="14"/>
                <w:lang w:val="ro-RO" w:eastAsia="de-DE"/>
              </w:rPr>
              <w:t>„CET Nord” SA</w:t>
            </w:r>
          </w:p>
          <w:p w14:paraId="63D1D5FD" w14:textId="77777777" w:rsidR="008C30D5" w:rsidRPr="009C5F11" w:rsidRDefault="008C30D5"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p>
        </w:tc>
      </w:tr>
      <w:tr w:rsidR="00BA083C" w:rsidRPr="009C5F11" w14:paraId="4EA66B8C" w14:textId="77777777" w:rsidTr="00F4274E">
        <w:trPr>
          <w:trHeight w:val="67"/>
        </w:trPr>
        <w:tc>
          <w:tcPr>
            <w:tcW w:w="743" w:type="pct"/>
            <w:vMerge/>
          </w:tcPr>
          <w:p w14:paraId="3C79354F"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0FEE2E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1D548607"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2CDC60AE" w14:textId="77777777" w:rsidTr="00F4274E">
        <w:trPr>
          <w:trHeight w:val="233"/>
        </w:trPr>
        <w:tc>
          <w:tcPr>
            <w:tcW w:w="743" w:type="pct"/>
            <w:vMerge w:val="restart"/>
          </w:tcPr>
          <w:p w14:paraId="6178ABC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6D61F96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62A9F301"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w:t>
            </w:r>
          </w:p>
        </w:tc>
      </w:tr>
      <w:tr w:rsidR="00BA083C" w:rsidRPr="009C5F11" w14:paraId="6ABCEC55" w14:textId="77777777" w:rsidTr="00F4274E">
        <w:trPr>
          <w:trHeight w:val="296"/>
        </w:trPr>
        <w:tc>
          <w:tcPr>
            <w:tcW w:w="743" w:type="pct"/>
            <w:vMerge/>
          </w:tcPr>
          <w:p w14:paraId="1D75BB9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8AA7B8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4F51C48E"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7.1 ktep</w:t>
            </w:r>
          </w:p>
          <w:p w14:paraId="0EEE659D"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inclusiv economii de energie termică rezultante din reducerea pierderilor din reţea – 7.1 ktep (1.34 p.p. anual).</w:t>
            </w:r>
          </w:p>
        </w:tc>
      </w:tr>
      <w:tr w:rsidR="00BA083C" w:rsidRPr="009C5F11" w14:paraId="5DA51140" w14:textId="77777777" w:rsidTr="00F4274E">
        <w:trPr>
          <w:trHeight w:val="233"/>
        </w:trPr>
        <w:tc>
          <w:tcPr>
            <w:tcW w:w="743" w:type="pct"/>
            <w:vMerge/>
          </w:tcPr>
          <w:p w14:paraId="6CC370D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0CCBA8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691C9F63"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3.14 ktep </w:t>
            </w:r>
          </w:p>
          <w:p w14:paraId="0A1B8AB6"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proiectul Chişinău susţinut de BIRD-</w:t>
            </w:r>
          </w:p>
        </w:tc>
      </w:tr>
      <w:tr w:rsidR="00BA083C" w:rsidRPr="009C5F11" w14:paraId="1426A4C7" w14:textId="77777777" w:rsidTr="00F4274E">
        <w:trPr>
          <w:trHeight w:val="125"/>
        </w:trPr>
        <w:tc>
          <w:tcPr>
            <w:tcW w:w="743" w:type="pct"/>
            <w:vMerge/>
          </w:tcPr>
          <w:p w14:paraId="2093B9B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E495A4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tcPr>
          <w:p w14:paraId="3F1A4996"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19.35 ktep, din care 8.45 ktep economii de energie finală şi pot fi luate în calcul în temeiul DSE.</w:t>
            </w:r>
          </w:p>
          <w:p w14:paraId="6E85E4DE"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proiectul Chişinău susţinut de BIRD;</w:t>
            </w:r>
          </w:p>
          <w:p w14:paraId="21AA0FA3"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proiectul Bălţi: reducerea consumului de energie electrică cu 30%, proiect susţinut de BERD.</w:t>
            </w:r>
          </w:p>
        </w:tc>
      </w:tr>
      <w:tr w:rsidR="00BA083C" w:rsidRPr="009C5F11" w14:paraId="7423EC64" w14:textId="77777777" w:rsidTr="00F4274E">
        <w:trPr>
          <w:trHeight w:val="75"/>
        </w:trPr>
        <w:tc>
          <w:tcPr>
            <w:tcW w:w="743" w:type="pct"/>
            <w:vMerge/>
          </w:tcPr>
          <w:p w14:paraId="298C217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FED7EEA" w14:textId="77777777" w:rsidR="00BA083C" w:rsidRPr="009C5F11" w:rsidRDefault="00757136"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552AD449"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Se preconizează că Proiectul P132443 al BIRD va genera economii totale în cuantum de 19.35 ktep, începând din 2018, din care:</w:t>
            </w:r>
          </w:p>
          <w:p w14:paraId="671EE955" w14:textId="77777777" w:rsidR="00BA083C" w:rsidRPr="009C5F11" w:rsidRDefault="00BA083C" w:rsidP="00334F3B">
            <w:pPr>
              <w:numPr>
                <w:ilvl w:val="0"/>
                <w:numId w:val="130"/>
              </w:numPr>
              <w:tabs>
                <w:tab w:val="left" w:pos="612"/>
                <w:tab w:val="left" w:pos="5040"/>
                <w:tab w:val="right" w:pos="8504"/>
              </w:tabs>
              <w:spacing w:before="40" w:after="0" w:line="240" w:lineRule="auto"/>
              <w:ind w:left="612" w:hanging="25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3 ktep de economii primare provin din reducerea pierderilor de distribuţie (energie termică), fiind contabilizate în contul economiilor în cuantum de 34 ktep din reţelele de distribuţie şi acoperind volumul planificat de economii de energie termică (2 ktep); </w:t>
            </w:r>
          </w:p>
          <w:p w14:paraId="27EA428A" w14:textId="77777777" w:rsidR="00BA083C" w:rsidRPr="009C5F11" w:rsidRDefault="00BA083C" w:rsidP="00334F3B">
            <w:pPr>
              <w:numPr>
                <w:ilvl w:val="0"/>
                <w:numId w:val="130"/>
              </w:numPr>
              <w:tabs>
                <w:tab w:val="left" w:pos="612"/>
                <w:tab w:val="left" w:pos="5040"/>
                <w:tab w:val="right" w:pos="8504"/>
              </w:tabs>
              <w:spacing w:before="40" w:after="0" w:line="240" w:lineRule="auto"/>
              <w:ind w:left="612" w:hanging="25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7.9 ktep de economii primare provin din economiile obţinute în faza de transformare (gaze naturale) şi ar putea fi contabilizate în contul reducerilor (10.14 ktep) aplicate pentru această obligaţie în temeiul Articolului 7.2 literele (c) şi (d) din DEE; </w:t>
            </w:r>
          </w:p>
          <w:p w14:paraId="610767BF" w14:textId="77777777" w:rsidR="00BA083C" w:rsidRPr="009C5F11" w:rsidRDefault="00BA083C" w:rsidP="00334F3B">
            <w:pPr>
              <w:numPr>
                <w:ilvl w:val="0"/>
                <w:numId w:val="130"/>
              </w:numPr>
              <w:tabs>
                <w:tab w:val="left" w:pos="612"/>
                <w:tab w:val="left" w:pos="1440"/>
                <w:tab w:val="left" w:pos="5040"/>
                <w:tab w:val="right" w:pos="8504"/>
              </w:tabs>
              <w:spacing w:after="0" w:line="240" w:lineRule="auto"/>
              <w:ind w:left="612" w:hanging="25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8.45 ktep provin din consumul final (gaze naturale şi energie electrică) şi ar putea fi contabilizate în temeiul Articolului 4 din DSE.</w:t>
            </w:r>
          </w:p>
        </w:tc>
      </w:tr>
      <w:tr w:rsidR="00BA083C" w:rsidRPr="009C5F11" w14:paraId="37771529" w14:textId="77777777" w:rsidTr="00F4274E">
        <w:trPr>
          <w:trHeight w:val="242"/>
        </w:trPr>
        <w:tc>
          <w:tcPr>
            <w:tcW w:w="743" w:type="pct"/>
            <w:vMerge/>
          </w:tcPr>
          <w:p w14:paraId="2130A8A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2C2A69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607D06B4" w14:textId="77777777" w:rsidR="00BA083C" w:rsidRPr="009C5F11" w:rsidRDefault="00BA083C" w:rsidP="00F4274E">
            <w:pPr>
              <w:tabs>
                <w:tab w:val="left" w:pos="1440"/>
                <w:tab w:val="left" w:pos="5040"/>
              </w:tabs>
              <w:spacing w:after="0" w:line="240" w:lineRule="auto"/>
              <w:rPr>
                <w:rFonts w:ascii="Times New Roman" w:hAnsi="Times New Roman" w:cs="Times New Roman"/>
                <w:i/>
                <w:sz w:val="18"/>
                <w:szCs w:val="14"/>
                <w:lang w:val="ro-RO"/>
              </w:rPr>
            </w:pPr>
          </w:p>
        </w:tc>
      </w:tr>
    </w:tbl>
    <w:p w14:paraId="6E73A3B4" w14:textId="77777777" w:rsidR="00BA083C" w:rsidRPr="009C5F11" w:rsidRDefault="00BA083C" w:rsidP="00BA083C">
      <w:pPr>
        <w:shd w:val="clear" w:color="auto" w:fill="FFFFFF"/>
        <w:spacing w:after="0" w:line="240" w:lineRule="auto"/>
        <w:jc w:val="both"/>
        <w:rPr>
          <w:rFonts w:ascii="Times New Roman" w:hAnsi="Times New Roman" w:cs="Times New Roman"/>
          <w:b/>
          <w:i/>
          <w:color w:val="FF0000"/>
          <w:sz w:val="18"/>
          <w:szCs w:val="14"/>
          <w:lang w:val="ro-RO"/>
        </w:rPr>
      </w:pPr>
    </w:p>
    <w:p w14:paraId="655C1A1D" w14:textId="77777777" w:rsidR="00BA083C" w:rsidRPr="009C5F11" w:rsidRDefault="00BA083C" w:rsidP="00BA083C">
      <w:pPr>
        <w:shd w:val="clear" w:color="auto" w:fill="FFFFFF"/>
        <w:spacing w:after="0" w:line="240" w:lineRule="auto"/>
        <w:jc w:val="both"/>
        <w:rPr>
          <w:rFonts w:ascii="Times New Roman" w:hAnsi="Times New Roman" w:cs="Times New Roman"/>
          <w:i/>
          <w:sz w:val="18"/>
          <w:szCs w:val="14"/>
          <w:lang w:val="ro-RO"/>
        </w:rPr>
      </w:pPr>
    </w:p>
    <w:p w14:paraId="1962AFC4" w14:textId="77777777" w:rsidR="00BA083C" w:rsidRPr="009C5F11" w:rsidRDefault="00BA083C" w:rsidP="00BA083C">
      <w:pPr>
        <w:keepNext/>
        <w:spacing w:after="0"/>
        <w:ind w:right="-540"/>
        <w:rPr>
          <w:rFonts w:ascii="Times New Roman" w:hAnsi="Times New Roman" w:cs="Times New Roman"/>
          <w:bCs/>
          <w:sz w:val="24"/>
          <w:lang w:val="ro-RO"/>
        </w:rPr>
      </w:pPr>
      <w:r w:rsidRPr="009C5F11">
        <w:rPr>
          <w:rFonts w:ascii="Times New Roman" w:hAnsi="Times New Roman" w:cs="Times New Roman"/>
          <w:b/>
          <w:bCs/>
          <w:sz w:val="24"/>
          <w:lang w:val="ro-RO"/>
        </w:rPr>
        <w:br w:type="page"/>
      </w:r>
      <w:r w:rsidRPr="009C5F11">
        <w:rPr>
          <w:rFonts w:ascii="Times New Roman" w:hAnsi="Times New Roman" w:cs="Times New Roman"/>
          <w:bCs/>
          <w:sz w:val="24"/>
          <w:lang w:val="ro-RO"/>
        </w:rPr>
        <w:lastRenderedPageBreak/>
        <w:t xml:space="preserve"> </w:t>
      </w:r>
    </w:p>
    <w:p w14:paraId="79FDB4E3" w14:textId="77777777" w:rsidR="00BA083C" w:rsidRPr="009C5F11" w:rsidRDefault="00BA083C" w:rsidP="00BA083C">
      <w:pPr>
        <w:pStyle w:val="Legend"/>
        <w:keepNext/>
        <w:jc w:val="center"/>
        <w:rPr>
          <w:rFonts w:ascii="Times New Roman" w:hAnsi="Times New Roman" w:cs="Times New Roman"/>
          <w:b/>
          <w:sz w:val="22"/>
          <w:lang w:val="ro-RO"/>
        </w:rPr>
      </w:pPr>
      <w:bookmarkStart w:id="220" w:name="_Toc447724261"/>
      <w:r w:rsidRPr="009C5F11">
        <w:rPr>
          <w:rFonts w:ascii="Times New Roman" w:hAnsi="Times New Roman" w:cs="Times New Roman"/>
          <w:b/>
          <w:sz w:val="22"/>
          <w:lang w:val="ro-RO"/>
        </w:rPr>
        <w:t xml:space="preserve">Tabelul E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Table_E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6</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w:t>
      </w:r>
      <w:r w:rsidR="00556381" w:rsidRPr="009C5F11">
        <w:rPr>
          <w:rFonts w:ascii="Times New Roman" w:hAnsi="Times New Roman" w:cs="Times New Roman"/>
          <w:b/>
          <w:sz w:val="22"/>
          <w:lang w:val="ro-RO"/>
        </w:rPr>
        <w:t>Evaluarea</w:t>
      </w:r>
      <w:r w:rsidRPr="009C5F11">
        <w:rPr>
          <w:rFonts w:ascii="Times New Roman" w:hAnsi="Times New Roman" w:cs="Times New Roman"/>
          <w:b/>
          <w:sz w:val="22"/>
          <w:lang w:val="ro-RO"/>
        </w:rPr>
        <w:t xml:space="preserve"> cuprinzătoare a  potenţialului </w:t>
      </w:r>
      <w:r w:rsidR="00556381" w:rsidRPr="009C5F11">
        <w:rPr>
          <w:rFonts w:ascii="Times New Roman" w:hAnsi="Times New Roman" w:cs="Times New Roman"/>
          <w:b/>
          <w:sz w:val="22"/>
          <w:lang w:val="ro-RO"/>
        </w:rPr>
        <w:t>de punere in</w:t>
      </w:r>
      <w:r w:rsidRPr="009C5F11">
        <w:rPr>
          <w:rFonts w:ascii="Times New Roman" w:hAnsi="Times New Roman" w:cs="Times New Roman"/>
          <w:b/>
          <w:sz w:val="22"/>
          <w:lang w:val="ro-RO"/>
        </w:rPr>
        <w:t xml:space="preserve"> aplicare</w:t>
      </w:r>
      <w:r w:rsidR="00556381" w:rsidRPr="009C5F11">
        <w:rPr>
          <w:rFonts w:ascii="Times New Roman" w:hAnsi="Times New Roman" w:cs="Times New Roman"/>
          <w:b/>
          <w:sz w:val="22"/>
          <w:lang w:val="ro-RO"/>
        </w:rPr>
        <w:t xml:space="preserve"> </w:t>
      </w:r>
      <w:r w:rsidRPr="009C5F11">
        <w:rPr>
          <w:rFonts w:ascii="Times New Roman" w:hAnsi="Times New Roman" w:cs="Times New Roman"/>
          <w:b/>
          <w:sz w:val="22"/>
          <w:lang w:val="ro-RO"/>
        </w:rPr>
        <w:t xml:space="preserve">a cogenerării de </w:t>
      </w:r>
      <w:r w:rsidR="005F4F17" w:rsidRPr="009C5F11">
        <w:rPr>
          <w:rFonts w:ascii="Times New Roman" w:hAnsi="Times New Roman" w:cs="Times New Roman"/>
          <w:b/>
          <w:sz w:val="22"/>
          <w:lang w:val="ro-RO"/>
        </w:rPr>
        <w:t xml:space="preserve">înaltă eficiență și a termoficării și răcirii centralizate eficiente </w:t>
      </w:r>
      <w:bookmarkEnd w:id="2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3581E108" w14:textId="77777777" w:rsidTr="00F4274E">
        <w:trPr>
          <w:trHeight w:val="480"/>
        </w:trPr>
        <w:tc>
          <w:tcPr>
            <w:tcW w:w="1756" w:type="pct"/>
            <w:gridSpan w:val="2"/>
          </w:tcPr>
          <w:p w14:paraId="15115BA2"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55F5105F" w14:textId="77777777" w:rsidR="00BA083C" w:rsidRPr="009C5F11" w:rsidRDefault="005F4F17">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Evaluarea</w:t>
            </w:r>
            <w:r w:rsidR="00BA083C" w:rsidRPr="009C5F11">
              <w:rPr>
                <w:rFonts w:ascii="Times New Roman" w:hAnsi="Times New Roman" w:cs="Times New Roman"/>
                <w:b/>
                <w:sz w:val="18"/>
                <w:szCs w:val="14"/>
                <w:lang w:val="ro-RO" w:eastAsia="de-DE"/>
              </w:rPr>
              <w:t xml:space="preserve"> cuprinzătoare a  potenţialului pentru aplicarea cogenerării de </w:t>
            </w:r>
            <w:r w:rsidRPr="009C5F11">
              <w:rPr>
                <w:rFonts w:ascii="Times New Roman" w:hAnsi="Times New Roman" w:cs="Times New Roman"/>
                <w:b/>
                <w:sz w:val="18"/>
                <w:szCs w:val="14"/>
                <w:lang w:val="ro-RO" w:eastAsia="de-DE"/>
              </w:rPr>
              <w:t xml:space="preserve">înaltă eficiență și a termoficării și răcirii centralizate eficiente </w:t>
            </w:r>
          </w:p>
        </w:tc>
      </w:tr>
      <w:tr w:rsidR="00BA083C" w:rsidRPr="009C5F11" w14:paraId="07B0CCF7" w14:textId="77777777" w:rsidTr="00F4274E">
        <w:trPr>
          <w:trHeight w:val="74"/>
        </w:trPr>
        <w:tc>
          <w:tcPr>
            <w:tcW w:w="1756" w:type="pct"/>
            <w:gridSpan w:val="2"/>
          </w:tcPr>
          <w:p w14:paraId="52A2C58C"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49817D4D" w14:textId="77777777" w:rsidR="00BA083C" w:rsidRPr="009C5F11" w:rsidRDefault="00BA083C" w:rsidP="00F4274E">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E6</w:t>
            </w:r>
          </w:p>
        </w:tc>
      </w:tr>
      <w:tr w:rsidR="00BA083C" w:rsidRPr="009C5F11" w14:paraId="689ED761" w14:textId="77777777" w:rsidTr="00F4274E">
        <w:trPr>
          <w:trHeight w:val="107"/>
        </w:trPr>
        <w:tc>
          <w:tcPr>
            <w:tcW w:w="743" w:type="pct"/>
            <w:vMerge w:val="restart"/>
          </w:tcPr>
          <w:p w14:paraId="24B3D8FA"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2297BFF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32AC5C1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1954E340"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Codurile construcţiilor şi punerea în aplicare</w:t>
            </w:r>
          </w:p>
        </w:tc>
      </w:tr>
      <w:tr w:rsidR="00BA083C" w:rsidRPr="009C5F11" w14:paraId="30CA000D" w14:textId="77777777" w:rsidTr="00F4274E">
        <w:trPr>
          <w:trHeight w:val="476"/>
        </w:trPr>
        <w:tc>
          <w:tcPr>
            <w:tcW w:w="743" w:type="pct"/>
            <w:vMerge/>
          </w:tcPr>
          <w:p w14:paraId="30B988DE"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8C4845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0614DED6"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Începută: ianuarie 2016. </w:t>
            </w:r>
          </w:p>
          <w:p w14:paraId="69B56F30"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decembrie 2017.</w:t>
            </w:r>
          </w:p>
          <w:p w14:paraId="70776E29"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nouă</w:t>
            </w:r>
          </w:p>
        </w:tc>
      </w:tr>
      <w:tr w:rsidR="00BA083C" w:rsidRPr="009C5F11" w14:paraId="261A8BBE" w14:textId="77777777" w:rsidTr="00F4274E">
        <w:trPr>
          <w:trHeight w:val="107"/>
        </w:trPr>
        <w:tc>
          <w:tcPr>
            <w:tcW w:w="743" w:type="pct"/>
            <w:vMerge/>
          </w:tcPr>
          <w:p w14:paraId="5070AE97"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DE6B5B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66D605AB"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În conformitate cu DEE </w:t>
            </w:r>
            <w:r w:rsidR="003F55A5"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lang w:val="ro-RO" w:eastAsia="de-DE"/>
              </w:rPr>
              <w:t>12</w:t>
            </w:r>
            <w:r w:rsidR="003F55A5" w:rsidRPr="009C5F11">
              <w:rPr>
                <w:rFonts w:ascii="Times New Roman" w:hAnsi="Times New Roman" w:cs="Times New Roman"/>
                <w:sz w:val="18"/>
                <w:szCs w:val="14"/>
                <w:lang w:val="ro-RO" w:eastAsia="de-DE"/>
              </w:rPr>
              <w:t>)</w:t>
            </w:r>
            <w:r w:rsidRPr="009C5F11">
              <w:rPr>
                <w:rFonts w:ascii="Times New Roman" w:hAnsi="Times New Roman" w:cs="Times New Roman"/>
                <w:i/>
                <w:sz w:val="18"/>
                <w:szCs w:val="14"/>
                <w:lang w:val="ro-RO" w:eastAsia="de-DE"/>
              </w:rPr>
              <w:t xml:space="preserve"> “Este necesar să fie adoptată o abordare integrată pentru a valorifica întregul potențial existent de economisire a energiei, care include economiile din sectorul aprovizionării cu energie și, respectiv, din sectorul utilizatorilor finali. În același timp, ar trebui consolidate dispozițiile Directivei 2004/8/CE a Parlamentului European și a Consiliului din 11 februarie 2004 privind promovarea cogenerării pe baza cererii de energie termică utilă pe piața internă a energiei și ale Directivei 2006/32/CE.”</w:t>
            </w:r>
          </w:p>
          <w:p w14:paraId="3BA4694F"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De asemenea, Art.14 prevede: </w:t>
            </w:r>
            <w:r w:rsidRPr="009C5F11">
              <w:rPr>
                <w:rFonts w:ascii="Times New Roman" w:hAnsi="Times New Roman" w:cs="Times New Roman"/>
                <w:i/>
                <w:sz w:val="18"/>
                <w:szCs w:val="14"/>
                <w:lang w:val="ro-RO" w:eastAsia="de-DE"/>
              </w:rPr>
              <w:t xml:space="preserve">Până la </w:t>
            </w:r>
            <w:r w:rsidRPr="009C5F11">
              <w:rPr>
                <w:rFonts w:ascii="Times New Roman" w:hAnsi="Times New Roman" w:cs="Times New Roman"/>
                <w:i/>
                <w:sz w:val="18"/>
                <w:szCs w:val="14"/>
                <w:u w:val="single"/>
                <w:lang w:val="ro-RO" w:eastAsia="de-DE"/>
              </w:rPr>
              <w:t>30 noiembrie 2018</w:t>
            </w:r>
            <w:r w:rsidRPr="009C5F11">
              <w:rPr>
                <w:rFonts w:ascii="Times New Roman" w:hAnsi="Times New Roman" w:cs="Times New Roman"/>
                <w:i/>
                <w:sz w:val="18"/>
                <w:szCs w:val="14"/>
                <w:lang w:val="ro-RO" w:eastAsia="de-DE"/>
              </w:rPr>
              <w:t>, Părţile contractante realizează și notifică Comisiei o evaluare cuprinzătoare a potențialului de punere în aplicare a cogenerării de înaltă eficiență și a termoficării și răcirii centralizate eficiente”.</w:t>
            </w:r>
          </w:p>
          <w:p w14:paraId="2D68BCAA"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 măsurii este de a răspunde cerinţelor.</w:t>
            </w:r>
          </w:p>
        </w:tc>
      </w:tr>
      <w:tr w:rsidR="00BA083C" w:rsidRPr="009C5F11" w14:paraId="2D6838D3" w14:textId="77777777" w:rsidTr="00F4274E">
        <w:trPr>
          <w:trHeight w:val="74"/>
        </w:trPr>
        <w:tc>
          <w:tcPr>
            <w:tcW w:w="743" w:type="pct"/>
            <w:vMerge/>
          </w:tcPr>
          <w:p w14:paraId="636FC48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1D333FA"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2E7DDBDB"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Consumul de energie electrică şi termică</w:t>
            </w:r>
          </w:p>
        </w:tc>
      </w:tr>
      <w:tr w:rsidR="00BA083C" w:rsidRPr="009C5F11" w14:paraId="26795B4D" w14:textId="77777777" w:rsidTr="00F4274E">
        <w:trPr>
          <w:trHeight w:val="74"/>
        </w:trPr>
        <w:tc>
          <w:tcPr>
            <w:tcW w:w="743" w:type="pct"/>
            <w:vMerge/>
          </w:tcPr>
          <w:p w14:paraId="1258CF72"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41B054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4BA57B55"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Consumatorii de energie electrică şi termică</w:t>
            </w:r>
          </w:p>
        </w:tc>
      </w:tr>
      <w:tr w:rsidR="00BA083C" w:rsidRPr="009C5F11" w14:paraId="1C558C31" w14:textId="77777777" w:rsidTr="00F4274E">
        <w:trPr>
          <w:trHeight w:val="116"/>
        </w:trPr>
        <w:tc>
          <w:tcPr>
            <w:tcW w:w="743" w:type="pct"/>
            <w:vMerge/>
          </w:tcPr>
          <w:p w14:paraId="18B0504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F0442D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21859298"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BA083C" w:rsidRPr="009C5F11" w14:paraId="7197E4AE" w14:textId="77777777" w:rsidTr="00F4274E">
        <w:trPr>
          <w:trHeight w:val="75"/>
        </w:trPr>
        <w:tc>
          <w:tcPr>
            <w:tcW w:w="743" w:type="pct"/>
            <w:vMerge w:val="restart"/>
          </w:tcPr>
          <w:p w14:paraId="18EFE56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464083B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tcPr>
          <w:p w14:paraId="3409375B" w14:textId="77777777" w:rsidR="00BA083C" w:rsidRPr="009C5F11" w:rsidRDefault="00BA083C" w:rsidP="00F4274E">
            <w:pPr>
              <w:tabs>
                <w:tab w:val="left" w:pos="1440"/>
                <w:tab w:val="left" w:pos="5040"/>
                <w:tab w:val="right" w:pos="8504"/>
              </w:tabs>
              <w:spacing w:after="4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Sarcinile principale ale autorităţii publice</w:t>
            </w:r>
            <w:r w:rsidRPr="009C5F11">
              <w:rPr>
                <w:rFonts w:ascii="Times New Roman" w:hAnsi="Times New Roman" w:cs="Times New Roman"/>
                <w:sz w:val="18"/>
                <w:szCs w:val="14"/>
                <w:lang w:val="ro-RO" w:eastAsia="de-DE"/>
              </w:rPr>
              <w:t xml:space="preserve"> ce decurg din dispoziţiile Legii 92/29.05.2014 cu privire la energia termică şi promovarea cogenerării:</w:t>
            </w:r>
          </w:p>
          <w:p w14:paraId="609D62EB" w14:textId="77777777" w:rsidR="00BA083C" w:rsidRPr="009C5F11" w:rsidRDefault="00BA083C" w:rsidP="00F4274E">
            <w:pPr>
              <w:tabs>
                <w:tab w:val="left" w:pos="1440"/>
                <w:tab w:val="left" w:pos="5040"/>
                <w:tab w:val="right" w:pos="8504"/>
              </w:tabs>
              <w:spacing w:before="40" w:after="40" w:line="240" w:lineRule="auto"/>
              <w:ind w:firstLine="7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Articolul 12. Analiza potenţialului naţional</w:t>
            </w:r>
          </w:p>
          <w:p w14:paraId="10E8A871" w14:textId="77777777" w:rsidR="00BA083C" w:rsidRPr="009C5F11" w:rsidRDefault="00BA083C" w:rsidP="00F4274E">
            <w:pPr>
              <w:tabs>
                <w:tab w:val="left" w:pos="1440"/>
                <w:tab w:val="left" w:pos="5040"/>
                <w:tab w:val="right" w:pos="8504"/>
              </w:tabs>
              <w:spacing w:before="40" w:after="0" w:line="240" w:lineRule="auto"/>
              <w:ind w:left="7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(1) Organul central de specialitate al administraţiei publice în sectorul termoenergetic efectuează o evaluare cuprinzătoare a potenţialului de aplicare a cogenerării de înaltă eficienţă şi a sistemelor centralizate de alimentare cu energie termică eficiente din punct de vedere energetic. Această analiză trebuie să conţină informaţiile prevăzute în Anexa 3.</w:t>
            </w:r>
          </w:p>
          <w:p w14:paraId="4892AD13" w14:textId="77777777" w:rsidR="00BA083C" w:rsidRPr="009C5F11" w:rsidRDefault="00BA083C" w:rsidP="00F4274E">
            <w:pPr>
              <w:tabs>
                <w:tab w:val="left" w:pos="1440"/>
                <w:tab w:val="left" w:pos="5040"/>
                <w:tab w:val="right" w:pos="8504"/>
              </w:tabs>
              <w:spacing w:after="0" w:line="240" w:lineRule="auto"/>
              <w:ind w:left="7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 Organul central de specialitate al administraţiei publice în sectorul termoenergetic asigură, la fiecare 5 ani, actualizarea evaluării efectuate conform alineatul (1).</w:t>
            </w:r>
          </w:p>
          <w:p w14:paraId="3E068A51"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p w14:paraId="1BF52C28"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Dispoziţiile principale ale Legii</w:t>
            </w:r>
            <w:r w:rsidRPr="009C5F11">
              <w:rPr>
                <w:rFonts w:ascii="Times New Roman" w:hAnsi="Times New Roman" w:cs="Times New Roman"/>
                <w:sz w:val="18"/>
                <w:szCs w:val="14"/>
                <w:lang w:val="ro-RO" w:eastAsia="de-DE"/>
              </w:rPr>
              <w:t xml:space="preserve"> 92/29.05.2014</w:t>
            </w:r>
          </w:p>
          <w:p w14:paraId="27ABAF22" w14:textId="77777777" w:rsidR="00BA083C" w:rsidRPr="009C5F11" w:rsidRDefault="00BA083C" w:rsidP="00F4274E">
            <w:pPr>
              <w:tabs>
                <w:tab w:val="left" w:pos="1440"/>
                <w:tab w:val="left" w:pos="5040"/>
                <w:tab w:val="right" w:pos="8504"/>
              </w:tabs>
              <w:spacing w:after="0" w:line="240" w:lineRule="auto"/>
              <w:ind w:left="72"/>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Anexa 3 la Lege este pe deplin conformă cu Anexa VIII la DEE, indicând conţinutul evaluării cuprinzătoare a potenţialului naţional de încălzire şi răcire, menţionată la Articolul 14 alineatul (1).</w:t>
            </w:r>
          </w:p>
          <w:p w14:paraId="006A7276" w14:textId="77777777" w:rsidR="00BA083C" w:rsidRPr="009C5F11" w:rsidRDefault="00BA083C" w:rsidP="00F4274E">
            <w:pPr>
              <w:tabs>
                <w:tab w:val="left" w:pos="1440"/>
                <w:tab w:val="left" w:pos="5040"/>
                <w:tab w:val="right" w:pos="8504"/>
              </w:tabs>
              <w:spacing w:after="0" w:line="240" w:lineRule="auto"/>
              <w:ind w:left="72"/>
              <w:jc w:val="both"/>
              <w:rPr>
                <w:rFonts w:ascii="Times New Roman" w:hAnsi="Times New Roman" w:cs="Times New Roman"/>
                <w:sz w:val="18"/>
                <w:szCs w:val="14"/>
                <w:lang w:val="ro-RO"/>
              </w:rPr>
            </w:pPr>
          </w:p>
          <w:p w14:paraId="0EB5DACF" w14:textId="77777777" w:rsidR="00BA083C" w:rsidRPr="009C5F11" w:rsidRDefault="00BA083C" w:rsidP="00F4274E">
            <w:pPr>
              <w:tabs>
                <w:tab w:val="left" w:pos="1440"/>
                <w:tab w:val="left" w:pos="5040"/>
                <w:tab w:val="right" w:pos="8504"/>
              </w:tabs>
              <w:spacing w:after="0" w:line="240" w:lineRule="auto"/>
              <w:ind w:left="72"/>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Primul pas este adoptarea Acordului de cooperare pentru sporirea eficienţei energetice pe baza investiţiilor în staţiile de cogenerare (CET)” semnat de GET şi ME în septembrie 2015.</w:t>
            </w:r>
          </w:p>
        </w:tc>
      </w:tr>
      <w:tr w:rsidR="00BA083C" w:rsidRPr="009C5F11" w14:paraId="6F3096FD" w14:textId="77777777" w:rsidTr="00F4274E">
        <w:trPr>
          <w:trHeight w:val="278"/>
        </w:trPr>
        <w:tc>
          <w:tcPr>
            <w:tcW w:w="743" w:type="pct"/>
            <w:vMerge/>
          </w:tcPr>
          <w:p w14:paraId="6B2CD65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228ACA4"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5D73D6FC"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Fondurile pentru acţiunea: “</w:t>
            </w:r>
            <w:r w:rsidRPr="009C5F11">
              <w:rPr>
                <w:rFonts w:ascii="Times New Roman" w:hAnsi="Times New Roman" w:cs="Times New Roman"/>
                <w:i/>
                <w:sz w:val="18"/>
                <w:szCs w:val="14"/>
                <w:lang w:val="ro-RO" w:eastAsia="de-DE"/>
              </w:rPr>
              <w:t>Implementarea politicii de stat privind eficienţa energetică şi sursele regenerabile de energie</w:t>
            </w:r>
            <w:r w:rsidRPr="009C5F11">
              <w:rPr>
                <w:rFonts w:ascii="Times New Roman" w:hAnsi="Times New Roman" w:cs="Times New Roman"/>
                <w:sz w:val="18"/>
                <w:szCs w:val="14"/>
                <w:lang w:val="ro-RO" w:eastAsia="de-DE"/>
              </w:rPr>
              <w:t>“ în cadrul Strategiei sectoriale de cheltuieli în domeniul energetic includ:</w:t>
            </w:r>
          </w:p>
          <w:p w14:paraId="400B5F5B" w14:textId="77777777" w:rsidR="00BA083C" w:rsidRPr="009C5F11" w:rsidRDefault="00BA083C" w:rsidP="00F4274E">
            <w:pPr>
              <w:tabs>
                <w:tab w:val="left" w:pos="1440"/>
                <w:tab w:val="left" w:pos="5040"/>
                <w:tab w:val="right" w:pos="8504"/>
              </w:tabs>
              <w:spacing w:before="40" w:after="0" w:line="240" w:lineRule="auto"/>
              <w:ind w:firstLine="342"/>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2016-2018 </w:t>
            </w:r>
          </w:p>
          <w:p w14:paraId="0F560FC9" w14:textId="77777777" w:rsidR="003F55A5" w:rsidRPr="009C5F11" w:rsidRDefault="00BA083C" w:rsidP="00F4274E">
            <w:pPr>
              <w:tabs>
                <w:tab w:val="left" w:pos="1440"/>
                <w:tab w:val="left" w:pos="5040"/>
                <w:tab w:val="right" w:pos="8504"/>
              </w:tabs>
              <w:spacing w:before="40" w:after="0" w:line="240" w:lineRule="auto"/>
              <w:ind w:firstLine="34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2016         </w:t>
            </w:r>
            <w:r w:rsidR="003F55A5" w:rsidRPr="009C5F11">
              <w:rPr>
                <w:rFonts w:ascii="Times New Roman" w:hAnsi="Times New Roman" w:cs="Times New Roman"/>
                <w:sz w:val="18"/>
                <w:szCs w:val="14"/>
                <w:lang w:val="ro-RO" w:eastAsia="de-DE"/>
              </w:rPr>
              <w:t>19,426.2   mii lei</w:t>
            </w:r>
          </w:p>
          <w:p w14:paraId="73A850CE" w14:textId="77777777" w:rsidR="003F55A5" w:rsidRPr="009C5F11" w:rsidRDefault="00BA083C" w:rsidP="00F4274E">
            <w:pPr>
              <w:tabs>
                <w:tab w:val="left" w:pos="1440"/>
                <w:tab w:val="left" w:pos="5040"/>
                <w:tab w:val="right" w:pos="8504"/>
              </w:tabs>
              <w:spacing w:before="40" w:after="0" w:line="240" w:lineRule="auto"/>
              <w:ind w:firstLine="34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2017         </w:t>
            </w:r>
            <w:r w:rsidR="003F55A5" w:rsidRPr="009C5F11">
              <w:rPr>
                <w:rFonts w:ascii="Times New Roman" w:hAnsi="Times New Roman" w:cs="Times New Roman"/>
                <w:sz w:val="18"/>
                <w:szCs w:val="14"/>
                <w:lang w:val="ro-RO" w:eastAsia="de-DE"/>
              </w:rPr>
              <w:t>24,946.6   mii lei</w:t>
            </w:r>
          </w:p>
          <w:p w14:paraId="1B30F748" w14:textId="77777777" w:rsidR="00BA083C" w:rsidRPr="009C5F11" w:rsidRDefault="00BA083C" w:rsidP="00F4274E">
            <w:pPr>
              <w:tabs>
                <w:tab w:val="left" w:pos="1440"/>
                <w:tab w:val="left" w:pos="5040"/>
                <w:tab w:val="right" w:pos="8504"/>
              </w:tabs>
              <w:spacing w:before="40" w:after="0" w:line="240" w:lineRule="auto"/>
              <w:ind w:firstLine="34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w:t>
            </w:r>
            <w:r w:rsidR="003F55A5" w:rsidRPr="009C5F11">
              <w:rPr>
                <w:rFonts w:ascii="Times New Roman" w:hAnsi="Times New Roman" w:cs="Times New Roman"/>
                <w:sz w:val="18"/>
                <w:szCs w:val="14"/>
                <w:lang w:val="ro-RO" w:eastAsia="de-DE"/>
              </w:rPr>
              <w:t xml:space="preserve">         25,862.7  mii lei</w:t>
            </w:r>
          </w:p>
          <w:p w14:paraId="408B5627" w14:textId="77777777" w:rsidR="00BA083C" w:rsidRPr="009C5F11" w:rsidRDefault="00BA083C" w:rsidP="00F4274E">
            <w:pPr>
              <w:tabs>
                <w:tab w:val="left" w:pos="1440"/>
                <w:tab w:val="left" w:pos="5040"/>
                <w:tab w:val="right" w:pos="8504"/>
              </w:tabs>
              <w:spacing w:before="40" w:after="0" w:line="240" w:lineRule="auto"/>
              <w:ind w:firstLine="342"/>
              <w:rPr>
                <w:rFonts w:ascii="Times New Roman" w:hAnsi="Times New Roman" w:cs="Times New Roman"/>
                <w:sz w:val="18"/>
                <w:szCs w:val="14"/>
                <w:lang w:val="ro-RO" w:eastAsia="de-DE"/>
              </w:rPr>
            </w:pPr>
          </w:p>
          <w:p w14:paraId="3C74FD92"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Cu toate acestea, astfel de fonduri limitate ar putea să fie insuficiente pentru a realiza o evaluare cuprinzătoare a potenţialului de cogenerare. Ulterior, ME şi AEE ar trebui să depună eforturi pentru a atrage, în timp util, fonduri din partea donatorilor în vederea sprijinirii conformităţii cu directiva şi legislaţia naţională aplicabile.</w:t>
            </w:r>
          </w:p>
        </w:tc>
      </w:tr>
      <w:tr w:rsidR="00BA083C" w:rsidRPr="009C5F11" w14:paraId="6615C0B4" w14:textId="77777777" w:rsidTr="00F4274E">
        <w:trPr>
          <w:trHeight w:val="74"/>
        </w:trPr>
        <w:tc>
          <w:tcPr>
            <w:tcW w:w="743" w:type="pct"/>
            <w:vMerge/>
          </w:tcPr>
          <w:p w14:paraId="361D56A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E92307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695B13DC"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p>
        </w:tc>
      </w:tr>
      <w:tr w:rsidR="00BA083C" w:rsidRPr="009C5F11" w14:paraId="35E2A7E2" w14:textId="77777777" w:rsidTr="00F4274E">
        <w:trPr>
          <w:trHeight w:val="67"/>
        </w:trPr>
        <w:tc>
          <w:tcPr>
            <w:tcW w:w="743" w:type="pct"/>
            <w:vMerge/>
          </w:tcPr>
          <w:p w14:paraId="6B8E94C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7EF6D6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174464FB"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2D40E88A" w14:textId="77777777" w:rsidTr="00F4274E">
        <w:trPr>
          <w:trHeight w:val="233"/>
        </w:trPr>
        <w:tc>
          <w:tcPr>
            <w:tcW w:w="743" w:type="pct"/>
            <w:vMerge w:val="restart"/>
          </w:tcPr>
          <w:p w14:paraId="534F538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254363D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255AF39F"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5A5" w:rsidRPr="009C5F11">
              <w:rPr>
                <w:rFonts w:ascii="Times New Roman" w:hAnsi="Times New Roman" w:cs="Times New Roman"/>
                <w:sz w:val="18"/>
                <w:szCs w:val="14"/>
                <w:lang w:val="ro-RO" w:eastAsia="de-DE"/>
              </w:rPr>
              <w:t>/A</w:t>
            </w:r>
          </w:p>
        </w:tc>
      </w:tr>
      <w:tr w:rsidR="00BA083C" w:rsidRPr="009C5F11" w14:paraId="59DE8417" w14:textId="77777777" w:rsidTr="00F4274E">
        <w:trPr>
          <w:trHeight w:val="296"/>
        </w:trPr>
        <w:tc>
          <w:tcPr>
            <w:tcW w:w="743" w:type="pct"/>
            <w:vMerge/>
          </w:tcPr>
          <w:p w14:paraId="2E25BE7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907B36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3779E1F7"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5A5" w:rsidRPr="009C5F11">
              <w:rPr>
                <w:rFonts w:ascii="Times New Roman" w:hAnsi="Times New Roman" w:cs="Times New Roman"/>
                <w:sz w:val="18"/>
                <w:szCs w:val="14"/>
                <w:lang w:val="ro-RO" w:eastAsia="de-DE"/>
              </w:rPr>
              <w:t>/A</w:t>
            </w:r>
          </w:p>
        </w:tc>
      </w:tr>
      <w:tr w:rsidR="00BA083C" w:rsidRPr="009C5F11" w14:paraId="1604DB33" w14:textId="77777777" w:rsidTr="00F4274E">
        <w:trPr>
          <w:trHeight w:val="233"/>
        </w:trPr>
        <w:tc>
          <w:tcPr>
            <w:tcW w:w="743" w:type="pct"/>
            <w:vMerge/>
          </w:tcPr>
          <w:p w14:paraId="487E4B82"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0239C4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6130539F"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5A5" w:rsidRPr="009C5F11">
              <w:rPr>
                <w:rFonts w:ascii="Times New Roman" w:hAnsi="Times New Roman" w:cs="Times New Roman"/>
                <w:sz w:val="18"/>
                <w:szCs w:val="14"/>
                <w:lang w:val="ro-RO" w:eastAsia="de-DE"/>
              </w:rPr>
              <w:t>/A</w:t>
            </w:r>
          </w:p>
        </w:tc>
      </w:tr>
      <w:tr w:rsidR="00BA083C" w:rsidRPr="009C5F11" w14:paraId="2359DEE6" w14:textId="77777777" w:rsidTr="00F4274E">
        <w:trPr>
          <w:trHeight w:val="125"/>
        </w:trPr>
        <w:tc>
          <w:tcPr>
            <w:tcW w:w="743" w:type="pct"/>
            <w:vMerge/>
          </w:tcPr>
          <w:p w14:paraId="5359DE3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9AF922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tcPr>
          <w:p w14:paraId="1F874474"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5A5" w:rsidRPr="009C5F11">
              <w:rPr>
                <w:rFonts w:ascii="Times New Roman" w:hAnsi="Times New Roman" w:cs="Times New Roman"/>
                <w:sz w:val="18"/>
                <w:szCs w:val="14"/>
                <w:lang w:val="ro-RO" w:eastAsia="de-DE"/>
              </w:rPr>
              <w:t>/A</w:t>
            </w:r>
          </w:p>
        </w:tc>
      </w:tr>
      <w:tr w:rsidR="00BA083C" w:rsidRPr="009C5F11" w14:paraId="49EF677C" w14:textId="77777777" w:rsidTr="00F4274E">
        <w:trPr>
          <w:trHeight w:val="75"/>
        </w:trPr>
        <w:tc>
          <w:tcPr>
            <w:tcW w:w="743" w:type="pct"/>
            <w:vMerge/>
          </w:tcPr>
          <w:p w14:paraId="49C8DF57"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A2CF8E1" w14:textId="77777777" w:rsidR="00BA083C" w:rsidRPr="009C5F11" w:rsidRDefault="003F55A5"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Presiupuneri</w:t>
            </w:r>
          </w:p>
        </w:tc>
        <w:tc>
          <w:tcPr>
            <w:tcW w:w="3244" w:type="pct"/>
          </w:tcPr>
          <w:p w14:paraId="6A549545"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r>
      <w:tr w:rsidR="00BA083C" w:rsidRPr="009C5F11" w14:paraId="2C9CDDC3" w14:textId="77777777" w:rsidTr="00F4274E">
        <w:trPr>
          <w:trHeight w:val="242"/>
        </w:trPr>
        <w:tc>
          <w:tcPr>
            <w:tcW w:w="743" w:type="pct"/>
            <w:vMerge/>
          </w:tcPr>
          <w:p w14:paraId="0061DDB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583448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57E94F87" w14:textId="77777777" w:rsidR="00BA083C" w:rsidRPr="009C5F11" w:rsidRDefault="00BA083C" w:rsidP="00F4274E">
            <w:pPr>
              <w:tabs>
                <w:tab w:val="left" w:pos="1440"/>
                <w:tab w:val="left" w:pos="5040"/>
              </w:tabs>
              <w:spacing w:after="0" w:line="240" w:lineRule="auto"/>
              <w:rPr>
                <w:rFonts w:ascii="Times New Roman" w:hAnsi="Times New Roman" w:cs="Times New Roman"/>
                <w:i/>
                <w:sz w:val="18"/>
                <w:szCs w:val="14"/>
                <w:lang w:val="ro-RO"/>
              </w:rPr>
            </w:pPr>
          </w:p>
        </w:tc>
      </w:tr>
    </w:tbl>
    <w:p w14:paraId="18F45503" w14:textId="77777777" w:rsidR="00BA083C" w:rsidRPr="009C5F11" w:rsidRDefault="00BA083C" w:rsidP="00BA083C">
      <w:pPr>
        <w:shd w:val="clear" w:color="auto" w:fill="FFFFFF"/>
        <w:spacing w:after="0" w:line="240" w:lineRule="auto"/>
        <w:jc w:val="both"/>
        <w:rPr>
          <w:rFonts w:ascii="Times New Roman" w:hAnsi="Times New Roman" w:cs="Times New Roman"/>
          <w:sz w:val="24"/>
          <w:lang w:val="ro-RO"/>
        </w:rPr>
      </w:pPr>
      <w:r w:rsidRPr="009C5F11">
        <w:rPr>
          <w:rFonts w:ascii="Times New Roman" w:hAnsi="Times New Roman" w:cs="Times New Roman"/>
          <w:sz w:val="24"/>
          <w:lang w:val="ro-RO"/>
        </w:rPr>
        <w:br w:type="page"/>
      </w:r>
    </w:p>
    <w:p w14:paraId="706E1F64" w14:textId="77777777" w:rsidR="00BA083C" w:rsidRPr="00D9464A" w:rsidRDefault="00BA083C" w:rsidP="00BA083C">
      <w:pPr>
        <w:pStyle w:val="Titlu4"/>
        <w:rPr>
          <w:rFonts w:ascii="Times New Roman" w:hAnsi="Times New Roman" w:cs="Times New Roman"/>
          <w:b/>
          <w:color w:val="000000" w:themeColor="text1"/>
          <w:sz w:val="28"/>
          <w:lang w:val="ro-RO"/>
        </w:rPr>
      </w:pPr>
      <w:bookmarkStart w:id="221" w:name="_Toc274304030"/>
      <w:bookmarkStart w:id="222" w:name="_Toc319555403"/>
      <w:bookmarkStart w:id="223" w:name="_Ref319621684"/>
      <w:bookmarkStart w:id="224" w:name="_Toc322013169"/>
      <w:r w:rsidRPr="00D9464A">
        <w:rPr>
          <w:rFonts w:ascii="Times New Roman" w:hAnsi="Times New Roman" w:cs="Times New Roman"/>
          <w:b/>
          <w:color w:val="000000" w:themeColor="text1"/>
          <w:sz w:val="28"/>
          <w:lang w:val="ro-RO"/>
        </w:rPr>
        <w:lastRenderedPageBreak/>
        <w:t xml:space="preserve">Măsuri în </w:t>
      </w:r>
      <w:bookmarkEnd w:id="221"/>
      <w:bookmarkEnd w:id="222"/>
      <w:bookmarkEnd w:id="223"/>
      <w:r w:rsidRPr="00D9464A">
        <w:rPr>
          <w:rFonts w:ascii="Times New Roman" w:hAnsi="Times New Roman" w:cs="Times New Roman"/>
          <w:b/>
          <w:color w:val="000000" w:themeColor="text1"/>
          <w:sz w:val="28"/>
          <w:lang w:val="ro-RO"/>
        </w:rPr>
        <w:t>sectorul de mobilitate</w:t>
      </w:r>
      <w:bookmarkEnd w:id="224"/>
    </w:p>
    <w:p w14:paraId="4BB72E39" w14:textId="5E5AFA33" w:rsidR="00BA083C" w:rsidRPr="009C5F11" w:rsidRDefault="00BA083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Măsurile din sectorul de mobilitate includ diverse acţiuni realizate în transportul public, acoperind şi utilizarea individuală a vehiculelor, care sunt prezentate în </w:t>
      </w:r>
      <w:r w:rsidR="003A6ADB" w:rsidRPr="009C5F11">
        <w:rPr>
          <w:rFonts w:ascii="Times New Roman" w:hAnsi="Times New Roman" w:cs="Times New Roman"/>
          <w:sz w:val="24"/>
          <w:lang w:val="ro-RO"/>
        </w:rPr>
        <w:fldChar w:fldCharType="begin"/>
      </w:r>
      <w:r w:rsidRPr="009C5F11">
        <w:rPr>
          <w:rFonts w:ascii="Times New Roman" w:hAnsi="Times New Roman" w:cs="Times New Roman"/>
          <w:sz w:val="24"/>
          <w:lang w:val="ro-RO"/>
        </w:rPr>
        <w:instrText xml:space="preserve"> REF _Ref319623363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21</w:t>
      </w:r>
      <w:r w:rsidR="003A6ADB" w:rsidRPr="009C5F11">
        <w:rPr>
          <w:rFonts w:ascii="Times New Roman" w:hAnsi="Times New Roman" w:cs="Times New Roman"/>
          <w:sz w:val="24"/>
          <w:lang w:val="ro-RO"/>
        </w:rPr>
        <w:fldChar w:fldCharType="end"/>
      </w:r>
      <w:r w:rsidRPr="009C5F11">
        <w:rPr>
          <w:rFonts w:ascii="Times New Roman" w:hAnsi="Times New Roman" w:cs="Times New Roman"/>
          <w:sz w:val="24"/>
          <w:lang w:val="ro-RO"/>
        </w:rPr>
        <w:t xml:space="preserve"> de mai jos.</w:t>
      </w:r>
    </w:p>
    <w:p w14:paraId="4D7513F4" w14:textId="77777777" w:rsidR="00BA083C" w:rsidRPr="009C5F11" w:rsidRDefault="00BA083C" w:rsidP="00BA083C">
      <w:pPr>
        <w:spacing w:before="120" w:after="120" w:line="240" w:lineRule="auto"/>
        <w:jc w:val="both"/>
        <w:textAlignment w:val="baseline"/>
        <w:rPr>
          <w:rFonts w:ascii="Times New Roman" w:hAnsi="Times New Roman" w:cs="Times New Roman"/>
          <w:sz w:val="24"/>
          <w:lang w:val="ro-RO"/>
        </w:rPr>
      </w:pPr>
    </w:p>
    <w:p w14:paraId="1F8B49EA" w14:textId="77777777" w:rsidR="00BA083C" w:rsidRPr="009C5F11" w:rsidRDefault="00BA083C" w:rsidP="00BA083C">
      <w:pPr>
        <w:pStyle w:val="Legend"/>
        <w:keepNext/>
        <w:jc w:val="center"/>
        <w:rPr>
          <w:rFonts w:ascii="Times New Roman" w:hAnsi="Times New Roman" w:cs="Times New Roman"/>
          <w:sz w:val="22"/>
          <w:lang w:val="ro-RO"/>
        </w:rPr>
      </w:pPr>
      <w:bookmarkStart w:id="225" w:name="_Ref319623363"/>
      <w:bookmarkStart w:id="226" w:name="_Toc322013244"/>
      <w:r w:rsidRPr="009C5F11">
        <w:rPr>
          <w:rFonts w:ascii="Times New Roman" w:hAnsi="Times New Roman" w:cs="Times New Roman"/>
          <w:sz w:val="22"/>
          <w:lang w:val="ro-RO"/>
        </w:rPr>
        <w:t xml:space="preserve">Tabelul </w:t>
      </w:r>
      <w:r w:rsidR="003A6ADB" w:rsidRPr="009C5F11">
        <w:rPr>
          <w:rFonts w:ascii="Times New Roman" w:hAnsi="Times New Roman" w:cs="Times New Roman"/>
          <w:sz w:val="22"/>
          <w:lang w:val="ro-RO"/>
        </w:rPr>
        <w:fldChar w:fldCharType="begin"/>
      </w:r>
      <w:r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21</w:t>
      </w:r>
      <w:r w:rsidR="003A6ADB" w:rsidRPr="009C5F11">
        <w:rPr>
          <w:rFonts w:ascii="Times New Roman" w:hAnsi="Times New Roman" w:cs="Times New Roman"/>
          <w:sz w:val="22"/>
          <w:lang w:val="ro-RO"/>
        </w:rPr>
        <w:fldChar w:fldCharType="end"/>
      </w:r>
      <w:bookmarkEnd w:id="225"/>
      <w:r w:rsidRPr="009C5F11">
        <w:rPr>
          <w:rFonts w:ascii="Times New Roman" w:hAnsi="Times New Roman" w:cs="Times New Roman"/>
          <w:sz w:val="22"/>
          <w:lang w:val="ro-RO"/>
        </w:rPr>
        <w:t xml:space="preserve"> – </w:t>
      </w:r>
      <w:r w:rsidR="004D0283" w:rsidRPr="009C5F11">
        <w:rPr>
          <w:rFonts w:ascii="Times New Roman" w:hAnsi="Times New Roman" w:cs="Times New Roman"/>
          <w:sz w:val="22"/>
          <w:lang w:val="ro-RO"/>
        </w:rPr>
        <w:t>Privire de ansamblu</w:t>
      </w:r>
      <w:r w:rsidRPr="009C5F11">
        <w:rPr>
          <w:rFonts w:ascii="Times New Roman" w:hAnsi="Times New Roman" w:cs="Times New Roman"/>
          <w:sz w:val="22"/>
          <w:lang w:val="ro-RO"/>
        </w:rPr>
        <w:t xml:space="preserve"> a măsurilor individuale din sectorul transporturilor.</w:t>
      </w:r>
      <w:bookmarkEnd w:id="226"/>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A0" w:firstRow="1" w:lastRow="0" w:firstColumn="1" w:lastColumn="0" w:noHBand="0" w:noVBand="0"/>
      </w:tblPr>
      <w:tblGrid>
        <w:gridCol w:w="531"/>
        <w:gridCol w:w="1924"/>
        <w:gridCol w:w="1361"/>
        <w:gridCol w:w="1186"/>
        <w:gridCol w:w="991"/>
        <w:gridCol w:w="991"/>
        <w:gridCol w:w="1083"/>
        <w:gridCol w:w="1176"/>
      </w:tblGrid>
      <w:tr w:rsidR="00BA083C" w:rsidRPr="009C5F11" w14:paraId="1125FC3E" w14:textId="77777777" w:rsidTr="00F4274E">
        <w:tc>
          <w:tcPr>
            <w:tcW w:w="300" w:type="pct"/>
            <w:tcBorders>
              <w:bottom w:val="single" w:sz="8" w:space="0" w:color="FFFFFF" w:themeColor="background1"/>
            </w:tcBorders>
            <w:shd w:val="clear" w:color="auto" w:fill="000080"/>
          </w:tcPr>
          <w:p w14:paraId="3D9F5A6B" w14:textId="77777777"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nr.</w:t>
            </w:r>
          </w:p>
        </w:tc>
        <w:tc>
          <w:tcPr>
            <w:tcW w:w="1054" w:type="pct"/>
            <w:tcBorders>
              <w:bottom w:val="single" w:sz="8" w:space="0" w:color="FFFFFF" w:themeColor="background1"/>
            </w:tcBorders>
            <w:shd w:val="clear" w:color="auto" w:fill="000080"/>
          </w:tcPr>
          <w:p w14:paraId="255C8E7E" w14:textId="77777777"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Denumirea măsurii de economisire a energiei</w:t>
            </w:r>
            <w:r w:rsidRPr="009C5F11">
              <w:rPr>
                <w:rFonts w:ascii="Times New Roman" w:hAnsi="Times New Roman" w:cs="Times New Roman"/>
                <w:b/>
                <w:sz w:val="18"/>
                <w:szCs w:val="14"/>
                <w:lang w:val="ro-RO"/>
              </w:rPr>
              <w:br/>
            </w:r>
          </w:p>
        </w:tc>
        <w:tc>
          <w:tcPr>
            <w:tcW w:w="749" w:type="pct"/>
            <w:tcBorders>
              <w:bottom w:val="single" w:sz="8" w:space="0" w:color="FFFFFF" w:themeColor="background1"/>
            </w:tcBorders>
            <w:shd w:val="clear" w:color="auto" w:fill="000080"/>
          </w:tcPr>
          <w:p w14:paraId="6AD34685" w14:textId="77777777"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Utilizatorul final vizat</w:t>
            </w:r>
          </w:p>
        </w:tc>
        <w:tc>
          <w:tcPr>
            <w:tcW w:w="549" w:type="pct"/>
            <w:tcBorders>
              <w:bottom w:val="single" w:sz="8" w:space="0" w:color="FFFFFF" w:themeColor="background1"/>
            </w:tcBorders>
            <w:shd w:val="clear" w:color="auto" w:fill="000080"/>
          </w:tcPr>
          <w:p w14:paraId="464558D9" w14:textId="77777777"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Durata</w:t>
            </w:r>
          </w:p>
        </w:tc>
        <w:tc>
          <w:tcPr>
            <w:tcW w:w="549" w:type="pct"/>
            <w:tcBorders>
              <w:bottom w:val="single" w:sz="8" w:space="0" w:color="FFFFFF" w:themeColor="background1"/>
            </w:tcBorders>
            <w:shd w:val="clear" w:color="auto" w:fill="000080"/>
          </w:tcPr>
          <w:p w14:paraId="6D6E5279" w14:textId="77777777"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obţinute în 2016 (ktep)</w:t>
            </w:r>
          </w:p>
        </w:tc>
        <w:tc>
          <w:tcPr>
            <w:tcW w:w="549" w:type="pct"/>
            <w:tcBorders>
              <w:bottom w:val="single" w:sz="8" w:space="0" w:color="FFFFFF" w:themeColor="background1"/>
            </w:tcBorders>
            <w:shd w:val="clear" w:color="auto" w:fill="000080"/>
          </w:tcPr>
          <w:p w14:paraId="3C5EDD66" w14:textId="77777777"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prevăzute în 2020 (ktep)</w:t>
            </w:r>
          </w:p>
        </w:tc>
        <w:tc>
          <w:tcPr>
            <w:tcW w:w="599" w:type="pct"/>
            <w:tcBorders>
              <w:bottom w:val="single" w:sz="8" w:space="0" w:color="FFFFFF" w:themeColor="background1"/>
            </w:tcBorders>
            <w:shd w:val="clear" w:color="auto" w:fill="000080"/>
          </w:tcPr>
          <w:p w14:paraId="1E606C32" w14:textId="77777777"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Situaţia în raport cu primul PNAEE</w:t>
            </w:r>
          </w:p>
        </w:tc>
        <w:tc>
          <w:tcPr>
            <w:tcW w:w="649" w:type="pct"/>
            <w:tcBorders>
              <w:bottom w:val="single" w:sz="8" w:space="0" w:color="FFFFFF" w:themeColor="background1"/>
            </w:tcBorders>
            <w:shd w:val="clear" w:color="auto" w:fill="000080"/>
          </w:tcPr>
          <w:p w14:paraId="74238158" w14:textId="77777777"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Comentarii adiţionale</w:t>
            </w:r>
          </w:p>
        </w:tc>
      </w:tr>
      <w:tr w:rsidR="00BA083C" w:rsidRPr="009C5F11" w14:paraId="175D482A" w14:textId="77777777" w:rsidTr="00F4274E">
        <w:tc>
          <w:tcPr>
            <w:tcW w:w="300" w:type="pct"/>
            <w:shd w:val="clear" w:color="auto" w:fill="99CCFF"/>
          </w:tcPr>
          <w:p w14:paraId="794A7FF5" w14:textId="77777777" w:rsidR="00BA083C" w:rsidRPr="009C5F11" w:rsidRDefault="00BA083C" w:rsidP="00FB2554">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T.1.</w:t>
            </w:r>
          </w:p>
        </w:tc>
        <w:tc>
          <w:tcPr>
            <w:tcW w:w="1054" w:type="pct"/>
            <w:shd w:val="clear" w:color="auto" w:fill="99CCFF"/>
          </w:tcPr>
          <w:p w14:paraId="3A1BC501" w14:textId="77777777" w:rsidR="00BA083C" w:rsidRPr="009C5F11" w:rsidRDefault="00BA083C" w:rsidP="00FB2554">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Promovarea eficienţei energetice în sectorul transportului terestru</w:t>
            </w:r>
          </w:p>
        </w:tc>
        <w:tc>
          <w:tcPr>
            <w:tcW w:w="749" w:type="pct"/>
            <w:shd w:val="clear" w:color="auto" w:fill="99CCFF"/>
          </w:tcPr>
          <w:p w14:paraId="56617986" w14:textId="77777777" w:rsidR="00BA083C" w:rsidRPr="009C5F11" w:rsidRDefault="00BA083C" w:rsidP="00FB2554">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Transportul public şi privat</w:t>
            </w:r>
          </w:p>
        </w:tc>
        <w:tc>
          <w:tcPr>
            <w:tcW w:w="549" w:type="pct"/>
            <w:shd w:val="clear" w:color="auto" w:fill="99CCFF"/>
          </w:tcPr>
          <w:p w14:paraId="747FF26D" w14:textId="77777777" w:rsidR="00BA083C" w:rsidRPr="009C5F11" w:rsidRDefault="00BA083C" w:rsidP="00FB2554">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p>
          <w:p w14:paraId="6B843D40" w14:textId="77777777" w:rsidR="00BA083C" w:rsidRPr="009C5F11" w:rsidRDefault="00BA083C" w:rsidP="00FB2554">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p>
          <w:p w14:paraId="4B2EB19E" w14:textId="77777777" w:rsidR="00BA083C" w:rsidRPr="009C5F11" w:rsidRDefault="00BA083C" w:rsidP="00FB2554">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31/12/25</w:t>
            </w:r>
          </w:p>
        </w:tc>
        <w:tc>
          <w:tcPr>
            <w:tcW w:w="549" w:type="pct"/>
            <w:shd w:val="clear" w:color="auto" w:fill="99CCFF"/>
          </w:tcPr>
          <w:p w14:paraId="5960CD7E" w14:textId="77777777" w:rsidR="00BA083C" w:rsidRPr="009C5F11" w:rsidRDefault="00BA083C" w:rsidP="00FB2554">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0.124</w:t>
            </w:r>
          </w:p>
        </w:tc>
        <w:tc>
          <w:tcPr>
            <w:tcW w:w="549" w:type="pct"/>
            <w:shd w:val="clear" w:color="auto" w:fill="99CCFF"/>
          </w:tcPr>
          <w:p w14:paraId="71B84578" w14:textId="218B8CCC" w:rsidR="00BA083C" w:rsidRPr="009C5F11" w:rsidRDefault="00BA083C" w:rsidP="00FB2554">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33.7</w:t>
            </w:r>
            <w:r w:rsidR="00B77B09" w:rsidRPr="009C5F11">
              <w:rPr>
                <w:rFonts w:ascii="Times New Roman" w:hAnsi="Times New Roman" w:cs="Times New Roman"/>
                <w:sz w:val="18"/>
                <w:szCs w:val="14"/>
                <w:lang w:val="ro-RO"/>
              </w:rPr>
              <w:t>3</w:t>
            </w:r>
          </w:p>
        </w:tc>
        <w:tc>
          <w:tcPr>
            <w:tcW w:w="599" w:type="pct"/>
            <w:shd w:val="clear" w:color="auto" w:fill="99CCFF"/>
          </w:tcPr>
          <w:p w14:paraId="454DFF9C" w14:textId="77777777" w:rsidR="00BA083C" w:rsidRPr="009C5F11" w:rsidRDefault="00BA083C" w:rsidP="00FB2554">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Preluată din primul PNAEE  </w:t>
            </w:r>
          </w:p>
        </w:tc>
        <w:tc>
          <w:tcPr>
            <w:tcW w:w="649" w:type="pct"/>
            <w:shd w:val="clear" w:color="auto" w:fill="99CCFF"/>
          </w:tcPr>
          <w:p w14:paraId="5C53D69E" w14:textId="77777777" w:rsidR="00BA083C" w:rsidRPr="009C5F11" w:rsidRDefault="00BA083C" w:rsidP="00FB2554">
            <w:pPr>
              <w:spacing w:before="40" w:after="40" w:line="240" w:lineRule="auto"/>
              <w:rPr>
                <w:rFonts w:ascii="Times New Roman" w:hAnsi="Times New Roman" w:cs="Times New Roman"/>
                <w:sz w:val="18"/>
                <w:szCs w:val="14"/>
                <w:lang w:val="ro-RO"/>
              </w:rPr>
            </w:pPr>
          </w:p>
        </w:tc>
      </w:tr>
      <w:tr w:rsidR="00BA083C" w:rsidRPr="009C5F11" w14:paraId="6AA08200" w14:textId="77777777" w:rsidTr="00F4274E">
        <w:tc>
          <w:tcPr>
            <w:tcW w:w="300" w:type="pct"/>
            <w:shd w:val="clear" w:color="auto" w:fill="99CCFF"/>
          </w:tcPr>
          <w:p w14:paraId="70A621C9" w14:textId="77777777" w:rsidR="00BA083C" w:rsidRPr="009C5F11" w:rsidRDefault="00BA083C" w:rsidP="00FB2554">
            <w:pPr>
              <w:spacing w:before="40" w:after="40" w:line="240" w:lineRule="auto"/>
              <w:rPr>
                <w:rFonts w:ascii="Times New Roman" w:hAnsi="Times New Roman" w:cs="Times New Roman"/>
                <w:b/>
                <w:sz w:val="18"/>
                <w:szCs w:val="14"/>
                <w:lang w:val="ro-RO"/>
              </w:rPr>
            </w:pPr>
          </w:p>
        </w:tc>
        <w:tc>
          <w:tcPr>
            <w:tcW w:w="1054" w:type="pct"/>
            <w:shd w:val="clear" w:color="auto" w:fill="99CCFF"/>
          </w:tcPr>
          <w:p w14:paraId="306B1481" w14:textId="77777777" w:rsidR="00BA083C" w:rsidRPr="009C5F11" w:rsidRDefault="00BA083C" w:rsidP="00FB2554">
            <w:pPr>
              <w:spacing w:before="40" w:after="40" w:line="240" w:lineRule="auto"/>
              <w:rPr>
                <w:rFonts w:ascii="Times New Roman" w:hAnsi="Times New Roman" w:cs="Times New Roman"/>
                <w:b/>
                <w:sz w:val="18"/>
                <w:szCs w:val="14"/>
                <w:lang w:val="ro-RO"/>
              </w:rPr>
            </w:pPr>
          </w:p>
        </w:tc>
        <w:tc>
          <w:tcPr>
            <w:tcW w:w="749" w:type="pct"/>
            <w:shd w:val="clear" w:color="auto" w:fill="99CCFF"/>
          </w:tcPr>
          <w:p w14:paraId="16FE75B4" w14:textId="77777777" w:rsidR="00BA083C" w:rsidRPr="009C5F11" w:rsidRDefault="00BA083C" w:rsidP="00FB2554">
            <w:pPr>
              <w:spacing w:before="40" w:after="40" w:line="240" w:lineRule="auto"/>
              <w:rPr>
                <w:rFonts w:ascii="Times New Roman" w:hAnsi="Times New Roman" w:cs="Times New Roman"/>
                <w:b/>
                <w:sz w:val="18"/>
                <w:szCs w:val="14"/>
                <w:lang w:val="ro-RO"/>
              </w:rPr>
            </w:pPr>
          </w:p>
        </w:tc>
        <w:tc>
          <w:tcPr>
            <w:tcW w:w="549" w:type="pct"/>
            <w:shd w:val="clear" w:color="auto" w:fill="99CCFF"/>
          </w:tcPr>
          <w:p w14:paraId="3AF62FE4" w14:textId="77777777"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Suma economiilor:</w:t>
            </w:r>
          </w:p>
        </w:tc>
        <w:tc>
          <w:tcPr>
            <w:tcW w:w="549" w:type="pct"/>
            <w:shd w:val="clear" w:color="auto" w:fill="99CCFF"/>
          </w:tcPr>
          <w:p w14:paraId="11980BD5" w14:textId="77777777"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0.124</w:t>
            </w:r>
          </w:p>
        </w:tc>
        <w:tc>
          <w:tcPr>
            <w:tcW w:w="549" w:type="pct"/>
            <w:shd w:val="clear" w:color="auto" w:fill="99CCFF"/>
          </w:tcPr>
          <w:p w14:paraId="110AA13B" w14:textId="01A53F30" w:rsidR="00BA083C" w:rsidRPr="009C5F11" w:rsidRDefault="00BA083C" w:rsidP="00FB2554">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33.7</w:t>
            </w:r>
            <w:r w:rsidR="00B77B09" w:rsidRPr="009C5F11">
              <w:rPr>
                <w:rFonts w:ascii="Times New Roman" w:hAnsi="Times New Roman" w:cs="Times New Roman"/>
                <w:b/>
                <w:sz w:val="18"/>
                <w:szCs w:val="14"/>
                <w:lang w:val="ro-RO"/>
              </w:rPr>
              <w:t>3</w:t>
            </w:r>
          </w:p>
        </w:tc>
        <w:tc>
          <w:tcPr>
            <w:tcW w:w="599" w:type="pct"/>
            <w:shd w:val="clear" w:color="auto" w:fill="99CCFF"/>
          </w:tcPr>
          <w:p w14:paraId="5FD80669" w14:textId="77777777" w:rsidR="00BA083C" w:rsidRPr="009C5F11" w:rsidRDefault="00BA083C" w:rsidP="00FB2554">
            <w:pPr>
              <w:spacing w:before="40" w:after="40" w:line="240" w:lineRule="auto"/>
              <w:rPr>
                <w:rFonts w:ascii="Times New Roman" w:hAnsi="Times New Roman" w:cs="Times New Roman"/>
                <w:b/>
                <w:sz w:val="18"/>
                <w:szCs w:val="14"/>
                <w:lang w:val="ro-RO"/>
              </w:rPr>
            </w:pPr>
          </w:p>
        </w:tc>
        <w:tc>
          <w:tcPr>
            <w:tcW w:w="649" w:type="pct"/>
            <w:shd w:val="clear" w:color="auto" w:fill="99CCFF"/>
          </w:tcPr>
          <w:p w14:paraId="7D7AC9E6" w14:textId="77777777" w:rsidR="00BA083C" w:rsidRPr="009C5F11" w:rsidRDefault="00BA083C" w:rsidP="00FB2554">
            <w:pPr>
              <w:spacing w:before="40" w:after="40" w:line="240" w:lineRule="auto"/>
              <w:rPr>
                <w:rFonts w:ascii="Times New Roman" w:hAnsi="Times New Roman" w:cs="Times New Roman"/>
                <w:b/>
                <w:sz w:val="18"/>
                <w:szCs w:val="14"/>
                <w:lang w:val="ro-RO"/>
              </w:rPr>
            </w:pPr>
          </w:p>
        </w:tc>
      </w:tr>
    </w:tbl>
    <w:p w14:paraId="2AA8272C" w14:textId="77777777" w:rsidR="00BA083C" w:rsidRPr="009C5F11" w:rsidRDefault="00BA083C" w:rsidP="00BA083C">
      <w:p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Tabelele cu măsuri sunt elaborate şi prezentate în continuare. </w:t>
      </w:r>
    </w:p>
    <w:p w14:paraId="0FF38F6A" w14:textId="77777777" w:rsidR="00BA083C" w:rsidRPr="009C5F11" w:rsidRDefault="00BA083C" w:rsidP="00BA083C">
      <w:pPr>
        <w:spacing w:before="120" w:after="120" w:line="240" w:lineRule="auto"/>
        <w:jc w:val="both"/>
        <w:textAlignment w:val="baseline"/>
        <w:rPr>
          <w:rFonts w:ascii="Times New Roman" w:hAnsi="Times New Roman" w:cs="Times New Roman"/>
          <w:sz w:val="24"/>
          <w:lang w:val="ro-RO"/>
        </w:rPr>
      </w:pPr>
    </w:p>
    <w:p w14:paraId="0DD1937A" w14:textId="77777777" w:rsidR="00BA083C" w:rsidRPr="009C5F11" w:rsidRDefault="00BA083C" w:rsidP="00BA083C">
      <w:pPr>
        <w:spacing w:before="120" w:after="120" w:line="240" w:lineRule="auto"/>
        <w:jc w:val="both"/>
        <w:textAlignment w:val="baseline"/>
        <w:rPr>
          <w:rFonts w:ascii="Times New Roman" w:hAnsi="Times New Roman" w:cs="Times New Roman"/>
          <w:sz w:val="24"/>
          <w:lang w:val="ro-RO"/>
        </w:rPr>
        <w:sectPr w:rsidR="00BA083C" w:rsidRPr="009C5F11" w:rsidSect="00F4274E">
          <w:pgSz w:w="11907" w:h="16840" w:code="9"/>
          <w:pgMar w:top="1440" w:right="1440" w:bottom="1440" w:left="1440" w:header="720" w:footer="720" w:gutter="0"/>
          <w:cols w:space="720"/>
          <w:docGrid w:linePitch="360"/>
        </w:sectPr>
      </w:pPr>
    </w:p>
    <w:p w14:paraId="3C136B1D" w14:textId="77777777" w:rsidR="00BA083C" w:rsidRPr="009C5F11" w:rsidRDefault="00BA083C" w:rsidP="00BA083C">
      <w:pPr>
        <w:spacing w:before="120" w:after="120" w:line="240" w:lineRule="auto"/>
        <w:jc w:val="both"/>
        <w:textAlignment w:val="baseline"/>
        <w:rPr>
          <w:rFonts w:ascii="Times New Roman" w:hAnsi="Times New Roman" w:cs="Times New Roman"/>
          <w:sz w:val="24"/>
          <w:lang w:val="ro-RO"/>
        </w:rPr>
      </w:pPr>
    </w:p>
    <w:p w14:paraId="50010F6D" w14:textId="77777777" w:rsidR="00BA083C" w:rsidRPr="009C5F11" w:rsidRDefault="00BA083C" w:rsidP="00BA083C">
      <w:pPr>
        <w:pStyle w:val="Legend"/>
        <w:keepNext/>
        <w:jc w:val="center"/>
        <w:rPr>
          <w:rFonts w:ascii="Times New Roman" w:hAnsi="Times New Roman" w:cs="Times New Roman"/>
          <w:b/>
          <w:sz w:val="22"/>
          <w:lang w:val="ro-RO"/>
        </w:rPr>
      </w:pPr>
      <w:bookmarkStart w:id="227" w:name="_Toc447248388"/>
      <w:r w:rsidRPr="009C5F11">
        <w:rPr>
          <w:rFonts w:ascii="Times New Roman" w:hAnsi="Times New Roman" w:cs="Times New Roman"/>
          <w:b/>
          <w:sz w:val="22"/>
          <w:lang w:val="ro-RO"/>
        </w:rPr>
        <w:t xml:space="preserve">Tabelul T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Table_T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1</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Promovarea eficienţei energetice în sectorul transportului terestru.</w:t>
      </w:r>
      <w:bookmarkEnd w:id="2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38256D34" w14:textId="77777777" w:rsidTr="00F4274E">
        <w:trPr>
          <w:trHeight w:val="67"/>
        </w:trPr>
        <w:tc>
          <w:tcPr>
            <w:tcW w:w="1756" w:type="pct"/>
            <w:gridSpan w:val="2"/>
          </w:tcPr>
          <w:p w14:paraId="53B9A4E9" w14:textId="77777777" w:rsidR="00BA083C" w:rsidRPr="009C5F11" w:rsidRDefault="00BA083C" w:rsidP="00F4274E">
            <w:pPr>
              <w:tabs>
                <w:tab w:val="left" w:pos="1440"/>
                <w:tab w:val="left" w:pos="5040"/>
                <w:tab w:val="right" w:pos="8504"/>
              </w:tabs>
              <w:spacing w:before="40" w:after="40" w:line="240"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13F85018" w14:textId="77777777" w:rsidR="00BA083C" w:rsidRPr="009C5F11" w:rsidRDefault="00BA083C" w:rsidP="00F4274E">
            <w:pPr>
              <w:tabs>
                <w:tab w:val="left" w:pos="1440"/>
                <w:tab w:val="left" w:pos="5040"/>
                <w:tab w:val="right" w:pos="8504"/>
              </w:tabs>
              <w:spacing w:before="40" w:after="40" w:line="240"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Promovarea eficienţei energetice în sectorul transportului terestru.</w:t>
            </w:r>
          </w:p>
        </w:tc>
      </w:tr>
      <w:tr w:rsidR="00BA083C" w:rsidRPr="009C5F11" w14:paraId="60D0369A" w14:textId="77777777" w:rsidTr="00F4274E">
        <w:trPr>
          <w:trHeight w:val="74"/>
        </w:trPr>
        <w:tc>
          <w:tcPr>
            <w:tcW w:w="1756" w:type="pct"/>
            <w:gridSpan w:val="2"/>
          </w:tcPr>
          <w:p w14:paraId="0EDB3E7B" w14:textId="77777777" w:rsidR="00BA083C" w:rsidRPr="009C5F11" w:rsidRDefault="00BA083C" w:rsidP="00F4274E">
            <w:pPr>
              <w:tabs>
                <w:tab w:val="left" w:pos="1440"/>
                <w:tab w:val="left" w:pos="5040"/>
                <w:tab w:val="right" w:pos="8504"/>
              </w:tabs>
              <w:spacing w:before="40" w:after="40" w:line="240"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0BF8BF51" w14:textId="77777777" w:rsidR="00BA083C" w:rsidRPr="009C5F11" w:rsidRDefault="00BA083C" w:rsidP="00F4274E">
            <w:pPr>
              <w:tabs>
                <w:tab w:val="left" w:pos="1440"/>
                <w:tab w:val="left" w:pos="5040"/>
                <w:tab w:val="right" w:pos="8504"/>
              </w:tabs>
              <w:spacing w:before="40" w:after="4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T1</w:t>
            </w:r>
          </w:p>
        </w:tc>
      </w:tr>
      <w:tr w:rsidR="00BA083C" w:rsidRPr="009C5F11" w14:paraId="7915B3F9" w14:textId="77777777" w:rsidTr="00F4274E">
        <w:trPr>
          <w:trHeight w:val="107"/>
        </w:trPr>
        <w:tc>
          <w:tcPr>
            <w:tcW w:w="743" w:type="pct"/>
            <w:vMerge w:val="restart"/>
          </w:tcPr>
          <w:p w14:paraId="2ECBAA4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p w14:paraId="56505B0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63C20C3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265A810E"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Investiţii, codurile construcţiilor şi punerea în aplicare</w:t>
            </w:r>
          </w:p>
        </w:tc>
      </w:tr>
      <w:tr w:rsidR="00BA083C" w:rsidRPr="009C5F11" w14:paraId="4B6DA404" w14:textId="77777777" w:rsidTr="00F4274E">
        <w:trPr>
          <w:trHeight w:val="476"/>
        </w:trPr>
        <w:tc>
          <w:tcPr>
            <w:tcW w:w="743" w:type="pct"/>
            <w:vMerge/>
          </w:tcPr>
          <w:p w14:paraId="50A6590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18B17DD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6C347777"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Începută: ianuarie 2016. </w:t>
            </w:r>
          </w:p>
          <w:p w14:paraId="33D80771"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decembrie 2025.</w:t>
            </w:r>
          </w:p>
          <w:p w14:paraId="01A25398"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preluată din PNAEE 2013-2015.</w:t>
            </w:r>
          </w:p>
        </w:tc>
      </w:tr>
      <w:tr w:rsidR="00BA083C" w:rsidRPr="009C5F11" w14:paraId="45B34CBA" w14:textId="77777777" w:rsidTr="00F4274E">
        <w:trPr>
          <w:trHeight w:val="107"/>
        </w:trPr>
        <w:tc>
          <w:tcPr>
            <w:tcW w:w="743" w:type="pct"/>
            <w:vMerge/>
          </w:tcPr>
          <w:p w14:paraId="483A1754"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779DC9B4"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7B4FF693" w14:textId="77777777" w:rsidR="00BA083C" w:rsidRPr="009C5F11" w:rsidRDefault="00BA083C" w:rsidP="00F4274E">
            <w:pPr>
              <w:tabs>
                <w:tab w:val="left" w:pos="25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Optimizarea consumului de carburanţi în sectorul transporturilor.</w:t>
            </w:r>
          </w:p>
        </w:tc>
      </w:tr>
      <w:tr w:rsidR="00BA083C" w:rsidRPr="009C5F11" w14:paraId="2940A0F0" w14:textId="77777777" w:rsidTr="00F4274E">
        <w:trPr>
          <w:trHeight w:val="74"/>
        </w:trPr>
        <w:tc>
          <w:tcPr>
            <w:tcW w:w="743" w:type="pct"/>
            <w:vMerge/>
          </w:tcPr>
          <w:p w14:paraId="0A9367F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54094EB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041EB634"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Transportul public şi privat</w:t>
            </w:r>
          </w:p>
        </w:tc>
      </w:tr>
      <w:tr w:rsidR="00BA083C" w:rsidRPr="009C5F11" w14:paraId="6C111AF2" w14:textId="77777777" w:rsidTr="00F4274E">
        <w:trPr>
          <w:trHeight w:val="74"/>
        </w:trPr>
        <w:tc>
          <w:tcPr>
            <w:tcW w:w="743" w:type="pct"/>
            <w:vMerge/>
          </w:tcPr>
          <w:p w14:paraId="2F6AEBE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33E9F40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3142D5CE"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Utilizatorii mijloacelor de transport rutier </w:t>
            </w:r>
          </w:p>
        </w:tc>
      </w:tr>
      <w:tr w:rsidR="00BA083C" w:rsidRPr="009C5F11" w14:paraId="5EB39719" w14:textId="77777777" w:rsidTr="00F4274E">
        <w:trPr>
          <w:trHeight w:val="116"/>
        </w:trPr>
        <w:tc>
          <w:tcPr>
            <w:tcW w:w="743" w:type="pct"/>
            <w:vMerge/>
          </w:tcPr>
          <w:p w14:paraId="6743B15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2AF676EC"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4C3D174C"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BA083C" w:rsidRPr="009C5F11" w14:paraId="1DCAC2B8" w14:textId="77777777" w:rsidTr="00F4274E">
        <w:trPr>
          <w:trHeight w:val="476"/>
        </w:trPr>
        <w:tc>
          <w:tcPr>
            <w:tcW w:w="743" w:type="pct"/>
            <w:vMerge w:val="restart"/>
          </w:tcPr>
          <w:p w14:paraId="2AB887C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043DB424"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shd w:val="clear" w:color="auto" w:fill="auto"/>
          </w:tcPr>
          <w:p w14:paraId="4E346A3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p>
          <w:p w14:paraId="4BDAE4F1" w14:textId="77777777" w:rsidR="00BA083C" w:rsidRPr="009C5F11" w:rsidRDefault="00BA083C" w:rsidP="00334F3B">
            <w:pPr>
              <w:numPr>
                <w:ilvl w:val="0"/>
                <w:numId w:val="138"/>
              </w:numPr>
              <w:tabs>
                <w:tab w:val="left" w:pos="702"/>
                <w:tab w:val="left" w:pos="5040"/>
                <w:tab w:val="right" w:pos="8504"/>
              </w:tabs>
              <w:spacing w:after="40" w:line="240" w:lineRule="auto"/>
              <w:ind w:hanging="288"/>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TRANSPORTUL ÎN CHIŞINĂU</w:t>
            </w:r>
          </w:p>
          <w:p w14:paraId="278DD728" w14:textId="77777777" w:rsidR="00BA083C" w:rsidRPr="00620782"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Pentru </w:t>
            </w:r>
            <w:r w:rsidRPr="00620782">
              <w:rPr>
                <w:rFonts w:ascii="Times New Roman" w:hAnsi="Times New Roman" w:cs="Times New Roman"/>
                <w:sz w:val="18"/>
                <w:szCs w:val="14"/>
                <w:lang w:val="ro-RO" w:eastAsia="de-DE"/>
              </w:rPr>
              <w:t>a reduce în prezent consumul excesiv de energie în transporturi ar trebui să existe stimulente pentru a reduce numărul de vehicule din trafic. Pentru a fi in stare să concureze cu automobilele individuale, serviciile de transport public ar trebui să poată oferi caracteristici de calitate, inclusiv confort şi viteză. În această privinţă, parcul unităţilor de transport public ar trebui reînnoit, iar viteza acestora ar trebui să fie de cel puţin 20 km/oră. Acţiunea sus-menţionată implică investiţii semnificative. Activităţile enumerate în continuare ar putea oferi cadrul necesar pentru obţinerea unor economii de energie:</w:t>
            </w:r>
          </w:p>
          <w:p w14:paraId="0783D8B3" w14:textId="77777777" w:rsidR="00BA083C" w:rsidRPr="009C5F11" w:rsidRDefault="00BA083C" w:rsidP="00334F3B">
            <w:pPr>
              <w:numPr>
                <w:ilvl w:val="0"/>
                <w:numId w:val="139"/>
              </w:numPr>
              <w:tabs>
                <w:tab w:val="left" w:pos="702"/>
                <w:tab w:val="left" w:pos="5040"/>
                <w:tab w:val="right" w:pos="8504"/>
              </w:tabs>
              <w:spacing w:after="0" w:line="240" w:lineRule="auto"/>
              <w:rPr>
                <w:rFonts w:ascii="Times New Roman" w:hAnsi="Times New Roman" w:cs="Times New Roman"/>
                <w:sz w:val="18"/>
                <w:szCs w:val="14"/>
                <w:lang w:val="ro-RO"/>
              </w:rPr>
            </w:pPr>
            <w:r w:rsidRPr="00620782">
              <w:rPr>
                <w:rFonts w:ascii="Times New Roman" w:hAnsi="Times New Roman" w:cs="Times New Roman"/>
                <w:sz w:val="18"/>
                <w:szCs w:val="14"/>
                <w:lang w:val="ro-RO"/>
              </w:rPr>
              <w:t>Adoptarea şi implementarea Strategiei</w:t>
            </w:r>
            <w:r w:rsidRPr="009C5F11">
              <w:rPr>
                <w:rFonts w:ascii="Times New Roman" w:hAnsi="Times New Roman" w:cs="Times New Roman"/>
                <w:sz w:val="18"/>
                <w:szCs w:val="14"/>
                <w:lang w:val="ro-RO"/>
              </w:rPr>
              <w:t xml:space="preserve"> de transport a mun. Chişinău (redactată de BERD, 2014):</w:t>
            </w:r>
          </w:p>
          <w:p w14:paraId="681D0339" w14:textId="77777777" w:rsidR="00BA083C" w:rsidRPr="009C5F11" w:rsidRDefault="00BA083C" w:rsidP="00334F3B">
            <w:pPr>
              <w:numPr>
                <w:ilvl w:val="0"/>
                <w:numId w:val="142"/>
              </w:numPr>
              <w:tabs>
                <w:tab w:val="left" w:pos="1062"/>
                <w:tab w:val="left" w:pos="5040"/>
                <w:tab w:val="right" w:pos="8504"/>
              </w:tabs>
              <w:spacing w:after="0" w:line="240" w:lineRule="auto"/>
              <w:ind w:left="106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Adoptarea unei decizii vizând 2 opţiuni posibile pentru transportul public din Chişinău: autobuzul expres – BRT (</w:t>
            </w:r>
            <w:r w:rsidRPr="009C5F11">
              <w:rPr>
                <w:rFonts w:ascii="Times New Roman" w:hAnsi="Times New Roman" w:cs="Times New Roman"/>
                <w:i/>
                <w:sz w:val="18"/>
                <w:szCs w:val="14"/>
                <w:lang w:val="ro-RO"/>
              </w:rPr>
              <w:t>Bus Rapid Traffic</w:t>
            </w:r>
            <w:r w:rsidRPr="009C5F11">
              <w:rPr>
                <w:rFonts w:ascii="Times New Roman" w:hAnsi="Times New Roman" w:cs="Times New Roman"/>
                <w:sz w:val="18"/>
                <w:szCs w:val="14"/>
                <w:lang w:val="ro-RO"/>
              </w:rPr>
              <w:t>) sau metroul uşor – LRT (Light Metro);</w:t>
            </w:r>
          </w:p>
          <w:p w14:paraId="3C118463" w14:textId="77777777" w:rsidR="00BA083C" w:rsidRPr="009C5F11" w:rsidRDefault="00BA083C" w:rsidP="00334F3B">
            <w:pPr>
              <w:numPr>
                <w:ilvl w:val="0"/>
                <w:numId w:val="142"/>
              </w:numPr>
              <w:tabs>
                <w:tab w:val="left" w:pos="1062"/>
                <w:tab w:val="left" w:pos="1332"/>
                <w:tab w:val="right" w:pos="8504"/>
              </w:tabs>
              <w:spacing w:after="0" w:line="240" w:lineRule="auto"/>
              <w:ind w:left="106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Structurarea serviciului public în 3 niveluri de cerere: ridicat, deservit de troleibuze, mediu, deservit de autobuze şi scăzut, deservit de microbuze, vehicule de dimensiune mijlocie;</w:t>
            </w:r>
          </w:p>
          <w:p w14:paraId="0710AC46" w14:textId="77777777" w:rsidR="00BA083C" w:rsidRPr="009C5F11" w:rsidRDefault="00BA083C" w:rsidP="00334F3B">
            <w:pPr>
              <w:numPr>
                <w:ilvl w:val="0"/>
                <w:numId w:val="142"/>
              </w:numPr>
              <w:tabs>
                <w:tab w:val="left" w:pos="1062"/>
                <w:tab w:val="left" w:pos="5040"/>
                <w:tab w:val="right" w:pos="8504"/>
              </w:tabs>
              <w:spacing w:after="0" w:line="240" w:lineRule="auto"/>
              <w:ind w:left="106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Optimizarea traficului (diametral/radial) pentru a elimina aglomeraţiile/ ambuteiajele în zona centrală;</w:t>
            </w:r>
          </w:p>
          <w:p w14:paraId="25ADB8E5" w14:textId="77777777" w:rsidR="00BA083C" w:rsidRPr="009C5F11" w:rsidRDefault="00BA083C" w:rsidP="00334F3B">
            <w:pPr>
              <w:numPr>
                <w:ilvl w:val="0"/>
                <w:numId w:val="142"/>
              </w:numPr>
              <w:tabs>
                <w:tab w:val="left" w:pos="1062"/>
                <w:tab w:val="left" w:pos="5040"/>
                <w:tab w:val="right" w:pos="8504"/>
              </w:tabs>
              <w:spacing w:after="0" w:line="240" w:lineRule="auto"/>
              <w:ind w:left="106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Ghidarea transportului public prin GPS;</w:t>
            </w:r>
          </w:p>
          <w:p w14:paraId="149AFD44" w14:textId="77777777" w:rsidR="00BA083C" w:rsidRPr="009C5F11" w:rsidRDefault="00BA083C" w:rsidP="00334F3B">
            <w:pPr>
              <w:numPr>
                <w:ilvl w:val="0"/>
                <w:numId w:val="142"/>
              </w:numPr>
              <w:tabs>
                <w:tab w:val="left" w:pos="1062"/>
                <w:tab w:val="left" w:pos="5040"/>
                <w:tab w:val="right" w:pos="8504"/>
              </w:tabs>
              <w:spacing w:after="0" w:line="240" w:lineRule="auto"/>
              <w:ind w:left="106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Adoptarea unui tarif public integrat care să reflecte costurile;</w:t>
            </w:r>
          </w:p>
          <w:p w14:paraId="18F2C58A" w14:textId="77777777" w:rsidR="00BA083C" w:rsidRPr="009C5F11" w:rsidRDefault="00BA083C" w:rsidP="00334F3B">
            <w:pPr>
              <w:numPr>
                <w:ilvl w:val="0"/>
                <w:numId w:val="142"/>
              </w:numPr>
              <w:tabs>
                <w:tab w:val="left" w:pos="1062"/>
                <w:tab w:val="left" w:pos="5040"/>
                <w:tab w:val="right" w:pos="8504"/>
              </w:tabs>
              <w:spacing w:after="0" w:line="240" w:lineRule="auto"/>
              <w:ind w:left="106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Încurajarea fidelităţii călătorilor printr-un preţ rezonabil la abonamente.</w:t>
            </w:r>
          </w:p>
          <w:p w14:paraId="7F80B68E" w14:textId="67D45219" w:rsidR="003231CA" w:rsidRDefault="003231CA" w:rsidP="003231CA">
            <w:pPr>
              <w:numPr>
                <w:ilvl w:val="0"/>
                <w:numId w:val="139"/>
              </w:numPr>
              <w:tabs>
                <w:tab w:val="left" w:pos="702"/>
                <w:tab w:val="right" w:pos="8504"/>
              </w:tabs>
              <w:spacing w:after="0" w:line="240" w:lineRule="auto"/>
              <w:contextualSpacing/>
              <w:rPr>
                <w:rFonts w:ascii="Times New Roman" w:hAnsi="Times New Roman" w:cs="Times New Roman"/>
                <w:sz w:val="18"/>
                <w:szCs w:val="14"/>
                <w:lang w:val="ro-RO"/>
              </w:rPr>
            </w:pPr>
            <w:r w:rsidRPr="003231CA">
              <w:rPr>
                <w:rFonts w:ascii="Times New Roman" w:hAnsi="Times New Roman" w:cs="Times New Roman"/>
                <w:sz w:val="18"/>
                <w:szCs w:val="14"/>
                <w:lang w:val="ro-RO"/>
              </w:rPr>
              <w:t>Optimizarea traficului prin introducerea pe principalele artere din oraș, a unei benzi prioritare în orele de vîrf accesibilă doar pentru transportul public</w:t>
            </w:r>
          </w:p>
          <w:p w14:paraId="3490FC93" w14:textId="77777777" w:rsidR="00BA083C" w:rsidRPr="009C5F11" w:rsidRDefault="00BA083C" w:rsidP="00334F3B">
            <w:pPr>
              <w:numPr>
                <w:ilvl w:val="0"/>
                <w:numId w:val="139"/>
              </w:numPr>
              <w:tabs>
                <w:tab w:val="left" w:pos="702"/>
                <w:tab w:val="right" w:pos="8504"/>
              </w:tabs>
              <w:spacing w:after="0" w:line="240" w:lineRule="auto"/>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Elaborarea şi adoptarea legislaţiei pentru introducerea concurenţei la capitolul serviciile publice (concurenţa “pentru rute”) pentru a înlocui concurenţa actuală din cadrul rutei.</w:t>
            </w:r>
          </w:p>
          <w:p w14:paraId="39366B25" w14:textId="77777777" w:rsidR="00BA083C" w:rsidRPr="009C5F11" w:rsidRDefault="00BA083C" w:rsidP="00F4274E">
            <w:pPr>
              <w:tabs>
                <w:tab w:val="left" w:pos="1440"/>
                <w:tab w:val="left" w:pos="5040"/>
                <w:tab w:val="right" w:pos="8504"/>
              </w:tabs>
              <w:spacing w:before="240" w:after="0" w:line="240" w:lineRule="auto"/>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Aceste acţiuni sunt </w:t>
            </w:r>
            <w:r w:rsidR="001624DE" w:rsidRPr="009C5F11">
              <w:rPr>
                <w:rFonts w:ascii="Times New Roman" w:hAnsi="Times New Roman" w:cs="Times New Roman"/>
                <w:sz w:val="18"/>
                <w:szCs w:val="14"/>
                <w:lang w:val="ro-RO"/>
              </w:rPr>
              <w:t>conforme</w:t>
            </w:r>
            <w:r w:rsidRPr="009C5F11">
              <w:rPr>
                <w:rFonts w:ascii="Times New Roman" w:hAnsi="Times New Roman" w:cs="Times New Roman"/>
                <w:sz w:val="18"/>
                <w:szCs w:val="14"/>
                <w:lang w:val="ro-RO"/>
              </w:rPr>
              <w:t xml:space="preserve"> cu dispoziţiile “Strategiei infrastructurii transportului terestru pe anii 2008-2017” (HG RM nr. 85 din 01.02.2008), cap. XX: Obiective pe termen mediu şi scurt: </w:t>
            </w:r>
          </w:p>
          <w:p w14:paraId="77B938D0" w14:textId="77777777" w:rsidR="00BA083C" w:rsidRPr="009C5F11" w:rsidRDefault="00BA083C" w:rsidP="00334F3B">
            <w:pPr>
              <w:numPr>
                <w:ilvl w:val="0"/>
                <w:numId w:val="137"/>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dezvoltarea optimă a reţelei străzilor şi a infrastructurii transportului,</w:t>
            </w:r>
          </w:p>
          <w:p w14:paraId="17C5839E" w14:textId="77777777" w:rsidR="00BA083C" w:rsidRPr="009C5F11" w:rsidRDefault="00BA083C" w:rsidP="00334F3B">
            <w:pPr>
              <w:numPr>
                <w:ilvl w:val="0"/>
                <w:numId w:val="137"/>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eficientizarea sistemului de transport;</w:t>
            </w:r>
          </w:p>
          <w:p w14:paraId="0F570836" w14:textId="77777777" w:rsidR="00BA083C" w:rsidRPr="009C5F11" w:rsidRDefault="00BA083C" w:rsidP="00334F3B">
            <w:pPr>
              <w:numPr>
                <w:ilvl w:val="0"/>
                <w:numId w:val="137"/>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optimizarea gestionării transportului public urban de călători,</w:t>
            </w:r>
          </w:p>
          <w:p w14:paraId="18E2C1DB" w14:textId="77777777" w:rsidR="00BA083C" w:rsidRPr="009C5F11" w:rsidRDefault="00BA083C" w:rsidP="00334F3B">
            <w:pPr>
              <w:numPr>
                <w:ilvl w:val="0"/>
                <w:numId w:val="137"/>
              </w:numPr>
              <w:tabs>
                <w:tab w:val="left" w:pos="702"/>
                <w:tab w:val="left" w:pos="5040"/>
                <w:tab w:val="right" w:pos="8504"/>
              </w:tabs>
              <w:spacing w:before="40"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optimizarea reţelei transportului public urban.</w:t>
            </w:r>
          </w:p>
          <w:p w14:paraId="4E33B7EA"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 termeni de implementare, acţiunea este descrisă în detaliu în Planul de acţiuni pentru implementarea “Strategiei de transport şi logistică pe anii 2013-2022” (HG RM nr. 827 din 28.10.2013) care, de asemenea, conţine obiective specifice pentru sectorul rutier, care va contribui la acumularea economiilor de energie:</w:t>
            </w:r>
          </w:p>
          <w:p w14:paraId="31235F2E" w14:textId="77777777" w:rsidR="00BA083C" w:rsidRPr="009C5F11" w:rsidRDefault="00BA083C" w:rsidP="00334F3B">
            <w:pPr>
              <w:numPr>
                <w:ilvl w:val="0"/>
                <w:numId w:val="146"/>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reducerea continuă a costurilor totale de transport rutier;</w:t>
            </w:r>
          </w:p>
          <w:p w14:paraId="35073304" w14:textId="77777777" w:rsidR="00BA083C" w:rsidRPr="009C5F11" w:rsidRDefault="00BA083C" w:rsidP="00334F3B">
            <w:pPr>
              <w:numPr>
                <w:ilvl w:val="0"/>
                <w:numId w:val="146"/>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asigurarea reabilitării, modernizării, reparaţiei şi întreţinerii corespunzătoare:</w:t>
            </w:r>
          </w:p>
          <w:p w14:paraId="703CE8FB" w14:textId="77777777" w:rsidR="00BA083C" w:rsidRPr="009C5F11" w:rsidRDefault="00BA083C" w:rsidP="000E4671">
            <w:pPr>
              <w:tabs>
                <w:tab w:val="left" w:pos="1440"/>
                <w:tab w:val="left" w:pos="5040"/>
                <w:tab w:val="right" w:pos="8504"/>
              </w:tabs>
              <w:spacing w:before="40" w:after="0" w:line="240" w:lineRule="auto"/>
              <w:ind w:left="923" w:hanging="27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 a drumurilor din Reţeaua prioritară a drumurilor naţionale (1,730 km) </w:t>
            </w:r>
            <w:r w:rsidRPr="009C5F11">
              <w:rPr>
                <w:rFonts w:ascii="Times New Roman" w:hAnsi="Times New Roman" w:cs="Times New Roman"/>
                <w:sz w:val="18"/>
                <w:szCs w:val="14"/>
                <w:lang w:val="ro-RO" w:eastAsia="de-DE"/>
              </w:rPr>
              <w:lastRenderedPageBreak/>
              <w:t>până în anul 2018;</w:t>
            </w:r>
          </w:p>
          <w:p w14:paraId="6BC2DECA" w14:textId="77777777" w:rsidR="00BA083C" w:rsidRPr="009C5F11" w:rsidRDefault="00BA083C" w:rsidP="00F4274E">
            <w:pPr>
              <w:tabs>
                <w:tab w:val="left" w:pos="1440"/>
                <w:tab w:val="left" w:pos="5040"/>
                <w:tab w:val="right" w:pos="8504"/>
              </w:tabs>
              <w:spacing w:before="40" w:after="0" w:line="240" w:lineRule="auto"/>
              <w:ind w:firstLine="70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a altor drumuri naţionale (1,360 km) până în anul 2022;</w:t>
            </w:r>
          </w:p>
          <w:p w14:paraId="2DE9E418" w14:textId="77777777" w:rsidR="00BA083C" w:rsidRPr="009C5F11" w:rsidRDefault="00BA083C" w:rsidP="00334F3B">
            <w:pPr>
              <w:numPr>
                <w:ilvl w:val="0"/>
                <w:numId w:val="147"/>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asigurarea reparaţiei şi întreţinerii corespunzătoare a drumurilor locale</w:t>
            </w:r>
            <w:r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eastAsia="de-DE"/>
              </w:rPr>
              <w:t>(6,008 km) până în anul 2022;</w:t>
            </w:r>
          </w:p>
          <w:p w14:paraId="00E0382D" w14:textId="77777777" w:rsidR="00BA083C" w:rsidRPr="009C5F11" w:rsidRDefault="00BA083C" w:rsidP="00334F3B">
            <w:pPr>
              <w:numPr>
                <w:ilvl w:val="0"/>
                <w:numId w:val="147"/>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continuarea implementării Planului de acţiuni pentru reforma sistemului de întreţinere a drumurilor publice;</w:t>
            </w:r>
          </w:p>
          <w:p w14:paraId="34D7C674" w14:textId="77777777" w:rsidR="00BA083C" w:rsidRPr="009C5F11" w:rsidRDefault="00BA083C" w:rsidP="00334F3B">
            <w:pPr>
              <w:numPr>
                <w:ilvl w:val="0"/>
                <w:numId w:val="147"/>
              </w:numPr>
              <w:tabs>
                <w:tab w:val="left" w:pos="70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asigurarea cadrului legal şi instituţional pentru planificarea, exploatarea şi întreţinerea reţelei rutiere;</w:t>
            </w:r>
          </w:p>
          <w:p w14:paraId="54E51B25"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Indicatorii de realizare a obiectivelor sus-menţionate sunt după cum urmează:</w:t>
            </w:r>
          </w:p>
          <w:p w14:paraId="744F38F6" w14:textId="77777777" w:rsidR="00BA083C" w:rsidRPr="009C5F11" w:rsidRDefault="00BA083C" w:rsidP="00334F3B">
            <w:pPr>
              <w:pStyle w:val="Listparagraf"/>
              <w:numPr>
                <w:ilvl w:val="0"/>
                <w:numId w:val="183"/>
              </w:numPr>
              <w:tabs>
                <w:tab w:val="left" w:pos="743"/>
              </w:tabs>
              <w:ind w:left="743"/>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aproximativ 280 km de drumuri naţionale reabilitate anual pentru a finaliza reabilitarea Reţelei rutiere prioritare până în 2018;</w:t>
            </w:r>
          </w:p>
          <w:p w14:paraId="1E4927B6" w14:textId="77777777" w:rsidR="00BA083C" w:rsidRPr="009C5F11" w:rsidRDefault="00BA083C" w:rsidP="00334F3B">
            <w:pPr>
              <w:pStyle w:val="Listparagraf"/>
              <w:numPr>
                <w:ilvl w:val="0"/>
                <w:numId w:val="183"/>
              </w:numPr>
              <w:tabs>
                <w:tab w:val="left" w:pos="743"/>
              </w:tabs>
              <w:ind w:left="743"/>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aproximativ 310 km de drumuri naţionale reabilitate anual pentru a finaliza reabilitarea altor drumuri naţionale până în 2022;</w:t>
            </w:r>
          </w:p>
          <w:p w14:paraId="77852BC8" w14:textId="77777777" w:rsidR="00BA083C" w:rsidRPr="009C5F11" w:rsidRDefault="00BA083C" w:rsidP="00334F3B">
            <w:pPr>
              <w:numPr>
                <w:ilvl w:val="0"/>
                <w:numId w:val="138"/>
              </w:numPr>
              <w:tabs>
                <w:tab w:val="left" w:pos="702"/>
                <w:tab w:val="left" w:pos="5040"/>
                <w:tab w:val="right" w:pos="8504"/>
              </w:tabs>
              <w:spacing w:before="40" w:after="0" w:line="240"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ALTE ACŢIUNI CU IMPACT NAŢIONAL</w:t>
            </w:r>
          </w:p>
          <w:p w14:paraId="4AEDA07A" w14:textId="77777777" w:rsidR="00BA083C" w:rsidRPr="009C5F11" w:rsidRDefault="00BA083C" w:rsidP="00334F3B">
            <w:pPr>
              <w:numPr>
                <w:ilvl w:val="0"/>
                <w:numId w:val="140"/>
              </w:numPr>
              <w:tabs>
                <w:tab w:val="left" w:pos="702"/>
                <w:tab w:val="left" w:pos="5040"/>
                <w:tab w:val="right" w:pos="8504"/>
              </w:tabs>
              <w:spacing w:before="40" w:after="0" w:line="240" w:lineRule="auto"/>
              <w:ind w:left="70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elaborarea şi adoptarea cadrului regulatoriu pentru etichetarea pneurilor; </w:t>
            </w:r>
          </w:p>
          <w:p w14:paraId="193235E0" w14:textId="77777777" w:rsidR="00BA083C" w:rsidRPr="009C5F11" w:rsidRDefault="00BA083C" w:rsidP="00334F3B">
            <w:pPr>
              <w:numPr>
                <w:ilvl w:val="0"/>
                <w:numId w:val="140"/>
              </w:numPr>
              <w:tabs>
                <w:tab w:val="left" w:pos="702"/>
                <w:tab w:val="left" w:pos="5040"/>
                <w:tab w:val="right" w:pos="8504"/>
              </w:tabs>
              <w:spacing w:before="40" w:after="0" w:line="240" w:lineRule="auto"/>
              <w:ind w:left="70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elaborarea şi distribuirea recomandărilor pentru autorităţile publice privind procurările de transport cu un accent sporit asupra eficienţei carburanţilor consumaţi;</w:t>
            </w:r>
          </w:p>
          <w:p w14:paraId="364985C7" w14:textId="77777777" w:rsidR="00BA083C" w:rsidRPr="009C5F11" w:rsidRDefault="00BA083C" w:rsidP="00334F3B">
            <w:pPr>
              <w:numPr>
                <w:ilvl w:val="0"/>
                <w:numId w:val="140"/>
              </w:numPr>
              <w:tabs>
                <w:tab w:val="left" w:pos="702"/>
                <w:tab w:val="left" w:pos="5040"/>
                <w:tab w:val="right" w:pos="8504"/>
              </w:tabs>
              <w:spacing w:before="40" w:after="0" w:line="240" w:lineRule="auto"/>
              <w:ind w:left="70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elaborarea regulilor pentru importul pneurilor conform claselor</w:t>
            </w:r>
            <w:r w:rsidRPr="009C5F11">
              <w:rPr>
                <w:rFonts w:ascii="Times New Roman" w:hAnsi="Times New Roman" w:cs="Times New Roman"/>
                <w:sz w:val="18"/>
                <w:szCs w:val="14"/>
                <w:lang w:val="ro-RO"/>
              </w:rPr>
              <w:t xml:space="preserve"> </w:t>
            </w:r>
            <w:r w:rsidRPr="009C5F11">
              <w:rPr>
                <w:rFonts w:ascii="Times New Roman" w:hAnsi="Times New Roman" w:cs="Times New Roman"/>
                <w:sz w:val="18"/>
                <w:szCs w:val="14"/>
                <w:lang w:val="ro-RO" w:eastAsia="de-DE"/>
              </w:rPr>
              <w:t>C1, C2, şi C3;</w:t>
            </w:r>
          </w:p>
          <w:p w14:paraId="3D9DEDFF" w14:textId="77777777" w:rsidR="00BA083C" w:rsidRPr="009C5F11" w:rsidRDefault="00BA083C" w:rsidP="00334F3B">
            <w:pPr>
              <w:numPr>
                <w:ilvl w:val="0"/>
                <w:numId w:val="140"/>
              </w:numPr>
              <w:tabs>
                <w:tab w:val="left" w:pos="702"/>
                <w:tab w:val="left" w:pos="5040"/>
                <w:tab w:val="right" w:pos="8504"/>
              </w:tabs>
              <w:spacing w:before="40" w:after="0" w:line="240" w:lineRule="auto"/>
              <w:ind w:left="70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elaborarea programelor pentru optimizarea circulaţiei transportului pe străzile centrale ale localităţilor.</w:t>
            </w:r>
          </w:p>
          <w:p w14:paraId="6EC02D25" w14:textId="77777777" w:rsidR="00BA083C" w:rsidRPr="009C5F11" w:rsidRDefault="00BA083C" w:rsidP="00F4274E">
            <w:pPr>
              <w:tabs>
                <w:tab w:val="left" w:pos="1440"/>
                <w:tab w:val="left" w:pos="5040"/>
                <w:tab w:val="right" w:pos="8504"/>
              </w:tabs>
              <w:spacing w:after="0" w:line="240" w:lineRule="auto"/>
              <w:ind w:left="162"/>
              <w:jc w:val="both"/>
              <w:rPr>
                <w:rFonts w:ascii="Times New Roman" w:hAnsi="Times New Roman" w:cs="Times New Roman"/>
                <w:sz w:val="18"/>
                <w:szCs w:val="14"/>
                <w:lang w:val="ro-RO"/>
              </w:rPr>
            </w:pPr>
          </w:p>
          <w:p w14:paraId="5D90D8A7" w14:textId="77777777" w:rsidR="00BA083C" w:rsidRPr="009C5F11" w:rsidRDefault="00BA083C" w:rsidP="00334F3B">
            <w:pPr>
              <w:numPr>
                <w:ilvl w:val="0"/>
                <w:numId w:val="138"/>
              </w:numPr>
              <w:tabs>
                <w:tab w:val="left" w:pos="702"/>
                <w:tab w:val="left" w:pos="5040"/>
                <w:tab w:val="right" w:pos="8504"/>
              </w:tabs>
              <w:spacing w:after="0" w:line="240" w:lineRule="auto"/>
              <w:contextualSpacing/>
              <w:jc w:val="both"/>
              <w:rPr>
                <w:rFonts w:ascii="Times New Roman" w:hAnsi="Times New Roman" w:cs="Times New Roman"/>
                <w:b/>
                <w:sz w:val="18"/>
                <w:szCs w:val="14"/>
                <w:lang w:val="ro-RO"/>
              </w:rPr>
            </w:pPr>
            <w:r w:rsidRPr="009C5F11">
              <w:rPr>
                <w:rFonts w:ascii="Times New Roman" w:hAnsi="Times New Roman" w:cs="Times New Roman"/>
                <w:b/>
                <w:sz w:val="18"/>
                <w:szCs w:val="14"/>
                <w:lang w:val="ro-RO"/>
              </w:rPr>
              <w:t>PROIECTE</w:t>
            </w:r>
          </w:p>
          <w:p w14:paraId="18D47462" w14:textId="77777777" w:rsidR="00BA083C" w:rsidRPr="009C5F11" w:rsidRDefault="00BA083C" w:rsidP="00F4274E">
            <w:pPr>
              <w:tabs>
                <w:tab w:val="left" w:pos="1440"/>
                <w:tab w:val="left" w:pos="5040"/>
                <w:tab w:val="right" w:pos="8504"/>
              </w:tabs>
              <w:spacing w:after="0" w:line="240" w:lineRule="auto"/>
              <w:ind w:left="162"/>
              <w:jc w:val="both"/>
              <w:rPr>
                <w:rFonts w:ascii="Times New Roman" w:hAnsi="Times New Roman" w:cs="Times New Roman"/>
                <w:sz w:val="18"/>
                <w:szCs w:val="14"/>
                <w:lang w:val="ro-RO"/>
              </w:rPr>
            </w:pPr>
          </w:p>
          <w:p w14:paraId="298194CA" w14:textId="77777777" w:rsidR="00BA083C" w:rsidRPr="009C5F11" w:rsidRDefault="00BA083C" w:rsidP="00F4274E">
            <w:pPr>
              <w:tabs>
                <w:tab w:val="left" w:pos="1440"/>
                <w:tab w:val="left" w:pos="5040"/>
                <w:tab w:val="right" w:pos="8504"/>
              </w:tabs>
              <w:spacing w:after="0" w:line="240" w:lineRule="auto"/>
              <w:ind w:left="162"/>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Printre proiectele în curs de elaborare pot fi menţionate următoarele:</w:t>
            </w:r>
          </w:p>
          <w:p w14:paraId="6B35E445" w14:textId="77777777" w:rsidR="00BA083C" w:rsidRPr="009C5F11" w:rsidRDefault="00BA083C" w:rsidP="00334F3B">
            <w:pPr>
              <w:numPr>
                <w:ilvl w:val="0"/>
                <w:numId w:val="143"/>
              </w:numPr>
              <w:tabs>
                <w:tab w:val="left" w:pos="52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u w:val="single"/>
                <w:lang w:val="ro-RO"/>
              </w:rPr>
              <w:t>BERD: Proiectul de restructurare a căilor ferate din Republica Moldova,</w:t>
            </w:r>
            <w:r w:rsidRPr="009C5F11">
              <w:rPr>
                <w:rFonts w:ascii="Times New Roman" w:hAnsi="Times New Roman" w:cs="Times New Roman"/>
                <w:sz w:val="18"/>
                <w:szCs w:val="14"/>
                <w:lang w:val="ro-RO"/>
              </w:rPr>
              <w:t xml:space="preserve"> cu un buget de 116.5 milioane euro, lansat în 2015, care va da roade în 2016-2020. Proiectul îşi propune să sprijine procesul de restructurare/reformă a căilor ferate pe baza: </w:t>
            </w:r>
          </w:p>
          <w:p w14:paraId="0D831192" w14:textId="77777777" w:rsidR="00BA083C" w:rsidRPr="009C5F11" w:rsidRDefault="00BA083C" w:rsidP="00F4274E">
            <w:pPr>
              <w:tabs>
                <w:tab w:val="left" w:pos="1440"/>
                <w:tab w:val="left" w:pos="5040"/>
                <w:tab w:val="right" w:pos="8504"/>
              </w:tabs>
              <w:spacing w:after="0" w:line="240" w:lineRule="auto"/>
              <w:ind w:left="52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(a) susţinerii reformei instituţionale în vederea îmbunătăţirii transparenţei şi responsabilizării, precum şi a durabilităţii financiare; </w:t>
            </w:r>
          </w:p>
          <w:p w14:paraId="7845D418" w14:textId="77777777" w:rsidR="00BA083C" w:rsidRPr="009C5F11" w:rsidRDefault="00BA083C" w:rsidP="00F4274E">
            <w:pPr>
              <w:tabs>
                <w:tab w:val="left" w:pos="1440"/>
                <w:tab w:val="left" w:pos="5040"/>
                <w:tab w:val="right" w:pos="8504"/>
              </w:tabs>
              <w:spacing w:after="0" w:line="240" w:lineRule="auto"/>
              <w:ind w:left="52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(b) acordării asistenţei pentru planificarea iniţială şi etapele de implementare a unui program de reducere treptată a cheltuielilor; şi </w:t>
            </w:r>
          </w:p>
          <w:p w14:paraId="29E6968E" w14:textId="77777777" w:rsidR="00BA083C" w:rsidRPr="009C5F11" w:rsidRDefault="00BA083C" w:rsidP="00F4274E">
            <w:pPr>
              <w:tabs>
                <w:tab w:val="left" w:pos="1440"/>
                <w:tab w:val="left" w:pos="5040"/>
                <w:tab w:val="right" w:pos="8504"/>
              </w:tabs>
              <w:spacing w:after="0" w:line="240" w:lineRule="auto"/>
              <w:ind w:left="52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(c) acordării asistenţei durabile pentru îmbunătăţirea aspectelor de mediu, sănătate şi securitate şi aplicării tehnologiilor şi standardelor eficiente din punct de vedere energetic şi încurajând modurile de emisie redusă pentru a reduce consumul de energie. </w:t>
            </w:r>
          </w:p>
          <w:p w14:paraId="0E2A868D" w14:textId="77777777" w:rsidR="00BA083C" w:rsidRPr="009C5F11" w:rsidRDefault="00BA083C" w:rsidP="00F4274E">
            <w:pPr>
              <w:tabs>
                <w:tab w:val="left" w:pos="1440"/>
                <w:tab w:val="left" w:pos="5040"/>
                <w:tab w:val="right" w:pos="8504"/>
              </w:tabs>
              <w:spacing w:after="0" w:line="240" w:lineRule="auto"/>
              <w:ind w:left="52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acordată va permite Guvernului RM să întreprindă măsuri urgente de renovare a stocului rulant al căii ferate din Moldova destinat călătorilor şi de achiziţionare a unui stoc rulant nou (locomotive). Renovarea şi achiziţiile vor contribui la creşterea calităţii serviciilor şi la reducerea costurilor operaţionale. Alte beneficii pot fi fortificarea capacităţii operatorului în restructurarea sectorului de cale ferată, achiziţionarea şi implementarea, managementul costurilor şi eficienţa energetică.</w:t>
            </w:r>
          </w:p>
          <w:p w14:paraId="10789535" w14:textId="77777777" w:rsidR="00BA083C" w:rsidRPr="009C5F11" w:rsidRDefault="00BA083C" w:rsidP="00F4274E">
            <w:pPr>
              <w:tabs>
                <w:tab w:val="left" w:pos="1440"/>
                <w:tab w:val="left" w:pos="5040"/>
                <w:tab w:val="right" w:pos="8504"/>
              </w:tabs>
              <w:spacing w:after="0" w:line="240" w:lineRule="auto"/>
              <w:ind w:left="52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Proiectul va beneficia de un grant investiţional în sumă de până la 5 milioane euro acordat de Fondul de Investiții pentru Vecinătate al Comisiei Europene pentru achiziţia locomotivelor. </w:t>
            </w:r>
          </w:p>
          <w:p w14:paraId="7D00DEC1" w14:textId="77777777" w:rsidR="00BA083C" w:rsidRPr="009C5F11" w:rsidRDefault="00BA083C" w:rsidP="00F4274E">
            <w:pPr>
              <w:tabs>
                <w:tab w:val="left" w:pos="1440"/>
                <w:tab w:val="left" w:pos="5040"/>
                <w:tab w:val="right" w:pos="8504"/>
              </w:tabs>
              <w:spacing w:after="0" w:line="240" w:lineRule="auto"/>
              <w:ind w:left="52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Se preconizează co-finanţarea Proiectului de Banca Europeană de Investiţii. </w:t>
            </w:r>
          </w:p>
          <w:p w14:paraId="256E7D6A" w14:textId="77777777" w:rsidR="00BA083C" w:rsidRPr="009C5F11" w:rsidRDefault="00BA083C" w:rsidP="00F4274E">
            <w:pPr>
              <w:tabs>
                <w:tab w:val="left" w:pos="1440"/>
                <w:tab w:val="left" w:pos="5040"/>
                <w:tab w:val="right" w:pos="8504"/>
              </w:tabs>
              <w:spacing w:after="0" w:line="240" w:lineRule="auto"/>
              <w:ind w:left="522"/>
              <w:contextualSpacing/>
              <w:jc w:val="both"/>
              <w:rPr>
                <w:rFonts w:ascii="Times New Roman" w:hAnsi="Times New Roman" w:cs="Times New Roman"/>
                <w:sz w:val="18"/>
                <w:szCs w:val="14"/>
                <w:lang w:val="ro-RO"/>
              </w:rPr>
            </w:pPr>
          </w:p>
          <w:p w14:paraId="1ACE032F" w14:textId="77777777" w:rsidR="00BA083C" w:rsidRPr="009C5F11" w:rsidRDefault="00BA083C" w:rsidP="00334F3B">
            <w:pPr>
              <w:numPr>
                <w:ilvl w:val="0"/>
                <w:numId w:val="143"/>
              </w:numPr>
              <w:tabs>
                <w:tab w:val="left" w:pos="52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u w:val="single"/>
                <w:lang w:val="ro-RO"/>
              </w:rPr>
              <w:t>BERD – Proiect în sectorul urban din Chişinău</w:t>
            </w:r>
            <w:r w:rsidRPr="009C5F11">
              <w:rPr>
                <w:rFonts w:ascii="Times New Roman" w:hAnsi="Times New Roman" w:cs="Times New Roman"/>
                <w:sz w:val="18"/>
                <w:szCs w:val="14"/>
                <w:lang w:val="ro-RO"/>
              </w:rPr>
              <w:t xml:space="preserve"> (se lansează la începutul anului 2016) include:</w:t>
            </w:r>
          </w:p>
          <w:p w14:paraId="6C5CD3F9" w14:textId="77777777" w:rsidR="00BA083C" w:rsidRPr="009C5F11" w:rsidRDefault="00BA083C" w:rsidP="00334F3B">
            <w:pPr>
              <w:widowControl w:val="0"/>
              <w:numPr>
                <w:ilvl w:val="0"/>
                <w:numId w:val="144"/>
              </w:numPr>
              <w:tabs>
                <w:tab w:val="left" w:pos="220"/>
                <w:tab w:val="left" w:pos="720"/>
              </w:tabs>
              <w:autoSpaceDE w:val="0"/>
              <w:autoSpaceDN w:val="0"/>
              <w:adjustRightInd w:val="0"/>
              <w:spacing w:after="0" w:line="240" w:lineRule="auto"/>
              <w:contextualSpacing/>
              <w:rPr>
                <w:rFonts w:ascii="Times New Roman" w:eastAsia="Calibri" w:hAnsi="Times New Roman" w:cs="Times New Roman"/>
                <w:color w:val="23272C"/>
                <w:sz w:val="18"/>
                <w:szCs w:val="14"/>
                <w:lang w:val="ro-RO"/>
              </w:rPr>
            </w:pPr>
            <w:r w:rsidRPr="009C5F11">
              <w:rPr>
                <w:rFonts w:ascii="Times New Roman" w:eastAsia="Calibri" w:hAnsi="Times New Roman" w:cs="Times New Roman"/>
                <w:color w:val="23272C"/>
                <w:sz w:val="18"/>
                <w:szCs w:val="14"/>
                <w:lang w:val="ro-RO"/>
              </w:rPr>
              <w:t xml:space="preserve">Lucrări de reabilitare a străzilor pe un segment cu o lungime de 14.3 kilometri de străzi principale şi secundare, </w:t>
            </w:r>
            <w:r w:rsidRPr="009C5F11">
              <w:rPr>
                <w:rFonts w:ascii="Times New Roman" w:hAnsi="Times New Roman" w:cs="Times New Roman"/>
                <w:sz w:val="18"/>
                <w:szCs w:val="14"/>
                <w:lang w:val="ro-RO" w:eastAsia="de-DE"/>
              </w:rPr>
              <w:t>inclusiv schimbarea asfaltului şi a pavajului, construirea de noi zone pietonale în centrul oraşului, modernizarea infrastructurii de scurgere a apei, crearea locurilor de parcare pe străzi care să fie folosite în cadrul unei noi scheme de taxare a parcărilor</w:t>
            </w:r>
            <w:r w:rsidRPr="009C5F11">
              <w:rPr>
                <w:rFonts w:ascii="Times New Roman" w:eastAsia="Calibri" w:hAnsi="Times New Roman" w:cs="Times New Roman"/>
                <w:color w:val="23272C"/>
                <w:sz w:val="18"/>
                <w:szCs w:val="14"/>
                <w:lang w:val="ro-RO"/>
              </w:rPr>
              <w:t xml:space="preserve"> (descrisă ca un proiect separat mai jos);</w:t>
            </w:r>
          </w:p>
          <w:p w14:paraId="403CF69C" w14:textId="77777777" w:rsidR="00BA083C" w:rsidRPr="009C5F11" w:rsidRDefault="00BA083C" w:rsidP="00334F3B">
            <w:pPr>
              <w:widowControl w:val="0"/>
              <w:numPr>
                <w:ilvl w:val="0"/>
                <w:numId w:val="144"/>
              </w:numPr>
              <w:tabs>
                <w:tab w:val="left" w:pos="220"/>
                <w:tab w:val="left" w:pos="720"/>
              </w:tabs>
              <w:autoSpaceDE w:val="0"/>
              <w:autoSpaceDN w:val="0"/>
              <w:adjustRightInd w:val="0"/>
              <w:spacing w:after="0" w:line="240" w:lineRule="auto"/>
              <w:contextualSpacing/>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reabilitarea infrastructurii diferitor servicii/utilităţi (de alimentare cu apă, canalizare, încălzire şi semafoare);</w:t>
            </w:r>
          </w:p>
          <w:p w14:paraId="7DCDA1F3" w14:textId="77777777" w:rsidR="00BA083C" w:rsidRPr="009C5F11" w:rsidRDefault="00BA083C" w:rsidP="00334F3B">
            <w:pPr>
              <w:widowControl w:val="0"/>
              <w:numPr>
                <w:ilvl w:val="0"/>
                <w:numId w:val="144"/>
              </w:numPr>
              <w:tabs>
                <w:tab w:val="left" w:pos="220"/>
                <w:tab w:val="left" w:pos="720"/>
              </w:tabs>
              <w:autoSpaceDE w:val="0"/>
              <w:autoSpaceDN w:val="0"/>
              <w:adjustRightInd w:val="0"/>
              <w:spacing w:after="0" w:line="240" w:lineRule="auto"/>
              <w:contextualSpacing/>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lastRenderedPageBreak/>
              <w:t xml:space="preserve">renovarea iluminatului public stradal, inclusiv înlocuirea lămpilor existente de presiune înaltă cu mercur cu altele bazate pe tehnologii cu un consum redus de energie. </w:t>
            </w:r>
          </w:p>
          <w:p w14:paraId="54CADAF7" w14:textId="77777777" w:rsidR="00BA083C" w:rsidRPr="009C5F11" w:rsidRDefault="00BA083C" w:rsidP="00F4274E">
            <w:pPr>
              <w:widowControl w:val="0"/>
              <w:tabs>
                <w:tab w:val="left" w:pos="220"/>
                <w:tab w:val="left" w:pos="720"/>
              </w:tabs>
              <w:autoSpaceDE w:val="0"/>
              <w:autoSpaceDN w:val="0"/>
              <w:adjustRightInd w:val="0"/>
              <w:spacing w:after="0" w:line="240" w:lineRule="auto"/>
              <w:rPr>
                <w:rFonts w:ascii="Times New Roman" w:eastAsia="Calibri" w:hAnsi="Times New Roman" w:cs="Times New Roman"/>
                <w:color w:val="23272C"/>
                <w:sz w:val="18"/>
                <w:szCs w:val="14"/>
                <w:lang w:val="ro-RO"/>
              </w:rPr>
            </w:pPr>
          </w:p>
          <w:p w14:paraId="053F20F5" w14:textId="77777777" w:rsidR="00BA083C" w:rsidRPr="009C5F11" w:rsidRDefault="00BA083C" w:rsidP="00334F3B">
            <w:pPr>
              <w:numPr>
                <w:ilvl w:val="0"/>
                <w:numId w:val="143"/>
              </w:numPr>
              <w:tabs>
                <w:tab w:val="left" w:pos="52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u w:val="single"/>
                <w:lang w:val="ro-RO"/>
              </w:rPr>
              <w:t>BERD: Proiectul Organizarea şi gestionarea sistemelor de parcare din Chişinău</w:t>
            </w:r>
            <w:r w:rsidRPr="009C5F11">
              <w:rPr>
                <w:rFonts w:ascii="Times New Roman" w:hAnsi="Times New Roman" w:cs="Times New Roman"/>
                <w:sz w:val="18"/>
                <w:szCs w:val="14"/>
                <w:lang w:val="ro-RO"/>
              </w:rPr>
              <w:t xml:space="preserve"> va fi lansat la sfârşitul anului 2016. Costurile de implementare a proiectului au fost evaluate de Primăria Chişinău în 2013 în sumă de 17,530,000 Lei (1,050,000 Euro).</w:t>
            </w:r>
          </w:p>
          <w:p w14:paraId="61E007B5" w14:textId="77777777" w:rsidR="00BA083C" w:rsidRPr="009C5F11" w:rsidRDefault="00BA083C" w:rsidP="00F4274E">
            <w:pPr>
              <w:tabs>
                <w:tab w:val="left" w:pos="1440"/>
                <w:tab w:val="left" w:pos="5040"/>
                <w:tab w:val="right" w:pos="8504"/>
              </w:tabs>
              <w:spacing w:after="0" w:line="240" w:lineRule="auto"/>
              <w:ind w:left="52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Obiectivul principal al proiectului este crearea condiţiilor pentru parcarea autorizată prin amenajarea şi gestionarea a până la 2,500 de locuri de parcare în zona istorică a mun. Chişinău, cu posibilitatea de extindere a locurilor controlate de parcare, îmbunătăţind în acest mod starea mediului ambiant prin reducerea aglomerărilor de pe carosabil, încurajând persoanele să folosească transportul public şi sporind siguranţa şi securitatea conducătorilor auto şi a pietonilor. </w:t>
            </w:r>
          </w:p>
          <w:p w14:paraId="6A948723" w14:textId="77777777" w:rsidR="00BA083C" w:rsidRPr="009C5F11" w:rsidRDefault="00BA083C" w:rsidP="00F4274E">
            <w:pPr>
              <w:tabs>
                <w:tab w:val="left" w:pos="1440"/>
                <w:tab w:val="left" w:pos="5040"/>
                <w:tab w:val="right" w:pos="8504"/>
              </w:tabs>
              <w:spacing w:after="0" w:line="240" w:lineRule="auto"/>
              <w:ind w:left="522"/>
              <w:contextualSpacing/>
              <w:jc w:val="both"/>
              <w:rPr>
                <w:rFonts w:ascii="Times New Roman" w:hAnsi="Times New Roman" w:cs="Times New Roman"/>
                <w:sz w:val="18"/>
                <w:szCs w:val="14"/>
                <w:lang w:val="ro-RO"/>
              </w:rPr>
            </w:pPr>
          </w:p>
          <w:p w14:paraId="5F11487E" w14:textId="77777777" w:rsidR="00BA083C" w:rsidRPr="009C5F11" w:rsidRDefault="00BA083C" w:rsidP="00334F3B">
            <w:pPr>
              <w:numPr>
                <w:ilvl w:val="0"/>
                <w:numId w:val="143"/>
              </w:numPr>
              <w:tabs>
                <w:tab w:val="left" w:pos="522"/>
                <w:tab w:val="left" w:pos="5040"/>
                <w:tab w:val="right" w:pos="8504"/>
              </w:tabs>
              <w:spacing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u w:val="single"/>
                <w:lang w:val="ro-RO"/>
              </w:rPr>
              <w:t>2 proiecte BERD de modernizare a sistemelor de transport pe baza achiziţionării de troleibuze noi şi moderne la Chişinău (100 unităţi în anul 2010) şi Bălţi (23 unităţi în anul 2012)</w:t>
            </w:r>
            <w:r w:rsidRPr="009C5F11">
              <w:rPr>
                <w:rFonts w:ascii="Times New Roman" w:hAnsi="Times New Roman" w:cs="Times New Roman"/>
                <w:sz w:val="18"/>
                <w:szCs w:val="14"/>
                <w:lang w:val="ro-RO"/>
              </w:rPr>
              <w:t>. Costul total al acestor proiecte este de 13.7 milioane euro la Chişinău şi 4.6 milioane euro la Bălţi.</w:t>
            </w:r>
          </w:p>
          <w:p w14:paraId="3516F080" w14:textId="77777777" w:rsidR="00BA083C" w:rsidRPr="009C5F11" w:rsidRDefault="00BA083C" w:rsidP="00F4274E">
            <w:pPr>
              <w:tabs>
                <w:tab w:val="left" w:pos="522"/>
                <w:tab w:val="left" w:pos="5040"/>
                <w:tab w:val="right" w:pos="8504"/>
              </w:tabs>
              <w:spacing w:line="240" w:lineRule="auto"/>
              <w:ind w:left="522"/>
              <w:contextualSpacing/>
              <w:jc w:val="both"/>
              <w:rPr>
                <w:rFonts w:ascii="Times New Roman" w:hAnsi="Times New Roman" w:cs="Times New Roman"/>
                <w:sz w:val="18"/>
                <w:szCs w:val="14"/>
                <w:lang w:val="ro-RO"/>
              </w:rPr>
            </w:pPr>
          </w:p>
          <w:p w14:paraId="4C153976" w14:textId="77777777" w:rsidR="00BA083C" w:rsidRPr="009C5F11" w:rsidRDefault="00BA083C" w:rsidP="00334F3B">
            <w:pPr>
              <w:numPr>
                <w:ilvl w:val="0"/>
                <w:numId w:val="143"/>
              </w:numPr>
              <w:spacing w:after="100" w:afterAutospacing="1"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Strategia RM de adaptare la schimbarea climei </w:t>
            </w:r>
            <w:r w:rsidR="00A464E4" w:rsidRPr="009C5F11">
              <w:rPr>
                <w:rFonts w:ascii="Times New Roman" w:hAnsi="Times New Roman" w:cs="Times New Roman"/>
                <w:sz w:val="18"/>
                <w:szCs w:val="14"/>
                <w:lang w:val="ro-RO"/>
              </w:rPr>
              <w:t xml:space="preserve">până în anul 2020 </w:t>
            </w:r>
            <w:r w:rsidRPr="009C5F11">
              <w:rPr>
                <w:rFonts w:ascii="Times New Roman" w:hAnsi="Times New Roman" w:cs="Times New Roman"/>
                <w:sz w:val="18"/>
                <w:szCs w:val="14"/>
                <w:lang w:val="ro-RO"/>
              </w:rPr>
              <w:t xml:space="preserve">şi Planul de acţiuni </w:t>
            </w:r>
            <w:r w:rsidR="00A464E4" w:rsidRPr="009C5F11">
              <w:rPr>
                <w:rFonts w:ascii="Times New Roman" w:hAnsi="Times New Roman" w:cs="Times New Roman"/>
                <w:sz w:val="18"/>
                <w:szCs w:val="14"/>
                <w:lang w:val="ro-RO"/>
              </w:rPr>
              <w:t xml:space="preserve">pentru implementarea acesteia </w:t>
            </w:r>
            <w:r w:rsidRPr="009C5F11">
              <w:rPr>
                <w:rFonts w:ascii="Times New Roman" w:hAnsi="Times New Roman" w:cs="Times New Roman"/>
                <w:sz w:val="18"/>
                <w:szCs w:val="14"/>
                <w:lang w:val="ro-RO"/>
              </w:rPr>
              <w:t>aprobat</w:t>
            </w:r>
            <w:r w:rsidR="00A464E4" w:rsidRPr="009C5F11">
              <w:rPr>
                <w:rFonts w:ascii="Times New Roman" w:hAnsi="Times New Roman" w:cs="Times New Roman"/>
                <w:sz w:val="18"/>
                <w:szCs w:val="14"/>
                <w:lang w:val="ro-RO"/>
              </w:rPr>
              <w:t>e</w:t>
            </w:r>
            <w:r w:rsidRPr="009C5F11">
              <w:rPr>
                <w:rFonts w:ascii="Times New Roman" w:hAnsi="Times New Roman" w:cs="Times New Roman"/>
                <w:sz w:val="18"/>
                <w:szCs w:val="14"/>
                <w:lang w:val="ro-RO"/>
              </w:rPr>
              <w:t xml:space="preserve"> prin Hotărârea nr. 1009 din 10.12.2014 introduc măsuri pentru asigurarea transportului durabil, cum ar fi </w:t>
            </w:r>
            <w:r w:rsidRPr="009C5F11">
              <w:rPr>
                <w:rFonts w:ascii="Times New Roman" w:hAnsi="Times New Roman" w:cs="Times New Roman"/>
                <w:sz w:val="18"/>
                <w:szCs w:val="14"/>
                <w:u w:val="single"/>
                <w:lang w:val="ro-RO"/>
              </w:rPr>
              <w:t>“As</w:t>
            </w:r>
            <w:r w:rsidR="00A464E4" w:rsidRPr="009C5F11">
              <w:rPr>
                <w:rFonts w:ascii="Times New Roman" w:hAnsi="Times New Roman" w:cs="Times New Roman"/>
                <w:sz w:val="18"/>
                <w:szCs w:val="14"/>
                <w:u w:val="single"/>
                <w:lang w:val="ro-RO"/>
              </w:rPr>
              <w:t>igurarea</w:t>
            </w:r>
            <w:r w:rsidRPr="009C5F11">
              <w:rPr>
                <w:rFonts w:ascii="Times New Roman" w:hAnsi="Times New Roman" w:cs="Times New Roman"/>
                <w:sz w:val="18"/>
                <w:szCs w:val="14"/>
                <w:u w:val="single"/>
                <w:lang w:val="ro-RO"/>
              </w:rPr>
              <w:t xml:space="preserve"> planificării sistemului </w:t>
            </w:r>
            <w:r w:rsidR="00A464E4" w:rsidRPr="009C5F11">
              <w:rPr>
                <w:rFonts w:ascii="Times New Roman" w:hAnsi="Times New Roman" w:cs="Times New Roman"/>
                <w:sz w:val="18"/>
                <w:szCs w:val="14"/>
                <w:u w:val="single"/>
                <w:lang w:val="ro-RO"/>
              </w:rPr>
              <w:t xml:space="preserve">urban </w:t>
            </w:r>
            <w:r w:rsidRPr="009C5F11">
              <w:rPr>
                <w:rFonts w:ascii="Times New Roman" w:hAnsi="Times New Roman" w:cs="Times New Roman"/>
                <w:sz w:val="18"/>
                <w:szCs w:val="14"/>
                <w:u w:val="single"/>
                <w:lang w:val="ro-RO"/>
              </w:rPr>
              <w:t>de transport în vederea creării infrastructurii necesare pentru promovarea  transport</w:t>
            </w:r>
            <w:r w:rsidR="00A464E4" w:rsidRPr="009C5F11">
              <w:rPr>
                <w:rFonts w:ascii="Times New Roman" w:hAnsi="Times New Roman" w:cs="Times New Roman"/>
                <w:sz w:val="18"/>
                <w:szCs w:val="14"/>
                <w:u w:val="single"/>
                <w:lang w:val="ro-RO"/>
              </w:rPr>
              <w:t>ului</w:t>
            </w:r>
            <w:r w:rsidRPr="009C5F11">
              <w:rPr>
                <w:rFonts w:ascii="Times New Roman" w:hAnsi="Times New Roman" w:cs="Times New Roman"/>
                <w:sz w:val="18"/>
                <w:szCs w:val="14"/>
                <w:u w:val="single"/>
                <w:lang w:val="ro-RO"/>
              </w:rPr>
              <w:t xml:space="preserve"> alternativ cum ar fi mersul cu bicicleta”</w:t>
            </w:r>
            <w:r w:rsidRPr="009C5F11">
              <w:rPr>
                <w:rFonts w:ascii="Times New Roman" w:hAnsi="Times New Roman" w:cs="Times New Roman"/>
                <w:sz w:val="18"/>
                <w:szCs w:val="14"/>
                <w:lang w:val="ro-RO"/>
              </w:rPr>
              <w:t xml:space="preserve"> </w:t>
            </w:r>
            <w:r w:rsidR="00827D6D" w:rsidRPr="009C5F11">
              <w:rPr>
                <w:rFonts w:ascii="Times New Roman" w:hAnsi="Times New Roman" w:cs="Times New Roman"/>
                <w:sz w:val="18"/>
                <w:szCs w:val="14"/>
                <w:lang w:val="ro-RO"/>
              </w:rPr>
              <w:t xml:space="preserve">(pozitia 64) </w:t>
            </w:r>
            <w:r w:rsidRPr="009C5F11">
              <w:rPr>
                <w:rFonts w:ascii="Times New Roman" w:hAnsi="Times New Roman" w:cs="Times New Roman"/>
                <w:sz w:val="18"/>
                <w:szCs w:val="14"/>
                <w:lang w:val="ro-RO"/>
              </w:rPr>
              <w:t>ce urmează a fi pus în aplicare până în 2019 (prin urmare, rezultatele pot fi contabilizate deja în 2020), pentru implementare fiind preconizate 5 milioane euro din bugetul de stat, bugetele locale şi din asistenţa financiară externă. Această sumă va fi suficientă pentru a dezvolta integral infrastructura pentru biciclişti la Chişinău. Îmbunătăţirile tehnice aduse infrastructurii oraşului ar trebui consolidate prin campanii de sensibilizare, promovând mersul cu bicicleta ca un mijloc durabil de transport şi astfel de acţiuni, cum ar fi “O zi pe săptămână fără automobil”, “Circulăm la şcoală”, “Circulăm la lucru” etc.</w:t>
            </w:r>
            <w:r w:rsidRPr="009C5F11">
              <w:rPr>
                <w:rFonts w:ascii="Times New Roman" w:hAnsi="Times New Roman" w:cs="Times New Roman"/>
                <w:sz w:val="18"/>
                <w:szCs w:val="14"/>
                <w:lang w:val="ro-RO"/>
              </w:rPr>
              <w:br/>
            </w:r>
          </w:p>
          <w:p w14:paraId="654A5156" w14:textId="77777777" w:rsidR="00BA083C" w:rsidRPr="009C5F11" w:rsidRDefault="00BA083C" w:rsidP="00334F3B">
            <w:pPr>
              <w:numPr>
                <w:ilvl w:val="0"/>
                <w:numId w:val="143"/>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 iulie 2015 PNUD a lansat un plan de iniţiere pentru grantul de pregătire a proiectului GEF întitulat </w:t>
            </w:r>
            <w:r w:rsidRPr="009C5F11">
              <w:rPr>
                <w:rFonts w:ascii="Times New Roman" w:hAnsi="Times New Roman" w:cs="Times New Roman"/>
                <w:sz w:val="18"/>
                <w:szCs w:val="14"/>
                <w:u w:val="single"/>
                <w:lang w:val="ro-RO"/>
              </w:rPr>
              <w:t xml:space="preserve">“Oraşe verzi şi durabile în Moldova – Catalizarea investiţiilor în oraşe verzi şi durabile din RM, folosind o </w:t>
            </w:r>
            <w:r w:rsidR="009E4ED6" w:rsidRPr="009C5F11">
              <w:rPr>
                <w:rFonts w:ascii="Times New Roman" w:hAnsi="Times New Roman" w:cs="Times New Roman"/>
                <w:sz w:val="18"/>
                <w:szCs w:val="14"/>
                <w:u w:val="single"/>
                <w:lang w:val="ro-RO"/>
              </w:rPr>
              <w:t>abordare</w:t>
            </w:r>
            <w:r w:rsidRPr="009C5F11">
              <w:rPr>
                <w:rFonts w:ascii="Times New Roman" w:hAnsi="Times New Roman" w:cs="Times New Roman"/>
                <w:sz w:val="18"/>
                <w:szCs w:val="14"/>
                <w:u w:val="single"/>
                <w:lang w:val="ro-RO"/>
              </w:rPr>
              <w:t xml:space="preserve"> holistică de planificare urbană integrată”.</w:t>
            </w:r>
            <w:r w:rsidRPr="009C5F11">
              <w:rPr>
                <w:rFonts w:ascii="Times New Roman" w:hAnsi="Times New Roman" w:cs="Times New Roman"/>
                <w:sz w:val="18"/>
                <w:szCs w:val="14"/>
                <w:lang w:val="ro-RO"/>
              </w:rPr>
              <w:t xml:space="preserve"> Finalizarea acestui studiu (circa 100,000 dolari SUA) este preconizată pentru luna iunie 2016 şi se va axa pe elaborarea şi adoptarea unui plan de transport urban durabil, a unei strategii cu privire la parcare pentru Chişinău şi a unui sistem integrat de management al traficului (ITMS). De asemenea, se prevede replicarea </w:t>
            </w:r>
            <w:r w:rsidRPr="009C5F11">
              <w:rPr>
                <w:rFonts w:ascii="Times New Roman" w:hAnsi="Times New Roman" w:cs="Times New Roman"/>
                <w:sz w:val="18"/>
                <w:szCs w:val="14"/>
                <w:u w:val="single"/>
                <w:lang w:val="ro-RO"/>
              </w:rPr>
              <w:t>planificării urbane integrate</w:t>
            </w:r>
            <w:r w:rsidRPr="009C5F11">
              <w:rPr>
                <w:rFonts w:ascii="Times New Roman" w:hAnsi="Times New Roman" w:cs="Times New Roman"/>
                <w:sz w:val="18"/>
                <w:szCs w:val="14"/>
                <w:lang w:val="ro-RO"/>
              </w:rPr>
              <w:t xml:space="preserve"> în cel puţin alte 3 urbe. </w:t>
            </w:r>
          </w:p>
          <w:p w14:paraId="6F1F388A" w14:textId="77777777" w:rsidR="00BA083C" w:rsidRPr="009C5F11" w:rsidRDefault="00BA083C" w:rsidP="00F4274E">
            <w:pPr>
              <w:spacing w:after="0" w:line="240" w:lineRule="auto"/>
              <w:ind w:left="522"/>
              <w:rPr>
                <w:rFonts w:ascii="Times New Roman" w:hAnsi="Times New Roman" w:cs="Times New Roman"/>
                <w:sz w:val="18"/>
                <w:szCs w:val="14"/>
                <w:lang w:val="ro-RO"/>
              </w:rPr>
            </w:pPr>
            <w:r w:rsidRPr="009C5F11">
              <w:rPr>
                <w:rFonts w:ascii="Times New Roman" w:hAnsi="Times New Roman" w:cs="Times New Roman"/>
                <w:sz w:val="18"/>
                <w:szCs w:val="14"/>
                <w:lang w:val="ro-RO"/>
              </w:rPr>
              <w:t>În rezultatul planului de iniţiere, PNUD îşi propune să catalizeze cel puţin 30 milioane dolari SUA pentru investiţii noi şi suplimentare alocate în scopul dezvoltării oraşelor verzi şi durabile în Republica Moldova, care vor reduce direct emisiile de GES cu cel puţin 200,000 tone de CO2 la încheierea proiectului (circa 71ktep).</w:t>
            </w:r>
          </w:p>
          <w:p w14:paraId="1BC90058" w14:textId="77777777" w:rsidR="00BA083C" w:rsidRPr="009C5F11" w:rsidRDefault="00BA083C" w:rsidP="00F4274E">
            <w:pPr>
              <w:spacing w:after="0" w:line="240" w:lineRule="auto"/>
              <w:ind w:left="522"/>
              <w:rPr>
                <w:rFonts w:ascii="Times New Roman" w:hAnsi="Times New Roman" w:cs="Times New Roman"/>
                <w:sz w:val="18"/>
                <w:szCs w:val="14"/>
                <w:lang w:val="ro-RO"/>
              </w:rPr>
            </w:pPr>
          </w:p>
          <w:p w14:paraId="091EED57" w14:textId="77777777" w:rsidR="00BA083C" w:rsidRPr="009C5F11" w:rsidRDefault="00BA083C" w:rsidP="00F4274E">
            <w:pPr>
              <w:spacing w:after="0" w:line="240" w:lineRule="auto"/>
              <w:ind w:left="522"/>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 linii generale, optimizarea managementului traficului îşi propune să: </w:t>
            </w:r>
          </w:p>
          <w:p w14:paraId="0283CD05" w14:textId="77777777" w:rsidR="00BA083C" w:rsidRPr="009C5F11" w:rsidRDefault="00BA083C" w:rsidP="00334F3B">
            <w:pPr>
              <w:numPr>
                <w:ilvl w:val="0"/>
                <w:numId w:val="145"/>
              </w:numPr>
              <w:spacing w:after="0" w:line="240" w:lineRule="auto"/>
              <w:ind w:left="995" w:hanging="473"/>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distribuie şi să echilibreze traficul din reţea pentru a asigura o mai bună utilizare a capacităţii, </w:t>
            </w:r>
          </w:p>
          <w:p w14:paraId="155CE4F4" w14:textId="77777777" w:rsidR="00BA083C" w:rsidRPr="009C5F11" w:rsidRDefault="00BA083C" w:rsidP="00334F3B">
            <w:pPr>
              <w:numPr>
                <w:ilvl w:val="0"/>
                <w:numId w:val="145"/>
              </w:numPr>
              <w:spacing w:after="0" w:line="240" w:lineRule="auto"/>
              <w:ind w:left="995" w:hanging="473"/>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reducă timpul de aşteptare şi numărul de staţii, </w:t>
            </w:r>
          </w:p>
          <w:p w14:paraId="27C81799" w14:textId="77777777" w:rsidR="00BA083C" w:rsidRPr="009C5F11" w:rsidRDefault="00BA083C" w:rsidP="00334F3B">
            <w:pPr>
              <w:numPr>
                <w:ilvl w:val="0"/>
                <w:numId w:val="145"/>
              </w:numPr>
              <w:spacing w:after="0" w:line="240" w:lineRule="auto"/>
              <w:ind w:left="995" w:hanging="473"/>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echilibreze fluxul de trafic, şi </w:t>
            </w:r>
          </w:p>
          <w:p w14:paraId="423E007B" w14:textId="77777777" w:rsidR="00BA083C" w:rsidRPr="009C5F11" w:rsidRDefault="00BA083C" w:rsidP="00334F3B">
            <w:pPr>
              <w:numPr>
                <w:ilvl w:val="0"/>
                <w:numId w:val="145"/>
              </w:numPr>
              <w:spacing w:after="0" w:line="240" w:lineRule="auto"/>
              <w:ind w:left="995" w:hanging="473"/>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recomande rute optime individuale conducătorilor auto. </w:t>
            </w:r>
          </w:p>
          <w:p w14:paraId="5FA5357D" w14:textId="77777777" w:rsidR="00BA083C" w:rsidRPr="009C5F11" w:rsidRDefault="00BA083C" w:rsidP="00F4274E">
            <w:pPr>
              <w:spacing w:after="0" w:line="240" w:lineRule="auto"/>
              <w:ind w:left="522"/>
              <w:rPr>
                <w:rFonts w:ascii="Times New Roman" w:hAnsi="Times New Roman" w:cs="Times New Roman"/>
                <w:sz w:val="18"/>
                <w:szCs w:val="14"/>
                <w:lang w:val="ro-RO"/>
              </w:rPr>
            </w:pPr>
            <w:r w:rsidRPr="009C5F11">
              <w:rPr>
                <w:rFonts w:ascii="Times New Roman" w:hAnsi="Times New Roman" w:cs="Times New Roman"/>
                <w:sz w:val="18"/>
                <w:szCs w:val="14"/>
                <w:lang w:val="ro-RO"/>
              </w:rPr>
              <w:t>Astfel de măsuri nu vor îmbunătăţi doar traficul în general (adică, mai puţine ambuteiaje şi fluxuri echilibrate de trafic), dar vor reduce considerabil consumul de carburanţi şi emisiile.</w:t>
            </w:r>
          </w:p>
          <w:p w14:paraId="6001EF33" w14:textId="77777777" w:rsidR="00BA083C" w:rsidRPr="009C5F11" w:rsidRDefault="00BA083C" w:rsidP="00F4274E">
            <w:pPr>
              <w:spacing w:after="0" w:line="240" w:lineRule="auto"/>
              <w:ind w:left="522"/>
              <w:rPr>
                <w:rFonts w:ascii="Times New Roman" w:hAnsi="Times New Roman" w:cs="Times New Roman"/>
                <w:sz w:val="18"/>
                <w:szCs w:val="14"/>
                <w:lang w:val="ro-RO"/>
              </w:rPr>
            </w:pPr>
          </w:p>
          <w:p w14:paraId="45425BDB" w14:textId="77777777" w:rsidR="00BA083C" w:rsidRPr="009C5F11" w:rsidRDefault="00BA083C" w:rsidP="00334F3B">
            <w:pPr>
              <w:numPr>
                <w:ilvl w:val="0"/>
                <w:numId w:val="150"/>
              </w:numPr>
              <w:spacing w:after="0" w:line="240" w:lineRule="auto"/>
              <w:ind w:left="522" w:hanging="270"/>
              <w:rPr>
                <w:rFonts w:ascii="Times New Roman" w:hAnsi="Times New Roman" w:cs="Times New Roman"/>
                <w:sz w:val="18"/>
                <w:szCs w:val="14"/>
                <w:lang w:val="ro-RO"/>
              </w:rPr>
            </w:pPr>
            <w:r w:rsidRPr="009C5F11">
              <w:rPr>
                <w:rFonts w:ascii="Times New Roman" w:hAnsi="Times New Roman" w:cs="Times New Roman"/>
                <w:sz w:val="18"/>
                <w:szCs w:val="14"/>
                <w:u w:val="single"/>
                <w:lang w:val="ro-RO"/>
              </w:rPr>
              <w:t>Introducerea taxelor pe vehicule în funcţie de emisiile produse</w:t>
            </w:r>
            <w:r w:rsidRPr="009C5F11">
              <w:rPr>
                <w:rFonts w:ascii="Times New Roman" w:hAnsi="Times New Roman" w:cs="Times New Roman"/>
                <w:sz w:val="18"/>
                <w:szCs w:val="14"/>
                <w:lang w:val="ro-RO"/>
              </w:rPr>
              <w:t xml:space="preserve"> (alternativ poate fi introdus sistemul de etichetare a automobilelor care într-o manieră mai favorabilă va atrage atenţia consumatorilor asupra celor mai eficiente opţiuni – economiile ar putea fi estimate la nivel </w:t>
            </w:r>
            <w:r w:rsidRPr="009C5F11">
              <w:rPr>
                <w:rFonts w:ascii="Times New Roman" w:hAnsi="Times New Roman" w:cs="Times New Roman"/>
                <w:sz w:val="18"/>
                <w:szCs w:val="14"/>
                <w:lang w:val="ro-RO"/>
              </w:rPr>
              <w:lastRenderedPageBreak/>
              <w:t>similar).</w:t>
            </w:r>
          </w:p>
        </w:tc>
      </w:tr>
      <w:tr w:rsidR="00BA083C" w:rsidRPr="009C5F11" w14:paraId="43E83A1F" w14:textId="77777777" w:rsidTr="00F4274E">
        <w:trPr>
          <w:trHeight w:val="278"/>
        </w:trPr>
        <w:tc>
          <w:tcPr>
            <w:tcW w:w="743" w:type="pct"/>
            <w:vMerge/>
          </w:tcPr>
          <w:p w14:paraId="069CBE6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46401ED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24EB561A" w14:textId="77777777" w:rsidR="00BA083C" w:rsidRPr="009C5F11" w:rsidRDefault="00BA083C" w:rsidP="00334F3B">
            <w:pPr>
              <w:numPr>
                <w:ilvl w:val="0"/>
                <w:numId w:val="141"/>
              </w:numPr>
              <w:tabs>
                <w:tab w:val="left" w:pos="342"/>
                <w:tab w:val="left" w:pos="5040"/>
                <w:tab w:val="right" w:pos="8504"/>
              </w:tabs>
              <w:spacing w:before="40" w:after="0" w:line="240" w:lineRule="auto"/>
              <w:ind w:left="252" w:hanging="180"/>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Strategia de transport a mun</w:t>
            </w:r>
            <w:r w:rsidR="001624DE" w:rsidRPr="009C5F11">
              <w:rPr>
                <w:rFonts w:ascii="Times New Roman" w:hAnsi="Times New Roman" w:cs="Times New Roman"/>
                <w:sz w:val="18"/>
                <w:szCs w:val="14"/>
                <w:u w:val="single"/>
                <w:lang w:val="ro-RO" w:eastAsia="de-DE"/>
              </w:rPr>
              <w:t>icipiului</w:t>
            </w:r>
            <w:r w:rsidRPr="009C5F11">
              <w:rPr>
                <w:rFonts w:ascii="Times New Roman" w:hAnsi="Times New Roman" w:cs="Times New Roman"/>
                <w:sz w:val="18"/>
                <w:szCs w:val="14"/>
                <w:u w:val="single"/>
                <w:lang w:val="ro-RO" w:eastAsia="de-DE"/>
              </w:rPr>
              <w:t xml:space="preserve"> Chişinău </w:t>
            </w:r>
            <w:r w:rsidRPr="009C5F11">
              <w:rPr>
                <w:rFonts w:ascii="Times New Roman" w:hAnsi="Times New Roman" w:cs="Times New Roman"/>
                <w:sz w:val="18"/>
                <w:szCs w:val="14"/>
                <w:lang w:val="ro-RO" w:eastAsia="de-DE"/>
              </w:rPr>
              <w:t xml:space="preserve">(redactată de BERD, 2014). Investiţiile totale estimate: </w:t>
            </w:r>
          </w:p>
          <w:p w14:paraId="7352E7ED" w14:textId="77777777" w:rsidR="00BA083C" w:rsidRPr="009C5F11" w:rsidRDefault="00BA083C" w:rsidP="00F4274E">
            <w:pPr>
              <w:tabs>
                <w:tab w:val="left" w:pos="1440"/>
                <w:tab w:val="left" w:pos="5040"/>
                <w:tab w:val="right" w:pos="8504"/>
              </w:tabs>
              <w:spacing w:before="40" w:after="0" w:line="240" w:lineRule="auto"/>
              <w:ind w:left="252" w:firstLine="90"/>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207,457,500 lei (2015: 14,247,500; 2016: 49,050,000; 2017: 57,440,000; 2018: 42,075,000)</w:t>
            </w:r>
          </w:p>
          <w:p w14:paraId="4E98700C" w14:textId="77777777" w:rsidR="00BA083C" w:rsidRPr="009C5F11" w:rsidRDefault="00BA083C" w:rsidP="00334F3B">
            <w:pPr>
              <w:numPr>
                <w:ilvl w:val="0"/>
                <w:numId w:val="149"/>
              </w:numPr>
              <w:tabs>
                <w:tab w:val="left" w:pos="106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Investiţie susţinută de bugetul local prin contractarea creditelor de la IFI: </w:t>
            </w:r>
          </w:p>
          <w:p w14:paraId="490F6D6D" w14:textId="77777777" w:rsidR="00BA083C" w:rsidRPr="009C5F11" w:rsidRDefault="00BA083C" w:rsidP="00F4274E">
            <w:pPr>
              <w:tabs>
                <w:tab w:val="left" w:pos="1440"/>
                <w:tab w:val="left" w:pos="5040"/>
                <w:tab w:val="right" w:pos="8504"/>
              </w:tabs>
              <w:spacing w:before="40" w:after="0" w:line="240" w:lineRule="auto"/>
              <w:ind w:left="106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164,863,500 lei (2015: 11,013,500; 2016: 45,480,000; 2017: 54,500,000; 2018: 42,075,000)</w:t>
            </w:r>
          </w:p>
          <w:p w14:paraId="6FE5CC1B" w14:textId="77777777" w:rsidR="00BA083C" w:rsidRPr="009C5F11" w:rsidRDefault="00BA083C" w:rsidP="00334F3B">
            <w:pPr>
              <w:numPr>
                <w:ilvl w:val="0"/>
                <w:numId w:val="149"/>
              </w:numPr>
              <w:tabs>
                <w:tab w:val="left" w:pos="106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Diferenţa – din alte surse.</w:t>
            </w:r>
          </w:p>
          <w:p w14:paraId="5DD41C05" w14:textId="77777777" w:rsidR="00BA083C" w:rsidRPr="009C5F11" w:rsidRDefault="00BA083C" w:rsidP="00334F3B">
            <w:pPr>
              <w:numPr>
                <w:ilvl w:val="0"/>
                <w:numId w:val="148"/>
              </w:numPr>
              <w:tabs>
                <w:tab w:val="left" w:pos="252"/>
                <w:tab w:val="left" w:pos="5040"/>
                <w:tab w:val="right" w:pos="8504"/>
              </w:tabs>
              <w:spacing w:before="40" w:after="0" w:line="240" w:lineRule="auto"/>
              <w:ind w:left="252" w:hanging="270"/>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rPr>
              <w:t>Proiect în sectorul drumurilor urbane din Chişinău</w:t>
            </w:r>
            <w:r w:rsidRPr="009C5F11">
              <w:rPr>
                <w:rFonts w:ascii="Times New Roman" w:hAnsi="Times New Roman" w:cs="Times New Roman"/>
                <w:sz w:val="18"/>
                <w:szCs w:val="14"/>
                <w:u w:val="single"/>
                <w:lang w:val="ro-RO" w:eastAsia="de-DE"/>
              </w:rPr>
              <w:t>.</w:t>
            </w:r>
            <w:r w:rsidRPr="009C5F11">
              <w:rPr>
                <w:rFonts w:ascii="Times New Roman" w:hAnsi="Times New Roman" w:cs="Times New Roman"/>
                <w:sz w:val="18"/>
                <w:szCs w:val="14"/>
                <w:lang w:val="ro-RO" w:eastAsia="de-DE"/>
              </w:rPr>
              <w:t xml:space="preserve"> Costul total al proiectului este de circa 32.7 milioane euro. Proiectul mai include finanţare din partea Băncii Europene de Investiţii (BEI), contribuţia Primăriei Chişinău constituind 9.5 milioane euro pentru finanţarea, inter alia, lucrărilor de reabilitare a străzilor pe un segment cu o lungime de 14.3 kilometri de străzi principale şi secundare, inclusiv schimbarea asfaltului şi a pavajului, construirea de noi zone pietonale în partea centrală a oraşului, modernizarea infrastructurii de scurgere a apei, crearea locurilor de parcare pe străzi care să fie folosite în cadrul unei noi scheme de taxare a parcărilor;</w:t>
            </w:r>
          </w:p>
          <w:p w14:paraId="2D43E188" w14:textId="77777777" w:rsidR="00BA083C" w:rsidRPr="009C5F11" w:rsidRDefault="00BA083C" w:rsidP="00F4274E">
            <w:pPr>
              <w:tabs>
                <w:tab w:val="left" w:pos="1440"/>
                <w:tab w:val="left" w:pos="5040"/>
                <w:tab w:val="right" w:pos="8504"/>
              </w:tabs>
              <w:spacing w:before="40" w:after="0" w:line="240" w:lineRule="auto"/>
              <w:ind w:left="25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Proiectul mai include €1.2 milioane pentru cooperare tehnică post-semnare.</w:t>
            </w:r>
          </w:p>
          <w:p w14:paraId="202FDF99" w14:textId="77777777" w:rsidR="00BA083C" w:rsidRPr="009C5F11" w:rsidRDefault="00BA083C" w:rsidP="00334F3B">
            <w:pPr>
              <w:numPr>
                <w:ilvl w:val="0"/>
                <w:numId w:val="141"/>
              </w:numPr>
              <w:tabs>
                <w:tab w:val="left" w:pos="252"/>
                <w:tab w:val="left" w:pos="5040"/>
                <w:tab w:val="right" w:pos="8504"/>
              </w:tabs>
              <w:spacing w:before="40" w:after="0" w:line="240" w:lineRule="auto"/>
              <w:ind w:left="252" w:hanging="180"/>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 xml:space="preserve">Obiectivul proiectului pentru </w:t>
            </w:r>
            <w:r w:rsidR="00A464E4" w:rsidRPr="009C5F11">
              <w:rPr>
                <w:rFonts w:ascii="Times New Roman" w:hAnsi="Times New Roman" w:cs="Times New Roman"/>
                <w:sz w:val="18"/>
                <w:szCs w:val="14"/>
                <w:u w:val="single"/>
                <w:lang w:val="ro-RO" w:eastAsia="de-DE"/>
              </w:rPr>
              <w:t xml:space="preserve">transport alternativ, cum ar fi mersul cu </w:t>
            </w:r>
            <w:r w:rsidRPr="009C5F11">
              <w:rPr>
                <w:rFonts w:ascii="Times New Roman" w:hAnsi="Times New Roman" w:cs="Times New Roman"/>
                <w:sz w:val="18"/>
                <w:szCs w:val="14"/>
                <w:u w:val="single"/>
                <w:lang w:val="ro-RO" w:eastAsia="de-DE"/>
              </w:rPr>
              <w:t>bicicl</w:t>
            </w:r>
            <w:r w:rsidR="00A464E4" w:rsidRPr="009C5F11">
              <w:rPr>
                <w:rFonts w:ascii="Times New Roman" w:hAnsi="Times New Roman" w:cs="Times New Roman"/>
                <w:sz w:val="18"/>
                <w:szCs w:val="14"/>
                <w:u w:val="single"/>
                <w:lang w:val="ro-RO" w:eastAsia="de-DE"/>
              </w:rPr>
              <w:t>eta</w:t>
            </w:r>
            <w:r w:rsidRPr="009C5F11">
              <w:rPr>
                <w:rFonts w:ascii="Times New Roman" w:hAnsi="Times New Roman" w:cs="Times New Roman"/>
                <w:sz w:val="18"/>
                <w:szCs w:val="14"/>
                <w:u w:val="single"/>
                <w:lang w:val="ro-RO" w:eastAsia="de-DE"/>
              </w:rPr>
              <w:t>i</w:t>
            </w:r>
            <w:r w:rsidRPr="009C5F11">
              <w:rPr>
                <w:rFonts w:ascii="Times New Roman" w:hAnsi="Times New Roman" w:cs="Times New Roman"/>
                <w:sz w:val="18"/>
                <w:szCs w:val="14"/>
                <w:lang w:val="ro-RO" w:eastAsia="de-DE"/>
              </w:rPr>
              <w:t xml:space="preserve"> cu un buget în sumă de 5 milioane euro alocaţi de bugetul de stat, bugetele locale şi din asistenţă financiară externă.</w:t>
            </w:r>
          </w:p>
          <w:p w14:paraId="67A1A51B" w14:textId="77777777" w:rsidR="00BA083C" w:rsidRPr="009C5F11" w:rsidRDefault="00BA083C" w:rsidP="00334F3B">
            <w:pPr>
              <w:numPr>
                <w:ilvl w:val="0"/>
                <w:numId w:val="141"/>
              </w:numPr>
              <w:tabs>
                <w:tab w:val="left" w:pos="252"/>
                <w:tab w:val="left" w:pos="5040"/>
                <w:tab w:val="right" w:pos="8504"/>
              </w:tabs>
              <w:spacing w:before="40" w:after="0" w:line="240" w:lineRule="auto"/>
              <w:ind w:left="252" w:hanging="180"/>
              <w:rPr>
                <w:rFonts w:ascii="Times New Roman" w:hAnsi="Times New Roman" w:cs="Times New Roman"/>
                <w:sz w:val="18"/>
                <w:szCs w:val="14"/>
                <w:lang w:val="ro-RO" w:eastAsia="de-DE"/>
              </w:rPr>
            </w:pPr>
            <w:r w:rsidRPr="009C5F11">
              <w:rPr>
                <w:rFonts w:ascii="Times New Roman" w:hAnsi="Times New Roman" w:cs="Times New Roman"/>
                <w:sz w:val="18"/>
                <w:szCs w:val="14"/>
                <w:u w:val="single"/>
                <w:lang w:val="ro-RO" w:eastAsia="de-DE"/>
              </w:rPr>
              <w:t>Proiect de management al traficului</w:t>
            </w:r>
            <w:r w:rsidRPr="009C5F11">
              <w:rPr>
                <w:rFonts w:ascii="Times New Roman" w:hAnsi="Times New Roman" w:cs="Times New Roman"/>
                <w:sz w:val="18"/>
                <w:szCs w:val="14"/>
                <w:lang w:val="ro-RO" w:eastAsia="de-DE"/>
              </w:rPr>
              <w:t xml:space="preserve"> care va fi lansat în 2016-2018.</w:t>
            </w:r>
          </w:p>
          <w:p w14:paraId="3F47E350" w14:textId="77777777" w:rsidR="00BA083C" w:rsidRPr="009C5F11" w:rsidRDefault="00BA083C" w:rsidP="00F4274E">
            <w:pPr>
              <w:tabs>
                <w:tab w:val="left" w:pos="1440"/>
                <w:tab w:val="left" w:pos="5040"/>
                <w:tab w:val="right" w:pos="8504"/>
              </w:tabs>
              <w:spacing w:before="40" w:after="0" w:line="240" w:lineRule="auto"/>
              <w:ind w:left="25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Proiectul PNUD va acoperi iniţiativa de optimizare a managementului traficului.</w:t>
            </w:r>
          </w:p>
        </w:tc>
      </w:tr>
      <w:tr w:rsidR="00BA083C" w:rsidRPr="009C5F11" w14:paraId="0AD5BFE0" w14:textId="77777777" w:rsidTr="00F4274E">
        <w:trPr>
          <w:trHeight w:val="74"/>
        </w:trPr>
        <w:tc>
          <w:tcPr>
            <w:tcW w:w="743" w:type="pct"/>
            <w:vMerge/>
          </w:tcPr>
          <w:p w14:paraId="3F0A8AB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12790F1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49458395"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Ministerul Transporturilor şi Infrastructurii Drumurilor, autorităţile publice locale</w:t>
            </w:r>
          </w:p>
        </w:tc>
      </w:tr>
      <w:tr w:rsidR="00BA083C" w:rsidRPr="009C5F11" w14:paraId="7F4FA8F5" w14:textId="77777777" w:rsidTr="00F4274E">
        <w:trPr>
          <w:trHeight w:val="67"/>
        </w:trPr>
        <w:tc>
          <w:tcPr>
            <w:tcW w:w="743" w:type="pct"/>
            <w:vMerge/>
          </w:tcPr>
          <w:p w14:paraId="452EB88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2C6B2B0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265E86A8"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Agenţia pentru Eficienţă Energetică</w:t>
            </w:r>
          </w:p>
          <w:p w14:paraId="1360B014"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Ministerul Transporturilor şi Infrastructurii Drumurilor</w:t>
            </w:r>
          </w:p>
        </w:tc>
      </w:tr>
      <w:tr w:rsidR="00BA083C" w:rsidRPr="009C5F11" w14:paraId="0D312858" w14:textId="77777777" w:rsidTr="00F4274E">
        <w:trPr>
          <w:trHeight w:val="233"/>
        </w:trPr>
        <w:tc>
          <w:tcPr>
            <w:tcW w:w="743" w:type="pct"/>
            <w:vMerge w:val="restart"/>
          </w:tcPr>
          <w:p w14:paraId="2E11B9F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7917EF0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263ABA03"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w:t>
            </w:r>
          </w:p>
          <w:p w14:paraId="35FEDB55"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BA083C" w:rsidRPr="009C5F11" w14:paraId="669E93D4" w14:textId="77777777" w:rsidTr="00F4274E">
        <w:trPr>
          <w:trHeight w:val="296"/>
        </w:trPr>
        <w:tc>
          <w:tcPr>
            <w:tcW w:w="743" w:type="pct"/>
            <w:vMerge/>
          </w:tcPr>
          <w:p w14:paraId="31E570F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4A2C7C84"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27B1AF4B"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0E4671" w:rsidRPr="009C5F11">
              <w:rPr>
                <w:rFonts w:ascii="Times New Roman" w:hAnsi="Times New Roman" w:cs="Times New Roman"/>
                <w:sz w:val="18"/>
                <w:szCs w:val="14"/>
                <w:lang w:val="ro-RO" w:eastAsia="de-DE"/>
              </w:rPr>
              <w:t>/A</w:t>
            </w:r>
          </w:p>
        </w:tc>
      </w:tr>
      <w:tr w:rsidR="00BA083C" w:rsidRPr="009C5F11" w14:paraId="157AD408" w14:textId="77777777" w:rsidTr="00F4274E">
        <w:trPr>
          <w:trHeight w:val="548"/>
        </w:trPr>
        <w:tc>
          <w:tcPr>
            <w:tcW w:w="743" w:type="pct"/>
            <w:vMerge/>
          </w:tcPr>
          <w:p w14:paraId="6C9A261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70B37C9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30C0B1CF"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0,124 ktep </w:t>
            </w:r>
          </w:p>
          <w:p w14:paraId="6B722824"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(provin, preponderent, din 2 proiecte BERD de modernizare a parcului de troleibuze (Chişinău, 2010 şi Bălţi, 2012).</w:t>
            </w:r>
          </w:p>
        </w:tc>
      </w:tr>
      <w:tr w:rsidR="00BA083C" w:rsidRPr="009C5F11" w14:paraId="79051B88" w14:textId="77777777" w:rsidTr="00F4274E">
        <w:trPr>
          <w:trHeight w:val="260"/>
        </w:trPr>
        <w:tc>
          <w:tcPr>
            <w:tcW w:w="743" w:type="pct"/>
            <w:vMerge/>
          </w:tcPr>
          <w:p w14:paraId="2425009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3A935CF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tcPr>
          <w:p w14:paraId="42635D75" w14:textId="3B75B615"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33.7</w:t>
            </w:r>
            <w:r w:rsidR="00B77B09" w:rsidRPr="009C5F11">
              <w:rPr>
                <w:rFonts w:ascii="Times New Roman" w:hAnsi="Times New Roman" w:cs="Times New Roman"/>
                <w:b/>
                <w:sz w:val="18"/>
                <w:szCs w:val="14"/>
                <w:lang w:val="ro-RO" w:eastAsia="de-DE"/>
              </w:rPr>
              <w:t xml:space="preserve">3 </w:t>
            </w:r>
            <w:r w:rsidRPr="009C5F11">
              <w:rPr>
                <w:rFonts w:ascii="Times New Roman" w:hAnsi="Times New Roman" w:cs="Times New Roman"/>
                <w:b/>
                <w:sz w:val="18"/>
                <w:szCs w:val="14"/>
                <w:lang w:val="ro-RO" w:eastAsia="de-DE"/>
              </w:rPr>
              <w:t xml:space="preserve">ktep </w:t>
            </w:r>
          </w:p>
        </w:tc>
      </w:tr>
      <w:tr w:rsidR="00BA083C" w:rsidRPr="009C5F11" w14:paraId="3F83AE22" w14:textId="77777777" w:rsidTr="00F4274E">
        <w:trPr>
          <w:trHeight w:val="215"/>
        </w:trPr>
        <w:tc>
          <w:tcPr>
            <w:tcW w:w="743" w:type="pct"/>
            <w:vMerge/>
          </w:tcPr>
          <w:p w14:paraId="53FE1BE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5682461D" w14:textId="77777777" w:rsidR="00BA083C" w:rsidRPr="009C5F11" w:rsidRDefault="000E4671"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5EC89967"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Măsura de restructurare a căilor ferate în anul 2020: 2.21 ktep</w:t>
            </w:r>
          </w:p>
          <w:p w14:paraId="50B20093"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 conformitate cu evaluarea BERD din 2013 (pe baza datelor statistice din 2012), economiile scontate de energie constituie 17% din consumul total la data respectivă.</w:t>
            </w:r>
          </w:p>
          <w:p w14:paraId="57CCE06B"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Consumul de energie finală al transportului din Republica Moldova în 2012 = 14ktep</w:t>
            </w:r>
          </w:p>
          <w:p w14:paraId="69CA3A9E"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Prin urmare, economiile potenţiale asociate cu acestei măsuri constituie circa 2.21 ktep.</w:t>
            </w:r>
          </w:p>
          <w:p w14:paraId="0E379FC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p w14:paraId="06F89F96"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Măsura referitoare la </w:t>
            </w:r>
            <w:r w:rsidR="000E4671" w:rsidRPr="009C5F11">
              <w:rPr>
                <w:rFonts w:ascii="Times New Roman" w:hAnsi="Times New Roman" w:cs="Times New Roman"/>
                <w:sz w:val="18"/>
                <w:szCs w:val="14"/>
                <w:u w:val="single"/>
                <w:lang w:val="ro-RO" w:eastAsia="de-DE"/>
              </w:rPr>
              <w:t>ciclism</w:t>
            </w:r>
            <w:r w:rsidRPr="009C5F11">
              <w:rPr>
                <w:rFonts w:ascii="Times New Roman" w:hAnsi="Times New Roman" w:cs="Times New Roman"/>
                <w:sz w:val="18"/>
                <w:szCs w:val="14"/>
                <w:u w:val="single"/>
                <w:lang w:val="ro-RO" w:eastAsia="de-DE"/>
              </w:rPr>
              <w:t>: în 2020: 1.8 ktep</w:t>
            </w:r>
          </w:p>
          <w:p w14:paraId="0B0EE34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Pe baza studiilor realizate în UE, pentru un oraş cu o populaţie </w:t>
            </w:r>
            <w:r w:rsidR="000E4671" w:rsidRPr="009C5F11">
              <w:rPr>
                <w:rFonts w:ascii="Times New Roman" w:hAnsi="Times New Roman" w:cs="Times New Roman"/>
                <w:sz w:val="18"/>
                <w:szCs w:val="14"/>
                <w:lang w:val="ro-RO" w:eastAsia="de-DE"/>
              </w:rPr>
              <w:t>cum este</w:t>
            </w:r>
            <w:r w:rsidRPr="009C5F11">
              <w:rPr>
                <w:rFonts w:ascii="Times New Roman" w:hAnsi="Times New Roman" w:cs="Times New Roman"/>
                <w:sz w:val="18"/>
                <w:szCs w:val="14"/>
                <w:lang w:val="ro-RO" w:eastAsia="de-DE"/>
              </w:rPr>
              <w:t xml:space="preserve"> cea a or. Chişinău, ar putea fi economisite 3.6 ktep anual, în cazul în care infrastructura este dezvoltată, iar mersul pe bicicletă este promovat la nivel de municipiu /naţional. În calcul a fost luată presupunerea că 700 familii (~2% din populaţia oraşului) sunt motivate să meargă cu bicicleta.</w:t>
            </w:r>
          </w:p>
          <w:p w14:paraId="5531236E"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Ţinând cont de diferenţele climatice din Republica Moldova şi criteriile de referinţă analizate pentru Olanda, Portugalia, Slovenia etc., economiile potenţiale pentru Chişinău sunt estimate la un nivel de 2 ori mai mic (~1%) decât ar putea fi, rezultând în 1.8ktep.</w:t>
            </w:r>
          </w:p>
          <w:p w14:paraId="5929259A"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p w14:paraId="1A945B57"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lastRenderedPageBreak/>
              <w:t>Managementul traficului: în 2020: 23.6 ktep</w:t>
            </w:r>
          </w:p>
          <w:p w14:paraId="4880DCA4"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Potrivit estimărilor PNUD, până la sfârşitul proiectului economiile de energie ar putea atinge 71ktep. Luând în considerare scopul ambiţios al măsurii planificate de a cuprinde mun. Chişinău şi, cel puţin, încă 3 municipii, începând de la capitala Republicii Moldova, pe baza unei estimări conservative presupunem că până la sfârşitul perioadei de raportare cel puţin la Chişinău va fi implementat un sistem integrat de management al traficului. Prin urmare, cuantumul minim de economii va constitui cel puţin ~ 30% din totalul economiilor sau 23.6ktep.</w:t>
            </w:r>
          </w:p>
          <w:p w14:paraId="732E2256" w14:textId="77777777" w:rsidR="00297ED5" w:rsidRPr="009C5F11" w:rsidRDefault="00297ED5"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p w14:paraId="129D56B9"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Măsura de impozitare în 2020: 6 ktep </w:t>
            </w:r>
          </w:p>
          <w:p w14:paraId="3914B433"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Numărul de automobile procurate de locuitorii Republicii Moldova anual: 70,000 </w:t>
            </w:r>
          </w:p>
          <w:p w14:paraId="6A51DCD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Numărul de km parcurşi pe an de un automobil: 14,600 (40km/zi * 365 zile)</w:t>
            </w:r>
          </w:p>
          <w:p w14:paraId="61914B63"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Presupunem că 25% dintre cumpărători vor alege vehicule cu o rată de emisie mai mică cu 10gCO2/km decât în cazul în care nu ar exista un asemenea impozit/taxă, iar 15% din cumpărători vor alege vehicule cu o rată de emisie mai mică cu 20gCO2/km.</w:t>
            </w:r>
          </w:p>
          <w:p w14:paraId="1E0612C6"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p w14:paraId="6A0AE86E"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Se presupune că 20% din cumpărători vor alege vehicule cu o rată de emisie mai mică cu 10gCO2/km decât vehiculele pe care le-ar alege în cazul în care nu ar exista un asemenea impozit/taxă, iar 20% din cumpărători vor alege vehicule cu o rată de emisie mai mică cu 20gCO2/km. Se preconizează că în 2016 regulamentul va pune în aplicarea această măsură şi, începând din 2017, taxa va deveni funcţională. Prin urmare, pe parcursul perioadei de analiză, durata măsurii ar fi de 3 ani (2017, 2018, 2019).</w:t>
            </w:r>
          </w:p>
        </w:tc>
      </w:tr>
      <w:tr w:rsidR="00BA083C" w:rsidRPr="009C5F11" w14:paraId="6C5D0480" w14:textId="77777777" w:rsidTr="00F4274E">
        <w:trPr>
          <w:trHeight w:val="67"/>
        </w:trPr>
        <w:tc>
          <w:tcPr>
            <w:tcW w:w="743" w:type="pct"/>
            <w:vMerge/>
          </w:tcPr>
          <w:p w14:paraId="39BC36F4"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p>
        </w:tc>
        <w:tc>
          <w:tcPr>
            <w:tcW w:w="1013" w:type="pct"/>
          </w:tcPr>
          <w:p w14:paraId="0494F80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61FAC4CE" w14:textId="77777777" w:rsidR="00BA083C" w:rsidRPr="009C5F11" w:rsidRDefault="00BA083C" w:rsidP="00F4274E">
            <w:pPr>
              <w:tabs>
                <w:tab w:val="left" w:pos="1440"/>
                <w:tab w:val="left" w:pos="5040"/>
              </w:tabs>
              <w:spacing w:after="0" w:line="240" w:lineRule="auto"/>
              <w:rPr>
                <w:rFonts w:ascii="Times New Roman" w:hAnsi="Times New Roman" w:cs="Times New Roman"/>
                <w:sz w:val="18"/>
                <w:szCs w:val="14"/>
                <w:lang w:val="ro-RO"/>
              </w:rPr>
            </w:pPr>
          </w:p>
        </w:tc>
      </w:tr>
    </w:tbl>
    <w:p w14:paraId="47829165" w14:textId="77777777" w:rsidR="004D6D86" w:rsidRPr="009C5F11" w:rsidRDefault="004D6D86" w:rsidP="004D6D86">
      <w:pPr>
        <w:pStyle w:val="Titlu4"/>
        <w:numPr>
          <w:ilvl w:val="0"/>
          <w:numId w:val="0"/>
        </w:numPr>
        <w:ind w:left="1219"/>
        <w:rPr>
          <w:rFonts w:ascii="Times New Roman" w:hAnsi="Times New Roman" w:cs="Times New Roman"/>
          <w:sz w:val="28"/>
          <w:lang w:val="ro-RO"/>
        </w:rPr>
      </w:pPr>
      <w:bookmarkStart w:id="228" w:name="_Toc274304031"/>
      <w:bookmarkStart w:id="229" w:name="_Toc319555404"/>
    </w:p>
    <w:p w14:paraId="7710A2EF" w14:textId="77777777" w:rsidR="00BA083C" w:rsidRPr="00D9464A" w:rsidRDefault="00BA083C" w:rsidP="00BA083C">
      <w:pPr>
        <w:pStyle w:val="Titlu4"/>
        <w:rPr>
          <w:rFonts w:ascii="Times New Roman" w:hAnsi="Times New Roman" w:cs="Times New Roman"/>
          <w:b/>
          <w:color w:val="000000" w:themeColor="text1"/>
          <w:sz w:val="28"/>
          <w:lang w:val="ro-RO"/>
        </w:rPr>
      </w:pPr>
      <w:bookmarkStart w:id="230" w:name="_Toc322013170"/>
      <w:r w:rsidRPr="00D9464A">
        <w:rPr>
          <w:rFonts w:ascii="Times New Roman" w:hAnsi="Times New Roman" w:cs="Times New Roman"/>
          <w:b/>
          <w:color w:val="000000" w:themeColor="text1"/>
          <w:sz w:val="28"/>
          <w:lang w:val="ro-RO"/>
        </w:rPr>
        <w:t>Măsuri în alte sectoar</w:t>
      </w:r>
      <w:bookmarkEnd w:id="228"/>
      <w:bookmarkEnd w:id="229"/>
      <w:r w:rsidRPr="00D9464A">
        <w:rPr>
          <w:rFonts w:ascii="Times New Roman" w:hAnsi="Times New Roman" w:cs="Times New Roman"/>
          <w:b/>
          <w:color w:val="000000" w:themeColor="text1"/>
          <w:sz w:val="28"/>
          <w:lang w:val="ro-RO"/>
        </w:rPr>
        <w:t>e</w:t>
      </w:r>
      <w:bookmarkEnd w:id="230"/>
    </w:p>
    <w:p w14:paraId="5447A375" w14:textId="77777777" w:rsidR="00BA083C" w:rsidRPr="009C5F11" w:rsidRDefault="00BA083C" w:rsidP="00BA083C">
      <w:p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Nu au fost preconizate măsuri pentru alte sectoare. </w:t>
      </w:r>
      <w:r w:rsidRPr="009C5F11">
        <w:rPr>
          <w:rFonts w:ascii="Times New Roman" w:hAnsi="Times New Roman" w:cs="Times New Roman"/>
          <w:sz w:val="24"/>
          <w:lang w:val="ro-RO"/>
        </w:rPr>
        <w:br w:type="page"/>
      </w:r>
    </w:p>
    <w:p w14:paraId="5B56AA6D" w14:textId="77777777" w:rsidR="00BA083C" w:rsidRPr="00D9464A" w:rsidRDefault="00BA083C" w:rsidP="00BA083C">
      <w:pPr>
        <w:pStyle w:val="Titlu4"/>
        <w:rPr>
          <w:rFonts w:ascii="Times New Roman" w:hAnsi="Times New Roman" w:cs="Times New Roman"/>
          <w:b/>
          <w:color w:val="000000" w:themeColor="text1"/>
          <w:sz w:val="28"/>
          <w:lang w:val="ro-RO"/>
        </w:rPr>
      </w:pPr>
      <w:bookmarkStart w:id="231" w:name="_Ref322011399"/>
      <w:bookmarkStart w:id="232" w:name="_Toc322013171"/>
      <w:r w:rsidRPr="00D9464A">
        <w:rPr>
          <w:rFonts w:ascii="Times New Roman" w:hAnsi="Times New Roman" w:cs="Times New Roman"/>
          <w:b/>
          <w:color w:val="000000" w:themeColor="text1"/>
          <w:sz w:val="28"/>
          <w:lang w:val="ro-RO"/>
        </w:rPr>
        <w:lastRenderedPageBreak/>
        <w:t>Măsuri orizontale</w:t>
      </w:r>
      <w:bookmarkEnd w:id="231"/>
      <w:bookmarkEnd w:id="232"/>
    </w:p>
    <w:p w14:paraId="26D4F928" w14:textId="47D0F3E8" w:rsidR="00BA083C" w:rsidRPr="009C5F11" w:rsidRDefault="00BA083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Măsurile orizontale includ măsuri de pregătire a studiilor, de elaborare a cadrului legal/regulatoriu, de instruire şi formare etc. care afectează diverse sectoare din economia naţională a Republicii Moldova.</w:t>
      </w:r>
    </w:p>
    <w:p w14:paraId="53673A0A" w14:textId="77777777" w:rsidR="00BA083C" w:rsidRPr="009C5F11" w:rsidRDefault="00BA083C" w:rsidP="00BA083C">
      <w:pPr>
        <w:pStyle w:val="Legend"/>
        <w:keepNext/>
        <w:jc w:val="center"/>
        <w:rPr>
          <w:rFonts w:ascii="Times New Roman" w:hAnsi="Times New Roman" w:cs="Times New Roman"/>
          <w:sz w:val="22"/>
          <w:lang w:val="ro-RO"/>
        </w:rPr>
      </w:pPr>
      <w:bookmarkStart w:id="233" w:name="_Toc322013245"/>
      <w:r w:rsidRPr="009C5F11">
        <w:rPr>
          <w:rFonts w:ascii="Times New Roman" w:hAnsi="Times New Roman" w:cs="Times New Roman"/>
          <w:sz w:val="22"/>
          <w:lang w:val="ro-RO"/>
        </w:rPr>
        <w:t xml:space="preserve">Tabelul </w:t>
      </w:r>
      <w:r w:rsidR="003A6ADB" w:rsidRPr="009C5F11">
        <w:rPr>
          <w:rFonts w:ascii="Times New Roman" w:hAnsi="Times New Roman" w:cs="Times New Roman"/>
          <w:sz w:val="22"/>
          <w:lang w:val="ro-RO"/>
        </w:rPr>
        <w:fldChar w:fldCharType="begin"/>
      </w:r>
      <w:r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22</w:t>
      </w:r>
      <w:r w:rsidR="003A6ADB" w:rsidRPr="009C5F11">
        <w:rPr>
          <w:rFonts w:ascii="Times New Roman" w:hAnsi="Times New Roman" w:cs="Times New Roman"/>
          <w:sz w:val="22"/>
          <w:lang w:val="ro-RO"/>
        </w:rPr>
        <w:fldChar w:fldCharType="end"/>
      </w:r>
      <w:r w:rsidRPr="009C5F11">
        <w:rPr>
          <w:rFonts w:ascii="Times New Roman" w:hAnsi="Times New Roman" w:cs="Times New Roman"/>
          <w:sz w:val="22"/>
          <w:lang w:val="ro-RO"/>
        </w:rPr>
        <w:t xml:space="preserve"> - </w:t>
      </w:r>
      <w:r w:rsidR="004D0283" w:rsidRPr="009C5F11">
        <w:rPr>
          <w:rFonts w:ascii="Times New Roman" w:hAnsi="Times New Roman" w:cs="Times New Roman"/>
          <w:sz w:val="22"/>
          <w:lang w:val="ro-RO"/>
        </w:rPr>
        <w:t>Privire de ansamblu</w:t>
      </w:r>
      <w:r w:rsidRPr="009C5F11">
        <w:rPr>
          <w:rFonts w:ascii="Times New Roman" w:hAnsi="Times New Roman" w:cs="Times New Roman"/>
          <w:sz w:val="22"/>
          <w:lang w:val="ro-RO"/>
        </w:rPr>
        <w:t xml:space="preserve"> a măsurilor individuale orizontale.</w:t>
      </w:r>
      <w:bookmarkEnd w:id="233"/>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A0" w:firstRow="1" w:lastRow="0" w:firstColumn="1" w:lastColumn="0" w:noHBand="0" w:noVBand="0"/>
      </w:tblPr>
      <w:tblGrid>
        <w:gridCol w:w="540"/>
        <w:gridCol w:w="1915"/>
        <w:gridCol w:w="1361"/>
        <w:gridCol w:w="1186"/>
        <w:gridCol w:w="991"/>
        <w:gridCol w:w="991"/>
        <w:gridCol w:w="1083"/>
        <w:gridCol w:w="1176"/>
      </w:tblGrid>
      <w:tr w:rsidR="00BA083C" w:rsidRPr="009C5F11" w14:paraId="1B507169" w14:textId="77777777" w:rsidTr="00F4274E">
        <w:tc>
          <w:tcPr>
            <w:tcW w:w="305" w:type="pct"/>
            <w:tcBorders>
              <w:bottom w:val="single" w:sz="8" w:space="0" w:color="FFFFFF" w:themeColor="background1"/>
            </w:tcBorders>
            <w:shd w:val="clear" w:color="auto" w:fill="000080"/>
          </w:tcPr>
          <w:p w14:paraId="3A2A688D"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nr.</w:t>
            </w:r>
          </w:p>
        </w:tc>
        <w:tc>
          <w:tcPr>
            <w:tcW w:w="1049" w:type="pct"/>
            <w:tcBorders>
              <w:bottom w:val="single" w:sz="8" w:space="0" w:color="FFFFFF" w:themeColor="background1"/>
            </w:tcBorders>
            <w:shd w:val="clear" w:color="auto" w:fill="000080"/>
          </w:tcPr>
          <w:p w14:paraId="07F9B7AD"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Denumirea măsurii de economisire a energiei</w:t>
            </w:r>
            <w:r w:rsidRPr="009C5F11">
              <w:rPr>
                <w:rFonts w:ascii="Times New Roman" w:hAnsi="Times New Roman" w:cs="Times New Roman"/>
                <w:b/>
                <w:sz w:val="18"/>
                <w:szCs w:val="14"/>
                <w:lang w:val="ro-RO"/>
              </w:rPr>
              <w:br/>
            </w:r>
          </w:p>
        </w:tc>
        <w:tc>
          <w:tcPr>
            <w:tcW w:w="749" w:type="pct"/>
            <w:tcBorders>
              <w:bottom w:val="single" w:sz="8" w:space="0" w:color="FFFFFF" w:themeColor="background1"/>
            </w:tcBorders>
            <w:shd w:val="clear" w:color="auto" w:fill="000080"/>
          </w:tcPr>
          <w:p w14:paraId="12082225"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Utilizatorul final vizat</w:t>
            </w:r>
          </w:p>
        </w:tc>
        <w:tc>
          <w:tcPr>
            <w:tcW w:w="549" w:type="pct"/>
            <w:tcBorders>
              <w:bottom w:val="single" w:sz="8" w:space="0" w:color="FFFFFF" w:themeColor="background1"/>
            </w:tcBorders>
            <w:shd w:val="clear" w:color="auto" w:fill="000080"/>
          </w:tcPr>
          <w:p w14:paraId="5D12A50E"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Durata</w:t>
            </w:r>
          </w:p>
        </w:tc>
        <w:tc>
          <w:tcPr>
            <w:tcW w:w="549" w:type="pct"/>
            <w:tcBorders>
              <w:bottom w:val="single" w:sz="8" w:space="0" w:color="FFFFFF" w:themeColor="background1"/>
            </w:tcBorders>
            <w:shd w:val="clear" w:color="auto" w:fill="000080"/>
          </w:tcPr>
          <w:p w14:paraId="2F52EC18"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obţinute în 2016 (ktep)</w:t>
            </w:r>
          </w:p>
        </w:tc>
        <w:tc>
          <w:tcPr>
            <w:tcW w:w="549" w:type="pct"/>
            <w:tcBorders>
              <w:bottom w:val="single" w:sz="8" w:space="0" w:color="FFFFFF" w:themeColor="background1"/>
            </w:tcBorders>
            <w:shd w:val="clear" w:color="auto" w:fill="000080"/>
          </w:tcPr>
          <w:p w14:paraId="1B381EAD"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prevăzute în 2020 (ktep)</w:t>
            </w:r>
          </w:p>
        </w:tc>
        <w:tc>
          <w:tcPr>
            <w:tcW w:w="599" w:type="pct"/>
            <w:tcBorders>
              <w:bottom w:val="single" w:sz="8" w:space="0" w:color="FFFFFF" w:themeColor="background1"/>
            </w:tcBorders>
            <w:shd w:val="clear" w:color="auto" w:fill="000080"/>
          </w:tcPr>
          <w:p w14:paraId="52FD910A"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Situaţia în raport cu primul PNAEE</w:t>
            </w:r>
          </w:p>
        </w:tc>
        <w:tc>
          <w:tcPr>
            <w:tcW w:w="649" w:type="pct"/>
            <w:tcBorders>
              <w:bottom w:val="single" w:sz="8" w:space="0" w:color="FFFFFF" w:themeColor="background1"/>
            </w:tcBorders>
            <w:shd w:val="clear" w:color="auto" w:fill="000080"/>
          </w:tcPr>
          <w:p w14:paraId="64B1FD54"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Comentarii adiţionale</w:t>
            </w:r>
          </w:p>
        </w:tc>
      </w:tr>
      <w:tr w:rsidR="00BA083C" w:rsidRPr="009C5F11" w14:paraId="315D13D9" w14:textId="77777777" w:rsidTr="00F4274E">
        <w:tc>
          <w:tcPr>
            <w:tcW w:w="305" w:type="pct"/>
            <w:shd w:val="clear" w:color="auto" w:fill="99CCFF"/>
          </w:tcPr>
          <w:p w14:paraId="781B8037"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H.1.</w:t>
            </w:r>
          </w:p>
        </w:tc>
        <w:tc>
          <w:tcPr>
            <w:tcW w:w="1049" w:type="pct"/>
            <w:shd w:val="clear" w:color="auto" w:fill="99CCFF"/>
          </w:tcPr>
          <w:p w14:paraId="5212AB3A"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Evaluarea potenţialului de reducere a consumului energetic pentru Republica Moldova.</w:t>
            </w:r>
          </w:p>
        </w:tc>
        <w:tc>
          <w:tcPr>
            <w:tcW w:w="749" w:type="pct"/>
            <w:shd w:val="clear" w:color="auto" w:fill="99CCFF"/>
          </w:tcPr>
          <w:p w14:paraId="313FA39E"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3A7B6F" w:rsidRPr="009C5F11">
              <w:rPr>
                <w:rFonts w:ascii="Times New Roman" w:hAnsi="Times New Roman" w:cs="Times New Roman"/>
                <w:sz w:val="18"/>
                <w:szCs w:val="14"/>
                <w:lang w:val="ro-RO"/>
              </w:rPr>
              <w:t>/A</w:t>
            </w:r>
          </w:p>
        </w:tc>
        <w:tc>
          <w:tcPr>
            <w:tcW w:w="549" w:type="pct"/>
            <w:shd w:val="clear" w:color="auto" w:fill="99CCFF"/>
          </w:tcPr>
          <w:p w14:paraId="7174AC2D"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01/01/16</w:t>
            </w:r>
          </w:p>
          <w:p w14:paraId="23FE3B00"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p>
          <w:p w14:paraId="6B2A4431"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30/06/17</w:t>
            </w:r>
          </w:p>
        </w:tc>
        <w:tc>
          <w:tcPr>
            <w:tcW w:w="549" w:type="pct"/>
            <w:shd w:val="clear" w:color="auto" w:fill="99CCFF"/>
          </w:tcPr>
          <w:p w14:paraId="4F86F9CB"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49" w:type="pct"/>
            <w:shd w:val="clear" w:color="auto" w:fill="99CCFF"/>
          </w:tcPr>
          <w:p w14:paraId="0829D377"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99" w:type="pct"/>
            <w:shd w:val="clear" w:color="auto" w:fill="99CCFF"/>
          </w:tcPr>
          <w:p w14:paraId="47A2333A"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Măsură nouă</w:t>
            </w:r>
          </w:p>
        </w:tc>
        <w:tc>
          <w:tcPr>
            <w:tcW w:w="649" w:type="pct"/>
            <w:shd w:val="clear" w:color="auto" w:fill="99CCFF"/>
          </w:tcPr>
          <w:p w14:paraId="34941E59" w14:textId="77777777" w:rsidR="00BA083C" w:rsidRPr="009C5F11" w:rsidRDefault="00BA083C" w:rsidP="00B416D9">
            <w:pPr>
              <w:spacing w:before="40" w:after="40" w:line="240" w:lineRule="auto"/>
              <w:rPr>
                <w:rFonts w:ascii="Times New Roman" w:hAnsi="Times New Roman" w:cs="Times New Roman"/>
                <w:sz w:val="18"/>
                <w:szCs w:val="14"/>
                <w:lang w:val="ro-RO"/>
              </w:rPr>
            </w:pPr>
          </w:p>
        </w:tc>
      </w:tr>
      <w:tr w:rsidR="00BA083C" w:rsidRPr="009C5F11" w14:paraId="6CF4F2DF" w14:textId="77777777" w:rsidTr="00F4274E">
        <w:tc>
          <w:tcPr>
            <w:tcW w:w="305" w:type="pct"/>
            <w:shd w:val="clear" w:color="auto" w:fill="99CCFF"/>
          </w:tcPr>
          <w:p w14:paraId="5ACF4BAA"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H.2.</w:t>
            </w:r>
          </w:p>
        </w:tc>
        <w:tc>
          <w:tcPr>
            <w:tcW w:w="1049" w:type="pct"/>
            <w:shd w:val="clear" w:color="auto" w:fill="99CCFF"/>
          </w:tcPr>
          <w:p w14:paraId="5D969ECF"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Actualizarea şi adoptarea cadrului juridic în vederea asigurării punerii în aplicare a Directivei privind eficienţa energetică şi a Legii cu privire la eficienţa energetică.</w:t>
            </w:r>
          </w:p>
        </w:tc>
        <w:tc>
          <w:tcPr>
            <w:tcW w:w="749" w:type="pct"/>
            <w:shd w:val="clear" w:color="auto" w:fill="99CCFF"/>
          </w:tcPr>
          <w:p w14:paraId="7657542C"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consumul</w:t>
            </w:r>
            <w:r w:rsidR="003A7B6F" w:rsidRPr="009C5F11">
              <w:rPr>
                <w:rFonts w:ascii="Times New Roman" w:hAnsi="Times New Roman" w:cs="Times New Roman"/>
                <w:sz w:val="18"/>
                <w:szCs w:val="14"/>
                <w:lang w:val="ro-RO"/>
              </w:rPr>
              <w:t xml:space="preserve"> de energie</w:t>
            </w:r>
          </w:p>
        </w:tc>
        <w:tc>
          <w:tcPr>
            <w:tcW w:w="549" w:type="pct"/>
            <w:shd w:val="clear" w:color="auto" w:fill="99CCFF"/>
          </w:tcPr>
          <w:p w14:paraId="0F45082F"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01/01/13</w:t>
            </w:r>
          </w:p>
          <w:p w14:paraId="6657B1A3"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w:t>
            </w:r>
          </w:p>
          <w:p w14:paraId="4D46ADC1"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30.06.17</w:t>
            </w:r>
          </w:p>
        </w:tc>
        <w:tc>
          <w:tcPr>
            <w:tcW w:w="549" w:type="pct"/>
            <w:shd w:val="clear" w:color="auto" w:fill="99CCFF"/>
          </w:tcPr>
          <w:p w14:paraId="2B84A267"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49" w:type="pct"/>
            <w:shd w:val="clear" w:color="auto" w:fill="99CCFF"/>
          </w:tcPr>
          <w:p w14:paraId="1A57025E"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99" w:type="pct"/>
            <w:shd w:val="clear" w:color="auto" w:fill="99CCFF"/>
          </w:tcPr>
          <w:p w14:paraId="1702856D"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Preluată din primul PNAEE </w:t>
            </w:r>
          </w:p>
        </w:tc>
        <w:tc>
          <w:tcPr>
            <w:tcW w:w="649" w:type="pct"/>
            <w:shd w:val="clear" w:color="auto" w:fill="99CCFF"/>
          </w:tcPr>
          <w:p w14:paraId="56C55FB1" w14:textId="77777777" w:rsidR="00BA083C" w:rsidRPr="009C5F11" w:rsidRDefault="00BA083C" w:rsidP="00B416D9">
            <w:pPr>
              <w:spacing w:before="40" w:after="40" w:line="240" w:lineRule="auto"/>
              <w:rPr>
                <w:rFonts w:ascii="Times New Roman" w:hAnsi="Times New Roman" w:cs="Times New Roman"/>
                <w:sz w:val="18"/>
                <w:szCs w:val="14"/>
                <w:lang w:val="ro-RO"/>
              </w:rPr>
            </w:pPr>
          </w:p>
        </w:tc>
      </w:tr>
      <w:tr w:rsidR="00BA083C" w:rsidRPr="009C5F11" w14:paraId="33C15DFD" w14:textId="77777777" w:rsidTr="00F4274E">
        <w:tc>
          <w:tcPr>
            <w:tcW w:w="305" w:type="pct"/>
            <w:shd w:val="clear" w:color="auto" w:fill="99CCFF"/>
          </w:tcPr>
          <w:p w14:paraId="0C165298"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H.3.</w:t>
            </w:r>
          </w:p>
        </w:tc>
        <w:tc>
          <w:tcPr>
            <w:tcW w:w="1049" w:type="pct"/>
            <w:shd w:val="clear" w:color="auto" w:fill="99CCFF"/>
          </w:tcPr>
          <w:p w14:paraId="4F6B552E"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Elaborarea metodei de abordare bottom-up pentru M&amp;V.</w:t>
            </w:r>
          </w:p>
        </w:tc>
        <w:tc>
          <w:tcPr>
            <w:tcW w:w="749" w:type="pct"/>
            <w:shd w:val="clear" w:color="auto" w:fill="99CCFF"/>
          </w:tcPr>
          <w:p w14:paraId="63AF95E2"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eficienţa energetică măsuri M&amp;V</w:t>
            </w:r>
          </w:p>
        </w:tc>
        <w:tc>
          <w:tcPr>
            <w:tcW w:w="549" w:type="pct"/>
            <w:shd w:val="clear" w:color="auto" w:fill="99CCFF"/>
          </w:tcPr>
          <w:p w14:paraId="6215E693"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01/01/16 - </w:t>
            </w:r>
          </w:p>
          <w:p w14:paraId="7D3B8FAF"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31/12/16</w:t>
            </w:r>
          </w:p>
        </w:tc>
        <w:tc>
          <w:tcPr>
            <w:tcW w:w="549" w:type="pct"/>
            <w:shd w:val="clear" w:color="auto" w:fill="99CCFF"/>
          </w:tcPr>
          <w:p w14:paraId="71041732"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49" w:type="pct"/>
            <w:shd w:val="clear" w:color="auto" w:fill="99CCFF"/>
          </w:tcPr>
          <w:p w14:paraId="44FAC549"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99" w:type="pct"/>
            <w:shd w:val="clear" w:color="auto" w:fill="99CCFF"/>
          </w:tcPr>
          <w:p w14:paraId="636F5F8D"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Măsură nouă</w:t>
            </w:r>
          </w:p>
        </w:tc>
        <w:tc>
          <w:tcPr>
            <w:tcW w:w="649" w:type="pct"/>
            <w:shd w:val="clear" w:color="auto" w:fill="99CCFF"/>
          </w:tcPr>
          <w:p w14:paraId="42B1A2DA" w14:textId="77777777" w:rsidR="00BA083C" w:rsidRPr="009C5F11" w:rsidRDefault="00BA083C" w:rsidP="00B416D9">
            <w:pPr>
              <w:spacing w:before="40" w:after="40" w:line="240" w:lineRule="auto"/>
              <w:rPr>
                <w:rFonts w:ascii="Times New Roman" w:hAnsi="Times New Roman" w:cs="Times New Roman"/>
                <w:sz w:val="18"/>
                <w:szCs w:val="14"/>
                <w:lang w:val="ro-RO"/>
              </w:rPr>
            </w:pPr>
          </w:p>
        </w:tc>
      </w:tr>
      <w:tr w:rsidR="00BA083C" w:rsidRPr="009C5F11" w14:paraId="2418356D" w14:textId="77777777" w:rsidTr="00F4274E">
        <w:tc>
          <w:tcPr>
            <w:tcW w:w="305" w:type="pct"/>
            <w:shd w:val="clear" w:color="auto" w:fill="99CCFF"/>
          </w:tcPr>
          <w:p w14:paraId="1C3F6FC1"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H.4.</w:t>
            </w:r>
          </w:p>
        </w:tc>
        <w:tc>
          <w:tcPr>
            <w:tcW w:w="1049" w:type="pct"/>
            <w:shd w:val="clear" w:color="auto" w:fill="99CCFF"/>
          </w:tcPr>
          <w:p w14:paraId="48AF0579"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Promovarea companiilor de servicii energetice (ESCO).</w:t>
            </w:r>
          </w:p>
        </w:tc>
        <w:tc>
          <w:tcPr>
            <w:tcW w:w="749" w:type="pct"/>
            <w:shd w:val="clear" w:color="auto" w:fill="99CCFF"/>
          </w:tcPr>
          <w:p w14:paraId="7D71BBEF"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Consumul în sectorul industrie, public şi rezidenţial</w:t>
            </w:r>
          </w:p>
        </w:tc>
        <w:tc>
          <w:tcPr>
            <w:tcW w:w="549" w:type="pct"/>
            <w:shd w:val="clear" w:color="auto" w:fill="99CCFF"/>
          </w:tcPr>
          <w:p w14:paraId="0F43BCE2"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01/01/13 - </w:t>
            </w:r>
          </w:p>
          <w:p w14:paraId="34B1E3B9"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31/12/19</w:t>
            </w:r>
          </w:p>
        </w:tc>
        <w:tc>
          <w:tcPr>
            <w:tcW w:w="549" w:type="pct"/>
            <w:shd w:val="clear" w:color="auto" w:fill="99CCFF"/>
          </w:tcPr>
          <w:p w14:paraId="2779FDD6"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49" w:type="pct"/>
            <w:shd w:val="clear" w:color="auto" w:fill="99CCFF"/>
          </w:tcPr>
          <w:p w14:paraId="0E0BB51D"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99" w:type="pct"/>
            <w:shd w:val="clear" w:color="auto" w:fill="99CCFF"/>
          </w:tcPr>
          <w:p w14:paraId="722FE01D"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Preluată din primul PNAEE</w:t>
            </w:r>
          </w:p>
        </w:tc>
        <w:tc>
          <w:tcPr>
            <w:tcW w:w="649" w:type="pct"/>
            <w:shd w:val="clear" w:color="auto" w:fill="99CCFF"/>
          </w:tcPr>
          <w:p w14:paraId="31B5BCC9" w14:textId="77777777" w:rsidR="00BA083C" w:rsidRPr="009C5F11" w:rsidRDefault="00BA083C" w:rsidP="00B416D9">
            <w:pPr>
              <w:spacing w:before="40" w:after="40" w:line="240" w:lineRule="auto"/>
              <w:rPr>
                <w:rFonts w:ascii="Times New Roman" w:hAnsi="Times New Roman" w:cs="Times New Roman"/>
                <w:sz w:val="18"/>
                <w:szCs w:val="14"/>
                <w:lang w:val="ro-RO"/>
              </w:rPr>
            </w:pPr>
          </w:p>
        </w:tc>
      </w:tr>
      <w:tr w:rsidR="00BA083C" w:rsidRPr="009C5F11" w14:paraId="259E70F8" w14:textId="77777777" w:rsidTr="00F4274E">
        <w:tc>
          <w:tcPr>
            <w:tcW w:w="305" w:type="pct"/>
            <w:shd w:val="clear" w:color="auto" w:fill="99CCFF"/>
          </w:tcPr>
          <w:p w14:paraId="4FC6583C"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H.5</w:t>
            </w:r>
          </w:p>
        </w:tc>
        <w:tc>
          <w:tcPr>
            <w:tcW w:w="1049" w:type="pct"/>
            <w:shd w:val="clear" w:color="auto" w:fill="99CCFF"/>
          </w:tcPr>
          <w:p w14:paraId="0733D423"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Studiu cu privire la instrumentele de promovare a eficienţei energetice/sistemele de obligaţii şi evaluarea aplicării acestora în Republica Moldova</w:t>
            </w:r>
          </w:p>
        </w:tc>
        <w:tc>
          <w:tcPr>
            <w:tcW w:w="749" w:type="pct"/>
            <w:shd w:val="clear" w:color="auto" w:fill="99CCFF"/>
          </w:tcPr>
          <w:p w14:paraId="6A5DEA20"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3A7B6F" w:rsidRPr="009C5F11">
              <w:rPr>
                <w:rFonts w:ascii="Times New Roman" w:hAnsi="Times New Roman" w:cs="Times New Roman"/>
                <w:sz w:val="18"/>
                <w:szCs w:val="14"/>
                <w:lang w:val="ro-RO"/>
              </w:rPr>
              <w:t>/A</w:t>
            </w:r>
          </w:p>
        </w:tc>
        <w:tc>
          <w:tcPr>
            <w:tcW w:w="549" w:type="pct"/>
            <w:shd w:val="clear" w:color="auto" w:fill="99CCFF"/>
          </w:tcPr>
          <w:p w14:paraId="2FEBBC4C"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01/01/16 - </w:t>
            </w:r>
          </w:p>
          <w:p w14:paraId="01A36DF4"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30/06/17</w:t>
            </w:r>
          </w:p>
        </w:tc>
        <w:tc>
          <w:tcPr>
            <w:tcW w:w="549" w:type="pct"/>
            <w:shd w:val="clear" w:color="auto" w:fill="99CCFF"/>
          </w:tcPr>
          <w:p w14:paraId="75BDE1E9"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49" w:type="pct"/>
            <w:shd w:val="clear" w:color="auto" w:fill="99CCFF"/>
          </w:tcPr>
          <w:p w14:paraId="1090914C"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99" w:type="pct"/>
            <w:shd w:val="clear" w:color="auto" w:fill="99CCFF"/>
          </w:tcPr>
          <w:p w14:paraId="1522D3F9"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Măsură nouă</w:t>
            </w:r>
          </w:p>
        </w:tc>
        <w:tc>
          <w:tcPr>
            <w:tcW w:w="649" w:type="pct"/>
            <w:shd w:val="clear" w:color="auto" w:fill="99CCFF"/>
          </w:tcPr>
          <w:p w14:paraId="742AB63E" w14:textId="77777777" w:rsidR="00BA083C" w:rsidRPr="009C5F11" w:rsidRDefault="00BA083C" w:rsidP="00B416D9">
            <w:pPr>
              <w:spacing w:before="40" w:after="40" w:line="240" w:lineRule="auto"/>
              <w:rPr>
                <w:rFonts w:ascii="Times New Roman" w:hAnsi="Times New Roman" w:cs="Times New Roman"/>
                <w:sz w:val="18"/>
                <w:szCs w:val="14"/>
                <w:lang w:val="ro-RO"/>
              </w:rPr>
            </w:pPr>
          </w:p>
        </w:tc>
      </w:tr>
      <w:tr w:rsidR="00BA083C" w:rsidRPr="009C5F11" w14:paraId="43759895" w14:textId="77777777" w:rsidTr="00F4274E">
        <w:tc>
          <w:tcPr>
            <w:tcW w:w="305" w:type="pct"/>
            <w:shd w:val="clear" w:color="auto" w:fill="99CCFF"/>
          </w:tcPr>
          <w:p w14:paraId="4A60AB17"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H.6.</w:t>
            </w:r>
          </w:p>
        </w:tc>
        <w:tc>
          <w:tcPr>
            <w:tcW w:w="1049" w:type="pct"/>
            <w:shd w:val="clear" w:color="auto" w:fill="99CCFF"/>
          </w:tcPr>
          <w:p w14:paraId="799078C1"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Etichetarea. Adoptarea înlesnirilor fiscale şi vamale pentru produsele cu impact energetic</w:t>
            </w:r>
          </w:p>
        </w:tc>
        <w:tc>
          <w:tcPr>
            <w:tcW w:w="749" w:type="pct"/>
            <w:shd w:val="clear" w:color="auto" w:fill="99CCFF"/>
          </w:tcPr>
          <w:p w14:paraId="3675776E"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Aparate de uz casnic, corpuri de iluminat, aparate de încălzire</w:t>
            </w:r>
          </w:p>
        </w:tc>
        <w:tc>
          <w:tcPr>
            <w:tcW w:w="549" w:type="pct"/>
            <w:shd w:val="clear" w:color="auto" w:fill="99CCFF"/>
          </w:tcPr>
          <w:p w14:paraId="53737F6A"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01/01/13 - </w:t>
            </w:r>
          </w:p>
          <w:p w14:paraId="10EBF827"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30/12/18</w:t>
            </w:r>
          </w:p>
        </w:tc>
        <w:tc>
          <w:tcPr>
            <w:tcW w:w="549" w:type="pct"/>
            <w:shd w:val="clear" w:color="auto" w:fill="99CCFF"/>
          </w:tcPr>
          <w:p w14:paraId="479BA032"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49" w:type="pct"/>
            <w:shd w:val="clear" w:color="auto" w:fill="99CCFF"/>
          </w:tcPr>
          <w:p w14:paraId="385D8890"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37.8</w:t>
            </w:r>
          </w:p>
        </w:tc>
        <w:tc>
          <w:tcPr>
            <w:tcW w:w="599" w:type="pct"/>
            <w:shd w:val="clear" w:color="auto" w:fill="99CCFF"/>
          </w:tcPr>
          <w:p w14:paraId="774CD373"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Preluată din primul PNAEE</w:t>
            </w:r>
          </w:p>
        </w:tc>
        <w:tc>
          <w:tcPr>
            <w:tcW w:w="649" w:type="pct"/>
            <w:shd w:val="clear" w:color="auto" w:fill="99CCFF"/>
          </w:tcPr>
          <w:p w14:paraId="5958EC7F" w14:textId="77777777" w:rsidR="00BA083C" w:rsidRPr="009C5F11" w:rsidRDefault="00BA083C" w:rsidP="00B416D9">
            <w:pPr>
              <w:spacing w:before="40" w:after="40" w:line="240" w:lineRule="auto"/>
              <w:rPr>
                <w:rFonts w:ascii="Times New Roman" w:hAnsi="Times New Roman" w:cs="Times New Roman"/>
                <w:sz w:val="18"/>
                <w:szCs w:val="14"/>
                <w:lang w:val="ro-RO"/>
              </w:rPr>
            </w:pPr>
          </w:p>
        </w:tc>
      </w:tr>
      <w:tr w:rsidR="00BA083C" w:rsidRPr="009C5F11" w14:paraId="28D45C16" w14:textId="77777777" w:rsidTr="00F4274E">
        <w:trPr>
          <w:trHeight w:val="395"/>
        </w:trPr>
        <w:tc>
          <w:tcPr>
            <w:tcW w:w="305" w:type="pct"/>
            <w:tcBorders>
              <w:bottom w:val="single" w:sz="8" w:space="0" w:color="FFFFFF" w:themeColor="background1"/>
            </w:tcBorders>
            <w:shd w:val="clear" w:color="auto" w:fill="99CCFF"/>
          </w:tcPr>
          <w:p w14:paraId="116B5ACF"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H.7.</w:t>
            </w:r>
          </w:p>
        </w:tc>
        <w:tc>
          <w:tcPr>
            <w:tcW w:w="1049" w:type="pct"/>
            <w:tcBorders>
              <w:bottom w:val="single" w:sz="8" w:space="0" w:color="FFFFFF" w:themeColor="background1"/>
            </w:tcBorders>
            <w:shd w:val="clear" w:color="auto" w:fill="99CCFF"/>
          </w:tcPr>
          <w:p w14:paraId="5E876009"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Instruire şi formare, inclusiv programe de consultanţă în domeniul energetic, care conduc la aplicarea tehnologiei sau tehnicilor eficiente din punct de vedere energetic şi au efectul de reducere a consumului de energie finală.</w:t>
            </w:r>
          </w:p>
        </w:tc>
        <w:tc>
          <w:tcPr>
            <w:tcW w:w="749" w:type="pct"/>
            <w:tcBorders>
              <w:bottom w:val="single" w:sz="8" w:space="0" w:color="FFFFFF" w:themeColor="background1"/>
            </w:tcBorders>
            <w:shd w:val="clear" w:color="auto" w:fill="99CCFF"/>
          </w:tcPr>
          <w:p w14:paraId="0A7C12E3"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Sectorul energetic</w:t>
            </w:r>
          </w:p>
        </w:tc>
        <w:tc>
          <w:tcPr>
            <w:tcW w:w="549" w:type="pct"/>
            <w:tcBorders>
              <w:bottom w:val="single" w:sz="8" w:space="0" w:color="FFFFFF" w:themeColor="background1"/>
            </w:tcBorders>
            <w:shd w:val="clear" w:color="auto" w:fill="99CCFF"/>
          </w:tcPr>
          <w:p w14:paraId="54ED4B3B"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01/01/16 - </w:t>
            </w:r>
          </w:p>
          <w:p w14:paraId="2E6BFC30"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30/12/18</w:t>
            </w:r>
          </w:p>
        </w:tc>
        <w:tc>
          <w:tcPr>
            <w:tcW w:w="549" w:type="pct"/>
            <w:tcBorders>
              <w:bottom w:val="single" w:sz="8" w:space="0" w:color="FFFFFF" w:themeColor="background1"/>
            </w:tcBorders>
            <w:shd w:val="clear" w:color="auto" w:fill="99CCFF"/>
          </w:tcPr>
          <w:p w14:paraId="7FB68A89"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49" w:type="pct"/>
            <w:tcBorders>
              <w:bottom w:val="single" w:sz="8" w:space="0" w:color="FFFFFF" w:themeColor="background1"/>
            </w:tcBorders>
            <w:shd w:val="clear" w:color="auto" w:fill="99CCFF"/>
          </w:tcPr>
          <w:p w14:paraId="18EDA674"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w:t>
            </w:r>
            <w:r w:rsidR="004D6D86" w:rsidRPr="009C5F11">
              <w:rPr>
                <w:rFonts w:ascii="Times New Roman" w:hAnsi="Times New Roman" w:cs="Times New Roman"/>
                <w:sz w:val="18"/>
                <w:szCs w:val="14"/>
                <w:lang w:val="ro-RO"/>
              </w:rPr>
              <w:t>/A</w:t>
            </w:r>
          </w:p>
        </w:tc>
        <w:tc>
          <w:tcPr>
            <w:tcW w:w="599" w:type="pct"/>
            <w:tcBorders>
              <w:bottom w:val="single" w:sz="8" w:space="0" w:color="FFFFFF" w:themeColor="background1"/>
            </w:tcBorders>
            <w:shd w:val="clear" w:color="auto" w:fill="99CCFF"/>
          </w:tcPr>
          <w:p w14:paraId="70176D34" w14:textId="77777777" w:rsidR="00BA083C" w:rsidRPr="009C5F11" w:rsidRDefault="00BA083C" w:rsidP="00B416D9">
            <w:pPr>
              <w:spacing w:before="40" w:after="4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Nu este integral nouă, instruirea şi formarea sunt acţiuni incluse în diferite măsuri.</w:t>
            </w:r>
          </w:p>
        </w:tc>
        <w:tc>
          <w:tcPr>
            <w:tcW w:w="649" w:type="pct"/>
            <w:tcBorders>
              <w:bottom w:val="single" w:sz="8" w:space="0" w:color="FFFFFF" w:themeColor="background1"/>
            </w:tcBorders>
            <w:shd w:val="clear" w:color="auto" w:fill="99CCFF"/>
          </w:tcPr>
          <w:p w14:paraId="4DC56584" w14:textId="77777777" w:rsidR="00BA083C" w:rsidRPr="009C5F11" w:rsidRDefault="00BA083C" w:rsidP="00B416D9">
            <w:pPr>
              <w:spacing w:before="40" w:after="40" w:line="240" w:lineRule="auto"/>
              <w:rPr>
                <w:rFonts w:ascii="Times New Roman" w:hAnsi="Times New Roman" w:cs="Times New Roman"/>
                <w:sz w:val="18"/>
                <w:szCs w:val="14"/>
                <w:lang w:val="ro-RO"/>
              </w:rPr>
            </w:pPr>
          </w:p>
        </w:tc>
      </w:tr>
      <w:tr w:rsidR="00BA083C" w:rsidRPr="009C5F11" w14:paraId="627814E7" w14:textId="77777777" w:rsidTr="00F4274E">
        <w:trPr>
          <w:trHeight w:val="395"/>
        </w:trPr>
        <w:tc>
          <w:tcPr>
            <w:tcW w:w="305" w:type="pct"/>
            <w:shd w:val="clear" w:color="auto" w:fill="99CCFF"/>
          </w:tcPr>
          <w:p w14:paraId="75DD7761" w14:textId="77777777" w:rsidR="00BA083C" w:rsidRPr="009C5F11" w:rsidRDefault="00BA083C" w:rsidP="00B416D9">
            <w:pPr>
              <w:spacing w:before="40" w:after="40" w:line="240" w:lineRule="auto"/>
              <w:rPr>
                <w:rFonts w:ascii="Times New Roman" w:hAnsi="Times New Roman" w:cs="Times New Roman"/>
                <w:b/>
                <w:sz w:val="18"/>
                <w:szCs w:val="14"/>
                <w:lang w:val="ro-RO"/>
              </w:rPr>
            </w:pPr>
          </w:p>
        </w:tc>
        <w:tc>
          <w:tcPr>
            <w:tcW w:w="1049" w:type="pct"/>
            <w:shd w:val="clear" w:color="auto" w:fill="99CCFF"/>
          </w:tcPr>
          <w:p w14:paraId="4C39B7B4" w14:textId="77777777" w:rsidR="00BA083C" w:rsidRPr="009C5F11" w:rsidRDefault="00BA083C" w:rsidP="00B416D9">
            <w:pPr>
              <w:spacing w:before="40" w:after="40" w:line="240" w:lineRule="auto"/>
              <w:rPr>
                <w:rFonts w:ascii="Times New Roman" w:hAnsi="Times New Roman" w:cs="Times New Roman"/>
                <w:b/>
                <w:sz w:val="18"/>
                <w:szCs w:val="14"/>
                <w:lang w:val="ro-RO"/>
              </w:rPr>
            </w:pPr>
          </w:p>
        </w:tc>
        <w:tc>
          <w:tcPr>
            <w:tcW w:w="749" w:type="pct"/>
            <w:shd w:val="clear" w:color="auto" w:fill="99CCFF"/>
          </w:tcPr>
          <w:p w14:paraId="5D494AC8" w14:textId="77777777" w:rsidR="00BA083C" w:rsidRPr="009C5F11" w:rsidRDefault="00BA083C" w:rsidP="00B416D9">
            <w:pPr>
              <w:spacing w:before="40" w:after="40" w:line="240" w:lineRule="auto"/>
              <w:rPr>
                <w:rFonts w:ascii="Times New Roman" w:hAnsi="Times New Roman" w:cs="Times New Roman"/>
                <w:b/>
                <w:sz w:val="18"/>
                <w:szCs w:val="14"/>
                <w:lang w:val="ro-RO"/>
              </w:rPr>
            </w:pPr>
          </w:p>
        </w:tc>
        <w:tc>
          <w:tcPr>
            <w:tcW w:w="549" w:type="pct"/>
            <w:shd w:val="clear" w:color="auto" w:fill="99CCFF"/>
          </w:tcPr>
          <w:p w14:paraId="5FC6C50E"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Suma economiilor:</w:t>
            </w:r>
          </w:p>
        </w:tc>
        <w:tc>
          <w:tcPr>
            <w:tcW w:w="549" w:type="pct"/>
            <w:shd w:val="clear" w:color="auto" w:fill="99CCFF"/>
          </w:tcPr>
          <w:p w14:paraId="6782813A"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N</w:t>
            </w:r>
            <w:r w:rsidR="004D6D86" w:rsidRPr="009C5F11">
              <w:rPr>
                <w:rFonts w:ascii="Times New Roman" w:hAnsi="Times New Roman" w:cs="Times New Roman"/>
                <w:b/>
                <w:sz w:val="18"/>
                <w:szCs w:val="14"/>
                <w:lang w:val="ro-RO"/>
              </w:rPr>
              <w:t>/A</w:t>
            </w:r>
          </w:p>
        </w:tc>
        <w:tc>
          <w:tcPr>
            <w:tcW w:w="549" w:type="pct"/>
            <w:shd w:val="clear" w:color="auto" w:fill="99CCFF"/>
          </w:tcPr>
          <w:p w14:paraId="14A4716E" w14:textId="77777777" w:rsidR="00BA083C" w:rsidRPr="009C5F11" w:rsidRDefault="00BA083C" w:rsidP="00B416D9">
            <w:pPr>
              <w:spacing w:before="40" w:after="4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37.8</w:t>
            </w:r>
          </w:p>
        </w:tc>
        <w:tc>
          <w:tcPr>
            <w:tcW w:w="599" w:type="pct"/>
            <w:shd w:val="clear" w:color="auto" w:fill="99CCFF"/>
          </w:tcPr>
          <w:p w14:paraId="03A036E5" w14:textId="77777777" w:rsidR="00BA083C" w:rsidRPr="009C5F11" w:rsidRDefault="00BA083C" w:rsidP="00B416D9">
            <w:pPr>
              <w:spacing w:before="40" w:after="40" w:line="240" w:lineRule="auto"/>
              <w:rPr>
                <w:rFonts w:ascii="Times New Roman" w:hAnsi="Times New Roman" w:cs="Times New Roman"/>
                <w:b/>
                <w:sz w:val="18"/>
                <w:szCs w:val="14"/>
                <w:lang w:val="ro-RO"/>
              </w:rPr>
            </w:pPr>
          </w:p>
        </w:tc>
        <w:tc>
          <w:tcPr>
            <w:tcW w:w="649" w:type="pct"/>
            <w:shd w:val="clear" w:color="auto" w:fill="99CCFF"/>
          </w:tcPr>
          <w:p w14:paraId="3466AFEE" w14:textId="77777777" w:rsidR="00BA083C" w:rsidRPr="009C5F11" w:rsidRDefault="00BA083C" w:rsidP="00B416D9">
            <w:pPr>
              <w:spacing w:before="40" w:after="40" w:line="240" w:lineRule="auto"/>
              <w:rPr>
                <w:rFonts w:ascii="Times New Roman" w:hAnsi="Times New Roman" w:cs="Times New Roman"/>
                <w:b/>
                <w:sz w:val="18"/>
                <w:szCs w:val="14"/>
                <w:lang w:val="ro-RO"/>
              </w:rPr>
            </w:pPr>
          </w:p>
        </w:tc>
      </w:tr>
    </w:tbl>
    <w:p w14:paraId="33C6BAC9" w14:textId="77777777" w:rsidR="00BA083C" w:rsidRPr="009C5F11" w:rsidRDefault="00BA083C" w:rsidP="00BA083C">
      <w:p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Tabelele cu măsuri sunt elaborate şi prezentate în continuare.</w:t>
      </w:r>
    </w:p>
    <w:p w14:paraId="69F874D4" w14:textId="77777777" w:rsidR="00BA083C" w:rsidRPr="009C5F11" w:rsidRDefault="00BA083C" w:rsidP="00BA083C">
      <w:pPr>
        <w:keepNext/>
        <w:spacing w:after="0"/>
        <w:ind w:right="-540"/>
        <w:rPr>
          <w:rFonts w:ascii="Times New Roman" w:hAnsi="Times New Roman" w:cs="Times New Roman"/>
          <w:b/>
          <w:bCs/>
          <w:sz w:val="24"/>
          <w:lang w:val="ro-RO"/>
        </w:rPr>
      </w:pPr>
      <w:r w:rsidRPr="009C5F11">
        <w:rPr>
          <w:rFonts w:ascii="Times New Roman" w:hAnsi="Times New Roman" w:cs="Times New Roman"/>
          <w:b/>
          <w:bCs/>
          <w:sz w:val="24"/>
          <w:lang w:val="ro-RO"/>
        </w:rPr>
        <w:br w:type="page"/>
      </w:r>
    </w:p>
    <w:p w14:paraId="7BA6D19D" w14:textId="77777777" w:rsidR="00BA083C" w:rsidRPr="009C5F11" w:rsidRDefault="00BA083C" w:rsidP="00BA083C">
      <w:pPr>
        <w:pStyle w:val="Legend"/>
        <w:keepNext/>
        <w:jc w:val="center"/>
        <w:rPr>
          <w:rFonts w:ascii="Times New Roman" w:hAnsi="Times New Roman" w:cs="Times New Roman"/>
          <w:b/>
          <w:sz w:val="22"/>
          <w:lang w:val="ro-RO"/>
        </w:rPr>
      </w:pPr>
      <w:bookmarkStart w:id="234" w:name="_Toc447724296"/>
      <w:r w:rsidRPr="009C5F11">
        <w:rPr>
          <w:rFonts w:ascii="Times New Roman" w:hAnsi="Times New Roman" w:cs="Times New Roman"/>
          <w:b/>
          <w:sz w:val="22"/>
          <w:lang w:val="ro-RO"/>
        </w:rPr>
        <w:lastRenderedPageBreak/>
        <w:t xml:space="preserve">Tabelul H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Table_H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1</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Evaluarea potenţialului de economisire a energiei în Republica Moldova.</w:t>
      </w:r>
      <w:bookmarkEnd w:id="234"/>
      <w:r w:rsidRPr="009C5F11">
        <w:rPr>
          <w:rFonts w:ascii="Times New Roman" w:hAnsi="Times New Roman" w:cs="Times New Roman"/>
          <w:b/>
          <w:sz w:val="22"/>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70E7B9B1" w14:textId="77777777" w:rsidTr="00F4274E">
        <w:trPr>
          <w:trHeight w:val="67"/>
        </w:trPr>
        <w:tc>
          <w:tcPr>
            <w:tcW w:w="1756" w:type="pct"/>
            <w:gridSpan w:val="2"/>
          </w:tcPr>
          <w:p w14:paraId="49C463C1"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0E33B65D"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Evaluarea potenţialului de economisire a energiei în Republica Moldova.</w:t>
            </w:r>
          </w:p>
        </w:tc>
      </w:tr>
      <w:tr w:rsidR="00BA083C" w:rsidRPr="009C5F11" w14:paraId="3AD0954D" w14:textId="77777777" w:rsidTr="00F4274E">
        <w:trPr>
          <w:trHeight w:val="75"/>
        </w:trPr>
        <w:tc>
          <w:tcPr>
            <w:tcW w:w="1756" w:type="pct"/>
            <w:gridSpan w:val="2"/>
          </w:tcPr>
          <w:p w14:paraId="04CBA614"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13AEFA9A" w14:textId="77777777" w:rsidR="00BA083C" w:rsidRPr="009C5F11" w:rsidRDefault="00BA083C" w:rsidP="00F4274E">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H1</w:t>
            </w:r>
          </w:p>
        </w:tc>
      </w:tr>
      <w:tr w:rsidR="00BA083C" w:rsidRPr="009C5F11" w14:paraId="0321C1EC" w14:textId="77777777" w:rsidTr="00F4274E">
        <w:trPr>
          <w:trHeight w:val="62"/>
        </w:trPr>
        <w:tc>
          <w:tcPr>
            <w:tcW w:w="743" w:type="pct"/>
            <w:vMerge w:val="restart"/>
          </w:tcPr>
          <w:p w14:paraId="6EFC7D04"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6754FEAF"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42BB5FB5"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29537E51"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Informaţii </w:t>
            </w:r>
          </w:p>
        </w:tc>
      </w:tr>
      <w:tr w:rsidR="00BA083C" w:rsidRPr="009C5F11" w14:paraId="466F6F3F" w14:textId="77777777" w:rsidTr="00F4274E">
        <w:trPr>
          <w:trHeight w:val="476"/>
        </w:trPr>
        <w:tc>
          <w:tcPr>
            <w:tcW w:w="743" w:type="pct"/>
            <w:vMerge/>
          </w:tcPr>
          <w:p w14:paraId="41191BB4"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B489F3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2C119F48"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Începută: ianuarie 2016 </w:t>
            </w:r>
          </w:p>
          <w:p w14:paraId="3B1868F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iunie 2017</w:t>
            </w:r>
          </w:p>
          <w:p w14:paraId="327ED2F2"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nouă</w:t>
            </w:r>
          </w:p>
        </w:tc>
      </w:tr>
      <w:tr w:rsidR="00BA083C" w:rsidRPr="009C5F11" w14:paraId="7B7ACB29" w14:textId="77777777" w:rsidTr="00F4274E">
        <w:trPr>
          <w:trHeight w:val="107"/>
        </w:trPr>
        <w:tc>
          <w:tcPr>
            <w:tcW w:w="743" w:type="pct"/>
            <w:vMerge/>
          </w:tcPr>
          <w:p w14:paraId="3C0B9BDA"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466DD7A"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194B5EA6"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Actualmente, există studii despre potenţialul de economisire pe baza eficienţei energetice în Republica Moldova, însă aceste studii denotă lipsa datelor de intrare suficiente şi sigure, precum şi lipsa conexiunii cu obligaţiile Republicii Moldova în calitate ce parte contractantă de a respecta dispoziţiile directivelor (de ex.: Articolele 4, 5, 14 din DEE). </w:t>
            </w:r>
          </w:p>
        </w:tc>
      </w:tr>
      <w:tr w:rsidR="00BA083C" w:rsidRPr="009C5F11" w14:paraId="0B95745F" w14:textId="77777777" w:rsidTr="00F4274E">
        <w:trPr>
          <w:trHeight w:val="54"/>
        </w:trPr>
        <w:tc>
          <w:tcPr>
            <w:tcW w:w="743" w:type="pct"/>
            <w:vMerge/>
          </w:tcPr>
          <w:p w14:paraId="30D0E15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86109B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1DBD8B4B" w14:textId="77777777" w:rsidR="00BA083C" w:rsidRPr="009C5F11" w:rsidRDefault="00827D6D"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7BDEFC8E" w14:textId="77777777" w:rsidTr="00F4274E">
        <w:trPr>
          <w:trHeight w:val="54"/>
        </w:trPr>
        <w:tc>
          <w:tcPr>
            <w:tcW w:w="743" w:type="pct"/>
            <w:vMerge/>
          </w:tcPr>
          <w:p w14:paraId="7F9E15DB"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EB97F59"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5D575EDC"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Autorităţile publice, factorii de decizie, furnizorii de politici</w:t>
            </w:r>
          </w:p>
        </w:tc>
      </w:tr>
      <w:tr w:rsidR="00BA083C" w:rsidRPr="009C5F11" w14:paraId="1DAEB572" w14:textId="77777777" w:rsidTr="00F4274E">
        <w:trPr>
          <w:trHeight w:val="116"/>
        </w:trPr>
        <w:tc>
          <w:tcPr>
            <w:tcW w:w="743" w:type="pct"/>
            <w:vMerge/>
          </w:tcPr>
          <w:p w14:paraId="348BBD3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FE7852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1FEB3721"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BA083C" w:rsidRPr="009C5F11" w14:paraId="106D32A4" w14:textId="77777777" w:rsidTr="00F4274E">
        <w:trPr>
          <w:trHeight w:val="1340"/>
        </w:trPr>
        <w:tc>
          <w:tcPr>
            <w:tcW w:w="743" w:type="pct"/>
            <w:vMerge w:val="restart"/>
          </w:tcPr>
          <w:p w14:paraId="5273A2B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393536B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tcPr>
          <w:p w14:paraId="49800EB3" w14:textId="77777777" w:rsidR="00BA083C" w:rsidRPr="009C5F11" w:rsidRDefault="00BA083C" w:rsidP="00334F3B">
            <w:pPr>
              <w:numPr>
                <w:ilvl w:val="0"/>
                <w:numId w:val="152"/>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În primul rând, Studiul va analiza cerinţele privind evaluarea potențialului de economisire a energiei existente în legislaţia naţională (inclusiv documente strategice: planuri, programe, strategii), precum şi DSE (art.15).</w:t>
            </w:r>
          </w:p>
          <w:p w14:paraId="50C0C02B" w14:textId="77777777" w:rsidR="00BA083C" w:rsidRPr="009C5F11" w:rsidRDefault="00BA083C" w:rsidP="00334F3B">
            <w:pPr>
              <w:numPr>
                <w:ilvl w:val="0"/>
                <w:numId w:val="152"/>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În al doilea rând, Studiul va asigura inventarierea surselor de date la nivel naţional, identificând discrepanţele şi evaluând credibilitatea acestora.</w:t>
            </w:r>
          </w:p>
          <w:p w14:paraId="0D9914FB" w14:textId="77777777" w:rsidR="00BA083C" w:rsidRPr="009C5F11" w:rsidRDefault="00BA083C" w:rsidP="00334F3B">
            <w:pPr>
              <w:numPr>
                <w:ilvl w:val="0"/>
                <w:numId w:val="152"/>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În al treilea rând, Studiul va oferi evaluarea propriu-zisă, având grijă să răspundă adecvat cerinţelor specifice de la p. 1).</w:t>
            </w:r>
          </w:p>
          <w:p w14:paraId="44C68F1D" w14:textId="77777777" w:rsidR="00BA083C" w:rsidRPr="009C5F11" w:rsidRDefault="00BA083C" w:rsidP="00334F3B">
            <w:pPr>
              <w:numPr>
                <w:ilvl w:val="0"/>
                <w:numId w:val="152"/>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În mod concret, evaluarea potențialului de economisire a energiei va aborda infrastructura de gaze naturale şi energie electrică, în special, aspectele de transport, distribuţie, gestionarea sarcinii şi interoperabilitatea, conexiunea cu instalaţiile de generare a energiei, inclusiv posibilităţile de acces pentru micro-generatoare.</w:t>
            </w:r>
          </w:p>
        </w:tc>
      </w:tr>
      <w:tr w:rsidR="00BA083C" w:rsidRPr="009C5F11" w14:paraId="4FB5D492" w14:textId="77777777" w:rsidTr="00F4274E">
        <w:trPr>
          <w:trHeight w:val="278"/>
        </w:trPr>
        <w:tc>
          <w:tcPr>
            <w:tcW w:w="743" w:type="pct"/>
            <w:vMerge/>
          </w:tcPr>
          <w:p w14:paraId="483C6EA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16DFBE5"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03656A5E"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„Elaborarea politicii şi management în sectorul energetic“ din cadrul „Strategiei sectoriale de cheltuieli în domeniul energetic”:</w:t>
            </w:r>
          </w:p>
          <w:p w14:paraId="64AE5A62" w14:textId="77777777" w:rsidR="00BA083C" w:rsidRPr="009C5F11" w:rsidRDefault="00BA083C" w:rsidP="00F4274E">
            <w:pPr>
              <w:tabs>
                <w:tab w:val="left" w:pos="1440"/>
                <w:tab w:val="left" w:pos="5040"/>
                <w:tab w:val="right" w:pos="8504"/>
              </w:tabs>
              <w:spacing w:before="40" w:after="0" w:line="240" w:lineRule="auto"/>
              <w:ind w:firstLine="342"/>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2016-2018 </w:t>
            </w:r>
          </w:p>
          <w:p w14:paraId="0FCE5153" w14:textId="77777777" w:rsidR="00BA083C" w:rsidRPr="009C5F11" w:rsidRDefault="00BA083C" w:rsidP="00334F3B">
            <w:pPr>
              <w:pStyle w:val="Listparagraf"/>
              <w:numPr>
                <w:ilvl w:val="0"/>
                <w:numId w:val="149"/>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2016 - 19,426.2</w:t>
            </w:r>
            <w:r w:rsidR="003F5FAB" w:rsidRPr="009C5F11">
              <w:rPr>
                <w:rFonts w:ascii="Times New Roman" w:hAnsi="Times New Roman" w:cs="Times New Roman"/>
                <w:sz w:val="18"/>
                <w:szCs w:val="14"/>
                <w:lang w:val="ro-RO"/>
              </w:rPr>
              <w:t xml:space="preserve"> </w:t>
            </w:r>
            <w:r w:rsidR="003F5FAB" w:rsidRPr="009C5F11">
              <w:rPr>
                <w:rFonts w:ascii="Times New Roman" w:hAnsi="Times New Roman" w:cs="Times New Roman"/>
                <w:sz w:val="18"/>
                <w:szCs w:val="14"/>
                <w:lang w:val="ro-RO" w:eastAsia="de-DE"/>
              </w:rPr>
              <w:t>mii lei</w:t>
            </w:r>
          </w:p>
          <w:p w14:paraId="791289F5" w14:textId="77777777" w:rsidR="00BA083C" w:rsidRPr="009C5F11" w:rsidRDefault="00BA083C" w:rsidP="00334F3B">
            <w:pPr>
              <w:pStyle w:val="Listparagraf"/>
              <w:numPr>
                <w:ilvl w:val="0"/>
                <w:numId w:val="149"/>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2017 - 24,946.6</w:t>
            </w:r>
            <w:r w:rsidR="003F5FAB" w:rsidRPr="009C5F11">
              <w:rPr>
                <w:rFonts w:ascii="Times New Roman" w:hAnsi="Times New Roman" w:cs="Times New Roman"/>
                <w:sz w:val="18"/>
                <w:szCs w:val="14"/>
                <w:lang w:val="ro-RO"/>
              </w:rPr>
              <w:t xml:space="preserve"> </w:t>
            </w:r>
            <w:r w:rsidR="003F5FAB" w:rsidRPr="009C5F11">
              <w:rPr>
                <w:rFonts w:ascii="Times New Roman" w:hAnsi="Times New Roman" w:cs="Times New Roman"/>
                <w:sz w:val="18"/>
                <w:szCs w:val="14"/>
                <w:lang w:val="ro-RO" w:eastAsia="de-DE"/>
              </w:rPr>
              <w:t>mii lei</w:t>
            </w:r>
          </w:p>
          <w:p w14:paraId="57436DAB" w14:textId="77777777" w:rsidR="00BA083C" w:rsidRPr="009C5F11" w:rsidRDefault="00BA083C" w:rsidP="00334F3B">
            <w:pPr>
              <w:pStyle w:val="Listparagraf"/>
              <w:numPr>
                <w:ilvl w:val="0"/>
                <w:numId w:val="149"/>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2018 - 25,862.7</w:t>
            </w:r>
            <w:r w:rsidR="003F5FAB" w:rsidRPr="009C5F11">
              <w:rPr>
                <w:rFonts w:ascii="Times New Roman" w:hAnsi="Times New Roman" w:cs="Times New Roman"/>
                <w:sz w:val="18"/>
                <w:szCs w:val="14"/>
                <w:lang w:val="ro-RO"/>
              </w:rPr>
              <w:t xml:space="preserve"> </w:t>
            </w:r>
            <w:r w:rsidR="003F5FAB" w:rsidRPr="009C5F11">
              <w:rPr>
                <w:rFonts w:ascii="Times New Roman" w:hAnsi="Times New Roman" w:cs="Times New Roman"/>
                <w:sz w:val="18"/>
                <w:szCs w:val="14"/>
                <w:lang w:val="ro-RO" w:eastAsia="de-DE"/>
              </w:rPr>
              <w:t>mii lei</w:t>
            </w:r>
          </w:p>
          <w:p w14:paraId="50D32817" w14:textId="77777777" w:rsidR="00BA083C" w:rsidRPr="009C5F11" w:rsidRDefault="00BA083C">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Totuşi, aceste fonduri ar putea să fie insuficiente pentru efectuarea unei evaluări cuprinzătoare despre potențialul de economisire a energiei. </w:t>
            </w:r>
            <w:r w:rsidR="00827D6D" w:rsidRPr="009C5F11">
              <w:rPr>
                <w:rFonts w:ascii="Times New Roman" w:hAnsi="Times New Roman" w:cs="Times New Roman"/>
                <w:sz w:val="18"/>
                <w:szCs w:val="14"/>
                <w:lang w:val="ro-RO" w:eastAsia="de-DE"/>
              </w:rPr>
              <w:t>Prin urmare</w:t>
            </w:r>
            <w:r w:rsidRPr="009C5F11">
              <w:rPr>
                <w:rFonts w:ascii="Times New Roman" w:hAnsi="Times New Roman" w:cs="Times New Roman"/>
                <w:sz w:val="18"/>
                <w:szCs w:val="14"/>
                <w:lang w:val="ro-RO" w:eastAsia="de-DE"/>
              </w:rPr>
              <w:t xml:space="preserve">, AEE ar trebui să depună eforturi în vederea atragerii de fonduri de la donatori pentru a susţine asigurarea </w:t>
            </w:r>
            <w:r w:rsidR="00827D6D" w:rsidRPr="009C5F11">
              <w:rPr>
                <w:rFonts w:ascii="Times New Roman" w:hAnsi="Times New Roman" w:cs="Times New Roman"/>
                <w:sz w:val="18"/>
                <w:szCs w:val="14"/>
                <w:lang w:val="ro-RO" w:eastAsia="de-DE"/>
              </w:rPr>
              <w:t xml:space="preserve">în timp util a </w:t>
            </w:r>
            <w:r w:rsidRPr="009C5F11">
              <w:rPr>
                <w:rFonts w:ascii="Times New Roman" w:hAnsi="Times New Roman" w:cs="Times New Roman"/>
                <w:sz w:val="18"/>
                <w:szCs w:val="14"/>
                <w:lang w:val="ro-RO" w:eastAsia="de-DE"/>
              </w:rPr>
              <w:t xml:space="preserve">conformităţii cu directivele aplicabile şi cu legislaţia naţională. </w:t>
            </w:r>
          </w:p>
        </w:tc>
      </w:tr>
      <w:tr w:rsidR="00BA083C" w:rsidRPr="009C5F11" w14:paraId="4C8ADE5D" w14:textId="77777777" w:rsidTr="00F4274E">
        <w:trPr>
          <w:trHeight w:val="54"/>
        </w:trPr>
        <w:tc>
          <w:tcPr>
            <w:tcW w:w="743" w:type="pct"/>
            <w:vMerge/>
          </w:tcPr>
          <w:p w14:paraId="0DA8B33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BEF239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40350197"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47A1E4DC" w14:textId="77777777" w:rsidTr="00F4274E">
        <w:trPr>
          <w:trHeight w:val="67"/>
        </w:trPr>
        <w:tc>
          <w:tcPr>
            <w:tcW w:w="743" w:type="pct"/>
            <w:vMerge/>
          </w:tcPr>
          <w:p w14:paraId="06816DD4"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E5F21E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12A46420"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3A887F61" w14:textId="77777777" w:rsidTr="00F4274E">
        <w:trPr>
          <w:trHeight w:val="233"/>
        </w:trPr>
        <w:tc>
          <w:tcPr>
            <w:tcW w:w="743" w:type="pct"/>
            <w:vMerge w:val="restart"/>
          </w:tcPr>
          <w:p w14:paraId="28D59F7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2653866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6D56EB29"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FAB" w:rsidRPr="009C5F11">
              <w:rPr>
                <w:rFonts w:ascii="Times New Roman" w:hAnsi="Times New Roman" w:cs="Times New Roman"/>
                <w:sz w:val="18"/>
                <w:szCs w:val="14"/>
                <w:lang w:val="ro-RO" w:eastAsia="de-DE"/>
              </w:rPr>
              <w:t>/A</w:t>
            </w:r>
          </w:p>
        </w:tc>
      </w:tr>
      <w:tr w:rsidR="00BA083C" w:rsidRPr="009C5F11" w14:paraId="1CF935F0" w14:textId="77777777" w:rsidTr="00F4274E">
        <w:trPr>
          <w:trHeight w:val="296"/>
        </w:trPr>
        <w:tc>
          <w:tcPr>
            <w:tcW w:w="743" w:type="pct"/>
            <w:vMerge/>
          </w:tcPr>
          <w:p w14:paraId="218B6CE7"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CDDAA6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5EDE9B50"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FAB" w:rsidRPr="009C5F11">
              <w:rPr>
                <w:rFonts w:ascii="Times New Roman" w:hAnsi="Times New Roman" w:cs="Times New Roman"/>
                <w:sz w:val="18"/>
                <w:szCs w:val="14"/>
                <w:lang w:val="ro-RO" w:eastAsia="de-DE"/>
              </w:rPr>
              <w:t>/A</w:t>
            </w:r>
          </w:p>
        </w:tc>
      </w:tr>
      <w:tr w:rsidR="00BA083C" w:rsidRPr="009C5F11" w14:paraId="68D03A67" w14:textId="77777777" w:rsidTr="00F4274E">
        <w:trPr>
          <w:trHeight w:val="80"/>
        </w:trPr>
        <w:tc>
          <w:tcPr>
            <w:tcW w:w="743" w:type="pct"/>
            <w:vMerge/>
          </w:tcPr>
          <w:p w14:paraId="1F9704EB"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FA45ED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5FD77C81"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FAB" w:rsidRPr="009C5F11">
              <w:rPr>
                <w:rFonts w:ascii="Times New Roman" w:hAnsi="Times New Roman" w:cs="Times New Roman"/>
                <w:sz w:val="18"/>
                <w:szCs w:val="14"/>
                <w:lang w:val="ro-RO" w:eastAsia="de-DE"/>
              </w:rPr>
              <w:t>/A</w:t>
            </w:r>
          </w:p>
        </w:tc>
      </w:tr>
      <w:tr w:rsidR="00BA083C" w:rsidRPr="009C5F11" w14:paraId="6FEF4A2C" w14:textId="77777777" w:rsidTr="00F4274E">
        <w:trPr>
          <w:trHeight w:val="125"/>
        </w:trPr>
        <w:tc>
          <w:tcPr>
            <w:tcW w:w="743" w:type="pct"/>
            <w:vMerge/>
          </w:tcPr>
          <w:p w14:paraId="175D5D9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3DBE0A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tcPr>
          <w:p w14:paraId="5545C04E"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FAB" w:rsidRPr="009C5F11">
              <w:rPr>
                <w:rFonts w:ascii="Times New Roman" w:hAnsi="Times New Roman" w:cs="Times New Roman"/>
                <w:sz w:val="18"/>
                <w:szCs w:val="14"/>
                <w:lang w:val="ro-RO" w:eastAsia="de-DE"/>
              </w:rPr>
              <w:t>/A</w:t>
            </w:r>
          </w:p>
        </w:tc>
      </w:tr>
      <w:tr w:rsidR="00BA083C" w:rsidRPr="009C5F11" w14:paraId="3A34CC38" w14:textId="77777777" w:rsidTr="00F4274E">
        <w:trPr>
          <w:trHeight w:val="54"/>
        </w:trPr>
        <w:tc>
          <w:tcPr>
            <w:tcW w:w="743" w:type="pct"/>
            <w:vMerge/>
          </w:tcPr>
          <w:p w14:paraId="49FD720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B0C035C" w14:textId="77777777" w:rsidR="00BA083C" w:rsidRPr="009C5F11" w:rsidRDefault="003F5FAB"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36E99639"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BA083C" w:rsidRPr="009C5F11" w14:paraId="6CECE32E" w14:textId="77777777" w:rsidTr="00F4274E">
        <w:trPr>
          <w:trHeight w:val="62"/>
        </w:trPr>
        <w:tc>
          <w:tcPr>
            <w:tcW w:w="743" w:type="pct"/>
            <w:vMerge/>
          </w:tcPr>
          <w:p w14:paraId="168B4D1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918856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3CC1ABE9" w14:textId="77777777" w:rsidR="00BA083C" w:rsidRPr="009C5F11" w:rsidRDefault="00BA083C" w:rsidP="00F4274E">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Organismul de implementare va identifica sinergiile cu alte proiecte/studii.</w:t>
            </w:r>
          </w:p>
        </w:tc>
      </w:tr>
    </w:tbl>
    <w:p w14:paraId="56D45E3C" w14:textId="6159E729" w:rsidR="00BA083C" w:rsidRPr="009C5F11" w:rsidRDefault="00BA083C" w:rsidP="00BA083C">
      <w:pPr>
        <w:keepNext/>
        <w:spacing w:after="0"/>
        <w:ind w:right="-540"/>
        <w:rPr>
          <w:rFonts w:ascii="Times New Roman" w:hAnsi="Times New Roman" w:cs="Times New Roman"/>
          <w:b/>
          <w:bCs/>
          <w:sz w:val="24"/>
          <w:lang w:val="ro-RO"/>
        </w:rPr>
      </w:pPr>
    </w:p>
    <w:p w14:paraId="2C300DD2" w14:textId="77777777" w:rsidR="00BA083C" w:rsidRPr="009C5F11" w:rsidRDefault="00BA083C" w:rsidP="00BA083C">
      <w:pPr>
        <w:pStyle w:val="Legend"/>
        <w:keepNext/>
        <w:jc w:val="center"/>
        <w:rPr>
          <w:rFonts w:ascii="Times New Roman" w:hAnsi="Times New Roman" w:cs="Times New Roman"/>
          <w:b/>
          <w:sz w:val="22"/>
          <w:lang w:val="ro-RO"/>
        </w:rPr>
      </w:pPr>
      <w:bookmarkStart w:id="235" w:name="_Toc447724297"/>
      <w:r w:rsidRPr="009C5F11">
        <w:rPr>
          <w:rFonts w:ascii="Times New Roman" w:hAnsi="Times New Roman" w:cs="Times New Roman"/>
          <w:b/>
          <w:sz w:val="22"/>
          <w:lang w:val="ro-RO"/>
        </w:rPr>
        <w:t xml:space="preserve">Tabelul H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Table_H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2</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Actualizarea şi adoptarea cadrului juridic pentru asigurarea implementării DEE şi a Legii cu privire la eficienţa energetică.</w:t>
      </w:r>
      <w:bookmarkEnd w:id="2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2B013395" w14:textId="77777777" w:rsidTr="00F4274E">
        <w:trPr>
          <w:trHeight w:val="67"/>
        </w:trPr>
        <w:tc>
          <w:tcPr>
            <w:tcW w:w="1756" w:type="pct"/>
            <w:gridSpan w:val="2"/>
          </w:tcPr>
          <w:p w14:paraId="4A8F0BF4"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6CCA613C"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Actualizarea şi adoptarea cadrului juridic în vederea asigurării punerii în aplicare a Directivei privind eficienţa energetică şi a Legii cu privire la eficienţa energetică.</w:t>
            </w:r>
          </w:p>
        </w:tc>
      </w:tr>
      <w:tr w:rsidR="00BA083C" w:rsidRPr="009C5F11" w14:paraId="7DC85E86" w14:textId="77777777" w:rsidTr="00F4274E">
        <w:trPr>
          <w:trHeight w:val="215"/>
        </w:trPr>
        <w:tc>
          <w:tcPr>
            <w:tcW w:w="1756" w:type="pct"/>
            <w:gridSpan w:val="2"/>
          </w:tcPr>
          <w:p w14:paraId="6824AD79"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621FECB2" w14:textId="77777777" w:rsidR="00BA083C" w:rsidRPr="009C5F11" w:rsidRDefault="00BA083C" w:rsidP="00F4274E">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H2</w:t>
            </w:r>
          </w:p>
        </w:tc>
      </w:tr>
      <w:tr w:rsidR="00BA083C" w:rsidRPr="009C5F11" w14:paraId="1AAC0184" w14:textId="77777777" w:rsidTr="00F4274E">
        <w:trPr>
          <w:trHeight w:val="107"/>
        </w:trPr>
        <w:tc>
          <w:tcPr>
            <w:tcW w:w="743" w:type="pct"/>
            <w:vMerge w:val="restart"/>
          </w:tcPr>
          <w:p w14:paraId="0ADF302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2F47B44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6CDB7BF4"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3B2F2505"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Codurile construcţiilor şi punerea în aplicare</w:t>
            </w:r>
          </w:p>
        </w:tc>
      </w:tr>
      <w:tr w:rsidR="00BA083C" w:rsidRPr="009C5F11" w14:paraId="2D39D397" w14:textId="77777777" w:rsidTr="00F4274E">
        <w:trPr>
          <w:trHeight w:val="476"/>
        </w:trPr>
        <w:tc>
          <w:tcPr>
            <w:tcW w:w="743" w:type="pct"/>
            <w:vMerge/>
          </w:tcPr>
          <w:p w14:paraId="53C2F07B"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8907C1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59F67825"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Începută: ianuarie 2013. </w:t>
            </w:r>
          </w:p>
          <w:p w14:paraId="5F6BF6FC"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iunie 2017.</w:t>
            </w:r>
          </w:p>
          <w:p w14:paraId="4BEF0FB1"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Este o continuare a măsurii “Actualizarea şi adoptarea cadrului legal necesar pentru asigurarea implementării Legii cu privire la eficienţa energetică nr. 142 din 02 iulie 2010” prevăzute de PNAEE 2013-2015.</w:t>
            </w:r>
          </w:p>
        </w:tc>
      </w:tr>
      <w:tr w:rsidR="00BA083C" w:rsidRPr="009C5F11" w14:paraId="4EC2374D" w14:textId="77777777" w:rsidTr="00F4274E">
        <w:trPr>
          <w:trHeight w:val="107"/>
        </w:trPr>
        <w:tc>
          <w:tcPr>
            <w:tcW w:w="743" w:type="pct"/>
            <w:vMerge/>
          </w:tcPr>
          <w:p w14:paraId="1E771CFA"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A9F637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2FB85C85"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Măsura îşi propune să sprijine actualizarea cadrului legal în vederea asigurării punerii în aplicare a Directivei privind eficienţa energetică şi a Legii cu privire la eficienţa energetică.</w:t>
            </w:r>
          </w:p>
        </w:tc>
      </w:tr>
      <w:tr w:rsidR="00BA083C" w:rsidRPr="009C5F11" w14:paraId="7F4050D9" w14:textId="77777777" w:rsidTr="00F4274E">
        <w:trPr>
          <w:trHeight w:val="54"/>
        </w:trPr>
        <w:tc>
          <w:tcPr>
            <w:tcW w:w="743" w:type="pct"/>
            <w:vMerge/>
          </w:tcPr>
          <w:p w14:paraId="0BD06EC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63667B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0034A8E7"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Consumatorii de energie</w:t>
            </w:r>
          </w:p>
        </w:tc>
      </w:tr>
      <w:tr w:rsidR="00BA083C" w:rsidRPr="009C5F11" w14:paraId="0024701A" w14:textId="77777777" w:rsidTr="00F4274E">
        <w:trPr>
          <w:trHeight w:val="54"/>
        </w:trPr>
        <w:tc>
          <w:tcPr>
            <w:tcW w:w="743" w:type="pct"/>
            <w:vMerge/>
          </w:tcPr>
          <w:p w14:paraId="616A981B"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15A350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0CB112A1"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Autorităţile publice, ANRE</w:t>
            </w:r>
          </w:p>
        </w:tc>
      </w:tr>
      <w:tr w:rsidR="00BA083C" w:rsidRPr="009C5F11" w14:paraId="08662CF2" w14:textId="77777777" w:rsidTr="00F4274E">
        <w:trPr>
          <w:trHeight w:val="116"/>
        </w:trPr>
        <w:tc>
          <w:tcPr>
            <w:tcW w:w="743" w:type="pct"/>
            <w:vMerge/>
          </w:tcPr>
          <w:p w14:paraId="10ED3F1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89AC859"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6504E8DC"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BA083C" w:rsidRPr="009C5F11" w14:paraId="4DFA9C82" w14:textId="77777777" w:rsidTr="00F4274E">
        <w:trPr>
          <w:trHeight w:val="1718"/>
        </w:trPr>
        <w:tc>
          <w:tcPr>
            <w:tcW w:w="743" w:type="pct"/>
            <w:vMerge w:val="restart"/>
          </w:tcPr>
          <w:p w14:paraId="52D6FE67" w14:textId="77777777" w:rsidR="00BA083C" w:rsidRPr="009C5F11" w:rsidRDefault="00A760FA"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 </w:t>
            </w:r>
            <w:r w:rsidR="00BA083C" w:rsidRPr="009C5F11">
              <w:rPr>
                <w:rFonts w:ascii="Times New Roman" w:hAnsi="Times New Roman" w:cs="Times New Roman"/>
                <w:sz w:val="18"/>
                <w:szCs w:val="14"/>
                <w:lang w:val="ro-RO" w:eastAsia="de-DE"/>
              </w:rPr>
              <w:t>Informaţii despre implementare</w:t>
            </w:r>
          </w:p>
        </w:tc>
        <w:tc>
          <w:tcPr>
            <w:tcW w:w="1013" w:type="pct"/>
          </w:tcPr>
          <w:p w14:paraId="1CEAA1F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tcPr>
          <w:p w14:paraId="70554850" w14:textId="77777777" w:rsidR="00BA083C" w:rsidRPr="009C5F11" w:rsidRDefault="00BA083C" w:rsidP="00334F3B">
            <w:pPr>
              <w:numPr>
                <w:ilvl w:val="0"/>
                <w:numId w:val="154"/>
              </w:numPr>
              <w:tabs>
                <w:tab w:val="left" w:pos="342"/>
                <w:tab w:val="left" w:pos="5040"/>
                <w:tab w:val="right" w:pos="8504"/>
              </w:tabs>
              <w:spacing w:after="0" w:line="240" w:lineRule="auto"/>
              <w:ind w:left="342" w:hanging="270"/>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Actualizarea cadrului regulatoriu (energie electrică, gaze naturale, energie termică) în vederea implementării cerinţelor DEE: </w:t>
            </w:r>
          </w:p>
          <w:p w14:paraId="12C42A5D" w14:textId="77777777" w:rsidR="00BA083C" w:rsidRPr="009C5F11" w:rsidRDefault="00BA083C" w:rsidP="00334F3B">
            <w:pPr>
              <w:numPr>
                <w:ilvl w:val="0"/>
                <w:numId w:val="153"/>
              </w:numPr>
              <w:tabs>
                <w:tab w:val="left" w:pos="61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Criterii de eficienţă energetică în tarife de reţea şi reglementări, </w:t>
            </w:r>
          </w:p>
          <w:p w14:paraId="0A99EAA9" w14:textId="77777777" w:rsidR="00BA083C" w:rsidRPr="009C5F11" w:rsidRDefault="00BA083C" w:rsidP="00334F3B">
            <w:pPr>
              <w:numPr>
                <w:ilvl w:val="0"/>
                <w:numId w:val="153"/>
              </w:numPr>
              <w:tabs>
                <w:tab w:val="left" w:pos="612"/>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Măsuri de facilitare şi promovare a răspunsului la cerere;</w:t>
            </w:r>
          </w:p>
          <w:p w14:paraId="4DCC03B3" w14:textId="77777777" w:rsidR="00BA083C" w:rsidRPr="009C5F11" w:rsidRDefault="00BA083C" w:rsidP="00334F3B">
            <w:pPr>
              <w:numPr>
                <w:ilvl w:val="0"/>
                <w:numId w:val="153"/>
              </w:numPr>
              <w:tabs>
                <w:tab w:val="left" w:pos="612"/>
                <w:tab w:val="left" w:pos="5040"/>
                <w:tab w:val="right" w:pos="8504"/>
              </w:tabs>
              <w:spacing w:after="40" w:line="240" w:lineRule="auto"/>
              <w:ind w:left="612" w:hanging="252"/>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Standarde şi norme orientate spre îmbunătăţirea eficienţei energetice a produselor şi serviciilor, inclusiv a clădirilor şi vehiculelor, cu excepţia cazului în care acestea sunt obligatorii şi aplicabile pentru Părţile contractante conform dreptului comunitar;</w:t>
            </w:r>
          </w:p>
          <w:p w14:paraId="26B6CD9C" w14:textId="77777777" w:rsidR="00BA083C" w:rsidRPr="009C5F11" w:rsidRDefault="00BA083C" w:rsidP="00334F3B">
            <w:pPr>
              <w:numPr>
                <w:ilvl w:val="0"/>
                <w:numId w:val="154"/>
              </w:numPr>
              <w:tabs>
                <w:tab w:val="left" w:pos="612"/>
                <w:tab w:val="left" w:pos="5040"/>
                <w:tab w:val="right" w:pos="8504"/>
              </w:tabs>
              <w:spacing w:after="0" w:line="240" w:lineRule="auto"/>
              <w:ind w:left="342" w:hanging="270"/>
              <w:contextualSpacing/>
              <w:jc w:val="both"/>
              <w:rPr>
                <w:rFonts w:ascii="Times New Roman" w:hAnsi="Times New Roman" w:cs="Times New Roman"/>
                <w:b/>
                <w:sz w:val="18"/>
                <w:szCs w:val="14"/>
                <w:lang w:val="ro-RO"/>
              </w:rPr>
            </w:pPr>
            <w:r w:rsidRPr="009C5F11">
              <w:rPr>
                <w:rFonts w:ascii="Times New Roman" w:hAnsi="Times New Roman" w:cs="Times New Roman"/>
                <w:b/>
                <w:sz w:val="18"/>
                <w:szCs w:val="14"/>
                <w:lang w:val="ro-RO"/>
              </w:rPr>
              <w:t>Amendamente operate în Legea privind achiziţiile publice pentru a se conforma cu cerinţele DEE.</w:t>
            </w:r>
          </w:p>
        </w:tc>
      </w:tr>
      <w:tr w:rsidR="00BA083C" w:rsidRPr="009C5F11" w14:paraId="1F688DB1" w14:textId="77777777" w:rsidTr="00F4274E">
        <w:trPr>
          <w:trHeight w:val="278"/>
        </w:trPr>
        <w:tc>
          <w:tcPr>
            <w:tcW w:w="743" w:type="pct"/>
            <w:vMerge/>
          </w:tcPr>
          <w:p w14:paraId="225301F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57F394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5CC5E6E8"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b/>
                <w:sz w:val="18"/>
                <w:szCs w:val="14"/>
                <w:lang w:val="ro-RO" w:eastAsia="de-DE"/>
              </w:rPr>
            </w:pPr>
            <w:r w:rsidRPr="009C5F11">
              <w:rPr>
                <w:rFonts w:ascii="Times New Roman" w:hAnsi="Times New Roman" w:cs="Times New Roman"/>
                <w:sz w:val="18"/>
                <w:szCs w:val="14"/>
                <w:lang w:val="ro-RO" w:eastAsia="de-DE"/>
              </w:rPr>
              <w:t>Măsura va fi realizată</w:t>
            </w:r>
            <w:r w:rsidRPr="009C5F11">
              <w:rPr>
                <w:rFonts w:ascii="Times New Roman" w:hAnsi="Times New Roman" w:cs="Times New Roman"/>
                <w:b/>
                <w:sz w:val="18"/>
                <w:szCs w:val="14"/>
                <w:lang w:val="ro-RO" w:eastAsia="de-DE"/>
              </w:rPr>
              <w:t xml:space="preserve"> pe baza resurselor interne ale APL şi ANRE.</w:t>
            </w:r>
          </w:p>
          <w:p w14:paraId="2F384B5E"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Nu vor fi alocate fonduri externe pentru realizarea măsurii, cu excepţia unor mijloace limitate: „Elaborarea politicii şi management în sectorul energetic“ în cadrul „Strategiei sectoriale de cheltuieli în domeniul energetic”:</w:t>
            </w:r>
          </w:p>
          <w:p w14:paraId="1DB01D02"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 xml:space="preserve">2016-2018 </w:t>
            </w:r>
          </w:p>
          <w:p w14:paraId="085590A0" w14:textId="77777777" w:rsidR="00BA083C" w:rsidRPr="009C5F11" w:rsidRDefault="00BA083C" w:rsidP="00334F3B">
            <w:pPr>
              <w:pStyle w:val="Listparagraf"/>
              <w:numPr>
                <w:ilvl w:val="0"/>
                <w:numId w:val="203"/>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2016  </w:t>
            </w:r>
            <w:r w:rsidR="00A760FA"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19,426.2</w:t>
            </w:r>
            <w:r w:rsidR="003F5FAB" w:rsidRPr="009C5F11">
              <w:rPr>
                <w:rFonts w:ascii="Times New Roman" w:hAnsi="Times New Roman" w:cs="Times New Roman"/>
                <w:sz w:val="18"/>
                <w:szCs w:val="14"/>
                <w:lang w:val="ro-RO"/>
              </w:rPr>
              <w:t xml:space="preserve"> </w:t>
            </w:r>
            <w:r w:rsidR="003F5FAB" w:rsidRPr="009C5F11">
              <w:rPr>
                <w:rFonts w:ascii="Times New Roman" w:hAnsi="Times New Roman" w:cs="Times New Roman"/>
                <w:sz w:val="18"/>
                <w:szCs w:val="14"/>
                <w:lang w:val="ro-RO" w:eastAsia="de-DE"/>
              </w:rPr>
              <w:t>mii lei</w:t>
            </w:r>
          </w:p>
          <w:p w14:paraId="5599F4C2" w14:textId="77777777" w:rsidR="00BA083C" w:rsidRPr="009C5F11" w:rsidRDefault="00BA083C" w:rsidP="00334F3B">
            <w:pPr>
              <w:pStyle w:val="Listparagraf"/>
              <w:numPr>
                <w:ilvl w:val="0"/>
                <w:numId w:val="203"/>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2017  </w:t>
            </w:r>
            <w:r w:rsidR="00A760FA"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24,946.6</w:t>
            </w:r>
            <w:r w:rsidR="003F5FAB" w:rsidRPr="009C5F11">
              <w:rPr>
                <w:rFonts w:ascii="Times New Roman" w:hAnsi="Times New Roman" w:cs="Times New Roman"/>
                <w:sz w:val="18"/>
                <w:szCs w:val="14"/>
                <w:lang w:val="ro-RO"/>
              </w:rPr>
              <w:t xml:space="preserve"> </w:t>
            </w:r>
            <w:r w:rsidR="003F5FAB" w:rsidRPr="009C5F11">
              <w:rPr>
                <w:rFonts w:ascii="Times New Roman" w:hAnsi="Times New Roman" w:cs="Times New Roman"/>
                <w:sz w:val="18"/>
                <w:szCs w:val="14"/>
                <w:lang w:val="ro-RO" w:eastAsia="de-DE"/>
              </w:rPr>
              <w:t>mii lei</w:t>
            </w:r>
          </w:p>
          <w:p w14:paraId="0E4F9DE2" w14:textId="77777777" w:rsidR="00BA083C" w:rsidRPr="009C5F11" w:rsidRDefault="00BA083C" w:rsidP="00334F3B">
            <w:pPr>
              <w:pStyle w:val="Listparagraf"/>
              <w:numPr>
                <w:ilvl w:val="0"/>
                <w:numId w:val="203"/>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2018  </w:t>
            </w:r>
            <w:r w:rsidR="00A760FA"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t>25,862.7</w:t>
            </w:r>
            <w:r w:rsidR="003F5FAB" w:rsidRPr="009C5F11">
              <w:rPr>
                <w:rFonts w:ascii="Times New Roman" w:hAnsi="Times New Roman" w:cs="Times New Roman"/>
                <w:sz w:val="18"/>
                <w:szCs w:val="14"/>
                <w:lang w:val="ro-RO"/>
              </w:rPr>
              <w:t xml:space="preserve"> </w:t>
            </w:r>
            <w:r w:rsidR="003F5FAB" w:rsidRPr="009C5F11">
              <w:rPr>
                <w:rFonts w:ascii="Times New Roman" w:hAnsi="Times New Roman" w:cs="Times New Roman"/>
                <w:sz w:val="18"/>
                <w:szCs w:val="14"/>
                <w:lang w:val="ro-RO" w:eastAsia="de-DE"/>
              </w:rPr>
              <w:t>mii lei</w:t>
            </w:r>
          </w:p>
        </w:tc>
      </w:tr>
      <w:tr w:rsidR="00BA083C" w:rsidRPr="009C5F11" w14:paraId="47954622" w14:textId="77777777" w:rsidTr="00F4274E">
        <w:trPr>
          <w:trHeight w:val="476"/>
        </w:trPr>
        <w:tc>
          <w:tcPr>
            <w:tcW w:w="743" w:type="pct"/>
            <w:vMerge/>
          </w:tcPr>
          <w:p w14:paraId="091087AF"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A3209E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4CB1FD9D"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w:t>
            </w:r>
          </w:p>
          <w:p w14:paraId="635B5A0F"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MF</w:t>
            </w:r>
          </w:p>
          <w:p w14:paraId="429ACC1D"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ANRE</w:t>
            </w:r>
          </w:p>
        </w:tc>
      </w:tr>
      <w:tr w:rsidR="00BA083C" w:rsidRPr="009C5F11" w14:paraId="46A5607C" w14:textId="77777777" w:rsidTr="00F4274E">
        <w:trPr>
          <w:trHeight w:val="67"/>
        </w:trPr>
        <w:tc>
          <w:tcPr>
            <w:tcW w:w="743" w:type="pct"/>
            <w:vMerge/>
          </w:tcPr>
          <w:p w14:paraId="44B058C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C4A764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0FA84D2D"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5487510A" w14:textId="77777777" w:rsidTr="00F4274E">
        <w:trPr>
          <w:trHeight w:val="233"/>
        </w:trPr>
        <w:tc>
          <w:tcPr>
            <w:tcW w:w="743" w:type="pct"/>
            <w:vMerge w:val="restart"/>
          </w:tcPr>
          <w:p w14:paraId="5173442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4E0B1EA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1BA2EDBE"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FAB" w:rsidRPr="009C5F11">
              <w:rPr>
                <w:rFonts w:ascii="Times New Roman" w:hAnsi="Times New Roman" w:cs="Times New Roman"/>
                <w:sz w:val="18"/>
                <w:szCs w:val="14"/>
                <w:lang w:val="ro-RO" w:eastAsia="de-DE"/>
              </w:rPr>
              <w:t>/A</w:t>
            </w:r>
          </w:p>
        </w:tc>
      </w:tr>
      <w:tr w:rsidR="00BA083C" w:rsidRPr="009C5F11" w14:paraId="7C7C1B05" w14:textId="77777777" w:rsidTr="00F4274E">
        <w:trPr>
          <w:trHeight w:val="296"/>
        </w:trPr>
        <w:tc>
          <w:tcPr>
            <w:tcW w:w="743" w:type="pct"/>
            <w:vMerge/>
          </w:tcPr>
          <w:p w14:paraId="663CBD4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3355189"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6F85D653"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FAB" w:rsidRPr="009C5F11">
              <w:rPr>
                <w:rFonts w:ascii="Times New Roman" w:hAnsi="Times New Roman" w:cs="Times New Roman"/>
                <w:sz w:val="18"/>
                <w:szCs w:val="14"/>
                <w:lang w:val="ro-RO" w:eastAsia="de-DE"/>
              </w:rPr>
              <w:t>/A</w:t>
            </w:r>
          </w:p>
        </w:tc>
      </w:tr>
      <w:tr w:rsidR="00BA083C" w:rsidRPr="009C5F11" w14:paraId="7CB670E1" w14:textId="77777777" w:rsidTr="00F4274E">
        <w:trPr>
          <w:trHeight w:val="215"/>
        </w:trPr>
        <w:tc>
          <w:tcPr>
            <w:tcW w:w="743" w:type="pct"/>
            <w:vMerge/>
          </w:tcPr>
          <w:p w14:paraId="40258C2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B7F4979"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5D32B0D3"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FAB" w:rsidRPr="009C5F11">
              <w:rPr>
                <w:rFonts w:ascii="Times New Roman" w:hAnsi="Times New Roman" w:cs="Times New Roman"/>
                <w:sz w:val="18"/>
                <w:szCs w:val="14"/>
                <w:lang w:val="ro-RO" w:eastAsia="de-DE"/>
              </w:rPr>
              <w:t>/A</w:t>
            </w:r>
          </w:p>
        </w:tc>
      </w:tr>
      <w:tr w:rsidR="00BA083C" w:rsidRPr="009C5F11" w14:paraId="36F83C8C" w14:textId="77777777" w:rsidTr="00F4274E">
        <w:trPr>
          <w:trHeight w:val="125"/>
        </w:trPr>
        <w:tc>
          <w:tcPr>
            <w:tcW w:w="743" w:type="pct"/>
            <w:vMerge/>
          </w:tcPr>
          <w:p w14:paraId="7E156CF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701F1B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tcPr>
          <w:p w14:paraId="40A28C96" w14:textId="77777777" w:rsidR="00BA083C" w:rsidRPr="009C5F11" w:rsidRDefault="00BA083C">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3F5FAB" w:rsidRPr="009C5F11">
              <w:rPr>
                <w:rFonts w:ascii="Times New Roman" w:hAnsi="Times New Roman" w:cs="Times New Roman"/>
                <w:sz w:val="18"/>
                <w:szCs w:val="14"/>
                <w:lang w:val="ro-RO" w:eastAsia="de-DE"/>
              </w:rPr>
              <w:t>/A</w:t>
            </w:r>
          </w:p>
        </w:tc>
      </w:tr>
      <w:tr w:rsidR="00BA083C" w:rsidRPr="009C5F11" w14:paraId="41EF183D" w14:textId="77777777" w:rsidTr="00F4274E">
        <w:trPr>
          <w:trHeight w:val="54"/>
        </w:trPr>
        <w:tc>
          <w:tcPr>
            <w:tcW w:w="743" w:type="pct"/>
            <w:vMerge/>
          </w:tcPr>
          <w:p w14:paraId="6C37897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9A1ACCB" w14:textId="77777777" w:rsidR="00BA083C" w:rsidRPr="009C5F11" w:rsidRDefault="003F5FAB"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3A6EA650"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BA083C" w:rsidRPr="009C5F11" w14:paraId="049C32EE" w14:textId="77777777" w:rsidTr="00F4274E">
        <w:trPr>
          <w:trHeight w:val="67"/>
        </w:trPr>
        <w:tc>
          <w:tcPr>
            <w:tcW w:w="743" w:type="pct"/>
            <w:vMerge/>
          </w:tcPr>
          <w:p w14:paraId="0C81B97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7B429B9"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05B179D9" w14:textId="77777777" w:rsidR="00BA083C" w:rsidRPr="009C5F11" w:rsidRDefault="00BA083C" w:rsidP="00F4274E">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Organismele de implementare vor identifica sinergiile cu alte proiecte/studii.</w:t>
            </w:r>
          </w:p>
        </w:tc>
      </w:tr>
    </w:tbl>
    <w:p w14:paraId="775A97AB" w14:textId="77777777" w:rsidR="00BA083C" w:rsidRPr="009C5F11" w:rsidRDefault="00BA083C" w:rsidP="00BA083C">
      <w:pPr>
        <w:keepNext/>
        <w:spacing w:after="0"/>
        <w:ind w:right="-540"/>
        <w:rPr>
          <w:rFonts w:ascii="Times New Roman" w:hAnsi="Times New Roman" w:cs="Times New Roman"/>
          <w:b/>
          <w:i/>
          <w:color w:val="FF0000"/>
          <w:sz w:val="18"/>
          <w:szCs w:val="14"/>
          <w:lang w:val="ro-RO"/>
        </w:rPr>
      </w:pPr>
      <w:r w:rsidRPr="009C5F11">
        <w:rPr>
          <w:rFonts w:ascii="Times New Roman" w:hAnsi="Times New Roman" w:cs="Times New Roman"/>
          <w:b/>
          <w:i/>
          <w:color w:val="FF0000"/>
          <w:sz w:val="18"/>
          <w:szCs w:val="14"/>
          <w:lang w:val="ro-RO"/>
        </w:rPr>
        <w:br w:type="page"/>
      </w:r>
    </w:p>
    <w:p w14:paraId="697978B3" w14:textId="77777777" w:rsidR="00BA083C" w:rsidRPr="009C5F11" w:rsidRDefault="00BA083C" w:rsidP="00BA083C">
      <w:pPr>
        <w:pStyle w:val="Legend"/>
        <w:keepNext/>
        <w:jc w:val="center"/>
        <w:rPr>
          <w:rFonts w:ascii="Times New Roman" w:hAnsi="Times New Roman" w:cs="Times New Roman"/>
          <w:b/>
          <w:sz w:val="22"/>
          <w:lang w:val="ro-RO"/>
        </w:rPr>
      </w:pPr>
      <w:bookmarkStart w:id="236" w:name="_Toc447724298"/>
      <w:r w:rsidRPr="009C5F11">
        <w:rPr>
          <w:rFonts w:ascii="Times New Roman" w:hAnsi="Times New Roman" w:cs="Times New Roman"/>
          <w:b/>
          <w:sz w:val="22"/>
          <w:lang w:val="ro-RO"/>
        </w:rPr>
        <w:lastRenderedPageBreak/>
        <w:t xml:space="preserve">Tabelul H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Table_H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3</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Elaborarea metodei de abordare bottom-up pentru M&amp;V.</w:t>
      </w:r>
      <w:bookmarkEnd w:id="2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63DF8546" w14:textId="77777777" w:rsidTr="00F4274E">
        <w:trPr>
          <w:trHeight w:val="67"/>
        </w:trPr>
        <w:tc>
          <w:tcPr>
            <w:tcW w:w="1756" w:type="pct"/>
            <w:gridSpan w:val="2"/>
          </w:tcPr>
          <w:p w14:paraId="74185559"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648F2DDE"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Elaborarea metodei de abordare bottom-up pentru M&amp;V.</w:t>
            </w:r>
          </w:p>
        </w:tc>
      </w:tr>
      <w:tr w:rsidR="00BA083C" w:rsidRPr="009C5F11" w14:paraId="15C4DE5A" w14:textId="77777777" w:rsidTr="00F4274E">
        <w:trPr>
          <w:trHeight w:val="54"/>
        </w:trPr>
        <w:tc>
          <w:tcPr>
            <w:tcW w:w="1756" w:type="pct"/>
            <w:gridSpan w:val="2"/>
          </w:tcPr>
          <w:p w14:paraId="1108B04A"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155FC2E7" w14:textId="77777777" w:rsidR="00BA083C" w:rsidRPr="009C5F11" w:rsidRDefault="00BA083C" w:rsidP="00F4274E">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H9</w:t>
            </w:r>
          </w:p>
        </w:tc>
      </w:tr>
      <w:tr w:rsidR="00BA083C" w:rsidRPr="009C5F11" w14:paraId="7AA36CB5" w14:textId="77777777" w:rsidTr="00F4274E">
        <w:trPr>
          <w:trHeight w:val="107"/>
        </w:trPr>
        <w:tc>
          <w:tcPr>
            <w:tcW w:w="743" w:type="pct"/>
            <w:vMerge w:val="restart"/>
          </w:tcPr>
          <w:p w14:paraId="3C92F2A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6C73768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24965FE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37E8D796"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Codurile construcţiilor şi punerea în aplicare</w:t>
            </w:r>
          </w:p>
        </w:tc>
      </w:tr>
      <w:tr w:rsidR="00BA083C" w:rsidRPr="009C5F11" w14:paraId="12BE5D4B" w14:textId="77777777" w:rsidTr="00F4274E">
        <w:trPr>
          <w:trHeight w:val="476"/>
        </w:trPr>
        <w:tc>
          <w:tcPr>
            <w:tcW w:w="743" w:type="pct"/>
            <w:vMerge/>
          </w:tcPr>
          <w:p w14:paraId="6A8E461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F233D8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35FBB909"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Începută: ianuarie 2016. </w:t>
            </w:r>
          </w:p>
          <w:p w14:paraId="14F65E39"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decembrie 2016.</w:t>
            </w:r>
          </w:p>
          <w:p w14:paraId="4A895CEA"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nouă</w:t>
            </w:r>
          </w:p>
        </w:tc>
      </w:tr>
      <w:tr w:rsidR="00BA083C" w:rsidRPr="009C5F11" w14:paraId="5C52DE97" w14:textId="77777777" w:rsidTr="00F4274E">
        <w:trPr>
          <w:trHeight w:val="107"/>
        </w:trPr>
        <w:tc>
          <w:tcPr>
            <w:tcW w:w="743" w:type="pct"/>
            <w:vMerge/>
          </w:tcPr>
          <w:p w14:paraId="2C0DC962"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7F384DA"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443C6747"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Măsura îşi propune elaborarea şi implementarea unui sistem de monitorizare şi verificare (M&amp;V) a economiilor de energie rezultante din măsurile de eficienţă energetică, bazate pe Metodologia propusă de Comisia Europeană şi En-C şi dezvoltată adiţional de GIZ Open Regional Fund.</w:t>
            </w:r>
          </w:p>
        </w:tc>
      </w:tr>
      <w:tr w:rsidR="00BA083C" w:rsidRPr="009C5F11" w14:paraId="78AF8D61" w14:textId="77777777" w:rsidTr="00F4274E">
        <w:trPr>
          <w:trHeight w:val="54"/>
        </w:trPr>
        <w:tc>
          <w:tcPr>
            <w:tcW w:w="743" w:type="pct"/>
            <w:vMerge/>
          </w:tcPr>
          <w:p w14:paraId="723231DA"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AAF60B9"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051E5BAC"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Măsuri de eficienţa energetică, M&amp;V</w:t>
            </w:r>
          </w:p>
        </w:tc>
      </w:tr>
      <w:tr w:rsidR="00BA083C" w:rsidRPr="009C5F11" w14:paraId="66D63D32" w14:textId="77777777" w:rsidTr="00F4274E">
        <w:trPr>
          <w:trHeight w:val="54"/>
        </w:trPr>
        <w:tc>
          <w:tcPr>
            <w:tcW w:w="743" w:type="pct"/>
            <w:vMerge/>
          </w:tcPr>
          <w:p w14:paraId="01CFAF6A"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7891BA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01F6743F"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21567014" w14:textId="77777777" w:rsidTr="00F4274E">
        <w:trPr>
          <w:trHeight w:val="116"/>
        </w:trPr>
        <w:tc>
          <w:tcPr>
            <w:tcW w:w="743" w:type="pct"/>
            <w:vMerge/>
          </w:tcPr>
          <w:p w14:paraId="43F69CBB"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6E77C2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59941780"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BA083C" w:rsidRPr="009C5F11" w14:paraId="09203FC6" w14:textId="77777777" w:rsidTr="00F4274E">
        <w:trPr>
          <w:trHeight w:val="800"/>
        </w:trPr>
        <w:tc>
          <w:tcPr>
            <w:tcW w:w="743" w:type="pct"/>
            <w:vMerge w:val="restart"/>
          </w:tcPr>
          <w:p w14:paraId="0C167C4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55AB189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tcPr>
          <w:p w14:paraId="1FDB66C6" w14:textId="77777777" w:rsidR="00BA083C" w:rsidRPr="009C5F11" w:rsidRDefault="00BA083C" w:rsidP="00334F3B">
            <w:pPr>
              <w:numPr>
                <w:ilvl w:val="0"/>
                <w:numId w:val="156"/>
              </w:numPr>
              <w:tabs>
                <w:tab w:val="left" w:pos="522"/>
                <w:tab w:val="left" w:pos="5040"/>
                <w:tab w:val="right" w:pos="8504"/>
              </w:tabs>
              <w:spacing w:after="0" w:line="240" w:lineRule="auto"/>
              <w:ind w:left="473" w:hanging="113"/>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Adaptarea indicatorilor de performanţă M&amp;V şi software pentru RM; </w:t>
            </w:r>
          </w:p>
          <w:p w14:paraId="3F026E74" w14:textId="77777777" w:rsidR="00BA083C" w:rsidRPr="009C5F11" w:rsidRDefault="00BA083C" w:rsidP="00334F3B">
            <w:pPr>
              <w:numPr>
                <w:ilvl w:val="0"/>
                <w:numId w:val="156"/>
              </w:numPr>
              <w:tabs>
                <w:tab w:val="left" w:pos="52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Identificarea surselor de date şi colectarea datelor;</w:t>
            </w:r>
          </w:p>
          <w:p w14:paraId="5B543EA4" w14:textId="77777777" w:rsidR="00BA083C" w:rsidRPr="009C5F11" w:rsidRDefault="00BA083C" w:rsidP="00334F3B">
            <w:pPr>
              <w:numPr>
                <w:ilvl w:val="0"/>
                <w:numId w:val="156"/>
              </w:numPr>
              <w:tabs>
                <w:tab w:val="left" w:pos="522"/>
                <w:tab w:val="left" w:pos="5040"/>
                <w:tab w:val="right" w:pos="8504"/>
              </w:tabs>
              <w:spacing w:after="0" w:line="240" w:lineRule="auto"/>
              <w:ind w:left="522" w:hanging="16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Implementarea sistemului de M&amp;V care va fi utilizat pentru evaluarea PNAEE anterior şi efectuarea calculelor ex-ante pentru PNAEE viitoare;</w:t>
            </w:r>
          </w:p>
          <w:p w14:paraId="49F40600" w14:textId="77777777" w:rsidR="00BA083C" w:rsidRPr="009C5F11" w:rsidRDefault="00BA083C" w:rsidP="00334F3B">
            <w:pPr>
              <w:numPr>
                <w:ilvl w:val="0"/>
                <w:numId w:val="156"/>
              </w:numPr>
              <w:tabs>
                <w:tab w:val="left" w:pos="522"/>
                <w:tab w:val="left" w:pos="5040"/>
                <w:tab w:val="right" w:pos="8504"/>
              </w:tabs>
              <w:spacing w:after="0" w:line="240" w:lineRule="auto"/>
              <w:ind w:left="522" w:hanging="18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Dezvoltarea continuă a sistemului M&amp;V şi incorporarea treptată a indicatorilor de performanţă “bottom-up”; </w:t>
            </w:r>
          </w:p>
          <w:p w14:paraId="31970179" w14:textId="77777777" w:rsidR="00BA083C" w:rsidRPr="009C5F11" w:rsidRDefault="00BA083C" w:rsidP="00334F3B">
            <w:pPr>
              <w:numPr>
                <w:ilvl w:val="0"/>
                <w:numId w:val="156"/>
              </w:numPr>
              <w:tabs>
                <w:tab w:val="left" w:pos="52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Dezvoltarea capacităţii</w:t>
            </w:r>
            <w:r w:rsidR="00EF3B62" w:rsidRPr="009C5F11">
              <w:rPr>
                <w:rFonts w:ascii="Times New Roman" w:hAnsi="Times New Roman" w:cs="Times New Roman"/>
                <w:sz w:val="18"/>
                <w:szCs w:val="14"/>
                <w:lang w:val="ro-RO"/>
              </w:rPr>
              <w:t xml:space="preserve"> institutionale</w:t>
            </w:r>
            <w:r w:rsidRPr="009C5F11">
              <w:rPr>
                <w:rFonts w:ascii="Times New Roman" w:hAnsi="Times New Roman" w:cs="Times New Roman"/>
                <w:sz w:val="18"/>
                <w:szCs w:val="14"/>
                <w:lang w:val="ro-RO"/>
              </w:rPr>
              <w:t>;</w:t>
            </w:r>
          </w:p>
        </w:tc>
      </w:tr>
      <w:tr w:rsidR="00BA083C" w:rsidRPr="009C5F11" w14:paraId="42C0AF1D" w14:textId="77777777" w:rsidTr="00F4274E">
        <w:trPr>
          <w:trHeight w:val="278"/>
        </w:trPr>
        <w:tc>
          <w:tcPr>
            <w:tcW w:w="743" w:type="pct"/>
            <w:vMerge/>
          </w:tcPr>
          <w:p w14:paraId="353B46FA"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E1EB99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3BC1B3DC" w14:textId="77777777" w:rsidR="00BA083C" w:rsidRPr="009C5F11" w:rsidRDefault="00BA083C" w:rsidP="00334F3B">
            <w:pPr>
              <w:numPr>
                <w:ilvl w:val="0"/>
                <w:numId w:val="155"/>
              </w:numPr>
              <w:tabs>
                <w:tab w:val="left" w:pos="522"/>
                <w:tab w:val="left" w:pos="5040"/>
                <w:tab w:val="right" w:pos="8504"/>
              </w:tabs>
              <w:spacing w:before="40" w:after="0" w:line="240" w:lineRule="auto"/>
              <w:ind w:left="612" w:hanging="25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Măsura se va baza pe resursele interne ale AEE;</w:t>
            </w:r>
          </w:p>
          <w:p w14:paraId="111DE401" w14:textId="77777777" w:rsidR="00BA083C" w:rsidRPr="009C5F11" w:rsidRDefault="00BA083C" w:rsidP="00334F3B">
            <w:pPr>
              <w:numPr>
                <w:ilvl w:val="0"/>
                <w:numId w:val="155"/>
              </w:numPr>
              <w:tabs>
                <w:tab w:val="left" w:pos="522"/>
                <w:tab w:val="left" w:pos="5040"/>
                <w:tab w:val="right" w:pos="8504"/>
              </w:tabs>
              <w:spacing w:before="40" w:after="0" w:line="240" w:lineRule="auto"/>
              <w:ind w:left="612" w:hanging="25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Finanţare externă.</w:t>
            </w:r>
          </w:p>
        </w:tc>
      </w:tr>
      <w:tr w:rsidR="00BA083C" w:rsidRPr="009C5F11" w14:paraId="64A7C93D" w14:textId="77777777" w:rsidTr="00F4274E">
        <w:trPr>
          <w:trHeight w:val="54"/>
        </w:trPr>
        <w:tc>
          <w:tcPr>
            <w:tcW w:w="743" w:type="pct"/>
            <w:vMerge/>
          </w:tcPr>
          <w:p w14:paraId="750AC09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88ACDD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4006EC66"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239C4904" w14:textId="77777777" w:rsidTr="00F4274E">
        <w:trPr>
          <w:trHeight w:val="67"/>
        </w:trPr>
        <w:tc>
          <w:tcPr>
            <w:tcW w:w="743" w:type="pct"/>
            <w:vMerge/>
          </w:tcPr>
          <w:p w14:paraId="13E00E3E"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58F154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2D2FF37A"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176CBEE0" w14:textId="77777777" w:rsidTr="00F4274E">
        <w:trPr>
          <w:trHeight w:val="323"/>
        </w:trPr>
        <w:tc>
          <w:tcPr>
            <w:tcW w:w="743" w:type="pct"/>
            <w:vMerge w:val="restart"/>
          </w:tcPr>
          <w:p w14:paraId="3DA9F30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3BDDEFF9"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4C4BEA6A" w14:textId="77777777" w:rsidR="00BA083C" w:rsidRPr="009C5F11" w:rsidRDefault="00760BB5"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7EB767F0" w14:textId="77777777" w:rsidTr="00F4274E">
        <w:trPr>
          <w:trHeight w:val="296"/>
        </w:trPr>
        <w:tc>
          <w:tcPr>
            <w:tcW w:w="743" w:type="pct"/>
            <w:vMerge/>
          </w:tcPr>
          <w:p w14:paraId="41E34D19"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8119AF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6673ACC1" w14:textId="77777777" w:rsidR="00BA083C" w:rsidRPr="009C5F11" w:rsidRDefault="00760BB5"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76CB44DF" w14:textId="77777777" w:rsidTr="00F4274E">
        <w:trPr>
          <w:trHeight w:val="215"/>
        </w:trPr>
        <w:tc>
          <w:tcPr>
            <w:tcW w:w="743" w:type="pct"/>
            <w:vMerge/>
          </w:tcPr>
          <w:p w14:paraId="5D1B5DBE"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DE8301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4F89DC0A" w14:textId="77777777" w:rsidR="00BA083C" w:rsidRPr="009C5F11" w:rsidRDefault="00760BB5"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5064AE42" w14:textId="77777777" w:rsidTr="00F4274E">
        <w:trPr>
          <w:trHeight w:val="125"/>
        </w:trPr>
        <w:tc>
          <w:tcPr>
            <w:tcW w:w="743" w:type="pct"/>
            <w:vMerge/>
          </w:tcPr>
          <w:p w14:paraId="6F1E05A9"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DCC1EE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tcPr>
          <w:p w14:paraId="4ACA5D28" w14:textId="77777777" w:rsidR="00BA083C" w:rsidRPr="009C5F11" w:rsidRDefault="00760BB5"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76D9F9B8" w14:textId="77777777" w:rsidTr="00F4274E">
        <w:trPr>
          <w:trHeight w:val="54"/>
        </w:trPr>
        <w:tc>
          <w:tcPr>
            <w:tcW w:w="743" w:type="pct"/>
            <w:vMerge/>
          </w:tcPr>
          <w:p w14:paraId="417DF4F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82A88A9" w14:textId="77777777" w:rsidR="00BA083C" w:rsidRPr="009C5F11" w:rsidRDefault="003F5FAB"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32C97D55"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BA083C" w:rsidRPr="009C5F11" w14:paraId="3B7AA22E" w14:textId="77777777" w:rsidTr="00F4274E">
        <w:trPr>
          <w:trHeight w:val="67"/>
        </w:trPr>
        <w:tc>
          <w:tcPr>
            <w:tcW w:w="743" w:type="pct"/>
            <w:vMerge/>
          </w:tcPr>
          <w:p w14:paraId="234E11D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510153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550BA9B7" w14:textId="77777777" w:rsidR="00BA083C" w:rsidRPr="009C5F11" w:rsidRDefault="00BA083C" w:rsidP="00F4274E">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Organismele de implementare vor identifica sinergiile cu alte proiecte/studii.</w:t>
            </w:r>
          </w:p>
        </w:tc>
      </w:tr>
    </w:tbl>
    <w:p w14:paraId="6AAC8A3D" w14:textId="77777777" w:rsidR="00BA083C" w:rsidRPr="009C5F11" w:rsidRDefault="00BA083C" w:rsidP="00BA083C">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br w:type="page"/>
      </w:r>
    </w:p>
    <w:p w14:paraId="78402398" w14:textId="77777777" w:rsidR="00BA083C" w:rsidRPr="009C5F11" w:rsidRDefault="00BA083C" w:rsidP="00BA083C">
      <w:pPr>
        <w:pStyle w:val="Legend"/>
        <w:keepNext/>
        <w:jc w:val="center"/>
        <w:rPr>
          <w:rFonts w:ascii="Times New Roman" w:hAnsi="Times New Roman" w:cs="Times New Roman"/>
          <w:b/>
          <w:sz w:val="22"/>
          <w:lang w:val="ro-RO"/>
        </w:rPr>
      </w:pPr>
      <w:bookmarkStart w:id="237" w:name="_Toc447724299"/>
      <w:r w:rsidRPr="009C5F11">
        <w:rPr>
          <w:rFonts w:ascii="Times New Roman" w:hAnsi="Times New Roman" w:cs="Times New Roman"/>
          <w:b/>
          <w:sz w:val="22"/>
          <w:lang w:val="ro-RO"/>
        </w:rPr>
        <w:lastRenderedPageBreak/>
        <w:t xml:space="preserve">Tabelul H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Table_H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4</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Promovarea companiilor de servicii energetice (ESCO).</w:t>
      </w:r>
      <w:bookmarkEnd w:id="2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46C2A513" w14:textId="77777777" w:rsidTr="00F4274E">
        <w:trPr>
          <w:trHeight w:val="67"/>
        </w:trPr>
        <w:tc>
          <w:tcPr>
            <w:tcW w:w="1756" w:type="pct"/>
            <w:gridSpan w:val="2"/>
          </w:tcPr>
          <w:p w14:paraId="4FA26B77"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250187C7"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Promovarea companiilor de servicii energetice (ESCO).</w:t>
            </w:r>
          </w:p>
        </w:tc>
      </w:tr>
      <w:tr w:rsidR="00BA083C" w:rsidRPr="009C5F11" w14:paraId="453BDE66" w14:textId="77777777" w:rsidTr="00F4274E">
        <w:trPr>
          <w:trHeight w:val="62"/>
        </w:trPr>
        <w:tc>
          <w:tcPr>
            <w:tcW w:w="1756" w:type="pct"/>
            <w:gridSpan w:val="2"/>
          </w:tcPr>
          <w:p w14:paraId="3443A431"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21FEC0EC" w14:textId="77777777" w:rsidR="00BA083C" w:rsidRPr="009C5F11" w:rsidRDefault="00BA083C" w:rsidP="00F4274E">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H4</w:t>
            </w:r>
          </w:p>
        </w:tc>
      </w:tr>
      <w:tr w:rsidR="00BA083C" w:rsidRPr="009C5F11" w14:paraId="12624B89" w14:textId="77777777" w:rsidTr="00F4274E">
        <w:trPr>
          <w:trHeight w:val="107"/>
        </w:trPr>
        <w:tc>
          <w:tcPr>
            <w:tcW w:w="743" w:type="pct"/>
            <w:vMerge w:val="restart"/>
          </w:tcPr>
          <w:p w14:paraId="24CFBF8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50F37B07"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27C3A55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17AAE6BB"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Codurile construcţiilor şi punerea în aplicare</w:t>
            </w:r>
          </w:p>
        </w:tc>
      </w:tr>
      <w:tr w:rsidR="00BA083C" w:rsidRPr="009C5F11" w14:paraId="087959BD" w14:textId="77777777" w:rsidTr="00F4274E">
        <w:trPr>
          <w:trHeight w:val="476"/>
        </w:trPr>
        <w:tc>
          <w:tcPr>
            <w:tcW w:w="743" w:type="pct"/>
            <w:vMerge/>
          </w:tcPr>
          <w:p w14:paraId="5FF871B4"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92EE34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76D2E3CD"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Începută:</w:t>
            </w:r>
            <w:r w:rsidR="00636229" w:rsidRPr="009C5F11">
              <w:rPr>
                <w:rFonts w:ascii="Times New Roman" w:hAnsi="Times New Roman" w:cs="Times New Roman"/>
                <w:b/>
                <w:sz w:val="18"/>
                <w:szCs w:val="14"/>
                <w:lang w:val="ro-RO" w:eastAsia="de-DE"/>
              </w:rPr>
              <w:t xml:space="preserve"> </w:t>
            </w:r>
            <w:r w:rsidRPr="009C5F11">
              <w:rPr>
                <w:rFonts w:ascii="Times New Roman" w:hAnsi="Times New Roman" w:cs="Times New Roman"/>
                <w:b/>
                <w:sz w:val="18"/>
                <w:szCs w:val="14"/>
                <w:lang w:val="ro-RO" w:eastAsia="de-DE"/>
              </w:rPr>
              <w:t xml:space="preserve"> ianuarie 2013. </w:t>
            </w:r>
          </w:p>
          <w:p w14:paraId="137A1FB8"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decembrie 2019.</w:t>
            </w:r>
          </w:p>
          <w:p w14:paraId="4F1F8D37"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Măsură preluată din PNAEE 2013-2015. </w:t>
            </w:r>
          </w:p>
        </w:tc>
      </w:tr>
      <w:tr w:rsidR="00BA083C" w:rsidRPr="009C5F11" w14:paraId="6B1DFE7B" w14:textId="77777777" w:rsidTr="00F4274E">
        <w:trPr>
          <w:trHeight w:val="107"/>
        </w:trPr>
        <w:tc>
          <w:tcPr>
            <w:tcW w:w="743" w:type="pct"/>
            <w:vMerge/>
          </w:tcPr>
          <w:p w14:paraId="32746A9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72944B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453F27D5"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Măsura prevede </w:t>
            </w:r>
            <w:r w:rsidRPr="009C5F11">
              <w:rPr>
                <w:rFonts w:ascii="Times New Roman" w:hAnsi="Times New Roman" w:cs="Times New Roman"/>
                <w:b/>
                <w:sz w:val="18"/>
                <w:szCs w:val="14"/>
                <w:lang w:val="ro-RO" w:eastAsia="de-DE"/>
              </w:rPr>
              <w:t>redactarea şi/sau modificarea cadrului legislativ şi normativ existent pentru a promova dezvoltarea ESCO.</w:t>
            </w:r>
          </w:p>
          <w:p w14:paraId="22E7E50E"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Acţiunea va fi însoţită de </w:t>
            </w:r>
            <w:r w:rsidRPr="009C5F11">
              <w:rPr>
                <w:rFonts w:ascii="Times New Roman" w:hAnsi="Times New Roman" w:cs="Times New Roman"/>
                <w:b/>
                <w:sz w:val="18"/>
                <w:szCs w:val="14"/>
                <w:lang w:val="ro-RO" w:eastAsia="de-DE"/>
              </w:rPr>
              <w:t>campanii de sensibilizare</w:t>
            </w:r>
            <w:r w:rsidRPr="009C5F11">
              <w:rPr>
                <w:rFonts w:ascii="Times New Roman" w:hAnsi="Times New Roman" w:cs="Times New Roman"/>
                <w:sz w:val="18"/>
                <w:szCs w:val="14"/>
                <w:lang w:val="ro-RO" w:eastAsia="de-DE"/>
              </w:rPr>
              <w:t xml:space="preserve"> care vizează beneficiarii potenţiali de servicii energetice, precum şi de</w:t>
            </w:r>
            <w:r w:rsidRPr="009C5F11">
              <w:rPr>
                <w:rFonts w:ascii="Times New Roman" w:hAnsi="Times New Roman" w:cs="Times New Roman"/>
                <w:b/>
                <w:sz w:val="18"/>
                <w:szCs w:val="14"/>
                <w:lang w:val="ro-RO" w:eastAsia="de-DE"/>
              </w:rPr>
              <w:t xml:space="preserve"> instruirea furnizorilor potenţiali de servicii energetice</w:t>
            </w:r>
            <w:r w:rsidRPr="009C5F11">
              <w:rPr>
                <w:rFonts w:ascii="Times New Roman" w:hAnsi="Times New Roman" w:cs="Times New Roman"/>
                <w:sz w:val="18"/>
                <w:szCs w:val="14"/>
                <w:lang w:val="ro-RO" w:eastAsia="de-DE"/>
              </w:rPr>
              <w:t>.</w:t>
            </w:r>
          </w:p>
          <w:p w14:paraId="354B1949"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 atenţie mai mare va fi acordată</w:t>
            </w:r>
            <w:r w:rsidRPr="009C5F11">
              <w:rPr>
                <w:rFonts w:ascii="Times New Roman" w:hAnsi="Times New Roman" w:cs="Times New Roman"/>
                <w:b/>
                <w:sz w:val="18"/>
                <w:szCs w:val="14"/>
                <w:lang w:val="ro-RO" w:eastAsia="de-DE"/>
              </w:rPr>
              <w:t xml:space="preserve"> autorităţilor publice locale</w:t>
            </w:r>
            <w:r w:rsidRPr="009C5F11">
              <w:rPr>
                <w:rFonts w:ascii="Times New Roman" w:hAnsi="Times New Roman" w:cs="Times New Roman"/>
                <w:sz w:val="18"/>
                <w:szCs w:val="14"/>
                <w:lang w:val="ro-RO" w:eastAsia="de-DE"/>
              </w:rPr>
              <w:t xml:space="preserve"> în termeni de sensibilizare şi instruire în scopul pregătirii şi desfăşurării licitaţiilor publice în conformitate cu principiile de eficienţă energetică.</w:t>
            </w:r>
          </w:p>
          <w:p w14:paraId="1D15DF23"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Acţiunea propriu-zisă nu va rezulta imediat în economii de energie, cele din urmă vor fi obţinute numai după adoptarea reglementărilor necesare; totuşi, ar fi important să fie creată şi exploatată piaţa de servicii energetice, garantând economii de energie pe baza semnării CPE.</w:t>
            </w:r>
          </w:p>
        </w:tc>
      </w:tr>
      <w:tr w:rsidR="00BA083C" w:rsidRPr="009C5F11" w14:paraId="0A88381D" w14:textId="77777777" w:rsidTr="00F4274E">
        <w:trPr>
          <w:trHeight w:val="62"/>
        </w:trPr>
        <w:tc>
          <w:tcPr>
            <w:tcW w:w="743" w:type="pct"/>
            <w:vMerge/>
          </w:tcPr>
          <w:p w14:paraId="78B89A6F"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D0987F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51B0E684"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Consumul în sectorul industrial, public şi rezidenţial</w:t>
            </w:r>
          </w:p>
        </w:tc>
      </w:tr>
      <w:tr w:rsidR="00BA083C" w:rsidRPr="009C5F11" w14:paraId="4B5B6263" w14:textId="77777777" w:rsidTr="00F4274E">
        <w:trPr>
          <w:trHeight w:val="62"/>
        </w:trPr>
        <w:tc>
          <w:tcPr>
            <w:tcW w:w="743" w:type="pct"/>
            <w:vMerge/>
          </w:tcPr>
          <w:p w14:paraId="26DD621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607DC2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46948912"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Consumatori din sectorul industrial, public şi rezidenţial</w:t>
            </w:r>
          </w:p>
        </w:tc>
      </w:tr>
      <w:tr w:rsidR="00BA083C" w:rsidRPr="009C5F11" w14:paraId="38DEBEA7" w14:textId="77777777" w:rsidTr="00F4274E">
        <w:trPr>
          <w:trHeight w:val="116"/>
        </w:trPr>
        <w:tc>
          <w:tcPr>
            <w:tcW w:w="743" w:type="pct"/>
            <w:vMerge/>
          </w:tcPr>
          <w:p w14:paraId="0BDA4A8F"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06AF43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3227B886"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BA083C" w:rsidRPr="009C5F11" w14:paraId="623C8407" w14:textId="77777777" w:rsidTr="00F4274E">
        <w:trPr>
          <w:trHeight w:val="476"/>
        </w:trPr>
        <w:tc>
          <w:tcPr>
            <w:tcW w:w="743" w:type="pct"/>
            <w:vMerge w:val="restart"/>
          </w:tcPr>
          <w:p w14:paraId="5444DB9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70A82DC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tcPr>
          <w:p w14:paraId="7EF11EE7" w14:textId="77777777" w:rsidR="00BA083C" w:rsidRPr="009C5F11" w:rsidRDefault="00BA083C" w:rsidP="00F4274E">
            <w:pPr>
              <w:tabs>
                <w:tab w:val="left" w:pos="1440"/>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Măsura valorifică resursele financiare alocate pentru 2 activități ale proiectului, reflectate în termenii de referinţă ale proiectelor:</w:t>
            </w:r>
          </w:p>
          <w:p w14:paraId="033B8E9D" w14:textId="77777777" w:rsidR="00BA083C" w:rsidRPr="009C5F11" w:rsidRDefault="00BA083C" w:rsidP="00334F3B">
            <w:pPr>
              <w:numPr>
                <w:ilvl w:val="0"/>
                <w:numId w:val="158"/>
              </w:numPr>
              <w:tabs>
                <w:tab w:val="left" w:pos="342"/>
                <w:tab w:val="left" w:pos="5040"/>
                <w:tab w:val="right" w:pos="8504"/>
              </w:tabs>
              <w:spacing w:after="0" w:line="240" w:lineRule="auto"/>
              <w:ind w:left="342" w:hanging="270"/>
              <w:contextualSpacing/>
              <w:jc w:val="both"/>
              <w:rPr>
                <w:rFonts w:ascii="Times New Roman" w:hAnsi="Times New Roman" w:cs="Times New Roman"/>
                <w:sz w:val="18"/>
                <w:szCs w:val="14"/>
                <w:u w:val="single"/>
                <w:lang w:val="ro-RO"/>
              </w:rPr>
            </w:pPr>
            <w:r w:rsidRPr="009C5F11">
              <w:rPr>
                <w:rFonts w:ascii="Times New Roman" w:hAnsi="Times New Roman" w:cs="Times New Roman"/>
                <w:sz w:val="18"/>
                <w:szCs w:val="14"/>
                <w:u w:val="single"/>
                <w:lang w:val="ro-RO"/>
              </w:rPr>
              <w:t>“ESCO Moldova – Transformarea pieței pentru eficiența energetică urbană prin introducerea companiilor de servicii energetice”.</w:t>
            </w:r>
          </w:p>
          <w:p w14:paraId="1EDAD8E8" w14:textId="77777777" w:rsidR="00BA083C" w:rsidRPr="009C5F11" w:rsidRDefault="00BA083C" w:rsidP="00F4274E">
            <w:pPr>
              <w:tabs>
                <w:tab w:val="left" w:pos="1440"/>
                <w:tab w:val="left" w:pos="5040"/>
                <w:tab w:val="right" w:pos="8504"/>
              </w:tabs>
              <w:spacing w:after="0" w:line="240" w:lineRule="auto"/>
              <w:ind w:left="34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Proiectul va activa pe o piaţă neexploatată de eficienţă energetică din sectorul municipal, în special, în clădiri din proprietatea Primăriei şi utilizate de aceasta, iniţial în zona mun. Chişinău, iar ulterior şi în alte zone ale Republicii Moldova. Obiectivele Proiectului sunt după cum urmează:</w:t>
            </w:r>
          </w:p>
          <w:p w14:paraId="4CBFF4C7" w14:textId="77777777" w:rsidR="00BA083C" w:rsidRPr="009C5F11" w:rsidRDefault="00BA083C" w:rsidP="00334F3B">
            <w:pPr>
              <w:numPr>
                <w:ilvl w:val="0"/>
                <w:numId w:val="157"/>
              </w:numPr>
              <w:tabs>
                <w:tab w:val="left" w:pos="792"/>
                <w:tab w:val="left" w:pos="5040"/>
                <w:tab w:val="right" w:pos="8504"/>
              </w:tabs>
              <w:spacing w:after="0" w:line="240" w:lineRule="auto"/>
              <w:ind w:left="833"/>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asistenţă pentru adoptarea Planului ecologic de dezvoltare urbană de către Primăria Chişinău,</w:t>
            </w:r>
          </w:p>
          <w:p w14:paraId="7B1E657C" w14:textId="77777777" w:rsidR="00BA083C" w:rsidRPr="009C5F11" w:rsidRDefault="00BA083C" w:rsidP="00334F3B">
            <w:pPr>
              <w:numPr>
                <w:ilvl w:val="0"/>
                <w:numId w:val="157"/>
              </w:numPr>
              <w:tabs>
                <w:tab w:val="left" w:pos="792"/>
                <w:tab w:val="left" w:pos="5040"/>
                <w:tab w:val="right" w:pos="8504"/>
              </w:tabs>
              <w:spacing w:after="0" w:line="240" w:lineRule="auto"/>
              <w:ind w:left="833" w:hanging="383"/>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elaborarea modelului de afaceri ESCO în Republica Moldova,</w:t>
            </w:r>
          </w:p>
          <w:p w14:paraId="5828352A" w14:textId="77777777" w:rsidR="00BA083C" w:rsidRPr="009C5F11" w:rsidRDefault="00BA083C" w:rsidP="00334F3B">
            <w:pPr>
              <w:numPr>
                <w:ilvl w:val="0"/>
                <w:numId w:val="157"/>
              </w:numPr>
              <w:tabs>
                <w:tab w:val="left" w:pos="792"/>
                <w:tab w:val="left" w:pos="5040"/>
                <w:tab w:val="right" w:pos="8504"/>
              </w:tabs>
              <w:spacing w:after="0" w:line="240" w:lineRule="auto"/>
              <w:ind w:left="833" w:hanging="383"/>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elaborarea şi distribuirea mecanismelor financiare şi de asistenţă acordată ESCO,</w:t>
            </w:r>
          </w:p>
          <w:p w14:paraId="198C747C" w14:textId="77777777" w:rsidR="00BA083C" w:rsidRPr="009C5F11" w:rsidRDefault="00BA083C" w:rsidP="00334F3B">
            <w:pPr>
              <w:numPr>
                <w:ilvl w:val="0"/>
                <w:numId w:val="157"/>
              </w:numPr>
              <w:tabs>
                <w:tab w:val="left" w:pos="79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replicarea proiectelor de CPE în alte municipii/primării,</w:t>
            </w:r>
          </w:p>
          <w:p w14:paraId="3C5D85ED" w14:textId="77777777" w:rsidR="00BA083C" w:rsidRPr="009C5F11" w:rsidRDefault="00BA083C" w:rsidP="00334F3B">
            <w:pPr>
              <w:numPr>
                <w:ilvl w:val="0"/>
                <w:numId w:val="157"/>
              </w:numPr>
              <w:tabs>
                <w:tab w:val="left" w:pos="792"/>
                <w:tab w:val="left" w:pos="5040"/>
                <w:tab w:val="right" w:pos="8504"/>
              </w:tabs>
              <w:spacing w:after="0" w:line="240" w:lineRule="auto"/>
              <w:ind w:left="833" w:hanging="383"/>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sensibilizarea şi distribuirea de informaţii despre eficienţa energetică şi ESCO.</w:t>
            </w:r>
          </w:p>
          <w:p w14:paraId="6AE79682" w14:textId="77777777" w:rsidR="00BA083C" w:rsidRPr="009C5F11" w:rsidRDefault="00BA083C" w:rsidP="00F4274E">
            <w:pPr>
              <w:tabs>
                <w:tab w:val="left" w:pos="1440"/>
                <w:tab w:val="left" w:pos="5040"/>
                <w:tab w:val="right" w:pos="8504"/>
              </w:tabs>
              <w:spacing w:after="0" w:line="240" w:lineRule="auto"/>
              <w:ind w:firstLine="342"/>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Rezultatele scontate includ:</w:t>
            </w:r>
          </w:p>
          <w:p w14:paraId="5185E905" w14:textId="77777777" w:rsidR="00BA083C" w:rsidRPr="009C5F11" w:rsidRDefault="00BA083C" w:rsidP="00334F3B">
            <w:pPr>
              <w:numPr>
                <w:ilvl w:val="0"/>
                <w:numId w:val="158"/>
              </w:numPr>
              <w:tabs>
                <w:tab w:val="left" w:pos="79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o piaţă ESCO funcţională cu un FGI dezvoltat şi funcţional,</w:t>
            </w:r>
          </w:p>
          <w:p w14:paraId="19493EF5" w14:textId="77777777" w:rsidR="00BA083C" w:rsidRPr="009C5F11" w:rsidRDefault="00BA083C" w:rsidP="00334F3B">
            <w:pPr>
              <w:numPr>
                <w:ilvl w:val="0"/>
                <w:numId w:val="158"/>
              </w:numPr>
              <w:tabs>
                <w:tab w:val="left" w:pos="79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companii ESCO create şi consolidate,</w:t>
            </w:r>
          </w:p>
          <w:p w14:paraId="2A010430" w14:textId="77777777" w:rsidR="00BA083C" w:rsidRPr="009C5F11" w:rsidRDefault="00BA083C" w:rsidP="00334F3B">
            <w:pPr>
              <w:numPr>
                <w:ilvl w:val="0"/>
                <w:numId w:val="158"/>
              </w:numPr>
              <w:tabs>
                <w:tab w:val="left" w:pos="79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cadrul de atragere de noi investiţii în măsuri de eficienţă energetică care să contribuie la economisirea energiei pe termen lung implementat,</w:t>
            </w:r>
          </w:p>
          <w:p w14:paraId="040A6E59" w14:textId="77777777" w:rsidR="00BA083C" w:rsidRPr="009C5F11" w:rsidRDefault="00BA083C" w:rsidP="00334F3B">
            <w:pPr>
              <w:numPr>
                <w:ilvl w:val="0"/>
                <w:numId w:val="158"/>
              </w:numPr>
              <w:tabs>
                <w:tab w:val="left" w:pos="79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20 de proiecte de eficienţă energetică implementate,</w:t>
            </w:r>
          </w:p>
          <w:p w14:paraId="1F37F5B2" w14:textId="77777777" w:rsidR="00BA083C" w:rsidRPr="009C5F11" w:rsidRDefault="00BA083C" w:rsidP="00334F3B">
            <w:pPr>
              <w:numPr>
                <w:ilvl w:val="0"/>
                <w:numId w:val="158"/>
              </w:numPr>
              <w:tabs>
                <w:tab w:val="left" w:pos="79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condiţii mai bune create în clădirile publice şi blocurile rezidenţiale,</w:t>
            </w:r>
          </w:p>
          <w:p w14:paraId="40D96B55" w14:textId="77777777" w:rsidR="00BA083C" w:rsidRPr="009C5F11" w:rsidRDefault="00BA083C" w:rsidP="00334F3B">
            <w:pPr>
              <w:numPr>
                <w:ilvl w:val="0"/>
                <w:numId w:val="158"/>
              </w:numPr>
              <w:tabs>
                <w:tab w:val="left" w:pos="79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dezvoltarea ecologică durabilă a mun. Chişinău avansează, </w:t>
            </w:r>
          </w:p>
          <w:p w14:paraId="6FF76229" w14:textId="77777777" w:rsidR="00BA083C" w:rsidRPr="009C5F11" w:rsidRDefault="00BA083C" w:rsidP="00334F3B">
            <w:pPr>
              <w:numPr>
                <w:ilvl w:val="0"/>
                <w:numId w:val="158"/>
              </w:numPr>
              <w:tabs>
                <w:tab w:val="left" w:pos="79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persoanele sunt informate despre beneficiile ESCO şi eficienţa energetică urbană;</w:t>
            </w:r>
          </w:p>
          <w:p w14:paraId="007DA746" w14:textId="77777777" w:rsidR="00BA083C" w:rsidRPr="009C5F11" w:rsidRDefault="00BA083C" w:rsidP="00334F3B">
            <w:pPr>
              <w:numPr>
                <w:ilvl w:val="0"/>
                <w:numId w:val="158"/>
              </w:numPr>
              <w:tabs>
                <w:tab w:val="left" w:pos="342"/>
                <w:tab w:val="left" w:pos="5040"/>
                <w:tab w:val="right" w:pos="8504"/>
              </w:tabs>
              <w:spacing w:after="0" w:line="240" w:lineRule="auto"/>
              <w:ind w:left="342" w:hanging="270"/>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„Organizarea unui cadru operaţional pentru ESCO” este parte a proiectului </w:t>
            </w:r>
            <w:r w:rsidRPr="009C5F11">
              <w:rPr>
                <w:rFonts w:ascii="Times New Roman" w:hAnsi="Times New Roman" w:cs="Times New Roman"/>
                <w:sz w:val="18"/>
                <w:szCs w:val="14"/>
                <w:u w:val="single"/>
                <w:lang w:val="ro-RO"/>
              </w:rPr>
              <w:t>“Noul Secretariat tehnic INOGATE şi programul integrat în susţinerea iniţiativei de la Baku şi a obiectivelor energetice ale Parteneriatului Estic”,</w:t>
            </w:r>
            <w:r w:rsidRPr="009C5F11">
              <w:rPr>
                <w:rFonts w:ascii="Times New Roman" w:hAnsi="Times New Roman" w:cs="Times New Roman"/>
                <w:sz w:val="18"/>
                <w:szCs w:val="14"/>
                <w:lang w:val="ro-RO"/>
              </w:rPr>
              <w:t xml:space="preserve"> </w:t>
            </w:r>
          </w:p>
          <w:p w14:paraId="6F86DCF4" w14:textId="77777777" w:rsidR="00BA083C" w:rsidRPr="009C5F11" w:rsidRDefault="00BA083C" w:rsidP="00F4274E">
            <w:pPr>
              <w:tabs>
                <w:tab w:val="left" w:pos="342"/>
                <w:tab w:val="left" w:pos="5040"/>
                <w:tab w:val="right" w:pos="8504"/>
              </w:tabs>
              <w:spacing w:after="0" w:line="240" w:lineRule="auto"/>
              <w:ind w:left="34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Perioada de implementare 01.02.2012-30.04.2016 se suprapune cu o parte mică din PNAEE 2016-2018. Obiectivele Proiectului sunt după cum urmează:</w:t>
            </w:r>
          </w:p>
          <w:p w14:paraId="23D76325" w14:textId="77777777" w:rsidR="00BA083C" w:rsidRPr="009C5F11" w:rsidRDefault="00BA083C" w:rsidP="00334F3B">
            <w:pPr>
              <w:numPr>
                <w:ilvl w:val="0"/>
                <w:numId w:val="159"/>
              </w:numPr>
              <w:tabs>
                <w:tab w:val="left" w:pos="792"/>
                <w:tab w:val="left" w:pos="5040"/>
                <w:tab w:val="right" w:pos="8504"/>
              </w:tabs>
              <w:spacing w:after="0" w:line="240" w:lineRule="auto"/>
              <w:ind w:left="792" w:hanging="43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asigurarea faptului că asistenţa acordată pentru susţinerea iniţiativei de la Baku/Parteneriatului Estic, precum şi obiectivele Comunităţii Energetice sunt mai eficace, coerente, durabile şi conforme cu obiectivele ţărilor partenere,</w:t>
            </w:r>
          </w:p>
          <w:p w14:paraId="1903540B" w14:textId="77777777" w:rsidR="00BA083C" w:rsidRPr="009C5F11" w:rsidRDefault="00BA083C" w:rsidP="00334F3B">
            <w:pPr>
              <w:numPr>
                <w:ilvl w:val="0"/>
                <w:numId w:val="159"/>
              </w:numPr>
              <w:tabs>
                <w:tab w:val="left" w:pos="792"/>
                <w:tab w:val="left" w:pos="5040"/>
                <w:tab w:val="right" w:pos="8504"/>
              </w:tabs>
              <w:spacing w:after="0" w:line="240" w:lineRule="auto"/>
              <w:ind w:left="792" w:hanging="43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susţinerea ţărilor să-şi fortifice guvernanţa instituţională în domeniul </w:t>
            </w:r>
            <w:r w:rsidRPr="009C5F11">
              <w:rPr>
                <w:rFonts w:ascii="Times New Roman" w:hAnsi="Times New Roman" w:cs="Times New Roman"/>
                <w:sz w:val="18"/>
                <w:szCs w:val="14"/>
                <w:lang w:val="ro-RO"/>
              </w:rPr>
              <w:lastRenderedPageBreak/>
              <w:t>energetic în raport cu energia durabilă, în particular, prin axarea pe capacitatea instituţională,</w:t>
            </w:r>
          </w:p>
          <w:p w14:paraId="2FBBD60E" w14:textId="77777777" w:rsidR="00BA083C" w:rsidRPr="009C5F11" w:rsidRDefault="00BA083C" w:rsidP="00334F3B">
            <w:pPr>
              <w:numPr>
                <w:ilvl w:val="0"/>
                <w:numId w:val="159"/>
              </w:numPr>
              <w:tabs>
                <w:tab w:val="left" w:pos="792"/>
                <w:tab w:val="left" w:pos="5040"/>
                <w:tab w:val="right" w:pos="8504"/>
              </w:tabs>
              <w:spacing w:after="0" w:line="240" w:lineRule="auto"/>
              <w:ind w:left="833" w:hanging="473"/>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îmbunătăţirea climatului de afaceri pentru atragerea investiţiilor în domeniul eficienţei energetice şi al energiei regenerabile,</w:t>
            </w:r>
          </w:p>
          <w:p w14:paraId="540FA96E" w14:textId="77777777" w:rsidR="00BA083C" w:rsidRPr="009C5F11" w:rsidRDefault="00BA083C" w:rsidP="00334F3B">
            <w:pPr>
              <w:numPr>
                <w:ilvl w:val="0"/>
                <w:numId w:val="159"/>
              </w:numPr>
              <w:tabs>
                <w:tab w:val="left" w:pos="792"/>
                <w:tab w:val="left" w:pos="5040"/>
                <w:tab w:val="right" w:pos="8504"/>
              </w:tabs>
              <w:spacing w:after="0" w:line="240" w:lineRule="auto"/>
              <w:ind w:left="792" w:hanging="43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susţinerea ţărilor partenere să-şi îmbunătăţească planificarea economică în domeniul energetic prin utilizarea sporită şi armonizarea datelor statistice din domeniul energetic cu standardele europene,</w:t>
            </w:r>
          </w:p>
          <w:p w14:paraId="77E3D2B3" w14:textId="77777777" w:rsidR="00BA083C" w:rsidRPr="009C5F11" w:rsidRDefault="00BA083C" w:rsidP="00334F3B">
            <w:pPr>
              <w:numPr>
                <w:ilvl w:val="0"/>
                <w:numId w:val="159"/>
              </w:numPr>
              <w:tabs>
                <w:tab w:val="left" w:pos="792"/>
                <w:tab w:val="left" w:pos="5040"/>
                <w:tab w:val="right" w:pos="8504"/>
              </w:tabs>
              <w:spacing w:after="0" w:line="240" w:lineRule="auto"/>
              <w:ind w:left="792" w:hanging="43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sporirea convergenţei pieţelor de gaze naturale şi energie electrică pe baza principiilor interne ale pieţei energetice a UE,</w:t>
            </w:r>
          </w:p>
          <w:p w14:paraId="7A1712E3" w14:textId="77777777" w:rsidR="00BA083C" w:rsidRPr="009C5F11" w:rsidRDefault="00BA083C" w:rsidP="00334F3B">
            <w:pPr>
              <w:numPr>
                <w:ilvl w:val="0"/>
                <w:numId w:val="159"/>
              </w:numPr>
              <w:tabs>
                <w:tab w:val="left" w:pos="792"/>
                <w:tab w:val="left" w:pos="5040"/>
                <w:tab w:val="right" w:pos="8504"/>
              </w:tabs>
              <w:spacing w:after="0" w:line="240" w:lineRule="auto"/>
              <w:ind w:left="833" w:hanging="473"/>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sporirea eficienţei infrastructurilor de furnizare a gazelor naturale şi energiei electrice.</w:t>
            </w:r>
          </w:p>
        </w:tc>
      </w:tr>
      <w:tr w:rsidR="00BA083C" w:rsidRPr="009C5F11" w14:paraId="095357F9" w14:textId="77777777" w:rsidTr="00F4274E">
        <w:trPr>
          <w:trHeight w:val="278"/>
        </w:trPr>
        <w:tc>
          <w:tcPr>
            <w:tcW w:w="743" w:type="pct"/>
            <w:vMerge/>
          </w:tcPr>
          <w:p w14:paraId="46A1DA3B"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A3DF38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45B48A0A" w14:textId="77777777" w:rsidR="00BA083C" w:rsidRPr="009C5F11" w:rsidRDefault="00BA083C" w:rsidP="00334F3B">
            <w:pPr>
              <w:numPr>
                <w:ilvl w:val="0"/>
                <w:numId w:val="151"/>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“ESCO Moldova - Transformarea pieței pentru eficiența energetică urbană prin introducerea companiilor de servicii energetice” este finanţat de Fondul Global de Mediu (GEF) şi cofinanţat şi implementat de PNUD, având un buget total în sumă de $1,450,000, inclusiv $1,300,000 alocate de GEF şi $150,000 – de PNUD.</w:t>
            </w:r>
          </w:p>
          <w:p w14:paraId="3A206F1C" w14:textId="77777777" w:rsidR="00BA083C" w:rsidRPr="009C5F11" w:rsidRDefault="00BA083C" w:rsidP="00334F3B">
            <w:pPr>
              <w:numPr>
                <w:ilvl w:val="0"/>
                <w:numId w:val="151"/>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w:t>
            </w:r>
            <w:r w:rsidRPr="009C5F11">
              <w:rPr>
                <w:rFonts w:ascii="Times New Roman" w:hAnsi="Times New Roman" w:cs="Times New Roman"/>
                <w:sz w:val="18"/>
                <w:szCs w:val="14"/>
                <w:u w:val="single"/>
                <w:lang w:val="ro-RO"/>
              </w:rPr>
              <w:t>Noul Secretariat tehnic INOGATE şi programul integrat în susţinerea iniţiativei de la Baku şi a obiectivului energetic al Parteneriatului Estic”</w:t>
            </w:r>
            <w:r w:rsidRPr="009C5F11">
              <w:rPr>
                <w:rFonts w:ascii="Times New Roman" w:hAnsi="Times New Roman" w:cs="Times New Roman"/>
                <w:sz w:val="18"/>
                <w:szCs w:val="14"/>
                <w:lang w:val="ro-RO" w:eastAsia="de-DE"/>
              </w:rPr>
              <w:t>” este finanţat de UE cu un buget total de €19,576,230 (doar o parte redusă din această sumă este destinată Republicii Moldova).</w:t>
            </w:r>
          </w:p>
        </w:tc>
      </w:tr>
      <w:tr w:rsidR="00BA083C" w:rsidRPr="009C5F11" w14:paraId="03700077" w14:textId="77777777" w:rsidTr="00F4274E">
        <w:trPr>
          <w:trHeight w:val="62"/>
        </w:trPr>
        <w:tc>
          <w:tcPr>
            <w:tcW w:w="743" w:type="pct"/>
            <w:vMerge/>
          </w:tcPr>
          <w:p w14:paraId="5D6293EB"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9D17B8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647BFB99"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i/>
                <w:sz w:val="18"/>
                <w:szCs w:val="14"/>
                <w:lang w:val="ro-RO" w:eastAsia="de-DE"/>
              </w:rPr>
            </w:pPr>
            <w:r w:rsidRPr="009C5F11">
              <w:rPr>
                <w:rFonts w:ascii="Times New Roman" w:hAnsi="Times New Roman" w:cs="Times New Roman"/>
                <w:sz w:val="18"/>
                <w:szCs w:val="14"/>
                <w:lang w:val="ro-RO" w:eastAsia="de-DE"/>
              </w:rPr>
              <w:t>MM, ME, Primăria Chişinău, FEE, AEE, MDRC, MF, sectorul bancar, sectorul privat.</w:t>
            </w:r>
          </w:p>
        </w:tc>
      </w:tr>
      <w:tr w:rsidR="00BA083C" w:rsidRPr="009C5F11" w14:paraId="16958C30" w14:textId="77777777" w:rsidTr="00F4274E">
        <w:trPr>
          <w:trHeight w:val="67"/>
        </w:trPr>
        <w:tc>
          <w:tcPr>
            <w:tcW w:w="743" w:type="pct"/>
            <w:vMerge/>
          </w:tcPr>
          <w:p w14:paraId="7ACE8D9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11A3105"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44D766F5"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57F28128" w14:textId="77777777" w:rsidTr="00F4274E">
        <w:trPr>
          <w:trHeight w:val="233"/>
        </w:trPr>
        <w:tc>
          <w:tcPr>
            <w:tcW w:w="743" w:type="pct"/>
            <w:vMerge w:val="restart"/>
          </w:tcPr>
          <w:p w14:paraId="022FD659"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003EBDB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02001356"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173C3AD0" w14:textId="77777777" w:rsidTr="00F4274E">
        <w:trPr>
          <w:trHeight w:val="296"/>
        </w:trPr>
        <w:tc>
          <w:tcPr>
            <w:tcW w:w="743" w:type="pct"/>
            <w:vMerge/>
          </w:tcPr>
          <w:p w14:paraId="0D51D0F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6C9FB9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5DC6306A"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5D347064" w14:textId="77777777" w:rsidTr="00F4274E">
        <w:trPr>
          <w:trHeight w:val="206"/>
        </w:trPr>
        <w:tc>
          <w:tcPr>
            <w:tcW w:w="743" w:type="pct"/>
            <w:vMerge/>
          </w:tcPr>
          <w:p w14:paraId="7CA8EB0A"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74DE8A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02E318A0"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362658FF" w14:textId="77777777" w:rsidTr="00F4274E">
        <w:trPr>
          <w:trHeight w:val="125"/>
        </w:trPr>
        <w:tc>
          <w:tcPr>
            <w:tcW w:w="743" w:type="pct"/>
            <w:vMerge/>
          </w:tcPr>
          <w:p w14:paraId="3FC883FF"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A7CAC0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tcPr>
          <w:p w14:paraId="6BE11D1A"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0F04ACBB" w14:textId="77777777" w:rsidTr="00F4274E">
        <w:trPr>
          <w:trHeight w:val="71"/>
        </w:trPr>
        <w:tc>
          <w:tcPr>
            <w:tcW w:w="743" w:type="pct"/>
            <w:vMerge/>
          </w:tcPr>
          <w:p w14:paraId="7830ED80"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814308E" w14:textId="77777777" w:rsidR="00BA083C" w:rsidRPr="009C5F11" w:rsidRDefault="003F5FAB"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09975E2D"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BA083C" w:rsidRPr="009C5F11" w14:paraId="4FF8623E" w14:textId="77777777" w:rsidTr="00F4274E">
        <w:trPr>
          <w:trHeight w:val="67"/>
        </w:trPr>
        <w:tc>
          <w:tcPr>
            <w:tcW w:w="743" w:type="pct"/>
            <w:vMerge/>
          </w:tcPr>
          <w:p w14:paraId="4163473E"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8B0F00A"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56F5734B" w14:textId="77777777" w:rsidR="00BA083C" w:rsidRPr="009C5F11" w:rsidRDefault="00BA083C" w:rsidP="00F4274E">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Măsura nu asigură economii directe măsurabile. </w:t>
            </w:r>
          </w:p>
          <w:p w14:paraId="2154DEE9" w14:textId="77777777" w:rsidR="00BA083C" w:rsidRPr="009C5F11" w:rsidRDefault="00BA083C" w:rsidP="00F4274E">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Economiile vor rezulta din implementarea legislaţiei adoptate. </w:t>
            </w:r>
          </w:p>
        </w:tc>
      </w:tr>
    </w:tbl>
    <w:p w14:paraId="06DDB6F3" w14:textId="77777777" w:rsidR="00BA083C" w:rsidRPr="009C5F11" w:rsidRDefault="00BA083C" w:rsidP="00BA083C">
      <w:pPr>
        <w:keepNext/>
        <w:spacing w:after="0"/>
        <w:ind w:right="-540"/>
        <w:rPr>
          <w:rFonts w:ascii="Times New Roman" w:hAnsi="Times New Roman" w:cs="Times New Roman"/>
          <w:b/>
          <w:bCs/>
          <w:sz w:val="24"/>
          <w:lang w:val="ro-RO"/>
        </w:rPr>
      </w:pPr>
      <w:r w:rsidRPr="009C5F11">
        <w:rPr>
          <w:rFonts w:ascii="Times New Roman" w:hAnsi="Times New Roman" w:cs="Times New Roman"/>
          <w:b/>
          <w:bCs/>
          <w:sz w:val="24"/>
          <w:lang w:val="ro-RO"/>
        </w:rPr>
        <w:br w:type="page"/>
      </w:r>
    </w:p>
    <w:p w14:paraId="02C03444" w14:textId="77777777" w:rsidR="00BA083C" w:rsidRPr="009C5F11" w:rsidRDefault="00BA083C" w:rsidP="00BA083C">
      <w:pPr>
        <w:pStyle w:val="Legend"/>
        <w:keepNext/>
        <w:jc w:val="center"/>
        <w:rPr>
          <w:rFonts w:ascii="Times New Roman" w:hAnsi="Times New Roman" w:cs="Times New Roman"/>
          <w:b/>
          <w:sz w:val="22"/>
          <w:lang w:val="ro-RO"/>
        </w:rPr>
      </w:pPr>
      <w:bookmarkStart w:id="238" w:name="_Toc447724300"/>
      <w:r w:rsidRPr="009C5F11">
        <w:rPr>
          <w:rFonts w:ascii="Times New Roman" w:hAnsi="Times New Roman" w:cs="Times New Roman"/>
          <w:b/>
          <w:sz w:val="22"/>
          <w:lang w:val="ro-RO"/>
        </w:rPr>
        <w:lastRenderedPageBreak/>
        <w:t xml:space="preserve">Tabelul H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Table_H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5</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Studiu cu privire la instrumentele de promovare a eficienţei energetice/s</w:t>
      </w:r>
      <w:r w:rsidR="00636229" w:rsidRPr="009C5F11">
        <w:rPr>
          <w:rFonts w:ascii="Times New Roman" w:hAnsi="Times New Roman" w:cs="Times New Roman"/>
          <w:b/>
          <w:sz w:val="22"/>
          <w:lang w:val="ro-RO"/>
        </w:rPr>
        <w:t>chemei</w:t>
      </w:r>
      <w:r w:rsidRPr="009C5F11">
        <w:rPr>
          <w:rFonts w:ascii="Times New Roman" w:hAnsi="Times New Roman" w:cs="Times New Roman"/>
          <w:b/>
          <w:sz w:val="22"/>
          <w:lang w:val="ro-RO"/>
        </w:rPr>
        <w:t xml:space="preserve"> de obligaţii şi evaluarea aplicării acestora în Republica Moldova.</w:t>
      </w:r>
      <w:bookmarkEnd w:id="2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14E0F119" w14:textId="77777777" w:rsidTr="00F4274E">
        <w:trPr>
          <w:trHeight w:val="68"/>
        </w:trPr>
        <w:tc>
          <w:tcPr>
            <w:tcW w:w="1756" w:type="pct"/>
            <w:gridSpan w:val="2"/>
          </w:tcPr>
          <w:p w14:paraId="22A1B9B8"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315E9759" w14:textId="77777777" w:rsidR="00BA083C" w:rsidRPr="009C5F11" w:rsidRDefault="00BA083C">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Studiu cu privire la instrumentele de promovare a eficienţei energetice/s</w:t>
            </w:r>
            <w:r w:rsidR="00636229" w:rsidRPr="009C5F11">
              <w:rPr>
                <w:rFonts w:ascii="Times New Roman" w:hAnsi="Times New Roman" w:cs="Times New Roman"/>
                <w:b/>
                <w:sz w:val="18"/>
                <w:szCs w:val="14"/>
                <w:lang w:val="ro-RO" w:eastAsia="de-DE"/>
              </w:rPr>
              <w:t>chema</w:t>
            </w:r>
            <w:r w:rsidRPr="009C5F11">
              <w:rPr>
                <w:rFonts w:ascii="Times New Roman" w:hAnsi="Times New Roman" w:cs="Times New Roman"/>
                <w:b/>
                <w:sz w:val="18"/>
                <w:szCs w:val="14"/>
                <w:lang w:val="ro-RO" w:eastAsia="de-DE"/>
              </w:rPr>
              <w:t xml:space="preserve"> de obligaţii şi evaluarea aplicării acestora în Republica Moldova.</w:t>
            </w:r>
          </w:p>
        </w:tc>
      </w:tr>
      <w:tr w:rsidR="00BA083C" w:rsidRPr="009C5F11" w14:paraId="58D3CCE5" w14:textId="77777777" w:rsidTr="00F4274E">
        <w:trPr>
          <w:trHeight w:val="68"/>
        </w:trPr>
        <w:tc>
          <w:tcPr>
            <w:tcW w:w="1756" w:type="pct"/>
            <w:gridSpan w:val="2"/>
          </w:tcPr>
          <w:p w14:paraId="148E15AA"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29E1DC79" w14:textId="77777777" w:rsidR="00BA083C" w:rsidRPr="009C5F11" w:rsidRDefault="00BA083C" w:rsidP="00F4274E">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H5</w:t>
            </w:r>
          </w:p>
        </w:tc>
      </w:tr>
      <w:tr w:rsidR="00BA083C" w:rsidRPr="009C5F11" w14:paraId="09038975" w14:textId="77777777" w:rsidTr="00F4274E">
        <w:trPr>
          <w:trHeight w:val="107"/>
        </w:trPr>
        <w:tc>
          <w:tcPr>
            <w:tcW w:w="743" w:type="pct"/>
            <w:vMerge w:val="restart"/>
          </w:tcPr>
          <w:p w14:paraId="50685D3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4ECCA94C"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1C87A9C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1B899AC7"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Studiu</w:t>
            </w:r>
          </w:p>
        </w:tc>
      </w:tr>
      <w:tr w:rsidR="00BA083C" w:rsidRPr="009C5F11" w14:paraId="0AF3EEF0" w14:textId="77777777" w:rsidTr="00F4274E">
        <w:trPr>
          <w:trHeight w:val="476"/>
        </w:trPr>
        <w:tc>
          <w:tcPr>
            <w:tcW w:w="743" w:type="pct"/>
            <w:vMerge/>
          </w:tcPr>
          <w:p w14:paraId="67BCF3B7"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6DEA5B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36896A4D"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Începută: ianuarie 2016. </w:t>
            </w:r>
          </w:p>
          <w:p w14:paraId="50BFE49D"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iunie 2017.</w:t>
            </w:r>
          </w:p>
          <w:p w14:paraId="6CB2304D"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nouă</w:t>
            </w:r>
          </w:p>
        </w:tc>
      </w:tr>
      <w:tr w:rsidR="00BA083C" w:rsidRPr="009C5F11" w14:paraId="7059C75D" w14:textId="77777777" w:rsidTr="00F4274E">
        <w:trPr>
          <w:trHeight w:val="107"/>
        </w:trPr>
        <w:tc>
          <w:tcPr>
            <w:tcW w:w="743" w:type="pct"/>
            <w:vMerge/>
          </w:tcPr>
          <w:p w14:paraId="4B22357E"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A6B0779"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770AB1F4"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Măsura îşi propune să materializeze hotărârea de adoptare a sistemul de obligaţii în domeniul energetic (ulterior, părţi obligate) / care optează pentru măsuri de politici. Un studiu le-ar oferi autorităţilor publice informaţii de calitate despre caracterul oportun al implementării sistemului de obligaţii în Republica Moldova.</w:t>
            </w:r>
          </w:p>
        </w:tc>
      </w:tr>
      <w:tr w:rsidR="00BA083C" w:rsidRPr="009C5F11" w14:paraId="160AAB70" w14:textId="77777777" w:rsidTr="00F4274E">
        <w:trPr>
          <w:trHeight w:val="62"/>
        </w:trPr>
        <w:tc>
          <w:tcPr>
            <w:tcW w:w="743" w:type="pct"/>
            <w:vMerge/>
          </w:tcPr>
          <w:p w14:paraId="3F42200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6D2FC3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47229DC0" w14:textId="77777777" w:rsidR="00BA083C" w:rsidRPr="009C5F11" w:rsidRDefault="0020499B"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6B1CAAFF" w14:textId="77777777" w:rsidTr="00F4274E">
        <w:trPr>
          <w:trHeight w:val="62"/>
        </w:trPr>
        <w:tc>
          <w:tcPr>
            <w:tcW w:w="743" w:type="pct"/>
            <w:vMerge/>
          </w:tcPr>
          <w:p w14:paraId="325FB59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CC71E4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1DE16642"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Autorităţile publice, factorii de decizie, furnizorii de politici</w:t>
            </w:r>
          </w:p>
        </w:tc>
      </w:tr>
      <w:tr w:rsidR="00BA083C" w:rsidRPr="009C5F11" w14:paraId="4C474FB5" w14:textId="77777777" w:rsidTr="00F4274E">
        <w:trPr>
          <w:trHeight w:val="116"/>
        </w:trPr>
        <w:tc>
          <w:tcPr>
            <w:tcW w:w="743" w:type="pct"/>
            <w:vMerge/>
          </w:tcPr>
          <w:p w14:paraId="45D8DB3E"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B5FB4D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11AA45E0"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BA083C" w:rsidRPr="009C5F11" w14:paraId="139B1FFC" w14:textId="77777777" w:rsidTr="00F4274E">
        <w:trPr>
          <w:trHeight w:val="487"/>
        </w:trPr>
        <w:tc>
          <w:tcPr>
            <w:tcW w:w="743" w:type="pct"/>
            <w:vMerge w:val="restart"/>
          </w:tcPr>
          <w:p w14:paraId="66C9A878"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6150FC0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tcPr>
          <w:p w14:paraId="7AE0883A"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Dispoziţii relevante din DEE:</w:t>
            </w:r>
          </w:p>
          <w:p w14:paraId="12D71F6B"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p>
          <w:p w14:paraId="61DD199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Articolul 7. </w:t>
            </w:r>
            <w:r w:rsidRPr="009C5F11">
              <w:rPr>
                <w:rFonts w:ascii="Times New Roman" w:eastAsia="Times New Roman" w:hAnsi="Times New Roman" w:cs="Times New Roman"/>
                <w:bCs/>
                <w:color w:val="000000"/>
                <w:sz w:val="18"/>
                <w:szCs w:val="14"/>
                <w:lang w:val="ro-RO"/>
              </w:rPr>
              <w:t>Scheme de obligații în ceea ce privește eficiența energetică</w:t>
            </w:r>
          </w:p>
          <w:p w14:paraId="7A2ADDBD"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p>
          <w:p w14:paraId="5989847C"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Art.7.1. “</w:t>
            </w:r>
            <w:r w:rsidRPr="009C5F11">
              <w:rPr>
                <w:rFonts w:ascii="Times New Roman" w:eastAsia="Times New Roman" w:hAnsi="Times New Roman" w:cs="Times New Roman"/>
                <w:i/>
                <w:color w:val="000000"/>
                <w:sz w:val="18"/>
                <w:szCs w:val="14"/>
                <w:lang w:val="ro-RO"/>
              </w:rPr>
              <w:t xml:space="preserve">Fiecare stat membru parte contractantă stabilește o </w:t>
            </w:r>
            <w:r w:rsidRPr="009C5F11">
              <w:rPr>
                <w:rFonts w:ascii="Times New Roman" w:eastAsia="Times New Roman" w:hAnsi="Times New Roman" w:cs="Times New Roman"/>
                <w:i/>
                <w:color w:val="000000"/>
                <w:sz w:val="18"/>
                <w:szCs w:val="14"/>
                <w:u w:val="single"/>
                <w:lang w:val="ro-RO"/>
              </w:rPr>
              <w:t>schemă de obligații în ceea ce privește eficiența energetică</w:t>
            </w:r>
            <w:r w:rsidRPr="009C5F11">
              <w:rPr>
                <w:rFonts w:ascii="Times New Roman" w:eastAsia="Times New Roman" w:hAnsi="Times New Roman" w:cs="Times New Roman"/>
                <w:i/>
                <w:color w:val="000000"/>
                <w:sz w:val="18"/>
                <w:szCs w:val="14"/>
                <w:lang w:val="ro-RO"/>
              </w:rPr>
              <w:t>. Respectiva schemă asigură că distribuitorii de energie și/sau furnizorii de energie care sunt desemnați ca părți obligate în temeiul alineatului (4) și care își desfășoară activitatea pe teritoriul fiecărui stat membru parte contractantă realizează un obiectiv cumulativ în materie de economii de energie la nivelul utilizării finale până la 31 decembrie 2020, fără a aduce atingere alineatului (2)</w:t>
            </w:r>
            <w:r w:rsidRPr="009C5F11">
              <w:rPr>
                <w:rFonts w:ascii="Times New Roman" w:hAnsi="Times New Roman" w:cs="Times New Roman"/>
                <w:i/>
                <w:sz w:val="18"/>
                <w:szCs w:val="14"/>
                <w:lang w:val="ro-RO" w:eastAsia="de-DE"/>
              </w:rPr>
              <w:t>.”</w:t>
            </w:r>
          </w:p>
          <w:p w14:paraId="0BAC6763"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p w14:paraId="7006E860"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r w:rsidRPr="009C5F11">
              <w:rPr>
                <w:rFonts w:ascii="Times New Roman" w:hAnsi="Times New Roman" w:cs="Times New Roman"/>
                <w:sz w:val="18"/>
                <w:szCs w:val="14"/>
                <w:lang w:val="ro-RO" w:eastAsia="de-DE"/>
              </w:rPr>
              <w:t xml:space="preserve">Art.7 2. </w:t>
            </w:r>
            <w:r w:rsidRPr="009C5F11">
              <w:rPr>
                <w:rFonts w:ascii="Times New Roman" w:hAnsi="Times New Roman" w:cs="Times New Roman"/>
                <w:i/>
                <w:sz w:val="18"/>
                <w:szCs w:val="14"/>
                <w:lang w:val="ro-RO" w:eastAsia="de-DE"/>
              </w:rPr>
              <w:t>“F</w:t>
            </w:r>
            <w:r w:rsidRPr="009C5F11">
              <w:rPr>
                <w:rFonts w:ascii="Times New Roman" w:eastAsia="Times New Roman" w:hAnsi="Times New Roman" w:cs="Times New Roman"/>
                <w:color w:val="000000"/>
                <w:sz w:val="18"/>
                <w:szCs w:val="14"/>
                <w:lang w:val="ro-RO"/>
              </w:rPr>
              <w:t xml:space="preserve">iecare </w:t>
            </w:r>
            <w:r w:rsidRPr="009C5F11">
              <w:rPr>
                <w:rFonts w:ascii="Times New Roman" w:eastAsia="Times New Roman" w:hAnsi="Times New Roman" w:cs="Times New Roman"/>
                <w:i/>
                <w:color w:val="000000"/>
                <w:sz w:val="18"/>
                <w:szCs w:val="14"/>
                <w:lang w:val="ro-RO"/>
              </w:rPr>
              <w:t xml:space="preserve">stat membru parte contractantă </w:t>
            </w:r>
            <w:r w:rsidRPr="009C5F11">
              <w:rPr>
                <w:rFonts w:ascii="Times New Roman" w:eastAsia="Times New Roman" w:hAnsi="Times New Roman" w:cs="Times New Roman"/>
                <w:i/>
                <w:color w:val="000000"/>
                <w:sz w:val="18"/>
                <w:szCs w:val="14"/>
                <w:u w:val="single"/>
                <w:lang w:val="ro-RO"/>
              </w:rPr>
              <w:t>desemnează</w:t>
            </w:r>
            <w:r w:rsidRPr="009C5F11">
              <w:rPr>
                <w:rFonts w:ascii="Times New Roman" w:eastAsia="Times New Roman" w:hAnsi="Times New Roman" w:cs="Times New Roman"/>
                <w:i/>
                <w:color w:val="000000"/>
                <w:sz w:val="18"/>
                <w:szCs w:val="14"/>
                <w:lang w:val="ro-RO"/>
              </w:rPr>
              <w:t xml:space="preserve">, în sensul alineatului (1) primul paragraf, </w:t>
            </w:r>
            <w:r w:rsidRPr="009C5F11">
              <w:rPr>
                <w:rFonts w:ascii="Times New Roman" w:eastAsia="Times New Roman" w:hAnsi="Times New Roman" w:cs="Times New Roman"/>
                <w:i/>
                <w:color w:val="000000"/>
                <w:sz w:val="18"/>
                <w:szCs w:val="14"/>
                <w:u w:val="single"/>
                <w:lang w:val="ro-RO"/>
              </w:rPr>
              <w:t>pe baza unor criterii obiective și nediscriminatorii, părți obligate în rândul distribuitorilor de energie și/sau al furnizorilor de energie care își desfășoară activitatea pe teritoriul acestora</w:t>
            </w:r>
            <w:r w:rsidRPr="009C5F11">
              <w:rPr>
                <w:rFonts w:ascii="Times New Roman" w:eastAsia="Times New Roman" w:hAnsi="Times New Roman" w:cs="Times New Roman"/>
                <w:i/>
                <w:color w:val="000000"/>
                <w:sz w:val="18"/>
                <w:szCs w:val="14"/>
                <w:lang w:val="ro-RO"/>
              </w:rPr>
              <w:t xml:space="preserve"> şi pot include distribuitori de combustibil pentru transport sau comercianți care vând cu amănuntul combustibil pentru transport care își desfășoară activitatea pe teritoriul acestora</w:t>
            </w:r>
            <w:r w:rsidRPr="009C5F11">
              <w:rPr>
                <w:rFonts w:ascii="Times New Roman" w:hAnsi="Times New Roman" w:cs="Times New Roman"/>
                <w:i/>
                <w:sz w:val="18"/>
                <w:szCs w:val="14"/>
                <w:lang w:val="ro-RO" w:eastAsia="de-DE"/>
              </w:rPr>
              <w:t>.”</w:t>
            </w:r>
          </w:p>
          <w:p w14:paraId="540D998B"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p>
          <w:p w14:paraId="28C84E47"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Art.7.7 (a)</w:t>
            </w:r>
            <w:r w:rsidRPr="009C5F11">
              <w:rPr>
                <w:rFonts w:ascii="Times New Roman" w:hAnsi="Times New Roman" w:cs="Times New Roman"/>
                <w:sz w:val="18"/>
                <w:szCs w:val="14"/>
                <w:lang w:val="ro-RO" w:eastAsia="de-DE"/>
              </w:rPr>
              <w:t xml:space="preserve"> </w:t>
            </w:r>
            <w:r w:rsidRPr="009C5F11">
              <w:rPr>
                <w:rFonts w:ascii="Times New Roman" w:eastAsia="Times New Roman" w:hAnsi="Times New Roman" w:cs="Times New Roman"/>
                <w:i/>
                <w:color w:val="000000"/>
                <w:sz w:val="18"/>
                <w:szCs w:val="14"/>
                <w:lang w:val="ro-RO"/>
              </w:rPr>
              <w:t>În cadrul schemei de obligații în materie de eficiență energetică, părţile contractante pot</w:t>
            </w:r>
            <w:r w:rsidRPr="009C5F11">
              <w:rPr>
                <w:rFonts w:ascii="Times New Roman" w:hAnsi="Times New Roman" w:cs="Times New Roman"/>
                <w:i/>
                <w:sz w:val="18"/>
                <w:szCs w:val="14"/>
                <w:lang w:val="ro-RO" w:eastAsia="de-DE"/>
              </w:rPr>
              <w:t xml:space="preserve"> </w:t>
            </w:r>
            <w:r w:rsidRPr="009C5F11">
              <w:rPr>
                <w:rFonts w:ascii="Times New Roman" w:eastAsia="Times New Roman" w:hAnsi="Times New Roman" w:cs="Times New Roman"/>
                <w:i/>
                <w:sz w:val="18"/>
                <w:szCs w:val="14"/>
                <w:lang w:val="ro-RO"/>
              </w:rPr>
              <w:t xml:space="preserve">să includă </w:t>
            </w:r>
            <w:r w:rsidRPr="009C5F11">
              <w:rPr>
                <w:rFonts w:ascii="Times New Roman" w:eastAsia="Times New Roman" w:hAnsi="Times New Roman" w:cs="Times New Roman"/>
                <w:i/>
                <w:sz w:val="18"/>
                <w:szCs w:val="14"/>
                <w:u w:val="single"/>
                <w:lang w:val="ro-RO"/>
              </w:rPr>
              <w:t>cerințe cu scop social în cadrul obligațiilor de economisire a energiei pe care le impun</w:t>
            </w:r>
            <w:r w:rsidRPr="009C5F11">
              <w:rPr>
                <w:rFonts w:ascii="Times New Roman" w:eastAsia="Times New Roman" w:hAnsi="Times New Roman" w:cs="Times New Roman"/>
                <w:i/>
                <w:sz w:val="18"/>
                <w:szCs w:val="14"/>
                <w:lang w:val="ro-RO"/>
              </w:rPr>
              <w:t>, inclusiv solicitând ca o parte dintre măsurile de eficiență energetică să fie puse în aplicare ca prioritate în gospodăriile afectate de sărăcia energetică sau în locuințele sociale</w:t>
            </w:r>
            <w:r w:rsidRPr="009C5F11">
              <w:rPr>
                <w:rFonts w:ascii="Times New Roman" w:hAnsi="Times New Roman" w:cs="Times New Roman"/>
                <w:i/>
                <w:sz w:val="18"/>
                <w:szCs w:val="14"/>
                <w:lang w:val="ro-RO" w:eastAsia="de-DE"/>
              </w:rPr>
              <w:t>;</w:t>
            </w:r>
          </w:p>
          <w:p w14:paraId="276FB909"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p>
          <w:p w14:paraId="041A4D70"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Din motive inteligibile şi argumentate în PNAEE 2016-2018, Republica Moldova optează pentru alte măsuri de politici de realizare a economilor de energie la nivelul consumatorilor finali. Cu toate acestea, pentru realizarea obiectivului ar putea fi necesară introducerea în viitor a sistemului de obligaţii (7.1) şi desemnarea părţii obligate (7.2). Deşi în cazul optării pentru măsuri de politici nu se intenţionează distribuirea aceleiaşi poveri asupra persoanelor prospere şi nevoiaşe, totuşi, în cazul introducerii sistemului de obligaţii, scopul dispoziţiilor din art.7.7 (a) va schimba paradigma de repartizare a poverii de sărăcie energetică de pe umerii consumatorilor vulnerabili pe umerii tuturor consumatorilor de energie. </w:t>
            </w:r>
          </w:p>
          <w:p w14:paraId="001979E3" w14:textId="77777777" w:rsidR="00BA083C" w:rsidRPr="009C5F11" w:rsidRDefault="00BA083C" w:rsidP="00334F3B">
            <w:pPr>
              <w:numPr>
                <w:ilvl w:val="0"/>
                <w:numId w:val="160"/>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 primul rând, Studiul va face o prezentare de ansamblu a </w:t>
            </w:r>
            <w:r w:rsidR="00C17B4B" w:rsidRPr="009C5F11">
              <w:rPr>
                <w:rFonts w:ascii="Times New Roman" w:hAnsi="Times New Roman" w:cs="Times New Roman"/>
                <w:sz w:val="18"/>
                <w:szCs w:val="14"/>
                <w:lang w:val="ro-RO"/>
              </w:rPr>
              <w:t xml:space="preserve">schemelor </w:t>
            </w:r>
            <w:r w:rsidRPr="009C5F11">
              <w:rPr>
                <w:rFonts w:ascii="Times New Roman" w:hAnsi="Times New Roman" w:cs="Times New Roman"/>
                <w:sz w:val="18"/>
                <w:szCs w:val="14"/>
                <w:lang w:val="ro-RO"/>
              </w:rPr>
              <w:t xml:space="preserve"> de obligaţii </w:t>
            </w:r>
            <w:r w:rsidR="00C17B4B" w:rsidRPr="009C5F11">
              <w:rPr>
                <w:rFonts w:ascii="Times New Roman" w:hAnsi="Times New Roman" w:cs="Times New Roman"/>
                <w:sz w:val="18"/>
                <w:szCs w:val="14"/>
                <w:lang w:val="ro-RO"/>
              </w:rPr>
              <w:t xml:space="preserve">si a masurilor de politica alternativa </w:t>
            </w:r>
            <w:r w:rsidRPr="009C5F11">
              <w:rPr>
                <w:rFonts w:ascii="Times New Roman" w:hAnsi="Times New Roman" w:cs="Times New Roman"/>
                <w:sz w:val="18"/>
                <w:szCs w:val="14"/>
                <w:lang w:val="ro-RO"/>
              </w:rPr>
              <w:t>implementat sau în curs de implementare în statele membre ale UE şi părţile contractante ale EnC. Vor fi analizate condiţiile de fond, eficacitatea şi consecințele evidente (în termeni de accesibilitate).</w:t>
            </w:r>
          </w:p>
          <w:p w14:paraId="6C65B5C8" w14:textId="77777777" w:rsidR="00BA083C" w:rsidRPr="009C5F11" w:rsidRDefault="00BA083C" w:rsidP="00334F3B">
            <w:pPr>
              <w:numPr>
                <w:ilvl w:val="0"/>
                <w:numId w:val="160"/>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În al doilea rând, Studiul va asigura o analiză cuprinzătoare a condiţiilor de fond din Republica Moldova.</w:t>
            </w:r>
          </w:p>
          <w:p w14:paraId="14FB9BF7" w14:textId="77777777" w:rsidR="00BA083C" w:rsidRPr="009C5F11" w:rsidRDefault="00BA083C" w:rsidP="00334F3B">
            <w:pPr>
              <w:numPr>
                <w:ilvl w:val="0"/>
                <w:numId w:val="160"/>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 al treilea rând, Studiul va oferi o listă de opţiuni recomandabile </w:t>
            </w:r>
            <w:r w:rsidRPr="009C5F11">
              <w:rPr>
                <w:rFonts w:ascii="Times New Roman" w:hAnsi="Times New Roman" w:cs="Times New Roman"/>
                <w:sz w:val="18"/>
                <w:szCs w:val="14"/>
                <w:lang w:val="ro-RO"/>
              </w:rPr>
              <w:lastRenderedPageBreak/>
              <w:t>pentru Republica Moldova (argumente pro şi contra, criterii pentru estimări, evaluare, clasamente).</w:t>
            </w:r>
            <w:r w:rsidR="00636229" w:rsidRPr="009C5F11">
              <w:rPr>
                <w:rFonts w:ascii="Times New Roman" w:hAnsi="Times New Roman" w:cs="Times New Roman"/>
                <w:sz w:val="18"/>
                <w:szCs w:val="14"/>
                <w:lang w:val="ro-RO"/>
              </w:rPr>
              <w:t xml:space="preserve"> Alternativele vor lista atat scheme de obligatii cat si masuri de politica alternativa.</w:t>
            </w:r>
          </w:p>
        </w:tc>
      </w:tr>
      <w:tr w:rsidR="00BA083C" w:rsidRPr="009C5F11" w14:paraId="4D94BFB0" w14:textId="77777777" w:rsidTr="00F4274E">
        <w:trPr>
          <w:trHeight w:val="278"/>
        </w:trPr>
        <w:tc>
          <w:tcPr>
            <w:tcW w:w="743" w:type="pct"/>
            <w:vMerge/>
          </w:tcPr>
          <w:p w14:paraId="4126C470"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74AD7E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5D488863"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Fonduri pentru acţiune: </w:t>
            </w:r>
          </w:p>
          <w:p w14:paraId="42A519E7"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„Elaborarea politicii şi management în sectorul energetic“ din cadrul Strategiei sectorială de cheltuieli în domeniul energetic”:</w:t>
            </w:r>
          </w:p>
          <w:p w14:paraId="52DF87E3" w14:textId="77777777" w:rsidR="00BA083C" w:rsidRPr="009C5F11" w:rsidRDefault="00BA083C" w:rsidP="00F4274E">
            <w:pPr>
              <w:tabs>
                <w:tab w:val="left" w:pos="1440"/>
                <w:tab w:val="left" w:pos="5040"/>
                <w:tab w:val="right" w:pos="8504"/>
              </w:tabs>
              <w:spacing w:before="40" w:after="0" w:line="240" w:lineRule="auto"/>
              <w:ind w:firstLine="342"/>
              <w:rPr>
                <w:rFonts w:ascii="Times New Roman" w:hAnsi="Times New Roman" w:cs="Times New Roman"/>
                <w:sz w:val="18"/>
                <w:szCs w:val="14"/>
                <w:u w:val="single"/>
                <w:lang w:val="ro-RO" w:eastAsia="de-DE"/>
              </w:rPr>
            </w:pPr>
            <w:r w:rsidRPr="009C5F11">
              <w:rPr>
                <w:rFonts w:ascii="Times New Roman" w:hAnsi="Times New Roman" w:cs="Times New Roman"/>
                <w:sz w:val="18"/>
                <w:szCs w:val="14"/>
                <w:u w:val="single"/>
                <w:lang w:val="ro-RO" w:eastAsia="de-DE"/>
              </w:rPr>
              <w:t>2016-2018</w:t>
            </w:r>
          </w:p>
          <w:p w14:paraId="646CE88D" w14:textId="77777777" w:rsidR="00BA083C" w:rsidRPr="009C5F11" w:rsidRDefault="00BA083C" w:rsidP="00334F3B">
            <w:pPr>
              <w:pStyle w:val="Listparagraf"/>
              <w:numPr>
                <w:ilvl w:val="0"/>
                <w:numId w:val="205"/>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2016  19,426.2</w:t>
            </w:r>
            <w:r w:rsidR="00A760FA" w:rsidRPr="009C5F11">
              <w:rPr>
                <w:rFonts w:ascii="Times New Roman" w:hAnsi="Times New Roman" w:cs="Times New Roman"/>
                <w:sz w:val="18"/>
                <w:szCs w:val="14"/>
                <w:lang w:val="ro-RO" w:eastAsia="de-DE"/>
              </w:rPr>
              <w:t xml:space="preserve">   mii lei</w:t>
            </w:r>
          </w:p>
          <w:p w14:paraId="4122684D" w14:textId="77777777" w:rsidR="00BA083C" w:rsidRPr="009C5F11" w:rsidRDefault="00BA083C" w:rsidP="00334F3B">
            <w:pPr>
              <w:pStyle w:val="Listparagraf"/>
              <w:numPr>
                <w:ilvl w:val="0"/>
                <w:numId w:val="205"/>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2017  24,946.6</w:t>
            </w:r>
            <w:r w:rsidR="00A760FA" w:rsidRPr="009C5F11">
              <w:rPr>
                <w:rFonts w:ascii="Times New Roman" w:hAnsi="Times New Roman" w:cs="Times New Roman"/>
                <w:sz w:val="18"/>
                <w:szCs w:val="14"/>
                <w:lang w:val="ro-RO" w:eastAsia="de-DE"/>
              </w:rPr>
              <w:t xml:space="preserve">   mii lei</w:t>
            </w:r>
          </w:p>
          <w:p w14:paraId="60082E35" w14:textId="77777777" w:rsidR="00BA083C" w:rsidRPr="009C5F11" w:rsidRDefault="00BA083C" w:rsidP="00334F3B">
            <w:pPr>
              <w:pStyle w:val="Listparagraf"/>
              <w:numPr>
                <w:ilvl w:val="0"/>
                <w:numId w:val="205"/>
              </w:num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2018  25,862.7</w:t>
            </w:r>
            <w:r w:rsidR="00A760FA" w:rsidRPr="009C5F11">
              <w:rPr>
                <w:rFonts w:ascii="Times New Roman" w:hAnsi="Times New Roman" w:cs="Times New Roman"/>
                <w:sz w:val="18"/>
                <w:szCs w:val="14"/>
                <w:lang w:val="ro-RO" w:eastAsia="de-DE"/>
              </w:rPr>
              <w:t xml:space="preserve">   mii lei</w:t>
            </w:r>
          </w:p>
          <w:p w14:paraId="34E19819"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Totuşi, astfel de fonduri limitate ar putea să fie insuficiente pentru efectuarea unei evaluări cuprinzătoare despre sistemul de obligaţii. Ulterior, AEE ar trebui să depună eforturi în vederea atragerii de fonduri de la donatori pentru a susţine desfăşurarea Studiului. </w:t>
            </w:r>
          </w:p>
        </w:tc>
      </w:tr>
      <w:tr w:rsidR="00BA083C" w:rsidRPr="009C5F11" w14:paraId="15E05481" w14:textId="77777777" w:rsidTr="00F4274E">
        <w:trPr>
          <w:trHeight w:val="62"/>
        </w:trPr>
        <w:tc>
          <w:tcPr>
            <w:tcW w:w="743" w:type="pct"/>
            <w:vMerge/>
          </w:tcPr>
          <w:p w14:paraId="5E8A9D2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6BBAF5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6941A192"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1B7ED359" w14:textId="77777777" w:rsidTr="00B40DB5">
        <w:trPr>
          <w:trHeight w:val="422"/>
        </w:trPr>
        <w:tc>
          <w:tcPr>
            <w:tcW w:w="743" w:type="pct"/>
            <w:vMerge/>
          </w:tcPr>
          <w:p w14:paraId="5A169302"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F128BC5"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7588C873"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6957F7F9" w14:textId="77777777" w:rsidTr="00F4274E">
        <w:trPr>
          <w:trHeight w:val="233"/>
        </w:trPr>
        <w:tc>
          <w:tcPr>
            <w:tcW w:w="743" w:type="pct"/>
            <w:vMerge w:val="restart"/>
          </w:tcPr>
          <w:p w14:paraId="6B7EC2A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78FDE81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3FBDA461"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219B0A54" w14:textId="77777777" w:rsidTr="00F4274E">
        <w:trPr>
          <w:trHeight w:val="296"/>
        </w:trPr>
        <w:tc>
          <w:tcPr>
            <w:tcW w:w="743" w:type="pct"/>
            <w:vMerge/>
          </w:tcPr>
          <w:p w14:paraId="6ED10A62"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488464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5AFC717F"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258B107C" w14:textId="77777777" w:rsidTr="00F4274E">
        <w:trPr>
          <w:trHeight w:val="98"/>
        </w:trPr>
        <w:tc>
          <w:tcPr>
            <w:tcW w:w="743" w:type="pct"/>
            <w:vMerge/>
          </w:tcPr>
          <w:p w14:paraId="53E7EF4A"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3D3BB4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6CC3907E"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617BA3DB" w14:textId="77777777" w:rsidTr="00F4274E">
        <w:trPr>
          <w:trHeight w:val="125"/>
        </w:trPr>
        <w:tc>
          <w:tcPr>
            <w:tcW w:w="743" w:type="pct"/>
            <w:vMerge/>
          </w:tcPr>
          <w:p w14:paraId="63042F4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297770A"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tcPr>
          <w:p w14:paraId="77BE7AD8"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1874E306" w14:textId="77777777" w:rsidTr="00F4274E">
        <w:trPr>
          <w:trHeight w:val="62"/>
        </w:trPr>
        <w:tc>
          <w:tcPr>
            <w:tcW w:w="743" w:type="pct"/>
            <w:vMerge/>
          </w:tcPr>
          <w:p w14:paraId="5F49FE4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4AC849E" w14:textId="77777777" w:rsidR="00BA083C" w:rsidRPr="009C5F11" w:rsidRDefault="00DD7995"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59687C49"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BA083C" w:rsidRPr="009C5F11" w14:paraId="13A4812C" w14:textId="77777777" w:rsidTr="00F4274E">
        <w:trPr>
          <w:trHeight w:val="63"/>
        </w:trPr>
        <w:tc>
          <w:tcPr>
            <w:tcW w:w="743" w:type="pct"/>
            <w:vMerge/>
          </w:tcPr>
          <w:p w14:paraId="5736233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2F2AEA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43223DAA" w14:textId="77777777" w:rsidR="00BA083C" w:rsidRPr="009C5F11" w:rsidRDefault="00BA083C" w:rsidP="00F4274E">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Organismul de implementare va identifica sinergiile cu alte proiecte/studii.</w:t>
            </w:r>
          </w:p>
        </w:tc>
      </w:tr>
    </w:tbl>
    <w:p w14:paraId="28FC235E" w14:textId="77777777" w:rsidR="00BA083C" w:rsidRPr="009C5F11" w:rsidRDefault="00BA083C" w:rsidP="00BA083C">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br w:type="page"/>
      </w:r>
    </w:p>
    <w:p w14:paraId="6BE59155" w14:textId="77777777" w:rsidR="00BA083C" w:rsidRPr="009C5F11" w:rsidRDefault="00BA083C" w:rsidP="00BA083C">
      <w:pPr>
        <w:pStyle w:val="Legend"/>
        <w:keepNext/>
        <w:jc w:val="center"/>
        <w:rPr>
          <w:rFonts w:ascii="Times New Roman" w:hAnsi="Times New Roman" w:cs="Times New Roman"/>
          <w:b/>
          <w:sz w:val="22"/>
          <w:lang w:val="ro-RO"/>
        </w:rPr>
      </w:pPr>
      <w:bookmarkStart w:id="239" w:name="_Toc447724301"/>
      <w:r w:rsidRPr="009C5F11">
        <w:rPr>
          <w:rFonts w:ascii="Times New Roman" w:hAnsi="Times New Roman" w:cs="Times New Roman"/>
          <w:b/>
          <w:sz w:val="22"/>
          <w:lang w:val="ro-RO"/>
        </w:rPr>
        <w:lastRenderedPageBreak/>
        <w:t xml:space="preserve">Tabelul H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Table_H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6</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Etichetarea. Adoptarea înlesnirilor fiscale şi vamale pentru produsele cu impact energetic</w:t>
      </w:r>
      <w:bookmarkEnd w:id="2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21827BD1" w14:textId="77777777" w:rsidTr="00F4274E">
        <w:trPr>
          <w:trHeight w:val="67"/>
        </w:trPr>
        <w:tc>
          <w:tcPr>
            <w:tcW w:w="1756" w:type="pct"/>
            <w:gridSpan w:val="2"/>
          </w:tcPr>
          <w:p w14:paraId="61054EF5"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23B2E832"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Etichetarea. Adoptarea înlesnirilor fiscale şi vamale pentru produsele cu impact energetic</w:t>
            </w:r>
          </w:p>
        </w:tc>
      </w:tr>
      <w:tr w:rsidR="00BA083C" w:rsidRPr="009C5F11" w14:paraId="3E92D1AF" w14:textId="77777777" w:rsidTr="00F4274E">
        <w:trPr>
          <w:trHeight w:val="62"/>
        </w:trPr>
        <w:tc>
          <w:tcPr>
            <w:tcW w:w="1756" w:type="pct"/>
            <w:gridSpan w:val="2"/>
          </w:tcPr>
          <w:p w14:paraId="25D4B680"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6C6A2177" w14:textId="77777777" w:rsidR="00BA083C" w:rsidRPr="009C5F11" w:rsidRDefault="00BA083C" w:rsidP="00F4274E">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H6</w:t>
            </w:r>
          </w:p>
        </w:tc>
      </w:tr>
      <w:tr w:rsidR="00BA083C" w:rsidRPr="009C5F11" w14:paraId="06E68413" w14:textId="77777777" w:rsidTr="00F4274E">
        <w:trPr>
          <w:trHeight w:val="107"/>
        </w:trPr>
        <w:tc>
          <w:tcPr>
            <w:tcW w:w="743" w:type="pct"/>
            <w:vMerge w:val="restart"/>
          </w:tcPr>
          <w:p w14:paraId="2182FF5E"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398B75FE"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363A57A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7740AAD4"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Scheme de etichetare a produselor cu impact energetic (obligatorii sau voluntare)</w:t>
            </w:r>
          </w:p>
        </w:tc>
      </w:tr>
      <w:tr w:rsidR="00BA083C" w:rsidRPr="009C5F11" w14:paraId="1D4A7923" w14:textId="77777777" w:rsidTr="00F4274E">
        <w:trPr>
          <w:trHeight w:val="476"/>
        </w:trPr>
        <w:tc>
          <w:tcPr>
            <w:tcW w:w="743" w:type="pct"/>
            <w:vMerge/>
          </w:tcPr>
          <w:p w14:paraId="5465868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5E6904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093AE11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Începută: ianuarie 2013. </w:t>
            </w:r>
          </w:p>
          <w:p w14:paraId="32D9361F"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decembrie 2018.</w:t>
            </w:r>
          </w:p>
          <w:p w14:paraId="51FE2125"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Măsură preluată din PNAEE 2013-2015.</w:t>
            </w:r>
          </w:p>
        </w:tc>
      </w:tr>
      <w:tr w:rsidR="00BA083C" w:rsidRPr="009C5F11" w14:paraId="0A3A1B07" w14:textId="77777777" w:rsidTr="00F4274E">
        <w:trPr>
          <w:trHeight w:val="107"/>
        </w:trPr>
        <w:tc>
          <w:tcPr>
            <w:tcW w:w="743" w:type="pct"/>
            <w:vMerge/>
          </w:tcPr>
          <w:p w14:paraId="4D15EE62"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D67080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54ACF4D9"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Reglementarea continuă a pieţei de produse cu impact energetic prin instituirea unui cadru legal corespunzător. Acţiunea este destinată creării de stimulente/facilităţi/înlesniri fiscale şi vamale. </w:t>
            </w:r>
          </w:p>
        </w:tc>
      </w:tr>
      <w:tr w:rsidR="00BA083C" w:rsidRPr="009C5F11" w14:paraId="067ADBCA" w14:textId="77777777" w:rsidTr="00F4274E">
        <w:trPr>
          <w:trHeight w:val="62"/>
        </w:trPr>
        <w:tc>
          <w:tcPr>
            <w:tcW w:w="743" w:type="pct"/>
            <w:vMerge/>
          </w:tcPr>
          <w:p w14:paraId="722B881F"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B121064"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4F0B7B02"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Aparate de uz casnic, corpuri de iluminat, aparate pentru încălzire</w:t>
            </w:r>
          </w:p>
        </w:tc>
      </w:tr>
      <w:tr w:rsidR="00BA083C" w:rsidRPr="009C5F11" w14:paraId="0F4FD4B5" w14:textId="77777777" w:rsidTr="00F4274E">
        <w:trPr>
          <w:trHeight w:val="62"/>
        </w:trPr>
        <w:tc>
          <w:tcPr>
            <w:tcW w:w="743" w:type="pct"/>
            <w:vMerge/>
          </w:tcPr>
          <w:p w14:paraId="324E829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8F59DA6"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51ADB043"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Sectorul industrial, rezidenţial</w:t>
            </w:r>
          </w:p>
        </w:tc>
      </w:tr>
      <w:tr w:rsidR="00BA083C" w:rsidRPr="009C5F11" w14:paraId="5A04EDD6" w14:textId="77777777" w:rsidTr="00F4274E">
        <w:trPr>
          <w:trHeight w:val="116"/>
        </w:trPr>
        <w:tc>
          <w:tcPr>
            <w:tcW w:w="743" w:type="pct"/>
            <w:vMerge/>
          </w:tcPr>
          <w:p w14:paraId="049FD97B"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367003B"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218081EC"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BA083C" w:rsidRPr="009C5F11" w14:paraId="688F5B7D" w14:textId="77777777" w:rsidTr="00F4274E">
        <w:trPr>
          <w:trHeight w:val="476"/>
        </w:trPr>
        <w:tc>
          <w:tcPr>
            <w:tcW w:w="743" w:type="pct"/>
            <w:vMerge w:val="restart"/>
          </w:tcPr>
          <w:p w14:paraId="0A24FFF0"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487B61D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tcPr>
          <w:p w14:paraId="406481A4"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Starea actuală: Legea cu privire la etichetare şi reglementările de implementare existente.</w:t>
            </w:r>
          </w:p>
          <w:p w14:paraId="6ACE4DF0"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p w14:paraId="0790D678"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Acţiuni suplimentare: </w:t>
            </w:r>
          </w:p>
          <w:p w14:paraId="5A806AD2" w14:textId="77777777" w:rsidR="00BA083C" w:rsidRPr="009C5F11" w:rsidRDefault="00BA083C" w:rsidP="00334F3B">
            <w:pPr>
              <w:numPr>
                <w:ilvl w:val="0"/>
                <w:numId w:val="161"/>
              </w:numPr>
              <w:tabs>
                <w:tab w:val="left" w:pos="702"/>
                <w:tab w:val="left" w:pos="5040"/>
                <w:tab w:val="right" w:pos="8504"/>
              </w:tabs>
              <w:spacing w:after="0" w:line="240" w:lineRule="auto"/>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Adaptare continuă a legislaţiei la cerinţele legislative ale EnC;</w:t>
            </w:r>
          </w:p>
          <w:p w14:paraId="0B8EE118" w14:textId="77777777" w:rsidR="00BA083C" w:rsidRPr="009C5F11" w:rsidRDefault="00BA083C" w:rsidP="00334F3B">
            <w:pPr>
              <w:numPr>
                <w:ilvl w:val="0"/>
                <w:numId w:val="161"/>
              </w:numPr>
              <w:tabs>
                <w:tab w:val="left" w:pos="702"/>
                <w:tab w:val="left" w:pos="5040"/>
                <w:tab w:val="right" w:pos="8504"/>
              </w:tabs>
              <w:spacing w:after="0" w:line="240" w:lineRule="auto"/>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Inspectarea agenţilor economici în termeni de conformitate cu cerinţele stabilite pentru etichetarea produselor cu impact energetic. Magazinele şi/sau punctele de distribuţie vor fi vizitate, cel puţin, lunar pentru a verifica disponibilitatea etichetelor şi a informaţiilor relevante în materie de energie;</w:t>
            </w:r>
          </w:p>
          <w:p w14:paraId="035E114A" w14:textId="77777777" w:rsidR="00BA083C" w:rsidRPr="009C5F11" w:rsidRDefault="00BA083C" w:rsidP="00334F3B">
            <w:pPr>
              <w:numPr>
                <w:ilvl w:val="0"/>
                <w:numId w:val="161"/>
              </w:numPr>
              <w:tabs>
                <w:tab w:val="left" w:pos="702"/>
                <w:tab w:val="left" w:pos="5040"/>
                <w:tab w:val="right" w:pos="8504"/>
              </w:tabs>
              <w:spacing w:after="0" w:line="240" w:lineRule="auto"/>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Testarea produsele cu impact energetic într-un laborator european acreditat. Atunci când sunt importate astfel de produse din altă ţară, se recomandă analizarea şi acceptarea rezultatelor testării produselor cu impact energetic din ţara de origine;</w:t>
            </w:r>
          </w:p>
          <w:p w14:paraId="4ACA06DE" w14:textId="77777777" w:rsidR="00BA083C" w:rsidRPr="009C5F11" w:rsidRDefault="00BA083C" w:rsidP="00334F3B">
            <w:pPr>
              <w:numPr>
                <w:ilvl w:val="0"/>
                <w:numId w:val="155"/>
              </w:numPr>
              <w:tabs>
                <w:tab w:val="left" w:pos="702"/>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Identificarea posibilităţilor de a introduce înlesniri fiscale şi vamale pentru produsele cu impact energetic cu o eficienţă energetică sporită (Clasele A+++ - A). </w:t>
            </w:r>
          </w:p>
          <w:p w14:paraId="43765B53" w14:textId="77777777" w:rsidR="00BA083C" w:rsidRPr="009C5F11" w:rsidRDefault="00BA083C" w:rsidP="00F4274E">
            <w:pPr>
              <w:tabs>
                <w:tab w:val="left" w:pos="1440"/>
                <w:tab w:val="left" w:pos="5040"/>
                <w:tab w:val="right" w:pos="8504"/>
              </w:tabs>
              <w:spacing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1. Frigidere şi congelatoare.</w:t>
            </w:r>
          </w:p>
          <w:p w14:paraId="2E9A4F7A" w14:textId="77777777" w:rsidR="00BA083C" w:rsidRPr="009C5F11" w:rsidRDefault="00BA083C" w:rsidP="00F4274E">
            <w:pPr>
              <w:tabs>
                <w:tab w:val="left" w:pos="1440"/>
                <w:tab w:val="left" w:pos="5040"/>
                <w:tab w:val="right" w:pos="8504"/>
              </w:tabs>
              <w:spacing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2. Maşini de spălat.</w:t>
            </w:r>
          </w:p>
          <w:p w14:paraId="70E7CA5E" w14:textId="77777777" w:rsidR="00BA083C" w:rsidRPr="009C5F11" w:rsidRDefault="00BA083C" w:rsidP="00F4274E">
            <w:pPr>
              <w:tabs>
                <w:tab w:val="left" w:pos="1440"/>
                <w:tab w:val="left" w:pos="5040"/>
                <w:tab w:val="right" w:pos="8504"/>
              </w:tabs>
              <w:spacing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3. Uscătoare electrice cu tambur.</w:t>
            </w:r>
          </w:p>
          <w:p w14:paraId="074B6A31" w14:textId="77777777" w:rsidR="00BA083C" w:rsidRPr="009C5F11" w:rsidRDefault="00BA083C" w:rsidP="00F4274E">
            <w:pPr>
              <w:tabs>
                <w:tab w:val="left" w:pos="1440"/>
                <w:tab w:val="left" w:pos="5040"/>
                <w:tab w:val="right" w:pos="8504"/>
              </w:tabs>
              <w:spacing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4. Maşini combinate de spălat şi uscat.</w:t>
            </w:r>
          </w:p>
          <w:p w14:paraId="73359EF5" w14:textId="77777777" w:rsidR="00BA083C" w:rsidRPr="009C5F11" w:rsidRDefault="00BA083C" w:rsidP="00F4274E">
            <w:pPr>
              <w:tabs>
                <w:tab w:val="left" w:pos="1440"/>
                <w:tab w:val="left" w:pos="5040"/>
                <w:tab w:val="right" w:pos="8504"/>
              </w:tabs>
              <w:spacing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5. Maşini de spălat vase.</w:t>
            </w:r>
          </w:p>
          <w:p w14:paraId="6B200FF1" w14:textId="77777777" w:rsidR="00BA083C" w:rsidRPr="009C5F11" w:rsidRDefault="00BA083C" w:rsidP="00F4274E">
            <w:pPr>
              <w:tabs>
                <w:tab w:val="left" w:pos="1440"/>
                <w:tab w:val="left" w:pos="5040"/>
                <w:tab w:val="right" w:pos="8504"/>
              </w:tabs>
              <w:spacing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6. Lămpi (becuri &amp; corpuri de iluminat).</w:t>
            </w:r>
          </w:p>
          <w:p w14:paraId="481082F7" w14:textId="77777777" w:rsidR="00BA083C" w:rsidRPr="009C5F11" w:rsidRDefault="00BA083C" w:rsidP="00F4274E">
            <w:pPr>
              <w:tabs>
                <w:tab w:val="left" w:pos="1440"/>
                <w:tab w:val="left" w:pos="5040"/>
                <w:tab w:val="right" w:pos="8504"/>
              </w:tabs>
              <w:spacing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7. Cuptoare electrice.</w:t>
            </w:r>
          </w:p>
          <w:p w14:paraId="3C7D25A8" w14:textId="77777777" w:rsidR="00BA083C" w:rsidRPr="009C5F11" w:rsidRDefault="00BA083C" w:rsidP="00F4274E">
            <w:pPr>
              <w:tabs>
                <w:tab w:val="left" w:pos="1440"/>
                <w:tab w:val="left" w:pos="5040"/>
                <w:tab w:val="right" w:pos="8504"/>
              </w:tabs>
              <w:spacing w:after="0" w:line="240" w:lineRule="auto"/>
              <w:ind w:left="720"/>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8. Climatizoare de aer.</w:t>
            </w:r>
          </w:p>
          <w:p w14:paraId="281A7566" w14:textId="77777777" w:rsidR="00BA083C" w:rsidRPr="009C5F11" w:rsidRDefault="00BA083C" w:rsidP="00F4274E">
            <w:pPr>
              <w:tabs>
                <w:tab w:val="left" w:pos="1440"/>
                <w:tab w:val="left" w:pos="5040"/>
                <w:tab w:val="right" w:pos="8504"/>
              </w:tabs>
              <w:spacing w:after="0" w:line="240" w:lineRule="auto"/>
              <w:ind w:left="720"/>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9. Televizoare.</w:t>
            </w:r>
          </w:p>
          <w:p w14:paraId="1A169BF4" w14:textId="77777777" w:rsidR="00BA083C" w:rsidRPr="009C5F11" w:rsidRDefault="00BA083C" w:rsidP="00334F3B">
            <w:pPr>
              <w:numPr>
                <w:ilvl w:val="0"/>
                <w:numId w:val="155"/>
              </w:numPr>
              <w:tabs>
                <w:tab w:val="left" w:pos="702"/>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Majorarea taxelor vamale pentru produsele cu o intensitate energetică ridicată</w:t>
            </w:r>
          </w:p>
          <w:p w14:paraId="7069A792" w14:textId="77777777" w:rsidR="00BA083C" w:rsidRPr="009C5F11" w:rsidRDefault="00BA083C" w:rsidP="00334F3B">
            <w:pPr>
              <w:numPr>
                <w:ilvl w:val="0"/>
                <w:numId w:val="162"/>
              </w:numPr>
              <w:tabs>
                <w:tab w:val="left" w:pos="995"/>
                <w:tab w:val="left" w:pos="5040"/>
                <w:tab w:val="right" w:pos="8504"/>
              </w:tabs>
              <w:spacing w:after="0" w:line="240" w:lineRule="auto"/>
              <w:ind w:left="972" w:hanging="270"/>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Majorarea taxelor de import cu 20% anual pentru becurile cu incandescenţă şi impunerea taxei zero la becurile cu consum redus de energie etc.</w:t>
            </w:r>
          </w:p>
          <w:p w14:paraId="204E7444" w14:textId="77777777" w:rsidR="00BA083C" w:rsidRPr="009C5F11" w:rsidRDefault="00BA083C" w:rsidP="00334F3B">
            <w:pPr>
              <w:numPr>
                <w:ilvl w:val="0"/>
                <w:numId w:val="155"/>
              </w:numPr>
              <w:tabs>
                <w:tab w:val="left" w:pos="702"/>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Elaborarea regulamentelor privind proiectarea ecologică;</w:t>
            </w:r>
          </w:p>
          <w:p w14:paraId="7CCF21A7" w14:textId="77777777" w:rsidR="00BA083C" w:rsidRPr="009C5F11" w:rsidRDefault="00BA083C" w:rsidP="00F4274E">
            <w:pPr>
              <w:tabs>
                <w:tab w:val="left" w:pos="1440"/>
                <w:tab w:val="left" w:pos="5040"/>
                <w:tab w:val="right" w:pos="8504"/>
              </w:tabs>
              <w:spacing w:after="0" w:line="240" w:lineRule="auto"/>
              <w:ind w:left="720"/>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 domeniul proiectării ecologice, Guvernul urmează să:</w:t>
            </w:r>
          </w:p>
          <w:p w14:paraId="314AF26A" w14:textId="77777777" w:rsidR="00BA083C" w:rsidRPr="009C5F11" w:rsidRDefault="00BA083C" w:rsidP="00334F3B">
            <w:pPr>
              <w:numPr>
                <w:ilvl w:val="0"/>
                <w:numId w:val="162"/>
              </w:numPr>
              <w:tabs>
                <w:tab w:val="left" w:pos="972"/>
                <w:tab w:val="left" w:pos="5040"/>
                <w:tab w:val="right" w:pos="8504"/>
              </w:tabs>
              <w:spacing w:after="0" w:line="240" w:lineRule="auto"/>
              <w:ind w:left="972" w:hanging="270"/>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ofere sprijin iniţiativelor care le ajută pe IMM să integreze aspecte de mediu, inclusiv de eficienţă energetică, în procesul de proiectare a produselor lor;</w:t>
            </w:r>
          </w:p>
          <w:p w14:paraId="234291F8" w14:textId="77777777" w:rsidR="00BA083C" w:rsidRPr="009C5F11" w:rsidRDefault="00BA083C" w:rsidP="00334F3B">
            <w:pPr>
              <w:numPr>
                <w:ilvl w:val="0"/>
                <w:numId w:val="162"/>
              </w:numPr>
              <w:tabs>
                <w:tab w:val="left" w:pos="972"/>
                <w:tab w:val="left" w:pos="5040"/>
                <w:tab w:val="right" w:pos="8504"/>
              </w:tabs>
              <w:spacing w:after="0" w:line="240" w:lineRule="auto"/>
              <w:ind w:left="972" w:hanging="270"/>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încurajeze IMM să adopte o abordare ecologică în procesul de design al produselor şi să respecte noile cerinţe în materie de proiectare ecologică etc.</w:t>
            </w:r>
          </w:p>
          <w:p w14:paraId="4BE6992E" w14:textId="77777777" w:rsidR="00BA083C" w:rsidRPr="009C5F11" w:rsidRDefault="00BA083C" w:rsidP="00334F3B">
            <w:pPr>
              <w:numPr>
                <w:ilvl w:val="0"/>
                <w:numId w:val="163"/>
              </w:numPr>
              <w:tabs>
                <w:tab w:val="left" w:pos="702"/>
                <w:tab w:val="left" w:pos="5040"/>
                <w:tab w:val="right" w:pos="8504"/>
              </w:tabs>
              <w:spacing w:before="40" w:after="0" w:line="240" w:lineRule="auto"/>
              <w:ind w:left="70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Stabilirea cerinţelor de performanţă energetică pentru instalaţii şi aparate de uz casnic fabricate şi/sau importate în Republica Moldova;</w:t>
            </w:r>
          </w:p>
        </w:tc>
      </w:tr>
      <w:tr w:rsidR="00BA083C" w:rsidRPr="009C5F11" w14:paraId="539D527E" w14:textId="77777777" w:rsidTr="00F4274E">
        <w:trPr>
          <w:trHeight w:val="278"/>
        </w:trPr>
        <w:tc>
          <w:tcPr>
            <w:tcW w:w="743" w:type="pct"/>
            <w:vMerge/>
          </w:tcPr>
          <w:p w14:paraId="5EB5CC2F"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F6717F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31103AD9" w14:textId="77777777" w:rsidR="00BA083C" w:rsidRPr="009C5F11" w:rsidRDefault="00BA083C" w:rsidP="00F4274E">
            <w:pPr>
              <w:tabs>
                <w:tab w:val="left" w:pos="792"/>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w:t>
            </w:r>
            <w:r w:rsidR="004D4E5A" w:rsidRPr="009C5F11">
              <w:rPr>
                <w:rFonts w:ascii="Times New Roman" w:hAnsi="Times New Roman" w:cs="Times New Roman"/>
                <w:sz w:val="18"/>
                <w:szCs w:val="14"/>
                <w:lang w:val="ro-RO" w:eastAsia="de-DE"/>
              </w:rPr>
              <w:t xml:space="preserve">lanul de actiuni pentru implementarea strategiei nationale de mediu pe anii </w:t>
            </w:r>
            <w:r w:rsidRPr="009C5F11">
              <w:rPr>
                <w:rFonts w:ascii="Times New Roman" w:hAnsi="Times New Roman" w:cs="Times New Roman"/>
                <w:sz w:val="18"/>
                <w:szCs w:val="14"/>
                <w:lang w:val="ro-RO" w:eastAsia="de-DE"/>
              </w:rPr>
              <w:t xml:space="preserve"> 2014-2023 (Strategia de mediu pentru anii 2014-2023)</w:t>
            </w:r>
          </w:p>
          <w:p w14:paraId="56AE6D13" w14:textId="77777777" w:rsidR="00BA083C" w:rsidRPr="009C5F11" w:rsidRDefault="00BA083C" w:rsidP="00334F3B">
            <w:pPr>
              <w:numPr>
                <w:ilvl w:val="0"/>
                <w:numId w:val="161"/>
              </w:numPr>
              <w:tabs>
                <w:tab w:val="left" w:pos="702"/>
                <w:tab w:val="left" w:pos="5040"/>
                <w:tab w:val="right" w:pos="8504"/>
              </w:tabs>
              <w:spacing w:after="0" w:line="240" w:lineRule="auto"/>
              <w:ind w:left="702" w:hanging="34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Introducerea sistemului de etichetare ecologică; </w:t>
            </w:r>
          </w:p>
          <w:p w14:paraId="7C9B4E5C" w14:textId="77777777" w:rsidR="00BA083C" w:rsidRPr="009C5F11" w:rsidRDefault="00BA083C" w:rsidP="00F4274E">
            <w:pPr>
              <w:tabs>
                <w:tab w:val="left" w:pos="792"/>
                <w:tab w:val="left" w:pos="5040"/>
                <w:tab w:val="right" w:pos="8504"/>
              </w:tabs>
              <w:spacing w:after="0" w:line="240" w:lineRule="auto"/>
              <w:ind w:left="720"/>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126,400 lei din bugetul de stat; asistenţă străină;</w:t>
            </w:r>
          </w:p>
          <w:p w14:paraId="6D1A252B" w14:textId="77777777" w:rsidR="00BA083C" w:rsidRPr="009C5F11" w:rsidRDefault="00BA083C" w:rsidP="00334F3B">
            <w:pPr>
              <w:numPr>
                <w:ilvl w:val="0"/>
                <w:numId w:val="161"/>
              </w:numPr>
              <w:tabs>
                <w:tab w:val="left" w:pos="702"/>
                <w:tab w:val="left" w:pos="5040"/>
                <w:tab w:val="right" w:pos="8504"/>
              </w:tabs>
              <w:spacing w:after="0" w:line="240" w:lineRule="auto"/>
              <w:rPr>
                <w:rFonts w:ascii="Times New Roman" w:eastAsia="Calibri" w:hAnsi="Times New Roman" w:cs="Times New Roman"/>
                <w:color w:val="000000"/>
                <w:sz w:val="18"/>
                <w:szCs w:val="14"/>
                <w:lang w:val="ro-RO" w:eastAsia="de-DE"/>
              </w:rPr>
            </w:pPr>
            <w:r w:rsidRPr="009C5F11">
              <w:rPr>
                <w:rFonts w:ascii="Times New Roman" w:eastAsia="Calibri" w:hAnsi="Times New Roman" w:cs="Times New Roman"/>
                <w:color w:val="000000"/>
                <w:sz w:val="18"/>
                <w:szCs w:val="14"/>
                <w:lang w:val="ro-RO" w:eastAsia="de-DE"/>
              </w:rPr>
              <w:lastRenderedPageBreak/>
              <w:t>Revizuirea instrumentelor economice, fiscale şi de mediu; promovarea noilor instrumente în conformitate cu practicile UE;</w:t>
            </w:r>
            <w:r w:rsidRPr="009C5F11">
              <w:rPr>
                <w:rFonts w:ascii="Times New Roman" w:hAnsi="Times New Roman" w:cs="Times New Roman"/>
                <w:sz w:val="18"/>
                <w:szCs w:val="14"/>
                <w:lang w:val="ro-RO" w:eastAsia="de-DE"/>
              </w:rPr>
              <w:t xml:space="preserve"> </w:t>
            </w:r>
            <w:r w:rsidRPr="009C5F11">
              <w:rPr>
                <w:rFonts w:ascii="Times New Roman" w:hAnsi="Times New Roman" w:cs="Times New Roman"/>
                <w:sz w:val="18"/>
                <w:szCs w:val="14"/>
                <w:lang w:val="ro-RO" w:eastAsia="de-DE"/>
              </w:rPr>
              <w:br/>
            </w:r>
            <w:r w:rsidRPr="009C5F11">
              <w:rPr>
                <w:rFonts w:ascii="Times New Roman" w:eastAsia="Calibri" w:hAnsi="Times New Roman" w:cs="Times New Roman"/>
                <w:color w:val="000000"/>
                <w:sz w:val="18"/>
                <w:szCs w:val="14"/>
                <w:lang w:val="ro-RO" w:eastAsia="de-DE"/>
              </w:rPr>
              <w:t xml:space="preserve">500,000 lei din bugetul de stat; Fondul Ecologic Naţional; </w:t>
            </w:r>
            <w:r w:rsidRPr="009C5F11">
              <w:rPr>
                <w:rFonts w:ascii="Times New Roman" w:hAnsi="Times New Roman" w:cs="Times New Roman"/>
                <w:sz w:val="18"/>
                <w:szCs w:val="14"/>
                <w:lang w:val="ro-RO" w:eastAsia="de-DE"/>
              </w:rPr>
              <w:t>asistenţă străină;</w:t>
            </w:r>
          </w:p>
          <w:p w14:paraId="1F10C54E" w14:textId="77777777" w:rsidR="00BA083C" w:rsidRPr="009C5F11" w:rsidRDefault="00BA083C" w:rsidP="00334F3B">
            <w:pPr>
              <w:numPr>
                <w:ilvl w:val="0"/>
                <w:numId w:val="161"/>
              </w:numPr>
              <w:tabs>
                <w:tab w:val="left" w:pos="702"/>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Introducerea standardelor la emisiile diferitor tipuri de vehicule şi standardelor pentru calitatea carburanţilor; </w:t>
            </w:r>
            <w:r w:rsidRPr="009C5F11">
              <w:rPr>
                <w:rFonts w:ascii="Times New Roman" w:hAnsi="Times New Roman" w:cs="Times New Roman"/>
                <w:sz w:val="18"/>
                <w:szCs w:val="14"/>
                <w:lang w:val="ro-RO" w:eastAsia="de-DE"/>
              </w:rPr>
              <w:br/>
              <w:t xml:space="preserve">10,600,000 lei din bugetul de stat; Fondul Ecologic Naţional; </w:t>
            </w:r>
          </w:p>
          <w:p w14:paraId="616DFD5A" w14:textId="77777777" w:rsidR="00BA083C" w:rsidRPr="009C5F11" w:rsidRDefault="00BA083C" w:rsidP="00334F3B">
            <w:pPr>
              <w:numPr>
                <w:ilvl w:val="0"/>
                <w:numId w:val="161"/>
              </w:numPr>
              <w:tabs>
                <w:tab w:val="left" w:pos="702"/>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Atenuarea impactului şi adaptarea la schimbarea climei prin promovarea biomasei în calitate de sursă regenerabilă de energie, utilizarea instalaţiilor de producere a biogazului în gospodăriile casnice şi comunităţile rurale, promovarea agriculturii ecologice/organice, promovarea produselor cu randament sporit (utilaje şi echipamente electrice) exploatate pe baza utilizării unor tehnologii prietenoase mediului; </w:t>
            </w:r>
            <w:r w:rsidRPr="009C5F11">
              <w:rPr>
                <w:rFonts w:ascii="Times New Roman" w:hAnsi="Times New Roman" w:cs="Times New Roman"/>
                <w:sz w:val="18"/>
                <w:szCs w:val="14"/>
                <w:lang w:val="ro-RO" w:eastAsia="de-DE"/>
              </w:rPr>
              <w:br/>
              <w:t>83,000,000 lei din bugetul de stat; asistenţă străină; Fondul Ecologic Naţional; FEE</w:t>
            </w:r>
          </w:p>
        </w:tc>
      </w:tr>
      <w:tr w:rsidR="00BA083C" w:rsidRPr="009C5F11" w14:paraId="45C6822B" w14:textId="77777777" w:rsidTr="00F4274E">
        <w:trPr>
          <w:trHeight w:val="476"/>
        </w:trPr>
        <w:tc>
          <w:tcPr>
            <w:tcW w:w="743" w:type="pct"/>
            <w:vMerge/>
          </w:tcPr>
          <w:p w14:paraId="55727BB9"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4013AC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5E38C493"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 AEE, MM</w:t>
            </w:r>
          </w:p>
          <w:p w14:paraId="42DA24E7"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Ministerul Mediului este responsabil cu elaborarea şi implementarea cadrului legislativ şi normativ în materie de proiectare ecologică.</w:t>
            </w:r>
          </w:p>
        </w:tc>
      </w:tr>
      <w:tr w:rsidR="00BA083C" w:rsidRPr="009C5F11" w14:paraId="327EA6B9" w14:textId="77777777" w:rsidTr="00F4274E">
        <w:trPr>
          <w:trHeight w:val="67"/>
        </w:trPr>
        <w:tc>
          <w:tcPr>
            <w:tcW w:w="743" w:type="pct"/>
            <w:vMerge/>
          </w:tcPr>
          <w:p w14:paraId="6B7C73B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06F903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72FB6C8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0439B64C" w14:textId="77777777" w:rsidTr="00F4274E">
        <w:trPr>
          <w:trHeight w:val="233"/>
        </w:trPr>
        <w:tc>
          <w:tcPr>
            <w:tcW w:w="743" w:type="pct"/>
            <w:vMerge w:val="restart"/>
          </w:tcPr>
          <w:p w14:paraId="3FCEC579"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7A7A8A9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4A24E388"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w:t>
            </w:r>
          </w:p>
        </w:tc>
      </w:tr>
      <w:tr w:rsidR="00BA083C" w:rsidRPr="009C5F11" w14:paraId="11105A48" w14:textId="77777777" w:rsidTr="00F4274E">
        <w:trPr>
          <w:trHeight w:val="296"/>
        </w:trPr>
        <w:tc>
          <w:tcPr>
            <w:tcW w:w="743" w:type="pct"/>
            <w:vMerge/>
          </w:tcPr>
          <w:p w14:paraId="3513259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A95596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0E94D9C9"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b/>
                <w:sz w:val="18"/>
                <w:szCs w:val="14"/>
                <w:lang w:val="ro-RO" w:eastAsia="de-DE"/>
              </w:rPr>
              <w:t>14.33 ktep</w:t>
            </w:r>
            <w:r w:rsidRPr="009C5F11">
              <w:rPr>
                <w:rFonts w:ascii="Times New Roman" w:hAnsi="Times New Roman" w:cs="Times New Roman"/>
                <w:sz w:val="18"/>
                <w:szCs w:val="14"/>
                <w:lang w:val="ro-RO" w:eastAsia="de-DE"/>
              </w:rPr>
              <w:t xml:space="preserve"> – rezultante din introducerea stimulentelor fiscale şi a facilităţilor vamale pentru produsele cu impact energetic de randament sporit (Clasele A+++ - A);</w:t>
            </w:r>
          </w:p>
          <w:p w14:paraId="7F739B0E"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b/>
                <w:sz w:val="18"/>
                <w:szCs w:val="14"/>
                <w:lang w:val="ro-RO" w:eastAsia="de-DE"/>
              </w:rPr>
              <w:t xml:space="preserve">1 ktep </w:t>
            </w:r>
            <w:r w:rsidRPr="009C5F11">
              <w:rPr>
                <w:rFonts w:ascii="Times New Roman" w:hAnsi="Times New Roman" w:cs="Times New Roman"/>
                <w:sz w:val="18"/>
                <w:szCs w:val="14"/>
                <w:lang w:val="ro-RO" w:eastAsia="de-DE"/>
              </w:rPr>
              <w:t xml:space="preserve">– rezultant din majorarea taxelor de import la becurile cu incandescenţă cu 20% anual şi aplicarea cotei zero la becurile cu un consum redus de energie. </w:t>
            </w:r>
          </w:p>
        </w:tc>
      </w:tr>
      <w:tr w:rsidR="00BA083C" w:rsidRPr="009C5F11" w14:paraId="6F71E71B" w14:textId="77777777" w:rsidTr="00F4274E">
        <w:trPr>
          <w:trHeight w:val="54"/>
        </w:trPr>
        <w:tc>
          <w:tcPr>
            <w:tcW w:w="743" w:type="pct"/>
            <w:vMerge/>
          </w:tcPr>
          <w:p w14:paraId="3B6428B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C7BB76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Borders>
              <w:bottom w:val="single" w:sz="4" w:space="0" w:color="auto"/>
            </w:tcBorders>
          </w:tcPr>
          <w:p w14:paraId="01387F2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w:t>
            </w:r>
            <w:r w:rsidR="00DD7995" w:rsidRPr="009C5F11">
              <w:rPr>
                <w:rFonts w:ascii="Times New Roman" w:hAnsi="Times New Roman" w:cs="Times New Roman"/>
                <w:sz w:val="18"/>
                <w:szCs w:val="14"/>
                <w:lang w:val="ro-RO" w:eastAsia="de-DE"/>
              </w:rPr>
              <w:t>/A</w:t>
            </w:r>
          </w:p>
        </w:tc>
      </w:tr>
      <w:tr w:rsidR="00BA083C" w:rsidRPr="009C5F11" w14:paraId="29A7CD3A" w14:textId="77777777" w:rsidTr="00F4274E">
        <w:trPr>
          <w:trHeight w:val="125"/>
        </w:trPr>
        <w:tc>
          <w:tcPr>
            <w:tcW w:w="743" w:type="pct"/>
            <w:vMerge/>
          </w:tcPr>
          <w:p w14:paraId="7FBBFA01"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9730633"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shd w:val="clear" w:color="auto" w:fill="auto"/>
          </w:tcPr>
          <w:p w14:paraId="7CC1CCE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37.8 ktep</w:t>
            </w:r>
          </w:p>
          <w:p w14:paraId="31DDEBB2"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BA083C" w:rsidRPr="009C5F11" w14:paraId="69730FCC" w14:textId="77777777" w:rsidTr="00F4274E">
        <w:trPr>
          <w:trHeight w:val="476"/>
        </w:trPr>
        <w:tc>
          <w:tcPr>
            <w:tcW w:w="743" w:type="pct"/>
            <w:vMerge/>
          </w:tcPr>
          <w:p w14:paraId="25790170"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E38F796" w14:textId="77777777" w:rsidR="00BA083C" w:rsidRPr="009C5F11" w:rsidRDefault="00DD7995"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5A7EFD6C" w14:textId="77777777" w:rsidR="00BA083C" w:rsidRPr="009C5F11" w:rsidRDefault="00BA083C" w:rsidP="00334F3B">
            <w:pPr>
              <w:numPr>
                <w:ilvl w:val="0"/>
                <w:numId w:val="161"/>
              </w:numPr>
              <w:tabs>
                <w:tab w:val="left" w:pos="702"/>
                <w:tab w:val="left" w:pos="5040"/>
                <w:tab w:val="right" w:pos="8504"/>
              </w:tabs>
              <w:spacing w:after="0" w:line="240" w:lineRule="auto"/>
              <w:ind w:left="702" w:hanging="34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Presupunând existenţa unui potenţial de economii în sectorul rezidenţial în cuantum de 20% şi pe baza evaluării efectuate de Energy Charter Secretariat pentru ţările CSI în 2009 (“Politici care funcţionează/generează rezultate”), acesta reprezintă 25.8 ktep </w:t>
            </w:r>
          </w:p>
          <w:p w14:paraId="54CD0075" w14:textId="77777777" w:rsidR="00BA083C" w:rsidRPr="009C5F11" w:rsidRDefault="00BA083C" w:rsidP="00334F3B">
            <w:pPr>
              <w:numPr>
                <w:ilvl w:val="0"/>
                <w:numId w:val="161"/>
              </w:numPr>
              <w:tabs>
                <w:tab w:val="left" w:pos="702"/>
                <w:tab w:val="left" w:pos="5040"/>
                <w:tab w:val="right" w:pos="8504"/>
              </w:tabs>
              <w:spacing w:after="0" w:line="240" w:lineRule="auto"/>
              <w:ind w:left="702" w:hanging="342"/>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Presupunând existenţa unui potenţial de economii în cuantum de 5% la consumul de gaze naturale, acesta reprezintă 12 ktep, </w:t>
            </w:r>
          </w:p>
          <w:p w14:paraId="57977BBE" w14:textId="77777777" w:rsidR="00BA083C" w:rsidRPr="009C5F11" w:rsidRDefault="00BA083C" w:rsidP="00F4274E">
            <w:pPr>
              <w:tabs>
                <w:tab w:val="left" w:pos="1440"/>
                <w:tab w:val="left" w:pos="5040"/>
                <w:tab w:val="right" w:pos="8504"/>
              </w:tabs>
              <w:spacing w:after="0" w:line="240" w:lineRule="auto"/>
              <w:ind w:left="720" w:hanging="378"/>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rPr>
              <w:t>iar împreună 37.8 ktep.</w:t>
            </w:r>
          </w:p>
        </w:tc>
      </w:tr>
      <w:tr w:rsidR="00BA083C" w:rsidRPr="009C5F11" w14:paraId="2FF819A1" w14:textId="77777777" w:rsidTr="00F4274E">
        <w:trPr>
          <w:trHeight w:val="67"/>
        </w:trPr>
        <w:tc>
          <w:tcPr>
            <w:tcW w:w="743" w:type="pct"/>
            <w:vMerge/>
          </w:tcPr>
          <w:p w14:paraId="7E31F4E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D8D1C0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097A32B6" w14:textId="77777777" w:rsidR="00BA083C" w:rsidRPr="009C5F11" w:rsidRDefault="00BA083C" w:rsidP="00F4274E">
            <w:pPr>
              <w:tabs>
                <w:tab w:val="left" w:pos="1440"/>
                <w:tab w:val="left" w:pos="5040"/>
              </w:tabs>
              <w:spacing w:after="0" w:line="240" w:lineRule="auto"/>
              <w:rPr>
                <w:rFonts w:ascii="Times New Roman" w:hAnsi="Times New Roman" w:cs="Times New Roman"/>
                <w:sz w:val="18"/>
                <w:szCs w:val="14"/>
                <w:lang w:val="ro-RO"/>
              </w:rPr>
            </w:pPr>
          </w:p>
        </w:tc>
      </w:tr>
    </w:tbl>
    <w:p w14:paraId="5BFC0117" w14:textId="77777777" w:rsidR="00BA083C" w:rsidRPr="009C5F11" w:rsidRDefault="00BA083C" w:rsidP="00BA083C">
      <w:pPr>
        <w:keepNext/>
        <w:spacing w:after="0"/>
        <w:ind w:right="-540"/>
        <w:rPr>
          <w:rFonts w:ascii="Times New Roman" w:hAnsi="Times New Roman" w:cs="Times New Roman"/>
          <w:b/>
          <w:bCs/>
          <w:sz w:val="24"/>
          <w:lang w:val="ro-RO"/>
        </w:rPr>
      </w:pPr>
      <w:r w:rsidRPr="009C5F11">
        <w:rPr>
          <w:rFonts w:ascii="Times New Roman" w:hAnsi="Times New Roman" w:cs="Times New Roman"/>
          <w:b/>
          <w:bCs/>
          <w:sz w:val="24"/>
          <w:lang w:val="ro-RO"/>
        </w:rPr>
        <w:br w:type="page"/>
      </w:r>
    </w:p>
    <w:p w14:paraId="6DC2B3C2" w14:textId="77777777" w:rsidR="00BA083C" w:rsidRPr="009C5F11" w:rsidRDefault="00BA083C" w:rsidP="00BA083C">
      <w:pPr>
        <w:pStyle w:val="Legend"/>
        <w:keepNext/>
        <w:jc w:val="center"/>
        <w:rPr>
          <w:rFonts w:ascii="Times New Roman" w:hAnsi="Times New Roman" w:cs="Times New Roman"/>
          <w:b/>
          <w:sz w:val="22"/>
          <w:lang w:val="ro-RO"/>
        </w:rPr>
      </w:pPr>
      <w:bookmarkStart w:id="240" w:name="_Toc447724302"/>
      <w:r w:rsidRPr="009C5F11">
        <w:rPr>
          <w:rFonts w:ascii="Times New Roman" w:hAnsi="Times New Roman" w:cs="Times New Roman"/>
          <w:b/>
          <w:sz w:val="22"/>
          <w:lang w:val="ro-RO"/>
        </w:rPr>
        <w:lastRenderedPageBreak/>
        <w:t xml:space="preserve">Tabelul H </w:t>
      </w:r>
      <w:r w:rsidR="003A6ADB" w:rsidRPr="009C5F11">
        <w:rPr>
          <w:rFonts w:ascii="Times New Roman" w:hAnsi="Times New Roman" w:cs="Times New Roman"/>
          <w:b/>
          <w:sz w:val="22"/>
          <w:lang w:val="ro-RO"/>
        </w:rPr>
        <w:fldChar w:fldCharType="begin"/>
      </w:r>
      <w:r w:rsidRPr="009C5F11">
        <w:rPr>
          <w:rFonts w:ascii="Times New Roman" w:hAnsi="Times New Roman" w:cs="Times New Roman"/>
          <w:b/>
          <w:sz w:val="22"/>
          <w:lang w:val="ro-RO"/>
        </w:rPr>
        <w:instrText xml:space="preserve"> SEQ Table_H \* ARABIC </w:instrText>
      </w:r>
      <w:r w:rsidR="003A6ADB" w:rsidRPr="009C5F11">
        <w:rPr>
          <w:rFonts w:ascii="Times New Roman" w:hAnsi="Times New Roman" w:cs="Times New Roman"/>
          <w:b/>
          <w:sz w:val="22"/>
          <w:lang w:val="ro-RO"/>
        </w:rPr>
        <w:fldChar w:fldCharType="separate"/>
      </w:r>
      <w:r w:rsidR="0014013D">
        <w:rPr>
          <w:rFonts w:ascii="Times New Roman" w:hAnsi="Times New Roman" w:cs="Times New Roman"/>
          <w:b/>
          <w:noProof/>
          <w:sz w:val="22"/>
          <w:lang w:val="ro-RO"/>
        </w:rPr>
        <w:t>7</w:t>
      </w:r>
      <w:r w:rsidR="003A6ADB" w:rsidRPr="009C5F11">
        <w:rPr>
          <w:rFonts w:ascii="Times New Roman" w:hAnsi="Times New Roman" w:cs="Times New Roman"/>
          <w:b/>
          <w:sz w:val="22"/>
          <w:lang w:val="ro-RO"/>
        </w:rPr>
        <w:fldChar w:fldCharType="end"/>
      </w:r>
      <w:r w:rsidRPr="009C5F11">
        <w:rPr>
          <w:rFonts w:ascii="Times New Roman" w:hAnsi="Times New Roman" w:cs="Times New Roman"/>
          <w:b/>
          <w:sz w:val="22"/>
          <w:lang w:val="ro-RO"/>
        </w:rPr>
        <w:t xml:space="preserve"> - Instruire şi formare, inclusiv programe de consultanţă în domeniul energetic care conduc la aplicarea tehnologii</w:t>
      </w:r>
      <w:r w:rsidR="00503F4B" w:rsidRPr="009C5F11">
        <w:rPr>
          <w:rFonts w:ascii="Times New Roman" w:hAnsi="Times New Roman" w:cs="Times New Roman"/>
          <w:b/>
          <w:sz w:val="22"/>
          <w:lang w:val="ro-RO"/>
        </w:rPr>
        <w:t>lor</w:t>
      </w:r>
      <w:r w:rsidRPr="009C5F11">
        <w:rPr>
          <w:rFonts w:ascii="Times New Roman" w:hAnsi="Times New Roman" w:cs="Times New Roman"/>
          <w:b/>
          <w:sz w:val="22"/>
          <w:lang w:val="ro-RO"/>
        </w:rPr>
        <w:t xml:space="preserve"> sau tehnicilor eficiente din punct de vedere energetic şi au efectul de reducere a consumului de energie la utilizatorii finali.</w:t>
      </w:r>
      <w:bookmarkEnd w:id="2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873"/>
        <w:gridCol w:w="5997"/>
      </w:tblGrid>
      <w:tr w:rsidR="00BA083C" w:rsidRPr="009C5F11" w14:paraId="2C6AA60A" w14:textId="77777777" w:rsidTr="00F4274E">
        <w:trPr>
          <w:trHeight w:val="67"/>
        </w:trPr>
        <w:tc>
          <w:tcPr>
            <w:tcW w:w="1756" w:type="pct"/>
            <w:gridSpan w:val="2"/>
          </w:tcPr>
          <w:p w14:paraId="61770299"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Denumirea măsurii de economisire a energiei</w:t>
            </w:r>
          </w:p>
        </w:tc>
        <w:tc>
          <w:tcPr>
            <w:tcW w:w="3244" w:type="pct"/>
          </w:tcPr>
          <w:p w14:paraId="2DABA1CB" w14:textId="77777777" w:rsidR="00BA083C" w:rsidRPr="009C5F11" w:rsidRDefault="00BA083C">
            <w:pPr>
              <w:tabs>
                <w:tab w:val="left" w:pos="1440"/>
                <w:tab w:val="left" w:pos="5040"/>
                <w:tab w:val="right" w:pos="8504"/>
              </w:tabs>
              <w:spacing w:before="40" w:after="40" w:line="288" w:lineRule="auto"/>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Instruire şi formare, inclusiv programe de consultanţă în domeniul energetic, care conduc la aplicarea tehnologii</w:t>
            </w:r>
            <w:r w:rsidR="006909D6" w:rsidRPr="009C5F11">
              <w:rPr>
                <w:rFonts w:ascii="Times New Roman" w:hAnsi="Times New Roman" w:cs="Times New Roman"/>
                <w:b/>
                <w:sz w:val="18"/>
                <w:szCs w:val="14"/>
                <w:lang w:val="ro-RO" w:eastAsia="de-DE"/>
              </w:rPr>
              <w:t>lor</w:t>
            </w:r>
            <w:r w:rsidRPr="009C5F11">
              <w:rPr>
                <w:rFonts w:ascii="Times New Roman" w:hAnsi="Times New Roman" w:cs="Times New Roman"/>
                <w:b/>
                <w:sz w:val="18"/>
                <w:szCs w:val="14"/>
                <w:lang w:val="ro-RO" w:eastAsia="de-DE"/>
              </w:rPr>
              <w:t xml:space="preserve"> sau tehnicilor eficiente din punct de vedere energetic şi au efectul de reducere a consumului de energie la utilizatorii finali.</w:t>
            </w:r>
          </w:p>
        </w:tc>
      </w:tr>
      <w:tr w:rsidR="00BA083C" w:rsidRPr="009C5F11" w14:paraId="1D56DB47" w14:textId="77777777" w:rsidTr="00F4274E">
        <w:trPr>
          <w:trHeight w:val="71"/>
        </w:trPr>
        <w:tc>
          <w:tcPr>
            <w:tcW w:w="1756" w:type="pct"/>
            <w:gridSpan w:val="2"/>
          </w:tcPr>
          <w:p w14:paraId="12709771" w14:textId="77777777" w:rsidR="00BA083C" w:rsidRPr="009C5F11" w:rsidRDefault="00BA083C" w:rsidP="00F4274E">
            <w:pPr>
              <w:tabs>
                <w:tab w:val="left" w:pos="1440"/>
                <w:tab w:val="left" w:pos="5040"/>
                <w:tab w:val="right" w:pos="8504"/>
              </w:tabs>
              <w:spacing w:before="40" w:after="40" w:line="288" w:lineRule="auto"/>
              <w:rPr>
                <w:rFonts w:ascii="Times New Roman" w:hAnsi="Times New Roman" w:cs="Times New Roman"/>
                <w:i/>
                <w:sz w:val="18"/>
                <w:szCs w:val="14"/>
                <w:lang w:val="ro-RO" w:eastAsia="de-DE"/>
              </w:rPr>
            </w:pPr>
            <w:r w:rsidRPr="009C5F11">
              <w:rPr>
                <w:rFonts w:ascii="Times New Roman" w:hAnsi="Times New Roman" w:cs="Times New Roman"/>
                <w:i/>
                <w:sz w:val="18"/>
                <w:szCs w:val="14"/>
                <w:lang w:val="ro-RO" w:eastAsia="de-DE"/>
              </w:rPr>
              <w:t>Indicele măsurii</w:t>
            </w:r>
          </w:p>
        </w:tc>
        <w:tc>
          <w:tcPr>
            <w:tcW w:w="3244" w:type="pct"/>
          </w:tcPr>
          <w:p w14:paraId="046E7A4F" w14:textId="77777777" w:rsidR="00BA083C" w:rsidRPr="009C5F11" w:rsidRDefault="00BA083C" w:rsidP="00F4274E">
            <w:pPr>
              <w:tabs>
                <w:tab w:val="left" w:pos="1440"/>
                <w:tab w:val="left" w:pos="5040"/>
                <w:tab w:val="right" w:pos="8504"/>
              </w:tabs>
              <w:spacing w:before="40" w:after="40" w:line="288"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H7</w:t>
            </w:r>
          </w:p>
        </w:tc>
      </w:tr>
      <w:tr w:rsidR="00BA083C" w:rsidRPr="009C5F11" w14:paraId="7F41B3C9" w14:textId="77777777" w:rsidTr="00F4274E">
        <w:trPr>
          <w:trHeight w:val="107"/>
        </w:trPr>
        <w:tc>
          <w:tcPr>
            <w:tcW w:w="743" w:type="pct"/>
            <w:vMerge w:val="restart"/>
          </w:tcPr>
          <w:p w14:paraId="2826FD9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p w14:paraId="7ADAAE84"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Descriere</w:t>
            </w:r>
          </w:p>
        </w:tc>
        <w:tc>
          <w:tcPr>
            <w:tcW w:w="1013" w:type="pct"/>
          </w:tcPr>
          <w:p w14:paraId="3265EE0C"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Categoria</w:t>
            </w:r>
          </w:p>
        </w:tc>
        <w:tc>
          <w:tcPr>
            <w:tcW w:w="3244" w:type="pct"/>
          </w:tcPr>
          <w:p w14:paraId="0B6A1203"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Instruire şi formare, campanii de sensibilizare </w:t>
            </w:r>
          </w:p>
        </w:tc>
      </w:tr>
      <w:tr w:rsidR="00BA083C" w:rsidRPr="009C5F11" w14:paraId="73253490" w14:textId="77777777" w:rsidTr="00F4274E">
        <w:trPr>
          <w:trHeight w:val="476"/>
        </w:trPr>
        <w:tc>
          <w:tcPr>
            <w:tcW w:w="743" w:type="pct"/>
            <w:vMerge/>
          </w:tcPr>
          <w:p w14:paraId="169B16CA"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6C60518"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Perioada</w:t>
            </w:r>
          </w:p>
        </w:tc>
        <w:tc>
          <w:tcPr>
            <w:tcW w:w="3244" w:type="pct"/>
          </w:tcPr>
          <w:p w14:paraId="05BE4F07"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 xml:space="preserve">Începută: ianuarie 2016. </w:t>
            </w:r>
          </w:p>
          <w:p w14:paraId="70EA62D5"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b/>
                <w:sz w:val="18"/>
                <w:szCs w:val="14"/>
                <w:lang w:val="ro-RO" w:eastAsia="de-DE"/>
              </w:rPr>
            </w:pPr>
            <w:r w:rsidRPr="009C5F11">
              <w:rPr>
                <w:rFonts w:ascii="Times New Roman" w:hAnsi="Times New Roman" w:cs="Times New Roman"/>
                <w:b/>
                <w:sz w:val="18"/>
                <w:szCs w:val="14"/>
                <w:lang w:val="ro-RO" w:eastAsia="de-DE"/>
              </w:rPr>
              <w:t>Finalizată: decembrie 2018.</w:t>
            </w:r>
          </w:p>
          <w:p w14:paraId="6ADE746C" w14:textId="77777777" w:rsidR="00BA083C" w:rsidRPr="009C5F11" w:rsidRDefault="00BA083C" w:rsidP="00F4274E">
            <w:pPr>
              <w:tabs>
                <w:tab w:val="left" w:pos="1440"/>
                <w:tab w:val="left" w:pos="5040"/>
                <w:tab w:val="right" w:pos="8504"/>
              </w:tabs>
              <w:spacing w:before="40"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Preluată, păstrată, actualizată</w:t>
            </w:r>
          </w:p>
        </w:tc>
      </w:tr>
      <w:tr w:rsidR="00BA083C" w:rsidRPr="009C5F11" w14:paraId="131A7B14" w14:textId="77777777" w:rsidTr="00F4274E">
        <w:trPr>
          <w:trHeight w:val="107"/>
        </w:trPr>
        <w:tc>
          <w:tcPr>
            <w:tcW w:w="743" w:type="pct"/>
            <w:vMerge/>
          </w:tcPr>
          <w:p w14:paraId="755E76B7"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43FD34C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Scopul/Descriere succintă</w:t>
            </w:r>
          </w:p>
        </w:tc>
        <w:tc>
          <w:tcPr>
            <w:tcW w:w="3244" w:type="pct"/>
          </w:tcPr>
          <w:p w14:paraId="63DF9315" w14:textId="77777777" w:rsidR="00BA083C" w:rsidRPr="009C5F11" w:rsidRDefault="00BA083C" w:rsidP="00F4274E">
            <w:pPr>
              <w:tabs>
                <w:tab w:val="left" w:pos="1440"/>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Măsura îşi propune să sprijine dezvoltarea competenţelor necesare pentru implementarea cadrului legislativ / de reglementare şi schimbările din comportament care rezultă în reducerea consumului de energie şi, respectiv, acumularea economiilor de energie.</w:t>
            </w:r>
          </w:p>
        </w:tc>
      </w:tr>
      <w:tr w:rsidR="00BA083C" w:rsidRPr="009C5F11" w14:paraId="41E39924" w14:textId="77777777" w:rsidTr="00F4274E">
        <w:trPr>
          <w:trHeight w:val="62"/>
        </w:trPr>
        <w:tc>
          <w:tcPr>
            <w:tcW w:w="743" w:type="pct"/>
            <w:vMerge/>
          </w:tcPr>
          <w:p w14:paraId="79F057B3"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4615907"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Utilizatorul final vizat</w:t>
            </w:r>
          </w:p>
        </w:tc>
        <w:tc>
          <w:tcPr>
            <w:tcW w:w="3244" w:type="pct"/>
          </w:tcPr>
          <w:p w14:paraId="75A123B4"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Sectorul energetic</w:t>
            </w:r>
          </w:p>
        </w:tc>
      </w:tr>
      <w:tr w:rsidR="00BA083C" w:rsidRPr="009C5F11" w14:paraId="1235F0B4" w14:textId="77777777" w:rsidTr="00F4274E">
        <w:trPr>
          <w:trHeight w:val="62"/>
        </w:trPr>
        <w:tc>
          <w:tcPr>
            <w:tcW w:w="743" w:type="pct"/>
            <w:vMerge/>
          </w:tcPr>
          <w:p w14:paraId="5376D18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1050B42F"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Grupul-ţintă</w:t>
            </w:r>
          </w:p>
        </w:tc>
        <w:tc>
          <w:tcPr>
            <w:tcW w:w="3244" w:type="pct"/>
          </w:tcPr>
          <w:p w14:paraId="031D32E3"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Factori de decizie, angajaţi, consumatori de energie</w:t>
            </w:r>
          </w:p>
        </w:tc>
      </w:tr>
      <w:tr w:rsidR="00BA083C" w:rsidRPr="009C5F11" w14:paraId="53107394" w14:textId="77777777" w:rsidTr="00F4274E">
        <w:trPr>
          <w:trHeight w:val="116"/>
        </w:trPr>
        <w:tc>
          <w:tcPr>
            <w:tcW w:w="743" w:type="pct"/>
            <w:vMerge/>
          </w:tcPr>
          <w:p w14:paraId="3A5FF2C0"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DF0739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Aplicare regională</w:t>
            </w:r>
          </w:p>
        </w:tc>
        <w:tc>
          <w:tcPr>
            <w:tcW w:w="3244" w:type="pct"/>
          </w:tcPr>
          <w:p w14:paraId="5C8E1D8C"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La nivel naţional</w:t>
            </w:r>
          </w:p>
        </w:tc>
      </w:tr>
      <w:tr w:rsidR="00BA083C" w:rsidRPr="009C5F11" w14:paraId="6C7563A3" w14:textId="77777777" w:rsidTr="00F4274E">
        <w:trPr>
          <w:trHeight w:val="476"/>
        </w:trPr>
        <w:tc>
          <w:tcPr>
            <w:tcW w:w="743" w:type="pct"/>
            <w:vMerge w:val="restart"/>
          </w:tcPr>
          <w:p w14:paraId="392EC7F0"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Informaţii despre implementare</w:t>
            </w:r>
          </w:p>
        </w:tc>
        <w:tc>
          <w:tcPr>
            <w:tcW w:w="1013" w:type="pct"/>
          </w:tcPr>
          <w:p w14:paraId="52B90D7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Lista şi descrierea acţiunilor de reducere a consumului energetic care justifică măsura</w:t>
            </w:r>
          </w:p>
        </w:tc>
        <w:tc>
          <w:tcPr>
            <w:tcW w:w="3244" w:type="pct"/>
          </w:tcPr>
          <w:p w14:paraId="2047634E"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i/>
                <w:sz w:val="18"/>
                <w:szCs w:val="14"/>
                <w:lang w:val="ro-RO" w:eastAsia="de-DE"/>
              </w:rPr>
            </w:pPr>
          </w:p>
          <w:p w14:paraId="6DB97A94" w14:textId="77777777" w:rsidR="00BA083C" w:rsidRPr="009C5F11" w:rsidRDefault="00BA083C" w:rsidP="00334F3B">
            <w:pPr>
              <w:numPr>
                <w:ilvl w:val="0"/>
                <w:numId w:val="161"/>
              </w:numPr>
              <w:tabs>
                <w:tab w:val="left" w:pos="342"/>
                <w:tab w:val="left" w:pos="5040"/>
                <w:tab w:val="right" w:pos="8504"/>
              </w:tabs>
              <w:spacing w:after="0" w:line="240" w:lineRule="auto"/>
              <w:ind w:left="342" w:hanging="34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Instruire concretă despre:</w:t>
            </w:r>
          </w:p>
          <w:p w14:paraId="7FA07866" w14:textId="77777777" w:rsidR="00BA083C" w:rsidRPr="009C5F11" w:rsidRDefault="00BA083C" w:rsidP="00334F3B">
            <w:pPr>
              <w:numPr>
                <w:ilvl w:val="0"/>
                <w:numId w:val="164"/>
              </w:numPr>
              <w:tabs>
                <w:tab w:val="left" w:pos="702"/>
                <w:tab w:val="left" w:pos="5040"/>
                <w:tab w:val="right" w:pos="8504"/>
              </w:tabs>
              <w:spacing w:after="0" w:line="240" w:lineRule="auto"/>
              <w:ind w:left="612" w:hanging="25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performanţa energetică a clădirilor;</w:t>
            </w:r>
          </w:p>
          <w:p w14:paraId="4A37CBFA" w14:textId="77777777" w:rsidR="00BA083C" w:rsidRPr="009C5F11" w:rsidRDefault="00BA083C" w:rsidP="00334F3B">
            <w:pPr>
              <w:numPr>
                <w:ilvl w:val="0"/>
                <w:numId w:val="164"/>
              </w:numPr>
              <w:tabs>
                <w:tab w:val="left" w:pos="702"/>
                <w:tab w:val="left" w:pos="5040"/>
                <w:tab w:val="right" w:pos="8504"/>
              </w:tabs>
              <w:spacing w:after="0" w:line="240" w:lineRule="auto"/>
              <w:ind w:left="612" w:hanging="25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audit;</w:t>
            </w:r>
          </w:p>
          <w:p w14:paraId="59991773" w14:textId="77777777" w:rsidR="00BA083C" w:rsidRPr="009C5F11" w:rsidRDefault="00BA083C" w:rsidP="00334F3B">
            <w:pPr>
              <w:numPr>
                <w:ilvl w:val="0"/>
                <w:numId w:val="164"/>
              </w:numPr>
              <w:tabs>
                <w:tab w:val="left" w:pos="702"/>
                <w:tab w:val="left" w:pos="5040"/>
                <w:tab w:val="right" w:pos="8504"/>
              </w:tabs>
              <w:spacing w:after="0" w:line="240" w:lineRule="auto"/>
              <w:ind w:left="612" w:hanging="25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etichetare;</w:t>
            </w:r>
          </w:p>
          <w:p w14:paraId="61258A9D" w14:textId="77777777" w:rsidR="00BA083C" w:rsidRPr="009C5F11" w:rsidRDefault="00BA083C" w:rsidP="00334F3B">
            <w:pPr>
              <w:numPr>
                <w:ilvl w:val="0"/>
                <w:numId w:val="164"/>
              </w:numPr>
              <w:tabs>
                <w:tab w:val="left" w:pos="702"/>
                <w:tab w:val="left" w:pos="5040"/>
                <w:tab w:val="right" w:pos="8504"/>
              </w:tabs>
              <w:spacing w:after="0" w:line="240" w:lineRule="auto"/>
              <w:ind w:left="612" w:hanging="25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certificarea; </w:t>
            </w:r>
          </w:p>
          <w:p w14:paraId="7843A231" w14:textId="77777777" w:rsidR="00BA083C" w:rsidRPr="009C5F11" w:rsidRDefault="00BA083C" w:rsidP="00334F3B">
            <w:pPr>
              <w:numPr>
                <w:ilvl w:val="0"/>
                <w:numId w:val="164"/>
              </w:numPr>
              <w:tabs>
                <w:tab w:val="left" w:pos="702"/>
                <w:tab w:val="left" w:pos="5040"/>
                <w:tab w:val="right" w:pos="8504"/>
              </w:tabs>
              <w:spacing w:after="0" w:line="240" w:lineRule="auto"/>
              <w:ind w:left="612" w:hanging="25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ESCO şi CPE;</w:t>
            </w:r>
          </w:p>
          <w:p w14:paraId="55B226FD" w14:textId="77777777" w:rsidR="00BA083C" w:rsidRPr="009C5F11" w:rsidRDefault="00BA083C" w:rsidP="00334F3B">
            <w:pPr>
              <w:numPr>
                <w:ilvl w:val="0"/>
                <w:numId w:val="164"/>
              </w:numPr>
              <w:tabs>
                <w:tab w:val="left" w:pos="702"/>
                <w:tab w:val="left" w:pos="5040"/>
                <w:tab w:val="right" w:pos="8504"/>
              </w:tabs>
              <w:spacing w:after="0" w:line="240" w:lineRule="auto"/>
              <w:ind w:left="612" w:hanging="25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cogenerare.</w:t>
            </w:r>
          </w:p>
          <w:p w14:paraId="2E8E950C" w14:textId="77777777" w:rsidR="00BA083C" w:rsidRPr="009C5F11" w:rsidRDefault="00BA083C" w:rsidP="00334F3B">
            <w:pPr>
              <w:numPr>
                <w:ilvl w:val="0"/>
                <w:numId w:val="161"/>
              </w:numPr>
              <w:tabs>
                <w:tab w:val="left" w:pos="342"/>
                <w:tab w:val="left" w:pos="5040"/>
                <w:tab w:val="right" w:pos="8504"/>
              </w:tabs>
              <w:spacing w:after="0" w:line="240" w:lineRule="auto"/>
              <w:ind w:left="342" w:hanging="342"/>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Campanii de sensibilizare privind:</w:t>
            </w:r>
          </w:p>
          <w:p w14:paraId="2EF8BEBC" w14:textId="77777777" w:rsidR="00BA083C" w:rsidRPr="009C5F11" w:rsidRDefault="00BA083C" w:rsidP="00334F3B">
            <w:pPr>
              <w:numPr>
                <w:ilvl w:val="0"/>
                <w:numId w:val="165"/>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economii potenţiale de energie în clădiri; </w:t>
            </w:r>
          </w:p>
          <w:p w14:paraId="17B9EFD1" w14:textId="77777777" w:rsidR="00BA083C" w:rsidRPr="009C5F11" w:rsidRDefault="00BA083C" w:rsidP="00334F3B">
            <w:pPr>
              <w:numPr>
                <w:ilvl w:val="0"/>
                <w:numId w:val="165"/>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economii potenţiale de energie electrică/gaze naturale datorită achiziţionării de aparate de uz casnic performante/eficiente;</w:t>
            </w:r>
          </w:p>
          <w:p w14:paraId="5331DD45" w14:textId="77777777" w:rsidR="00BA083C" w:rsidRPr="009C5F11" w:rsidRDefault="00BA083C" w:rsidP="00334F3B">
            <w:pPr>
              <w:numPr>
                <w:ilvl w:val="0"/>
                <w:numId w:val="165"/>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beneficii potenţiale din utilizarea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w:t>
            </w:r>
          </w:p>
          <w:p w14:paraId="3B0290AF" w14:textId="77777777" w:rsidR="00BA083C" w:rsidRPr="009C5F11" w:rsidRDefault="00BA083C" w:rsidP="00334F3B">
            <w:pPr>
              <w:numPr>
                <w:ilvl w:val="0"/>
                <w:numId w:val="165"/>
              </w:numPr>
              <w:tabs>
                <w:tab w:val="left" w:pos="702"/>
                <w:tab w:val="left" w:pos="5040"/>
                <w:tab w:val="right" w:pos="8504"/>
              </w:tabs>
              <w:spacing w:after="0" w:line="240" w:lineRule="auto"/>
              <w:contextualSpacing/>
              <w:jc w:val="both"/>
              <w:rPr>
                <w:rFonts w:ascii="Times New Roman" w:hAnsi="Times New Roman" w:cs="Times New Roman"/>
                <w:sz w:val="18"/>
                <w:szCs w:val="14"/>
                <w:lang w:val="ro-RO"/>
              </w:rPr>
            </w:pPr>
            <w:r w:rsidRPr="009C5F11">
              <w:rPr>
                <w:rFonts w:ascii="Times New Roman" w:hAnsi="Times New Roman" w:cs="Times New Roman"/>
                <w:sz w:val="18"/>
                <w:szCs w:val="14"/>
                <w:lang w:val="ro-RO"/>
              </w:rPr>
              <w:t>beneficii din cogenerare şi alimentare centralizată cu energie termică.</w:t>
            </w:r>
          </w:p>
        </w:tc>
      </w:tr>
      <w:tr w:rsidR="00BA083C" w:rsidRPr="009C5F11" w14:paraId="41DC58F3" w14:textId="77777777" w:rsidTr="00F4274E">
        <w:trPr>
          <w:trHeight w:val="278"/>
        </w:trPr>
        <w:tc>
          <w:tcPr>
            <w:tcW w:w="743" w:type="pct"/>
            <w:vMerge/>
          </w:tcPr>
          <w:p w14:paraId="6E7C4ACA"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314E1AD9"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Bugetul şi sursa de finanţare</w:t>
            </w:r>
          </w:p>
        </w:tc>
        <w:tc>
          <w:tcPr>
            <w:tcW w:w="3244" w:type="pct"/>
          </w:tcPr>
          <w:p w14:paraId="1C68CD3A" w14:textId="77777777" w:rsidR="00BA083C" w:rsidRPr="009C5F11" w:rsidRDefault="00BA083C" w:rsidP="00334F3B">
            <w:pPr>
              <w:numPr>
                <w:ilvl w:val="0"/>
                <w:numId w:val="155"/>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Măsura se va baza pe resursele interne ale APL şi ANRE. Va fi mobilizat potenţialul specialiştilor locali şi interesul dezvoltatorilor.</w:t>
            </w:r>
          </w:p>
          <w:p w14:paraId="7B95EE1A" w14:textId="77777777" w:rsidR="00BA083C" w:rsidRPr="009C5F11" w:rsidRDefault="00BA083C" w:rsidP="00334F3B">
            <w:pPr>
              <w:numPr>
                <w:ilvl w:val="0"/>
                <w:numId w:val="155"/>
              </w:numPr>
              <w:tabs>
                <w:tab w:val="left" w:pos="702"/>
                <w:tab w:val="left" w:pos="5040"/>
                <w:tab w:val="right" w:pos="8504"/>
              </w:tabs>
              <w:spacing w:before="40"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Fonduri atrase de la donatori şi livrabile specifice în cadrul proiectelor în curs de elaborare.</w:t>
            </w:r>
          </w:p>
        </w:tc>
      </w:tr>
      <w:tr w:rsidR="00BA083C" w:rsidRPr="009C5F11" w14:paraId="7A88F223" w14:textId="77777777" w:rsidTr="00F4274E">
        <w:trPr>
          <w:trHeight w:val="62"/>
        </w:trPr>
        <w:tc>
          <w:tcPr>
            <w:tcW w:w="743" w:type="pct"/>
            <w:vMerge/>
          </w:tcPr>
          <w:p w14:paraId="3D4D45B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8780C04"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Organismul de implementare</w:t>
            </w:r>
          </w:p>
        </w:tc>
        <w:tc>
          <w:tcPr>
            <w:tcW w:w="3244" w:type="pct"/>
          </w:tcPr>
          <w:p w14:paraId="1071D870" w14:textId="77777777" w:rsidR="00BA083C" w:rsidRPr="009C5F11" w:rsidRDefault="00BA083C" w:rsidP="00F4274E">
            <w:pPr>
              <w:tabs>
                <w:tab w:val="left" w:pos="1440"/>
                <w:tab w:val="left" w:pos="5040"/>
                <w:tab w:val="right" w:pos="8504"/>
              </w:tabs>
              <w:spacing w:after="0" w:line="288"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 MM, APL</w:t>
            </w:r>
          </w:p>
        </w:tc>
      </w:tr>
      <w:tr w:rsidR="00BA083C" w:rsidRPr="009C5F11" w14:paraId="09F31DCA" w14:textId="77777777" w:rsidTr="00F4274E">
        <w:trPr>
          <w:trHeight w:val="67"/>
        </w:trPr>
        <w:tc>
          <w:tcPr>
            <w:tcW w:w="743" w:type="pct"/>
            <w:vMerge/>
          </w:tcPr>
          <w:p w14:paraId="72BE246B"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38818E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Autoritatea de monitorizare</w:t>
            </w:r>
          </w:p>
        </w:tc>
        <w:tc>
          <w:tcPr>
            <w:tcW w:w="3244" w:type="pct"/>
          </w:tcPr>
          <w:p w14:paraId="172F3AE5"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AEE</w:t>
            </w:r>
          </w:p>
        </w:tc>
      </w:tr>
      <w:tr w:rsidR="00BA083C" w:rsidRPr="009C5F11" w14:paraId="3678895C" w14:textId="77777777" w:rsidTr="00F4274E">
        <w:trPr>
          <w:trHeight w:val="233"/>
        </w:trPr>
        <w:tc>
          <w:tcPr>
            <w:tcW w:w="743" w:type="pct"/>
            <w:vMerge w:val="restart"/>
          </w:tcPr>
          <w:p w14:paraId="4ECA8382"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 de energie</w:t>
            </w:r>
          </w:p>
        </w:tc>
        <w:tc>
          <w:tcPr>
            <w:tcW w:w="1013" w:type="pct"/>
          </w:tcPr>
          <w:p w14:paraId="4A23E3C0"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Metoda de monitorizare/măsurare a economiilor rezultante</w:t>
            </w:r>
          </w:p>
        </w:tc>
        <w:tc>
          <w:tcPr>
            <w:tcW w:w="3244" w:type="pct"/>
          </w:tcPr>
          <w:p w14:paraId="5DE50834"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6BF894C2" w14:textId="77777777" w:rsidTr="00F4274E">
        <w:trPr>
          <w:trHeight w:val="296"/>
        </w:trPr>
        <w:tc>
          <w:tcPr>
            <w:tcW w:w="743" w:type="pct"/>
            <w:vMerge/>
          </w:tcPr>
          <w:p w14:paraId="493A596D"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5E857D9E"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Economiile prevăzute în anul 2016 conform primului PNAEE </w:t>
            </w:r>
          </w:p>
        </w:tc>
        <w:tc>
          <w:tcPr>
            <w:tcW w:w="3244" w:type="pct"/>
          </w:tcPr>
          <w:p w14:paraId="4230FA21"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1E8E1305" w14:textId="77777777" w:rsidTr="00F4274E">
        <w:trPr>
          <w:trHeight w:val="62"/>
        </w:trPr>
        <w:tc>
          <w:tcPr>
            <w:tcW w:w="743" w:type="pct"/>
            <w:vMerge/>
          </w:tcPr>
          <w:p w14:paraId="3A6FCF56"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6E71EFA1"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Economiile obţinute în 2016</w:t>
            </w:r>
          </w:p>
        </w:tc>
        <w:tc>
          <w:tcPr>
            <w:tcW w:w="3244" w:type="pct"/>
          </w:tcPr>
          <w:p w14:paraId="2402E814"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1C710960" w14:textId="77777777" w:rsidTr="00F4274E">
        <w:trPr>
          <w:trHeight w:val="125"/>
        </w:trPr>
        <w:tc>
          <w:tcPr>
            <w:tcW w:w="743" w:type="pct"/>
            <w:vMerge/>
          </w:tcPr>
          <w:p w14:paraId="4B7C72CB"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004CB6A2"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 xml:space="preserve">Impactul scontat asupra economiilor de energie în 2020 </w:t>
            </w:r>
          </w:p>
        </w:tc>
        <w:tc>
          <w:tcPr>
            <w:tcW w:w="3244" w:type="pct"/>
          </w:tcPr>
          <w:p w14:paraId="1A071303" w14:textId="77777777" w:rsidR="00BA083C" w:rsidRPr="009C5F11" w:rsidRDefault="0020499B"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N/A</w:t>
            </w:r>
          </w:p>
        </w:tc>
      </w:tr>
      <w:tr w:rsidR="00BA083C" w:rsidRPr="009C5F11" w14:paraId="688149D7" w14:textId="77777777" w:rsidTr="00F4274E">
        <w:trPr>
          <w:trHeight w:val="62"/>
        </w:trPr>
        <w:tc>
          <w:tcPr>
            <w:tcW w:w="743" w:type="pct"/>
            <w:vMerge/>
          </w:tcPr>
          <w:p w14:paraId="37815AF5"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788B4610" w14:textId="77777777" w:rsidR="00BA083C" w:rsidRPr="009C5F11" w:rsidRDefault="00DD7995"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Presupuneri</w:t>
            </w:r>
          </w:p>
        </w:tc>
        <w:tc>
          <w:tcPr>
            <w:tcW w:w="3244" w:type="pct"/>
          </w:tcPr>
          <w:p w14:paraId="120BC495" w14:textId="77777777" w:rsidR="00BA083C" w:rsidRPr="009C5F11" w:rsidRDefault="00BA083C" w:rsidP="00F4274E">
            <w:pPr>
              <w:tabs>
                <w:tab w:val="left" w:pos="1440"/>
                <w:tab w:val="left" w:pos="5040"/>
                <w:tab w:val="right" w:pos="8504"/>
              </w:tabs>
              <w:spacing w:after="0" w:line="240" w:lineRule="auto"/>
              <w:jc w:val="both"/>
              <w:rPr>
                <w:rFonts w:ascii="Times New Roman" w:hAnsi="Times New Roman" w:cs="Times New Roman"/>
                <w:sz w:val="18"/>
                <w:szCs w:val="14"/>
                <w:lang w:val="ro-RO" w:eastAsia="de-DE"/>
              </w:rPr>
            </w:pPr>
          </w:p>
        </w:tc>
      </w:tr>
      <w:tr w:rsidR="00BA083C" w:rsidRPr="009C5F11" w14:paraId="25112D5A" w14:textId="77777777" w:rsidTr="00F4274E">
        <w:trPr>
          <w:trHeight w:val="67"/>
        </w:trPr>
        <w:tc>
          <w:tcPr>
            <w:tcW w:w="743" w:type="pct"/>
            <w:vMerge/>
          </w:tcPr>
          <w:p w14:paraId="42FAA269" w14:textId="77777777" w:rsidR="00BA083C" w:rsidRPr="009C5F11" w:rsidRDefault="00BA083C" w:rsidP="00F4274E">
            <w:pPr>
              <w:tabs>
                <w:tab w:val="left" w:pos="1440"/>
                <w:tab w:val="left" w:pos="5040"/>
                <w:tab w:val="right" w:pos="8504"/>
              </w:tabs>
              <w:spacing w:after="0" w:line="288" w:lineRule="auto"/>
              <w:rPr>
                <w:rFonts w:ascii="Times New Roman" w:hAnsi="Times New Roman" w:cs="Times New Roman"/>
                <w:sz w:val="18"/>
                <w:szCs w:val="14"/>
                <w:lang w:val="ro-RO" w:eastAsia="de-DE"/>
              </w:rPr>
            </w:pPr>
          </w:p>
        </w:tc>
        <w:tc>
          <w:tcPr>
            <w:tcW w:w="1013" w:type="pct"/>
          </w:tcPr>
          <w:p w14:paraId="24355FCD" w14:textId="77777777" w:rsidR="00BA083C" w:rsidRPr="009C5F11" w:rsidRDefault="00BA083C" w:rsidP="00F4274E">
            <w:pPr>
              <w:tabs>
                <w:tab w:val="left" w:pos="1440"/>
                <w:tab w:val="left" w:pos="5040"/>
                <w:tab w:val="right" w:pos="8504"/>
              </w:tabs>
              <w:spacing w:after="0" w:line="240" w:lineRule="auto"/>
              <w:rPr>
                <w:rFonts w:ascii="Times New Roman" w:hAnsi="Times New Roman" w:cs="Times New Roman"/>
                <w:sz w:val="18"/>
                <w:szCs w:val="14"/>
                <w:lang w:val="ro-RO" w:eastAsia="de-DE"/>
              </w:rPr>
            </w:pPr>
            <w:r w:rsidRPr="009C5F11">
              <w:rPr>
                <w:rFonts w:ascii="Times New Roman" w:hAnsi="Times New Roman" w:cs="Times New Roman"/>
                <w:sz w:val="18"/>
                <w:szCs w:val="14"/>
                <w:lang w:val="ro-RO" w:eastAsia="de-DE"/>
              </w:rPr>
              <w:t>Suprapuneri, efecte de multiplicare, sinergie</w:t>
            </w:r>
          </w:p>
        </w:tc>
        <w:tc>
          <w:tcPr>
            <w:tcW w:w="3244" w:type="pct"/>
          </w:tcPr>
          <w:p w14:paraId="2EA90428" w14:textId="77777777" w:rsidR="00BA083C" w:rsidRPr="009C5F11" w:rsidRDefault="00BA083C" w:rsidP="00F4274E">
            <w:pPr>
              <w:tabs>
                <w:tab w:val="left" w:pos="1440"/>
                <w:tab w:val="left" w:pos="5040"/>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Organismele de implementare vor identifica sinergiile cu alte proiecte/studii.</w:t>
            </w:r>
          </w:p>
        </w:tc>
      </w:tr>
    </w:tbl>
    <w:p w14:paraId="1F059FBA" w14:textId="77777777" w:rsidR="00BA083C" w:rsidRPr="009C5F11" w:rsidRDefault="00BA083C" w:rsidP="00BA083C">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br w:type="page"/>
      </w:r>
    </w:p>
    <w:p w14:paraId="35CD67BB" w14:textId="77777777" w:rsidR="00BA083C" w:rsidRPr="00D9464A" w:rsidRDefault="00BA083C" w:rsidP="00BA083C">
      <w:pPr>
        <w:pStyle w:val="Titlu3"/>
        <w:rPr>
          <w:rFonts w:ascii="Times New Roman" w:hAnsi="Times New Roman" w:cs="Times New Roman"/>
          <w:b/>
          <w:color w:val="000000" w:themeColor="text1"/>
          <w:sz w:val="28"/>
          <w:lang w:val="ro-RO"/>
        </w:rPr>
      </w:pPr>
      <w:bookmarkStart w:id="241" w:name="_Ref274125773"/>
      <w:bookmarkStart w:id="242" w:name="_Ref274126092"/>
      <w:bookmarkStart w:id="243" w:name="_Toc274298536"/>
      <w:bookmarkStart w:id="244" w:name="_Toc274304024"/>
      <w:bookmarkStart w:id="245" w:name="_Ref275734612"/>
      <w:bookmarkStart w:id="246" w:name="_Toc319555406"/>
      <w:bookmarkStart w:id="247" w:name="_Toc322013172"/>
      <w:r w:rsidRPr="00D9464A">
        <w:rPr>
          <w:rFonts w:ascii="Times New Roman" w:hAnsi="Times New Roman" w:cs="Times New Roman"/>
          <w:b/>
          <w:color w:val="000000" w:themeColor="text1"/>
          <w:sz w:val="28"/>
          <w:lang w:val="ro-RO"/>
        </w:rPr>
        <w:lastRenderedPageBreak/>
        <w:t>Sumarul economiilor globale de energie finală</w:t>
      </w:r>
      <w:bookmarkEnd w:id="241"/>
      <w:bookmarkEnd w:id="242"/>
      <w:bookmarkEnd w:id="243"/>
      <w:bookmarkEnd w:id="244"/>
      <w:bookmarkEnd w:id="245"/>
      <w:bookmarkEnd w:id="246"/>
      <w:bookmarkEnd w:id="247"/>
    </w:p>
    <w:p w14:paraId="24113D83" w14:textId="5BEB9A7F" w:rsidR="00BA083C" w:rsidRPr="009C5F11" w:rsidRDefault="00BA083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Sumarul economiilor de energie finală este prezentat în </w:t>
      </w:r>
      <w:r w:rsidR="00672E6E" w:rsidRPr="009C5F11">
        <w:rPr>
          <w:rFonts w:ascii="Times New Roman" w:hAnsi="Times New Roman" w:cs="Times New Roman"/>
          <w:sz w:val="24"/>
          <w:lang w:val="ro-RO"/>
        </w:rPr>
        <w:fldChar w:fldCharType="begin"/>
      </w:r>
      <w:r w:rsidR="00672E6E" w:rsidRPr="009C5F11">
        <w:rPr>
          <w:rFonts w:ascii="Times New Roman" w:hAnsi="Times New Roman" w:cs="Times New Roman"/>
          <w:sz w:val="24"/>
          <w:lang w:val="ro-RO"/>
        </w:rPr>
        <w:instrText xml:space="preserve"> REF _Ref275818906 \h  \* MERGEFORMAT </w:instrText>
      </w:r>
      <w:r w:rsidR="00672E6E" w:rsidRPr="009C5F11">
        <w:rPr>
          <w:rFonts w:ascii="Times New Roman" w:hAnsi="Times New Roman" w:cs="Times New Roman"/>
          <w:sz w:val="24"/>
          <w:lang w:val="ro-RO"/>
        </w:rPr>
      </w:r>
      <w:r w:rsidR="00672E6E"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23</w:t>
      </w:r>
      <w:r w:rsidR="00672E6E" w:rsidRPr="009C5F11">
        <w:rPr>
          <w:rFonts w:ascii="Times New Roman" w:hAnsi="Times New Roman" w:cs="Times New Roman"/>
          <w:sz w:val="24"/>
          <w:lang w:val="ro-RO"/>
        </w:rPr>
        <w:fldChar w:fldCharType="end"/>
      </w:r>
      <w:r w:rsidRPr="009C5F11">
        <w:rPr>
          <w:rFonts w:ascii="Times New Roman" w:hAnsi="Times New Roman" w:cs="Times New Roman"/>
          <w:sz w:val="24"/>
          <w:lang w:val="ro-RO"/>
        </w:rPr>
        <w:t xml:space="preserve"> de mai jos. Pentru efectuarea calculelor a fost aplicată metodologia bottom-up.</w:t>
      </w:r>
    </w:p>
    <w:p w14:paraId="3633CD0A" w14:textId="77777777" w:rsidR="00B416D9" w:rsidRPr="009C5F11" w:rsidRDefault="00B416D9" w:rsidP="00BA083C">
      <w:pPr>
        <w:spacing w:before="120" w:after="120" w:line="240" w:lineRule="auto"/>
        <w:jc w:val="both"/>
        <w:textAlignment w:val="baseline"/>
        <w:rPr>
          <w:rFonts w:ascii="Times New Roman" w:hAnsi="Times New Roman" w:cs="Times New Roman"/>
          <w:sz w:val="24"/>
          <w:lang w:val="ro-RO"/>
        </w:rPr>
      </w:pPr>
    </w:p>
    <w:p w14:paraId="4471967E" w14:textId="77777777" w:rsidR="00BA083C" w:rsidRPr="009C5F11" w:rsidRDefault="00BA083C" w:rsidP="00BA083C">
      <w:pPr>
        <w:pStyle w:val="Legend"/>
        <w:keepNext/>
        <w:jc w:val="center"/>
        <w:rPr>
          <w:rFonts w:ascii="Times New Roman" w:hAnsi="Times New Roman" w:cs="Times New Roman"/>
          <w:sz w:val="22"/>
          <w:lang w:val="ro-RO"/>
        </w:rPr>
      </w:pPr>
      <w:bookmarkStart w:id="248" w:name="_Ref275818906"/>
      <w:bookmarkStart w:id="249" w:name="_Toc322013246"/>
      <w:bookmarkStart w:id="250" w:name="_Ref275818901"/>
      <w:r w:rsidRPr="009C5F11">
        <w:rPr>
          <w:rFonts w:ascii="Times New Roman" w:hAnsi="Times New Roman" w:cs="Times New Roman"/>
          <w:sz w:val="22"/>
          <w:lang w:val="ro-RO"/>
        </w:rPr>
        <w:t xml:space="preserve">Tabelul </w:t>
      </w:r>
      <w:r w:rsidR="003A6ADB" w:rsidRPr="009C5F11">
        <w:rPr>
          <w:rFonts w:ascii="Times New Roman" w:hAnsi="Times New Roman" w:cs="Times New Roman"/>
          <w:sz w:val="22"/>
          <w:lang w:val="ro-RO"/>
        </w:rPr>
        <w:fldChar w:fldCharType="begin"/>
      </w:r>
      <w:r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23</w:t>
      </w:r>
      <w:r w:rsidR="003A6ADB" w:rsidRPr="009C5F11">
        <w:rPr>
          <w:rFonts w:ascii="Times New Roman" w:hAnsi="Times New Roman" w:cs="Times New Roman"/>
          <w:sz w:val="22"/>
          <w:lang w:val="ro-RO"/>
        </w:rPr>
        <w:fldChar w:fldCharType="end"/>
      </w:r>
      <w:bookmarkEnd w:id="248"/>
      <w:r w:rsidRPr="009C5F11">
        <w:rPr>
          <w:rFonts w:ascii="Times New Roman" w:hAnsi="Times New Roman" w:cs="Times New Roman"/>
          <w:sz w:val="22"/>
          <w:lang w:val="ro-RO"/>
        </w:rPr>
        <w:t>. Sumarul economiilor de energie finală</w:t>
      </w:r>
      <w:r w:rsidRPr="009C5F11">
        <w:rPr>
          <w:rStyle w:val="Referinnotdesubsol"/>
          <w:rFonts w:ascii="Times New Roman" w:hAnsi="Times New Roman" w:cs="Times New Roman"/>
          <w:sz w:val="22"/>
          <w:lang w:val="ro-RO"/>
        </w:rPr>
        <w:footnoteReference w:id="21"/>
      </w:r>
      <w:r w:rsidRPr="009C5F11">
        <w:rPr>
          <w:rFonts w:ascii="Times New Roman" w:hAnsi="Times New Roman" w:cs="Times New Roman"/>
          <w:sz w:val="22"/>
          <w:lang w:val="ro-RO"/>
        </w:rPr>
        <w:t>.</w:t>
      </w:r>
      <w:bookmarkEnd w:id="249"/>
      <w:r w:rsidRPr="009C5F11">
        <w:rPr>
          <w:rFonts w:ascii="Times New Roman" w:hAnsi="Times New Roman" w:cs="Times New Roman"/>
          <w:sz w:val="22"/>
          <w:lang w:val="ro-RO"/>
        </w:rPr>
        <w:t xml:space="preserve"> </w:t>
      </w:r>
      <w:bookmarkEnd w:id="250"/>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99CCFF"/>
        <w:tblLook w:val="00A0" w:firstRow="1" w:lastRow="0" w:firstColumn="1" w:lastColumn="0" w:noHBand="0" w:noVBand="0"/>
      </w:tblPr>
      <w:tblGrid>
        <w:gridCol w:w="2489"/>
        <w:gridCol w:w="1730"/>
        <w:gridCol w:w="1647"/>
        <w:gridCol w:w="1599"/>
        <w:gridCol w:w="1778"/>
      </w:tblGrid>
      <w:tr w:rsidR="00BA083C" w:rsidRPr="009C5F11" w14:paraId="5897DA42" w14:textId="77777777" w:rsidTr="00F4274E">
        <w:trPr>
          <w:trHeight w:val="503"/>
        </w:trPr>
        <w:tc>
          <w:tcPr>
            <w:tcW w:w="1346" w:type="pct"/>
            <w:tcBorders>
              <w:bottom w:val="single" w:sz="8" w:space="0" w:color="FFFFFF" w:themeColor="background1"/>
            </w:tcBorders>
            <w:shd w:val="clear" w:color="auto" w:fill="000080"/>
          </w:tcPr>
          <w:p w14:paraId="54A739B0" w14:textId="77777777" w:rsidR="00BA083C" w:rsidRPr="009C5F11" w:rsidRDefault="00BA083C" w:rsidP="00F4274E">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Sector/ subsector</w:t>
            </w:r>
          </w:p>
        </w:tc>
        <w:tc>
          <w:tcPr>
            <w:tcW w:w="936" w:type="pct"/>
            <w:tcBorders>
              <w:bottom w:val="single" w:sz="8" w:space="0" w:color="FFFFFF" w:themeColor="background1"/>
            </w:tcBorders>
            <w:shd w:val="clear" w:color="auto" w:fill="000080"/>
          </w:tcPr>
          <w:p w14:paraId="2E5CED94" w14:textId="77777777" w:rsidR="00BA083C" w:rsidRPr="009C5F11" w:rsidRDefault="00BA083C" w:rsidP="00F4274E">
            <w:pPr>
              <w:pStyle w:val="Tabletext"/>
              <w:keepNext/>
              <w:keepLines/>
              <w:spacing w:before="0" w:after="0" w:line="240" w:lineRule="auto"/>
              <w:jc w:val="left"/>
              <w:rPr>
                <w:rFonts w:ascii="Times New Roman" w:hAnsi="Times New Roman"/>
                <w:b/>
                <w:szCs w:val="14"/>
                <w:lang w:val="ro-RO"/>
              </w:rPr>
            </w:pPr>
            <w:r w:rsidRPr="009C5F11">
              <w:rPr>
                <w:rFonts w:ascii="Times New Roman" w:hAnsi="Times New Roman"/>
                <w:b/>
                <w:szCs w:val="14"/>
                <w:lang w:val="ro-RO"/>
              </w:rPr>
              <w:t xml:space="preserve">Referinţă la măsurile din Capitolul </w:t>
            </w:r>
            <w:r w:rsidR="00672E6E" w:rsidRPr="009C5F11">
              <w:rPr>
                <w:rFonts w:ascii="Times New Roman" w:hAnsi="Times New Roman"/>
                <w:sz w:val="22"/>
                <w:lang w:val="ro-RO"/>
              </w:rPr>
              <w:fldChar w:fldCharType="begin"/>
            </w:r>
            <w:r w:rsidR="00672E6E" w:rsidRPr="009C5F11">
              <w:rPr>
                <w:rFonts w:ascii="Times New Roman" w:hAnsi="Times New Roman"/>
                <w:sz w:val="22"/>
                <w:lang w:val="ro-RO"/>
              </w:rPr>
              <w:instrText xml:space="preserve"> REF _Ref319624461 \r \h  \* MERGEFORMAT </w:instrText>
            </w:r>
            <w:r w:rsidR="00672E6E" w:rsidRPr="009C5F11">
              <w:rPr>
                <w:rFonts w:ascii="Times New Roman" w:hAnsi="Times New Roman"/>
                <w:sz w:val="22"/>
                <w:lang w:val="ro-RO"/>
              </w:rPr>
            </w:r>
            <w:r w:rsidR="00672E6E" w:rsidRPr="009C5F11">
              <w:rPr>
                <w:rFonts w:ascii="Times New Roman" w:hAnsi="Times New Roman"/>
                <w:sz w:val="22"/>
                <w:lang w:val="ro-RO"/>
              </w:rPr>
              <w:fldChar w:fldCharType="separate"/>
            </w:r>
            <w:r w:rsidR="0014013D" w:rsidRPr="0014013D">
              <w:rPr>
                <w:rFonts w:ascii="Times New Roman" w:hAnsi="Times New Roman"/>
                <w:b/>
                <w:szCs w:val="14"/>
                <w:lang w:val="ro-RO"/>
              </w:rPr>
              <w:t>3.3.2</w:t>
            </w:r>
            <w:r w:rsidR="00672E6E" w:rsidRPr="009C5F11">
              <w:rPr>
                <w:rFonts w:ascii="Times New Roman" w:hAnsi="Times New Roman"/>
                <w:sz w:val="22"/>
                <w:lang w:val="ro-RO"/>
              </w:rPr>
              <w:fldChar w:fldCharType="end"/>
            </w:r>
          </w:p>
        </w:tc>
        <w:tc>
          <w:tcPr>
            <w:tcW w:w="891" w:type="pct"/>
            <w:tcBorders>
              <w:bottom w:val="single" w:sz="8" w:space="0" w:color="FFFFFF" w:themeColor="background1"/>
            </w:tcBorders>
            <w:shd w:val="clear" w:color="auto" w:fill="000080"/>
          </w:tcPr>
          <w:p w14:paraId="3E131C09" w14:textId="77777777" w:rsidR="00BA083C" w:rsidRPr="009C5F11" w:rsidRDefault="00BA083C" w:rsidP="00F4274E">
            <w:pPr>
              <w:pStyle w:val="Tabletext"/>
              <w:keepNext/>
              <w:keepLines/>
              <w:spacing w:before="0" w:after="0" w:line="240" w:lineRule="auto"/>
              <w:jc w:val="left"/>
              <w:rPr>
                <w:rFonts w:ascii="Times New Roman" w:hAnsi="Times New Roman"/>
                <w:b/>
                <w:szCs w:val="14"/>
                <w:lang w:val="ro-RO"/>
              </w:rPr>
            </w:pPr>
            <w:r w:rsidRPr="009C5F11">
              <w:rPr>
                <w:rFonts w:ascii="Times New Roman" w:hAnsi="Times New Roman"/>
                <w:b/>
                <w:szCs w:val="14"/>
                <w:lang w:val="ro-RO"/>
              </w:rPr>
              <w:t>Metodologia de calcul</w:t>
            </w:r>
          </w:p>
        </w:tc>
        <w:tc>
          <w:tcPr>
            <w:tcW w:w="865" w:type="pct"/>
            <w:tcBorders>
              <w:bottom w:val="single" w:sz="8" w:space="0" w:color="FFFFFF" w:themeColor="background1"/>
            </w:tcBorders>
            <w:shd w:val="clear" w:color="auto" w:fill="000080"/>
          </w:tcPr>
          <w:p w14:paraId="7E2753DE" w14:textId="77777777" w:rsidR="00BA083C" w:rsidRPr="009C5F11" w:rsidRDefault="00BA083C" w:rsidP="00F4274E">
            <w:pPr>
              <w:pStyle w:val="Tabletext"/>
              <w:keepNext/>
              <w:keepLines/>
              <w:spacing w:before="0" w:after="0" w:line="240" w:lineRule="auto"/>
              <w:jc w:val="left"/>
              <w:rPr>
                <w:rFonts w:ascii="Times New Roman" w:hAnsi="Times New Roman"/>
                <w:b/>
                <w:szCs w:val="14"/>
                <w:lang w:val="ro-RO"/>
              </w:rPr>
            </w:pPr>
            <w:r w:rsidRPr="009C5F11">
              <w:rPr>
                <w:rFonts w:ascii="Times New Roman" w:hAnsi="Times New Roman"/>
                <w:b/>
                <w:szCs w:val="14"/>
                <w:lang w:val="ro-RO"/>
              </w:rPr>
              <w:t>Economii de energie obţinute în 2016 (ktep)</w:t>
            </w:r>
          </w:p>
        </w:tc>
        <w:tc>
          <w:tcPr>
            <w:tcW w:w="962" w:type="pct"/>
            <w:tcBorders>
              <w:bottom w:val="single" w:sz="8" w:space="0" w:color="FFFFFF" w:themeColor="background1"/>
            </w:tcBorders>
            <w:shd w:val="clear" w:color="auto" w:fill="000080"/>
          </w:tcPr>
          <w:p w14:paraId="45C95A3E" w14:textId="77777777" w:rsidR="00BA083C" w:rsidRPr="009C5F11" w:rsidRDefault="00BA083C" w:rsidP="00F4274E">
            <w:pPr>
              <w:pStyle w:val="Tabletext"/>
              <w:keepNext/>
              <w:keepLines/>
              <w:spacing w:before="0" w:after="0" w:line="240" w:lineRule="auto"/>
              <w:jc w:val="left"/>
              <w:rPr>
                <w:rFonts w:ascii="Times New Roman" w:hAnsi="Times New Roman"/>
                <w:b/>
                <w:szCs w:val="14"/>
                <w:lang w:val="ro-RO"/>
              </w:rPr>
            </w:pPr>
            <w:r w:rsidRPr="009C5F11">
              <w:rPr>
                <w:rFonts w:ascii="Times New Roman" w:hAnsi="Times New Roman"/>
                <w:b/>
                <w:szCs w:val="14"/>
                <w:lang w:val="ro-RO"/>
              </w:rPr>
              <w:t>Economii de energie prevăzute în 2020 (ktep)</w:t>
            </w:r>
          </w:p>
        </w:tc>
      </w:tr>
      <w:tr w:rsidR="00BA083C" w:rsidRPr="009C5F11" w14:paraId="37AFD5DF" w14:textId="77777777" w:rsidTr="00F4274E">
        <w:trPr>
          <w:trHeight w:val="125"/>
        </w:trPr>
        <w:tc>
          <w:tcPr>
            <w:tcW w:w="1346" w:type="pct"/>
            <w:shd w:val="clear" w:color="auto" w:fill="D3E6FE"/>
          </w:tcPr>
          <w:p w14:paraId="549CF8BB" w14:textId="77777777" w:rsidR="00BA083C" w:rsidRPr="009C5F11" w:rsidRDefault="00BA083C" w:rsidP="00F4274E">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Construcții/Clădiri</w:t>
            </w:r>
          </w:p>
        </w:tc>
        <w:tc>
          <w:tcPr>
            <w:tcW w:w="936" w:type="pct"/>
            <w:shd w:val="clear" w:color="auto" w:fill="D3E6FE"/>
          </w:tcPr>
          <w:p w14:paraId="24FF0736"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B.1</w:t>
            </w:r>
          </w:p>
          <w:p w14:paraId="66C45DF5"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B.2.</w:t>
            </w:r>
          </w:p>
          <w:p w14:paraId="16557AD0" w14:textId="77777777" w:rsidR="00BA083C" w:rsidRPr="009C5F11" w:rsidRDefault="00BA083C" w:rsidP="00F4274E">
            <w:pPr>
              <w:pStyle w:val="Tabletext"/>
              <w:keepNext/>
              <w:keepLines/>
              <w:spacing w:after="0" w:line="240" w:lineRule="auto"/>
              <w:rPr>
                <w:rFonts w:ascii="Times New Roman" w:hAnsi="Times New Roman"/>
                <w:szCs w:val="14"/>
                <w:lang w:val="ro-RO"/>
              </w:rPr>
            </w:pPr>
            <w:r w:rsidRPr="009C5F11">
              <w:rPr>
                <w:rFonts w:ascii="Times New Roman" w:hAnsi="Times New Roman"/>
                <w:szCs w:val="14"/>
                <w:lang w:val="ro-RO"/>
              </w:rPr>
              <w:t>B.3</w:t>
            </w:r>
          </w:p>
        </w:tc>
        <w:tc>
          <w:tcPr>
            <w:tcW w:w="891" w:type="pct"/>
            <w:shd w:val="clear" w:color="auto" w:fill="D3E6FE"/>
          </w:tcPr>
          <w:p w14:paraId="68554C3C" w14:textId="77777777" w:rsidR="00AB4217" w:rsidRPr="009C5F11" w:rsidRDefault="0020499B" w:rsidP="00F4274E">
            <w:pPr>
              <w:pStyle w:val="Tabletext"/>
              <w:keepNext/>
              <w:keepLines/>
              <w:spacing w:after="0" w:line="240" w:lineRule="auto"/>
              <w:jc w:val="left"/>
              <w:rPr>
                <w:rFonts w:ascii="Times New Roman" w:hAnsi="Times New Roman"/>
                <w:szCs w:val="14"/>
                <w:lang w:val="ro-RO"/>
              </w:rPr>
            </w:pPr>
            <w:r w:rsidRPr="009C5F11">
              <w:rPr>
                <w:rFonts w:ascii="Times New Roman" w:hAnsi="Times New Roman"/>
                <w:szCs w:val="14"/>
                <w:lang w:val="ro-RO"/>
              </w:rPr>
              <w:t>N/A</w:t>
            </w:r>
          </w:p>
          <w:p w14:paraId="2B5A8F5C" w14:textId="77777777" w:rsidR="00AB4217" w:rsidRPr="009C5F11" w:rsidRDefault="0020499B" w:rsidP="00F4274E">
            <w:pPr>
              <w:pStyle w:val="Tabletext"/>
              <w:keepNext/>
              <w:keepLines/>
              <w:spacing w:after="0" w:line="240" w:lineRule="auto"/>
              <w:jc w:val="left"/>
              <w:rPr>
                <w:rFonts w:ascii="Times New Roman" w:hAnsi="Times New Roman"/>
                <w:szCs w:val="14"/>
                <w:lang w:val="ro-RO"/>
              </w:rPr>
            </w:pPr>
            <w:r w:rsidRPr="009C5F11">
              <w:rPr>
                <w:rFonts w:ascii="Times New Roman" w:hAnsi="Times New Roman"/>
                <w:szCs w:val="14"/>
                <w:lang w:val="ro-RO"/>
              </w:rPr>
              <w:t>N/A</w:t>
            </w:r>
            <w:r w:rsidR="00BA083C" w:rsidRPr="009C5F11">
              <w:rPr>
                <w:rFonts w:ascii="Times New Roman" w:hAnsi="Times New Roman"/>
                <w:szCs w:val="14"/>
                <w:lang w:val="ro-RO"/>
              </w:rPr>
              <w:t xml:space="preserve"> </w:t>
            </w:r>
          </w:p>
          <w:p w14:paraId="4C3A9609" w14:textId="77777777" w:rsidR="00BA083C" w:rsidRPr="009C5F11" w:rsidRDefault="00BA083C" w:rsidP="00F4274E">
            <w:pPr>
              <w:pStyle w:val="Tabletext"/>
              <w:keepNext/>
              <w:keepLines/>
              <w:spacing w:after="0" w:line="240" w:lineRule="auto"/>
              <w:jc w:val="left"/>
              <w:rPr>
                <w:rFonts w:ascii="Times New Roman" w:hAnsi="Times New Roman"/>
                <w:szCs w:val="14"/>
                <w:lang w:val="ro-RO"/>
              </w:rPr>
            </w:pPr>
            <w:r w:rsidRPr="009C5F11">
              <w:rPr>
                <w:rFonts w:ascii="Times New Roman" w:hAnsi="Times New Roman"/>
                <w:szCs w:val="14"/>
                <w:lang w:val="ro-RO"/>
              </w:rPr>
              <w:t>*</w:t>
            </w:r>
          </w:p>
        </w:tc>
        <w:tc>
          <w:tcPr>
            <w:tcW w:w="865" w:type="pct"/>
            <w:shd w:val="clear" w:color="auto" w:fill="D3E6FE"/>
          </w:tcPr>
          <w:p w14:paraId="7E9ABA65" w14:textId="77777777" w:rsidR="00AB4217" w:rsidRPr="009C5F11" w:rsidRDefault="0020499B" w:rsidP="00F4274E">
            <w:pPr>
              <w:pStyle w:val="Tabletext"/>
              <w:keepNext/>
              <w:keepLines/>
              <w:spacing w:after="0" w:line="240" w:lineRule="auto"/>
              <w:rPr>
                <w:rFonts w:ascii="Times New Roman" w:hAnsi="Times New Roman"/>
                <w:szCs w:val="14"/>
                <w:lang w:val="ro-RO"/>
              </w:rPr>
            </w:pPr>
            <w:r w:rsidRPr="009C5F11">
              <w:rPr>
                <w:rFonts w:ascii="Times New Roman" w:hAnsi="Times New Roman"/>
                <w:szCs w:val="14"/>
                <w:lang w:val="ro-RO"/>
              </w:rPr>
              <w:t>N/A</w:t>
            </w:r>
          </w:p>
          <w:p w14:paraId="10EDC0CF" w14:textId="77777777" w:rsidR="00AB4217" w:rsidRPr="009C5F11" w:rsidRDefault="0020499B" w:rsidP="00F4274E">
            <w:pPr>
              <w:pStyle w:val="Tabletext"/>
              <w:keepNext/>
              <w:keepLines/>
              <w:spacing w:after="0" w:line="240" w:lineRule="auto"/>
              <w:rPr>
                <w:rFonts w:ascii="Times New Roman" w:hAnsi="Times New Roman"/>
                <w:szCs w:val="14"/>
                <w:lang w:val="ro-RO"/>
              </w:rPr>
            </w:pPr>
            <w:r w:rsidRPr="009C5F11">
              <w:rPr>
                <w:rFonts w:ascii="Times New Roman" w:hAnsi="Times New Roman"/>
                <w:szCs w:val="14"/>
                <w:lang w:val="ro-RO"/>
              </w:rPr>
              <w:t>N/A</w:t>
            </w:r>
          </w:p>
          <w:p w14:paraId="0C0A9274" w14:textId="77777777" w:rsidR="00BA083C" w:rsidRPr="009C5F11" w:rsidRDefault="00BA083C" w:rsidP="00F4274E">
            <w:pPr>
              <w:pStyle w:val="Tabletext"/>
              <w:keepNext/>
              <w:keepLines/>
              <w:spacing w:after="0" w:line="240" w:lineRule="auto"/>
              <w:rPr>
                <w:rFonts w:ascii="Times New Roman" w:hAnsi="Times New Roman"/>
                <w:szCs w:val="14"/>
                <w:lang w:val="ro-RO"/>
              </w:rPr>
            </w:pPr>
            <w:r w:rsidRPr="009C5F11">
              <w:rPr>
                <w:rFonts w:ascii="Times New Roman" w:hAnsi="Times New Roman"/>
                <w:szCs w:val="14"/>
                <w:lang w:val="ro-RO"/>
              </w:rPr>
              <w:t>1.18</w:t>
            </w:r>
          </w:p>
        </w:tc>
        <w:tc>
          <w:tcPr>
            <w:tcW w:w="962" w:type="pct"/>
            <w:shd w:val="clear" w:color="auto" w:fill="D3E6FE"/>
          </w:tcPr>
          <w:p w14:paraId="0CA12A09" w14:textId="77777777" w:rsidR="00AB4217" w:rsidRPr="009C5F11" w:rsidRDefault="0020499B" w:rsidP="00F4274E">
            <w:pPr>
              <w:pStyle w:val="Tabletext"/>
              <w:keepNext/>
              <w:keepLines/>
              <w:spacing w:after="0" w:line="240" w:lineRule="auto"/>
              <w:rPr>
                <w:rFonts w:ascii="Times New Roman" w:hAnsi="Times New Roman"/>
                <w:szCs w:val="14"/>
                <w:lang w:val="ro-RO"/>
              </w:rPr>
            </w:pPr>
            <w:r w:rsidRPr="009C5F11">
              <w:rPr>
                <w:rFonts w:ascii="Times New Roman" w:hAnsi="Times New Roman"/>
                <w:szCs w:val="14"/>
                <w:lang w:val="ro-RO"/>
              </w:rPr>
              <w:t>N/A</w:t>
            </w:r>
          </w:p>
          <w:p w14:paraId="1DD65019" w14:textId="77777777" w:rsidR="00AB4217" w:rsidRPr="009C5F11" w:rsidRDefault="0020499B" w:rsidP="00F4274E">
            <w:pPr>
              <w:pStyle w:val="Tabletext"/>
              <w:keepNext/>
              <w:keepLines/>
              <w:spacing w:after="0" w:line="240" w:lineRule="auto"/>
              <w:rPr>
                <w:rFonts w:ascii="Times New Roman" w:hAnsi="Times New Roman"/>
                <w:szCs w:val="14"/>
                <w:lang w:val="ro-RO"/>
              </w:rPr>
            </w:pPr>
            <w:r w:rsidRPr="009C5F11">
              <w:rPr>
                <w:rFonts w:ascii="Times New Roman" w:hAnsi="Times New Roman"/>
                <w:szCs w:val="14"/>
                <w:lang w:val="ro-RO"/>
              </w:rPr>
              <w:t>N/A</w:t>
            </w:r>
          </w:p>
          <w:p w14:paraId="41CB84BB" w14:textId="77777777" w:rsidR="00BA083C" w:rsidRPr="009C5F11" w:rsidRDefault="00BA083C" w:rsidP="00F4274E">
            <w:pPr>
              <w:pStyle w:val="Tabletext"/>
              <w:keepNext/>
              <w:keepLines/>
              <w:spacing w:after="0" w:line="240" w:lineRule="auto"/>
              <w:rPr>
                <w:rFonts w:ascii="Times New Roman" w:hAnsi="Times New Roman"/>
                <w:szCs w:val="14"/>
                <w:lang w:val="ro-RO"/>
              </w:rPr>
            </w:pPr>
            <w:r w:rsidRPr="009C5F11">
              <w:rPr>
                <w:rFonts w:ascii="Times New Roman" w:hAnsi="Times New Roman"/>
                <w:szCs w:val="14"/>
                <w:lang w:val="ro-RO"/>
              </w:rPr>
              <w:t>31.00</w:t>
            </w:r>
          </w:p>
        </w:tc>
      </w:tr>
      <w:tr w:rsidR="00BA083C" w:rsidRPr="009C5F11" w14:paraId="3F7EEB2F" w14:textId="77777777" w:rsidTr="00F4274E">
        <w:trPr>
          <w:trHeight w:val="79"/>
        </w:trPr>
        <w:tc>
          <w:tcPr>
            <w:tcW w:w="1346" w:type="pct"/>
            <w:tcBorders>
              <w:bottom w:val="single" w:sz="8" w:space="0" w:color="FFFFFF" w:themeColor="background1"/>
            </w:tcBorders>
            <w:shd w:val="clear" w:color="auto" w:fill="99CCFF"/>
          </w:tcPr>
          <w:p w14:paraId="6FACA0FA" w14:textId="77777777" w:rsidR="00BA083C" w:rsidRPr="009C5F11" w:rsidRDefault="00BA083C" w:rsidP="00F4274E">
            <w:pPr>
              <w:spacing w:after="0" w:line="240" w:lineRule="auto"/>
              <w:rPr>
                <w:rFonts w:ascii="Times New Roman" w:hAnsi="Times New Roman" w:cs="Times New Roman"/>
                <w:b/>
                <w:sz w:val="18"/>
                <w:szCs w:val="14"/>
                <w:lang w:val="ro-RO"/>
              </w:rPr>
            </w:pPr>
          </w:p>
        </w:tc>
        <w:tc>
          <w:tcPr>
            <w:tcW w:w="936" w:type="pct"/>
            <w:tcBorders>
              <w:bottom w:val="single" w:sz="8" w:space="0" w:color="FFFFFF" w:themeColor="background1"/>
            </w:tcBorders>
            <w:shd w:val="clear" w:color="auto" w:fill="99CCFF"/>
          </w:tcPr>
          <w:p w14:paraId="4CA89646"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TOTAL B</w:t>
            </w:r>
          </w:p>
        </w:tc>
        <w:tc>
          <w:tcPr>
            <w:tcW w:w="891" w:type="pct"/>
            <w:tcBorders>
              <w:bottom w:val="single" w:sz="8" w:space="0" w:color="FFFFFF" w:themeColor="background1"/>
            </w:tcBorders>
            <w:shd w:val="clear" w:color="auto" w:fill="99CCFF"/>
          </w:tcPr>
          <w:p w14:paraId="7A99D437"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p>
        </w:tc>
        <w:tc>
          <w:tcPr>
            <w:tcW w:w="865" w:type="pct"/>
            <w:tcBorders>
              <w:bottom w:val="single" w:sz="8" w:space="0" w:color="FFFFFF" w:themeColor="background1"/>
            </w:tcBorders>
            <w:shd w:val="clear" w:color="auto" w:fill="99CCFF"/>
          </w:tcPr>
          <w:p w14:paraId="7A6F4B8C"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1.18</w:t>
            </w:r>
          </w:p>
        </w:tc>
        <w:tc>
          <w:tcPr>
            <w:tcW w:w="962" w:type="pct"/>
            <w:tcBorders>
              <w:bottom w:val="single" w:sz="8" w:space="0" w:color="FFFFFF" w:themeColor="background1"/>
            </w:tcBorders>
            <w:shd w:val="clear" w:color="auto" w:fill="99CCFF"/>
          </w:tcPr>
          <w:p w14:paraId="1AB22695"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31.00</w:t>
            </w:r>
          </w:p>
        </w:tc>
      </w:tr>
      <w:tr w:rsidR="00BA083C" w:rsidRPr="009C5F11" w14:paraId="2013FD60" w14:textId="77777777" w:rsidTr="00F4274E">
        <w:trPr>
          <w:trHeight w:val="79"/>
        </w:trPr>
        <w:tc>
          <w:tcPr>
            <w:tcW w:w="1346" w:type="pct"/>
            <w:shd w:val="clear" w:color="auto" w:fill="D3E6FE"/>
          </w:tcPr>
          <w:p w14:paraId="031147BD" w14:textId="77777777" w:rsidR="00BA083C" w:rsidRPr="009C5F11" w:rsidRDefault="00BA083C" w:rsidP="00F4274E">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 xml:space="preserve">Sectorul public </w:t>
            </w:r>
          </w:p>
        </w:tc>
        <w:tc>
          <w:tcPr>
            <w:tcW w:w="936" w:type="pct"/>
            <w:shd w:val="clear" w:color="auto" w:fill="D3E6FE"/>
          </w:tcPr>
          <w:p w14:paraId="48F9D315"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91" w:type="pct"/>
            <w:shd w:val="clear" w:color="auto" w:fill="D3E6FE"/>
          </w:tcPr>
          <w:p w14:paraId="3323BA07"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p>
        </w:tc>
        <w:tc>
          <w:tcPr>
            <w:tcW w:w="865" w:type="pct"/>
            <w:shd w:val="clear" w:color="auto" w:fill="D3E6FE"/>
          </w:tcPr>
          <w:p w14:paraId="7CA47083" w14:textId="77777777" w:rsidR="00BA083C" w:rsidRPr="009C5F11" w:rsidRDefault="00BA083C" w:rsidP="00F4274E">
            <w:pPr>
              <w:pStyle w:val="Tabletext"/>
              <w:keepNext/>
              <w:keepLines/>
              <w:spacing w:after="0" w:line="240" w:lineRule="auto"/>
              <w:rPr>
                <w:rFonts w:ascii="Times New Roman" w:hAnsi="Times New Roman"/>
                <w:szCs w:val="14"/>
                <w:lang w:val="ro-RO"/>
              </w:rPr>
            </w:pPr>
          </w:p>
        </w:tc>
        <w:tc>
          <w:tcPr>
            <w:tcW w:w="962" w:type="pct"/>
            <w:shd w:val="clear" w:color="auto" w:fill="D3E6FE"/>
          </w:tcPr>
          <w:p w14:paraId="4B7D46DA" w14:textId="77777777" w:rsidR="00BA083C" w:rsidRPr="009C5F11" w:rsidRDefault="00BA083C" w:rsidP="00F4274E">
            <w:pPr>
              <w:pStyle w:val="Tabletext"/>
              <w:keepNext/>
              <w:keepLines/>
              <w:spacing w:after="0" w:line="240" w:lineRule="auto"/>
              <w:rPr>
                <w:rFonts w:ascii="Times New Roman" w:hAnsi="Times New Roman"/>
                <w:szCs w:val="14"/>
                <w:lang w:val="ro-RO"/>
              </w:rPr>
            </w:pPr>
          </w:p>
        </w:tc>
      </w:tr>
      <w:tr w:rsidR="00BA083C" w:rsidRPr="009C5F11" w14:paraId="4C19A970" w14:textId="77777777" w:rsidTr="00F4274E">
        <w:trPr>
          <w:trHeight w:val="79"/>
        </w:trPr>
        <w:tc>
          <w:tcPr>
            <w:tcW w:w="1346" w:type="pct"/>
            <w:shd w:val="clear" w:color="auto" w:fill="D3E6FE"/>
          </w:tcPr>
          <w:p w14:paraId="39EC2018" w14:textId="77777777" w:rsidR="00BA083C" w:rsidRPr="009C5F11" w:rsidRDefault="00BA083C" w:rsidP="00F4274E">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Clădiri publice</w:t>
            </w:r>
          </w:p>
        </w:tc>
        <w:tc>
          <w:tcPr>
            <w:tcW w:w="936" w:type="pct"/>
            <w:shd w:val="clear" w:color="auto" w:fill="D3E6FE"/>
          </w:tcPr>
          <w:p w14:paraId="329818DA"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P.1.</w:t>
            </w:r>
          </w:p>
        </w:tc>
        <w:tc>
          <w:tcPr>
            <w:tcW w:w="891" w:type="pct"/>
            <w:shd w:val="clear" w:color="auto" w:fill="D3E6FE"/>
          </w:tcPr>
          <w:p w14:paraId="0FFE3EC3"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w:t>
            </w:r>
          </w:p>
        </w:tc>
        <w:tc>
          <w:tcPr>
            <w:tcW w:w="865" w:type="pct"/>
            <w:shd w:val="clear" w:color="auto" w:fill="D3E6FE"/>
          </w:tcPr>
          <w:p w14:paraId="27BA70F8"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17.66</w:t>
            </w:r>
          </w:p>
        </w:tc>
        <w:tc>
          <w:tcPr>
            <w:tcW w:w="962" w:type="pct"/>
            <w:shd w:val="clear" w:color="auto" w:fill="D3E6FE"/>
          </w:tcPr>
          <w:p w14:paraId="368CA16D"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47.09</w:t>
            </w:r>
          </w:p>
        </w:tc>
      </w:tr>
      <w:tr w:rsidR="00BA083C" w:rsidRPr="009C5F11" w14:paraId="1161D902" w14:textId="77777777" w:rsidTr="00F4274E">
        <w:trPr>
          <w:trHeight w:val="134"/>
        </w:trPr>
        <w:tc>
          <w:tcPr>
            <w:tcW w:w="1346" w:type="pct"/>
            <w:shd w:val="clear" w:color="auto" w:fill="D3E6FE"/>
          </w:tcPr>
          <w:p w14:paraId="0F861B89" w14:textId="77777777" w:rsidR="00BA083C" w:rsidRPr="009C5F11" w:rsidRDefault="00BA083C" w:rsidP="00F4274E">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Iluminatul stradal</w:t>
            </w:r>
          </w:p>
        </w:tc>
        <w:tc>
          <w:tcPr>
            <w:tcW w:w="936" w:type="pct"/>
            <w:shd w:val="clear" w:color="auto" w:fill="D3E6FE"/>
          </w:tcPr>
          <w:p w14:paraId="26DB1530"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P.2.</w:t>
            </w:r>
          </w:p>
        </w:tc>
        <w:tc>
          <w:tcPr>
            <w:tcW w:w="891" w:type="pct"/>
            <w:shd w:val="clear" w:color="auto" w:fill="D3E6FE"/>
          </w:tcPr>
          <w:p w14:paraId="3DC891AD" w14:textId="77777777" w:rsidR="00BA083C" w:rsidRPr="009C5F11" w:rsidRDefault="00BA083C" w:rsidP="00F4274E">
            <w:pPr>
              <w:pStyle w:val="Tabletext"/>
              <w:keepNext/>
              <w:keepLines/>
              <w:spacing w:before="0" w:line="240" w:lineRule="auto"/>
              <w:rPr>
                <w:rFonts w:ascii="Times New Roman" w:hAnsi="Times New Roman"/>
                <w:szCs w:val="14"/>
                <w:lang w:val="ro-RO"/>
              </w:rPr>
            </w:pPr>
            <w:r w:rsidRPr="009C5F11">
              <w:rPr>
                <w:rFonts w:ascii="Times New Roman" w:hAnsi="Times New Roman"/>
                <w:szCs w:val="14"/>
                <w:lang w:val="ro-RO"/>
              </w:rPr>
              <w:t>*</w:t>
            </w:r>
          </w:p>
        </w:tc>
        <w:tc>
          <w:tcPr>
            <w:tcW w:w="865" w:type="pct"/>
            <w:shd w:val="clear" w:color="auto" w:fill="D3E6FE"/>
          </w:tcPr>
          <w:p w14:paraId="52897F60"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0.28</w:t>
            </w:r>
          </w:p>
        </w:tc>
        <w:tc>
          <w:tcPr>
            <w:tcW w:w="962" w:type="pct"/>
            <w:shd w:val="clear" w:color="auto" w:fill="D3E6FE"/>
          </w:tcPr>
          <w:p w14:paraId="7FE8646E"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0.98</w:t>
            </w:r>
          </w:p>
        </w:tc>
      </w:tr>
      <w:tr w:rsidR="00BA083C" w:rsidRPr="009C5F11" w14:paraId="794B517A" w14:textId="77777777" w:rsidTr="00F4274E">
        <w:trPr>
          <w:trHeight w:val="79"/>
        </w:trPr>
        <w:tc>
          <w:tcPr>
            <w:tcW w:w="1346" w:type="pct"/>
            <w:shd w:val="clear" w:color="auto" w:fill="D3E6FE"/>
          </w:tcPr>
          <w:p w14:paraId="71CEDDBE" w14:textId="77777777" w:rsidR="00BA083C" w:rsidRPr="009C5F11" w:rsidRDefault="00BA083C" w:rsidP="00F4274E">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Alimentare cu apă şi evacuare a apelor uzate </w:t>
            </w:r>
          </w:p>
        </w:tc>
        <w:tc>
          <w:tcPr>
            <w:tcW w:w="936" w:type="pct"/>
            <w:shd w:val="clear" w:color="auto" w:fill="D3E6FE"/>
          </w:tcPr>
          <w:p w14:paraId="281DAED2"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P.3.</w:t>
            </w:r>
          </w:p>
        </w:tc>
        <w:tc>
          <w:tcPr>
            <w:tcW w:w="891" w:type="pct"/>
            <w:shd w:val="clear" w:color="auto" w:fill="D3E6FE"/>
          </w:tcPr>
          <w:p w14:paraId="15C87E3E"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w:t>
            </w:r>
          </w:p>
        </w:tc>
        <w:tc>
          <w:tcPr>
            <w:tcW w:w="865" w:type="pct"/>
            <w:shd w:val="clear" w:color="auto" w:fill="D3E6FE"/>
          </w:tcPr>
          <w:p w14:paraId="479FBCBB"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0.71</w:t>
            </w:r>
          </w:p>
        </w:tc>
        <w:tc>
          <w:tcPr>
            <w:tcW w:w="962" w:type="pct"/>
            <w:shd w:val="clear" w:color="auto" w:fill="D3E6FE"/>
          </w:tcPr>
          <w:p w14:paraId="56183237"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2.05</w:t>
            </w:r>
          </w:p>
        </w:tc>
      </w:tr>
      <w:tr w:rsidR="00BA083C" w:rsidRPr="009C5F11" w14:paraId="3652CD68" w14:textId="77777777" w:rsidTr="00F4274E">
        <w:trPr>
          <w:trHeight w:val="79"/>
        </w:trPr>
        <w:tc>
          <w:tcPr>
            <w:tcW w:w="1346" w:type="pct"/>
            <w:tcBorders>
              <w:bottom w:val="single" w:sz="8" w:space="0" w:color="FFFFFF" w:themeColor="background1"/>
            </w:tcBorders>
            <w:shd w:val="clear" w:color="auto" w:fill="99CCFF"/>
          </w:tcPr>
          <w:p w14:paraId="5981ABEE" w14:textId="77777777" w:rsidR="00BA083C" w:rsidRPr="009C5F11" w:rsidRDefault="00BA083C" w:rsidP="00F4274E">
            <w:pPr>
              <w:spacing w:after="0" w:line="240" w:lineRule="auto"/>
              <w:rPr>
                <w:rFonts w:ascii="Times New Roman" w:hAnsi="Times New Roman" w:cs="Times New Roman"/>
                <w:b/>
                <w:sz w:val="18"/>
                <w:szCs w:val="14"/>
                <w:lang w:val="ro-RO"/>
              </w:rPr>
            </w:pPr>
          </w:p>
        </w:tc>
        <w:tc>
          <w:tcPr>
            <w:tcW w:w="936" w:type="pct"/>
            <w:tcBorders>
              <w:bottom w:val="single" w:sz="8" w:space="0" w:color="FFFFFF" w:themeColor="background1"/>
            </w:tcBorders>
            <w:shd w:val="clear" w:color="auto" w:fill="99CCFF"/>
          </w:tcPr>
          <w:p w14:paraId="5EADB7FB"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TOTAL P</w:t>
            </w:r>
          </w:p>
        </w:tc>
        <w:tc>
          <w:tcPr>
            <w:tcW w:w="891" w:type="pct"/>
            <w:tcBorders>
              <w:bottom w:val="single" w:sz="8" w:space="0" w:color="FFFFFF" w:themeColor="background1"/>
            </w:tcBorders>
            <w:shd w:val="clear" w:color="auto" w:fill="99CCFF"/>
          </w:tcPr>
          <w:p w14:paraId="4977EEF3"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p>
        </w:tc>
        <w:tc>
          <w:tcPr>
            <w:tcW w:w="865" w:type="pct"/>
            <w:tcBorders>
              <w:bottom w:val="single" w:sz="8" w:space="0" w:color="FFFFFF" w:themeColor="background1"/>
            </w:tcBorders>
            <w:shd w:val="clear" w:color="auto" w:fill="99CCFF"/>
          </w:tcPr>
          <w:p w14:paraId="1916C728"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18.65</w:t>
            </w:r>
          </w:p>
        </w:tc>
        <w:tc>
          <w:tcPr>
            <w:tcW w:w="962" w:type="pct"/>
            <w:tcBorders>
              <w:bottom w:val="single" w:sz="8" w:space="0" w:color="FFFFFF" w:themeColor="background1"/>
            </w:tcBorders>
            <w:shd w:val="clear" w:color="auto" w:fill="99CCFF"/>
          </w:tcPr>
          <w:p w14:paraId="19E30C12"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50.12</w:t>
            </w:r>
          </w:p>
        </w:tc>
      </w:tr>
      <w:tr w:rsidR="00BA083C" w:rsidRPr="009C5F11" w14:paraId="079B836A" w14:textId="77777777" w:rsidTr="00F4274E">
        <w:trPr>
          <w:trHeight w:val="98"/>
        </w:trPr>
        <w:tc>
          <w:tcPr>
            <w:tcW w:w="1346" w:type="pct"/>
            <w:shd w:val="clear" w:color="auto" w:fill="D3E6FE"/>
          </w:tcPr>
          <w:p w14:paraId="219ED178" w14:textId="77777777" w:rsidR="00BA083C" w:rsidRPr="009C5F11" w:rsidRDefault="00BA083C" w:rsidP="00F4274E">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Sectorul industrial şi IMM</w:t>
            </w:r>
          </w:p>
        </w:tc>
        <w:tc>
          <w:tcPr>
            <w:tcW w:w="936" w:type="pct"/>
            <w:shd w:val="clear" w:color="auto" w:fill="D3E6FE"/>
          </w:tcPr>
          <w:p w14:paraId="64D6B565"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I.1.</w:t>
            </w:r>
          </w:p>
          <w:p w14:paraId="1BF9C480"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I.2.</w:t>
            </w:r>
          </w:p>
        </w:tc>
        <w:tc>
          <w:tcPr>
            <w:tcW w:w="891" w:type="pct"/>
            <w:shd w:val="clear" w:color="auto" w:fill="D3E6FE"/>
          </w:tcPr>
          <w:p w14:paraId="57F4300D" w14:textId="77777777" w:rsidR="00BA083C" w:rsidRPr="009C5F11" w:rsidRDefault="00BA083C" w:rsidP="00F4274E">
            <w:pPr>
              <w:pStyle w:val="Tabletext"/>
              <w:keepNext/>
              <w:keepLines/>
              <w:spacing w:after="0" w:line="240" w:lineRule="auto"/>
              <w:rPr>
                <w:rFonts w:ascii="Times New Roman" w:hAnsi="Times New Roman"/>
                <w:szCs w:val="14"/>
                <w:lang w:val="ro-RO"/>
              </w:rPr>
            </w:pPr>
            <w:r w:rsidRPr="009C5F11">
              <w:rPr>
                <w:rFonts w:ascii="Times New Roman" w:hAnsi="Times New Roman"/>
                <w:szCs w:val="14"/>
                <w:lang w:val="ro-RO"/>
              </w:rPr>
              <w:t>*</w:t>
            </w:r>
          </w:p>
          <w:p w14:paraId="4DE43C7C" w14:textId="77777777" w:rsidR="00BA083C" w:rsidRPr="009C5F11" w:rsidRDefault="00BA083C" w:rsidP="00F4274E">
            <w:pPr>
              <w:pStyle w:val="Tabletext"/>
              <w:keepNext/>
              <w:keepLines/>
              <w:spacing w:after="0" w:line="240" w:lineRule="auto"/>
              <w:rPr>
                <w:rFonts w:ascii="Times New Roman" w:hAnsi="Times New Roman"/>
                <w:szCs w:val="14"/>
                <w:lang w:val="ro-RO"/>
              </w:rPr>
            </w:pPr>
            <w:r w:rsidRPr="009C5F11">
              <w:rPr>
                <w:rFonts w:ascii="Times New Roman" w:hAnsi="Times New Roman"/>
                <w:szCs w:val="14"/>
                <w:lang w:val="ro-RO"/>
              </w:rPr>
              <w:t>*</w:t>
            </w:r>
          </w:p>
        </w:tc>
        <w:tc>
          <w:tcPr>
            <w:tcW w:w="865" w:type="pct"/>
            <w:shd w:val="clear" w:color="auto" w:fill="D3E6FE"/>
          </w:tcPr>
          <w:p w14:paraId="47F1521D"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8.90</w:t>
            </w:r>
          </w:p>
          <w:p w14:paraId="0FE8000D"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1.15</w:t>
            </w:r>
          </w:p>
        </w:tc>
        <w:tc>
          <w:tcPr>
            <w:tcW w:w="962" w:type="pct"/>
            <w:shd w:val="clear" w:color="auto" w:fill="D3E6FE"/>
          </w:tcPr>
          <w:p w14:paraId="52569A36"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12.90</w:t>
            </w:r>
          </w:p>
          <w:p w14:paraId="5F66D8E4"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2.30</w:t>
            </w:r>
          </w:p>
        </w:tc>
      </w:tr>
      <w:tr w:rsidR="00BA083C" w:rsidRPr="009C5F11" w14:paraId="10BC030D" w14:textId="77777777" w:rsidTr="00F4274E">
        <w:tc>
          <w:tcPr>
            <w:tcW w:w="1346" w:type="pct"/>
            <w:tcBorders>
              <w:bottom w:val="single" w:sz="8" w:space="0" w:color="FFFFFF" w:themeColor="background1"/>
            </w:tcBorders>
            <w:shd w:val="clear" w:color="auto" w:fill="99CCFF"/>
          </w:tcPr>
          <w:p w14:paraId="740D3227" w14:textId="77777777" w:rsidR="00BA083C" w:rsidRPr="009C5F11" w:rsidRDefault="00BA083C" w:rsidP="00F4274E">
            <w:pPr>
              <w:spacing w:after="0" w:line="240" w:lineRule="auto"/>
              <w:rPr>
                <w:rFonts w:ascii="Times New Roman" w:hAnsi="Times New Roman" w:cs="Times New Roman"/>
                <w:b/>
                <w:sz w:val="18"/>
                <w:szCs w:val="14"/>
                <w:lang w:val="ro-RO"/>
              </w:rPr>
            </w:pPr>
          </w:p>
        </w:tc>
        <w:tc>
          <w:tcPr>
            <w:tcW w:w="936" w:type="pct"/>
            <w:tcBorders>
              <w:bottom w:val="single" w:sz="8" w:space="0" w:color="FFFFFF" w:themeColor="background1"/>
            </w:tcBorders>
            <w:shd w:val="clear" w:color="auto" w:fill="99CCFF"/>
          </w:tcPr>
          <w:p w14:paraId="3949E84C"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TOTAL I</w:t>
            </w:r>
          </w:p>
        </w:tc>
        <w:tc>
          <w:tcPr>
            <w:tcW w:w="891" w:type="pct"/>
            <w:tcBorders>
              <w:bottom w:val="single" w:sz="8" w:space="0" w:color="FFFFFF" w:themeColor="background1"/>
            </w:tcBorders>
            <w:shd w:val="clear" w:color="auto" w:fill="99CCFF"/>
          </w:tcPr>
          <w:p w14:paraId="63617543"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p>
        </w:tc>
        <w:tc>
          <w:tcPr>
            <w:tcW w:w="865" w:type="pct"/>
            <w:tcBorders>
              <w:bottom w:val="single" w:sz="8" w:space="0" w:color="FFFFFF" w:themeColor="background1"/>
            </w:tcBorders>
            <w:shd w:val="clear" w:color="auto" w:fill="99CCFF"/>
          </w:tcPr>
          <w:p w14:paraId="2CDC7A63"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10.05</w:t>
            </w:r>
          </w:p>
        </w:tc>
        <w:tc>
          <w:tcPr>
            <w:tcW w:w="962" w:type="pct"/>
            <w:tcBorders>
              <w:bottom w:val="single" w:sz="8" w:space="0" w:color="FFFFFF" w:themeColor="background1"/>
            </w:tcBorders>
            <w:shd w:val="clear" w:color="auto" w:fill="99CCFF"/>
          </w:tcPr>
          <w:p w14:paraId="214FE2C9"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15.20</w:t>
            </w:r>
          </w:p>
        </w:tc>
      </w:tr>
      <w:tr w:rsidR="00BA083C" w:rsidRPr="009C5F11" w14:paraId="47B53F24" w14:textId="77777777" w:rsidTr="00F4274E">
        <w:trPr>
          <w:trHeight w:val="79"/>
        </w:trPr>
        <w:tc>
          <w:tcPr>
            <w:tcW w:w="1346" w:type="pct"/>
            <w:shd w:val="clear" w:color="auto" w:fill="D3E6FE"/>
          </w:tcPr>
          <w:p w14:paraId="17CDCEE2" w14:textId="77777777" w:rsidR="00BA083C" w:rsidRPr="009C5F11" w:rsidRDefault="00BA083C" w:rsidP="00F4274E">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Sectorul energetic</w:t>
            </w:r>
          </w:p>
        </w:tc>
        <w:tc>
          <w:tcPr>
            <w:tcW w:w="936" w:type="pct"/>
            <w:shd w:val="clear" w:color="auto" w:fill="D3E6FE"/>
          </w:tcPr>
          <w:p w14:paraId="4D8680AE"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91" w:type="pct"/>
            <w:shd w:val="clear" w:color="auto" w:fill="D3E6FE"/>
          </w:tcPr>
          <w:p w14:paraId="3C035F1D"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65" w:type="pct"/>
            <w:shd w:val="clear" w:color="auto" w:fill="D3E6FE"/>
          </w:tcPr>
          <w:p w14:paraId="6864B572"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962" w:type="pct"/>
            <w:shd w:val="clear" w:color="auto" w:fill="D3E6FE"/>
          </w:tcPr>
          <w:p w14:paraId="7A91D56A" w14:textId="77777777" w:rsidR="00BA083C" w:rsidRPr="009C5F11" w:rsidRDefault="00BA083C" w:rsidP="00F4274E">
            <w:pPr>
              <w:pStyle w:val="Tabletext"/>
              <w:keepNext/>
              <w:keepLines/>
              <w:spacing w:line="240" w:lineRule="auto"/>
              <w:rPr>
                <w:rFonts w:ascii="Times New Roman" w:hAnsi="Times New Roman"/>
                <w:szCs w:val="14"/>
                <w:lang w:val="ro-RO"/>
              </w:rPr>
            </w:pPr>
          </w:p>
        </w:tc>
      </w:tr>
      <w:tr w:rsidR="00BA083C" w:rsidRPr="009C5F11" w14:paraId="65F3417C" w14:textId="77777777" w:rsidTr="00F4274E">
        <w:tc>
          <w:tcPr>
            <w:tcW w:w="1346" w:type="pct"/>
            <w:shd w:val="clear" w:color="auto" w:fill="D3E6FE"/>
          </w:tcPr>
          <w:p w14:paraId="0F4416D5" w14:textId="77777777" w:rsidR="00BA083C" w:rsidRPr="009C5F11" w:rsidRDefault="00BA083C" w:rsidP="00F4274E">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Energie electrică </w:t>
            </w:r>
          </w:p>
        </w:tc>
        <w:tc>
          <w:tcPr>
            <w:tcW w:w="936" w:type="pct"/>
            <w:shd w:val="clear" w:color="auto" w:fill="D3E6FE"/>
          </w:tcPr>
          <w:p w14:paraId="422C992F"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E.1.**</w:t>
            </w:r>
          </w:p>
        </w:tc>
        <w:tc>
          <w:tcPr>
            <w:tcW w:w="891" w:type="pct"/>
            <w:shd w:val="clear" w:color="auto" w:fill="D3E6FE"/>
          </w:tcPr>
          <w:p w14:paraId="43FD7591"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w:t>
            </w:r>
          </w:p>
        </w:tc>
        <w:tc>
          <w:tcPr>
            <w:tcW w:w="865" w:type="pct"/>
            <w:shd w:val="clear" w:color="auto" w:fill="D3E6FE"/>
          </w:tcPr>
          <w:p w14:paraId="6D941F2E"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10.60</w:t>
            </w:r>
          </w:p>
        </w:tc>
        <w:tc>
          <w:tcPr>
            <w:tcW w:w="962" w:type="pct"/>
            <w:shd w:val="clear" w:color="auto" w:fill="D3E6FE"/>
          </w:tcPr>
          <w:p w14:paraId="667D09F1"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12.76</w:t>
            </w:r>
          </w:p>
        </w:tc>
      </w:tr>
      <w:tr w:rsidR="00BA083C" w:rsidRPr="009C5F11" w14:paraId="54301891" w14:textId="77777777" w:rsidTr="00F4274E">
        <w:trPr>
          <w:trHeight w:val="251"/>
        </w:trPr>
        <w:tc>
          <w:tcPr>
            <w:tcW w:w="1346" w:type="pct"/>
            <w:shd w:val="clear" w:color="auto" w:fill="D3E6FE"/>
          </w:tcPr>
          <w:p w14:paraId="40241135" w14:textId="77777777" w:rsidR="00BA083C" w:rsidRPr="009C5F11" w:rsidRDefault="00BA083C" w:rsidP="00F4274E">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Gaze naturale </w:t>
            </w:r>
          </w:p>
        </w:tc>
        <w:tc>
          <w:tcPr>
            <w:tcW w:w="936" w:type="pct"/>
            <w:shd w:val="clear" w:color="auto" w:fill="D3E6FE"/>
          </w:tcPr>
          <w:p w14:paraId="42B4EBF4"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E.2.**</w:t>
            </w:r>
          </w:p>
          <w:p w14:paraId="31CCD758"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E.3.**</w:t>
            </w:r>
          </w:p>
        </w:tc>
        <w:tc>
          <w:tcPr>
            <w:tcW w:w="891" w:type="pct"/>
            <w:shd w:val="clear" w:color="auto" w:fill="D3E6FE"/>
          </w:tcPr>
          <w:p w14:paraId="1A6E0D6F"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w:t>
            </w:r>
          </w:p>
          <w:p w14:paraId="0B061339" w14:textId="77777777" w:rsidR="00BA083C" w:rsidRPr="009C5F11" w:rsidRDefault="0020499B"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N/A</w:t>
            </w:r>
          </w:p>
        </w:tc>
        <w:tc>
          <w:tcPr>
            <w:tcW w:w="865" w:type="pct"/>
            <w:shd w:val="clear" w:color="auto" w:fill="D3E6FE"/>
          </w:tcPr>
          <w:p w14:paraId="031C3885"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Măsură nouă</w:t>
            </w:r>
          </w:p>
          <w:p w14:paraId="6CB0EC61" w14:textId="77777777" w:rsidR="00BA083C" w:rsidRPr="009C5F11" w:rsidRDefault="0020499B"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N/A</w:t>
            </w:r>
          </w:p>
        </w:tc>
        <w:tc>
          <w:tcPr>
            <w:tcW w:w="962" w:type="pct"/>
            <w:shd w:val="clear" w:color="auto" w:fill="D3E6FE"/>
          </w:tcPr>
          <w:p w14:paraId="5A692991"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26.36</w:t>
            </w:r>
          </w:p>
          <w:p w14:paraId="0F6C98D7" w14:textId="77777777" w:rsidR="00BA083C" w:rsidRPr="009C5F11" w:rsidRDefault="0020499B"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N/A</w:t>
            </w:r>
          </w:p>
        </w:tc>
      </w:tr>
      <w:tr w:rsidR="00BA083C" w:rsidRPr="009C5F11" w14:paraId="2A067C55" w14:textId="77777777" w:rsidTr="00F4274E">
        <w:trPr>
          <w:trHeight w:val="79"/>
        </w:trPr>
        <w:tc>
          <w:tcPr>
            <w:tcW w:w="1346" w:type="pct"/>
            <w:shd w:val="clear" w:color="auto" w:fill="D3E6FE"/>
          </w:tcPr>
          <w:p w14:paraId="542B4FD0" w14:textId="77777777" w:rsidR="00BA083C" w:rsidRPr="009C5F11" w:rsidRDefault="00BA083C" w:rsidP="00F4274E">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Energie termică</w:t>
            </w:r>
          </w:p>
        </w:tc>
        <w:tc>
          <w:tcPr>
            <w:tcW w:w="936" w:type="pct"/>
            <w:shd w:val="clear" w:color="auto" w:fill="D3E6FE"/>
          </w:tcPr>
          <w:p w14:paraId="1CA1AFF0"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E.4.**</w:t>
            </w:r>
          </w:p>
          <w:p w14:paraId="01E747B5"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E.5 ***</w:t>
            </w:r>
          </w:p>
        </w:tc>
        <w:tc>
          <w:tcPr>
            <w:tcW w:w="891" w:type="pct"/>
            <w:shd w:val="clear" w:color="auto" w:fill="D3E6FE"/>
          </w:tcPr>
          <w:p w14:paraId="20B6A31A" w14:textId="77777777" w:rsidR="00AB4217" w:rsidRPr="009C5F11" w:rsidRDefault="0020499B"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N/A</w:t>
            </w:r>
          </w:p>
          <w:p w14:paraId="199BE6B4"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w:t>
            </w:r>
          </w:p>
        </w:tc>
        <w:tc>
          <w:tcPr>
            <w:tcW w:w="865" w:type="pct"/>
            <w:shd w:val="clear" w:color="auto" w:fill="D3E6FE"/>
          </w:tcPr>
          <w:p w14:paraId="0CEE5219" w14:textId="77777777" w:rsidR="00AB4217" w:rsidRPr="009C5F11" w:rsidRDefault="0020499B"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N/A</w:t>
            </w:r>
          </w:p>
          <w:p w14:paraId="2DD0403B"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3.14</w:t>
            </w:r>
          </w:p>
        </w:tc>
        <w:tc>
          <w:tcPr>
            <w:tcW w:w="962" w:type="pct"/>
            <w:shd w:val="clear" w:color="auto" w:fill="D3E6FE"/>
          </w:tcPr>
          <w:p w14:paraId="293CE549" w14:textId="77777777" w:rsidR="00AB4217" w:rsidRPr="009C5F11" w:rsidRDefault="0020499B"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N/A</w:t>
            </w:r>
          </w:p>
          <w:p w14:paraId="2034F0CC"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 xml:space="preserve">19.35 </w:t>
            </w:r>
            <w:r w:rsidRPr="009C5F11">
              <w:rPr>
                <w:rFonts w:ascii="Times New Roman" w:hAnsi="Times New Roman"/>
                <w:b/>
                <w:szCs w:val="14"/>
                <w:lang w:val="ro-RO"/>
              </w:rPr>
              <w:t>(8.45 DSE)</w:t>
            </w:r>
          </w:p>
        </w:tc>
      </w:tr>
      <w:tr w:rsidR="00BA083C" w:rsidRPr="009C5F11" w14:paraId="6A37F1CB" w14:textId="77777777" w:rsidTr="00F4274E">
        <w:tc>
          <w:tcPr>
            <w:tcW w:w="1346" w:type="pct"/>
            <w:shd w:val="clear" w:color="auto" w:fill="D3E6FE"/>
          </w:tcPr>
          <w:p w14:paraId="55DC8186" w14:textId="77777777" w:rsidR="00BA083C" w:rsidRPr="009C5F11" w:rsidRDefault="00BA083C" w:rsidP="00F4274E">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Energie electrică şi termică</w:t>
            </w:r>
          </w:p>
        </w:tc>
        <w:tc>
          <w:tcPr>
            <w:tcW w:w="936" w:type="pct"/>
            <w:shd w:val="clear" w:color="auto" w:fill="D3E6FE"/>
          </w:tcPr>
          <w:p w14:paraId="0761D7D0" w14:textId="77777777" w:rsidR="00BA083C" w:rsidRPr="009C5F11" w:rsidRDefault="00BA083C"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E.6 **</w:t>
            </w:r>
          </w:p>
        </w:tc>
        <w:tc>
          <w:tcPr>
            <w:tcW w:w="891" w:type="pct"/>
            <w:shd w:val="clear" w:color="auto" w:fill="D3E6FE"/>
          </w:tcPr>
          <w:p w14:paraId="4FA0E9C7" w14:textId="77777777" w:rsidR="00BA083C" w:rsidRPr="009C5F11" w:rsidRDefault="0020499B"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N/A</w:t>
            </w:r>
          </w:p>
        </w:tc>
        <w:tc>
          <w:tcPr>
            <w:tcW w:w="865" w:type="pct"/>
            <w:shd w:val="clear" w:color="auto" w:fill="D3E6FE"/>
          </w:tcPr>
          <w:p w14:paraId="6B355F5E" w14:textId="77777777" w:rsidR="00BA083C" w:rsidRPr="009C5F11" w:rsidRDefault="0020499B"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N/A</w:t>
            </w:r>
          </w:p>
        </w:tc>
        <w:tc>
          <w:tcPr>
            <w:tcW w:w="962" w:type="pct"/>
            <w:shd w:val="clear" w:color="auto" w:fill="D3E6FE"/>
          </w:tcPr>
          <w:p w14:paraId="79987E73" w14:textId="77777777" w:rsidR="00BA083C" w:rsidRPr="009C5F11" w:rsidRDefault="0020499B" w:rsidP="00F4274E">
            <w:pPr>
              <w:pStyle w:val="Tabletext"/>
              <w:keepNext/>
              <w:keepLines/>
              <w:spacing w:line="240" w:lineRule="auto"/>
              <w:rPr>
                <w:rFonts w:ascii="Times New Roman" w:hAnsi="Times New Roman"/>
                <w:szCs w:val="14"/>
                <w:lang w:val="ro-RO"/>
              </w:rPr>
            </w:pPr>
            <w:r w:rsidRPr="009C5F11">
              <w:rPr>
                <w:rFonts w:ascii="Times New Roman" w:hAnsi="Times New Roman"/>
                <w:szCs w:val="14"/>
                <w:lang w:val="ro-RO"/>
              </w:rPr>
              <w:t>N/A</w:t>
            </w:r>
          </w:p>
        </w:tc>
      </w:tr>
      <w:tr w:rsidR="00BA083C" w:rsidRPr="009C5F11" w14:paraId="7C115598" w14:textId="77777777" w:rsidTr="00F4274E">
        <w:tc>
          <w:tcPr>
            <w:tcW w:w="1346" w:type="pct"/>
            <w:tcBorders>
              <w:bottom w:val="single" w:sz="8" w:space="0" w:color="FFFFFF" w:themeColor="background1"/>
            </w:tcBorders>
            <w:shd w:val="clear" w:color="auto" w:fill="99CCFF"/>
          </w:tcPr>
          <w:p w14:paraId="7F43E7DC" w14:textId="77777777" w:rsidR="00BA083C" w:rsidRPr="009C5F11" w:rsidRDefault="00BA083C" w:rsidP="00F4274E">
            <w:pPr>
              <w:spacing w:after="0" w:line="240" w:lineRule="auto"/>
              <w:rPr>
                <w:rFonts w:ascii="Times New Roman" w:hAnsi="Times New Roman" w:cs="Times New Roman"/>
                <w:b/>
                <w:sz w:val="18"/>
                <w:szCs w:val="14"/>
                <w:lang w:val="ro-RO"/>
              </w:rPr>
            </w:pPr>
          </w:p>
        </w:tc>
        <w:tc>
          <w:tcPr>
            <w:tcW w:w="936" w:type="pct"/>
            <w:tcBorders>
              <w:bottom w:val="single" w:sz="8" w:space="0" w:color="FFFFFF" w:themeColor="background1"/>
            </w:tcBorders>
            <w:shd w:val="clear" w:color="auto" w:fill="99CCFF"/>
          </w:tcPr>
          <w:p w14:paraId="6B22F16F"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TOTAL E</w:t>
            </w:r>
          </w:p>
        </w:tc>
        <w:tc>
          <w:tcPr>
            <w:tcW w:w="891" w:type="pct"/>
            <w:tcBorders>
              <w:bottom w:val="single" w:sz="8" w:space="0" w:color="FFFFFF" w:themeColor="background1"/>
            </w:tcBorders>
            <w:shd w:val="clear" w:color="auto" w:fill="99CCFF"/>
          </w:tcPr>
          <w:p w14:paraId="36951BBF"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p>
        </w:tc>
        <w:tc>
          <w:tcPr>
            <w:tcW w:w="865" w:type="pct"/>
            <w:tcBorders>
              <w:bottom w:val="single" w:sz="8" w:space="0" w:color="FFFFFF" w:themeColor="background1"/>
            </w:tcBorders>
            <w:shd w:val="clear" w:color="auto" w:fill="99CCFF"/>
          </w:tcPr>
          <w:p w14:paraId="115641EF"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13.74</w:t>
            </w:r>
          </w:p>
        </w:tc>
        <w:tc>
          <w:tcPr>
            <w:tcW w:w="962" w:type="pct"/>
            <w:tcBorders>
              <w:bottom w:val="single" w:sz="8" w:space="0" w:color="FFFFFF" w:themeColor="background1"/>
            </w:tcBorders>
            <w:shd w:val="clear" w:color="auto" w:fill="99CCFF"/>
          </w:tcPr>
          <w:p w14:paraId="352C359B"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58.47</w:t>
            </w:r>
          </w:p>
        </w:tc>
      </w:tr>
      <w:tr w:rsidR="00BA083C" w:rsidRPr="009C5F11" w14:paraId="45EDB9E2" w14:textId="77777777" w:rsidTr="00F4274E">
        <w:tc>
          <w:tcPr>
            <w:tcW w:w="1346" w:type="pct"/>
            <w:shd w:val="clear" w:color="auto" w:fill="D3E6FE"/>
          </w:tcPr>
          <w:p w14:paraId="400DA3B3" w14:textId="77777777" w:rsidR="00BA083C" w:rsidRPr="009C5F11" w:rsidRDefault="00BA083C" w:rsidP="00F4274E">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Sectorul mobilitate</w:t>
            </w:r>
          </w:p>
        </w:tc>
        <w:tc>
          <w:tcPr>
            <w:tcW w:w="936" w:type="pct"/>
            <w:shd w:val="clear" w:color="auto" w:fill="D3E6FE"/>
          </w:tcPr>
          <w:p w14:paraId="664DF10D"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91" w:type="pct"/>
            <w:shd w:val="clear" w:color="auto" w:fill="D3E6FE"/>
          </w:tcPr>
          <w:p w14:paraId="5725768F"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65" w:type="pct"/>
            <w:shd w:val="clear" w:color="auto" w:fill="D3E6FE"/>
          </w:tcPr>
          <w:p w14:paraId="534228EF"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962" w:type="pct"/>
            <w:shd w:val="clear" w:color="auto" w:fill="D3E6FE"/>
          </w:tcPr>
          <w:p w14:paraId="2C2942A0" w14:textId="77777777" w:rsidR="00BA083C" w:rsidRPr="009C5F11" w:rsidRDefault="00BA083C" w:rsidP="00F4274E">
            <w:pPr>
              <w:pStyle w:val="Tabletext"/>
              <w:keepNext/>
              <w:keepLines/>
              <w:spacing w:line="240" w:lineRule="auto"/>
              <w:rPr>
                <w:rFonts w:ascii="Times New Roman" w:hAnsi="Times New Roman"/>
                <w:szCs w:val="14"/>
                <w:lang w:val="ro-RO"/>
              </w:rPr>
            </w:pPr>
          </w:p>
        </w:tc>
      </w:tr>
      <w:tr w:rsidR="00BA083C" w:rsidRPr="009C5F11" w14:paraId="32FEABF9" w14:textId="77777777" w:rsidTr="00F4274E">
        <w:tc>
          <w:tcPr>
            <w:tcW w:w="1346" w:type="pct"/>
            <w:shd w:val="clear" w:color="auto" w:fill="D3E6FE"/>
          </w:tcPr>
          <w:p w14:paraId="4C00F110" w14:textId="77777777" w:rsidR="00BA083C" w:rsidRPr="009C5F11" w:rsidRDefault="00BA083C" w:rsidP="00F4274E">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transport feroviar</w:t>
            </w:r>
          </w:p>
        </w:tc>
        <w:tc>
          <w:tcPr>
            <w:tcW w:w="936" w:type="pct"/>
            <w:shd w:val="clear" w:color="auto" w:fill="D3E6FE"/>
          </w:tcPr>
          <w:p w14:paraId="5B2CC41C"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T.1.</w:t>
            </w:r>
          </w:p>
        </w:tc>
        <w:tc>
          <w:tcPr>
            <w:tcW w:w="891" w:type="pct"/>
            <w:shd w:val="clear" w:color="auto" w:fill="D3E6FE"/>
          </w:tcPr>
          <w:p w14:paraId="5F6C4315"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w:t>
            </w:r>
          </w:p>
        </w:tc>
        <w:tc>
          <w:tcPr>
            <w:tcW w:w="865" w:type="pct"/>
            <w:shd w:val="clear" w:color="auto" w:fill="D3E6FE"/>
          </w:tcPr>
          <w:p w14:paraId="57565F75"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0</w:t>
            </w:r>
          </w:p>
        </w:tc>
        <w:tc>
          <w:tcPr>
            <w:tcW w:w="962" w:type="pct"/>
            <w:shd w:val="clear" w:color="auto" w:fill="D3E6FE"/>
          </w:tcPr>
          <w:p w14:paraId="2798FBC0"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2.21</w:t>
            </w:r>
          </w:p>
        </w:tc>
      </w:tr>
      <w:tr w:rsidR="00BA083C" w:rsidRPr="009C5F11" w14:paraId="3ADC6DD6" w14:textId="77777777" w:rsidTr="00F4274E">
        <w:tc>
          <w:tcPr>
            <w:tcW w:w="1346" w:type="pct"/>
            <w:shd w:val="clear" w:color="auto" w:fill="D3E6FE"/>
          </w:tcPr>
          <w:p w14:paraId="6F184446" w14:textId="77777777" w:rsidR="00BA083C" w:rsidRPr="009C5F11" w:rsidRDefault="00BA083C" w:rsidP="00F4274E">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transport rutier</w:t>
            </w:r>
          </w:p>
        </w:tc>
        <w:tc>
          <w:tcPr>
            <w:tcW w:w="936" w:type="pct"/>
            <w:shd w:val="clear" w:color="auto" w:fill="D3E6FE"/>
          </w:tcPr>
          <w:p w14:paraId="110022F3"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T.1.</w:t>
            </w:r>
          </w:p>
        </w:tc>
        <w:tc>
          <w:tcPr>
            <w:tcW w:w="891" w:type="pct"/>
            <w:shd w:val="clear" w:color="auto" w:fill="D3E6FE"/>
          </w:tcPr>
          <w:p w14:paraId="4D497EF2"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w:t>
            </w:r>
          </w:p>
        </w:tc>
        <w:tc>
          <w:tcPr>
            <w:tcW w:w="865" w:type="pct"/>
            <w:shd w:val="clear" w:color="auto" w:fill="D3E6FE"/>
          </w:tcPr>
          <w:p w14:paraId="1797EC5F"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0.12</w:t>
            </w:r>
          </w:p>
        </w:tc>
        <w:tc>
          <w:tcPr>
            <w:tcW w:w="962" w:type="pct"/>
            <w:shd w:val="clear" w:color="auto" w:fill="D3E6FE"/>
          </w:tcPr>
          <w:p w14:paraId="3A53C5EA" w14:textId="14DD6D7A"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31.</w:t>
            </w:r>
            <w:r w:rsidR="00807B31" w:rsidRPr="009C5F11">
              <w:rPr>
                <w:rFonts w:ascii="Times New Roman" w:hAnsi="Times New Roman"/>
                <w:szCs w:val="14"/>
                <w:lang w:val="ro-RO"/>
              </w:rPr>
              <w:t>52</w:t>
            </w:r>
          </w:p>
        </w:tc>
      </w:tr>
      <w:tr w:rsidR="00BA083C" w:rsidRPr="009C5F11" w14:paraId="59D67D71" w14:textId="77777777" w:rsidTr="00F4274E">
        <w:trPr>
          <w:trHeight w:val="116"/>
        </w:trPr>
        <w:tc>
          <w:tcPr>
            <w:tcW w:w="1346" w:type="pct"/>
            <w:tcBorders>
              <w:bottom w:val="single" w:sz="8" w:space="0" w:color="FFFFFF" w:themeColor="background1"/>
            </w:tcBorders>
            <w:shd w:val="clear" w:color="auto" w:fill="99CCFF"/>
          </w:tcPr>
          <w:p w14:paraId="356E7DB0" w14:textId="77777777" w:rsidR="00BA083C" w:rsidRPr="009C5F11" w:rsidRDefault="00BA083C" w:rsidP="00F4274E">
            <w:pPr>
              <w:spacing w:after="0" w:line="240" w:lineRule="auto"/>
              <w:rPr>
                <w:rFonts w:ascii="Times New Roman" w:hAnsi="Times New Roman" w:cs="Times New Roman"/>
                <w:b/>
                <w:sz w:val="18"/>
                <w:szCs w:val="14"/>
                <w:lang w:val="ro-RO"/>
              </w:rPr>
            </w:pPr>
          </w:p>
        </w:tc>
        <w:tc>
          <w:tcPr>
            <w:tcW w:w="936" w:type="pct"/>
            <w:tcBorders>
              <w:bottom w:val="single" w:sz="8" w:space="0" w:color="FFFFFF" w:themeColor="background1"/>
            </w:tcBorders>
            <w:shd w:val="clear" w:color="auto" w:fill="99CCFF"/>
          </w:tcPr>
          <w:p w14:paraId="6AD8A5B2"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TOTAL T (T.1.)</w:t>
            </w:r>
          </w:p>
        </w:tc>
        <w:tc>
          <w:tcPr>
            <w:tcW w:w="891" w:type="pct"/>
            <w:tcBorders>
              <w:bottom w:val="single" w:sz="8" w:space="0" w:color="FFFFFF" w:themeColor="background1"/>
            </w:tcBorders>
            <w:shd w:val="clear" w:color="auto" w:fill="99CCFF"/>
          </w:tcPr>
          <w:p w14:paraId="145998ED"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w:t>
            </w:r>
          </w:p>
        </w:tc>
        <w:tc>
          <w:tcPr>
            <w:tcW w:w="865" w:type="pct"/>
            <w:tcBorders>
              <w:bottom w:val="single" w:sz="8" w:space="0" w:color="FFFFFF" w:themeColor="background1"/>
            </w:tcBorders>
            <w:shd w:val="clear" w:color="auto" w:fill="99CCFF"/>
          </w:tcPr>
          <w:p w14:paraId="4C4C67EE"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0.12</w:t>
            </w:r>
          </w:p>
        </w:tc>
        <w:tc>
          <w:tcPr>
            <w:tcW w:w="962" w:type="pct"/>
            <w:tcBorders>
              <w:bottom w:val="single" w:sz="8" w:space="0" w:color="FFFFFF" w:themeColor="background1"/>
            </w:tcBorders>
            <w:shd w:val="clear" w:color="auto" w:fill="99CCFF"/>
          </w:tcPr>
          <w:p w14:paraId="2A3BF944" w14:textId="0DBD9998"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33.7</w:t>
            </w:r>
            <w:r w:rsidR="00B77B09" w:rsidRPr="009C5F11">
              <w:rPr>
                <w:rFonts w:ascii="Times New Roman" w:hAnsi="Times New Roman"/>
                <w:b/>
                <w:szCs w:val="14"/>
                <w:lang w:val="ro-RO"/>
              </w:rPr>
              <w:t>3</w:t>
            </w:r>
          </w:p>
        </w:tc>
      </w:tr>
      <w:tr w:rsidR="00BA083C" w:rsidRPr="009C5F11" w14:paraId="6BF4EABE" w14:textId="77777777" w:rsidTr="00F4274E">
        <w:trPr>
          <w:trHeight w:val="1322"/>
        </w:trPr>
        <w:tc>
          <w:tcPr>
            <w:tcW w:w="1346" w:type="pct"/>
            <w:shd w:val="clear" w:color="auto" w:fill="D3E6FE"/>
          </w:tcPr>
          <w:p w14:paraId="14974CCB" w14:textId="77777777" w:rsidR="00BA083C" w:rsidRPr="009C5F11" w:rsidRDefault="00BA083C" w:rsidP="00F4274E">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 xml:space="preserve">Măsuri orizontale </w:t>
            </w:r>
          </w:p>
        </w:tc>
        <w:tc>
          <w:tcPr>
            <w:tcW w:w="936" w:type="pct"/>
            <w:shd w:val="clear" w:color="auto" w:fill="D3E6FE"/>
          </w:tcPr>
          <w:p w14:paraId="0B69BB13"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H.1.</w:t>
            </w:r>
          </w:p>
          <w:p w14:paraId="723A8BA3"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H.2.</w:t>
            </w:r>
          </w:p>
          <w:p w14:paraId="4B0BCDD9"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H.3.</w:t>
            </w:r>
          </w:p>
          <w:p w14:paraId="1EE4CB63"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H.4.</w:t>
            </w:r>
          </w:p>
          <w:p w14:paraId="4A5B485E"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H.5.</w:t>
            </w:r>
          </w:p>
          <w:p w14:paraId="2AF408DB"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H.6.</w:t>
            </w:r>
          </w:p>
          <w:p w14:paraId="6F0470B4"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H.7.</w:t>
            </w:r>
          </w:p>
        </w:tc>
        <w:tc>
          <w:tcPr>
            <w:tcW w:w="891" w:type="pct"/>
            <w:shd w:val="clear" w:color="auto" w:fill="D3E6FE"/>
          </w:tcPr>
          <w:p w14:paraId="18649D9B"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66FF12A8"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627B9E95"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3B7F9504"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2884A0F5"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031F9D11"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w:t>
            </w:r>
          </w:p>
          <w:p w14:paraId="6ED94248" w14:textId="77777777" w:rsidR="00BA083C"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tc>
        <w:tc>
          <w:tcPr>
            <w:tcW w:w="865" w:type="pct"/>
            <w:shd w:val="clear" w:color="auto" w:fill="D3E6FE"/>
          </w:tcPr>
          <w:p w14:paraId="1FD0AB56"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2349D14B"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61EEF5EC"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275D4A1C"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40F0D2D0"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71D449B4"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781C7DEA" w14:textId="77777777" w:rsidR="00BA083C"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tc>
        <w:tc>
          <w:tcPr>
            <w:tcW w:w="962" w:type="pct"/>
            <w:shd w:val="clear" w:color="auto" w:fill="D3E6FE"/>
          </w:tcPr>
          <w:p w14:paraId="78178034"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389E3105"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27CB5679"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3EC128A3"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1340D666" w14:textId="77777777" w:rsidR="00AB4217"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p w14:paraId="396DD116"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37.80</w:t>
            </w:r>
          </w:p>
          <w:p w14:paraId="44FAFE27" w14:textId="77777777" w:rsidR="00BA083C" w:rsidRPr="009C5F11" w:rsidRDefault="0020499B" w:rsidP="00F4274E">
            <w:pPr>
              <w:pStyle w:val="Tabletext"/>
              <w:keepNext/>
              <w:keepLines/>
              <w:spacing w:before="0" w:after="0" w:line="240" w:lineRule="auto"/>
              <w:rPr>
                <w:rFonts w:ascii="Times New Roman" w:hAnsi="Times New Roman"/>
                <w:szCs w:val="14"/>
                <w:lang w:val="ro-RO"/>
              </w:rPr>
            </w:pPr>
            <w:r w:rsidRPr="009C5F11">
              <w:rPr>
                <w:rFonts w:ascii="Times New Roman" w:hAnsi="Times New Roman"/>
                <w:szCs w:val="14"/>
                <w:lang w:val="ro-RO"/>
              </w:rPr>
              <w:t>N/A</w:t>
            </w:r>
          </w:p>
        </w:tc>
      </w:tr>
      <w:tr w:rsidR="00BA083C" w:rsidRPr="009C5F11" w14:paraId="1E92DC79" w14:textId="77777777" w:rsidTr="00F4274E">
        <w:trPr>
          <w:trHeight w:val="59"/>
        </w:trPr>
        <w:tc>
          <w:tcPr>
            <w:tcW w:w="1346" w:type="pct"/>
            <w:tcBorders>
              <w:bottom w:val="single" w:sz="8" w:space="0" w:color="FFFFFF" w:themeColor="background1"/>
            </w:tcBorders>
            <w:shd w:val="clear" w:color="auto" w:fill="99CCFF"/>
          </w:tcPr>
          <w:p w14:paraId="2DDE6D4A" w14:textId="77777777" w:rsidR="00BA083C" w:rsidRPr="009C5F11" w:rsidRDefault="00BA083C" w:rsidP="00F4274E">
            <w:pPr>
              <w:spacing w:after="0" w:line="240" w:lineRule="auto"/>
              <w:rPr>
                <w:rFonts w:ascii="Times New Roman" w:hAnsi="Times New Roman" w:cs="Times New Roman"/>
                <w:b/>
                <w:sz w:val="18"/>
                <w:szCs w:val="14"/>
                <w:lang w:val="ro-RO"/>
              </w:rPr>
            </w:pPr>
          </w:p>
        </w:tc>
        <w:tc>
          <w:tcPr>
            <w:tcW w:w="936" w:type="pct"/>
            <w:tcBorders>
              <w:bottom w:val="single" w:sz="8" w:space="0" w:color="FFFFFF" w:themeColor="background1"/>
            </w:tcBorders>
            <w:shd w:val="clear" w:color="auto" w:fill="99CCFF"/>
          </w:tcPr>
          <w:p w14:paraId="491389DF"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TOTAL H</w:t>
            </w:r>
          </w:p>
        </w:tc>
        <w:tc>
          <w:tcPr>
            <w:tcW w:w="891" w:type="pct"/>
            <w:tcBorders>
              <w:bottom w:val="single" w:sz="8" w:space="0" w:color="FFFFFF" w:themeColor="background1"/>
            </w:tcBorders>
            <w:shd w:val="clear" w:color="auto" w:fill="99CCFF"/>
          </w:tcPr>
          <w:p w14:paraId="0D9D0FA0"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p>
        </w:tc>
        <w:tc>
          <w:tcPr>
            <w:tcW w:w="865" w:type="pct"/>
            <w:tcBorders>
              <w:bottom w:val="single" w:sz="8" w:space="0" w:color="FFFFFF" w:themeColor="background1"/>
            </w:tcBorders>
            <w:shd w:val="clear" w:color="auto" w:fill="99CCFF"/>
          </w:tcPr>
          <w:p w14:paraId="5D6D17E8" w14:textId="77777777" w:rsidR="00BA083C" w:rsidRPr="009C5F11" w:rsidRDefault="00BA083C" w:rsidP="00F4274E">
            <w:pPr>
              <w:pStyle w:val="Tabletext"/>
              <w:keepNext/>
              <w:keepLines/>
              <w:spacing w:before="0" w:after="0" w:line="240" w:lineRule="auto"/>
              <w:rPr>
                <w:rFonts w:ascii="Times New Roman" w:hAnsi="Times New Roman"/>
                <w:szCs w:val="14"/>
                <w:lang w:val="ro-RO"/>
              </w:rPr>
            </w:pPr>
          </w:p>
        </w:tc>
        <w:tc>
          <w:tcPr>
            <w:tcW w:w="962" w:type="pct"/>
            <w:tcBorders>
              <w:bottom w:val="single" w:sz="8" w:space="0" w:color="FFFFFF" w:themeColor="background1"/>
            </w:tcBorders>
            <w:shd w:val="clear" w:color="auto" w:fill="99CCFF"/>
          </w:tcPr>
          <w:p w14:paraId="3D3B149F" w14:textId="77777777" w:rsidR="00BA083C" w:rsidRPr="009C5F11" w:rsidRDefault="00BA083C" w:rsidP="00F4274E">
            <w:pPr>
              <w:pStyle w:val="Tabletext"/>
              <w:keepNext/>
              <w:keepLines/>
              <w:spacing w:before="0" w:after="0" w:line="240" w:lineRule="auto"/>
              <w:rPr>
                <w:rFonts w:ascii="Times New Roman" w:hAnsi="Times New Roman"/>
                <w:b/>
                <w:szCs w:val="14"/>
                <w:lang w:val="ro-RO"/>
              </w:rPr>
            </w:pPr>
            <w:r w:rsidRPr="009C5F11">
              <w:rPr>
                <w:rFonts w:ascii="Times New Roman" w:hAnsi="Times New Roman"/>
                <w:b/>
                <w:szCs w:val="14"/>
                <w:lang w:val="ro-RO"/>
              </w:rPr>
              <w:t>37.80</w:t>
            </w:r>
          </w:p>
        </w:tc>
      </w:tr>
      <w:tr w:rsidR="00BA083C" w:rsidRPr="009C5F11" w14:paraId="73111129" w14:textId="77777777" w:rsidTr="00F4274E">
        <w:tc>
          <w:tcPr>
            <w:tcW w:w="1346" w:type="pct"/>
            <w:shd w:val="clear" w:color="auto" w:fill="000080"/>
          </w:tcPr>
          <w:p w14:paraId="0320D717" w14:textId="77777777" w:rsidR="00BA083C" w:rsidRPr="009C5F11" w:rsidRDefault="00BA083C" w:rsidP="00F4274E">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SUMA</w:t>
            </w:r>
          </w:p>
        </w:tc>
        <w:tc>
          <w:tcPr>
            <w:tcW w:w="936" w:type="pct"/>
            <w:shd w:val="clear" w:color="auto" w:fill="000080"/>
          </w:tcPr>
          <w:p w14:paraId="1DE84BA0"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91" w:type="pct"/>
            <w:shd w:val="clear" w:color="auto" w:fill="000080"/>
          </w:tcPr>
          <w:p w14:paraId="73A9EA6D"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65" w:type="pct"/>
            <w:shd w:val="clear" w:color="auto" w:fill="000080"/>
          </w:tcPr>
          <w:p w14:paraId="58935C5F" w14:textId="77777777" w:rsidR="00BA083C" w:rsidRPr="009C5F11" w:rsidRDefault="00BA083C" w:rsidP="00F4274E">
            <w:pPr>
              <w:pStyle w:val="Tabletext"/>
              <w:keepNext/>
              <w:keepLines/>
              <w:spacing w:line="240" w:lineRule="auto"/>
              <w:rPr>
                <w:rFonts w:ascii="Times New Roman" w:hAnsi="Times New Roman"/>
                <w:b/>
                <w:szCs w:val="14"/>
                <w:lang w:val="ro-RO"/>
              </w:rPr>
            </w:pPr>
            <w:r w:rsidRPr="009C5F11">
              <w:rPr>
                <w:rFonts w:ascii="Times New Roman" w:hAnsi="Times New Roman"/>
                <w:b/>
                <w:szCs w:val="14"/>
                <w:lang w:val="ro-RO"/>
              </w:rPr>
              <w:t>43.74</w:t>
            </w:r>
          </w:p>
        </w:tc>
        <w:tc>
          <w:tcPr>
            <w:tcW w:w="962" w:type="pct"/>
            <w:shd w:val="clear" w:color="auto" w:fill="000080"/>
          </w:tcPr>
          <w:p w14:paraId="284B7D42" w14:textId="77777777" w:rsidR="00BA083C" w:rsidRPr="009C5F11" w:rsidRDefault="00BA083C" w:rsidP="00F4274E">
            <w:pPr>
              <w:pStyle w:val="Tabletext"/>
              <w:keepNext/>
              <w:keepLines/>
              <w:spacing w:line="240" w:lineRule="auto"/>
              <w:rPr>
                <w:rFonts w:ascii="Times New Roman" w:hAnsi="Times New Roman"/>
                <w:b/>
                <w:szCs w:val="14"/>
                <w:lang w:val="ro-RO"/>
              </w:rPr>
            </w:pPr>
            <w:r w:rsidRPr="009C5F11">
              <w:rPr>
                <w:rFonts w:ascii="Times New Roman" w:hAnsi="Times New Roman"/>
                <w:b/>
                <w:szCs w:val="14"/>
                <w:lang w:val="ro-RO"/>
              </w:rPr>
              <w:t>226.29</w:t>
            </w:r>
          </w:p>
        </w:tc>
      </w:tr>
      <w:tr w:rsidR="00BA083C" w:rsidRPr="009C5F11" w14:paraId="261EDD97" w14:textId="77777777" w:rsidTr="00F4274E">
        <w:tc>
          <w:tcPr>
            <w:tcW w:w="1346" w:type="pct"/>
            <w:shd w:val="clear" w:color="auto" w:fill="000080"/>
          </w:tcPr>
          <w:p w14:paraId="70CC36F8" w14:textId="77777777" w:rsidR="00BA083C" w:rsidRPr="009C5F11" w:rsidRDefault="00BA083C" w:rsidP="00F4274E">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în temeiul DSE</w:t>
            </w:r>
          </w:p>
        </w:tc>
        <w:tc>
          <w:tcPr>
            <w:tcW w:w="936" w:type="pct"/>
            <w:shd w:val="clear" w:color="auto" w:fill="000080"/>
          </w:tcPr>
          <w:p w14:paraId="6565C9A5"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91" w:type="pct"/>
            <w:shd w:val="clear" w:color="auto" w:fill="000080"/>
          </w:tcPr>
          <w:p w14:paraId="0CF59B08"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65" w:type="pct"/>
            <w:shd w:val="clear" w:color="auto" w:fill="000080"/>
          </w:tcPr>
          <w:p w14:paraId="45493E73" w14:textId="77777777" w:rsidR="00BA083C" w:rsidRPr="009C5F11" w:rsidRDefault="00BA083C" w:rsidP="00F4274E">
            <w:pPr>
              <w:pStyle w:val="Tabletext"/>
              <w:keepNext/>
              <w:keepLines/>
              <w:spacing w:line="240" w:lineRule="auto"/>
              <w:rPr>
                <w:rFonts w:ascii="Times New Roman" w:hAnsi="Times New Roman"/>
                <w:b/>
                <w:szCs w:val="14"/>
                <w:lang w:val="ro-RO"/>
              </w:rPr>
            </w:pPr>
            <w:r w:rsidRPr="009C5F11">
              <w:rPr>
                <w:rFonts w:ascii="Times New Roman" w:hAnsi="Times New Roman"/>
                <w:b/>
                <w:szCs w:val="14"/>
                <w:lang w:val="ro-RO"/>
              </w:rPr>
              <w:t>30.00</w:t>
            </w:r>
          </w:p>
        </w:tc>
        <w:tc>
          <w:tcPr>
            <w:tcW w:w="962" w:type="pct"/>
            <w:shd w:val="clear" w:color="auto" w:fill="000080"/>
          </w:tcPr>
          <w:p w14:paraId="25ED92A0" w14:textId="77777777" w:rsidR="00BA083C" w:rsidRPr="009C5F11" w:rsidRDefault="00BA083C" w:rsidP="00F4274E">
            <w:pPr>
              <w:pStyle w:val="Tabletext"/>
              <w:keepNext/>
              <w:keepLines/>
              <w:spacing w:line="240" w:lineRule="auto"/>
              <w:rPr>
                <w:rFonts w:ascii="Times New Roman" w:hAnsi="Times New Roman"/>
                <w:b/>
                <w:szCs w:val="14"/>
                <w:lang w:val="ro-RO"/>
              </w:rPr>
            </w:pPr>
            <w:r w:rsidRPr="009C5F11">
              <w:rPr>
                <w:rFonts w:ascii="Times New Roman" w:hAnsi="Times New Roman"/>
                <w:b/>
                <w:szCs w:val="14"/>
                <w:lang w:val="ro-RO"/>
              </w:rPr>
              <w:t>176.27</w:t>
            </w:r>
          </w:p>
        </w:tc>
      </w:tr>
      <w:tr w:rsidR="00BA083C" w:rsidRPr="009C5F11" w14:paraId="371AA4AC" w14:textId="77777777" w:rsidTr="00F4274E">
        <w:tc>
          <w:tcPr>
            <w:tcW w:w="1346" w:type="pct"/>
            <w:shd w:val="clear" w:color="auto" w:fill="000080"/>
          </w:tcPr>
          <w:p w14:paraId="0927BF0D" w14:textId="77777777" w:rsidR="00BA083C" w:rsidRPr="009C5F11" w:rsidRDefault="00BA083C" w:rsidP="00F4274E">
            <w:pPr>
              <w:spacing w:after="0" w:line="240" w:lineRule="auto"/>
              <w:rPr>
                <w:rFonts w:ascii="Times New Roman" w:hAnsi="Times New Roman" w:cs="Times New Roman"/>
                <w:b/>
                <w:sz w:val="18"/>
                <w:szCs w:val="14"/>
                <w:lang w:val="ro-RO"/>
              </w:rPr>
            </w:pPr>
            <w:r w:rsidRPr="009C5F11">
              <w:rPr>
                <w:rFonts w:ascii="Times New Roman" w:hAnsi="Times New Roman" w:cs="Times New Roman"/>
                <w:b/>
                <w:sz w:val="18"/>
                <w:szCs w:val="14"/>
                <w:lang w:val="ro-RO"/>
              </w:rPr>
              <w:t>Economii de energie în afara DSE</w:t>
            </w:r>
          </w:p>
        </w:tc>
        <w:tc>
          <w:tcPr>
            <w:tcW w:w="936" w:type="pct"/>
            <w:shd w:val="clear" w:color="auto" w:fill="000080"/>
          </w:tcPr>
          <w:p w14:paraId="54D91D5A"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91" w:type="pct"/>
            <w:shd w:val="clear" w:color="auto" w:fill="000080"/>
          </w:tcPr>
          <w:p w14:paraId="2847F86A" w14:textId="77777777" w:rsidR="00BA083C" w:rsidRPr="009C5F11" w:rsidRDefault="00BA083C" w:rsidP="00F4274E">
            <w:pPr>
              <w:pStyle w:val="Tabletext"/>
              <w:keepNext/>
              <w:keepLines/>
              <w:spacing w:line="240" w:lineRule="auto"/>
              <w:rPr>
                <w:rFonts w:ascii="Times New Roman" w:hAnsi="Times New Roman"/>
                <w:szCs w:val="14"/>
                <w:lang w:val="ro-RO"/>
              </w:rPr>
            </w:pPr>
          </w:p>
        </w:tc>
        <w:tc>
          <w:tcPr>
            <w:tcW w:w="865" w:type="pct"/>
            <w:shd w:val="clear" w:color="auto" w:fill="000080"/>
          </w:tcPr>
          <w:p w14:paraId="6C11B181" w14:textId="77777777" w:rsidR="00BA083C" w:rsidRPr="009C5F11" w:rsidRDefault="00BA083C" w:rsidP="00F4274E">
            <w:pPr>
              <w:pStyle w:val="Tabletext"/>
              <w:keepNext/>
              <w:keepLines/>
              <w:spacing w:line="240" w:lineRule="auto"/>
              <w:rPr>
                <w:rFonts w:ascii="Times New Roman" w:hAnsi="Times New Roman"/>
                <w:b/>
                <w:szCs w:val="14"/>
                <w:lang w:val="ro-RO"/>
              </w:rPr>
            </w:pPr>
            <w:r w:rsidRPr="009C5F11">
              <w:rPr>
                <w:rFonts w:ascii="Times New Roman" w:hAnsi="Times New Roman"/>
                <w:b/>
                <w:szCs w:val="14"/>
                <w:lang w:val="ro-RO"/>
              </w:rPr>
              <w:t>13.74</w:t>
            </w:r>
          </w:p>
        </w:tc>
        <w:tc>
          <w:tcPr>
            <w:tcW w:w="962" w:type="pct"/>
            <w:shd w:val="clear" w:color="auto" w:fill="000080"/>
          </w:tcPr>
          <w:p w14:paraId="7DD38823" w14:textId="77777777" w:rsidR="00BA083C" w:rsidRPr="009C5F11" w:rsidRDefault="00BA083C" w:rsidP="00F4274E">
            <w:pPr>
              <w:pStyle w:val="Tabletext"/>
              <w:keepNext/>
              <w:keepLines/>
              <w:spacing w:line="240" w:lineRule="auto"/>
              <w:rPr>
                <w:rFonts w:ascii="Times New Roman" w:hAnsi="Times New Roman"/>
                <w:b/>
                <w:szCs w:val="14"/>
                <w:lang w:val="ro-RO"/>
              </w:rPr>
            </w:pPr>
            <w:r w:rsidRPr="009C5F11">
              <w:rPr>
                <w:rFonts w:ascii="Times New Roman" w:hAnsi="Times New Roman"/>
                <w:b/>
                <w:szCs w:val="14"/>
                <w:lang w:val="ro-RO"/>
              </w:rPr>
              <w:t>50.02</w:t>
            </w:r>
          </w:p>
        </w:tc>
      </w:tr>
    </w:tbl>
    <w:p w14:paraId="142C1B00" w14:textId="77777777" w:rsidR="00BA083C" w:rsidRPr="009C5F11" w:rsidRDefault="00BA083C" w:rsidP="009F3BAB">
      <w:pPr>
        <w:spacing w:after="0" w:line="240" w:lineRule="auto"/>
        <w:ind w:left="720" w:hanging="720"/>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lastRenderedPageBreak/>
        <w:t xml:space="preserve">*) </w:t>
      </w:r>
      <w:r w:rsidRPr="009C5F11">
        <w:rPr>
          <w:rFonts w:ascii="Times New Roman" w:hAnsi="Times New Roman" w:cs="Times New Roman"/>
          <w:i/>
          <w:sz w:val="20"/>
          <w:szCs w:val="16"/>
          <w:lang w:val="ro-RO"/>
        </w:rPr>
        <w:tab/>
        <w:t>BU, rapoarte ale organismele de implementare către AEE / alte informaţii publice ale organismelor de implementare în ceea ce privește estimarea economiilor obţinute, fişele de proiect /alte informaţii din proiect şi alte asumări referitoare la previziunile de economii.</w:t>
      </w:r>
    </w:p>
    <w:p w14:paraId="7B149188" w14:textId="77777777" w:rsidR="00BA083C" w:rsidRPr="009C5F11" w:rsidRDefault="00BA083C" w:rsidP="00BA083C">
      <w:pPr>
        <w:spacing w:after="0" w:line="240" w:lineRule="auto"/>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 </w:t>
      </w:r>
      <w:r w:rsidRPr="009C5F11">
        <w:rPr>
          <w:rFonts w:ascii="Times New Roman" w:hAnsi="Times New Roman" w:cs="Times New Roman"/>
          <w:i/>
          <w:sz w:val="20"/>
          <w:szCs w:val="16"/>
          <w:lang w:val="ro-RO"/>
        </w:rPr>
        <w:tab/>
        <w:t>economii de energie primară;</w:t>
      </w:r>
    </w:p>
    <w:p w14:paraId="5F2019FF" w14:textId="77777777" w:rsidR="00BA083C" w:rsidRPr="009C5F11" w:rsidRDefault="00BA083C" w:rsidP="00BA083C">
      <w:pPr>
        <w:spacing w:after="0" w:line="240" w:lineRule="auto"/>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 </w:t>
      </w:r>
      <w:r w:rsidR="009F3BAB" w:rsidRPr="009C5F11">
        <w:rPr>
          <w:rFonts w:ascii="Times New Roman" w:hAnsi="Times New Roman" w:cs="Times New Roman"/>
          <w:i/>
          <w:sz w:val="20"/>
          <w:szCs w:val="16"/>
          <w:lang w:val="ro-RO"/>
        </w:rPr>
        <w:tab/>
      </w:r>
      <w:r w:rsidRPr="009C5F11">
        <w:rPr>
          <w:rFonts w:ascii="Times New Roman" w:hAnsi="Times New Roman" w:cs="Times New Roman"/>
          <w:i/>
          <w:sz w:val="20"/>
          <w:szCs w:val="16"/>
          <w:lang w:val="ro-RO"/>
        </w:rPr>
        <w:t>parţial economii de energie finală.</w:t>
      </w:r>
    </w:p>
    <w:p w14:paraId="6D9234C2" w14:textId="77777777" w:rsidR="00BA083C" w:rsidRPr="009C5F11" w:rsidRDefault="00BA083C" w:rsidP="00BA083C">
      <w:pPr>
        <w:shd w:val="clear" w:color="auto" w:fill="FFFFFF"/>
        <w:spacing w:before="120" w:after="120" w:line="240" w:lineRule="auto"/>
        <w:jc w:val="both"/>
        <w:rPr>
          <w:rFonts w:ascii="Times New Roman" w:hAnsi="Times New Roman" w:cs="Times New Roman"/>
          <w:i/>
          <w:sz w:val="24"/>
          <w:lang w:val="ro-RO"/>
        </w:rPr>
      </w:pPr>
      <w:r w:rsidRPr="009C5F11">
        <w:rPr>
          <w:rFonts w:ascii="Times New Roman" w:hAnsi="Times New Roman" w:cs="Times New Roman"/>
          <w:i/>
          <w:sz w:val="24"/>
          <w:lang w:val="ro-RO"/>
        </w:rPr>
        <w:br w:type="page"/>
      </w:r>
    </w:p>
    <w:p w14:paraId="1CFEF09D" w14:textId="77777777" w:rsidR="00BA083C" w:rsidRPr="00D9464A" w:rsidRDefault="00BA083C" w:rsidP="00BA083C">
      <w:pPr>
        <w:pStyle w:val="Titlu2"/>
        <w:rPr>
          <w:rFonts w:ascii="Times New Roman" w:hAnsi="Times New Roman" w:cs="Times New Roman"/>
          <w:color w:val="000000" w:themeColor="text1"/>
          <w:sz w:val="28"/>
          <w:lang w:val="ro-RO"/>
        </w:rPr>
      </w:pPr>
      <w:bookmarkStart w:id="251" w:name="_Toc322013173"/>
      <w:r w:rsidRPr="00D9464A">
        <w:rPr>
          <w:rFonts w:ascii="Times New Roman" w:hAnsi="Times New Roman" w:cs="Times New Roman"/>
          <w:color w:val="000000" w:themeColor="text1"/>
          <w:sz w:val="28"/>
          <w:lang w:val="ro-RO"/>
        </w:rPr>
        <w:lastRenderedPageBreak/>
        <w:t>Sectorul public</w:t>
      </w:r>
      <w:bookmarkEnd w:id="251"/>
    </w:p>
    <w:p w14:paraId="7B616D81" w14:textId="77777777" w:rsidR="00BA083C" w:rsidRPr="00D9464A" w:rsidRDefault="00BA083C" w:rsidP="00BA083C">
      <w:pPr>
        <w:pStyle w:val="Titlu3"/>
        <w:rPr>
          <w:rFonts w:ascii="Times New Roman" w:hAnsi="Times New Roman" w:cs="Times New Roman"/>
          <w:b/>
          <w:color w:val="000000" w:themeColor="text1"/>
          <w:sz w:val="28"/>
          <w:lang w:val="ro-RO"/>
        </w:rPr>
      </w:pPr>
      <w:bookmarkStart w:id="252" w:name="_Toc217240852"/>
      <w:bookmarkStart w:id="253" w:name="_Toc219544020"/>
      <w:bookmarkStart w:id="254" w:name="_Toc274298539"/>
      <w:bookmarkStart w:id="255" w:name="_Toc274304034"/>
      <w:bookmarkStart w:id="256" w:name="_Toc319555408"/>
      <w:bookmarkStart w:id="257" w:name="_Toc322013174"/>
      <w:r w:rsidRPr="00D9464A">
        <w:rPr>
          <w:rFonts w:ascii="Times New Roman" w:hAnsi="Times New Roman" w:cs="Times New Roman"/>
          <w:b/>
          <w:color w:val="000000" w:themeColor="text1"/>
          <w:sz w:val="28"/>
          <w:lang w:val="ro-RO"/>
        </w:rPr>
        <w:t>Rolul exemplar al sectorului public</w:t>
      </w:r>
      <w:bookmarkEnd w:id="252"/>
      <w:bookmarkEnd w:id="253"/>
      <w:bookmarkEnd w:id="254"/>
      <w:bookmarkEnd w:id="255"/>
      <w:bookmarkEnd w:id="256"/>
      <w:bookmarkEnd w:id="257"/>
    </w:p>
    <w:p w14:paraId="63B2F016" w14:textId="78A549A4" w:rsidR="00BA083C" w:rsidRPr="009C5F11" w:rsidRDefault="00BA083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bookmarkStart w:id="258" w:name="_Toc274298540"/>
      <w:bookmarkStart w:id="259" w:name="_Toc274304035"/>
      <w:bookmarkStart w:id="260" w:name="_Toc217240853"/>
      <w:bookmarkStart w:id="261" w:name="_Toc219544021"/>
      <w:r w:rsidRPr="009C5F11">
        <w:rPr>
          <w:rFonts w:ascii="Times New Roman" w:hAnsi="Times New Roman" w:cs="Times New Roman"/>
          <w:sz w:val="24"/>
          <w:lang w:val="ro-RO"/>
        </w:rPr>
        <w:t xml:space="preserve">Pentru a demonstra </w:t>
      </w:r>
      <w:r w:rsidR="00C77D69" w:rsidRPr="009C5F11">
        <w:rPr>
          <w:rFonts w:ascii="Times New Roman" w:hAnsi="Times New Roman" w:cs="Times New Roman"/>
          <w:sz w:val="24"/>
          <w:lang w:val="ro-RO"/>
        </w:rPr>
        <w:t>rolul de exemplu</w:t>
      </w:r>
      <w:r w:rsidRPr="009C5F11">
        <w:rPr>
          <w:rFonts w:ascii="Times New Roman" w:hAnsi="Times New Roman" w:cs="Times New Roman"/>
          <w:sz w:val="24"/>
          <w:lang w:val="ro-RO"/>
        </w:rPr>
        <w:t xml:space="preserve"> al sectorului public, PNAEE </w:t>
      </w:r>
      <w:r w:rsidR="00642BDB" w:rsidRPr="009C5F11">
        <w:rPr>
          <w:rFonts w:ascii="Times New Roman" w:hAnsi="Times New Roman" w:cs="Times New Roman"/>
          <w:sz w:val="24"/>
          <w:lang w:val="ro-RO"/>
        </w:rPr>
        <w:t xml:space="preserve">2013 - </w:t>
      </w:r>
      <w:r w:rsidRPr="009C5F11">
        <w:rPr>
          <w:rFonts w:ascii="Times New Roman" w:hAnsi="Times New Roman" w:cs="Times New Roman"/>
          <w:sz w:val="24"/>
          <w:lang w:val="ro-RO"/>
        </w:rPr>
        <w:t xml:space="preserve">2015 include următoarele 3 măsuri: </w:t>
      </w:r>
    </w:p>
    <w:p w14:paraId="62B17081" w14:textId="77777777" w:rsidR="00BA083C" w:rsidRPr="009C5F11" w:rsidRDefault="00BA083C" w:rsidP="00334F3B">
      <w:pPr>
        <w:pStyle w:val="Listparagraf"/>
        <w:numPr>
          <w:ilvl w:val="0"/>
          <w:numId w:val="172"/>
        </w:numPr>
        <w:rPr>
          <w:rFonts w:ascii="Times New Roman" w:hAnsi="Times New Roman" w:cs="Times New Roman"/>
          <w:sz w:val="24"/>
          <w:u w:val="single"/>
          <w:lang w:val="ro-RO"/>
        </w:rPr>
      </w:pPr>
      <w:bookmarkStart w:id="262" w:name="_Toc319555409"/>
      <w:r w:rsidRPr="009C5F11">
        <w:rPr>
          <w:rFonts w:ascii="Times New Roman" w:hAnsi="Times New Roman" w:cs="Times New Roman"/>
          <w:sz w:val="24"/>
          <w:u w:val="single"/>
          <w:lang w:val="ro-RO"/>
        </w:rPr>
        <w:t xml:space="preserve">“Managementul energetic la nivelul </w:t>
      </w:r>
      <w:r w:rsidR="007C3E73" w:rsidRPr="009C5F11">
        <w:rPr>
          <w:rFonts w:ascii="Times New Roman" w:hAnsi="Times New Roman" w:cs="Times New Roman"/>
          <w:sz w:val="24"/>
          <w:u w:val="single"/>
          <w:lang w:val="ro-RO"/>
        </w:rPr>
        <w:t>autorităţilor publice locale</w:t>
      </w:r>
      <w:r w:rsidRPr="009C5F11">
        <w:rPr>
          <w:rFonts w:ascii="Times New Roman" w:hAnsi="Times New Roman" w:cs="Times New Roman"/>
          <w:sz w:val="24"/>
          <w:u w:val="single"/>
          <w:lang w:val="ro-RO"/>
        </w:rPr>
        <w:t>” (Articolul 107).</w:t>
      </w:r>
      <w:bookmarkEnd w:id="262"/>
      <w:r w:rsidRPr="009C5F11">
        <w:rPr>
          <w:rFonts w:ascii="Times New Roman" w:hAnsi="Times New Roman" w:cs="Times New Roman"/>
          <w:sz w:val="24"/>
          <w:u w:val="single"/>
          <w:lang w:val="ro-RO"/>
        </w:rPr>
        <w:t xml:space="preserve"> </w:t>
      </w:r>
    </w:p>
    <w:p w14:paraId="4C35F003" w14:textId="77777777" w:rsidR="00BA083C" w:rsidRPr="009C5F11" w:rsidRDefault="00BA083C" w:rsidP="00BA083C">
      <w:pPr>
        <w:spacing w:before="120" w:after="120" w:line="240" w:lineRule="auto"/>
        <w:ind w:left="36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Introducerea managementului energetic la nivelul autorităţilor publice locale implică realizarea unei serii de măsuri, inclusiv:</w:t>
      </w:r>
    </w:p>
    <w:p w14:paraId="4C457330"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softului de monitorizare a consumurilor de energie pentru autorităţile publice locale (consiliile raionale, municipale şi UTA Găgăuzia) şi a manualului de utilizare a softului;</w:t>
      </w:r>
    </w:p>
    <w:p w14:paraId="1F60D8F3"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angajarea managerilor energetici în 32 de consilii raionale, UTA Găgăuzia şi 2 municipii;</w:t>
      </w:r>
    </w:p>
    <w:p w14:paraId="616F93F4"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instruirea a 35 de manageri energetici;</w:t>
      </w:r>
    </w:p>
    <w:p w14:paraId="108BE1E4"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organizarea periodică a cursurilor de instruire şi perfecţionare a managerilor energetici angajaţi în cadrul consiliilor raionale, municipale şi UTA Găgăuzia;</w:t>
      </w:r>
    </w:p>
    <w:p w14:paraId="6165B108"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elaborarea şi aprobarea structurii şi formularului-standard pentru programele locale de îmbunătăţire a eficienţei energetice şi planurile locale de acţiune în domeniul eficienţei energetice; </w:t>
      </w:r>
    </w:p>
    <w:p w14:paraId="15456B82"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şi aprobarea programele locale de îmbunătăţire a eficienţei energetice şi planurile locale de acţiune în domeniul eficienţei energetice;</w:t>
      </w:r>
    </w:p>
    <w:p w14:paraId="233A0769"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de către consiliile raionale, municipale şi UTA Găgăuzia a rapoartelor anuale în baza formularului elaborat de Agenţia pentru Eficienţa Energetică;;</w:t>
      </w:r>
    </w:p>
    <w:p w14:paraId="043B0EEE"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şi adoptarea planurilor de acţiuni pentru o energie durabilă pentru oraşele care au aderat la Convenţia primarilor.</w:t>
      </w:r>
    </w:p>
    <w:p w14:paraId="68B87462" w14:textId="77777777" w:rsidR="00BA083C" w:rsidRPr="009C5F11" w:rsidRDefault="00BA083C" w:rsidP="00BA083C">
      <w:pPr>
        <w:spacing w:after="0" w:line="240" w:lineRule="auto"/>
        <w:rPr>
          <w:rFonts w:ascii="Times New Roman" w:hAnsi="Times New Roman" w:cs="Times New Roman"/>
          <w:sz w:val="24"/>
          <w:lang w:val="ro-RO" w:eastAsia="de-DE"/>
        </w:rPr>
      </w:pPr>
    </w:p>
    <w:p w14:paraId="0755CF16" w14:textId="77777777" w:rsidR="00BA083C" w:rsidRPr="009C5F11" w:rsidRDefault="007C3E73" w:rsidP="00334F3B">
      <w:pPr>
        <w:pStyle w:val="Listparagraf"/>
        <w:numPr>
          <w:ilvl w:val="0"/>
          <w:numId w:val="172"/>
        </w:numPr>
        <w:rPr>
          <w:rFonts w:ascii="Times New Roman" w:hAnsi="Times New Roman" w:cs="Times New Roman"/>
          <w:sz w:val="24"/>
          <w:u w:val="single"/>
          <w:lang w:val="ro-RO"/>
        </w:rPr>
      </w:pPr>
      <w:bookmarkStart w:id="263" w:name="_Toc319555410"/>
      <w:r w:rsidRPr="009C5F11">
        <w:rPr>
          <w:rFonts w:ascii="Times New Roman" w:hAnsi="Times New Roman" w:cs="Times New Roman"/>
          <w:sz w:val="24"/>
          <w:u w:val="single"/>
          <w:lang w:val="ro-RO"/>
        </w:rPr>
        <w:t>E</w:t>
      </w:r>
      <w:r w:rsidR="00BA083C" w:rsidRPr="009C5F11">
        <w:rPr>
          <w:rFonts w:ascii="Times New Roman" w:hAnsi="Times New Roman" w:cs="Times New Roman"/>
          <w:sz w:val="24"/>
          <w:u w:val="single"/>
          <w:lang w:val="ro-RO"/>
        </w:rPr>
        <w:t>ficientiz</w:t>
      </w:r>
      <w:r w:rsidRPr="009C5F11">
        <w:rPr>
          <w:rFonts w:ascii="Times New Roman" w:hAnsi="Times New Roman" w:cs="Times New Roman"/>
          <w:sz w:val="24"/>
          <w:u w:val="single"/>
          <w:lang w:val="ro-RO"/>
        </w:rPr>
        <w:t>a</w:t>
      </w:r>
      <w:r w:rsidR="00BA083C" w:rsidRPr="009C5F11">
        <w:rPr>
          <w:rFonts w:ascii="Times New Roman" w:hAnsi="Times New Roman" w:cs="Times New Roman"/>
          <w:sz w:val="24"/>
          <w:u w:val="single"/>
          <w:lang w:val="ro-RO"/>
        </w:rPr>
        <w:t>r</w:t>
      </w:r>
      <w:r w:rsidRPr="009C5F11">
        <w:rPr>
          <w:rFonts w:ascii="Times New Roman" w:hAnsi="Times New Roman" w:cs="Times New Roman"/>
          <w:sz w:val="24"/>
          <w:u w:val="single"/>
          <w:lang w:val="ro-RO"/>
        </w:rPr>
        <w:t>ea</w:t>
      </w:r>
      <w:r w:rsidR="00BA083C" w:rsidRPr="009C5F11">
        <w:rPr>
          <w:rFonts w:ascii="Times New Roman" w:hAnsi="Times New Roman" w:cs="Times New Roman"/>
          <w:sz w:val="24"/>
          <w:u w:val="single"/>
          <w:lang w:val="ro-RO"/>
        </w:rPr>
        <w:t xml:space="preserve"> consumului </w:t>
      </w:r>
      <w:r w:rsidRPr="009C5F11">
        <w:rPr>
          <w:rFonts w:ascii="Times New Roman" w:hAnsi="Times New Roman" w:cs="Times New Roman"/>
          <w:sz w:val="24"/>
          <w:u w:val="single"/>
          <w:lang w:val="ro-RO"/>
        </w:rPr>
        <w:t xml:space="preserve">de </w:t>
      </w:r>
      <w:r w:rsidR="00BA083C" w:rsidRPr="009C5F11">
        <w:rPr>
          <w:rFonts w:ascii="Times New Roman" w:hAnsi="Times New Roman" w:cs="Times New Roman"/>
          <w:sz w:val="24"/>
          <w:u w:val="single"/>
          <w:lang w:val="ro-RO"/>
        </w:rPr>
        <w:t>energ</w:t>
      </w:r>
      <w:r w:rsidRPr="009C5F11">
        <w:rPr>
          <w:rFonts w:ascii="Times New Roman" w:hAnsi="Times New Roman" w:cs="Times New Roman"/>
          <w:sz w:val="24"/>
          <w:u w:val="single"/>
          <w:lang w:val="ro-RO"/>
        </w:rPr>
        <w:t>i</w:t>
      </w:r>
      <w:r w:rsidR="00BA083C" w:rsidRPr="009C5F11">
        <w:rPr>
          <w:rFonts w:ascii="Times New Roman" w:hAnsi="Times New Roman" w:cs="Times New Roman"/>
          <w:sz w:val="24"/>
          <w:u w:val="single"/>
          <w:lang w:val="ro-RO"/>
        </w:rPr>
        <w:t>e în sectorul public (Articolul 108)</w:t>
      </w:r>
      <w:bookmarkEnd w:id="263"/>
    </w:p>
    <w:p w14:paraId="01F63FA9" w14:textId="77777777" w:rsidR="00BA083C" w:rsidRPr="009C5F11" w:rsidRDefault="00BA083C" w:rsidP="00BA083C">
      <w:pPr>
        <w:spacing w:before="120" w:after="120" w:line="240" w:lineRule="auto"/>
        <w:ind w:firstLine="36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Activităţile preconizate sunt următoarele:</w:t>
      </w:r>
    </w:p>
    <w:p w14:paraId="5EF4E081"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implementarea proiectelor în domeniul eficienţei energetice;</w:t>
      </w:r>
    </w:p>
    <w:p w14:paraId="735591D9"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finanţarea proiectelor în domeniul eficienţei energetice fezabile din punct de vedere economic, tehnic şi ecologic;</w:t>
      </w:r>
    </w:p>
    <w:p w14:paraId="34C932A3"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asigurarea consumului raţional de energie în ţară;</w:t>
      </w:r>
    </w:p>
    <w:p w14:paraId="25A853FC"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reducerea emisiilor de gaze cu efect de seră.</w:t>
      </w:r>
    </w:p>
    <w:p w14:paraId="45AAA9F0" w14:textId="77777777" w:rsidR="00BA083C" w:rsidRPr="009C5F11" w:rsidRDefault="00BA083C" w:rsidP="00BA083C">
      <w:pPr>
        <w:spacing w:after="0" w:line="240" w:lineRule="auto"/>
        <w:rPr>
          <w:rFonts w:ascii="Times New Roman" w:hAnsi="Times New Roman" w:cs="Times New Roman"/>
          <w:sz w:val="24"/>
          <w:lang w:val="ro-RO" w:eastAsia="de-DE"/>
        </w:rPr>
      </w:pPr>
    </w:p>
    <w:p w14:paraId="3F46294A" w14:textId="77777777" w:rsidR="00BA083C" w:rsidRPr="009C5F11" w:rsidRDefault="00BA083C" w:rsidP="00334F3B">
      <w:pPr>
        <w:pStyle w:val="Listparagraf"/>
        <w:numPr>
          <w:ilvl w:val="0"/>
          <w:numId w:val="172"/>
        </w:numPr>
        <w:rPr>
          <w:rFonts w:ascii="Times New Roman" w:hAnsi="Times New Roman" w:cs="Times New Roman"/>
          <w:sz w:val="24"/>
          <w:u w:val="single"/>
          <w:lang w:val="ro-RO"/>
        </w:rPr>
      </w:pPr>
      <w:bookmarkStart w:id="264" w:name="_Toc319555411"/>
      <w:r w:rsidRPr="009C5F11">
        <w:rPr>
          <w:rFonts w:ascii="Times New Roman" w:hAnsi="Times New Roman" w:cs="Times New Roman"/>
          <w:sz w:val="24"/>
          <w:u w:val="single"/>
          <w:lang w:val="ro-RO"/>
        </w:rPr>
        <w:t>Optimizarea sistemului public de iluminare stradală (Articolul 109)</w:t>
      </w:r>
      <w:bookmarkEnd w:id="264"/>
    </w:p>
    <w:p w14:paraId="01AAD234" w14:textId="77777777" w:rsidR="00BA083C" w:rsidRPr="009C5F11" w:rsidRDefault="00BA083C" w:rsidP="00BA083C">
      <w:pPr>
        <w:spacing w:before="120" w:after="120" w:line="240" w:lineRule="auto"/>
        <w:ind w:firstLine="36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Măsura presupune realizarea următoarelor acţiuni:</w:t>
      </w:r>
    </w:p>
    <w:p w14:paraId="114ED1F6"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propunerilor pentru restricţionarea lămpilor incandescente în sectorul public;</w:t>
      </w:r>
    </w:p>
    <w:p w14:paraId="17D97F46"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reflectarea acestei măsuri în programele locale de îmbunătăţire a eficienţei energetice şi planurile locale de acţiune în domeniul eficienţei energetice;</w:t>
      </w:r>
    </w:p>
    <w:p w14:paraId="0DF44DB1"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auditarea energetică a sistemelor de iluminat existente;</w:t>
      </w:r>
    </w:p>
    <w:p w14:paraId="705527AF" w14:textId="77777777" w:rsidR="00BA083C" w:rsidRPr="009C5F11" w:rsidRDefault="00BA083C" w:rsidP="00334F3B">
      <w:pPr>
        <w:pStyle w:val="Listparagraf"/>
        <w:numPr>
          <w:ilvl w:val="0"/>
          <w:numId w:val="171"/>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înlocuirea corpurilor de iluminare existente cu altele eficiente.</w:t>
      </w:r>
    </w:p>
    <w:p w14:paraId="0DE0611C" w14:textId="633D6DE3" w:rsidR="00BA083C" w:rsidRPr="009C5F11" w:rsidRDefault="00BA083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Rezultatele măsurilor listate mai sus sunt prezentate în detaliu în Secţiunea </w:t>
      </w:r>
      <w:r w:rsidR="003A6ADB" w:rsidRPr="009C5F11">
        <w:rPr>
          <w:rFonts w:ascii="Times New Roman" w:hAnsi="Times New Roman" w:cs="Times New Roman"/>
          <w:sz w:val="24"/>
          <w:lang w:val="ro-RO"/>
        </w:rPr>
        <w:fldChar w:fldCharType="begin"/>
      </w:r>
      <w:r w:rsidRPr="009C5F11">
        <w:rPr>
          <w:rFonts w:ascii="Times New Roman" w:hAnsi="Times New Roman" w:cs="Times New Roman"/>
          <w:sz w:val="24"/>
          <w:lang w:val="ro-RO"/>
        </w:rPr>
        <w:instrText xml:space="preserve"> REF _Ref319625564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4.3</w:t>
      </w:r>
      <w:r w:rsidR="003A6ADB" w:rsidRPr="009C5F11">
        <w:rPr>
          <w:rFonts w:ascii="Times New Roman" w:hAnsi="Times New Roman" w:cs="Times New Roman"/>
          <w:sz w:val="24"/>
          <w:lang w:val="ro-RO"/>
        </w:rPr>
        <w:fldChar w:fldCharType="end"/>
      </w:r>
      <w:r w:rsidRPr="009C5F11">
        <w:rPr>
          <w:rFonts w:ascii="Times New Roman" w:hAnsi="Times New Roman" w:cs="Times New Roman"/>
          <w:sz w:val="24"/>
          <w:lang w:val="ro-RO"/>
        </w:rPr>
        <w:t xml:space="preserve"> referitoare la clădirile Guvernului central.</w:t>
      </w:r>
    </w:p>
    <w:p w14:paraId="73FA1E73" w14:textId="2D9778C5" w:rsidR="00BA083C" w:rsidRPr="009C5F11" w:rsidRDefault="00BA083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u w:val="single"/>
          <w:lang w:val="ro-RO"/>
        </w:rPr>
      </w:pPr>
      <w:r w:rsidRPr="009C5F11">
        <w:rPr>
          <w:rFonts w:ascii="Times New Roman" w:hAnsi="Times New Roman" w:cs="Times New Roman"/>
          <w:sz w:val="24"/>
          <w:u w:val="single"/>
          <w:lang w:val="ro-RO"/>
        </w:rPr>
        <w:lastRenderedPageBreak/>
        <w:t>Renovarea a 1% din blocurile administrative ale APC cu o suprafaţă mai mare de 500 m2</w:t>
      </w:r>
    </w:p>
    <w:p w14:paraId="5D6F1338" w14:textId="77777777" w:rsidR="00BA083C" w:rsidRPr="009C5F11" w:rsidRDefault="00BA083C" w:rsidP="00BA083C">
      <w:p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Renovarea a 1% din blocurile administrative ale APC cu o suprafaţă mai mare de 500 m2 (250 m2 începând din 1 ianuarie 2019), care nu se conformează cerinţelor naţionale minime de performanţă energetică implică realizarea câtorva acţiuni şi punerea în aplicare a câtorva componente legislative / administrative. </w:t>
      </w:r>
    </w:p>
    <w:p w14:paraId="6FDFAEE0" w14:textId="77777777" w:rsidR="00FA012A" w:rsidRPr="009C5F11" w:rsidRDefault="00BA083C" w:rsidP="00087B37">
      <w:pPr>
        <w:pStyle w:val="Listparagraf"/>
        <w:numPr>
          <w:ilvl w:val="0"/>
          <w:numId w:val="210"/>
        </w:numPr>
        <w:spacing w:after="0" w:line="240" w:lineRule="auto"/>
        <w:ind w:left="0" w:firstLine="284"/>
        <w:rPr>
          <w:rFonts w:ascii="Times New Roman" w:hAnsi="Times New Roman" w:cs="Times New Roman"/>
          <w:sz w:val="24"/>
          <w:lang w:val="ro-RO" w:eastAsia="de-DE"/>
        </w:rPr>
      </w:pPr>
      <w:r w:rsidRPr="009C5F11">
        <w:rPr>
          <w:rFonts w:ascii="Times New Roman" w:hAnsi="Times New Roman" w:cs="Times New Roman"/>
          <w:sz w:val="24"/>
          <w:lang w:val="ro-RO" w:eastAsia="de-DE"/>
        </w:rPr>
        <w:t xml:space="preserve">Moldova a întreprins măsuri pentru revizuirea tuturor actelor legislative/normative din domeniul construcţiilor. Aceste eforturi au fost susţinute în mare parte de BERD prin intermediul Proiectului </w:t>
      </w:r>
      <w:r w:rsidRPr="009C5F11">
        <w:rPr>
          <w:rFonts w:ascii="Times New Roman" w:hAnsi="Times New Roman" w:cs="Times New Roman"/>
          <w:i/>
          <w:sz w:val="24"/>
          <w:lang w:val="ro-RO" w:eastAsia="de-DE"/>
        </w:rPr>
        <w:t>Elaborarea Foii de parcurs/Planului de acţiune pentru transpunerea Directivei UE privind performanţa energetică a clădirilor în Republica Moldova şi implementarea Legii privind performanţa energetică a clădirilor.</w:t>
      </w:r>
    </w:p>
    <w:p w14:paraId="01280A5F" w14:textId="77777777" w:rsidR="00FA012A" w:rsidRPr="009C5F11" w:rsidRDefault="00BA083C" w:rsidP="00087B37">
      <w:pPr>
        <w:pStyle w:val="Listparagraf"/>
        <w:numPr>
          <w:ilvl w:val="0"/>
          <w:numId w:val="210"/>
        </w:numPr>
        <w:spacing w:after="0" w:line="240" w:lineRule="auto"/>
        <w:ind w:left="0" w:firstLine="284"/>
        <w:rPr>
          <w:rFonts w:ascii="Times New Roman" w:hAnsi="Times New Roman" w:cs="Times New Roman"/>
          <w:sz w:val="24"/>
          <w:lang w:val="ro-RO" w:eastAsia="de-DE"/>
        </w:rPr>
      </w:pPr>
      <w:r w:rsidRPr="009C5F11">
        <w:rPr>
          <w:rFonts w:ascii="Times New Roman" w:hAnsi="Times New Roman" w:cs="Times New Roman"/>
          <w:sz w:val="24"/>
          <w:lang w:val="ro-RO"/>
        </w:rPr>
        <w:t xml:space="preserve">Proiectul </w:t>
      </w:r>
      <w:r w:rsidRPr="009C5F11">
        <w:rPr>
          <w:rFonts w:ascii="Times New Roman" w:hAnsi="Times New Roman" w:cs="Times New Roman"/>
          <w:i/>
          <w:sz w:val="24"/>
          <w:lang w:val="ro-RO"/>
        </w:rPr>
        <w:t>“Foaia de parcurs pentru implementarea DPEC în Republica Moldova”</w:t>
      </w:r>
      <w:r w:rsidRPr="009C5F11">
        <w:rPr>
          <w:rFonts w:ascii="Times New Roman" w:hAnsi="Times New Roman" w:cs="Times New Roman"/>
          <w:sz w:val="24"/>
          <w:lang w:val="ro-RO"/>
        </w:rPr>
        <w:t xml:space="preserve"> prevede acţiunile, calendarul şi livrabilele scontate, însă ar fi necesară aprobarea, finanţarea şi implementarea acestora. Implementarea conceptului privind </w:t>
      </w:r>
      <w:r w:rsidR="00C77D69" w:rsidRPr="009C5F11">
        <w:rPr>
          <w:rFonts w:ascii="Times New Roman" w:hAnsi="Times New Roman" w:cs="Times New Roman"/>
          <w:sz w:val="24"/>
          <w:lang w:val="ro-RO"/>
        </w:rPr>
        <w:t>rolul de exemplu</w:t>
      </w:r>
      <w:r w:rsidRPr="009C5F11">
        <w:rPr>
          <w:rFonts w:ascii="Times New Roman" w:hAnsi="Times New Roman" w:cs="Times New Roman"/>
          <w:sz w:val="24"/>
          <w:lang w:val="ro-RO"/>
        </w:rPr>
        <w:t xml:space="preserve"> al sectorului public a fost subiectul măsurii “</w:t>
      </w:r>
      <w:r w:rsidRPr="009C5F11">
        <w:rPr>
          <w:rFonts w:ascii="Times New Roman" w:hAnsi="Times New Roman" w:cs="Times New Roman"/>
          <w:i/>
          <w:sz w:val="24"/>
          <w:lang w:val="ro-RO"/>
        </w:rPr>
        <w:t>Redactarea cadrului juridic privind performanţa energetică a clădirilor</w:t>
      </w:r>
      <w:r w:rsidRPr="009C5F11">
        <w:rPr>
          <w:rFonts w:ascii="Times New Roman" w:hAnsi="Times New Roman" w:cs="Times New Roman"/>
          <w:sz w:val="24"/>
          <w:lang w:val="ro-RO"/>
        </w:rPr>
        <w:t xml:space="preserve">”, care este relevantă şi pentru PNAEE 2016 – 2018, măsura </w:t>
      </w:r>
      <w:r w:rsidRPr="009C5F11">
        <w:rPr>
          <w:rFonts w:ascii="Times New Roman" w:hAnsi="Times New Roman" w:cs="Times New Roman"/>
          <w:i/>
          <w:sz w:val="24"/>
          <w:lang w:val="ro-RO"/>
        </w:rPr>
        <w:t>“Elaborarea cadrului legal cu privire la performanţa energetică a clădirilor”</w:t>
      </w:r>
      <w:r w:rsidRPr="009C5F11">
        <w:rPr>
          <w:rFonts w:ascii="Times New Roman" w:hAnsi="Times New Roman" w:cs="Times New Roman"/>
          <w:b/>
          <w:sz w:val="24"/>
          <w:lang w:val="ro-RO"/>
        </w:rPr>
        <w:t>.</w:t>
      </w:r>
      <w:r w:rsidRPr="009C5F11">
        <w:rPr>
          <w:rFonts w:ascii="Times New Roman" w:hAnsi="Times New Roman" w:cs="Times New Roman"/>
          <w:sz w:val="24"/>
          <w:lang w:val="ro-RO"/>
        </w:rPr>
        <w:t xml:space="preserve"> Subiectul se suprapune, evident, cu conceptul de rol </w:t>
      </w:r>
      <w:r w:rsidR="00F14D3D" w:rsidRPr="009C5F11">
        <w:rPr>
          <w:rFonts w:ascii="Times New Roman" w:hAnsi="Times New Roman" w:cs="Times New Roman"/>
          <w:sz w:val="24"/>
          <w:lang w:val="ro-RO"/>
        </w:rPr>
        <w:t>principal</w:t>
      </w:r>
      <w:r w:rsidRPr="009C5F11">
        <w:rPr>
          <w:rFonts w:ascii="Times New Roman" w:hAnsi="Times New Roman" w:cs="Times New Roman"/>
          <w:sz w:val="24"/>
          <w:lang w:val="ro-RO"/>
        </w:rPr>
        <w:t xml:space="preserve"> atribuit sectorului public prin DPEC, clădirile </w:t>
      </w:r>
      <w:r w:rsidR="00F14D3D" w:rsidRPr="009C5F11">
        <w:rPr>
          <w:rFonts w:ascii="Times New Roman" w:hAnsi="Times New Roman" w:cs="Times New Roman"/>
          <w:sz w:val="24"/>
          <w:lang w:val="ro-RO"/>
        </w:rPr>
        <w:t>fiind</w:t>
      </w:r>
      <w:r w:rsidRPr="009C5F11">
        <w:rPr>
          <w:rFonts w:ascii="Times New Roman" w:hAnsi="Times New Roman" w:cs="Times New Roman"/>
          <w:sz w:val="24"/>
          <w:lang w:val="ro-RO"/>
        </w:rPr>
        <w:t xml:space="preserve"> cel mai mare consumator de energie din sectorul public. </w:t>
      </w:r>
    </w:p>
    <w:p w14:paraId="14991958" w14:textId="78228698" w:rsidR="00BA083C" w:rsidRPr="009C5F11" w:rsidRDefault="00BA083C" w:rsidP="00087B37">
      <w:pPr>
        <w:pStyle w:val="Listparagraf"/>
        <w:numPr>
          <w:ilvl w:val="0"/>
          <w:numId w:val="210"/>
        </w:numPr>
        <w:spacing w:after="0" w:line="240" w:lineRule="auto"/>
        <w:ind w:left="0" w:firstLine="284"/>
        <w:rPr>
          <w:rFonts w:ascii="Times New Roman" w:hAnsi="Times New Roman" w:cs="Times New Roman"/>
          <w:sz w:val="24"/>
          <w:lang w:val="ro-RO" w:eastAsia="de-DE"/>
        </w:rPr>
      </w:pPr>
      <w:r w:rsidRPr="009C5F11">
        <w:rPr>
          <w:rFonts w:ascii="Times New Roman" w:hAnsi="Times New Roman" w:cs="Times New Roman"/>
          <w:sz w:val="24"/>
          <w:lang w:val="ro-RO"/>
        </w:rPr>
        <w:t xml:space="preserve">Principalele acţiuni în conformitate cu </w:t>
      </w:r>
      <w:r w:rsidRPr="009C5F11">
        <w:rPr>
          <w:rFonts w:ascii="Times New Roman" w:hAnsi="Times New Roman" w:cs="Times New Roman"/>
          <w:i/>
          <w:sz w:val="24"/>
          <w:lang w:val="ro-RO"/>
        </w:rPr>
        <w:t>“PLANUL DE ACŢIUNI privind armonizarea reglementărilor tehnice şi a standardelor naţionale în domeniul construcţiilor cu standardele europene pentru anii 2014-2020”</w:t>
      </w:r>
      <w:r w:rsidRPr="009C5F11">
        <w:rPr>
          <w:rFonts w:ascii="Times New Roman" w:hAnsi="Times New Roman" w:cs="Times New Roman"/>
          <w:sz w:val="24"/>
          <w:lang w:val="ro-RO"/>
        </w:rPr>
        <w:t xml:space="preserve"> (Hotărârea Guvernului 933/12.11.2014):</w:t>
      </w:r>
    </w:p>
    <w:p w14:paraId="506DEE54"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Conceptului sistemului național de reglementare tehnică a construcțiilor în conformitate cu cele mai bune practici internaționale;</w:t>
      </w:r>
    </w:p>
    <w:p w14:paraId="245CF08C"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Transpunerea în dreptul naţional a actelor europene în domeniul construcţiilor şi al domeniilor conexe;</w:t>
      </w:r>
    </w:p>
    <w:p w14:paraId="1C84F125"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Întocmirea unui program multianual de elaborare/ revizuire a reglementărilor tehnice în construcţii şi de armonizare a acestora cu standardele europene; </w:t>
      </w:r>
    </w:p>
    <w:p w14:paraId="3323DA74"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Implementarea foilor de parcurs pentru adoptarea și implementarea standardelor europene în domenii specifice (Eurocoduri - standarde europene pentru proiectarea structurilor; performanța energetică a clădirilor; securitate și sănătate pe șantiere);</w:t>
      </w:r>
    </w:p>
    <w:p w14:paraId="01806EF5"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Colaborarea cu Institutul Naţional de Standardizare în scopul adoptării standardelor europene în domeniul construcţiilor în calitate de standarde moldovene.</w:t>
      </w:r>
    </w:p>
    <w:p w14:paraId="4E4D53AC" w14:textId="77777777" w:rsidR="00DB74BA" w:rsidRPr="009C5F11" w:rsidRDefault="00BA083C" w:rsidP="00087B37">
      <w:pPr>
        <w:pStyle w:val="Listparagraf"/>
        <w:numPr>
          <w:ilvl w:val="0"/>
          <w:numId w:val="210"/>
        </w:numPr>
        <w:spacing w:before="120" w:after="120" w:line="240" w:lineRule="auto"/>
        <w:ind w:left="0" w:firstLine="284"/>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PROGRAMUL DE ACTIVITATE AL GUVERNULUI REPUBLICII MOLDOVA 2015-2018 prevede promovarea cerinţelor minime referitoare la performanţa energetică a clădirilor şi elaborarea unui program naţional pentru reabilitarea termică a blocurilor locative.</w:t>
      </w:r>
    </w:p>
    <w:p w14:paraId="63B59687" w14:textId="784903F4"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Principalele acte de reglementare care vor pava calea în direcţia implementării Articolului 5 sunt următoarele:</w:t>
      </w:r>
    </w:p>
    <w:p w14:paraId="485C979A"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Metodologia de calcul PEC pe baza performanţei energetice deplin evaluate (trimestrul IV 2016 </w:t>
      </w:r>
      <w:r w:rsidR="00F14D3D" w:rsidRPr="009C5F11">
        <w:rPr>
          <w:rFonts w:ascii="Times New Roman" w:hAnsi="Times New Roman" w:cs="Times New Roman"/>
          <w:sz w:val="24"/>
          <w:lang w:val="ro-RO"/>
        </w:rPr>
        <w:t>conform</w:t>
      </w:r>
      <w:r w:rsidRPr="009C5F11">
        <w:rPr>
          <w:rFonts w:ascii="Times New Roman" w:hAnsi="Times New Roman" w:cs="Times New Roman"/>
          <w:sz w:val="24"/>
          <w:lang w:val="ro-RO"/>
        </w:rPr>
        <w:t xml:space="preserve"> Proiectul “Foaia de parcurs” </w:t>
      </w:r>
      <w:r w:rsidR="00F14D3D" w:rsidRPr="009C5F11">
        <w:rPr>
          <w:rFonts w:ascii="Times New Roman" w:hAnsi="Times New Roman" w:cs="Times New Roman"/>
          <w:sz w:val="24"/>
          <w:lang w:val="ro-RO"/>
        </w:rPr>
        <w:t xml:space="preserve">propus de </w:t>
      </w:r>
      <w:r w:rsidRPr="009C5F11">
        <w:rPr>
          <w:rFonts w:ascii="Times New Roman" w:hAnsi="Times New Roman" w:cs="Times New Roman"/>
          <w:sz w:val="24"/>
          <w:lang w:val="ro-RO"/>
        </w:rPr>
        <w:t>BERD);</w:t>
      </w:r>
    </w:p>
    <w:p w14:paraId="2330D1A1"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Stabilirea cerinţelor minime pentru toate categoriile de construcţii şi pentru toate serviciile din clădiri pe baza rezultatelor obţinute din calculul nivelului optim de cost al performanţei energetice (trimestrul III 2017 </w:t>
      </w:r>
      <w:r w:rsidR="007C3E73" w:rsidRPr="009C5F11">
        <w:rPr>
          <w:rFonts w:ascii="Times New Roman" w:hAnsi="Times New Roman" w:cs="Times New Roman"/>
          <w:sz w:val="24"/>
          <w:lang w:val="ro-RO"/>
        </w:rPr>
        <w:t>conform</w:t>
      </w:r>
      <w:r w:rsidRPr="009C5F11">
        <w:rPr>
          <w:rFonts w:ascii="Times New Roman" w:hAnsi="Times New Roman" w:cs="Times New Roman"/>
          <w:sz w:val="24"/>
          <w:lang w:val="ro-RO"/>
        </w:rPr>
        <w:t xml:space="preserve"> Proiectul “Foaia de parcurs” </w:t>
      </w:r>
      <w:r w:rsidR="00F14D3D" w:rsidRPr="009C5F11">
        <w:rPr>
          <w:rFonts w:ascii="Times New Roman" w:hAnsi="Times New Roman" w:cs="Times New Roman"/>
          <w:sz w:val="24"/>
          <w:lang w:val="ro-RO"/>
        </w:rPr>
        <w:t xml:space="preserve">propus de </w:t>
      </w:r>
      <w:r w:rsidRPr="009C5F11">
        <w:rPr>
          <w:rFonts w:ascii="Times New Roman" w:hAnsi="Times New Roman" w:cs="Times New Roman"/>
          <w:sz w:val="24"/>
          <w:lang w:val="ro-RO"/>
        </w:rPr>
        <w:t>BERD).</w:t>
      </w:r>
    </w:p>
    <w:p w14:paraId="22E6C96F" w14:textId="77777777" w:rsidR="00BA083C" w:rsidRPr="00D9464A" w:rsidRDefault="00BA083C" w:rsidP="00BA083C">
      <w:pPr>
        <w:pStyle w:val="Titlu3"/>
        <w:rPr>
          <w:rFonts w:ascii="Times New Roman" w:hAnsi="Times New Roman" w:cs="Times New Roman"/>
          <w:b/>
          <w:sz w:val="32"/>
          <w:lang w:val="ro-RO"/>
        </w:rPr>
      </w:pPr>
      <w:r w:rsidRPr="009C5F11">
        <w:rPr>
          <w:rFonts w:ascii="Times New Roman" w:hAnsi="Times New Roman" w:cs="Times New Roman"/>
          <w:sz w:val="32"/>
          <w:lang w:val="ro-RO"/>
        </w:rPr>
        <w:br w:type="page"/>
      </w:r>
      <w:bookmarkStart w:id="265" w:name="_Toc319555412"/>
      <w:bookmarkStart w:id="266" w:name="_Toc322013175"/>
      <w:r w:rsidRPr="00D9464A">
        <w:rPr>
          <w:rFonts w:ascii="Times New Roman" w:hAnsi="Times New Roman" w:cs="Times New Roman"/>
          <w:b/>
          <w:color w:val="000000" w:themeColor="text1"/>
          <w:sz w:val="28"/>
          <w:lang w:val="ro-RO"/>
        </w:rPr>
        <w:lastRenderedPageBreak/>
        <w:t xml:space="preserve">Rolul </w:t>
      </w:r>
      <w:r w:rsidR="00642BDB" w:rsidRPr="00D9464A">
        <w:rPr>
          <w:rFonts w:ascii="Times New Roman" w:hAnsi="Times New Roman" w:cs="Times New Roman"/>
          <w:b/>
          <w:color w:val="000000" w:themeColor="text1"/>
          <w:sz w:val="28"/>
          <w:lang w:val="ro-RO"/>
        </w:rPr>
        <w:t>principal</w:t>
      </w:r>
      <w:r w:rsidRPr="00D9464A">
        <w:rPr>
          <w:rFonts w:ascii="Times New Roman" w:hAnsi="Times New Roman" w:cs="Times New Roman"/>
          <w:b/>
          <w:color w:val="000000" w:themeColor="text1"/>
          <w:sz w:val="28"/>
          <w:lang w:val="ro-RO"/>
        </w:rPr>
        <w:t xml:space="preserve"> atribuit sectorului public prin DPEC</w:t>
      </w:r>
      <w:bookmarkEnd w:id="258"/>
      <w:bookmarkEnd w:id="259"/>
      <w:bookmarkEnd w:id="265"/>
      <w:bookmarkEnd w:id="266"/>
    </w:p>
    <w:p w14:paraId="0ACA66CB" w14:textId="69E0FBCA"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Actualmente se conturează următoarea situaţie:</w:t>
      </w:r>
    </w:p>
    <w:p w14:paraId="11D62775"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Legea nr. 128 privind performanţa energetică a clădirilor a fost adoptată la 11.07.2014 şi a intrat în vigoare la 01.01.2015; În conformitate cu Legea nr. 128 din 11.07.2014 privind performanţa energetică a clădirilor: </w:t>
      </w:r>
      <w:r w:rsidRPr="009C5F11">
        <w:rPr>
          <w:rFonts w:ascii="Times New Roman" w:hAnsi="Times New Roman" w:cs="Times New Roman"/>
          <w:i/>
          <w:sz w:val="24"/>
          <w:u w:val="single"/>
          <w:lang w:val="ro-RO"/>
        </w:rPr>
        <w:t xml:space="preserve">‘…după 30.06.2019, clădirile publice noi trebuie să fie clădiri al căror consum de energie este aproape egal cu zero, şi după 30.06.2021, toate clădirile noi trebuie să fie clădiri al căror consum de energie este aproape egal cu zero.’ </w:t>
      </w:r>
      <w:r w:rsidRPr="009C5F11">
        <w:rPr>
          <w:rFonts w:ascii="Times New Roman" w:hAnsi="Times New Roman" w:cs="Times New Roman"/>
          <w:sz w:val="24"/>
          <w:lang w:val="ro-RO"/>
        </w:rPr>
        <w:t>(art. 15(1)-(2)).</w:t>
      </w:r>
    </w:p>
    <w:p w14:paraId="5FB45F56"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Legea nr. 75 cu privire la locuinţe a fost adoptată la 30.04.2015 şi a intrat în vigoare la 29.11.2015;</w:t>
      </w:r>
    </w:p>
    <w:p w14:paraId="25BA4A0C"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Hotărârea Guvernului RM nr. 933 din 12.11.2014 a adoptat Planul de acţiuni privind armonizarea reglementărilor tehnice și a standardelor naționale în domeniul construcțiilor cu legislația și standardele europene pentru anii 2014-2020. Autorităţile naţionale responsabile cu realizarea acestui Plan sunt MDRC, Ministerul Economiei, organismele de reglementare şi altele. Raportarea despre implementarea Planului se efectuează de 2 ori pe an.</w:t>
      </w:r>
    </w:p>
    <w:p w14:paraId="76B78619" w14:textId="77777777" w:rsidR="00BA083C" w:rsidRPr="009C5F11" w:rsidRDefault="00BA083C" w:rsidP="00BA083C">
      <w:pPr>
        <w:pStyle w:val="Listparagraf"/>
        <w:spacing w:before="120" w:after="120" w:line="240" w:lineRule="auto"/>
        <w:ind w:left="714"/>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Planul defineşte principalele obiective şi acţiuni, termenele-limită, responsabilităţile şi rezultatele scontate. Planul include, printre altele:</w:t>
      </w:r>
    </w:p>
    <w:p w14:paraId="79A061D1" w14:textId="77777777" w:rsidR="00BA083C" w:rsidRPr="009C5F11" w:rsidRDefault="00BA083C" w:rsidP="00334F3B">
      <w:pPr>
        <w:pStyle w:val="Listparagraf"/>
        <w:numPr>
          <w:ilvl w:val="1"/>
          <w:numId w:val="171"/>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Armonizarea legislației naționale în domeniul construcțiilor cu legislaţia europeană:</w:t>
      </w:r>
    </w:p>
    <w:p w14:paraId="18D58F21"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foilor de parcurs pentru implementarea în legislaţia naţională a Regulamentului (UE) nr. 305/2011 al Parlamentului European şi al Consiliului din 9 martie 2011 de stabilire a unor condiţii armonizate pentru comercializarea produselor pentru construcţii (2016);</w:t>
      </w:r>
    </w:p>
    <w:p w14:paraId="53E0B6BC"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Codului urbanismului și construcțiilor (2014);</w:t>
      </w:r>
    </w:p>
    <w:p w14:paraId="6ECF2AA7"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implementarea în legislaţia naţională a actelor Uniunii Europene din domeniul construcţiilor (2018);</w:t>
      </w:r>
    </w:p>
    <w:p w14:paraId="1CA43923"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foilor de parcurs pentru adoptarea și implementarea standardelor europene în domenii specifice (Eurocoduri  – standarde europene pentru proiectarea structurilor; performanța energetică a clădirilor; securitate și sănătate pe șantiere etc.) (2015);</w:t>
      </w:r>
    </w:p>
    <w:p w14:paraId="6330BFEA"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implementarea foilor de parcurs pentru adoptarea și implementarea standardelor europene în domenii specifice (2016),</w:t>
      </w:r>
    </w:p>
    <w:p w14:paraId="603F69CB"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colaborarea cu Institutul Naţional de Standardizare în scopul adoptării standardelor europene în domeniul construcţiilor în calitate de standarde moldovene. 100% din standardele UE vor fi adoptate până în anul 2018;</w:t>
      </w:r>
    </w:p>
    <w:p w14:paraId="7BCA7F43"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colaborarea cu Institutul Naţional de Standardizare în scopul înlocuirii tuturor standardelor naționale GOST în vigoare cu standardele europene identice/similare. 100% din Gost-uri vor fi înlocuite până în anul 2020,</w:t>
      </w:r>
    </w:p>
    <w:p w14:paraId="22812A79"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întocmirea unui program multianual de elaborare/ revizuire a reglementărilor tehnice în construcţii şi de armonizare a acestora cu </w:t>
      </w:r>
      <w:r w:rsidRPr="009C5F11">
        <w:rPr>
          <w:rFonts w:ascii="Times New Roman" w:hAnsi="Times New Roman" w:cs="Times New Roman"/>
          <w:sz w:val="24"/>
          <w:lang w:val="ro-RO"/>
        </w:rPr>
        <w:lastRenderedPageBreak/>
        <w:t>standardele europene (2015). Implementarea acestui Program până în anul 2018,</w:t>
      </w:r>
    </w:p>
    <w:p w14:paraId="5047249F" w14:textId="77777777" w:rsidR="00BA083C" w:rsidRPr="009C5F11" w:rsidRDefault="00BA083C" w:rsidP="00334F3B">
      <w:pPr>
        <w:pStyle w:val="Listparagraf"/>
        <w:numPr>
          <w:ilvl w:val="1"/>
          <w:numId w:val="171"/>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alinierea abordării în domeniul reglementării tehnice a construcțiilor la tendințele mondiale:</w:t>
      </w:r>
    </w:p>
    <w:p w14:paraId="5454B83C"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Conceptului sistemului național de reglementare tehnică a construcțiilor în conformitate cu cele mai bune practici internaționale (2015),</w:t>
      </w:r>
    </w:p>
    <w:p w14:paraId="512CB2C8"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 unui ghid privind abordarea bazată pe performanţă  în reglementările tehnice din domeniul construcţiilor (2015),</w:t>
      </w:r>
    </w:p>
    <w:p w14:paraId="3AD38C75"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perfecționarea metodologiei de elaborare a reglementărilor tehnice în construcții (2016),</w:t>
      </w:r>
    </w:p>
    <w:p w14:paraId="60C02A43" w14:textId="77777777" w:rsidR="00BA083C" w:rsidRPr="009C5F11" w:rsidRDefault="00BA083C" w:rsidP="00334F3B">
      <w:pPr>
        <w:pStyle w:val="Listparagraf"/>
        <w:numPr>
          <w:ilvl w:val="1"/>
          <w:numId w:val="171"/>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consolidarea cadrului instituțional în domeniul reglementării tehnice a construcțiilor:</w:t>
      </w:r>
    </w:p>
    <w:p w14:paraId="47222A4D"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iniţierea colaborării cu autoritățile din domeniul construcțiilor din ţările dezvoltate în scopul preluării experienței privind reglementarea tehnică și implementarea standardelor europene în domeniul construcțiilor (2015),</w:t>
      </w:r>
    </w:p>
    <w:p w14:paraId="04BD9D46" w14:textId="77777777" w:rsidR="00BA083C" w:rsidRPr="009C5F11" w:rsidRDefault="00BA083C" w:rsidP="00334F3B">
      <w:pPr>
        <w:pStyle w:val="Listparagraf"/>
        <w:numPr>
          <w:ilvl w:val="2"/>
          <w:numId w:val="173"/>
        </w:numPr>
        <w:spacing w:before="120" w:after="120" w:line="240" w:lineRule="auto"/>
        <w:ind w:left="2268"/>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aderarea Ministerului Dezvoltării Regionale și Construcțiilor la Comitetul de colaborare inter-jurisdicţională în domeniul reglementării (Inter-Jurisdictional Regulatory Collaboration Committee – IRCC), la Consorţiul european pentru control în construcţii (Consortium of European Building Control – CEBC) (2015) etc.,</w:t>
      </w:r>
    </w:p>
    <w:p w14:paraId="79473CF9" w14:textId="77777777" w:rsidR="00BA083C" w:rsidRPr="009C5F11" w:rsidRDefault="00BA083C" w:rsidP="00334F3B">
      <w:pPr>
        <w:pStyle w:val="Listparagraf"/>
        <w:numPr>
          <w:ilvl w:val="1"/>
          <w:numId w:val="171"/>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dezvoltarea infrastructurii de evaluare a conformității în domeniul construcțiilor,</w:t>
      </w:r>
    </w:p>
    <w:p w14:paraId="3CFB25A7" w14:textId="77777777" w:rsidR="00BA083C" w:rsidRPr="009C5F11" w:rsidRDefault="00BA083C" w:rsidP="00334F3B">
      <w:pPr>
        <w:pStyle w:val="Listparagraf"/>
        <w:numPr>
          <w:ilvl w:val="1"/>
          <w:numId w:val="171"/>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dezvoltarea resurselor umane în domeniul reglementării tehnice a construcțiilor,</w:t>
      </w:r>
    </w:p>
    <w:p w14:paraId="09E041A0" w14:textId="77777777" w:rsidR="00BA083C" w:rsidRPr="009C5F11" w:rsidRDefault="00BA083C" w:rsidP="00334F3B">
      <w:pPr>
        <w:pStyle w:val="Listparagraf"/>
        <w:numPr>
          <w:ilvl w:val="1"/>
          <w:numId w:val="171"/>
        </w:numPr>
        <w:spacing w:before="120" w:after="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sporirea gradului de informare și a transparenței în domeniul reglementării tehnice a construcțiilor etc.</w:t>
      </w:r>
    </w:p>
    <w:p w14:paraId="7B425550" w14:textId="77777777" w:rsidR="00BA083C" w:rsidRPr="009C5F11" w:rsidRDefault="00BA083C" w:rsidP="00BA083C">
      <w:pPr>
        <w:spacing w:after="0"/>
        <w:jc w:val="both"/>
        <w:rPr>
          <w:rFonts w:ascii="Times New Roman" w:hAnsi="Times New Roman" w:cs="Times New Roman"/>
          <w:sz w:val="24"/>
          <w:lang w:val="ro-RO"/>
        </w:rPr>
      </w:pPr>
      <w:r w:rsidRPr="009C5F11">
        <w:rPr>
          <w:rFonts w:ascii="Times New Roman" w:hAnsi="Times New Roman" w:cs="Times New Roman"/>
          <w:color w:val="000000"/>
          <w:szCs w:val="19"/>
          <w:lang w:val="ro-RO"/>
        </w:rPr>
        <w:br w:type="page"/>
      </w:r>
    </w:p>
    <w:p w14:paraId="3ACFD520" w14:textId="77777777" w:rsidR="00BA083C" w:rsidRPr="00D9464A" w:rsidRDefault="00BA083C" w:rsidP="00BA083C">
      <w:pPr>
        <w:pStyle w:val="Titlu3"/>
        <w:rPr>
          <w:rFonts w:ascii="Times New Roman" w:hAnsi="Times New Roman" w:cs="Times New Roman"/>
          <w:b/>
          <w:color w:val="000000" w:themeColor="text1"/>
          <w:sz w:val="28"/>
          <w:lang w:val="ro-RO"/>
        </w:rPr>
      </w:pPr>
      <w:bookmarkStart w:id="267" w:name="_Toc322013176"/>
      <w:r w:rsidRPr="00D9464A">
        <w:rPr>
          <w:rFonts w:ascii="Times New Roman" w:hAnsi="Times New Roman" w:cs="Times New Roman"/>
          <w:b/>
          <w:color w:val="000000" w:themeColor="text1"/>
          <w:sz w:val="28"/>
          <w:lang w:val="ro-RO"/>
        </w:rPr>
        <w:lastRenderedPageBreak/>
        <w:t>Măsuri specifice pentru achiziţii publice</w:t>
      </w:r>
      <w:bookmarkEnd w:id="260"/>
      <w:bookmarkEnd w:id="261"/>
      <w:bookmarkEnd w:id="267"/>
      <w:r w:rsidRPr="00D9464A">
        <w:rPr>
          <w:rFonts w:ascii="Times New Roman" w:hAnsi="Times New Roman" w:cs="Times New Roman"/>
          <w:b/>
          <w:color w:val="000000" w:themeColor="text1"/>
          <w:sz w:val="28"/>
          <w:lang w:val="ro-RO"/>
        </w:rPr>
        <w:t xml:space="preserve"> </w:t>
      </w:r>
    </w:p>
    <w:p w14:paraId="522FF83A" w14:textId="4B880CCA"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bookmarkStart w:id="268" w:name="_Toc217240855"/>
      <w:bookmarkStart w:id="269" w:name="_Toc219544023"/>
      <w:bookmarkStart w:id="270" w:name="_Toc274298542"/>
      <w:bookmarkStart w:id="271" w:name="_Toc274304037"/>
      <w:r w:rsidRPr="009C5F11">
        <w:rPr>
          <w:rFonts w:ascii="Times New Roman" w:hAnsi="Times New Roman" w:cs="Times New Roman"/>
          <w:sz w:val="24"/>
          <w:lang w:val="ro-RO"/>
        </w:rPr>
        <w:t xml:space="preserve">Legea privind achiziţiile publice (nr. 131 din 03.07.2015) nu indică direct cerinţele prezentate în Anexa VI la DSE. Pentru a corecta această lacună, PNAEE 2016-2018 prevede acţiunea </w:t>
      </w:r>
      <w:r w:rsidRPr="009C5F11">
        <w:rPr>
          <w:rFonts w:ascii="Times New Roman" w:hAnsi="Times New Roman" w:cs="Times New Roman"/>
          <w:i/>
          <w:sz w:val="24"/>
          <w:lang w:val="ro-RO"/>
        </w:rPr>
        <w:t>“Amendamente operate Legii privind achiziţiile publice care asigură conformitatea cu cerinţele DEE”</w:t>
      </w:r>
      <w:r w:rsidRPr="009C5F11">
        <w:rPr>
          <w:rFonts w:ascii="Times New Roman" w:hAnsi="Times New Roman" w:cs="Times New Roman"/>
          <w:sz w:val="24"/>
          <w:lang w:val="ro-RO"/>
        </w:rPr>
        <w:t xml:space="preserve"> în cadrul măsurii </w:t>
      </w:r>
      <w:r w:rsidRPr="009C5F11">
        <w:rPr>
          <w:rFonts w:ascii="Times New Roman" w:hAnsi="Times New Roman" w:cs="Times New Roman"/>
          <w:i/>
          <w:sz w:val="24"/>
          <w:u w:val="single"/>
          <w:lang w:val="ro-RO"/>
        </w:rPr>
        <w:t xml:space="preserve">H2-Actualizarea şi adoptarea cadrului juridic în vederea asigurării punerii în aplicare a Directivei privind eficienţa energetică şi a Legii cu privire la eficienţa energetică. </w:t>
      </w:r>
    </w:p>
    <w:p w14:paraId="1552AD7A" w14:textId="0D5A8EC9"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Cu toate acestea, </w:t>
      </w:r>
      <w:r w:rsidR="007C3E73" w:rsidRPr="009C5F11">
        <w:rPr>
          <w:rFonts w:ascii="Times New Roman" w:hAnsi="Times New Roman" w:cs="Times New Roman"/>
          <w:sz w:val="24"/>
          <w:lang w:val="ro-RO"/>
        </w:rPr>
        <w:t>trebuie</w:t>
      </w:r>
      <w:r w:rsidRPr="009C5F11">
        <w:rPr>
          <w:rFonts w:ascii="Times New Roman" w:hAnsi="Times New Roman" w:cs="Times New Roman"/>
          <w:sz w:val="24"/>
          <w:lang w:val="ro-RO"/>
        </w:rPr>
        <w:t xml:space="preserve"> menţionat că HG RM nr.401/12.06.2012 cu privire la Fondul pentru Eficienţă Energetică stipulează următoarele: </w:t>
      </w:r>
    </w:p>
    <w:p w14:paraId="1FD5E415"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Cs w:val="18"/>
          <w:lang w:val="ro-RO"/>
        </w:rPr>
        <w:t xml:space="preserve">II.5. </w:t>
      </w:r>
      <w:r w:rsidRPr="009C5F11">
        <w:rPr>
          <w:rFonts w:ascii="Times New Roman" w:eastAsia="Times New Roman" w:hAnsi="Times New Roman" w:cs="Times New Roman"/>
          <w:i/>
          <w:color w:val="000000"/>
          <w:sz w:val="20"/>
          <w:szCs w:val="16"/>
          <w:lang w:val="ro-RO"/>
        </w:rPr>
        <w:t>Fondul va realiza obiectivul său prin promovarea şi finanţarea proiectelor fezabile din punct de vedere economic, tehnic şi al mediului, care asigură sustenabilitatea consumului de energie, precum şi reducerea emisiilor de gaze cu efect de seră</w:t>
      </w:r>
      <w:r w:rsidRPr="009C5F11">
        <w:rPr>
          <w:rFonts w:ascii="Times New Roman" w:hAnsi="Times New Roman" w:cs="Times New Roman"/>
          <w:i/>
          <w:sz w:val="20"/>
          <w:szCs w:val="16"/>
          <w:lang w:val="ro-RO"/>
        </w:rPr>
        <w:t>.</w:t>
      </w:r>
    </w:p>
    <w:p w14:paraId="6B9BCD65"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III.16. </w:t>
      </w:r>
      <w:r w:rsidRPr="009C5F11">
        <w:rPr>
          <w:rFonts w:ascii="Times New Roman" w:eastAsia="Times New Roman" w:hAnsi="Times New Roman" w:cs="Times New Roman"/>
          <w:i/>
          <w:color w:val="000000"/>
          <w:sz w:val="20"/>
          <w:szCs w:val="16"/>
          <w:lang w:val="ro-RO"/>
        </w:rPr>
        <w:t>Fondul va utiliza următoarele instrumente financiare pentru finanţarea proiectelor în domeniul eficienţei energetice şi valorificării surselor regenerabile de energie: grant, garanţie, împrumut şi leasing</w:t>
      </w:r>
      <w:r w:rsidRPr="009C5F11">
        <w:rPr>
          <w:rFonts w:ascii="Times New Roman" w:hAnsi="Times New Roman" w:cs="Times New Roman"/>
          <w:i/>
          <w:sz w:val="20"/>
          <w:szCs w:val="16"/>
          <w:lang w:val="ro-RO"/>
        </w:rPr>
        <w:t>.</w:t>
      </w:r>
    </w:p>
    <w:p w14:paraId="53239EBD"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V.50. </w:t>
      </w:r>
      <w:r w:rsidRPr="009C5F11">
        <w:rPr>
          <w:rFonts w:ascii="Times New Roman" w:eastAsia="Times New Roman" w:hAnsi="Times New Roman" w:cs="Times New Roman"/>
          <w:i/>
          <w:color w:val="000000"/>
          <w:sz w:val="20"/>
          <w:szCs w:val="16"/>
          <w:lang w:val="ro-RO"/>
        </w:rPr>
        <w:t>Resursele financiare ale Fondului sunt utilizate pentru finanţarea proiectelor ce au ca scop valorificarea resurselor regenerabile de energie şi/sau implementarea măsurilor de eficienţă energetică.</w:t>
      </w:r>
    </w:p>
    <w:p w14:paraId="188DAD07"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V.53. </w:t>
      </w:r>
      <w:r w:rsidRPr="009C5F11">
        <w:rPr>
          <w:rFonts w:ascii="Times New Roman" w:eastAsia="Times New Roman" w:hAnsi="Times New Roman" w:cs="Times New Roman"/>
          <w:i/>
          <w:color w:val="000000"/>
          <w:sz w:val="20"/>
          <w:szCs w:val="16"/>
          <w:lang w:val="ro-RO"/>
        </w:rPr>
        <w:t>Proiectele propuse spre finanţare trebuie să întrunească următoarele criterii de eligibilitate</w:t>
      </w:r>
      <w:r w:rsidRPr="009C5F11">
        <w:rPr>
          <w:rFonts w:ascii="Times New Roman" w:hAnsi="Times New Roman" w:cs="Times New Roman"/>
          <w:i/>
          <w:sz w:val="20"/>
          <w:szCs w:val="16"/>
          <w:lang w:val="ro-RO"/>
        </w:rPr>
        <w:t>:</w:t>
      </w:r>
    </w:p>
    <w:p w14:paraId="0E339C65"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a) </w:t>
      </w:r>
      <w:r w:rsidRPr="009C5F11">
        <w:rPr>
          <w:rFonts w:ascii="Times New Roman" w:eastAsia="Times New Roman" w:hAnsi="Times New Roman" w:cs="Times New Roman"/>
          <w:i/>
          <w:color w:val="000000"/>
          <w:sz w:val="20"/>
          <w:szCs w:val="16"/>
          <w:lang w:val="ro-RO"/>
        </w:rPr>
        <w:t>cel puţin o treime din beneficiile proiectului să provină din economiile de energie măsurabile;</w:t>
      </w:r>
      <w:r w:rsidRPr="009C5F11">
        <w:rPr>
          <w:rFonts w:ascii="Times New Roman" w:hAnsi="Times New Roman" w:cs="Times New Roman"/>
          <w:i/>
          <w:sz w:val="20"/>
          <w:szCs w:val="16"/>
          <w:lang w:val="ro-RO"/>
        </w:rPr>
        <w:t xml:space="preserve"> </w:t>
      </w:r>
    </w:p>
    <w:p w14:paraId="6D0380AB"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b) </w:t>
      </w:r>
      <w:r w:rsidRPr="009C5F11">
        <w:rPr>
          <w:rFonts w:ascii="Times New Roman" w:eastAsia="Times New Roman" w:hAnsi="Times New Roman" w:cs="Times New Roman"/>
          <w:i/>
          <w:color w:val="000000"/>
          <w:sz w:val="20"/>
          <w:szCs w:val="16"/>
          <w:lang w:val="ro-RO"/>
        </w:rPr>
        <w:t>proiectul să implice tehnologii de eficientizare a consumului de energie</w:t>
      </w:r>
      <w:r w:rsidRPr="009C5F11">
        <w:rPr>
          <w:rFonts w:ascii="Times New Roman" w:hAnsi="Times New Roman" w:cs="Times New Roman"/>
          <w:i/>
          <w:sz w:val="20"/>
          <w:szCs w:val="16"/>
          <w:lang w:val="ro-RO"/>
        </w:rPr>
        <w:t>;</w:t>
      </w:r>
    </w:p>
    <w:p w14:paraId="3A6BFFE1"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VI.61. </w:t>
      </w:r>
      <w:r w:rsidRPr="009C5F11">
        <w:rPr>
          <w:rFonts w:ascii="Times New Roman" w:eastAsia="Times New Roman" w:hAnsi="Times New Roman" w:cs="Times New Roman"/>
          <w:i/>
          <w:color w:val="000000"/>
          <w:sz w:val="20"/>
          <w:szCs w:val="16"/>
          <w:lang w:val="ro-RO"/>
        </w:rPr>
        <w:t>Auditul energetic este obligatoriu pentru proiectele de eficienţă energetică realizate cu sprijinul financiar al Fondului</w:t>
      </w:r>
      <w:r w:rsidRPr="009C5F11">
        <w:rPr>
          <w:rFonts w:ascii="Times New Roman" w:hAnsi="Times New Roman" w:cs="Times New Roman"/>
          <w:i/>
          <w:sz w:val="20"/>
          <w:szCs w:val="16"/>
          <w:lang w:val="ro-RO"/>
        </w:rPr>
        <w:t>.</w:t>
      </w:r>
    </w:p>
    <w:p w14:paraId="5C4439F9"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VI.77. </w:t>
      </w:r>
      <w:r w:rsidRPr="009C5F11">
        <w:rPr>
          <w:rFonts w:ascii="Times New Roman" w:eastAsia="Times New Roman" w:hAnsi="Times New Roman" w:cs="Times New Roman"/>
          <w:i/>
          <w:color w:val="000000"/>
          <w:sz w:val="20"/>
          <w:szCs w:val="16"/>
          <w:lang w:val="ro-RO"/>
        </w:rPr>
        <w:t>Evaluarea fezabilităţii tehnice presupune analiza următoarelor aspecte</w:t>
      </w:r>
      <w:r w:rsidRPr="009C5F11">
        <w:rPr>
          <w:rFonts w:ascii="Times New Roman" w:hAnsi="Times New Roman" w:cs="Times New Roman"/>
          <w:i/>
          <w:sz w:val="20"/>
          <w:szCs w:val="16"/>
          <w:lang w:val="ro-RO"/>
        </w:rPr>
        <w:t>:</w:t>
      </w:r>
    </w:p>
    <w:p w14:paraId="4070DA20"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b) </w:t>
      </w:r>
      <w:r w:rsidRPr="009C5F11">
        <w:rPr>
          <w:rFonts w:ascii="Times New Roman" w:eastAsia="Times New Roman" w:hAnsi="Times New Roman" w:cs="Times New Roman"/>
          <w:i/>
          <w:color w:val="000000"/>
          <w:sz w:val="20"/>
          <w:szCs w:val="16"/>
          <w:lang w:val="ro-RO"/>
        </w:rPr>
        <w:t>tehnologiile utilizate, tipurile de echipamente sau procese şi relevanţa acestora pentru necesităţile proiectului</w:t>
      </w:r>
      <w:r w:rsidRPr="009C5F11">
        <w:rPr>
          <w:rFonts w:ascii="Times New Roman" w:hAnsi="Times New Roman" w:cs="Times New Roman"/>
          <w:i/>
          <w:sz w:val="20"/>
          <w:szCs w:val="16"/>
          <w:lang w:val="ro-RO"/>
        </w:rPr>
        <w:t>;</w:t>
      </w:r>
    </w:p>
    <w:p w14:paraId="446CE134"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d) </w:t>
      </w:r>
      <w:r w:rsidRPr="009C5F11">
        <w:rPr>
          <w:rFonts w:ascii="Times New Roman" w:eastAsia="Times New Roman" w:hAnsi="Times New Roman" w:cs="Times New Roman"/>
          <w:i/>
          <w:color w:val="000000"/>
          <w:sz w:val="20"/>
          <w:szCs w:val="16"/>
          <w:lang w:val="ro-RO"/>
        </w:rPr>
        <w:t>posibilitatea asigurării eficienţei prognozate a consumului de energie şi volumului reducerii emisiilor de gaze cu efect de seră, precum şi evitarea riscurilor potenţiale</w:t>
      </w:r>
      <w:r w:rsidRPr="009C5F11">
        <w:rPr>
          <w:rFonts w:ascii="Times New Roman" w:hAnsi="Times New Roman" w:cs="Times New Roman"/>
          <w:i/>
          <w:sz w:val="20"/>
          <w:szCs w:val="16"/>
          <w:lang w:val="ro-RO"/>
        </w:rPr>
        <w:t>;</w:t>
      </w:r>
    </w:p>
    <w:p w14:paraId="20087118" w14:textId="4EA9BE58"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Aceste dispoziţii sunt conforme cu cel puţin 2 articole din lista măsurilor admisibile în domeniul achizițiilor publice care vizează eficiența energetică din Anexa VI la DSE.</w:t>
      </w:r>
    </w:p>
    <w:p w14:paraId="7EE75A17"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(a) cerinţele ce vizează utilizarea de instrumente financiare pentru economiile de energie, inclusiv performanţa energetică; inclusiv contractele de performanță energetică (CPE) care prevăd generarea de economii de energie măsurabile și predeterminate (inclusiv atunci când administrațiile publice au responsabilități pe care le externalizează);</w:t>
      </w:r>
    </w:p>
    <w:p w14:paraId="0C78234A"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e) cerințe privind folosirea auditurilor energetice și punerea în aplicare a recomandărilor rezultate în materie de rentabilitate;</w:t>
      </w:r>
    </w:p>
    <w:p w14:paraId="77EE75F7" w14:textId="79D3B803"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Până în prezent, Fondul pentru Eficienţă Energetică este cel mai proactiv şi eficient instrument al politicii Guvernului pentru implementare</w:t>
      </w:r>
      <w:r w:rsidR="007A3966" w:rsidRPr="009C5F11">
        <w:rPr>
          <w:rFonts w:ascii="Times New Roman" w:hAnsi="Times New Roman" w:cs="Times New Roman"/>
          <w:sz w:val="24"/>
          <w:lang w:val="ro-RO"/>
        </w:rPr>
        <w:t>a prevederilor DEE</w:t>
      </w:r>
      <w:r w:rsidRPr="009C5F11">
        <w:rPr>
          <w:rFonts w:ascii="Times New Roman" w:hAnsi="Times New Roman" w:cs="Times New Roman"/>
          <w:sz w:val="24"/>
          <w:lang w:val="ro-RO"/>
        </w:rPr>
        <w:t xml:space="preserve">, preponderent în </w:t>
      </w:r>
      <w:r w:rsidR="007A3966" w:rsidRPr="009C5F11">
        <w:rPr>
          <w:rFonts w:ascii="Times New Roman" w:hAnsi="Times New Roman" w:cs="Times New Roman"/>
          <w:sz w:val="24"/>
          <w:lang w:val="ro-RO"/>
        </w:rPr>
        <w:t>domeniul</w:t>
      </w:r>
      <w:r w:rsidRPr="009C5F11">
        <w:rPr>
          <w:rFonts w:ascii="Times New Roman" w:hAnsi="Times New Roman" w:cs="Times New Roman"/>
          <w:sz w:val="24"/>
          <w:lang w:val="ro-RO"/>
        </w:rPr>
        <w:t xml:space="preserve"> organismelor publice. </w:t>
      </w:r>
    </w:p>
    <w:p w14:paraId="12308BC1" w14:textId="77777777" w:rsidR="00BA083C" w:rsidRPr="009C5F11" w:rsidRDefault="00BA083C" w:rsidP="00BA083C">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br w:type="page"/>
      </w:r>
    </w:p>
    <w:p w14:paraId="6B6E2AE0" w14:textId="77777777" w:rsidR="00BA083C" w:rsidRPr="00D9464A" w:rsidRDefault="00BA083C" w:rsidP="00BA083C">
      <w:pPr>
        <w:pStyle w:val="Titlu2"/>
        <w:rPr>
          <w:rFonts w:ascii="Times New Roman" w:hAnsi="Times New Roman" w:cs="Times New Roman"/>
          <w:color w:val="000000" w:themeColor="text1"/>
          <w:sz w:val="28"/>
          <w:lang w:val="ro-RO"/>
        </w:rPr>
      </w:pPr>
      <w:bookmarkStart w:id="272" w:name="_Toc319555414"/>
      <w:bookmarkStart w:id="273" w:name="_Ref319685907"/>
      <w:bookmarkStart w:id="274" w:name="_Toc322013177"/>
      <w:r w:rsidRPr="00D9464A">
        <w:rPr>
          <w:rFonts w:ascii="Times New Roman" w:hAnsi="Times New Roman" w:cs="Times New Roman"/>
          <w:color w:val="000000" w:themeColor="text1"/>
          <w:sz w:val="28"/>
          <w:lang w:val="ro-RO"/>
        </w:rPr>
        <w:lastRenderedPageBreak/>
        <w:t xml:space="preserve">Programe informaţionale şi </w:t>
      </w:r>
      <w:bookmarkEnd w:id="272"/>
      <w:bookmarkEnd w:id="273"/>
      <w:r w:rsidRPr="00D9464A">
        <w:rPr>
          <w:rFonts w:ascii="Times New Roman" w:hAnsi="Times New Roman" w:cs="Times New Roman"/>
          <w:color w:val="000000" w:themeColor="text1"/>
          <w:sz w:val="28"/>
          <w:lang w:val="ro-RO"/>
        </w:rPr>
        <w:t>de instruire pentru consumatori</w:t>
      </w:r>
      <w:bookmarkEnd w:id="274"/>
      <w:r w:rsidRPr="00D9464A">
        <w:rPr>
          <w:rFonts w:ascii="Times New Roman" w:hAnsi="Times New Roman" w:cs="Times New Roman"/>
          <w:color w:val="000000" w:themeColor="text1"/>
          <w:sz w:val="28"/>
          <w:lang w:val="ro-RO"/>
        </w:rPr>
        <w:t xml:space="preserve"> </w:t>
      </w:r>
      <w:bookmarkEnd w:id="268"/>
      <w:bookmarkEnd w:id="269"/>
      <w:bookmarkEnd w:id="270"/>
      <w:bookmarkEnd w:id="271"/>
    </w:p>
    <w:p w14:paraId="62C3C90E" w14:textId="77777777" w:rsidR="0096004F"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Una dintre măsurile prevăzute de PNAEE 2013-2015 care nu va fi preluată, cel puţin, în varianta </w:t>
      </w:r>
      <w:r w:rsidR="007A3966" w:rsidRPr="009C5F11">
        <w:rPr>
          <w:rFonts w:ascii="Times New Roman" w:hAnsi="Times New Roman" w:cs="Times New Roman"/>
          <w:sz w:val="24"/>
          <w:lang w:val="ro-RO"/>
        </w:rPr>
        <w:t xml:space="preserve">sa </w:t>
      </w:r>
      <w:r w:rsidRPr="009C5F11">
        <w:rPr>
          <w:rFonts w:ascii="Times New Roman" w:hAnsi="Times New Roman" w:cs="Times New Roman"/>
          <w:sz w:val="24"/>
          <w:lang w:val="ro-RO"/>
        </w:rPr>
        <w:t xml:space="preserve">originală, considerând că obiectivele au fost atinse, este </w:t>
      </w:r>
      <w:r w:rsidRPr="009C5F11">
        <w:rPr>
          <w:rFonts w:ascii="Times New Roman" w:hAnsi="Times New Roman" w:cs="Times New Roman"/>
          <w:i/>
          <w:sz w:val="24"/>
          <w:u w:val="single"/>
          <w:lang w:val="ro-RO"/>
        </w:rPr>
        <w:t xml:space="preserve">“Introducerea </w:t>
      </w:r>
      <w:r w:rsidR="007C3E73" w:rsidRPr="009C5F11">
        <w:rPr>
          <w:rFonts w:ascii="Times New Roman" w:hAnsi="Times New Roman" w:cs="Times New Roman"/>
          <w:i/>
          <w:sz w:val="24"/>
          <w:u w:val="single"/>
          <w:lang w:val="ro-RO"/>
        </w:rPr>
        <w:t xml:space="preserve">sistemului </w:t>
      </w:r>
      <w:r w:rsidRPr="009C5F11">
        <w:rPr>
          <w:rFonts w:ascii="Times New Roman" w:hAnsi="Times New Roman" w:cs="Times New Roman"/>
          <w:i/>
          <w:sz w:val="24"/>
          <w:u w:val="single"/>
          <w:lang w:val="ro-RO"/>
        </w:rPr>
        <w:t>de management energetic şi a bune</w:t>
      </w:r>
      <w:r w:rsidR="007C3E73" w:rsidRPr="009C5F11">
        <w:rPr>
          <w:rFonts w:ascii="Times New Roman" w:hAnsi="Times New Roman" w:cs="Times New Roman"/>
          <w:i/>
          <w:sz w:val="24"/>
          <w:u w:val="single"/>
          <w:lang w:val="ro-RO"/>
        </w:rPr>
        <w:t>lor</w:t>
      </w:r>
      <w:r w:rsidRPr="009C5F11">
        <w:rPr>
          <w:rFonts w:ascii="Times New Roman" w:hAnsi="Times New Roman" w:cs="Times New Roman"/>
          <w:i/>
          <w:sz w:val="24"/>
          <w:u w:val="single"/>
          <w:lang w:val="ro-RO"/>
        </w:rPr>
        <w:t xml:space="preserve"> practici în sectorul industri</w:t>
      </w:r>
      <w:r w:rsidR="007C3E73" w:rsidRPr="009C5F11">
        <w:rPr>
          <w:rFonts w:ascii="Times New Roman" w:hAnsi="Times New Roman" w:cs="Times New Roman"/>
          <w:i/>
          <w:sz w:val="24"/>
          <w:u w:val="single"/>
          <w:lang w:val="ro-RO"/>
        </w:rPr>
        <w:t>ei</w:t>
      </w:r>
      <w:r w:rsidRPr="009C5F11">
        <w:rPr>
          <w:rFonts w:ascii="Times New Roman" w:hAnsi="Times New Roman" w:cs="Times New Roman"/>
          <w:i/>
          <w:sz w:val="24"/>
          <w:u w:val="single"/>
          <w:lang w:val="ro-RO"/>
        </w:rPr>
        <w:t>”</w:t>
      </w:r>
      <w:r w:rsidRPr="009C5F11">
        <w:rPr>
          <w:rFonts w:ascii="Times New Roman" w:hAnsi="Times New Roman" w:cs="Times New Roman"/>
          <w:sz w:val="24"/>
          <w:lang w:val="ro-RO"/>
        </w:rPr>
        <w:t xml:space="preserve"> (Articolul 103). Această activitate </w:t>
      </w:r>
      <w:r w:rsidR="007A3966" w:rsidRPr="009C5F11">
        <w:rPr>
          <w:rFonts w:ascii="Times New Roman" w:hAnsi="Times New Roman" w:cs="Times New Roman"/>
          <w:sz w:val="24"/>
          <w:lang w:val="ro-RO"/>
        </w:rPr>
        <w:t xml:space="preserve">a </w:t>
      </w:r>
      <w:r w:rsidRPr="009C5F11">
        <w:rPr>
          <w:rFonts w:ascii="Times New Roman" w:hAnsi="Times New Roman" w:cs="Times New Roman"/>
          <w:sz w:val="24"/>
          <w:lang w:val="ro-RO"/>
        </w:rPr>
        <w:t>implic</w:t>
      </w:r>
      <w:r w:rsidR="007A3966" w:rsidRPr="009C5F11">
        <w:rPr>
          <w:rFonts w:ascii="Times New Roman" w:hAnsi="Times New Roman" w:cs="Times New Roman"/>
          <w:sz w:val="24"/>
          <w:lang w:val="ro-RO"/>
        </w:rPr>
        <w:t>at</w:t>
      </w:r>
      <w:r w:rsidRPr="009C5F11">
        <w:rPr>
          <w:rFonts w:ascii="Times New Roman" w:hAnsi="Times New Roman" w:cs="Times New Roman"/>
          <w:sz w:val="24"/>
          <w:lang w:val="ro-RO"/>
        </w:rPr>
        <w:t xml:space="preserve"> efectuarea instruir</w:t>
      </w:r>
      <w:r w:rsidR="007A3966" w:rsidRPr="009C5F11">
        <w:rPr>
          <w:rFonts w:ascii="Times New Roman" w:hAnsi="Times New Roman" w:cs="Times New Roman"/>
          <w:sz w:val="24"/>
          <w:lang w:val="ro-RO"/>
        </w:rPr>
        <w:t>i</w:t>
      </w:r>
      <w:r w:rsidRPr="009C5F11">
        <w:rPr>
          <w:rFonts w:ascii="Times New Roman" w:hAnsi="Times New Roman" w:cs="Times New Roman"/>
          <w:sz w:val="24"/>
          <w:lang w:val="ro-RO"/>
        </w:rPr>
        <w:t>i, acordarea de asistenţă tehnică cu participarea experţilor naţionali, utilizarea instrumentelor pentru a stimula/accelera adoptarea hotărârilor relevante şi punerea în aplicare a acestora.</w:t>
      </w:r>
    </w:p>
    <w:p w14:paraId="66A4E2A6" w14:textId="0C0503B1"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Sumarul rezultatelor implementării Proiectului UNIDO </w:t>
      </w:r>
      <w:r w:rsidRPr="009C5F11">
        <w:rPr>
          <w:rFonts w:ascii="Times New Roman" w:hAnsi="Times New Roman" w:cs="Times New Roman"/>
          <w:i/>
          <w:sz w:val="24"/>
          <w:lang w:val="ro-RO"/>
        </w:rPr>
        <w:t>“Reducerea emisiilor GES pe baza eficientizării sectorului industrial din Republica Moldova”</w:t>
      </w:r>
      <w:r w:rsidRPr="009C5F11">
        <w:rPr>
          <w:rFonts w:ascii="Times New Roman" w:hAnsi="Times New Roman" w:cs="Times New Roman"/>
          <w:sz w:val="24"/>
          <w:lang w:val="ro-RO"/>
        </w:rPr>
        <w:t xml:space="preserve"> poate fi prezentat după cum urmează:</w:t>
      </w:r>
    </w:p>
    <w:p w14:paraId="5E97ED9E" w14:textId="77777777" w:rsidR="00BA083C" w:rsidRPr="009C5F11" w:rsidRDefault="00BA083C" w:rsidP="00334F3B">
      <w:pPr>
        <w:pStyle w:val="Listparagraf"/>
        <w:numPr>
          <w:ilvl w:val="0"/>
          <w:numId w:val="184"/>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u w:val="single"/>
          <w:lang w:val="ro-RO"/>
        </w:rPr>
        <w:t xml:space="preserve">instruiri referitoare la SME bazat pe ISO 50001: </w:t>
      </w:r>
      <w:r w:rsidRPr="009C5F11">
        <w:rPr>
          <w:rFonts w:ascii="Times New Roman" w:hAnsi="Times New Roman" w:cs="Times New Roman"/>
          <w:sz w:val="24"/>
          <w:lang w:val="ro-RO"/>
        </w:rPr>
        <w:t>instruirile referitoare la implementarea SME pe baza ISO 50001 au fost finalizate în luna noiembrie 2012; 13 persoane au promovat examenul, fiind actualmente implicate activ în procesul de implementare a acestui sistem în companiile industriale din Republica Moldova;</w:t>
      </w:r>
    </w:p>
    <w:p w14:paraId="0583B525" w14:textId="77777777" w:rsidR="00BA083C" w:rsidRPr="009C5F11" w:rsidRDefault="00BA083C" w:rsidP="00334F3B">
      <w:pPr>
        <w:pStyle w:val="Listparagraf"/>
        <w:numPr>
          <w:ilvl w:val="0"/>
          <w:numId w:val="184"/>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u w:val="single"/>
          <w:lang w:val="ro-RO" w:eastAsia="ru-RU"/>
        </w:rPr>
        <w:t>instruiri privind optimizarea sistemului de producere a aburului în industrie</w:t>
      </w:r>
      <w:r w:rsidRPr="009C5F11">
        <w:rPr>
          <w:rFonts w:ascii="Times New Roman" w:hAnsi="Times New Roman" w:cs="Times New Roman"/>
          <w:sz w:val="24"/>
          <w:lang w:val="ro-RO" w:eastAsia="ru-RU"/>
        </w:rPr>
        <w:t>:</w:t>
      </w:r>
      <w:r w:rsidRPr="009C5F11">
        <w:rPr>
          <w:rFonts w:ascii="Times New Roman" w:eastAsia="Times New Roman" w:hAnsi="Times New Roman" w:cs="Times New Roman"/>
          <w:sz w:val="24"/>
          <w:lang w:val="ro-RO" w:eastAsia="ru-RU"/>
        </w:rPr>
        <w:t xml:space="preserve"> pe parcursul perioadei noiembrie 2012 – iunie 2013 reprezentanţi ai 18 companii au fost instruiţi timp de 2 săptămâni în materie de optimizare a sistemului de producere şi utilizare a aburului. 13 persoane au promovat examenul şi au fost autorizate în calitate de experţi în domeniu, fiind eligibile să presteze servicii de consultanţă companiilor locale;</w:t>
      </w:r>
    </w:p>
    <w:p w14:paraId="28C911C0" w14:textId="77777777" w:rsidR="00BA083C" w:rsidRPr="009C5F11" w:rsidRDefault="00BA083C" w:rsidP="00334F3B">
      <w:pPr>
        <w:pStyle w:val="Listparagraf"/>
        <w:numPr>
          <w:ilvl w:val="0"/>
          <w:numId w:val="184"/>
        </w:num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 w:val="24"/>
          <w:u w:val="single"/>
          <w:lang w:val="ro-RO" w:eastAsia="ru-RU"/>
        </w:rPr>
        <w:t>instruiri privind optimizarea sistemului organizate pentru furnizorii de echipamente şi sisteme de producere a aburului:</w:t>
      </w:r>
      <w:r w:rsidRPr="009C5F11">
        <w:rPr>
          <w:rFonts w:ascii="Times New Roman" w:hAnsi="Times New Roman" w:cs="Times New Roman"/>
          <w:sz w:val="24"/>
          <w:lang w:val="ro-RO"/>
        </w:rPr>
        <w:t xml:space="preserve"> </w:t>
      </w:r>
      <w:r w:rsidRPr="009C5F11">
        <w:rPr>
          <w:rFonts w:ascii="Times New Roman" w:eastAsia="Calibri" w:hAnsi="Times New Roman" w:cs="Times New Roman"/>
          <w:sz w:val="24"/>
          <w:lang w:val="ro-RO" w:eastAsia="ru-RU"/>
        </w:rPr>
        <w:t>în 2013 au fost organizate cursuri de instruire pentru reprezentanţii ai 15 companii – furnizoare de echipament pentru producerea şi utilizarea aburului. Instruirea s-a bazat pe cele mai moderne echipamente pentru producerea, utilizarea şi monitorizarea aburului în funcţie de necesităţile Republicii Moldova</w:t>
      </w:r>
      <w:r w:rsidRPr="009C5F11">
        <w:rPr>
          <w:rFonts w:ascii="Times New Roman" w:hAnsi="Times New Roman" w:cs="Times New Roman"/>
          <w:sz w:val="24"/>
          <w:lang w:val="ro-RO"/>
        </w:rPr>
        <w:t xml:space="preserve">; </w:t>
      </w:r>
    </w:p>
    <w:p w14:paraId="44BACD43" w14:textId="77777777" w:rsidR="00BA083C" w:rsidRPr="009C5F11" w:rsidRDefault="00BA083C" w:rsidP="00334F3B">
      <w:pPr>
        <w:pStyle w:val="Listparagraf"/>
        <w:numPr>
          <w:ilvl w:val="0"/>
          <w:numId w:val="184"/>
        </w:numPr>
        <w:spacing w:before="120" w:after="120" w:line="240" w:lineRule="auto"/>
        <w:jc w:val="both"/>
        <w:textAlignment w:val="baseline"/>
        <w:rPr>
          <w:rFonts w:ascii="Times New Roman" w:hAnsi="Times New Roman" w:cs="Times New Roman"/>
          <w:sz w:val="24"/>
          <w:lang w:val="ro-RO"/>
        </w:rPr>
      </w:pPr>
      <w:r w:rsidRPr="009C5F11">
        <w:rPr>
          <w:rFonts w:ascii="Times New Roman" w:eastAsia="Calibri" w:hAnsi="Times New Roman" w:cs="Times New Roman"/>
          <w:sz w:val="24"/>
          <w:u w:val="single"/>
          <w:lang w:val="ro-RO" w:eastAsia="ru-RU"/>
        </w:rPr>
        <w:t xml:space="preserve">instruirea personalului privind implementarea </w:t>
      </w:r>
      <w:r w:rsidRPr="009C5F11">
        <w:rPr>
          <w:rFonts w:ascii="Times New Roman" w:eastAsia="Times New Roman" w:hAnsi="Times New Roman" w:cs="Times New Roman"/>
          <w:sz w:val="24"/>
          <w:u w:val="single"/>
          <w:lang w:val="ro-RO" w:eastAsia="ru-RU"/>
        </w:rPr>
        <w:t>SME pe baza EN ISO 50001</w:t>
      </w:r>
      <w:r w:rsidRPr="009C5F11">
        <w:rPr>
          <w:rFonts w:ascii="Times New Roman" w:hAnsi="Times New Roman" w:cs="Times New Roman"/>
          <w:sz w:val="24"/>
          <w:u w:val="single"/>
          <w:lang w:val="ro-RO"/>
        </w:rPr>
        <w:t>:</w:t>
      </w:r>
      <w:r w:rsidRPr="009C5F11">
        <w:rPr>
          <w:rFonts w:ascii="Times New Roman" w:hAnsi="Times New Roman" w:cs="Times New Roman"/>
          <w:sz w:val="24"/>
          <w:lang w:val="ro-RO"/>
        </w:rPr>
        <w:t xml:space="preserve"> în 2013, personalul de la 2 companii (“JLC” JSC, Chişinău, şi “Lactis” JSC, Râșcani: companii de producere a lactatelor) </w:t>
      </w:r>
      <w:r w:rsidRPr="009C5F11">
        <w:rPr>
          <w:rFonts w:ascii="Times New Roman" w:eastAsia="Times New Roman" w:hAnsi="Times New Roman" w:cs="Times New Roman"/>
          <w:sz w:val="24"/>
          <w:lang w:val="ro-RO" w:eastAsia="ru-RU"/>
        </w:rPr>
        <w:t>a fost instruit privind SME şi ISO 50001</w:t>
      </w:r>
      <w:r w:rsidRPr="009C5F11">
        <w:rPr>
          <w:rFonts w:ascii="Times New Roman" w:eastAsia="Calibri" w:hAnsi="Times New Roman" w:cs="Times New Roman"/>
          <w:sz w:val="24"/>
          <w:lang w:val="ro-RO" w:eastAsia="ru-RU"/>
        </w:rPr>
        <w:t>. În 2014, au fost oferite cursuri de instruire pentru “</w:t>
      </w:r>
      <w:r w:rsidRPr="009C5F11">
        <w:rPr>
          <w:rFonts w:ascii="Times New Roman" w:eastAsia="Times New Roman" w:hAnsi="Times New Roman" w:cs="Times New Roman"/>
          <w:sz w:val="24"/>
          <w:lang w:val="ro-RO" w:eastAsia="ru-RU"/>
        </w:rPr>
        <w:t xml:space="preserve">CET-2” S.A. şi “Parcul Municipal de Autobuze” şi, în urma unui audit realizat de experţi internaţionali în perioada 19-24.01.2015, aceste 2 companii au fost certificate în calitate de societăţi care au implementat SME în conformitate cu ISO 50001; în anul 2015 „Termoelectrica” a organizat instruirea personalului în domeniul implementării SME </w:t>
      </w:r>
      <w:r w:rsidRPr="009C5F11">
        <w:rPr>
          <w:rFonts w:ascii="Times New Roman" w:hAnsi="Times New Roman" w:cs="Times New Roman"/>
          <w:sz w:val="24"/>
          <w:lang w:val="ro-RO"/>
        </w:rPr>
        <w:t>ISO 50001 şi optimizării sistemului energetic, oferit de Asociaţia de Standardizare din România (ASRO);</w:t>
      </w:r>
    </w:p>
    <w:p w14:paraId="4D616D5D" w14:textId="77777777" w:rsidR="00BA083C" w:rsidRPr="009C5F11" w:rsidRDefault="00BA083C" w:rsidP="00334F3B">
      <w:pPr>
        <w:pStyle w:val="Listparagraf"/>
        <w:numPr>
          <w:ilvl w:val="0"/>
          <w:numId w:val="184"/>
        </w:numPr>
        <w:spacing w:before="120" w:after="120" w:line="240" w:lineRule="auto"/>
        <w:jc w:val="both"/>
        <w:textAlignment w:val="baseline"/>
        <w:rPr>
          <w:rFonts w:ascii="Times New Roman" w:hAnsi="Times New Roman" w:cs="Times New Roman"/>
          <w:sz w:val="24"/>
          <w:lang w:val="ro-RO"/>
        </w:rPr>
      </w:pPr>
      <w:r w:rsidRPr="009C5F11">
        <w:rPr>
          <w:rFonts w:ascii="Times New Roman" w:eastAsia="Calibri" w:hAnsi="Times New Roman" w:cs="Times New Roman"/>
          <w:sz w:val="24"/>
          <w:u w:val="single"/>
          <w:lang w:val="ro-RO" w:eastAsia="ru-RU"/>
        </w:rPr>
        <w:t>instruirea personalului în domeniul optimizării sistemului pe bază de abur</w:t>
      </w:r>
      <w:r w:rsidRPr="009C5F11">
        <w:rPr>
          <w:rFonts w:ascii="Times New Roman" w:eastAsia="Calibri" w:hAnsi="Times New Roman" w:cs="Times New Roman"/>
          <w:sz w:val="24"/>
          <w:lang w:val="ro-RO" w:eastAsia="ru-RU"/>
        </w:rPr>
        <w:t xml:space="preserve">: </w:t>
      </w:r>
      <w:r w:rsidRPr="009C5F11">
        <w:rPr>
          <w:rFonts w:ascii="Times New Roman" w:eastAsia="Times New Roman" w:hAnsi="Times New Roman" w:cs="Times New Roman"/>
          <w:sz w:val="24"/>
          <w:lang w:val="ro-RO" w:eastAsia="ru-RU"/>
        </w:rPr>
        <w:t>în 2013, experţi autorizaţi în domeniul sistemelor de producere şi utilizare a aburului au oferit instruire personalului de la 9 companii: “CET-2”, “CET-1”, “CET-Nord”, “Lactis” S.A. (produse lactate, Rîșcani), “JLC” S.A. (produse lactate, Chișinău), “Carmez” S.A. (mezeluri, Chișinău), “Natur Bravo” S.A. (prelucrarea fructelor şi legumelor, Cupcini), “Floare-Carpet” S.A. (covoare) şi “Efes-Vitanta Moldova Brewery” S.A. (fabrica de bere, Chișinău). Ca urmare a acestor instruiri, experţii au oferit companiilor rapoarte de evaluare a sistemelor pe bază de aburi, inclusiv o listă de măsuri de îmbunătăţire necesare;</w:t>
      </w:r>
    </w:p>
    <w:p w14:paraId="2DAD6373" w14:textId="2CC71FCB"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De asemenea, implementarea măsurii </w:t>
      </w:r>
      <w:r w:rsidRPr="009C5F11">
        <w:rPr>
          <w:rFonts w:ascii="Times New Roman" w:hAnsi="Times New Roman" w:cs="Times New Roman"/>
          <w:i/>
          <w:sz w:val="24"/>
          <w:u w:val="single"/>
          <w:lang w:val="ro-RO"/>
        </w:rPr>
        <w:t xml:space="preserve">Dezvoltarea pieţei serviciilor energetice pentru sectorul industrial </w:t>
      </w:r>
      <w:r w:rsidRPr="009C5F11">
        <w:rPr>
          <w:rFonts w:ascii="Times New Roman" w:hAnsi="Times New Roman" w:cs="Times New Roman"/>
          <w:sz w:val="24"/>
          <w:lang w:val="ro-RO"/>
        </w:rPr>
        <w:t>(art.104) a generat următoarele rezultate:</w:t>
      </w:r>
    </w:p>
    <w:p w14:paraId="6FCD045F"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Implementarea NCPP s-a soldat cu instruirea în domeniul metodelor şi tehnicilor RECP a 13 experţi locali (2012-2013) şi 12 experţi locali (2014 – în derulare). În </w:t>
      </w:r>
      <w:r w:rsidRPr="009C5F11">
        <w:rPr>
          <w:rFonts w:ascii="Times New Roman" w:hAnsi="Times New Roman" w:cs="Times New Roman"/>
          <w:sz w:val="24"/>
          <w:lang w:val="ro-RO"/>
        </w:rPr>
        <w:lastRenderedPageBreak/>
        <w:t xml:space="preserve">cadrul măsurilor de informare a fost organizată o serie de seminare în domeniu şi distribuite materiale informaţionale, inclusiv publicate pe pagina web; </w:t>
      </w:r>
    </w:p>
    <w:p w14:paraId="272DA94C"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Implementarea şi replicarea RECP a condus la implicarea a 56 de companii şi organizaţii, inclusiv 31 de sesiuni demonstrative RECP (evaluarea din partea expertului) şi 25 de replicări RECP (autoevaluare). Activităţile demonstrative au inclus 7 companii din sectorul de producere a produselor alimentare/băuturilor şi construcţiilor şi 24 de instituţii publice, în timp ce replicarea a inclus activităţi organizate prin intermediul cluburilor RECP la Chișinău, Căuşeni şi Ungheni.</w:t>
      </w:r>
    </w:p>
    <w:p w14:paraId="1DC49AF5" w14:textId="77777777" w:rsidR="00BA083C" w:rsidRPr="009C5F11" w:rsidRDefault="00BA083C" w:rsidP="00BA083C">
      <w:pPr>
        <w:spacing w:before="120" w:after="120" w:line="240" w:lineRule="auto"/>
        <w:ind w:left="357"/>
        <w:jc w:val="both"/>
        <w:textAlignment w:val="baseline"/>
        <w:rPr>
          <w:rFonts w:ascii="Times New Roman" w:hAnsi="Times New Roman" w:cs="Times New Roman"/>
          <w:sz w:val="24"/>
          <w:lang w:val="ro-RO"/>
        </w:rPr>
      </w:pPr>
    </w:p>
    <w:p w14:paraId="1A797462" w14:textId="57F1004A"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Noua măsură</w:t>
      </w:r>
      <w:r w:rsidRPr="009C5F11">
        <w:rPr>
          <w:rFonts w:ascii="Times New Roman" w:hAnsi="Times New Roman" w:cs="Times New Roman"/>
          <w:b/>
          <w:sz w:val="24"/>
          <w:lang w:val="ro-RO"/>
        </w:rPr>
        <w:t xml:space="preserve"> </w:t>
      </w:r>
      <w:r w:rsidRPr="009C5F11">
        <w:rPr>
          <w:rFonts w:ascii="Times New Roman" w:hAnsi="Times New Roman" w:cs="Times New Roman"/>
          <w:i/>
          <w:sz w:val="24"/>
          <w:u w:val="single"/>
          <w:lang w:val="ro-RO"/>
        </w:rPr>
        <w:t xml:space="preserve">H7 - Instruire şi </w:t>
      </w:r>
      <w:r w:rsidR="006C7B9F" w:rsidRPr="009C5F11">
        <w:rPr>
          <w:rFonts w:ascii="Times New Roman" w:hAnsi="Times New Roman" w:cs="Times New Roman"/>
          <w:i/>
          <w:sz w:val="24"/>
          <w:u w:val="single"/>
          <w:lang w:val="ro-RO"/>
        </w:rPr>
        <w:t>educare</w:t>
      </w:r>
      <w:r w:rsidRPr="009C5F11">
        <w:rPr>
          <w:rFonts w:ascii="Times New Roman" w:hAnsi="Times New Roman" w:cs="Times New Roman"/>
          <w:i/>
          <w:sz w:val="24"/>
          <w:u w:val="single"/>
          <w:lang w:val="ro-RO"/>
        </w:rPr>
        <w:t>, inclusiv programe de consultanţă în domeniul energetic, care conduc la aplicarea tehnologii</w:t>
      </w:r>
      <w:r w:rsidR="006C7B9F" w:rsidRPr="009C5F11">
        <w:rPr>
          <w:rFonts w:ascii="Times New Roman" w:hAnsi="Times New Roman" w:cs="Times New Roman"/>
          <w:i/>
          <w:sz w:val="24"/>
          <w:u w:val="single"/>
          <w:lang w:val="ro-RO"/>
        </w:rPr>
        <w:t>lor</w:t>
      </w:r>
      <w:r w:rsidRPr="009C5F11">
        <w:rPr>
          <w:rFonts w:ascii="Times New Roman" w:hAnsi="Times New Roman" w:cs="Times New Roman"/>
          <w:i/>
          <w:sz w:val="24"/>
          <w:u w:val="single"/>
          <w:lang w:val="ro-RO"/>
        </w:rPr>
        <w:t xml:space="preserve"> sau tehnicilor eficiente din punct de vedere energetic şi au efectul de reducere a consumului de energie la utilizatorii finali</w:t>
      </w:r>
      <w:r w:rsidRPr="009C5F11">
        <w:rPr>
          <w:rFonts w:ascii="Times New Roman" w:hAnsi="Times New Roman" w:cs="Times New Roman"/>
          <w:sz w:val="24"/>
          <w:lang w:val="ro-RO"/>
        </w:rPr>
        <w:t xml:space="preserve"> inclusă de PNAEE 2016-2018 prevede următoarele:</w:t>
      </w:r>
    </w:p>
    <w:p w14:paraId="4072A31A"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Instruire specifică privind: </w:t>
      </w:r>
    </w:p>
    <w:p w14:paraId="08E7EB93" w14:textId="77777777" w:rsidR="00BA083C" w:rsidRPr="009C5F11" w:rsidRDefault="00BA083C" w:rsidP="00334F3B">
      <w:pPr>
        <w:pStyle w:val="Listparagraf"/>
        <w:numPr>
          <w:ilvl w:val="1"/>
          <w:numId w:val="171"/>
        </w:numPr>
        <w:spacing w:before="120" w:after="120" w:line="240" w:lineRule="auto"/>
        <w:ind w:left="1434" w:hanging="357"/>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performanţa energetică a clădirilor, </w:t>
      </w:r>
    </w:p>
    <w:p w14:paraId="444512AF" w14:textId="77777777" w:rsidR="00BA083C" w:rsidRPr="009C5F11" w:rsidRDefault="00BA083C" w:rsidP="00334F3B">
      <w:pPr>
        <w:pStyle w:val="Listparagraf"/>
        <w:numPr>
          <w:ilvl w:val="1"/>
          <w:numId w:val="171"/>
        </w:numPr>
        <w:spacing w:before="120" w:after="120" w:line="240" w:lineRule="auto"/>
        <w:ind w:left="1434" w:hanging="357"/>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auditul, </w:t>
      </w:r>
    </w:p>
    <w:p w14:paraId="28EAAAD4" w14:textId="77777777" w:rsidR="00BA083C" w:rsidRPr="009C5F11" w:rsidRDefault="00BA083C" w:rsidP="00334F3B">
      <w:pPr>
        <w:pStyle w:val="Listparagraf"/>
        <w:numPr>
          <w:ilvl w:val="1"/>
          <w:numId w:val="171"/>
        </w:numPr>
        <w:spacing w:before="120" w:after="120" w:line="240" w:lineRule="auto"/>
        <w:ind w:left="1434" w:hanging="357"/>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etichetarea, </w:t>
      </w:r>
    </w:p>
    <w:p w14:paraId="4DA84608" w14:textId="77777777" w:rsidR="00BA083C" w:rsidRPr="009C5F11" w:rsidRDefault="00BA083C" w:rsidP="00334F3B">
      <w:pPr>
        <w:pStyle w:val="Listparagraf"/>
        <w:numPr>
          <w:ilvl w:val="1"/>
          <w:numId w:val="171"/>
        </w:numPr>
        <w:spacing w:before="120" w:after="120" w:line="240" w:lineRule="auto"/>
        <w:ind w:left="1434" w:hanging="357"/>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certificarea, </w:t>
      </w:r>
    </w:p>
    <w:p w14:paraId="4B937187" w14:textId="77777777" w:rsidR="00BA083C" w:rsidRPr="009C5F11" w:rsidRDefault="00BA083C" w:rsidP="00334F3B">
      <w:pPr>
        <w:pStyle w:val="Listparagraf"/>
        <w:numPr>
          <w:ilvl w:val="1"/>
          <w:numId w:val="171"/>
        </w:numPr>
        <w:spacing w:before="120" w:after="120" w:line="240" w:lineRule="auto"/>
        <w:ind w:left="1434" w:hanging="357"/>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ESCO şi CPE, </w:t>
      </w:r>
    </w:p>
    <w:p w14:paraId="727732F6" w14:textId="77777777" w:rsidR="00BA083C" w:rsidRPr="009C5F11" w:rsidRDefault="00BA083C" w:rsidP="00334F3B">
      <w:pPr>
        <w:pStyle w:val="Listparagraf"/>
        <w:numPr>
          <w:ilvl w:val="1"/>
          <w:numId w:val="171"/>
        </w:numPr>
        <w:spacing w:before="120" w:after="120" w:line="240" w:lineRule="auto"/>
        <w:ind w:left="1434" w:hanging="357"/>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cogenerarea, </w:t>
      </w:r>
    </w:p>
    <w:p w14:paraId="61EB0F49"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Campanii de sensibilizare privind: </w:t>
      </w:r>
    </w:p>
    <w:p w14:paraId="11B6508B" w14:textId="77777777" w:rsidR="00BA083C" w:rsidRPr="009C5F11" w:rsidRDefault="00BA083C" w:rsidP="00334F3B">
      <w:pPr>
        <w:pStyle w:val="Listparagraf"/>
        <w:numPr>
          <w:ilvl w:val="1"/>
          <w:numId w:val="171"/>
        </w:numPr>
        <w:spacing w:before="120" w:after="120" w:line="240" w:lineRule="auto"/>
        <w:ind w:left="1434" w:hanging="357"/>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Economii potenţiale de energie în clădiri, </w:t>
      </w:r>
    </w:p>
    <w:p w14:paraId="1A3CA2FD" w14:textId="77777777" w:rsidR="00BA083C" w:rsidRPr="009C5F11" w:rsidRDefault="00BA083C" w:rsidP="00334F3B">
      <w:pPr>
        <w:pStyle w:val="Listparagraf"/>
        <w:numPr>
          <w:ilvl w:val="1"/>
          <w:numId w:val="171"/>
        </w:numPr>
        <w:spacing w:before="120" w:after="120" w:line="240" w:lineRule="auto"/>
        <w:ind w:left="1434" w:hanging="357"/>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Economii potenţiale de energie electrică/gaze naturale pe baza achiziţionării electrocasnicelor eficiente, </w:t>
      </w:r>
    </w:p>
    <w:p w14:paraId="23458A1F" w14:textId="77777777" w:rsidR="00BA083C" w:rsidRPr="009C5F11" w:rsidRDefault="00BA083C" w:rsidP="00334F3B">
      <w:pPr>
        <w:pStyle w:val="Listparagraf"/>
        <w:numPr>
          <w:ilvl w:val="1"/>
          <w:numId w:val="171"/>
        </w:numPr>
        <w:spacing w:before="120" w:after="120" w:line="240" w:lineRule="auto"/>
        <w:ind w:left="1434" w:hanging="357"/>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Beneficii potenţiale din utilizarea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w:t>
      </w:r>
    </w:p>
    <w:p w14:paraId="3DD0824E" w14:textId="77777777" w:rsidR="00BA083C" w:rsidRPr="009C5F11" w:rsidRDefault="00BA083C" w:rsidP="00334F3B">
      <w:pPr>
        <w:pStyle w:val="Listparagraf"/>
        <w:numPr>
          <w:ilvl w:val="1"/>
          <w:numId w:val="171"/>
        </w:numPr>
        <w:spacing w:before="120" w:after="120" w:line="240" w:lineRule="auto"/>
        <w:ind w:left="1434" w:hanging="357"/>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Beneficii din cogenerare şi alimentare centralizată cu energie termică.</w:t>
      </w:r>
    </w:p>
    <w:p w14:paraId="0323C946" w14:textId="77777777" w:rsidR="00BA083C" w:rsidRPr="009C5F11" w:rsidRDefault="00BA083C" w:rsidP="00BA083C">
      <w:pPr>
        <w:spacing w:after="0"/>
        <w:jc w:val="both"/>
        <w:rPr>
          <w:rFonts w:ascii="Times New Roman" w:hAnsi="Times New Roman" w:cs="Times New Roman"/>
          <w:sz w:val="24"/>
          <w:lang w:val="ro-RO"/>
        </w:rPr>
      </w:pPr>
    </w:p>
    <w:p w14:paraId="0EED3B3B" w14:textId="77777777" w:rsidR="00BA083C" w:rsidRPr="00D9464A" w:rsidRDefault="00BA083C" w:rsidP="00BA083C">
      <w:pPr>
        <w:pStyle w:val="Titlu2"/>
        <w:rPr>
          <w:rFonts w:ascii="Times New Roman" w:hAnsi="Times New Roman" w:cs="Times New Roman"/>
          <w:color w:val="000000" w:themeColor="text1"/>
          <w:sz w:val="28"/>
          <w:lang w:val="ro-RO"/>
        </w:rPr>
      </w:pPr>
      <w:bookmarkStart w:id="275" w:name="_Toc273910123"/>
      <w:bookmarkStart w:id="276" w:name="_Toc274298543"/>
      <w:bookmarkStart w:id="277" w:name="_Toc274304038"/>
      <w:bookmarkStart w:id="278" w:name="_Toc319555415"/>
      <w:bookmarkStart w:id="279" w:name="_Toc322013178"/>
      <w:r w:rsidRPr="00D9464A">
        <w:rPr>
          <w:rFonts w:ascii="Times New Roman" w:hAnsi="Times New Roman" w:cs="Times New Roman"/>
          <w:color w:val="000000" w:themeColor="text1"/>
          <w:sz w:val="28"/>
          <w:lang w:val="ro-RO"/>
        </w:rPr>
        <w:t xml:space="preserve">Obligaţiile companiilor energetice </w:t>
      </w:r>
      <w:bookmarkEnd w:id="275"/>
      <w:r w:rsidRPr="00D9464A">
        <w:rPr>
          <w:rFonts w:ascii="Times New Roman" w:hAnsi="Times New Roman" w:cs="Times New Roman"/>
          <w:color w:val="000000" w:themeColor="text1"/>
          <w:sz w:val="28"/>
          <w:lang w:val="ro-RO"/>
        </w:rPr>
        <w:t xml:space="preserve">de a promova economiile de energie </w:t>
      </w:r>
      <w:bookmarkEnd w:id="276"/>
      <w:bookmarkEnd w:id="277"/>
      <w:bookmarkEnd w:id="278"/>
      <w:r w:rsidRPr="00D9464A">
        <w:rPr>
          <w:rFonts w:ascii="Times New Roman" w:hAnsi="Times New Roman" w:cs="Times New Roman"/>
          <w:color w:val="000000" w:themeColor="text1"/>
          <w:sz w:val="28"/>
          <w:lang w:val="ro-RO"/>
        </w:rPr>
        <w:t>finală</w:t>
      </w:r>
      <w:bookmarkEnd w:id="279"/>
    </w:p>
    <w:p w14:paraId="3E05EDC6" w14:textId="572AF9FF"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bookmarkStart w:id="280" w:name="_Toc274298544"/>
      <w:bookmarkStart w:id="281" w:name="_Toc274304039"/>
      <w:r w:rsidRPr="009C5F11">
        <w:rPr>
          <w:rFonts w:ascii="Times New Roman" w:hAnsi="Times New Roman" w:cs="Times New Roman"/>
          <w:sz w:val="24"/>
          <w:lang w:val="ro-RO"/>
        </w:rPr>
        <w:t>Potrivit legislaţiei în vigoare, companiile de distribuţie, precum şi furnizorii, nu au  obligaţi</w:t>
      </w:r>
      <w:r w:rsidR="006C7B9F" w:rsidRPr="009C5F11">
        <w:rPr>
          <w:rFonts w:ascii="Times New Roman" w:hAnsi="Times New Roman" w:cs="Times New Roman"/>
          <w:sz w:val="24"/>
          <w:lang w:val="ro-RO"/>
        </w:rPr>
        <w:t>i</w:t>
      </w:r>
      <w:r w:rsidRPr="009C5F11">
        <w:rPr>
          <w:rFonts w:ascii="Times New Roman" w:hAnsi="Times New Roman" w:cs="Times New Roman"/>
          <w:sz w:val="24"/>
          <w:lang w:val="ro-RO"/>
        </w:rPr>
        <w:t xml:space="preserve">, </w:t>
      </w:r>
      <w:r w:rsidR="006C7B9F" w:rsidRPr="009C5F11">
        <w:rPr>
          <w:rFonts w:ascii="Times New Roman" w:hAnsi="Times New Roman" w:cs="Times New Roman"/>
          <w:sz w:val="24"/>
          <w:lang w:val="ro-RO"/>
        </w:rPr>
        <w:t xml:space="preserve">si </w:t>
      </w:r>
      <w:r w:rsidRPr="009C5F11">
        <w:rPr>
          <w:rFonts w:ascii="Times New Roman" w:hAnsi="Times New Roman" w:cs="Times New Roman"/>
          <w:sz w:val="24"/>
          <w:lang w:val="ro-RO"/>
        </w:rPr>
        <w:t>nici stimulent</w:t>
      </w:r>
      <w:r w:rsidR="006C7B9F"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să le ofere clienţilor </w:t>
      </w:r>
      <w:r w:rsidR="007A3966" w:rsidRPr="009C5F11">
        <w:rPr>
          <w:rFonts w:ascii="Times New Roman" w:hAnsi="Times New Roman" w:cs="Times New Roman"/>
          <w:sz w:val="24"/>
          <w:lang w:val="ro-RO"/>
        </w:rPr>
        <w:t>lor</w:t>
      </w:r>
      <w:r w:rsidRPr="009C5F11">
        <w:rPr>
          <w:rFonts w:ascii="Times New Roman" w:hAnsi="Times New Roman" w:cs="Times New Roman"/>
          <w:sz w:val="24"/>
          <w:lang w:val="ro-RO"/>
        </w:rPr>
        <w:t xml:space="preserve">i servicii specifice </w:t>
      </w:r>
      <w:r w:rsidR="006C7B9F" w:rsidRPr="009C5F11">
        <w:rPr>
          <w:rFonts w:ascii="Times New Roman" w:hAnsi="Times New Roman" w:cs="Times New Roman"/>
          <w:sz w:val="24"/>
          <w:lang w:val="ro-RO"/>
        </w:rPr>
        <w:t>in vederea economisirii</w:t>
      </w:r>
      <w:r w:rsidRPr="009C5F11">
        <w:rPr>
          <w:rFonts w:ascii="Times New Roman" w:hAnsi="Times New Roman" w:cs="Times New Roman"/>
          <w:sz w:val="24"/>
          <w:lang w:val="ro-RO"/>
        </w:rPr>
        <w:t xml:space="preserve"> energie</w:t>
      </w:r>
      <w:r w:rsidR="006C7B9F" w:rsidRPr="009C5F11">
        <w:rPr>
          <w:rFonts w:ascii="Times New Roman" w:hAnsi="Times New Roman" w:cs="Times New Roman"/>
          <w:sz w:val="24"/>
          <w:lang w:val="ro-RO"/>
        </w:rPr>
        <w:t>i</w:t>
      </w:r>
      <w:r w:rsidR="007A3966"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w:t>
      </w:r>
    </w:p>
    <w:p w14:paraId="047F9D46" w14:textId="46AD84DE"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Din motive</w:t>
      </w:r>
      <w:r w:rsidR="007A3966" w:rsidRPr="009C5F11">
        <w:rPr>
          <w:rFonts w:ascii="Times New Roman" w:hAnsi="Times New Roman" w:cs="Times New Roman"/>
          <w:sz w:val="24"/>
          <w:lang w:val="ro-RO"/>
        </w:rPr>
        <w:t>le</w:t>
      </w:r>
      <w:r w:rsidRPr="009C5F11">
        <w:rPr>
          <w:rFonts w:ascii="Times New Roman" w:hAnsi="Times New Roman" w:cs="Times New Roman"/>
          <w:sz w:val="24"/>
          <w:lang w:val="ro-RO"/>
        </w:rPr>
        <w:t>, explic</w:t>
      </w:r>
      <w:r w:rsidR="007A3966" w:rsidRPr="009C5F11">
        <w:rPr>
          <w:rFonts w:ascii="Times New Roman" w:hAnsi="Times New Roman" w:cs="Times New Roman"/>
          <w:sz w:val="24"/>
          <w:lang w:val="ro-RO"/>
        </w:rPr>
        <w:t>ate</w:t>
      </w:r>
      <w:r w:rsidRPr="009C5F11">
        <w:rPr>
          <w:rFonts w:ascii="Times New Roman" w:hAnsi="Times New Roman" w:cs="Times New Roman"/>
          <w:sz w:val="24"/>
          <w:lang w:val="ro-RO"/>
        </w:rPr>
        <w:t xml:space="preserve"> </w:t>
      </w:r>
      <w:r w:rsidR="007A3966" w:rsidRPr="009C5F11">
        <w:rPr>
          <w:rFonts w:ascii="Times New Roman" w:hAnsi="Times New Roman" w:cs="Times New Roman"/>
          <w:sz w:val="24"/>
          <w:lang w:val="ro-RO"/>
        </w:rPr>
        <w:t>pe larg</w:t>
      </w:r>
      <w:r w:rsidRPr="009C5F11">
        <w:rPr>
          <w:rFonts w:ascii="Times New Roman" w:hAnsi="Times New Roman" w:cs="Times New Roman"/>
          <w:sz w:val="24"/>
          <w:lang w:val="ro-RO"/>
        </w:rPr>
        <w:t xml:space="preserve"> în Secţiunea </w:t>
      </w:r>
      <w:r w:rsidR="003A6ADB" w:rsidRPr="009C5F11">
        <w:rPr>
          <w:rFonts w:ascii="Times New Roman" w:hAnsi="Times New Roman" w:cs="Times New Roman"/>
          <w:sz w:val="24"/>
          <w:lang w:val="ro-RO"/>
        </w:rPr>
        <w:fldChar w:fldCharType="begin"/>
      </w:r>
      <w:r w:rsidRPr="009C5F11">
        <w:rPr>
          <w:rFonts w:ascii="Times New Roman" w:hAnsi="Times New Roman" w:cs="Times New Roman"/>
          <w:sz w:val="24"/>
          <w:lang w:val="ro-RO"/>
        </w:rPr>
        <w:instrText xml:space="preserve"> REF _Ref319626511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4.5</w:t>
      </w:r>
      <w:r w:rsidR="003A6ADB" w:rsidRPr="009C5F11">
        <w:rPr>
          <w:rFonts w:ascii="Times New Roman" w:hAnsi="Times New Roman" w:cs="Times New Roman"/>
          <w:sz w:val="24"/>
          <w:lang w:val="ro-RO"/>
        </w:rPr>
        <w:fldChar w:fldCharType="end"/>
      </w:r>
      <w:r w:rsidRPr="009C5F11">
        <w:rPr>
          <w:rFonts w:ascii="Times New Roman" w:hAnsi="Times New Roman" w:cs="Times New Roman"/>
          <w:sz w:val="24"/>
          <w:lang w:val="ro-RO"/>
        </w:rPr>
        <w:t>, nu a fost introdus</w:t>
      </w:r>
      <w:r w:rsidR="006C7B9F"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până în prezent</w:t>
      </w:r>
      <w:r w:rsidR="006C7B9F" w:rsidRPr="009C5F11">
        <w:rPr>
          <w:rFonts w:ascii="Times New Roman" w:hAnsi="Times New Roman" w:cs="Times New Roman"/>
          <w:sz w:val="24"/>
          <w:lang w:val="ro-RO"/>
        </w:rPr>
        <w:t xml:space="preserve"> o schema de obligaţii</w:t>
      </w:r>
      <w:r w:rsidRPr="009C5F11">
        <w:rPr>
          <w:rFonts w:ascii="Times New Roman" w:hAnsi="Times New Roman" w:cs="Times New Roman"/>
          <w:sz w:val="24"/>
          <w:lang w:val="ro-RO"/>
        </w:rPr>
        <w:t xml:space="preserve">, iar introducerea </w:t>
      </w:r>
      <w:r w:rsidR="006C7B9F" w:rsidRPr="009C5F11">
        <w:rPr>
          <w:rFonts w:ascii="Times New Roman" w:hAnsi="Times New Roman" w:cs="Times New Roman"/>
          <w:sz w:val="24"/>
          <w:lang w:val="ro-RO"/>
        </w:rPr>
        <w:t>ei</w:t>
      </w:r>
      <w:r w:rsidRPr="009C5F11">
        <w:rPr>
          <w:rFonts w:ascii="Times New Roman" w:hAnsi="Times New Roman" w:cs="Times New Roman"/>
          <w:sz w:val="24"/>
          <w:lang w:val="ro-RO"/>
        </w:rPr>
        <w:t xml:space="preserve"> este i</w:t>
      </w:r>
      <w:r w:rsidR="00B373F3" w:rsidRPr="009C5F11">
        <w:rPr>
          <w:rFonts w:ascii="Times New Roman" w:hAnsi="Times New Roman" w:cs="Times New Roman"/>
          <w:sz w:val="24"/>
          <w:lang w:val="ro-RO"/>
        </w:rPr>
        <w:t>î</w:t>
      </w:r>
      <w:r w:rsidRPr="009C5F11">
        <w:rPr>
          <w:rFonts w:ascii="Times New Roman" w:hAnsi="Times New Roman" w:cs="Times New Roman"/>
          <w:sz w:val="24"/>
          <w:lang w:val="ro-RO"/>
        </w:rPr>
        <w:t>n</w:t>
      </w:r>
      <w:r w:rsidR="007A3966" w:rsidRPr="009C5F11">
        <w:rPr>
          <w:rFonts w:ascii="Times New Roman" w:hAnsi="Times New Roman" w:cs="Times New Roman"/>
          <w:sz w:val="24"/>
          <w:lang w:val="ro-RO"/>
        </w:rPr>
        <w:t>doielnic</w:t>
      </w:r>
      <w:r w:rsidRPr="009C5F11">
        <w:rPr>
          <w:rFonts w:ascii="Times New Roman" w:hAnsi="Times New Roman" w:cs="Times New Roman"/>
          <w:sz w:val="24"/>
          <w:lang w:val="ro-RO"/>
        </w:rPr>
        <w:t xml:space="preserve">ă. Totuşi, aceasta nu înseamnă că introducerea schemelor de obligaţii a fost exclusă totalmente. Actualul PNAEE include o măsură specifică </w:t>
      </w:r>
      <w:r w:rsidRPr="009C5F11">
        <w:rPr>
          <w:rFonts w:ascii="Times New Roman" w:hAnsi="Times New Roman" w:cs="Times New Roman"/>
          <w:i/>
          <w:sz w:val="24"/>
          <w:u w:val="single"/>
          <w:lang w:val="ro-RO"/>
        </w:rPr>
        <w:t>H5 - Studiu cu privire la instrumentele de promovare a eficienţei energetice/sistemele de obligaţii şi evaluarea aplicării acestora în Republica Moldova,</w:t>
      </w:r>
      <w:r w:rsidRPr="009C5F11">
        <w:rPr>
          <w:rFonts w:ascii="Times New Roman" w:hAnsi="Times New Roman" w:cs="Times New Roman"/>
          <w:sz w:val="24"/>
          <w:lang w:val="ro-RO"/>
        </w:rPr>
        <w:t xml:space="preserve"> care va analiza oportunitatea în cauză. De asemenea, nu există acorduri voluntare şi nu sunt prevăzute de legislaţie. O măsură specifică orizontală presupune efectuarea unei analize a legislaţiei în vigoare prin prisma dispoziţiilor DEE şi prevede actualizarea corespunzătoare a acesteia. </w:t>
      </w:r>
    </w:p>
    <w:p w14:paraId="2EC13FD3" w14:textId="77777777" w:rsidR="00BA083C" w:rsidRPr="009C5F11" w:rsidRDefault="00BA083C" w:rsidP="00BA083C">
      <w:pPr>
        <w:pStyle w:val="Titlu2"/>
        <w:rPr>
          <w:rFonts w:ascii="Times New Roman" w:hAnsi="Times New Roman" w:cs="Times New Roman"/>
          <w:sz w:val="32"/>
          <w:lang w:val="ro-RO"/>
        </w:rPr>
      </w:pPr>
      <w:r w:rsidRPr="009C5F11">
        <w:rPr>
          <w:rFonts w:ascii="Times New Roman" w:hAnsi="Times New Roman" w:cs="Times New Roman"/>
          <w:sz w:val="32"/>
          <w:lang w:val="ro-RO"/>
        </w:rPr>
        <w:br w:type="page"/>
      </w:r>
      <w:bookmarkStart w:id="282" w:name="_Ref322012503"/>
      <w:bookmarkStart w:id="283" w:name="_Toc322013179"/>
      <w:r w:rsidRPr="00D9464A">
        <w:rPr>
          <w:rFonts w:ascii="Times New Roman" w:hAnsi="Times New Roman" w:cs="Times New Roman"/>
          <w:color w:val="000000" w:themeColor="text1"/>
          <w:sz w:val="28"/>
          <w:lang w:val="ro-RO"/>
        </w:rPr>
        <w:lastRenderedPageBreak/>
        <w:t>Piaţa de servicii energetice</w:t>
      </w:r>
      <w:bookmarkEnd w:id="280"/>
      <w:bookmarkEnd w:id="281"/>
      <w:bookmarkEnd w:id="282"/>
      <w:bookmarkEnd w:id="283"/>
      <w:r w:rsidRPr="00D9464A">
        <w:rPr>
          <w:rFonts w:ascii="Times New Roman" w:hAnsi="Times New Roman" w:cs="Times New Roman"/>
          <w:color w:val="000000" w:themeColor="text1"/>
          <w:sz w:val="28"/>
          <w:lang w:val="ro-RO"/>
        </w:rPr>
        <w:t xml:space="preserve"> </w:t>
      </w:r>
    </w:p>
    <w:p w14:paraId="57C935F6" w14:textId="77777777" w:rsidR="0096004F"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bookmarkStart w:id="284" w:name="_Toc434201377"/>
      <w:bookmarkStart w:id="285" w:name="_Toc434209899"/>
      <w:bookmarkEnd w:id="284"/>
      <w:bookmarkEnd w:id="285"/>
      <w:r w:rsidRPr="009C5F11">
        <w:rPr>
          <w:rFonts w:ascii="Times New Roman" w:hAnsi="Times New Roman" w:cs="Times New Roman"/>
          <w:sz w:val="24"/>
          <w:lang w:val="ro-RO"/>
        </w:rPr>
        <w:t>Piaţa ESCO din Republica Moldova este încă subdezvoltată, iar serviciile energetice nu sunt prestate într-un cadru în care prestatorul îşi asumă riscul şi partajează beneficiile cu clientul. Ministerul Mediului preia conducerea în tentativa de a schimba această situaţie. Ministerul conduce un proiect finanţat de GEF, care-şi propune să elimine lacunele existente la acest capitol.</w:t>
      </w:r>
    </w:p>
    <w:p w14:paraId="21A44075" w14:textId="77777777" w:rsidR="0096004F"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Proiectul </w:t>
      </w:r>
      <w:r w:rsidRPr="009C5F11">
        <w:rPr>
          <w:rFonts w:ascii="Times New Roman" w:hAnsi="Times New Roman" w:cs="Times New Roman"/>
          <w:i/>
          <w:sz w:val="24"/>
          <w:u w:val="single"/>
          <w:lang w:val="ro-RO"/>
        </w:rPr>
        <w:t>“ESCO Moldova - Transformarea pieței pentru eficiența energetică urbană prin introducerea companiilor de servicii energetice”</w:t>
      </w:r>
      <w:r w:rsidRPr="009C5F11">
        <w:rPr>
          <w:rFonts w:ascii="Times New Roman" w:hAnsi="Times New Roman" w:cs="Times New Roman"/>
          <w:b/>
          <w:sz w:val="24"/>
          <w:lang w:val="ro-RO"/>
        </w:rPr>
        <w:t xml:space="preserve"> </w:t>
      </w:r>
      <w:r w:rsidRPr="009C5F11">
        <w:rPr>
          <w:rFonts w:ascii="Times New Roman" w:hAnsi="Times New Roman" w:cs="Times New Roman"/>
          <w:sz w:val="24"/>
          <w:lang w:val="ro-RO"/>
        </w:rPr>
        <w:t xml:space="preserve">a fost lansat la 01.04.2015. Parteneri ai Proiectului sunt Ministerul Mediului, Ministerul Economiei, Primăria Chişinău, Fondul pentru Eficienţă Energetică, Agenţia pentru Eficienţă Energetică, Ministerul Dezvoltării Regionale şi Construcţiilor, Ministerul Finanţelor, sectorul bancar, sectorul privat. Perioada de implementare a Proiectului este de 4 ani. Proiectul este finanţat de Fondul Global de Mediu (GEF) şi cofinanţat şi implementat de PNUD. Bugetul Proiectului însumează $1,450,000, inclusiv $1.3 milioane acordate de GEF şi $150 mii – de PNUD. Obiectivul Proiectului este de a crea o piaţă ESCO funcţională, durabilă şi eficace în Moldova prin convertirea companiilor existente de prestare a serviciilor energetice în societăţi ESCO, care să servească drept bază pentru extinderea eforturilor de atenuare în cadrul sectorului de construcţii din Moldova care să se soldeze cu reducerea emisiilor directe de CO2 pe baza implementării contractele de performanţă energetică. Pe parcursul perioadei 02.2015-04.2016 (Decizia CE din decembrie 2014) proiectul a acordat asistenţă tehnică AEE pentru organizarea cadrului operaţional al ESCO. </w:t>
      </w:r>
    </w:p>
    <w:p w14:paraId="4398D36A" w14:textId="77777777" w:rsidR="0096004F"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i/>
          <w:sz w:val="24"/>
          <w:u w:val="single"/>
          <w:lang w:val="ro-RO"/>
        </w:rPr>
        <w:t>Rezultatele scontate:</w:t>
      </w:r>
      <w:r w:rsidRPr="009C5F11">
        <w:rPr>
          <w:rFonts w:ascii="Times New Roman" w:hAnsi="Times New Roman" w:cs="Times New Roman"/>
          <w:sz w:val="24"/>
          <w:lang w:val="ro-RO"/>
        </w:rPr>
        <w:t xml:space="preserve"> capacitatea sporită a AEE de a elabora legislaţia ESCO, </w:t>
      </w:r>
      <w:r w:rsidR="00B373F3" w:rsidRPr="009C5F11">
        <w:rPr>
          <w:rFonts w:ascii="Times New Roman" w:hAnsi="Times New Roman" w:cs="Times New Roman"/>
          <w:sz w:val="24"/>
          <w:lang w:val="ro-RO"/>
        </w:rPr>
        <w:t xml:space="preserve">de a </w:t>
      </w:r>
      <w:r w:rsidRPr="009C5F11">
        <w:rPr>
          <w:rFonts w:ascii="Times New Roman" w:hAnsi="Times New Roman" w:cs="Times New Roman"/>
          <w:sz w:val="24"/>
          <w:lang w:val="ro-RO"/>
        </w:rPr>
        <w:t xml:space="preserve">dezvolta şi îmbunătăţi cadrul legislativ. Alte sarcini includ elaborarea (în derulare) a modelului/formularului şi a metodologiei/orientărilor pentru efectuarea auditului energetic la CET-uri şi sistemele de încălzire centralizată (DHS), asistenţă pentru crearea unui centru informaţional </w:t>
      </w:r>
      <w:r w:rsidR="00B45C21" w:rsidRPr="009C5F11">
        <w:rPr>
          <w:rFonts w:ascii="Times New Roman" w:hAnsi="Times New Roman" w:cs="Times New Roman"/>
          <w:sz w:val="24"/>
          <w:lang w:val="ro-RO"/>
        </w:rPr>
        <w:t>pentru energie durabilă</w:t>
      </w:r>
      <w:r w:rsidRPr="009C5F11">
        <w:rPr>
          <w:rFonts w:ascii="Times New Roman" w:hAnsi="Times New Roman" w:cs="Times New Roman"/>
          <w:sz w:val="24"/>
          <w:lang w:val="ro-RO"/>
        </w:rPr>
        <w:t>, inclusiv elaborarea materialelor informaţionale, şi asistenţă pentru îmbunătăţirea climatului investiţional pentru SE prin formularea recomandărilor referitoare la îmbunătăţirea climatului investiţional SE şi a legislaţiei, de exemplu, condiţiile de creditare, reglementările bancare, stabilirea tarifelor, înlesniri fiscale şi infrastructura instituțională.</w:t>
      </w:r>
    </w:p>
    <w:p w14:paraId="07036355" w14:textId="58F364FE"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INOGATE susţine </w:t>
      </w:r>
      <w:r w:rsidR="006C7B9F" w:rsidRPr="009C5F11">
        <w:rPr>
          <w:rFonts w:ascii="Times New Roman" w:hAnsi="Times New Roman" w:cs="Times New Roman"/>
          <w:sz w:val="24"/>
          <w:lang w:val="ro-RO"/>
        </w:rPr>
        <w:t xml:space="preserve">de asemenea </w:t>
      </w:r>
      <w:r w:rsidRPr="009C5F11">
        <w:rPr>
          <w:rFonts w:ascii="Times New Roman" w:hAnsi="Times New Roman" w:cs="Times New Roman"/>
          <w:sz w:val="24"/>
          <w:lang w:val="ro-RO"/>
        </w:rPr>
        <w:t xml:space="preserve">ESCO din Moldova prin dirijarea adoptării legislaţiei secundare şi îmbunătăţirea CPE în conformitate cu cerințele UE, precum şi prin oferirea de propuneri pentru perfecţionarea cadrului legislativ actual necesar implementării CPE. În mod specific, INNOGATE îşi aduce aportul din luna martie 2015 prin elaborarea unor formulare adiţionale: </w:t>
      </w:r>
    </w:p>
    <w:p w14:paraId="28067644"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formularul contractului de performanţă energetică (CPE) pentru sectorul public ;</w:t>
      </w:r>
    </w:p>
    <w:p w14:paraId="1AF3E5FF"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formularul CPE pentru sectorul privat ;</w:t>
      </w:r>
    </w:p>
    <w:p w14:paraId="19CB3291"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metodologia contractării performanţei energetice în sectorul public bazată pe cele mai bune practici (evaluarea fezabilităţii economice, distribuirea extra beneficiilor proiectelor etc.);</w:t>
      </w:r>
    </w:p>
    <w:p w14:paraId="235FB0BB"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orientări în scopul elaborării termenilor de referinţă pentru contractarea performanţei energetice în sectorul public (cerinţe tehnice, procedurile şi cerinţele de licitare etc.).</w:t>
      </w:r>
    </w:p>
    <w:p w14:paraId="290BB76C" w14:textId="77777777" w:rsidR="00BA083C" w:rsidRPr="009C5F11" w:rsidRDefault="00BA083C" w:rsidP="00BA083C">
      <w:pPr>
        <w:pStyle w:val="Listparagraf"/>
        <w:spacing w:before="120" w:after="120" w:line="240" w:lineRule="auto"/>
        <w:ind w:left="714"/>
        <w:contextualSpacing w:val="0"/>
        <w:jc w:val="both"/>
        <w:textAlignment w:val="baseline"/>
        <w:rPr>
          <w:rFonts w:ascii="Times New Roman" w:hAnsi="Times New Roman" w:cs="Times New Roman"/>
          <w:sz w:val="24"/>
          <w:lang w:val="ro-RO"/>
        </w:rPr>
      </w:pPr>
    </w:p>
    <w:p w14:paraId="41887AA2" w14:textId="77777777" w:rsidR="00BA083C" w:rsidRPr="00D9464A" w:rsidRDefault="00BA083C" w:rsidP="00BA083C">
      <w:pPr>
        <w:pStyle w:val="Titlu3"/>
        <w:rPr>
          <w:rFonts w:ascii="Times New Roman" w:hAnsi="Times New Roman" w:cs="Times New Roman"/>
          <w:b/>
          <w:color w:val="000000" w:themeColor="text1"/>
          <w:sz w:val="28"/>
          <w:lang w:val="ro-RO"/>
        </w:rPr>
      </w:pPr>
      <w:bookmarkStart w:id="286" w:name="_Toc319555417"/>
      <w:bookmarkStart w:id="287" w:name="_Toc322013180"/>
      <w:r w:rsidRPr="00D9464A">
        <w:rPr>
          <w:rFonts w:ascii="Times New Roman" w:hAnsi="Times New Roman" w:cs="Times New Roman"/>
          <w:b/>
          <w:color w:val="000000" w:themeColor="text1"/>
          <w:sz w:val="28"/>
          <w:lang w:val="ro-RO"/>
        </w:rPr>
        <w:lastRenderedPageBreak/>
        <w:t>Servicii energetice în documente strategice şi legislaţi</w:t>
      </w:r>
      <w:bookmarkEnd w:id="286"/>
      <w:r w:rsidRPr="00D9464A">
        <w:rPr>
          <w:rFonts w:ascii="Times New Roman" w:hAnsi="Times New Roman" w:cs="Times New Roman"/>
          <w:b/>
          <w:color w:val="000000" w:themeColor="text1"/>
          <w:sz w:val="28"/>
          <w:lang w:val="ro-RO"/>
        </w:rPr>
        <w:t>a aplicabilă a Republicii Moldova</w:t>
      </w:r>
      <w:bookmarkEnd w:id="287"/>
    </w:p>
    <w:p w14:paraId="481D687E" w14:textId="77777777" w:rsidR="0096004F"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Începând din 2011 (Programul naţional pentru eficienţă energetică 2011-2020) şi 2013 (Strategia energetică a Republicii Moldova 2030 şi PNAEE 2013-2015), documentele strategice ale ţării au pus în evidenţă relevanţa pieţei ESCO, </w:t>
      </w:r>
      <w:r w:rsidR="00B373F3" w:rsidRPr="009C5F11">
        <w:rPr>
          <w:rFonts w:ascii="Times New Roman" w:hAnsi="Times New Roman" w:cs="Times New Roman"/>
          <w:sz w:val="24"/>
          <w:lang w:val="ro-RO"/>
        </w:rPr>
        <w:t xml:space="preserve">a </w:t>
      </w:r>
      <w:r w:rsidRPr="009C5F11">
        <w:rPr>
          <w:rFonts w:ascii="Times New Roman" w:hAnsi="Times New Roman" w:cs="Times New Roman"/>
          <w:sz w:val="24"/>
          <w:lang w:val="ro-RO"/>
        </w:rPr>
        <w:t>companiilor ESCO şi a contractelor de performanţă energetică.</w:t>
      </w:r>
    </w:p>
    <w:p w14:paraId="360B2892" w14:textId="2B3E96F2"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PNEE, Capitolul VII, Măsuri sectoriale şi intersectoriale pentru promovarea eficienţei energetice, Secţiunea 3. Societăţi de servicii energetice (ESCO) prevede următoarele:</w:t>
      </w:r>
    </w:p>
    <w:p w14:paraId="65202E6C"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4"/>
          <w:lang w:val="ro-RO"/>
        </w:rPr>
      </w:pPr>
      <w:r w:rsidRPr="009C5F11">
        <w:rPr>
          <w:rFonts w:ascii="Times New Roman" w:hAnsi="Times New Roman" w:cs="Times New Roman"/>
          <w:i/>
          <w:sz w:val="24"/>
          <w:lang w:val="ro-RO"/>
        </w:rPr>
        <w:t>“Ministerul Economiei va crea condiţii pentru dezvoltarea societăţilor de servicii energetice prin stabilirea unor stimulente economice”.</w:t>
      </w:r>
    </w:p>
    <w:p w14:paraId="1EA1C6B8"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4"/>
          <w:lang w:val="ro-RO"/>
        </w:rPr>
      </w:pPr>
      <w:r w:rsidRPr="009C5F11">
        <w:rPr>
          <w:rFonts w:ascii="Times New Roman" w:hAnsi="Times New Roman" w:cs="Times New Roman"/>
          <w:i/>
          <w:sz w:val="24"/>
          <w:lang w:val="ro-RO"/>
        </w:rPr>
        <w:t>“Societăţile de servicii energetice vor fi persoane fizice sau juridice furnizoare de servicii energetice şi/sau alte măsuri de îmbunătăţire a eficienţei energetice în baza contractelor de performanţă”.</w:t>
      </w:r>
    </w:p>
    <w:p w14:paraId="3F514062"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4"/>
          <w:lang w:val="ro-RO"/>
        </w:rPr>
      </w:pPr>
      <w:r w:rsidRPr="009C5F11">
        <w:rPr>
          <w:rFonts w:ascii="Times New Roman" w:hAnsi="Times New Roman" w:cs="Times New Roman"/>
          <w:i/>
          <w:sz w:val="24"/>
          <w:lang w:val="ro-RO"/>
        </w:rPr>
        <w:t>“Contractele de performanţă energetică scrise, în mod obligatoriu vor stipula:</w:t>
      </w:r>
    </w:p>
    <w:p w14:paraId="2B1FCAA4"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4"/>
          <w:lang w:val="ro-RO"/>
        </w:rPr>
      </w:pPr>
      <w:r w:rsidRPr="009C5F11">
        <w:rPr>
          <w:rFonts w:ascii="Times New Roman" w:hAnsi="Times New Roman" w:cs="Times New Roman"/>
          <w:i/>
          <w:sz w:val="24"/>
          <w:lang w:val="ro-RO"/>
        </w:rPr>
        <w:t>a) consumul de bază de energie până la prestarea serviciilor care constituie subiectul contractului respectiv;</w:t>
      </w:r>
    </w:p>
    <w:p w14:paraId="7DADC3A6"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4"/>
          <w:lang w:val="ro-RO"/>
        </w:rPr>
      </w:pPr>
      <w:r w:rsidRPr="009C5F11">
        <w:rPr>
          <w:rFonts w:ascii="Times New Roman" w:hAnsi="Times New Roman" w:cs="Times New Roman"/>
          <w:i/>
          <w:sz w:val="24"/>
          <w:lang w:val="ro-RO"/>
        </w:rPr>
        <w:t>b) valoarea economiilor de energie garantate şi procedurile de atingere a lor;</w:t>
      </w:r>
    </w:p>
    <w:p w14:paraId="0E37C1DA"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4"/>
          <w:lang w:val="ro-RO"/>
        </w:rPr>
      </w:pPr>
      <w:r w:rsidRPr="009C5F11">
        <w:rPr>
          <w:rFonts w:ascii="Times New Roman" w:hAnsi="Times New Roman" w:cs="Times New Roman"/>
          <w:i/>
          <w:sz w:val="24"/>
          <w:lang w:val="ro-RO"/>
        </w:rPr>
        <w:t>c) modalităţile de finanţare a lucrărilor;</w:t>
      </w:r>
    </w:p>
    <w:p w14:paraId="0C147621"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4"/>
          <w:lang w:val="ro-RO"/>
        </w:rPr>
      </w:pPr>
      <w:r w:rsidRPr="009C5F11">
        <w:rPr>
          <w:rFonts w:ascii="Times New Roman" w:hAnsi="Times New Roman" w:cs="Times New Roman"/>
          <w:i/>
          <w:sz w:val="24"/>
          <w:lang w:val="ro-RO"/>
        </w:rPr>
        <w:t>d) modul de recuperare a investiţiilor efectuate de compania de management respectivă sau, după caz , de terţi.”</w:t>
      </w:r>
    </w:p>
    <w:p w14:paraId="7A47F468" w14:textId="77777777" w:rsidR="00305D0F"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Articolul 173 din Strategia energetică a Republicii Moldova 2030 prevede “dezvoltarea pieţei contractelor bazate pe performanţă pentru serviciile energetice” ca una dintre măsuri pentru “facilitarea unei dezvoltări durabile ca obiectiv de bază, însemnând îmbunătăţirea eficienţei energetice care aduce bunăstare, confort pentru cetăţeni, precum şi economisirea energiei, contribuie la reducerea emisiilor de CO2”.</w:t>
      </w:r>
    </w:p>
    <w:p w14:paraId="66E85C7C" w14:textId="77777777" w:rsidR="00305D0F"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Articolul 104 din PNAEE 2013-2015 include măsura “Dezvoltarea pieţei serviciilor energetice pentru sectorul industrial”, obiectivul căreia este “extinderea şi consolidarea calităţii serviciilor energetice oferite sectorului industrial şi altor sectoare pe piaţa Moldovei; susţinerea creşterii pieţei naţionale de servicii şi produse energetice pentru sectorul industrial”. </w:t>
      </w:r>
    </w:p>
    <w:p w14:paraId="1DE6D6F5" w14:textId="7B30EA05"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Cu referire la companiile ESCO, Legea nr.142 din 02.07.2010 cu privire la eficienţa energetică prevede următoarele:</w:t>
      </w:r>
    </w:p>
    <w:p w14:paraId="3BD138D1"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u w:val="single"/>
          <w:lang w:val="ro-RO"/>
        </w:rPr>
      </w:pPr>
      <w:r w:rsidRPr="009C5F11">
        <w:rPr>
          <w:rFonts w:ascii="Times New Roman" w:hAnsi="Times New Roman" w:cs="Times New Roman"/>
          <w:i/>
          <w:sz w:val="20"/>
          <w:szCs w:val="16"/>
          <w:u w:val="single"/>
          <w:lang w:val="ro-RO"/>
        </w:rPr>
        <w:t>Articolul 4</w:t>
      </w:r>
    </w:p>
    <w:p w14:paraId="647D6C29"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w:t>
      </w:r>
      <w:r w:rsidRPr="009C5F11">
        <w:rPr>
          <w:rFonts w:ascii="Times New Roman" w:eastAsia="Times New Roman" w:hAnsi="Times New Roman" w:cs="Times New Roman"/>
          <w:i/>
          <w:iCs/>
          <w:color w:val="000000"/>
          <w:sz w:val="20"/>
          <w:szCs w:val="16"/>
          <w:lang w:val="ro-RO"/>
        </w:rPr>
        <w:t xml:space="preserve">societate de servicii energetice (ESCO) </w:t>
      </w:r>
      <w:r w:rsidRPr="009C5F11">
        <w:rPr>
          <w:rFonts w:ascii="Times New Roman" w:eastAsia="Times New Roman" w:hAnsi="Times New Roman" w:cs="Times New Roman"/>
          <w:color w:val="000000"/>
          <w:sz w:val="20"/>
          <w:szCs w:val="16"/>
          <w:lang w:val="ro-RO"/>
        </w:rPr>
        <w:t xml:space="preserve">– </w:t>
      </w:r>
      <w:r w:rsidRPr="009C5F11">
        <w:rPr>
          <w:rFonts w:ascii="Times New Roman" w:eastAsia="Times New Roman" w:hAnsi="Times New Roman" w:cs="Times New Roman"/>
          <w:i/>
          <w:color w:val="000000"/>
          <w:sz w:val="20"/>
          <w:szCs w:val="16"/>
          <w:lang w:val="ro-RO"/>
        </w:rPr>
        <w:t>persoană juridică furnizoare de servicii energetice şi/sau de alte măsuri de îmbunătăţire a eficienţei energetice în instalaţiile sau la sediul unui utilizator şi care acceptă un anumit risc financiar făcând acest lucru. Plata serviciilor furnizate se bazează (integral sau parţial) pe îmbunătăţirea eficienţei energetice şi pe îndeplinirea celorlalte criterii de performanţă convenite</w:t>
      </w:r>
      <w:r w:rsidRPr="009C5F11">
        <w:rPr>
          <w:rFonts w:ascii="Times New Roman" w:hAnsi="Times New Roman" w:cs="Times New Roman"/>
          <w:i/>
          <w:sz w:val="20"/>
          <w:szCs w:val="16"/>
          <w:lang w:val="ro-RO"/>
        </w:rPr>
        <w:t>”.</w:t>
      </w:r>
    </w:p>
    <w:p w14:paraId="3AAB509D"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u w:val="single"/>
          <w:lang w:val="ro-RO"/>
        </w:rPr>
      </w:pPr>
      <w:r w:rsidRPr="009C5F11">
        <w:rPr>
          <w:rFonts w:ascii="Times New Roman" w:hAnsi="Times New Roman" w:cs="Times New Roman"/>
          <w:i/>
          <w:sz w:val="20"/>
          <w:szCs w:val="16"/>
          <w:u w:val="single"/>
          <w:lang w:val="ro-RO"/>
        </w:rPr>
        <w:t>Articolul 5</w:t>
      </w:r>
    </w:p>
    <w:p w14:paraId="59406A34"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w:t>
      </w:r>
      <w:r w:rsidRPr="009C5F11">
        <w:rPr>
          <w:rFonts w:ascii="Times New Roman" w:eastAsia="Times New Roman" w:hAnsi="Times New Roman" w:cs="Times New Roman"/>
          <w:i/>
          <w:color w:val="000000"/>
          <w:sz w:val="20"/>
          <w:szCs w:val="16"/>
          <w:lang w:val="ro-RO"/>
        </w:rPr>
        <w:t>promovarea iniţiativei private şi dezvoltarea societăţilor de servicii energetice care să contribuie la optimizarea exploatării sistemelor energetice, în bază de contracte de performanţă energetică</w:t>
      </w:r>
      <w:r w:rsidRPr="009C5F11">
        <w:rPr>
          <w:rFonts w:ascii="Times New Roman" w:hAnsi="Times New Roman" w:cs="Times New Roman"/>
          <w:i/>
          <w:sz w:val="20"/>
          <w:szCs w:val="16"/>
          <w:lang w:val="ro-RO"/>
        </w:rPr>
        <w:t>”.</w:t>
      </w:r>
    </w:p>
    <w:p w14:paraId="17373E8F"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u w:val="single"/>
          <w:lang w:val="ro-RO"/>
        </w:rPr>
      </w:pPr>
      <w:r w:rsidRPr="009C5F11">
        <w:rPr>
          <w:rFonts w:ascii="Times New Roman" w:hAnsi="Times New Roman" w:cs="Times New Roman"/>
          <w:i/>
          <w:sz w:val="20"/>
          <w:szCs w:val="16"/>
          <w:u w:val="single"/>
          <w:lang w:val="ro-RO"/>
        </w:rPr>
        <w:t>Articolul 21</w:t>
      </w:r>
    </w:p>
    <w:p w14:paraId="3D67BC7B"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w:t>
      </w:r>
      <w:r w:rsidRPr="009C5F11">
        <w:rPr>
          <w:rFonts w:ascii="Times New Roman" w:eastAsia="Times New Roman" w:hAnsi="Times New Roman" w:cs="Times New Roman"/>
          <w:i/>
          <w:color w:val="000000"/>
          <w:sz w:val="20"/>
          <w:szCs w:val="16"/>
          <w:lang w:val="ro-RO"/>
        </w:rPr>
        <w:t>Societăţile de servicii energetice, precum şi terţii care participă la finanţarea proiectelor de eficienţă energetică pot beneficia de facilităţi fiscale în conformitate cu prevederile Codului fiscal</w:t>
      </w:r>
      <w:r w:rsidRPr="009C5F11">
        <w:rPr>
          <w:rFonts w:ascii="Times New Roman" w:hAnsi="Times New Roman" w:cs="Times New Roman"/>
          <w:i/>
          <w:sz w:val="20"/>
          <w:szCs w:val="16"/>
          <w:lang w:val="ro-RO"/>
        </w:rPr>
        <w:t>”.</w:t>
      </w:r>
    </w:p>
    <w:p w14:paraId="4FB68DEE"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u w:val="single"/>
          <w:lang w:val="ro-RO"/>
        </w:rPr>
      </w:pPr>
      <w:r w:rsidRPr="009C5F11">
        <w:rPr>
          <w:rFonts w:ascii="Times New Roman" w:hAnsi="Times New Roman" w:cs="Times New Roman"/>
          <w:i/>
          <w:sz w:val="20"/>
          <w:szCs w:val="16"/>
          <w:u w:val="single"/>
          <w:lang w:val="ro-RO"/>
        </w:rPr>
        <w:t>Articolul 24</w:t>
      </w:r>
    </w:p>
    <w:p w14:paraId="296FB5BC"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lastRenderedPageBreak/>
        <w:t xml:space="preserve">(1) </w:t>
      </w:r>
      <w:r w:rsidRPr="009C5F11">
        <w:rPr>
          <w:rFonts w:ascii="Times New Roman" w:eastAsia="Times New Roman" w:hAnsi="Times New Roman" w:cs="Times New Roman"/>
          <w:i/>
          <w:color w:val="000000"/>
          <w:sz w:val="20"/>
          <w:szCs w:val="16"/>
          <w:lang w:val="ro-RO"/>
        </w:rPr>
        <w:t>Societăţile de servicii energetice prestează servicii energetice în baza contractelor de performanţă energetică, în care sunt stipulate</w:t>
      </w:r>
      <w:r w:rsidRPr="009C5F11">
        <w:rPr>
          <w:rFonts w:ascii="Times New Roman" w:hAnsi="Times New Roman" w:cs="Times New Roman"/>
          <w:i/>
          <w:sz w:val="20"/>
          <w:szCs w:val="16"/>
          <w:lang w:val="ro-RO"/>
        </w:rPr>
        <w:t>:</w:t>
      </w:r>
    </w:p>
    <w:p w14:paraId="3D9BB1B5" w14:textId="77777777" w:rsidR="00BA083C" w:rsidRPr="009C5F11" w:rsidRDefault="00BA083C" w:rsidP="00334F3B">
      <w:pPr>
        <w:pStyle w:val="Listparagraf"/>
        <w:numPr>
          <w:ilvl w:val="0"/>
          <w:numId w:val="175"/>
        </w:numPr>
        <w:spacing w:before="120" w:after="120" w:line="240" w:lineRule="auto"/>
        <w:jc w:val="both"/>
        <w:textAlignment w:val="baseline"/>
        <w:rPr>
          <w:rFonts w:ascii="Times New Roman" w:hAnsi="Times New Roman" w:cs="Times New Roman"/>
          <w:i/>
          <w:sz w:val="20"/>
          <w:szCs w:val="16"/>
          <w:lang w:val="ro-RO"/>
        </w:rPr>
      </w:pPr>
      <w:r w:rsidRPr="009C5F11">
        <w:rPr>
          <w:rFonts w:ascii="Times New Roman" w:eastAsia="Times New Roman" w:hAnsi="Times New Roman" w:cs="Times New Roman"/>
          <w:i/>
          <w:color w:val="000000"/>
          <w:sz w:val="20"/>
          <w:szCs w:val="16"/>
          <w:lang w:val="ro-RO"/>
        </w:rPr>
        <w:t>consumul principal de energie până la prestarea serviciilor care constituie obiectul contractului respectiv</w:t>
      </w:r>
      <w:r w:rsidRPr="009C5F11">
        <w:rPr>
          <w:rFonts w:ascii="Times New Roman" w:hAnsi="Times New Roman" w:cs="Times New Roman"/>
          <w:i/>
          <w:sz w:val="20"/>
          <w:szCs w:val="16"/>
          <w:lang w:val="ro-RO"/>
        </w:rPr>
        <w:t xml:space="preserve">; </w:t>
      </w:r>
    </w:p>
    <w:p w14:paraId="18FD4060" w14:textId="77777777" w:rsidR="00BA083C" w:rsidRPr="009C5F11" w:rsidRDefault="00BA083C" w:rsidP="00334F3B">
      <w:pPr>
        <w:pStyle w:val="Listparagraf"/>
        <w:numPr>
          <w:ilvl w:val="0"/>
          <w:numId w:val="175"/>
        </w:numPr>
        <w:spacing w:before="120" w:after="120" w:line="240" w:lineRule="auto"/>
        <w:jc w:val="both"/>
        <w:textAlignment w:val="baseline"/>
        <w:rPr>
          <w:rFonts w:ascii="Times New Roman" w:hAnsi="Times New Roman" w:cs="Times New Roman"/>
          <w:i/>
          <w:sz w:val="20"/>
          <w:szCs w:val="16"/>
          <w:lang w:val="ro-RO"/>
        </w:rPr>
      </w:pPr>
      <w:r w:rsidRPr="009C5F11">
        <w:rPr>
          <w:rFonts w:ascii="Times New Roman" w:eastAsia="Times New Roman" w:hAnsi="Times New Roman" w:cs="Times New Roman"/>
          <w:i/>
          <w:color w:val="000000"/>
          <w:sz w:val="20"/>
          <w:szCs w:val="16"/>
          <w:lang w:val="ro-RO"/>
        </w:rPr>
        <w:t>valoarea economiilor de energie garantate şi procedurile de atingere a lor</w:t>
      </w:r>
      <w:r w:rsidRPr="009C5F11">
        <w:rPr>
          <w:rFonts w:ascii="Times New Roman" w:hAnsi="Times New Roman" w:cs="Times New Roman"/>
          <w:i/>
          <w:sz w:val="20"/>
          <w:szCs w:val="16"/>
          <w:lang w:val="ro-RO"/>
        </w:rPr>
        <w:t xml:space="preserve">; </w:t>
      </w:r>
    </w:p>
    <w:p w14:paraId="469B71A0" w14:textId="77777777" w:rsidR="00BA083C" w:rsidRPr="009C5F11" w:rsidRDefault="00BA083C" w:rsidP="00334F3B">
      <w:pPr>
        <w:pStyle w:val="Listparagraf"/>
        <w:numPr>
          <w:ilvl w:val="0"/>
          <w:numId w:val="175"/>
        </w:numPr>
        <w:spacing w:before="120" w:after="120" w:line="240" w:lineRule="auto"/>
        <w:jc w:val="both"/>
        <w:textAlignment w:val="baseline"/>
        <w:rPr>
          <w:rFonts w:ascii="Times New Roman" w:hAnsi="Times New Roman" w:cs="Times New Roman"/>
          <w:i/>
          <w:sz w:val="20"/>
          <w:szCs w:val="16"/>
          <w:lang w:val="ro-RO"/>
        </w:rPr>
      </w:pPr>
      <w:r w:rsidRPr="009C5F11">
        <w:rPr>
          <w:rFonts w:ascii="Times New Roman" w:eastAsia="Times New Roman" w:hAnsi="Times New Roman" w:cs="Times New Roman"/>
          <w:i/>
          <w:color w:val="000000"/>
          <w:sz w:val="20"/>
          <w:szCs w:val="16"/>
          <w:lang w:val="ro-RO"/>
        </w:rPr>
        <w:t>modalităţile de finanţare a lucrărilor</w:t>
      </w:r>
      <w:r w:rsidRPr="009C5F11">
        <w:rPr>
          <w:rFonts w:ascii="Times New Roman" w:hAnsi="Times New Roman" w:cs="Times New Roman"/>
          <w:i/>
          <w:sz w:val="20"/>
          <w:szCs w:val="16"/>
          <w:lang w:val="ro-RO"/>
        </w:rPr>
        <w:t xml:space="preserve">; </w:t>
      </w:r>
    </w:p>
    <w:p w14:paraId="5462DD4B" w14:textId="77777777" w:rsidR="00BA083C" w:rsidRPr="009C5F11" w:rsidRDefault="00BA083C" w:rsidP="00334F3B">
      <w:pPr>
        <w:pStyle w:val="Listparagraf"/>
        <w:numPr>
          <w:ilvl w:val="0"/>
          <w:numId w:val="175"/>
        </w:numPr>
        <w:spacing w:before="120" w:after="120" w:line="240" w:lineRule="auto"/>
        <w:jc w:val="both"/>
        <w:textAlignment w:val="baseline"/>
        <w:rPr>
          <w:rFonts w:ascii="Times New Roman" w:hAnsi="Times New Roman" w:cs="Times New Roman"/>
          <w:i/>
          <w:sz w:val="20"/>
          <w:szCs w:val="16"/>
          <w:lang w:val="ro-RO"/>
        </w:rPr>
      </w:pPr>
      <w:r w:rsidRPr="009C5F11">
        <w:rPr>
          <w:rFonts w:ascii="Times New Roman" w:eastAsia="Times New Roman" w:hAnsi="Times New Roman" w:cs="Times New Roman"/>
          <w:i/>
          <w:color w:val="000000"/>
          <w:sz w:val="20"/>
          <w:szCs w:val="16"/>
          <w:lang w:val="ro-RO"/>
        </w:rPr>
        <w:t>modul de recuperare a investiţiilor efectuate de compania de management respectivă sau, după caz, de terţi.</w:t>
      </w:r>
    </w:p>
    <w:p w14:paraId="6FD05BBD"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(2) </w:t>
      </w:r>
      <w:r w:rsidRPr="009C5F11">
        <w:rPr>
          <w:rFonts w:ascii="Times New Roman" w:eastAsia="Times New Roman" w:hAnsi="Times New Roman" w:cs="Times New Roman"/>
          <w:i/>
          <w:color w:val="000000"/>
          <w:sz w:val="20"/>
          <w:szCs w:val="16"/>
          <w:lang w:val="ro-RO"/>
        </w:rPr>
        <w:t>Distribuitorii de energie, operatorii sistemului de distribuţie a energiei, precum şi furnizorii de energie nu vor întreprinde nici o activitate care ar împiedica dezvoltarea pieţei de servicii energetice şi efectuarea altor măsuri de îmbunătăţire a eficienţei energetice</w:t>
      </w:r>
      <w:r w:rsidRPr="009C5F11">
        <w:rPr>
          <w:rFonts w:ascii="Times New Roman" w:hAnsi="Times New Roman" w:cs="Times New Roman"/>
          <w:i/>
          <w:sz w:val="20"/>
          <w:szCs w:val="16"/>
          <w:lang w:val="ro-RO"/>
        </w:rPr>
        <w:t xml:space="preserve">. </w:t>
      </w:r>
    </w:p>
    <w:p w14:paraId="275C452B" w14:textId="77777777" w:rsidR="00BA083C" w:rsidRPr="009C5F11" w:rsidRDefault="00BA083C" w:rsidP="00BA083C">
      <w:pPr>
        <w:spacing w:before="120" w:after="120" w:line="240" w:lineRule="auto"/>
        <w:ind w:left="708"/>
        <w:jc w:val="both"/>
        <w:textAlignment w:val="baseline"/>
        <w:rPr>
          <w:rFonts w:ascii="Times New Roman" w:hAnsi="Times New Roman" w:cs="Times New Roman"/>
          <w:sz w:val="20"/>
          <w:szCs w:val="16"/>
          <w:lang w:val="ro-RO"/>
        </w:rPr>
      </w:pPr>
      <w:r w:rsidRPr="009C5F11">
        <w:rPr>
          <w:rFonts w:ascii="Times New Roman" w:hAnsi="Times New Roman" w:cs="Times New Roman"/>
          <w:i/>
          <w:sz w:val="20"/>
          <w:szCs w:val="16"/>
          <w:lang w:val="ro-RO"/>
        </w:rPr>
        <w:t xml:space="preserve">(3) </w:t>
      </w:r>
      <w:r w:rsidRPr="009C5F11">
        <w:rPr>
          <w:rFonts w:ascii="Times New Roman" w:eastAsia="Times New Roman" w:hAnsi="Times New Roman" w:cs="Times New Roman"/>
          <w:i/>
          <w:color w:val="000000"/>
          <w:sz w:val="20"/>
          <w:szCs w:val="16"/>
          <w:lang w:val="ro-RO"/>
        </w:rPr>
        <w:t>Distribuitorii de energie, operatorii sistemului de distribuţie a energiei, precum şi furnizorii de energie au obligaţia, în condiţiile legii, să ofere direct şi/sau indirect, prin alţi furnizori de servicii energetice, la solicitare, servicii energetice consumatorilor finali la preţuri competitive, să efectueze audite energetice la preţuri competitive în mod independent şi/sau măsuri de îmbunătăţire a eficienţei energetice, să promoveze aceste audite şi măsuri.</w:t>
      </w:r>
      <w:bookmarkStart w:id="288" w:name="_Toc319555418"/>
    </w:p>
    <w:p w14:paraId="19D63E7E" w14:textId="77777777" w:rsidR="00BA083C" w:rsidRPr="00D9464A" w:rsidRDefault="00BA083C" w:rsidP="00BA083C">
      <w:pPr>
        <w:pStyle w:val="Titlu3"/>
        <w:rPr>
          <w:rFonts w:ascii="Times New Roman" w:hAnsi="Times New Roman" w:cs="Times New Roman"/>
          <w:b/>
          <w:color w:val="000000" w:themeColor="text1"/>
          <w:sz w:val="28"/>
          <w:lang w:val="ro-RO"/>
        </w:rPr>
      </w:pPr>
      <w:bookmarkStart w:id="289" w:name="_Toc322013181"/>
      <w:r w:rsidRPr="00D9464A">
        <w:rPr>
          <w:rFonts w:ascii="Times New Roman" w:hAnsi="Times New Roman" w:cs="Times New Roman"/>
          <w:b/>
          <w:color w:val="000000" w:themeColor="text1"/>
          <w:sz w:val="28"/>
          <w:lang w:val="ro-RO"/>
        </w:rPr>
        <w:t>Lista furnizorilor de servicii energetice disponibili şi calificările acestora</w:t>
      </w:r>
      <w:bookmarkEnd w:id="289"/>
      <w:r w:rsidRPr="00D9464A">
        <w:rPr>
          <w:rFonts w:ascii="Times New Roman" w:hAnsi="Times New Roman" w:cs="Times New Roman"/>
          <w:b/>
          <w:color w:val="000000" w:themeColor="text1"/>
          <w:sz w:val="28"/>
          <w:lang w:val="ro-RO"/>
        </w:rPr>
        <w:t xml:space="preserve"> </w:t>
      </w:r>
      <w:bookmarkEnd w:id="288"/>
    </w:p>
    <w:p w14:paraId="58160B75" w14:textId="50C0A29D" w:rsidR="00892E08"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Lista furnizorilor de servicii energetice disponibili </w:t>
      </w:r>
      <w:r w:rsidR="00892E08">
        <w:rPr>
          <w:rFonts w:ascii="Times New Roman" w:hAnsi="Times New Roman" w:cs="Times New Roman"/>
          <w:sz w:val="24"/>
          <w:lang w:val="ro-RO"/>
        </w:rPr>
        <w:t>poate fi acceastă în două surse:</w:t>
      </w:r>
    </w:p>
    <w:p w14:paraId="5EF74FE3" w14:textId="15459A32" w:rsidR="00892E08" w:rsidRPr="00F14129" w:rsidRDefault="00892E08" w:rsidP="00F14129">
      <w:pPr>
        <w:pStyle w:val="Listparagraf"/>
        <w:numPr>
          <w:ilvl w:val="0"/>
          <w:numId w:val="55"/>
        </w:numPr>
        <w:spacing w:before="120" w:after="120" w:line="240" w:lineRule="auto"/>
        <w:ind w:left="1134"/>
        <w:jc w:val="both"/>
        <w:textAlignment w:val="baseline"/>
        <w:rPr>
          <w:rFonts w:ascii="Times New Roman" w:hAnsi="Times New Roman" w:cs="Times New Roman"/>
          <w:sz w:val="24"/>
          <w:lang w:val="ro-RO"/>
        </w:rPr>
      </w:pPr>
      <w:r w:rsidRPr="00F14129">
        <w:rPr>
          <w:rFonts w:ascii="Times New Roman" w:hAnsi="Times New Roman" w:cs="Times New Roman"/>
          <w:sz w:val="24"/>
          <w:lang w:val="ro-RO"/>
        </w:rPr>
        <w:t xml:space="preserve">pagina web a Agenției pentru Eficiență Energetică - ținută în conformitate cu prevederile Hotărârii Guvernului Nr. </w:t>
      </w:r>
      <w:r w:rsidR="00F14129" w:rsidRPr="00F14129">
        <w:rPr>
          <w:rFonts w:ascii="Times New Roman" w:hAnsi="Times New Roman" w:cs="Times New Roman"/>
          <w:sz w:val="24"/>
          <w:lang w:val="ro-RO"/>
        </w:rPr>
        <w:t>1093 din 31.12.2013</w:t>
      </w:r>
      <w:r w:rsidRPr="00F14129">
        <w:rPr>
          <w:rFonts w:ascii="Times New Roman" w:hAnsi="Times New Roman" w:cs="Times New Roman"/>
          <w:sz w:val="24"/>
          <w:lang w:val="ro-RO"/>
        </w:rPr>
        <w:t xml:space="preserve"> </w:t>
      </w:r>
      <w:r w:rsidR="00F14129" w:rsidRPr="00F14129">
        <w:rPr>
          <w:rFonts w:ascii="Times New Roman" w:hAnsi="Times New Roman" w:cs="Times New Roman"/>
          <w:sz w:val="24"/>
          <w:lang w:val="ro-RO"/>
        </w:rPr>
        <w:t>pentru aprobarea Regulamentului privind furnizarea serviciilor energetice</w:t>
      </w:r>
      <w:r w:rsidRPr="00F14129">
        <w:rPr>
          <w:rFonts w:ascii="Times New Roman" w:hAnsi="Times New Roman" w:cs="Times New Roman"/>
          <w:sz w:val="24"/>
          <w:lang w:val="ro-RO"/>
        </w:rPr>
        <w:t>;</w:t>
      </w:r>
    </w:p>
    <w:p w14:paraId="4B282045" w14:textId="303BCFB4" w:rsidR="00BA083C" w:rsidRPr="00892E08" w:rsidRDefault="00892E08" w:rsidP="00892E08">
      <w:pPr>
        <w:pStyle w:val="Listparagraf"/>
        <w:numPr>
          <w:ilvl w:val="0"/>
          <w:numId w:val="55"/>
        </w:numPr>
        <w:spacing w:before="120" w:after="120" w:line="240" w:lineRule="auto"/>
        <w:ind w:left="1134"/>
        <w:jc w:val="both"/>
        <w:textAlignment w:val="baseline"/>
        <w:rPr>
          <w:rFonts w:ascii="Times New Roman" w:hAnsi="Times New Roman" w:cs="Times New Roman"/>
          <w:sz w:val="24"/>
          <w:lang w:val="ro-RO"/>
        </w:rPr>
      </w:pPr>
      <w:r>
        <w:rPr>
          <w:rFonts w:ascii="Times New Roman" w:hAnsi="Times New Roman" w:cs="Times New Roman"/>
          <w:sz w:val="24"/>
          <w:lang w:val="ro-RO"/>
        </w:rPr>
        <w:t>p</w:t>
      </w:r>
      <w:r w:rsidRPr="00892E08">
        <w:rPr>
          <w:rFonts w:ascii="Times New Roman" w:hAnsi="Times New Roman" w:cs="Times New Roman"/>
          <w:sz w:val="24"/>
          <w:lang w:val="ro-RO"/>
        </w:rPr>
        <w:t xml:space="preserve">agina web a proiectului </w:t>
      </w:r>
      <w:r w:rsidR="00BA083C" w:rsidRPr="00892E08">
        <w:rPr>
          <w:rFonts w:ascii="Times New Roman" w:hAnsi="Times New Roman" w:cs="Times New Roman"/>
          <w:sz w:val="24"/>
          <w:lang w:val="ro-RO"/>
        </w:rPr>
        <w:t>ESCO Moldova - Transformarea pieței pentru eficiența energetică urbană prin introducerea companiilor de servicii energetice”</w:t>
      </w:r>
      <w:r>
        <w:rPr>
          <w:rFonts w:ascii="Times New Roman" w:hAnsi="Times New Roman" w:cs="Times New Roman"/>
          <w:sz w:val="24"/>
          <w:lang w:val="ro-RO"/>
        </w:rPr>
        <w:t>, inclusiv p</w:t>
      </w:r>
      <w:r w:rsidR="00BA083C" w:rsidRPr="00892E08">
        <w:rPr>
          <w:rFonts w:ascii="Times New Roman" w:hAnsi="Times New Roman" w:cs="Times New Roman"/>
          <w:sz w:val="24"/>
          <w:lang w:val="ro-RO"/>
        </w:rPr>
        <w:t xml:space="preserve">e pagina </w:t>
      </w:r>
      <w:r>
        <w:rPr>
          <w:rFonts w:ascii="Times New Roman" w:hAnsi="Times New Roman" w:cs="Times New Roman"/>
          <w:sz w:val="24"/>
          <w:lang w:val="ro-RO"/>
        </w:rPr>
        <w:t>oficială</w:t>
      </w:r>
      <w:r w:rsidR="00BA083C" w:rsidRPr="00892E08">
        <w:rPr>
          <w:rFonts w:ascii="Times New Roman" w:hAnsi="Times New Roman" w:cs="Times New Roman"/>
          <w:sz w:val="24"/>
          <w:lang w:val="ro-RO"/>
        </w:rPr>
        <w:t xml:space="preserve"> a PNUD</w:t>
      </w:r>
      <w:r w:rsidR="00BA083C" w:rsidRPr="009C5F11">
        <w:rPr>
          <w:rStyle w:val="Referinnotdesubsol"/>
          <w:rFonts w:ascii="Times New Roman" w:hAnsi="Times New Roman" w:cs="Times New Roman"/>
          <w:sz w:val="24"/>
          <w:lang w:val="ro-RO"/>
        </w:rPr>
        <w:footnoteReference w:id="22"/>
      </w:r>
      <w:r>
        <w:rPr>
          <w:rFonts w:ascii="Times New Roman" w:hAnsi="Times New Roman" w:cs="Times New Roman"/>
          <w:sz w:val="24"/>
          <w:lang w:val="ro-RO"/>
        </w:rPr>
        <w:t xml:space="preserve"> (descriind situația la sfârșitul anului 2015)</w:t>
      </w:r>
      <w:r w:rsidR="00BA083C" w:rsidRPr="00892E08">
        <w:rPr>
          <w:rFonts w:ascii="Times New Roman" w:hAnsi="Times New Roman" w:cs="Times New Roman"/>
          <w:sz w:val="24"/>
          <w:lang w:val="ro-RO"/>
        </w:rPr>
        <w:t>.</w:t>
      </w:r>
    </w:p>
    <w:p w14:paraId="1A468D94" w14:textId="77777777" w:rsidR="00BA083C" w:rsidRPr="009C5F11" w:rsidRDefault="00BA083C" w:rsidP="00BA083C">
      <w:pPr>
        <w:spacing w:before="120" w:after="120" w:line="240" w:lineRule="auto"/>
        <w:jc w:val="both"/>
        <w:textAlignment w:val="baseline"/>
        <w:rPr>
          <w:rFonts w:ascii="Times New Roman" w:hAnsi="Times New Roman" w:cs="Times New Roman"/>
          <w:sz w:val="24"/>
          <w:lang w:val="ro-RO"/>
        </w:rPr>
      </w:pPr>
      <w:bookmarkStart w:id="290" w:name="_Toc319555419"/>
    </w:p>
    <w:p w14:paraId="1FB21D77" w14:textId="77777777" w:rsidR="00BA083C" w:rsidRPr="00D9464A" w:rsidRDefault="0055603D" w:rsidP="00BA083C">
      <w:pPr>
        <w:pStyle w:val="Titlu3"/>
        <w:rPr>
          <w:rFonts w:ascii="Times New Roman" w:hAnsi="Times New Roman" w:cs="Times New Roman"/>
          <w:b/>
          <w:color w:val="000000" w:themeColor="text1"/>
          <w:sz w:val="28"/>
          <w:lang w:val="ro-RO"/>
        </w:rPr>
      </w:pPr>
      <w:bookmarkStart w:id="291" w:name="_Toc322013182"/>
      <w:r w:rsidRPr="00D9464A">
        <w:rPr>
          <w:rFonts w:ascii="Times New Roman" w:hAnsi="Times New Roman" w:cs="Times New Roman"/>
          <w:b/>
          <w:color w:val="000000" w:themeColor="text1"/>
          <w:sz w:val="28"/>
          <w:lang w:val="ro-RO"/>
        </w:rPr>
        <w:t>Examinarea</w:t>
      </w:r>
      <w:r w:rsidR="00BA083C" w:rsidRPr="00D9464A">
        <w:rPr>
          <w:rFonts w:ascii="Times New Roman" w:hAnsi="Times New Roman" w:cs="Times New Roman"/>
          <w:b/>
          <w:color w:val="000000" w:themeColor="text1"/>
          <w:sz w:val="28"/>
          <w:lang w:val="ro-RO"/>
        </w:rPr>
        <w:t xml:space="preserve"> pieţei naţionale pentru servicii energetice cu descrierea situaţiei actuale şi marcarea perspectivelor de dezvoltare ale pieţei</w:t>
      </w:r>
      <w:bookmarkEnd w:id="290"/>
      <w:r w:rsidR="00BA083C" w:rsidRPr="00D9464A">
        <w:rPr>
          <w:rStyle w:val="Referinnotdesubsol"/>
          <w:rFonts w:ascii="Times New Roman" w:hAnsi="Times New Roman" w:cs="Times New Roman"/>
          <w:b/>
          <w:color w:val="000000" w:themeColor="text1"/>
          <w:sz w:val="28"/>
          <w:lang w:val="ro-RO"/>
        </w:rPr>
        <w:footnoteReference w:id="23"/>
      </w:r>
      <w:bookmarkEnd w:id="291"/>
    </w:p>
    <w:p w14:paraId="0F2128A3" w14:textId="2B8595E8"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Analiza pieţei naţionale actuale ESCO, precum şi descrierea de perspectivă se bazează pe constatările Proiectului „ESCO Moldova - Transformarea pieţei pentru eficienţa energetică urbană prin introducerea companiilor de servicii energetice”.</w:t>
      </w:r>
    </w:p>
    <w:p w14:paraId="3F47427B" w14:textId="77777777" w:rsidR="00305D0F"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Cadrul juridic şi regulatoriu necesar pentru dezvoltarea proiectelor de EE în sectorul public este deja existent. Actualmente, Ministerul Economiei redactează un nou regulament şi un proiect de lege cu privire la condominiu, asigurând implicarea ESCO pe baza utilizării contractelor de performanţă energetică (CPE). Cadrul regulatoriu este la prima vedere adecvat pentru dirijarea activităţilor ESCO. Nu au fost identificate obstacole de reglementare în sectorul municipal (nivelul local) pentru implementarea proiectelor de EE prin intermediul modelului de afaceri ESCO şi conform cerinţelor CPE definite de Ministerul Economiei. </w:t>
      </w:r>
    </w:p>
    <w:p w14:paraId="3013A788" w14:textId="2BCE3D47"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În Moldova încă nu există companii din sectorul privat care să utilizeze un model real de afaceri ESCO. Nu există experienţă de gestionare a modelului de afaceri ESCO. Furnizorii de servicii energetice doresc să pună în aplicare proiecte de EE în clădiri publice sau private în cazul în care consumatorul final are capacitatea să achite integral, printr-o singură tranşă, </w:t>
      </w:r>
      <w:r w:rsidRPr="009C5F11">
        <w:rPr>
          <w:rFonts w:ascii="Times New Roman" w:hAnsi="Times New Roman" w:cs="Times New Roman"/>
          <w:sz w:val="24"/>
          <w:lang w:val="ro-RO"/>
        </w:rPr>
        <w:lastRenderedPageBreak/>
        <w:t>investiţia la etapa de dare în exploatare a proiectului de EE. În prezent aceşti furnizori nu se află în poziţia care să le permită să-şi asume riscul financiar prin investirea capitalului propriu şi să aştepte 5 ani pentru a-şi recupera investiţia. În cazul în care unii dintre ei pot face acest lucru, va fi posibil de realizat un singur proiect de EE din cauza lipsei de capital propriu. Modelul de afaceri ESCO este adecvat atunci când ESCO poate avea acces la finanţarea proiectului prin intermediul emiterii unei garantări a împrumutului de către un terţ (FGI – Fondul de garantare a împrumutului).</w:t>
      </w:r>
    </w:p>
    <w:p w14:paraId="7D0EDA2E" w14:textId="77777777" w:rsidR="00BA083C" w:rsidRPr="009C5F11" w:rsidRDefault="00BA083C" w:rsidP="00BA083C">
      <w:pPr>
        <w:autoSpaceDE w:val="0"/>
        <w:autoSpaceDN w:val="0"/>
        <w:adjustRightInd w:val="0"/>
        <w:spacing w:before="240" w:after="0" w:line="240" w:lineRule="auto"/>
        <w:jc w:val="both"/>
        <w:rPr>
          <w:rFonts w:ascii="Times New Roman" w:eastAsia="Calibri" w:hAnsi="Times New Roman" w:cs="Times New Roman"/>
          <w:color w:val="000000"/>
          <w:sz w:val="24"/>
          <w:lang w:val="ro-RO"/>
        </w:rPr>
      </w:pPr>
      <w:r w:rsidRPr="009C5F11">
        <w:rPr>
          <w:rFonts w:ascii="Times New Roman" w:eastAsia="Calibri" w:hAnsi="Times New Roman" w:cs="Times New Roman"/>
          <w:color w:val="000000"/>
          <w:sz w:val="24"/>
          <w:lang w:val="ro-RO"/>
        </w:rPr>
        <w:br w:type="page"/>
      </w:r>
    </w:p>
    <w:p w14:paraId="3DD50561" w14:textId="77777777" w:rsidR="00BA083C" w:rsidRPr="00D9464A" w:rsidRDefault="00BA083C" w:rsidP="00BA083C">
      <w:pPr>
        <w:pStyle w:val="Titlu2"/>
        <w:rPr>
          <w:rFonts w:ascii="Times New Roman" w:hAnsi="Times New Roman" w:cs="Times New Roman"/>
          <w:color w:val="000000" w:themeColor="text1"/>
          <w:sz w:val="32"/>
          <w:lang w:val="ro-RO"/>
        </w:rPr>
      </w:pPr>
      <w:bookmarkStart w:id="292" w:name="_Toc322013183"/>
      <w:bookmarkStart w:id="293" w:name="_Toc319555420"/>
      <w:r w:rsidRPr="00D9464A">
        <w:rPr>
          <w:rFonts w:ascii="Times New Roman" w:hAnsi="Times New Roman" w:cs="Times New Roman"/>
          <w:color w:val="000000" w:themeColor="text1"/>
          <w:sz w:val="32"/>
          <w:lang w:val="ro-RO"/>
        </w:rPr>
        <w:lastRenderedPageBreak/>
        <w:t>Prezentarea calculelor nivelurilor optime ale costurilor</w:t>
      </w:r>
      <w:bookmarkEnd w:id="292"/>
      <w:r w:rsidRPr="00D9464A">
        <w:rPr>
          <w:rFonts w:ascii="Times New Roman" w:hAnsi="Times New Roman" w:cs="Times New Roman"/>
          <w:color w:val="000000" w:themeColor="text1"/>
          <w:sz w:val="32"/>
          <w:lang w:val="ro-RO"/>
        </w:rPr>
        <w:t xml:space="preserve"> </w:t>
      </w:r>
      <w:bookmarkEnd w:id="293"/>
    </w:p>
    <w:p w14:paraId="303C3F05" w14:textId="1A9CC1BE"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Legea 128/2014 prevede următoarele: </w:t>
      </w:r>
    </w:p>
    <w:p w14:paraId="124A620F"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Art. 9. </w:t>
      </w:r>
      <w:r w:rsidRPr="009C5F11">
        <w:rPr>
          <w:rFonts w:ascii="Times New Roman" w:eastAsia="Times New Roman" w:hAnsi="Times New Roman" w:cs="Times New Roman"/>
          <w:i/>
          <w:color w:val="000000"/>
          <w:szCs w:val="18"/>
          <w:lang w:val="ro-RO"/>
        </w:rPr>
        <w:t>Cerinţe minime de performanţă energetică</w:t>
      </w:r>
    </w:p>
    <w:p w14:paraId="4AA0989D"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Art. 9 (3) </w:t>
      </w:r>
      <w:r w:rsidRPr="009C5F11">
        <w:rPr>
          <w:rFonts w:ascii="Times New Roman" w:eastAsia="Times New Roman" w:hAnsi="Times New Roman" w:cs="Times New Roman"/>
          <w:i/>
          <w:color w:val="000000"/>
          <w:szCs w:val="18"/>
          <w:lang w:val="ro-RO"/>
        </w:rPr>
        <w:t>Cerinţele minime de performanţă energetică se stabilesc ținând cont de nivelurile optime, din punctul de vedere al costurilor, calculate în conformitate cu metodologia elaborată şi aprobată de organul central de specialitate al administraţiei publice în domeniul construcţiilor</w:t>
      </w:r>
      <w:r w:rsidRPr="009C5F11">
        <w:rPr>
          <w:rFonts w:ascii="Times New Roman" w:hAnsi="Times New Roman" w:cs="Times New Roman"/>
          <w:i/>
          <w:szCs w:val="18"/>
          <w:lang w:val="ro-RO"/>
        </w:rPr>
        <w:t>.</w:t>
      </w:r>
    </w:p>
    <w:p w14:paraId="0E0B9D99" w14:textId="1B603324" w:rsidR="00BA083C" w:rsidRPr="009C5F11" w:rsidRDefault="00BA083C" w:rsidP="00087B37">
      <w:pPr>
        <w:pStyle w:val="Listparagraf"/>
        <w:numPr>
          <w:ilvl w:val="0"/>
          <w:numId w:val="210"/>
        </w:numPr>
        <w:spacing w:before="120" w:after="120" w:line="240" w:lineRule="auto"/>
        <w:ind w:left="0" w:firstLine="142"/>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Proiectul “Foaia de parcurs” elaborat de BERD</w:t>
      </w:r>
      <w:r w:rsidRPr="009C5F11">
        <w:rPr>
          <w:rStyle w:val="Referinnotdesubsol"/>
          <w:rFonts w:ascii="Times New Roman" w:hAnsi="Times New Roman" w:cs="Times New Roman"/>
          <w:sz w:val="24"/>
          <w:lang w:val="ro-RO"/>
        </w:rPr>
        <w:footnoteReference w:id="24"/>
      </w:r>
      <w:r w:rsidRPr="009C5F11">
        <w:rPr>
          <w:rFonts w:ascii="Times New Roman" w:hAnsi="Times New Roman" w:cs="Times New Roman"/>
          <w:sz w:val="24"/>
          <w:lang w:val="ro-RO"/>
        </w:rPr>
        <w:t xml:space="preserve"> stabileşte următoarele etape pentru calcularea nivelului optim al costurilor pentru cerinţele minime de performanţă energetică în conformitate cu Regulamentul (UE) nr. 244/2012:</w:t>
      </w:r>
    </w:p>
    <w:p w14:paraId="6EA9B2E6"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Definiţia clădirii de referinţă (min. 9 clădiri);</w:t>
      </w:r>
    </w:p>
    <w:p w14:paraId="7F4103DB"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Definiţia pachetului de măsuri (variante) pentru evaluare (variantele/pachetele doar pentru elemente şi combinaţii ale anvelopei clădirii şi sistemelor tehnice);</w:t>
      </w:r>
    </w:p>
    <w:p w14:paraId="7C3DF4BF"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Calcularea performanţei energetice (energia furnizată, energia primară) pentru fiecare set de variante;</w:t>
      </w:r>
    </w:p>
    <w:p w14:paraId="6FE33DE4"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Calcularea costurilor globale (financiare, macroeconomice) pentru fiecare set de variante;</w:t>
      </w:r>
    </w:p>
    <w:p w14:paraId="7BCA536D"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Derivarea nivelului optim al costului;</w:t>
      </w:r>
    </w:p>
    <w:p w14:paraId="1BEF89B1"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Compararea nivelului optim al costului cu cerinţele minime de PE în vigoare sau stabilirea cerinţelor minime în cazul Republicii Moldova;</w:t>
      </w:r>
    </w:p>
    <w:p w14:paraId="4F81FFFA"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Raportarea rezultatelor din calculul nivelului optim al costului şi compararea cu cel stabilit de Comunitatea Energetică (Comisia Europeană);</w:t>
      </w:r>
    </w:p>
    <w:p w14:paraId="4945E7E5"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Actualizarea cerinţelor naţionale minime în cazul existenţei unei discrepanţe semnificative între nivelurile calculate de CO2 şi cerinţele minime în vigoare, justificarea diferenţei sau planificarea măsurilor pentru reducerea discrepanţei. </w:t>
      </w:r>
    </w:p>
    <w:p w14:paraId="19DE2060" w14:textId="0B258BE7" w:rsidR="00BA083C" w:rsidRPr="009C5F11" w:rsidRDefault="00BA083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Respectiv, în cadrul Proiectului, acţiunea “Derivarea nivelului optim al costului performanţei energetice, compararea cu cerinţele existente şi proiectul Raportului către Comunitatea Energetică” este planificată în trimestrul III 2017.</w:t>
      </w:r>
    </w:p>
    <w:p w14:paraId="798CB0BA" w14:textId="77777777" w:rsidR="00BA083C" w:rsidRPr="009C5F11" w:rsidRDefault="00BA083C" w:rsidP="00BA083C">
      <w:pPr>
        <w:pStyle w:val="Titlu2"/>
        <w:rPr>
          <w:rFonts w:ascii="Times New Roman" w:hAnsi="Times New Roman" w:cs="Times New Roman"/>
          <w:sz w:val="32"/>
          <w:lang w:val="ro-RO"/>
        </w:rPr>
      </w:pPr>
      <w:bookmarkStart w:id="294" w:name="_Toc274298545"/>
      <w:bookmarkStart w:id="295" w:name="_Toc274304040"/>
      <w:r w:rsidRPr="009C5F11">
        <w:rPr>
          <w:rFonts w:ascii="Times New Roman" w:hAnsi="Times New Roman" w:cs="Times New Roman"/>
          <w:sz w:val="32"/>
          <w:lang w:val="ro-RO"/>
        </w:rPr>
        <w:br w:type="page"/>
      </w:r>
      <w:bookmarkStart w:id="296" w:name="_Toc319555421"/>
      <w:bookmarkStart w:id="297" w:name="_Toc322013184"/>
      <w:r w:rsidRPr="00D9464A">
        <w:rPr>
          <w:rFonts w:ascii="Times New Roman" w:hAnsi="Times New Roman" w:cs="Times New Roman"/>
          <w:color w:val="000000" w:themeColor="text1"/>
          <w:sz w:val="28"/>
          <w:lang w:val="ro-RO"/>
        </w:rPr>
        <w:lastRenderedPageBreak/>
        <w:t>Strategia pentru creşterea numărului de clădiri</w:t>
      </w:r>
      <w:bookmarkEnd w:id="294"/>
      <w:bookmarkEnd w:id="295"/>
      <w:bookmarkEnd w:id="296"/>
      <w:r w:rsidRPr="00D9464A">
        <w:rPr>
          <w:rFonts w:ascii="Times New Roman" w:hAnsi="Times New Roman" w:cs="Times New Roman"/>
          <w:color w:val="000000" w:themeColor="text1"/>
          <w:sz w:val="28"/>
          <w:lang w:val="ro-RO"/>
        </w:rPr>
        <w:t xml:space="preserve"> al căror consum energetic este aproape egal cu zero</w:t>
      </w:r>
      <w:bookmarkEnd w:id="297"/>
    </w:p>
    <w:p w14:paraId="7C0B708D" w14:textId="77777777" w:rsidR="0057041E" w:rsidRPr="009C5F11" w:rsidRDefault="00BA083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Actualmente, nu există un plan naţional oficial care să aibă scopul de a creşte numărul de clădiri al căror consum energetic este aproape egal cu zero.</w:t>
      </w:r>
    </w:p>
    <w:p w14:paraId="287525D1" w14:textId="5DE9C6A2" w:rsidR="00BA083C" w:rsidRPr="009C5F11" w:rsidRDefault="00BA083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Potrivit Foii de parcurs BERD, pentru perioada 2015-2017 ar trebui planificate următoarele activităţi:</w:t>
      </w:r>
    </w:p>
    <w:p w14:paraId="31387C06"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Studiu cu axare pe posibilităţile financiare şi tehnice pentru clădirile cu performanţă energetică ridicată, inclusiv nZEB, reflectarea condiţiilor naţionale, regionale şi locale (luând în considerare calcularea nivelului optim al costului din calculul performanţei energetice);</w:t>
      </w:r>
    </w:p>
    <w:p w14:paraId="5EFAB564"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Definiţia detaliată a clădirii al cărei consum de energie este aproape egal cu zero, reflectarea condiţiilor naţionale, regionale sau locale, inclusiv indicatorul numeric al energiei primare în kWh/m² pe an şi reflectarea definiției propuse în Anexa informativă H la standardul CEN EN15603:2015 (DIS 52000-1);</w:t>
      </w:r>
    </w:p>
    <w:p w14:paraId="530D948B"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Redactarea unui proiect de plan naţional de creştere a numărului de clădiri al căror consum de energie este aproape egal cu zero;</w:t>
      </w:r>
    </w:p>
    <w:p w14:paraId="4B0882D2" w14:textId="0BC1C413" w:rsidR="00BA083C" w:rsidRPr="009C5F11" w:rsidRDefault="00BA083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Respectiv, documentul strategic şi cel legislativ ar trebui întocmite şi adoptate:</w:t>
      </w:r>
    </w:p>
    <w:p w14:paraId="208F8277"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Planul naţional de îmbunătăţire a performanţei energetice a clădirilor publice existente;</w:t>
      </w:r>
    </w:p>
    <w:p w14:paraId="3C8CD058"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Planul naţional de îmbunătăţire a performanţei energetice a clădirilor rezidenţiale existente;</w:t>
      </w:r>
    </w:p>
    <w:p w14:paraId="012193E5" w14:textId="77777777" w:rsidR="00BA083C" w:rsidRPr="009C5F11" w:rsidRDefault="00BA083C"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Măsuri şi instrumente financiare pentru atingerea obiectivelor, promovarea clădirilor al căror consum de energie este aproape egal cu zero, inclusiv detalii despre cerinţele naţionale şi măsurile pentru utilizarea energiei din surse regenerabile de energie.</w:t>
      </w:r>
    </w:p>
    <w:p w14:paraId="00335618" w14:textId="77777777" w:rsidR="00BA083C" w:rsidRPr="009C5F11" w:rsidRDefault="00BA083C" w:rsidP="00BA083C">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 xml:space="preserve">PNAEE 2016 – 2018 prevede măsura </w:t>
      </w:r>
      <w:r w:rsidRPr="009C5F11">
        <w:rPr>
          <w:rFonts w:ascii="Times New Roman" w:hAnsi="Times New Roman" w:cs="Times New Roman"/>
          <w:i/>
          <w:sz w:val="24"/>
          <w:u w:val="single"/>
          <w:lang w:val="ro-RO"/>
        </w:rPr>
        <w:t>B2-Promovarea clădirilor al căror consum de energie este aproape egal cu zero</w:t>
      </w:r>
      <w:r w:rsidRPr="009C5F11">
        <w:rPr>
          <w:rFonts w:ascii="Times New Roman" w:hAnsi="Times New Roman" w:cs="Times New Roman"/>
          <w:sz w:val="24"/>
          <w:lang w:val="ro-RO"/>
        </w:rPr>
        <w:t>, care a preluat măsura cu aceeaşi denumire din PNAEE 2013-2015.</w:t>
      </w:r>
    </w:p>
    <w:p w14:paraId="4C7A760A" w14:textId="77777777" w:rsidR="00BA083C" w:rsidRPr="009C5F11" w:rsidRDefault="00BA083C" w:rsidP="00BA083C">
      <w:pPr>
        <w:shd w:val="clear" w:color="auto" w:fill="FFFFFF"/>
        <w:spacing w:before="120" w:after="120"/>
        <w:jc w:val="both"/>
        <w:rPr>
          <w:rFonts w:ascii="Times New Roman" w:hAnsi="Times New Roman" w:cs="Times New Roman"/>
          <w:sz w:val="24"/>
          <w:lang w:val="ro-RO"/>
        </w:rPr>
      </w:pPr>
      <w:r w:rsidRPr="009C5F11">
        <w:rPr>
          <w:rFonts w:ascii="Times New Roman" w:hAnsi="Times New Roman" w:cs="Times New Roman"/>
          <w:sz w:val="24"/>
          <w:lang w:val="ro-RO"/>
        </w:rPr>
        <w:br w:type="page"/>
      </w:r>
    </w:p>
    <w:p w14:paraId="110F4021" w14:textId="77777777" w:rsidR="00BA083C" w:rsidRPr="00D9464A" w:rsidRDefault="00BA083C" w:rsidP="00BA083C">
      <w:pPr>
        <w:pStyle w:val="Titlu2"/>
        <w:rPr>
          <w:rFonts w:ascii="Times New Roman" w:hAnsi="Times New Roman" w:cs="Times New Roman"/>
          <w:color w:val="000000" w:themeColor="text1"/>
          <w:sz w:val="28"/>
          <w:lang w:val="ro-RO"/>
        </w:rPr>
      </w:pPr>
      <w:bookmarkStart w:id="298" w:name="_Toc274298546"/>
      <w:bookmarkStart w:id="299" w:name="_Toc274304041"/>
      <w:bookmarkStart w:id="300" w:name="_Toc319555422"/>
      <w:bookmarkStart w:id="301" w:name="_Toc322013185"/>
      <w:r w:rsidRPr="00D9464A">
        <w:rPr>
          <w:rFonts w:ascii="Times New Roman" w:hAnsi="Times New Roman" w:cs="Times New Roman"/>
          <w:color w:val="000000" w:themeColor="text1"/>
          <w:sz w:val="28"/>
          <w:lang w:val="ro-RO"/>
        </w:rPr>
        <w:lastRenderedPageBreak/>
        <w:t>Măsuri alternative pentru sisteme de încălzire şi climatizare a aerului</w:t>
      </w:r>
      <w:bookmarkEnd w:id="298"/>
      <w:bookmarkEnd w:id="299"/>
      <w:bookmarkEnd w:id="300"/>
      <w:bookmarkEnd w:id="301"/>
    </w:p>
    <w:p w14:paraId="111BDB94" w14:textId="014618FC" w:rsidR="00BA083C" w:rsidRPr="009C5F11" w:rsidRDefault="00BA083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Legea nr.128 din 07.11.2014 privind performanţa energetică a clădirilor introduce cerinţele de inspecţie periodică a sistemelor de încălzire şi a sistemelor de climatizare din clădiri. Recomandările oferite utilizatorilor vizând înlocuirea cazanelor, alte modificări operate sistemului termic şi soluţiile de alternativă pentru evaluarea randamentului şi a dimensionării cazanului în raport cu necesităţile de încălzire ale clădirii, la fel, fac parte din inspecţiile periodice. </w:t>
      </w:r>
    </w:p>
    <w:p w14:paraId="74C368F8" w14:textId="27A7BB80" w:rsidR="00BA083C" w:rsidRPr="009C5F11" w:rsidRDefault="00BA083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Sunt relevante următoarele dispoziţii ale legii:</w:t>
      </w:r>
    </w:p>
    <w:p w14:paraId="079EF8BE" w14:textId="77777777" w:rsidR="00BA083C" w:rsidRPr="009C5F11" w:rsidRDefault="00BA083C" w:rsidP="00BA083C">
      <w:pPr>
        <w:spacing w:before="120" w:after="120" w:line="240" w:lineRule="auto"/>
        <w:ind w:left="708"/>
        <w:jc w:val="both"/>
        <w:textAlignment w:val="baseline"/>
        <w:rPr>
          <w:rFonts w:ascii="Times New Roman" w:hAnsi="Times New Roman" w:cs="Times New Roman"/>
          <w:b/>
          <w:i/>
          <w:szCs w:val="18"/>
          <w:lang w:val="ro-RO"/>
        </w:rPr>
      </w:pPr>
      <w:r w:rsidRPr="009C5F11">
        <w:rPr>
          <w:rFonts w:ascii="Times New Roman" w:hAnsi="Times New Roman" w:cs="Times New Roman"/>
          <w:b/>
          <w:i/>
          <w:szCs w:val="18"/>
          <w:lang w:val="ro-RO"/>
        </w:rPr>
        <w:t xml:space="preserve">Capitolul V. </w:t>
      </w:r>
      <w:r w:rsidRPr="009C5F11">
        <w:rPr>
          <w:rFonts w:ascii="Times New Roman" w:eastAsia="Times New Roman" w:hAnsi="Times New Roman" w:cs="Times New Roman"/>
          <w:b/>
          <w:bCs/>
          <w:i/>
          <w:color w:val="000000"/>
          <w:szCs w:val="18"/>
          <w:lang w:val="ro-RO"/>
        </w:rPr>
        <w:t>Inspecţia periodică a sistemelor de încălzire</w:t>
      </w:r>
    </w:p>
    <w:p w14:paraId="78B9543B"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u w:val="single"/>
          <w:lang w:val="ro-RO"/>
        </w:rPr>
      </w:pPr>
      <w:r w:rsidRPr="009C5F11">
        <w:rPr>
          <w:rFonts w:ascii="Times New Roman" w:hAnsi="Times New Roman" w:cs="Times New Roman"/>
          <w:i/>
          <w:szCs w:val="18"/>
          <w:u w:val="single"/>
          <w:lang w:val="ro-RO"/>
        </w:rPr>
        <w:t xml:space="preserve">Articolul 23. </w:t>
      </w:r>
      <w:r w:rsidRPr="009C5F11">
        <w:rPr>
          <w:rFonts w:ascii="Times New Roman" w:eastAsia="Times New Roman" w:hAnsi="Times New Roman" w:cs="Times New Roman"/>
          <w:i/>
          <w:color w:val="000000"/>
          <w:szCs w:val="18"/>
          <w:u w:val="single"/>
          <w:lang w:val="ro-RO"/>
        </w:rPr>
        <w:t>Inspecţia periodică a sistemelor de încălzire</w:t>
      </w:r>
    </w:p>
    <w:p w14:paraId="78E15903"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(1) </w:t>
      </w:r>
      <w:r w:rsidRPr="009C5F11">
        <w:rPr>
          <w:rFonts w:ascii="Times New Roman" w:eastAsia="Times New Roman" w:hAnsi="Times New Roman" w:cs="Times New Roman"/>
          <w:i/>
          <w:color w:val="000000"/>
          <w:szCs w:val="18"/>
          <w:lang w:val="ro-RO"/>
        </w:rPr>
        <w:t>Sistemele de încălzire echipate cu cazane cu o putere nominală utilă mai mare de 20 kW se supun unei inspecţii periodice</w:t>
      </w:r>
      <w:r w:rsidRPr="009C5F11">
        <w:rPr>
          <w:rFonts w:ascii="Times New Roman" w:hAnsi="Times New Roman" w:cs="Times New Roman"/>
          <w:i/>
          <w:szCs w:val="18"/>
          <w:lang w:val="ro-RO"/>
        </w:rPr>
        <w:t>.</w:t>
      </w:r>
    </w:p>
    <w:p w14:paraId="7820B269"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(2) </w:t>
      </w:r>
      <w:r w:rsidRPr="009C5F11">
        <w:rPr>
          <w:rFonts w:ascii="Times New Roman" w:eastAsia="Times New Roman" w:hAnsi="Times New Roman" w:cs="Times New Roman"/>
          <w:i/>
          <w:color w:val="000000"/>
          <w:szCs w:val="18"/>
          <w:lang w:val="ro-RO"/>
        </w:rPr>
        <w:t>Sistemele de încălzire echipate cu cazane cu combustibil lichid sau solid cu o putere nominală utilă de peste 100 kW se inspectează cel puţin o dată la fiecare 2 ani, iar cele echipate cu cazane cu combustibil gazos cu o putere nominală utilă de peste 100 kW – cel puţin o dată la fiecare 4 ani</w:t>
      </w:r>
      <w:r w:rsidRPr="009C5F11">
        <w:rPr>
          <w:rFonts w:ascii="Times New Roman" w:hAnsi="Times New Roman" w:cs="Times New Roman"/>
          <w:i/>
          <w:szCs w:val="18"/>
          <w:lang w:val="ro-RO"/>
        </w:rPr>
        <w:t>.</w:t>
      </w:r>
    </w:p>
    <w:p w14:paraId="19695CC2"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w:t>
      </w:r>
    </w:p>
    <w:p w14:paraId="7A1846A1"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(4) </w:t>
      </w:r>
      <w:r w:rsidRPr="009C5F11">
        <w:rPr>
          <w:rFonts w:ascii="Times New Roman" w:eastAsia="Times New Roman" w:hAnsi="Times New Roman" w:cs="Times New Roman"/>
          <w:i/>
          <w:color w:val="000000"/>
          <w:szCs w:val="18"/>
          <w:lang w:val="ro-RO"/>
        </w:rPr>
        <w:t>Periodicitatea şi modul de efectuare a inspecţiilor periodice ale sistemelor de încălzire se stabilesc de către Guvern în funcţie de categoria clădirii, de tipul şi puterea nominală utilă a sistemului de încălzire şi de alte condiţii, ținând cont de costurile de inspecţie şi de valoarea economiilor de energie estimate care ar putea rezulta din inspecţie</w:t>
      </w:r>
      <w:r w:rsidRPr="009C5F11">
        <w:rPr>
          <w:rFonts w:ascii="Times New Roman" w:hAnsi="Times New Roman" w:cs="Times New Roman"/>
          <w:i/>
          <w:szCs w:val="18"/>
          <w:lang w:val="ro-RO"/>
        </w:rPr>
        <w:t>.</w:t>
      </w:r>
    </w:p>
    <w:p w14:paraId="105A8B9F"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(5) </w:t>
      </w:r>
      <w:r w:rsidRPr="009C5F11">
        <w:rPr>
          <w:rFonts w:ascii="Times New Roman" w:eastAsia="Times New Roman" w:hAnsi="Times New Roman" w:cs="Times New Roman"/>
          <w:i/>
          <w:color w:val="000000"/>
          <w:szCs w:val="18"/>
          <w:lang w:val="ro-RO"/>
        </w:rPr>
        <w:t>Termenul după expirarea căruia trebuie să fie efectuată prima inspecţie a sistemului de încălzire se stabileşte de către Guvern, în funcţie de data montării şi punerii în funcţiune a sistemului, precum şi de periodicitatea inspecţiilor stabilită pentru acest tip de sisteme</w:t>
      </w:r>
      <w:r w:rsidRPr="009C5F11">
        <w:rPr>
          <w:rFonts w:ascii="Times New Roman" w:hAnsi="Times New Roman" w:cs="Times New Roman"/>
          <w:i/>
          <w:szCs w:val="18"/>
          <w:lang w:val="ro-RO"/>
        </w:rPr>
        <w:t>.</w:t>
      </w:r>
    </w:p>
    <w:p w14:paraId="7CAB136C" w14:textId="77777777" w:rsidR="00BA083C" w:rsidRPr="009C5F11" w:rsidRDefault="00BA083C" w:rsidP="00BA083C">
      <w:pPr>
        <w:spacing w:before="120" w:after="120" w:line="240" w:lineRule="auto"/>
        <w:ind w:left="708"/>
        <w:jc w:val="both"/>
        <w:rPr>
          <w:rFonts w:ascii="Times New Roman" w:hAnsi="Times New Roman" w:cs="Times New Roman"/>
          <w:sz w:val="24"/>
          <w:lang w:val="ro-RO"/>
        </w:rPr>
      </w:pPr>
      <w:r w:rsidRPr="009C5F11">
        <w:rPr>
          <w:rFonts w:ascii="Times New Roman" w:hAnsi="Times New Roman" w:cs="Times New Roman"/>
          <w:b/>
          <w:sz w:val="24"/>
          <w:lang w:val="ro-RO"/>
        </w:rPr>
        <w:t xml:space="preserve">NOTĂ: </w:t>
      </w:r>
      <w:r w:rsidRPr="009C5F11">
        <w:rPr>
          <w:rFonts w:ascii="Times New Roman" w:hAnsi="Times New Roman" w:cs="Times New Roman"/>
          <w:sz w:val="24"/>
          <w:lang w:val="ro-RO"/>
        </w:rPr>
        <w:t>Articolul 23 încă nu poate fi aplicat din cauza lipsei pârghiilor necesare pentru funcţionarea corespunzătoare stabilită de legislaţia secundară. În acest sens, se impune elaborarea unui regulament cu privire la inspecţiile periodice a sistemelor de încălzire şi aprobarea acestuia printr-o HG. Regulamentul a fost deja elaborat şi prezentat Guvernului spre aprobare.</w:t>
      </w:r>
    </w:p>
    <w:p w14:paraId="4A150D12"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4"/>
          <w:lang w:val="ro-RO"/>
        </w:rPr>
      </w:pPr>
      <w:r w:rsidRPr="009C5F11">
        <w:rPr>
          <w:rFonts w:ascii="Times New Roman" w:hAnsi="Times New Roman" w:cs="Times New Roman"/>
          <w:i/>
          <w:sz w:val="24"/>
          <w:lang w:val="ro-RO"/>
        </w:rPr>
        <w:t>Cu toate că Articolul 23 prevede condiţiile pentru inspectare, Articolul 24 “</w:t>
      </w:r>
      <w:r w:rsidRPr="009C5F11">
        <w:rPr>
          <w:rFonts w:ascii="Times New Roman" w:eastAsia="Times New Roman" w:hAnsi="Times New Roman" w:cs="Times New Roman"/>
          <w:i/>
          <w:color w:val="000000"/>
          <w:sz w:val="24"/>
          <w:lang w:val="ro-RO"/>
        </w:rPr>
        <w:t>Raportul de inspecţie periodică a sistemului de încălzire</w:t>
      </w:r>
      <w:r w:rsidRPr="009C5F11">
        <w:rPr>
          <w:rFonts w:ascii="Times New Roman" w:hAnsi="Times New Roman" w:cs="Times New Roman"/>
          <w:i/>
          <w:sz w:val="24"/>
          <w:lang w:val="ro-RO"/>
        </w:rPr>
        <w:t>” prevede că recomandările</w:t>
      </w:r>
      <w:r w:rsidRPr="009C5F11">
        <w:rPr>
          <w:rFonts w:ascii="Times New Roman" w:hAnsi="Times New Roman" w:cs="Times New Roman"/>
          <w:sz w:val="24"/>
          <w:lang w:val="ro-RO"/>
        </w:rPr>
        <w:t xml:space="preserve"> </w:t>
      </w:r>
      <w:r w:rsidRPr="009C5F11">
        <w:rPr>
          <w:rFonts w:ascii="Times New Roman" w:hAnsi="Times New Roman" w:cs="Times New Roman"/>
          <w:i/>
          <w:sz w:val="24"/>
          <w:u w:val="single"/>
          <w:lang w:val="ro-RO"/>
        </w:rPr>
        <w:t xml:space="preserve">oferite utilizatorilor vizând înlocuirea cazanelor, alte modificări operate sistemului termic şi soluţiile de alternativă pentru </w:t>
      </w:r>
      <w:r w:rsidRPr="009C5F11">
        <w:rPr>
          <w:rFonts w:ascii="Times New Roman" w:eastAsia="Times New Roman" w:hAnsi="Times New Roman" w:cs="Times New Roman"/>
          <w:i/>
          <w:color w:val="000000"/>
          <w:sz w:val="24"/>
          <w:u w:val="single"/>
          <w:lang w:val="ro-RO"/>
        </w:rPr>
        <w:t>evaluarea randamentului şi a dimensionării cazanului în raport cu necesităţile de încălzire ale clădirii</w:t>
      </w:r>
      <w:r w:rsidRPr="009C5F11">
        <w:rPr>
          <w:rFonts w:ascii="Times New Roman" w:hAnsi="Times New Roman" w:cs="Times New Roman"/>
          <w:i/>
          <w:sz w:val="24"/>
          <w:u w:val="single"/>
          <w:lang w:val="ro-RO"/>
        </w:rPr>
        <w:t xml:space="preserve"> sunt, la fel, </w:t>
      </w:r>
      <w:r w:rsidRPr="009C5F11">
        <w:rPr>
          <w:rFonts w:ascii="Times New Roman" w:hAnsi="Times New Roman" w:cs="Times New Roman"/>
          <w:i/>
          <w:sz w:val="24"/>
          <w:lang w:val="ro-RO"/>
        </w:rPr>
        <w:t>incluse în inspecţiile periodice.</w:t>
      </w:r>
    </w:p>
    <w:p w14:paraId="24A348AD"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u w:val="single"/>
          <w:lang w:val="ro-RO"/>
        </w:rPr>
      </w:pPr>
      <w:r w:rsidRPr="009C5F11">
        <w:rPr>
          <w:rFonts w:ascii="Times New Roman" w:hAnsi="Times New Roman" w:cs="Times New Roman"/>
          <w:i/>
          <w:szCs w:val="18"/>
          <w:u w:val="single"/>
          <w:lang w:val="ro-RO"/>
        </w:rPr>
        <w:t xml:space="preserve">Articolul 24. </w:t>
      </w:r>
      <w:r w:rsidRPr="009C5F11">
        <w:rPr>
          <w:rFonts w:ascii="Times New Roman" w:eastAsia="Times New Roman" w:hAnsi="Times New Roman" w:cs="Times New Roman"/>
          <w:i/>
          <w:color w:val="000000"/>
          <w:szCs w:val="18"/>
          <w:u w:val="single"/>
          <w:lang w:val="ro-RO"/>
        </w:rPr>
        <w:t>Raportul de inspecţie periodică a sistemului de încălzire</w:t>
      </w:r>
    </w:p>
    <w:p w14:paraId="2727E639"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( 1) </w:t>
      </w:r>
      <w:r w:rsidRPr="009C5F11">
        <w:rPr>
          <w:rFonts w:ascii="Times New Roman" w:eastAsia="Times New Roman" w:hAnsi="Times New Roman" w:cs="Times New Roman"/>
          <w:i/>
          <w:color w:val="000000"/>
          <w:szCs w:val="18"/>
          <w:lang w:val="ro-RO"/>
        </w:rPr>
        <w:t>La efectuarea unei inspecţii periodice a sistemului de încălzire, inspectorul sistemelor de încălzire va întocmi un raport în scris</w:t>
      </w:r>
      <w:r w:rsidRPr="009C5F11">
        <w:rPr>
          <w:rFonts w:ascii="Times New Roman" w:hAnsi="Times New Roman" w:cs="Times New Roman"/>
          <w:i/>
          <w:szCs w:val="18"/>
          <w:lang w:val="ro-RO"/>
        </w:rPr>
        <w:t>.</w:t>
      </w:r>
    </w:p>
    <w:p w14:paraId="40B7D639"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( 2) </w:t>
      </w:r>
      <w:r w:rsidRPr="009C5F11">
        <w:rPr>
          <w:rFonts w:ascii="Times New Roman" w:eastAsia="Times New Roman" w:hAnsi="Times New Roman" w:cs="Times New Roman"/>
          <w:i/>
          <w:color w:val="000000"/>
          <w:szCs w:val="18"/>
          <w:lang w:val="ro-RO"/>
        </w:rPr>
        <w:t>Raportul de inspecţie periodică a sistemului de încălzire include</w:t>
      </w:r>
      <w:r w:rsidRPr="009C5F11">
        <w:rPr>
          <w:rFonts w:ascii="Times New Roman" w:hAnsi="Times New Roman" w:cs="Times New Roman"/>
          <w:i/>
          <w:szCs w:val="18"/>
          <w:lang w:val="ro-RO"/>
        </w:rPr>
        <w:t>:</w:t>
      </w:r>
    </w:p>
    <w:p w14:paraId="67A2276A"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w:t>
      </w:r>
    </w:p>
    <w:p w14:paraId="52CEFE20" w14:textId="77777777" w:rsidR="00BA083C" w:rsidRPr="009C5F11" w:rsidRDefault="00BA083C" w:rsidP="00BA083C">
      <w:pPr>
        <w:spacing w:before="120" w:after="120" w:line="240" w:lineRule="auto"/>
        <w:ind w:left="1416"/>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b) </w:t>
      </w:r>
      <w:r w:rsidRPr="009C5F11">
        <w:rPr>
          <w:rFonts w:ascii="Times New Roman" w:eastAsia="Times New Roman" w:hAnsi="Times New Roman" w:cs="Times New Roman"/>
          <w:i/>
          <w:color w:val="000000"/>
          <w:sz w:val="20"/>
          <w:szCs w:val="16"/>
          <w:lang w:val="ro-RO"/>
        </w:rPr>
        <w:t>evaluarea randamentului şi a dimensionării cazanului în raport cu necesităţile de încălzire ale clădirii, precum şi alte date tehnice utilizate pentru întocmirea raportului</w:t>
      </w:r>
      <w:r w:rsidRPr="009C5F11">
        <w:rPr>
          <w:rFonts w:ascii="Times New Roman" w:hAnsi="Times New Roman" w:cs="Times New Roman"/>
          <w:i/>
          <w:sz w:val="20"/>
          <w:szCs w:val="16"/>
          <w:lang w:val="ro-RO"/>
        </w:rPr>
        <w:t xml:space="preserve">; </w:t>
      </w:r>
    </w:p>
    <w:p w14:paraId="69F7EBB0" w14:textId="77777777" w:rsidR="00BA083C" w:rsidRPr="009C5F11" w:rsidRDefault="00BA083C" w:rsidP="00BA083C">
      <w:pPr>
        <w:spacing w:before="120" w:after="120" w:line="240" w:lineRule="auto"/>
        <w:ind w:left="1416"/>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c) </w:t>
      </w:r>
      <w:r w:rsidRPr="009C5F11">
        <w:rPr>
          <w:rFonts w:ascii="Times New Roman" w:eastAsia="Times New Roman" w:hAnsi="Times New Roman" w:cs="Times New Roman"/>
          <w:i/>
          <w:color w:val="000000"/>
          <w:sz w:val="20"/>
          <w:szCs w:val="16"/>
          <w:lang w:val="ro-RO"/>
        </w:rPr>
        <w:t>concluzii şi recomandări pentru îmbunătăţirea fezabilă, din punctul de vedere al costurilor, a sistemului de încălzire inspectat</w:t>
      </w:r>
      <w:r w:rsidRPr="009C5F11">
        <w:rPr>
          <w:rFonts w:ascii="Times New Roman" w:hAnsi="Times New Roman" w:cs="Times New Roman"/>
          <w:i/>
          <w:sz w:val="20"/>
          <w:szCs w:val="16"/>
          <w:u w:val="single"/>
          <w:lang w:val="ro-RO"/>
        </w:rPr>
        <w:t>;</w:t>
      </w:r>
      <w:r w:rsidRPr="009C5F11">
        <w:rPr>
          <w:rFonts w:ascii="Times New Roman" w:hAnsi="Times New Roman" w:cs="Times New Roman"/>
          <w:i/>
          <w:sz w:val="20"/>
          <w:szCs w:val="16"/>
          <w:lang w:val="ro-RO"/>
        </w:rPr>
        <w:t xml:space="preserve"> </w:t>
      </w:r>
    </w:p>
    <w:p w14:paraId="6719A583" w14:textId="77777777" w:rsidR="00BA083C" w:rsidRPr="009C5F11" w:rsidRDefault="00BA083C" w:rsidP="00BA083C">
      <w:pPr>
        <w:spacing w:before="120" w:after="120" w:line="240" w:lineRule="auto"/>
        <w:ind w:left="1416"/>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lastRenderedPageBreak/>
        <w:t xml:space="preserve">d) </w:t>
      </w:r>
      <w:r w:rsidRPr="009C5F11">
        <w:rPr>
          <w:rFonts w:ascii="Times New Roman" w:eastAsia="Times New Roman" w:hAnsi="Times New Roman" w:cs="Times New Roman"/>
          <w:i/>
          <w:color w:val="000000"/>
          <w:sz w:val="20"/>
          <w:szCs w:val="16"/>
          <w:u w:val="single"/>
          <w:lang w:val="ro-RO"/>
        </w:rPr>
        <w:t>indicatorii economici ai măsurilor recomandate pentru îmbunătăţirea sistemului de încălzire inspectat</w:t>
      </w:r>
      <w:r w:rsidRPr="009C5F11">
        <w:rPr>
          <w:rFonts w:ascii="Times New Roman" w:hAnsi="Times New Roman" w:cs="Times New Roman"/>
          <w:i/>
          <w:sz w:val="20"/>
          <w:szCs w:val="16"/>
          <w:u w:val="single"/>
          <w:lang w:val="ro-RO"/>
        </w:rPr>
        <w:t>;</w:t>
      </w:r>
      <w:r w:rsidRPr="009C5F11">
        <w:rPr>
          <w:rFonts w:ascii="Times New Roman" w:hAnsi="Times New Roman" w:cs="Times New Roman"/>
          <w:i/>
          <w:sz w:val="20"/>
          <w:szCs w:val="16"/>
          <w:lang w:val="ro-RO"/>
        </w:rPr>
        <w:t xml:space="preserve"> </w:t>
      </w:r>
    </w:p>
    <w:p w14:paraId="5DEF85FA" w14:textId="77777777" w:rsidR="00BA083C" w:rsidRPr="009C5F11" w:rsidRDefault="00BA083C" w:rsidP="00BA083C">
      <w:pPr>
        <w:spacing w:before="120" w:after="120" w:line="240" w:lineRule="auto"/>
        <w:ind w:left="1416"/>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e) </w:t>
      </w:r>
      <w:r w:rsidRPr="009C5F11">
        <w:rPr>
          <w:rFonts w:ascii="Times New Roman" w:eastAsia="Times New Roman" w:hAnsi="Times New Roman" w:cs="Times New Roman"/>
          <w:i/>
          <w:color w:val="000000"/>
          <w:sz w:val="20"/>
          <w:szCs w:val="16"/>
          <w:u w:val="single"/>
          <w:lang w:val="ro-RO"/>
        </w:rPr>
        <w:t xml:space="preserve">informaţii suplimentare ce pot facilita implementarea </w:t>
      </w:r>
      <w:r w:rsidRPr="009C5F11">
        <w:rPr>
          <w:rFonts w:ascii="Times New Roman" w:eastAsia="Times New Roman" w:hAnsi="Times New Roman" w:cs="Times New Roman"/>
          <w:i/>
          <w:color w:val="000000"/>
          <w:sz w:val="20"/>
          <w:szCs w:val="16"/>
          <w:lang w:val="ro-RO"/>
        </w:rPr>
        <w:t>măsurilor recomandate pentru îmbunătăţirea sistemului de încălzire inspectat</w:t>
      </w:r>
      <w:r w:rsidRPr="009C5F11">
        <w:rPr>
          <w:rFonts w:ascii="Times New Roman" w:hAnsi="Times New Roman" w:cs="Times New Roman"/>
          <w:i/>
          <w:sz w:val="20"/>
          <w:szCs w:val="16"/>
          <w:lang w:val="ro-RO"/>
        </w:rPr>
        <w:t>.</w:t>
      </w:r>
    </w:p>
    <w:p w14:paraId="48F3BD88" w14:textId="77777777" w:rsidR="00BA083C" w:rsidRPr="009C5F11" w:rsidRDefault="00BA083C" w:rsidP="00BA083C">
      <w:pPr>
        <w:spacing w:before="120" w:after="120" w:line="240" w:lineRule="auto"/>
        <w:ind w:left="708"/>
        <w:jc w:val="both"/>
        <w:textAlignment w:val="baseline"/>
        <w:rPr>
          <w:rFonts w:ascii="Times New Roman" w:hAnsi="Times New Roman" w:cs="Times New Roman"/>
          <w:b/>
          <w:i/>
          <w:szCs w:val="18"/>
          <w:lang w:val="ro-RO"/>
        </w:rPr>
      </w:pPr>
      <w:bookmarkStart w:id="302" w:name="_Toc319555423"/>
    </w:p>
    <w:p w14:paraId="49BAF1F5" w14:textId="77777777" w:rsidR="00BA083C" w:rsidRPr="009C5F11" w:rsidRDefault="00BA083C" w:rsidP="00BA083C">
      <w:pPr>
        <w:spacing w:before="120" w:after="120" w:line="240" w:lineRule="auto"/>
        <w:ind w:left="708"/>
        <w:jc w:val="both"/>
        <w:textAlignment w:val="baseline"/>
        <w:rPr>
          <w:rFonts w:ascii="Times New Roman" w:hAnsi="Times New Roman" w:cs="Times New Roman"/>
          <w:b/>
          <w:i/>
          <w:szCs w:val="18"/>
          <w:lang w:val="ro-RO"/>
        </w:rPr>
      </w:pPr>
      <w:r w:rsidRPr="009C5F11">
        <w:rPr>
          <w:rFonts w:ascii="Times New Roman" w:hAnsi="Times New Roman" w:cs="Times New Roman"/>
          <w:b/>
          <w:i/>
          <w:szCs w:val="18"/>
          <w:lang w:val="ro-RO"/>
        </w:rPr>
        <w:t xml:space="preserve">Capitolul VI - </w:t>
      </w:r>
      <w:r w:rsidRPr="009C5F11">
        <w:rPr>
          <w:rFonts w:ascii="Times New Roman" w:eastAsia="Times New Roman" w:hAnsi="Times New Roman" w:cs="Times New Roman"/>
          <w:b/>
          <w:bCs/>
          <w:i/>
          <w:color w:val="000000"/>
          <w:szCs w:val="18"/>
          <w:lang w:val="ro-RO"/>
        </w:rPr>
        <w:t>Inspecţia periodică a sistemelor de climatizare</w:t>
      </w:r>
      <w:r w:rsidRPr="009C5F11">
        <w:rPr>
          <w:rFonts w:ascii="Times New Roman" w:hAnsi="Times New Roman" w:cs="Times New Roman"/>
          <w:b/>
          <w:i/>
          <w:szCs w:val="18"/>
          <w:lang w:val="ro-RO"/>
        </w:rPr>
        <w:t xml:space="preserve"> şi </w:t>
      </w:r>
      <w:r w:rsidRPr="009C5F11">
        <w:rPr>
          <w:rFonts w:ascii="Times New Roman" w:eastAsia="Times New Roman" w:hAnsi="Times New Roman" w:cs="Times New Roman"/>
          <w:b/>
          <w:i/>
          <w:color w:val="000000"/>
          <w:szCs w:val="18"/>
          <w:lang w:val="ro-RO"/>
        </w:rPr>
        <w:t>raportul de inspecţie periodică a sistemului de climatizare</w:t>
      </w:r>
      <w:r w:rsidRPr="009C5F11">
        <w:rPr>
          <w:rFonts w:ascii="Times New Roman" w:hAnsi="Times New Roman" w:cs="Times New Roman"/>
          <w:b/>
          <w:i/>
          <w:szCs w:val="18"/>
          <w:lang w:val="ro-RO"/>
        </w:rPr>
        <w:t xml:space="preserve"> </w:t>
      </w:r>
      <w:bookmarkEnd w:id="302"/>
    </w:p>
    <w:p w14:paraId="23E11EE5"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u w:val="single"/>
          <w:lang w:val="ro-RO"/>
        </w:rPr>
      </w:pPr>
      <w:r w:rsidRPr="009C5F11">
        <w:rPr>
          <w:rFonts w:ascii="Times New Roman" w:hAnsi="Times New Roman" w:cs="Times New Roman"/>
          <w:i/>
          <w:szCs w:val="18"/>
          <w:u w:val="single"/>
          <w:lang w:val="ro-RO"/>
        </w:rPr>
        <w:t xml:space="preserve">Articolul 25. </w:t>
      </w:r>
      <w:r w:rsidRPr="009C5F11">
        <w:rPr>
          <w:rFonts w:ascii="Times New Roman" w:eastAsia="Times New Roman" w:hAnsi="Times New Roman" w:cs="Times New Roman"/>
          <w:i/>
          <w:color w:val="000000"/>
          <w:szCs w:val="18"/>
          <w:u w:val="single"/>
          <w:lang w:val="ro-RO"/>
        </w:rPr>
        <w:t>Inspecţia periodică a sistemelor de climatizare</w:t>
      </w:r>
      <w:r w:rsidRPr="009C5F11">
        <w:rPr>
          <w:rFonts w:ascii="Times New Roman" w:eastAsia="Times New Roman" w:hAnsi="Times New Roman" w:cs="Times New Roman"/>
          <w:i/>
          <w:color w:val="000000"/>
          <w:szCs w:val="18"/>
          <w:lang w:val="ro-RO"/>
        </w:rPr>
        <w:t xml:space="preserve"> </w:t>
      </w:r>
    </w:p>
    <w:p w14:paraId="0E6AF755"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(1) </w:t>
      </w:r>
      <w:r w:rsidRPr="009C5F11">
        <w:rPr>
          <w:rFonts w:ascii="Times New Roman" w:eastAsia="Times New Roman" w:hAnsi="Times New Roman" w:cs="Times New Roman"/>
          <w:i/>
          <w:color w:val="000000"/>
          <w:szCs w:val="18"/>
          <w:lang w:val="ro-RO"/>
        </w:rPr>
        <w:t>Sistemele de climatizare cu o putere nominală utilă mai mare de 12 kW se supun unei inspecţii periodice</w:t>
      </w:r>
      <w:r w:rsidRPr="009C5F11">
        <w:rPr>
          <w:rFonts w:ascii="Times New Roman" w:hAnsi="Times New Roman" w:cs="Times New Roman"/>
          <w:i/>
          <w:szCs w:val="18"/>
          <w:lang w:val="ro-RO"/>
        </w:rPr>
        <w:t>.</w:t>
      </w:r>
    </w:p>
    <w:p w14:paraId="389F3DF0"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 (3) </w:t>
      </w:r>
      <w:r w:rsidRPr="009C5F11">
        <w:rPr>
          <w:rFonts w:ascii="Times New Roman" w:eastAsia="Times New Roman" w:hAnsi="Times New Roman" w:cs="Times New Roman"/>
          <w:i/>
          <w:color w:val="000000"/>
          <w:szCs w:val="18"/>
          <w:lang w:val="ro-RO"/>
        </w:rPr>
        <w:t>Periodicitatea şi modul de efectuare a inspecţiilor periodice ale sistemelor de climatizare se stabilesc de către Guvern, în funcţie de categoria clădirii, de tipul şi puterea nominală utilă a sistemului de climatizare şi de alte condiţii, ținând cont de costurile de inspecţie şi de valoarea economiilor de energie estimate care ar putea rezulta din inspecţie.</w:t>
      </w:r>
    </w:p>
    <w:p w14:paraId="5017F3A8"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u w:val="single"/>
          <w:lang w:val="ro-RO"/>
        </w:rPr>
      </w:pPr>
      <w:r w:rsidRPr="009C5F11">
        <w:rPr>
          <w:rFonts w:ascii="Times New Roman" w:hAnsi="Times New Roman" w:cs="Times New Roman"/>
          <w:i/>
          <w:szCs w:val="18"/>
          <w:u w:val="single"/>
          <w:lang w:val="ro-RO"/>
        </w:rPr>
        <w:t xml:space="preserve">Articolul 26. </w:t>
      </w:r>
      <w:r w:rsidRPr="009C5F11">
        <w:rPr>
          <w:rFonts w:ascii="Times New Roman" w:eastAsia="Times New Roman" w:hAnsi="Times New Roman" w:cs="Times New Roman"/>
          <w:i/>
          <w:color w:val="000000"/>
          <w:szCs w:val="18"/>
          <w:u w:val="single"/>
          <w:lang w:val="ro-RO"/>
        </w:rPr>
        <w:t>Raportul de inspecţie periodică  a sistemului de climatizare</w:t>
      </w:r>
    </w:p>
    <w:p w14:paraId="41EB5B35"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(1) </w:t>
      </w:r>
      <w:r w:rsidRPr="009C5F11">
        <w:rPr>
          <w:rFonts w:ascii="Times New Roman" w:eastAsia="Times New Roman" w:hAnsi="Times New Roman" w:cs="Times New Roman"/>
          <w:i/>
          <w:color w:val="000000"/>
          <w:szCs w:val="18"/>
          <w:lang w:val="ro-RO"/>
        </w:rPr>
        <w:t>La efectuarea unei inspecţii periodice a sistemului de climatizare, inspectorul sistemelor de climatizare va întocmi un raport în scris</w:t>
      </w:r>
      <w:r w:rsidRPr="009C5F11">
        <w:rPr>
          <w:rFonts w:ascii="Times New Roman" w:hAnsi="Times New Roman" w:cs="Times New Roman"/>
          <w:i/>
          <w:szCs w:val="18"/>
          <w:lang w:val="ro-RO"/>
        </w:rPr>
        <w:t>.</w:t>
      </w:r>
    </w:p>
    <w:p w14:paraId="7D16DEA9"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(2) </w:t>
      </w:r>
      <w:r w:rsidRPr="009C5F11">
        <w:rPr>
          <w:rFonts w:ascii="Times New Roman" w:eastAsia="Times New Roman" w:hAnsi="Times New Roman" w:cs="Times New Roman"/>
          <w:i/>
          <w:color w:val="000000"/>
          <w:szCs w:val="18"/>
          <w:lang w:val="ro-RO"/>
        </w:rPr>
        <w:t>Raportul de inspecţie periodică a sistemului de climatizare include</w:t>
      </w:r>
      <w:r w:rsidRPr="009C5F11">
        <w:rPr>
          <w:rFonts w:ascii="Times New Roman" w:hAnsi="Times New Roman" w:cs="Times New Roman"/>
          <w:i/>
          <w:szCs w:val="18"/>
          <w:lang w:val="ro-RO"/>
        </w:rPr>
        <w:t>:</w:t>
      </w:r>
    </w:p>
    <w:p w14:paraId="7168F480"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 w:val="20"/>
          <w:szCs w:val="16"/>
          <w:lang w:val="ro-RO"/>
        </w:rPr>
      </w:pPr>
      <w:r w:rsidRPr="009C5F11">
        <w:rPr>
          <w:rFonts w:ascii="Times New Roman" w:hAnsi="Times New Roman" w:cs="Times New Roman"/>
          <w:i/>
          <w:szCs w:val="18"/>
          <w:lang w:val="ro-RO"/>
        </w:rPr>
        <w:t>…..</w:t>
      </w:r>
    </w:p>
    <w:p w14:paraId="6278BD1F" w14:textId="77777777" w:rsidR="00BA083C" w:rsidRPr="009C5F11" w:rsidRDefault="00BA083C" w:rsidP="00BA083C">
      <w:pPr>
        <w:spacing w:before="120" w:after="120" w:line="240" w:lineRule="auto"/>
        <w:ind w:left="1416"/>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b) </w:t>
      </w:r>
      <w:r w:rsidRPr="009C5F11">
        <w:rPr>
          <w:rFonts w:ascii="Times New Roman" w:eastAsia="Times New Roman" w:hAnsi="Times New Roman" w:cs="Times New Roman"/>
          <w:i/>
          <w:color w:val="000000"/>
          <w:sz w:val="20"/>
          <w:szCs w:val="16"/>
          <w:lang w:val="ro-RO"/>
        </w:rPr>
        <w:t>evaluarea randamentului şi a dimensionării sistemului de climatizare în raport cu necesităţile de răcire ale clădirii, precum şi alte date tehnice utilizate pentru întocmirea raportului</w:t>
      </w:r>
      <w:r w:rsidRPr="009C5F11">
        <w:rPr>
          <w:rFonts w:ascii="Times New Roman" w:hAnsi="Times New Roman" w:cs="Times New Roman"/>
          <w:i/>
          <w:sz w:val="20"/>
          <w:szCs w:val="16"/>
          <w:lang w:val="ro-RO"/>
        </w:rPr>
        <w:t>;</w:t>
      </w:r>
    </w:p>
    <w:p w14:paraId="4CFC3A62" w14:textId="77777777" w:rsidR="00BA083C" w:rsidRPr="009C5F11" w:rsidRDefault="00BA083C" w:rsidP="00BA083C">
      <w:pPr>
        <w:spacing w:before="120" w:after="120" w:line="240" w:lineRule="auto"/>
        <w:ind w:left="1416"/>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c) </w:t>
      </w:r>
      <w:r w:rsidRPr="009C5F11">
        <w:rPr>
          <w:rFonts w:ascii="Times New Roman" w:eastAsia="Times New Roman" w:hAnsi="Times New Roman" w:cs="Times New Roman"/>
          <w:i/>
          <w:color w:val="000000"/>
          <w:sz w:val="20"/>
          <w:szCs w:val="16"/>
          <w:lang w:val="ro-RO"/>
        </w:rPr>
        <w:t>concluzii şi recomandări pentru îmbunătăţirea fezabilă, din punctul de vedere al costurilor, a sistemului de climatizare inspectat</w:t>
      </w:r>
      <w:r w:rsidRPr="009C5F11">
        <w:rPr>
          <w:rFonts w:ascii="Times New Roman" w:hAnsi="Times New Roman" w:cs="Times New Roman"/>
          <w:i/>
          <w:sz w:val="20"/>
          <w:szCs w:val="16"/>
          <w:lang w:val="ro-RO"/>
        </w:rPr>
        <w:t>;</w:t>
      </w:r>
    </w:p>
    <w:p w14:paraId="03589F91" w14:textId="77777777" w:rsidR="00BA083C" w:rsidRPr="009C5F11" w:rsidRDefault="00BA083C" w:rsidP="00BA083C">
      <w:pPr>
        <w:spacing w:before="120" w:after="120" w:line="240" w:lineRule="auto"/>
        <w:ind w:left="1416"/>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d) </w:t>
      </w:r>
      <w:r w:rsidRPr="009C5F11">
        <w:rPr>
          <w:rFonts w:ascii="Times New Roman" w:eastAsia="Times New Roman" w:hAnsi="Times New Roman" w:cs="Times New Roman"/>
          <w:i/>
          <w:color w:val="000000"/>
          <w:sz w:val="20"/>
          <w:szCs w:val="16"/>
          <w:lang w:val="ro-RO"/>
        </w:rPr>
        <w:t>indicatorii economici ai măsurilor recomandate pentru îmbunătăţirea sistemului de climatizare inspectat</w:t>
      </w:r>
      <w:r w:rsidRPr="009C5F11">
        <w:rPr>
          <w:rFonts w:ascii="Times New Roman" w:hAnsi="Times New Roman" w:cs="Times New Roman"/>
          <w:i/>
          <w:sz w:val="20"/>
          <w:szCs w:val="16"/>
          <w:lang w:val="ro-RO"/>
        </w:rPr>
        <w:t>;</w:t>
      </w:r>
    </w:p>
    <w:p w14:paraId="79EE289B" w14:textId="77777777" w:rsidR="00BA083C" w:rsidRPr="009C5F11" w:rsidRDefault="00BA083C" w:rsidP="00BA083C">
      <w:pPr>
        <w:spacing w:before="120" w:after="120" w:line="240" w:lineRule="auto"/>
        <w:ind w:left="1416"/>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e) </w:t>
      </w:r>
      <w:r w:rsidRPr="009C5F11">
        <w:rPr>
          <w:rFonts w:ascii="Times New Roman" w:eastAsia="Times New Roman" w:hAnsi="Times New Roman" w:cs="Times New Roman"/>
          <w:i/>
          <w:color w:val="000000"/>
          <w:sz w:val="20"/>
          <w:szCs w:val="16"/>
          <w:lang w:val="ro-RO"/>
        </w:rPr>
        <w:t>informaţii suplimentare ce pot facilita implementarea măsurilor recomandate pentru îmbunătăţirea sistemului de climatizare inspectat</w:t>
      </w:r>
      <w:r w:rsidRPr="009C5F11">
        <w:rPr>
          <w:rFonts w:ascii="Times New Roman" w:hAnsi="Times New Roman" w:cs="Times New Roman"/>
          <w:i/>
          <w:sz w:val="20"/>
          <w:szCs w:val="16"/>
          <w:lang w:val="ro-RO"/>
        </w:rPr>
        <w:t>.</w:t>
      </w:r>
    </w:p>
    <w:p w14:paraId="62352BB8" w14:textId="77777777" w:rsidR="0057041E" w:rsidRPr="009C5F11" w:rsidRDefault="00BA083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ceea ce priveşte implementarea dispoziţiilor Legii, merită de menţionat că regulamentul cu privire la efectuarea inspecţiilor periodice a cazanelor şi sistemelor de încălzire din clădiri este actualmente supus procedurii de aprobare.</w:t>
      </w:r>
    </w:p>
    <w:p w14:paraId="6ED7E1E4" w14:textId="77777777" w:rsidR="0057041E" w:rsidRPr="009C5F11" w:rsidRDefault="00BA083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Regulamentul cu privire la efectuarea inspecţiilor periodice a cazanelor şi sistemelor de încălzire din clădiri a fost elaborat în temeiul art. 23 din Legea nr. 128 din 11.07.2014 privind performanţa energetică a clădirilor.</w:t>
      </w:r>
    </w:p>
    <w:p w14:paraId="2D63F23F" w14:textId="6B01E375" w:rsidR="00BA083C" w:rsidRPr="009C5F11" w:rsidRDefault="00BA083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Suplimentar consultărilor/recomandărilor oferite în procesul de întocmire a rapoartelor de inspecţie periodică, Agenţia pentru Eficienţă Energetică oferă asistenţă tehnică companiilor pe aspecte ce ţin de eficienţa energetică (inclusiv modele, proceduri, contacte, reţele, informaţii despre finanţare, linia fierbinte) companiilor în scopul reducerii costurilor energetice (inclusiv posibilităţile de finanţare, calculatoare pentru consumatorii finali) pentru gospodării casnice private şi consumatori finali.</w:t>
      </w:r>
    </w:p>
    <w:p w14:paraId="6E513878" w14:textId="77777777" w:rsidR="00BA083C" w:rsidRPr="009C5F11" w:rsidRDefault="00BA083C" w:rsidP="00BA083C">
      <w:pPr>
        <w:spacing w:before="120" w:after="120"/>
        <w:jc w:val="both"/>
        <w:rPr>
          <w:rFonts w:ascii="Times New Roman" w:hAnsi="Times New Roman" w:cs="Times New Roman"/>
          <w:sz w:val="24"/>
          <w:lang w:val="ro-RO"/>
        </w:rPr>
      </w:pPr>
      <w:r w:rsidRPr="009C5F11">
        <w:rPr>
          <w:rFonts w:ascii="Times New Roman" w:hAnsi="Times New Roman" w:cs="Times New Roman"/>
          <w:sz w:val="24"/>
          <w:lang w:val="ro-RO"/>
        </w:rPr>
        <w:br w:type="page"/>
      </w:r>
    </w:p>
    <w:p w14:paraId="3CF04EC7" w14:textId="77777777" w:rsidR="00BA083C" w:rsidRPr="00D9464A" w:rsidRDefault="00BA083C" w:rsidP="00BA083C">
      <w:pPr>
        <w:pStyle w:val="Titlu2"/>
        <w:rPr>
          <w:rFonts w:ascii="Times New Roman" w:hAnsi="Times New Roman" w:cs="Times New Roman"/>
          <w:color w:val="000000" w:themeColor="text1"/>
          <w:sz w:val="28"/>
          <w:lang w:val="ro-RO"/>
        </w:rPr>
      </w:pPr>
      <w:bookmarkStart w:id="303" w:name="_Toc322013186"/>
      <w:bookmarkStart w:id="304" w:name="_Toc274298547"/>
      <w:bookmarkStart w:id="305" w:name="_Toc274304042"/>
      <w:bookmarkStart w:id="306" w:name="_Ref275791898"/>
      <w:bookmarkStart w:id="307" w:name="_Toc319555424"/>
      <w:r w:rsidRPr="00D9464A">
        <w:rPr>
          <w:rFonts w:ascii="Times New Roman" w:hAnsi="Times New Roman" w:cs="Times New Roman"/>
          <w:color w:val="000000" w:themeColor="text1"/>
          <w:sz w:val="28"/>
          <w:lang w:val="ro-RO"/>
        </w:rPr>
        <w:lastRenderedPageBreak/>
        <w:t>Măsuri de susţinere a implementării DPEC</w:t>
      </w:r>
      <w:bookmarkEnd w:id="303"/>
      <w:r w:rsidRPr="00D9464A">
        <w:rPr>
          <w:rFonts w:ascii="Times New Roman" w:hAnsi="Times New Roman" w:cs="Times New Roman"/>
          <w:color w:val="000000" w:themeColor="text1"/>
          <w:sz w:val="28"/>
          <w:lang w:val="ro-RO"/>
        </w:rPr>
        <w:t xml:space="preserve"> </w:t>
      </w:r>
      <w:bookmarkEnd w:id="304"/>
      <w:bookmarkEnd w:id="305"/>
      <w:bookmarkEnd w:id="306"/>
      <w:bookmarkEnd w:id="307"/>
    </w:p>
    <w:p w14:paraId="6A0AF372" w14:textId="41D827A4" w:rsidR="00BA083C" w:rsidRPr="009C5F11" w:rsidRDefault="00BA083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Legea nr.128 of 07.11.2014 privind performanţa energetică a clădirilor introduce obligaţia pentru Guvern de a stabili şi implementa măsuri şi instrumente financiare:</w:t>
      </w:r>
    </w:p>
    <w:p w14:paraId="412A3D5F" w14:textId="77777777" w:rsidR="00BA083C" w:rsidRPr="009C5F11" w:rsidRDefault="00BA083C" w:rsidP="00BA083C">
      <w:pPr>
        <w:spacing w:before="120" w:after="120" w:line="240" w:lineRule="auto"/>
        <w:ind w:left="708"/>
        <w:jc w:val="both"/>
        <w:textAlignment w:val="baseline"/>
        <w:rPr>
          <w:rFonts w:ascii="Times New Roman" w:hAnsi="Times New Roman" w:cs="Times New Roman"/>
          <w:b/>
          <w:i/>
          <w:szCs w:val="18"/>
          <w:lang w:val="ro-RO"/>
        </w:rPr>
      </w:pPr>
      <w:r w:rsidRPr="009C5F11">
        <w:rPr>
          <w:rFonts w:ascii="Times New Roman" w:hAnsi="Times New Roman" w:cs="Times New Roman"/>
          <w:b/>
          <w:i/>
          <w:szCs w:val="18"/>
          <w:lang w:val="ro-RO"/>
        </w:rPr>
        <w:t xml:space="preserve">Capitolul X. </w:t>
      </w:r>
      <w:r w:rsidRPr="009C5F11">
        <w:rPr>
          <w:rFonts w:ascii="Times New Roman" w:eastAsia="Times New Roman" w:hAnsi="Times New Roman" w:cs="Times New Roman"/>
          <w:b/>
          <w:bCs/>
          <w:i/>
          <w:color w:val="000000"/>
          <w:szCs w:val="18"/>
          <w:lang w:val="ro-RO"/>
        </w:rPr>
        <w:t>Promovarea îmbunătăţirii performanţei energetice a clădirilor</w:t>
      </w:r>
    </w:p>
    <w:p w14:paraId="0C814101"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u w:val="single"/>
          <w:lang w:val="ro-RO"/>
        </w:rPr>
      </w:pPr>
      <w:r w:rsidRPr="009C5F11">
        <w:rPr>
          <w:rFonts w:ascii="Times New Roman" w:hAnsi="Times New Roman" w:cs="Times New Roman"/>
          <w:i/>
          <w:szCs w:val="18"/>
          <w:u w:val="single"/>
          <w:lang w:val="ro-RO"/>
        </w:rPr>
        <w:t xml:space="preserve">Art. 34. </w:t>
      </w:r>
      <w:r w:rsidRPr="009C5F11">
        <w:rPr>
          <w:rFonts w:ascii="Times New Roman" w:eastAsia="Times New Roman" w:hAnsi="Times New Roman" w:cs="Times New Roman"/>
          <w:i/>
          <w:color w:val="000000"/>
          <w:szCs w:val="18"/>
          <w:u w:val="single"/>
          <w:lang w:val="ro-RO"/>
        </w:rPr>
        <w:t>Stimulente financiare pentru promovarea îmbunătăţirii performanţei energetice a clădirilor</w:t>
      </w:r>
    </w:p>
    <w:p w14:paraId="55A76E85"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(1) </w:t>
      </w:r>
      <w:r w:rsidRPr="009C5F11">
        <w:rPr>
          <w:rFonts w:ascii="Times New Roman" w:eastAsia="Times New Roman" w:hAnsi="Times New Roman" w:cs="Times New Roman"/>
          <w:i/>
          <w:color w:val="000000"/>
          <w:szCs w:val="18"/>
          <w:lang w:val="ro-RO"/>
        </w:rPr>
        <w:t>Guvernul asigură elaborarea şi implementarea programelor şi a planurilor de acţiuni naţionale privind îmbunătăţirea performanţei energetice a clădirilor</w:t>
      </w:r>
      <w:r w:rsidRPr="009C5F11">
        <w:rPr>
          <w:rFonts w:ascii="Times New Roman" w:hAnsi="Times New Roman" w:cs="Times New Roman"/>
          <w:i/>
          <w:szCs w:val="18"/>
          <w:lang w:val="ro-RO"/>
        </w:rPr>
        <w:t>.</w:t>
      </w:r>
    </w:p>
    <w:p w14:paraId="1347D623"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(2) </w:t>
      </w:r>
      <w:r w:rsidRPr="009C5F11">
        <w:rPr>
          <w:rFonts w:ascii="Times New Roman" w:eastAsia="Times New Roman" w:hAnsi="Times New Roman" w:cs="Times New Roman"/>
          <w:i/>
          <w:color w:val="000000"/>
          <w:szCs w:val="18"/>
          <w:lang w:val="ro-RO"/>
        </w:rPr>
        <w:t>Guvernul stabileşte şi implementează stimulente financiare pentru</w:t>
      </w:r>
      <w:r w:rsidRPr="009C5F11">
        <w:rPr>
          <w:rFonts w:ascii="Times New Roman" w:hAnsi="Times New Roman" w:cs="Times New Roman"/>
          <w:i/>
          <w:szCs w:val="18"/>
          <w:lang w:val="ro-RO"/>
        </w:rPr>
        <w:t>:</w:t>
      </w:r>
    </w:p>
    <w:p w14:paraId="45EEACD2" w14:textId="77777777" w:rsidR="00BA083C" w:rsidRPr="009C5F11" w:rsidRDefault="00BA083C" w:rsidP="00BA083C">
      <w:pPr>
        <w:spacing w:before="120" w:after="120" w:line="240" w:lineRule="auto"/>
        <w:ind w:left="1416"/>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(a) </w:t>
      </w:r>
      <w:r w:rsidRPr="009C5F11">
        <w:rPr>
          <w:rFonts w:ascii="Times New Roman" w:eastAsia="Times New Roman" w:hAnsi="Times New Roman" w:cs="Times New Roman"/>
          <w:i/>
          <w:color w:val="000000"/>
          <w:sz w:val="20"/>
          <w:szCs w:val="16"/>
          <w:lang w:val="ro-RO"/>
        </w:rPr>
        <w:t>realizarea măsurilor de îmbunătăţire a performanţei energetice a clădirilor existente, a unităţilor şi elementelor acestora;</w:t>
      </w:r>
    </w:p>
    <w:p w14:paraId="7068BF4A" w14:textId="77777777" w:rsidR="00BA083C" w:rsidRPr="009C5F11" w:rsidRDefault="00BA083C" w:rsidP="00BA083C">
      <w:pPr>
        <w:spacing w:before="120" w:after="120" w:line="240" w:lineRule="auto"/>
        <w:ind w:left="1416"/>
        <w:jc w:val="both"/>
        <w:textAlignment w:val="baseline"/>
        <w:rPr>
          <w:rFonts w:ascii="Times New Roman" w:hAnsi="Times New Roman" w:cs="Times New Roman"/>
          <w:i/>
          <w:sz w:val="20"/>
          <w:szCs w:val="16"/>
          <w:lang w:val="ro-RO"/>
        </w:rPr>
      </w:pPr>
      <w:r w:rsidRPr="009C5F11">
        <w:rPr>
          <w:rFonts w:ascii="Times New Roman" w:hAnsi="Times New Roman" w:cs="Times New Roman"/>
          <w:i/>
          <w:sz w:val="20"/>
          <w:szCs w:val="16"/>
          <w:lang w:val="ro-RO"/>
        </w:rPr>
        <w:t xml:space="preserve">(b) </w:t>
      </w:r>
      <w:r w:rsidRPr="009C5F11">
        <w:rPr>
          <w:rFonts w:ascii="Times New Roman" w:eastAsia="Times New Roman" w:hAnsi="Times New Roman" w:cs="Times New Roman"/>
          <w:i/>
          <w:color w:val="000000"/>
          <w:sz w:val="20"/>
          <w:szCs w:val="16"/>
          <w:lang w:val="ro-RO"/>
        </w:rPr>
        <w:t>promovarea construcţiei clădirilor noi al căror consum de energie este aproape egal cu zero şi promovarea transformării clădirilor existente în clădiri al căror consum de energie este aproape egal cu zero.</w:t>
      </w:r>
    </w:p>
    <w:p w14:paraId="7D7F7343" w14:textId="77777777" w:rsidR="00BA083C" w:rsidRPr="009C5F11" w:rsidRDefault="00BA083C" w:rsidP="00BA083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(3) </w:t>
      </w:r>
      <w:r w:rsidRPr="009C5F11">
        <w:rPr>
          <w:rFonts w:ascii="Times New Roman" w:eastAsia="Times New Roman" w:hAnsi="Times New Roman" w:cs="Times New Roman"/>
          <w:i/>
          <w:color w:val="000000"/>
          <w:szCs w:val="18"/>
          <w:lang w:val="ro-RO"/>
        </w:rPr>
        <w:t>Guvernul stabileşte măsuri de susţinere a păturilor social vulnerabile de populaţie la obţinerea certificatului energetic al clădirii.</w:t>
      </w:r>
    </w:p>
    <w:p w14:paraId="1D75DB6F" w14:textId="77777777" w:rsidR="00BA083C" w:rsidRPr="009C5F11" w:rsidRDefault="00BA083C" w:rsidP="00BA083C">
      <w:pPr>
        <w:rPr>
          <w:rFonts w:ascii="Times New Roman" w:hAnsi="Times New Roman" w:cs="Times New Roman"/>
          <w:sz w:val="24"/>
          <w:lang w:val="ro-RO"/>
        </w:rPr>
      </w:pPr>
    </w:p>
    <w:p w14:paraId="4D70022C" w14:textId="77777777" w:rsidR="00BC2ED4" w:rsidRPr="009C5F11" w:rsidRDefault="00BC2ED4" w:rsidP="00B9227B">
      <w:pPr>
        <w:spacing w:before="120" w:after="120"/>
        <w:jc w:val="both"/>
        <w:rPr>
          <w:rFonts w:ascii="Times New Roman" w:hAnsi="Times New Roman" w:cs="Times New Roman"/>
          <w:sz w:val="24"/>
          <w:lang w:val="ro-RO"/>
        </w:rPr>
        <w:sectPr w:rsidR="00BC2ED4" w:rsidRPr="009C5F11" w:rsidSect="00430626">
          <w:pgSz w:w="11907" w:h="16840" w:code="9"/>
          <w:pgMar w:top="1440" w:right="1440" w:bottom="1440" w:left="1440" w:header="720" w:footer="720" w:gutter="0"/>
          <w:cols w:space="720"/>
          <w:docGrid w:linePitch="360"/>
        </w:sectPr>
      </w:pPr>
    </w:p>
    <w:p w14:paraId="5D102B73" w14:textId="77777777" w:rsidR="00B9227B" w:rsidRPr="00D9464A" w:rsidRDefault="00117177" w:rsidP="000B58E9">
      <w:pPr>
        <w:pStyle w:val="Titlu1"/>
        <w:rPr>
          <w:rFonts w:ascii="Times New Roman" w:hAnsi="Times New Roman" w:cs="Times New Roman"/>
          <w:color w:val="000000" w:themeColor="text1"/>
          <w:sz w:val="32"/>
          <w:lang w:val="ro-RO"/>
        </w:rPr>
      </w:pPr>
      <w:bookmarkStart w:id="308" w:name="_Toc322013187"/>
      <w:r w:rsidRPr="00D9464A">
        <w:rPr>
          <w:rFonts w:ascii="Times New Roman" w:hAnsi="Times New Roman" w:cs="Times New Roman"/>
          <w:color w:val="000000" w:themeColor="text1"/>
          <w:sz w:val="32"/>
          <w:lang w:val="ro-RO"/>
        </w:rPr>
        <w:lastRenderedPageBreak/>
        <w:t>MĂSURI DE POLITIC</w:t>
      </w:r>
      <w:r w:rsidR="000B58E9" w:rsidRPr="00D9464A">
        <w:rPr>
          <w:rFonts w:ascii="Times New Roman" w:hAnsi="Times New Roman" w:cs="Times New Roman"/>
          <w:noProof w:val="0"/>
          <w:color w:val="000000" w:themeColor="text1"/>
          <w:sz w:val="32"/>
          <w:lang w:val="ro-RO"/>
        </w:rPr>
        <w:t>Ă</w:t>
      </w:r>
      <w:r w:rsidRPr="00D9464A">
        <w:rPr>
          <w:rFonts w:ascii="Times New Roman" w:hAnsi="Times New Roman" w:cs="Times New Roman"/>
          <w:color w:val="000000" w:themeColor="text1"/>
          <w:sz w:val="32"/>
          <w:lang w:val="ro-RO"/>
        </w:rPr>
        <w:t xml:space="preserve"> PENTRU IMPLEMENTAREA </w:t>
      </w:r>
      <w:r w:rsidR="00CB011F" w:rsidRPr="00D9464A">
        <w:rPr>
          <w:rFonts w:ascii="Times New Roman" w:hAnsi="Times New Roman" w:cs="Times New Roman"/>
          <w:color w:val="000000" w:themeColor="text1"/>
          <w:sz w:val="32"/>
          <w:lang w:val="ro-RO"/>
        </w:rPr>
        <w:t>DEE</w:t>
      </w:r>
      <w:bookmarkEnd w:id="308"/>
    </w:p>
    <w:p w14:paraId="505FAFF8" w14:textId="77777777" w:rsidR="00B9227B" w:rsidRPr="00D9464A" w:rsidRDefault="00117177" w:rsidP="00B9227B">
      <w:pPr>
        <w:pStyle w:val="Titlu2"/>
        <w:rPr>
          <w:rFonts w:ascii="Times New Roman" w:hAnsi="Times New Roman" w:cs="Times New Roman"/>
          <w:color w:val="000000" w:themeColor="text1"/>
          <w:sz w:val="28"/>
          <w:lang w:val="ro-RO"/>
        </w:rPr>
      </w:pPr>
      <w:bookmarkStart w:id="309" w:name="_Toc322013188"/>
      <w:r w:rsidRPr="00D9464A">
        <w:rPr>
          <w:rFonts w:ascii="Times New Roman" w:hAnsi="Times New Roman" w:cs="Times New Roman"/>
          <w:color w:val="000000" w:themeColor="text1"/>
          <w:sz w:val="28"/>
          <w:lang w:val="ro-RO"/>
        </w:rPr>
        <w:t>M</w:t>
      </w:r>
      <w:r w:rsidR="00E10BE5" w:rsidRPr="00D9464A">
        <w:rPr>
          <w:rFonts w:ascii="Times New Roman" w:hAnsi="Times New Roman" w:cs="Times New Roman"/>
          <w:color w:val="000000" w:themeColor="text1"/>
          <w:sz w:val="28"/>
          <w:lang w:val="ro-RO"/>
        </w:rPr>
        <w:t>ăsuri</w:t>
      </w:r>
      <w:r w:rsidR="00321CD5" w:rsidRPr="00D9464A">
        <w:rPr>
          <w:rFonts w:ascii="Times New Roman" w:hAnsi="Times New Roman" w:cs="Times New Roman"/>
          <w:color w:val="000000" w:themeColor="text1"/>
          <w:sz w:val="28"/>
          <w:lang w:val="ro-RO"/>
        </w:rPr>
        <w:t xml:space="preserve"> </w:t>
      </w:r>
      <w:r w:rsidRPr="00D9464A">
        <w:rPr>
          <w:rFonts w:ascii="Times New Roman" w:hAnsi="Times New Roman" w:cs="Times New Roman"/>
          <w:color w:val="000000" w:themeColor="text1"/>
          <w:sz w:val="28"/>
          <w:lang w:val="ro-RO"/>
        </w:rPr>
        <w:t xml:space="preserve">legislative </w:t>
      </w:r>
      <w:r w:rsidR="00321CD5" w:rsidRPr="00D9464A">
        <w:rPr>
          <w:rFonts w:ascii="Times New Roman" w:hAnsi="Times New Roman" w:cs="Times New Roman"/>
          <w:color w:val="000000" w:themeColor="text1"/>
          <w:sz w:val="28"/>
          <w:lang w:val="ro-RO"/>
        </w:rPr>
        <w:t xml:space="preserve">şi </w:t>
      </w:r>
      <w:r w:rsidR="007F6775" w:rsidRPr="00D9464A">
        <w:rPr>
          <w:rFonts w:ascii="Times New Roman" w:hAnsi="Times New Roman" w:cs="Times New Roman"/>
          <w:color w:val="000000" w:themeColor="text1"/>
          <w:sz w:val="28"/>
          <w:lang w:val="ro-RO"/>
        </w:rPr>
        <w:t>raportarea</w:t>
      </w:r>
      <w:r w:rsidR="00B9227B" w:rsidRPr="00D9464A">
        <w:rPr>
          <w:rFonts w:ascii="Times New Roman" w:hAnsi="Times New Roman" w:cs="Times New Roman"/>
          <w:color w:val="000000" w:themeColor="text1"/>
          <w:sz w:val="28"/>
          <w:lang w:val="ro-RO"/>
        </w:rPr>
        <w:t xml:space="preserve"> </w:t>
      </w:r>
      <w:r w:rsidRPr="00D9464A">
        <w:rPr>
          <w:rFonts w:ascii="Times New Roman" w:hAnsi="Times New Roman" w:cs="Times New Roman"/>
          <w:color w:val="000000" w:themeColor="text1"/>
          <w:sz w:val="28"/>
          <w:lang w:val="ro-RO"/>
        </w:rPr>
        <w:t>privind obiectivul stabilit pe anul</w:t>
      </w:r>
      <w:r w:rsidR="00B9227B" w:rsidRPr="00D9464A">
        <w:rPr>
          <w:rFonts w:ascii="Times New Roman" w:hAnsi="Times New Roman" w:cs="Times New Roman"/>
          <w:color w:val="000000" w:themeColor="text1"/>
          <w:sz w:val="28"/>
          <w:lang w:val="ro-RO"/>
        </w:rPr>
        <w:t xml:space="preserve"> 2020</w:t>
      </w:r>
      <w:bookmarkEnd w:id="309"/>
    </w:p>
    <w:p w14:paraId="01EEAB18" w14:textId="337679CD" w:rsidR="00B9227B" w:rsidRPr="009C5F11" w:rsidRDefault="00BE73BA"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Tabelul </w:t>
      </w:r>
      <w:r w:rsidR="001A766B" w:rsidRPr="009C5F11">
        <w:rPr>
          <w:rFonts w:ascii="Times New Roman" w:hAnsi="Times New Roman" w:cs="Times New Roman"/>
          <w:sz w:val="24"/>
          <w:lang w:val="ro-RO"/>
        </w:rPr>
        <w:t>urmator</w:t>
      </w:r>
      <w:r w:rsidRPr="009C5F11">
        <w:rPr>
          <w:rFonts w:ascii="Times New Roman" w:hAnsi="Times New Roman" w:cs="Times New Roman"/>
          <w:sz w:val="24"/>
          <w:lang w:val="ro-RO"/>
        </w:rPr>
        <w:t xml:space="preserve"> prezintă sumarul actualiz</w:t>
      </w:r>
      <w:r w:rsidR="004C2FF5" w:rsidRPr="009C5F11">
        <w:rPr>
          <w:rFonts w:ascii="Times New Roman" w:hAnsi="Times New Roman" w:cs="Times New Roman"/>
          <w:sz w:val="24"/>
          <w:lang w:val="ro-RO"/>
        </w:rPr>
        <w:t>at al tuturor măsurilor majore</w:t>
      </w:r>
      <w:r w:rsidR="00B9227B" w:rsidRPr="009C5F11">
        <w:rPr>
          <w:rFonts w:ascii="Times New Roman" w:hAnsi="Times New Roman" w:cs="Times New Roman"/>
          <w:sz w:val="24"/>
          <w:lang w:val="ro-RO"/>
        </w:rPr>
        <w:t xml:space="preserve"> (</w:t>
      </w:r>
      <w:r w:rsidR="001B3DCF" w:rsidRPr="009C5F11">
        <w:rPr>
          <w:rFonts w:ascii="Times New Roman" w:hAnsi="Times New Roman" w:cs="Times New Roman"/>
          <w:sz w:val="24"/>
          <w:lang w:val="ro-RO"/>
        </w:rPr>
        <w:t>implementat</w:t>
      </w:r>
      <w:r w:rsidR="004C2FF5"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şi </w:t>
      </w:r>
      <w:r w:rsidR="00B9227B" w:rsidRPr="009C5F11">
        <w:rPr>
          <w:rFonts w:ascii="Times New Roman" w:hAnsi="Times New Roman" w:cs="Times New Roman"/>
          <w:sz w:val="24"/>
          <w:lang w:val="ro-RO"/>
        </w:rPr>
        <w:t>plan</w:t>
      </w:r>
      <w:r w:rsidR="004C2FF5" w:rsidRPr="009C5F11">
        <w:rPr>
          <w:rFonts w:ascii="Times New Roman" w:hAnsi="Times New Roman" w:cs="Times New Roman"/>
          <w:sz w:val="24"/>
          <w:lang w:val="ro-RO"/>
        </w:rPr>
        <w:t>ificate</w:t>
      </w:r>
      <w:r w:rsidR="00B9227B" w:rsidRPr="009C5F11">
        <w:rPr>
          <w:rFonts w:ascii="Times New Roman" w:hAnsi="Times New Roman" w:cs="Times New Roman"/>
          <w:sz w:val="24"/>
          <w:lang w:val="ro-RO"/>
        </w:rPr>
        <w:t xml:space="preserve">) </w:t>
      </w:r>
      <w:r w:rsidR="004A2281" w:rsidRPr="009C5F11">
        <w:rPr>
          <w:rFonts w:ascii="Times New Roman" w:hAnsi="Times New Roman" w:cs="Times New Roman"/>
          <w:sz w:val="24"/>
          <w:lang w:val="ro-RO"/>
        </w:rPr>
        <w:t>pentru</w:t>
      </w:r>
      <w:r w:rsidR="004C2FF5" w:rsidRPr="009C5F11">
        <w:rPr>
          <w:rFonts w:ascii="Times New Roman" w:hAnsi="Times New Roman" w:cs="Times New Roman"/>
          <w:sz w:val="24"/>
          <w:lang w:val="ro-RO"/>
        </w:rPr>
        <w:t xml:space="preserve"> a crea un cadru adecvat de politici, juridic, </w:t>
      </w:r>
      <w:r w:rsidR="00AB25A9" w:rsidRPr="009C5F11">
        <w:rPr>
          <w:rFonts w:ascii="Times New Roman" w:hAnsi="Times New Roman" w:cs="Times New Roman"/>
          <w:sz w:val="24"/>
          <w:lang w:val="ro-RO"/>
        </w:rPr>
        <w:t>de reglementare</w:t>
      </w:r>
      <w:r w:rsidR="00321CD5" w:rsidRPr="009C5F11">
        <w:rPr>
          <w:rFonts w:ascii="Times New Roman" w:hAnsi="Times New Roman" w:cs="Times New Roman"/>
          <w:sz w:val="24"/>
          <w:lang w:val="ro-RO"/>
        </w:rPr>
        <w:t xml:space="preserve"> şi </w:t>
      </w:r>
      <w:r w:rsidR="00B9227B" w:rsidRPr="009C5F11">
        <w:rPr>
          <w:rFonts w:ascii="Times New Roman" w:hAnsi="Times New Roman" w:cs="Times New Roman"/>
          <w:sz w:val="24"/>
          <w:lang w:val="ro-RO"/>
        </w:rPr>
        <w:t>institu</w:t>
      </w:r>
      <w:r w:rsidR="004C2FF5" w:rsidRPr="009C5F11">
        <w:rPr>
          <w:rFonts w:ascii="Times New Roman" w:hAnsi="Times New Roman" w:cs="Times New Roman"/>
          <w:sz w:val="24"/>
          <w:lang w:val="ro-RO"/>
        </w:rPr>
        <w:t>ţ</w:t>
      </w:r>
      <w:r w:rsidR="00B9227B" w:rsidRPr="009C5F11">
        <w:rPr>
          <w:rFonts w:ascii="Times New Roman" w:hAnsi="Times New Roman" w:cs="Times New Roman"/>
          <w:sz w:val="24"/>
          <w:lang w:val="ro-RO"/>
        </w:rPr>
        <w:t xml:space="preserve">ional </w:t>
      </w:r>
      <w:r w:rsidR="004C2FF5" w:rsidRPr="009C5F11">
        <w:rPr>
          <w:rFonts w:ascii="Times New Roman" w:hAnsi="Times New Roman" w:cs="Times New Roman"/>
          <w:sz w:val="24"/>
          <w:lang w:val="ro-RO"/>
        </w:rPr>
        <w:t>în vederea transpunerii</w:t>
      </w:r>
      <w:r w:rsidR="00B9227B" w:rsidRPr="009C5F11">
        <w:rPr>
          <w:rFonts w:ascii="Times New Roman" w:hAnsi="Times New Roman" w:cs="Times New Roman"/>
          <w:sz w:val="24"/>
          <w:lang w:val="ro-RO"/>
        </w:rPr>
        <w:t xml:space="preserve"> </w:t>
      </w:r>
      <w:r w:rsidR="00CB011F" w:rsidRPr="009C5F11">
        <w:rPr>
          <w:rFonts w:ascii="Times New Roman" w:hAnsi="Times New Roman" w:cs="Times New Roman"/>
          <w:sz w:val="24"/>
          <w:lang w:val="ro-RO"/>
        </w:rPr>
        <w:t>DEE</w:t>
      </w:r>
      <w:r w:rsidR="004C2FF5" w:rsidRPr="009C5F11">
        <w:rPr>
          <w:rFonts w:ascii="Times New Roman" w:hAnsi="Times New Roman" w:cs="Times New Roman"/>
          <w:sz w:val="24"/>
          <w:lang w:val="ro-RO"/>
        </w:rPr>
        <w:t xml:space="preserve"> în timp util</w:t>
      </w:r>
      <w:r w:rsidR="00B9227B" w:rsidRPr="009C5F11">
        <w:rPr>
          <w:rFonts w:ascii="Times New Roman" w:hAnsi="Times New Roman" w:cs="Times New Roman"/>
          <w:sz w:val="24"/>
          <w:lang w:val="ro-RO"/>
        </w:rPr>
        <w:t xml:space="preserve">, </w:t>
      </w:r>
      <w:r w:rsidR="00CC09BD" w:rsidRPr="009C5F11">
        <w:rPr>
          <w:rFonts w:ascii="Times New Roman" w:hAnsi="Times New Roman" w:cs="Times New Roman"/>
          <w:sz w:val="24"/>
          <w:lang w:val="ro-RO"/>
        </w:rPr>
        <w:t xml:space="preserve">a stabili şi a realiza obiectivul(e) de </w:t>
      </w:r>
      <w:r w:rsidR="000C7BEC" w:rsidRPr="009C5F11">
        <w:rPr>
          <w:rFonts w:ascii="Times New Roman" w:hAnsi="Times New Roman" w:cs="Times New Roman"/>
          <w:sz w:val="24"/>
          <w:lang w:val="ro-RO"/>
        </w:rPr>
        <w:t>eficienţă energetică</w:t>
      </w:r>
      <w:r w:rsidR="00B9227B" w:rsidRPr="009C5F11">
        <w:rPr>
          <w:rFonts w:ascii="Times New Roman" w:hAnsi="Times New Roman" w:cs="Times New Roman"/>
          <w:sz w:val="24"/>
          <w:lang w:val="ro-RO"/>
        </w:rPr>
        <w:t xml:space="preserve"> </w:t>
      </w:r>
      <w:r w:rsidR="00CC09BD" w:rsidRPr="009C5F11">
        <w:rPr>
          <w:rFonts w:ascii="Times New Roman" w:hAnsi="Times New Roman" w:cs="Times New Roman"/>
          <w:sz w:val="24"/>
          <w:lang w:val="ro-RO"/>
        </w:rPr>
        <w:t>2020</w:t>
      </w:r>
      <w:r w:rsidR="00B9227B" w:rsidRPr="009C5F11">
        <w:rPr>
          <w:rFonts w:ascii="Times New Roman" w:hAnsi="Times New Roman" w:cs="Times New Roman"/>
          <w:sz w:val="24"/>
          <w:lang w:val="ro-RO"/>
        </w:rPr>
        <w:t>.</w:t>
      </w:r>
    </w:p>
    <w:p w14:paraId="3C265DB5" w14:textId="77777777" w:rsidR="0001167F" w:rsidRPr="009C5F11" w:rsidRDefault="0001167F" w:rsidP="00B9227B">
      <w:pPr>
        <w:spacing w:before="120" w:after="120" w:line="240" w:lineRule="auto"/>
        <w:jc w:val="both"/>
        <w:rPr>
          <w:rFonts w:ascii="Times New Roman" w:hAnsi="Times New Roman" w:cs="Times New Roman"/>
          <w:sz w:val="24"/>
          <w:lang w:val="ro-RO"/>
        </w:rPr>
      </w:pPr>
    </w:p>
    <w:p w14:paraId="26E5C61E" w14:textId="77777777" w:rsidR="00637539" w:rsidRPr="009C5F11" w:rsidRDefault="00321CD5" w:rsidP="005A4058">
      <w:pPr>
        <w:pStyle w:val="Legend"/>
        <w:keepNext/>
        <w:jc w:val="center"/>
        <w:rPr>
          <w:rFonts w:ascii="Times New Roman" w:hAnsi="Times New Roman" w:cs="Times New Roman"/>
          <w:sz w:val="22"/>
          <w:lang w:val="ro-RO"/>
        </w:rPr>
      </w:pPr>
      <w:bookmarkStart w:id="310" w:name="_Toc322013248"/>
      <w:r w:rsidRPr="009C5F11">
        <w:rPr>
          <w:rFonts w:ascii="Times New Roman" w:hAnsi="Times New Roman" w:cs="Times New Roman"/>
          <w:sz w:val="22"/>
          <w:lang w:val="ro-RO"/>
        </w:rPr>
        <w:t>Tabelul</w:t>
      </w:r>
      <w:r w:rsidR="00637539"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637539"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25</w:t>
      </w:r>
      <w:r w:rsidR="003A6ADB" w:rsidRPr="009C5F11">
        <w:rPr>
          <w:rFonts w:ascii="Times New Roman" w:hAnsi="Times New Roman" w:cs="Times New Roman"/>
          <w:sz w:val="22"/>
          <w:lang w:val="ro-RO"/>
        </w:rPr>
        <w:fldChar w:fldCharType="end"/>
      </w:r>
      <w:r w:rsidR="00637539" w:rsidRPr="009C5F11">
        <w:rPr>
          <w:rFonts w:ascii="Times New Roman" w:hAnsi="Times New Roman" w:cs="Times New Roman"/>
          <w:sz w:val="22"/>
          <w:lang w:val="ro-RO"/>
        </w:rPr>
        <w:t xml:space="preserve"> </w:t>
      </w:r>
      <w:r w:rsidR="00117177" w:rsidRPr="009C5F11">
        <w:rPr>
          <w:rFonts w:ascii="Times New Roman" w:hAnsi="Times New Roman" w:cs="Times New Roman"/>
          <w:sz w:val="22"/>
          <w:lang w:val="ro-RO"/>
        </w:rPr>
        <w:t>–</w:t>
      </w:r>
      <w:r w:rsidR="00637539" w:rsidRPr="009C5F11">
        <w:rPr>
          <w:rFonts w:ascii="Times New Roman" w:hAnsi="Times New Roman" w:cs="Times New Roman"/>
          <w:sz w:val="22"/>
          <w:lang w:val="ro-RO"/>
        </w:rPr>
        <w:t xml:space="preserve"> </w:t>
      </w:r>
      <w:r w:rsidR="00117177" w:rsidRPr="009C5F11">
        <w:rPr>
          <w:rFonts w:ascii="Times New Roman" w:hAnsi="Times New Roman" w:cs="Times New Roman"/>
          <w:sz w:val="22"/>
          <w:lang w:val="ro-RO"/>
        </w:rPr>
        <w:t>Măsuri de p</w:t>
      </w:r>
      <w:r w:rsidR="00637539" w:rsidRPr="009C5F11">
        <w:rPr>
          <w:rFonts w:ascii="Times New Roman" w:hAnsi="Times New Roman" w:cs="Times New Roman"/>
          <w:sz w:val="22"/>
          <w:lang w:val="ro-RO"/>
        </w:rPr>
        <w:t>oli</w:t>
      </w:r>
      <w:r w:rsidR="00117177" w:rsidRPr="009C5F11">
        <w:rPr>
          <w:rFonts w:ascii="Times New Roman" w:hAnsi="Times New Roman" w:cs="Times New Roman"/>
          <w:sz w:val="22"/>
          <w:lang w:val="ro-RO"/>
        </w:rPr>
        <w:t xml:space="preserve">tici pentru </w:t>
      </w:r>
      <w:r w:rsidR="00637539" w:rsidRPr="009C5F11">
        <w:rPr>
          <w:rFonts w:ascii="Times New Roman" w:hAnsi="Times New Roman" w:cs="Times New Roman"/>
          <w:sz w:val="22"/>
          <w:lang w:val="ro-RO"/>
        </w:rPr>
        <w:t>implement</w:t>
      </w:r>
      <w:r w:rsidR="00117177" w:rsidRPr="009C5F11">
        <w:rPr>
          <w:rFonts w:ascii="Times New Roman" w:hAnsi="Times New Roman" w:cs="Times New Roman"/>
          <w:sz w:val="22"/>
          <w:lang w:val="ro-RO"/>
        </w:rPr>
        <w:t>area</w:t>
      </w:r>
      <w:r w:rsidR="00637539" w:rsidRPr="009C5F11">
        <w:rPr>
          <w:rFonts w:ascii="Times New Roman" w:hAnsi="Times New Roman" w:cs="Times New Roman"/>
          <w:sz w:val="22"/>
          <w:lang w:val="ro-RO"/>
        </w:rPr>
        <w:t xml:space="preserve"> </w:t>
      </w:r>
      <w:r w:rsidR="00CB011F" w:rsidRPr="009C5F11">
        <w:rPr>
          <w:rFonts w:ascii="Times New Roman" w:hAnsi="Times New Roman" w:cs="Times New Roman"/>
          <w:sz w:val="22"/>
          <w:lang w:val="ro-RO"/>
        </w:rPr>
        <w:t>DEE</w:t>
      </w:r>
      <w:r w:rsidR="00A97A0E" w:rsidRPr="009C5F11">
        <w:rPr>
          <w:rFonts w:ascii="Times New Roman" w:hAnsi="Times New Roman" w:cs="Times New Roman"/>
          <w:sz w:val="22"/>
          <w:lang w:val="ro-RO"/>
        </w:rPr>
        <w:t>.</w:t>
      </w:r>
      <w:bookmarkEnd w:id="310"/>
    </w:p>
    <w:tbl>
      <w:tblPr>
        <w:tblW w:w="5000" w:type="pct"/>
        <w:tblBorders>
          <w:top w:val="single" w:sz="8" w:space="0" w:color="001C53" w:themeColor="accent2" w:themeShade="80"/>
          <w:left w:val="single" w:sz="8" w:space="0" w:color="001C53" w:themeColor="accent2" w:themeShade="80"/>
          <w:bottom w:val="single" w:sz="8" w:space="0" w:color="001C53" w:themeColor="accent2" w:themeShade="80"/>
          <w:right w:val="single" w:sz="8" w:space="0" w:color="001C53" w:themeColor="accent2" w:themeShade="80"/>
          <w:insideH w:val="single" w:sz="6" w:space="0" w:color="001C53" w:themeColor="accent2" w:themeShade="80"/>
          <w:insideV w:val="single" w:sz="6" w:space="0" w:color="001C53" w:themeColor="accent2" w:themeShade="80"/>
        </w:tblBorders>
        <w:tblLook w:val="04A0" w:firstRow="1" w:lastRow="0" w:firstColumn="1" w:lastColumn="0" w:noHBand="0" w:noVBand="1"/>
      </w:tblPr>
      <w:tblGrid>
        <w:gridCol w:w="613"/>
        <w:gridCol w:w="1457"/>
        <w:gridCol w:w="2764"/>
        <w:gridCol w:w="1755"/>
        <w:gridCol w:w="3110"/>
        <w:gridCol w:w="3235"/>
        <w:gridCol w:w="1242"/>
      </w:tblGrid>
      <w:tr w:rsidR="00341E16" w:rsidRPr="009C5F11" w14:paraId="4FB9461C" w14:textId="77777777" w:rsidTr="00732F30">
        <w:tc>
          <w:tcPr>
            <w:tcW w:w="216" w:type="pct"/>
            <w:shd w:val="clear" w:color="auto" w:fill="000080"/>
          </w:tcPr>
          <w:p w14:paraId="57EE43D0" w14:textId="77777777" w:rsidR="00BC2ED4" w:rsidRPr="009C5F11" w:rsidRDefault="00BC2ED4" w:rsidP="00430626">
            <w:pPr>
              <w:spacing w:before="120" w:after="120" w:line="240" w:lineRule="auto"/>
              <w:jc w:val="both"/>
              <w:rPr>
                <w:rFonts w:ascii="Times New Roman" w:hAnsi="Times New Roman" w:cs="Times New Roman"/>
                <w:b/>
                <w:sz w:val="18"/>
                <w:szCs w:val="14"/>
                <w:lang w:val="ro-RO"/>
              </w:rPr>
            </w:pPr>
            <w:r w:rsidRPr="009C5F11">
              <w:rPr>
                <w:rFonts w:ascii="Times New Roman" w:hAnsi="Times New Roman" w:cs="Times New Roman"/>
                <w:b/>
                <w:sz w:val="18"/>
                <w:szCs w:val="14"/>
                <w:lang w:val="ro-RO"/>
              </w:rPr>
              <w:t>Art.</w:t>
            </w:r>
          </w:p>
        </w:tc>
        <w:tc>
          <w:tcPr>
            <w:tcW w:w="514" w:type="pct"/>
            <w:shd w:val="clear" w:color="auto" w:fill="000080"/>
          </w:tcPr>
          <w:p w14:paraId="6AAC7760" w14:textId="77777777" w:rsidR="00BC2ED4" w:rsidRPr="009C5F11" w:rsidRDefault="00117177" w:rsidP="00430626">
            <w:pPr>
              <w:spacing w:before="120" w:after="120" w:line="240" w:lineRule="auto"/>
              <w:jc w:val="both"/>
              <w:rPr>
                <w:rFonts w:ascii="Times New Roman" w:hAnsi="Times New Roman" w:cs="Times New Roman"/>
                <w:b/>
                <w:i/>
                <w:sz w:val="18"/>
                <w:szCs w:val="14"/>
                <w:lang w:val="ro-RO"/>
              </w:rPr>
            </w:pPr>
            <w:r w:rsidRPr="009C5F11">
              <w:rPr>
                <w:rFonts w:ascii="Times New Roman" w:hAnsi="Times New Roman" w:cs="Times New Roman"/>
                <w:b/>
                <w:i/>
                <w:sz w:val="18"/>
                <w:szCs w:val="14"/>
                <w:lang w:val="ro-RO"/>
              </w:rPr>
              <w:t>Conţinut</w:t>
            </w:r>
          </w:p>
        </w:tc>
        <w:tc>
          <w:tcPr>
            <w:tcW w:w="975" w:type="pct"/>
            <w:shd w:val="clear" w:color="auto" w:fill="000080"/>
          </w:tcPr>
          <w:p w14:paraId="756C7E88" w14:textId="77777777" w:rsidR="00BC2ED4" w:rsidRPr="009C5F11" w:rsidRDefault="00117177" w:rsidP="00430626">
            <w:pPr>
              <w:spacing w:before="120" w:after="120" w:line="240" w:lineRule="auto"/>
              <w:jc w:val="both"/>
              <w:rPr>
                <w:rFonts w:ascii="Times New Roman" w:hAnsi="Times New Roman" w:cs="Times New Roman"/>
                <w:b/>
                <w:i/>
                <w:sz w:val="18"/>
                <w:szCs w:val="14"/>
                <w:lang w:val="ro-RO"/>
              </w:rPr>
            </w:pPr>
            <w:r w:rsidRPr="009C5F11">
              <w:rPr>
                <w:rFonts w:ascii="Times New Roman" w:hAnsi="Times New Roman" w:cs="Times New Roman"/>
                <w:b/>
                <w:i/>
                <w:sz w:val="18"/>
                <w:szCs w:val="14"/>
                <w:lang w:val="ro-RO"/>
              </w:rPr>
              <w:t>Cerinţe</w:t>
            </w:r>
          </w:p>
        </w:tc>
        <w:tc>
          <w:tcPr>
            <w:tcW w:w="619" w:type="pct"/>
            <w:shd w:val="clear" w:color="auto" w:fill="000080"/>
          </w:tcPr>
          <w:p w14:paraId="5E3F0D62" w14:textId="77777777" w:rsidR="00BC2ED4" w:rsidRPr="009C5F11" w:rsidRDefault="00117177" w:rsidP="00631BA0">
            <w:pPr>
              <w:spacing w:before="120" w:after="120" w:line="240" w:lineRule="auto"/>
              <w:jc w:val="both"/>
              <w:rPr>
                <w:rFonts w:ascii="Times New Roman" w:hAnsi="Times New Roman" w:cs="Times New Roman"/>
                <w:b/>
                <w:i/>
                <w:sz w:val="18"/>
                <w:szCs w:val="14"/>
                <w:lang w:val="ro-RO"/>
              </w:rPr>
            </w:pPr>
            <w:r w:rsidRPr="009C5F11">
              <w:rPr>
                <w:rFonts w:ascii="Times New Roman" w:hAnsi="Times New Roman" w:cs="Times New Roman"/>
                <w:b/>
                <w:i/>
                <w:sz w:val="18"/>
                <w:szCs w:val="14"/>
                <w:lang w:val="ro-RO"/>
              </w:rPr>
              <w:t>Termen</w:t>
            </w:r>
            <w:r w:rsidR="00F4274E" w:rsidRPr="009C5F11">
              <w:rPr>
                <w:rFonts w:ascii="Times New Roman" w:hAnsi="Times New Roman" w:cs="Times New Roman"/>
                <w:b/>
                <w:i/>
                <w:sz w:val="18"/>
                <w:szCs w:val="14"/>
                <w:lang w:val="ro-RO"/>
              </w:rPr>
              <w:t>ul</w:t>
            </w:r>
            <w:r w:rsidRPr="009C5F11">
              <w:rPr>
                <w:rFonts w:ascii="Times New Roman" w:hAnsi="Times New Roman" w:cs="Times New Roman"/>
                <w:b/>
                <w:i/>
                <w:sz w:val="18"/>
                <w:szCs w:val="14"/>
                <w:lang w:val="ro-RO"/>
              </w:rPr>
              <w:t>-limită</w:t>
            </w:r>
            <w:r w:rsidR="00BC2ED4" w:rsidRPr="009C5F11">
              <w:rPr>
                <w:rFonts w:ascii="Times New Roman" w:hAnsi="Times New Roman" w:cs="Times New Roman"/>
                <w:b/>
                <w:i/>
                <w:sz w:val="18"/>
                <w:szCs w:val="14"/>
                <w:lang w:val="ro-RO"/>
              </w:rPr>
              <w:t xml:space="preserve">/ </w:t>
            </w:r>
            <w:r w:rsidRPr="009C5F11">
              <w:rPr>
                <w:rFonts w:ascii="Times New Roman" w:hAnsi="Times New Roman" w:cs="Times New Roman"/>
                <w:b/>
                <w:i/>
                <w:sz w:val="18"/>
                <w:szCs w:val="14"/>
                <w:lang w:val="ro-RO"/>
              </w:rPr>
              <w:t xml:space="preserve">calendar </w:t>
            </w:r>
          </w:p>
        </w:tc>
        <w:tc>
          <w:tcPr>
            <w:tcW w:w="1097" w:type="pct"/>
            <w:shd w:val="clear" w:color="auto" w:fill="000080"/>
          </w:tcPr>
          <w:p w14:paraId="33F14AAF" w14:textId="77777777" w:rsidR="00BC2ED4" w:rsidRPr="009C5F11" w:rsidRDefault="00117177" w:rsidP="00117177">
            <w:pPr>
              <w:spacing w:before="120" w:after="120" w:line="240" w:lineRule="auto"/>
              <w:jc w:val="both"/>
              <w:rPr>
                <w:rFonts w:ascii="Times New Roman" w:hAnsi="Times New Roman" w:cs="Times New Roman"/>
                <w:b/>
                <w:i/>
                <w:sz w:val="18"/>
                <w:szCs w:val="14"/>
                <w:lang w:val="ro-RO"/>
              </w:rPr>
            </w:pPr>
            <w:r w:rsidRPr="009C5F11">
              <w:rPr>
                <w:rFonts w:ascii="Times New Roman" w:hAnsi="Times New Roman" w:cs="Times New Roman"/>
                <w:b/>
                <w:i/>
                <w:sz w:val="18"/>
                <w:szCs w:val="14"/>
                <w:lang w:val="ro-RO"/>
              </w:rPr>
              <w:t>Măsura implementată</w:t>
            </w:r>
          </w:p>
        </w:tc>
        <w:tc>
          <w:tcPr>
            <w:tcW w:w="1141" w:type="pct"/>
            <w:shd w:val="clear" w:color="auto" w:fill="000080"/>
          </w:tcPr>
          <w:p w14:paraId="4ACAEC7F" w14:textId="77777777" w:rsidR="00BC2ED4" w:rsidRPr="009C5F11" w:rsidRDefault="00117177" w:rsidP="00430626">
            <w:pPr>
              <w:spacing w:before="120" w:after="120" w:line="240" w:lineRule="auto"/>
              <w:jc w:val="both"/>
              <w:rPr>
                <w:rFonts w:ascii="Times New Roman" w:hAnsi="Times New Roman" w:cs="Times New Roman"/>
                <w:b/>
                <w:i/>
                <w:sz w:val="18"/>
                <w:szCs w:val="14"/>
                <w:lang w:val="ro-RO"/>
              </w:rPr>
            </w:pPr>
            <w:r w:rsidRPr="009C5F11">
              <w:rPr>
                <w:rFonts w:ascii="Times New Roman" w:hAnsi="Times New Roman" w:cs="Times New Roman"/>
                <w:b/>
                <w:i/>
                <w:sz w:val="18"/>
                <w:szCs w:val="14"/>
                <w:lang w:val="ro-RO"/>
              </w:rPr>
              <w:t>Situaţia</w:t>
            </w:r>
          </w:p>
        </w:tc>
        <w:tc>
          <w:tcPr>
            <w:tcW w:w="438" w:type="pct"/>
            <w:shd w:val="clear" w:color="auto" w:fill="000080"/>
          </w:tcPr>
          <w:p w14:paraId="65DFA491" w14:textId="77777777" w:rsidR="00BC2ED4" w:rsidRPr="009C5F11" w:rsidRDefault="00117177" w:rsidP="00430626">
            <w:pPr>
              <w:spacing w:before="120" w:after="120" w:line="240" w:lineRule="auto"/>
              <w:jc w:val="both"/>
              <w:rPr>
                <w:rFonts w:ascii="Times New Roman" w:hAnsi="Times New Roman" w:cs="Times New Roman"/>
                <w:b/>
                <w:i/>
                <w:sz w:val="18"/>
                <w:szCs w:val="14"/>
                <w:lang w:val="ro-RO"/>
              </w:rPr>
            </w:pPr>
            <w:r w:rsidRPr="009C5F11">
              <w:rPr>
                <w:rFonts w:ascii="Times New Roman" w:hAnsi="Times New Roman" w:cs="Times New Roman"/>
                <w:b/>
                <w:i/>
                <w:sz w:val="18"/>
                <w:szCs w:val="14"/>
                <w:lang w:val="ro-RO"/>
              </w:rPr>
              <w:t>Organismul responsabil</w:t>
            </w:r>
          </w:p>
        </w:tc>
      </w:tr>
      <w:tr w:rsidR="00341E16" w:rsidRPr="009C5F11" w14:paraId="74E73194" w14:textId="77777777" w:rsidTr="00732F30">
        <w:trPr>
          <w:trHeight w:val="305"/>
        </w:trPr>
        <w:tc>
          <w:tcPr>
            <w:tcW w:w="216" w:type="pct"/>
            <w:shd w:val="clear" w:color="auto" w:fill="auto"/>
          </w:tcPr>
          <w:p w14:paraId="11C38E8B"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3</w:t>
            </w:r>
          </w:p>
        </w:tc>
        <w:tc>
          <w:tcPr>
            <w:tcW w:w="514" w:type="pct"/>
            <w:shd w:val="clear" w:color="auto" w:fill="auto"/>
          </w:tcPr>
          <w:p w14:paraId="16403354" w14:textId="77777777" w:rsidR="00BC2ED4" w:rsidRPr="009C5F11" w:rsidRDefault="00455A9A"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Obiective de EE</w:t>
            </w:r>
          </w:p>
        </w:tc>
        <w:tc>
          <w:tcPr>
            <w:tcW w:w="975" w:type="pct"/>
            <w:shd w:val="clear" w:color="auto" w:fill="auto"/>
          </w:tcPr>
          <w:p w14:paraId="37FDE646" w14:textId="2857760D" w:rsidR="00BC2ED4" w:rsidRPr="009C5F11" w:rsidRDefault="00933737" w:rsidP="00455A9A">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Raportarea indeplinirii  </w:t>
            </w:r>
            <w:r w:rsidR="00204033" w:rsidRPr="009C5F11">
              <w:rPr>
                <w:rFonts w:ascii="Times New Roman" w:hAnsi="Times New Roman" w:cs="Times New Roman"/>
                <w:i/>
                <w:sz w:val="18"/>
                <w:szCs w:val="14"/>
                <w:lang w:val="ro-RO"/>
              </w:rPr>
              <w:t>obiective</w:t>
            </w:r>
            <w:r w:rsidR="00455A9A" w:rsidRPr="009C5F11">
              <w:rPr>
                <w:rFonts w:ascii="Times New Roman" w:hAnsi="Times New Roman" w:cs="Times New Roman"/>
                <w:i/>
                <w:sz w:val="18"/>
                <w:szCs w:val="14"/>
                <w:lang w:val="ro-RO"/>
              </w:rPr>
              <w:t>lor</w:t>
            </w:r>
            <w:r w:rsidR="00BC2ED4" w:rsidRPr="009C5F11">
              <w:rPr>
                <w:rFonts w:ascii="Times New Roman" w:hAnsi="Times New Roman" w:cs="Times New Roman"/>
                <w:i/>
                <w:sz w:val="18"/>
                <w:szCs w:val="14"/>
                <w:lang w:val="ro-RO"/>
              </w:rPr>
              <w:t xml:space="preserve"> </w:t>
            </w:r>
            <w:r w:rsidR="001A766B" w:rsidRPr="009C5F11">
              <w:rPr>
                <w:rFonts w:ascii="Times New Roman" w:hAnsi="Times New Roman" w:cs="Times New Roman"/>
                <w:i/>
                <w:sz w:val="18"/>
                <w:szCs w:val="14"/>
                <w:lang w:val="ro-RO"/>
              </w:rPr>
              <w:t xml:space="preserve">catre </w:t>
            </w:r>
            <w:r w:rsidR="00BC2ED4" w:rsidRPr="009C5F11">
              <w:rPr>
                <w:rFonts w:ascii="Times New Roman" w:hAnsi="Times New Roman" w:cs="Times New Roman"/>
                <w:i/>
                <w:sz w:val="18"/>
                <w:szCs w:val="14"/>
                <w:lang w:val="ro-RO"/>
              </w:rPr>
              <w:t>ECS</w:t>
            </w:r>
          </w:p>
        </w:tc>
        <w:tc>
          <w:tcPr>
            <w:tcW w:w="619" w:type="pct"/>
            <w:shd w:val="clear" w:color="auto" w:fill="auto"/>
          </w:tcPr>
          <w:p w14:paraId="6E0DD1EA" w14:textId="48F64AD7" w:rsidR="003B42B0" w:rsidRPr="009C5F11" w:rsidRDefault="003B42B0"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30 iunie </w:t>
            </w:r>
            <w:r w:rsidR="00933737" w:rsidRPr="009C5F11">
              <w:rPr>
                <w:rFonts w:ascii="Times New Roman" w:hAnsi="Times New Roman" w:cs="Times New Roman"/>
                <w:i/>
                <w:sz w:val="18"/>
                <w:szCs w:val="14"/>
                <w:lang w:val="ro-RO"/>
              </w:rPr>
              <w:t xml:space="preserve">incepand cu </w:t>
            </w:r>
            <w:r w:rsidRPr="009C5F11">
              <w:rPr>
                <w:rFonts w:ascii="Times New Roman" w:hAnsi="Times New Roman" w:cs="Times New Roman"/>
                <w:i/>
                <w:sz w:val="18"/>
                <w:szCs w:val="14"/>
                <w:lang w:val="ro-RO"/>
              </w:rPr>
              <w:t>2017</w:t>
            </w:r>
          </w:p>
          <w:p w14:paraId="2277CD38" w14:textId="0F3136BE" w:rsidR="00BC2ED4" w:rsidRPr="009C5F11" w:rsidRDefault="00BC2ED4"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Art. 24 (1)</w:t>
            </w:r>
            <w:r w:rsidR="00321CD5" w:rsidRPr="009C5F11">
              <w:rPr>
                <w:rFonts w:ascii="Times New Roman" w:hAnsi="Times New Roman" w:cs="Times New Roman"/>
                <w:i/>
                <w:sz w:val="18"/>
                <w:szCs w:val="14"/>
                <w:lang w:val="ro-RO"/>
              </w:rPr>
              <w:t xml:space="preserve"> şi </w:t>
            </w:r>
            <w:r w:rsidR="00D62784" w:rsidRPr="009C5F11">
              <w:rPr>
                <w:rFonts w:ascii="Times New Roman" w:hAnsi="Times New Roman" w:cs="Times New Roman"/>
                <w:i/>
                <w:sz w:val="18"/>
                <w:szCs w:val="14"/>
                <w:lang w:val="ro-RO"/>
              </w:rPr>
              <w:t xml:space="preserve">Anexa </w:t>
            </w:r>
            <w:r w:rsidRPr="009C5F11">
              <w:rPr>
                <w:rFonts w:ascii="Times New Roman" w:hAnsi="Times New Roman" w:cs="Times New Roman"/>
                <w:i/>
                <w:sz w:val="18"/>
                <w:szCs w:val="14"/>
                <w:lang w:val="ro-RO"/>
              </w:rPr>
              <w:t xml:space="preserve">XIV, </w:t>
            </w:r>
            <w:r w:rsidR="00581F58" w:rsidRPr="009C5F11">
              <w:rPr>
                <w:rFonts w:ascii="Times New Roman" w:hAnsi="Times New Roman" w:cs="Times New Roman"/>
                <w:i/>
                <w:sz w:val="18"/>
                <w:szCs w:val="14"/>
                <w:lang w:val="ro-RO"/>
              </w:rPr>
              <w:t xml:space="preserve">partea </w:t>
            </w:r>
            <w:r w:rsidRPr="009C5F11">
              <w:rPr>
                <w:rFonts w:ascii="Times New Roman" w:hAnsi="Times New Roman" w:cs="Times New Roman"/>
                <w:i/>
                <w:sz w:val="18"/>
                <w:szCs w:val="14"/>
                <w:lang w:val="ro-RO"/>
              </w:rPr>
              <w:t>1</w:t>
            </w:r>
          </w:p>
        </w:tc>
        <w:tc>
          <w:tcPr>
            <w:tcW w:w="1097" w:type="pct"/>
          </w:tcPr>
          <w:p w14:paraId="6908A340" w14:textId="66AEB4DC" w:rsidR="00BC2ED4" w:rsidRPr="009C5F11" w:rsidRDefault="00455A9A" w:rsidP="00933737">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Stabilit de</w:t>
            </w:r>
            <w:r w:rsidR="00BC2ED4" w:rsidRPr="009C5F11">
              <w:rPr>
                <w:rFonts w:ascii="Times New Roman" w:hAnsi="Times New Roman" w:cs="Times New Roman"/>
                <w:i/>
                <w:sz w:val="18"/>
                <w:szCs w:val="14"/>
                <w:lang w:val="ro-RO"/>
              </w:rPr>
              <w:t xml:space="preserve"> </w:t>
            </w:r>
            <w:r w:rsidR="00872DC2" w:rsidRPr="009C5F11">
              <w:rPr>
                <w:rFonts w:ascii="Times New Roman" w:hAnsi="Times New Roman" w:cs="Times New Roman"/>
                <w:i/>
                <w:sz w:val="18"/>
                <w:szCs w:val="14"/>
                <w:lang w:val="ro-RO"/>
              </w:rPr>
              <w:t>PNAEE</w:t>
            </w:r>
            <w:r w:rsidR="00321CD5" w:rsidRPr="009C5F11">
              <w:rPr>
                <w:rFonts w:ascii="Times New Roman" w:hAnsi="Times New Roman" w:cs="Times New Roman"/>
                <w:i/>
                <w:sz w:val="18"/>
                <w:szCs w:val="14"/>
                <w:lang w:val="ro-RO"/>
              </w:rPr>
              <w:t xml:space="preserve"> şi </w:t>
            </w:r>
            <w:r w:rsidR="00933737" w:rsidRPr="009C5F11">
              <w:rPr>
                <w:rFonts w:ascii="Times New Roman" w:hAnsi="Times New Roman" w:cs="Times New Roman"/>
                <w:i/>
                <w:sz w:val="18"/>
                <w:szCs w:val="14"/>
                <w:lang w:val="ro-RO"/>
              </w:rPr>
              <w:t>raportarea progresului in fiecare an</w:t>
            </w:r>
          </w:p>
        </w:tc>
        <w:tc>
          <w:tcPr>
            <w:tcW w:w="1141" w:type="pct"/>
            <w:shd w:val="clear" w:color="auto" w:fill="auto"/>
          </w:tcPr>
          <w:p w14:paraId="0B6BBA26" w14:textId="77777777" w:rsidR="00BC2ED4" w:rsidRPr="009C5F11" w:rsidRDefault="00581F58"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Menţionată în PNAEE</w:t>
            </w:r>
            <w:r w:rsidR="00BC2ED4" w:rsidRPr="009C5F11">
              <w:rPr>
                <w:rFonts w:ascii="Times New Roman" w:hAnsi="Times New Roman" w:cs="Times New Roman"/>
                <w:i/>
                <w:sz w:val="18"/>
                <w:szCs w:val="14"/>
                <w:lang w:val="ro-RO"/>
              </w:rPr>
              <w:t xml:space="preserve"> 2016-2018</w:t>
            </w:r>
          </w:p>
        </w:tc>
        <w:tc>
          <w:tcPr>
            <w:tcW w:w="438" w:type="pct"/>
            <w:shd w:val="clear" w:color="auto" w:fill="auto"/>
          </w:tcPr>
          <w:p w14:paraId="3ED10CDC" w14:textId="77777777" w:rsidR="00BC2ED4" w:rsidRPr="009C5F11" w:rsidRDefault="00421FA7"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ME</w:t>
            </w:r>
            <w:r w:rsidR="00BC2ED4" w:rsidRPr="009C5F11">
              <w:rPr>
                <w:rFonts w:ascii="Times New Roman" w:hAnsi="Times New Roman" w:cs="Times New Roman"/>
                <w:i/>
                <w:sz w:val="18"/>
                <w:szCs w:val="14"/>
                <w:lang w:val="ro-RO"/>
              </w:rPr>
              <w:t xml:space="preserve">, </w:t>
            </w:r>
            <w:r w:rsidR="00AA0566" w:rsidRPr="009C5F11">
              <w:rPr>
                <w:rFonts w:ascii="Times New Roman" w:hAnsi="Times New Roman" w:cs="Times New Roman"/>
                <w:i/>
                <w:sz w:val="18"/>
                <w:szCs w:val="14"/>
                <w:lang w:val="ro-RO"/>
              </w:rPr>
              <w:t>AEE</w:t>
            </w:r>
          </w:p>
        </w:tc>
      </w:tr>
      <w:tr w:rsidR="00341E16" w:rsidRPr="009C5F11" w14:paraId="3844C9EE" w14:textId="77777777" w:rsidTr="00732F30">
        <w:trPr>
          <w:trHeight w:val="566"/>
        </w:trPr>
        <w:tc>
          <w:tcPr>
            <w:tcW w:w="216" w:type="pct"/>
            <w:shd w:val="clear" w:color="auto" w:fill="auto"/>
          </w:tcPr>
          <w:p w14:paraId="6465FCEA" w14:textId="233AF55F"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4</w:t>
            </w:r>
          </w:p>
        </w:tc>
        <w:tc>
          <w:tcPr>
            <w:tcW w:w="514" w:type="pct"/>
            <w:shd w:val="clear" w:color="auto" w:fill="auto"/>
          </w:tcPr>
          <w:p w14:paraId="37A48A7B" w14:textId="77777777" w:rsidR="00BC2ED4" w:rsidRPr="009C5F11" w:rsidRDefault="00455A9A"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Renovarea clădiri</w:t>
            </w:r>
            <w:r w:rsidR="00DB528E" w:rsidRPr="009C5F11">
              <w:rPr>
                <w:rFonts w:ascii="Times New Roman" w:hAnsi="Times New Roman" w:cs="Times New Roman"/>
                <w:i/>
                <w:sz w:val="18"/>
                <w:szCs w:val="14"/>
                <w:lang w:val="ro-RO"/>
              </w:rPr>
              <w:t>lor</w:t>
            </w:r>
          </w:p>
        </w:tc>
        <w:tc>
          <w:tcPr>
            <w:tcW w:w="975" w:type="pct"/>
            <w:shd w:val="clear" w:color="auto" w:fill="auto"/>
          </w:tcPr>
          <w:p w14:paraId="3E61529F" w14:textId="77777777" w:rsidR="00BC2ED4" w:rsidRPr="009C5F11" w:rsidRDefault="00455A9A"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Stabilirea unei strategii pe termen lung</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pentru mobilizarea investiţiilor în renovarea stocului naţional de clădiri rezidenţiale şi comerciale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atât publice, cât şi private</w:t>
            </w:r>
            <w:r w:rsidR="00BC2ED4" w:rsidRPr="009C5F11">
              <w:rPr>
                <w:rFonts w:ascii="Times New Roman" w:hAnsi="Times New Roman" w:cs="Times New Roman"/>
                <w:i/>
                <w:sz w:val="18"/>
                <w:szCs w:val="14"/>
                <w:lang w:val="ro-RO"/>
              </w:rPr>
              <w:t>.</w:t>
            </w:r>
          </w:p>
        </w:tc>
        <w:tc>
          <w:tcPr>
            <w:tcW w:w="619" w:type="pct"/>
            <w:shd w:val="clear" w:color="auto" w:fill="auto"/>
          </w:tcPr>
          <w:p w14:paraId="36AB719B" w14:textId="2F685A0E"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30 </w:t>
            </w:r>
            <w:r w:rsidR="003B42B0" w:rsidRPr="009C5F11">
              <w:rPr>
                <w:rFonts w:ascii="Times New Roman" w:hAnsi="Times New Roman" w:cs="Times New Roman"/>
                <w:i/>
                <w:sz w:val="18"/>
                <w:szCs w:val="14"/>
                <w:lang w:val="ro-RO"/>
              </w:rPr>
              <w:t xml:space="preserve">martie </w:t>
            </w:r>
            <w:r w:rsidRPr="009C5F11">
              <w:rPr>
                <w:rFonts w:ascii="Times New Roman" w:hAnsi="Times New Roman" w:cs="Times New Roman"/>
                <w:i/>
                <w:sz w:val="18"/>
                <w:szCs w:val="14"/>
                <w:lang w:val="ro-RO"/>
              </w:rPr>
              <w:t>2017</w:t>
            </w:r>
          </w:p>
          <w:p w14:paraId="6A322AF6" w14:textId="77777777" w:rsidR="00BC2ED4" w:rsidRPr="009C5F11" w:rsidRDefault="00455A9A" w:rsidP="00B40DB5">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Actualizat ulterior la fiecare 3 ani şi prezentat Secretariatului Comunităţii Energetice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ca</w:t>
            </w:r>
            <w:r w:rsidR="00BC2ED4" w:rsidRPr="009C5F11">
              <w:rPr>
                <w:rFonts w:ascii="Times New Roman" w:hAnsi="Times New Roman" w:cs="Times New Roman"/>
                <w:i/>
                <w:sz w:val="18"/>
                <w:szCs w:val="14"/>
                <w:lang w:val="ro-RO"/>
              </w:rPr>
              <w:t xml:space="preserve"> </w:t>
            </w:r>
            <w:r w:rsidR="00581F58" w:rsidRPr="009C5F11">
              <w:rPr>
                <w:rFonts w:ascii="Times New Roman" w:hAnsi="Times New Roman" w:cs="Times New Roman"/>
                <w:i/>
                <w:sz w:val="18"/>
                <w:szCs w:val="14"/>
                <w:lang w:val="ro-RO"/>
              </w:rPr>
              <w:t>parte</w:t>
            </w:r>
            <w:r w:rsidRPr="009C5F11">
              <w:rPr>
                <w:rFonts w:ascii="Times New Roman" w:hAnsi="Times New Roman" w:cs="Times New Roman"/>
                <w:i/>
                <w:sz w:val="18"/>
                <w:szCs w:val="14"/>
                <w:lang w:val="ro-RO"/>
              </w:rPr>
              <w:t xml:space="preserve"> </w:t>
            </w:r>
            <w:r w:rsidR="00581F58" w:rsidRPr="009C5F11">
              <w:rPr>
                <w:rFonts w:ascii="Times New Roman" w:hAnsi="Times New Roman" w:cs="Times New Roman"/>
                <w:i/>
                <w:sz w:val="18"/>
                <w:szCs w:val="14"/>
                <w:lang w:val="ro-RO"/>
              </w:rPr>
              <w:t xml:space="preserve">a </w:t>
            </w:r>
            <w:r w:rsidRPr="009C5F11">
              <w:rPr>
                <w:rFonts w:ascii="Times New Roman" w:hAnsi="Times New Roman" w:cs="Times New Roman"/>
                <w:i/>
                <w:sz w:val="18"/>
                <w:szCs w:val="14"/>
                <w:lang w:val="ro-RO"/>
              </w:rPr>
              <w:t>Planului</w:t>
            </w:r>
            <w:r w:rsidR="00F4274E" w:rsidRPr="009C5F11">
              <w:rPr>
                <w:rFonts w:ascii="Times New Roman" w:hAnsi="Times New Roman" w:cs="Times New Roman"/>
                <w:i/>
                <w:sz w:val="18"/>
                <w:szCs w:val="14"/>
                <w:lang w:val="ro-RO"/>
              </w:rPr>
              <w:t xml:space="preserve"> naţional de acţiuni în </w:t>
            </w:r>
            <w:r w:rsidRPr="009C5F11">
              <w:rPr>
                <w:rFonts w:ascii="Times New Roman" w:hAnsi="Times New Roman" w:cs="Times New Roman"/>
                <w:i/>
                <w:sz w:val="18"/>
                <w:szCs w:val="14"/>
                <w:lang w:val="ro-RO"/>
              </w:rPr>
              <w:t>domeniul eficienţei energetice</w:t>
            </w:r>
          </w:p>
        </w:tc>
        <w:tc>
          <w:tcPr>
            <w:tcW w:w="1097" w:type="pct"/>
          </w:tcPr>
          <w:p w14:paraId="21A70F89" w14:textId="77777777" w:rsidR="00BC2ED4" w:rsidRPr="009C5F11" w:rsidRDefault="00581F58" w:rsidP="00E376C4">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u w:val="single"/>
                <w:lang w:val="ro-RO"/>
              </w:rPr>
              <w:t>Documentul strategic</w:t>
            </w:r>
            <w:r w:rsidR="00BC2ED4" w:rsidRPr="009C5F11">
              <w:rPr>
                <w:rFonts w:ascii="Times New Roman" w:hAnsi="Times New Roman" w:cs="Times New Roman"/>
                <w:i/>
                <w:sz w:val="18"/>
                <w:szCs w:val="14"/>
                <w:u w:val="single"/>
                <w:lang w:val="ro-RO"/>
              </w:rPr>
              <w:t xml:space="preserve">: </w:t>
            </w:r>
            <w:r w:rsidR="00D15C6C" w:rsidRPr="009C5F11">
              <w:rPr>
                <w:rFonts w:ascii="Times New Roman" w:hAnsi="Times New Roman" w:cs="Times New Roman"/>
                <w:i/>
                <w:sz w:val="18"/>
                <w:szCs w:val="14"/>
                <w:lang w:val="ro-RO"/>
              </w:rPr>
              <w:t>Strategia de renovare a clădirilor</w:t>
            </w:r>
            <w:r w:rsidR="00BC2ED4" w:rsidRPr="009C5F11">
              <w:rPr>
                <w:rFonts w:ascii="Times New Roman" w:hAnsi="Times New Roman" w:cs="Times New Roman"/>
                <w:i/>
                <w:sz w:val="18"/>
                <w:szCs w:val="14"/>
                <w:lang w:val="ro-RO"/>
              </w:rPr>
              <w:t>;</w:t>
            </w:r>
            <w:r w:rsidR="00E376C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de elaborat, adoptat, publicat, implementat</w:t>
            </w:r>
          </w:p>
        </w:tc>
        <w:tc>
          <w:tcPr>
            <w:tcW w:w="1141" w:type="pct"/>
            <w:shd w:val="clear" w:color="auto" w:fill="auto"/>
          </w:tcPr>
          <w:p w14:paraId="210BD164" w14:textId="77777777" w:rsidR="00BC2ED4" w:rsidRPr="009C5F11" w:rsidRDefault="00581F58" w:rsidP="00A97A0E">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Acţiunea</w:t>
            </w:r>
            <w:r w:rsidR="00A97A0E" w:rsidRPr="009C5F11">
              <w:rPr>
                <w:rFonts w:ascii="Times New Roman" w:hAnsi="Times New Roman" w:cs="Times New Roman"/>
                <w:i/>
                <w:sz w:val="18"/>
                <w:szCs w:val="14"/>
                <w:lang w:val="ro-RO"/>
              </w:rPr>
              <w:t xml:space="preserve"> este </w:t>
            </w:r>
            <w:r w:rsidRPr="009C5F11">
              <w:rPr>
                <w:rFonts w:ascii="Times New Roman" w:hAnsi="Times New Roman" w:cs="Times New Roman"/>
                <w:i/>
                <w:sz w:val="18"/>
                <w:szCs w:val="14"/>
                <w:lang w:val="ro-RO"/>
              </w:rPr>
              <w:t>indicată ca parte a măsurii</w:t>
            </w:r>
            <w:r w:rsidR="00BC2ED4" w:rsidRPr="009C5F11">
              <w:rPr>
                <w:rFonts w:ascii="Times New Roman" w:hAnsi="Times New Roman" w:cs="Times New Roman"/>
                <w:i/>
                <w:sz w:val="18"/>
                <w:szCs w:val="14"/>
                <w:lang w:val="ro-RO"/>
              </w:rPr>
              <w:t xml:space="preserve"> B1 “</w:t>
            </w:r>
            <w:r w:rsidR="002B232C" w:rsidRPr="009C5F11">
              <w:rPr>
                <w:rFonts w:ascii="Times New Roman" w:hAnsi="Times New Roman" w:cs="Times New Roman"/>
                <w:i/>
                <w:sz w:val="18"/>
                <w:szCs w:val="14"/>
                <w:lang w:val="ro-RO"/>
              </w:rPr>
              <w:t>Elaborarea cadrului legal cu privire la</w:t>
            </w:r>
            <w:r w:rsidR="00D160E1" w:rsidRPr="009C5F11">
              <w:rPr>
                <w:rFonts w:ascii="Times New Roman" w:hAnsi="Times New Roman" w:cs="Times New Roman"/>
                <w:i/>
                <w:sz w:val="18"/>
                <w:szCs w:val="14"/>
                <w:lang w:val="ro-RO"/>
              </w:rPr>
              <w:t xml:space="preserve"> performanţa energetică a clădirilor</w:t>
            </w:r>
            <w:r w:rsidR="00BC2ED4" w:rsidRPr="009C5F11">
              <w:rPr>
                <w:rFonts w:ascii="Times New Roman" w:hAnsi="Times New Roman" w:cs="Times New Roman"/>
                <w:i/>
                <w:sz w:val="18"/>
                <w:szCs w:val="14"/>
                <w:lang w:val="ro-RO"/>
              </w:rPr>
              <w:t>”</w:t>
            </w:r>
            <w:r w:rsidR="00321CD5" w:rsidRPr="009C5F11">
              <w:rPr>
                <w:rFonts w:ascii="Times New Roman" w:hAnsi="Times New Roman" w:cs="Times New Roman"/>
                <w:i/>
                <w:sz w:val="18"/>
                <w:szCs w:val="14"/>
                <w:lang w:val="ro-RO"/>
              </w:rPr>
              <w:t xml:space="preserve"> în </w:t>
            </w:r>
            <w:r w:rsidR="00872DC2" w:rsidRPr="009C5F11">
              <w:rPr>
                <w:rFonts w:ascii="Times New Roman" w:hAnsi="Times New Roman" w:cs="Times New Roman"/>
                <w:i/>
                <w:sz w:val="18"/>
                <w:szCs w:val="14"/>
                <w:lang w:val="ro-RO"/>
              </w:rPr>
              <w:t>PNAEE</w:t>
            </w:r>
            <w:r w:rsidR="00BC2ED4" w:rsidRPr="009C5F11">
              <w:rPr>
                <w:rFonts w:ascii="Times New Roman" w:hAnsi="Times New Roman" w:cs="Times New Roman"/>
                <w:i/>
                <w:sz w:val="18"/>
                <w:szCs w:val="14"/>
                <w:lang w:val="ro-RO"/>
              </w:rPr>
              <w:t xml:space="preserve"> 2016-2018</w:t>
            </w:r>
          </w:p>
        </w:tc>
        <w:tc>
          <w:tcPr>
            <w:tcW w:w="438" w:type="pct"/>
            <w:shd w:val="clear" w:color="auto" w:fill="auto"/>
          </w:tcPr>
          <w:p w14:paraId="5D6C9BE7" w14:textId="77777777" w:rsidR="00BC2ED4" w:rsidRPr="009C5F11" w:rsidRDefault="00AA0566"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MDRC</w:t>
            </w:r>
          </w:p>
          <w:p w14:paraId="2AA5DE10" w14:textId="77777777" w:rsidR="00AE143B" w:rsidRPr="009C5F11" w:rsidRDefault="00AE143B"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EEA</w:t>
            </w:r>
          </w:p>
        </w:tc>
      </w:tr>
      <w:tr w:rsidR="00341E16" w:rsidRPr="009C5F11" w14:paraId="0358EFB7" w14:textId="77777777" w:rsidTr="00732F30">
        <w:trPr>
          <w:trHeight w:val="260"/>
        </w:trPr>
        <w:tc>
          <w:tcPr>
            <w:tcW w:w="216" w:type="pct"/>
            <w:shd w:val="clear" w:color="auto" w:fill="auto"/>
          </w:tcPr>
          <w:p w14:paraId="42037931"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5</w:t>
            </w:r>
          </w:p>
        </w:tc>
        <w:tc>
          <w:tcPr>
            <w:tcW w:w="514" w:type="pct"/>
            <w:shd w:val="clear" w:color="auto" w:fill="auto"/>
          </w:tcPr>
          <w:p w14:paraId="1A4D1C74" w14:textId="77777777" w:rsidR="00BC2ED4" w:rsidRPr="009C5F11" w:rsidRDefault="00455A9A"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Rolul </w:t>
            </w:r>
            <w:r w:rsidR="00A73756" w:rsidRPr="009C5F11">
              <w:rPr>
                <w:rFonts w:ascii="Times New Roman" w:hAnsi="Times New Roman" w:cs="Times New Roman"/>
                <w:i/>
                <w:sz w:val="18"/>
                <w:szCs w:val="14"/>
                <w:lang w:val="ro-RO"/>
              </w:rPr>
              <w:t>de exemplu al clădirilor</w:t>
            </w:r>
            <w:r w:rsidRPr="009C5F11">
              <w:rPr>
                <w:rFonts w:ascii="Times New Roman" w:hAnsi="Times New Roman" w:cs="Times New Roman"/>
                <w:i/>
                <w:sz w:val="18"/>
                <w:szCs w:val="14"/>
                <w:lang w:val="ro-RO"/>
              </w:rPr>
              <w:t xml:space="preserve"> organismelor publice</w:t>
            </w:r>
          </w:p>
        </w:tc>
        <w:tc>
          <w:tcPr>
            <w:tcW w:w="975" w:type="pct"/>
            <w:shd w:val="clear" w:color="auto" w:fill="auto"/>
          </w:tcPr>
          <w:p w14:paraId="12F8F28C" w14:textId="1E4EEDCD" w:rsidR="00FC448B" w:rsidRPr="009C5F11" w:rsidRDefault="00FC448B" w:rsidP="00341E1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Partile contractante stabilesc și pun la dispoziția publicului un inventar al clădirilor administrației centrale încălzite și/sau răcite cu o suprafață totală </w:t>
            </w:r>
            <w:r w:rsidRPr="009C5F11">
              <w:rPr>
                <w:rFonts w:ascii="Times New Roman" w:hAnsi="Times New Roman" w:cs="Times New Roman"/>
                <w:i/>
                <w:sz w:val="18"/>
                <w:szCs w:val="14"/>
                <w:lang w:val="ro-RO"/>
              </w:rPr>
              <w:lastRenderedPageBreak/>
              <w:t>utilă de peste 500 m 2</w:t>
            </w:r>
          </w:p>
          <w:p w14:paraId="737D8E5E" w14:textId="77777777" w:rsidR="00FC448B" w:rsidRPr="009C5F11" w:rsidRDefault="00FC448B" w:rsidP="00341E16">
            <w:pPr>
              <w:spacing w:before="120" w:after="120" w:line="240" w:lineRule="auto"/>
              <w:rPr>
                <w:rFonts w:ascii="Times New Roman" w:hAnsi="Times New Roman" w:cs="Times New Roman"/>
                <w:i/>
                <w:sz w:val="18"/>
                <w:szCs w:val="14"/>
                <w:lang w:val="ro-RO"/>
              </w:rPr>
            </w:pPr>
          </w:p>
          <w:p w14:paraId="1B4944D7" w14:textId="77777777" w:rsidR="00BC2ED4" w:rsidRPr="009C5F11" w:rsidRDefault="00455A9A" w:rsidP="00341E1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Renovarea 1% din clădirile APC cu suprafaţa mai mare de</w:t>
            </w:r>
            <w:r w:rsidR="00BC2ED4" w:rsidRPr="009C5F11">
              <w:rPr>
                <w:rFonts w:ascii="Times New Roman" w:hAnsi="Times New Roman" w:cs="Times New Roman"/>
                <w:i/>
                <w:sz w:val="18"/>
                <w:szCs w:val="14"/>
                <w:lang w:val="ro-RO"/>
              </w:rPr>
              <w:t xml:space="preserve"> 500 m2 (250 m2 </w:t>
            </w:r>
            <w:r w:rsidR="00017161" w:rsidRPr="009C5F11">
              <w:rPr>
                <w:rFonts w:ascii="Times New Roman" w:hAnsi="Times New Roman" w:cs="Times New Roman"/>
                <w:i/>
                <w:sz w:val="18"/>
                <w:szCs w:val="14"/>
                <w:lang w:val="ro-RO"/>
              </w:rPr>
              <w:t>începând din</w:t>
            </w:r>
            <w:r w:rsidR="00BC2ED4" w:rsidRPr="009C5F11">
              <w:rPr>
                <w:rFonts w:ascii="Times New Roman" w:hAnsi="Times New Roman" w:cs="Times New Roman"/>
                <w:i/>
                <w:sz w:val="18"/>
                <w:szCs w:val="14"/>
                <w:lang w:val="ro-RO"/>
              </w:rPr>
              <w:t xml:space="preserve"> 1 </w:t>
            </w:r>
            <w:r w:rsidR="000A4CC7" w:rsidRPr="009C5F11">
              <w:rPr>
                <w:rFonts w:ascii="Times New Roman" w:hAnsi="Times New Roman" w:cs="Times New Roman"/>
                <w:i/>
                <w:sz w:val="18"/>
                <w:szCs w:val="14"/>
                <w:lang w:val="ro-RO"/>
              </w:rPr>
              <w:t>ianuarie</w:t>
            </w:r>
            <w:r w:rsidR="00BC2ED4" w:rsidRPr="009C5F11">
              <w:rPr>
                <w:rFonts w:ascii="Times New Roman" w:hAnsi="Times New Roman" w:cs="Times New Roman"/>
                <w:i/>
                <w:sz w:val="18"/>
                <w:szCs w:val="14"/>
                <w:lang w:val="ro-RO"/>
              </w:rPr>
              <w:t xml:space="preserve"> 2019) </w:t>
            </w:r>
            <w:r w:rsidR="00341E16" w:rsidRPr="009C5F11">
              <w:rPr>
                <w:rFonts w:ascii="Times New Roman" w:hAnsi="Times New Roman" w:cs="Times New Roman"/>
                <w:i/>
                <w:sz w:val="18"/>
                <w:szCs w:val="14"/>
                <w:lang w:val="ro-RO"/>
              </w:rPr>
              <w:t xml:space="preserve">care nu întrunesc cerinţele minime naţionale de </w:t>
            </w:r>
            <w:r w:rsidR="004E780C" w:rsidRPr="009C5F11">
              <w:rPr>
                <w:rFonts w:ascii="Times New Roman" w:hAnsi="Times New Roman" w:cs="Times New Roman"/>
                <w:i/>
                <w:sz w:val="18"/>
                <w:szCs w:val="14"/>
                <w:lang w:val="ro-RO"/>
              </w:rPr>
              <w:t>performanţ</w:t>
            </w:r>
            <w:r w:rsidR="00341E16" w:rsidRPr="009C5F11">
              <w:rPr>
                <w:rFonts w:ascii="Times New Roman" w:hAnsi="Times New Roman" w:cs="Times New Roman"/>
                <w:i/>
                <w:sz w:val="18"/>
                <w:szCs w:val="14"/>
                <w:lang w:val="ro-RO"/>
              </w:rPr>
              <w:t>ă</w:t>
            </w:r>
            <w:r w:rsidR="004E780C" w:rsidRPr="009C5F11">
              <w:rPr>
                <w:rFonts w:ascii="Times New Roman" w:hAnsi="Times New Roman" w:cs="Times New Roman"/>
                <w:i/>
                <w:sz w:val="18"/>
                <w:szCs w:val="14"/>
                <w:lang w:val="ro-RO"/>
              </w:rPr>
              <w:t xml:space="preserve"> energetică</w:t>
            </w:r>
            <w:r w:rsidR="00341E16" w:rsidRPr="009C5F11">
              <w:rPr>
                <w:rFonts w:ascii="Times New Roman" w:hAnsi="Times New Roman" w:cs="Times New Roman"/>
                <w:i/>
                <w:sz w:val="18"/>
                <w:szCs w:val="14"/>
                <w:lang w:val="ro-RO"/>
              </w:rPr>
              <w:t>.</w:t>
            </w:r>
          </w:p>
        </w:tc>
        <w:tc>
          <w:tcPr>
            <w:tcW w:w="619" w:type="pct"/>
            <w:shd w:val="clear" w:color="auto" w:fill="auto"/>
          </w:tcPr>
          <w:p w14:paraId="4CD9D9FC" w14:textId="7634EEC8" w:rsidR="00FC448B" w:rsidRPr="009C5F11" w:rsidRDefault="00FC448B"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Pana la  1 ianuarie 2017,</w:t>
            </w:r>
          </w:p>
          <w:p w14:paraId="5C8C71DC" w14:textId="77777777" w:rsidR="00FC448B" w:rsidRPr="009C5F11" w:rsidRDefault="00FC448B" w:rsidP="00430626">
            <w:pPr>
              <w:spacing w:before="120" w:after="120" w:line="240" w:lineRule="auto"/>
              <w:rPr>
                <w:rFonts w:ascii="Times New Roman" w:hAnsi="Times New Roman" w:cs="Times New Roman"/>
                <w:i/>
                <w:sz w:val="18"/>
                <w:szCs w:val="14"/>
                <w:lang w:val="ro-RO"/>
              </w:rPr>
            </w:pPr>
          </w:p>
          <w:p w14:paraId="67B96198" w14:textId="77777777" w:rsidR="00FC448B" w:rsidRPr="009C5F11" w:rsidRDefault="00FC448B" w:rsidP="00430626">
            <w:pPr>
              <w:spacing w:before="120" w:after="120" w:line="240" w:lineRule="auto"/>
              <w:rPr>
                <w:rFonts w:ascii="Times New Roman" w:hAnsi="Times New Roman" w:cs="Times New Roman"/>
                <w:i/>
                <w:sz w:val="18"/>
                <w:szCs w:val="14"/>
                <w:lang w:val="ro-RO"/>
              </w:rPr>
            </w:pPr>
          </w:p>
          <w:p w14:paraId="4DE1F6A2" w14:textId="77777777" w:rsidR="00FC448B" w:rsidRPr="009C5F11" w:rsidRDefault="00FC448B" w:rsidP="00430626">
            <w:pPr>
              <w:spacing w:before="120" w:after="120" w:line="240" w:lineRule="auto"/>
              <w:rPr>
                <w:rFonts w:ascii="Times New Roman" w:hAnsi="Times New Roman" w:cs="Times New Roman"/>
                <w:i/>
                <w:sz w:val="18"/>
                <w:szCs w:val="14"/>
                <w:lang w:val="ro-RO"/>
              </w:rPr>
            </w:pPr>
          </w:p>
          <w:p w14:paraId="64E2B682" w14:textId="77777777" w:rsidR="00BC2ED4" w:rsidRPr="009C5F11" w:rsidRDefault="00581F58"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În fiecare an,</w:t>
            </w:r>
            <w:r w:rsidR="00BC2ED4" w:rsidRPr="009C5F11">
              <w:rPr>
                <w:rFonts w:ascii="Times New Roman" w:hAnsi="Times New Roman" w:cs="Times New Roman"/>
                <w:i/>
                <w:sz w:val="18"/>
                <w:szCs w:val="14"/>
                <w:lang w:val="ro-RO"/>
              </w:rPr>
              <w:t xml:space="preserve"> </w:t>
            </w:r>
            <w:r w:rsidR="00017161" w:rsidRPr="009C5F11">
              <w:rPr>
                <w:rFonts w:ascii="Times New Roman" w:hAnsi="Times New Roman" w:cs="Times New Roman"/>
                <w:i/>
                <w:sz w:val="18"/>
                <w:szCs w:val="14"/>
                <w:lang w:val="ro-RO"/>
              </w:rPr>
              <w:t>începând din</w:t>
            </w:r>
            <w:r w:rsidR="00BC2ED4" w:rsidRPr="009C5F11">
              <w:rPr>
                <w:rFonts w:ascii="Times New Roman" w:hAnsi="Times New Roman" w:cs="Times New Roman"/>
                <w:i/>
                <w:sz w:val="18"/>
                <w:szCs w:val="14"/>
                <w:lang w:val="ro-RO"/>
              </w:rPr>
              <w:t xml:space="preserve"> 1 </w:t>
            </w:r>
            <w:r w:rsidR="000A4CC7" w:rsidRPr="009C5F11">
              <w:rPr>
                <w:rFonts w:ascii="Times New Roman" w:hAnsi="Times New Roman" w:cs="Times New Roman"/>
                <w:i/>
                <w:sz w:val="18"/>
                <w:szCs w:val="14"/>
                <w:lang w:val="ro-RO"/>
              </w:rPr>
              <w:t>decembrie</w:t>
            </w:r>
            <w:r w:rsidR="00BC2ED4" w:rsidRPr="009C5F11">
              <w:rPr>
                <w:rFonts w:ascii="Times New Roman" w:hAnsi="Times New Roman" w:cs="Times New Roman"/>
                <w:i/>
                <w:sz w:val="18"/>
                <w:szCs w:val="14"/>
                <w:lang w:val="ro-RO"/>
              </w:rPr>
              <w:t xml:space="preserve"> 2017</w:t>
            </w:r>
          </w:p>
        </w:tc>
        <w:tc>
          <w:tcPr>
            <w:tcW w:w="1097" w:type="pct"/>
          </w:tcPr>
          <w:p w14:paraId="6880813A" w14:textId="77777777" w:rsidR="00BC2ED4" w:rsidRPr="009C5F11" w:rsidRDefault="00BC2ED4" w:rsidP="00B40DB5">
            <w:pPr>
              <w:spacing w:line="240" w:lineRule="auto"/>
              <w:rPr>
                <w:rFonts w:ascii="Times New Roman" w:hAnsi="Times New Roman" w:cs="Times New Roman"/>
                <w:i/>
                <w:sz w:val="18"/>
                <w:szCs w:val="14"/>
                <w:lang w:val="ro-RO"/>
              </w:rPr>
            </w:pPr>
            <w:r w:rsidRPr="009C5F11">
              <w:rPr>
                <w:rFonts w:ascii="Times New Roman" w:hAnsi="Times New Roman" w:cs="Times New Roman"/>
                <w:b/>
                <w:i/>
                <w:sz w:val="18"/>
                <w:szCs w:val="14"/>
                <w:u w:val="single"/>
                <w:lang w:val="ro-RO"/>
              </w:rPr>
              <w:lastRenderedPageBreak/>
              <w:t>Legislativ</w:t>
            </w:r>
            <w:r w:rsidR="00E376C4" w:rsidRPr="009C5F11">
              <w:rPr>
                <w:rFonts w:ascii="Times New Roman" w:hAnsi="Times New Roman" w:cs="Times New Roman"/>
                <w:b/>
                <w:i/>
                <w:sz w:val="18"/>
                <w:szCs w:val="14"/>
                <w:u w:val="single"/>
                <w:lang w:val="ro-RO"/>
              </w:rPr>
              <w:t>ă</w:t>
            </w:r>
            <w:r w:rsidRPr="009C5F11">
              <w:rPr>
                <w:rFonts w:ascii="Times New Roman" w:hAnsi="Times New Roman" w:cs="Times New Roman"/>
                <w:b/>
                <w:i/>
                <w:sz w:val="18"/>
                <w:szCs w:val="14"/>
                <w:u w:val="single"/>
                <w:lang w:val="ro-RO"/>
              </w:rPr>
              <w:t xml:space="preserve">: </w:t>
            </w:r>
            <w:r w:rsidR="00642D37" w:rsidRPr="009C5F11">
              <w:rPr>
                <w:rFonts w:ascii="Times New Roman" w:hAnsi="Times New Roman" w:cs="Times New Roman"/>
                <w:i/>
                <w:sz w:val="18"/>
                <w:szCs w:val="14"/>
                <w:lang w:val="ro-RO"/>
              </w:rPr>
              <w:t>metodologie</w:t>
            </w:r>
            <w:r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de</w:t>
            </w:r>
            <w:r w:rsidRPr="009C5F11">
              <w:rPr>
                <w:rFonts w:ascii="Times New Roman" w:hAnsi="Times New Roman" w:cs="Times New Roman"/>
                <w:i/>
                <w:sz w:val="18"/>
                <w:szCs w:val="14"/>
                <w:lang w:val="ro-RO"/>
              </w:rPr>
              <w:t xml:space="preserve"> calcul</w:t>
            </w:r>
            <w:r w:rsidR="00E376C4" w:rsidRPr="009C5F11">
              <w:rPr>
                <w:rFonts w:ascii="Times New Roman" w:hAnsi="Times New Roman" w:cs="Times New Roman"/>
                <w:i/>
                <w:sz w:val="18"/>
                <w:szCs w:val="14"/>
                <w:lang w:val="ro-RO"/>
              </w:rPr>
              <w:t xml:space="preserve"> a</w:t>
            </w:r>
            <w:r w:rsidR="00B70A4B" w:rsidRPr="009C5F11">
              <w:rPr>
                <w:rFonts w:ascii="Times New Roman" w:hAnsi="Times New Roman" w:cs="Times New Roman"/>
                <w:i/>
                <w:sz w:val="18"/>
                <w:szCs w:val="14"/>
                <w:lang w:val="ro-RO"/>
              </w:rPr>
              <w:t>l</w:t>
            </w:r>
            <w:r w:rsidRPr="009C5F11">
              <w:rPr>
                <w:rFonts w:ascii="Times New Roman" w:hAnsi="Times New Roman" w:cs="Times New Roman"/>
                <w:i/>
                <w:sz w:val="18"/>
                <w:szCs w:val="14"/>
                <w:lang w:val="ro-RO"/>
              </w:rPr>
              <w:t xml:space="preserve"> </w:t>
            </w:r>
            <w:r w:rsidR="00A13B50" w:rsidRPr="009C5F11">
              <w:rPr>
                <w:rFonts w:ascii="Times New Roman" w:hAnsi="Times New Roman" w:cs="Times New Roman"/>
                <w:i/>
                <w:sz w:val="18"/>
                <w:szCs w:val="14"/>
                <w:lang w:val="ro-RO"/>
              </w:rPr>
              <w:t>performanţ</w:t>
            </w:r>
            <w:r w:rsidR="00E376C4" w:rsidRPr="009C5F11">
              <w:rPr>
                <w:rFonts w:ascii="Times New Roman" w:hAnsi="Times New Roman" w:cs="Times New Roman"/>
                <w:i/>
                <w:sz w:val="18"/>
                <w:szCs w:val="14"/>
                <w:lang w:val="ro-RO"/>
              </w:rPr>
              <w:t>ei</w:t>
            </w:r>
            <w:r w:rsidR="00A13B50" w:rsidRPr="009C5F11">
              <w:rPr>
                <w:rFonts w:ascii="Times New Roman" w:hAnsi="Times New Roman" w:cs="Times New Roman"/>
                <w:i/>
                <w:sz w:val="18"/>
                <w:szCs w:val="14"/>
                <w:lang w:val="ro-RO"/>
              </w:rPr>
              <w:t xml:space="preserve"> energetic</w:t>
            </w:r>
            <w:r w:rsidR="00B70A4B" w:rsidRPr="009C5F11">
              <w:rPr>
                <w:rFonts w:ascii="Times New Roman" w:hAnsi="Times New Roman" w:cs="Times New Roman"/>
                <w:i/>
                <w:sz w:val="18"/>
                <w:szCs w:val="14"/>
                <w:lang w:val="ro-RO"/>
              </w:rPr>
              <w:t>e</w:t>
            </w:r>
            <w:r w:rsidRPr="009C5F11">
              <w:rPr>
                <w:rFonts w:ascii="Times New Roman" w:hAnsi="Times New Roman" w:cs="Times New Roman"/>
                <w:i/>
                <w:sz w:val="18"/>
                <w:szCs w:val="14"/>
                <w:lang w:val="ro-RO"/>
              </w:rPr>
              <w:t xml:space="preserve">, </w:t>
            </w:r>
            <w:r w:rsidR="00B70A4B" w:rsidRPr="009C5F11">
              <w:rPr>
                <w:rFonts w:ascii="Times New Roman" w:hAnsi="Times New Roman" w:cs="Times New Roman"/>
                <w:i/>
                <w:sz w:val="18"/>
                <w:szCs w:val="14"/>
                <w:lang w:val="ro-RO"/>
              </w:rPr>
              <w:t xml:space="preserve">al </w:t>
            </w:r>
            <w:r w:rsidR="00E376C4" w:rsidRPr="009C5F11">
              <w:rPr>
                <w:rFonts w:ascii="Times New Roman" w:hAnsi="Times New Roman" w:cs="Times New Roman"/>
                <w:i/>
                <w:sz w:val="18"/>
                <w:szCs w:val="14"/>
                <w:lang w:val="ro-RO"/>
              </w:rPr>
              <w:t xml:space="preserve">cerinţelor minime de </w:t>
            </w:r>
            <w:r w:rsidR="004E780C" w:rsidRPr="009C5F11">
              <w:rPr>
                <w:rFonts w:ascii="Times New Roman" w:hAnsi="Times New Roman" w:cs="Times New Roman"/>
                <w:i/>
                <w:sz w:val="18"/>
                <w:szCs w:val="14"/>
                <w:lang w:val="ro-RO"/>
              </w:rPr>
              <w:t>performanţ</w:t>
            </w:r>
            <w:r w:rsidR="00E376C4" w:rsidRPr="009C5F11">
              <w:rPr>
                <w:rFonts w:ascii="Times New Roman" w:hAnsi="Times New Roman" w:cs="Times New Roman"/>
                <w:i/>
                <w:sz w:val="18"/>
                <w:szCs w:val="14"/>
                <w:lang w:val="ro-RO"/>
              </w:rPr>
              <w:t>ă</w:t>
            </w:r>
            <w:r w:rsidR="004E780C" w:rsidRPr="009C5F11">
              <w:rPr>
                <w:rFonts w:ascii="Times New Roman" w:hAnsi="Times New Roman" w:cs="Times New Roman"/>
                <w:i/>
                <w:sz w:val="18"/>
                <w:szCs w:val="14"/>
                <w:lang w:val="ro-RO"/>
              </w:rPr>
              <w:t xml:space="preserve"> energetică </w:t>
            </w:r>
            <w:r w:rsidR="00C55F0D" w:rsidRPr="009C5F11">
              <w:rPr>
                <w:rFonts w:ascii="Times New Roman" w:hAnsi="Times New Roman" w:cs="Times New Roman"/>
                <w:i/>
                <w:sz w:val="18"/>
                <w:szCs w:val="14"/>
                <w:lang w:val="ro-RO"/>
              </w:rPr>
              <w:t>în conformitate cu</w:t>
            </w:r>
            <w:r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calcularea nivelului optim al costurilor.</w:t>
            </w:r>
          </w:p>
          <w:p w14:paraId="24EA6C68" w14:textId="77777777" w:rsidR="00BC2ED4" w:rsidRPr="009C5F11" w:rsidRDefault="00BC2ED4" w:rsidP="00430626">
            <w:pPr>
              <w:spacing w:line="240" w:lineRule="auto"/>
              <w:rPr>
                <w:rFonts w:ascii="Times New Roman" w:hAnsi="Times New Roman" w:cs="Times New Roman"/>
                <w:i/>
                <w:sz w:val="18"/>
                <w:szCs w:val="14"/>
                <w:lang w:val="ro-RO"/>
              </w:rPr>
            </w:pPr>
            <w:r w:rsidRPr="009C5F11">
              <w:rPr>
                <w:rFonts w:ascii="Times New Roman" w:hAnsi="Times New Roman" w:cs="Times New Roman"/>
                <w:b/>
                <w:i/>
                <w:sz w:val="18"/>
                <w:szCs w:val="14"/>
                <w:u w:val="single"/>
                <w:lang w:val="ro-RO"/>
              </w:rPr>
              <w:lastRenderedPageBreak/>
              <w:t>Administrativ</w:t>
            </w:r>
            <w:r w:rsidR="00B70A4B" w:rsidRPr="009C5F11">
              <w:rPr>
                <w:rFonts w:ascii="Times New Roman" w:hAnsi="Times New Roman" w:cs="Times New Roman"/>
                <w:b/>
                <w:i/>
                <w:sz w:val="18"/>
                <w:szCs w:val="14"/>
                <w:u w:val="single"/>
                <w:lang w:val="ro-RO"/>
              </w:rPr>
              <w:t>ă</w:t>
            </w:r>
            <w:r w:rsidRPr="009C5F11">
              <w:rPr>
                <w:rFonts w:ascii="Times New Roman" w:hAnsi="Times New Roman" w:cs="Times New Roman"/>
                <w:b/>
                <w:i/>
                <w:sz w:val="18"/>
                <w:szCs w:val="14"/>
                <w:u w:val="single"/>
                <w:lang w:val="ro-RO"/>
              </w:rPr>
              <w:t xml:space="preserve">: </w:t>
            </w:r>
            <w:r w:rsidRPr="009C5F11">
              <w:rPr>
                <w:rFonts w:ascii="Times New Roman" w:hAnsi="Times New Roman" w:cs="Times New Roman"/>
                <w:i/>
                <w:sz w:val="18"/>
                <w:szCs w:val="14"/>
                <w:lang w:val="ro-RO"/>
              </w:rPr>
              <w:t>invent</w:t>
            </w:r>
            <w:r w:rsidR="00E376C4" w:rsidRPr="009C5F11">
              <w:rPr>
                <w:rFonts w:ascii="Times New Roman" w:hAnsi="Times New Roman" w:cs="Times New Roman"/>
                <w:i/>
                <w:sz w:val="18"/>
                <w:szCs w:val="14"/>
                <w:lang w:val="ro-RO"/>
              </w:rPr>
              <w:t xml:space="preserve">arul </w:t>
            </w:r>
            <w:r w:rsidR="00693850" w:rsidRPr="009C5F11">
              <w:rPr>
                <w:rFonts w:ascii="Times New Roman" w:hAnsi="Times New Roman" w:cs="Times New Roman"/>
                <w:i/>
                <w:sz w:val="18"/>
                <w:szCs w:val="14"/>
                <w:lang w:val="ro-RO"/>
              </w:rPr>
              <w:t>clădirilor</w:t>
            </w:r>
            <w:r w:rsidR="007F77BE" w:rsidRPr="009C5F11">
              <w:rPr>
                <w:rFonts w:ascii="Times New Roman" w:hAnsi="Times New Roman" w:cs="Times New Roman"/>
                <w:i/>
                <w:sz w:val="18"/>
                <w:szCs w:val="14"/>
                <w:lang w:val="ro-RO"/>
              </w:rPr>
              <w:t xml:space="preserve"> publice</w:t>
            </w:r>
            <w:r w:rsidR="00B70A4B" w:rsidRPr="009C5F11">
              <w:rPr>
                <w:rFonts w:ascii="Times New Roman" w:hAnsi="Times New Roman" w:cs="Times New Roman"/>
                <w:i/>
                <w:sz w:val="18"/>
                <w:szCs w:val="14"/>
                <w:lang w:val="ro-RO"/>
              </w:rPr>
              <w:t>.</w:t>
            </w:r>
          </w:p>
          <w:p w14:paraId="504D9F8E" w14:textId="77777777" w:rsidR="00BC2ED4" w:rsidRPr="009C5F11" w:rsidRDefault="00BC2ED4" w:rsidP="00430626">
            <w:pPr>
              <w:spacing w:line="240" w:lineRule="auto"/>
              <w:rPr>
                <w:rFonts w:ascii="Times New Roman" w:hAnsi="Times New Roman" w:cs="Times New Roman"/>
                <w:i/>
                <w:sz w:val="18"/>
                <w:szCs w:val="14"/>
                <w:lang w:val="ro-RO"/>
              </w:rPr>
            </w:pPr>
            <w:r w:rsidRPr="009C5F11">
              <w:rPr>
                <w:rFonts w:ascii="Times New Roman" w:hAnsi="Times New Roman" w:cs="Times New Roman"/>
                <w:b/>
                <w:i/>
                <w:sz w:val="18"/>
                <w:szCs w:val="14"/>
                <w:u w:val="single"/>
                <w:lang w:val="ro-RO"/>
              </w:rPr>
              <w:t>Strategic</w:t>
            </w:r>
            <w:r w:rsidR="00B70A4B" w:rsidRPr="009C5F11">
              <w:rPr>
                <w:rFonts w:ascii="Times New Roman" w:hAnsi="Times New Roman" w:cs="Times New Roman"/>
                <w:b/>
                <w:i/>
                <w:sz w:val="18"/>
                <w:szCs w:val="14"/>
                <w:u w:val="single"/>
                <w:lang w:val="ro-RO"/>
              </w:rPr>
              <w:t>ă</w:t>
            </w:r>
            <w:r w:rsidRPr="009C5F11">
              <w:rPr>
                <w:rFonts w:ascii="Times New Roman" w:hAnsi="Times New Roman" w:cs="Times New Roman"/>
                <w:b/>
                <w:i/>
                <w:sz w:val="18"/>
                <w:szCs w:val="14"/>
                <w:u w:val="single"/>
                <w:lang w:val="ro-RO"/>
              </w:rPr>
              <w:t xml:space="preserve">: </w:t>
            </w:r>
            <w:r w:rsidR="00E376C4" w:rsidRPr="009C5F11">
              <w:rPr>
                <w:rFonts w:ascii="Times New Roman" w:hAnsi="Times New Roman" w:cs="Times New Roman"/>
                <w:i/>
                <w:sz w:val="18"/>
                <w:szCs w:val="14"/>
                <w:lang w:val="ro-RO"/>
              </w:rPr>
              <w:t>planuri naţionale</w:t>
            </w:r>
            <w:r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 xml:space="preserve">de </w:t>
            </w:r>
            <w:r w:rsidR="003719BD" w:rsidRPr="009C5F11">
              <w:rPr>
                <w:rFonts w:ascii="Times New Roman" w:hAnsi="Times New Roman" w:cs="Times New Roman"/>
                <w:i/>
                <w:sz w:val="18"/>
                <w:szCs w:val="14"/>
                <w:lang w:val="ro-RO"/>
              </w:rPr>
              <w:t>îmbunătăţi</w:t>
            </w:r>
            <w:r w:rsidR="00E376C4" w:rsidRPr="009C5F11">
              <w:rPr>
                <w:rFonts w:ascii="Times New Roman" w:hAnsi="Times New Roman" w:cs="Times New Roman"/>
                <w:i/>
                <w:sz w:val="18"/>
                <w:szCs w:val="14"/>
                <w:lang w:val="ro-RO"/>
              </w:rPr>
              <w:t>re a</w:t>
            </w:r>
            <w:r w:rsidRPr="009C5F11">
              <w:rPr>
                <w:rFonts w:ascii="Times New Roman" w:hAnsi="Times New Roman" w:cs="Times New Roman"/>
                <w:i/>
                <w:sz w:val="18"/>
                <w:szCs w:val="14"/>
                <w:lang w:val="ro-RO"/>
              </w:rPr>
              <w:t xml:space="preserve"> </w:t>
            </w:r>
            <w:r w:rsidR="00D160E1" w:rsidRPr="009C5F11">
              <w:rPr>
                <w:rFonts w:ascii="Times New Roman" w:hAnsi="Times New Roman" w:cs="Times New Roman"/>
                <w:i/>
                <w:sz w:val="18"/>
                <w:szCs w:val="14"/>
                <w:lang w:val="ro-RO"/>
              </w:rPr>
              <w:t>PE</w:t>
            </w:r>
            <w:r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 xml:space="preserve">pentru </w:t>
            </w:r>
            <w:r w:rsidR="007F77BE" w:rsidRPr="009C5F11">
              <w:rPr>
                <w:rFonts w:ascii="Times New Roman" w:hAnsi="Times New Roman" w:cs="Times New Roman"/>
                <w:i/>
                <w:sz w:val="18"/>
                <w:szCs w:val="14"/>
                <w:lang w:val="ro-RO"/>
              </w:rPr>
              <w:t>clădirile publice</w:t>
            </w:r>
            <w:r w:rsidR="00E376C4" w:rsidRPr="009C5F11">
              <w:rPr>
                <w:rFonts w:ascii="Times New Roman" w:hAnsi="Times New Roman" w:cs="Times New Roman"/>
                <w:i/>
                <w:sz w:val="18"/>
                <w:szCs w:val="14"/>
                <w:lang w:val="ro-RO"/>
              </w:rPr>
              <w:t>.</w:t>
            </w:r>
            <w:r w:rsidRPr="009C5F11">
              <w:rPr>
                <w:rFonts w:ascii="Times New Roman" w:hAnsi="Times New Roman" w:cs="Times New Roman"/>
                <w:i/>
                <w:sz w:val="18"/>
                <w:szCs w:val="14"/>
                <w:lang w:val="ro-RO"/>
              </w:rPr>
              <w:t xml:space="preserve"> </w:t>
            </w:r>
          </w:p>
          <w:p w14:paraId="4CEEF941" w14:textId="77777777" w:rsidR="00BC2ED4" w:rsidRPr="009C5F11" w:rsidRDefault="00E376C4" w:rsidP="00FA684C">
            <w:pPr>
              <w:spacing w:after="120" w:line="240" w:lineRule="auto"/>
              <w:rPr>
                <w:rFonts w:ascii="Times New Roman" w:hAnsi="Times New Roman" w:cs="Times New Roman"/>
                <w:i/>
                <w:sz w:val="18"/>
                <w:szCs w:val="14"/>
                <w:lang w:val="ro-RO"/>
              </w:rPr>
            </w:pPr>
            <w:r w:rsidRPr="009C5F11">
              <w:rPr>
                <w:rFonts w:ascii="Times New Roman" w:hAnsi="Times New Roman" w:cs="Times New Roman"/>
                <w:b/>
                <w:i/>
                <w:sz w:val="18"/>
                <w:szCs w:val="14"/>
                <w:u w:val="single"/>
                <w:lang w:val="ro-RO"/>
              </w:rPr>
              <w:t>A</w:t>
            </w:r>
            <w:r w:rsidR="008F7BD5" w:rsidRPr="009C5F11">
              <w:rPr>
                <w:rFonts w:ascii="Times New Roman" w:hAnsi="Times New Roman" w:cs="Times New Roman"/>
                <w:b/>
                <w:i/>
                <w:sz w:val="18"/>
                <w:szCs w:val="14"/>
                <w:u w:val="single"/>
                <w:lang w:val="ro-RO"/>
              </w:rPr>
              <w:t>cţiunile</w:t>
            </w:r>
            <w:r w:rsidRPr="009C5F11">
              <w:rPr>
                <w:rFonts w:ascii="Times New Roman" w:hAnsi="Times New Roman" w:cs="Times New Roman"/>
                <w:b/>
                <w:i/>
                <w:sz w:val="18"/>
                <w:szCs w:val="14"/>
                <w:u w:val="single"/>
                <w:lang w:val="ro-RO"/>
              </w:rPr>
              <w:t xml:space="preserve"> indicate</w:t>
            </w:r>
            <w:r w:rsidR="00BC2ED4" w:rsidRPr="009C5F11">
              <w:rPr>
                <w:rFonts w:ascii="Times New Roman" w:hAnsi="Times New Roman" w:cs="Times New Roman"/>
                <w:b/>
                <w:i/>
                <w:sz w:val="18"/>
                <w:szCs w:val="14"/>
                <w:u w:val="single"/>
                <w:lang w:val="ro-RO"/>
              </w:rPr>
              <w:t>:</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renovarea</w:t>
            </w:r>
            <w:r w:rsidR="00BC2ED4" w:rsidRPr="009C5F11">
              <w:rPr>
                <w:rFonts w:ascii="Times New Roman" w:hAnsi="Times New Roman" w:cs="Times New Roman"/>
                <w:i/>
                <w:sz w:val="18"/>
                <w:szCs w:val="14"/>
                <w:lang w:val="ro-RO"/>
              </w:rPr>
              <w:t xml:space="preserve"> </w:t>
            </w:r>
            <w:r w:rsidR="00C55F0D" w:rsidRPr="009C5F11">
              <w:rPr>
                <w:rFonts w:ascii="Times New Roman" w:hAnsi="Times New Roman" w:cs="Times New Roman"/>
                <w:i/>
                <w:sz w:val="18"/>
                <w:szCs w:val="14"/>
                <w:lang w:val="ro-RO"/>
              </w:rPr>
              <w:t>în conformitate cu</w:t>
            </w:r>
            <w:r w:rsidR="00BC2ED4" w:rsidRPr="009C5F11">
              <w:rPr>
                <w:rFonts w:ascii="Times New Roman" w:hAnsi="Times New Roman" w:cs="Times New Roman"/>
                <w:i/>
                <w:sz w:val="18"/>
                <w:szCs w:val="14"/>
                <w:lang w:val="ro-RO"/>
              </w:rPr>
              <w:t xml:space="preserve"> </w:t>
            </w:r>
            <w:r w:rsidR="00FA684C" w:rsidRPr="009C5F11">
              <w:rPr>
                <w:rFonts w:ascii="Times New Roman" w:hAnsi="Times New Roman" w:cs="Times New Roman"/>
                <w:i/>
                <w:sz w:val="18"/>
                <w:szCs w:val="14"/>
                <w:lang w:val="ro-RO"/>
              </w:rPr>
              <w:t>cerinţele</w:t>
            </w:r>
            <w:r w:rsidR="00321CD5" w:rsidRPr="009C5F11">
              <w:rPr>
                <w:rFonts w:ascii="Times New Roman" w:hAnsi="Times New Roman" w:cs="Times New Roman"/>
                <w:i/>
                <w:sz w:val="18"/>
                <w:szCs w:val="14"/>
                <w:lang w:val="ro-RO"/>
              </w:rPr>
              <w:t xml:space="preserve"> şi </w:t>
            </w:r>
            <w:r w:rsidR="00FA684C" w:rsidRPr="009C5F11">
              <w:rPr>
                <w:rFonts w:ascii="Times New Roman" w:hAnsi="Times New Roman" w:cs="Times New Roman"/>
                <w:i/>
                <w:sz w:val="18"/>
                <w:szCs w:val="14"/>
                <w:lang w:val="ro-RO"/>
              </w:rPr>
              <w:t>elaborarea politicilor</w:t>
            </w:r>
            <w:r w:rsidR="00BC2ED4" w:rsidRPr="009C5F11">
              <w:rPr>
                <w:rFonts w:ascii="Times New Roman" w:hAnsi="Times New Roman" w:cs="Times New Roman"/>
                <w:i/>
                <w:sz w:val="18"/>
                <w:szCs w:val="14"/>
                <w:lang w:val="ro-RO"/>
              </w:rPr>
              <w:t xml:space="preserve"> </w:t>
            </w:r>
            <w:r w:rsidR="00B40A7C" w:rsidRPr="009C5F11">
              <w:rPr>
                <w:rFonts w:ascii="Times New Roman" w:hAnsi="Times New Roman" w:cs="Times New Roman"/>
                <w:i/>
                <w:sz w:val="18"/>
                <w:szCs w:val="14"/>
                <w:lang w:val="ro-RO"/>
              </w:rPr>
              <w:t>naţional</w:t>
            </w:r>
            <w:r w:rsidR="00FA684C" w:rsidRPr="009C5F11">
              <w:rPr>
                <w:rFonts w:ascii="Times New Roman" w:hAnsi="Times New Roman" w:cs="Times New Roman"/>
                <w:i/>
                <w:sz w:val="18"/>
                <w:szCs w:val="14"/>
                <w:lang w:val="ro-RO"/>
              </w:rPr>
              <w:t>e.</w:t>
            </w:r>
            <w:r w:rsidR="00BC2ED4" w:rsidRPr="009C5F11">
              <w:rPr>
                <w:rFonts w:ascii="Times New Roman" w:hAnsi="Times New Roman" w:cs="Times New Roman"/>
                <w:i/>
                <w:sz w:val="18"/>
                <w:szCs w:val="14"/>
                <w:lang w:val="ro-RO"/>
              </w:rPr>
              <w:t xml:space="preserve"> </w:t>
            </w:r>
          </w:p>
        </w:tc>
        <w:tc>
          <w:tcPr>
            <w:tcW w:w="1141" w:type="pct"/>
            <w:shd w:val="clear" w:color="auto" w:fill="auto"/>
          </w:tcPr>
          <w:p w14:paraId="06DD1752" w14:textId="77777777" w:rsidR="00BC2ED4" w:rsidRPr="009C5F11" w:rsidRDefault="00927CD9"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Legea nr.</w:t>
            </w:r>
            <w:r w:rsidR="00BC2ED4" w:rsidRPr="009C5F11">
              <w:rPr>
                <w:rFonts w:ascii="Times New Roman" w:hAnsi="Times New Roman" w:cs="Times New Roman"/>
                <w:i/>
                <w:sz w:val="18"/>
                <w:szCs w:val="14"/>
                <w:lang w:val="ro-RO"/>
              </w:rPr>
              <w:t xml:space="preserve"> 128 </w:t>
            </w:r>
            <w:r w:rsidR="00201D7F" w:rsidRPr="009C5F11">
              <w:rPr>
                <w:rFonts w:ascii="Times New Roman" w:hAnsi="Times New Roman" w:cs="Times New Roman"/>
                <w:i/>
                <w:sz w:val="18"/>
                <w:szCs w:val="14"/>
                <w:lang w:val="ro-RO"/>
              </w:rPr>
              <w:t>privind performanţa energetică a clădirilor</w:t>
            </w:r>
            <w:r w:rsidR="00BC2ED4"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 xml:space="preserve">a fost </w:t>
            </w:r>
            <w:r w:rsidR="00BC2ED4" w:rsidRPr="009C5F11">
              <w:rPr>
                <w:rFonts w:ascii="Times New Roman" w:hAnsi="Times New Roman" w:cs="Times New Roman"/>
                <w:i/>
                <w:sz w:val="18"/>
                <w:szCs w:val="14"/>
                <w:lang w:val="ro-RO"/>
              </w:rPr>
              <w:t>adopt</w:t>
            </w:r>
            <w:r w:rsidR="00E376C4" w:rsidRPr="009C5F11">
              <w:rPr>
                <w:rFonts w:ascii="Times New Roman" w:hAnsi="Times New Roman" w:cs="Times New Roman"/>
                <w:i/>
                <w:sz w:val="18"/>
                <w:szCs w:val="14"/>
                <w:lang w:val="ro-RO"/>
              </w:rPr>
              <w:t>at</w:t>
            </w:r>
            <w:r w:rsidR="00A97A0E" w:rsidRPr="009C5F11">
              <w:rPr>
                <w:rFonts w:ascii="Times New Roman" w:hAnsi="Times New Roman" w:cs="Times New Roman"/>
                <w:i/>
                <w:sz w:val="18"/>
                <w:szCs w:val="14"/>
                <w:lang w:val="ro-RO"/>
              </w:rPr>
              <w:t>ă</w:t>
            </w:r>
            <w:r w:rsidR="00BC2ED4" w:rsidRPr="009C5F11">
              <w:rPr>
                <w:rFonts w:ascii="Times New Roman" w:hAnsi="Times New Roman" w:cs="Times New Roman"/>
                <w:i/>
                <w:sz w:val="18"/>
                <w:szCs w:val="14"/>
                <w:lang w:val="ro-RO"/>
              </w:rPr>
              <w:t>.</w:t>
            </w:r>
          </w:p>
          <w:p w14:paraId="6AD45D0F" w14:textId="77777777" w:rsidR="00BC2ED4" w:rsidRPr="009C5F11" w:rsidRDefault="00E376C4"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Nu există acte legislative în susţinerea îndeplinirii acestor cerinţe. </w:t>
            </w:r>
          </w:p>
          <w:p w14:paraId="7002F218" w14:textId="77777777" w:rsidR="00BC2ED4" w:rsidRPr="009C5F11" w:rsidRDefault="00E376C4"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Proiectul</w:t>
            </w:r>
            <w:r w:rsidR="00BC2ED4" w:rsidRPr="009C5F11">
              <w:rPr>
                <w:rFonts w:ascii="Times New Roman" w:hAnsi="Times New Roman" w:cs="Times New Roman"/>
                <w:i/>
                <w:sz w:val="18"/>
                <w:szCs w:val="14"/>
                <w:lang w:val="ro-RO"/>
              </w:rPr>
              <w:t xml:space="preserve"> “</w:t>
            </w:r>
            <w:r w:rsidR="00D160E1" w:rsidRPr="009C5F11">
              <w:rPr>
                <w:rFonts w:ascii="Times New Roman" w:hAnsi="Times New Roman" w:cs="Times New Roman"/>
                <w:i/>
                <w:sz w:val="18"/>
                <w:szCs w:val="14"/>
                <w:lang w:val="ro-RO"/>
              </w:rPr>
              <w:t xml:space="preserve">Foaia de parcurs pentru </w:t>
            </w:r>
            <w:r w:rsidR="00D160E1" w:rsidRPr="009C5F11">
              <w:rPr>
                <w:rFonts w:ascii="Times New Roman" w:hAnsi="Times New Roman" w:cs="Times New Roman"/>
                <w:i/>
                <w:sz w:val="18"/>
                <w:szCs w:val="14"/>
                <w:lang w:val="ro-RO"/>
              </w:rPr>
              <w:lastRenderedPageBreak/>
              <w:t>implementarea DPEC în Republica Moldova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de</w:t>
            </w:r>
            <w:r w:rsidR="00BC2ED4" w:rsidRPr="009C5F11">
              <w:rPr>
                <w:rFonts w:ascii="Times New Roman" w:hAnsi="Times New Roman" w:cs="Times New Roman"/>
                <w:i/>
                <w:sz w:val="18"/>
                <w:szCs w:val="14"/>
                <w:lang w:val="ro-RO"/>
              </w:rPr>
              <w:t xml:space="preserve"> adopt</w:t>
            </w:r>
            <w:r w:rsidRPr="009C5F11">
              <w:rPr>
                <w:rFonts w:ascii="Times New Roman" w:hAnsi="Times New Roman" w:cs="Times New Roman"/>
                <w:i/>
                <w:sz w:val="18"/>
                <w:szCs w:val="14"/>
                <w:lang w:val="ro-RO"/>
              </w:rPr>
              <w:t>at</w:t>
            </w:r>
            <w:r w:rsidR="00321CD5" w:rsidRPr="009C5F11">
              <w:rPr>
                <w:rFonts w:ascii="Times New Roman" w:hAnsi="Times New Roman" w:cs="Times New Roman"/>
                <w:i/>
                <w:sz w:val="18"/>
                <w:szCs w:val="14"/>
                <w:lang w:val="ro-RO"/>
              </w:rPr>
              <w:t xml:space="preserve"> şi </w:t>
            </w:r>
            <w:r w:rsidR="00A97A0E" w:rsidRPr="009C5F11">
              <w:rPr>
                <w:rFonts w:ascii="Times New Roman" w:hAnsi="Times New Roman" w:cs="Times New Roman"/>
                <w:i/>
                <w:sz w:val="18"/>
                <w:szCs w:val="14"/>
                <w:lang w:val="ro-RO"/>
              </w:rPr>
              <w:t xml:space="preserve">de </w:t>
            </w:r>
            <w:r w:rsidR="00BC2ED4" w:rsidRPr="009C5F11">
              <w:rPr>
                <w:rFonts w:ascii="Times New Roman" w:hAnsi="Times New Roman" w:cs="Times New Roman"/>
                <w:i/>
                <w:sz w:val="18"/>
                <w:szCs w:val="14"/>
                <w:lang w:val="ro-RO"/>
              </w:rPr>
              <w:t>implement</w:t>
            </w:r>
            <w:r w:rsidRPr="009C5F11">
              <w:rPr>
                <w:rFonts w:ascii="Times New Roman" w:hAnsi="Times New Roman" w:cs="Times New Roman"/>
                <w:i/>
                <w:sz w:val="18"/>
                <w:szCs w:val="14"/>
                <w:lang w:val="ro-RO"/>
              </w:rPr>
              <w:t>at.</w:t>
            </w:r>
          </w:p>
          <w:p w14:paraId="3C0E876B" w14:textId="77777777" w:rsidR="00BC2ED4" w:rsidRPr="009C5F11" w:rsidRDefault="00E376C4" w:rsidP="00E376C4">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Componenta l</w:t>
            </w:r>
            <w:r w:rsidR="00BC2ED4" w:rsidRPr="009C5F11">
              <w:rPr>
                <w:rFonts w:ascii="Times New Roman" w:hAnsi="Times New Roman" w:cs="Times New Roman"/>
                <w:i/>
                <w:sz w:val="18"/>
                <w:szCs w:val="14"/>
                <w:lang w:val="ro-RO"/>
              </w:rPr>
              <w:t>egislativ</w:t>
            </w:r>
            <w:r w:rsidRPr="009C5F11">
              <w:rPr>
                <w:rFonts w:ascii="Times New Roman" w:hAnsi="Times New Roman" w:cs="Times New Roman"/>
                <w:i/>
                <w:sz w:val="18"/>
                <w:szCs w:val="14"/>
                <w:lang w:val="ro-RO"/>
              </w:rPr>
              <w:t xml:space="preserve">ă este menţionată ca </w:t>
            </w:r>
            <w:r w:rsidR="00581F58" w:rsidRPr="009C5F11">
              <w:rPr>
                <w:rFonts w:ascii="Times New Roman" w:hAnsi="Times New Roman" w:cs="Times New Roman"/>
                <w:i/>
                <w:sz w:val="18"/>
                <w:szCs w:val="14"/>
                <w:lang w:val="ro-RO"/>
              </w:rPr>
              <w:t>parte</w:t>
            </w:r>
            <w:r w:rsidRPr="009C5F11">
              <w:rPr>
                <w:rFonts w:ascii="Times New Roman" w:hAnsi="Times New Roman" w:cs="Times New Roman"/>
                <w:i/>
                <w:sz w:val="18"/>
                <w:szCs w:val="14"/>
                <w:lang w:val="ro-RO"/>
              </w:rPr>
              <w:t xml:space="preserve"> </w:t>
            </w:r>
            <w:r w:rsidR="00581F58" w:rsidRPr="009C5F11">
              <w:rPr>
                <w:rFonts w:ascii="Times New Roman" w:hAnsi="Times New Roman" w:cs="Times New Roman"/>
                <w:i/>
                <w:sz w:val="18"/>
                <w:szCs w:val="14"/>
                <w:lang w:val="ro-RO"/>
              </w:rPr>
              <w:t xml:space="preserve">a </w:t>
            </w:r>
            <w:r w:rsidRPr="009C5F11">
              <w:rPr>
                <w:rFonts w:ascii="Times New Roman" w:hAnsi="Times New Roman" w:cs="Times New Roman"/>
                <w:i/>
                <w:sz w:val="18"/>
                <w:szCs w:val="14"/>
                <w:lang w:val="ro-RO"/>
              </w:rPr>
              <w:t>măsurii</w:t>
            </w:r>
            <w:r w:rsidR="00BC2ED4" w:rsidRPr="009C5F11">
              <w:rPr>
                <w:rFonts w:ascii="Times New Roman" w:hAnsi="Times New Roman" w:cs="Times New Roman"/>
                <w:i/>
                <w:sz w:val="18"/>
                <w:szCs w:val="14"/>
                <w:lang w:val="ro-RO"/>
              </w:rPr>
              <w:t xml:space="preserve"> B1 “</w:t>
            </w:r>
            <w:r w:rsidR="002B232C" w:rsidRPr="009C5F11">
              <w:rPr>
                <w:rFonts w:ascii="Times New Roman" w:hAnsi="Times New Roman" w:cs="Times New Roman"/>
                <w:i/>
                <w:sz w:val="18"/>
                <w:szCs w:val="14"/>
                <w:lang w:val="ro-RO"/>
              </w:rPr>
              <w:t>Elaborarea cadrului legal cu privire la</w:t>
            </w:r>
            <w:r w:rsidR="00D160E1" w:rsidRPr="009C5F11">
              <w:rPr>
                <w:rFonts w:ascii="Times New Roman" w:hAnsi="Times New Roman" w:cs="Times New Roman"/>
                <w:i/>
                <w:sz w:val="18"/>
                <w:szCs w:val="14"/>
                <w:lang w:val="ro-RO"/>
              </w:rPr>
              <w:t xml:space="preserve"> performanţa energetică a clădirilor</w:t>
            </w:r>
            <w:r w:rsidR="00A73756" w:rsidRPr="009C5F11">
              <w:rPr>
                <w:rFonts w:ascii="Times New Roman" w:hAnsi="Times New Roman" w:cs="Times New Roman"/>
                <w:i/>
                <w:sz w:val="18"/>
                <w:szCs w:val="14"/>
                <w:lang w:val="ro-RO"/>
              </w:rPr>
              <w:t>”</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iar componenta acţiunii necesare este </w:t>
            </w:r>
            <w:r w:rsidR="004A2281" w:rsidRPr="009C5F11">
              <w:rPr>
                <w:rFonts w:ascii="Times New Roman" w:hAnsi="Times New Roman" w:cs="Times New Roman"/>
                <w:i/>
                <w:sz w:val="18"/>
                <w:szCs w:val="14"/>
                <w:lang w:val="ro-RO"/>
              </w:rPr>
              <w:t>propusă</w:t>
            </w:r>
            <w:r w:rsidRPr="009C5F11">
              <w:rPr>
                <w:rFonts w:ascii="Times New Roman" w:hAnsi="Times New Roman" w:cs="Times New Roman"/>
                <w:i/>
                <w:sz w:val="18"/>
                <w:szCs w:val="14"/>
                <w:lang w:val="ro-RO"/>
              </w:rPr>
              <w:t xml:space="preserve"> ca </w:t>
            </w:r>
            <w:r w:rsidR="00581F58" w:rsidRPr="009C5F11">
              <w:rPr>
                <w:rFonts w:ascii="Times New Roman" w:hAnsi="Times New Roman" w:cs="Times New Roman"/>
                <w:i/>
                <w:sz w:val="18"/>
                <w:szCs w:val="14"/>
                <w:lang w:val="ro-RO"/>
              </w:rPr>
              <w:t>parte</w:t>
            </w:r>
            <w:r w:rsidRPr="009C5F11">
              <w:rPr>
                <w:rFonts w:ascii="Times New Roman" w:hAnsi="Times New Roman" w:cs="Times New Roman"/>
                <w:i/>
                <w:sz w:val="18"/>
                <w:szCs w:val="14"/>
                <w:lang w:val="ro-RO"/>
              </w:rPr>
              <w:t xml:space="preserve"> </w:t>
            </w:r>
            <w:r w:rsidR="00581F58" w:rsidRPr="009C5F11">
              <w:rPr>
                <w:rFonts w:ascii="Times New Roman" w:hAnsi="Times New Roman" w:cs="Times New Roman"/>
                <w:i/>
                <w:sz w:val="18"/>
                <w:szCs w:val="14"/>
                <w:lang w:val="ro-RO"/>
              </w:rPr>
              <w:t xml:space="preserve">a </w:t>
            </w:r>
            <w:r w:rsidRPr="009C5F11">
              <w:rPr>
                <w:rFonts w:ascii="Times New Roman" w:hAnsi="Times New Roman" w:cs="Times New Roman"/>
                <w:i/>
                <w:sz w:val="18"/>
                <w:szCs w:val="14"/>
                <w:lang w:val="ro-RO"/>
              </w:rPr>
              <w:t>măsurii</w:t>
            </w:r>
            <w:r w:rsidR="00BC2ED4" w:rsidRPr="009C5F11">
              <w:rPr>
                <w:rFonts w:ascii="Times New Roman" w:hAnsi="Times New Roman" w:cs="Times New Roman"/>
                <w:i/>
                <w:sz w:val="18"/>
                <w:szCs w:val="14"/>
                <w:lang w:val="ro-RO"/>
              </w:rPr>
              <w:t xml:space="preserve"> P1 “</w:t>
            </w:r>
            <w:r w:rsidRPr="009C5F11">
              <w:rPr>
                <w:rFonts w:ascii="Times New Roman" w:hAnsi="Times New Roman" w:cs="Times New Roman"/>
                <w:i/>
                <w:sz w:val="18"/>
                <w:szCs w:val="14"/>
                <w:lang w:val="ro-RO"/>
              </w:rPr>
              <w:t>Îmbunătăţirea</w:t>
            </w:r>
            <w:r w:rsidR="00BC2ED4" w:rsidRPr="009C5F11">
              <w:rPr>
                <w:rFonts w:ascii="Times New Roman" w:hAnsi="Times New Roman" w:cs="Times New Roman"/>
                <w:i/>
                <w:sz w:val="18"/>
                <w:szCs w:val="14"/>
                <w:lang w:val="ro-RO"/>
              </w:rPr>
              <w:t xml:space="preserve"> </w:t>
            </w:r>
            <w:r w:rsidR="00812E1D" w:rsidRPr="009C5F11">
              <w:rPr>
                <w:rFonts w:ascii="Times New Roman" w:hAnsi="Times New Roman" w:cs="Times New Roman"/>
                <w:i/>
                <w:sz w:val="18"/>
                <w:szCs w:val="14"/>
                <w:lang w:val="ro-RO"/>
              </w:rPr>
              <w:t>eficienţ</w:t>
            </w:r>
            <w:r w:rsidRPr="009C5F11">
              <w:rPr>
                <w:rFonts w:ascii="Times New Roman" w:hAnsi="Times New Roman" w:cs="Times New Roman"/>
                <w:i/>
                <w:sz w:val="18"/>
                <w:szCs w:val="14"/>
                <w:lang w:val="ro-RO"/>
              </w:rPr>
              <w:t>ei</w:t>
            </w:r>
            <w:r w:rsidR="00812E1D" w:rsidRPr="009C5F11">
              <w:rPr>
                <w:rFonts w:ascii="Times New Roman" w:hAnsi="Times New Roman" w:cs="Times New Roman"/>
                <w:i/>
                <w:sz w:val="18"/>
                <w:szCs w:val="14"/>
                <w:lang w:val="ro-RO"/>
              </w:rPr>
              <w:t xml:space="preserve"> energetică</w:t>
            </w:r>
            <w:r w:rsidR="00321CD5" w:rsidRPr="009C5F11">
              <w:rPr>
                <w:rFonts w:ascii="Times New Roman" w:hAnsi="Times New Roman" w:cs="Times New Roman"/>
                <w:i/>
                <w:sz w:val="18"/>
                <w:szCs w:val="14"/>
                <w:lang w:val="ro-RO"/>
              </w:rPr>
              <w:t xml:space="preserve"> în </w:t>
            </w:r>
            <w:r w:rsidRPr="009C5F11">
              <w:rPr>
                <w:rFonts w:ascii="Times New Roman" w:hAnsi="Times New Roman" w:cs="Times New Roman"/>
                <w:i/>
                <w:sz w:val="18"/>
                <w:szCs w:val="14"/>
                <w:lang w:val="ro-RO"/>
              </w:rPr>
              <w:t>sectorul clădirilor publice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din</w:t>
            </w:r>
            <w:r w:rsidR="00BC2ED4" w:rsidRPr="009C5F11">
              <w:rPr>
                <w:rFonts w:ascii="Times New Roman" w:hAnsi="Times New Roman" w:cs="Times New Roman"/>
                <w:i/>
                <w:sz w:val="18"/>
                <w:szCs w:val="14"/>
                <w:lang w:val="ro-RO"/>
              </w:rPr>
              <w:t xml:space="preserve"> </w:t>
            </w:r>
            <w:r w:rsidR="00D4035F" w:rsidRPr="009C5F11">
              <w:rPr>
                <w:rFonts w:ascii="Times New Roman" w:hAnsi="Times New Roman" w:cs="Times New Roman"/>
                <w:i/>
                <w:sz w:val="18"/>
                <w:szCs w:val="14"/>
                <w:lang w:val="ro-RO"/>
              </w:rPr>
              <w:t>PNAEE</w:t>
            </w:r>
            <w:r w:rsidR="00BC2ED4" w:rsidRPr="009C5F11">
              <w:rPr>
                <w:rFonts w:ascii="Times New Roman" w:hAnsi="Times New Roman" w:cs="Times New Roman"/>
                <w:i/>
                <w:sz w:val="18"/>
                <w:szCs w:val="14"/>
                <w:lang w:val="ro-RO"/>
              </w:rPr>
              <w:t xml:space="preserve"> 2016-2018</w:t>
            </w:r>
          </w:p>
        </w:tc>
        <w:tc>
          <w:tcPr>
            <w:tcW w:w="438" w:type="pct"/>
            <w:shd w:val="clear" w:color="auto" w:fill="auto"/>
          </w:tcPr>
          <w:p w14:paraId="146DE1B9" w14:textId="77777777" w:rsidR="00BC2ED4" w:rsidRPr="009C5F11" w:rsidRDefault="00AA0566"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MDRC</w:t>
            </w:r>
          </w:p>
          <w:p w14:paraId="5679457B" w14:textId="77777777" w:rsidR="00AE143B" w:rsidRPr="009C5F11" w:rsidRDefault="00AE143B" w:rsidP="00AE143B">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EEA</w:t>
            </w:r>
          </w:p>
          <w:p w14:paraId="056B6045" w14:textId="77777777" w:rsidR="00AE143B" w:rsidRPr="009C5F11" w:rsidRDefault="00AE143B" w:rsidP="00AE143B">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MoE</w:t>
            </w:r>
          </w:p>
        </w:tc>
      </w:tr>
      <w:tr w:rsidR="00341E16" w:rsidRPr="009C5F11" w14:paraId="7E4BFFE5" w14:textId="77777777" w:rsidTr="00732F30">
        <w:tc>
          <w:tcPr>
            <w:tcW w:w="216" w:type="pct"/>
            <w:shd w:val="clear" w:color="auto" w:fill="auto"/>
          </w:tcPr>
          <w:p w14:paraId="05F0FF40"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6</w:t>
            </w:r>
          </w:p>
        </w:tc>
        <w:tc>
          <w:tcPr>
            <w:tcW w:w="514" w:type="pct"/>
            <w:shd w:val="clear" w:color="auto" w:fill="auto"/>
          </w:tcPr>
          <w:p w14:paraId="097CDD78" w14:textId="77777777" w:rsidR="00BC2ED4" w:rsidRPr="009C5F11" w:rsidRDefault="00341E16" w:rsidP="00341E1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Achiziţii efectuate de organismele publice</w:t>
            </w:r>
          </w:p>
        </w:tc>
        <w:tc>
          <w:tcPr>
            <w:tcW w:w="975" w:type="pct"/>
            <w:shd w:val="clear" w:color="auto" w:fill="auto"/>
          </w:tcPr>
          <w:p w14:paraId="1649064F" w14:textId="77777777" w:rsidR="00BC2ED4" w:rsidRPr="009C5F11" w:rsidRDefault="00341E16" w:rsidP="00341E1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APC achiziţionează numai produse</w:t>
            </w:r>
            <w:r w:rsidR="00BC2ED4" w:rsidRPr="009C5F11">
              <w:rPr>
                <w:rFonts w:ascii="Times New Roman" w:hAnsi="Times New Roman" w:cs="Times New Roman"/>
                <w:i/>
                <w:sz w:val="18"/>
                <w:szCs w:val="14"/>
                <w:lang w:val="ro-RO"/>
              </w:rPr>
              <w:t xml:space="preserve">, </w:t>
            </w:r>
            <w:r w:rsidR="00FA172F" w:rsidRPr="009C5F11">
              <w:rPr>
                <w:rFonts w:ascii="Times New Roman" w:hAnsi="Times New Roman" w:cs="Times New Roman"/>
                <w:i/>
                <w:sz w:val="18"/>
                <w:szCs w:val="14"/>
                <w:lang w:val="ro-RO"/>
              </w:rPr>
              <w:t>servicii</w:t>
            </w:r>
            <w:r w:rsidR="00321CD5" w:rsidRPr="009C5F11">
              <w:rPr>
                <w:rFonts w:ascii="Times New Roman" w:hAnsi="Times New Roman" w:cs="Times New Roman"/>
                <w:i/>
                <w:sz w:val="18"/>
                <w:szCs w:val="14"/>
                <w:lang w:val="ro-RO"/>
              </w:rPr>
              <w:t xml:space="preserve"> şi </w:t>
            </w:r>
            <w:r w:rsidR="00693850" w:rsidRPr="009C5F11">
              <w:rPr>
                <w:rFonts w:ascii="Times New Roman" w:hAnsi="Times New Roman" w:cs="Times New Roman"/>
                <w:i/>
                <w:sz w:val="18"/>
                <w:szCs w:val="14"/>
                <w:lang w:val="ro-RO"/>
              </w:rPr>
              <w:t>clădiri</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cu performanţă energetică sporită</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atât timp cât acest proces este compatibil cu</w:t>
            </w:r>
            <w:r w:rsidR="00BC2ED4" w:rsidRPr="009C5F11">
              <w:rPr>
                <w:rFonts w:ascii="Times New Roman" w:hAnsi="Times New Roman" w:cs="Times New Roman"/>
                <w:i/>
                <w:sz w:val="18"/>
                <w:szCs w:val="14"/>
                <w:lang w:val="ro-RO"/>
              </w:rPr>
              <w:t xml:space="preserve"> cost-</w:t>
            </w:r>
            <w:r w:rsidR="00E10BE5" w:rsidRPr="009C5F11">
              <w:rPr>
                <w:rFonts w:ascii="Times New Roman" w:hAnsi="Times New Roman" w:cs="Times New Roman"/>
                <w:i/>
                <w:sz w:val="18"/>
                <w:szCs w:val="14"/>
                <w:lang w:val="ro-RO"/>
              </w:rPr>
              <w:t>eficacitatea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fezabilitatea economică</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durabilitatea mai amplă</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oportunitatea </w:t>
            </w:r>
            <w:r w:rsidR="004A2281" w:rsidRPr="009C5F11">
              <w:rPr>
                <w:rFonts w:ascii="Times New Roman" w:hAnsi="Times New Roman" w:cs="Times New Roman"/>
                <w:i/>
                <w:sz w:val="18"/>
                <w:szCs w:val="14"/>
                <w:lang w:val="ro-RO"/>
              </w:rPr>
              <w:t>tehnică</w:t>
            </w:r>
            <w:r w:rsidR="00BC2ED4" w:rsidRPr="009C5F11">
              <w:rPr>
                <w:rFonts w:ascii="Times New Roman" w:hAnsi="Times New Roman" w:cs="Times New Roman"/>
                <w:i/>
                <w:sz w:val="18"/>
                <w:szCs w:val="14"/>
                <w:lang w:val="ro-RO"/>
              </w:rPr>
              <w:t xml:space="preserve">, </w:t>
            </w:r>
            <w:r w:rsidR="00421FA7" w:rsidRPr="009C5F11">
              <w:rPr>
                <w:rFonts w:ascii="Times New Roman" w:hAnsi="Times New Roman" w:cs="Times New Roman"/>
                <w:i/>
                <w:sz w:val="18"/>
                <w:szCs w:val="14"/>
                <w:lang w:val="ro-RO"/>
              </w:rPr>
              <w:t>precum şi</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concurenţă suficientă.</w:t>
            </w:r>
          </w:p>
        </w:tc>
        <w:tc>
          <w:tcPr>
            <w:tcW w:w="619" w:type="pct"/>
            <w:shd w:val="clear" w:color="auto" w:fill="auto"/>
          </w:tcPr>
          <w:p w14:paraId="0A83C3A4"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15.10.2017</w:t>
            </w:r>
          </w:p>
        </w:tc>
        <w:tc>
          <w:tcPr>
            <w:tcW w:w="1097" w:type="pct"/>
          </w:tcPr>
          <w:p w14:paraId="7BF5343B" w14:textId="77777777" w:rsidR="00BC2ED4" w:rsidRPr="009C5F11" w:rsidRDefault="00FA684C"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Obligaţia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ar trebui să fie aplicabilă </w:t>
            </w:r>
            <w:r w:rsidR="00BC2ED4" w:rsidRPr="009C5F11">
              <w:rPr>
                <w:rFonts w:ascii="Times New Roman" w:hAnsi="Times New Roman" w:cs="Times New Roman"/>
                <w:i/>
                <w:sz w:val="18"/>
                <w:szCs w:val="14"/>
                <w:lang w:val="ro-RO"/>
              </w:rPr>
              <w:t>contract</w:t>
            </w:r>
            <w:r w:rsidRPr="009C5F11">
              <w:rPr>
                <w:rFonts w:ascii="Times New Roman" w:hAnsi="Times New Roman" w:cs="Times New Roman"/>
                <w:i/>
                <w:sz w:val="18"/>
                <w:szCs w:val="14"/>
                <w:lang w:val="ro-RO"/>
              </w:rPr>
              <w:t>elor</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de achiziţie 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produselor</w:t>
            </w:r>
            <w:r w:rsidR="00BC2ED4" w:rsidRPr="009C5F11">
              <w:rPr>
                <w:rFonts w:ascii="Times New Roman" w:hAnsi="Times New Roman" w:cs="Times New Roman"/>
                <w:i/>
                <w:sz w:val="18"/>
                <w:szCs w:val="14"/>
                <w:lang w:val="ro-RO"/>
              </w:rPr>
              <w:t xml:space="preserve">, </w:t>
            </w:r>
            <w:r w:rsidR="00FA172F" w:rsidRPr="009C5F11">
              <w:rPr>
                <w:rFonts w:ascii="Times New Roman" w:hAnsi="Times New Roman" w:cs="Times New Roman"/>
                <w:i/>
                <w:sz w:val="18"/>
                <w:szCs w:val="14"/>
                <w:lang w:val="ro-RO"/>
              </w:rPr>
              <w:t>servicii</w:t>
            </w:r>
            <w:r w:rsidRPr="009C5F11">
              <w:rPr>
                <w:rFonts w:ascii="Times New Roman" w:hAnsi="Times New Roman" w:cs="Times New Roman"/>
                <w:i/>
                <w:sz w:val="18"/>
                <w:szCs w:val="14"/>
                <w:lang w:val="ro-RO"/>
              </w:rPr>
              <w:t>lor</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construcţiilor</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de către organismele publice</w:t>
            </w:r>
            <w:r w:rsidR="00321CD5"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î</w:t>
            </w:r>
            <w:r w:rsidR="00FB38BF" w:rsidRPr="009C5F11">
              <w:rPr>
                <w:rFonts w:ascii="Times New Roman" w:hAnsi="Times New Roman" w:cs="Times New Roman"/>
                <w:i/>
                <w:sz w:val="18"/>
                <w:szCs w:val="14"/>
                <w:lang w:val="ro-RO"/>
              </w:rPr>
              <w:t>n măsura în care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astfel de contracte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au valoarea egală sau mai mare decât pragurile stabilite </w:t>
            </w:r>
            <w:r w:rsidR="00321CD5" w:rsidRPr="009C5F11">
              <w:rPr>
                <w:rFonts w:ascii="Times New Roman" w:hAnsi="Times New Roman" w:cs="Times New Roman"/>
                <w:i/>
                <w:sz w:val="18"/>
                <w:szCs w:val="14"/>
                <w:lang w:val="ro-RO"/>
              </w:rPr>
              <w:t xml:space="preserve">în </w:t>
            </w:r>
            <w:r w:rsidRPr="009C5F11">
              <w:rPr>
                <w:rFonts w:ascii="Times New Roman" w:hAnsi="Times New Roman" w:cs="Times New Roman"/>
                <w:i/>
                <w:sz w:val="18"/>
                <w:szCs w:val="14"/>
                <w:lang w:val="ro-RO"/>
              </w:rPr>
              <w:t>legislaţia din Republica Moldova.</w:t>
            </w:r>
          </w:p>
          <w:p w14:paraId="08E1AA7B" w14:textId="77777777" w:rsidR="00BC2ED4" w:rsidRPr="009C5F11" w:rsidRDefault="00FA684C"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Stabilirea pragului prin lege</w:t>
            </w:r>
            <w:r w:rsidR="00055095" w:rsidRPr="009C5F11">
              <w:rPr>
                <w:rFonts w:ascii="Times New Roman" w:hAnsi="Times New Roman" w:cs="Times New Roman"/>
                <w:i/>
                <w:sz w:val="18"/>
                <w:szCs w:val="14"/>
                <w:lang w:val="ro-RO"/>
              </w:rPr>
              <w:t xml:space="preserve"> </w:t>
            </w:r>
            <w:r w:rsidR="00321CD5" w:rsidRPr="009C5F11">
              <w:rPr>
                <w:rFonts w:ascii="Times New Roman" w:hAnsi="Times New Roman" w:cs="Times New Roman"/>
                <w:i/>
                <w:sz w:val="18"/>
                <w:szCs w:val="14"/>
                <w:lang w:val="ro-RO"/>
              </w:rPr>
              <w:t xml:space="preserve">şi </w:t>
            </w:r>
            <w:r w:rsidRPr="009C5F11">
              <w:rPr>
                <w:rFonts w:ascii="Times New Roman" w:hAnsi="Times New Roman" w:cs="Times New Roman"/>
                <w:i/>
                <w:sz w:val="18"/>
                <w:szCs w:val="14"/>
                <w:lang w:val="ro-RO"/>
              </w:rPr>
              <w:t xml:space="preserve">prezentarea acestuia </w:t>
            </w:r>
            <w:r w:rsidR="000A5836" w:rsidRPr="009C5F11">
              <w:rPr>
                <w:rFonts w:ascii="Times New Roman" w:hAnsi="Times New Roman" w:cs="Times New Roman"/>
                <w:i/>
                <w:sz w:val="18"/>
                <w:szCs w:val="14"/>
                <w:lang w:val="ro-RO"/>
              </w:rPr>
              <w:t>Secretariatului Comunităţii Energetice.</w:t>
            </w:r>
          </w:p>
          <w:p w14:paraId="5455EBA7" w14:textId="77777777" w:rsidR="00BC2ED4" w:rsidRPr="009C5F11" w:rsidRDefault="003D6366" w:rsidP="003D636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Îndeplinirea cerinţei privind </w:t>
            </w:r>
            <w:r w:rsidR="00C77D69" w:rsidRPr="009C5F11">
              <w:rPr>
                <w:rFonts w:ascii="Times New Roman" w:hAnsi="Times New Roman" w:cs="Times New Roman"/>
                <w:i/>
                <w:sz w:val="18"/>
                <w:szCs w:val="14"/>
                <w:lang w:val="ro-RO"/>
              </w:rPr>
              <w:t>rolul de exemplu</w:t>
            </w:r>
            <w:r w:rsidRPr="009C5F11">
              <w:rPr>
                <w:rFonts w:ascii="Times New Roman" w:hAnsi="Times New Roman" w:cs="Times New Roman"/>
                <w:i/>
                <w:sz w:val="18"/>
                <w:szCs w:val="14"/>
                <w:lang w:val="ro-RO"/>
              </w:rPr>
              <w:t xml:space="preserve"> al organismelor publice pentru a le încuraja să achiziţioneze doar </w:t>
            </w:r>
            <w:r w:rsidR="00FA172F" w:rsidRPr="009C5F11">
              <w:rPr>
                <w:rFonts w:ascii="Times New Roman" w:hAnsi="Times New Roman" w:cs="Times New Roman"/>
                <w:i/>
                <w:sz w:val="18"/>
                <w:szCs w:val="14"/>
                <w:lang w:val="ro-RO"/>
              </w:rPr>
              <w:t>servicii</w:t>
            </w:r>
            <w:r w:rsidR="00321CD5" w:rsidRPr="009C5F11">
              <w:rPr>
                <w:rFonts w:ascii="Times New Roman" w:hAnsi="Times New Roman" w:cs="Times New Roman"/>
                <w:i/>
                <w:sz w:val="18"/>
                <w:szCs w:val="14"/>
                <w:lang w:val="ro-RO"/>
              </w:rPr>
              <w:t xml:space="preserve"> şi </w:t>
            </w:r>
            <w:r w:rsidR="00FA684C" w:rsidRPr="009C5F11">
              <w:rPr>
                <w:rFonts w:ascii="Times New Roman" w:hAnsi="Times New Roman" w:cs="Times New Roman"/>
                <w:i/>
                <w:sz w:val="18"/>
                <w:szCs w:val="14"/>
                <w:lang w:val="ro-RO"/>
              </w:rPr>
              <w:t>produse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cu randament sporit</w:t>
            </w:r>
            <w:r w:rsidR="00BC2ED4" w:rsidRPr="009C5F11">
              <w:rPr>
                <w:rFonts w:ascii="Times New Roman" w:hAnsi="Times New Roman" w:cs="Times New Roman"/>
                <w:i/>
                <w:sz w:val="18"/>
                <w:szCs w:val="14"/>
                <w:lang w:val="ro-RO"/>
              </w:rPr>
              <w:t>.</w:t>
            </w:r>
          </w:p>
        </w:tc>
        <w:tc>
          <w:tcPr>
            <w:tcW w:w="1141" w:type="pct"/>
            <w:shd w:val="clear" w:color="auto" w:fill="auto"/>
          </w:tcPr>
          <w:p w14:paraId="7F3E3DA1" w14:textId="77777777" w:rsidR="00BC2ED4" w:rsidRPr="009C5F11" w:rsidRDefault="00055095"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Legea </w:t>
            </w:r>
            <w:r w:rsidR="004A2281" w:rsidRPr="009C5F11">
              <w:rPr>
                <w:rFonts w:ascii="Times New Roman" w:hAnsi="Times New Roman" w:cs="Times New Roman"/>
                <w:i/>
                <w:sz w:val="18"/>
                <w:szCs w:val="14"/>
                <w:lang w:val="ro-RO"/>
              </w:rPr>
              <w:t>cu privire la achiziţiile publice</w:t>
            </w:r>
            <w:r w:rsidR="00BC2ED4" w:rsidRPr="009C5F11">
              <w:rPr>
                <w:rFonts w:ascii="Times New Roman" w:hAnsi="Times New Roman" w:cs="Times New Roman"/>
                <w:i/>
                <w:sz w:val="18"/>
                <w:szCs w:val="14"/>
                <w:lang w:val="ro-RO"/>
              </w:rPr>
              <w:t xml:space="preserve"> n</w:t>
            </w:r>
            <w:r w:rsidR="004A2281" w:rsidRPr="009C5F11">
              <w:rPr>
                <w:rFonts w:ascii="Times New Roman" w:hAnsi="Times New Roman" w:cs="Times New Roman"/>
                <w:i/>
                <w:sz w:val="18"/>
                <w:szCs w:val="14"/>
                <w:lang w:val="ro-RO"/>
              </w:rPr>
              <w:t>r</w:t>
            </w:r>
            <w:r w:rsidR="00BC2ED4" w:rsidRPr="009C5F11">
              <w:rPr>
                <w:rFonts w:ascii="Times New Roman" w:hAnsi="Times New Roman" w:cs="Times New Roman"/>
                <w:i/>
                <w:sz w:val="18"/>
                <w:szCs w:val="14"/>
                <w:lang w:val="ro-RO"/>
              </w:rPr>
              <w:t xml:space="preserve">. 131/ 03.07.2015 </w:t>
            </w:r>
            <w:r w:rsidR="004A2281" w:rsidRPr="009C5F11">
              <w:rPr>
                <w:rFonts w:ascii="Times New Roman" w:hAnsi="Times New Roman" w:cs="Times New Roman"/>
                <w:i/>
                <w:sz w:val="18"/>
                <w:szCs w:val="14"/>
                <w:lang w:val="ro-RO"/>
              </w:rPr>
              <w:t>nu întruneşte cerinţele</w:t>
            </w:r>
            <w:r w:rsidR="00A73756" w:rsidRPr="009C5F11">
              <w:rPr>
                <w:rFonts w:ascii="Times New Roman" w:hAnsi="Times New Roman" w:cs="Times New Roman"/>
                <w:i/>
                <w:sz w:val="18"/>
                <w:szCs w:val="14"/>
                <w:lang w:val="ro-RO"/>
              </w:rPr>
              <w:t>.</w:t>
            </w:r>
          </w:p>
          <w:p w14:paraId="11CF5322" w14:textId="77777777" w:rsidR="00BC2ED4" w:rsidRPr="009C5F11" w:rsidRDefault="00FA684C" w:rsidP="003D636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M</w:t>
            </w:r>
            <w:r w:rsidR="00105D5C" w:rsidRPr="009C5F11">
              <w:rPr>
                <w:rFonts w:ascii="Times New Roman" w:hAnsi="Times New Roman" w:cs="Times New Roman"/>
                <w:i/>
                <w:sz w:val="18"/>
                <w:szCs w:val="14"/>
                <w:lang w:val="ro-RO"/>
              </w:rPr>
              <w:t>ăsura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specifică </w:t>
            </w:r>
            <w:r w:rsidR="00BC2ED4" w:rsidRPr="009C5F11">
              <w:rPr>
                <w:rFonts w:ascii="Times New Roman" w:hAnsi="Times New Roman" w:cs="Times New Roman"/>
                <w:i/>
                <w:sz w:val="18"/>
                <w:szCs w:val="14"/>
                <w:lang w:val="ro-RO"/>
              </w:rPr>
              <w:t>H2. “</w:t>
            </w:r>
            <w:r w:rsidR="006A096E" w:rsidRPr="009C5F11">
              <w:rPr>
                <w:rFonts w:ascii="Times New Roman" w:hAnsi="Times New Roman" w:cs="Times New Roman"/>
                <w:i/>
                <w:sz w:val="18"/>
                <w:szCs w:val="14"/>
                <w:lang w:val="ro-RO"/>
              </w:rPr>
              <w:t>Actualizarea şi adoptarea cadrului juridic</w:t>
            </w:r>
            <w:r w:rsidR="00BC2ED4" w:rsidRPr="009C5F11">
              <w:rPr>
                <w:rFonts w:ascii="Times New Roman" w:hAnsi="Times New Roman" w:cs="Times New Roman"/>
                <w:i/>
                <w:sz w:val="18"/>
                <w:szCs w:val="14"/>
                <w:lang w:val="ro-RO"/>
              </w:rPr>
              <w:t xml:space="preserve"> </w:t>
            </w:r>
            <w:r w:rsidR="006A096E" w:rsidRPr="009C5F11">
              <w:rPr>
                <w:rFonts w:ascii="Times New Roman" w:hAnsi="Times New Roman" w:cs="Times New Roman"/>
                <w:i/>
                <w:sz w:val="18"/>
                <w:szCs w:val="14"/>
                <w:lang w:val="ro-RO"/>
              </w:rPr>
              <w:t>în vederea asigurării punerii în aplicare a Directivei privind eficienţa energetică şi a Legii cu privire la eficienţa energetică</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este inclusă în</w:t>
            </w:r>
            <w:r w:rsidR="00BC2ED4" w:rsidRPr="009C5F11">
              <w:rPr>
                <w:rFonts w:ascii="Times New Roman" w:hAnsi="Times New Roman" w:cs="Times New Roman"/>
                <w:i/>
                <w:sz w:val="18"/>
                <w:szCs w:val="14"/>
                <w:lang w:val="ro-RO"/>
              </w:rPr>
              <w:t xml:space="preserve"> </w:t>
            </w:r>
            <w:r w:rsidR="00872DC2" w:rsidRPr="009C5F11">
              <w:rPr>
                <w:rFonts w:ascii="Times New Roman" w:hAnsi="Times New Roman" w:cs="Times New Roman"/>
                <w:i/>
                <w:sz w:val="18"/>
                <w:szCs w:val="14"/>
                <w:lang w:val="ro-RO"/>
              </w:rPr>
              <w:t>PNAEE</w:t>
            </w:r>
            <w:r w:rsidR="00BC2ED4" w:rsidRPr="009C5F11">
              <w:rPr>
                <w:rFonts w:ascii="Times New Roman" w:hAnsi="Times New Roman" w:cs="Times New Roman"/>
                <w:i/>
                <w:sz w:val="18"/>
                <w:szCs w:val="14"/>
                <w:lang w:val="ro-RO"/>
              </w:rPr>
              <w:t xml:space="preserve"> 2016-2018 </w:t>
            </w:r>
            <w:r w:rsidR="003D6366" w:rsidRPr="009C5F11">
              <w:rPr>
                <w:rFonts w:ascii="Times New Roman" w:hAnsi="Times New Roman" w:cs="Times New Roman"/>
                <w:i/>
                <w:sz w:val="18"/>
                <w:szCs w:val="14"/>
                <w:lang w:val="ro-RO"/>
              </w:rPr>
              <w:t>în vederea eliminării acestei lacune</w:t>
            </w:r>
            <w:r w:rsidR="00BC2ED4" w:rsidRPr="009C5F11">
              <w:rPr>
                <w:rFonts w:ascii="Times New Roman" w:hAnsi="Times New Roman" w:cs="Times New Roman"/>
                <w:i/>
                <w:sz w:val="18"/>
                <w:szCs w:val="14"/>
                <w:lang w:val="ro-RO"/>
              </w:rPr>
              <w:t>.</w:t>
            </w:r>
          </w:p>
        </w:tc>
        <w:tc>
          <w:tcPr>
            <w:tcW w:w="438" w:type="pct"/>
            <w:shd w:val="clear" w:color="auto" w:fill="auto"/>
          </w:tcPr>
          <w:p w14:paraId="59B50CC0" w14:textId="77777777" w:rsidR="00AE143B" w:rsidRPr="009C5F11" w:rsidRDefault="00AE143B" w:rsidP="00AE143B">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MoF</w:t>
            </w:r>
          </w:p>
          <w:p w14:paraId="11B713F2" w14:textId="77777777" w:rsidR="00AE143B" w:rsidRPr="009C5F11" w:rsidRDefault="00AE143B" w:rsidP="00AE143B">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EEA</w:t>
            </w:r>
          </w:p>
          <w:p w14:paraId="3784D77F" w14:textId="77777777" w:rsidR="00BC2ED4" w:rsidRPr="009C5F11" w:rsidRDefault="00AA45D2"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MF</w:t>
            </w:r>
          </w:p>
        </w:tc>
      </w:tr>
      <w:tr w:rsidR="00341E16" w:rsidRPr="009C5F11" w14:paraId="3F4B48EF" w14:textId="77777777" w:rsidTr="00732F30">
        <w:tc>
          <w:tcPr>
            <w:tcW w:w="216" w:type="pct"/>
            <w:shd w:val="clear" w:color="auto" w:fill="auto"/>
          </w:tcPr>
          <w:p w14:paraId="44A4EF73" w14:textId="77777777" w:rsidR="00BC2ED4" w:rsidRPr="009C5F11" w:rsidRDefault="00BC2ED4"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7</w:t>
            </w:r>
          </w:p>
        </w:tc>
        <w:tc>
          <w:tcPr>
            <w:tcW w:w="514" w:type="pct"/>
            <w:shd w:val="clear" w:color="auto" w:fill="auto"/>
          </w:tcPr>
          <w:p w14:paraId="0682E0FA" w14:textId="77777777" w:rsidR="00BC2ED4" w:rsidRPr="009C5F11" w:rsidRDefault="00341E16" w:rsidP="00430626">
            <w:pPr>
              <w:spacing w:after="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Sistemul de obligaţii de EE</w:t>
            </w:r>
          </w:p>
        </w:tc>
        <w:tc>
          <w:tcPr>
            <w:tcW w:w="975" w:type="pct"/>
            <w:shd w:val="clear" w:color="auto" w:fill="auto"/>
          </w:tcPr>
          <w:p w14:paraId="65FD9442" w14:textId="77777777" w:rsidR="00BC2ED4" w:rsidRPr="009C5F11" w:rsidRDefault="00BC2ED4" w:rsidP="00430626">
            <w:pPr>
              <w:spacing w:after="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Des</w:t>
            </w:r>
            <w:r w:rsidR="00341E16" w:rsidRPr="009C5F11">
              <w:rPr>
                <w:rFonts w:ascii="Times New Roman" w:hAnsi="Times New Roman" w:cs="Times New Roman"/>
                <w:i/>
                <w:sz w:val="18"/>
                <w:szCs w:val="14"/>
                <w:lang w:val="ro-RO"/>
              </w:rPr>
              <w:t xml:space="preserve">emnarea părţilor obligate şi instituirea unui sistem de obligaţii de EE pentru acestea în vederea îndeplinirii obiectivului stabilit de economisire a energiei </w:t>
            </w:r>
            <w:r w:rsidRPr="009C5F11">
              <w:rPr>
                <w:rFonts w:ascii="Times New Roman" w:hAnsi="Times New Roman" w:cs="Times New Roman"/>
                <w:i/>
                <w:sz w:val="18"/>
                <w:szCs w:val="14"/>
                <w:lang w:val="ro-RO"/>
              </w:rPr>
              <w:t>calculat</w:t>
            </w:r>
            <w:r w:rsidR="00341E16" w:rsidRPr="009C5F11">
              <w:rPr>
                <w:rFonts w:ascii="Times New Roman" w:hAnsi="Times New Roman" w:cs="Times New Roman"/>
                <w:i/>
                <w:sz w:val="18"/>
                <w:szCs w:val="14"/>
                <w:lang w:val="ro-RO"/>
              </w:rPr>
              <w:t xml:space="preserve"> </w:t>
            </w:r>
            <w:r w:rsidR="00C55F0D" w:rsidRPr="009C5F11">
              <w:rPr>
                <w:rFonts w:ascii="Times New Roman" w:hAnsi="Times New Roman" w:cs="Times New Roman"/>
                <w:i/>
                <w:sz w:val="18"/>
                <w:szCs w:val="14"/>
                <w:lang w:val="ro-RO"/>
              </w:rPr>
              <w:t>în conformitate cu</w:t>
            </w:r>
            <w:r w:rsidRPr="009C5F11">
              <w:rPr>
                <w:rFonts w:ascii="Times New Roman" w:hAnsi="Times New Roman" w:cs="Times New Roman"/>
                <w:i/>
                <w:sz w:val="18"/>
                <w:szCs w:val="14"/>
                <w:lang w:val="ro-RO"/>
              </w:rPr>
              <w:t xml:space="preserve"> </w:t>
            </w:r>
            <w:r w:rsidR="00341E16" w:rsidRPr="009C5F11">
              <w:rPr>
                <w:rFonts w:ascii="Times New Roman" w:hAnsi="Times New Roman" w:cs="Times New Roman"/>
                <w:i/>
                <w:sz w:val="18"/>
                <w:szCs w:val="14"/>
                <w:lang w:val="ro-RO"/>
              </w:rPr>
              <w:t xml:space="preserve">dispoziţiile </w:t>
            </w:r>
            <w:r w:rsidRPr="009C5F11">
              <w:rPr>
                <w:rFonts w:ascii="Times New Roman" w:hAnsi="Times New Roman" w:cs="Times New Roman"/>
                <w:i/>
                <w:sz w:val="18"/>
                <w:szCs w:val="14"/>
                <w:lang w:val="ro-RO"/>
              </w:rPr>
              <w:t>art.7.</w:t>
            </w:r>
          </w:p>
          <w:p w14:paraId="4C2DA615" w14:textId="77777777" w:rsidR="00BC2ED4" w:rsidRPr="009C5F11" w:rsidRDefault="00341E16" w:rsidP="00341E16">
            <w:pPr>
              <w:spacing w:after="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În mod a</w:t>
            </w:r>
            <w:r w:rsidR="00BC2ED4" w:rsidRPr="009C5F11">
              <w:rPr>
                <w:rFonts w:ascii="Times New Roman" w:hAnsi="Times New Roman" w:cs="Times New Roman"/>
                <w:i/>
                <w:sz w:val="18"/>
                <w:szCs w:val="14"/>
                <w:lang w:val="ro-RO"/>
              </w:rPr>
              <w:t>lternativ</w:t>
            </w:r>
            <w:r w:rsidRPr="009C5F11">
              <w:rPr>
                <w:rFonts w:ascii="Times New Roman" w:hAnsi="Times New Roman" w:cs="Times New Roman"/>
                <w:i/>
                <w:sz w:val="18"/>
                <w:szCs w:val="14"/>
                <w:lang w:val="ro-RO"/>
              </w:rPr>
              <w:t>, asigurarea unor măsuri de politici aplicabile pentru a atinge</w:t>
            </w:r>
            <w:r w:rsidR="00BC2ED4" w:rsidRPr="009C5F11">
              <w:rPr>
                <w:rFonts w:ascii="Times New Roman" w:hAnsi="Times New Roman" w:cs="Times New Roman"/>
                <w:i/>
                <w:sz w:val="18"/>
                <w:szCs w:val="14"/>
                <w:lang w:val="ro-RO"/>
              </w:rPr>
              <w:t xml:space="preserve"> </w:t>
            </w:r>
            <w:r w:rsidR="00C639BC" w:rsidRPr="009C5F11">
              <w:rPr>
                <w:rFonts w:ascii="Times New Roman" w:hAnsi="Times New Roman" w:cs="Times New Roman"/>
                <w:i/>
                <w:sz w:val="18"/>
                <w:szCs w:val="14"/>
                <w:lang w:val="ro-RO"/>
              </w:rPr>
              <w:t>economii</w:t>
            </w:r>
            <w:r w:rsidRPr="009C5F11">
              <w:rPr>
                <w:rFonts w:ascii="Times New Roman" w:hAnsi="Times New Roman" w:cs="Times New Roman"/>
                <w:i/>
                <w:sz w:val="18"/>
                <w:szCs w:val="14"/>
                <w:lang w:val="ro-RO"/>
              </w:rPr>
              <w:t xml:space="preserve"> echivalente</w:t>
            </w:r>
            <w:r w:rsidR="00BC2ED4" w:rsidRPr="009C5F11">
              <w:rPr>
                <w:rFonts w:ascii="Times New Roman" w:hAnsi="Times New Roman" w:cs="Times New Roman"/>
                <w:i/>
                <w:sz w:val="18"/>
                <w:szCs w:val="14"/>
                <w:lang w:val="ro-RO"/>
              </w:rPr>
              <w:t xml:space="preserve">. </w:t>
            </w:r>
          </w:p>
        </w:tc>
        <w:tc>
          <w:tcPr>
            <w:tcW w:w="619" w:type="pct"/>
            <w:shd w:val="clear" w:color="auto" w:fill="auto"/>
          </w:tcPr>
          <w:p w14:paraId="0E494202" w14:textId="77777777" w:rsidR="00BC2ED4" w:rsidRPr="009C5F11" w:rsidRDefault="00341E16" w:rsidP="00430626">
            <w:pPr>
              <w:spacing w:after="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Notificarea </w:t>
            </w:r>
            <w:r w:rsidR="000A5836" w:rsidRPr="009C5F11">
              <w:rPr>
                <w:rFonts w:ascii="Times New Roman" w:hAnsi="Times New Roman" w:cs="Times New Roman"/>
                <w:i/>
                <w:sz w:val="18"/>
                <w:szCs w:val="14"/>
                <w:lang w:val="ro-RO"/>
              </w:rPr>
              <w:t>Secretariatului Comunităţii Energetice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până la </w:t>
            </w:r>
            <w:r w:rsidR="00BC2ED4" w:rsidRPr="009C5F11">
              <w:rPr>
                <w:rFonts w:ascii="Times New Roman" w:hAnsi="Times New Roman" w:cs="Times New Roman"/>
                <w:i/>
                <w:sz w:val="18"/>
                <w:szCs w:val="14"/>
                <w:lang w:val="ro-RO"/>
              </w:rPr>
              <w:t>15.10.2017</w:t>
            </w:r>
            <w:r w:rsidRPr="009C5F11">
              <w:rPr>
                <w:rFonts w:ascii="Times New Roman" w:hAnsi="Times New Roman" w:cs="Times New Roman"/>
                <w:i/>
                <w:sz w:val="18"/>
                <w:szCs w:val="14"/>
                <w:lang w:val="ro-RO"/>
              </w:rPr>
              <w:t xml:space="preserve"> despre modul de calcul al obiectivului</w:t>
            </w:r>
            <w:r w:rsidR="00BC2ED4" w:rsidRPr="009C5F11">
              <w:rPr>
                <w:rFonts w:ascii="Times New Roman" w:hAnsi="Times New Roman" w:cs="Times New Roman"/>
                <w:i/>
                <w:sz w:val="18"/>
                <w:szCs w:val="14"/>
                <w:lang w:val="ro-RO"/>
              </w:rPr>
              <w:t>.</w:t>
            </w:r>
          </w:p>
          <w:p w14:paraId="2B75FA0E" w14:textId="77777777" w:rsidR="00BC2ED4" w:rsidRPr="009C5F11" w:rsidRDefault="00BC2ED4" w:rsidP="00430626">
            <w:pPr>
              <w:spacing w:after="0" w:line="240" w:lineRule="auto"/>
              <w:rPr>
                <w:rFonts w:ascii="Times New Roman" w:hAnsi="Times New Roman" w:cs="Times New Roman"/>
                <w:i/>
                <w:sz w:val="18"/>
                <w:szCs w:val="14"/>
                <w:lang w:val="ro-RO"/>
              </w:rPr>
            </w:pPr>
          </w:p>
          <w:p w14:paraId="6806AED2" w14:textId="77777777" w:rsidR="00BC2ED4" w:rsidRPr="009C5F11" w:rsidRDefault="00341E16" w:rsidP="00430626">
            <w:pPr>
              <w:spacing w:after="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Notificarea </w:t>
            </w:r>
            <w:r w:rsidR="000A5836" w:rsidRPr="009C5F11">
              <w:rPr>
                <w:rFonts w:ascii="Times New Roman" w:hAnsi="Times New Roman" w:cs="Times New Roman"/>
                <w:i/>
                <w:sz w:val="18"/>
                <w:szCs w:val="14"/>
                <w:lang w:val="ro-RO"/>
              </w:rPr>
              <w:t>Secretariatului Comunităţii Energetice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până la</w:t>
            </w:r>
            <w:r w:rsidR="00BC2ED4" w:rsidRPr="009C5F11">
              <w:rPr>
                <w:rFonts w:ascii="Times New Roman" w:hAnsi="Times New Roman" w:cs="Times New Roman"/>
                <w:i/>
                <w:sz w:val="18"/>
                <w:szCs w:val="14"/>
                <w:lang w:val="ro-RO"/>
              </w:rPr>
              <w:t xml:space="preserve"> 15.03.2017 </w:t>
            </w:r>
            <w:r w:rsidR="00CB5515" w:rsidRPr="009C5F11">
              <w:rPr>
                <w:rFonts w:ascii="Times New Roman" w:hAnsi="Times New Roman" w:cs="Times New Roman"/>
                <w:i/>
                <w:sz w:val="18"/>
                <w:szCs w:val="14"/>
                <w:lang w:val="ro-RO"/>
              </w:rPr>
              <w:t>măsuri</w:t>
            </w:r>
            <w:r w:rsidRPr="009C5F11">
              <w:rPr>
                <w:rFonts w:ascii="Times New Roman" w:hAnsi="Times New Roman" w:cs="Times New Roman"/>
                <w:i/>
                <w:sz w:val="18"/>
                <w:szCs w:val="14"/>
                <w:lang w:val="ro-RO"/>
              </w:rPr>
              <w:t>lor</w:t>
            </w:r>
            <w:r w:rsidR="00CB5515" w:rsidRPr="009C5F11">
              <w:rPr>
                <w:rFonts w:ascii="Times New Roman" w:hAnsi="Times New Roman" w:cs="Times New Roman"/>
                <w:i/>
                <w:sz w:val="18"/>
                <w:szCs w:val="14"/>
                <w:lang w:val="ro-RO"/>
              </w:rPr>
              <w:t xml:space="preserve"> de politici</w:t>
            </w:r>
            <w:r w:rsidR="00BC2ED4" w:rsidRPr="009C5F11">
              <w:rPr>
                <w:rFonts w:ascii="Times New Roman" w:hAnsi="Times New Roman" w:cs="Times New Roman"/>
                <w:i/>
                <w:sz w:val="18"/>
                <w:szCs w:val="14"/>
                <w:lang w:val="ro-RO"/>
              </w:rPr>
              <w:t xml:space="preserve"> alternative </w:t>
            </w:r>
            <w:r w:rsidR="00CB5515" w:rsidRPr="009C5F11">
              <w:rPr>
                <w:rFonts w:ascii="Times New Roman" w:hAnsi="Times New Roman" w:cs="Times New Roman"/>
                <w:i/>
                <w:sz w:val="18"/>
                <w:szCs w:val="14"/>
                <w:lang w:val="ro-RO"/>
              </w:rPr>
              <w:lastRenderedPageBreak/>
              <w:t>sistemul</w:t>
            </w:r>
            <w:r w:rsidRPr="009C5F11">
              <w:rPr>
                <w:rFonts w:ascii="Times New Roman" w:hAnsi="Times New Roman" w:cs="Times New Roman"/>
                <w:i/>
                <w:sz w:val="18"/>
                <w:szCs w:val="14"/>
                <w:lang w:val="ro-RO"/>
              </w:rPr>
              <w:t>ui</w:t>
            </w:r>
            <w:r w:rsidR="00CB5515" w:rsidRPr="009C5F11">
              <w:rPr>
                <w:rFonts w:ascii="Times New Roman" w:hAnsi="Times New Roman" w:cs="Times New Roman"/>
                <w:i/>
                <w:sz w:val="18"/>
                <w:szCs w:val="14"/>
                <w:lang w:val="ro-RO"/>
              </w:rPr>
              <w:t xml:space="preserve"> de obligaţii</w:t>
            </w:r>
            <w:r w:rsidR="00BC2ED4" w:rsidRPr="009C5F11">
              <w:rPr>
                <w:rFonts w:ascii="Times New Roman" w:hAnsi="Times New Roman" w:cs="Times New Roman"/>
                <w:i/>
                <w:sz w:val="18"/>
                <w:szCs w:val="14"/>
                <w:lang w:val="ro-RO"/>
              </w:rPr>
              <w:t xml:space="preserve">. </w:t>
            </w:r>
          </w:p>
          <w:p w14:paraId="636D8FEB" w14:textId="77777777" w:rsidR="00BC2ED4" w:rsidRPr="009C5F11" w:rsidRDefault="00341E16">
            <w:pPr>
              <w:spacing w:after="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Îndeplinirea </w:t>
            </w:r>
            <w:r w:rsidR="00B40A7C" w:rsidRPr="009C5F11">
              <w:rPr>
                <w:rFonts w:ascii="Times New Roman" w:hAnsi="Times New Roman" w:cs="Times New Roman"/>
                <w:i/>
                <w:sz w:val="18"/>
                <w:szCs w:val="14"/>
                <w:lang w:val="ro-RO"/>
              </w:rPr>
              <w:t>obiectivul</w:t>
            </w:r>
            <w:r w:rsidRPr="009C5F11">
              <w:rPr>
                <w:rFonts w:ascii="Times New Roman" w:hAnsi="Times New Roman" w:cs="Times New Roman"/>
                <w:i/>
                <w:sz w:val="18"/>
                <w:szCs w:val="14"/>
                <w:lang w:val="ro-RO"/>
              </w:rPr>
              <w:t>ui în fiecare an,</w:t>
            </w:r>
            <w:r w:rsidR="00BC2ED4" w:rsidRPr="009C5F11">
              <w:rPr>
                <w:rFonts w:ascii="Times New Roman" w:hAnsi="Times New Roman" w:cs="Times New Roman"/>
                <w:i/>
                <w:sz w:val="18"/>
                <w:szCs w:val="14"/>
                <w:lang w:val="ro-RO"/>
              </w:rPr>
              <w:t xml:space="preserve"> </w:t>
            </w:r>
            <w:r w:rsidR="00017161" w:rsidRPr="009C5F11">
              <w:rPr>
                <w:rFonts w:ascii="Times New Roman" w:hAnsi="Times New Roman" w:cs="Times New Roman"/>
                <w:i/>
                <w:sz w:val="18"/>
                <w:szCs w:val="14"/>
                <w:lang w:val="ro-RO"/>
              </w:rPr>
              <w:t>începând din</w:t>
            </w:r>
            <w:r w:rsidR="00BC2ED4" w:rsidRPr="009C5F11">
              <w:rPr>
                <w:rFonts w:ascii="Times New Roman" w:hAnsi="Times New Roman" w:cs="Times New Roman"/>
                <w:i/>
                <w:sz w:val="18"/>
                <w:szCs w:val="14"/>
                <w:lang w:val="ro-RO"/>
              </w:rPr>
              <w:t xml:space="preserve"> 1.01.2017 </w:t>
            </w:r>
            <w:r w:rsidRPr="009C5F11">
              <w:rPr>
                <w:rFonts w:ascii="Times New Roman" w:hAnsi="Times New Roman" w:cs="Times New Roman"/>
                <w:i/>
                <w:sz w:val="18"/>
                <w:szCs w:val="14"/>
                <w:lang w:val="ro-RO"/>
              </w:rPr>
              <w:t>până la</w:t>
            </w:r>
            <w:r w:rsidR="00BC2ED4" w:rsidRPr="009C5F11">
              <w:rPr>
                <w:rFonts w:ascii="Times New Roman" w:hAnsi="Times New Roman" w:cs="Times New Roman"/>
                <w:i/>
                <w:sz w:val="18"/>
                <w:szCs w:val="14"/>
                <w:lang w:val="ro-RO"/>
              </w:rPr>
              <w:t xml:space="preserve"> 31.12.2020 </w:t>
            </w:r>
            <w:r w:rsidR="00A13571" w:rsidRPr="009C5F11">
              <w:rPr>
                <w:rFonts w:ascii="Times New Roman" w:hAnsi="Times New Roman" w:cs="Times New Roman"/>
                <w:i/>
                <w:sz w:val="18"/>
                <w:szCs w:val="14"/>
                <w:lang w:val="ro-RO"/>
              </w:rPr>
              <w:t>conform</w:t>
            </w:r>
            <w:r w:rsidR="00BC2ED4" w:rsidRPr="009C5F11">
              <w:rPr>
                <w:rFonts w:ascii="Times New Roman" w:hAnsi="Times New Roman" w:cs="Times New Roman"/>
                <w:i/>
                <w:sz w:val="18"/>
                <w:szCs w:val="14"/>
                <w:lang w:val="ro-RO"/>
              </w:rPr>
              <w:t>. Directiv</w:t>
            </w:r>
            <w:r w:rsidRPr="009C5F11">
              <w:rPr>
                <w:rFonts w:ascii="Times New Roman" w:hAnsi="Times New Roman" w:cs="Times New Roman"/>
                <w:i/>
                <w:sz w:val="18"/>
                <w:szCs w:val="14"/>
                <w:lang w:val="ro-RO"/>
              </w:rPr>
              <w:t>a</w:t>
            </w:r>
            <w:r w:rsidR="00BC2ED4" w:rsidRPr="009C5F11">
              <w:rPr>
                <w:rFonts w:ascii="Times New Roman" w:hAnsi="Times New Roman" w:cs="Times New Roman"/>
                <w:i/>
                <w:sz w:val="18"/>
                <w:szCs w:val="14"/>
                <w:lang w:val="ro-RO"/>
              </w:rPr>
              <w:t>.</w:t>
            </w:r>
          </w:p>
        </w:tc>
        <w:tc>
          <w:tcPr>
            <w:tcW w:w="1097" w:type="pct"/>
          </w:tcPr>
          <w:p w14:paraId="7D371E35" w14:textId="77777777" w:rsidR="00BC2ED4" w:rsidRPr="009C5F11" w:rsidRDefault="00455A9A" w:rsidP="004A2281">
            <w:pPr>
              <w:spacing w:after="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Stabilit de</w:t>
            </w:r>
            <w:r w:rsidR="00BC2ED4" w:rsidRPr="009C5F11">
              <w:rPr>
                <w:rFonts w:ascii="Times New Roman" w:hAnsi="Times New Roman" w:cs="Times New Roman"/>
                <w:i/>
                <w:sz w:val="18"/>
                <w:szCs w:val="14"/>
                <w:lang w:val="ro-RO"/>
              </w:rPr>
              <w:t xml:space="preserve"> </w:t>
            </w:r>
            <w:r w:rsidR="00872DC2" w:rsidRPr="009C5F11">
              <w:rPr>
                <w:rFonts w:ascii="Times New Roman" w:hAnsi="Times New Roman" w:cs="Times New Roman"/>
                <w:i/>
                <w:sz w:val="18"/>
                <w:szCs w:val="14"/>
                <w:lang w:val="ro-RO"/>
              </w:rPr>
              <w:t>PNAEE</w:t>
            </w:r>
            <w:r w:rsidR="00BC2ED4" w:rsidRPr="009C5F11">
              <w:rPr>
                <w:rFonts w:ascii="Times New Roman" w:hAnsi="Times New Roman" w:cs="Times New Roman"/>
                <w:i/>
                <w:sz w:val="18"/>
                <w:szCs w:val="14"/>
                <w:lang w:val="ro-RO"/>
              </w:rPr>
              <w:t xml:space="preserve">, </w:t>
            </w:r>
            <w:r w:rsidR="00DA099D" w:rsidRPr="009C5F11">
              <w:rPr>
                <w:rFonts w:ascii="Times New Roman" w:hAnsi="Times New Roman" w:cs="Times New Roman"/>
                <w:i/>
                <w:sz w:val="18"/>
                <w:szCs w:val="14"/>
                <w:lang w:val="ro-RO"/>
              </w:rPr>
              <w:t xml:space="preserve">actualizarea </w:t>
            </w:r>
            <w:r w:rsidR="007F6775" w:rsidRPr="009C5F11">
              <w:rPr>
                <w:rFonts w:ascii="Times New Roman" w:hAnsi="Times New Roman" w:cs="Times New Roman"/>
                <w:i/>
                <w:sz w:val="18"/>
                <w:szCs w:val="14"/>
                <w:lang w:val="ro-RO"/>
              </w:rPr>
              <w:t>legislaţie</w:t>
            </w:r>
            <w:r w:rsidR="00DA099D" w:rsidRPr="009C5F11">
              <w:rPr>
                <w:rFonts w:ascii="Times New Roman" w:hAnsi="Times New Roman" w:cs="Times New Roman"/>
                <w:i/>
                <w:sz w:val="18"/>
                <w:szCs w:val="14"/>
                <w:lang w:val="ro-RO"/>
              </w:rPr>
              <w:t>i primare</w:t>
            </w:r>
            <w:r w:rsidR="00BC2ED4" w:rsidRPr="009C5F11">
              <w:rPr>
                <w:rFonts w:ascii="Times New Roman" w:hAnsi="Times New Roman" w:cs="Times New Roman"/>
                <w:i/>
                <w:sz w:val="18"/>
                <w:szCs w:val="14"/>
                <w:lang w:val="ro-RO"/>
              </w:rPr>
              <w:t xml:space="preserve">, </w:t>
            </w:r>
            <w:r w:rsidR="004A2281" w:rsidRPr="009C5F11">
              <w:rPr>
                <w:rFonts w:ascii="Times New Roman" w:hAnsi="Times New Roman" w:cs="Times New Roman"/>
                <w:i/>
                <w:sz w:val="18"/>
                <w:szCs w:val="14"/>
                <w:lang w:val="ro-RO"/>
              </w:rPr>
              <w:t>elaborarea</w:t>
            </w:r>
            <w:r w:rsidR="00BC2ED4" w:rsidRPr="009C5F11">
              <w:rPr>
                <w:rFonts w:ascii="Times New Roman" w:hAnsi="Times New Roman" w:cs="Times New Roman"/>
                <w:i/>
                <w:sz w:val="18"/>
                <w:szCs w:val="14"/>
                <w:lang w:val="ro-RO"/>
              </w:rPr>
              <w:t xml:space="preserve"> </w:t>
            </w:r>
            <w:r w:rsidR="00202734" w:rsidRPr="009C5F11">
              <w:rPr>
                <w:rFonts w:ascii="Times New Roman" w:hAnsi="Times New Roman" w:cs="Times New Roman"/>
                <w:i/>
                <w:sz w:val="18"/>
                <w:szCs w:val="14"/>
                <w:lang w:val="ro-RO"/>
              </w:rPr>
              <w:t>legislaţi</w:t>
            </w:r>
            <w:r w:rsidR="004A2281" w:rsidRPr="009C5F11">
              <w:rPr>
                <w:rFonts w:ascii="Times New Roman" w:hAnsi="Times New Roman" w:cs="Times New Roman"/>
                <w:i/>
                <w:sz w:val="18"/>
                <w:szCs w:val="14"/>
                <w:lang w:val="ro-RO"/>
              </w:rPr>
              <w:t>ei</w:t>
            </w:r>
            <w:r w:rsidR="00202734" w:rsidRPr="009C5F11">
              <w:rPr>
                <w:rFonts w:ascii="Times New Roman" w:hAnsi="Times New Roman" w:cs="Times New Roman"/>
                <w:i/>
                <w:sz w:val="18"/>
                <w:szCs w:val="14"/>
                <w:lang w:val="ro-RO"/>
              </w:rPr>
              <w:t xml:space="preserve"> secundar</w:t>
            </w:r>
            <w:r w:rsidR="004A2281" w:rsidRPr="009C5F11">
              <w:rPr>
                <w:rFonts w:ascii="Times New Roman" w:hAnsi="Times New Roman" w:cs="Times New Roman"/>
                <w:i/>
                <w:sz w:val="18"/>
                <w:szCs w:val="14"/>
                <w:lang w:val="ro-RO"/>
              </w:rPr>
              <w:t>e</w:t>
            </w:r>
            <w:r w:rsidR="00BC2ED4" w:rsidRPr="009C5F11">
              <w:rPr>
                <w:rFonts w:ascii="Times New Roman" w:hAnsi="Times New Roman" w:cs="Times New Roman"/>
                <w:i/>
                <w:sz w:val="18"/>
                <w:szCs w:val="14"/>
                <w:lang w:val="ro-RO"/>
              </w:rPr>
              <w:t xml:space="preserve"> </w:t>
            </w:r>
            <w:r w:rsidR="004A2281" w:rsidRPr="009C5F11">
              <w:rPr>
                <w:rFonts w:ascii="Times New Roman" w:hAnsi="Times New Roman" w:cs="Times New Roman"/>
                <w:i/>
                <w:sz w:val="18"/>
                <w:szCs w:val="14"/>
                <w:lang w:val="ro-RO"/>
              </w:rPr>
              <w:t>pentru</w:t>
            </w:r>
            <w:r w:rsidR="00BC2ED4" w:rsidRPr="009C5F11">
              <w:rPr>
                <w:rFonts w:ascii="Times New Roman" w:hAnsi="Times New Roman" w:cs="Times New Roman"/>
                <w:i/>
                <w:sz w:val="18"/>
                <w:szCs w:val="14"/>
                <w:lang w:val="ro-RO"/>
              </w:rPr>
              <w:t xml:space="preserve"> implement</w:t>
            </w:r>
            <w:r w:rsidR="004A2281" w:rsidRPr="009C5F11">
              <w:rPr>
                <w:rFonts w:ascii="Times New Roman" w:hAnsi="Times New Roman" w:cs="Times New Roman"/>
                <w:i/>
                <w:sz w:val="18"/>
                <w:szCs w:val="14"/>
                <w:lang w:val="ro-RO"/>
              </w:rPr>
              <w:t>are</w:t>
            </w:r>
            <w:r w:rsidR="00321CD5" w:rsidRPr="009C5F11">
              <w:rPr>
                <w:rFonts w:ascii="Times New Roman" w:hAnsi="Times New Roman" w:cs="Times New Roman"/>
                <w:i/>
                <w:sz w:val="18"/>
                <w:szCs w:val="14"/>
                <w:lang w:val="ro-RO"/>
              </w:rPr>
              <w:t xml:space="preserve"> şi </w:t>
            </w:r>
            <w:r w:rsidR="00BC2ED4" w:rsidRPr="009C5F11">
              <w:rPr>
                <w:rFonts w:ascii="Times New Roman" w:hAnsi="Times New Roman" w:cs="Times New Roman"/>
                <w:i/>
                <w:sz w:val="18"/>
                <w:szCs w:val="14"/>
                <w:lang w:val="ro-RO"/>
              </w:rPr>
              <w:t>notifica</w:t>
            </w:r>
            <w:r w:rsidR="004A2281" w:rsidRPr="009C5F11">
              <w:rPr>
                <w:rFonts w:ascii="Times New Roman" w:hAnsi="Times New Roman" w:cs="Times New Roman"/>
                <w:i/>
                <w:sz w:val="18"/>
                <w:szCs w:val="14"/>
                <w:lang w:val="ro-RO"/>
              </w:rPr>
              <w:t>re</w:t>
            </w:r>
            <w:r w:rsidR="00BC2ED4" w:rsidRPr="009C5F11">
              <w:rPr>
                <w:rFonts w:ascii="Times New Roman" w:hAnsi="Times New Roman" w:cs="Times New Roman"/>
                <w:i/>
                <w:sz w:val="18"/>
                <w:szCs w:val="14"/>
                <w:lang w:val="ro-RO"/>
              </w:rPr>
              <w:t xml:space="preserve"> </w:t>
            </w:r>
            <w:r w:rsidR="000A5836" w:rsidRPr="009C5F11">
              <w:rPr>
                <w:rFonts w:ascii="Times New Roman" w:hAnsi="Times New Roman" w:cs="Times New Roman"/>
                <w:i/>
                <w:sz w:val="18"/>
                <w:szCs w:val="14"/>
                <w:lang w:val="ro-RO"/>
              </w:rPr>
              <w:t>Secretariatului Comunităţii Energetice.</w:t>
            </w:r>
          </w:p>
        </w:tc>
        <w:tc>
          <w:tcPr>
            <w:tcW w:w="1141" w:type="pct"/>
            <w:shd w:val="clear" w:color="auto" w:fill="auto"/>
          </w:tcPr>
          <w:p w14:paraId="468ED06A" w14:textId="77777777" w:rsidR="00BC2ED4" w:rsidRPr="009C5F11" w:rsidRDefault="00D518F0"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Măsuri</w:t>
            </w:r>
            <w:r w:rsidR="00A73756" w:rsidRPr="009C5F11">
              <w:rPr>
                <w:rFonts w:ascii="Times New Roman" w:hAnsi="Times New Roman" w:cs="Times New Roman"/>
                <w:i/>
                <w:sz w:val="18"/>
                <w:szCs w:val="14"/>
                <w:lang w:val="ro-RO"/>
              </w:rPr>
              <w:t>le</w:t>
            </w:r>
            <w:r w:rsidR="00BC2ED4" w:rsidRPr="009C5F11">
              <w:rPr>
                <w:rFonts w:ascii="Times New Roman" w:hAnsi="Times New Roman" w:cs="Times New Roman"/>
                <w:i/>
                <w:sz w:val="18"/>
                <w:szCs w:val="14"/>
                <w:lang w:val="ro-RO"/>
              </w:rPr>
              <w:t xml:space="preserve"> </w:t>
            </w:r>
            <w:r w:rsidR="00202734" w:rsidRPr="009C5F11">
              <w:rPr>
                <w:rFonts w:ascii="Times New Roman" w:hAnsi="Times New Roman" w:cs="Times New Roman"/>
                <w:i/>
                <w:sz w:val="18"/>
                <w:szCs w:val="14"/>
                <w:lang w:val="ro-RO"/>
              </w:rPr>
              <w:t xml:space="preserve">pentru a </w:t>
            </w:r>
            <w:r w:rsidR="00A73756" w:rsidRPr="009C5F11">
              <w:rPr>
                <w:rFonts w:ascii="Times New Roman" w:hAnsi="Times New Roman" w:cs="Times New Roman"/>
                <w:i/>
                <w:sz w:val="18"/>
                <w:szCs w:val="14"/>
                <w:lang w:val="ro-RO"/>
              </w:rPr>
              <w:t>obţine</w:t>
            </w:r>
            <w:r w:rsidR="00202734" w:rsidRPr="009C5F11">
              <w:rPr>
                <w:rFonts w:ascii="Times New Roman" w:hAnsi="Times New Roman" w:cs="Times New Roman"/>
                <w:i/>
                <w:sz w:val="18"/>
                <w:szCs w:val="14"/>
                <w:lang w:val="ro-RO"/>
              </w:rPr>
              <w:t xml:space="preserve"> economii echivalente </w:t>
            </w:r>
            <w:r w:rsidR="00A73756" w:rsidRPr="009C5F11">
              <w:rPr>
                <w:rFonts w:ascii="Times New Roman" w:hAnsi="Times New Roman" w:cs="Times New Roman"/>
                <w:i/>
                <w:sz w:val="18"/>
                <w:szCs w:val="14"/>
                <w:lang w:val="ro-RO"/>
              </w:rPr>
              <w:t>ce</w:t>
            </w:r>
            <w:r w:rsidR="00202734" w:rsidRPr="009C5F11">
              <w:rPr>
                <w:rFonts w:ascii="Times New Roman" w:hAnsi="Times New Roman" w:cs="Times New Roman"/>
                <w:i/>
                <w:sz w:val="18"/>
                <w:szCs w:val="14"/>
                <w:lang w:val="ro-RO"/>
              </w:rPr>
              <w:t xml:space="preserve">lor stabilite </w:t>
            </w:r>
            <w:r w:rsidR="00A73756" w:rsidRPr="009C5F11">
              <w:rPr>
                <w:rFonts w:ascii="Times New Roman" w:hAnsi="Times New Roman" w:cs="Times New Roman"/>
                <w:i/>
                <w:sz w:val="18"/>
                <w:szCs w:val="14"/>
                <w:lang w:val="ro-RO"/>
              </w:rPr>
              <w:t xml:space="preserve">pe </w:t>
            </w:r>
            <w:r w:rsidR="004A7A66" w:rsidRPr="009C5F11">
              <w:rPr>
                <w:rFonts w:ascii="Times New Roman" w:hAnsi="Times New Roman" w:cs="Times New Roman"/>
                <w:i/>
                <w:sz w:val="18"/>
                <w:szCs w:val="14"/>
                <w:lang w:val="ro-RO"/>
              </w:rPr>
              <w:t>baza implementării</w:t>
            </w:r>
            <w:r w:rsidR="00BC2ED4" w:rsidRPr="009C5F11">
              <w:rPr>
                <w:rFonts w:ascii="Times New Roman" w:hAnsi="Times New Roman" w:cs="Times New Roman"/>
                <w:i/>
                <w:sz w:val="18"/>
                <w:szCs w:val="14"/>
                <w:lang w:val="ro-RO"/>
              </w:rPr>
              <w:t xml:space="preserve"> </w:t>
            </w:r>
            <w:r w:rsidR="00CB5515" w:rsidRPr="009C5F11">
              <w:rPr>
                <w:rFonts w:ascii="Times New Roman" w:hAnsi="Times New Roman" w:cs="Times New Roman"/>
                <w:i/>
                <w:sz w:val="18"/>
                <w:szCs w:val="14"/>
                <w:lang w:val="ro-RO"/>
              </w:rPr>
              <w:t>sistemul de obligaţii</w:t>
            </w:r>
            <w:r w:rsidR="00BC2ED4" w:rsidRPr="009C5F11">
              <w:rPr>
                <w:rFonts w:ascii="Times New Roman" w:hAnsi="Times New Roman" w:cs="Times New Roman"/>
                <w:i/>
                <w:sz w:val="18"/>
                <w:szCs w:val="14"/>
                <w:lang w:val="ro-RO"/>
              </w:rPr>
              <w:t xml:space="preserve"> </w:t>
            </w:r>
            <w:r w:rsidR="00202734" w:rsidRPr="009C5F11">
              <w:rPr>
                <w:rFonts w:ascii="Times New Roman" w:hAnsi="Times New Roman" w:cs="Times New Roman"/>
                <w:i/>
                <w:sz w:val="18"/>
                <w:szCs w:val="14"/>
                <w:lang w:val="ro-RO"/>
              </w:rPr>
              <w:t>sunt incluse</w:t>
            </w:r>
            <w:r w:rsidR="00321CD5" w:rsidRPr="009C5F11">
              <w:rPr>
                <w:rFonts w:ascii="Times New Roman" w:hAnsi="Times New Roman" w:cs="Times New Roman"/>
                <w:i/>
                <w:sz w:val="18"/>
                <w:szCs w:val="14"/>
                <w:lang w:val="ro-RO"/>
              </w:rPr>
              <w:t xml:space="preserve"> în </w:t>
            </w:r>
            <w:r w:rsidR="00872DC2" w:rsidRPr="009C5F11">
              <w:rPr>
                <w:rFonts w:ascii="Times New Roman" w:hAnsi="Times New Roman" w:cs="Times New Roman"/>
                <w:i/>
                <w:sz w:val="18"/>
                <w:szCs w:val="14"/>
                <w:lang w:val="ro-RO"/>
              </w:rPr>
              <w:t>PNAEE</w:t>
            </w:r>
            <w:r w:rsidR="00BC2ED4" w:rsidRPr="009C5F11">
              <w:rPr>
                <w:rFonts w:ascii="Times New Roman" w:hAnsi="Times New Roman" w:cs="Times New Roman"/>
                <w:i/>
                <w:sz w:val="18"/>
                <w:szCs w:val="14"/>
                <w:lang w:val="ro-RO"/>
              </w:rPr>
              <w:t xml:space="preserve"> 2016-2018.</w:t>
            </w:r>
          </w:p>
          <w:p w14:paraId="6FDE4168" w14:textId="77777777" w:rsidR="00BC2ED4" w:rsidRPr="009C5F11" w:rsidRDefault="00BC2ED4" w:rsidP="00430626">
            <w:pPr>
              <w:spacing w:after="0" w:line="240" w:lineRule="auto"/>
              <w:jc w:val="both"/>
              <w:rPr>
                <w:rFonts w:ascii="Times New Roman" w:hAnsi="Times New Roman" w:cs="Times New Roman"/>
                <w:i/>
                <w:sz w:val="18"/>
                <w:szCs w:val="14"/>
                <w:lang w:val="ro-RO"/>
              </w:rPr>
            </w:pPr>
          </w:p>
          <w:p w14:paraId="3C8016E3" w14:textId="77777777" w:rsidR="00BC2ED4" w:rsidRPr="009C5F11" w:rsidRDefault="00BC2ED4" w:rsidP="00A73756">
            <w:pPr>
              <w:spacing w:after="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Stud</w:t>
            </w:r>
            <w:r w:rsidR="00202734" w:rsidRPr="009C5F11">
              <w:rPr>
                <w:rFonts w:ascii="Times New Roman" w:hAnsi="Times New Roman" w:cs="Times New Roman"/>
                <w:i/>
                <w:sz w:val="18"/>
                <w:szCs w:val="14"/>
                <w:lang w:val="ro-RO"/>
              </w:rPr>
              <w:t>i</w:t>
            </w:r>
            <w:r w:rsidR="004A2281" w:rsidRPr="009C5F11">
              <w:rPr>
                <w:rFonts w:ascii="Times New Roman" w:hAnsi="Times New Roman" w:cs="Times New Roman"/>
                <w:i/>
                <w:sz w:val="18"/>
                <w:szCs w:val="14"/>
                <w:lang w:val="ro-RO"/>
              </w:rPr>
              <w:t>e</w:t>
            </w:r>
            <w:r w:rsidR="00202734" w:rsidRPr="009C5F11">
              <w:rPr>
                <w:rFonts w:ascii="Times New Roman" w:hAnsi="Times New Roman" w:cs="Times New Roman"/>
                <w:i/>
                <w:sz w:val="18"/>
                <w:szCs w:val="14"/>
                <w:lang w:val="ro-RO"/>
              </w:rPr>
              <w:t xml:space="preserve">rea oportunităţii de a </w:t>
            </w:r>
            <w:r w:rsidRPr="009C5F11">
              <w:rPr>
                <w:rFonts w:ascii="Times New Roman" w:hAnsi="Times New Roman" w:cs="Times New Roman"/>
                <w:i/>
                <w:sz w:val="18"/>
                <w:szCs w:val="14"/>
                <w:lang w:val="ro-RO"/>
              </w:rPr>
              <w:t>implement</w:t>
            </w:r>
            <w:r w:rsidR="00202734" w:rsidRPr="009C5F11">
              <w:rPr>
                <w:rFonts w:ascii="Times New Roman" w:hAnsi="Times New Roman" w:cs="Times New Roman"/>
                <w:i/>
                <w:sz w:val="18"/>
                <w:szCs w:val="14"/>
                <w:lang w:val="ro-RO"/>
              </w:rPr>
              <w:t>a</w:t>
            </w:r>
            <w:r w:rsidRPr="009C5F11">
              <w:rPr>
                <w:rFonts w:ascii="Times New Roman" w:hAnsi="Times New Roman" w:cs="Times New Roman"/>
                <w:i/>
                <w:sz w:val="18"/>
                <w:szCs w:val="14"/>
                <w:lang w:val="ro-RO"/>
              </w:rPr>
              <w:t xml:space="preserve"> </w:t>
            </w:r>
            <w:r w:rsidR="00CB5515" w:rsidRPr="009C5F11">
              <w:rPr>
                <w:rFonts w:ascii="Times New Roman" w:hAnsi="Times New Roman" w:cs="Times New Roman"/>
                <w:i/>
                <w:sz w:val="18"/>
                <w:szCs w:val="14"/>
                <w:lang w:val="ro-RO"/>
              </w:rPr>
              <w:t>sistemul de obligaţii</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recom</w:t>
            </w:r>
            <w:r w:rsidR="00B66B76" w:rsidRPr="009C5F11">
              <w:rPr>
                <w:rFonts w:ascii="Times New Roman" w:hAnsi="Times New Roman" w:cs="Times New Roman"/>
                <w:i/>
                <w:sz w:val="18"/>
                <w:szCs w:val="14"/>
                <w:lang w:val="ro-RO"/>
              </w:rPr>
              <w:t>andarea privind cele mai potrivit</w:t>
            </w:r>
            <w:r w:rsidR="004A2281" w:rsidRPr="009C5F11">
              <w:rPr>
                <w:rFonts w:ascii="Times New Roman" w:hAnsi="Times New Roman" w:cs="Times New Roman"/>
                <w:i/>
                <w:sz w:val="18"/>
                <w:szCs w:val="14"/>
                <w:lang w:val="ro-RO"/>
              </w:rPr>
              <w:t>e</w:t>
            </w:r>
            <w:r w:rsidR="00B66B76" w:rsidRPr="009C5F11">
              <w:rPr>
                <w:rFonts w:ascii="Times New Roman" w:hAnsi="Times New Roman" w:cs="Times New Roman"/>
                <w:i/>
                <w:sz w:val="18"/>
                <w:szCs w:val="14"/>
                <w:lang w:val="ro-RO"/>
              </w:rPr>
              <w:t xml:space="preserve"> scheme, în cazul în care există ast</w:t>
            </w:r>
            <w:r w:rsidR="004A2281" w:rsidRPr="009C5F11">
              <w:rPr>
                <w:rFonts w:ascii="Times New Roman" w:hAnsi="Times New Roman" w:cs="Times New Roman"/>
                <w:i/>
                <w:sz w:val="18"/>
                <w:szCs w:val="14"/>
                <w:lang w:val="ro-RO"/>
              </w:rPr>
              <w:t>f</w:t>
            </w:r>
            <w:r w:rsidR="00B66B76" w:rsidRPr="009C5F11">
              <w:rPr>
                <w:rFonts w:ascii="Times New Roman" w:hAnsi="Times New Roman" w:cs="Times New Roman"/>
                <w:i/>
                <w:sz w:val="18"/>
                <w:szCs w:val="14"/>
                <w:lang w:val="ro-RO"/>
              </w:rPr>
              <w:t xml:space="preserve">el de scheme, este prevăzută ca </w:t>
            </w:r>
            <w:r w:rsidR="00105D5C" w:rsidRPr="009C5F11">
              <w:rPr>
                <w:rFonts w:ascii="Times New Roman" w:hAnsi="Times New Roman" w:cs="Times New Roman"/>
                <w:i/>
                <w:sz w:val="18"/>
                <w:szCs w:val="14"/>
                <w:lang w:val="ro-RO"/>
              </w:rPr>
              <w:t>măsura</w:t>
            </w:r>
            <w:r w:rsidR="00A73756" w:rsidRPr="009C5F11">
              <w:rPr>
                <w:rFonts w:ascii="Times New Roman" w:hAnsi="Times New Roman" w:cs="Times New Roman"/>
                <w:i/>
                <w:sz w:val="18"/>
                <w:szCs w:val="14"/>
                <w:lang w:val="ro-RO"/>
              </w:rPr>
              <w:t xml:space="preserve"> H5 ”S</w:t>
            </w:r>
            <w:r w:rsidR="00AA45D2" w:rsidRPr="009C5F11">
              <w:rPr>
                <w:rFonts w:ascii="Times New Roman" w:hAnsi="Times New Roman" w:cs="Times New Roman"/>
                <w:i/>
                <w:sz w:val="18"/>
                <w:szCs w:val="14"/>
                <w:lang w:val="ro-RO"/>
              </w:rPr>
              <w:t>tudiu cu privire la instrumentele de promovare a eficienţei energetice/sistemele de obligaţii şi evaluarea aplicării acestora în Republica Moldova</w:t>
            </w:r>
            <w:r w:rsidRPr="009C5F11">
              <w:rPr>
                <w:rFonts w:ascii="Times New Roman" w:hAnsi="Times New Roman" w:cs="Times New Roman"/>
                <w:i/>
                <w:sz w:val="18"/>
                <w:szCs w:val="14"/>
                <w:lang w:val="ro-RO"/>
              </w:rPr>
              <w:t>”</w:t>
            </w:r>
            <w:r w:rsidR="00321CD5" w:rsidRPr="009C5F11">
              <w:rPr>
                <w:rFonts w:ascii="Times New Roman" w:hAnsi="Times New Roman" w:cs="Times New Roman"/>
                <w:i/>
                <w:sz w:val="18"/>
                <w:szCs w:val="14"/>
                <w:lang w:val="ro-RO"/>
              </w:rPr>
              <w:t xml:space="preserve"> în </w:t>
            </w:r>
            <w:r w:rsidR="00872DC2" w:rsidRPr="009C5F11">
              <w:rPr>
                <w:rFonts w:ascii="Times New Roman" w:hAnsi="Times New Roman" w:cs="Times New Roman"/>
                <w:i/>
                <w:sz w:val="18"/>
                <w:szCs w:val="14"/>
                <w:lang w:val="ro-RO"/>
              </w:rPr>
              <w:t>PNAEE</w:t>
            </w:r>
            <w:r w:rsidRPr="009C5F11">
              <w:rPr>
                <w:rFonts w:ascii="Times New Roman" w:hAnsi="Times New Roman" w:cs="Times New Roman"/>
                <w:i/>
                <w:sz w:val="18"/>
                <w:szCs w:val="14"/>
                <w:lang w:val="ro-RO"/>
              </w:rPr>
              <w:t xml:space="preserve"> 2016-2018.</w:t>
            </w:r>
          </w:p>
        </w:tc>
        <w:tc>
          <w:tcPr>
            <w:tcW w:w="438" w:type="pct"/>
            <w:shd w:val="clear" w:color="auto" w:fill="auto"/>
          </w:tcPr>
          <w:p w14:paraId="18FACFB8" w14:textId="77777777" w:rsidR="00AE143B" w:rsidRPr="009C5F11" w:rsidRDefault="00421FA7"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ME</w:t>
            </w:r>
            <w:r w:rsidR="00BC2ED4" w:rsidRPr="009C5F11">
              <w:rPr>
                <w:rFonts w:ascii="Times New Roman" w:hAnsi="Times New Roman" w:cs="Times New Roman"/>
                <w:i/>
                <w:sz w:val="18"/>
                <w:szCs w:val="14"/>
                <w:lang w:val="ro-RO"/>
              </w:rPr>
              <w:t xml:space="preserve">, </w:t>
            </w:r>
          </w:p>
          <w:p w14:paraId="68FF83BB" w14:textId="77777777" w:rsidR="00AE143B" w:rsidRPr="009C5F11" w:rsidRDefault="00AA0566"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MDRC</w:t>
            </w:r>
            <w:r w:rsidR="00BC2ED4" w:rsidRPr="009C5F11">
              <w:rPr>
                <w:rFonts w:ascii="Times New Roman" w:hAnsi="Times New Roman" w:cs="Times New Roman"/>
                <w:i/>
                <w:sz w:val="18"/>
                <w:szCs w:val="14"/>
                <w:lang w:val="ro-RO"/>
              </w:rPr>
              <w:t xml:space="preserve">, </w:t>
            </w:r>
          </w:p>
          <w:p w14:paraId="2D6D9E7C" w14:textId="77777777" w:rsidR="00BC2ED4" w:rsidRPr="009C5F11" w:rsidRDefault="00AA45D2"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MF</w:t>
            </w:r>
            <w:r w:rsidR="00BC2ED4" w:rsidRPr="009C5F11">
              <w:rPr>
                <w:rFonts w:ascii="Times New Roman" w:hAnsi="Times New Roman" w:cs="Times New Roman"/>
                <w:i/>
                <w:sz w:val="18"/>
                <w:szCs w:val="14"/>
                <w:lang w:val="ro-RO"/>
              </w:rPr>
              <w:t xml:space="preserve">, </w:t>
            </w:r>
          </w:p>
          <w:p w14:paraId="6165D70F" w14:textId="77777777" w:rsidR="00BC2ED4" w:rsidRPr="009C5F11" w:rsidRDefault="00421FA7"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MM</w:t>
            </w:r>
          </w:p>
          <w:p w14:paraId="1AF83664" w14:textId="77777777" w:rsidR="00BC2ED4" w:rsidRPr="009C5F11" w:rsidRDefault="00AA0566"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AEE</w:t>
            </w:r>
          </w:p>
        </w:tc>
      </w:tr>
      <w:tr w:rsidR="00341E16" w:rsidRPr="009C5F11" w14:paraId="4FFEF53C" w14:textId="77777777" w:rsidTr="00732F30">
        <w:trPr>
          <w:trHeight w:val="710"/>
        </w:trPr>
        <w:tc>
          <w:tcPr>
            <w:tcW w:w="216" w:type="pct"/>
            <w:shd w:val="clear" w:color="auto" w:fill="auto"/>
          </w:tcPr>
          <w:p w14:paraId="4639D1EA"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8</w:t>
            </w:r>
          </w:p>
        </w:tc>
        <w:tc>
          <w:tcPr>
            <w:tcW w:w="514" w:type="pct"/>
            <w:shd w:val="clear" w:color="auto" w:fill="auto"/>
          </w:tcPr>
          <w:p w14:paraId="3336D6B9" w14:textId="77777777" w:rsidR="00BC2ED4" w:rsidRPr="009C5F11" w:rsidRDefault="00341E16" w:rsidP="00341E1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Audituri energetice</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SME</w:t>
            </w:r>
          </w:p>
        </w:tc>
        <w:tc>
          <w:tcPr>
            <w:tcW w:w="975" w:type="pct"/>
            <w:shd w:val="clear" w:color="auto" w:fill="auto"/>
          </w:tcPr>
          <w:p w14:paraId="59D85371" w14:textId="77777777" w:rsidR="00BC2ED4" w:rsidRPr="009C5F11" w:rsidRDefault="00341E16"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Promovarea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disponibilităţii pentru to</w:t>
            </w:r>
            <w:r w:rsidR="00202734" w:rsidRPr="009C5F11">
              <w:rPr>
                <w:rFonts w:ascii="Times New Roman" w:hAnsi="Times New Roman" w:cs="Times New Roman"/>
                <w:i/>
                <w:sz w:val="18"/>
                <w:szCs w:val="14"/>
                <w:lang w:val="ro-RO"/>
              </w:rPr>
              <w:t>ţ</w:t>
            </w:r>
            <w:r w:rsidRPr="009C5F11">
              <w:rPr>
                <w:rFonts w:ascii="Times New Roman" w:hAnsi="Times New Roman" w:cs="Times New Roman"/>
                <w:i/>
                <w:sz w:val="18"/>
                <w:szCs w:val="14"/>
                <w:lang w:val="ro-RO"/>
              </w:rPr>
              <w:t xml:space="preserve">i clienţii finali a </w:t>
            </w:r>
            <w:r w:rsidR="00A07A79" w:rsidRPr="009C5F11">
              <w:rPr>
                <w:rFonts w:ascii="Times New Roman" w:hAnsi="Times New Roman" w:cs="Times New Roman"/>
                <w:i/>
                <w:sz w:val="18"/>
                <w:szCs w:val="14"/>
                <w:lang w:val="ro-RO"/>
              </w:rPr>
              <w:t>auditului energetic</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de calitate care este </w:t>
            </w:r>
            <w:r w:rsidR="00BC2ED4" w:rsidRPr="009C5F11">
              <w:rPr>
                <w:rFonts w:ascii="Times New Roman" w:hAnsi="Times New Roman" w:cs="Times New Roman"/>
                <w:i/>
                <w:sz w:val="18"/>
                <w:szCs w:val="14"/>
                <w:lang w:val="ro-RO"/>
              </w:rPr>
              <w:t>cost-ef</w:t>
            </w:r>
            <w:r w:rsidRPr="009C5F11">
              <w:rPr>
                <w:rFonts w:ascii="Times New Roman" w:hAnsi="Times New Roman" w:cs="Times New Roman"/>
                <w:i/>
                <w:sz w:val="18"/>
                <w:szCs w:val="14"/>
                <w:lang w:val="ro-RO"/>
              </w:rPr>
              <w:t>ic</w:t>
            </w:r>
            <w:r w:rsidR="000A5836" w:rsidRPr="009C5F11">
              <w:rPr>
                <w:rFonts w:ascii="Times New Roman" w:hAnsi="Times New Roman" w:cs="Times New Roman"/>
                <w:i/>
                <w:sz w:val="18"/>
                <w:szCs w:val="14"/>
                <w:lang w:val="ro-RO"/>
              </w:rPr>
              <w:t>ient</w:t>
            </w:r>
            <w:r w:rsidR="00202734" w:rsidRPr="009C5F11">
              <w:rPr>
                <w:rFonts w:ascii="Times New Roman" w:hAnsi="Times New Roman" w:cs="Times New Roman"/>
                <w:i/>
                <w:sz w:val="18"/>
                <w:szCs w:val="14"/>
                <w:lang w:val="ro-RO"/>
              </w:rPr>
              <w:t xml:space="preserve"> </w:t>
            </w:r>
            <w:r w:rsidR="00321CD5" w:rsidRPr="009C5F11">
              <w:rPr>
                <w:rFonts w:ascii="Times New Roman" w:hAnsi="Times New Roman" w:cs="Times New Roman"/>
                <w:i/>
                <w:sz w:val="18"/>
                <w:szCs w:val="14"/>
                <w:lang w:val="ro-RO"/>
              </w:rPr>
              <w:t xml:space="preserve">şi </w:t>
            </w:r>
            <w:r w:rsidR="000A5836" w:rsidRPr="009C5F11">
              <w:rPr>
                <w:rFonts w:ascii="Times New Roman" w:hAnsi="Times New Roman" w:cs="Times New Roman"/>
                <w:i/>
                <w:sz w:val="18"/>
                <w:szCs w:val="14"/>
                <w:lang w:val="ro-RO"/>
              </w:rPr>
              <w:t>realiz</w:t>
            </w:r>
            <w:r w:rsidRPr="009C5F11">
              <w:rPr>
                <w:rFonts w:ascii="Times New Roman" w:hAnsi="Times New Roman" w:cs="Times New Roman"/>
                <w:i/>
                <w:sz w:val="18"/>
                <w:szCs w:val="14"/>
                <w:lang w:val="ro-RO"/>
              </w:rPr>
              <w:t xml:space="preserve">at în mod independent de experţi calificaţi </w:t>
            </w:r>
            <w:r w:rsidR="000126A5" w:rsidRPr="009C5F11">
              <w:rPr>
                <w:rFonts w:ascii="Times New Roman" w:hAnsi="Times New Roman" w:cs="Times New Roman"/>
                <w:i/>
                <w:sz w:val="18"/>
                <w:szCs w:val="14"/>
                <w:lang w:val="ro-RO"/>
              </w:rPr>
              <w:t>şi/sau</w:t>
            </w:r>
            <w:r w:rsidR="00BC2ED4" w:rsidRPr="009C5F11">
              <w:rPr>
                <w:rFonts w:ascii="Times New Roman" w:hAnsi="Times New Roman" w:cs="Times New Roman"/>
                <w:i/>
                <w:sz w:val="18"/>
                <w:szCs w:val="14"/>
                <w:lang w:val="ro-RO"/>
              </w:rPr>
              <w:t xml:space="preserve"> acredit</w:t>
            </w:r>
            <w:r w:rsidRPr="009C5F11">
              <w:rPr>
                <w:rFonts w:ascii="Times New Roman" w:hAnsi="Times New Roman" w:cs="Times New Roman"/>
                <w:i/>
                <w:sz w:val="18"/>
                <w:szCs w:val="14"/>
                <w:lang w:val="ro-RO"/>
              </w:rPr>
              <w:t>aţi</w:t>
            </w:r>
            <w:r w:rsidR="00BC2ED4" w:rsidRPr="009C5F11">
              <w:rPr>
                <w:rFonts w:ascii="Times New Roman" w:hAnsi="Times New Roman" w:cs="Times New Roman"/>
                <w:i/>
                <w:sz w:val="18"/>
                <w:szCs w:val="14"/>
                <w:lang w:val="ro-RO"/>
              </w:rPr>
              <w:t xml:space="preserve"> </w:t>
            </w:r>
            <w:r w:rsidR="00D62784" w:rsidRPr="009C5F11">
              <w:rPr>
                <w:rFonts w:ascii="Times New Roman" w:hAnsi="Times New Roman" w:cs="Times New Roman"/>
                <w:i/>
                <w:sz w:val="18"/>
                <w:szCs w:val="14"/>
                <w:lang w:val="ro-RO"/>
              </w:rPr>
              <w:t>în conformitate cu</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criteriile de calificare</w:t>
            </w:r>
            <w:r w:rsidR="00BC2ED4" w:rsidRPr="009C5F11">
              <w:rPr>
                <w:rFonts w:ascii="Times New Roman" w:hAnsi="Times New Roman" w:cs="Times New Roman"/>
                <w:i/>
                <w:sz w:val="18"/>
                <w:szCs w:val="14"/>
                <w:lang w:val="ro-RO"/>
              </w:rPr>
              <w:t>;</w:t>
            </w:r>
            <w:r w:rsidR="00321CD5" w:rsidRPr="009C5F11">
              <w:rPr>
                <w:rFonts w:ascii="Times New Roman" w:hAnsi="Times New Roman" w:cs="Times New Roman"/>
                <w:i/>
                <w:sz w:val="18"/>
                <w:szCs w:val="14"/>
                <w:lang w:val="ro-RO"/>
              </w:rPr>
              <w:t xml:space="preserve"> sau </w:t>
            </w:r>
            <w:r w:rsidR="001B3DCF" w:rsidRPr="009C5F11">
              <w:rPr>
                <w:rFonts w:ascii="Times New Roman" w:hAnsi="Times New Roman" w:cs="Times New Roman"/>
                <w:i/>
                <w:sz w:val="18"/>
                <w:szCs w:val="14"/>
                <w:lang w:val="ro-RO"/>
              </w:rPr>
              <w:t>implementat</w:t>
            </w:r>
            <w:r w:rsidRPr="009C5F11">
              <w:rPr>
                <w:rFonts w:ascii="Times New Roman" w:hAnsi="Times New Roman" w:cs="Times New Roman"/>
                <w:i/>
                <w:sz w:val="18"/>
                <w:szCs w:val="14"/>
                <w:lang w:val="ro-RO"/>
              </w:rPr>
              <w:t>e</w:t>
            </w:r>
            <w:r w:rsidR="00321CD5" w:rsidRPr="009C5F11">
              <w:rPr>
                <w:rFonts w:ascii="Times New Roman" w:hAnsi="Times New Roman" w:cs="Times New Roman"/>
                <w:i/>
                <w:sz w:val="18"/>
                <w:szCs w:val="14"/>
                <w:lang w:val="ro-RO"/>
              </w:rPr>
              <w:t xml:space="preserve"> şi </w:t>
            </w:r>
            <w:r w:rsidR="00BC2ED4" w:rsidRPr="009C5F11">
              <w:rPr>
                <w:rFonts w:ascii="Times New Roman" w:hAnsi="Times New Roman" w:cs="Times New Roman"/>
                <w:i/>
                <w:sz w:val="18"/>
                <w:szCs w:val="14"/>
                <w:lang w:val="ro-RO"/>
              </w:rPr>
              <w:t>supervi</w:t>
            </w:r>
            <w:r w:rsidRPr="009C5F11">
              <w:rPr>
                <w:rFonts w:ascii="Times New Roman" w:hAnsi="Times New Roman" w:cs="Times New Roman"/>
                <w:i/>
                <w:sz w:val="18"/>
                <w:szCs w:val="14"/>
                <w:lang w:val="ro-RO"/>
              </w:rPr>
              <w:t xml:space="preserve">zate de autorităţi </w:t>
            </w:r>
            <w:r w:rsidR="00BC2ED4" w:rsidRPr="009C5F11">
              <w:rPr>
                <w:rFonts w:ascii="Times New Roman" w:hAnsi="Times New Roman" w:cs="Times New Roman"/>
                <w:i/>
                <w:sz w:val="18"/>
                <w:szCs w:val="14"/>
                <w:lang w:val="ro-RO"/>
              </w:rPr>
              <w:t>independent</w:t>
            </w:r>
            <w:r w:rsidRPr="009C5F11">
              <w:rPr>
                <w:rFonts w:ascii="Times New Roman" w:hAnsi="Times New Roman" w:cs="Times New Roman"/>
                <w:i/>
                <w:sz w:val="18"/>
                <w:szCs w:val="14"/>
                <w:lang w:val="ro-RO"/>
              </w:rPr>
              <w:t>e în conformitate cu</w:t>
            </w:r>
            <w:r w:rsidR="00BC2ED4" w:rsidRPr="009C5F11">
              <w:rPr>
                <w:rFonts w:ascii="Times New Roman" w:hAnsi="Times New Roman" w:cs="Times New Roman"/>
                <w:i/>
                <w:sz w:val="18"/>
                <w:szCs w:val="14"/>
                <w:lang w:val="ro-RO"/>
              </w:rPr>
              <w:t xml:space="preserve"> </w:t>
            </w:r>
            <w:r w:rsidR="00EA007D" w:rsidRPr="009C5F11">
              <w:rPr>
                <w:rFonts w:ascii="Times New Roman" w:hAnsi="Times New Roman" w:cs="Times New Roman"/>
                <w:i/>
                <w:sz w:val="18"/>
                <w:szCs w:val="14"/>
                <w:lang w:val="ro-RO"/>
              </w:rPr>
              <w:t>legislaţia naţională</w:t>
            </w:r>
            <w:r w:rsidR="00BC2ED4" w:rsidRPr="009C5F11">
              <w:rPr>
                <w:rFonts w:ascii="Times New Roman" w:hAnsi="Times New Roman" w:cs="Times New Roman"/>
                <w:i/>
                <w:sz w:val="18"/>
                <w:szCs w:val="14"/>
                <w:lang w:val="ro-RO"/>
              </w:rPr>
              <w:t>.</w:t>
            </w:r>
          </w:p>
          <w:p w14:paraId="5B0606E4" w14:textId="77777777" w:rsidR="00BC2ED4" w:rsidRPr="009C5F11" w:rsidRDefault="00341E16" w:rsidP="00FB38BF">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Întreprinderile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care nu sunt</w:t>
            </w:r>
            <w:r w:rsidR="00BC2ED4" w:rsidRPr="009C5F11">
              <w:rPr>
                <w:rFonts w:ascii="Times New Roman" w:hAnsi="Times New Roman" w:cs="Times New Roman"/>
                <w:i/>
                <w:sz w:val="18"/>
                <w:szCs w:val="14"/>
                <w:lang w:val="ro-RO"/>
              </w:rPr>
              <w:t xml:space="preserve"> </w:t>
            </w:r>
            <w:r w:rsidR="001B3DCF" w:rsidRPr="009C5F11">
              <w:rPr>
                <w:rFonts w:ascii="Times New Roman" w:hAnsi="Times New Roman" w:cs="Times New Roman"/>
                <w:i/>
                <w:sz w:val="18"/>
                <w:szCs w:val="14"/>
                <w:lang w:val="ro-RO"/>
              </w:rPr>
              <w:t>IMM</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sunt supuse </w:t>
            </w:r>
            <w:r w:rsidR="00FB38BF" w:rsidRPr="009C5F11">
              <w:rPr>
                <w:rFonts w:ascii="Times New Roman" w:hAnsi="Times New Roman" w:cs="Times New Roman"/>
                <w:i/>
                <w:sz w:val="18"/>
                <w:szCs w:val="14"/>
                <w:lang w:val="ro-RO"/>
              </w:rPr>
              <w:t>auditului energetic</w:t>
            </w:r>
            <w:r w:rsidR="00BC2ED4" w:rsidRPr="009C5F11">
              <w:rPr>
                <w:rFonts w:ascii="Times New Roman" w:hAnsi="Times New Roman" w:cs="Times New Roman"/>
                <w:i/>
                <w:sz w:val="18"/>
                <w:szCs w:val="14"/>
                <w:lang w:val="ro-RO"/>
              </w:rPr>
              <w:t xml:space="preserve"> </w:t>
            </w:r>
            <w:r w:rsidR="00FB38BF" w:rsidRPr="009C5F11">
              <w:rPr>
                <w:rFonts w:ascii="Times New Roman" w:hAnsi="Times New Roman" w:cs="Times New Roman"/>
                <w:i/>
                <w:sz w:val="18"/>
                <w:szCs w:val="14"/>
                <w:lang w:val="ro-RO"/>
              </w:rPr>
              <w:t>efectuat</w:t>
            </w:r>
            <w:r w:rsidR="00321CD5" w:rsidRPr="009C5F11">
              <w:rPr>
                <w:rFonts w:ascii="Times New Roman" w:hAnsi="Times New Roman" w:cs="Times New Roman"/>
                <w:i/>
                <w:sz w:val="18"/>
                <w:szCs w:val="14"/>
                <w:lang w:val="ro-RO"/>
              </w:rPr>
              <w:t xml:space="preserve"> în</w:t>
            </w:r>
            <w:r w:rsidR="00FB38BF" w:rsidRPr="009C5F11">
              <w:rPr>
                <w:rFonts w:ascii="Times New Roman" w:hAnsi="Times New Roman" w:cs="Times New Roman"/>
                <w:i/>
                <w:sz w:val="18"/>
                <w:szCs w:val="14"/>
                <w:lang w:val="ro-RO"/>
              </w:rPr>
              <w:t>tr-o manieră</w:t>
            </w:r>
            <w:r w:rsidR="00BC2ED4" w:rsidRPr="009C5F11">
              <w:rPr>
                <w:rFonts w:ascii="Times New Roman" w:hAnsi="Times New Roman" w:cs="Times New Roman"/>
                <w:i/>
                <w:sz w:val="18"/>
                <w:szCs w:val="14"/>
                <w:lang w:val="ro-RO"/>
              </w:rPr>
              <w:t xml:space="preserve"> independent</w:t>
            </w:r>
            <w:r w:rsidR="00FB38BF" w:rsidRPr="009C5F11">
              <w:rPr>
                <w:rFonts w:ascii="Times New Roman" w:hAnsi="Times New Roman" w:cs="Times New Roman"/>
                <w:i/>
                <w:sz w:val="18"/>
                <w:szCs w:val="14"/>
                <w:lang w:val="ro-RO"/>
              </w:rPr>
              <w:t>ă</w:t>
            </w:r>
            <w:r w:rsidR="00321CD5" w:rsidRPr="009C5F11">
              <w:rPr>
                <w:rFonts w:ascii="Times New Roman" w:hAnsi="Times New Roman" w:cs="Times New Roman"/>
                <w:i/>
                <w:sz w:val="18"/>
                <w:szCs w:val="14"/>
                <w:lang w:val="ro-RO"/>
              </w:rPr>
              <w:t xml:space="preserve"> şi </w:t>
            </w:r>
            <w:r w:rsidR="00FB38BF" w:rsidRPr="009C5F11">
              <w:rPr>
                <w:rFonts w:ascii="Times New Roman" w:hAnsi="Times New Roman" w:cs="Times New Roman"/>
                <w:i/>
                <w:sz w:val="18"/>
                <w:szCs w:val="14"/>
                <w:lang w:val="ro-RO"/>
              </w:rPr>
              <w:t>cost-eficace</w:t>
            </w:r>
            <w:r w:rsidR="00BC2ED4" w:rsidRPr="009C5F11">
              <w:rPr>
                <w:rFonts w:ascii="Times New Roman" w:hAnsi="Times New Roman" w:cs="Times New Roman"/>
                <w:i/>
                <w:sz w:val="18"/>
                <w:szCs w:val="14"/>
                <w:lang w:val="ro-RO"/>
              </w:rPr>
              <w:t xml:space="preserve"> </w:t>
            </w:r>
            <w:r w:rsidR="00FB38BF" w:rsidRPr="009C5F11">
              <w:rPr>
                <w:rFonts w:ascii="Times New Roman" w:hAnsi="Times New Roman" w:cs="Times New Roman"/>
                <w:i/>
                <w:sz w:val="18"/>
                <w:szCs w:val="14"/>
                <w:lang w:val="ro-RO"/>
              </w:rPr>
              <w:t>de experţi calificaţi şi/sau acreditaţi</w:t>
            </w:r>
            <w:r w:rsidR="00321CD5" w:rsidRPr="009C5F11">
              <w:rPr>
                <w:rFonts w:ascii="Times New Roman" w:hAnsi="Times New Roman" w:cs="Times New Roman"/>
                <w:i/>
                <w:sz w:val="18"/>
                <w:szCs w:val="14"/>
                <w:lang w:val="ro-RO"/>
              </w:rPr>
              <w:t xml:space="preserve"> sau </w:t>
            </w:r>
            <w:r w:rsidR="00FB38BF" w:rsidRPr="009C5F11">
              <w:rPr>
                <w:rFonts w:ascii="Times New Roman" w:hAnsi="Times New Roman" w:cs="Times New Roman"/>
                <w:i/>
                <w:sz w:val="18"/>
                <w:szCs w:val="14"/>
                <w:lang w:val="ro-RO"/>
              </w:rPr>
              <w:t>implementate şi supervizate de autorităţi independente în conformitate cu legislaţia naţională până la</w:t>
            </w:r>
            <w:r w:rsidR="00BC2ED4" w:rsidRPr="009C5F11">
              <w:rPr>
                <w:rFonts w:ascii="Times New Roman" w:hAnsi="Times New Roman" w:cs="Times New Roman"/>
                <w:i/>
                <w:sz w:val="18"/>
                <w:szCs w:val="14"/>
                <w:lang w:val="ro-RO"/>
              </w:rPr>
              <w:t xml:space="preserve"> 5 </w:t>
            </w:r>
            <w:r w:rsidR="000A4CC7" w:rsidRPr="009C5F11">
              <w:rPr>
                <w:rFonts w:ascii="Times New Roman" w:hAnsi="Times New Roman" w:cs="Times New Roman"/>
                <w:i/>
                <w:sz w:val="18"/>
                <w:szCs w:val="14"/>
                <w:lang w:val="ro-RO"/>
              </w:rPr>
              <w:t>noiembrie</w:t>
            </w:r>
            <w:r w:rsidR="00BC2ED4" w:rsidRPr="009C5F11">
              <w:rPr>
                <w:rFonts w:ascii="Times New Roman" w:hAnsi="Times New Roman" w:cs="Times New Roman"/>
                <w:i/>
                <w:sz w:val="18"/>
                <w:szCs w:val="14"/>
                <w:lang w:val="ro-RO"/>
              </w:rPr>
              <w:t xml:space="preserve"> 2018</w:t>
            </w:r>
            <w:r w:rsidR="00321CD5" w:rsidRPr="009C5F11">
              <w:rPr>
                <w:rFonts w:ascii="Times New Roman" w:hAnsi="Times New Roman" w:cs="Times New Roman"/>
                <w:i/>
                <w:sz w:val="18"/>
                <w:szCs w:val="14"/>
                <w:lang w:val="ro-RO"/>
              </w:rPr>
              <w:t xml:space="preserve"> şi</w:t>
            </w:r>
            <w:r w:rsidR="00FB38BF" w:rsidRPr="009C5F11">
              <w:rPr>
                <w:rFonts w:ascii="Times New Roman" w:hAnsi="Times New Roman" w:cs="Times New Roman"/>
                <w:i/>
                <w:sz w:val="18"/>
                <w:szCs w:val="14"/>
                <w:lang w:val="ro-RO"/>
              </w:rPr>
              <w:t>, cel puţin, la fiecare 4 ani de la data</w:t>
            </w:r>
            <w:r w:rsidR="000A5836" w:rsidRPr="009C5F11">
              <w:rPr>
                <w:rFonts w:ascii="Times New Roman" w:hAnsi="Times New Roman" w:cs="Times New Roman"/>
                <w:i/>
                <w:sz w:val="18"/>
                <w:szCs w:val="14"/>
                <w:lang w:val="ro-RO"/>
              </w:rPr>
              <w:t xml:space="preserve"> efectuării</w:t>
            </w:r>
            <w:r w:rsidR="00FB38BF" w:rsidRPr="009C5F11">
              <w:rPr>
                <w:rFonts w:ascii="Times New Roman" w:hAnsi="Times New Roman" w:cs="Times New Roman"/>
                <w:i/>
                <w:sz w:val="18"/>
                <w:szCs w:val="14"/>
                <w:lang w:val="ro-RO"/>
              </w:rPr>
              <w:t xml:space="preserve"> auditului energetic precedent</w:t>
            </w:r>
            <w:r w:rsidR="00BC2ED4" w:rsidRPr="009C5F11">
              <w:rPr>
                <w:rFonts w:ascii="Times New Roman" w:hAnsi="Times New Roman" w:cs="Times New Roman"/>
                <w:i/>
                <w:sz w:val="18"/>
                <w:szCs w:val="14"/>
                <w:lang w:val="ro-RO"/>
              </w:rPr>
              <w:t>.</w:t>
            </w:r>
          </w:p>
        </w:tc>
        <w:tc>
          <w:tcPr>
            <w:tcW w:w="619" w:type="pct"/>
            <w:shd w:val="clear" w:color="auto" w:fill="auto"/>
          </w:tcPr>
          <w:p w14:paraId="114347CD"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15.10.2017</w:t>
            </w:r>
          </w:p>
          <w:p w14:paraId="5D263752"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p>
          <w:p w14:paraId="1E25394E"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p>
          <w:p w14:paraId="15142A20"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p>
          <w:p w14:paraId="41A0B75C"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p>
          <w:p w14:paraId="4DA724EE"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p>
          <w:p w14:paraId="20409681"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p>
          <w:p w14:paraId="68DA96BF"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p>
          <w:p w14:paraId="24D60CF5"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p>
          <w:p w14:paraId="42BBD83D"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p>
        </w:tc>
        <w:tc>
          <w:tcPr>
            <w:tcW w:w="1097" w:type="pct"/>
          </w:tcPr>
          <w:p w14:paraId="3B636FB5" w14:textId="77777777" w:rsidR="00BC2ED4" w:rsidRPr="009C5F11" w:rsidRDefault="00A01856" w:rsidP="00B40DB5">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Actualizarea</w:t>
            </w:r>
            <w:r w:rsidR="00BC2ED4" w:rsidRPr="009C5F11">
              <w:rPr>
                <w:rFonts w:ascii="Times New Roman" w:hAnsi="Times New Roman" w:cs="Times New Roman"/>
                <w:i/>
                <w:sz w:val="18"/>
                <w:szCs w:val="14"/>
                <w:lang w:val="ro-RO"/>
              </w:rPr>
              <w:t xml:space="preserve"> </w:t>
            </w:r>
            <w:r w:rsidR="007F6775" w:rsidRPr="009C5F11">
              <w:rPr>
                <w:rFonts w:ascii="Times New Roman" w:hAnsi="Times New Roman" w:cs="Times New Roman"/>
                <w:i/>
                <w:sz w:val="18"/>
                <w:szCs w:val="14"/>
                <w:lang w:val="ro-RO"/>
              </w:rPr>
              <w:t>legislaţie</w:t>
            </w:r>
            <w:r w:rsidR="00BC2ED4" w:rsidRPr="009C5F11">
              <w:rPr>
                <w:rFonts w:ascii="Times New Roman" w:hAnsi="Times New Roman" w:cs="Times New Roman"/>
                <w:i/>
                <w:sz w:val="18"/>
                <w:szCs w:val="14"/>
                <w:lang w:val="ro-RO"/>
              </w:rPr>
              <w:t xml:space="preserve"> </w:t>
            </w:r>
            <w:r w:rsidR="005F63E1" w:rsidRPr="009C5F11">
              <w:rPr>
                <w:rFonts w:ascii="Times New Roman" w:hAnsi="Times New Roman" w:cs="Times New Roman"/>
                <w:i/>
                <w:sz w:val="18"/>
                <w:szCs w:val="14"/>
                <w:lang w:val="ro-RO"/>
              </w:rPr>
              <w:t>pentru a se conforma cu</w:t>
            </w:r>
            <w:r w:rsidR="00202734" w:rsidRPr="009C5F11">
              <w:rPr>
                <w:rFonts w:ascii="Times New Roman" w:hAnsi="Times New Roman" w:cs="Times New Roman"/>
                <w:i/>
                <w:sz w:val="18"/>
                <w:szCs w:val="14"/>
                <w:lang w:val="ro-RO"/>
              </w:rPr>
              <w:t xml:space="preserve"> </w:t>
            </w:r>
            <w:r w:rsidR="000126A5" w:rsidRPr="009C5F11">
              <w:rPr>
                <w:rFonts w:ascii="Times New Roman" w:hAnsi="Times New Roman" w:cs="Times New Roman"/>
                <w:i/>
                <w:sz w:val="18"/>
                <w:szCs w:val="14"/>
                <w:lang w:val="ro-RO"/>
              </w:rPr>
              <w:t>cerinţele</w:t>
            </w:r>
            <w:r w:rsidR="00202734" w:rsidRPr="009C5F11">
              <w:rPr>
                <w:rFonts w:ascii="Times New Roman" w:hAnsi="Times New Roman" w:cs="Times New Roman"/>
                <w:i/>
                <w:sz w:val="18"/>
                <w:szCs w:val="14"/>
                <w:lang w:val="ro-RO"/>
              </w:rPr>
              <w:t xml:space="preserve"> specifice</w:t>
            </w:r>
            <w:r w:rsidR="00BC2ED4" w:rsidRPr="009C5F11">
              <w:rPr>
                <w:rFonts w:ascii="Times New Roman" w:hAnsi="Times New Roman" w:cs="Times New Roman"/>
                <w:i/>
                <w:sz w:val="18"/>
                <w:szCs w:val="14"/>
                <w:lang w:val="ro-RO"/>
              </w:rPr>
              <w:t>.</w:t>
            </w:r>
          </w:p>
        </w:tc>
        <w:tc>
          <w:tcPr>
            <w:tcW w:w="1141" w:type="pct"/>
            <w:shd w:val="clear" w:color="auto" w:fill="auto"/>
          </w:tcPr>
          <w:p w14:paraId="70C13A88" w14:textId="77777777" w:rsidR="00BC2ED4" w:rsidRPr="009C5F11" w:rsidRDefault="00117177"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Definiţia</w:t>
            </w:r>
            <w:r w:rsidR="00BC2ED4" w:rsidRPr="009C5F11">
              <w:rPr>
                <w:rFonts w:ascii="Times New Roman" w:hAnsi="Times New Roman" w:cs="Times New Roman"/>
                <w:i/>
                <w:sz w:val="18"/>
                <w:szCs w:val="14"/>
                <w:lang w:val="ro-RO"/>
              </w:rPr>
              <w:t xml:space="preserve"> </w:t>
            </w:r>
            <w:r w:rsidR="001B3DCF" w:rsidRPr="009C5F11">
              <w:rPr>
                <w:rFonts w:ascii="Times New Roman" w:hAnsi="Times New Roman" w:cs="Times New Roman"/>
                <w:i/>
                <w:sz w:val="18"/>
                <w:szCs w:val="14"/>
                <w:lang w:val="ro-RO"/>
              </w:rPr>
              <w:t>IMM</w:t>
            </w:r>
            <w:r w:rsidR="00A73756" w:rsidRPr="009C5F11">
              <w:rPr>
                <w:rFonts w:ascii="Times New Roman" w:hAnsi="Times New Roman" w:cs="Times New Roman"/>
                <w:i/>
                <w:sz w:val="18"/>
                <w:szCs w:val="14"/>
                <w:lang w:val="ro-RO"/>
              </w:rPr>
              <w:t>-urilor</w:t>
            </w:r>
            <w:r w:rsidR="00321CD5" w:rsidRPr="009C5F11">
              <w:rPr>
                <w:rFonts w:ascii="Times New Roman" w:hAnsi="Times New Roman" w:cs="Times New Roman"/>
                <w:i/>
                <w:sz w:val="18"/>
                <w:szCs w:val="14"/>
                <w:lang w:val="ro-RO"/>
              </w:rPr>
              <w:t xml:space="preserve"> </w:t>
            </w:r>
            <w:r w:rsidR="00202734" w:rsidRPr="009C5F11">
              <w:rPr>
                <w:rFonts w:ascii="Times New Roman" w:hAnsi="Times New Roman" w:cs="Times New Roman"/>
                <w:i/>
                <w:sz w:val="18"/>
                <w:szCs w:val="14"/>
                <w:lang w:val="ro-RO"/>
              </w:rPr>
              <w:t xml:space="preserve">nu este conformă cu cea utilizată în </w:t>
            </w:r>
            <w:r w:rsidR="00421FA7" w:rsidRPr="009C5F11">
              <w:rPr>
                <w:rFonts w:ascii="Times New Roman" w:hAnsi="Times New Roman" w:cs="Times New Roman"/>
                <w:i/>
                <w:sz w:val="18"/>
                <w:szCs w:val="14"/>
                <w:lang w:val="ro-RO"/>
              </w:rPr>
              <w:t>UE</w:t>
            </w:r>
            <w:r w:rsidR="00BC2ED4" w:rsidRPr="009C5F11">
              <w:rPr>
                <w:rFonts w:ascii="Times New Roman" w:hAnsi="Times New Roman" w:cs="Times New Roman"/>
                <w:i/>
                <w:sz w:val="18"/>
                <w:szCs w:val="14"/>
                <w:lang w:val="ro-RO"/>
              </w:rPr>
              <w:t>.</w:t>
            </w:r>
          </w:p>
          <w:p w14:paraId="3FEF740F" w14:textId="77777777" w:rsidR="00BC2ED4" w:rsidRPr="009C5F11" w:rsidRDefault="00202734" w:rsidP="00A7375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Într-o proporţie semnificativă,</w:t>
            </w:r>
            <w:r w:rsidR="00BC2ED4" w:rsidRPr="009C5F11">
              <w:rPr>
                <w:rFonts w:ascii="Times New Roman" w:hAnsi="Times New Roman" w:cs="Times New Roman"/>
                <w:i/>
                <w:sz w:val="18"/>
                <w:szCs w:val="14"/>
                <w:lang w:val="ro-RO"/>
              </w:rPr>
              <w:t xml:space="preserve"> </w:t>
            </w:r>
            <w:r w:rsidR="00EA007D" w:rsidRPr="009C5F11">
              <w:rPr>
                <w:rFonts w:ascii="Times New Roman" w:hAnsi="Times New Roman" w:cs="Times New Roman"/>
                <w:i/>
                <w:sz w:val="18"/>
                <w:szCs w:val="14"/>
                <w:lang w:val="ro-RO"/>
              </w:rPr>
              <w:t>Legea</w:t>
            </w:r>
            <w:r w:rsidR="00055095" w:rsidRPr="009C5F11">
              <w:rPr>
                <w:rFonts w:ascii="Times New Roman" w:hAnsi="Times New Roman" w:cs="Times New Roman"/>
                <w:i/>
                <w:sz w:val="18"/>
                <w:szCs w:val="14"/>
                <w:lang w:val="ro-RO"/>
              </w:rPr>
              <w:t xml:space="preserve"> </w:t>
            </w:r>
            <w:r w:rsidR="00BC2ED4" w:rsidRPr="009C5F11">
              <w:rPr>
                <w:rFonts w:ascii="Times New Roman" w:hAnsi="Times New Roman" w:cs="Times New Roman"/>
                <w:i/>
                <w:sz w:val="18"/>
                <w:szCs w:val="14"/>
                <w:lang w:val="ro-RO"/>
              </w:rPr>
              <w:t>n</w:t>
            </w:r>
            <w:r w:rsidRPr="009C5F11">
              <w:rPr>
                <w:rFonts w:ascii="Times New Roman" w:hAnsi="Times New Roman" w:cs="Times New Roman"/>
                <w:i/>
                <w:sz w:val="18"/>
                <w:szCs w:val="14"/>
                <w:lang w:val="ro-RO"/>
              </w:rPr>
              <w:t>r</w:t>
            </w:r>
            <w:r w:rsidR="00BC2ED4" w:rsidRPr="009C5F11">
              <w:rPr>
                <w:rFonts w:ascii="Times New Roman" w:hAnsi="Times New Roman" w:cs="Times New Roman"/>
                <w:i/>
                <w:sz w:val="18"/>
                <w:szCs w:val="14"/>
                <w:lang w:val="ro-RO"/>
              </w:rPr>
              <w:t xml:space="preserve">.142 </w:t>
            </w:r>
            <w:r w:rsidR="00A73756" w:rsidRPr="009C5F11">
              <w:rPr>
                <w:rFonts w:ascii="Times New Roman" w:hAnsi="Times New Roman" w:cs="Times New Roman"/>
                <w:i/>
                <w:sz w:val="18"/>
                <w:szCs w:val="14"/>
                <w:lang w:val="ro-RO"/>
              </w:rPr>
              <w:t>din</w:t>
            </w:r>
            <w:r w:rsidR="00BC2ED4" w:rsidRPr="009C5F11">
              <w:rPr>
                <w:rFonts w:ascii="Times New Roman" w:hAnsi="Times New Roman" w:cs="Times New Roman"/>
                <w:i/>
                <w:sz w:val="18"/>
                <w:szCs w:val="14"/>
                <w:lang w:val="ro-RO"/>
              </w:rPr>
              <w:t xml:space="preserve"> 02.07.2010</w:t>
            </w:r>
            <w:r w:rsidR="00321CD5"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cu privire la</w:t>
            </w:r>
            <w:r w:rsidR="00BC2ED4" w:rsidRPr="009C5F11">
              <w:rPr>
                <w:rFonts w:ascii="Times New Roman" w:hAnsi="Times New Roman" w:cs="Times New Roman"/>
                <w:i/>
                <w:sz w:val="18"/>
                <w:szCs w:val="14"/>
                <w:lang w:val="ro-RO"/>
              </w:rPr>
              <w:t xml:space="preserve"> </w:t>
            </w:r>
            <w:r w:rsidR="001F5C51" w:rsidRPr="009C5F11">
              <w:rPr>
                <w:rFonts w:ascii="Times New Roman" w:hAnsi="Times New Roman" w:cs="Times New Roman"/>
                <w:i/>
                <w:sz w:val="18"/>
                <w:szCs w:val="14"/>
                <w:lang w:val="ro-RO"/>
              </w:rPr>
              <w:t>eficienţ</w:t>
            </w:r>
            <w:r w:rsidRPr="009C5F11">
              <w:rPr>
                <w:rFonts w:ascii="Times New Roman" w:hAnsi="Times New Roman" w:cs="Times New Roman"/>
                <w:i/>
                <w:sz w:val="18"/>
                <w:szCs w:val="14"/>
                <w:lang w:val="ro-RO"/>
              </w:rPr>
              <w:t>a</w:t>
            </w:r>
            <w:r w:rsidR="001F5C51" w:rsidRPr="009C5F11">
              <w:rPr>
                <w:rFonts w:ascii="Times New Roman" w:hAnsi="Times New Roman" w:cs="Times New Roman"/>
                <w:i/>
                <w:sz w:val="18"/>
                <w:szCs w:val="14"/>
                <w:lang w:val="ro-RO"/>
              </w:rPr>
              <w:t xml:space="preserve"> energetic</w:t>
            </w:r>
            <w:r w:rsidRPr="009C5F11">
              <w:rPr>
                <w:rFonts w:ascii="Times New Roman" w:hAnsi="Times New Roman" w:cs="Times New Roman"/>
                <w:i/>
                <w:sz w:val="18"/>
                <w:szCs w:val="14"/>
                <w:lang w:val="ro-RO"/>
              </w:rPr>
              <w:t>ă</w:t>
            </w:r>
            <w:r w:rsidR="00BC2ED4" w:rsidRPr="009C5F11">
              <w:rPr>
                <w:rFonts w:ascii="Times New Roman" w:hAnsi="Times New Roman" w:cs="Times New Roman"/>
                <w:i/>
                <w:sz w:val="18"/>
                <w:szCs w:val="14"/>
                <w:lang w:val="ro-RO"/>
              </w:rPr>
              <w:t xml:space="preserve"> a</w:t>
            </w:r>
            <w:r w:rsidRPr="009C5F11">
              <w:rPr>
                <w:rFonts w:ascii="Times New Roman" w:hAnsi="Times New Roman" w:cs="Times New Roman"/>
                <w:i/>
                <w:sz w:val="18"/>
                <w:szCs w:val="14"/>
                <w:lang w:val="ro-RO"/>
              </w:rPr>
              <w:t xml:space="preserve">bordează aspectele </w:t>
            </w:r>
            <w:r w:rsidR="00BC2ED4" w:rsidRPr="009C5F11">
              <w:rPr>
                <w:rFonts w:ascii="Times New Roman" w:hAnsi="Times New Roman" w:cs="Times New Roman"/>
                <w:i/>
                <w:sz w:val="18"/>
                <w:szCs w:val="14"/>
                <w:lang w:val="ro-RO"/>
              </w:rPr>
              <w:t>specific</w:t>
            </w:r>
            <w:r w:rsidRPr="009C5F11">
              <w:rPr>
                <w:rFonts w:ascii="Times New Roman" w:hAnsi="Times New Roman" w:cs="Times New Roman"/>
                <w:i/>
                <w:sz w:val="18"/>
                <w:szCs w:val="14"/>
                <w:lang w:val="ro-RO"/>
              </w:rPr>
              <w:t xml:space="preserve">e ale </w:t>
            </w:r>
            <w:r w:rsidR="00FB38BF" w:rsidRPr="009C5F11">
              <w:rPr>
                <w:rFonts w:ascii="Times New Roman" w:hAnsi="Times New Roman" w:cs="Times New Roman"/>
                <w:i/>
                <w:sz w:val="18"/>
                <w:szCs w:val="14"/>
                <w:lang w:val="ro-RO"/>
              </w:rPr>
              <w:t>auditului energetic</w:t>
            </w:r>
            <w:r w:rsidR="00BC2ED4" w:rsidRPr="009C5F11">
              <w:rPr>
                <w:rFonts w:ascii="Times New Roman" w:hAnsi="Times New Roman" w:cs="Times New Roman"/>
                <w:i/>
                <w:sz w:val="18"/>
                <w:szCs w:val="14"/>
                <w:lang w:val="ro-RO"/>
              </w:rPr>
              <w:t xml:space="preserve">, </w:t>
            </w:r>
            <w:r w:rsidR="001221B7" w:rsidRPr="009C5F11">
              <w:rPr>
                <w:rFonts w:ascii="Times New Roman" w:hAnsi="Times New Roman" w:cs="Times New Roman"/>
                <w:i/>
                <w:sz w:val="18"/>
                <w:szCs w:val="14"/>
                <w:lang w:val="ro-RO"/>
              </w:rPr>
              <w:t>totuşi</w:t>
            </w:r>
            <w:r w:rsidRPr="009C5F11">
              <w:rPr>
                <w:rFonts w:ascii="Times New Roman" w:hAnsi="Times New Roman" w:cs="Times New Roman"/>
                <w:i/>
                <w:sz w:val="18"/>
                <w:szCs w:val="14"/>
                <w:lang w:val="ro-RO"/>
              </w:rPr>
              <w:t>, legea a intrat în vigoare înainte de adoptarea</w:t>
            </w:r>
            <w:r w:rsidR="00BC2ED4" w:rsidRPr="009C5F11">
              <w:rPr>
                <w:rFonts w:ascii="Times New Roman" w:hAnsi="Times New Roman" w:cs="Times New Roman"/>
                <w:i/>
                <w:sz w:val="18"/>
                <w:szCs w:val="14"/>
                <w:lang w:val="ro-RO"/>
              </w:rPr>
              <w:t xml:space="preserve"> </w:t>
            </w:r>
            <w:r w:rsidR="00CB011F" w:rsidRPr="009C5F11">
              <w:rPr>
                <w:rFonts w:ascii="Times New Roman" w:hAnsi="Times New Roman" w:cs="Times New Roman"/>
                <w:i/>
                <w:sz w:val="18"/>
                <w:szCs w:val="14"/>
                <w:lang w:val="ro-RO"/>
              </w:rPr>
              <w:t>DEE</w:t>
            </w:r>
            <w:r w:rsidRPr="009C5F11">
              <w:rPr>
                <w:rFonts w:ascii="Times New Roman" w:hAnsi="Times New Roman" w:cs="Times New Roman"/>
                <w:i/>
                <w:sz w:val="18"/>
                <w:szCs w:val="14"/>
                <w:lang w:val="ro-RO"/>
              </w:rPr>
              <w:t>, motiv di</w:t>
            </w:r>
            <w:r w:rsidR="00A73756" w:rsidRPr="009C5F11">
              <w:rPr>
                <w:rFonts w:ascii="Times New Roman" w:hAnsi="Times New Roman" w:cs="Times New Roman"/>
                <w:i/>
                <w:sz w:val="18"/>
                <w:szCs w:val="14"/>
                <w:lang w:val="ro-RO"/>
              </w:rPr>
              <w:t>n</w:t>
            </w:r>
            <w:r w:rsidRPr="009C5F11">
              <w:rPr>
                <w:rFonts w:ascii="Times New Roman" w:hAnsi="Times New Roman" w:cs="Times New Roman"/>
                <w:i/>
                <w:sz w:val="18"/>
                <w:szCs w:val="14"/>
                <w:lang w:val="ro-RO"/>
              </w:rPr>
              <w:t xml:space="preserve"> care nu este conformă cu cerinţele specifice ale </w:t>
            </w:r>
            <w:r w:rsidR="00CB011F" w:rsidRPr="009C5F11">
              <w:rPr>
                <w:rFonts w:ascii="Times New Roman" w:hAnsi="Times New Roman" w:cs="Times New Roman"/>
                <w:i/>
                <w:sz w:val="18"/>
                <w:szCs w:val="14"/>
                <w:lang w:val="ro-RO"/>
              </w:rPr>
              <w:t>DEE</w:t>
            </w:r>
            <w:r w:rsidRPr="009C5F11">
              <w:rPr>
                <w:rFonts w:ascii="Times New Roman" w:hAnsi="Times New Roman" w:cs="Times New Roman"/>
                <w:i/>
                <w:sz w:val="18"/>
                <w:szCs w:val="14"/>
                <w:lang w:val="ro-RO"/>
              </w:rPr>
              <w:t xml:space="preserve">. </w:t>
            </w:r>
          </w:p>
        </w:tc>
        <w:tc>
          <w:tcPr>
            <w:tcW w:w="438" w:type="pct"/>
            <w:shd w:val="clear" w:color="auto" w:fill="auto"/>
          </w:tcPr>
          <w:p w14:paraId="604438A4" w14:textId="77777777" w:rsidR="00BC2ED4" w:rsidRPr="009C5F11" w:rsidRDefault="00421FA7"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ME</w:t>
            </w:r>
            <w:r w:rsidR="00BC2ED4" w:rsidRPr="009C5F11">
              <w:rPr>
                <w:rFonts w:ascii="Times New Roman" w:hAnsi="Times New Roman" w:cs="Times New Roman"/>
                <w:i/>
                <w:sz w:val="18"/>
                <w:szCs w:val="14"/>
                <w:lang w:val="ro-RO"/>
              </w:rPr>
              <w:t xml:space="preserve">, </w:t>
            </w:r>
          </w:p>
          <w:p w14:paraId="343DD993" w14:textId="77777777" w:rsidR="00BC2ED4" w:rsidRPr="009C5F11" w:rsidRDefault="00AA0566"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AEE</w:t>
            </w:r>
            <w:r w:rsidR="00BC2ED4" w:rsidRPr="009C5F11">
              <w:rPr>
                <w:rFonts w:ascii="Times New Roman" w:hAnsi="Times New Roman" w:cs="Times New Roman"/>
                <w:i/>
                <w:sz w:val="18"/>
                <w:szCs w:val="14"/>
                <w:lang w:val="ro-RO"/>
              </w:rPr>
              <w:t>,</w:t>
            </w:r>
          </w:p>
          <w:p w14:paraId="43D0A8C1" w14:textId="77777777" w:rsidR="00BC2ED4" w:rsidRPr="009C5F11" w:rsidRDefault="00BC2ED4"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BNS</w:t>
            </w:r>
          </w:p>
          <w:p w14:paraId="36E6D17A" w14:textId="77777777" w:rsidR="00AE143B" w:rsidRPr="009C5F11" w:rsidRDefault="00AE143B" w:rsidP="00AE143B">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MF</w:t>
            </w:r>
          </w:p>
        </w:tc>
      </w:tr>
      <w:tr w:rsidR="00341E16" w:rsidRPr="009C5F11" w14:paraId="4987BFFA" w14:textId="77777777" w:rsidTr="00732F30">
        <w:tc>
          <w:tcPr>
            <w:tcW w:w="216" w:type="pct"/>
            <w:shd w:val="clear" w:color="auto" w:fill="auto"/>
          </w:tcPr>
          <w:p w14:paraId="0312D651"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9-11</w:t>
            </w:r>
          </w:p>
        </w:tc>
        <w:tc>
          <w:tcPr>
            <w:tcW w:w="514" w:type="pct"/>
            <w:shd w:val="clear" w:color="auto" w:fill="auto"/>
          </w:tcPr>
          <w:p w14:paraId="04B49AE6" w14:textId="77777777" w:rsidR="00BC2ED4" w:rsidRPr="009C5F11" w:rsidRDefault="00FB38BF" w:rsidP="00FB38BF">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Contorizarea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facturarea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costul accesului la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contorizare</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facturare</w:t>
            </w:r>
          </w:p>
        </w:tc>
        <w:tc>
          <w:tcPr>
            <w:tcW w:w="975" w:type="pct"/>
            <w:shd w:val="clear" w:color="auto" w:fill="auto"/>
          </w:tcPr>
          <w:p w14:paraId="1FA72940" w14:textId="77777777" w:rsidR="00BC2ED4" w:rsidRPr="009C5F11" w:rsidRDefault="00FB38BF"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În măsura în care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este posibil din punct de vedere tehnic</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rezonabil şi proporţionat </w:t>
            </w:r>
            <w:r w:rsidR="00E54D88" w:rsidRPr="009C5F11">
              <w:rPr>
                <w:rFonts w:ascii="Times New Roman" w:hAnsi="Times New Roman" w:cs="Times New Roman"/>
                <w:i/>
                <w:sz w:val="18"/>
                <w:szCs w:val="14"/>
                <w:lang w:val="ro-RO"/>
              </w:rPr>
              <w:t>financiar</w:t>
            </w:r>
            <w:r w:rsidR="00321CD5"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în raport cu</w:t>
            </w:r>
            <w:r w:rsidR="00BC2ED4" w:rsidRPr="009C5F11">
              <w:rPr>
                <w:rFonts w:ascii="Times New Roman" w:hAnsi="Times New Roman" w:cs="Times New Roman"/>
                <w:i/>
                <w:sz w:val="18"/>
                <w:szCs w:val="14"/>
                <w:lang w:val="ro-RO"/>
              </w:rPr>
              <w:t xml:space="preserve"> </w:t>
            </w:r>
            <w:r w:rsidR="00F43616" w:rsidRPr="009C5F11">
              <w:rPr>
                <w:rFonts w:ascii="Times New Roman" w:hAnsi="Times New Roman" w:cs="Times New Roman"/>
                <w:i/>
                <w:sz w:val="18"/>
                <w:szCs w:val="14"/>
                <w:lang w:val="ro-RO"/>
              </w:rPr>
              <w:t>economiile potenţiale</w:t>
            </w:r>
            <w:r w:rsidR="004424A0" w:rsidRPr="009C5F11">
              <w:rPr>
                <w:rFonts w:ascii="Times New Roman" w:hAnsi="Times New Roman" w:cs="Times New Roman"/>
                <w:i/>
                <w:sz w:val="18"/>
                <w:szCs w:val="14"/>
                <w:lang w:val="ro-RO"/>
              </w:rPr>
              <w:t xml:space="preserve"> de energie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consumatorii finali</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de</w:t>
            </w:r>
            <w:r w:rsidR="00BC2ED4" w:rsidRPr="009C5F11">
              <w:rPr>
                <w:rFonts w:ascii="Times New Roman" w:hAnsi="Times New Roman" w:cs="Times New Roman"/>
                <w:i/>
                <w:sz w:val="18"/>
                <w:szCs w:val="14"/>
                <w:lang w:val="ro-RO"/>
              </w:rPr>
              <w:t xml:space="preserve"> </w:t>
            </w:r>
            <w:r w:rsidR="00334259" w:rsidRPr="009C5F11">
              <w:rPr>
                <w:rFonts w:ascii="Times New Roman" w:hAnsi="Times New Roman" w:cs="Times New Roman"/>
                <w:i/>
                <w:sz w:val="18"/>
                <w:szCs w:val="14"/>
                <w:lang w:val="ro-RO"/>
              </w:rPr>
              <w:t>energi</w:t>
            </w:r>
            <w:r w:rsidRPr="009C5F11">
              <w:rPr>
                <w:rFonts w:ascii="Times New Roman" w:hAnsi="Times New Roman" w:cs="Times New Roman"/>
                <w:i/>
                <w:sz w:val="18"/>
                <w:szCs w:val="14"/>
                <w:lang w:val="ro-RO"/>
              </w:rPr>
              <w:t>e</w:t>
            </w:r>
            <w:r w:rsidR="00334259" w:rsidRPr="009C5F11">
              <w:rPr>
                <w:rFonts w:ascii="Times New Roman" w:hAnsi="Times New Roman" w:cs="Times New Roman"/>
                <w:i/>
                <w:sz w:val="18"/>
                <w:szCs w:val="14"/>
                <w:lang w:val="ro-RO"/>
              </w:rPr>
              <w:t xml:space="preserve"> electrică</w:t>
            </w:r>
            <w:r w:rsidR="00BC2ED4" w:rsidRPr="009C5F11">
              <w:rPr>
                <w:rFonts w:ascii="Times New Roman" w:hAnsi="Times New Roman" w:cs="Times New Roman"/>
                <w:i/>
                <w:sz w:val="18"/>
                <w:szCs w:val="14"/>
                <w:lang w:val="ro-RO"/>
              </w:rPr>
              <w:t xml:space="preserve">, </w:t>
            </w:r>
            <w:r w:rsidR="001D6122" w:rsidRPr="009C5F11">
              <w:rPr>
                <w:rFonts w:ascii="Times New Roman" w:hAnsi="Times New Roman" w:cs="Times New Roman"/>
                <w:i/>
                <w:sz w:val="18"/>
                <w:szCs w:val="14"/>
                <w:lang w:val="ro-RO"/>
              </w:rPr>
              <w:t>gaze naturale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încălzire centralizată</w:t>
            </w:r>
            <w:r w:rsidR="00BC2ED4" w:rsidRPr="009C5F11">
              <w:rPr>
                <w:rFonts w:ascii="Times New Roman" w:hAnsi="Times New Roman" w:cs="Times New Roman"/>
                <w:i/>
                <w:sz w:val="18"/>
                <w:szCs w:val="14"/>
                <w:lang w:val="ro-RO"/>
              </w:rPr>
              <w:t xml:space="preserve">, </w:t>
            </w:r>
            <w:r w:rsidR="000A5836" w:rsidRPr="009C5F11">
              <w:rPr>
                <w:rFonts w:ascii="Times New Roman" w:hAnsi="Times New Roman" w:cs="Times New Roman"/>
                <w:i/>
                <w:sz w:val="18"/>
                <w:szCs w:val="14"/>
                <w:lang w:val="ro-RO"/>
              </w:rPr>
              <w:t>climatizare</w:t>
            </w:r>
            <w:r w:rsidRPr="009C5F11">
              <w:rPr>
                <w:rFonts w:ascii="Times New Roman" w:hAnsi="Times New Roman" w:cs="Times New Roman"/>
                <w:i/>
                <w:sz w:val="18"/>
                <w:szCs w:val="14"/>
                <w:lang w:val="ro-RO"/>
              </w:rPr>
              <w:t xml:space="preserve"> centralizată</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apa caldă menajeră</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sunt </w:t>
            </w:r>
            <w:r w:rsidR="000A5836" w:rsidRPr="009C5F11">
              <w:rPr>
                <w:rFonts w:ascii="Times New Roman" w:hAnsi="Times New Roman" w:cs="Times New Roman"/>
                <w:i/>
                <w:sz w:val="18"/>
                <w:szCs w:val="14"/>
                <w:lang w:val="ro-RO"/>
              </w:rPr>
              <w:t>asiguraţi</w:t>
            </w:r>
            <w:r w:rsidRPr="009C5F11">
              <w:rPr>
                <w:rFonts w:ascii="Times New Roman" w:hAnsi="Times New Roman" w:cs="Times New Roman"/>
                <w:i/>
                <w:sz w:val="18"/>
                <w:szCs w:val="14"/>
                <w:lang w:val="ro-RO"/>
              </w:rPr>
              <w:t xml:space="preserve"> cu contoare </w:t>
            </w:r>
            <w:r w:rsidRPr="009C5F11">
              <w:rPr>
                <w:rFonts w:ascii="Times New Roman" w:hAnsi="Times New Roman" w:cs="Times New Roman"/>
                <w:i/>
                <w:sz w:val="18"/>
                <w:szCs w:val="14"/>
                <w:lang w:val="ro-RO"/>
              </w:rPr>
              <w:lastRenderedPageBreak/>
              <w:t xml:space="preserve">individuale la preţuri competitive care reflectă consumul efectiv </w:t>
            </w:r>
            <w:r w:rsidR="000A5836" w:rsidRPr="009C5F11">
              <w:rPr>
                <w:rFonts w:ascii="Times New Roman" w:hAnsi="Times New Roman" w:cs="Times New Roman"/>
                <w:i/>
                <w:sz w:val="18"/>
                <w:szCs w:val="14"/>
                <w:lang w:val="ro-RO"/>
              </w:rPr>
              <w:t xml:space="preserve">real </w:t>
            </w:r>
            <w:r w:rsidRPr="009C5F11">
              <w:rPr>
                <w:rFonts w:ascii="Times New Roman" w:hAnsi="Times New Roman" w:cs="Times New Roman"/>
                <w:i/>
                <w:sz w:val="18"/>
                <w:szCs w:val="14"/>
                <w:lang w:val="ro-RO"/>
              </w:rPr>
              <w:t xml:space="preserve">de energie al utilizatorului final </w:t>
            </w:r>
            <w:r w:rsidR="00321CD5" w:rsidRPr="009C5F11">
              <w:rPr>
                <w:rFonts w:ascii="Times New Roman" w:hAnsi="Times New Roman" w:cs="Times New Roman"/>
                <w:i/>
                <w:sz w:val="18"/>
                <w:szCs w:val="14"/>
                <w:lang w:val="ro-RO"/>
              </w:rPr>
              <w:t xml:space="preserve">şi </w:t>
            </w:r>
            <w:r w:rsidRPr="009C5F11">
              <w:rPr>
                <w:rFonts w:ascii="Times New Roman" w:hAnsi="Times New Roman" w:cs="Times New Roman"/>
                <w:i/>
                <w:sz w:val="18"/>
                <w:szCs w:val="14"/>
                <w:lang w:val="ro-RO"/>
              </w:rPr>
              <w:t>asigură</w:t>
            </w:r>
            <w:r w:rsidR="00BC2ED4" w:rsidRPr="009C5F11">
              <w:rPr>
                <w:rFonts w:ascii="Times New Roman" w:hAnsi="Times New Roman" w:cs="Times New Roman"/>
                <w:i/>
                <w:sz w:val="18"/>
                <w:szCs w:val="14"/>
                <w:lang w:val="ro-RO"/>
              </w:rPr>
              <w:t xml:space="preserve"> </w:t>
            </w:r>
            <w:r w:rsidR="00B40A7C" w:rsidRPr="009C5F11">
              <w:rPr>
                <w:rFonts w:ascii="Times New Roman" w:hAnsi="Times New Roman" w:cs="Times New Roman"/>
                <w:i/>
                <w:sz w:val="18"/>
                <w:szCs w:val="14"/>
                <w:lang w:val="ro-RO"/>
              </w:rPr>
              <w:t>informaţii</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despre perioada efectivă de utilizare</w:t>
            </w:r>
            <w:r w:rsidR="00BC2ED4" w:rsidRPr="009C5F11">
              <w:rPr>
                <w:rFonts w:ascii="Times New Roman" w:hAnsi="Times New Roman" w:cs="Times New Roman"/>
                <w:i/>
                <w:sz w:val="18"/>
                <w:szCs w:val="14"/>
                <w:lang w:val="ro-RO"/>
              </w:rPr>
              <w:t>.</w:t>
            </w:r>
          </w:p>
          <w:p w14:paraId="6AE62F7D" w14:textId="77777777" w:rsidR="00BC2ED4" w:rsidRPr="009C5F11" w:rsidRDefault="00FB38BF"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I</w:t>
            </w:r>
            <w:r w:rsidR="00B40A7C" w:rsidRPr="009C5F11">
              <w:rPr>
                <w:rFonts w:ascii="Times New Roman" w:hAnsi="Times New Roman" w:cs="Times New Roman"/>
                <w:i/>
                <w:sz w:val="18"/>
                <w:szCs w:val="14"/>
                <w:lang w:val="ro-RO"/>
              </w:rPr>
              <w:t>nformaţii</w:t>
            </w:r>
            <w:r w:rsidRPr="009C5F11">
              <w:rPr>
                <w:rFonts w:ascii="Times New Roman" w:hAnsi="Times New Roman" w:cs="Times New Roman"/>
                <w:i/>
                <w:sz w:val="18"/>
                <w:szCs w:val="14"/>
                <w:lang w:val="ro-RO"/>
              </w:rPr>
              <w:t xml:space="preserve">le din facturi sunt corecte şi bazate pe consumul efectiv. </w:t>
            </w:r>
          </w:p>
          <w:p w14:paraId="1BB8C8A9" w14:textId="77777777" w:rsidR="00BC2ED4" w:rsidRPr="009C5F11" w:rsidRDefault="00FB38BF" w:rsidP="000A583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Consumatorii finali</w:t>
            </w:r>
            <w:r w:rsidR="00BC2ED4" w:rsidRPr="009C5F11">
              <w:rPr>
                <w:rFonts w:ascii="Times New Roman" w:hAnsi="Times New Roman" w:cs="Times New Roman"/>
                <w:i/>
                <w:sz w:val="18"/>
                <w:szCs w:val="14"/>
                <w:lang w:val="ro-RO"/>
              </w:rPr>
              <w:t xml:space="preserve"> </w:t>
            </w:r>
            <w:r w:rsidR="001150F8" w:rsidRPr="009C5F11">
              <w:rPr>
                <w:rFonts w:ascii="Times New Roman" w:hAnsi="Times New Roman" w:cs="Times New Roman"/>
                <w:i/>
                <w:sz w:val="18"/>
                <w:szCs w:val="14"/>
                <w:lang w:val="ro-RO"/>
              </w:rPr>
              <w:t>primesc facturile</w:t>
            </w:r>
            <w:r w:rsidR="00321CD5" w:rsidRPr="009C5F11">
              <w:rPr>
                <w:rFonts w:ascii="Times New Roman" w:hAnsi="Times New Roman" w:cs="Times New Roman"/>
                <w:i/>
                <w:sz w:val="18"/>
                <w:szCs w:val="14"/>
                <w:lang w:val="ro-RO"/>
              </w:rPr>
              <w:t xml:space="preserve"> </w:t>
            </w:r>
            <w:r w:rsidR="001150F8" w:rsidRPr="009C5F11">
              <w:rPr>
                <w:rFonts w:ascii="Times New Roman" w:hAnsi="Times New Roman" w:cs="Times New Roman"/>
                <w:i/>
                <w:sz w:val="18"/>
                <w:szCs w:val="14"/>
                <w:lang w:val="ro-RO"/>
              </w:rPr>
              <w:t>pentru</w:t>
            </w:r>
            <w:r w:rsidR="00BC2ED4" w:rsidRPr="009C5F11">
              <w:rPr>
                <w:rFonts w:ascii="Times New Roman" w:hAnsi="Times New Roman" w:cs="Times New Roman"/>
                <w:i/>
                <w:sz w:val="18"/>
                <w:szCs w:val="14"/>
                <w:lang w:val="ro-RO"/>
              </w:rPr>
              <w:t xml:space="preserve"> </w:t>
            </w:r>
            <w:r w:rsidR="00A07A79" w:rsidRPr="009C5F11">
              <w:rPr>
                <w:rFonts w:ascii="Times New Roman" w:hAnsi="Times New Roman" w:cs="Times New Roman"/>
                <w:i/>
                <w:sz w:val="18"/>
                <w:szCs w:val="14"/>
                <w:lang w:val="ro-RO"/>
              </w:rPr>
              <w:t>consumul de energie</w:t>
            </w:r>
            <w:r w:rsidR="00BC2ED4" w:rsidRPr="009C5F11">
              <w:rPr>
                <w:rFonts w:ascii="Times New Roman" w:hAnsi="Times New Roman" w:cs="Times New Roman"/>
                <w:i/>
                <w:sz w:val="18"/>
                <w:szCs w:val="14"/>
                <w:lang w:val="ro-RO"/>
              </w:rPr>
              <w:t xml:space="preserve"> </w:t>
            </w:r>
            <w:r w:rsidR="001150F8" w:rsidRPr="009C5F11">
              <w:rPr>
                <w:rFonts w:ascii="Times New Roman" w:hAnsi="Times New Roman" w:cs="Times New Roman"/>
                <w:i/>
                <w:sz w:val="18"/>
                <w:szCs w:val="14"/>
                <w:lang w:val="ro-RO"/>
              </w:rPr>
              <w:t>şi informaţiile despre facturare gratuit; de asemenea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consumatorii finali</w:t>
            </w:r>
            <w:r w:rsidR="00BC2ED4" w:rsidRPr="009C5F11">
              <w:rPr>
                <w:rFonts w:ascii="Times New Roman" w:hAnsi="Times New Roman" w:cs="Times New Roman"/>
                <w:i/>
                <w:sz w:val="18"/>
                <w:szCs w:val="14"/>
                <w:lang w:val="ro-RO"/>
              </w:rPr>
              <w:t xml:space="preserve"> </w:t>
            </w:r>
            <w:r w:rsidR="001150F8" w:rsidRPr="009C5F11">
              <w:rPr>
                <w:rFonts w:ascii="Times New Roman" w:hAnsi="Times New Roman" w:cs="Times New Roman"/>
                <w:i/>
                <w:sz w:val="18"/>
                <w:szCs w:val="14"/>
                <w:lang w:val="ro-RO"/>
              </w:rPr>
              <w:t xml:space="preserve">au </w:t>
            </w:r>
            <w:r w:rsidR="00BC2ED4" w:rsidRPr="009C5F11">
              <w:rPr>
                <w:rFonts w:ascii="Times New Roman" w:hAnsi="Times New Roman" w:cs="Times New Roman"/>
                <w:i/>
                <w:sz w:val="18"/>
                <w:szCs w:val="14"/>
                <w:lang w:val="ro-RO"/>
              </w:rPr>
              <w:t>acces</w:t>
            </w:r>
            <w:r w:rsidR="001150F8" w:rsidRPr="009C5F11">
              <w:rPr>
                <w:rFonts w:ascii="Times New Roman" w:hAnsi="Times New Roman" w:cs="Times New Roman"/>
                <w:i/>
                <w:sz w:val="18"/>
                <w:szCs w:val="14"/>
                <w:lang w:val="ro-RO"/>
              </w:rPr>
              <w:t xml:space="preserve"> gratuit la datele despre consumul lor efectiv.</w:t>
            </w:r>
          </w:p>
        </w:tc>
        <w:tc>
          <w:tcPr>
            <w:tcW w:w="619" w:type="pct"/>
            <w:shd w:val="clear" w:color="auto" w:fill="auto"/>
          </w:tcPr>
          <w:p w14:paraId="1AF6A907"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15.10.2017</w:t>
            </w:r>
          </w:p>
        </w:tc>
        <w:tc>
          <w:tcPr>
            <w:tcW w:w="1097" w:type="pct"/>
          </w:tcPr>
          <w:p w14:paraId="03BF3CC6" w14:textId="77777777" w:rsidR="00BC2ED4" w:rsidRPr="009C5F11" w:rsidRDefault="00A01856" w:rsidP="00B40DB5">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Actualizarea</w:t>
            </w:r>
            <w:r w:rsidR="00BC2ED4" w:rsidRPr="009C5F11">
              <w:rPr>
                <w:rFonts w:ascii="Times New Roman" w:hAnsi="Times New Roman" w:cs="Times New Roman"/>
                <w:i/>
                <w:sz w:val="18"/>
                <w:szCs w:val="14"/>
                <w:lang w:val="ro-RO"/>
              </w:rPr>
              <w:t xml:space="preserve"> </w:t>
            </w:r>
            <w:r w:rsidR="00202734" w:rsidRPr="009C5F11">
              <w:rPr>
                <w:rFonts w:ascii="Times New Roman" w:hAnsi="Times New Roman" w:cs="Times New Roman"/>
                <w:i/>
                <w:sz w:val="18"/>
                <w:szCs w:val="14"/>
                <w:lang w:val="ro-RO"/>
              </w:rPr>
              <w:t>legislaţiei primar</w:t>
            </w:r>
            <w:r w:rsidR="000A5836" w:rsidRPr="009C5F11">
              <w:rPr>
                <w:rFonts w:ascii="Times New Roman" w:hAnsi="Times New Roman" w:cs="Times New Roman"/>
                <w:i/>
                <w:sz w:val="18"/>
                <w:szCs w:val="14"/>
                <w:lang w:val="ro-RO"/>
              </w:rPr>
              <w:t>e</w:t>
            </w:r>
            <w:r w:rsidR="00BC2ED4" w:rsidRPr="009C5F11">
              <w:rPr>
                <w:rFonts w:ascii="Times New Roman" w:hAnsi="Times New Roman" w:cs="Times New Roman"/>
                <w:i/>
                <w:sz w:val="18"/>
                <w:szCs w:val="14"/>
                <w:lang w:val="ro-RO"/>
              </w:rPr>
              <w:t xml:space="preserve"> </w:t>
            </w:r>
            <w:r w:rsidR="005F63E1" w:rsidRPr="009C5F11">
              <w:rPr>
                <w:rFonts w:ascii="Times New Roman" w:hAnsi="Times New Roman" w:cs="Times New Roman"/>
                <w:i/>
                <w:sz w:val="18"/>
                <w:szCs w:val="14"/>
                <w:lang w:val="ro-RO"/>
              </w:rPr>
              <w:t>pentru a se conforma cu</w:t>
            </w:r>
            <w:r w:rsidR="00202734" w:rsidRPr="009C5F11">
              <w:rPr>
                <w:rFonts w:ascii="Times New Roman" w:hAnsi="Times New Roman" w:cs="Times New Roman"/>
                <w:i/>
                <w:sz w:val="18"/>
                <w:szCs w:val="14"/>
                <w:lang w:val="ro-RO"/>
              </w:rPr>
              <w:t xml:space="preserve"> cerinţele specifice</w:t>
            </w:r>
            <w:r w:rsidR="00321CD5" w:rsidRPr="009C5F11">
              <w:rPr>
                <w:rFonts w:ascii="Times New Roman" w:hAnsi="Times New Roman" w:cs="Times New Roman"/>
                <w:i/>
                <w:sz w:val="18"/>
                <w:szCs w:val="14"/>
                <w:lang w:val="ro-RO"/>
              </w:rPr>
              <w:t xml:space="preserve"> şi </w:t>
            </w:r>
            <w:r w:rsidR="00202734" w:rsidRPr="009C5F11">
              <w:rPr>
                <w:rFonts w:ascii="Times New Roman" w:hAnsi="Times New Roman" w:cs="Times New Roman"/>
                <w:i/>
                <w:sz w:val="18"/>
                <w:szCs w:val="14"/>
                <w:lang w:val="ro-RO"/>
              </w:rPr>
              <w:t xml:space="preserve">elaborarea </w:t>
            </w:r>
            <w:r w:rsidR="00A13571" w:rsidRPr="009C5F11">
              <w:rPr>
                <w:rFonts w:ascii="Times New Roman" w:hAnsi="Times New Roman" w:cs="Times New Roman"/>
                <w:i/>
                <w:sz w:val="18"/>
                <w:szCs w:val="14"/>
                <w:lang w:val="ro-RO"/>
              </w:rPr>
              <w:t xml:space="preserve">in mod corespunzator a </w:t>
            </w:r>
            <w:r w:rsidR="00202734" w:rsidRPr="009C5F11">
              <w:rPr>
                <w:rFonts w:ascii="Times New Roman" w:hAnsi="Times New Roman" w:cs="Times New Roman"/>
                <w:i/>
                <w:sz w:val="18"/>
                <w:szCs w:val="14"/>
                <w:lang w:val="ro-RO"/>
              </w:rPr>
              <w:t>reglementărilor necesare</w:t>
            </w:r>
            <w:r w:rsidR="00BC2ED4" w:rsidRPr="009C5F11">
              <w:rPr>
                <w:rFonts w:ascii="Times New Roman" w:hAnsi="Times New Roman" w:cs="Times New Roman"/>
                <w:i/>
                <w:sz w:val="18"/>
                <w:szCs w:val="14"/>
                <w:lang w:val="ro-RO"/>
              </w:rPr>
              <w:t>.</w:t>
            </w:r>
          </w:p>
        </w:tc>
        <w:tc>
          <w:tcPr>
            <w:tcW w:w="1141" w:type="pct"/>
            <w:shd w:val="clear" w:color="auto" w:fill="auto"/>
          </w:tcPr>
          <w:p w14:paraId="5A8B397E" w14:textId="77777777" w:rsidR="00BC2ED4" w:rsidRPr="009C5F11" w:rsidRDefault="008F06C4" w:rsidP="00202734">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Actualmente</w:t>
            </w:r>
            <w:r w:rsidR="00BC2ED4" w:rsidRPr="009C5F11">
              <w:rPr>
                <w:rFonts w:ascii="Times New Roman" w:hAnsi="Times New Roman" w:cs="Times New Roman"/>
                <w:i/>
                <w:sz w:val="18"/>
                <w:szCs w:val="14"/>
                <w:lang w:val="ro-RO"/>
              </w:rPr>
              <w:t xml:space="preserve">, </w:t>
            </w:r>
            <w:r w:rsidR="00202734" w:rsidRPr="009C5F11">
              <w:rPr>
                <w:rFonts w:ascii="Times New Roman" w:hAnsi="Times New Roman" w:cs="Times New Roman"/>
                <w:i/>
                <w:sz w:val="18"/>
                <w:szCs w:val="14"/>
                <w:lang w:val="ro-RO"/>
              </w:rPr>
              <w:t>legislaţia cu privire la</w:t>
            </w:r>
            <w:r w:rsidR="00BC2ED4" w:rsidRPr="009C5F11">
              <w:rPr>
                <w:rFonts w:ascii="Times New Roman" w:hAnsi="Times New Roman" w:cs="Times New Roman"/>
                <w:i/>
                <w:sz w:val="18"/>
                <w:szCs w:val="14"/>
                <w:lang w:val="ro-RO"/>
              </w:rPr>
              <w:t xml:space="preserve"> </w:t>
            </w:r>
            <w:r w:rsidR="00334259" w:rsidRPr="009C5F11">
              <w:rPr>
                <w:rFonts w:ascii="Times New Roman" w:hAnsi="Times New Roman" w:cs="Times New Roman"/>
                <w:i/>
                <w:sz w:val="18"/>
                <w:szCs w:val="14"/>
                <w:lang w:val="ro-RO"/>
              </w:rPr>
              <w:t>energia electrică</w:t>
            </w:r>
            <w:r w:rsidR="00BC2ED4" w:rsidRPr="009C5F11">
              <w:rPr>
                <w:rFonts w:ascii="Times New Roman" w:hAnsi="Times New Roman" w:cs="Times New Roman"/>
                <w:i/>
                <w:sz w:val="18"/>
                <w:szCs w:val="14"/>
                <w:lang w:val="ro-RO"/>
              </w:rPr>
              <w:t xml:space="preserve">, </w:t>
            </w:r>
            <w:r w:rsidR="00202734" w:rsidRPr="009C5F11">
              <w:rPr>
                <w:rFonts w:ascii="Times New Roman" w:hAnsi="Times New Roman" w:cs="Times New Roman"/>
                <w:i/>
                <w:sz w:val="18"/>
                <w:szCs w:val="14"/>
                <w:lang w:val="ro-RO"/>
              </w:rPr>
              <w:t>energia termică, gazele naturale nu este pe deplin conformă cu</w:t>
            </w:r>
            <w:r w:rsidR="00BC2ED4" w:rsidRPr="009C5F11">
              <w:rPr>
                <w:rFonts w:ascii="Times New Roman" w:hAnsi="Times New Roman" w:cs="Times New Roman"/>
                <w:i/>
                <w:sz w:val="18"/>
                <w:szCs w:val="14"/>
                <w:lang w:val="ro-RO"/>
              </w:rPr>
              <w:t xml:space="preserve"> </w:t>
            </w:r>
            <w:r w:rsidR="000126A5" w:rsidRPr="009C5F11">
              <w:rPr>
                <w:rFonts w:ascii="Times New Roman" w:hAnsi="Times New Roman" w:cs="Times New Roman"/>
                <w:i/>
                <w:sz w:val="18"/>
                <w:szCs w:val="14"/>
                <w:lang w:val="ro-RO"/>
              </w:rPr>
              <w:t>cerinţele</w:t>
            </w:r>
            <w:r w:rsidR="00BC2ED4" w:rsidRPr="009C5F11">
              <w:rPr>
                <w:rFonts w:ascii="Times New Roman" w:hAnsi="Times New Roman" w:cs="Times New Roman"/>
                <w:i/>
                <w:sz w:val="18"/>
                <w:szCs w:val="14"/>
                <w:lang w:val="ro-RO"/>
              </w:rPr>
              <w:t>.</w:t>
            </w:r>
          </w:p>
        </w:tc>
        <w:tc>
          <w:tcPr>
            <w:tcW w:w="438" w:type="pct"/>
            <w:shd w:val="clear" w:color="auto" w:fill="auto"/>
          </w:tcPr>
          <w:p w14:paraId="2A296E24" w14:textId="77777777" w:rsidR="00BC2ED4" w:rsidRPr="009C5F11" w:rsidRDefault="00421FA7"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ME</w:t>
            </w:r>
          </w:p>
          <w:p w14:paraId="12732CFA" w14:textId="77777777" w:rsidR="00BC2ED4" w:rsidRPr="009C5F11" w:rsidRDefault="00BC2ED4"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ANRE</w:t>
            </w:r>
          </w:p>
          <w:p w14:paraId="67913AC0" w14:textId="77777777" w:rsidR="00BC2ED4" w:rsidRPr="009C5F11" w:rsidRDefault="00AA0566"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AEE</w:t>
            </w:r>
          </w:p>
        </w:tc>
      </w:tr>
      <w:tr w:rsidR="00341E16" w:rsidRPr="009C5F11" w14:paraId="0C241E1C" w14:textId="77777777" w:rsidTr="00732F30">
        <w:tc>
          <w:tcPr>
            <w:tcW w:w="216" w:type="pct"/>
            <w:shd w:val="clear" w:color="auto" w:fill="auto"/>
          </w:tcPr>
          <w:p w14:paraId="77DCA6B2"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14</w:t>
            </w:r>
          </w:p>
        </w:tc>
        <w:tc>
          <w:tcPr>
            <w:tcW w:w="514" w:type="pct"/>
            <w:shd w:val="clear" w:color="auto" w:fill="auto"/>
          </w:tcPr>
          <w:p w14:paraId="66F3E270" w14:textId="77777777" w:rsidR="00BC2ED4" w:rsidRPr="009C5F11" w:rsidRDefault="00FD5F1C"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Promovarea</w:t>
            </w:r>
            <w:r w:rsidR="00BC2ED4" w:rsidRPr="009C5F11">
              <w:rPr>
                <w:rFonts w:ascii="Times New Roman" w:hAnsi="Times New Roman" w:cs="Times New Roman"/>
                <w:i/>
                <w:sz w:val="18"/>
                <w:szCs w:val="14"/>
                <w:lang w:val="ro-RO"/>
              </w:rPr>
              <w:t xml:space="preserve"> </w:t>
            </w:r>
            <w:r w:rsidR="00F4554A" w:rsidRPr="009C5F11">
              <w:rPr>
                <w:rFonts w:ascii="Times New Roman" w:hAnsi="Times New Roman" w:cs="Times New Roman"/>
                <w:i/>
                <w:sz w:val="18"/>
                <w:szCs w:val="14"/>
                <w:lang w:val="ro-RO"/>
              </w:rPr>
              <w:t>eficienţei în încălzire şi răcire</w:t>
            </w:r>
          </w:p>
        </w:tc>
        <w:tc>
          <w:tcPr>
            <w:tcW w:w="975" w:type="pct"/>
            <w:shd w:val="clear" w:color="auto" w:fill="auto"/>
          </w:tcPr>
          <w:p w14:paraId="3542D28E" w14:textId="77777777" w:rsidR="00BC2ED4" w:rsidRPr="009C5F11" w:rsidRDefault="00F4554A"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Evaluarea cuprinzătoare a</w:t>
            </w:r>
            <w:r w:rsidR="00B26897" w:rsidRPr="009C5F11">
              <w:rPr>
                <w:rFonts w:ascii="Times New Roman" w:hAnsi="Times New Roman" w:cs="Times New Roman"/>
                <w:i/>
                <w:sz w:val="18"/>
                <w:szCs w:val="14"/>
                <w:lang w:val="ro-RO"/>
              </w:rPr>
              <w:t xml:space="preserve"> potenţialului pentru aplicarea </w:t>
            </w:r>
            <w:r w:rsidR="00697951" w:rsidRPr="009C5F11">
              <w:rPr>
                <w:rFonts w:ascii="Times New Roman" w:hAnsi="Times New Roman" w:cs="Times New Roman"/>
                <w:i/>
                <w:sz w:val="18"/>
                <w:szCs w:val="14"/>
                <w:lang w:val="ro-RO"/>
              </w:rPr>
              <w:t>cogenerării</w:t>
            </w:r>
            <w:r w:rsidR="00B26897" w:rsidRPr="009C5F11">
              <w:rPr>
                <w:rFonts w:ascii="Times New Roman" w:hAnsi="Times New Roman" w:cs="Times New Roman"/>
                <w:i/>
                <w:sz w:val="18"/>
                <w:szCs w:val="14"/>
                <w:lang w:val="ro-RO"/>
              </w:rPr>
              <w:t xml:space="preserve"> </w:t>
            </w:r>
            <w:r w:rsidR="00697951" w:rsidRPr="009C5F11">
              <w:rPr>
                <w:rFonts w:ascii="Times New Roman" w:hAnsi="Times New Roman" w:cs="Times New Roman"/>
                <w:i/>
                <w:sz w:val="18"/>
                <w:szCs w:val="14"/>
                <w:lang w:val="ro-RO"/>
              </w:rPr>
              <w:t>de randament sporit</w:t>
            </w:r>
            <w:r w:rsidR="00321CD5" w:rsidRPr="009C5F11">
              <w:rPr>
                <w:rFonts w:ascii="Times New Roman" w:hAnsi="Times New Roman" w:cs="Times New Roman"/>
                <w:i/>
                <w:sz w:val="18"/>
                <w:szCs w:val="14"/>
                <w:lang w:val="ro-RO"/>
              </w:rPr>
              <w:t xml:space="preserve"> şi </w:t>
            </w:r>
            <w:r w:rsidR="00697951" w:rsidRPr="009C5F11">
              <w:rPr>
                <w:rFonts w:ascii="Times New Roman" w:hAnsi="Times New Roman" w:cs="Times New Roman"/>
                <w:i/>
                <w:sz w:val="18"/>
                <w:szCs w:val="14"/>
                <w:lang w:val="ro-RO"/>
              </w:rPr>
              <w:t>încălzirea</w:t>
            </w:r>
            <w:r w:rsidR="00B26897" w:rsidRPr="009C5F11">
              <w:rPr>
                <w:rFonts w:ascii="Times New Roman" w:hAnsi="Times New Roman" w:cs="Times New Roman"/>
                <w:i/>
                <w:sz w:val="18"/>
                <w:szCs w:val="14"/>
                <w:lang w:val="ro-RO"/>
              </w:rPr>
              <w:t xml:space="preserve"> şi răcirea centralizată eficientă</w:t>
            </w:r>
            <w:r w:rsidR="00BC2ED4" w:rsidRPr="009C5F11">
              <w:rPr>
                <w:rFonts w:ascii="Times New Roman" w:hAnsi="Times New Roman" w:cs="Times New Roman"/>
                <w:sz w:val="18"/>
                <w:szCs w:val="14"/>
                <w:lang w:val="ro-RO"/>
              </w:rPr>
              <w:t xml:space="preserve"> </w:t>
            </w:r>
            <w:r w:rsidRPr="009C5F11">
              <w:rPr>
                <w:rFonts w:ascii="Times New Roman" w:hAnsi="Times New Roman" w:cs="Times New Roman"/>
                <w:i/>
                <w:sz w:val="18"/>
                <w:szCs w:val="14"/>
                <w:lang w:val="ro-RO"/>
              </w:rPr>
              <w:t>trebuie de</w:t>
            </w:r>
            <w:r w:rsidR="00BC2ED4" w:rsidRPr="009C5F11">
              <w:rPr>
                <w:rFonts w:ascii="Times New Roman" w:hAnsi="Times New Roman" w:cs="Times New Roman"/>
                <w:i/>
                <w:sz w:val="18"/>
                <w:szCs w:val="14"/>
                <w:lang w:val="ro-RO"/>
              </w:rPr>
              <w:t xml:space="preserve"> </w:t>
            </w:r>
            <w:r w:rsidR="00FB38BF" w:rsidRPr="009C5F11">
              <w:rPr>
                <w:rFonts w:ascii="Times New Roman" w:hAnsi="Times New Roman" w:cs="Times New Roman"/>
                <w:i/>
                <w:sz w:val="18"/>
                <w:szCs w:val="14"/>
                <w:lang w:val="ro-RO"/>
              </w:rPr>
              <w:t>efectuat</w:t>
            </w:r>
            <w:r w:rsidR="00321CD5" w:rsidRPr="009C5F11">
              <w:rPr>
                <w:rFonts w:ascii="Times New Roman" w:hAnsi="Times New Roman" w:cs="Times New Roman"/>
                <w:i/>
                <w:sz w:val="18"/>
                <w:szCs w:val="14"/>
                <w:lang w:val="ro-RO"/>
              </w:rPr>
              <w:t xml:space="preserve"> şi </w:t>
            </w:r>
            <w:r w:rsidR="00BC2ED4" w:rsidRPr="009C5F11">
              <w:rPr>
                <w:rFonts w:ascii="Times New Roman" w:hAnsi="Times New Roman" w:cs="Times New Roman"/>
                <w:i/>
                <w:sz w:val="18"/>
                <w:szCs w:val="14"/>
                <w:lang w:val="ro-RO"/>
              </w:rPr>
              <w:t>notifi</w:t>
            </w:r>
            <w:r w:rsidRPr="009C5F11">
              <w:rPr>
                <w:rFonts w:ascii="Times New Roman" w:hAnsi="Times New Roman" w:cs="Times New Roman"/>
                <w:i/>
                <w:sz w:val="18"/>
                <w:szCs w:val="14"/>
                <w:lang w:val="ro-RO"/>
              </w:rPr>
              <w:t>cat</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Comisiei.</w:t>
            </w:r>
          </w:p>
          <w:p w14:paraId="76C75712" w14:textId="77777777" w:rsidR="00BC2ED4" w:rsidRPr="009C5F11" w:rsidRDefault="00BC2ED4" w:rsidP="00F4554A">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Adopt</w:t>
            </w:r>
            <w:r w:rsidR="00F4554A" w:rsidRPr="009C5F11">
              <w:rPr>
                <w:rFonts w:ascii="Times New Roman" w:hAnsi="Times New Roman" w:cs="Times New Roman"/>
                <w:i/>
                <w:sz w:val="18"/>
                <w:szCs w:val="14"/>
                <w:lang w:val="ro-RO"/>
              </w:rPr>
              <w:t>area de</w:t>
            </w:r>
            <w:r w:rsidRPr="009C5F11">
              <w:rPr>
                <w:rFonts w:ascii="Times New Roman" w:hAnsi="Times New Roman" w:cs="Times New Roman"/>
                <w:i/>
                <w:sz w:val="18"/>
                <w:szCs w:val="14"/>
                <w:lang w:val="ro-RO"/>
              </w:rPr>
              <w:t xml:space="preserve"> </w:t>
            </w:r>
            <w:r w:rsidR="006025D6" w:rsidRPr="009C5F11">
              <w:rPr>
                <w:rFonts w:ascii="Times New Roman" w:hAnsi="Times New Roman" w:cs="Times New Roman"/>
                <w:i/>
                <w:sz w:val="18"/>
                <w:szCs w:val="14"/>
                <w:lang w:val="ro-RO"/>
              </w:rPr>
              <w:t>politici</w:t>
            </w:r>
            <w:r w:rsidRPr="009C5F11">
              <w:rPr>
                <w:rFonts w:ascii="Times New Roman" w:hAnsi="Times New Roman" w:cs="Times New Roman"/>
                <w:i/>
                <w:sz w:val="18"/>
                <w:szCs w:val="14"/>
                <w:lang w:val="ro-RO"/>
              </w:rPr>
              <w:t xml:space="preserve"> </w:t>
            </w:r>
            <w:r w:rsidR="00F4554A" w:rsidRPr="009C5F11">
              <w:rPr>
                <w:rFonts w:ascii="Times New Roman" w:hAnsi="Times New Roman" w:cs="Times New Roman"/>
                <w:i/>
                <w:sz w:val="18"/>
                <w:szCs w:val="14"/>
                <w:lang w:val="ro-RO"/>
              </w:rPr>
              <w:t xml:space="preserve">care încurajează luarea în considerare la nivel </w:t>
            </w:r>
            <w:r w:rsidRPr="009C5F11">
              <w:rPr>
                <w:rFonts w:ascii="Times New Roman" w:hAnsi="Times New Roman" w:cs="Times New Roman"/>
                <w:i/>
                <w:sz w:val="18"/>
                <w:szCs w:val="14"/>
                <w:lang w:val="ro-RO"/>
              </w:rPr>
              <w:t>local</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 xml:space="preserve">regional </w:t>
            </w:r>
            <w:r w:rsidR="00F4554A" w:rsidRPr="009C5F11">
              <w:rPr>
                <w:rFonts w:ascii="Times New Roman" w:hAnsi="Times New Roman" w:cs="Times New Roman"/>
                <w:i/>
                <w:sz w:val="18"/>
                <w:szCs w:val="14"/>
                <w:lang w:val="ro-RO"/>
              </w:rPr>
              <w:t xml:space="preserve">a </w:t>
            </w:r>
            <w:r w:rsidR="001221B7" w:rsidRPr="009C5F11">
              <w:rPr>
                <w:rFonts w:ascii="Times New Roman" w:hAnsi="Times New Roman" w:cs="Times New Roman"/>
                <w:i/>
                <w:sz w:val="18"/>
                <w:szCs w:val="14"/>
                <w:lang w:val="ro-RO"/>
              </w:rPr>
              <w:t>potenţial</w:t>
            </w:r>
            <w:r w:rsidR="00F4554A" w:rsidRPr="009C5F11">
              <w:rPr>
                <w:rFonts w:ascii="Times New Roman" w:hAnsi="Times New Roman" w:cs="Times New Roman"/>
                <w:i/>
                <w:sz w:val="18"/>
                <w:szCs w:val="14"/>
                <w:lang w:val="ro-RO"/>
              </w:rPr>
              <w:t>ului de utilizare eficientă a sistemelor de încălzire şi răcire</w:t>
            </w:r>
            <w:r w:rsidRPr="009C5F11">
              <w:rPr>
                <w:rFonts w:ascii="Times New Roman" w:hAnsi="Times New Roman" w:cs="Times New Roman"/>
                <w:i/>
                <w:sz w:val="18"/>
                <w:szCs w:val="14"/>
                <w:lang w:val="ro-RO"/>
              </w:rPr>
              <w:t>,</w:t>
            </w:r>
            <w:r w:rsidR="00321CD5" w:rsidRPr="009C5F11">
              <w:rPr>
                <w:rFonts w:ascii="Times New Roman" w:hAnsi="Times New Roman" w:cs="Times New Roman"/>
                <w:i/>
                <w:sz w:val="18"/>
                <w:szCs w:val="14"/>
                <w:lang w:val="ro-RO"/>
              </w:rPr>
              <w:t xml:space="preserve"> în </w:t>
            </w:r>
            <w:r w:rsidRPr="009C5F11">
              <w:rPr>
                <w:rFonts w:ascii="Times New Roman" w:hAnsi="Times New Roman" w:cs="Times New Roman"/>
                <w:i/>
                <w:sz w:val="18"/>
                <w:szCs w:val="14"/>
                <w:lang w:val="ro-RO"/>
              </w:rPr>
              <w:t>particular</w:t>
            </w:r>
            <w:r w:rsidR="000A5836" w:rsidRPr="009C5F11">
              <w:rPr>
                <w:rFonts w:ascii="Times New Roman" w:hAnsi="Times New Roman" w:cs="Times New Roman"/>
                <w:i/>
                <w:sz w:val="18"/>
                <w:szCs w:val="14"/>
                <w:lang w:val="ro-RO"/>
              </w:rPr>
              <w:t>,</w:t>
            </w:r>
            <w:r w:rsidRPr="009C5F11">
              <w:rPr>
                <w:rFonts w:ascii="Times New Roman" w:hAnsi="Times New Roman" w:cs="Times New Roman"/>
                <w:i/>
                <w:sz w:val="18"/>
                <w:szCs w:val="14"/>
                <w:lang w:val="ro-RO"/>
              </w:rPr>
              <w:t xml:space="preserve"> </w:t>
            </w:r>
            <w:r w:rsidR="00F4554A" w:rsidRPr="009C5F11">
              <w:rPr>
                <w:rFonts w:ascii="Times New Roman" w:hAnsi="Times New Roman" w:cs="Times New Roman"/>
                <w:i/>
                <w:sz w:val="18"/>
                <w:szCs w:val="14"/>
                <w:lang w:val="ro-RO"/>
              </w:rPr>
              <w:t xml:space="preserve">acele </w:t>
            </w:r>
            <w:r w:rsidR="000A5836" w:rsidRPr="009C5F11">
              <w:rPr>
                <w:rFonts w:ascii="Times New Roman" w:hAnsi="Times New Roman" w:cs="Times New Roman"/>
                <w:i/>
                <w:sz w:val="18"/>
                <w:szCs w:val="14"/>
                <w:lang w:val="ro-RO"/>
              </w:rPr>
              <w:t xml:space="preserve">sisteme </w:t>
            </w:r>
            <w:r w:rsidR="00F4554A" w:rsidRPr="009C5F11">
              <w:rPr>
                <w:rFonts w:ascii="Times New Roman" w:hAnsi="Times New Roman" w:cs="Times New Roman"/>
                <w:i/>
                <w:sz w:val="18"/>
                <w:szCs w:val="14"/>
                <w:lang w:val="ro-RO"/>
              </w:rPr>
              <w:t xml:space="preserve">care folosesc </w:t>
            </w:r>
            <w:r w:rsidR="00503694" w:rsidRPr="009C5F11">
              <w:rPr>
                <w:rFonts w:ascii="Times New Roman" w:hAnsi="Times New Roman" w:cs="Times New Roman"/>
                <w:i/>
                <w:sz w:val="18"/>
                <w:szCs w:val="14"/>
                <w:lang w:val="ro-RO"/>
              </w:rPr>
              <w:t>cogenerarea</w:t>
            </w:r>
            <w:r w:rsidR="00F4554A" w:rsidRPr="009C5F11">
              <w:rPr>
                <w:rFonts w:ascii="Times New Roman" w:hAnsi="Times New Roman" w:cs="Times New Roman"/>
                <w:i/>
                <w:sz w:val="18"/>
                <w:szCs w:val="14"/>
                <w:lang w:val="ro-RO"/>
              </w:rPr>
              <w:t xml:space="preserve"> cu randament ridicat</w:t>
            </w:r>
            <w:r w:rsidRPr="009C5F11">
              <w:rPr>
                <w:rFonts w:ascii="Times New Roman" w:hAnsi="Times New Roman" w:cs="Times New Roman"/>
                <w:i/>
                <w:sz w:val="18"/>
                <w:szCs w:val="14"/>
                <w:lang w:val="ro-RO"/>
              </w:rPr>
              <w:t>.</w:t>
            </w:r>
          </w:p>
          <w:p w14:paraId="5F9472B1" w14:textId="6E184416" w:rsidR="002F0BD3" w:rsidRPr="009C5F11" w:rsidRDefault="002F0BD3" w:rsidP="002F0BD3">
            <w:pPr>
              <w:spacing w:before="120" w:after="120" w:line="240" w:lineRule="auto"/>
              <w:rPr>
                <w:rFonts w:ascii="Times New Roman" w:hAnsi="Times New Roman" w:cs="Times New Roman"/>
                <w:i/>
                <w:sz w:val="18"/>
                <w:szCs w:val="14"/>
                <w:lang w:val="ro-RO"/>
              </w:rPr>
            </w:pPr>
          </w:p>
        </w:tc>
        <w:tc>
          <w:tcPr>
            <w:tcW w:w="619" w:type="pct"/>
            <w:shd w:val="clear" w:color="auto" w:fill="auto"/>
          </w:tcPr>
          <w:p w14:paraId="24FD23DE" w14:textId="05A3C4F3" w:rsidR="002F0BD3" w:rsidRPr="009C5F11" w:rsidRDefault="002F0BD3"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30.11.2018</w:t>
            </w:r>
          </w:p>
          <w:p w14:paraId="1E55B1AD" w14:textId="77777777" w:rsidR="002F0BD3" w:rsidRPr="009C5F11" w:rsidRDefault="002F0BD3" w:rsidP="00430626">
            <w:pPr>
              <w:spacing w:before="120" w:after="120" w:line="240" w:lineRule="auto"/>
              <w:jc w:val="both"/>
              <w:rPr>
                <w:rFonts w:ascii="Times New Roman" w:hAnsi="Times New Roman" w:cs="Times New Roman"/>
                <w:i/>
                <w:sz w:val="18"/>
                <w:szCs w:val="14"/>
                <w:lang w:val="ro-RO"/>
              </w:rPr>
            </w:pPr>
          </w:p>
          <w:p w14:paraId="588DEBE6" w14:textId="77777777" w:rsidR="002F0BD3" w:rsidRPr="009C5F11" w:rsidRDefault="002F0BD3" w:rsidP="00430626">
            <w:pPr>
              <w:spacing w:before="120" w:after="120" w:line="240" w:lineRule="auto"/>
              <w:jc w:val="both"/>
              <w:rPr>
                <w:rFonts w:ascii="Times New Roman" w:hAnsi="Times New Roman" w:cs="Times New Roman"/>
                <w:i/>
                <w:sz w:val="18"/>
                <w:szCs w:val="14"/>
                <w:lang w:val="ro-RO"/>
              </w:rPr>
            </w:pPr>
          </w:p>
          <w:p w14:paraId="579FBD48" w14:textId="77777777" w:rsidR="002F0BD3" w:rsidRPr="009C5F11" w:rsidRDefault="002F0BD3" w:rsidP="00430626">
            <w:pPr>
              <w:spacing w:before="120" w:after="120" w:line="240" w:lineRule="auto"/>
              <w:jc w:val="both"/>
              <w:rPr>
                <w:rFonts w:ascii="Times New Roman" w:hAnsi="Times New Roman" w:cs="Times New Roman"/>
                <w:i/>
                <w:sz w:val="18"/>
                <w:szCs w:val="14"/>
                <w:lang w:val="ro-RO"/>
              </w:rPr>
            </w:pPr>
          </w:p>
          <w:p w14:paraId="5D00D9B9" w14:textId="51539138" w:rsidR="00BC2ED4" w:rsidRPr="009C5F11" w:rsidRDefault="00BC2ED4" w:rsidP="00430626">
            <w:pPr>
              <w:spacing w:before="120" w:after="120" w:line="240" w:lineRule="auto"/>
              <w:jc w:val="both"/>
              <w:rPr>
                <w:rFonts w:ascii="Times New Roman" w:hAnsi="Times New Roman" w:cs="Times New Roman"/>
                <w:i/>
                <w:sz w:val="18"/>
                <w:szCs w:val="14"/>
                <w:lang w:val="ro-RO"/>
              </w:rPr>
            </w:pPr>
          </w:p>
        </w:tc>
        <w:tc>
          <w:tcPr>
            <w:tcW w:w="1097" w:type="pct"/>
          </w:tcPr>
          <w:p w14:paraId="04AD7DDB" w14:textId="29DC0D24" w:rsidR="00BC2ED4" w:rsidRPr="009C5F11" w:rsidRDefault="000A4F6D"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Pentru a realiza evaluarea menționată Partile Contractante r</w:t>
            </w:r>
            <w:r w:rsidR="00B66B76" w:rsidRPr="009C5F11">
              <w:rPr>
                <w:rFonts w:ascii="Times New Roman" w:hAnsi="Times New Roman" w:cs="Times New Roman"/>
                <w:i/>
                <w:sz w:val="18"/>
                <w:szCs w:val="14"/>
                <w:lang w:val="ro-RO"/>
              </w:rPr>
              <w:t>ealiz</w:t>
            </w:r>
            <w:r w:rsidRPr="009C5F11">
              <w:rPr>
                <w:rFonts w:ascii="Times New Roman" w:hAnsi="Times New Roman" w:cs="Times New Roman"/>
                <w:i/>
                <w:sz w:val="18"/>
                <w:szCs w:val="14"/>
                <w:lang w:val="ro-RO"/>
              </w:rPr>
              <w:t>eaza o</w:t>
            </w:r>
            <w:r w:rsidR="00B66B76"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analiza </w:t>
            </w:r>
            <w:r w:rsidR="00B66B76" w:rsidRPr="009C5F11">
              <w:rPr>
                <w:rFonts w:ascii="Times New Roman" w:hAnsi="Times New Roman" w:cs="Times New Roman"/>
                <w:i/>
                <w:sz w:val="18"/>
                <w:szCs w:val="14"/>
                <w:lang w:val="ro-RO"/>
              </w:rPr>
              <w:t>cost-beneficiu</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la nivelul întregului lor teritoriu </w:t>
            </w:r>
            <w:r w:rsidR="00B66B76" w:rsidRPr="009C5F11">
              <w:rPr>
                <w:rFonts w:ascii="Times New Roman" w:hAnsi="Times New Roman" w:cs="Times New Roman"/>
                <w:i/>
                <w:sz w:val="18"/>
                <w:szCs w:val="14"/>
                <w:lang w:val="ro-RO"/>
              </w:rPr>
              <w:t>pe baza condiţiilor climaterice, fezabilităţii economice şi</w:t>
            </w:r>
            <w:r w:rsidR="00BC2ED4" w:rsidRPr="009C5F11">
              <w:rPr>
                <w:rFonts w:ascii="Times New Roman" w:hAnsi="Times New Roman" w:cs="Times New Roman"/>
                <w:i/>
                <w:sz w:val="18"/>
                <w:szCs w:val="14"/>
                <w:lang w:val="ro-RO"/>
              </w:rPr>
              <w:t xml:space="preserve"> </w:t>
            </w:r>
            <w:r w:rsidR="00B66B76" w:rsidRPr="009C5F11">
              <w:rPr>
                <w:rFonts w:ascii="Times New Roman" w:hAnsi="Times New Roman" w:cs="Times New Roman"/>
                <w:i/>
                <w:sz w:val="18"/>
                <w:szCs w:val="14"/>
                <w:lang w:val="ro-RO"/>
              </w:rPr>
              <w:t>oportunităţii te</w:t>
            </w:r>
            <w:r w:rsidR="00BC2ED4" w:rsidRPr="009C5F11">
              <w:rPr>
                <w:rFonts w:ascii="Times New Roman" w:hAnsi="Times New Roman" w:cs="Times New Roman"/>
                <w:i/>
                <w:sz w:val="18"/>
                <w:szCs w:val="14"/>
                <w:lang w:val="ro-RO"/>
              </w:rPr>
              <w:t>hnic</w:t>
            </w:r>
            <w:r w:rsidR="00B66B76" w:rsidRPr="009C5F11">
              <w:rPr>
                <w:rFonts w:ascii="Times New Roman" w:hAnsi="Times New Roman" w:cs="Times New Roman"/>
                <w:i/>
                <w:sz w:val="18"/>
                <w:szCs w:val="14"/>
                <w:lang w:val="ro-RO"/>
              </w:rPr>
              <w:t>e.</w:t>
            </w:r>
          </w:p>
          <w:p w14:paraId="0EC1E067" w14:textId="77777777" w:rsidR="00BC2ED4" w:rsidRPr="009C5F11" w:rsidRDefault="00B66B76" w:rsidP="00B66B7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Acolo unde analiza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cost-beneficiu</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are rezultate pozitive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vor fi întreprinse </w:t>
            </w:r>
            <w:r w:rsidR="00E10BE5" w:rsidRPr="009C5F11">
              <w:rPr>
                <w:rFonts w:ascii="Times New Roman" w:hAnsi="Times New Roman" w:cs="Times New Roman"/>
                <w:i/>
                <w:sz w:val="18"/>
                <w:szCs w:val="14"/>
                <w:lang w:val="ro-RO"/>
              </w:rPr>
              <w:t>măsuri</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adecvate pentru dezvoltarea unei infrastructuri eficiente de </w:t>
            </w:r>
            <w:r w:rsidR="00697951" w:rsidRPr="009C5F11">
              <w:rPr>
                <w:rFonts w:ascii="Times New Roman" w:hAnsi="Times New Roman" w:cs="Times New Roman"/>
                <w:i/>
                <w:sz w:val="18"/>
                <w:szCs w:val="14"/>
                <w:lang w:val="ro-RO"/>
              </w:rPr>
              <w:t>încălzire</w:t>
            </w:r>
            <w:r w:rsidR="00B26897" w:rsidRPr="009C5F11">
              <w:rPr>
                <w:rFonts w:ascii="Times New Roman" w:hAnsi="Times New Roman" w:cs="Times New Roman"/>
                <w:i/>
                <w:sz w:val="18"/>
                <w:szCs w:val="14"/>
                <w:lang w:val="ro-RO"/>
              </w:rPr>
              <w:t xml:space="preserve"> şi răcire centralizată </w:t>
            </w:r>
            <w:r w:rsidR="000126A5" w:rsidRPr="009C5F11">
              <w:rPr>
                <w:rFonts w:ascii="Times New Roman" w:hAnsi="Times New Roman" w:cs="Times New Roman"/>
                <w:i/>
                <w:sz w:val="18"/>
                <w:szCs w:val="14"/>
                <w:lang w:val="ro-RO"/>
              </w:rPr>
              <w:t>şi/sau</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pentru </w:t>
            </w:r>
            <w:r w:rsidR="00BC2ED4" w:rsidRPr="009C5F11">
              <w:rPr>
                <w:rFonts w:ascii="Times New Roman" w:hAnsi="Times New Roman" w:cs="Times New Roman"/>
                <w:i/>
                <w:sz w:val="18"/>
                <w:szCs w:val="14"/>
                <w:lang w:val="ro-RO"/>
              </w:rPr>
              <w:t>acomoda</w:t>
            </w:r>
            <w:r w:rsidRPr="009C5F11">
              <w:rPr>
                <w:rFonts w:ascii="Times New Roman" w:hAnsi="Times New Roman" w:cs="Times New Roman"/>
                <w:i/>
                <w:sz w:val="18"/>
                <w:szCs w:val="14"/>
                <w:lang w:val="ro-RO"/>
              </w:rPr>
              <w:t xml:space="preserve">rea dezvoltării </w:t>
            </w:r>
            <w:r w:rsidR="00503694" w:rsidRPr="009C5F11">
              <w:rPr>
                <w:rFonts w:ascii="Times New Roman" w:hAnsi="Times New Roman" w:cs="Times New Roman"/>
                <w:i/>
                <w:sz w:val="18"/>
                <w:szCs w:val="14"/>
                <w:lang w:val="ro-RO"/>
              </w:rPr>
              <w:t>cogener</w:t>
            </w:r>
            <w:r w:rsidRPr="009C5F11">
              <w:rPr>
                <w:rFonts w:ascii="Times New Roman" w:hAnsi="Times New Roman" w:cs="Times New Roman"/>
                <w:i/>
                <w:sz w:val="18"/>
                <w:szCs w:val="14"/>
                <w:lang w:val="ro-RO"/>
              </w:rPr>
              <w:t>ării de randament sporit</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utilizarea încălzirii şi răcirii pe baza căldurii reziduale</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 xml:space="preserve">a </w:t>
            </w:r>
            <w:r w:rsidR="00FF7936" w:rsidRPr="009C5F11">
              <w:rPr>
                <w:rFonts w:ascii="Times New Roman" w:hAnsi="Times New Roman" w:cs="Times New Roman"/>
                <w:i/>
                <w:sz w:val="18"/>
                <w:szCs w:val="14"/>
                <w:lang w:val="ro-RO"/>
              </w:rPr>
              <w:t>surse</w:t>
            </w:r>
            <w:r w:rsidRPr="009C5F11">
              <w:rPr>
                <w:rFonts w:ascii="Times New Roman" w:hAnsi="Times New Roman" w:cs="Times New Roman"/>
                <w:i/>
                <w:sz w:val="18"/>
                <w:szCs w:val="14"/>
                <w:lang w:val="ro-RO"/>
              </w:rPr>
              <w:t>lor</w:t>
            </w:r>
            <w:r w:rsidR="00FF7936" w:rsidRPr="009C5F11">
              <w:rPr>
                <w:rFonts w:ascii="Times New Roman" w:hAnsi="Times New Roman" w:cs="Times New Roman"/>
                <w:i/>
                <w:sz w:val="18"/>
                <w:szCs w:val="14"/>
                <w:lang w:val="ro-RO"/>
              </w:rPr>
              <w:t xml:space="preserve"> regenerabile de energie</w:t>
            </w:r>
            <w:r w:rsidRPr="009C5F11">
              <w:rPr>
                <w:rFonts w:ascii="Times New Roman" w:hAnsi="Times New Roman" w:cs="Times New Roman"/>
                <w:i/>
                <w:sz w:val="18"/>
                <w:szCs w:val="14"/>
                <w:lang w:val="ro-RO"/>
              </w:rPr>
              <w:t>.</w:t>
            </w:r>
          </w:p>
        </w:tc>
        <w:tc>
          <w:tcPr>
            <w:tcW w:w="1141" w:type="pct"/>
            <w:shd w:val="clear" w:color="auto" w:fill="auto"/>
          </w:tcPr>
          <w:p w14:paraId="3ECA787B" w14:textId="77777777" w:rsidR="00BC2ED4" w:rsidRPr="009C5F11" w:rsidRDefault="00B66B76"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Într-o anumită măsură</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a</w:t>
            </w:r>
            <w:r w:rsidR="00BC2ED4" w:rsidRPr="009C5F11">
              <w:rPr>
                <w:rFonts w:ascii="Times New Roman" w:hAnsi="Times New Roman" w:cs="Times New Roman"/>
                <w:i/>
                <w:sz w:val="18"/>
                <w:szCs w:val="14"/>
                <w:lang w:val="ro-RO"/>
              </w:rPr>
              <w:t>spect</w:t>
            </w:r>
            <w:r w:rsidRPr="009C5F11">
              <w:rPr>
                <w:rFonts w:ascii="Times New Roman" w:hAnsi="Times New Roman" w:cs="Times New Roman"/>
                <w:i/>
                <w:sz w:val="18"/>
                <w:szCs w:val="14"/>
                <w:lang w:val="ro-RO"/>
              </w:rPr>
              <w:t xml:space="preserve">ele au fost abordate de studiul </w:t>
            </w:r>
            <w:r w:rsidR="00BC2ED4" w:rsidRPr="009C5F11">
              <w:rPr>
                <w:rFonts w:ascii="Times New Roman" w:hAnsi="Times New Roman" w:cs="Times New Roman"/>
                <w:i/>
                <w:sz w:val="18"/>
                <w:szCs w:val="14"/>
                <w:lang w:val="ro-RO"/>
              </w:rPr>
              <w:t>GET “</w:t>
            </w:r>
            <w:r w:rsidRPr="009C5F11">
              <w:rPr>
                <w:rFonts w:ascii="Times New Roman" w:hAnsi="Times New Roman" w:cs="Times New Roman"/>
                <w:i/>
                <w:sz w:val="18"/>
                <w:szCs w:val="14"/>
                <w:lang w:val="ro-RO"/>
              </w:rPr>
              <w:t xml:space="preserve">Sporirea </w:t>
            </w:r>
            <w:r w:rsidR="000C7BEC" w:rsidRPr="009C5F11">
              <w:rPr>
                <w:rFonts w:ascii="Times New Roman" w:hAnsi="Times New Roman" w:cs="Times New Roman"/>
                <w:i/>
                <w:sz w:val="18"/>
                <w:szCs w:val="14"/>
                <w:lang w:val="ro-RO"/>
              </w:rPr>
              <w:t>eficienţ</w:t>
            </w:r>
            <w:r w:rsidRPr="009C5F11">
              <w:rPr>
                <w:rFonts w:ascii="Times New Roman" w:hAnsi="Times New Roman" w:cs="Times New Roman"/>
                <w:i/>
                <w:sz w:val="18"/>
                <w:szCs w:val="14"/>
                <w:lang w:val="ro-RO"/>
              </w:rPr>
              <w:t>ei</w:t>
            </w:r>
            <w:r w:rsidR="000C7BEC" w:rsidRPr="009C5F11">
              <w:rPr>
                <w:rFonts w:ascii="Times New Roman" w:hAnsi="Times New Roman" w:cs="Times New Roman"/>
                <w:i/>
                <w:sz w:val="18"/>
                <w:szCs w:val="14"/>
                <w:lang w:val="ro-RO"/>
              </w:rPr>
              <w:t xml:space="preserve"> energetic</w:t>
            </w:r>
            <w:r w:rsidRPr="009C5F11">
              <w:rPr>
                <w:rFonts w:ascii="Times New Roman" w:hAnsi="Times New Roman" w:cs="Times New Roman"/>
                <w:i/>
                <w:sz w:val="18"/>
                <w:szCs w:val="14"/>
                <w:lang w:val="ro-RO"/>
              </w:rPr>
              <w:t>e prin alocarea investiţiilor în CET-uri</w:t>
            </w:r>
            <w:r w:rsidR="00BC2ED4" w:rsidRPr="009C5F11">
              <w:rPr>
                <w:rFonts w:ascii="Times New Roman" w:hAnsi="Times New Roman" w:cs="Times New Roman"/>
                <w:i/>
                <w:sz w:val="18"/>
                <w:szCs w:val="14"/>
                <w:lang w:val="ro-RO"/>
              </w:rPr>
              <w:t>”</w:t>
            </w:r>
            <w:r w:rsidRPr="009C5F11">
              <w:rPr>
                <w:rFonts w:ascii="Times New Roman" w:hAnsi="Times New Roman" w:cs="Times New Roman"/>
                <w:i/>
                <w:sz w:val="18"/>
                <w:szCs w:val="14"/>
                <w:lang w:val="ro-RO"/>
              </w:rPr>
              <w:t xml:space="preserve">, care este un rezultat pozitiv, </w:t>
            </w:r>
            <w:r w:rsidR="00A73756" w:rsidRPr="009C5F11">
              <w:rPr>
                <w:rFonts w:ascii="Times New Roman" w:hAnsi="Times New Roman" w:cs="Times New Roman"/>
                <w:i/>
                <w:sz w:val="18"/>
                <w:szCs w:val="14"/>
                <w:lang w:val="ro-RO"/>
              </w:rPr>
              <w:t xml:space="preserve">fiind </w:t>
            </w:r>
            <w:r w:rsidRPr="009C5F11">
              <w:rPr>
                <w:rFonts w:ascii="Times New Roman" w:hAnsi="Times New Roman" w:cs="Times New Roman"/>
                <w:i/>
                <w:sz w:val="18"/>
                <w:szCs w:val="14"/>
                <w:lang w:val="ro-RO"/>
              </w:rPr>
              <w:t>însă doar un pas preliminar.</w:t>
            </w:r>
          </w:p>
          <w:p w14:paraId="787CCED6" w14:textId="77777777" w:rsidR="00BC2ED4" w:rsidRPr="009C5F11" w:rsidRDefault="00B66B76" w:rsidP="00B66B7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Evaluarea cuprinzătoare prevăzută de </w:t>
            </w:r>
            <w:r w:rsidR="00CB011F" w:rsidRPr="009C5F11">
              <w:rPr>
                <w:rFonts w:ascii="Times New Roman" w:hAnsi="Times New Roman" w:cs="Times New Roman"/>
                <w:i/>
                <w:sz w:val="18"/>
                <w:szCs w:val="14"/>
                <w:lang w:val="ro-RO"/>
              </w:rPr>
              <w:t>DEE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este inclusă ca</w:t>
            </w:r>
            <w:r w:rsidR="00BC2ED4" w:rsidRPr="009C5F11">
              <w:rPr>
                <w:rFonts w:ascii="Times New Roman" w:hAnsi="Times New Roman" w:cs="Times New Roman"/>
                <w:i/>
                <w:sz w:val="18"/>
                <w:szCs w:val="14"/>
                <w:lang w:val="ro-RO"/>
              </w:rPr>
              <w:t xml:space="preserve"> </w:t>
            </w:r>
            <w:r w:rsidR="00105D5C" w:rsidRPr="009C5F11">
              <w:rPr>
                <w:rFonts w:ascii="Times New Roman" w:hAnsi="Times New Roman" w:cs="Times New Roman"/>
                <w:i/>
                <w:sz w:val="18"/>
                <w:szCs w:val="14"/>
                <w:lang w:val="ro-RO"/>
              </w:rPr>
              <w:t>măsura</w:t>
            </w:r>
            <w:r w:rsidR="00BC2ED4" w:rsidRPr="009C5F11">
              <w:rPr>
                <w:rFonts w:ascii="Times New Roman" w:hAnsi="Times New Roman" w:cs="Times New Roman"/>
                <w:i/>
                <w:sz w:val="18"/>
                <w:szCs w:val="14"/>
                <w:lang w:val="ro-RO"/>
              </w:rPr>
              <w:t xml:space="preserve"> E6 “</w:t>
            </w:r>
            <w:r w:rsidR="005F4F17" w:rsidRPr="009C5F11">
              <w:rPr>
                <w:rFonts w:ascii="Times New Roman" w:hAnsi="Times New Roman" w:cs="Times New Roman"/>
                <w:i/>
                <w:sz w:val="18"/>
                <w:szCs w:val="14"/>
                <w:lang w:val="ro-RO"/>
              </w:rPr>
              <w:t>Evaluarea cuprinzătoare a potenţialului pentru aplicarea cogenerării de înaltă eficiență și a termoficării și răcirii centralizate eficient</w:t>
            </w:r>
            <w:r w:rsidR="00BC2ED4" w:rsidRPr="009C5F11">
              <w:rPr>
                <w:rFonts w:ascii="Times New Roman" w:hAnsi="Times New Roman" w:cs="Times New Roman"/>
                <w:i/>
                <w:sz w:val="18"/>
                <w:szCs w:val="14"/>
                <w:lang w:val="ro-RO"/>
              </w:rPr>
              <w:t>”</w:t>
            </w:r>
            <w:r w:rsidR="00321CD5" w:rsidRPr="009C5F11">
              <w:rPr>
                <w:rFonts w:ascii="Times New Roman" w:hAnsi="Times New Roman" w:cs="Times New Roman"/>
                <w:i/>
                <w:sz w:val="18"/>
                <w:szCs w:val="14"/>
                <w:lang w:val="ro-RO"/>
              </w:rPr>
              <w:t xml:space="preserve"> în </w:t>
            </w:r>
            <w:r w:rsidR="00872DC2" w:rsidRPr="009C5F11">
              <w:rPr>
                <w:rFonts w:ascii="Times New Roman" w:hAnsi="Times New Roman" w:cs="Times New Roman"/>
                <w:i/>
                <w:sz w:val="18"/>
                <w:szCs w:val="14"/>
                <w:lang w:val="ro-RO"/>
              </w:rPr>
              <w:t>PNAEE</w:t>
            </w:r>
            <w:r w:rsidR="00BC2ED4" w:rsidRPr="009C5F11">
              <w:rPr>
                <w:rFonts w:ascii="Times New Roman" w:hAnsi="Times New Roman" w:cs="Times New Roman"/>
                <w:i/>
                <w:sz w:val="18"/>
                <w:szCs w:val="14"/>
                <w:lang w:val="ro-RO"/>
              </w:rPr>
              <w:t xml:space="preserve"> 2016-2018</w:t>
            </w:r>
            <w:r w:rsidRPr="009C5F11">
              <w:rPr>
                <w:rFonts w:ascii="Times New Roman" w:hAnsi="Times New Roman" w:cs="Times New Roman"/>
                <w:i/>
                <w:sz w:val="18"/>
                <w:szCs w:val="14"/>
                <w:lang w:val="ro-RO"/>
              </w:rPr>
              <w:t>.</w:t>
            </w:r>
            <w:r w:rsidR="00BC2ED4" w:rsidRPr="009C5F11">
              <w:rPr>
                <w:rFonts w:ascii="Times New Roman" w:hAnsi="Times New Roman" w:cs="Times New Roman"/>
                <w:i/>
                <w:sz w:val="18"/>
                <w:szCs w:val="14"/>
                <w:lang w:val="ro-RO"/>
              </w:rPr>
              <w:t xml:space="preserve"> </w:t>
            </w:r>
          </w:p>
        </w:tc>
        <w:tc>
          <w:tcPr>
            <w:tcW w:w="438" w:type="pct"/>
            <w:shd w:val="clear" w:color="auto" w:fill="auto"/>
          </w:tcPr>
          <w:p w14:paraId="6717E4DF" w14:textId="77777777" w:rsidR="00BC2ED4" w:rsidRPr="009C5F11" w:rsidRDefault="00421FA7"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ME</w:t>
            </w:r>
          </w:p>
          <w:p w14:paraId="1AB4260A" w14:textId="77777777" w:rsidR="00BC2ED4" w:rsidRPr="009C5F11" w:rsidRDefault="00AA0566"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AEE</w:t>
            </w:r>
          </w:p>
        </w:tc>
      </w:tr>
      <w:tr w:rsidR="00341E16" w:rsidRPr="009C5F11" w14:paraId="13210938" w14:textId="77777777" w:rsidTr="003822B8">
        <w:trPr>
          <w:trHeight w:val="1503"/>
        </w:trPr>
        <w:tc>
          <w:tcPr>
            <w:tcW w:w="216" w:type="pct"/>
            <w:vMerge w:val="restart"/>
            <w:shd w:val="clear" w:color="auto" w:fill="auto"/>
          </w:tcPr>
          <w:p w14:paraId="60A3CECB" w14:textId="77777777" w:rsidR="003822B8" w:rsidRPr="009C5F11" w:rsidRDefault="003822B8"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15</w:t>
            </w:r>
          </w:p>
        </w:tc>
        <w:tc>
          <w:tcPr>
            <w:tcW w:w="514" w:type="pct"/>
            <w:vMerge w:val="restart"/>
            <w:shd w:val="clear" w:color="auto" w:fill="auto"/>
          </w:tcPr>
          <w:p w14:paraId="07412B8C" w14:textId="77777777" w:rsidR="003822B8" w:rsidRPr="009C5F11" w:rsidRDefault="00721C1B" w:rsidP="00F4554A">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Transformarea</w:t>
            </w:r>
            <w:r w:rsidR="00F4554A" w:rsidRPr="009C5F11">
              <w:rPr>
                <w:rFonts w:ascii="Times New Roman" w:hAnsi="Times New Roman" w:cs="Times New Roman"/>
                <w:i/>
                <w:sz w:val="18"/>
                <w:szCs w:val="14"/>
                <w:lang w:val="ro-RO"/>
              </w:rPr>
              <w:t xml:space="preserve">, transportul şi distribuţia energiei </w:t>
            </w:r>
          </w:p>
        </w:tc>
        <w:tc>
          <w:tcPr>
            <w:tcW w:w="975" w:type="pct"/>
            <w:shd w:val="clear" w:color="auto" w:fill="auto"/>
          </w:tcPr>
          <w:p w14:paraId="6A305F9E" w14:textId="77777777" w:rsidR="003822B8" w:rsidRPr="009C5F11" w:rsidRDefault="00F4554A"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Autoritatea naţională de reglementare în energetică</w:t>
            </w:r>
            <w:r w:rsidR="003822B8"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ţine cont</w:t>
            </w:r>
            <w:r w:rsidR="003822B8"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de </w:t>
            </w:r>
            <w:r w:rsidR="000C7BEC" w:rsidRPr="009C5F11">
              <w:rPr>
                <w:rFonts w:ascii="Times New Roman" w:hAnsi="Times New Roman" w:cs="Times New Roman"/>
                <w:i/>
                <w:sz w:val="18"/>
                <w:szCs w:val="14"/>
                <w:lang w:val="ro-RO"/>
              </w:rPr>
              <w:t>eficienţ</w:t>
            </w:r>
            <w:r w:rsidRPr="009C5F11">
              <w:rPr>
                <w:rFonts w:ascii="Times New Roman" w:hAnsi="Times New Roman" w:cs="Times New Roman"/>
                <w:i/>
                <w:sz w:val="18"/>
                <w:szCs w:val="14"/>
                <w:lang w:val="ro-RO"/>
              </w:rPr>
              <w:t>a</w:t>
            </w:r>
            <w:r w:rsidR="000C7BEC" w:rsidRPr="009C5F11">
              <w:rPr>
                <w:rFonts w:ascii="Times New Roman" w:hAnsi="Times New Roman" w:cs="Times New Roman"/>
                <w:i/>
                <w:sz w:val="18"/>
                <w:szCs w:val="14"/>
                <w:lang w:val="ro-RO"/>
              </w:rPr>
              <w:t xml:space="preserve"> energetică</w:t>
            </w:r>
            <w:r w:rsidR="00321CD5" w:rsidRPr="009C5F11">
              <w:rPr>
                <w:rFonts w:ascii="Times New Roman" w:hAnsi="Times New Roman" w:cs="Times New Roman"/>
                <w:i/>
                <w:sz w:val="18"/>
                <w:szCs w:val="14"/>
                <w:lang w:val="ro-RO"/>
              </w:rPr>
              <w:t xml:space="preserve"> în </w:t>
            </w:r>
            <w:r w:rsidRPr="009C5F11">
              <w:rPr>
                <w:rFonts w:ascii="Times New Roman" w:hAnsi="Times New Roman" w:cs="Times New Roman"/>
                <w:i/>
                <w:sz w:val="18"/>
                <w:szCs w:val="14"/>
                <w:lang w:val="ro-RO"/>
              </w:rPr>
              <w:t xml:space="preserve">procesul de realizare a sarcinilor </w:t>
            </w:r>
            <w:r w:rsidR="003822B8" w:rsidRPr="009C5F11">
              <w:rPr>
                <w:rFonts w:ascii="Times New Roman" w:hAnsi="Times New Roman" w:cs="Times New Roman"/>
                <w:i/>
                <w:sz w:val="18"/>
                <w:szCs w:val="14"/>
                <w:lang w:val="ro-RO"/>
              </w:rPr>
              <w:t>specifi</w:t>
            </w:r>
            <w:r w:rsidRPr="009C5F11">
              <w:rPr>
                <w:rFonts w:ascii="Times New Roman" w:hAnsi="Times New Roman" w:cs="Times New Roman"/>
                <w:i/>
                <w:sz w:val="18"/>
                <w:szCs w:val="14"/>
                <w:lang w:val="ro-RO"/>
              </w:rPr>
              <w:t>cate</w:t>
            </w:r>
            <w:r w:rsidR="00321CD5" w:rsidRPr="009C5F11">
              <w:rPr>
                <w:rFonts w:ascii="Times New Roman" w:hAnsi="Times New Roman" w:cs="Times New Roman"/>
                <w:i/>
                <w:sz w:val="18"/>
                <w:szCs w:val="14"/>
                <w:lang w:val="ro-RO"/>
              </w:rPr>
              <w:t xml:space="preserve"> în </w:t>
            </w:r>
            <w:r w:rsidR="003822B8" w:rsidRPr="009C5F11">
              <w:rPr>
                <w:rFonts w:ascii="Times New Roman" w:hAnsi="Times New Roman" w:cs="Times New Roman"/>
                <w:i/>
                <w:sz w:val="18"/>
                <w:szCs w:val="14"/>
                <w:lang w:val="ro-RO"/>
              </w:rPr>
              <w:t>Directive</w:t>
            </w:r>
            <w:r w:rsidRPr="009C5F11">
              <w:rPr>
                <w:rFonts w:ascii="Times New Roman" w:hAnsi="Times New Roman" w:cs="Times New Roman"/>
                <w:i/>
                <w:sz w:val="18"/>
                <w:szCs w:val="14"/>
                <w:lang w:val="ro-RO"/>
              </w:rPr>
              <w:t>le</w:t>
            </w:r>
            <w:r w:rsidR="003822B8" w:rsidRPr="009C5F11">
              <w:rPr>
                <w:rFonts w:ascii="Times New Roman" w:hAnsi="Times New Roman" w:cs="Times New Roman"/>
                <w:i/>
                <w:sz w:val="18"/>
                <w:szCs w:val="14"/>
                <w:lang w:val="ro-RO"/>
              </w:rPr>
              <w:t xml:space="preserve"> 2009/72</w:t>
            </w:r>
            <w:r w:rsidR="000A4CC7" w:rsidRPr="009C5F11">
              <w:rPr>
                <w:rFonts w:ascii="Times New Roman" w:hAnsi="Times New Roman" w:cs="Times New Roman"/>
                <w:i/>
                <w:sz w:val="18"/>
                <w:szCs w:val="14"/>
                <w:lang w:val="ro-RO"/>
              </w:rPr>
              <w:t>/CE</w:t>
            </w:r>
            <w:r w:rsidR="00321CD5" w:rsidRPr="009C5F11">
              <w:rPr>
                <w:rFonts w:ascii="Times New Roman" w:hAnsi="Times New Roman" w:cs="Times New Roman"/>
                <w:i/>
                <w:sz w:val="18"/>
                <w:szCs w:val="14"/>
                <w:lang w:val="ro-RO"/>
              </w:rPr>
              <w:t xml:space="preserve"> şi </w:t>
            </w:r>
            <w:r w:rsidR="003822B8" w:rsidRPr="009C5F11">
              <w:rPr>
                <w:rFonts w:ascii="Times New Roman" w:hAnsi="Times New Roman" w:cs="Times New Roman"/>
                <w:i/>
                <w:sz w:val="18"/>
                <w:szCs w:val="14"/>
                <w:lang w:val="ro-RO"/>
              </w:rPr>
              <w:t>2009/73</w:t>
            </w:r>
            <w:r w:rsidR="000A4CC7" w:rsidRPr="009C5F11">
              <w:rPr>
                <w:rFonts w:ascii="Times New Roman" w:hAnsi="Times New Roman" w:cs="Times New Roman"/>
                <w:i/>
                <w:sz w:val="18"/>
                <w:szCs w:val="14"/>
                <w:lang w:val="ro-RO"/>
              </w:rPr>
              <w:t>/CE</w:t>
            </w:r>
            <w:r w:rsidR="003822B8"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cu privire la deciziile </w:t>
            </w:r>
            <w:r w:rsidR="00336513" w:rsidRPr="009C5F11">
              <w:rPr>
                <w:rFonts w:ascii="Times New Roman" w:hAnsi="Times New Roman" w:cs="Times New Roman"/>
                <w:i/>
                <w:sz w:val="18"/>
                <w:szCs w:val="14"/>
                <w:lang w:val="ro-RO"/>
              </w:rPr>
              <w:t>în materie de</w:t>
            </w:r>
            <w:r w:rsidRPr="009C5F11">
              <w:rPr>
                <w:rFonts w:ascii="Times New Roman" w:hAnsi="Times New Roman" w:cs="Times New Roman"/>
                <w:i/>
                <w:sz w:val="18"/>
                <w:szCs w:val="14"/>
                <w:lang w:val="ro-RO"/>
              </w:rPr>
              <w:t xml:space="preserve"> exploatare</w:t>
            </w:r>
            <w:r w:rsidR="00336513"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a </w:t>
            </w:r>
            <w:r w:rsidR="003822B8" w:rsidRPr="009C5F11">
              <w:rPr>
                <w:rFonts w:ascii="Times New Roman" w:hAnsi="Times New Roman" w:cs="Times New Roman"/>
                <w:i/>
                <w:sz w:val="18"/>
                <w:szCs w:val="14"/>
                <w:lang w:val="ro-RO"/>
              </w:rPr>
              <w:t>infrastructur</w:t>
            </w:r>
            <w:r w:rsidRPr="009C5F11">
              <w:rPr>
                <w:rFonts w:ascii="Times New Roman" w:hAnsi="Times New Roman" w:cs="Times New Roman"/>
                <w:i/>
                <w:sz w:val="18"/>
                <w:szCs w:val="14"/>
                <w:lang w:val="ro-RO"/>
              </w:rPr>
              <w:t xml:space="preserve">ii de </w:t>
            </w:r>
            <w:r w:rsidRPr="009C5F11">
              <w:rPr>
                <w:rFonts w:ascii="Times New Roman" w:hAnsi="Times New Roman" w:cs="Times New Roman"/>
                <w:i/>
                <w:sz w:val="18"/>
                <w:szCs w:val="14"/>
                <w:lang w:val="ro-RO"/>
              </w:rPr>
              <w:lastRenderedPageBreak/>
              <w:t>energie electrică şi gaz</w:t>
            </w:r>
            <w:r w:rsidR="003822B8" w:rsidRPr="009C5F11">
              <w:rPr>
                <w:rFonts w:ascii="Times New Roman" w:hAnsi="Times New Roman" w:cs="Times New Roman"/>
                <w:i/>
                <w:sz w:val="18"/>
                <w:szCs w:val="14"/>
                <w:lang w:val="ro-RO"/>
              </w:rPr>
              <w:t>e</w:t>
            </w:r>
            <w:r w:rsidRPr="009C5F11">
              <w:rPr>
                <w:rFonts w:ascii="Times New Roman" w:hAnsi="Times New Roman" w:cs="Times New Roman"/>
                <w:i/>
                <w:sz w:val="18"/>
                <w:szCs w:val="14"/>
                <w:lang w:val="ro-RO"/>
              </w:rPr>
              <w:t xml:space="preserve"> naturale</w:t>
            </w:r>
            <w:r w:rsidR="003822B8" w:rsidRPr="009C5F11">
              <w:rPr>
                <w:rFonts w:ascii="Times New Roman" w:hAnsi="Times New Roman" w:cs="Times New Roman"/>
                <w:i/>
                <w:sz w:val="18"/>
                <w:szCs w:val="14"/>
                <w:lang w:val="ro-RO"/>
              </w:rPr>
              <w:t>.</w:t>
            </w:r>
          </w:p>
          <w:p w14:paraId="5CD10E5B" w14:textId="77777777" w:rsidR="003822B8" w:rsidRPr="009C5F11" w:rsidRDefault="00856818" w:rsidP="00336513">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De asemenea</w:t>
            </w:r>
            <w:r w:rsidR="00F4554A" w:rsidRPr="009C5F11">
              <w:rPr>
                <w:rFonts w:ascii="Times New Roman" w:hAnsi="Times New Roman" w:cs="Times New Roman"/>
                <w:i/>
                <w:sz w:val="18"/>
                <w:szCs w:val="14"/>
                <w:lang w:val="ro-RO"/>
              </w:rPr>
              <w:t>,</w:t>
            </w:r>
            <w:r w:rsidR="003822B8" w:rsidRPr="009C5F11">
              <w:rPr>
                <w:rFonts w:ascii="Times New Roman" w:hAnsi="Times New Roman" w:cs="Times New Roman"/>
                <w:i/>
                <w:sz w:val="18"/>
                <w:szCs w:val="14"/>
                <w:lang w:val="ro-RO"/>
              </w:rPr>
              <w:t xml:space="preserve"> </w:t>
            </w:r>
            <w:r w:rsidR="00336513" w:rsidRPr="009C5F11">
              <w:rPr>
                <w:rFonts w:ascii="Times New Roman" w:hAnsi="Times New Roman" w:cs="Times New Roman"/>
                <w:i/>
                <w:sz w:val="18"/>
                <w:szCs w:val="14"/>
                <w:lang w:val="ro-RO"/>
              </w:rPr>
              <w:t>sunt</w:t>
            </w:r>
            <w:r w:rsidR="00F4554A" w:rsidRPr="009C5F11">
              <w:rPr>
                <w:rFonts w:ascii="Times New Roman" w:hAnsi="Times New Roman" w:cs="Times New Roman"/>
                <w:i/>
                <w:sz w:val="18"/>
                <w:szCs w:val="14"/>
                <w:lang w:val="ro-RO"/>
              </w:rPr>
              <w:t xml:space="preserve"> ofer</w:t>
            </w:r>
            <w:r w:rsidR="00336513" w:rsidRPr="009C5F11">
              <w:rPr>
                <w:rFonts w:ascii="Times New Roman" w:hAnsi="Times New Roman" w:cs="Times New Roman"/>
                <w:i/>
                <w:sz w:val="18"/>
                <w:szCs w:val="14"/>
                <w:lang w:val="ro-RO"/>
              </w:rPr>
              <w:t>ite</w:t>
            </w:r>
            <w:r w:rsidR="00F4554A" w:rsidRPr="009C5F11">
              <w:rPr>
                <w:rFonts w:ascii="Times New Roman" w:hAnsi="Times New Roman" w:cs="Times New Roman"/>
                <w:i/>
                <w:sz w:val="18"/>
                <w:szCs w:val="14"/>
                <w:lang w:val="ro-RO"/>
              </w:rPr>
              <w:t xml:space="preserve"> stimulente pentru </w:t>
            </w:r>
            <w:r w:rsidR="004000CC" w:rsidRPr="009C5F11">
              <w:rPr>
                <w:rFonts w:ascii="Times New Roman" w:hAnsi="Times New Roman" w:cs="Times New Roman"/>
                <w:i/>
                <w:sz w:val="18"/>
                <w:szCs w:val="14"/>
                <w:lang w:val="ro-RO"/>
              </w:rPr>
              <w:t>operatori</w:t>
            </w:r>
            <w:r w:rsidR="00F4554A" w:rsidRPr="009C5F11">
              <w:rPr>
                <w:rFonts w:ascii="Times New Roman" w:hAnsi="Times New Roman" w:cs="Times New Roman"/>
                <w:i/>
                <w:sz w:val="18"/>
                <w:szCs w:val="14"/>
                <w:lang w:val="ro-RO"/>
              </w:rPr>
              <w:t xml:space="preserve">i de reţea </w:t>
            </w:r>
            <w:r w:rsidR="00336513" w:rsidRPr="009C5F11">
              <w:rPr>
                <w:rFonts w:ascii="Times New Roman" w:hAnsi="Times New Roman" w:cs="Times New Roman"/>
                <w:i/>
                <w:sz w:val="18"/>
                <w:szCs w:val="14"/>
                <w:lang w:val="ro-RO"/>
              </w:rPr>
              <w:t>în vederea prestării</w:t>
            </w:r>
            <w:r w:rsidR="00F4554A" w:rsidRPr="009C5F11">
              <w:rPr>
                <w:rFonts w:ascii="Times New Roman" w:hAnsi="Times New Roman" w:cs="Times New Roman"/>
                <w:i/>
                <w:sz w:val="18"/>
                <w:szCs w:val="14"/>
                <w:lang w:val="ro-RO"/>
              </w:rPr>
              <w:t xml:space="preserve"> servicii</w:t>
            </w:r>
            <w:r w:rsidR="00336513" w:rsidRPr="009C5F11">
              <w:rPr>
                <w:rFonts w:ascii="Times New Roman" w:hAnsi="Times New Roman" w:cs="Times New Roman"/>
                <w:i/>
                <w:sz w:val="18"/>
                <w:szCs w:val="14"/>
                <w:lang w:val="ro-RO"/>
              </w:rPr>
              <w:t>lor</w:t>
            </w:r>
            <w:r w:rsidR="00F4554A" w:rsidRPr="009C5F11">
              <w:rPr>
                <w:rFonts w:ascii="Times New Roman" w:hAnsi="Times New Roman" w:cs="Times New Roman"/>
                <w:i/>
                <w:sz w:val="18"/>
                <w:szCs w:val="14"/>
                <w:lang w:val="ro-RO"/>
              </w:rPr>
              <w:t xml:space="preserve"> de sistem</w:t>
            </w:r>
            <w:r w:rsidR="003822B8" w:rsidRPr="009C5F11">
              <w:rPr>
                <w:rFonts w:ascii="Times New Roman" w:hAnsi="Times New Roman" w:cs="Times New Roman"/>
                <w:i/>
                <w:sz w:val="18"/>
                <w:szCs w:val="14"/>
                <w:lang w:val="ro-RO"/>
              </w:rPr>
              <w:t xml:space="preserve"> </w:t>
            </w:r>
            <w:r w:rsidR="00F4554A" w:rsidRPr="009C5F11">
              <w:rPr>
                <w:rFonts w:ascii="Times New Roman" w:hAnsi="Times New Roman" w:cs="Times New Roman"/>
                <w:i/>
                <w:sz w:val="18"/>
                <w:szCs w:val="14"/>
                <w:lang w:val="ro-RO"/>
              </w:rPr>
              <w:t>utilizatorilor de reţea,</w:t>
            </w:r>
            <w:r w:rsidR="003822B8" w:rsidRPr="009C5F11">
              <w:rPr>
                <w:rFonts w:ascii="Times New Roman" w:hAnsi="Times New Roman" w:cs="Times New Roman"/>
                <w:i/>
                <w:sz w:val="18"/>
                <w:szCs w:val="14"/>
                <w:lang w:val="ro-RO"/>
              </w:rPr>
              <w:t xml:space="preserve"> permi</w:t>
            </w:r>
            <w:r w:rsidR="00F4554A" w:rsidRPr="009C5F11">
              <w:rPr>
                <w:rFonts w:ascii="Times New Roman" w:hAnsi="Times New Roman" w:cs="Times New Roman"/>
                <w:i/>
                <w:sz w:val="18"/>
                <w:szCs w:val="14"/>
                <w:lang w:val="ro-RO"/>
              </w:rPr>
              <w:t xml:space="preserve">ţându-le să </w:t>
            </w:r>
            <w:r w:rsidR="003822B8" w:rsidRPr="009C5F11">
              <w:rPr>
                <w:rFonts w:ascii="Times New Roman" w:hAnsi="Times New Roman" w:cs="Times New Roman"/>
                <w:i/>
                <w:sz w:val="18"/>
                <w:szCs w:val="14"/>
                <w:lang w:val="ro-RO"/>
              </w:rPr>
              <w:t>implement</w:t>
            </w:r>
            <w:r w:rsidR="00F4554A" w:rsidRPr="009C5F11">
              <w:rPr>
                <w:rFonts w:ascii="Times New Roman" w:hAnsi="Times New Roman" w:cs="Times New Roman"/>
                <w:i/>
                <w:sz w:val="18"/>
                <w:szCs w:val="14"/>
                <w:lang w:val="ro-RO"/>
              </w:rPr>
              <w:t>eze</w:t>
            </w:r>
            <w:r w:rsidR="003822B8" w:rsidRPr="009C5F11">
              <w:rPr>
                <w:rFonts w:ascii="Times New Roman" w:hAnsi="Times New Roman" w:cs="Times New Roman"/>
                <w:i/>
                <w:sz w:val="18"/>
                <w:szCs w:val="14"/>
                <w:lang w:val="ro-RO"/>
              </w:rPr>
              <w:t xml:space="preserve"> </w:t>
            </w:r>
            <w:r w:rsidR="00336513" w:rsidRPr="009C5F11">
              <w:rPr>
                <w:rFonts w:ascii="Times New Roman" w:hAnsi="Times New Roman" w:cs="Times New Roman"/>
                <w:i/>
                <w:sz w:val="18"/>
                <w:szCs w:val="14"/>
                <w:lang w:val="ro-RO"/>
              </w:rPr>
              <w:t xml:space="preserve">măsuri de îmbunătăţire a </w:t>
            </w:r>
            <w:r w:rsidR="000C7BEC" w:rsidRPr="009C5F11">
              <w:rPr>
                <w:rFonts w:ascii="Times New Roman" w:hAnsi="Times New Roman" w:cs="Times New Roman"/>
                <w:i/>
                <w:sz w:val="18"/>
                <w:szCs w:val="14"/>
                <w:lang w:val="ro-RO"/>
              </w:rPr>
              <w:t>eficienţ</w:t>
            </w:r>
            <w:r w:rsidR="00336513" w:rsidRPr="009C5F11">
              <w:rPr>
                <w:rFonts w:ascii="Times New Roman" w:hAnsi="Times New Roman" w:cs="Times New Roman"/>
                <w:i/>
                <w:sz w:val="18"/>
                <w:szCs w:val="14"/>
                <w:lang w:val="ro-RO"/>
              </w:rPr>
              <w:t>ei</w:t>
            </w:r>
            <w:r w:rsidR="000C7BEC" w:rsidRPr="009C5F11">
              <w:rPr>
                <w:rFonts w:ascii="Times New Roman" w:hAnsi="Times New Roman" w:cs="Times New Roman"/>
                <w:i/>
                <w:sz w:val="18"/>
                <w:szCs w:val="14"/>
                <w:lang w:val="ro-RO"/>
              </w:rPr>
              <w:t xml:space="preserve"> energetic</w:t>
            </w:r>
            <w:r w:rsidR="00336513" w:rsidRPr="009C5F11">
              <w:rPr>
                <w:rFonts w:ascii="Times New Roman" w:hAnsi="Times New Roman" w:cs="Times New Roman"/>
                <w:i/>
                <w:sz w:val="18"/>
                <w:szCs w:val="14"/>
                <w:lang w:val="ro-RO"/>
              </w:rPr>
              <w:t>e</w:t>
            </w:r>
            <w:r w:rsidR="003822B8" w:rsidRPr="009C5F11">
              <w:rPr>
                <w:rFonts w:ascii="Times New Roman" w:hAnsi="Times New Roman" w:cs="Times New Roman"/>
                <w:i/>
                <w:sz w:val="18"/>
                <w:szCs w:val="14"/>
                <w:lang w:val="ro-RO"/>
              </w:rPr>
              <w:t xml:space="preserve"> </w:t>
            </w:r>
            <w:r w:rsidR="00321CD5" w:rsidRPr="009C5F11">
              <w:rPr>
                <w:rFonts w:ascii="Times New Roman" w:hAnsi="Times New Roman" w:cs="Times New Roman"/>
                <w:i/>
                <w:sz w:val="18"/>
                <w:szCs w:val="14"/>
                <w:lang w:val="ro-RO"/>
              </w:rPr>
              <w:t xml:space="preserve">în </w:t>
            </w:r>
            <w:r w:rsidR="003822B8" w:rsidRPr="009C5F11">
              <w:rPr>
                <w:rFonts w:ascii="Times New Roman" w:hAnsi="Times New Roman" w:cs="Times New Roman"/>
                <w:i/>
                <w:sz w:val="18"/>
                <w:szCs w:val="14"/>
                <w:lang w:val="ro-RO"/>
              </w:rPr>
              <w:t>context</w:t>
            </w:r>
            <w:r w:rsidR="00F4554A" w:rsidRPr="009C5F11">
              <w:rPr>
                <w:rFonts w:ascii="Times New Roman" w:hAnsi="Times New Roman" w:cs="Times New Roman"/>
                <w:i/>
                <w:sz w:val="18"/>
                <w:szCs w:val="14"/>
                <w:lang w:val="ro-RO"/>
              </w:rPr>
              <w:t>ul valorificării continue a reţelelor inteligente</w:t>
            </w:r>
            <w:r w:rsidR="003822B8" w:rsidRPr="009C5F11">
              <w:rPr>
                <w:rFonts w:ascii="Times New Roman" w:hAnsi="Times New Roman" w:cs="Times New Roman"/>
                <w:i/>
                <w:sz w:val="18"/>
                <w:szCs w:val="14"/>
                <w:lang w:val="ro-RO"/>
              </w:rPr>
              <w:t>.</w:t>
            </w:r>
          </w:p>
        </w:tc>
        <w:tc>
          <w:tcPr>
            <w:tcW w:w="619" w:type="pct"/>
            <w:shd w:val="clear" w:color="auto" w:fill="auto"/>
          </w:tcPr>
          <w:p w14:paraId="5B20B0B8" w14:textId="77777777" w:rsidR="003822B8" w:rsidRPr="009C5F11" w:rsidRDefault="003822B8"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15.10.2017</w:t>
            </w:r>
          </w:p>
        </w:tc>
        <w:tc>
          <w:tcPr>
            <w:tcW w:w="1097" w:type="pct"/>
            <w:vMerge w:val="restart"/>
          </w:tcPr>
          <w:p w14:paraId="10285FC2" w14:textId="77777777" w:rsidR="003822B8" w:rsidRPr="009C5F11" w:rsidRDefault="00A01856"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Actualizarea</w:t>
            </w:r>
            <w:r w:rsidR="003822B8" w:rsidRPr="009C5F11">
              <w:rPr>
                <w:rFonts w:ascii="Times New Roman" w:hAnsi="Times New Roman" w:cs="Times New Roman"/>
                <w:i/>
                <w:sz w:val="18"/>
                <w:szCs w:val="14"/>
                <w:lang w:val="ro-RO"/>
              </w:rPr>
              <w:t xml:space="preserve"> </w:t>
            </w:r>
            <w:r w:rsidR="00B66B76" w:rsidRPr="009C5F11">
              <w:rPr>
                <w:rFonts w:ascii="Times New Roman" w:hAnsi="Times New Roman" w:cs="Times New Roman"/>
                <w:i/>
                <w:sz w:val="18"/>
                <w:szCs w:val="14"/>
                <w:lang w:val="ro-RO"/>
              </w:rPr>
              <w:t>legislaţiei privind</w:t>
            </w:r>
            <w:r w:rsidR="003826B8" w:rsidRPr="009C5F11">
              <w:rPr>
                <w:rFonts w:ascii="Times New Roman" w:hAnsi="Times New Roman" w:cs="Times New Roman"/>
                <w:i/>
                <w:sz w:val="18"/>
                <w:szCs w:val="14"/>
                <w:lang w:val="ro-RO"/>
              </w:rPr>
              <w:t xml:space="preserve"> </w:t>
            </w:r>
            <w:r w:rsidR="00334259" w:rsidRPr="009C5F11">
              <w:rPr>
                <w:rFonts w:ascii="Times New Roman" w:hAnsi="Times New Roman" w:cs="Times New Roman"/>
                <w:i/>
                <w:sz w:val="18"/>
                <w:szCs w:val="14"/>
                <w:lang w:val="ro-RO"/>
              </w:rPr>
              <w:t>energia electrică</w:t>
            </w:r>
            <w:r w:rsidR="00321CD5" w:rsidRPr="009C5F11">
              <w:rPr>
                <w:rFonts w:ascii="Times New Roman" w:hAnsi="Times New Roman" w:cs="Times New Roman"/>
                <w:i/>
                <w:sz w:val="18"/>
                <w:szCs w:val="14"/>
                <w:lang w:val="ro-RO"/>
              </w:rPr>
              <w:t xml:space="preserve"> şi </w:t>
            </w:r>
            <w:r w:rsidR="003822B8" w:rsidRPr="009C5F11">
              <w:rPr>
                <w:rFonts w:ascii="Times New Roman" w:hAnsi="Times New Roman" w:cs="Times New Roman"/>
                <w:i/>
                <w:sz w:val="18"/>
                <w:szCs w:val="14"/>
                <w:lang w:val="ro-RO"/>
              </w:rPr>
              <w:t>ga</w:t>
            </w:r>
            <w:r w:rsidR="00B66B76" w:rsidRPr="009C5F11">
              <w:rPr>
                <w:rFonts w:ascii="Times New Roman" w:hAnsi="Times New Roman" w:cs="Times New Roman"/>
                <w:i/>
                <w:sz w:val="18"/>
                <w:szCs w:val="14"/>
                <w:lang w:val="ro-RO"/>
              </w:rPr>
              <w:t xml:space="preserve">zele naturale cu </w:t>
            </w:r>
            <w:r w:rsidR="00532A33" w:rsidRPr="009C5F11">
              <w:rPr>
                <w:rFonts w:ascii="Times New Roman" w:hAnsi="Times New Roman" w:cs="Times New Roman"/>
                <w:i/>
                <w:sz w:val="18"/>
                <w:szCs w:val="14"/>
                <w:lang w:val="ro-RO"/>
              </w:rPr>
              <w:t>implementarea</w:t>
            </w:r>
            <w:r w:rsidR="003822B8" w:rsidRPr="009C5F11">
              <w:rPr>
                <w:rFonts w:ascii="Times New Roman" w:hAnsi="Times New Roman" w:cs="Times New Roman"/>
                <w:i/>
                <w:sz w:val="18"/>
                <w:szCs w:val="14"/>
                <w:lang w:val="ro-RO"/>
              </w:rPr>
              <w:t xml:space="preserve"> </w:t>
            </w:r>
            <w:r w:rsidR="00B66B76" w:rsidRPr="009C5F11">
              <w:rPr>
                <w:rFonts w:ascii="Times New Roman" w:hAnsi="Times New Roman" w:cs="Times New Roman"/>
                <w:i/>
                <w:sz w:val="18"/>
                <w:szCs w:val="14"/>
                <w:lang w:val="ro-RO"/>
              </w:rPr>
              <w:t xml:space="preserve">dispoziţiilor </w:t>
            </w:r>
            <w:r w:rsidR="003822B8" w:rsidRPr="009C5F11">
              <w:rPr>
                <w:rFonts w:ascii="Times New Roman" w:hAnsi="Times New Roman" w:cs="Times New Roman"/>
                <w:i/>
                <w:sz w:val="18"/>
                <w:szCs w:val="14"/>
                <w:lang w:val="ro-RO"/>
              </w:rPr>
              <w:t>specific</w:t>
            </w:r>
            <w:r w:rsidR="00B66B76" w:rsidRPr="009C5F11">
              <w:rPr>
                <w:rFonts w:ascii="Times New Roman" w:hAnsi="Times New Roman" w:cs="Times New Roman"/>
                <w:i/>
                <w:sz w:val="18"/>
                <w:szCs w:val="14"/>
                <w:lang w:val="ro-RO"/>
              </w:rPr>
              <w:t>e</w:t>
            </w:r>
            <w:r w:rsidR="003822B8" w:rsidRPr="009C5F11">
              <w:rPr>
                <w:rFonts w:ascii="Times New Roman" w:hAnsi="Times New Roman" w:cs="Times New Roman"/>
                <w:i/>
                <w:sz w:val="18"/>
                <w:szCs w:val="14"/>
                <w:lang w:val="ro-RO"/>
              </w:rPr>
              <w:t xml:space="preserve"> </w:t>
            </w:r>
            <w:r w:rsidR="00147585" w:rsidRPr="009C5F11">
              <w:rPr>
                <w:rFonts w:ascii="Times New Roman" w:hAnsi="Times New Roman" w:cs="Times New Roman"/>
                <w:i/>
                <w:sz w:val="18"/>
                <w:szCs w:val="14"/>
                <w:lang w:val="ro-RO"/>
              </w:rPr>
              <w:t>din Directivele</w:t>
            </w:r>
            <w:r w:rsidR="003822B8" w:rsidRPr="009C5F11">
              <w:rPr>
                <w:rFonts w:ascii="Times New Roman" w:hAnsi="Times New Roman" w:cs="Times New Roman"/>
                <w:i/>
                <w:sz w:val="18"/>
                <w:szCs w:val="14"/>
                <w:lang w:val="ro-RO"/>
              </w:rPr>
              <w:t xml:space="preserve"> 2009/72</w:t>
            </w:r>
            <w:r w:rsidR="000A4CC7" w:rsidRPr="009C5F11">
              <w:rPr>
                <w:rFonts w:ascii="Times New Roman" w:hAnsi="Times New Roman" w:cs="Times New Roman"/>
                <w:i/>
                <w:sz w:val="18"/>
                <w:szCs w:val="14"/>
                <w:lang w:val="ro-RO"/>
              </w:rPr>
              <w:t>/CE</w:t>
            </w:r>
            <w:r w:rsidR="003822B8" w:rsidRPr="009C5F11">
              <w:rPr>
                <w:rFonts w:ascii="Times New Roman" w:hAnsi="Times New Roman" w:cs="Times New Roman"/>
                <w:i/>
                <w:sz w:val="18"/>
                <w:szCs w:val="14"/>
                <w:lang w:val="ro-RO"/>
              </w:rPr>
              <w:t>, 2009/73</w:t>
            </w:r>
            <w:r w:rsidR="000A4CC7" w:rsidRPr="009C5F11">
              <w:rPr>
                <w:rFonts w:ascii="Times New Roman" w:hAnsi="Times New Roman" w:cs="Times New Roman"/>
                <w:i/>
                <w:sz w:val="18"/>
                <w:szCs w:val="14"/>
                <w:lang w:val="ro-RO"/>
              </w:rPr>
              <w:t>/CE</w:t>
            </w:r>
            <w:r w:rsidR="00321CD5" w:rsidRPr="009C5F11">
              <w:rPr>
                <w:rFonts w:ascii="Times New Roman" w:hAnsi="Times New Roman" w:cs="Times New Roman"/>
                <w:i/>
                <w:sz w:val="18"/>
                <w:szCs w:val="14"/>
                <w:lang w:val="ro-RO"/>
              </w:rPr>
              <w:t xml:space="preserve"> şi </w:t>
            </w:r>
            <w:r w:rsidR="00CB011F" w:rsidRPr="009C5F11">
              <w:rPr>
                <w:rFonts w:ascii="Times New Roman" w:hAnsi="Times New Roman" w:cs="Times New Roman"/>
                <w:i/>
                <w:sz w:val="18"/>
                <w:szCs w:val="14"/>
                <w:lang w:val="ro-RO"/>
              </w:rPr>
              <w:t>DEE</w:t>
            </w:r>
            <w:r w:rsidR="00147585" w:rsidRPr="009C5F11">
              <w:rPr>
                <w:rFonts w:ascii="Times New Roman" w:hAnsi="Times New Roman" w:cs="Times New Roman"/>
                <w:i/>
                <w:sz w:val="18"/>
                <w:szCs w:val="14"/>
                <w:lang w:val="ro-RO"/>
              </w:rPr>
              <w:t>.</w:t>
            </w:r>
          </w:p>
          <w:p w14:paraId="77EE51F1" w14:textId="77777777" w:rsidR="003822B8" w:rsidRPr="009C5F11" w:rsidRDefault="003822B8" w:rsidP="00147585">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ANRE </w:t>
            </w:r>
            <w:r w:rsidR="00147585" w:rsidRPr="009C5F11">
              <w:rPr>
                <w:rFonts w:ascii="Times New Roman" w:hAnsi="Times New Roman" w:cs="Times New Roman"/>
                <w:i/>
                <w:sz w:val="18"/>
                <w:szCs w:val="14"/>
                <w:lang w:val="ro-RO"/>
              </w:rPr>
              <w:t xml:space="preserve">publică </w:t>
            </w:r>
            <w:r w:rsidR="00721C1B" w:rsidRPr="009C5F11">
              <w:rPr>
                <w:rFonts w:ascii="Times New Roman" w:hAnsi="Times New Roman" w:cs="Times New Roman"/>
                <w:i/>
                <w:sz w:val="18"/>
                <w:szCs w:val="14"/>
                <w:lang w:val="ro-RO"/>
              </w:rPr>
              <w:t>regulamentul</w:t>
            </w:r>
            <w:r w:rsidR="00147585" w:rsidRPr="009C5F11">
              <w:rPr>
                <w:rFonts w:ascii="Times New Roman" w:hAnsi="Times New Roman" w:cs="Times New Roman"/>
                <w:i/>
                <w:sz w:val="18"/>
                <w:szCs w:val="14"/>
                <w:lang w:val="ro-RO"/>
              </w:rPr>
              <w:t xml:space="preserve"> de </w:t>
            </w:r>
            <w:r w:rsidRPr="009C5F11">
              <w:rPr>
                <w:rFonts w:ascii="Times New Roman" w:hAnsi="Times New Roman" w:cs="Times New Roman"/>
                <w:i/>
                <w:sz w:val="18"/>
                <w:szCs w:val="14"/>
                <w:lang w:val="ro-RO"/>
              </w:rPr>
              <w:lastRenderedPageBreak/>
              <w:t>implement</w:t>
            </w:r>
            <w:r w:rsidR="00147585" w:rsidRPr="009C5F11">
              <w:rPr>
                <w:rFonts w:ascii="Times New Roman" w:hAnsi="Times New Roman" w:cs="Times New Roman"/>
                <w:i/>
                <w:sz w:val="18"/>
                <w:szCs w:val="14"/>
                <w:lang w:val="ro-RO"/>
              </w:rPr>
              <w:t xml:space="preserve">are. </w:t>
            </w:r>
          </w:p>
        </w:tc>
        <w:tc>
          <w:tcPr>
            <w:tcW w:w="1141" w:type="pct"/>
            <w:vMerge w:val="restart"/>
            <w:shd w:val="clear" w:color="auto" w:fill="auto"/>
          </w:tcPr>
          <w:p w14:paraId="0CCA7ACC" w14:textId="77777777" w:rsidR="003822B8" w:rsidRPr="009C5F11" w:rsidRDefault="008F06C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Actualmente</w:t>
            </w:r>
            <w:r w:rsidR="00147585" w:rsidRPr="009C5F11">
              <w:rPr>
                <w:rFonts w:ascii="Times New Roman" w:hAnsi="Times New Roman" w:cs="Times New Roman"/>
                <w:i/>
                <w:sz w:val="18"/>
                <w:szCs w:val="14"/>
                <w:lang w:val="ro-RO"/>
              </w:rPr>
              <w:t>,</w:t>
            </w:r>
            <w:r w:rsidR="003822B8" w:rsidRPr="009C5F11">
              <w:rPr>
                <w:rFonts w:ascii="Times New Roman" w:hAnsi="Times New Roman" w:cs="Times New Roman"/>
                <w:i/>
                <w:sz w:val="18"/>
                <w:szCs w:val="14"/>
                <w:lang w:val="ro-RO"/>
              </w:rPr>
              <w:t xml:space="preserve"> </w:t>
            </w:r>
            <w:r w:rsidR="00147585" w:rsidRPr="009C5F11">
              <w:rPr>
                <w:rFonts w:ascii="Times New Roman" w:hAnsi="Times New Roman" w:cs="Times New Roman"/>
                <w:i/>
                <w:sz w:val="18"/>
                <w:szCs w:val="14"/>
                <w:lang w:val="ro-RO"/>
              </w:rPr>
              <w:t>legislaţia privind energia electrică şi gazele naturale nu</w:t>
            </w:r>
            <w:r w:rsidR="003822B8" w:rsidRPr="009C5F11">
              <w:rPr>
                <w:rFonts w:ascii="Times New Roman" w:hAnsi="Times New Roman" w:cs="Times New Roman"/>
                <w:i/>
                <w:sz w:val="18"/>
                <w:szCs w:val="14"/>
                <w:lang w:val="ro-RO"/>
              </w:rPr>
              <w:t xml:space="preserve"> implement</w:t>
            </w:r>
            <w:r w:rsidR="00147585" w:rsidRPr="009C5F11">
              <w:rPr>
                <w:rFonts w:ascii="Times New Roman" w:hAnsi="Times New Roman" w:cs="Times New Roman"/>
                <w:i/>
                <w:sz w:val="18"/>
                <w:szCs w:val="14"/>
                <w:lang w:val="ro-RO"/>
              </w:rPr>
              <w:t>ează integral toate cerinţele.</w:t>
            </w:r>
          </w:p>
          <w:p w14:paraId="4ED59B7B" w14:textId="77777777" w:rsidR="003822B8" w:rsidRPr="009C5F11" w:rsidRDefault="00147585" w:rsidP="00147585">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w:t>
            </w:r>
            <w:r w:rsidR="00105D5C" w:rsidRPr="009C5F11">
              <w:rPr>
                <w:rFonts w:ascii="Times New Roman" w:hAnsi="Times New Roman" w:cs="Times New Roman"/>
                <w:i/>
                <w:sz w:val="18"/>
                <w:szCs w:val="14"/>
                <w:lang w:val="ro-RO"/>
              </w:rPr>
              <w:t>ăsura</w:t>
            </w:r>
            <w:r w:rsidRPr="009C5F11">
              <w:rPr>
                <w:rFonts w:ascii="Times New Roman" w:hAnsi="Times New Roman" w:cs="Times New Roman"/>
                <w:i/>
                <w:sz w:val="18"/>
                <w:szCs w:val="14"/>
                <w:lang w:val="ro-RO"/>
              </w:rPr>
              <w:t xml:space="preserve"> specifică</w:t>
            </w:r>
            <w:r w:rsidR="003822B8" w:rsidRPr="009C5F11">
              <w:rPr>
                <w:rFonts w:ascii="Times New Roman" w:hAnsi="Times New Roman" w:cs="Times New Roman"/>
                <w:i/>
                <w:sz w:val="18"/>
                <w:szCs w:val="14"/>
                <w:lang w:val="ro-RO"/>
              </w:rPr>
              <w:t xml:space="preserve"> H2 “</w:t>
            </w:r>
            <w:r w:rsidR="006A096E" w:rsidRPr="009C5F11">
              <w:rPr>
                <w:rFonts w:ascii="Times New Roman" w:hAnsi="Times New Roman" w:cs="Times New Roman"/>
                <w:i/>
                <w:sz w:val="18"/>
                <w:szCs w:val="14"/>
                <w:lang w:val="ro-RO"/>
              </w:rPr>
              <w:t>Actualizarea şi adoptarea cadrului juridic</w:t>
            </w:r>
            <w:r w:rsidR="003822B8" w:rsidRPr="009C5F11">
              <w:rPr>
                <w:rFonts w:ascii="Times New Roman" w:hAnsi="Times New Roman" w:cs="Times New Roman"/>
                <w:i/>
                <w:sz w:val="18"/>
                <w:szCs w:val="14"/>
                <w:lang w:val="ro-RO"/>
              </w:rPr>
              <w:t xml:space="preserve"> </w:t>
            </w:r>
            <w:r w:rsidR="006A096E" w:rsidRPr="009C5F11">
              <w:rPr>
                <w:rFonts w:ascii="Times New Roman" w:hAnsi="Times New Roman" w:cs="Times New Roman"/>
                <w:i/>
                <w:sz w:val="18"/>
                <w:szCs w:val="14"/>
                <w:lang w:val="ro-RO"/>
              </w:rPr>
              <w:t xml:space="preserve">în vederea asigurării punerii în aplicare a Directivei privind eficienţa energetică şi a Legii cu </w:t>
            </w:r>
            <w:r w:rsidR="006A096E" w:rsidRPr="009C5F11">
              <w:rPr>
                <w:rFonts w:ascii="Times New Roman" w:hAnsi="Times New Roman" w:cs="Times New Roman"/>
                <w:i/>
                <w:sz w:val="18"/>
                <w:szCs w:val="14"/>
                <w:lang w:val="ro-RO"/>
              </w:rPr>
              <w:lastRenderedPageBreak/>
              <w:t>privire la eficienţa energetică</w:t>
            </w:r>
            <w:r w:rsidR="003822B8"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este inclusă în</w:t>
            </w:r>
            <w:r w:rsidR="003822B8" w:rsidRPr="009C5F11">
              <w:rPr>
                <w:rFonts w:ascii="Times New Roman" w:hAnsi="Times New Roman" w:cs="Times New Roman"/>
                <w:i/>
                <w:sz w:val="18"/>
                <w:szCs w:val="14"/>
                <w:lang w:val="ro-RO"/>
              </w:rPr>
              <w:t xml:space="preserve"> </w:t>
            </w:r>
            <w:r w:rsidR="00872DC2" w:rsidRPr="009C5F11">
              <w:rPr>
                <w:rFonts w:ascii="Times New Roman" w:hAnsi="Times New Roman" w:cs="Times New Roman"/>
                <w:i/>
                <w:sz w:val="18"/>
                <w:szCs w:val="14"/>
                <w:lang w:val="ro-RO"/>
              </w:rPr>
              <w:t>PNAEE</w:t>
            </w:r>
            <w:r w:rsidR="003822B8" w:rsidRPr="009C5F11">
              <w:rPr>
                <w:rFonts w:ascii="Times New Roman" w:hAnsi="Times New Roman" w:cs="Times New Roman"/>
                <w:i/>
                <w:sz w:val="18"/>
                <w:szCs w:val="14"/>
                <w:lang w:val="ro-RO"/>
              </w:rPr>
              <w:t xml:space="preserve"> 2016-2018 </w:t>
            </w:r>
            <w:r w:rsidRPr="009C5F11">
              <w:rPr>
                <w:rFonts w:ascii="Times New Roman" w:hAnsi="Times New Roman" w:cs="Times New Roman"/>
                <w:i/>
                <w:sz w:val="18"/>
                <w:szCs w:val="14"/>
                <w:lang w:val="ro-RO"/>
              </w:rPr>
              <w:t xml:space="preserve">pentru a elimina această lacună. </w:t>
            </w:r>
          </w:p>
        </w:tc>
        <w:tc>
          <w:tcPr>
            <w:tcW w:w="438" w:type="pct"/>
            <w:vMerge w:val="restart"/>
            <w:shd w:val="clear" w:color="auto" w:fill="auto"/>
          </w:tcPr>
          <w:p w14:paraId="73BAA070" w14:textId="77777777" w:rsidR="003822B8" w:rsidRPr="009C5F11" w:rsidRDefault="00421FA7"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ME</w:t>
            </w:r>
          </w:p>
          <w:p w14:paraId="59A9D1F6" w14:textId="77777777" w:rsidR="003822B8" w:rsidRPr="009C5F11" w:rsidRDefault="003822B8"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ANRE</w:t>
            </w:r>
          </w:p>
          <w:p w14:paraId="62E8AC26" w14:textId="77777777" w:rsidR="003822B8" w:rsidRPr="009C5F11" w:rsidRDefault="00AA0566"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AEE</w:t>
            </w:r>
          </w:p>
        </w:tc>
      </w:tr>
      <w:tr w:rsidR="00341E16" w:rsidRPr="009C5F11" w14:paraId="55D42E68" w14:textId="77777777" w:rsidTr="00B36674">
        <w:trPr>
          <w:trHeight w:val="1503"/>
        </w:trPr>
        <w:tc>
          <w:tcPr>
            <w:tcW w:w="216" w:type="pct"/>
            <w:vMerge/>
            <w:shd w:val="clear" w:color="auto" w:fill="auto"/>
          </w:tcPr>
          <w:p w14:paraId="756B73E5" w14:textId="77777777" w:rsidR="000E1376" w:rsidRPr="009C5F11" w:rsidRDefault="000E1376" w:rsidP="00430626">
            <w:pPr>
              <w:spacing w:before="120" w:after="120" w:line="240" w:lineRule="auto"/>
              <w:jc w:val="both"/>
              <w:rPr>
                <w:rFonts w:ascii="Times New Roman" w:hAnsi="Times New Roman" w:cs="Times New Roman"/>
                <w:i/>
                <w:sz w:val="18"/>
                <w:szCs w:val="14"/>
                <w:lang w:val="ro-RO"/>
              </w:rPr>
            </w:pPr>
          </w:p>
        </w:tc>
        <w:tc>
          <w:tcPr>
            <w:tcW w:w="514" w:type="pct"/>
            <w:vMerge/>
            <w:shd w:val="clear" w:color="auto" w:fill="auto"/>
          </w:tcPr>
          <w:p w14:paraId="364A0E21" w14:textId="77777777" w:rsidR="000E1376" w:rsidRPr="009C5F11" w:rsidRDefault="000E1376" w:rsidP="00430626">
            <w:pPr>
              <w:spacing w:before="120" w:after="120" w:line="240" w:lineRule="auto"/>
              <w:rPr>
                <w:rFonts w:ascii="Times New Roman" w:hAnsi="Times New Roman" w:cs="Times New Roman"/>
                <w:i/>
                <w:sz w:val="18"/>
                <w:szCs w:val="14"/>
                <w:lang w:val="ro-RO"/>
              </w:rPr>
            </w:pPr>
          </w:p>
        </w:tc>
        <w:tc>
          <w:tcPr>
            <w:tcW w:w="975" w:type="pct"/>
            <w:shd w:val="clear" w:color="auto" w:fill="auto"/>
          </w:tcPr>
          <w:p w14:paraId="520CDE3B" w14:textId="77777777" w:rsidR="000E1376" w:rsidRPr="009C5F11" w:rsidRDefault="00F7594D" w:rsidP="00336513">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Este în derulare evaluarea potenţialului de eficienţă energetică în infrastructura de furnizare a gazelor naturale şi energiei electrice, în special,</w:t>
            </w:r>
            <w:r w:rsidR="000E1376"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cu privire la</w:t>
            </w:r>
            <w:r w:rsidR="000E1376" w:rsidRPr="009C5F11">
              <w:rPr>
                <w:rFonts w:ascii="Times New Roman" w:hAnsi="Times New Roman" w:cs="Times New Roman"/>
                <w:i/>
                <w:sz w:val="18"/>
                <w:szCs w:val="14"/>
                <w:lang w:val="ro-RO"/>
              </w:rPr>
              <w:t xml:space="preserve"> </w:t>
            </w:r>
            <w:r w:rsidR="008F7BD5" w:rsidRPr="009C5F11">
              <w:rPr>
                <w:rFonts w:ascii="Times New Roman" w:hAnsi="Times New Roman" w:cs="Times New Roman"/>
                <w:i/>
                <w:sz w:val="18"/>
                <w:szCs w:val="14"/>
                <w:lang w:val="ro-RO"/>
              </w:rPr>
              <w:t>transport</w:t>
            </w:r>
            <w:r w:rsidR="000E1376" w:rsidRPr="009C5F11">
              <w:rPr>
                <w:rFonts w:ascii="Times New Roman" w:hAnsi="Times New Roman" w:cs="Times New Roman"/>
                <w:i/>
                <w:sz w:val="18"/>
                <w:szCs w:val="14"/>
                <w:lang w:val="ro-RO"/>
              </w:rPr>
              <w:t xml:space="preserve">, </w:t>
            </w:r>
            <w:r w:rsidR="008F7BD5" w:rsidRPr="009C5F11">
              <w:rPr>
                <w:rFonts w:ascii="Times New Roman" w:hAnsi="Times New Roman" w:cs="Times New Roman"/>
                <w:i/>
                <w:sz w:val="18"/>
                <w:szCs w:val="14"/>
                <w:lang w:val="ro-RO"/>
              </w:rPr>
              <w:t>distribuţie</w:t>
            </w:r>
            <w:r w:rsidR="000E1376"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gestionarea sarcinii</w:t>
            </w:r>
            <w:r w:rsidR="00321CD5"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şi inter-operabilitate, şi conectarea la instalaţiile de generare a energiei, inclusiv posibilităţile de acces ale generatoarelor micro de energie</w:t>
            </w:r>
            <w:r w:rsidR="000E1376" w:rsidRPr="009C5F11">
              <w:rPr>
                <w:rFonts w:ascii="Times New Roman" w:hAnsi="Times New Roman" w:cs="Times New Roman"/>
                <w:i/>
                <w:sz w:val="18"/>
                <w:szCs w:val="14"/>
                <w:lang w:val="ro-RO"/>
              </w:rPr>
              <w:t>;</w:t>
            </w:r>
          </w:p>
        </w:tc>
        <w:tc>
          <w:tcPr>
            <w:tcW w:w="619" w:type="pct"/>
            <w:vMerge w:val="restart"/>
            <w:shd w:val="clear" w:color="auto" w:fill="auto"/>
          </w:tcPr>
          <w:p w14:paraId="52B659E5" w14:textId="77777777" w:rsidR="000E1376" w:rsidRPr="009C5F11" w:rsidRDefault="000E1376" w:rsidP="003822B8">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15.10.2018</w:t>
            </w:r>
          </w:p>
          <w:p w14:paraId="38A38593" w14:textId="77777777" w:rsidR="000E1376" w:rsidRPr="009C5F11" w:rsidRDefault="000E1376" w:rsidP="00430626">
            <w:pPr>
              <w:spacing w:before="120" w:after="120" w:line="240" w:lineRule="auto"/>
              <w:jc w:val="both"/>
              <w:rPr>
                <w:rFonts w:ascii="Times New Roman" w:hAnsi="Times New Roman" w:cs="Times New Roman"/>
                <w:i/>
                <w:sz w:val="18"/>
                <w:szCs w:val="14"/>
                <w:lang w:val="ro-RO"/>
              </w:rPr>
            </w:pPr>
          </w:p>
        </w:tc>
        <w:tc>
          <w:tcPr>
            <w:tcW w:w="1097" w:type="pct"/>
            <w:vMerge/>
          </w:tcPr>
          <w:p w14:paraId="74483B01" w14:textId="77777777" w:rsidR="000E1376" w:rsidRPr="009C5F11" w:rsidRDefault="000E1376" w:rsidP="00430626">
            <w:pPr>
              <w:spacing w:before="120" w:after="120" w:line="240" w:lineRule="auto"/>
              <w:jc w:val="both"/>
              <w:rPr>
                <w:rFonts w:ascii="Times New Roman" w:hAnsi="Times New Roman" w:cs="Times New Roman"/>
                <w:i/>
                <w:sz w:val="18"/>
                <w:szCs w:val="14"/>
                <w:lang w:val="ro-RO"/>
              </w:rPr>
            </w:pPr>
          </w:p>
        </w:tc>
        <w:tc>
          <w:tcPr>
            <w:tcW w:w="1141" w:type="pct"/>
            <w:vMerge/>
            <w:shd w:val="clear" w:color="auto" w:fill="auto"/>
          </w:tcPr>
          <w:p w14:paraId="120C9711" w14:textId="77777777" w:rsidR="000E1376" w:rsidRPr="009C5F11" w:rsidRDefault="000E1376" w:rsidP="00430626">
            <w:pPr>
              <w:spacing w:before="120" w:after="120" w:line="240" w:lineRule="auto"/>
              <w:jc w:val="both"/>
              <w:rPr>
                <w:rFonts w:ascii="Times New Roman" w:hAnsi="Times New Roman" w:cs="Times New Roman"/>
                <w:i/>
                <w:sz w:val="18"/>
                <w:szCs w:val="14"/>
                <w:lang w:val="ro-RO"/>
              </w:rPr>
            </w:pPr>
          </w:p>
        </w:tc>
        <w:tc>
          <w:tcPr>
            <w:tcW w:w="438" w:type="pct"/>
            <w:vMerge/>
            <w:shd w:val="clear" w:color="auto" w:fill="auto"/>
          </w:tcPr>
          <w:p w14:paraId="080C2AD7" w14:textId="77777777" w:rsidR="000E1376" w:rsidRPr="009C5F11" w:rsidRDefault="000E1376" w:rsidP="00430626">
            <w:pPr>
              <w:spacing w:after="0" w:line="240" w:lineRule="auto"/>
              <w:jc w:val="both"/>
              <w:rPr>
                <w:rFonts w:ascii="Times New Roman" w:hAnsi="Times New Roman" w:cs="Times New Roman"/>
                <w:i/>
                <w:sz w:val="18"/>
                <w:szCs w:val="14"/>
                <w:lang w:val="ro-RO"/>
              </w:rPr>
            </w:pPr>
          </w:p>
        </w:tc>
      </w:tr>
      <w:tr w:rsidR="00341E16" w:rsidRPr="009C5F11" w14:paraId="6554A750" w14:textId="77777777" w:rsidTr="00732F30">
        <w:trPr>
          <w:trHeight w:val="1857"/>
        </w:trPr>
        <w:tc>
          <w:tcPr>
            <w:tcW w:w="216" w:type="pct"/>
            <w:vMerge/>
            <w:shd w:val="clear" w:color="auto" w:fill="auto"/>
          </w:tcPr>
          <w:p w14:paraId="48051D61" w14:textId="77777777" w:rsidR="000E1376" w:rsidRPr="009C5F11" w:rsidRDefault="000E1376" w:rsidP="00430626">
            <w:pPr>
              <w:spacing w:before="120" w:after="120" w:line="240" w:lineRule="auto"/>
              <w:jc w:val="both"/>
              <w:rPr>
                <w:rFonts w:ascii="Times New Roman" w:hAnsi="Times New Roman" w:cs="Times New Roman"/>
                <w:i/>
                <w:sz w:val="18"/>
                <w:szCs w:val="14"/>
                <w:lang w:val="ro-RO"/>
              </w:rPr>
            </w:pPr>
          </w:p>
        </w:tc>
        <w:tc>
          <w:tcPr>
            <w:tcW w:w="514" w:type="pct"/>
            <w:vMerge/>
            <w:shd w:val="clear" w:color="auto" w:fill="auto"/>
          </w:tcPr>
          <w:p w14:paraId="0744E4AA" w14:textId="77777777" w:rsidR="000E1376" w:rsidRPr="009C5F11" w:rsidRDefault="000E1376" w:rsidP="00430626">
            <w:pPr>
              <w:spacing w:before="120" w:after="120" w:line="240" w:lineRule="auto"/>
              <w:rPr>
                <w:rFonts w:ascii="Times New Roman" w:hAnsi="Times New Roman" w:cs="Times New Roman"/>
                <w:i/>
                <w:sz w:val="18"/>
                <w:szCs w:val="14"/>
                <w:lang w:val="ro-RO"/>
              </w:rPr>
            </w:pPr>
          </w:p>
        </w:tc>
        <w:tc>
          <w:tcPr>
            <w:tcW w:w="975" w:type="pct"/>
            <w:shd w:val="clear" w:color="auto" w:fill="auto"/>
          </w:tcPr>
          <w:p w14:paraId="7904F9BD" w14:textId="77777777" w:rsidR="000E1376" w:rsidRPr="009C5F11" w:rsidRDefault="00F7594D" w:rsidP="00F7594D">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Sunt identificate </w:t>
            </w:r>
            <w:r w:rsidR="00E10BE5" w:rsidRPr="009C5F11">
              <w:rPr>
                <w:rFonts w:ascii="Times New Roman" w:hAnsi="Times New Roman" w:cs="Times New Roman"/>
                <w:i/>
                <w:sz w:val="18"/>
                <w:szCs w:val="14"/>
                <w:lang w:val="ro-RO"/>
              </w:rPr>
              <w:t>măsuri</w:t>
            </w:r>
            <w:r w:rsidR="00321CD5"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concrete </w:t>
            </w:r>
            <w:r w:rsidR="00321CD5" w:rsidRPr="009C5F11">
              <w:rPr>
                <w:rFonts w:ascii="Times New Roman" w:hAnsi="Times New Roman" w:cs="Times New Roman"/>
                <w:i/>
                <w:sz w:val="18"/>
                <w:szCs w:val="14"/>
                <w:lang w:val="ro-RO"/>
              </w:rPr>
              <w:t xml:space="preserve">şi </w:t>
            </w:r>
            <w:r w:rsidR="004E138F" w:rsidRPr="009C5F11">
              <w:rPr>
                <w:rFonts w:ascii="Times New Roman" w:hAnsi="Times New Roman" w:cs="Times New Roman"/>
                <w:i/>
                <w:sz w:val="18"/>
                <w:szCs w:val="14"/>
                <w:lang w:val="ro-RO"/>
              </w:rPr>
              <w:t>investiţiile</w:t>
            </w:r>
            <w:r w:rsidR="000E1376" w:rsidRPr="009C5F11">
              <w:rPr>
                <w:rFonts w:ascii="Times New Roman" w:hAnsi="Times New Roman" w:cs="Times New Roman"/>
                <w:i/>
                <w:sz w:val="18"/>
                <w:szCs w:val="14"/>
                <w:lang w:val="ro-RO"/>
              </w:rPr>
              <w:t xml:space="preserve"> </w:t>
            </w:r>
            <w:r w:rsidR="00336513" w:rsidRPr="009C5F11">
              <w:rPr>
                <w:rFonts w:ascii="Times New Roman" w:hAnsi="Times New Roman" w:cs="Times New Roman"/>
                <w:i/>
                <w:sz w:val="18"/>
                <w:szCs w:val="14"/>
                <w:lang w:val="ro-RO"/>
              </w:rPr>
              <w:t xml:space="preserve">necesare </w:t>
            </w:r>
            <w:r w:rsidRPr="009C5F11">
              <w:rPr>
                <w:rFonts w:ascii="Times New Roman" w:hAnsi="Times New Roman" w:cs="Times New Roman"/>
                <w:i/>
                <w:sz w:val="18"/>
                <w:szCs w:val="14"/>
                <w:lang w:val="ro-RO"/>
              </w:rPr>
              <w:t>pentru</w:t>
            </w:r>
            <w:r w:rsidR="000E1376" w:rsidRPr="009C5F11">
              <w:rPr>
                <w:rFonts w:ascii="Times New Roman" w:hAnsi="Times New Roman" w:cs="Times New Roman"/>
                <w:i/>
                <w:sz w:val="18"/>
                <w:szCs w:val="14"/>
                <w:lang w:val="ro-RO"/>
              </w:rPr>
              <w:t xml:space="preserve"> introduc</w:t>
            </w:r>
            <w:r w:rsidRPr="009C5F11">
              <w:rPr>
                <w:rFonts w:ascii="Times New Roman" w:hAnsi="Times New Roman" w:cs="Times New Roman"/>
                <w:i/>
                <w:sz w:val="18"/>
                <w:szCs w:val="14"/>
                <w:lang w:val="ro-RO"/>
              </w:rPr>
              <w:t>erea</w:t>
            </w:r>
            <w:r w:rsidR="000E1376"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îmbunătăţirilor cost-eficace în materie de eficienţă energetică</w:t>
            </w:r>
            <w:r w:rsidR="00321CD5" w:rsidRPr="009C5F11">
              <w:rPr>
                <w:rFonts w:ascii="Times New Roman" w:hAnsi="Times New Roman" w:cs="Times New Roman"/>
                <w:i/>
                <w:sz w:val="18"/>
                <w:szCs w:val="14"/>
                <w:lang w:val="ro-RO"/>
              </w:rPr>
              <w:t xml:space="preserve"> în </w:t>
            </w:r>
            <w:r w:rsidRPr="009C5F11">
              <w:rPr>
                <w:rFonts w:ascii="Times New Roman" w:hAnsi="Times New Roman" w:cs="Times New Roman"/>
                <w:i/>
                <w:sz w:val="18"/>
                <w:szCs w:val="14"/>
                <w:lang w:val="ro-RO"/>
              </w:rPr>
              <w:t>infrastructura reţelei</w:t>
            </w:r>
            <w:r w:rsidR="000E1376"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stabilind un calendar al introducerii acestora. </w:t>
            </w:r>
          </w:p>
        </w:tc>
        <w:tc>
          <w:tcPr>
            <w:tcW w:w="619" w:type="pct"/>
            <w:vMerge/>
            <w:shd w:val="clear" w:color="auto" w:fill="auto"/>
          </w:tcPr>
          <w:p w14:paraId="4EEDB967" w14:textId="77777777" w:rsidR="000E1376" w:rsidRPr="009C5F11" w:rsidRDefault="000E1376" w:rsidP="00430626">
            <w:pPr>
              <w:spacing w:before="120" w:after="120" w:line="240" w:lineRule="auto"/>
              <w:jc w:val="both"/>
              <w:rPr>
                <w:rFonts w:ascii="Times New Roman" w:hAnsi="Times New Roman" w:cs="Times New Roman"/>
                <w:i/>
                <w:sz w:val="18"/>
                <w:szCs w:val="14"/>
                <w:lang w:val="ro-RO"/>
              </w:rPr>
            </w:pPr>
          </w:p>
        </w:tc>
        <w:tc>
          <w:tcPr>
            <w:tcW w:w="1097" w:type="pct"/>
            <w:vMerge/>
          </w:tcPr>
          <w:p w14:paraId="10EE7412" w14:textId="77777777" w:rsidR="000E1376" w:rsidRPr="009C5F11" w:rsidRDefault="000E1376" w:rsidP="00430626">
            <w:pPr>
              <w:spacing w:before="120" w:after="120" w:line="240" w:lineRule="auto"/>
              <w:jc w:val="both"/>
              <w:rPr>
                <w:rFonts w:ascii="Times New Roman" w:hAnsi="Times New Roman" w:cs="Times New Roman"/>
                <w:i/>
                <w:sz w:val="18"/>
                <w:szCs w:val="14"/>
                <w:lang w:val="ro-RO"/>
              </w:rPr>
            </w:pPr>
          </w:p>
        </w:tc>
        <w:tc>
          <w:tcPr>
            <w:tcW w:w="1141" w:type="pct"/>
            <w:vMerge/>
            <w:shd w:val="clear" w:color="auto" w:fill="auto"/>
          </w:tcPr>
          <w:p w14:paraId="26E78D3D" w14:textId="77777777" w:rsidR="000E1376" w:rsidRPr="009C5F11" w:rsidRDefault="000E1376" w:rsidP="00430626">
            <w:pPr>
              <w:spacing w:before="120" w:after="120" w:line="240" w:lineRule="auto"/>
              <w:jc w:val="both"/>
              <w:rPr>
                <w:rFonts w:ascii="Times New Roman" w:hAnsi="Times New Roman" w:cs="Times New Roman"/>
                <w:i/>
                <w:sz w:val="18"/>
                <w:szCs w:val="14"/>
                <w:lang w:val="ro-RO"/>
              </w:rPr>
            </w:pPr>
          </w:p>
        </w:tc>
        <w:tc>
          <w:tcPr>
            <w:tcW w:w="438" w:type="pct"/>
            <w:vMerge/>
            <w:shd w:val="clear" w:color="auto" w:fill="auto"/>
          </w:tcPr>
          <w:p w14:paraId="1C222791" w14:textId="77777777" w:rsidR="000E1376" w:rsidRPr="009C5F11" w:rsidRDefault="000E1376" w:rsidP="00430626">
            <w:pPr>
              <w:spacing w:after="0" w:line="240" w:lineRule="auto"/>
              <w:jc w:val="both"/>
              <w:rPr>
                <w:rFonts w:ascii="Times New Roman" w:hAnsi="Times New Roman" w:cs="Times New Roman"/>
                <w:i/>
                <w:sz w:val="18"/>
                <w:szCs w:val="14"/>
                <w:lang w:val="ro-RO"/>
              </w:rPr>
            </w:pPr>
          </w:p>
        </w:tc>
      </w:tr>
      <w:tr w:rsidR="00341E16" w:rsidRPr="009C5F11" w14:paraId="10E630D8" w14:textId="77777777" w:rsidTr="00B40DB5">
        <w:trPr>
          <w:trHeight w:val="795"/>
        </w:trPr>
        <w:tc>
          <w:tcPr>
            <w:tcW w:w="216" w:type="pct"/>
            <w:shd w:val="clear" w:color="auto" w:fill="auto"/>
          </w:tcPr>
          <w:p w14:paraId="7BA38665"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16</w:t>
            </w:r>
          </w:p>
        </w:tc>
        <w:tc>
          <w:tcPr>
            <w:tcW w:w="514" w:type="pct"/>
            <w:shd w:val="clear" w:color="auto" w:fill="auto"/>
          </w:tcPr>
          <w:p w14:paraId="4B67C4D4" w14:textId="77777777" w:rsidR="00BC2ED4" w:rsidRPr="009C5F11" w:rsidRDefault="00D15C6C"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Disponibilitatea schemelor de </w:t>
            </w:r>
            <w:r w:rsidR="00721C1B" w:rsidRPr="009C5F11">
              <w:rPr>
                <w:rFonts w:ascii="Times New Roman" w:hAnsi="Times New Roman" w:cs="Times New Roman"/>
                <w:i/>
                <w:sz w:val="18"/>
                <w:szCs w:val="14"/>
                <w:lang w:val="ro-RO"/>
              </w:rPr>
              <w:t>calificare</w:t>
            </w:r>
            <w:r w:rsidRPr="009C5F11">
              <w:rPr>
                <w:rFonts w:ascii="Times New Roman" w:hAnsi="Times New Roman" w:cs="Times New Roman"/>
                <w:i/>
                <w:sz w:val="18"/>
                <w:szCs w:val="14"/>
                <w:lang w:val="ro-RO"/>
              </w:rPr>
              <w:t>, acreditare şi certificare</w:t>
            </w:r>
          </w:p>
        </w:tc>
        <w:tc>
          <w:tcPr>
            <w:tcW w:w="975" w:type="pct"/>
            <w:shd w:val="clear" w:color="auto" w:fill="auto"/>
          </w:tcPr>
          <w:p w14:paraId="66F6E7D5" w14:textId="77777777" w:rsidR="00BC2ED4" w:rsidRPr="009C5F11" w:rsidRDefault="00F7594D" w:rsidP="00336513">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Schemele de certificare şi/sau acreditare</w:t>
            </w:r>
            <w:r w:rsidR="00BC2ED4" w:rsidRPr="009C5F11">
              <w:rPr>
                <w:rFonts w:ascii="Times New Roman" w:hAnsi="Times New Roman" w:cs="Times New Roman"/>
                <w:i/>
                <w:sz w:val="18"/>
                <w:szCs w:val="14"/>
                <w:lang w:val="ro-RO"/>
              </w:rPr>
              <w:t xml:space="preserve"> </w:t>
            </w:r>
            <w:r w:rsidR="000126A5" w:rsidRPr="009C5F11">
              <w:rPr>
                <w:rFonts w:ascii="Times New Roman" w:hAnsi="Times New Roman" w:cs="Times New Roman"/>
                <w:i/>
                <w:sz w:val="18"/>
                <w:szCs w:val="14"/>
                <w:lang w:val="ro-RO"/>
              </w:rPr>
              <w:t>şi/sau</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schemele de calificare echivalentă</w:t>
            </w:r>
            <w:r w:rsidR="00BC2ED4" w:rsidRPr="009C5F11">
              <w:rPr>
                <w:rFonts w:ascii="Times New Roman" w:hAnsi="Times New Roman" w:cs="Times New Roman"/>
                <w:i/>
                <w:sz w:val="18"/>
                <w:szCs w:val="14"/>
                <w:lang w:val="ro-RO"/>
              </w:rPr>
              <w:t xml:space="preserve">, </w:t>
            </w:r>
            <w:r w:rsidR="00AB1710" w:rsidRPr="009C5F11">
              <w:rPr>
                <w:rFonts w:ascii="Times New Roman" w:hAnsi="Times New Roman" w:cs="Times New Roman"/>
                <w:i/>
                <w:sz w:val="18"/>
                <w:szCs w:val="14"/>
                <w:lang w:val="ro-RO"/>
              </w:rPr>
              <w:t>inclusiv</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după caz</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programe</w:t>
            </w:r>
            <w:r w:rsidR="00336513" w:rsidRPr="009C5F11">
              <w:rPr>
                <w:rFonts w:ascii="Times New Roman" w:hAnsi="Times New Roman" w:cs="Times New Roman"/>
                <w:i/>
                <w:sz w:val="18"/>
                <w:szCs w:val="14"/>
                <w:lang w:val="ro-RO"/>
              </w:rPr>
              <w:t>le</w:t>
            </w:r>
            <w:r w:rsidRPr="009C5F11">
              <w:rPr>
                <w:rFonts w:ascii="Times New Roman" w:hAnsi="Times New Roman" w:cs="Times New Roman"/>
                <w:i/>
                <w:sz w:val="18"/>
                <w:szCs w:val="14"/>
                <w:lang w:val="ro-RO"/>
              </w:rPr>
              <w:t xml:space="preserve"> potrivite de instruire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devin </w:t>
            </w:r>
            <w:r w:rsidR="00336513" w:rsidRPr="009C5F11">
              <w:rPr>
                <w:rFonts w:ascii="Times New Roman" w:hAnsi="Times New Roman" w:cs="Times New Roman"/>
                <w:i/>
                <w:sz w:val="18"/>
                <w:szCs w:val="14"/>
                <w:lang w:val="ro-RO"/>
              </w:rPr>
              <w:t xml:space="preserve">disponibile </w:t>
            </w:r>
            <w:r w:rsidRPr="009C5F11">
              <w:rPr>
                <w:rFonts w:ascii="Times New Roman" w:hAnsi="Times New Roman" w:cs="Times New Roman"/>
                <w:i/>
                <w:sz w:val="18"/>
                <w:szCs w:val="14"/>
                <w:lang w:val="ro-RO"/>
              </w:rPr>
              <w:t xml:space="preserve">sau sunt </w:t>
            </w:r>
            <w:r w:rsidR="00336513" w:rsidRPr="009C5F11">
              <w:rPr>
                <w:rFonts w:ascii="Times New Roman" w:hAnsi="Times New Roman" w:cs="Times New Roman"/>
                <w:i/>
                <w:sz w:val="18"/>
                <w:szCs w:val="14"/>
                <w:lang w:val="ro-RO"/>
              </w:rPr>
              <w:t xml:space="preserve">deja </w:t>
            </w:r>
            <w:r w:rsidRPr="009C5F11">
              <w:rPr>
                <w:rFonts w:ascii="Times New Roman" w:hAnsi="Times New Roman" w:cs="Times New Roman"/>
                <w:i/>
                <w:sz w:val="18"/>
                <w:szCs w:val="14"/>
                <w:lang w:val="ro-RO"/>
              </w:rPr>
              <w:t>disponibile pentru furnizorii</w:t>
            </w:r>
            <w:r w:rsidR="00BC2ED4" w:rsidRPr="009C5F11">
              <w:rPr>
                <w:rFonts w:ascii="Times New Roman" w:hAnsi="Times New Roman" w:cs="Times New Roman"/>
                <w:i/>
                <w:sz w:val="18"/>
                <w:szCs w:val="14"/>
                <w:lang w:val="ro-RO"/>
              </w:rPr>
              <w:t xml:space="preserve"> </w:t>
            </w:r>
            <w:r w:rsidR="001221B7" w:rsidRPr="009C5F11">
              <w:rPr>
                <w:rFonts w:ascii="Times New Roman" w:hAnsi="Times New Roman" w:cs="Times New Roman"/>
                <w:i/>
                <w:sz w:val="18"/>
                <w:szCs w:val="14"/>
                <w:lang w:val="ro-RO"/>
              </w:rPr>
              <w:t>de servicii energetice</w:t>
            </w:r>
            <w:r w:rsidR="00BC2ED4" w:rsidRPr="009C5F11">
              <w:rPr>
                <w:rFonts w:ascii="Times New Roman" w:hAnsi="Times New Roman" w:cs="Times New Roman"/>
                <w:i/>
                <w:sz w:val="18"/>
                <w:szCs w:val="14"/>
                <w:lang w:val="ro-RO"/>
              </w:rPr>
              <w:t xml:space="preserve">, </w:t>
            </w:r>
            <w:r w:rsidR="00A07A79" w:rsidRPr="009C5F11">
              <w:rPr>
                <w:rFonts w:ascii="Times New Roman" w:hAnsi="Times New Roman" w:cs="Times New Roman"/>
                <w:i/>
                <w:sz w:val="18"/>
                <w:szCs w:val="14"/>
                <w:lang w:val="ro-RO"/>
              </w:rPr>
              <w:t>audit energetic</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manageri</w:t>
            </w:r>
            <w:r w:rsidR="00336513" w:rsidRPr="009C5F11">
              <w:rPr>
                <w:rFonts w:ascii="Times New Roman" w:hAnsi="Times New Roman" w:cs="Times New Roman"/>
                <w:i/>
                <w:sz w:val="18"/>
                <w:szCs w:val="14"/>
                <w:lang w:val="ro-RO"/>
              </w:rPr>
              <w:t>i</w:t>
            </w:r>
            <w:r w:rsidRPr="009C5F11">
              <w:rPr>
                <w:rFonts w:ascii="Times New Roman" w:hAnsi="Times New Roman" w:cs="Times New Roman"/>
                <w:i/>
                <w:sz w:val="18"/>
                <w:szCs w:val="14"/>
                <w:lang w:val="ro-RO"/>
              </w:rPr>
              <w:t xml:space="preserve"> energetici</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instalatori</w:t>
            </w:r>
            <w:r w:rsidR="00336513" w:rsidRPr="009C5F11">
              <w:rPr>
                <w:rFonts w:ascii="Times New Roman" w:hAnsi="Times New Roman" w:cs="Times New Roman"/>
                <w:i/>
                <w:sz w:val="18"/>
                <w:szCs w:val="14"/>
                <w:lang w:val="ro-RO"/>
              </w:rPr>
              <w:t>i</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de </w:t>
            </w:r>
            <w:r w:rsidRPr="009C5F11">
              <w:rPr>
                <w:rFonts w:ascii="Times New Roman" w:hAnsi="Times New Roman" w:cs="Times New Roman"/>
                <w:i/>
                <w:sz w:val="18"/>
                <w:szCs w:val="14"/>
                <w:lang w:val="ro-RO"/>
              </w:rPr>
              <w:lastRenderedPageBreak/>
              <w:t xml:space="preserve">elemente </w:t>
            </w:r>
            <w:r w:rsidR="00336513" w:rsidRPr="009C5F11">
              <w:rPr>
                <w:rFonts w:ascii="Times New Roman" w:hAnsi="Times New Roman" w:cs="Times New Roman"/>
                <w:i/>
                <w:sz w:val="18"/>
                <w:szCs w:val="14"/>
                <w:lang w:val="ro-RO"/>
              </w:rPr>
              <w:t>edilitare</w:t>
            </w:r>
            <w:r w:rsidRPr="009C5F11">
              <w:rPr>
                <w:rFonts w:ascii="Times New Roman" w:hAnsi="Times New Roman" w:cs="Times New Roman"/>
                <w:i/>
                <w:sz w:val="18"/>
                <w:szCs w:val="14"/>
                <w:lang w:val="ro-RO"/>
              </w:rPr>
              <w:t xml:space="preserve"> cu impact energetic.</w:t>
            </w:r>
          </w:p>
        </w:tc>
        <w:tc>
          <w:tcPr>
            <w:tcW w:w="619" w:type="pct"/>
            <w:shd w:val="clear" w:color="auto" w:fill="auto"/>
          </w:tcPr>
          <w:p w14:paraId="2928C905"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31.12.2017</w:t>
            </w:r>
          </w:p>
        </w:tc>
        <w:tc>
          <w:tcPr>
            <w:tcW w:w="1097" w:type="pct"/>
          </w:tcPr>
          <w:p w14:paraId="1CB49B36" w14:textId="77777777" w:rsidR="00BC2ED4" w:rsidRPr="009C5F11" w:rsidRDefault="00147585" w:rsidP="004A2281">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Accelerarea</w:t>
            </w:r>
            <w:r w:rsidR="00BC2ED4" w:rsidRPr="009C5F11">
              <w:rPr>
                <w:rFonts w:ascii="Times New Roman" w:hAnsi="Times New Roman" w:cs="Times New Roman"/>
                <w:i/>
                <w:sz w:val="18"/>
                <w:szCs w:val="14"/>
                <w:lang w:val="ro-RO"/>
              </w:rPr>
              <w:t xml:space="preserve"> </w:t>
            </w:r>
            <w:r w:rsidR="00532A33" w:rsidRPr="009C5F11">
              <w:rPr>
                <w:rFonts w:ascii="Times New Roman" w:hAnsi="Times New Roman" w:cs="Times New Roman"/>
                <w:i/>
                <w:sz w:val="18"/>
                <w:szCs w:val="14"/>
                <w:lang w:val="ro-RO"/>
              </w:rPr>
              <w:t>implement</w:t>
            </w:r>
            <w:r w:rsidRPr="009C5F11">
              <w:rPr>
                <w:rFonts w:ascii="Times New Roman" w:hAnsi="Times New Roman" w:cs="Times New Roman"/>
                <w:i/>
                <w:sz w:val="18"/>
                <w:szCs w:val="14"/>
                <w:lang w:val="ro-RO"/>
              </w:rPr>
              <w:t xml:space="preserve">ării schemelor de </w:t>
            </w:r>
            <w:r w:rsidR="00F7594D" w:rsidRPr="009C5F11">
              <w:rPr>
                <w:rFonts w:ascii="Times New Roman" w:hAnsi="Times New Roman" w:cs="Times New Roman"/>
                <w:i/>
                <w:sz w:val="18"/>
                <w:szCs w:val="14"/>
                <w:lang w:val="ro-RO"/>
              </w:rPr>
              <w:t>Certificare</w:t>
            </w:r>
            <w:r w:rsidR="00321CD5" w:rsidRPr="009C5F11">
              <w:rPr>
                <w:rFonts w:ascii="Times New Roman" w:hAnsi="Times New Roman" w:cs="Times New Roman"/>
                <w:i/>
                <w:sz w:val="18"/>
                <w:szCs w:val="14"/>
                <w:lang w:val="ro-RO"/>
              </w:rPr>
              <w:t xml:space="preserve"> şi </w:t>
            </w:r>
            <w:r w:rsidR="00BC2ED4" w:rsidRPr="009C5F11">
              <w:rPr>
                <w:rFonts w:ascii="Times New Roman" w:hAnsi="Times New Roman" w:cs="Times New Roman"/>
                <w:i/>
                <w:sz w:val="18"/>
                <w:szCs w:val="14"/>
                <w:lang w:val="ro-RO"/>
              </w:rPr>
              <w:t>acredita</w:t>
            </w:r>
            <w:r w:rsidRPr="009C5F11">
              <w:rPr>
                <w:rFonts w:ascii="Times New Roman" w:hAnsi="Times New Roman" w:cs="Times New Roman"/>
                <w:i/>
                <w:sz w:val="18"/>
                <w:szCs w:val="14"/>
                <w:lang w:val="ro-RO"/>
              </w:rPr>
              <w:t xml:space="preserve">re cu toate aspectele </w:t>
            </w:r>
            <w:r w:rsidR="00BC2ED4" w:rsidRPr="009C5F11">
              <w:rPr>
                <w:rFonts w:ascii="Times New Roman" w:hAnsi="Times New Roman" w:cs="Times New Roman"/>
                <w:i/>
                <w:sz w:val="18"/>
                <w:szCs w:val="14"/>
                <w:lang w:val="ro-RO"/>
              </w:rPr>
              <w:t>logistic</w:t>
            </w:r>
            <w:r w:rsidRPr="009C5F11">
              <w:rPr>
                <w:rFonts w:ascii="Times New Roman" w:hAnsi="Times New Roman" w:cs="Times New Roman"/>
                <w:i/>
                <w:sz w:val="18"/>
                <w:szCs w:val="14"/>
                <w:lang w:val="ro-RO"/>
              </w:rPr>
              <w:t>e necesare.</w:t>
            </w:r>
          </w:p>
        </w:tc>
        <w:tc>
          <w:tcPr>
            <w:tcW w:w="1141" w:type="pct"/>
            <w:shd w:val="clear" w:color="auto" w:fill="auto"/>
          </w:tcPr>
          <w:p w14:paraId="57B32AA7" w14:textId="77777777" w:rsidR="00BC2ED4" w:rsidRPr="009C5F11" w:rsidRDefault="00532A33"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Implementarea</w:t>
            </w:r>
            <w:r w:rsidR="00BC2ED4" w:rsidRPr="009C5F11">
              <w:rPr>
                <w:rFonts w:ascii="Times New Roman" w:hAnsi="Times New Roman" w:cs="Times New Roman"/>
                <w:i/>
                <w:sz w:val="18"/>
                <w:szCs w:val="14"/>
                <w:lang w:val="ro-RO"/>
              </w:rPr>
              <w:t xml:space="preserve"> </w:t>
            </w:r>
            <w:r w:rsidR="00147585" w:rsidRPr="009C5F11">
              <w:rPr>
                <w:rFonts w:ascii="Times New Roman" w:hAnsi="Times New Roman" w:cs="Times New Roman"/>
                <w:i/>
                <w:sz w:val="18"/>
                <w:szCs w:val="14"/>
                <w:lang w:val="ro-RO"/>
              </w:rPr>
              <w:t xml:space="preserve">certificării PEC este amânată, fapt ce afectează dezvoltarea </w:t>
            </w:r>
            <w:r w:rsidR="00BC2ED4" w:rsidRPr="009C5F11">
              <w:rPr>
                <w:rFonts w:ascii="Times New Roman" w:hAnsi="Times New Roman" w:cs="Times New Roman"/>
                <w:i/>
                <w:sz w:val="18"/>
                <w:szCs w:val="14"/>
                <w:lang w:val="ro-RO"/>
              </w:rPr>
              <w:t>ESCO.</w:t>
            </w:r>
          </w:p>
          <w:p w14:paraId="0F781FD0" w14:textId="77777777" w:rsidR="00BC2ED4" w:rsidRPr="009C5F11" w:rsidRDefault="000A4CC7" w:rsidP="00147585">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Legea</w:t>
            </w:r>
            <w:r w:rsidR="00BC2ED4" w:rsidRPr="009C5F11">
              <w:rPr>
                <w:rFonts w:ascii="Times New Roman" w:hAnsi="Times New Roman" w:cs="Times New Roman"/>
                <w:i/>
                <w:sz w:val="18"/>
                <w:szCs w:val="14"/>
                <w:lang w:val="ro-RO"/>
              </w:rPr>
              <w:t xml:space="preserve"> 128/2014 </w:t>
            </w:r>
            <w:r w:rsidR="00201D7F" w:rsidRPr="009C5F11">
              <w:rPr>
                <w:rFonts w:ascii="Times New Roman" w:hAnsi="Times New Roman" w:cs="Times New Roman"/>
                <w:i/>
                <w:sz w:val="18"/>
                <w:szCs w:val="14"/>
                <w:lang w:val="ro-RO"/>
              </w:rPr>
              <w:t>privind performanţa energetică a clădirilor</w:t>
            </w:r>
            <w:r w:rsidR="00BC2ED4" w:rsidRPr="009C5F11">
              <w:rPr>
                <w:rFonts w:ascii="Times New Roman" w:hAnsi="Times New Roman" w:cs="Times New Roman"/>
                <w:i/>
                <w:sz w:val="18"/>
                <w:szCs w:val="14"/>
                <w:lang w:val="ro-RO"/>
              </w:rPr>
              <w:t xml:space="preserve"> </w:t>
            </w:r>
            <w:r w:rsidR="00147585" w:rsidRPr="009C5F11">
              <w:rPr>
                <w:rFonts w:ascii="Times New Roman" w:hAnsi="Times New Roman" w:cs="Times New Roman"/>
                <w:i/>
                <w:sz w:val="18"/>
                <w:szCs w:val="14"/>
                <w:lang w:val="ro-RO"/>
              </w:rPr>
              <w:t xml:space="preserve">ar trebui pusă în aplicare cât mai rapid, fiind adoptată în acelaşi ritm legislaţia secundară. </w:t>
            </w:r>
          </w:p>
        </w:tc>
        <w:tc>
          <w:tcPr>
            <w:tcW w:w="438" w:type="pct"/>
            <w:shd w:val="clear" w:color="auto" w:fill="auto"/>
          </w:tcPr>
          <w:p w14:paraId="0E692B8F" w14:textId="77777777" w:rsidR="00BC2ED4" w:rsidRPr="009C5F11" w:rsidRDefault="00AA0566"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MDRC</w:t>
            </w:r>
          </w:p>
          <w:p w14:paraId="73B8BAE1" w14:textId="77777777" w:rsidR="00BC2ED4" w:rsidRPr="009C5F11" w:rsidRDefault="00AA0566"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AEE</w:t>
            </w:r>
          </w:p>
        </w:tc>
      </w:tr>
      <w:tr w:rsidR="00341E16" w:rsidRPr="009C5F11" w14:paraId="371336ED" w14:textId="77777777" w:rsidTr="00732F30">
        <w:trPr>
          <w:trHeight w:val="638"/>
        </w:trPr>
        <w:tc>
          <w:tcPr>
            <w:tcW w:w="216" w:type="pct"/>
            <w:shd w:val="clear" w:color="auto" w:fill="auto"/>
          </w:tcPr>
          <w:p w14:paraId="69EC7F8B"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lastRenderedPageBreak/>
              <w:t>18</w:t>
            </w:r>
          </w:p>
        </w:tc>
        <w:tc>
          <w:tcPr>
            <w:tcW w:w="514" w:type="pct"/>
            <w:shd w:val="clear" w:color="auto" w:fill="auto"/>
          </w:tcPr>
          <w:p w14:paraId="30E5F6BA" w14:textId="77777777" w:rsidR="00BC2ED4" w:rsidRPr="009C5F11" w:rsidRDefault="00D15C6C" w:rsidP="00430626">
            <w:pPr>
              <w:spacing w:before="120" w:after="120" w:line="240" w:lineRule="auto"/>
              <w:jc w:val="center"/>
              <w:rPr>
                <w:rFonts w:ascii="Times New Roman" w:hAnsi="Times New Roman" w:cs="Times New Roman"/>
                <w:i/>
                <w:sz w:val="18"/>
                <w:szCs w:val="14"/>
                <w:lang w:val="ro-RO"/>
              </w:rPr>
            </w:pPr>
            <w:r w:rsidRPr="009C5F11">
              <w:rPr>
                <w:rFonts w:ascii="Times New Roman" w:hAnsi="Times New Roman" w:cs="Times New Roman"/>
                <w:i/>
                <w:sz w:val="18"/>
                <w:szCs w:val="14"/>
                <w:lang w:val="ro-RO"/>
              </w:rPr>
              <w:t>Servicii energetice</w:t>
            </w:r>
          </w:p>
        </w:tc>
        <w:tc>
          <w:tcPr>
            <w:tcW w:w="975" w:type="pct"/>
            <w:shd w:val="clear" w:color="auto" w:fill="auto"/>
          </w:tcPr>
          <w:p w14:paraId="01370162" w14:textId="77777777" w:rsidR="00BC2ED4" w:rsidRPr="009C5F11" w:rsidRDefault="00341E16" w:rsidP="00E376C4">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Promovarea</w:t>
            </w:r>
            <w:r w:rsidR="00BC2ED4"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pieţei de servicii energetice</w:t>
            </w:r>
            <w:r w:rsidR="00321CD5" w:rsidRPr="009C5F11">
              <w:rPr>
                <w:rFonts w:ascii="Times New Roman" w:hAnsi="Times New Roman" w:cs="Times New Roman"/>
                <w:i/>
                <w:sz w:val="18"/>
                <w:szCs w:val="14"/>
                <w:lang w:val="ro-RO"/>
              </w:rPr>
              <w:t xml:space="preserve"> şi </w:t>
            </w:r>
            <w:r w:rsidR="00BC2ED4" w:rsidRPr="009C5F11">
              <w:rPr>
                <w:rFonts w:ascii="Times New Roman" w:hAnsi="Times New Roman" w:cs="Times New Roman"/>
                <w:i/>
                <w:sz w:val="18"/>
                <w:szCs w:val="14"/>
                <w:lang w:val="ro-RO"/>
              </w:rPr>
              <w:t>acces</w:t>
            </w:r>
            <w:r w:rsidR="00E376C4" w:rsidRPr="009C5F11">
              <w:rPr>
                <w:rFonts w:ascii="Times New Roman" w:hAnsi="Times New Roman" w:cs="Times New Roman"/>
                <w:i/>
                <w:sz w:val="18"/>
                <w:szCs w:val="14"/>
                <w:lang w:val="ro-RO"/>
              </w:rPr>
              <w:t>ul</w:t>
            </w:r>
            <w:r w:rsidR="00BC2ED4" w:rsidRPr="009C5F11">
              <w:rPr>
                <w:rFonts w:ascii="Times New Roman" w:hAnsi="Times New Roman" w:cs="Times New Roman"/>
                <w:i/>
                <w:sz w:val="18"/>
                <w:szCs w:val="14"/>
                <w:lang w:val="ro-RO"/>
              </w:rPr>
              <w:t xml:space="preserve"> </w:t>
            </w:r>
            <w:r w:rsidR="001B3DCF" w:rsidRPr="009C5F11">
              <w:rPr>
                <w:rFonts w:ascii="Times New Roman" w:hAnsi="Times New Roman" w:cs="Times New Roman"/>
                <w:i/>
                <w:sz w:val="18"/>
                <w:szCs w:val="14"/>
                <w:lang w:val="ro-RO"/>
              </w:rPr>
              <w:t>IMM</w:t>
            </w:r>
            <w:r w:rsidR="00BC2ED4"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la această piaţă</w:t>
            </w:r>
          </w:p>
        </w:tc>
        <w:tc>
          <w:tcPr>
            <w:tcW w:w="619" w:type="pct"/>
            <w:shd w:val="clear" w:color="auto" w:fill="auto"/>
          </w:tcPr>
          <w:p w14:paraId="363CCED7"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15.10.2017</w:t>
            </w:r>
          </w:p>
        </w:tc>
        <w:tc>
          <w:tcPr>
            <w:tcW w:w="1097" w:type="pct"/>
          </w:tcPr>
          <w:p w14:paraId="55D7D776" w14:textId="77777777" w:rsidR="00BC2ED4" w:rsidRPr="009C5F11" w:rsidRDefault="00147585" w:rsidP="00334F3B">
            <w:pPr>
              <w:numPr>
                <w:ilvl w:val="0"/>
                <w:numId w:val="166"/>
              </w:numPr>
              <w:spacing w:before="120" w:after="120" w:line="240" w:lineRule="auto"/>
              <w:ind w:left="318"/>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Contractele de servicii energetice disponibile şi clauzele care ar trebui incluse </w:t>
            </w:r>
            <w:r w:rsidR="00321CD5" w:rsidRPr="009C5F11">
              <w:rPr>
                <w:rFonts w:ascii="Times New Roman" w:hAnsi="Times New Roman" w:cs="Times New Roman"/>
                <w:i/>
                <w:sz w:val="18"/>
                <w:szCs w:val="14"/>
                <w:lang w:val="ro-RO"/>
              </w:rPr>
              <w:t xml:space="preserve">în </w:t>
            </w:r>
            <w:r w:rsidR="00FA684C" w:rsidRPr="009C5F11">
              <w:rPr>
                <w:rFonts w:ascii="Times New Roman" w:hAnsi="Times New Roman" w:cs="Times New Roman"/>
                <w:i/>
                <w:sz w:val="18"/>
                <w:szCs w:val="14"/>
                <w:lang w:val="ro-RO"/>
              </w:rPr>
              <w:t>astfel de contracte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pentru a garanta </w:t>
            </w:r>
            <w:r w:rsidR="004424A0" w:rsidRPr="009C5F11">
              <w:rPr>
                <w:rFonts w:ascii="Times New Roman" w:hAnsi="Times New Roman" w:cs="Times New Roman"/>
                <w:i/>
                <w:sz w:val="18"/>
                <w:szCs w:val="14"/>
                <w:lang w:val="ro-RO"/>
              </w:rPr>
              <w:t>economii de energie</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 xml:space="preserve">respectarea drepturilor </w:t>
            </w:r>
            <w:r w:rsidR="00FB38BF" w:rsidRPr="009C5F11">
              <w:rPr>
                <w:rFonts w:ascii="Times New Roman" w:hAnsi="Times New Roman" w:cs="Times New Roman"/>
                <w:i/>
                <w:sz w:val="18"/>
                <w:szCs w:val="14"/>
                <w:lang w:val="ro-RO"/>
              </w:rPr>
              <w:t>consumatori</w:t>
            </w:r>
            <w:r w:rsidRPr="009C5F11">
              <w:rPr>
                <w:rFonts w:ascii="Times New Roman" w:hAnsi="Times New Roman" w:cs="Times New Roman"/>
                <w:i/>
                <w:sz w:val="18"/>
                <w:szCs w:val="14"/>
                <w:lang w:val="ro-RO"/>
              </w:rPr>
              <w:t>lor</w:t>
            </w:r>
            <w:r w:rsidR="00FB38BF" w:rsidRPr="009C5F11">
              <w:rPr>
                <w:rFonts w:ascii="Times New Roman" w:hAnsi="Times New Roman" w:cs="Times New Roman"/>
                <w:i/>
                <w:sz w:val="18"/>
                <w:szCs w:val="14"/>
                <w:lang w:val="ro-RO"/>
              </w:rPr>
              <w:t xml:space="preserve"> finali</w:t>
            </w:r>
            <w:r w:rsidR="00BC2ED4" w:rsidRPr="009C5F11">
              <w:rPr>
                <w:rFonts w:ascii="Times New Roman" w:hAnsi="Times New Roman" w:cs="Times New Roman"/>
                <w:i/>
                <w:sz w:val="18"/>
                <w:szCs w:val="14"/>
                <w:lang w:val="ro-RO"/>
              </w:rPr>
              <w:t>;</w:t>
            </w:r>
          </w:p>
          <w:p w14:paraId="5471A880" w14:textId="77777777" w:rsidR="00BC2ED4" w:rsidRPr="009C5F11" w:rsidRDefault="00147585" w:rsidP="00334F3B">
            <w:pPr>
              <w:numPr>
                <w:ilvl w:val="0"/>
                <w:numId w:val="166"/>
              </w:numPr>
              <w:spacing w:before="120" w:after="120" w:line="240" w:lineRule="auto"/>
              <w:ind w:left="318"/>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Instrumente şi stimulente f</w:t>
            </w:r>
            <w:r w:rsidR="00BC2ED4" w:rsidRPr="009C5F11">
              <w:rPr>
                <w:rFonts w:ascii="Times New Roman" w:hAnsi="Times New Roman" w:cs="Times New Roman"/>
                <w:i/>
                <w:sz w:val="18"/>
                <w:szCs w:val="14"/>
                <w:lang w:val="ro-RO"/>
              </w:rPr>
              <w:t>inancia</w:t>
            </w:r>
            <w:r w:rsidRPr="009C5F11">
              <w:rPr>
                <w:rFonts w:ascii="Times New Roman" w:hAnsi="Times New Roman" w:cs="Times New Roman"/>
                <w:i/>
                <w:sz w:val="18"/>
                <w:szCs w:val="14"/>
                <w:lang w:val="ro-RO"/>
              </w:rPr>
              <w:t>re</w:t>
            </w:r>
            <w:r w:rsidR="00BC2ED4" w:rsidRPr="009C5F11">
              <w:rPr>
                <w:rFonts w:ascii="Times New Roman" w:hAnsi="Times New Roman" w:cs="Times New Roman"/>
                <w:i/>
                <w:sz w:val="18"/>
                <w:szCs w:val="14"/>
                <w:lang w:val="ro-RO"/>
              </w:rPr>
              <w:t xml:space="preserve">, </w:t>
            </w:r>
            <w:r w:rsidR="00EB460D" w:rsidRPr="009C5F11">
              <w:rPr>
                <w:rFonts w:ascii="Times New Roman" w:hAnsi="Times New Roman" w:cs="Times New Roman"/>
                <w:i/>
                <w:sz w:val="18"/>
                <w:szCs w:val="14"/>
                <w:lang w:val="ro-RO"/>
              </w:rPr>
              <w:t>granturi</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împrumuturi</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pentru a </w:t>
            </w:r>
            <w:r w:rsidR="005664F4" w:rsidRPr="009C5F11">
              <w:rPr>
                <w:rFonts w:ascii="Times New Roman" w:hAnsi="Times New Roman" w:cs="Times New Roman"/>
                <w:i/>
                <w:sz w:val="18"/>
                <w:szCs w:val="14"/>
                <w:lang w:val="ro-RO"/>
              </w:rPr>
              <w:t>sprijin</w:t>
            </w:r>
            <w:r w:rsidRPr="009C5F11">
              <w:rPr>
                <w:rFonts w:ascii="Times New Roman" w:hAnsi="Times New Roman" w:cs="Times New Roman"/>
                <w:i/>
                <w:sz w:val="18"/>
                <w:szCs w:val="14"/>
                <w:lang w:val="ro-RO"/>
              </w:rPr>
              <w:t xml:space="preserve">i proiecte de servicii de </w:t>
            </w:r>
            <w:r w:rsidR="000C7BEC" w:rsidRPr="009C5F11">
              <w:rPr>
                <w:rFonts w:ascii="Times New Roman" w:hAnsi="Times New Roman" w:cs="Times New Roman"/>
                <w:i/>
                <w:sz w:val="18"/>
                <w:szCs w:val="14"/>
                <w:lang w:val="ro-RO"/>
              </w:rPr>
              <w:t>eficienţă energetică</w:t>
            </w:r>
            <w:r w:rsidR="00BC2ED4" w:rsidRPr="009C5F11">
              <w:rPr>
                <w:rFonts w:ascii="Times New Roman" w:hAnsi="Times New Roman" w:cs="Times New Roman"/>
                <w:i/>
                <w:sz w:val="18"/>
                <w:szCs w:val="14"/>
                <w:lang w:val="ro-RO"/>
              </w:rPr>
              <w:t>;</w:t>
            </w:r>
          </w:p>
          <w:p w14:paraId="275A2027" w14:textId="77777777" w:rsidR="00BC2ED4" w:rsidRPr="009C5F11" w:rsidRDefault="00BE73BA" w:rsidP="00334F3B">
            <w:pPr>
              <w:numPr>
                <w:ilvl w:val="0"/>
                <w:numId w:val="166"/>
              </w:numPr>
              <w:spacing w:before="120" w:after="120" w:line="240" w:lineRule="auto"/>
              <w:ind w:left="318"/>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Distribuirea</w:t>
            </w:r>
            <w:r w:rsidR="00147585" w:rsidRPr="009C5F11">
              <w:rPr>
                <w:rFonts w:ascii="Times New Roman" w:hAnsi="Times New Roman" w:cs="Times New Roman"/>
                <w:i/>
                <w:sz w:val="18"/>
                <w:szCs w:val="14"/>
                <w:lang w:val="ro-RO"/>
              </w:rPr>
              <w:t xml:space="preserve"> modelelor de </w:t>
            </w:r>
            <w:r w:rsidR="00BC2ED4" w:rsidRPr="009C5F11">
              <w:rPr>
                <w:rFonts w:ascii="Times New Roman" w:hAnsi="Times New Roman" w:cs="Times New Roman"/>
                <w:i/>
                <w:sz w:val="18"/>
                <w:szCs w:val="14"/>
                <w:lang w:val="ro-RO"/>
              </w:rPr>
              <w:t>contract</w:t>
            </w:r>
            <w:r w:rsidR="00147585" w:rsidRPr="009C5F11">
              <w:rPr>
                <w:rFonts w:ascii="Times New Roman" w:hAnsi="Times New Roman" w:cs="Times New Roman"/>
                <w:i/>
                <w:sz w:val="18"/>
                <w:szCs w:val="14"/>
                <w:lang w:val="ro-RO"/>
              </w:rPr>
              <w:t>e</w:t>
            </w:r>
            <w:r w:rsidR="00BC2ED4" w:rsidRPr="009C5F11">
              <w:rPr>
                <w:rFonts w:ascii="Times New Roman" w:hAnsi="Times New Roman" w:cs="Times New Roman"/>
                <w:i/>
                <w:sz w:val="18"/>
                <w:szCs w:val="14"/>
                <w:lang w:val="ro-RO"/>
              </w:rPr>
              <w:t xml:space="preserve"> </w:t>
            </w:r>
            <w:r w:rsidR="00147585" w:rsidRPr="009C5F11">
              <w:rPr>
                <w:rFonts w:ascii="Times New Roman" w:hAnsi="Times New Roman" w:cs="Times New Roman"/>
                <w:i/>
                <w:sz w:val="18"/>
                <w:szCs w:val="14"/>
                <w:lang w:val="ro-RO"/>
              </w:rPr>
              <w:t>pentru</w:t>
            </w:r>
            <w:r w:rsidR="00BC2ED4" w:rsidRPr="009C5F11">
              <w:rPr>
                <w:rFonts w:ascii="Times New Roman" w:hAnsi="Times New Roman" w:cs="Times New Roman"/>
                <w:i/>
                <w:sz w:val="18"/>
                <w:szCs w:val="14"/>
                <w:lang w:val="ro-RO"/>
              </w:rPr>
              <w:t xml:space="preserve"> </w:t>
            </w:r>
            <w:r w:rsidR="000746F8" w:rsidRPr="009C5F11">
              <w:rPr>
                <w:rFonts w:ascii="Times New Roman" w:hAnsi="Times New Roman" w:cs="Times New Roman"/>
                <w:i/>
                <w:sz w:val="18"/>
                <w:szCs w:val="14"/>
                <w:lang w:val="ro-RO"/>
              </w:rPr>
              <w:t>contractele de performanţă energetică</w:t>
            </w:r>
            <w:r w:rsidR="00147585" w:rsidRPr="009C5F11">
              <w:rPr>
                <w:rFonts w:ascii="Times New Roman" w:hAnsi="Times New Roman" w:cs="Times New Roman"/>
                <w:i/>
                <w:sz w:val="18"/>
                <w:szCs w:val="14"/>
                <w:lang w:val="ro-RO"/>
              </w:rPr>
              <w:t xml:space="preserve"> (CPE)</w:t>
            </w:r>
            <w:r w:rsidR="00BC2ED4" w:rsidRPr="009C5F11">
              <w:rPr>
                <w:rFonts w:ascii="Times New Roman" w:hAnsi="Times New Roman" w:cs="Times New Roman"/>
                <w:i/>
                <w:sz w:val="18"/>
                <w:szCs w:val="14"/>
                <w:lang w:val="ro-RO"/>
              </w:rPr>
              <w:t>;</w:t>
            </w:r>
          </w:p>
          <w:p w14:paraId="47902FFD" w14:textId="77777777" w:rsidR="00BC2ED4" w:rsidRPr="009C5F11" w:rsidRDefault="00BC2ED4" w:rsidP="00334F3B">
            <w:pPr>
              <w:numPr>
                <w:ilvl w:val="0"/>
                <w:numId w:val="166"/>
              </w:numPr>
              <w:spacing w:before="120" w:after="120" w:line="240" w:lineRule="auto"/>
              <w:ind w:left="318"/>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Etc</w:t>
            </w:r>
            <w:r w:rsidR="00147585" w:rsidRPr="009C5F11">
              <w:rPr>
                <w:rFonts w:ascii="Times New Roman" w:hAnsi="Times New Roman" w:cs="Times New Roman"/>
                <w:i/>
                <w:sz w:val="18"/>
                <w:szCs w:val="14"/>
                <w:lang w:val="ro-RO"/>
              </w:rPr>
              <w:t>.</w:t>
            </w:r>
          </w:p>
        </w:tc>
        <w:tc>
          <w:tcPr>
            <w:tcW w:w="1141" w:type="pct"/>
            <w:shd w:val="clear" w:color="auto" w:fill="auto"/>
          </w:tcPr>
          <w:p w14:paraId="018DE31E" w14:textId="77777777" w:rsidR="00BC2ED4" w:rsidRPr="009C5F11" w:rsidRDefault="00147585"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Un</w:t>
            </w:r>
            <w:r w:rsidR="00BC2ED4" w:rsidRPr="009C5F11">
              <w:rPr>
                <w:rFonts w:ascii="Times New Roman" w:hAnsi="Times New Roman" w:cs="Times New Roman"/>
                <w:i/>
                <w:sz w:val="18"/>
                <w:szCs w:val="14"/>
                <w:lang w:val="ro-RO"/>
              </w:rPr>
              <w:t xml:space="preserve"> </w:t>
            </w:r>
            <w:r w:rsidR="00421FA7" w:rsidRPr="009C5F11">
              <w:rPr>
                <w:rFonts w:ascii="Times New Roman" w:hAnsi="Times New Roman" w:cs="Times New Roman"/>
                <w:i/>
                <w:sz w:val="18"/>
                <w:szCs w:val="14"/>
                <w:lang w:val="ro-RO"/>
              </w:rPr>
              <w:t>proiect</w:t>
            </w:r>
            <w:r w:rsidR="00BC2ED4" w:rsidRPr="009C5F11">
              <w:rPr>
                <w:rFonts w:ascii="Times New Roman" w:hAnsi="Times New Roman" w:cs="Times New Roman"/>
                <w:i/>
                <w:sz w:val="18"/>
                <w:szCs w:val="14"/>
                <w:lang w:val="ro-RO"/>
              </w:rPr>
              <w:t xml:space="preserve"> dedicat</w:t>
            </w:r>
            <w:r w:rsidRPr="009C5F11">
              <w:rPr>
                <w:rFonts w:ascii="Times New Roman" w:hAnsi="Times New Roman" w:cs="Times New Roman"/>
                <w:i/>
                <w:sz w:val="18"/>
                <w:szCs w:val="14"/>
                <w:lang w:val="ro-RO"/>
              </w:rPr>
              <w:t xml:space="preserve"> să creeze piaţa </w:t>
            </w:r>
            <w:r w:rsidR="00BC2ED4" w:rsidRPr="009C5F11">
              <w:rPr>
                <w:rFonts w:ascii="Times New Roman" w:hAnsi="Times New Roman" w:cs="Times New Roman"/>
                <w:i/>
                <w:sz w:val="18"/>
                <w:szCs w:val="14"/>
                <w:lang w:val="ro-RO"/>
              </w:rPr>
              <w:t xml:space="preserve">ESCO </w:t>
            </w:r>
            <w:r w:rsidR="00223DAC" w:rsidRPr="009C5F11">
              <w:rPr>
                <w:rFonts w:ascii="Times New Roman" w:hAnsi="Times New Roman" w:cs="Times New Roman"/>
                <w:i/>
                <w:sz w:val="18"/>
                <w:szCs w:val="14"/>
                <w:lang w:val="ro-RO"/>
              </w:rPr>
              <w:t>în Republica Moldova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prin convertirea companiilor existente prestatoare de servicii e</w:t>
            </w:r>
            <w:r w:rsidR="004A2281" w:rsidRPr="009C5F11">
              <w:rPr>
                <w:rFonts w:ascii="Times New Roman" w:hAnsi="Times New Roman" w:cs="Times New Roman"/>
                <w:i/>
                <w:sz w:val="18"/>
                <w:szCs w:val="14"/>
                <w:lang w:val="ro-RO"/>
              </w:rPr>
              <w:t>n</w:t>
            </w:r>
            <w:r w:rsidRPr="009C5F11">
              <w:rPr>
                <w:rFonts w:ascii="Times New Roman" w:hAnsi="Times New Roman" w:cs="Times New Roman"/>
                <w:i/>
                <w:sz w:val="18"/>
                <w:szCs w:val="14"/>
                <w:lang w:val="ro-RO"/>
              </w:rPr>
              <w:t>ergetice în societăţi ESCO</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 xml:space="preserve">în calitate de bază pentru extinderea eforturilor de atenuare în tot sectorul </w:t>
            </w:r>
            <w:r w:rsidR="00204033" w:rsidRPr="009C5F11">
              <w:rPr>
                <w:rFonts w:ascii="Times New Roman" w:hAnsi="Times New Roman" w:cs="Times New Roman"/>
                <w:i/>
                <w:sz w:val="18"/>
                <w:szCs w:val="14"/>
                <w:lang w:val="ro-RO"/>
              </w:rPr>
              <w:t>construcţiilor</w:t>
            </w:r>
            <w:r w:rsidR="00321CD5"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din</w:t>
            </w:r>
            <w:r w:rsidR="00223DAC" w:rsidRPr="009C5F11">
              <w:rPr>
                <w:rFonts w:ascii="Times New Roman" w:hAnsi="Times New Roman" w:cs="Times New Roman"/>
                <w:i/>
                <w:sz w:val="18"/>
                <w:szCs w:val="14"/>
                <w:lang w:val="ro-RO"/>
              </w:rPr>
              <w:t xml:space="preserve"> Republica Moldova</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este implementat de</w:t>
            </w:r>
            <w:r w:rsidR="00BC2ED4" w:rsidRPr="009C5F11">
              <w:rPr>
                <w:rFonts w:ascii="Times New Roman" w:hAnsi="Times New Roman" w:cs="Times New Roman"/>
                <w:i/>
                <w:sz w:val="18"/>
                <w:szCs w:val="14"/>
                <w:lang w:val="ro-RO"/>
              </w:rPr>
              <w:t xml:space="preserve"> </w:t>
            </w:r>
            <w:r w:rsidR="00321CD5" w:rsidRPr="009C5F11">
              <w:rPr>
                <w:rFonts w:ascii="Times New Roman" w:hAnsi="Times New Roman" w:cs="Times New Roman"/>
                <w:i/>
                <w:sz w:val="18"/>
                <w:szCs w:val="14"/>
                <w:lang w:val="ro-RO"/>
              </w:rPr>
              <w:t>PNUD</w:t>
            </w:r>
            <w:r w:rsidR="00BC2ED4" w:rsidRPr="009C5F11">
              <w:rPr>
                <w:rFonts w:ascii="Times New Roman" w:hAnsi="Times New Roman" w:cs="Times New Roman"/>
                <w:i/>
                <w:sz w:val="18"/>
                <w:szCs w:val="14"/>
                <w:lang w:val="ro-RO"/>
              </w:rPr>
              <w:t>.</w:t>
            </w:r>
          </w:p>
          <w:p w14:paraId="3B4EA015" w14:textId="77777777" w:rsidR="00BC2ED4" w:rsidRPr="009C5F11" w:rsidRDefault="00AA0566"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FEE</w:t>
            </w:r>
            <w:r w:rsidR="00BC2ED4" w:rsidRPr="009C5F11">
              <w:rPr>
                <w:rFonts w:ascii="Times New Roman" w:hAnsi="Times New Roman" w:cs="Times New Roman"/>
                <w:i/>
                <w:sz w:val="18"/>
                <w:szCs w:val="14"/>
                <w:lang w:val="ro-RO"/>
              </w:rPr>
              <w:t xml:space="preserve"> </w:t>
            </w:r>
            <w:r w:rsidR="00147585" w:rsidRPr="009C5F11">
              <w:rPr>
                <w:rFonts w:ascii="Times New Roman" w:hAnsi="Times New Roman" w:cs="Times New Roman"/>
                <w:i/>
                <w:sz w:val="18"/>
                <w:szCs w:val="14"/>
                <w:lang w:val="ro-RO"/>
              </w:rPr>
              <w:t>a</w:t>
            </w:r>
            <w:r w:rsidR="004A2281" w:rsidRPr="009C5F11">
              <w:rPr>
                <w:rFonts w:ascii="Times New Roman" w:hAnsi="Times New Roman" w:cs="Times New Roman"/>
                <w:i/>
                <w:sz w:val="18"/>
                <w:szCs w:val="14"/>
                <w:lang w:val="ro-RO"/>
              </w:rPr>
              <w:t xml:space="preserve"> </w:t>
            </w:r>
            <w:r w:rsidR="00147585" w:rsidRPr="009C5F11">
              <w:rPr>
                <w:rFonts w:ascii="Times New Roman" w:hAnsi="Times New Roman" w:cs="Times New Roman"/>
                <w:i/>
                <w:sz w:val="18"/>
                <w:szCs w:val="14"/>
                <w:lang w:val="ro-RO"/>
              </w:rPr>
              <w:t xml:space="preserve">acceptat rolul de cofinanţator în implementarea proiectului </w:t>
            </w:r>
            <w:r w:rsidR="00321CD5" w:rsidRPr="009C5F11">
              <w:rPr>
                <w:rFonts w:ascii="Times New Roman" w:hAnsi="Times New Roman" w:cs="Times New Roman"/>
                <w:i/>
                <w:sz w:val="18"/>
                <w:szCs w:val="14"/>
                <w:lang w:val="ro-RO"/>
              </w:rPr>
              <w:t>PNUD</w:t>
            </w:r>
            <w:r w:rsidR="00BC2ED4" w:rsidRPr="009C5F11">
              <w:rPr>
                <w:rFonts w:ascii="Times New Roman" w:hAnsi="Times New Roman" w:cs="Times New Roman"/>
                <w:i/>
                <w:sz w:val="18"/>
                <w:szCs w:val="14"/>
                <w:lang w:val="ro-RO"/>
              </w:rPr>
              <w:t>/GEF.</w:t>
            </w:r>
          </w:p>
          <w:p w14:paraId="52602995" w14:textId="77777777" w:rsidR="00BC2ED4" w:rsidRPr="009C5F11" w:rsidRDefault="00147585" w:rsidP="00147585">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w:t>
            </w:r>
            <w:r w:rsidR="00105D5C" w:rsidRPr="009C5F11">
              <w:rPr>
                <w:rFonts w:ascii="Times New Roman" w:hAnsi="Times New Roman" w:cs="Times New Roman"/>
                <w:i/>
                <w:sz w:val="18"/>
                <w:szCs w:val="14"/>
                <w:lang w:val="ro-RO"/>
              </w:rPr>
              <w:t>ăsura</w:t>
            </w:r>
            <w:r w:rsidRPr="009C5F11">
              <w:rPr>
                <w:rFonts w:ascii="Times New Roman" w:hAnsi="Times New Roman" w:cs="Times New Roman"/>
                <w:i/>
                <w:sz w:val="18"/>
                <w:szCs w:val="14"/>
                <w:lang w:val="ro-RO"/>
              </w:rPr>
              <w:t xml:space="preserve"> specifică</w:t>
            </w:r>
            <w:r w:rsidR="00BC2ED4" w:rsidRPr="009C5F11">
              <w:rPr>
                <w:rFonts w:ascii="Times New Roman" w:hAnsi="Times New Roman" w:cs="Times New Roman"/>
                <w:i/>
                <w:sz w:val="18"/>
                <w:szCs w:val="14"/>
                <w:lang w:val="ro-RO"/>
              </w:rPr>
              <w:t xml:space="preserve"> H4 “</w:t>
            </w:r>
            <w:r w:rsidR="00FD5F1C" w:rsidRPr="009C5F11">
              <w:rPr>
                <w:rFonts w:ascii="Times New Roman" w:hAnsi="Times New Roman" w:cs="Times New Roman"/>
                <w:i/>
                <w:sz w:val="18"/>
                <w:szCs w:val="14"/>
                <w:lang w:val="ro-RO"/>
              </w:rPr>
              <w:t>Promovarea</w:t>
            </w:r>
            <w:r w:rsidR="00BC2ED4" w:rsidRPr="009C5F11">
              <w:rPr>
                <w:rFonts w:ascii="Times New Roman" w:hAnsi="Times New Roman" w:cs="Times New Roman"/>
                <w:i/>
                <w:sz w:val="18"/>
                <w:szCs w:val="14"/>
                <w:lang w:val="ro-RO"/>
              </w:rPr>
              <w:t xml:space="preserve"> </w:t>
            </w:r>
            <w:r w:rsidR="003D35EE" w:rsidRPr="009C5F11">
              <w:rPr>
                <w:rFonts w:ascii="Times New Roman" w:hAnsi="Times New Roman" w:cs="Times New Roman"/>
                <w:i/>
                <w:sz w:val="18"/>
                <w:szCs w:val="14"/>
                <w:lang w:val="ro-RO"/>
              </w:rPr>
              <w:t>companiilor de servicii energetice (ESCO)</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este inclusă în</w:t>
            </w:r>
            <w:r w:rsidR="00BC2ED4" w:rsidRPr="009C5F11">
              <w:rPr>
                <w:rFonts w:ascii="Times New Roman" w:hAnsi="Times New Roman" w:cs="Times New Roman"/>
                <w:i/>
                <w:sz w:val="18"/>
                <w:szCs w:val="14"/>
                <w:lang w:val="ro-RO"/>
              </w:rPr>
              <w:t xml:space="preserve"> </w:t>
            </w:r>
            <w:r w:rsidR="00872DC2" w:rsidRPr="009C5F11">
              <w:rPr>
                <w:rFonts w:ascii="Times New Roman" w:hAnsi="Times New Roman" w:cs="Times New Roman"/>
                <w:i/>
                <w:sz w:val="18"/>
                <w:szCs w:val="14"/>
                <w:lang w:val="ro-RO"/>
              </w:rPr>
              <w:t>PNAEE</w:t>
            </w:r>
            <w:r w:rsidR="00BC2ED4" w:rsidRPr="009C5F11">
              <w:rPr>
                <w:rFonts w:ascii="Times New Roman" w:hAnsi="Times New Roman" w:cs="Times New Roman"/>
                <w:i/>
                <w:sz w:val="18"/>
                <w:szCs w:val="14"/>
                <w:lang w:val="ro-RO"/>
              </w:rPr>
              <w:t xml:space="preserve"> 2016-2018</w:t>
            </w:r>
            <w:r w:rsidRPr="009C5F11">
              <w:rPr>
                <w:rFonts w:ascii="Times New Roman" w:hAnsi="Times New Roman" w:cs="Times New Roman"/>
                <w:i/>
                <w:sz w:val="18"/>
                <w:szCs w:val="14"/>
                <w:lang w:val="ro-RO"/>
              </w:rPr>
              <w:t xml:space="preserve">, preluată din </w:t>
            </w:r>
            <w:r w:rsidR="00210C2C" w:rsidRPr="009C5F11">
              <w:rPr>
                <w:rFonts w:ascii="Times New Roman" w:hAnsi="Times New Roman" w:cs="Times New Roman"/>
                <w:i/>
                <w:sz w:val="18"/>
                <w:szCs w:val="14"/>
                <w:lang w:val="ro-RO"/>
              </w:rPr>
              <w:t>PNAEE 2013-2015</w:t>
            </w:r>
            <w:r w:rsidRPr="009C5F11">
              <w:rPr>
                <w:rFonts w:ascii="Times New Roman" w:hAnsi="Times New Roman" w:cs="Times New Roman"/>
                <w:i/>
                <w:sz w:val="18"/>
                <w:szCs w:val="14"/>
                <w:lang w:val="ro-RO"/>
              </w:rPr>
              <w:t>.</w:t>
            </w:r>
          </w:p>
        </w:tc>
        <w:tc>
          <w:tcPr>
            <w:tcW w:w="438" w:type="pct"/>
            <w:shd w:val="clear" w:color="auto" w:fill="auto"/>
          </w:tcPr>
          <w:p w14:paraId="4E282A45" w14:textId="77777777" w:rsidR="00BC2ED4" w:rsidRPr="009C5F11" w:rsidRDefault="00421FA7"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ME</w:t>
            </w:r>
            <w:r w:rsidR="00BC2ED4" w:rsidRPr="009C5F11">
              <w:rPr>
                <w:rFonts w:ascii="Times New Roman" w:hAnsi="Times New Roman" w:cs="Times New Roman"/>
                <w:i/>
                <w:sz w:val="18"/>
                <w:szCs w:val="14"/>
                <w:lang w:val="ro-RO"/>
              </w:rPr>
              <w:t>,</w:t>
            </w:r>
          </w:p>
          <w:p w14:paraId="75EA7D8B" w14:textId="77777777" w:rsidR="00BC2ED4" w:rsidRPr="009C5F11" w:rsidRDefault="00AA45D2"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MF</w:t>
            </w:r>
            <w:r w:rsidR="00BC2ED4" w:rsidRPr="009C5F11">
              <w:rPr>
                <w:rFonts w:ascii="Times New Roman" w:hAnsi="Times New Roman" w:cs="Times New Roman"/>
                <w:i/>
                <w:sz w:val="18"/>
                <w:szCs w:val="14"/>
                <w:lang w:val="ro-RO"/>
              </w:rPr>
              <w:t>,</w:t>
            </w:r>
          </w:p>
          <w:p w14:paraId="3FDF2D97" w14:textId="77777777" w:rsidR="00BC2ED4" w:rsidRPr="009C5F11" w:rsidRDefault="00421FA7"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MM</w:t>
            </w:r>
          </w:p>
          <w:p w14:paraId="6FE4C980" w14:textId="77777777" w:rsidR="00BC2ED4" w:rsidRPr="009C5F11" w:rsidRDefault="00AA0566"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AEE</w:t>
            </w:r>
          </w:p>
        </w:tc>
      </w:tr>
      <w:tr w:rsidR="00341E16" w:rsidRPr="009C5F11" w14:paraId="725C4E9D" w14:textId="77777777" w:rsidTr="00732F30">
        <w:trPr>
          <w:trHeight w:val="638"/>
        </w:trPr>
        <w:tc>
          <w:tcPr>
            <w:tcW w:w="216" w:type="pct"/>
            <w:shd w:val="clear" w:color="auto" w:fill="auto"/>
          </w:tcPr>
          <w:p w14:paraId="772EECA6"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20</w:t>
            </w:r>
          </w:p>
        </w:tc>
        <w:tc>
          <w:tcPr>
            <w:tcW w:w="514" w:type="pct"/>
            <w:shd w:val="clear" w:color="auto" w:fill="auto"/>
          </w:tcPr>
          <w:p w14:paraId="5E39923E" w14:textId="77777777" w:rsidR="00BC2ED4" w:rsidRPr="009C5F11" w:rsidRDefault="00D15C6C" w:rsidP="00E376C4">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Fondul naţional pentru eficienţă energetică</w:t>
            </w:r>
            <w:r w:rsidR="00BC2ED4"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f</w:t>
            </w:r>
            <w:r w:rsidR="00B95682" w:rsidRPr="009C5F11">
              <w:rPr>
                <w:rFonts w:ascii="Times New Roman" w:hAnsi="Times New Roman" w:cs="Times New Roman"/>
                <w:i/>
                <w:sz w:val="18"/>
                <w:szCs w:val="14"/>
                <w:lang w:val="ro-RO"/>
              </w:rPr>
              <w:t>inanţare</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suport tehnic</w:t>
            </w:r>
          </w:p>
        </w:tc>
        <w:tc>
          <w:tcPr>
            <w:tcW w:w="975" w:type="pct"/>
            <w:shd w:val="clear" w:color="auto" w:fill="auto"/>
          </w:tcPr>
          <w:p w14:paraId="61AC2AC4" w14:textId="77777777" w:rsidR="00BC2ED4" w:rsidRPr="009C5F11" w:rsidRDefault="00BC2ED4" w:rsidP="00430626">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Facilita</w:t>
            </w:r>
            <w:r w:rsidR="00E376C4" w:rsidRPr="009C5F11">
              <w:rPr>
                <w:rFonts w:ascii="Times New Roman" w:hAnsi="Times New Roman" w:cs="Times New Roman"/>
                <w:i/>
                <w:sz w:val="18"/>
                <w:szCs w:val="14"/>
                <w:lang w:val="ro-RO"/>
              </w:rPr>
              <w:t>rea instituirii facilităţilor de finanţare</w:t>
            </w:r>
            <w:r w:rsidR="00321CD5" w:rsidRPr="009C5F11">
              <w:rPr>
                <w:rFonts w:ascii="Times New Roman" w:hAnsi="Times New Roman" w:cs="Times New Roman"/>
                <w:i/>
                <w:sz w:val="18"/>
                <w:szCs w:val="14"/>
                <w:lang w:val="ro-RO"/>
              </w:rPr>
              <w:t xml:space="preserve"> sau </w:t>
            </w:r>
            <w:r w:rsidR="00E376C4" w:rsidRPr="009C5F11">
              <w:rPr>
                <w:rFonts w:ascii="Times New Roman" w:hAnsi="Times New Roman" w:cs="Times New Roman"/>
                <w:i/>
                <w:sz w:val="18"/>
                <w:szCs w:val="14"/>
                <w:lang w:val="ro-RO"/>
              </w:rPr>
              <w:t>utilizarea celor existente</w:t>
            </w:r>
            <w:r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îmbunătăţirea măsurilor de EE</w:t>
            </w:r>
            <w:r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pentru</w:t>
            </w:r>
            <w:r w:rsidRPr="009C5F11">
              <w:rPr>
                <w:rFonts w:ascii="Times New Roman" w:hAnsi="Times New Roman" w:cs="Times New Roman"/>
                <w:i/>
                <w:sz w:val="18"/>
                <w:szCs w:val="14"/>
                <w:lang w:val="ro-RO"/>
              </w:rPr>
              <w:t xml:space="preserve"> maximi</w:t>
            </w:r>
            <w:r w:rsidR="00E376C4" w:rsidRPr="009C5F11">
              <w:rPr>
                <w:rFonts w:ascii="Times New Roman" w:hAnsi="Times New Roman" w:cs="Times New Roman"/>
                <w:i/>
                <w:sz w:val="18"/>
                <w:szCs w:val="14"/>
                <w:lang w:val="ro-RO"/>
              </w:rPr>
              <w:t>zarea</w:t>
            </w:r>
            <w:r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beneficiilor</w:t>
            </w:r>
            <w:r w:rsidRPr="009C5F11">
              <w:rPr>
                <w:rFonts w:ascii="Times New Roman" w:hAnsi="Times New Roman" w:cs="Times New Roman"/>
                <w:i/>
                <w:sz w:val="18"/>
                <w:szCs w:val="14"/>
                <w:lang w:val="ro-RO"/>
              </w:rPr>
              <w:t xml:space="preserve"> </w:t>
            </w:r>
            <w:r w:rsidR="00E376C4" w:rsidRPr="009C5F11">
              <w:rPr>
                <w:rFonts w:ascii="Times New Roman" w:hAnsi="Times New Roman" w:cs="Times New Roman"/>
                <w:i/>
                <w:sz w:val="18"/>
                <w:szCs w:val="14"/>
                <w:lang w:val="ro-RO"/>
              </w:rPr>
              <w:t xml:space="preserve">fluxurilor </w:t>
            </w:r>
            <w:r w:rsidRPr="009C5F11">
              <w:rPr>
                <w:rFonts w:ascii="Times New Roman" w:hAnsi="Times New Roman" w:cs="Times New Roman"/>
                <w:i/>
                <w:sz w:val="18"/>
                <w:szCs w:val="14"/>
                <w:lang w:val="ro-RO"/>
              </w:rPr>
              <w:t>multiple</w:t>
            </w:r>
            <w:r w:rsidR="00E376C4" w:rsidRPr="009C5F11">
              <w:rPr>
                <w:rFonts w:ascii="Times New Roman" w:hAnsi="Times New Roman" w:cs="Times New Roman"/>
                <w:i/>
                <w:sz w:val="18"/>
                <w:szCs w:val="14"/>
                <w:lang w:val="ro-RO"/>
              </w:rPr>
              <w:t xml:space="preserve"> de finanţare. </w:t>
            </w:r>
          </w:p>
          <w:p w14:paraId="24F17DAB" w14:textId="77777777" w:rsidR="00BC2ED4" w:rsidRPr="009C5F11" w:rsidRDefault="00E376C4" w:rsidP="00E376C4">
            <w:pPr>
              <w:spacing w:before="120" w:after="120" w:line="240" w:lineRule="auto"/>
              <w:rPr>
                <w:rFonts w:ascii="Times New Roman" w:hAnsi="Times New Roman" w:cs="Times New Roman"/>
                <w:i/>
                <w:sz w:val="18"/>
                <w:szCs w:val="14"/>
                <w:lang w:val="ro-RO"/>
              </w:rPr>
            </w:pPr>
            <w:r w:rsidRPr="009C5F11">
              <w:rPr>
                <w:rFonts w:ascii="Times New Roman" w:hAnsi="Times New Roman" w:cs="Times New Roman"/>
                <w:i/>
                <w:sz w:val="18"/>
                <w:szCs w:val="14"/>
                <w:lang w:val="ro-RO"/>
              </w:rPr>
              <w:t>Crearea unui</w:t>
            </w:r>
            <w:r w:rsidR="00BC2ED4" w:rsidRPr="009C5F11">
              <w:rPr>
                <w:rFonts w:ascii="Times New Roman" w:hAnsi="Times New Roman" w:cs="Times New Roman"/>
                <w:i/>
                <w:sz w:val="18"/>
                <w:szCs w:val="14"/>
                <w:lang w:val="ro-RO"/>
              </w:rPr>
              <w:t xml:space="preserve"> </w:t>
            </w:r>
            <w:r w:rsidR="00D15C6C" w:rsidRPr="009C5F11">
              <w:rPr>
                <w:rFonts w:ascii="Times New Roman" w:hAnsi="Times New Roman" w:cs="Times New Roman"/>
                <w:i/>
                <w:sz w:val="18"/>
                <w:szCs w:val="14"/>
                <w:lang w:val="ro-RO"/>
              </w:rPr>
              <w:t xml:space="preserve">Fond naţional </w:t>
            </w:r>
            <w:r w:rsidRPr="009C5F11">
              <w:rPr>
                <w:rFonts w:ascii="Times New Roman" w:hAnsi="Times New Roman" w:cs="Times New Roman"/>
                <w:i/>
                <w:sz w:val="18"/>
                <w:szCs w:val="14"/>
                <w:lang w:val="ro-RO"/>
              </w:rPr>
              <w:t>de</w:t>
            </w:r>
            <w:r w:rsidR="00D15C6C" w:rsidRPr="009C5F11">
              <w:rPr>
                <w:rFonts w:ascii="Times New Roman" w:hAnsi="Times New Roman" w:cs="Times New Roman"/>
                <w:i/>
                <w:sz w:val="18"/>
                <w:szCs w:val="14"/>
                <w:lang w:val="ro-RO"/>
              </w:rPr>
              <w:t xml:space="preserve"> eficienţă energetică</w:t>
            </w:r>
            <w:r w:rsidRPr="009C5F11">
              <w:rPr>
                <w:rFonts w:ascii="Times New Roman" w:hAnsi="Times New Roman" w:cs="Times New Roman"/>
                <w:i/>
                <w:sz w:val="18"/>
                <w:szCs w:val="14"/>
                <w:lang w:val="ro-RO"/>
              </w:rPr>
              <w:t>.</w:t>
            </w:r>
          </w:p>
        </w:tc>
        <w:tc>
          <w:tcPr>
            <w:tcW w:w="619" w:type="pct"/>
            <w:shd w:val="clear" w:color="auto" w:fill="auto"/>
          </w:tcPr>
          <w:p w14:paraId="5F6EC224" w14:textId="77777777" w:rsidR="00BC2ED4" w:rsidRPr="009C5F11" w:rsidRDefault="00BC2ED4"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15.10.2017</w:t>
            </w:r>
          </w:p>
        </w:tc>
        <w:tc>
          <w:tcPr>
            <w:tcW w:w="1097" w:type="pct"/>
          </w:tcPr>
          <w:p w14:paraId="371AC1AF" w14:textId="77777777" w:rsidR="00BC2ED4" w:rsidRPr="009C5F11" w:rsidRDefault="00341E16" w:rsidP="004A2281">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Promovarea</w:t>
            </w:r>
            <w:r w:rsidR="00BC2ED4" w:rsidRPr="009C5F11">
              <w:rPr>
                <w:rFonts w:ascii="Times New Roman" w:hAnsi="Times New Roman" w:cs="Times New Roman"/>
                <w:i/>
                <w:sz w:val="18"/>
                <w:szCs w:val="14"/>
                <w:lang w:val="ro-RO"/>
              </w:rPr>
              <w:t xml:space="preserve"> </w:t>
            </w:r>
            <w:r w:rsidR="00C55F0D" w:rsidRPr="009C5F11">
              <w:rPr>
                <w:rFonts w:ascii="Times New Roman" w:hAnsi="Times New Roman" w:cs="Times New Roman"/>
                <w:i/>
                <w:sz w:val="18"/>
                <w:szCs w:val="14"/>
                <w:lang w:val="ro-RO"/>
              </w:rPr>
              <w:t>stimulentel</w:t>
            </w:r>
            <w:r w:rsidR="00147585" w:rsidRPr="009C5F11">
              <w:rPr>
                <w:rFonts w:ascii="Times New Roman" w:hAnsi="Times New Roman" w:cs="Times New Roman"/>
                <w:i/>
                <w:sz w:val="18"/>
                <w:szCs w:val="14"/>
                <w:lang w:val="ro-RO"/>
              </w:rPr>
              <w:t>or</w:t>
            </w:r>
            <w:r w:rsidR="00C55F0D" w:rsidRPr="009C5F11">
              <w:rPr>
                <w:rFonts w:ascii="Times New Roman" w:hAnsi="Times New Roman" w:cs="Times New Roman"/>
                <w:i/>
                <w:sz w:val="18"/>
                <w:szCs w:val="14"/>
                <w:lang w:val="ro-RO"/>
              </w:rPr>
              <w:t xml:space="preserve"> financiare</w:t>
            </w:r>
            <w:r w:rsidR="00BC2ED4" w:rsidRPr="009C5F11">
              <w:rPr>
                <w:rFonts w:ascii="Times New Roman" w:hAnsi="Times New Roman" w:cs="Times New Roman"/>
                <w:i/>
                <w:sz w:val="18"/>
                <w:szCs w:val="14"/>
                <w:lang w:val="ro-RO"/>
              </w:rPr>
              <w:t xml:space="preserve"> </w:t>
            </w:r>
            <w:r w:rsidR="00147585" w:rsidRPr="009C5F11">
              <w:rPr>
                <w:rFonts w:ascii="Times New Roman" w:hAnsi="Times New Roman" w:cs="Times New Roman"/>
                <w:i/>
                <w:sz w:val="18"/>
                <w:szCs w:val="14"/>
                <w:lang w:val="ro-RO"/>
              </w:rPr>
              <w:t xml:space="preserve">pentru efectuarea </w:t>
            </w:r>
            <w:r w:rsidR="00BC2ED4" w:rsidRPr="009C5F11">
              <w:rPr>
                <w:rFonts w:ascii="Times New Roman" w:hAnsi="Times New Roman" w:cs="Times New Roman"/>
                <w:i/>
                <w:sz w:val="18"/>
                <w:szCs w:val="14"/>
                <w:lang w:val="ro-RO"/>
              </w:rPr>
              <w:t>invest</w:t>
            </w:r>
            <w:r w:rsidR="00147585" w:rsidRPr="009C5F11">
              <w:rPr>
                <w:rFonts w:ascii="Times New Roman" w:hAnsi="Times New Roman" w:cs="Times New Roman"/>
                <w:i/>
                <w:sz w:val="18"/>
                <w:szCs w:val="14"/>
                <w:lang w:val="ro-RO"/>
              </w:rPr>
              <w:t xml:space="preserve">iţiilor în scopul acumulării </w:t>
            </w:r>
            <w:r w:rsidR="004424A0" w:rsidRPr="009C5F11">
              <w:rPr>
                <w:rFonts w:ascii="Times New Roman" w:hAnsi="Times New Roman" w:cs="Times New Roman"/>
                <w:i/>
                <w:sz w:val="18"/>
                <w:szCs w:val="14"/>
                <w:lang w:val="ro-RO"/>
              </w:rPr>
              <w:t>economii</w:t>
            </w:r>
            <w:r w:rsidR="00147585" w:rsidRPr="009C5F11">
              <w:rPr>
                <w:rFonts w:ascii="Times New Roman" w:hAnsi="Times New Roman" w:cs="Times New Roman"/>
                <w:i/>
                <w:sz w:val="18"/>
                <w:szCs w:val="14"/>
                <w:lang w:val="ro-RO"/>
              </w:rPr>
              <w:t>lor</w:t>
            </w:r>
            <w:r w:rsidR="004424A0" w:rsidRPr="009C5F11">
              <w:rPr>
                <w:rFonts w:ascii="Times New Roman" w:hAnsi="Times New Roman" w:cs="Times New Roman"/>
                <w:i/>
                <w:sz w:val="18"/>
                <w:szCs w:val="14"/>
                <w:lang w:val="ro-RO"/>
              </w:rPr>
              <w:t xml:space="preserve"> de energie</w:t>
            </w:r>
            <w:r w:rsidR="00147585" w:rsidRPr="009C5F11">
              <w:rPr>
                <w:rFonts w:ascii="Times New Roman" w:hAnsi="Times New Roman" w:cs="Times New Roman"/>
                <w:i/>
                <w:sz w:val="18"/>
                <w:szCs w:val="14"/>
                <w:lang w:val="ro-RO"/>
              </w:rPr>
              <w:t>.</w:t>
            </w:r>
          </w:p>
        </w:tc>
        <w:tc>
          <w:tcPr>
            <w:tcW w:w="1141" w:type="pct"/>
            <w:shd w:val="clear" w:color="auto" w:fill="auto"/>
          </w:tcPr>
          <w:p w14:paraId="188531EA" w14:textId="77777777" w:rsidR="00BC2ED4" w:rsidRPr="009C5F11" w:rsidRDefault="00147585" w:rsidP="00430626">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 xml:space="preserve">Este instituit </w:t>
            </w:r>
            <w:r w:rsidR="00AA0566" w:rsidRPr="009C5F11">
              <w:rPr>
                <w:rFonts w:ascii="Times New Roman" w:hAnsi="Times New Roman" w:cs="Times New Roman"/>
                <w:i/>
                <w:sz w:val="18"/>
                <w:szCs w:val="14"/>
                <w:lang w:val="ro-RO"/>
              </w:rPr>
              <w:t>FEE</w:t>
            </w:r>
            <w:r w:rsidR="00BC2ED4" w:rsidRPr="009C5F11">
              <w:rPr>
                <w:rFonts w:ascii="Times New Roman" w:hAnsi="Times New Roman" w:cs="Times New Roman"/>
                <w:i/>
                <w:sz w:val="18"/>
                <w:szCs w:val="14"/>
                <w:lang w:val="ro-RO"/>
              </w:rPr>
              <w:t xml:space="preserve"> </w:t>
            </w:r>
            <w:r w:rsidRPr="009C5F11">
              <w:rPr>
                <w:rFonts w:ascii="Times New Roman" w:hAnsi="Times New Roman" w:cs="Times New Roman"/>
                <w:i/>
                <w:sz w:val="18"/>
                <w:szCs w:val="14"/>
                <w:lang w:val="ro-RO"/>
              </w:rPr>
              <w:t>care demonstrează</w:t>
            </w:r>
            <w:r w:rsidR="00BC2ED4" w:rsidRPr="009C5F11">
              <w:rPr>
                <w:rFonts w:ascii="Times New Roman" w:hAnsi="Times New Roman" w:cs="Times New Roman"/>
                <w:i/>
                <w:sz w:val="18"/>
                <w:szCs w:val="14"/>
                <w:lang w:val="ro-RO"/>
              </w:rPr>
              <w:t xml:space="preserve"> </w:t>
            </w:r>
            <w:r w:rsidR="00E10BE5" w:rsidRPr="009C5F11">
              <w:rPr>
                <w:rFonts w:ascii="Times New Roman" w:hAnsi="Times New Roman" w:cs="Times New Roman"/>
                <w:i/>
                <w:sz w:val="18"/>
                <w:szCs w:val="14"/>
                <w:lang w:val="ro-RO"/>
              </w:rPr>
              <w:t>rezultate</w:t>
            </w:r>
            <w:r w:rsidRPr="009C5F11">
              <w:rPr>
                <w:rFonts w:ascii="Times New Roman" w:hAnsi="Times New Roman" w:cs="Times New Roman"/>
                <w:i/>
                <w:sz w:val="18"/>
                <w:szCs w:val="14"/>
                <w:lang w:val="ro-RO"/>
              </w:rPr>
              <w:t xml:space="preserve"> tangibile</w:t>
            </w:r>
            <w:r w:rsidR="00BC2ED4" w:rsidRPr="009C5F11">
              <w:rPr>
                <w:rFonts w:ascii="Times New Roman" w:hAnsi="Times New Roman" w:cs="Times New Roman"/>
                <w:i/>
                <w:sz w:val="18"/>
                <w:szCs w:val="14"/>
                <w:lang w:val="ro-RO"/>
              </w:rPr>
              <w:t>.</w:t>
            </w:r>
          </w:p>
          <w:p w14:paraId="48D8A198" w14:textId="77777777" w:rsidR="00BC2ED4" w:rsidRPr="009C5F11" w:rsidRDefault="00147585" w:rsidP="00147585">
            <w:pPr>
              <w:spacing w:before="120" w:after="12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L</w:t>
            </w:r>
            <w:r w:rsidR="007F6775" w:rsidRPr="009C5F11">
              <w:rPr>
                <w:rFonts w:ascii="Times New Roman" w:hAnsi="Times New Roman" w:cs="Times New Roman"/>
                <w:i/>
                <w:sz w:val="18"/>
                <w:szCs w:val="14"/>
                <w:lang w:val="ro-RO"/>
              </w:rPr>
              <w:t>egislaţi</w:t>
            </w:r>
            <w:r w:rsidRPr="009C5F11">
              <w:rPr>
                <w:rFonts w:ascii="Times New Roman" w:hAnsi="Times New Roman" w:cs="Times New Roman"/>
                <w:i/>
                <w:sz w:val="18"/>
                <w:szCs w:val="14"/>
                <w:lang w:val="ro-RO"/>
              </w:rPr>
              <w:t xml:space="preserve">a financiară în vigoare permite </w:t>
            </w:r>
            <w:r w:rsidR="00BC2ED4" w:rsidRPr="009C5F11">
              <w:rPr>
                <w:rFonts w:ascii="Times New Roman" w:hAnsi="Times New Roman" w:cs="Times New Roman"/>
                <w:i/>
                <w:sz w:val="18"/>
                <w:szCs w:val="14"/>
                <w:lang w:val="ro-RO"/>
              </w:rPr>
              <w:t>existen</w:t>
            </w:r>
            <w:r w:rsidRPr="009C5F11">
              <w:rPr>
                <w:rFonts w:ascii="Times New Roman" w:hAnsi="Times New Roman" w:cs="Times New Roman"/>
                <w:i/>
                <w:sz w:val="18"/>
                <w:szCs w:val="14"/>
                <w:lang w:val="ro-RO"/>
              </w:rPr>
              <w:t>ţa</w:t>
            </w:r>
            <w:r w:rsidR="00321CD5" w:rsidRPr="009C5F11">
              <w:rPr>
                <w:rFonts w:ascii="Times New Roman" w:hAnsi="Times New Roman" w:cs="Times New Roman"/>
                <w:i/>
                <w:sz w:val="18"/>
                <w:szCs w:val="14"/>
                <w:lang w:val="ro-RO"/>
              </w:rPr>
              <w:t xml:space="preserve"> şi </w:t>
            </w:r>
            <w:r w:rsidRPr="009C5F11">
              <w:rPr>
                <w:rFonts w:ascii="Times New Roman" w:hAnsi="Times New Roman" w:cs="Times New Roman"/>
                <w:i/>
                <w:sz w:val="18"/>
                <w:szCs w:val="14"/>
                <w:lang w:val="ro-RO"/>
              </w:rPr>
              <w:t xml:space="preserve">exploatarea cu </w:t>
            </w:r>
            <w:r w:rsidR="00E10BE5" w:rsidRPr="009C5F11">
              <w:rPr>
                <w:rFonts w:ascii="Times New Roman" w:hAnsi="Times New Roman" w:cs="Times New Roman"/>
                <w:i/>
                <w:sz w:val="18"/>
                <w:szCs w:val="14"/>
                <w:lang w:val="ro-RO"/>
              </w:rPr>
              <w:t>rezultate</w:t>
            </w:r>
            <w:r w:rsidRPr="009C5F11">
              <w:rPr>
                <w:rFonts w:ascii="Times New Roman" w:hAnsi="Times New Roman" w:cs="Times New Roman"/>
                <w:i/>
                <w:sz w:val="18"/>
                <w:szCs w:val="14"/>
                <w:lang w:val="ro-RO"/>
              </w:rPr>
              <w:t xml:space="preserve"> tangibile a unor astfel de </w:t>
            </w:r>
            <w:r w:rsidR="00BC2ED4" w:rsidRPr="009C5F11">
              <w:rPr>
                <w:rFonts w:ascii="Times New Roman" w:hAnsi="Times New Roman" w:cs="Times New Roman"/>
                <w:i/>
                <w:sz w:val="18"/>
                <w:szCs w:val="14"/>
                <w:lang w:val="ro-RO"/>
              </w:rPr>
              <w:t>facilitator</w:t>
            </w:r>
            <w:r w:rsidRPr="009C5F11">
              <w:rPr>
                <w:rFonts w:ascii="Times New Roman" w:hAnsi="Times New Roman" w:cs="Times New Roman"/>
                <w:i/>
                <w:sz w:val="18"/>
                <w:szCs w:val="14"/>
                <w:lang w:val="ro-RO"/>
              </w:rPr>
              <w:t>i cum sunt</w:t>
            </w:r>
            <w:r w:rsidR="00BC2ED4" w:rsidRPr="009C5F11">
              <w:rPr>
                <w:rFonts w:ascii="Times New Roman" w:hAnsi="Times New Roman" w:cs="Times New Roman"/>
                <w:i/>
                <w:sz w:val="18"/>
                <w:szCs w:val="14"/>
                <w:lang w:val="ro-RO"/>
              </w:rPr>
              <w:t xml:space="preserve"> MoSEFF, </w:t>
            </w:r>
            <w:r w:rsidR="004424A0" w:rsidRPr="009C5F11">
              <w:rPr>
                <w:rFonts w:ascii="Times New Roman" w:hAnsi="Times New Roman" w:cs="Times New Roman"/>
                <w:i/>
                <w:sz w:val="18"/>
                <w:szCs w:val="14"/>
                <w:lang w:val="ro-RO"/>
              </w:rPr>
              <w:t>MoREEFF</w:t>
            </w:r>
            <w:r w:rsidRPr="009C5F11">
              <w:rPr>
                <w:rFonts w:ascii="Times New Roman" w:hAnsi="Times New Roman" w:cs="Times New Roman"/>
                <w:i/>
                <w:sz w:val="18"/>
                <w:szCs w:val="14"/>
                <w:lang w:val="ro-RO"/>
              </w:rPr>
              <w:t>.</w:t>
            </w:r>
          </w:p>
        </w:tc>
        <w:tc>
          <w:tcPr>
            <w:tcW w:w="438" w:type="pct"/>
            <w:shd w:val="clear" w:color="auto" w:fill="auto"/>
          </w:tcPr>
          <w:p w14:paraId="39BC17EA" w14:textId="77777777" w:rsidR="00BC2ED4" w:rsidRPr="009C5F11" w:rsidRDefault="00AA45D2"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MF</w:t>
            </w:r>
          </w:p>
          <w:p w14:paraId="7FEE41B9" w14:textId="77777777" w:rsidR="00BC2ED4" w:rsidRPr="009C5F11" w:rsidRDefault="00AA0566" w:rsidP="00430626">
            <w:pPr>
              <w:spacing w:after="0" w:line="240" w:lineRule="auto"/>
              <w:jc w:val="both"/>
              <w:rPr>
                <w:rFonts w:ascii="Times New Roman" w:hAnsi="Times New Roman" w:cs="Times New Roman"/>
                <w:i/>
                <w:sz w:val="18"/>
                <w:szCs w:val="14"/>
                <w:lang w:val="ro-RO"/>
              </w:rPr>
            </w:pPr>
            <w:r w:rsidRPr="009C5F11">
              <w:rPr>
                <w:rFonts w:ascii="Times New Roman" w:hAnsi="Times New Roman" w:cs="Times New Roman"/>
                <w:i/>
                <w:sz w:val="18"/>
                <w:szCs w:val="14"/>
                <w:lang w:val="ro-RO"/>
              </w:rPr>
              <w:t>AEE</w:t>
            </w:r>
          </w:p>
        </w:tc>
      </w:tr>
    </w:tbl>
    <w:p w14:paraId="5A40D957" w14:textId="77777777" w:rsidR="00BC2ED4" w:rsidRPr="009C5F11" w:rsidRDefault="00BC2ED4" w:rsidP="00BC2ED4">
      <w:pPr>
        <w:spacing w:before="120" w:after="120" w:line="240" w:lineRule="auto"/>
        <w:jc w:val="both"/>
        <w:rPr>
          <w:rFonts w:ascii="Times New Roman" w:hAnsi="Times New Roman" w:cs="Times New Roman"/>
          <w:i/>
          <w:sz w:val="24"/>
          <w:lang w:val="ro-RO"/>
        </w:rPr>
      </w:pPr>
    </w:p>
    <w:p w14:paraId="04DEC5A3" w14:textId="77777777" w:rsidR="00BC2ED4" w:rsidRPr="009C5F11" w:rsidRDefault="00BC2ED4" w:rsidP="00BC2ED4">
      <w:pPr>
        <w:spacing w:before="120" w:after="120" w:line="240" w:lineRule="auto"/>
        <w:jc w:val="both"/>
        <w:rPr>
          <w:rFonts w:ascii="Times New Roman" w:hAnsi="Times New Roman" w:cs="Times New Roman"/>
          <w:i/>
          <w:sz w:val="24"/>
          <w:lang w:val="ro-RO"/>
        </w:rPr>
        <w:sectPr w:rsidR="00BC2ED4" w:rsidRPr="009C5F11" w:rsidSect="00430626">
          <w:headerReference w:type="default" r:id="rId20"/>
          <w:pgSz w:w="16840" w:h="11900" w:orient="landscape" w:code="9"/>
          <w:pgMar w:top="1440" w:right="1440" w:bottom="1440" w:left="1440" w:header="720" w:footer="720" w:gutter="0"/>
          <w:cols w:space="720"/>
          <w:docGrid w:linePitch="360"/>
        </w:sectPr>
      </w:pPr>
    </w:p>
    <w:p w14:paraId="7150A852" w14:textId="77777777" w:rsidR="00BC2ED4" w:rsidRPr="00D9464A" w:rsidRDefault="00D15C6C" w:rsidP="00B85260">
      <w:pPr>
        <w:pStyle w:val="Titlu2"/>
        <w:rPr>
          <w:rFonts w:ascii="Times New Roman" w:hAnsi="Times New Roman" w:cs="Times New Roman"/>
          <w:color w:val="000000" w:themeColor="text1"/>
          <w:sz w:val="28"/>
          <w:lang w:val="ro-RO"/>
        </w:rPr>
      </w:pPr>
      <w:bookmarkStart w:id="311" w:name="_Toc322013189"/>
      <w:bookmarkStart w:id="312" w:name="_Toc319555427"/>
      <w:r w:rsidRPr="00D9464A">
        <w:rPr>
          <w:rFonts w:ascii="Times New Roman" w:hAnsi="Times New Roman" w:cs="Times New Roman"/>
          <w:color w:val="000000" w:themeColor="text1"/>
          <w:sz w:val="28"/>
          <w:lang w:val="ro-RO"/>
        </w:rPr>
        <w:lastRenderedPageBreak/>
        <w:t>Strategia de renovare a clădirilor</w:t>
      </w:r>
      <w:bookmarkEnd w:id="311"/>
      <w:r w:rsidR="00BC2ED4" w:rsidRPr="00D9464A">
        <w:rPr>
          <w:rFonts w:ascii="Times New Roman" w:hAnsi="Times New Roman" w:cs="Times New Roman"/>
          <w:color w:val="000000" w:themeColor="text1"/>
          <w:sz w:val="28"/>
          <w:lang w:val="ro-RO"/>
        </w:rPr>
        <w:t xml:space="preserve"> </w:t>
      </w:r>
      <w:bookmarkEnd w:id="312"/>
    </w:p>
    <w:p w14:paraId="0346C2A8" w14:textId="2BCE4AC5" w:rsidR="0057041E" w:rsidRPr="009C5F11" w:rsidRDefault="00DB46B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Potrivit Articolului </w:t>
      </w:r>
      <w:r w:rsidR="00BC2ED4" w:rsidRPr="009C5F11">
        <w:rPr>
          <w:rFonts w:ascii="Times New Roman" w:hAnsi="Times New Roman" w:cs="Times New Roman"/>
          <w:sz w:val="24"/>
          <w:lang w:val="ro-RO"/>
        </w:rPr>
        <w:t xml:space="preserve">4 </w:t>
      </w:r>
      <w:r w:rsidR="00421FA7" w:rsidRPr="009C5F11">
        <w:rPr>
          <w:rFonts w:ascii="Times New Roman" w:hAnsi="Times New Roman" w:cs="Times New Roman"/>
          <w:sz w:val="24"/>
          <w:lang w:val="ro-RO"/>
        </w:rPr>
        <w:t>din DEE</w:t>
      </w:r>
      <w:r w:rsidR="00BC2ED4" w:rsidRPr="009C5F11">
        <w:rPr>
          <w:rFonts w:ascii="Times New Roman" w:hAnsi="Times New Roman" w:cs="Times New Roman"/>
          <w:sz w:val="24"/>
          <w:lang w:val="ro-RO"/>
        </w:rPr>
        <w:t xml:space="preserve">: </w:t>
      </w:r>
      <w:r w:rsidR="00BC2ED4" w:rsidRPr="009C5F11">
        <w:rPr>
          <w:rFonts w:ascii="Times New Roman" w:hAnsi="Times New Roman" w:cs="Times New Roman"/>
          <w:i/>
          <w:sz w:val="24"/>
          <w:lang w:val="ro-RO"/>
        </w:rPr>
        <w:t>“</w:t>
      </w:r>
      <w:r w:rsidR="00407671" w:rsidRPr="009C5F11">
        <w:rPr>
          <w:rFonts w:ascii="Times New Roman" w:eastAsia="Times New Roman" w:hAnsi="Times New Roman" w:cs="Times New Roman"/>
          <w:color w:val="000000"/>
          <w:sz w:val="20"/>
          <w:szCs w:val="16"/>
          <w:lang w:val="ro-RO"/>
        </w:rPr>
        <w:t xml:space="preserve"> </w:t>
      </w:r>
      <w:r w:rsidR="00407671" w:rsidRPr="009C5F11">
        <w:rPr>
          <w:rFonts w:ascii="Times New Roman" w:hAnsi="Times New Roman" w:cs="Times New Roman"/>
          <w:i/>
          <w:sz w:val="24"/>
          <w:lang w:val="ro-RO"/>
        </w:rPr>
        <w:t>Părţile contractante stabilesc o strategie pe termen lung pentru mobilizarea investițiilor în renovarea stocului de clădiri rezidențiale și comerciale, atât publice, cât și private, existente la nivel național</w:t>
      </w:r>
      <w:r w:rsidR="00BC2ED4" w:rsidRPr="009C5F11">
        <w:rPr>
          <w:rFonts w:ascii="Times New Roman" w:hAnsi="Times New Roman" w:cs="Times New Roman"/>
          <w:i/>
          <w:sz w:val="24"/>
          <w:lang w:val="ro-RO"/>
        </w:rPr>
        <w:t>.”</w:t>
      </w:r>
      <w:r w:rsidR="00BC2ED4" w:rsidRPr="009C5F11">
        <w:rPr>
          <w:rFonts w:ascii="Times New Roman" w:hAnsi="Times New Roman" w:cs="Times New Roman"/>
          <w:sz w:val="24"/>
          <w:lang w:val="ro-RO"/>
        </w:rPr>
        <w:t xml:space="preserve"> </w:t>
      </w:r>
      <w:r w:rsidR="00407671" w:rsidRPr="009C5F11">
        <w:rPr>
          <w:rFonts w:ascii="Times New Roman" w:hAnsi="Times New Roman" w:cs="Times New Roman"/>
          <w:sz w:val="24"/>
          <w:lang w:val="ro-RO"/>
        </w:rPr>
        <w:t xml:space="preserve">Prima versiune a </w:t>
      </w:r>
      <w:r w:rsidR="00BC2ED4" w:rsidRPr="009C5F11">
        <w:rPr>
          <w:rFonts w:ascii="Times New Roman" w:hAnsi="Times New Roman" w:cs="Times New Roman"/>
          <w:sz w:val="24"/>
          <w:lang w:val="ro-RO"/>
        </w:rPr>
        <w:t>strateg</w:t>
      </w:r>
      <w:r w:rsidR="00407671" w:rsidRPr="009C5F11">
        <w:rPr>
          <w:rFonts w:ascii="Times New Roman" w:hAnsi="Times New Roman" w:cs="Times New Roman"/>
          <w:sz w:val="24"/>
          <w:lang w:val="ro-RO"/>
        </w:rPr>
        <w:t xml:space="preserve">iei va fi publicată până la </w:t>
      </w:r>
      <w:r w:rsidR="00BC2ED4" w:rsidRPr="009C5F11">
        <w:rPr>
          <w:rFonts w:ascii="Times New Roman" w:hAnsi="Times New Roman" w:cs="Times New Roman"/>
          <w:sz w:val="24"/>
          <w:lang w:val="ro-RO"/>
        </w:rPr>
        <w:t xml:space="preserve">30 </w:t>
      </w:r>
      <w:r w:rsidR="000A4F6D" w:rsidRPr="009C5F11">
        <w:rPr>
          <w:rFonts w:ascii="Times New Roman" w:hAnsi="Times New Roman" w:cs="Times New Roman"/>
          <w:sz w:val="24"/>
          <w:lang w:val="ro-RO"/>
        </w:rPr>
        <w:t xml:space="preserve">martie </w:t>
      </w:r>
      <w:r w:rsidR="00BC2ED4" w:rsidRPr="009C5F11">
        <w:rPr>
          <w:rFonts w:ascii="Times New Roman" w:hAnsi="Times New Roman" w:cs="Times New Roman"/>
          <w:sz w:val="24"/>
          <w:lang w:val="ro-RO"/>
        </w:rPr>
        <w:t>2017.</w:t>
      </w:r>
    </w:p>
    <w:p w14:paraId="110D0997" w14:textId="4CA65902" w:rsidR="00BC2ED4" w:rsidRPr="009C5F11" w:rsidRDefault="00407671"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procesul de elaborare a strategiei de renovare</w:t>
      </w:r>
      <w:r w:rsidR="00BC2ED4"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MDRC</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va prelua drept bază dispoziţiile </w:t>
      </w:r>
      <w:r w:rsidR="00EA007D" w:rsidRPr="009C5F11">
        <w:rPr>
          <w:rFonts w:ascii="Times New Roman" w:hAnsi="Times New Roman" w:cs="Times New Roman"/>
          <w:sz w:val="24"/>
          <w:lang w:val="ro-RO"/>
        </w:rPr>
        <w:t>Leg</w:t>
      </w:r>
      <w:r w:rsidRPr="009C5F11">
        <w:rPr>
          <w:rFonts w:ascii="Times New Roman" w:hAnsi="Times New Roman" w:cs="Times New Roman"/>
          <w:sz w:val="24"/>
          <w:lang w:val="ro-RO"/>
        </w:rPr>
        <w:t xml:space="preserve">ii nr. </w:t>
      </w:r>
      <w:r w:rsidR="00BC2ED4" w:rsidRPr="009C5F11">
        <w:rPr>
          <w:rFonts w:ascii="Times New Roman" w:hAnsi="Times New Roman" w:cs="Times New Roman"/>
          <w:sz w:val="24"/>
          <w:lang w:val="ro-RO"/>
        </w:rPr>
        <w:t>128/2014:</w:t>
      </w:r>
    </w:p>
    <w:p w14:paraId="3C35B295" w14:textId="77777777" w:rsidR="00BC2ED4" w:rsidRPr="009C5F11" w:rsidRDefault="00BC2ED4" w:rsidP="00130A50">
      <w:pPr>
        <w:spacing w:before="120" w:after="120" w:line="240" w:lineRule="auto"/>
        <w:ind w:left="708"/>
        <w:jc w:val="both"/>
        <w:textAlignment w:val="baseline"/>
        <w:rPr>
          <w:rFonts w:ascii="Times New Roman" w:hAnsi="Times New Roman" w:cs="Times New Roman"/>
          <w:b/>
          <w:i/>
          <w:szCs w:val="18"/>
          <w:lang w:val="ro-RO"/>
        </w:rPr>
      </w:pPr>
      <w:r w:rsidRPr="009C5F11">
        <w:rPr>
          <w:rFonts w:ascii="Times New Roman" w:hAnsi="Times New Roman" w:cs="Times New Roman"/>
          <w:b/>
          <w:i/>
          <w:szCs w:val="18"/>
          <w:lang w:val="ro-RO"/>
        </w:rPr>
        <w:t xml:space="preserve">§12 </w:t>
      </w:r>
      <w:r w:rsidR="00407671" w:rsidRPr="009C5F11">
        <w:rPr>
          <w:rFonts w:ascii="Times New Roman" w:hAnsi="Times New Roman" w:cs="Times New Roman"/>
          <w:b/>
          <w:i/>
          <w:szCs w:val="18"/>
          <w:lang w:val="ro-RO"/>
        </w:rPr>
        <w:t>P</w:t>
      </w:r>
      <w:r w:rsidR="00A13B50" w:rsidRPr="009C5F11">
        <w:rPr>
          <w:rFonts w:ascii="Times New Roman" w:hAnsi="Times New Roman" w:cs="Times New Roman"/>
          <w:b/>
          <w:i/>
          <w:szCs w:val="18"/>
          <w:lang w:val="ro-RO"/>
        </w:rPr>
        <w:t>erformanţa energetică</w:t>
      </w:r>
      <w:r w:rsidRPr="009C5F11">
        <w:rPr>
          <w:rFonts w:ascii="Times New Roman" w:hAnsi="Times New Roman" w:cs="Times New Roman"/>
          <w:b/>
          <w:i/>
          <w:szCs w:val="18"/>
          <w:lang w:val="ro-RO"/>
        </w:rPr>
        <w:t xml:space="preserve"> </w:t>
      </w:r>
      <w:r w:rsidR="00693850" w:rsidRPr="009C5F11">
        <w:rPr>
          <w:rFonts w:ascii="Times New Roman" w:hAnsi="Times New Roman" w:cs="Times New Roman"/>
          <w:b/>
          <w:i/>
          <w:szCs w:val="18"/>
          <w:lang w:val="ro-RO"/>
        </w:rPr>
        <w:t xml:space="preserve">a </w:t>
      </w:r>
      <w:r w:rsidR="004A2281" w:rsidRPr="009C5F11">
        <w:rPr>
          <w:rFonts w:ascii="Times New Roman" w:hAnsi="Times New Roman" w:cs="Times New Roman"/>
          <w:b/>
          <w:i/>
          <w:szCs w:val="18"/>
          <w:lang w:val="ro-RO"/>
        </w:rPr>
        <w:t>clădirilor</w:t>
      </w:r>
      <w:r w:rsidR="00E46DD7" w:rsidRPr="009C5F11">
        <w:rPr>
          <w:rFonts w:ascii="Times New Roman" w:hAnsi="Times New Roman" w:cs="Times New Roman"/>
          <w:b/>
          <w:i/>
          <w:szCs w:val="18"/>
          <w:lang w:val="ro-RO"/>
        </w:rPr>
        <w:t xml:space="preserve"> existente</w:t>
      </w:r>
      <w:r w:rsidRPr="009C5F11">
        <w:rPr>
          <w:rFonts w:ascii="Times New Roman" w:hAnsi="Times New Roman" w:cs="Times New Roman"/>
          <w:b/>
          <w:i/>
          <w:szCs w:val="18"/>
          <w:lang w:val="ro-RO"/>
        </w:rPr>
        <w:t xml:space="preserve"> </w:t>
      </w:r>
    </w:p>
    <w:p w14:paraId="7310D7F7" w14:textId="77777777" w:rsidR="00BC2ED4" w:rsidRPr="009C5F11" w:rsidRDefault="00BC2ED4" w:rsidP="00130A50">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§12 (1) </w:t>
      </w:r>
      <w:r w:rsidR="00407671" w:rsidRPr="009C5F11">
        <w:rPr>
          <w:rFonts w:ascii="Times New Roman" w:eastAsia="Times New Roman" w:hAnsi="Times New Roman" w:cs="Times New Roman"/>
          <w:i/>
          <w:color w:val="000000"/>
          <w:szCs w:val="18"/>
          <w:lang w:val="ro-RO"/>
        </w:rPr>
        <w:t xml:space="preserve">Clădirile existente şi unităţile acestora, atunci </w:t>
      </w:r>
      <w:r w:rsidR="004A2281" w:rsidRPr="009C5F11">
        <w:rPr>
          <w:rFonts w:ascii="Times New Roman" w:eastAsia="Times New Roman" w:hAnsi="Times New Roman" w:cs="Times New Roman"/>
          <w:i/>
          <w:color w:val="000000"/>
          <w:szCs w:val="18"/>
          <w:lang w:val="ro-RO"/>
        </w:rPr>
        <w:t>când</w:t>
      </w:r>
      <w:r w:rsidR="00407671" w:rsidRPr="009C5F11">
        <w:rPr>
          <w:rFonts w:ascii="Times New Roman" w:eastAsia="Times New Roman" w:hAnsi="Times New Roman" w:cs="Times New Roman"/>
          <w:i/>
          <w:color w:val="000000"/>
          <w:szCs w:val="18"/>
          <w:lang w:val="ro-RO"/>
        </w:rPr>
        <w:t xml:space="preserve"> </w:t>
      </w:r>
      <w:r w:rsidR="004A2281" w:rsidRPr="009C5F11">
        <w:rPr>
          <w:rFonts w:ascii="Times New Roman" w:eastAsia="Times New Roman" w:hAnsi="Times New Roman" w:cs="Times New Roman"/>
          <w:i/>
          <w:color w:val="000000"/>
          <w:szCs w:val="18"/>
          <w:lang w:val="ro-RO"/>
        </w:rPr>
        <w:t>sunt</w:t>
      </w:r>
      <w:r w:rsidR="00407671" w:rsidRPr="009C5F11">
        <w:rPr>
          <w:rFonts w:ascii="Times New Roman" w:eastAsia="Times New Roman" w:hAnsi="Times New Roman" w:cs="Times New Roman"/>
          <w:i/>
          <w:color w:val="000000"/>
          <w:szCs w:val="18"/>
          <w:lang w:val="ro-RO"/>
        </w:rPr>
        <w:t xml:space="preserve"> supuse renovării majore, trebuie să întrunească cerinţele minime de performanţă energetică stabilite în conformitate cu art. 9 în măsura în care acest lucru este fezabil din punct de vedere tehnic, economic şi funcţional</w:t>
      </w:r>
      <w:r w:rsidRPr="009C5F11">
        <w:rPr>
          <w:rFonts w:ascii="Times New Roman" w:hAnsi="Times New Roman" w:cs="Times New Roman"/>
          <w:i/>
          <w:szCs w:val="18"/>
          <w:lang w:val="ro-RO"/>
        </w:rPr>
        <w:t xml:space="preserve">. </w:t>
      </w:r>
    </w:p>
    <w:p w14:paraId="683A16C3" w14:textId="77777777" w:rsidR="00BC2ED4" w:rsidRPr="009C5F11" w:rsidRDefault="00BC2ED4" w:rsidP="00130A50">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§12 (2) </w:t>
      </w:r>
      <w:r w:rsidR="00407671" w:rsidRPr="009C5F11">
        <w:rPr>
          <w:rFonts w:ascii="Times New Roman" w:eastAsia="Times New Roman" w:hAnsi="Times New Roman" w:cs="Times New Roman"/>
          <w:i/>
          <w:color w:val="000000"/>
          <w:szCs w:val="18"/>
          <w:lang w:val="ro-RO"/>
        </w:rPr>
        <w:t xml:space="preserve">Cerinţele minime de performanţă energetică </w:t>
      </w:r>
      <w:r w:rsidR="004A2281" w:rsidRPr="009C5F11">
        <w:rPr>
          <w:rFonts w:ascii="Times New Roman" w:eastAsia="Times New Roman" w:hAnsi="Times New Roman" w:cs="Times New Roman"/>
          <w:i/>
          <w:color w:val="000000"/>
          <w:szCs w:val="18"/>
          <w:lang w:val="ro-RO"/>
        </w:rPr>
        <w:t>sunt</w:t>
      </w:r>
      <w:r w:rsidR="00407671" w:rsidRPr="009C5F11">
        <w:rPr>
          <w:rFonts w:ascii="Times New Roman" w:eastAsia="Times New Roman" w:hAnsi="Times New Roman" w:cs="Times New Roman"/>
          <w:i/>
          <w:color w:val="000000"/>
          <w:szCs w:val="18"/>
          <w:lang w:val="ro-RO"/>
        </w:rPr>
        <w:t xml:space="preserve"> obligatorii pentru elementele unei clădiri existente care fac parte din anvelopa clădirii şi care au un impact semnificativ asupra performanţei energetice a acestei anvelope atunci </w:t>
      </w:r>
      <w:r w:rsidR="004A2281" w:rsidRPr="009C5F11">
        <w:rPr>
          <w:rFonts w:ascii="Times New Roman" w:eastAsia="Times New Roman" w:hAnsi="Times New Roman" w:cs="Times New Roman"/>
          <w:i/>
          <w:color w:val="000000"/>
          <w:szCs w:val="18"/>
          <w:lang w:val="ro-RO"/>
        </w:rPr>
        <w:t>când</w:t>
      </w:r>
      <w:r w:rsidR="00407671" w:rsidRPr="009C5F11">
        <w:rPr>
          <w:rFonts w:ascii="Times New Roman" w:eastAsia="Times New Roman" w:hAnsi="Times New Roman" w:cs="Times New Roman"/>
          <w:i/>
          <w:color w:val="000000"/>
          <w:szCs w:val="18"/>
          <w:lang w:val="ro-RO"/>
        </w:rPr>
        <w:t xml:space="preserve"> </w:t>
      </w:r>
      <w:r w:rsidR="004A2281" w:rsidRPr="009C5F11">
        <w:rPr>
          <w:rFonts w:ascii="Times New Roman" w:eastAsia="Times New Roman" w:hAnsi="Times New Roman" w:cs="Times New Roman"/>
          <w:i/>
          <w:color w:val="000000"/>
          <w:szCs w:val="18"/>
          <w:lang w:val="ro-RO"/>
        </w:rPr>
        <w:t>sunt</w:t>
      </w:r>
      <w:r w:rsidR="00407671" w:rsidRPr="009C5F11">
        <w:rPr>
          <w:rFonts w:ascii="Times New Roman" w:eastAsia="Times New Roman" w:hAnsi="Times New Roman" w:cs="Times New Roman"/>
          <w:i/>
          <w:color w:val="000000"/>
          <w:szCs w:val="18"/>
          <w:lang w:val="ro-RO"/>
        </w:rPr>
        <w:t xml:space="preserve"> modernizate sau înlocuite, pentru a se atinge niveluri optime din punctul de vedere al costurilor</w:t>
      </w:r>
      <w:r w:rsidRPr="009C5F11">
        <w:rPr>
          <w:rFonts w:ascii="Times New Roman" w:hAnsi="Times New Roman" w:cs="Times New Roman"/>
          <w:i/>
          <w:szCs w:val="18"/>
          <w:lang w:val="ro-RO"/>
        </w:rPr>
        <w:t>.</w:t>
      </w:r>
    </w:p>
    <w:p w14:paraId="178836BF" w14:textId="152BC17B" w:rsidR="00BC2ED4" w:rsidRPr="009C5F11" w:rsidRDefault="00334DD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În </w:t>
      </w:r>
      <w:r w:rsidR="00407671" w:rsidRPr="009C5F11">
        <w:rPr>
          <w:rFonts w:ascii="Times New Roman" w:hAnsi="Times New Roman" w:cs="Times New Roman"/>
          <w:sz w:val="24"/>
          <w:lang w:val="ro-RO"/>
        </w:rPr>
        <w:t>ace</w:t>
      </w:r>
      <w:r w:rsidR="00A13571" w:rsidRPr="009C5F11">
        <w:rPr>
          <w:rFonts w:ascii="Times New Roman" w:hAnsi="Times New Roman" w:cs="Times New Roman"/>
          <w:sz w:val="24"/>
          <w:lang w:val="ro-RO"/>
        </w:rPr>
        <w:t>st scop</w:t>
      </w:r>
      <w:r w:rsidR="00BC2ED4" w:rsidRPr="009C5F11">
        <w:rPr>
          <w:rFonts w:ascii="Times New Roman" w:hAnsi="Times New Roman" w:cs="Times New Roman"/>
          <w:sz w:val="24"/>
          <w:lang w:val="ro-RO"/>
        </w:rPr>
        <w:t xml:space="preserve"> </w:t>
      </w:r>
      <w:r w:rsidR="00407671" w:rsidRPr="009C5F11">
        <w:rPr>
          <w:rFonts w:ascii="Times New Roman" w:hAnsi="Times New Roman" w:cs="Times New Roman"/>
          <w:sz w:val="24"/>
          <w:lang w:val="ro-RO"/>
        </w:rPr>
        <w:t xml:space="preserve">vor fi realizate </w:t>
      </w:r>
      <w:r w:rsidR="00E54D88" w:rsidRPr="009C5F11">
        <w:rPr>
          <w:rFonts w:ascii="Times New Roman" w:hAnsi="Times New Roman" w:cs="Times New Roman"/>
          <w:sz w:val="24"/>
          <w:lang w:val="ro-RO"/>
        </w:rPr>
        <w:t>următoarele</w:t>
      </w:r>
      <w:r w:rsidR="00BC2ED4" w:rsidRPr="009C5F11">
        <w:rPr>
          <w:rFonts w:ascii="Times New Roman" w:hAnsi="Times New Roman" w:cs="Times New Roman"/>
          <w:sz w:val="24"/>
          <w:lang w:val="ro-RO"/>
        </w:rPr>
        <w:t xml:space="preserve"> </w:t>
      </w:r>
      <w:r w:rsidR="008F7BD5" w:rsidRPr="009C5F11">
        <w:rPr>
          <w:rFonts w:ascii="Times New Roman" w:hAnsi="Times New Roman" w:cs="Times New Roman"/>
          <w:sz w:val="24"/>
          <w:lang w:val="ro-RO"/>
        </w:rPr>
        <w:t>acţiuni</w:t>
      </w:r>
      <w:r w:rsidR="00407671" w:rsidRPr="009C5F11">
        <w:rPr>
          <w:rFonts w:ascii="Times New Roman" w:hAnsi="Times New Roman" w:cs="Times New Roman"/>
          <w:sz w:val="24"/>
          <w:lang w:val="ro-RO"/>
        </w:rPr>
        <w:t>, iar</w:t>
      </w:r>
      <w:r w:rsidR="00BC2ED4"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rezultate</w:t>
      </w:r>
      <w:r w:rsidR="00407671" w:rsidRPr="009C5F11">
        <w:rPr>
          <w:rFonts w:ascii="Times New Roman" w:hAnsi="Times New Roman" w:cs="Times New Roman"/>
          <w:sz w:val="24"/>
          <w:lang w:val="ro-RO"/>
        </w:rPr>
        <w:t xml:space="preserve">le </w:t>
      </w:r>
      <w:r w:rsidR="00336513" w:rsidRPr="009C5F11">
        <w:rPr>
          <w:rFonts w:ascii="Times New Roman" w:hAnsi="Times New Roman" w:cs="Times New Roman"/>
          <w:sz w:val="24"/>
          <w:lang w:val="ro-RO"/>
        </w:rPr>
        <w:t xml:space="preserve">acestora </w:t>
      </w:r>
      <w:r w:rsidR="00407671" w:rsidRPr="009C5F11">
        <w:rPr>
          <w:rFonts w:ascii="Times New Roman" w:hAnsi="Times New Roman" w:cs="Times New Roman"/>
          <w:sz w:val="24"/>
          <w:lang w:val="ro-RO"/>
        </w:rPr>
        <w:t xml:space="preserve">vor fi ulterior integrate </w:t>
      </w:r>
      <w:r w:rsidR="00321CD5" w:rsidRPr="009C5F11">
        <w:rPr>
          <w:rFonts w:ascii="Times New Roman" w:hAnsi="Times New Roman" w:cs="Times New Roman"/>
          <w:sz w:val="24"/>
          <w:lang w:val="ro-RO"/>
        </w:rPr>
        <w:t xml:space="preserve">în </w:t>
      </w:r>
      <w:r w:rsidR="00407671" w:rsidRPr="009C5F11">
        <w:rPr>
          <w:rFonts w:ascii="Times New Roman" w:hAnsi="Times New Roman" w:cs="Times New Roman"/>
          <w:sz w:val="24"/>
          <w:lang w:val="ro-RO"/>
        </w:rPr>
        <w:t>Strategia de r</w:t>
      </w:r>
      <w:r w:rsidR="00455A9A" w:rsidRPr="009C5F11">
        <w:rPr>
          <w:rFonts w:ascii="Times New Roman" w:hAnsi="Times New Roman" w:cs="Times New Roman"/>
          <w:sz w:val="24"/>
          <w:lang w:val="ro-RO"/>
        </w:rPr>
        <w:t>enovare</w:t>
      </w:r>
      <w:r w:rsidR="00407671" w:rsidRPr="009C5F11">
        <w:rPr>
          <w:rFonts w:ascii="Times New Roman" w:hAnsi="Times New Roman" w:cs="Times New Roman"/>
          <w:sz w:val="24"/>
          <w:lang w:val="ro-RO"/>
        </w:rPr>
        <w:t xml:space="preserve"> </w:t>
      </w:r>
      <w:r w:rsidR="00455A9A" w:rsidRPr="009C5F11">
        <w:rPr>
          <w:rFonts w:ascii="Times New Roman" w:hAnsi="Times New Roman" w:cs="Times New Roman"/>
          <w:sz w:val="24"/>
          <w:lang w:val="ro-RO"/>
        </w:rPr>
        <w:t>a clădiri</w:t>
      </w:r>
      <w:r w:rsidR="00407671" w:rsidRPr="009C5F11">
        <w:rPr>
          <w:rFonts w:ascii="Times New Roman" w:hAnsi="Times New Roman" w:cs="Times New Roman"/>
          <w:sz w:val="24"/>
          <w:lang w:val="ro-RO"/>
        </w:rPr>
        <w:t>lor menţionată la</w:t>
      </w:r>
      <w:r w:rsidR="00BC2ED4"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Articolul</w:t>
      </w:r>
      <w:r w:rsidR="00BC2ED4" w:rsidRPr="009C5F11">
        <w:rPr>
          <w:rFonts w:ascii="Times New Roman" w:hAnsi="Times New Roman" w:cs="Times New Roman"/>
          <w:sz w:val="24"/>
          <w:lang w:val="ro-RO"/>
        </w:rPr>
        <w:t xml:space="preserve"> 4 </w:t>
      </w:r>
      <w:r w:rsidR="00421FA7" w:rsidRPr="009C5F11">
        <w:rPr>
          <w:rFonts w:ascii="Times New Roman" w:hAnsi="Times New Roman" w:cs="Times New Roman"/>
          <w:sz w:val="24"/>
          <w:lang w:val="ro-RO"/>
        </w:rPr>
        <w:t>din DEE</w:t>
      </w:r>
      <w:r w:rsidR="00BC2ED4" w:rsidRPr="009C5F11">
        <w:rPr>
          <w:rFonts w:ascii="Times New Roman" w:hAnsi="Times New Roman" w:cs="Times New Roman"/>
          <w:sz w:val="24"/>
          <w:lang w:val="ro-RO"/>
        </w:rPr>
        <w:t xml:space="preserve">. </w:t>
      </w:r>
    </w:p>
    <w:p w14:paraId="5FA8F32F" w14:textId="77777777" w:rsidR="00BC2ED4" w:rsidRPr="009C5F11" w:rsidRDefault="003B351C" w:rsidP="004F6A2F">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Acestea reprezintă un mix </w:t>
      </w:r>
      <w:r w:rsidR="00BC2ED4" w:rsidRPr="009C5F11">
        <w:rPr>
          <w:rFonts w:ascii="Times New Roman" w:hAnsi="Times New Roman" w:cs="Times New Roman"/>
          <w:i/>
          <w:szCs w:val="18"/>
          <w:lang w:val="ro-RO"/>
        </w:rPr>
        <w:t>re</w:t>
      </w:r>
      <w:r w:rsidRPr="009C5F11">
        <w:rPr>
          <w:rFonts w:ascii="Times New Roman" w:hAnsi="Times New Roman" w:cs="Times New Roman"/>
          <w:i/>
          <w:szCs w:val="18"/>
          <w:lang w:val="ro-RO"/>
        </w:rPr>
        <w:t>z</w:t>
      </w:r>
      <w:r w:rsidR="00BC2ED4" w:rsidRPr="009C5F11">
        <w:rPr>
          <w:rFonts w:ascii="Times New Roman" w:hAnsi="Times New Roman" w:cs="Times New Roman"/>
          <w:i/>
          <w:szCs w:val="18"/>
          <w:lang w:val="ro-RO"/>
        </w:rPr>
        <w:t>onab</w:t>
      </w:r>
      <w:r w:rsidRPr="009C5F11">
        <w:rPr>
          <w:rFonts w:ascii="Times New Roman" w:hAnsi="Times New Roman" w:cs="Times New Roman"/>
          <w:i/>
          <w:szCs w:val="18"/>
          <w:lang w:val="ro-RO"/>
        </w:rPr>
        <w:t>i</w:t>
      </w:r>
      <w:r w:rsidR="00BC2ED4" w:rsidRPr="009C5F11">
        <w:rPr>
          <w:rFonts w:ascii="Times New Roman" w:hAnsi="Times New Roman" w:cs="Times New Roman"/>
          <w:i/>
          <w:szCs w:val="18"/>
          <w:lang w:val="ro-RO"/>
        </w:rPr>
        <w:t>l</w:t>
      </w:r>
      <w:r w:rsidRPr="009C5F11">
        <w:rPr>
          <w:rFonts w:ascii="Times New Roman" w:hAnsi="Times New Roman" w:cs="Times New Roman"/>
          <w:i/>
          <w:szCs w:val="18"/>
          <w:lang w:val="ro-RO"/>
        </w:rPr>
        <w:t xml:space="preserve"> de colectare </w:t>
      </w:r>
      <w:r w:rsidR="00452276" w:rsidRPr="009C5F11">
        <w:rPr>
          <w:rFonts w:ascii="Times New Roman" w:hAnsi="Times New Roman" w:cs="Times New Roman"/>
          <w:i/>
          <w:szCs w:val="18"/>
          <w:lang w:val="ro-RO"/>
        </w:rPr>
        <w:t xml:space="preserve">şi punere la dispoziţie </w:t>
      </w:r>
      <w:r w:rsidRPr="009C5F11">
        <w:rPr>
          <w:rFonts w:ascii="Times New Roman" w:hAnsi="Times New Roman" w:cs="Times New Roman"/>
          <w:i/>
          <w:szCs w:val="18"/>
          <w:lang w:val="ro-RO"/>
        </w:rPr>
        <w:t xml:space="preserve">a </w:t>
      </w:r>
      <w:r w:rsidR="00B40A7C" w:rsidRPr="009C5F11">
        <w:rPr>
          <w:rFonts w:ascii="Times New Roman" w:hAnsi="Times New Roman" w:cs="Times New Roman"/>
          <w:i/>
          <w:szCs w:val="18"/>
          <w:lang w:val="ro-RO"/>
        </w:rPr>
        <w:t>informaţii</w:t>
      </w:r>
      <w:r w:rsidR="00452276" w:rsidRPr="009C5F11">
        <w:rPr>
          <w:rFonts w:ascii="Times New Roman" w:hAnsi="Times New Roman" w:cs="Times New Roman"/>
          <w:i/>
          <w:szCs w:val="18"/>
          <w:lang w:val="ro-RO"/>
        </w:rPr>
        <w:t>lor</w:t>
      </w:r>
      <w:r w:rsidR="00336513" w:rsidRPr="009C5F11">
        <w:rPr>
          <w:rFonts w:ascii="Times New Roman" w:hAnsi="Times New Roman" w:cs="Times New Roman"/>
          <w:i/>
          <w:szCs w:val="18"/>
          <w:lang w:val="ro-RO"/>
        </w:rPr>
        <w:t>;</w:t>
      </w:r>
      <w:r w:rsidR="00BC2ED4" w:rsidRPr="009C5F11">
        <w:rPr>
          <w:rFonts w:ascii="Times New Roman" w:hAnsi="Times New Roman" w:cs="Times New Roman"/>
          <w:i/>
          <w:szCs w:val="18"/>
          <w:lang w:val="ro-RO"/>
        </w:rPr>
        <w:t xml:space="preserve"> plan</w:t>
      </w:r>
      <w:r w:rsidR="00452276" w:rsidRPr="009C5F11">
        <w:rPr>
          <w:rFonts w:ascii="Times New Roman" w:hAnsi="Times New Roman" w:cs="Times New Roman"/>
          <w:i/>
          <w:szCs w:val="18"/>
          <w:lang w:val="ro-RO"/>
        </w:rPr>
        <w:t>ificare</w:t>
      </w:r>
      <w:r w:rsidR="00BC2ED4" w:rsidRPr="009C5F11">
        <w:rPr>
          <w:rFonts w:ascii="Times New Roman" w:hAnsi="Times New Roman" w:cs="Times New Roman"/>
          <w:i/>
          <w:szCs w:val="18"/>
          <w:lang w:val="ro-RO"/>
        </w:rPr>
        <w:t xml:space="preserve">, </w:t>
      </w:r>
      <w:r w:rsidR="00A07A79" w:rsidRPr="009C5F11">
        <w:rPr>
          <w:rFonts w:ascii="Times New Roman" w:hAnsi="Times New Roman" w:cs="Times New Roman"/>
          <w:i/>
          <w:szCs w:val="18"/>
          <w:lang w:val="ro-RO"/>
        </w:rPr>
        <w:t>elaborare</w:t>
      </w:r>
      <w:r w:rsidR="00336513" w:rsidRPr="009C5F11">
        <w:rPr>
          <w:rFonts w:ascii="Times New Roman" w:hAnsi="Times New Roman" w:cs="Times New Roman"/>
          <w:i/>
          <w:szCs w:val="18"/>
          <w:lang w:val="ro-RO"/>
        </w:rPr>
        <w:t xml:space="preserve"> </w:t>
      </w:r>
      <w:r w:rsidR="00A07A79" w:rsidRPr="009C5F11">
        <w:rPr>
          <w:rFonts w:ascii="Times New Roman" w:hAnsi="Times New Roman" w:cs="Times New Roman"/>
          <w:i/>
          <w:szCs w:val="18"/>
          <w:lang w:val="ro-RO"/>
        </w:rPr>
        <w:t>a</w:t>
      </w:r>
      <w:r w:rsidR="00BC2ED4" w:rsidRPr="009C5F11">
        <w:rPr>
          <w:rFonts w:ascii="Times New Roman" w:hAnsi="Times New Roman" w:cs="Times New Roman"/>
          <w:i/>
          <w:szCs w:val="18"/>
          <w:lang w:val="ro-RO"/>
        </w:rPr>
        <w:t xml:space="preserve"> reg</w:t>
      </w:r>
      <w:r w:rsidR="00452276" w:rsidRPr="009C5F11">
        <w:rPr>
          <w:rFonts w:ascii="Times New Roman" w:hAnsi="Times New Roman" w:cs="Times New Roman"/>
          <w:i/>
          <w:szCs w:val="18"/>
          <w:lang w:val="ro-RO"/>
        </w:rPr>
        <w:t>lementărilor şi acordare</w:t>
      </w:r>
      <w:r w:rsidR="00336513" w:rsidRPr="009C5F11">
        <w:rPr>
          <w:rFonts w:ascii="Times New Roman" w:hAnsi="Times New Roman" w:cs="Times New Roman"/>
          <w:i/>
          <w:szCs w:val="18"/>
          <w:lang w:val="ro-RO"/>
        </w:rPr>
        <w:t xml:space="preserve"> </w:t>
      </w:r>
      <w:r w:rsidR="00452276" w:rsidRPr="009C5F11">
        <w:rPr>
          <w:rFonts w:ascii="Times New Roman" w:hAnsi="Times New Roman" w:cs="Times New Roman"/>
          <w:i/>
          <w:szCs w:val="18"/>
          <w:lang w:val="ro-RO"/>
        </w:rPr>
        <w:t>a stimulentelor</w:t>
      </w:r>
      <w:r w:rsidR="00BC2ED4" w:rsidRPr="009C5F11">
        <w:rPr>
          <w:rFonts w:ascii="Times New Roman" w:hAnsi="Times New Roman" w:cs="Times New Roman"/>
          <w:i/>
          <w:szCs w:val="18"/>
          <w:lang w:val="ro-RO"/>
        </w:rPr>
        <w:t xml:space="preserve">. </w:t>
      </w:r>
      <w:r w:rsidR="00452276" w:rsidRPr="009C5F11">
        <w:rPr>
          <w:rFonts w:ascii="Times New Roman" w:hAnsi="Times New Roman" w:cs="Times New Roman"/>
          <w:i/>
          <w:szCs w:val="18"/>
          <w:lang w:val="ro-RO"/>
        </w:rPr>
        <w:t xml:space="preserve">Cadrul eficient </w:t>
      </w:r>
      <w:r w:rsidR="00397686" w:rsidRPr="009C5F11">
        <w:rPr>
          <w:rFonts w:ascii="Times New Roman" w:hAnsi="Times New Roman" w:cs="Times New Roman"/>
          <w:i/>
          <w:szCs w:val="18"/>
          <w:lang w:val="ro-RO"/>
        </w:rPr>
        <w:t>pentru renovarea clădirilor</w:t>
      </w:r>
      <w:r w:rsidR="00BC2ED4" w:rsidRPr="009C5F11">
        <w:rPr>
          <w:rFonts w:ascii="Times New Roman" w:hAnsi="Times New Roman" w:cs="Times New Roman"/>
          <w:i/>
          <w:szCs w:val="18"/>
          <w:lang w:val="ro-RO"/>
        </w:rPr>
        <w:t xml:space="preserve"> </w:t>
      </w:r>
      <w:r w:rsidR="00452276" w:rsidRPr="009C5F11">
        <w:rPr>
          <w:rFonts w:ascii="Times New Roman" w:hAnsi="Times New Roman" w:cs="Times New Roman"/>
          <w:i/>
          <w:szCs w:val="18"/>
          <w:lang w:val="ro-RO"/>
        </w:rPr>
        <w:t xml:space="preserve">ar trebui să fie o combinaţie </w:t>
      </w:r>
      <w:r w:rsidR="004A2281" w:rsidRPr="009C5F11">
        <w:rPr>
          <w:rFonts w:ascii="Times New Roman" w:hAnsi="Times New Roman" w:cs="Times New Roman"/>
          <w:i/>
          <w:szCs w:val="18"/>
          <w:lang w:val="ro-RO"/>
        </w:rPr>
        <w:t>rezonabilă</w:t>
      </w:r>
      <w:r w:rsidR="00452276" w:rsidRPr="009C5F11">
        <w:rPr>
          <w:rFonts w:ascii="Times New Roman" w:hAnsi="Times New Roman" w:cs="Times New Roman"/>
          <w:i/>
          <w:szCs w:val="18"/>
          <w:lang w:val="ro-RO"/>
        </w:rPr>
        <w:t xml:space="preserve"> de cerinţe minime referitoare la </w:t>
      </w:r>
      <w:r w:rsidR="004E780C" w:rsidRPr="009C5F11">
        <w:rPr>
          <w:rFonts w:ascii="Times New Roman" w:hAnsi="Times New Roman" w:cs="Times New Roman"/>
          <w:i/>
          <w:szCs w:val="18"/>
          <w:lang w:val="ro-RO"/>
        </w:rPr>
        <w:t xml:space="preserve">performanţa energetică </w:t>
      </w:r>
      <w:r w:rsidR="00452276" w:rsidRPr="009C5F11">
        <w:rPr>
          <w:rFonts w:ascii="Times New Roman" w:hAnsi="Times New Roman" w:cs="Times New Roman"/>
          <w:i/>
          <w:szCs w:val="18"/>
          <w:lang w:val="ro-RO"/>
        </w:rPr>
        <w:t xml:space="preserve">bazate pe calcularea nivelului optim al costurilor, care să permită finanţarea efectivă a acţiunilor în materie de </w:t>
      </w:r>
      <w:r w:rsidR="001F5C51" w:rsidRPr="009C5F11">
        <w:rPr>
          <w:rFonts w:ascii="Times New Roman" w:hAnsi="Times New Roman" w:cs="Times New Roman"/>
          <w:i/>
          <w:szCs w:val="18"/>
          <w:lang w:val="ro-RO"/>
        </w:rPr>
        <w:t>eficienţ</w:t>
      </w:r>
      <w:r w:rsidR="00452276" w:rsidRPr="009C5F11">
        <w:rPr>
          <w:rFonts w:ascii="Times New Roman" w:hAnsi="Times New Roman" w:cs="Times New Roman"/>
          <w:i/>
          <w:szCs w:val="18"/>
          <w:lang w:val="ro-RO"/>
        </w:rPr>
        <w:t>ă</w:t>
      </w:r>
      <w:r w:rsidR="001F5C51" w:rsidRPr="009C5F11">
        <w:rPr>
          <w:rFonts w:ascii="Times New Roman" w:hAnsi="Times New Roman" w:cs="Times New Roman"/>
          <w:i/>
          <w:szCs w:val="18"/>
          <w:lang w:val="ro-RO"/>
        </w:rPr>
        <w:t xml:space="preserve"> energetic</w:t>
      </w:r>
      <w:r w:rsidR="00452276" w:rsidRPr="009C5F11">
        <w:rPr>
          <w:rFonts w:ascii="Times New Roman" w:hAnsi="Times New Roman" w:cs="Times New Roman"/>
          <w:i/>
          <w:szCs w:val="18"/>
          <w:lang w:val="ro-RO"/>
        </w:rPr>
        <w:t>ă</w:t>
      </w:r>
      <w:r w:rsidR="00BC2ED4" w:rsidRPr="009C5F11">
        <w:rPr>
          <w:rFonts w:ascii="Times New Roman" w:hAnsi="Times New Roman" w:cs="Times New Roman"/>
          <w:i/>
          <w:szCs w:val="18"/>
          <w:lang w:val="ro-RO"/>
        </w:rPr>
        <w:t xml:space="preserve"> </w:t>
      </w:r>
      <w:r w:rsidR="00321CD5" w:rsidRPr="009C5F11">
        <w:rPr>
          <w:rFonts w:ascii="Times New Roman" w:hAnsi="Times New Roman" w:cs="Times New Roman"/>
          <w:i/>
          <w:szCs w:val="18"/>
          <w:lang w:val="ro-RO"/>
        </w:rPr>
        <w:t xml:space="preserve">şi </w:t>
      </w:r>
      <w:r w:rsidR="00452276" w:rsidRPr="009C5F11">
        <w:rPr>
          <w:rFonts w:ascii="Times New Roman" w:hAnsi="Times New Roman" w:cs="Times New Roman"/>
          <w:i/>
          <w:szCs w:val="18"/>
          <w:lang w:val="ro-RO"/>
        </w:rPr>
        <w:t xml:space="preserve">cele </w:t>
      </w:r>
      <w:r w:rsidR="00BC2ED4" w:rsidRPr="009C5F11">
        <w:rPr>
          <w:rFonts w:ascii="Times New Roman" w:hAnsi="Times New Roman" w:cs="Times New Roman"/>
          <w:i/>
          <w:szCs w:val="18"/>
          <w:lang w:val="ro-RO"/>
        </w:rPr>
        <w:t>voluntar</w:t>
      </w:r>
      <w:r w:rsidR="00452276" w:rsidRPr="009C5F11">
        <w:rPr>
          <w:rFonts w:ascii="Times New Roman" w:hAnsi="Times New Roman" w:cs="Times New Roman"/>
          <w:i/>
          <w:szCs w:val="18"/>
          <w:lang w:val="ro-RO"/>
        </w:rPr>
        <w:t xml:space="preserve">e, care depăşesc </w:t>
      </w:r>
      <w:r w:rsidR="000126A5" w:rsidRPr="009C5F11">
        <w:rPr>
          <w:rFonts w:ascii="Times New Roman" w:hAnsi="Times New Roman" w:cs="Times New Roman"/>
          <w:i/>
          <w:szCs w:val="18"/>
          <w:lang w:val="ro-RO"/>
        </w:rPr>
        <w:t>cerinţele</w:t>
      </w:r>
      <w:r w:rsidR="00BC2ED4" w:rsidRPr="009C5F11">
        <w:rPr>
          <w:rFonts w:ascii="Times New Roman" w:hAnsi="Times New Roman" w:cs="Times New Roman"/>
          <w:i/>
          <w:szCs w:val="18"/>
          <w:lang w:val="ro-RO"/>
        </w:rPr>
        <w:t xml:space="preserve"> </w:t>
      </w:r>
      <w:r w:rsidR="00452276" w:rsidRPr="009C5F11">
        <w:rPr>
          <w:rFonts w:ascii="Times New Roman" w:hAnsi="Times New Roman" w:cs="Times New Roman"/>
          <w:i/>
          <w:szCs w:val="18"/>
          <w:lang w:val="ro-RO"/>
        </w:rPr>
        <w:t>minime, dar</w:t>
      </w:r>
      <w:r w:rsidR="00BC2ED4" w:rsidRPr="009C5F11">
        <w:rPr>
          <w:rFonts w:ascii="Times New Roman" w:hAnsi="Times New Roman" w:cs="Times New Roman"/>
          <w:i/>
          <w:szCs w:val="18"/>
          <w:lang w:val="ro-RO"/>
        </w:rPr>
        <w:t xml:space="preserve"> benefi</w:t>
      </w:r>
      <w:r w:rsidR="00452276" w:rsidRPr="009C5F11">
        <w:rPr>
          <w:rFonts w:ascii="Times New Roman" w:hAnsi="Times New Roman" w:cs="Times New Roman"/>
          <w:i/>
          <w:szCs w:val="18"/>
          <w:lang w:val="ro-RO"/>
        </w:rPr>
        <w:t>ciază de pe urma stimulentelor specifice realiste</w:t>
      </w:r>
      <w:r w:rsidR="00BC2ED4" w:rsidRPr="009C5F11">
        <w:rPr>
          <w:rFonts w:ascii="Times New Roman" w:hAnsi="Times New Roman" w:cs="Times New Roman"/>
          <w:i/>
          <w:szCs w:val="18"/>
          <w:lang w:val="ro-RO"/>
        </w:rPr>
        <w:t xml:space="preserve">. </w:t>
      </w:r>
      <w:r w:rsidR="00452276" w:rsidRPr="009C5F11">
        <w:rPr>
          <w:rFonts w:ascii="Times New Roman" w:hAnsi="Times New Roman" w:cs="Times New Roman"/>
          <w:i/>
          <w:szCs w:val="18"/>
          <w:lang w:val="ro-RO"/>
        </w:rPr>
        <w:t xml:space="preserve">Acest cadru ar putea fi proiectat de Strategia privind renovarea clădirilor în cazul în care dezvoltatorii cunosc </w:t>
      </w:r>
      <w:r w:rsidR="00BC2ED4" w:rsidRPr="009C5F11">
        <w:rPr>
          <w:rFonts w:ascii="Times New Roman" w:hAnsi="Times New Roman" w:cs="Times New Roman"/>
          <w:i/>
          <w:szCs w:val="18"/>
          <w:lang w:val="ro-RO"/>
        </w:rPr>
        <w:t>exact situa</w:t>
      </w:r>
      <w:r w:rsidR="00452276" w:rsidRPr="009C5F11">
        <w:rPr>
          <w:rFonts w:ascii="Times New Roman" w:hAnsi="Times New Roman" w:cs="Times New Roman"/>
          <w:i/>
          <w:szCs w:val="18"/>
          <w:lang w:val="ro-RO"/>
        </w:rPr>
        <w:t xml:space="preserve">ţia referitoare la </w:t>
      </w:r>
      <w:r w:rsidR="00336513" w:rsidRPr="009C5F11">
        <w:rPr>
          <w:rFonts w:ascii="Times New Roman" w:hAnsi="Times New Roman" w:cs="Times New Roman"/>
          <w:i/>
          <w:szCs w:val="18"/>
          <w:lang w:val="ro-RO"/>
        </w:rPr>
        <w:t>parcul imobiliar/</w:t>
      </w:r>
      <w:r w:rsidR="00BC2ED4" w:rsidRPr="009C5F11">
        <w:rPr>
          <w:rFonts w:ascii="Times New Roman" w:hAnsi="Times New Roman" w:cs="Times New Roman"/>
          <w:i/>
          <w:szCs w:val="18"/>
          <w:lang w:val="ro-RO"/>
        </w:rPr>
        <w:t>stoc</w:t>
      </w:r>
      <w:r w:rsidR="00452276" w:rsidRPr="009C5F11">
        <w:rPr>
          <w:rFonts w:ascii="Times New Roman" w:hAnsi="Times New Roman" w:cs="Times New Roman"/>
          <w:i/>
          <w:szCs w:val="18"/>
          <w:lang w:val="ro-RO"/>
        </w:rPr>
        <w:t xml:space="preserve">ul </w:t>
      </w:r>
      <w:r w:rsidR="004A2281" w:rsidRPr="009C5F11">
        <w:rPr>
          <w:rFonts w:ascii="Times New Roman" w:hAnsi="Times New Roman" w:cs="Times New Roman"/>
          <w:i/>
          <w:szCs w:val="18"/>
          <w:lang w:val="ro-RO"/>
        </w:rPr>
        <w:t>clădirilor</w:t>
      </w:r>
      <w:r w:rsidR="00BC2ED4" w:rsidRPr="009C5F11">
        <w:rPr>
          <w:rFonts w:ascii="Times New Roman" w:hAnsi="Times New Roman" w:cs="Times New Roman"/>
          <w:i/>
          <w:szCs w:val="18"/>
          <w:lang w:val="ro-RO"/>
        </w:rPr>
        <w:t xml:space="preserve"> (</w:t>
      </w:r>
      <w:r w:rsidR="00452276" w:rsidRPr="009C5F11">
        <w:rPr>
          <w:rFonts w:ascii="Times New Roman" w:hAnsi="Times New Roman" w:cs="Times New Roman"/>
          <w:i/>
          <w:szCs w:val="18"/>
          <w:lang w:val="ro-RO"/>
        </w:rPr>
        <w:t>şi proprietarii acestora</w:t>
      </w:r>
      <w:r w:rsidR="00BC2ED4" w:rsidRPr="009C5F11">
        <w:rPr>
          <w:rFonts w:ascii="Times New Roman" w:hAnsi="Times New Roman" w:cs="Times New Roman"/>
          <w:i/>
          <w:szCs w:val="18"/>
          <w:lang w:val="ro-RO"/>
        </w:rPr>
        <w:t>)</w:t>
      </w:r>
      <w:r w:rsidR="00321CD5" w:rsidRPr="009C5F11">
        <w:rPr>
          <w:rFonts w:ascii="Times New Roman" w:hAnsi="Times New Roman" w:cs="Times New Roman"/>
          <w:i/>
          <w:szCs w:val="18"/>
          <w:lang w:val="ro-RO"/>
        </w:rPr>
        <w:t xml:space="preserve"> </w:t>
      </w:r>
      <w:r w:rsidR="003826B8" w:rsidRPr="009C5F11">
        <w:rPr>
          <w:rFonts w:ascii="Times New Roman" w:hAnsi="Times New Roman" w:cs="Times New Roman"/>
          <w:i/>
          <w:szCs w:val="18"/>
          <w:lang w:val="ro-RO"/>
        </w:rPr>
        <w:t xml:space="preserve">în </w:t>
      </w:r>
      <w:r w:rsidR="00452276" w:rsidRPr="009C5F11">
        <w:rPr>
          <w:rFonts w:ascii="Times New Roman" w:hAnsi="Times New Roman" w:cs="Times New Roman"/>
          <w:i/>
          <w:szCs w:val="18"/>
          <w:lang w:val="ro-RO"/>
        </w:rPr>
        <w:t>termeni cantitat</w:t>
      </w:r>
      <w:r w:rsidR="00336513" w:rsidRPr="009C5F11">
        <w:rPr>
          <w:rFonts w:ascii="Times New Roman" w:hAnsi="Times New Roman" w:cs="Times New Roman"/>
          <w:i/>
          <w:szCs w:val="18"/>
          <w:lang w:val="ro-RO"/>
        </w:rPr>
        <w:t>ivi</w:t>
      </w:r>
      <w:r w:rsidR="00BC2ED4" w:rsidRPr="009C5F11">
        <w:rPr>
          <w:rFonts w:ascii="Times New Roman" w:hAnsi="Times New Roman" w:cs="Times New Roman"/>
          <w:i/>
          <w:szCs w:val="18"/>
          <w:lang w:val="ro-RO"/>
        </w:rPr>
        <w:t xml:space="preserve"> (m2 </w:t>
      </w:r>
      <w:r w:rsidRPr="009C5F11">
        <w:rPr>
          <w:rFonts w:ascii="Times New Roman" w:hAnsi="Times New Roman" w:cs="Times New Roman"/>
          <w:i/>
          <w:szCs w:val="18"/>
          <w:lang w:val="ro-RO"/>
        </w:rPr>
        <w:t>de suprafaţă</w:t>
      </w:r>
      <w:r w:rsidR="00BC2ED4" w:rsidRPr="009C5F11">
        <w:rPr>
          <w:rFonts w:ascii="Times New Roman" w:hAnsi="Times New Roman" w:cs="Times New Roman"/>
          <w:i/>
          <w:szCs w:val="18"/>
          <w:lang w:val="ro-RO"/>
        </w:rPr>
        <w:t>)</w:t>
      </w:r>
      <w:r w:rsidR="00321CD5" w:rsidRPr="009C5F11">
        <w:rPr>
          <w:rFonts w:ascii="Times New Roman" w:hAnsi="Times New Roman" w:cs="Times New Roman"/>
          <w:i/>
          <w:szCs w:val="18"/>
          <w:lang w:val="ro-RO"/>
        </w:rPr>
        <w:t xml:space="preserve"> şi </w:t>
      </w:r>
      <w:r w:rsidR="00407671" w:rsidRPr="009C5F11">
        <w:rPr>
          <w:rFonts w:ascii="Times New Roman" w:hAnsi="Times New Roman" w:cs="Times New Roman"/>
          <w:i/>
          <w:szCs w:val="18"/>
          <w:lang w:val="ro-RO"/>
        </w:rPr>
        <w:t>calit</w:t>
      </w:r>
      <w:r w:rsidR="00452276" w:rsidRPr="009C5F11">
        <w:rPr>
          <w:rFonts w:ascii="Times New Roman" w:hAnsi="Times New Roman" w:cs="Times New Roman"/>
          <w:i/>
          <w:szCs w:val="18"/>
          <w:lang w:val="ro-RO"/>
        </w:rPr>
        <w:t>at</w:t>
      </w:r>
      <w:r w:rsidR="00336513" w:rsidRPr="009C5F11">
        <w:rPr>
          <w:rFonts w:ascii="Times New Roman" w:hAnsi="Times New Roman" w:cs="Times New Roman"/>
          <w:i/>
          <w:szCs w:val="18"/>
          <w:lang w:val="ro-RO"/>
        </w:rPr>
        <w:t>ivi</w:t>
      </w:r>
      <w:r w:rsidR="00BC2ED4" w:rsidRPr="009C5F11">
        <w:rPr>
          <w:rFonts w:ascii="Times New Roman" w:hAnsi="Times New Roman" w:cs="Times New Roman"/>
          <w:i/>
          <w:szCs w:val="18"/>
          <w:lang w:val="ro-RO"/>
        </w:rPr>
        <w:t xml:space="preserve"> (</w:t>
      </w:r>
      <w:r w:rsidR="00A13B50" w:rsidRPr="009C5F11">
        <w:rPr>
          <w:rFonts w:ascii="Times New Roman" w:hAnsi="Times New Roman" w:cs="Times New Roman"/>
          <w:i/>
          <w:szCs w:val="18"/>
          <w:lang w:val="ro-RO"/>
        </w:rPr>
        <w:t>performanţ</w:t>
      </w:r>
      <w:r w:rsidRPr="009C5F11">
        <w:rPr>
          <w:rFonts w:ascii="Times New Roman" w:hAnsi="Times New Roman" w:cs="Times New Roman"/>
          <w:i/>
          <w:szCs w:val="18"/>
          <w:lang w:val="ro-RO"/>
        </w:rPr>
        <w:t>a</w:t>
      </w:r>
      <w:r w:rsidR="00A13B50" w:rsidRPr="009C5F11">
        <w:rPr>
          <w:rFonts w:ascii="Times New Roman" w:hAnsi="Times New Roman" w:cs="Times New Roman"/>
          <w:i/>
          <w:szCs w:val="18"/>
          <w:lang w:val="ro-RO"/>
        </w:rPr>
        <w:t xml:space="preserve"> energetic</w:t>
      </w:r>
      <w:r w:rsidRPr="009C5F11">
        <w:rPr>
          <w:rFonts w:ascii="Times New Roman" w:hAnsi="Times New Roman" w:cs="Times New Roman"/>
          <w:i/>
          <w:szCs w:val="18"/>
          <w:lang w:val="ro-RO"/>
        </w:rPr>
        <w:t>ă</w:t>
      </w:r>
      <w:r w:rsidR="00BC2ED4" w:rsidRPr="009C5F11">
        <w:rPr>
          <w:rFonts w:ascii="Times New Roman" w:hAnsi="Times New Roman" w:cs="Times New Roman"/>
          <w:i/>
          <w:szCs w:val="18"/>
          <w:lang w:val="ro-RO"/>
        </w:rPr>
        <w:t>).</w:t>
      </w:r>
    </w:p>
    <w:p w14:paraId="6F863BF2" w14:textId="77777777" w:rsidR="00BC2ED4" w:rsidRPr="009C5F11" w:rsidRDefault="00BC2ED4" w:rsidP="00334F3B">
      <w:pPr>
        <w:numPr>
          <w:ilvl w:val="0"/>
          <w:numId w:val="62"/>
        </w:numPr>
        <w:tabs>
          <w:tab w:val="left" w:pos="702"/>
          <w:tab w:val="right" w:pos="8504"/>
        </w:tabs>
        <w:spacing w:before="120" w:after="120" w:line="240" w:lineRule="auto"/>
        <w:ind w:left="1428"/>
        <w:jc w:val="both"/>
        <w:rPr>
          <w:rFonts w:ascii="Times New Roman" w:hAnsi="Times New Roman" w:cs="Times New Roman"/>
          <w:i/>
          <w:szCs w:val="18"/>
          <w:lang w:val="ro-RO"/>
        </w:rPr>
      </w:pPr>
      <w:r w:rsidRPr="009C5F11">
        <w:rPr>
          <w:rFonts w:ascii="Times New Roman" w:hAnsi="Times New Roman" w:cs="Times New Roman"/>
          <w:i/>
          <w:szCs w:val="18"/>
          <w:lang w:val="ro-RO"/>
        </w:rPr>
        <w:t>Invent</w:t>
      </w:r>
      <w:r w:rsidR="002F56C4" w:rsidRPr="009C5F11">
        <w:rPr>
          <w:rFonts w:ascii="Times New Roman" w:hAnsi="Times New Roman" w:cs="Times New Roman"/>
          <w:i/>
          <w:szCs w:val="18"/>
          <w:lang w:val="ro-RO"/>
        </w:rPr>
        <w:t>arierea</w:t>
      </w:r>
      <w:r w:rsidR="00693850" w:rsidRPr="009C5F11">
        <w:rPr>
          <w:rFonts w:ascii="Times New Roman" w:hAnsi="Times New Roman" w:cs="Times New Roman"/>
          <w:i/>
          <w:szCs w:val="18"/>
          <w:lang w:val="ro-RO"/>
        </w:rPr>
        <w:t xml:space="preserve"> </w:t>
      </w:r>
      <w:r w:rsidR="002F56C4" w:rsidRPr="009C5F11">
        <w:rPr>
          <w:rFonts w:ascii="Times New Roman" w:hAnsi="Times New Roman" w:cs="Times New Roman"/>
          <w:i/>
          <w:szCs w:val="18"/>
          <w:lang w:val="ro-RO"/>
        </w:rPr>
        <w:t xml:space="preserve">separată a </w:t>
      </w:r>
      <w:r w:rsidR="00CB649D" w:rsidRPr="009C5F11">
        <w:rPr>
          <w:rFonts w:ascii="Times New Roman" w:hAnsi="Times New Roman" w:cs="Times New Roman"/>
          <w:i/>
          <w:szCs w:val="18"/>
          <w:lang w:val="ro-RO"/>
        </w:rPr>
        <w:t>parcului imobiliar</w:t>
      </w:r>
      <w:r w:rsidRPr="009C5F11">
        <w:rPr>
          <w:rFonts w:ascii="Times New Roman" w:hAnsi="Times New Roman" w:cs="Times New Roman"/>
          <w:i/>
          <w:szCs w:val="18"/>
          <w:lang w:val="ro-RO"/>
        </w:rPr>
        <w:t xml:space="preserve"> (</w:t>
      </w:r>
      <w:r w:rsidR="002F56C4" w:rsidRPr="009C5F11">
        <w:rPr>
          <w:rFonts w:ascii="Times New Roman" w:hAnsi="Times New Roman" w:cs="Times New Roman"/>
          <w:i/>
          <w:szCs w:val="18"/>
          <w:lang w:val="ro-RO"/>
        </w:rPr>
        <w:t xml:space="preserve">construcţii </w:t>
      </w:r>
      <w:r w:rsidRPr="009C5F11">
        <w:rPr>
          <w:rFonts w:ascii="Times New Roman" w:hAnsi="Times New Roman" w:cs="Times New Roman"/>
          <w:i/>
          <w:szCs w:val="18"/>
          <w:lang w:val="ro-RO"/>
        </w:rPr>
        <w:t>public</w:t>
      </w:r>
      <w:r w:rsidR="002F56C4" w:rsidRPr="009C5F11">
        <w:rPr>
          <w:rFonts w:ascii="Times New Roman" w:hAnsi="Times New Roman" w:cs="Times New Roman"/>
          <w:i/>
          <w:szCs w:val="18"/>
          <w:lang w:val="ro-RO"/>
        </w:rPr>
        <w:t>e</w:t>
      </w:r>
      <w:r w:rsidR="00321CD5" w:rsidRPr="009C5F11">
        <w:rPr>
          <w:rFonts w:ascii="Times New Roman" w:hAnsi="Times New Roman" w:cs="Times New Roman"/>
          <w:i/>
          <w:szCs w:val="18"/>
          <w:lang w:val="ro-RO"/>
        </w:rPr>
        <w:t xml:space="preserve"> şi </w:t>
      </w:r>
      <w:r w:rsidR="00AB1710" w:rsidRPr="009C5F11">
        <w:rPr>
          <w:rFonts w:ascii="Times New Roman" w:hAnsi="Times New Roman" w:cs="Times New Roman"/>
          <w:i/>
          <w:szCs w:val="18"/>
          <w:lang w:val="ro-RO"/>
        </w:rPr>
        <w:t>rezidenţial</w:t>
      </w:r>
      <w:r w:rsidR="002F56C4" w:rsidRPr="009C5F11">
        <w:rPr>
          <w:rFonts w:ascii="Times New Roman" w:hAnsi="Times New Roman" w:cs="Times New Roman"/>
          <w:i/>
          <w:szCs w:val="18"/>
          <w:lang w:val="ro-RO"/>
        </w:rPr>
        <w:t>e</w:t>
      </w:r>
      <w:r w:rsidRPr="009C5F11">
        <w:rPr>
          <w:rFonts w:ascii="Times New Roman" w:hAnsi="Times New Roman" w:cs="Times New Roman"/>
          <w:i/>
          <w:szCs w:val="18"/>
          <w:lang w:val="ro-RO"/>
        </w:rPr>
        <w:t xml:space="preserve">, </w:t>
      </w:r>
      <w:r w:rsidR="002F56C4" w:rsidRPr="009C5F11">
        <w:rPr>
          <w:rFonts w:ascii="Times New Roman" w:hAnsi="Times New Roman" w:cs="Times New Roman"/>
          <w:i/>
          <w:szCs w:val="18"/>
          <w:lang w:val="ro-RO"/>
        </w:rPr>
        <w:t>suprafaţa</w:t>
      </w:r>
      <w:r w:rsidR="00321CD5" w:rsidRPr="009C5F11">
        <w:rPr>
          <w:rFonts w:ascii="Times New Roman" w:hAnsi="Times New Roman" w:cs="Times New Roman"/>
          <w:i/>
          <w:szCs w:val="18"/>
          <w:lang w:val="ro-RO"/>
        </w:rPr>
        <w:t xml:space="preserve"> şi </w:t>
      </w:r>
      <w:r w:rsidR="00A13B50" w:rsidRPr="009C5F11">
        <w:rPr>
          <w:rFonts w:ascii="Times New Roman" w:hAnsi="Times New Roman" w:cs="Times New Roman"/>
          <w:i/>
          <w:szCs w:val="18"/>
          <w:lang w:val="ro-RO"/>
        </w:rPr>
        <w:t>performanţa energetică</w:t>
      </w:r>
      <w:r w:rsidR="00752EBC" w:rsidRPr="009C5F11">
        <w:rPr>
          <w:rFonts w:ascii="Times New Roman" w:hAnsi="Times New Roman" w:cs="Times New Roman"/>
          <w:i/>
          <w:szCs w:val="18"/>
          <w:lang w:val="ro-RO"/>
        </w:rPr>
        <w:t>;</w:t>
      </w:r>
      <w:r w:rsidRPr="009C5F11">
        <w:rPr>
          <w:rFonts w:ascii="Times New Roman" w:hAnsi="Times New Roman" w:cs="Times New Roman"/>
          <w:i/>
          <w:szCs w:val="18"/>
          <w:lang w:val="ro-RO"/>
        </w:rPr>
        <w:t xml:space="preserve"> ca</w:t>
      </w:r>
      <w:r w:rsidR="002F56C4" w:rsidRPr="009C5F11">
        <w:rPr>
          <w:rFonts w:ascii="Times New Roman" w:hAnsi="Times New Roman" w:cs="Times New Roman"/>
          <w:i/>
          <w:szCs w:val="18"/>
          <w:lang w:val="ro-RO"/>
        </w:rPr>
        <w:t xml:space="preserve">zurile care ar trebui scutite de </w:t>
      </w:r>
      <w:r w:rsidR="00E376C4" w:rsidRPr="009C5F11">
        <w:rPr>
          <w:rFonts w:ascii="Times New Roman" w:hAnsi="Times New Roman" w:cs="Times New Roman"/>
          <w:i/>
          <w:szCs w:val="18"/>
          <w:lang w:val="ro-RO"/>
        </w:rPr>
        <w:t>renovare</w:t>
      </w:r>
      <w:r w:rsidR="00321CD5" w:rsidRPr="009C5F11">
        <w:rPr>
          <w:rFonts w:ascii="Times New Roman" w:hAnsi="Times New Roman" w:cs="Times New Roman"/>
          <w:i/>
          <w:szCs w:val="18"/>
          <w:lang w:val="ro-RO"/>
        </w:rPr>
        <w:t xml:space="preserve"> sau </w:t>
      </w:r>
      <w:r w:rsidR="002F56C4" w:rsidRPr="009C5F11">
        <w:rPr>
          <w:rFonts w:ascii="Times New Roman" w:hAnsi="Times New Roman" w:cs="Times New Roman"/>
          <w:i/>
          <w:szCs w:val="18"/>
          <w:lang w:val="ro-RO"/>
        </w:rPr>
        <w:t xml:space="preserve">de măsuri de </w:t>
      </w:r>
      <w:r w:rsidR="00E376C4" w:rsidRPr="009C5F11">
        <w:rPr>
          <w:rFonts w:ascii="Times New Roman" w:hAnsi="Times New Roman" w:cs="Times New Roman"/>
          <w:i/>
          <w:szCs w:val="18"/>
          <w:lang w:val="ro-RO"/>
        </w:rPr>
        <w:t>renovare</w:t>
      </w:r>
      <w:r w:rsidR="002F56C4" w:rsidRPr="009C5F11">
        <w:rPr>
          <w:rFonts w:ascii="Times New Roman" w:hAnsi="Times New Roman" w:cs="Times New Roman"/>
          <w:i/>
          <w:szCs w:val="18"/>
          <w:lang w:val="ro-RO"/>
        </w:rPr>
        <w:t xml:space="preserve"> ar trebui limitate în mod rezonabil</w:t>
      </w:r>
      <w:r w:rsidRPr="009C5F11">
        <w:rPr>
          <w:rFonts w:ascii="Times New Roman" w:hAnsi="Times New Roman" w:cs="Times New Roman"/>
          <w:i/>
          <w:szCs w:val="18"/>
          <w:lang w:val="ro-RO"/>
        </w:rPr>
        <w:t>)</w:t>
      </w:r>
      <w:r w:rsidR="002F56C4" w:rsidRPr="009C5F11">
        <w:rPr>
          <w:rFonts w:ascii="Times New Roman" w:hAnsi="Times New Roman" w:cs="Times New Roman"/>
          <w:i/>
          <w:szCs w:val="18"/>
          <w:lang w:val="ro-RO"/>
        </w:rPr>
        <w:t xml:space="preserve">, dar în coordonare cu inventarul </w:t>
      </w:r>
      <w:r w:rsidR="00D15C6C" w:rsidRPr="009C5F11">
        <w:rPr>
          <w:rFonts w:ascii="Times New Roman" w:hAnsi="Times New Roman" w:cs="Times New Roman"/>
          <w:i/>
          <w:szCs w:val="18"/>
          <w:lang w:val="ro-RO"/>
        </w:rPr>
        <w:t xml:space="preserve">prevăzut </w:t>
      </w:r>
      <w:r w:rsidR="002F56C4" w:rsidRPr="009C5F11">
        <w:rPr>
          <w:rFonts w:ascii="Times New Roman" w:hAnsi="Times New Roman" w:cs="Times New Roman"/>
          <w:i/>
          <w:szCs w:val="18"/>
          <w:lang w:val="ro-RO"/>
        </w:rPr>
        <w:t>la</w:t>
      </w:r>
      <w:r w:rsidRPr="009C5F11">
        <w:rPr>
          <w:rFonts w:ascii="Times New Roman" w:hAnsi="Times New Roman" w:cs="Times New Roman"/>
          <w:i/>
          <w:szCs w:val="18"/>
          <w:lang w:val="ro-RO"/>
        </w:rPr>
        <w:t xml:space="preserve"> </w:t>
      </w:r>
      <w:r w:rsidR="000A4CC7" w:rsidRPr="009C5F11">
        <w:rPr>
          <w:rFonts w:ascii="Times New Roman" w:hAnsi="Times New Roman" w:cs="Times New Roman"/>
          <w:i/>
          <w:szCs w:val="18"/>
          <w:lang w:val="ro-RO"/>
        </w:rPr>
        <w:t>Articolul</w:t>
      </w:r>
      <w:r w:rsidRPr="009C5F11">
        <w:rPr>
          <w:rFonts w:ascii="Times New Roman" w:hAnsi="Times New Roman" w:cs="Times New Roman"/>
          <w:i/>
          <w:szCs w:val="18"/>
          <w:lang w:val="ro-RO"/>
        </w:rPr>
        <w:t xml:space="preserve"> 5 </w:t>
      </w:r>
      <w:r w:rsidR="00421FA7" w:rsidRPr="009C5F11">
        <w:rPr>
          <w:rFonts w:ascii="Times New Roman" w:hAnsi="Times New Roman" w:cs="Times New Roman"/>
          <w:i/>
          <w:szCs w:val="18"/>
          <w:lang w:val="ro-RO"/>
        </w:rPr>
        <w:t>din DEE</w:t>
      </w:r>
      <w:r w:rsidRPr="009C5F11">
        <w:rPr>
          <w:rFonts w:ascii="Times New Roman" w:hAnsi="Times New Roman" w:cs="Times New Roman"/>
          <w:i/>
          <w:szCs w:val="18"/>
          <w:lang w:val="ro-RO"/>
        </w:rPr>
        <w:t>.</w:t>
      </w:r>
    </w:p>
    <w:p w14:paraId="0BB6A602" w14:textId="77777777" w:rsidR="00BC2ED4" w:rsidRPr="009C5F11" w:rsidRDefault="00B40A7C" w:rsidP="00334F3B">
      <w:pPr>
        <w:numPr>
          <w:ilvl w:val="0"/>
          <w:numId w:val="62"/>
        </w:numPr>
        <w:tabs>
          <w:tab w:val="left" w:pos="702"/>
          <w:tab w:val="left" w:pos="5040"/>
          <w:tab w:val="right" w:pos="8504"/>
        </w:tabs>
        <w:spacing w:before="120" w:after="120" w:line="240" w:lineRule="auto"/>
        <w:ind w:left="1428"/>
        <w:jc w:val="both"/>
        <w:rPr>
          <w:rFonts w:ascii="Times New Roman" w:hAnsi="Times New Roman" w:cs="Times New Roman"/>
          <w:i/>
          <w:szCs w:val="18"/>
          <w:lang w:val="ro-RO"/>
        </w:rPr>
      </w:pPr>
      <w:r w:rsidRPr="009C5F11">
        <w:rPr>
          <w:rFonts w:ascii="Times New Roman" w:hAnsi="Times New Roman" w:cs="Times New Roman"/>
          <w:i/>
          <w:szCs w:val="18"/>
          <w:lang w:val="ro-RO"/>
        </w:rPr>
        <w:t>Monitorizarea</w:t>
      </w:r>
      <w:r w:rsidR="00BC2ED4" w:rsidRPr="009C5F11">
        <w:rPr>
          <w:rFonts w:ascii="Times New Roman" w:hAnsi="Times New Roman" w:cs="Times New Roman"/>
          <w:i/>
          <w:szCs w:val="18"/>
          <w:lang w:val="ro-RO"/>
        </w:rPr>
        <w:t xml:space="preserve"> + </w:t>
      </w:r>
      <w:r w:rsidR="004E780C" w:rsidRPr="009C5F11">
        <w:rPr>
          <w:rFonts w:ascii="Times New Roman" w:hAnsi="Times New Roman" w:cs="Times New Roman"/>
          <w:i/>
          <w:szCs w:val="18"/>
          <w:lang w:val="ro-RO"/>
        </w:rPr>
        <w:t>Foaia de parcurs</w:t>
      </w:r>
      <w:r w:rsidR="00BC2ED4" w:rsidRPr="009C5F11">
        <w:rPr>
          <w:rFonts w:ascii="Times New Roman" w:hAnsi="Times New Roman" w:cs="Times New Roman"/>
          <w:i/>
          <w:szCs w:val="18"/>
          <w:lang w:val="ro-RO"/>
        </w:rPr>
        <w:t xml:space="preserve"> </w:t>
      </w:r>
      <w:r w:rsidR="004E780C" w:rsidRPr="009C5F11">
        <w:rPr>
          <w:rFonts w:ascii="Times New Roman" w:hAnsi="Times New Roman" w:cs="Times New Roman"/>
          <w:i/>
          <w:szCs w:val="18"/>
          <w:lang w:val="ro-RO"/>
        </w:rPr>
        <w:t>pentru renovarea clădirilor publice</w:t>
      </w:r>
      <w:r w:rsidR="002F56C4" w:rsidRPr="009C5F11">
        <w:rPr>
          <w:rFonts w:ascii="Times New Roman" w:hAnsi="Times New Roman" w:cs="Times New Roman"/>
          <w:i/>
          <w:szCs w:val="18"/>
          <w:lang w:val="ro-RO"/>
        </w:rPr>
        <w:t>;</w:t>
      </w:r>
    </w:p>
    <w:p w14:paraId="790B4E33" w14:textId="77777777" w:rsidR="00BC2ED4" w:rsidRPr="009C5F11" w:rsidRDefault="004E780C" w:rsidP="00334F3B">
      <w:pPr>
        <w:numPr>
          <w:ilvl w:val="0"/>
          <w:numId w:val="62"/>
        </w:numPr>
        <w:tabs>
          <w:tab w:val="left" w:pos="702"/>
          <w:tab w:val="left" w:pos="5040"/>
          <w:tab w:val="right" w:pos="8504"/>
        </w:tabs>
        <w:spacing w:before="120" w:after="120" w:line="240" w:lineRule="auto"/>
        <w:ind w:left="1428"/>
        <w:jc w:val="both"/>
        <w:rPr>
          <w:rFonts w:ascii="Times New Roman" w:hAnsi="Times New Roman" w:cs="Times New Roman"/>
          <w:i/>
          <w:szCs w:val="18"/>
          <w:lang w:val="ro-RO"/>
        </w:rPr>
      </w:pPr>
      <w:r w:rsidRPr="009C5F11">
        <w:rPr>
          <w:rFonts w:ascii="Times New Roman" w:hAnsi="Times New Roman" w:cs="Times New Roman"/>
          <w:i/>
          <w:szCs w:val="18"/>
          <w:lang w:val="ro-RO"/>
        </w:rPr>
        <w:t>Cerinţele obligatorii</w:t>
      </w:r>
      <w:r w:rsidR="00BC2ED4" w:rsidRPr="009C5F11">
        <w:rPr>
          <w:rFonts w:ascii="Times New Roman" w:hAnsi="Times New Roman" w:cs="Times New Roman"/>
          <w:i/>
          <w:szCs w:val="18"/>
          <w:lang w:val="ro-RO"/>
        </w:rPr>
        <w:t xml:space="preserve"> </w:t>
      </w:r>
      <w:r w:rsidR="002F56C4" w:rsidRPr="009C5F11">
        <w:rPr>
          <w:rFonts w:ascii="Times New Roman" w:hAnsi="Times New Roman" w:cs="Times New Roman"/>
          <w:i/>
          <w:szCs w:val="18"/>
          <w:lang w:val="ro-RO"/>
        </w:rPr>
        <w:t>prevăzute de reglementări</w:t>
      </w:r>
      <w:r w:rsidR="00BC2ED4"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performanţa energetică minimă</w:t>
      </w:r>
      <w:r w:rsidR="00BC2ED4" w:rsidRPr="009C5F11">
        <w:rPr>
          <w:rFonts w:ascii="Times New Roman" w:hAnsi="Times New Roman" w:cs="Times New Roman"/>
          <w:i/>
          <w:szCs w:val="18"/>
          <w:lang w:val="ro-RO"/>
        </w:rPr>
        <w:t>)</w:t>
      </w:r>
      <w:r w:rsidR="002F56C4" w:rsidRPr="009C5F11">
        <w:rPr>
          <w:rFonts w:ascii="Times New Roman" w:hAnsi="Times New Roman" w:cs="Times New Roman"/>
          <w:i/>
          <w:szCs w:val="18"/>
          <w:lang w:val="ro-RO"/>
        </w:rPr>
        <w:t>;</w:t>
      </w:r>
    </w:p>
    <w:p w14:paraId="41C3F290" w14:textId="77777777" w:rsidR="00BC2ED4" w:rsidRPr="009C5F11" w:rsidRDefault="004E780C" w:rsidP="00334F3B">
      <w:pPr>
        <w:numPr>
          <w:ilvl w:val="0"/>
          <w:numId w:val="62"/>
        </w:numPr>
        <w:tabs>
          <w:tab w:val="left" w:pos="702"/>
          <w:tab w:val="left" w:pos="5040"/>
          <w:tab w:val="right" w:pos="8504"/>
        </w:tabs>
        <w:spacing w:before="120" w:after="120" w:line="240" w:lineRule="auto"/>
        <w:ind w:left="1428"/>
        <w:jc w:val="both"/>
        <w:rPr>
          <w:rFonts w:ascii="Times New Roman" w:hAnsi="Times New Roman" w:cs="Times New Roman"/>
          <w:i/>
          <w:szCs w:val="18"/>
          <w:lang w:val="ro-RO"/>
        </w:rPr>
      </w:pPr>
      <w:r w:rsidRPr="009C5F11">
        <w:rPr>
          <w:rFonts w:ascii="Times New Roman" w:hAnsi="Times New Roman" w:cs="Times New Roman"/>
          <w:i/>
          <w:szCs w:val="18"/>
          <w:lang w:val="ro-RO"/>
        </w:rPr>
        <w:t>Stimulente financiare</w:t>
      </w:r>
      <w:r w:rsidR="00BC2ED4"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pentru renovarea</w:t>
      </w:r>
      <w:r w:rsidR="00BC2ED4"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clădirilor publice/rezidenţiale</w:t>
      </w:r>
      <w:r w:rsidR="00BC2ED4" w:rsidRPr="009C5F11">
        <w:rPr>
          <w:rFonts w:ascii="Times New Roman" w:hAnsi="Times New Roman" w:cs="Times New Roman"/>
          <w:i/>
          <w:szCs w:val="18"/>
          <w:lang w:val="ro-RO"/>
        </w:rPr>
        <w:t>;</w:t>
      </w:r>
    </w:p>
    <w:p w14:paraId="153D57DB" w14:textId="77777777" w:rsidR="00BC2ED4" w:rsidRPr="009C5F11" w:rsidRDefault="000235E8" w:rsidP="00334F3B">
      <w:pPr>
        <w:numPr>
          <w:ilvl w:val="0"/>
          <w:numId w:val="167"/>
        </w:numPr>
        <w:tabs>
          <w:tab w:val="left" w:pos="972"/>
          <w:tab w:val="left" w:pos="5040"/>
          <w:tab w:val="right" w:pos="8504"/>
        </w:tabs>
        <w:spacing w:after="0" w:line="240" w:lineRule="auto"/>
        <w:ind w:left="1684" w:hanging="272"/>
        <w:jc w:val="both"/>
        <w:rPr>
          <w:rFonts w:ascii="Times New Roman" w:hAnsi="Times New Roman" w:cs="Times New Roman"/>
          <w:i/>
          <w:szCs w:val="18"/>
          <w:lang w:val="ro-RO"/>
        </w:rPr>
      </w:pPr>
      <w:r w:rsidRPr="009C5F11">
        <w:rPr>
          <w:rFonts w:ascii="Times New Roman" w:hAnsi="Times New Roman" w:cs="Times New Roman"/>
          <w:i/>
          <w:szCs w:val="18"/>
          <w:lang w:val="ro-RO"/>
        </w:rPr>
        <w:t>c</w:t>
      </w:r>
      <w:r w:rsidR="002F56C4" w:rsidRPr="009C5F11">
        <w:rPr>
          <w:rFonts w:ascii="Times New Roman" w:hAnsi="Times New Roman" w:cs="Times New Roman"/>
          <w:i/>
          <w:szCs w:val="18"/>
          <w:lang w:val="ro-RO"/>
        </w:rPr>
        <w:t>redite fiscale</w:t>
      </w:r>
      <w:r w:rsidR="00BC2ED4" w:rsidRPr="009C5F11">
        <w:rPr>
          <w:rFonts w:ascii="Times New Roman" w:hAnsi="Times New Roman" w:cs="Times New Roman"/>
          <w:i/>
          <w:szCs w:val="18"/>
          <w:lang w:val="ro-RO"/>
        </w:rPr>
        <w:t xml:space="preserve">, </w:t>
      </w:r>
      <w:r w:rsidR="002F56C4" w:rsidRPr="009C5F11">
        <w:rPr>
          <w:rFonts w:ascii="Times New Roman" w:hAnsi="Times New Roman" w:cs="Times New Roman"/>
          <w:i/>
          <w:szCs w:val="18"/>
          <w:lang w:val="ro-RO"/>
        </w:rPr>
        <w:t>deduceri fiscale pentru modernizarea energetică</w:t>
      </w:r>
      <w:r w:rsidR="00BC2ED4" w:rsidRPr="009C5F11">
        <w:rPr>
          <w:rFonts w:ascii="Times New Roman" w:hAnsi="Times New Roman" w:cs="Times New Roman"/>
          <w:i/>
          <w:szCs w:val="18"/>
          <w:lang w:val="ro-RO"/>
        </w:rPr>
        <w:t xml:space="preserve">, </w:t>
      </w:r>
      <w:r w:rsidR="002F56C4" w:rsidRPr="009C5F11">
        <w:rPr>
          <w:rFonts w:ascii="Times New Roman" w:hAnsi="Times New Roman" w:cs="Times New Roman"/>
          <w:i/>
          <w:szCs w:val="18"/>
          <w:lang w:val="ro-RO"/>
        </w:rPr>
        <w:t xml:space="preserve">rată redusă TVA </w:t>
      </w:r>
      <w:r w:rsidR="004E780C" w:rsidRPr="009C5F11">
        <w:rPr>
          <w:rFonts w:ascii="Times New Roman" w:hAnsi="Times New Roman" w:cs="Times New Roman"/>
          <w:i/>
          <w:szCs w:val="18"/>
          <w:lang w:val="ro-RO"/>
        </w:rPr>
        <w:t>pentru renovare</w:t>
      </w:r>
      <w:r w:rsidR="00BC2ED4" w:rsidRPr="009C5F11">
        <w:rPr>
          <w:rFonts w:ascii="Times New Roman" w:hAnsi="Times New Roman" w:cs="Times New Roman"/>
          <w:i/>
          <w:szCs w:val="18"/>
          <w:lang w:val="ro-RO"/>
        </w:rPr>
        <w:t xml:space="preserve"> (</w:t>
      </w:r>
      <w:r w:rsidR="002F56C4" w:rsidRPr="009C5F11">
        <w:rPr>
          <w:rFonts w:ascii="Times New Roman" w:hAnsi="Times New Roman" w:cs="Times New Roman"/>
          <w:i/>
          <w:szCs w:val="18"/>
          <w:lang w:val="ro-RO"/>
        </w:rPr>
        <w:t>atât timp cât proprietarii gospodăriilor nu pretind la subvenţii publice</w:t>
      </w:r>
      <w:r w:rsidRPr="009C5F11">
        <w:rPr>
          <w:rFonts w:ascii="Times New Roman" w:hAnsi="Times New Roman" w:cs="Times New Roman"/>
          <w:i/>
          <w:szCs w:val="18"/>
          <w:lang w:val="ro-RO"/>
        </w:rPr>
        <w:t xml:space="preserve"> </w:t>
      </w:r>
      <w:r w:rsidR="002F56C4" w:rsidRPr="009C5F11">
        <w:rPr>
          <w:rFonts w:ascii="Times New Roman" w:hAnsi="Times New Roman" w:cs="Times New Roman"/>
          <w:i/>
          <w:szCs w:val="18"/>
          <w:lang w:val="ro-RO"/>
        </w:rPr>
        <w:t xml:space="preserve">pentru </w:t>
      </w:r>
      <w:r w:rsidR="008F7BD5" w:rsidRPr="009C5F11">
        <w:rPr>
          <w:rFonts w:ascii="Times New Roman" w:hAnsi="Times New Roman" w:cs="Times New Roman"/>
          <w:i/>
          <w:szCs w:val="18"/>
          <w:lang w:val="ro-RO"/>
        </w:rPr>
        <w:t>acţiunile</w:t>
      </w:r>
      <w:r w:rsidR="00BC2ED4" w:rsidRPr="009C5F11">
        <w:rPr>
          <w:rFonts w:ascii="Times New Roman" w:hAnsi="Times New Roman" w:cs="Times New Roman"/>
          <w:i/>
          <w:szCs w:val="18"/>
          <w:lang w:val="ro-RO"/>
        </w:rPr>
        <w:t xml:space="preserve"> </w:t>
      </w:r>
      <w:r w:rsidR="002F56C4" w:rsidRPr="009C5F11">
        <w:rPr>
          <w:rFonts w:ascii="Times New Roman" w:hAnsi="Times New Roman" w:cs="Times New Roman"/>
          <w:i/>
          <w:szCs w:val="18"/>
          <w:lang w:val="ro-RO"/>
        </w:rPr>
        <w:t>de EE realizate, ei pot beneficia de scutiri fiscale</w:t>
      </w:r>
      <w:r w:rsidR="00BC2ED4" w:rsidRPr="009C5F11">
        <w:rPr>
          <w:rFonts w:ascii="Times New Roman" w:hAnsi="Times New Roman" w:cs="Times New Roman"/>
          <w:i/>
          <w:szCs w:val="18"/>
          <w:lang w:val="ro-RO"/>
        </w:rPr>
        <w:t>);</w:t>
      </w:r>
    </w:p>
    <w:p w14:paraId="6D60225B" w14:textId="77777777" w:rsidR="00BC2ED4" w:rsidRPr="009C5F11" w:rsidRDefault="000235E8" w:rsidP="00334F3B">
      <w:pPr>
        <w:numPr>
          <w:ilvl w:val="0"/>
          <w:numId w:val="167"/>
        </w:numPr>
        <w:tabs>
          <w:tab w:val="left" w:pos="972"/>
          <w:tab w:val="left" w:pos="5040"/>
          <w:tab w:val="right" w:pos="8504"/>
        </w:tabs>
        <w:spacing w:after="0" w:line="240" w:lineRule="auto"/>
        <w:ind w:left="1684" w:hanging="272"/>
        <w:jc w:val="both"/>
        <w:rPr>
          <w:rFonts w:ascii="Times New Roman" w:hAnsi="Times New Roman" w:cs="Times New Roman"/>
          <w:i/>
          <w:szCs w:val="18"/>
          <w:lang w:val="ro-RO"/>
        </w:rPr>
      </w:pPr>
      <w:r w:rsidRPr="009C5F11">
        <w:rPr>
          <w:rFonts w:ascii="Times New Roman" w:hAnsi="Times New Roman" w:cs="Times New Roman"/>
          <w:i/>
          <w:szCs w:val="18"/>
          <w:lang w:val="ro-RO"/>
        </w:rPr>
        <w:t>î</w:t>
      </w:r>
      <w:r w:rsidR="00147585" w:rsidRPr="009C5F11">
        <w:rPr>
          <w:rFonts w:ascii="Times New Roman" w:hAnsi="Times New Roman" w:cs="Times New Roman"/>
          <w:i/>
          <w:szCs w:val="18"/>
          <w:lang w:val="ro-RO"/>
        </w:rPr>
        <w:t>mprumuturi</w:t>
      </w:r>
      <w:r w:rsidR="005B260C" w:rsidRPr="009C5F11">
        <w:rPr>
          <w:rFonts w:ascii="Times New Roman" w:hAnsi="Times New Roman" w:cs="Times New Roman"/>
          <w:i/>
          <w:szCs w:val="18"/>
          <w:lang w:val="ro-RO"/>
        </w:rPr>
        <w:t xml:space="preserve"> bancare</w:t>
      </w:r>
      <w:r w:rsidR="00BC2ED4" w:rsidRPr="009C5F11">
        <w:rPr>
          <w:rFonts w:ascii="Times New Roman" w:hAnsi="Times New Roman" w:cs="Times New Roman"/>
          <w:i/>
          <w:szCs w:val="18"/>
          <w:lang w:val="ro-RO"/>
        </w:rPr>
        <w:t xml:space="preserve">, </w:t>
      </w:r>
      <w:r w:rsidR="00147585" w:rsidRPr="009C5F11">
        <w:rPr>
          <w:rFonts w:ascii="Times New Roman" w:hAnsi="Times New Roman" w:cs="Times New Roman"/>
          <w:i/>
          <w:szCs w:val="18"/>
          <w:lang w:val="ro-RO"/>
        </w:rPr>
        <w:t>împrumuturi</w:t>
      </w:r>
      <w:r w:rsidR="00BC2ED4" w:rsidRPr="009C5F11">
        <w:rPr>
          <w:rFonts w:ascii="Times New Roman" w:hAnsi="Times New Roman" w:cs="Times New Roman"/>
          <w:i/>
          <w:szCs w:val="18"/>
          <w:lang w:val="ro-RO"/>
        </w:rPr>
        <w:t xml:space="preserve"> </w:t>
      </w:r>
      <w:r w:rsidR="005B260C" w:rsidRPr="009C5F11">
        <w:rPr>
          <w:rFonts w:ascii="Times New Roman" w:hAnsi="Times New Roman" w:cs="Times New Roman"/>
          <w:i/>
          <w:szCs w:val="18"/>
          <w:lang w:val="ro-RO"/>
        </w:rPr>
        <w:t>cu o dobândă redusă</w:t>
      </w:r>
      <w:r w:rsidR="00BC2ED4" w:rsidRPr="009C5F11">
        <w:rPr>
          <w:rFonts w:ascii="Times New Roman" w:hAnsi="Times New Roman" w:cs="Times New Roman"/>
          <w:i/>
          <w:szCs w:val="18"/>
          <w:lang w:val="ro-RO"/>
        </w:rPr>
        <w:t xml:space="preserve">, </w:t>
      </w:r>
      <w:r w:rsidR="005B260C" w:rsidRPr="009C5F11">
        <w:rPr>
          <w:rFonts w:ascii="Times New Roman" w:hAnsi="Times New Roman" w:cs="Times New Roman"/>
          <w:i/>
          <w:szCs w:val="18"/>
          <w:lang w:val="ro-RO"/>
        </w:rPr>
        <w:t>împrumut</w:t>
      </w:r>
      <w:r w:rsidR="00BC2ED4" w:rsidRPr="009C5F11">
        <w:rPr>
          <w:rFonts w:ascii="Times New Roman" w:hAnsi="Times New Roman" w:cs="Times New Roman"/>
          <w:i/>
          <w:szCs w:val="18"/>
          <w:lang w:val="ro-RO"/>
        </w:rPr>
        <w:t xml:space="preserve"> </w:t>
      </w:r>
      <w:r w:rsidR="00D06748" w:rsidRPr="009C5F11">
        <w:rPr>
          <w:rFonts w:ascii="Times New Roman" w:hAnsi="Times New Roman" w:cs="Times New Roman"/>
          <w:i/>
          <w:szCs w:val="18"/>
          <w:lang w:val="ro-RO"/>
        </w:rPr>
        <w:t>cu dobânda</w:t>
      </w:r>
      <w:r w:rsidR="00BC2ED4" w:rsidRPr="009C5F11">
        <w:rPr>
          <w:rFonts w:ascii="Times New Roman" w:hAnsi="Times New Roman" w:cs="Times New Roman"/>
          <w:i/>
          <w:szCs w:val="18"/>
          <w:lang w:val="ro-RO"/>
        </w:rPr>
        <w:t xml:space="preserve"> 0% (</w:t>
      </w:r>
      <w:r w:rsidR="00D06748" w:rsidRPr="009C5F11">
        <w:rPr>
          <w:rFonts w:ascii="Times New Roman" w:hAnsi="Times New Roman" w:cs="Times New Roman"/>
          <w:i/>
          <w:szCs w:val="18"/>
          <w:lang w:val="ro-RO"/>
        </w:rPr>
        <w:t xml:space="preserve">acest stimulent ar trebui agreat cu băncile participante la programul </w:t>
      </w:r>
      <w:r w:rsidR="00752EBC" w:rsidRPr="009C5F11">
        <w:rPr>
          <w:rFonts w:ascii="Times New Roman" w:hAnsi="Times New Roman" w:cs="Times New Roman"/>
          <w:i/>
          <w:szCs w:val="18"/>
          <w:lang w:val="ro-RO"/>
        </w:rPr>
        <w:t>de punere în aplicare a</w:t>
      </w:r>
      <w:r w:rsidR="00D06748" w:rsidRPr="009C5F11">
        <w:rPr>
          <w:rFonts w:ascii="Times New Roman" w:hAnsi="Times New Roman" w:cs="Times New Roman"/>
          <w:i/>
          <w:szCs w:val="18"/>
          <w:lang w:val="ro-RO"/>
        </w:rPr>
        <w:t xml:space="preserve"> lini</w:t>
      </w:r>
      <w:r w:rsidR="00752EBC" w:rsidRPr="009C5F11">
        <w:rPr>
          <w:rFonts w:ascii="Times New Roman" w:hAnsi="Times New Roman" w:cs="Times New Roman"/>
          <w:i/>
          <w:szCs w:val="18"/>
          <w:lang w:val="ro-RO"/>
        </w:rPr>
        <w:t>ei</w:t>
      </w:r>
      <w:r w:rsidR="00D06748" w:rsidRPr="009C5F11">
        <w:rPr>
          <w:rFonts w:ascii="Times New Roman" w:hAnsi="Times New Roman" w:cs="Times New Roman"/>
          <w:i/>
          <w:szCs w:val="18"/>
          <w:lang w:val="ro-RO"/>
        </w:rPr>
        <w:t xml:space="preserve"> de credit</w:t>
      </w:r>
      <w:r w:rsidR="00BC2ED4" w:rsidRPr="009C5F11">
        <w:rPr>
          <w:rFonts w:ascii="Times New Roman" w:hAnsi="Times New Roman" w:cs="Times New Roman"/>
          <w:i/>
          <w:szCs w:val="18"/>
          <w:lang w:val="ro-RO"/>
        </w:rPr>
        <w:t>)</w:t>
      </w:r>
      <w:r w:rsidR="00D06748" w:rsidRPr="009C5F11">
        <w:rPr>
          <w:rFonts w:ascii="Times New Roman" w:hAnsi="Times New Roman" w:cs="Times New Roman"/>
          <w:i/>
          <w:szCs w:val="18"/>
          <w:lang w:val="ro-RO"/>
        </w:rPr>
        <w:t>;</w:t>
      </w:r>
    </w:p>
    <w:p w14:paraId="1C12E6EF" w14:textId="77777777" w:rsidR="00BC2ED4" w:rsidRPr="009C5F11" w:rsidRDefault="00E04DEC" w:rsidP="00334F3B">
      <w:pPr>
        <w:numPr>
          <w:ilvl w:val="0"/>
          <w:numId w:val="167"/>
        </w:numPr>
        <w:tabs>
          <w:tab w:val="left" w:pos="972"/>
          <w:tab w:val="left" w:pos="5040"/>
          <w:tab w:val="right" w:pos="8504"/>
        </w:tabs>
        <w:spacing w:after="0" w:line="240" w:lineRule="auto"/>
        <w:ind w:left="1684" w:hanging="272"/>
        <w:jc w:val="both"/>
        <w:rPr>
          <w:rFonts w:ascii="Times New Roman" w:hAnsi="Times New Roman" w:cs="Times New Roman"/>
          <w:i/>
          <w:szCs w:val="18"/>
          <w:lang w:val="ro-RO"/>
        </w:rPr>
      </w:pPr>
      <w:r w:rsidRPr="009C5F11">
        <w:rPr>
          <w:rFonts w:ascii="Times New Roman" w:hAnsi="Times New Roman" w:cs="Times New Roman"/>
          <w:i/>
          <w:szCs w:val="18"/>
          <w:lang w:val="ro-RO"/>
        </w:rPr>
        <w:t>granturi</w:t>
      </w:r>
      <w:r w:rsidR="00BC2ED4" w:rsidRPr="009C5F11">
        <w:rPr>
          <w:rFonts w:ascii="Times New Roman" w:hAnsi="Times New Roman" w:cs="Times New Roman"/>
          <w:i/>
          <w:szCs w:val="18"/>
          <w:lang w:val="ro-RO"/>
        </w:rPr>
        <w:t xml:space="preserve"> </w:t>
      </w:r>
      <w:r w:rsidR="000235E8" w:rsidRPr="009C5F11">
        <w:rPr>
          <w:rFonts w:ascii="Times New Roman" w:hAnsi="Times New Roman" w:cs="Times New Roman"/>
          <w:i/>
          <w:szCs w:val="18"/>
          <w:lang w:val="ro-RO"/>
        </w:rPr>
        <w:t>pentru companiile de servicii publice pentru locatari</w:t>
      </w:r>
      <w:r w:rsidR="00BC2ED4" w:rsidRPr="009C5F11">
        <w:rPr>
          <w:rFonts w:ascii="Times New Roman" w:hAnsi="Times New Roman" w:cs="Times New Roman"/>
          <w:i/>
          <w:szCs w:val="18"/>
          <w:lang w:val="ro-RO"/>
        </w:rPr>
        <w:t xml:space="preserve"> (</w:t>
      </w:r>
      <w:r w:rsidR="000235E8" w:rsidRPr="009C5F11">
        <w:rPr>
          <w:rFonts w:ascii="Times New Roman" w:hAnsi="Times New Roman" w:cs="Times New Roman"/>
          <w:i/>
          <w:szCs w:val="18"/>
          <w:lang w:val="ro-RO"/>
        </w:rPr>
        <w:t xml:space="preserve">acest </w:t>
      </w:r>
      <w:r w:rsidR="005664F4" w:rsidRPr="009C5F11">
        <w:rPr>
          <w:rFonts w:ascii="Times New Roman" w:hAnsi="Times New Roman" w:cs="Times New Roman"/>
          <w:i/>
          <w:szCs w:val="18"/>
          <w:lang w:val="ro-RO"/>
        </w:rPr>
        <w:t>sprijin</w:t>
      </w:r>
      <w:r w:rsidR="00BC2ED4" w:rsidRPr="009C5F11">
        <w:rPr>
          <w:rFonts w:ascii="Times New Roman" w:hAnsi="Times New Roman" w:cs="Times New Roman"/>
          <w:i/>
          <w:szCs w:val="18"/>
          <w:lang w:val="ro-RO"/>
        </w:rPr>
        <w:t xml:space="preserve"> </w:t>
      </w:r>
      <w:r w:rsidR="000235E8" w:rsidRPr="009C5F11">
        <w:rPr>
          <w:rFonts w:ascii="Times New Roman" w:hAnsi="Times New Roman" w:cs="Times New Roman"/>
          <w:i/>
          <w:szCs w:val="18"/>
          <w:lang w:val="ro-RO"/>
        </w:rPr>
        <w:t xml:space="preserve">ar putea fi acordat </w:t>
      </w:r>
      <w:r w:rsidR="00C55F0D" w:rsidRPr="009C5F11">
        <w:rPr>
          <w:rFonts w:ascii="Times New Roman" w:hAnsi="Times New Roman" w:cs="Times New Roman"/>
          <w:i/>
          <w:szCs w:val="18"/>
          <w:lang w:val="ro-RO"/>
        </w:rPr>
        <w:t xml:space="preserve">în </w:t>
      </w:r>
      <w:r w:rsidR="000235E8" w:rsidRPr="009C5F11">
        <w:rPr>
          <w:rFonts w:ascii="Times New Roman" w:hAnsi="Times New Roman" w:cs="Times New Roman"/>
          <w:i/>
          <w:szCs w:val="18"/>
          <w:lang w:val="ro-RO"/>
        </w:rPr>
        <w:t>funcţie de</w:t>
      </w:r>
      <w:r w:rsidR="00BC2ED4" w:rsidRPr="009C5F11">
        <w:rPr>
          <w:rFonts w:ascii="Times New Roman" w:hAnsi="Times New Roman" w:cs="Times New Roman"/>
          <w:i/>
          <w:szCs w:val="18"/>
          <w:lang w:val="ro-RO"/>
        </w:rPr>
        <w:t xml:space="preserve"> </w:t>
      </w:r>
      <w:r w:rsidR="000235E8" w:rsidRPr="009C5F11">
        <w:rPr>
          <w:rFonts w:ascii="Times New Roman" w:hAnsi="Times New Roman" w:cs="Times New Roman"/>
          <w:i/>
          <w:szCs w:val="18"/>
          <w:lang w:val="ro-RO"/>
        </w:rPr>
        <w:t xml:space="preserve">bugetul </w:t>
      </w:r>
      <w:r w:rsidR="00AA0566" w:rsidRPr="009C5F11">
        <w:rPr>
          <w:rFonts w:ascii="Times New Roman" w:hAnsi="Times New Roman" w:cs="Times New Roman"/>
          <w:i/>
          <w:szCs w:val="18"/>
          <w:lang w:val="ro-RO"/>
        </w:rPr>
        <w:t>FEE</w:t>
      </w:r>
      <w:r w:rsidR="00BC2ED4" w:rsidRPr="009C5F11">
        <w:rPr>
          <w:rFonts w:ascii="Times New Roman" w:hAnsi="Times New Roman" w:cs="Times New Roman"/>
          <w:i/>
          <w:szCs w:val="18"/>
          <w:lang w:val="ro-RO"/>
        </w:rPr>
        <w:t xml:space="preserve"> </w:t>
      </w:r>
      <w:r w:rsidR="00321CD5" w:rsidRPr="009C5F11">
        <w:rPr>
          <w:rFonts w:ascii="Times New Roman" w:hAnsi="Times New Roman" w:cs="Times New Roman"/>
          <w:i/>
          <w:szCs w:val="18"/>
          <w:lang w:val="ro-RO"/>
        </w:rPr>
        <w:t xml:space="preserve">şi </w:t>
      </w:r>
      <w:r w:rsidR="007F77BE" w:rsidRPr="009C5F11">
        <w:rPr>
          <w:rFonts w:ascii="Times New Roman" w:hAnsi="Times New Roman" w:cs="Times New Roman"/>
          <w:i/>
          <w:szCs w:val="18"/>
          <w:lang w:val="ro-RO"/>
        </w:rPr>
        <w:t>fonduri</w:t>
      </w:r>
      <w:r w:rsidR="000235E8" w:rsidRPr="009C5F11">
        <w:rPr>
          <w:rFonts w:ascii="Times New Roman" w:hAnsi="Times New Roman" w:cs="Times New Roman"/>
          <w:i/>
          <w:szCs w:val="18"/>
          <w:lang w:val="ro-RO"/>
        </w:rPr>
        <w:t xml:space="preserve">le </w:t>
      </w:r>
      <w:r w:rsidR="004A2281" w:rsidRPr="009C5F11">
        <w:rPr>
          <w:rFonts w:ascii="Times New Roman" w:hAnsi="Times New Roman" w:cs="Times New Roman"/>
          <w:i/>
          <w:szCs w:val="18"/>
          <w:lang w:val="ro-RO"/>
        </w:rPr>
        <w:t>atrase</w:t>
      </w:r>
      <w:r w:rsidR="000235E8" w:rsidRPr="009C5F11">
        <w:rPr>
          <w:rFonts w:ascii="Times New Roman" w:hAnsi="Times New Roman" w:cs="Times New Roman"/>
          <w:i/>
          <w:szCs w:val="18"/>
          <w:lang w:val="ro-RO"/>
        </w:rPr>
        <w:t xml:space="preserve"> de la</w:t>
      </w:r>
      <w:r w:rsidR="00BC2ED4" w:rsidRPr="009C5F11">
        <w:rPr>
          <w:rFonts w:ascii="Times New Roman" w:hAnsi="Times New Roman" w:cs="Times New Roman"/>
          <w:i/>
          <w:szCs w:val="18"/>
          <w:lang w:val="ro-RO"/>
        </w:rPr>
        <w:t xml:space="preserve"> </w:t>
      </w:r>
      <w:r w:rsidR="00043064" w:rsidRPr="009C5F11">
        <w:rPr>
          <w:rFonts w:ascii="Times New Roman" w:hAnsi="Times New Roman" w:cs="Times New Roman"/>
          <w:i/>
          <w:szCs w:val="18"/>
          <w:lang w:val="ro-RO"/>
        </w:rPr>
        <w:t>donatori</w:t>
      </w:r>
      <w:r w:rsidR="00BC2ED4" w:rsidRPr="009C5F11">
        <w:rPr>
          <w:rFonts w:ascii="Times New Roman" w:hAnsi="Times New Roman" w:cs="Times New Roman"/>
          <w:i/>
          <w:szCs w:val="18"/>
          <w:lang w:val="ro-RO"/>
        </w:rPr>
        <w:t>);</w:t>
      </w:r>
    </w:p>
    <w:p w14:paraId="1C322BA1" w14:textId="77777777" w:rsidR="00BC2ED4" w:rsidRPr="009C5F11" w:rsidRDefault="000235E8" w:rsidP="00334F3B">
      <w:pPr>
        <w:numPr>
          <w:ilvl w:val="0"/>
          <w:numId w:val="167"/>
        </w:numPr>
        <w:tabs>
          <w:tab w:val="left" w:pos="972"/>
          <w:tab w:val="left" w:pos="5040"/>
          <w:tab w:val="right" w:pos="8504"/>
        </w:tabs>
        <w:spacing w:after="0" w:line="240" w:lineRule="auto"/>
        <w:ind w:left="1684" w:hanging="272"/>
        <w:jc w:val="both"/>
        <w:rPr>
          <w:rFonts w:ascii="Times New Roman" w:hAnsi="Times New Roman" w:cs="Times New Roman"/>
          <w:i/>
          <w:szCs w:val="18"/>
          <w:lang w:val="ro-RO"/>
        </w:rPr>
      </w:pPr>
      <w:r w:rsidRPr="009C5F11">
        <w:rPr>
          <w:rFonts w:ascii="Times New Roman" w:hAnsi="Times New Roman" w:cs="Times New Roman"/>
          <w:i/>
          <w:szCs w:val="18"/>
          <w:lang w:val="ro-RO"/>
        </w:rPr>
        <w:t>f</w:t>
      </w:r>
      <w:r w:rsidR="00B95682" w:rsidRPr="009C5F11">
        <w:rPr>
          <w:rFonts w:ascii="Times New Roman" w:hAnsi="Times New Roman" w:cs="Times New Roman"/>
          <w:i/>
          <w:szCs w:val="18"/>
          <w:lang w:val="ro-RO"/>
        </w:rPr>
        <w:t>inanţare</w:t>
      </w:r>
      <w:r w:rsidR="00FA7F5D"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 xml:space="preserve">pentru categoriile </w:t>
      </w:r>
      <w:r w:rsidR="00752EBC" w:rsidRPr="009C5F11">
        <w:rPr>
          <w:rFonts w:ascii="Times New Roman" w:hAnsi="Times New Roman" w:cs="Times New Roman"/>
          <w:i/>
          <w:szCs w:val="18"/>
          <w:lang w:val="ro-RO"/>
        </w:rPr>
        <w:t>vulnerabile/</w:t>
      </w:r>
      <w:r w:rsidRPr="009C5F11">
        <w:rPr>
          <w:rFonts w:ascii="Times New Roman" w:hAnsi="Times New Roman" w:cs="Times New Roman"/>
          <w:i/>
          <w:szCs w:val="18"/>
          <w:lang w:val="ro-RO"/>
        </w:rPr>
        <w:t>de risc</w:t>
      </w:r>
      <w:r w:rsidR="00752EBC" w:rsidRPr="009C5F11">
        <w:rPr>
          <w:rFonts w:ascii="Times New Roman" w:hAnsi="Times New Roman" w:cs="Times New Roman"/>
          <w:i/>
          <w:szCs w:val="18"/>
          <w:lang w:val="ro-RO"/>
        </w:rPr>
        <w:t xml:space="preserve"> ale de populaţiei</w:t>
      </w:r>
      <w:r w:rsidR="00BC2ED4" w:rsidRPr="009C5F11">
        <w:rPr>
          <w:rFonts w:ascii="Times New Roman" w:hAnsi="Times New Roman" w:cs="Times New Roman"/>
          <w:i/>
          <w:szCs w:val="18"/>
          <w:lang w:val="ro-RO"/>
        </w:rPr>
        <w:t xml:space="preserve">, </w:t>
      </w:r>
      <w:r w:rsidR="00033C99" w:rsidRPr="009C5F11">
        <w:rPr>
          <w:rFonts w:ascii="Times New Roman" w:hAnsi="Times New Roman" w:cs="Times New Roman"/>
          <w:i/>
          <w:szCs w:val="18"/>
          <w:lang w:val="ro-RO"/>
        </w:rPr>
        <w:t>măsuri de eficienţă energetică</w:t>
      </w:r>
      <w:r w:rsidR="00321CD5"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pentru</w:t>
      </w:r>
      <w:r w:rsidR="00321CD5" w:rsidRPr="009C5F11">
        <w:rPr>
          <w:rFonts w:ascii="Times New Roman" w:hAnsi="Times New Roman" w:cs="Times New Roman"/>
          <w:i/>
          <w:szCs w:val="18"/>
          <w:lang w:val="ro-RO"/>
        </w:rPr>
        <w:t xml:space="preserve"> </w:t>
      </w:r>
      <w:r w:rsidR="006F2A15" w:rsidRPr="009C5F11">
        <w:rPr>
          <w:rFonts w:ascii="Times New Roman" w:hAnsi="Times New Roman" w:cs="Times New Roman"/>
          <w:i/>
          <w:szCs w:val="18"/>
          <w:lang w:val="ro-RO"/>
        </w:rPr>
        <w:t>gospodării</w:t>
      </w:r>
      <w:r w:rsidRPr="009C5F11">
        <w:rPr>
          <w:rFonts w:ascii="Times New Roman" w:hAnsi="Times New Roman" w:cs="Times New Roman"/>
          <w:i/>
          <w:szCs w:val="18"/>
          <w:lang w:val="ro-RO"/>
        </w:rPr>
        <w:t>le</w:t>
      </w:r>
      <w:r w:rsidR="006F2A15" w:rsidRPr="009C5F11">
        <w:rPr>
          <w:rFonts w:ascii="Times New Roman" w:hAnsi="Times New Roman" w:cs="Times New Roman"/>
          <w:i/>
          <w:szCs w:val="18"/>
          <w:lang w:val="ro-RO"/>
        </w:rPr>
        <w:t xml:space="preserve"> casnice</w:t>
      </w:r>
      <w:r w:rsidR="00FA7F5D"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cu sărăcie energetică</w:t>
      </w:r>
      <w:r w:rsidR="00FA7F5D" w:rsidRPr="009C5F11">
        <w:rPr>
          <w:rFonts w:ascii="Times New Roman" w:hAnsi="Times New Roman" w:cs="Times New Roman"/>
          <w:i/>
          <w:szCs w:val="18"/>
          <w:lang w:val="ro-RO"/>
        </w:rPr>
        <w:t xml:space="preserve">, </w:t>
      </w:r>
      <w:r w:rsidR="006F2A15" w:rsidRPr="009C5F11">
        <w:rPr>
          <w:rFonts w:ascii="Times New Roman" w:hAnsi="Times New Roman" w:cs="Times New Roman"/>
          <w:i/>
          <w:szCs w:val="18"/>
          <w:lang w:val="ro-RO"/>
        </w:rPr>
        <w:t>gospodării</w:t>
      </w:r>
      <w:r w:rsidRPr="009C5F11">
        <w:rPr>
          <w:rFonts w:ascii="Times New Roman" w:hAnsi="Times New Roman" w:cs="Times New Roman"/>
          <w:i/>
          <w:szCs w:val="18"/>
          <w:lang w:val="ro-RO"/>
        </w:rPr>
        <w:t>le</w:t>
      </w:r>
      <w:r w:rsidR="006F2A15" w:rsidRPr="009C5F11">
        <w:rPr>
          <w:rFonts w:ascii="Times New Roman" w:hAnsi="Times New Roman" w:cs="Times New Roman"/>
          <w:i/>
          <w:szCs w:val="18"/>
          <w:lang w:val="ro-RO"/>
        </w:rPr>
        <w:t xml:space="preserve"> casnice</w:t>
      </w:r>
      <w:r w:rsidRPr="009C5F11">
        <w:rPr>
          <w:rFonts w:ascii="Times New Roman" w:hAnsi="Times New Roman" w:cs="Times New Roman"/>
          <w:i/>
          <w:szCs w:val="18"/>
          <w:lang w:val="ro-RO"/>
        </w:rPr>
        <w:t xml:space="preserve"> cu nivel scăzut de venit</w:t>
      </w:r>
      <w:r w:rsidR="00BC2ED4"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primordial, ar trebui formulată clar definiţia categoriei-ţintă</w:t>
      </w:r>
      <w:r w:rsidR="00BC2ED4" w:rsidRPr="009C5F11">
        <w:rPr>
          <w:rFonts w:ascii="Times New Roman" w:hAnsi="Times New Roman" w:cs="Times New Roman"/>
          <w:i/>
          <w:szCs w:val="18"/>
          <w:lang w:val="ro-RO"/>
        </w:rPr>
        <w:t>);</w:t>
      </w:r>
    </w:p>
    <w:p w14:paraId="4BC079EF" w14:textId="77777777" w:rsidR="00BC2ED4" w:rsidRPr="009C5F11" w:rsidRDefault="00BC2ED4" w:rsidP="00334F3B">
      <w:pPr>
        <w:numPr>
          <w:ilvl w:val="0"/>
          <w:numId w:val="167"/>
        </w:numPr>
        <w:tabs>
          <w:tab w:val="left" w:pos="972"/>
          <w:tab w:val="left" w:pos="5040"/>
          <w:tab w:val="right" w:pos="8504"/>
        </w:tabs>
        <w:spacing w:after="0" w:line="240" w:lineRule="auto"/>
        <w:ind w:left="1684" w:hanging="272"/>
        <w:jc w:val="both"/>
        <w:rPr>
          <w:rFonts w:ascii="Times New Roman" w:hAnsi="Times New Roman" w:cs="Times New Roman"/>
          <w:i/>
          <w:szCs w:val="18"/>
          <w:lang w:val="ro-RO"/>
        </w:rPr>
      </w:pPr>
      <w:r w:rsidRPr="009C5F11">
        <w:rPr>
          <w:rFonts w:ascii="Times New Roman" w:hAnsi="Times New Roman" w:cs="Times New Roman"/>
          <w:i/>
          <w:szCs w:val="18"/>
          <w:lang w:val="ro-RO"/>
        </w:rPr>
        <w:lastRenderedPageBreak/>
        <w:t>program</w:t>
      </w:r>
      <w:r w:rsidR="000235E8" w:rsidRPr="009C5F11">
        <w:rPr>
          <w:rFonts w:ascii="Times New Roman" w:hAnsi="Times New Roman" w:cs="Times New Roman"/>
          <w:i/>
          <w:szCs w:val="18"/>
          <w:lang w:val="ro-RO"/>
        </w:rPr>
        <w:t xml:space="preserve">e de suport pentru </w:t>
      </w:r>
      <w:r w:rsidRPr="009C5F11">
        <w:rPr>
          <w:rFonts w:ascii="Times New Roman" w:hAnsi="Times New Roman" w:cs="Times New Roman"/>
          <w:i/>
          <w:szCs w:val="18"/>
          <w:lang w:val="ro-RO"/>
        </w:rPr>
        <w:t>construc</w:t>
      </w:r>
      <w:r w:rsidR="000235E8" w:rsidRPr="009C5F11">
        <w:rPr>
          <w:rFonts w:ascii="Times New Roman" w:hAnsi="Times New Roman" w:cs="Times New Roman"/>
          <w:i/>
          <w:szCs w:val="18"/>
          <w:lang w:val="ro-RO"/>
        </w:rPr>
        <w:t>ţia</w:t>
      </w:r>
      <w:r w:rsidR="00321CD5" w:rsidRPr="009C5F11">
        <w:rPr>
          <w:rFonts w:ascii="Times New Roman" w:hAnsi="Times New Roman" w:cs="Times New Roman"/>
          <w:i/>
          <w:szCs w:val="18"/>
          <w:lang w:val="ro-RO"/>
        </w:rPr>
        <w:t xml:space="preserve"> şi </w:t>
      </w:r>
      <w:r w:rsidR="00E376C4" w:rsidRPr="009C5F11">
        <w:rPr>
          <w:rFonts w:ascii="Times New Roman" w:hAnsi="Times New Roman" w:cs="Times New Roman"/>
          <w:i/>
          <w:szCs w:val="18"/>
          <w:lang w:val="ro-RO"/>
        </w:rPr>
        <w:t>renovarea</w:t>
      </w:r>
      <w:r w:rsidR="000235E8" w:rsidRPr="009C5F11">
        <w:rPr>
          <w:rFonts w:ascii="Times New Roman" w:hAnsi="Times New Roman" w:cs="Times New Roman"/>
          <w:i/>
          <w:szCs w:val="18"/>
          <w:lang w:val="ro-RO"/>
        </w:rPr>
        <w:t xml:space="preserve"> </w:t>
      </w:r>
      <w:r w:rsidR="004A2281" w:rsidRPr="009C5F11">
        <w:rPr>
          <w:rFonts w:ascii="Times New Roman" w:hAnsi="Times New Roman" w:cs="Times New Roman"/>
          <w:i/>
          <w:szCs w:val="18"/>
          <w:lang w:val="ro-RO"/>
        </w:rPr>
        <w:t>obiectelor</w:t>
      </w:r>
      <w:r w:rsidR="000235E8" w:rsidRPr="009C5F11">
        <w:rPr>
          <w:rFonts w:ascii="Times New Roman" w:hAnsi="Times New Roman" w:cs="Times New Roman"/>
          <w:i/>
          <w:szCs w:val="18"/>
          <w:lang w:val="ro-RO"/>
        </w:rPr>
        <w:t xml:space="preserve"> cu aplicarea măsurilor de EE</w:t>
      </w:r>
      <w:r w:rsidRPr="009C5F11">
        <w:rPr>
          <w:rFonts w:ascii="Times New Roman" w:hAnsi="Times New Roman" w:cs="Times New Roman"/>
          <w:i/>
          <w:szCs w:val="18"/>
          <w:lang w:val="ro-RO"/>
        </w:rPr>
        <w:t xml:space="preserve">, </w:t>
      </w:r>
      <w:r w:rsidR="000235E8" w:rsidRPr="009C5F11">
        <w:rPr>
          <w:rFonts w:ascii="Times New Roman" w:hAnsi="Times New Roman" w:cs="Times New Roman"/>
          <w:i/>
          <w:szCs w:val="18"/>
          <w:lang w:val="ro-RO"/>
        </w:rPr>
        <w:t>stimulente</w:t>
      </w:r>
      <w:r w:rsidRPr="009C5F11">
        <w:rPr>
          <w:rFonts w:ascii="Times New Roman" w:hAnsi="Times New Roman" w:cs="Times New Roman"/>
          <w:i/>
          <w:szCs w:val="18"/>
          <w:lang w:val="ro-RO"/>
        </w:rPr>
        <w:t xml:space="preserve">, </w:t>
      </w:r>
      <w:r w:rsidR="000235E8" w:rsidRPr="009C5F11">
        <w:rPr>
          <w:rFonts w:ascii="Times New Roman" w:hAnsi="Times New Roman" w:cs="Times New Roman"/>
          <w:i/>
          <w:szCs w:val="18"/>
          <w:lang w:val="ro-RO"/>
        </w:rPr>
        <w:t xml:space="preserve">granturi în </w:t>
      </w:r>
      <w:r w:rsidR="004A2281" w:rsidRPr="009C5F11">
        <w:rPr>
          <w:rFonts w:ascii="Times New Roman" w:hAnsi="Times New Roman" w:cs="Times New Roman"/>
          <w:i/>
          <w:szCs w:val="18"/>
          <w:lang w:val="ro-RO"/>
        </w:rPr>
        <w:t>domeniul</w:t>
      </w:r>
      <w:r w:rsidR="000235E8" w:rsidRPr="009C5F11">
        <w:rPr>
          <w:rFonts w:ascii="Times New Roman" w:hAnsi="Times New Roman" w:cs="Times New Roman"/>
          <w:i/>
          <w:szCs w:val="18"/>
          <w:lang w:val="ro-RO"/>
        </w:rPr>
        <w:t xml:space="preserve"> energetic</w:t>
      </w:r>
      <w:r w:rsidRPr="009C5F11">
        <w:rPr>
          <w:rFonts w:ascii="Times New Roman" w:hAnsi="Times New Roman" w:cs="Times New Roman"/>
          <w:i/>
          <w:szCs w:val="18"/>
          <w:lang w:val="ro-RO"/>
        </w:rPr>
        <w:t xml:space="preserve">, </w:t>
      </w:r>
      <w:r w:rsidR="00E04DEC" w:rsidRPr="009C5F11">
        <w:rPr>
          <w:rFonts w:ascii="Times New Roman" w:hAnsi="Times New Roman" w:cs="Times New Roman"/>
          <w:i/>
          <w:szCs w:val="18"/>
          <w:lang w:val="ro-RO"/>
        </w:rPr>
        <w:t>subvenţii</w:t>
      </w:r>
      <w:r w:rsidRPr="009C5F11">
        <w:rPr>
          <w:rFonts w:ascii="Times New Roman" w:hAnsi="Times New Roman" w:cs="Times New Roman"/>
          <w:i/>
          <w:szCs w:val="18"/>
          <w:lang w:val="ro-RO"/>
        </w:rPr>
        <w:t xml:space="preserve"> </w:t>
      </w:r>
      <w:r w:rsidR="00752EBC" w:rsidRPr="009C5F11">
        <w:rPr>
          <w:rFonts w:ascii="Times New Roman" w:hAnsi="Times New Roman" w:cs="Times New Roman"/>
          <w:i/>
          <w:szCs w:val="18"/>
          <w:lang w:val="ro-RO"/>
        </w:rPr>
        <w:t>acordate</w:t>
      </w:r>
      <w:r w:rsidR="000235E8" w:rsidRPr="009C5F11">
        <w:rPr>
          <w:rFonts w:ascii="Times New Roman" w:hAnsi="Times New Roman" w:cs="Times New Roman"/>
          <w:i/>
          <w:szCs w:val="18"/>
          <w:lang w:val="ro-RO"/>
        </w:rPr>
        <w:t xml:space="preserve"> m</w:t>
      </w:r>
      <w:r w:rsidRPr="009C5F11">
        <w:rPr>
          <w:rFonts w:ascii="Times New Roman" w:hAnsi="Times New Roman" w:cs="Times New Roman"/>
          <w:i/>
          <w:szCs w:val="18"/>
          <w:lang w:val="ro-RO"/>
        </w:rPr>
        <w:t>unicipalit</w:t>
      </w:r>
      <w:r w:rsidR="000235E8" w:rsidRPr="009C5F11">
        <w:rPr>
          <w:rFonts w:ascii="Times New Roman" w:hAnsi="Times New Roman" w:cs="Times New Roman"/>
          <w:i/>
          <w:szCs w:val="18"/>
          <w:lang w:val="ro-RO"/>
        </w:rPr>
        <w:t>ăţi</w:t>
      </w:r>
      <w:r w:rsidR="00752EBC" w:rsidRPr="009C5F11">
        <w:rPr>
          <w:rFonts w:ascii="Times New Roman" w:hAnsi="Times New Roman" w:cs="Times New Roman"/>
          <w:i/>
          <w:szCs w:val="18"/>
          <w:lang w:val="ro-RO"/>
        </w:rPr>
        <w:t>lor</w:t>
      </w:r>
      <w:r w:rsidR="000235E8" w:rsidRPr="009C5F11">
        <w:rPr>
          <w:rFonts w:ascii="Times New Roman" w:hAnsi="Times New Roman" w:cs="Times New Roman"/>
          <w:i/>
          <w:szCs w:val="18"/>
          <w:lang w:val="ro-RO"/>
        </w:rPr>
        <w:t xml:space="preserve"> pentru renovare</w:t>
      </w:r>
      <w:r w:rsidRPr="009C5F11">
        <w:rPr>
          <w:rFonts w:ascii="Times New Roman" w:hAnsi="Times New Roman" w:cs="Times New Roman"/>
          <w:i/>
          <w:szCs w:val="18"/>
          <w:lang w:val="ro-RO"/>
        </w:rPr>
        <w:t>;</w:t>
      </w:r>
    </w:p>
    <w:p w14:paraId="32129360" w14:textId="77777777" w:rsidR="00BC2ED4" w:rsidRPr="009C5F11" w:rsidRDefault="00BC2ED4" w:rsidP="00334F3B">
      <w:pPr>
        <w:numPr>
          <w:ilvl w:val="0"/>
          <w:numId w:val="62"/>
        </w:numPr>
        <w:tabs>
          <w:tab w:val="left" w:pos="702"/>
          <w:tab w:val="left" w:pos="5040"/>
          <w:tab w:val="right" w:pos="8504"/>
        </w:tabs>
        <w:spacing w:before="120" w:after="120" w:line="240" w:lineRule="auto"/>
        <w:ind w:left="1428"/>
        <w:jc w:val="both"/>
        <w:rPr>
          <w:rFonts w:ascii="Times New Roman" w:hAnsi="Times New Roman" w:cs="Times New Roman"/>
          <w:i/>
          <w:szCs w:val="18"/>
          <w:lang w:val="ro-RO"/>
        </w:rPr>
      </w:pPr>
      <w:bookmarkStart w:id="313" w:name="_Toc319555428"/>
      <w:r w:rsidRPr="009C5F11">
        <w:rPr>
          <w:rFonts w:ascii="Times New Roman" w:hAnsi="Times New Roman" w:cs="Times New Roman"/>
          <w:i/>
          <w:szCs w:val="18"/>
          <w:lang w:val="ro-RO"/>
        </w:rPr>
        <w:t>Scheme</w:t>
      </w:r>
      <w:r w:rsidR="000235E8" w:rsidRPr="009C5F11">
        <w:rPr>
          <w:rFonts w:ascii="Times New Roman" w:hAnsi="Times New Roman" w:cs="Times New Roman"/>
          <w:i/>
          <w:szCs w:val="18"/>
          <w:lang w:val="ro-RO"/>
        </w:rPr>
        <w:t xml:space="preserve"> pentru </w:t>
      </w:r>
      <w:r w:rsidRPr="009C5F11">
        <w:rPr>
          <w:rFonts w:ascii="Times New Roman" w:hAnsi="Times New Roman" w:cs="Times New Roman"/>
          <w:i/>
          <w:szCs w:val="18"/>
          <w:lang w:val="ro-RO"/>
        </w:rPr>
        <w:t>integra</w:t>
      </w:r>
      <w:r w:rsidR="000235E8" w:rsidRPr="009C5F11">
        <w:rPr>
          <w:rFonts w:ascii="Times New Roman" w:hAnsi="Times New Roman" w:cs="Times New Roman"/>
          <w:i/>
          <w:szCs w:val="18"/>
          <w:lang w:val="ro-RO"/>
        </w:rPr>
        <w:t>rea</w:t>
      </w:r>
      <w:r w:rsidRPr="009C5F11">
        <w:rPr>
          <w:rFonts w:ascii="Times New Roman" w:hAnsi="Times New Roman" w:cs="Times New Roman"/>
          <w:i/>
          <w:szCs w:val="18"/>
          <w:lang w:val="ro-RO"/>
        </w:rPr>
        <w:t xml:space="preserve"> </w:t>
      </w:r>
      <w:r w:rsidR="00A13571" w:rsidRPr="009C5F11">
        <w:rPr>
          <w:rFonts w:ascii="Times New Roman" w:hAnsi="Times New Roman" w:cs="Times New Roman"/>
          <w:i/>
          <w:szCs w:val="18"/>
          <w:lang w:val="ro-RO"/>
        </w:rPr>
        <w:t>E</w:t>
      </w:r>
      <w:r w:rsidR="0060148D" w:rsidRPr="009C5F11">
        <w:rPr>
          <w:rFonts w:ascii="Times New Roman" w:hAnsi="Times New Roman" w:cs="Times New Roman"/>
          <w:i/>
          <w:szCs w:val="18"/>
          <w:lang w:val="ro-RO"/>
        </w:rPr>
        <w:t>SR</w:t>
      </w:r>
      <w:r w:rsidRPr="009C5F11">
        <w:rPr>
          <w:rFonts w:ascii="Times New Roman" w:hAnsi="Times New Roman" w:cs="Times New Roman"/>
          <w:i/>
          <w:szCs w:val="18"/>
          <w:lang w:val="ro-RO"/>
        </w:rPr>
        <w:t xml:space="preserve"> (</w:t>
      </w:r>
      <w:r w:rsidR="00693850" w:rsidRPr="009C5F11">
        <w:rPr>
          <w:rFonts w:ascii="Times New Roman" w:hAnsi="Times New Roman" w:cs="Times New Roman"/>
          <w:i/>
          <w:szCs w:val="18"/>
          <w:lang w:val="ro-RO"/>
        </w:rPr>
        <w:t>clădiri</w:t>
      </w:r>
      <w:r w:rsidR="0036629A" w:rsidRPr="009C5F11">
        <w:rPr>
          <w:rFonts w:ascii="Times New Roman" w:hAnsi="Times New Roman" w:cs="Times New Roman"/>
          <w:i/>
          <w:szCs w:val="18"/>
          <w:lang w:val="ro-RO"/>
        </w:rPr>
        <w:t>le</w:t>
      </w:r>
      <w:r w:rsidRPr="009C5F11">
        <w:rPr>
          <w:rFonts w:ascii="Times New Roman" w:hAnsi="Times New Roman" w:cs="Times New Roman"/>
          <w:i/>
          <w:szCs w:val="18"/>
          <w:lang w:val="ro-RO"/>
        </w:rPr>
        <w:t xml:space="preserve"> </w:t>
      </w:r>
      <w:r w:rsidR="000235E8" w:rsidRPr="009C5F11">
        <w:rPr>
          <w:rFonts w:ascii="Times New Roman" w:hAnsi="Times New Roman" w:cs="Times New Roman"/>
          <w:i/>
          <w:szCs w:val="18"/>
          <w:lang w:val="ro-RO"/>
        </w:rPr>
        <w:t xml:space="preserve">existente supuse renovării majore trebuie să consume o </w:t>
      </w:r>
      <w:r w:rsidR="00752EBC" w:rsidRPr="009C5F11">
        <w:rPr>
          <w:rFonts w:ascii="Times New Roman" w:hAnsi="Times New Roman" w:cs="Times New Roman"/>
          <w:i/>
          <w:szCs w:val="18"/>
          <w:lang w:val="ro-RO"/>
        </w:rPr>
        <w:t xml:space="preserve">anumită </w:t>
      </w:r>
      <w:r w:rsidR="000235E8" w:rsidRPr="009C5F11">
        <w:rPr>
          <w:rFonts w:ascii="Times New Roman" w:hAnsi="Times New Roman" w:cs="Times New Roman"/>
          <w:i/>
          <w:szCs w:val="18"/>
          <w:lang w:val="ro-RO"/>
        </w:rPr>
        <w:t xml:space="preserve">cantitate minimă de </w:t>
      </w:r>
      <w:r w:rsidR="001E3482" w:rsidRPr="009C5F11">
        <w:rPr>
          <w:rFonts w:ascii="Times New Roman" w:hAnsi="Times New Roman" w:cs="Times New Roman"/>
          <w:i/>
          <w:szCs w:val="18"/>
          <w:lang w:val="ro-RO"/>
        </w:rPr>
        <w:t>energie</w:t>
      </w:r>
      <w:r w:rsidRPr="009C5F11">
        <w:rPr>
          <w:rFonts w:ascii="Times New Roman" w:hAnsi="Times New Roman" w:cs="Times New Roman"/>
          <w:i/>
          <w:szCs w:val="18"/>
          <w:lang w:val="ro-RO"/>
        </w:rPr>
        <w:t xml:space="preserve"> </w:t>
      </w:r>
      <w:r w:rsidR="000235E8" w:rsidRPr="009C5F11">
        <w:rPr>
          <w:rFonts w:ascii="Times New Roman" w:hAnsi="Times New Roman" w:cs="Times New Roman"/>
          <w:i/>
          <w:szCs w:val="18"/>
          <w:lang w:val="ro-RO"/>
        </w:rPr>
        <w:t>din</w:t>
      </w:r>
      <w:r w:rsidRPr="009C5F11">
        <w:rPr>
          <w:rFonts w:ascii="Times New Roman" w:hAnsi="Times New Roman" w:cs="Times New Roman"/>
          <w:i/>
          <w:szCs w:val="18"/>
          <w:lang w:val="ro-RO"/>
        </w:rPr>
        <w:t xml:space="preserve"> </w:t>
      </w:r>
      <w:r w:rsidR="00FD5F1C" w:rsidRPr="009C5F11">
        <w:rPr>
          <w:rFonts w:ascii="Times New Roman" w:hAnsi="Times New Roman" w:cs="Times New Roman"/>
          <w:i/>
          <w:szCs w:val="18"/>
          <w:lang w:val="ro-RO"/>
        </w:rPr>
        <w:t>surse regenerabile</w:t>
      </w:r>
      <w:r w:rsidR="000235E8" w:rsidRPr="009C5F11">
        <w:rPr>
          <w:rFonts w:ascii="Times New Roman" w:hAnsi="Times New Roman" w:cs="Times New Roman"/>
          <w:i/>
          <w:szCs w:val="18"/>
          <w:lang w:val="ro-RO"/>
        </w:rPr>
        <w:t xml:space="preserve">, determinată de autoritatea centrală </w:t>
      </w:r>
      <w:r w:rsidR="00A13571" w:rsidRPr="009C5F11">
        <w:rPr>
          <w:rFonts w:ascii="Times New Roman" w:hAnsi="Times New Roman" w:cs="Times New Roman"/>
          <w:i/>
          <w:szCs w:val="18"/>
          <w:lang w:val="ro-RO"/>
        </w:rPr>
        <w:t>in domeniul</w:t>
      </w:r>
      <w:r w:rsidR="000235E8" w:rsidRPr="009C5F11">
        <w:rPr>
          <w:rFonts w:ascii="Times New Roman" w:hAnsi="Times New Roman" w:cs="Times New Roman"/>
          <w:i/>
          <w:szCs w:val="18"/>
          <w:lang w:val="ro-RO"/>
        </w:rPr>
        <w:t xml:space="preserve"> construcţi</w:t>
      </w:r>
      <w:r w:rsidR="00A13571" w:rsidRPr="009C5F11">
        <w:rPr>
          <w:rFonts w:ascii="Times New Roman" w:hAnsi="Times New Roman" w:cs="Times New Roman"/>
          <w:i/>
          <w:szCs w:val="18"/>
          <w:lang w:val="ro-RO"/>
        </w:rPr>
        <w:t>ilor</w:t>
      </w:r>
      <w:r w:rsidRPr="009C5F11">
        <w:rPr>
          <w:rFonts w:ascii="Times New Roman" w:hAnsi="Times New Roman" w:cs="Times New Roman"/>
          <w:i/>
          <w:szCs w:val="18"/>
          <w:lang w:val="ro-RO"/>
        </w:rPr>
        <w:t>.)</w:t>
      </w:r>
      <w:bookmarkEnd w:id="313"/>
    </w:p>
    <w:p w14:paraId="0DACA3A4" w14:textId="0E0EEB0F" w:rsidR="00F315A3" w:rsidRPr="009C5F11" w:rsidRDefault="00E46DD7"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bookmarkStart w:id="314" w:name="_Toc319555429"/>
      <w:r w:rsidRPr="009C5F11">
        <w:rPr>
          <w:rFonts w:ascii="Times New Roman" w:hAnsi="Times New Roman" w:cs="Times New Roman"/>
          <w:sz w:val="24"/>
          <w:lang w:val="ro-RO"/>
        </w:rPr>
        <w:t>Clădirile noi</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clădirile existente</w:t>
      </w:r>
      <w:r w:rsidR="00BC2ED4" w:rsidRPr="009C5F11">
        <w:rPr>
          <w:rFonts w:ascii="Times New Roman" w:hAnsi="Times New Roman" w:cs="Times New Roman"/>
          <w:sz w:val="24"/>
          <w:lang w:val="ro-RO"/>
        </w:rPr>
        <w:t xml:space="preserve"> </w:t>
      </w:r>
      <w:r w:rsidR="0036629A" w:rsidRPr="009C5F11">
        <w:rPr>
          <w:rFonts w:ascii="Times New Roman" w:hAnsi="Times New Roman" w:cs="Times New Roman"/>
          <w:sz w:val="24"/>
          <w:lang w:val="ro-RO"/>
        </w:rPr>
        <w:t xml:space="preserve">supuse renovării majore trebuie să consume o </w:t>
      </w:r>
      <w:r w:rsidR="00752EBC" w:rsidRPr="009C5F11">
        <w:rPr>
          <w:rFonts w:ascii="Times New Roman" w:hAnsi="Times New Roman" w:cs="Times New Roman"/>
          <w:sz w:val="24"/>
          <w:lang w:val="ro-RO"/>
        </w:rPr>
        <w:t xml:space="preserve">anumită </w:t>
      </w:r>
      <w:r w:rsidR="0036629A" w:rsidRPr="009C5F11">
        <w:rPr>
          <w:rFonts w:ascii="Times New Roman" w:hAnsi="Times New Roman" w:cs="Times New Roman"/>
          <w:sz w:val="24"/>
          <w:lang w:val="ro-RO"/>
        </w:rPr>
        <w:t>cantitate minimă de energie din surse regenerabile, determinată de autoritatea centrală de construcţie</w:t>
      </w:r>
      <w:r w:rsidR="00BC2ED4" w:rsidRPr="009C5F11">
        <w:rPr>
          <w:rFonts w:ascii="Times New Roman" w:hAnsi="Times New Roman" w:cs="Times New Roman"/>
          <w:sz w:val="24"/>
          <w:lang w:val="ro-RO"/>
        </w:rPr>
        <w:t xml:space="preserve">. </w:t>
      </w:r>
      <w:r w:rsidR="0036629A" w:rsidRPr="009C5F11">
        <w:rPr>
          <w:rFonts w:ascii="Times New Roman" w:hAnsi="Times New Roman" w:cs="Times New Roman"/>
          <w:sz w:val="24"/>
          <w:lang w:val="ro-RO"/>
        </w:rPr>
        <w:t xml:space="preserve">Această obligaţie trebuie onorată, estimând cota de energie din </w:t>
      </w:r>
      <w:r w:rsidR="00FD5F1C" w:rsidRPr="009C5F11">
        <w:rPr>
          <w:rFonts w:ascii="Times New Roman" w:hAnsi="Times New Roman" w:cs="Times New Roman"/>
          <w:sz w:val="24"/>
          <w:lang w:val="ro-RO"/>
        </w:rPr>
        <w:t xml:space="preserve">surse regenerabile </w:t>
      </w:r>
      <w:r w:rsidR="00C55F0D" w:rsidRPr="009C5F11">
        <w:rPr>
          <w:rFonts w:ascii="Times New Roman" w:hAnsi="Times New Roman" w:cs="Times New Roman"/>
          <w:sz w:val="24"/>
          <w:lang w:val="ro-RO"/>
        </w:rPr>
        <w:t>în conformitate cu</w:t>
      </w:r>
      <w:r w:rsidR="00BC2ED4" w:rsidRPr="009C5F11">
        <w:rPr>
          <w:rFonts w:ascii="Times New Roman" w:hAnsi="Times New Roman" w:cs="Times New Roman"/>
          <w:sz w:val="24"/>
          <w:lang w:val="ro-RO"/>
        </w:rPr>
        <w:t xml:space="preserve"> procedur</w:t>
      </w:r>
      <w:r w:rsidR="0036629A" w:rsidRPr="009C5F11">
        <w:rPr>
          <w:rFonts w:ascii="Times New Roman" w:hAnsi="Times New Roman" w:cs="Times New Roman"/>
          <w:sz w:val="24"/>
          <w:lang w:val="ro-RO"/>
        </w:rPr>
        <w:t xml:space="preserve">ile de calcul cuprinse de noul </w:t>
      </w:r>
      <w:r w:rsidR="00BC2ED4" w:rsidRPr="009C5F11">
        <w:rPr>
          <w:rFonts w:ascii="Times New Roman" w:hAnsi="Times New Roman" w:cs="Times New Roman"/>
          <w:sz w:val="24"/>
          <w:lang w:val="ro-RO"/>
        </w:rPr>
        <w:t>standard</w:t>
      </w:r>
      <w:r w:rsidR="0036629A" w:rsidRPr="009C5F11">
        <w:rPr>
          <w:rFonts w:ascii="Times New Roman" w:hAnsi="Times New Roman" w:cs="Times New Roman"/>
          <w:sz w:val="24"/>
          <w:lang w:val="ro-RO"/>
        </w:rPr>
        <w:t xml:space="preserve"> CEN</w:t>
      </w:r>
      <w:r w:rsidR="00BC2ED4" w:rsidRPr="009C5F11">
        <w:rPr>
          <w:rFonts w:ascii="Times New Roman" w:hAnsi="Times New Roman" w:cs="Times New Roman"/>
          <w:sz w:val="24"/>
          <w:lang w:val="ro-RO"/>
        </w:rPr>
        <w:t xml:space="preserve"> prEN15603 (ISO 52000-1).</w:t>
      </w:r>
      <w:bookmarkEnd w:id="314"/>
    </w:p>
    <w:p w14:paraId="330E9548" w14:textId="77777777" w:rsidR="00F315A3" w:rsidRPr="009C5F11" w:rsidRDefault="00F315A3" w:rsidP="00F315A3">
      <w:pPr>
        <w:spacing w:before="120" w:after="120" w:line="240" w:lineRule="auto"/>
        <w:jc w:val="both"/>
        <w:rPr>
          <w:rFonts w:ascii="Times New Roman" w:hAnsi="Times New Roman" w:cs="Times New Roman"/>
          <w:sz w:val="24"/>
          <w:lang w:val="ro-RO"/>
        </w:rPr>
        <w:sectPr w:rsidR="00F315A3" w:rsidRPr="009C5F11" w:rsidSect="00430626">
          <w:headerReference w:type="default" r:id="rId21"/>
          <w:pgSz w:w="11907" w:h="16840" w:code="9"/>
          <w:pgMar w:top="1440" w:right="1440" w:bottom="1440" w:left="1440" w:header="720" w:footer="720" w:gutter="0"/>
          <w:cols w:space="720"/>
          <w:docGrid w:linePitch="360"/>
        </w:sectPr>
      </w:pPr>
    </w:p>
    <w:p w14:paraId="5181C8AA" w14:textId="77777777" w:rsidR="00F315A3" w:rsidRPr="009C5F11" w:rsidRDefault="00F315A3" w:rsidP="00F315A3">
      <w:pPr>
        <w:spacing w:before="120" w:after="120" w:line="240" w:lineRule="auto"/>
        <w:jc w:val="both"/>
        <w:rPr>
          <w:rFonts w:ascii="Times New Roman" w:hAnsi="Times New Roman" w:cs="Times New Roman"/>
          <w:sz w:val="24"/>
          <w:lang w:val="ro-RO"/>
        </w:rPr>
      </w:pPr>
    </w:p>
    <w:p w14:paraId="7AFC15F8" w14:textId="1C85F53D" w:rsidR="00BC2ED4" w:rsidRPr="00D9464A" w:rsidRDefault="00D15C6C" w:rsidP="00B85260">
      <w:pPr>
        <w:pStyle w:val="Titlu2"/>
        <w:rPr>
          <w:rFonts w:ascii="Times New Roman" w:hAnsi="Times New Roman" w:cs="Times New Roman"/>
          <w:color w:val="000000" w:themeColor="text1"/>
          <w:sz w:val="28"/>
          <w:lang w:val="ro-RO"/>
        </w:rPr>
      </w:pPr>
      <w:bookmarkStart w:id="315" w:name="_Toc319555430"/>
      <w:bookmarkStart w:id="316" w:name="_Ref319625564"/>
      <w:bookmarkStart w:id="317" w:name="_Toc322013190"/>
      <w:r w:rsidRPr="00D9464A">
        <w:rPr>
          <w:rFonts w:ascii="Times New Roman" w:hAnsi="Times New Roman" w:cs="Times New Roman"/>
          <w:color w:val="000000" w:themeColor="text1"/>
          <w:sz w:val="28"/>
          <w:lang w:val="ro-RO"/>
        </w:rPr>
        <w:t>C</w:t>
      </w:r>
      <w:r w:rsidR="00693850" w:rsidRPr="00D9464A">
        <w:rPr>
          <w:rFonts w:ascii="Times New Roman" w:hAnsi="Times New Roman" w:cs="Times New Roman"/>
          <w:color w:val="000000" w:themeColor="text1"/>
          <w:sz w:val="28"/>
          <w:lang w:val="ro-RO"/>
        </w:rPr>
        <w:t>lădiri</w:t>
      </w:r>
      <w:bookmarkEnd w:id="315"/>
      <w:bookmarkEnd w:id="316"/>
      <w:r w:rsidRPr="00D9464A">
        <w:rPr>
          <w:rFonts w:ascii="Times New Roman" w:hAnsi="Times New Roman" w:cs="Times New Roman"/>
          <w:color w:val="000000" w:themeColor="text1"/>
          <w:sz w:val="28"/>
          <w:lang w:val="ro-RO"/>
        </w:rPr>
        <w:t>le A</w:t>
      </w:r>
      <w:r w:rsidR="00AB291D">
        <w:rPr>
          <w:rFonts w:ascii="Times New Roman" w:hAnsi="Times New Roman" w:cs="Times New Roman"/>
          <w:color w:val="000000" w:themeColor="text1"/>
          <w:sz w:val="28"/>
          <w:lang w:val="ro-RO"/>
        </w:rPr>
        <w:t>utorităților Administrației</w:t>
      </w:r>
      <w:r w:rsidR="00A46D60" w:rsidRPr="00D9464A">
        <w:rPr>
          <w:rFonts w:ascii="Times New Roman" w:hAnsi="Times New Roman" w:cs="Times New Roman"/>
          <w:color w:val="000000" w:themeColor="text1"/>
          <w:sz w:val="28"/>
          <w:lang w:val="ro-RO"/>
        </w:rPr>
        <w:t xml:space="preserve"> </w:t>
      </w:r>
      <w:r w:rsidRPr="00D9464A">
        <w:rPr>
          <w:rFonts w:ascii="Times New Roman" w:hAnsi="Times New Roman" w:cs="Times New Roman"/>
          <w:color w:val="000000" w:themeColor="text1"/>
          <w:sz w:val="28"/>
          <w:lang w:val="ro-RO"/>
        </w:rPr>
        <w:t>P</w:t>
      </w:r>
      <w:r w:rsidR="00A46D60" w:rsidRPr="00D9464A">
        <w:rPr>
          <w:rFonts w:ascii="Times New Roman" w:hAnsi="Times New Roman" w:cs="Times New Roman"/>
          <w:color w:val="000000" w:themeColor="text1"/>
          <w:sz w:val="28"/>
          <w:lang w:val="ro-RO"/>
        </w:rPr>
        <w:t xml:space="preserve">ublice </w:t>
      </w:r>
      <w:r w:rsidRPr="00D9464A">
        <w:rPr>
          <w:rFonts w:ascii="Times New Roman" w:hAnsi="Times New Roman" w:cs="Times New Roman"/>
          <w:color w:val="000000" w:themeColor="text1"/>
          <w:sz w:val="28"/>
          <w:lang w:val="ro-RO"/>
        </w:rPr>
        <w:t>C</w:t>
      </w:r>
      <w:r w:rsidR="00A46D60" w:rsidRPr="00D9464A">
        <w:rPr>
          <w:rFonts w:ascii="Times New Roman" w:hAnsi="Times New Roman" w:cs="Times New Roman"/>
          <w:color w:val="000000" w:themeColor="text1"/>
          <w:sz w:val="28"/>
          <w:lang w:val="ro-RO"/>
        </w:rPr>
        <w:t>entrale</w:t>
      </w:r>
      <w:bookmarkEnd w:id="317"/>
    </w:p>
    <w:p w14:paraId="33E3C0BB" w14:textId="77777777" w:rsidR="00BC2ED4" w:rsidRPr="00D9464A" w:rsidRDefault="00BC2ED4" w:rsidP="00BC2ED4">
      <w:pPr>
        <w:spacing w:before="120" w:after="120" w:line="240" w:lineRule="auto"/>
        <w:jc w:val="both"/>
        <w:rPr>
          <w:rFonts w:ascii="Times New Roman" w:hAnsi="Times New Roman" w:cs="Times New Roman"/>
          <w:b/>
          <w:i/>
          <w:color w:val="000000" w:themeColor="text1"/>
          <w:lang w:val="ro-RO"/>
        </w:rPr>
      </w:pPr>
    </w:p>
    <w:p w14:paraId="4365A6AB" w14:textId="77777777" w:rsidR="00BC2ED4" w:rsidRPr="00D9464A" w:rsidRDefault="00D15C6C" w:rsidP="00B85260">
      <w:pPr>
        <w:pStyle w:val="Titlu3"/>
        <w:rPr>
          <w:rFonts w:ascii="Times New Roman" w:hAnsi="Times New Roman" w:cs="Times New Roman"/>
          <w:b/>
          <w:color w:val="000000" w:themeColor="text1"/>
          <w:sz w:val="28"/>
          <w:lang w:val="ro-RO"/>
        </w:rPr>
      </w:pPr>
      <w:bookmarkStart w:id="318" w:name="_Toc319555431"/>
      <w:bookmarkStart w:id="319" w:name="_Toc322013191"/>
      <w:r w:rsidRPr="00D9464A">
        <w:rPr>
          <w:rFonts w:ascii="Times New Roman" w:hAnsi="Times New Roman" w:cs="Times New Roman"/>
          <w:b/>
          <w:color w:val="000000" w:themeColor="text1"/>
          <w:sz w:val="28"/>
          <w:lang w:val="ro-RO"/>
        </w:rPr>
        <w:t>Informaţii</w:t>
      </w:r>
      <w:r w:rsidR="00BC2ED4" w:rsidRPr="00D9464A">
        <w:rPr>
          <w:rFonts w:ascii="Times New Roman" w:hAnsi="Times New Roman" w:cs="Times New Roman"/>
          <w:b/>
          <w:color w:val="000000" w:themeColor="text1"/>
          <w:sz w:val="28"/>
          <w:lang w:val="ro-RO"/>
        </w:rPr>
        <w:t xml:space="preserve"> </w:t>
      </w:r>
      <w:r w:rsidR="0036629A" w:rsidRPr="00D9464A">
        <w:rPr>
          <w:rFonts w:ascii="Times New Roman" w:hAnsi="Times New Roman" w:cs="Times New Roman"/>
          <w:b/>
          <w:color w:val="000000" w:themeColor="text1"/>
          <w:sz w:val="28"/>
          <w:lang w:val="ro-RO"/>
        </w:rPr>
        <w:t xml:space="preserve">despre inventarul publicat al clădirilor încălzite şi climatizate </w:t>
      </w:r>
      <w:r w:rsidR="00BC2ED4" w:rsidRPr="00D9464A">
        <w:rPr>
          <w:rFonts w:ascii="Times New Roman" w:hAnsi="Times New Roman" w:cs="Times New Roman"/>
          <w:b/>
          <w:color w:val="000000" w:themeColor="text1"/>
          <w:sz w:val="28"/>
          <w:lang w:val="ro-RO"/>
        </w:rPr>
        <w:t>(</w:t>
      </w:r>
      <w:r w:rsidR="0036629A" w:rsidRPr="00D9464A">
        <w:rPr>
          <w:rFonts w:ascii="Times New Roman" w:hAnsi="Times New Roman" w:cs="Times New Roman"/>
          <w:b/>
          <w:color w:val="000000" w:themeColor="text1"/>
          <w:sz w:val="28"/>
          <w:lang w:val="ro-RO"/>
        </w:rPr>
        <w:t xml:space="preserve">cu </w:t>
      </w:r>
      <w:r w:rsidR="002F56C4" w:rsidRPr="00D9464A">
        <w:rPr>
          <w:rFonts w:ascii="Times New Roman" w:hAnsi="Times New Roman" w:cs="Times New Roman"/>
          <w:b/>
          <w:color w:val="000000" w:themeColor="text1"/>
          <w:sz w:val="28"/>
          <w:lang w:val="ro-RO"/>
        </w:rPr>
        <w:t>suprafaţa</w:t>
      </w:r>
      <w:r w:rsidR="00BC2ED4" w:rsidRPr="00D9464A">
        <w:rPr>
          <w:rFonts w:ascii="Times New Roman" w:hAnsi="Times New Roman" w:cs="Times New Roman"/>
          <w:b/>
          <w:color w:val="000000" w:themeColor="text1"/>
          <w:sz w:val="28"/>
          <w:lang w:val="ro-RO"/>
        </w:rPr>
        <w:t xml:space="preserve"> </w:t>
      </w:r>
      <w:r w:rsidR="0036629A" w:rsidRPr="00D9464A">
        <w:rPr>
          <w:rFonts w:ascii="Times New Roman" w:hAnsi="Times New Roman" w:cs="Times New Roman"/>
          <w:b/>
          <w:color w:val="000000" w:themeColor="text1"/>
          <w:sz w:val="28"/>
          <w:lang w:val="ro-RO"/>
        </w:rPr>
        <w:t>mai mare de</w:t>
      </w:r>
      <w:r w:rsidR="00BC2ED4" w:rsidRPr="00D9464A">
        <w:rPr>
          <w:rFonts w:ascii="Times New Roman" w:hAnsi="Times New Roman" w:cs="Times New Roman"/>
          <w:b/>
          <w:color w:val="000000" w:themeColor="text1"/>
          <w:sz w:val="28"/>
          <w:lang w:val="ro-RO"/>
        </w:rPr>
        <w:t xml:space="preserve"> 500 m2)</w:t>
      </w:r>
      <w:bookmarkEnd w:id="318"/>
      <w:r w:rsidR="0036629A" w:rsidRPr="00D9464A">
        <w:rPr>
          <w:rFonts w:ascii="Times New Roman" w:hAnsi="Times New Roman" w:cs="Times New Roman"/>
          <w:b/>
          <w:color w:val="000000" w:themeColor="text1"/>
          <w:sz w:val="28"/>
          <w:lang w:val="ro-RO"/>
        </w:rPr>
        <w:t xml:space="preserve"> ale APC</w:t>
      </w:r>
      <w:bookmarkEnd w:id="319"/>
      <w:r w:rsidR="0036629A" w:rsidRPr="00D9464A">
        <w:rPr>
          <w:rFonts w:ascii="Times New Roman" w:hAnsi="Times New Roman" w:cs="Times New Roman"/>
          <w:b/>
          <w:color w:val="000000" w:themeColor="text1"/>
          <w:sz w:val="28"/>
          <w:lang w:val="ro-RO"/>
        </w:rPr>
        <w:t xml:space="preserve"> </w:t>
      </w:r>
    </w:p>
    <w:p w14:paraId="2DB7B4B4" w14:textId="5A41125E" w:rsidR="00BC2ED4" w:rsidRPr="009C5F11" w:rsidRDefault="00CF70A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Nu există date statistice s</w:t>
      </w:r>
      <w:r w:rsidR="00BC2ED4" w:rsidRPr="009C5F11">
        <w:rPr>
          <w:rFonts w:ascii="Times New Roman" w:hAnsi="Times New Roman" w:cs="Times New Roman"/>
          <w:sz w:val="24"/>
          <w:lang w:val="ro-RO"/>
        </w:rPr>
        <w:t xml:space="preserve">eparate </w:t>
      </w:r>
      <w:r w:rsidRPr="009C5F11">
        <w:rPr>
          <w:rFonts w:ascii="Times New Roman" w:hAnsi="Times New Roman" w:cs="Times New Roman"/>
          <w:sz w:val="24"/>
          <w:lang w:val="ro-RO"/>
        </w:rPr>
        <w:t xml:space="preserve">pentru clădirile APC, la fel, nu sunt disponibile date despre clădirile cu </w:t>
      </w:r>
      <w:r w:rsidR="004A2281" w:rsidRPr="009C5F11">
        <w:rPr>
          <w:rFonts w:ascii="Times New Roman" w:hAnsi="Times New Roman" w:cs="Times New Roman"/>
          <w:sz w:val="24"/>
          <w:lang w:val="ro-RO"/>
        </w:rPr>
        <w:t>suprafața</w:t>
      </w:r>
      <w:r w:rsidRPr="009C5F11">
        <w:rPr>
          <w:rFonts w:ascii="Times New Roman" w:hAnsi="Times New Roman" w:cs="Times New Roman"/>
          <w:sz w:val="24"/>
          <w:lang w:val="ro-RO"/>
        </w:rPr>
        <w:t xml:space="preserve"> mai mare de </w:t>
      </w:r>
      <w:r w:rsidR="00BC2ED4" w:rsidRPr="009C5F11">
        <w:rPr>
          <w:rFonts w:ascii="Times New Roman" w:hAnsi="Times New Roman" w:cs="Times New Roman"/>
          <w:sz w:val="24"/>
          <w:lang w:val="ro-RO"/>
        </w:rPr>
        <w:t>500m2</w:t>
      </w:r>
      <w:r w:rsidR="00321CD5" w:rsidRPr="009C5F11">
        <w:rPr>
          <w:rFonts w:ascii="Times New Roman" w:hAnsi="Times New Roman" w:cs="Times New Roman"/>
          <w:sz w:val="24"/>
          <w:lang w:val="ro-RO"/>
        </w:rPr>
        <w:t xml:space="preserve"> şi </w:t>
      </w:r>
      <w:r w:rsidR="00BC2ED4" w:rsidRPr="009C5F11">
        <w:rPr>
          <w:rFonts w:ascii="Times New Roman" w:hAnsi="Times New Roman" w:cs="Times New Roman"/>
          <w:sz w:val="24"/>
          <w:lang w:val="ro-RO"/>
        </w:rPr>
        <w:t xml:space="preserve">250 m2, </w:t>
      </w:r>
      <w:r w:rsidRPr="009C5F11">
        <w:rPr>
          <w:rFonts w:ascii="Times New Roman" w:hAnsi="Times New Roman" w:cs="Times New Roman"/>
          <w:sz w:val="24"/>
          <w:lang w:val="ro-RO"/>
        </w:rPr>
        <w:t>în timp ce</w:t>
      </w:r>
      <w:r w:rsidR="00BC2ED4" w:rsidRPr="009C5F11">
        <w:rPr>
          <w:rFonts w:ascii="Times New Roman" w:hAnsi="Times New Roman" w:cs="Times New Roman"/>
          <w:sz w:val="24"/>
          <w:lang w:val="ro-RO"/>
        </w:rPr>
        <w:t xml:space="preserve"> </w:t>
      </w:r>
      <w:r w:rsidR="0036629A" w:rsidRPr="009C5F11">
        <w:rPr>
          <w:rFonts w:ascii="Times New Roman" w:hAnsi="Times New Roman" w:cs="Times New Roman"/>
          <w:sz w:val="24"/>
          <w:lang w:val="ro-RO"/>
        </w:rPr>
        <w:t>Decizia</w:t>
      </w:r>
      <w:r w:rsidR="00BC2ED4" w:rsidRPr="009C5F11">
        <w:rPr>
          <w:rFonts w:ascii="Times New Roman" w:hAnsi="Times New Roman" w:cs="Times New Roman"/>
          <w:sz w:val="24"/>
          <w:lang w:val="ro-RO"/>
        </w:rPr>
        <w:t xml:space="preserve"> D/2015/08/MC-EnC </w:t>
      </w:r>
      <w:r w:rsidRPr="009C5F11">
        <w:rPr>
          <w:rFonts w:ascii="Times New Roman" w:hAnsi="Times New Roman" w:cs="Times New Roman"/>
          <w:sz w:val="24"/>
          <w:lang w:val="ro-RO"/>
        </w:rPr>
        <w:t>stabileşte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w:t>
      </w:r>
      <w:r w:rsidR="00B11A88" w:rsidRPr="009C5F11">
        <w:rPr>
          <w:rFonts w:ascii="Times New Roman" w:hAnsi="Times New Roman" w:cs="Times New Roman"/>
          <w:sz w:val="24"/>
          <w:lang w:val="ro-RO"/>
        </w:rPr>
        <w:t xml:space="preserve">partile contractante din </w:t>
      </w:r>
      <w:r w:rsidRPr="009C5F11">
        <w:rPr>
          <w:rFonts w:ascii="Times New Roman" w:hAnsi="Times New Roman" w:cs="Times New Roman"/>
          <w:sz w:val="24"/>
          <w:lang w:val="ro-RO"/>
        </w:rPr>
        <w:t xml:space="preserve">EnC </w:t>
      </w:r>
      <w:r w:rsidR="0036629A" w:rsidRPr="009C5F11">
        <w:rPr>
          <w:rFonts w:ascii="Times New Roman" w:hAnsi="Times New Roman" w:cs="Times New Roman"/>
          <w:sz w:val="24"/>
          <w:lang w:val="ro-RO"/>
        </w:rPr>
        <w:t>termen</w:t>
      </w:r>
      <w:r w:rsidRPr="009C5F11">
        <w:rPr>
          <w:rFonts w:ascii="Times New Roman" w:hAnsi="Times New Roman" w:cs="Times New Roman"/>
          <w:sz w:val="24"/>
          <w:lang w:val="ro-RO"/>
        </w:rPr>
        <w:t>ul</w:t>
      </w:r>
      <w:r w:rsidR="0036629A" w:rsidRPr="009C5F11">
        <w:rPr>
          <w:rFonts w:ascii="Times New Roman" w:hAnsi="Times New Roman" w:cs="Times New Roman"/>
          <w:sz w:val="24"/>
          <w:lang w:val="ro-RO"/>
        </w:rPr>
        <w:t>-limită</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(1 </w:t>
      </w:r>
      <w:r w:rsidR="00A46D60" w:rsidRPr="009C5F11">
        <w:rPr>
          <w:rFonts w:ascii="Times New Roman" w:hAnsi="Times New Roman" w:cs="Times New Roman"/>
          <w:sz w:val="24"/>
          <w:lang w:val="ro-RO"/>
        </w:rPr>
        <w:t>ianuarie</w:t>
      </w:r>
      <w:r w:rsidRPr="009C5F11">
        <w:rPr>
          <w:rFonts w:ascii="Times New Roman" w:hAnsi="Times New Roman" w:cs="Times New Roman"/>
          <w:sz w:val="24"/>
          <w:lang w:val="ro-RO"/>
        </w:rPr>
        <w:t xml:space="preserve"> 2017) pentru obligaţia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 inventariere a organismelor APC</w:t>
      </w:r>
      <w:r w:rsidR="00A46D60" w:rsidRPr="009C5F11">
        <w:rPr>
          <w:rFonts w:ascii="Times New Roman" w:hAnsi="Times New Roman" w:cs="Times New Roman"/>
          <w:sz w:val="24"/>
          <w:lang w:val="ro-RO"/>
        </w:rPr>
        <w:t xml:space="preserve"> cu suprafata mai mare de 500 m2</w:t>
      </w:r>
      <w:r w:rsidR="00BC2ED4" w:rsidRPr="009C5F11">
        <w:rPr>
          <w:rFonts w:ascii="Times New Roman" w:hAnsi="Times New Roman" w:cs="Times New Roman"/>
          <w:sz w:val="24"/>
          <w:lang w:val="ro-RO"/>
        </w:rPr>
        <w:t xml:space="preserve">. </w:t>
      </w:r>
      <w:r w:rsidR="0036629A" w:rsidRPr="009C5F11">
        <w:rPr>
          <w:rFonts w:ascii="Times New Roman" w:hAnsi="Times New Roman" w:cs="Times New Roman"/>
          <w:sz w:val="24"/>
          <w:lang w:val="ro-RO"/>
        </w:rPr>
        <w:t>Inventarul</w:t>
      </w:r>
      <w:r w:rsidR="00693850" w:rsidRPr="009C5F11">
        <w:rPr>
          <w:rFonts w:ascii="Times New Roman" w:hAnsi="Times New Roman" w:cs="Times New Roman"/>
          <w:sz w:val="24"/>
          <w:lang w:val="ro-RO"/>
        </w:rPr>
        <w:t xml:space="preserve"> clădirilor</w:t>
      </w:r>
      <w:r w:rsidR="00BC2ED4" w:rsidRPr="009C5F11">
        <w:rPr>
          <w:rFonts w:ascii="Times New Roman" w:hAnsi="Times New Roman" w:cs="Times New Roman"/>
          <w:sz w:val="24"/>
          <w:lang w:val="ro-RO"/>
        </w:rPr>
        <w:t xml:space="preserve"> (public</w:t>
      </w:r>
      <w:r w:rsidR="0036629A"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şi </w:t>
      </w:r>
      <w:r w:rsidR="00BC2ED4" w:rsidRPr="009C5F11">
        <w:rPr>
          <w:rFonts w:ascii="Times New Roman" w:hAnsi="Times New Roman" w:cs="Times New Roman"/>
          <w:sz w:val="24"/>
          <w:lang w:val="ro-RO"/>
        </w:rPr>
        <w:t xml:space="preserve">private) </w:t>
      </w:r>
      <w:r w:rsidR="0036629A" w:rsidRPr="009C5F11">
        <w:rPr>
          <w:rFonts w:ascii="Times New Roman" w:hAnsi="Times New Roman" w:cs="Times New Roman"/>
          <w:sz w:val="24"/>
          <w:lang w:val="ro-RO"/>
        </w:rPr>
        <w:t>este oferit de Biroul Naţional de Statistică, însă acesta nu acoperă cerinţele D</w:t>
      </w:r>
      <w:r w:rsidR="00BC2ED4" w:rsidRPr="009C5F11">
        <w:rPr>
          <w:rFonts w:ascii="Times New Roman" w:hAnsi="Times New Roman" w:cs="Times New Roman"/>
          <w:sz w:val="24"/>
          <w:lang w:val="ro-RO"/>
        </w:rPr>
        <w:t>irective</w:t>
      </w:r>
      <w:r w:rsidR="0036629A" w:rsidRPr="009C5F11">
        <w:rPr>
          <w:rFonts w:ascii="Times New Roman" w:hAnsi="Times New Roman" w:cs="Times New Roman"/>
          <w:sz w:val="24"/>
          <w:lang w:val="ro-RO"/>
        </w:rPr>
        <w:t>i</w:t>
      </w:r>
      <w:r w:rsidR="00321CD5" w:rsidRPr="009C5F11">
        <w:rPr>
          <w:rFonts w:ascii="Times New Roman" w:hAnsi="Times New Roman" w:cs="Times New Roman"/>
          <w:sz w:val="24"/>
          <w:lang w:val="ro-RO"/>
        </w:rPr>
        <w:t xml:space="preserve"> şi </w:t>
      </w:r>
      <w:r w:rsidR="0036629A" w:rsidRPr="009C5F11">
        <w:rPr>
          <w:rFonts w:ascii="Times New Roman" w:hAnsi="Times New Roman" w:cs="Times New Roman"/>
          <w:sz w:val="24"/>
          <w:lang w:val="ro-RO"/>
        </w:rPr>
        <w:t>nu poate susţine calculele</w:t>
      </w:r>
      <w:r w:rsidR="00321CD5" w:rsidRPr="009C5F11">
        <w:rPr>
          <w:rFonts w:ascii="Times New Roman" w:hAnsi="Times New Roman" w:cs="Times New Roman"/>
          <w:sz w:val="24"/>
          <w:lang w:val="ro-RO"/>
        </w:rPr>
        <w:t xml:space="preserve"> şi </w:t>
      </w:r>
      <w:r w:rsidR="0036629A" w:rsidRPr="009C5F11">
        <w:rPr>
          <w:rFonts w:ascii="Times New Roman" w:hAnsi="Times New Roman" w:cs="Times New Roman"/>
          <w:sz w:val="24"/>
          <w:lang w:val="ro-RO"/>
        </w:rPr>
        <w:t xml:space="preserve">elaborarea </w:t>
      </w:r>
      <w:r w:rsidR="006025D6" w:rsidRPr="009C5F11">
        <w:rPr>
          <w:rFonts w:ascii="Times New Roman" w:hAnsi="Times New Roman" w:cs="Times New Roman"/>
          <w:sz w:val="24"/>
          <w:lang w:val="ro-RO"/>
        </w:rPr>
        <w:t>politici</w:t>
      </w:r>
      <w:r w:rsidR="0036629A" w:rsidRPr="009C5F11">
        <w:rPr>
          <w:rFonts w:ascii="Times New Roman" w:hAnsi="Times New Roman" w:cs="Times New Roman"/>
          <w:sz w:val="24"/>
          <w:lang w:val="ro-RO"/>
        </w:rPr>
        <w:t>lor</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Mai mult</w:t>
      </w:r>
      <w:r w:rsidR="0036629A" w:rsidRPr="009C5F11">
        <w:rPr>
          <w:rFonts w:ascii="Times New Roman" w:hAnsi="Times New Roman" w:cs="Times New Roman"/>
          <w:sz w:val="24"/>
          <w:lang w:val="ro-RO"/>
        </w:rPr>
        <w:t>,</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performanţa</w:t>
      </w:r>
      <w:r w:rsidR="00A13B50" w:rsidRPr="009C5F11">
        <w:rPr>
          <w:rFonts w:ascii="Times New Roman" w:hAnsi="Times New Roman" w:cs="Times New Roman"/>
          <w:sz w:val="24"/>
          <w:lang w:val="ro-RO"/>
        </w:rPr>
        <w:t xml:space="preserve"> energetică</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 clădirilor APC</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nu este cunoscută. P</w:t>
      </w:r>
      <w:r w:rsidR="00896342" w:rsidRPr="009C5F11">
        <w:rPr>
          <w:rFonts w:ascii="Times New Roman" w:hAnsi="Times New Roman" w:cs="Times New Roman"/>
          <w:sz w:val="24"/>
          <w:lang w:val="ro-RO"/>
        </w:rPr>
        <w:t>rin urmare</w:t>
      </w:r>
      <w:r w:rsidRPr="009C5F11">
        <w:rPr>
          <w:rFonts w:ascii="Times New Roman" w:hAnsi="Times New Roman" w:cs="Times New Roman"/>
          <w:sz w:val="24"/>
          <w:lang w:val="ro-RO"/>
        </w:rPr>
        <w:t>,</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nu este posibil de efectuat calcul</w:t>
      </w:r>
      <w:r w:rsidR="00A46D60" w:rsidRPr="009C5F11">
        <w:rPr>
          <w:rFonts w:ascii="Times New Roman" w:hAnsi="Times New Roman" w:cs="Times New Roman"/>
          <w:sz w:val="24"/>
          <w:lang w:val="ro-RO"/>
        </w:rPr>
        <w:t>ul</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economiilor realizabile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pe baza </w:t>
      </w:r>
      <w:r w:rsidR="00E376C4" w:rsidRPr="009C5F11">
        <w:rPr>
          <w:rFonts w:ascii="Times New Roman" w:hAnsi="Times New Roman" w:cs="Times New Roman"/>
          <w:sz w:val="24"/>
          <w:lang w:val="ro-RO"/>
        </w:rPr>
        <w:t>renov</w:t>
      </w:r>
      <w:r w:rsidRPr="009C5F11">
        <w:rPr>
          <w:rFonts w:ascii="Times New Roman" w:hAnsi="Times New Roman" w:cs="Times New Roman"/>
          <w:sz w:val="24"/>
          <w:lang w:val="ro-RO"/>
        </w:rPr>
        <w:t>ării suprafeţelor ş</w:t>
      </w:r>
      <w:r w:rsidR="00321CD5" w:rsidRPr="009C5F11">
        <w:rPr>
          <w:rFonts w:ascii="Times New Roman" w:hAnsi="Times New Roman" w:cs="Times New Roman"/>
          <w:sz w:val="24"/>
          <w:lang w:val="ro-RO"/>
        </w:rPr>
        <w:t xml:space="preserve">i </w:t>
      </w:r>
      <w:r w:rsidR="00BC2ED4" w:rsidRPr="009C5F11">
        <w:rPr>
          <w:rFonts w:ascii="Times New Roman" w:hAnsi="Times New Roman" w:cs="Times New Roman"/>
          <w:sz w:val="24"/>
          <w:lang w:val="ro-RO"/>
        </w:rPr>
        <w:t>substitu</w:t>
      </w:r>
      <w:r w:rsidRPr="009C5F11">
        <w:rPr>
          <w:rFonts w:ascii="Times New Roman" w:hAnsi="Times New Roman" w:cs="Times New Roman"/>
          <w:sz w:val="24"/>
          <w:lang w:val="ro-RO"/>
        </w:rPr>
        <w:t>irea posibilă a acestor</w:t>
      </w:r>
      <w:r w:rsidR="00BC2ED4"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economii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cu o cantitate egală ce provine din </w:t>
      </w:r>
      <w:r w:rsidR="00E376C4" w:rsidRPr="009C5F11">
        <w:rPr>
          <w:rFonts w:ascii="Times New Roman" w:hAnsi="Times New Roman" w:cs="Times New Roman"/>
          <w:sz w:val="24"/>
          <w:lang w:val="ro-RO"/>
        </w:rPr>
        <w:t>renovarea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majoră a unor </w:t>
      </w:r>
      <w:r w:rsidR="004A2281" w:rsidRPr="009C5F11">
        <w:rPr>
          <w:rFonts w:ascii="Times New Roman" w:hAnsi="Times New Roman" w:cs="Times New Roman"/>
          <w:sz w:val="24"/>
          <w:lang w:val="ro-RO"/>
        </w:rPr>
        <w:t>suprafețe</w:t>
      </w:r>
      <w:r w:rsidRPr="009C5F11">
        <w:rPr>
          <w:rFonts w:ascii="Times New Roman" w:hAnsi="Times New Roman" w:cs="Times New Roman"/>
          <w:sz w:val="24"/>
          <w:lang w:val="ro-RO"/>
        </w:rPr>
        <w:t xml:space="preserve"> mai mici</w:t>
      </w:r>
      <w:r w:rsidR="00321CD5" w:rsidRPr="009C5F11">
        <w:rPr>
          <w:rFonts w:ascii="Times New Roman" w:hAnsi="Times New Roman" w:cs="Times New Roman"/>
          <w:sz w:val="24"/>
          <w:lang w:val="ro-RO"/>
        </w:rPr>
        <w:t xml:space="preserve"> şi </w:t>
      </w:r>
      <w:r w:rsidR="00BC2ED4" w:rsidRPr="009C5F11">
        <w:rPr>
          <w:rFonts w:ascii="Times New Roman" w:hAnsi="Times New Roman" w:cs="Times New Roman"/>
          <w:sz w:val="24"/>
          <w:lang w:val="ro-RO"/>
        </w:rPr>
        <w:t>combina</w:t>
      </w:r>
      <w:r w:rsidRPr="009C5F11">
        <w:rPr>
          <w:rFonts w:ascii="Times New Roman" w:hAnsi="Times New Roman" w:cs="Times New Roman"/>
          <w:sz w:val="24"/>
          <w:lang w:val="ro-RO"/>
        </w:rPr>
        <w:t>rea acestei</w:t>
      </w:r>
      <w:r w:rsidR="00752EBC"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cu</w:t>
      </w:r>
      <w:r w:rsidR="00BC2ED4"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de schimbare comportamentală</w:t>
      </w:r>
      <w:r w:rsidR="00BC2ED4" w:rsidRPr="009C5F11">
        <w:rPr>
          <w:rFonts w:ascii="Times New Roman" w:hAnsi="Times New Roman" w:cs="Times New Roman"/>
          <w:sz w:val="24"/>
          <w:lang w:val="ro-RO"/>
        </w:rPr>
        <w:t>.</w:t>
      </w:r>
    </w:p>
    <w:p w14:paraId="7B9C3B46" w14:textId="77777777" w:rsidR="00607023" w:rsidRPr="009C5F11" w:rsidRDefault="00607023" w:rsidP="00A276BE">
      <w:pPr>
        <w:spacing w:before="120" w:after="120" w:line="240" w:lineRule="auto"/>
        <w:jc w:val="both"/>
        <w:rPr>
          <w:rFonts w:ascii="Times New Roman" w:hAnsi="Times New Roman" w:cs="Times New Roman"/>
          <w:sz w:val="24"/>
          <w:lang w:val="ro-RO"/>
        </w:rPr>
      </w:pPr>
    </w:p>
    <w:p w14:paraId="339ADD1F" w14:textId="77777777" w:rsidR="00A276BE" w:rsidRPr="009C5F11" w:rsidRDefault="00321CD5" w:rsidP="00A276BE">
      <w:pPr>
        <w:pStyle w:val="Legend"/>
        <w:keepNext/>
        <w:jc w:val="center"/>
        <w:rPr>
          <w:rFonts w:ascii="Times New Roman" w:hAnsi="Times New Roman" w:cs="Times New Roman"/>
          <w:sz w:val="22"/>
          <w:lang w:val="ro-RO"/>
        </w:rPr>
      </w:pPr>
      <w:bookmarkStart w:id="320" w:name="_Toc322013249"/>
      <w:r w:rsidRPr="009C5F11">
        <w:rPr>
          <w:rFonts w:ascii="Times New Roman" w:hAnsi="Times New Roman" w:cs="Times New Roman"/>
          <w:sz w:val="22"/>
          <w:lang w:val="ro-RO"/>
        </w:rPr>
        <w:t>Tabelul</w:t>
      </w:r>
      <w:r w:rsidR="00A276BE"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A276BE"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26</w:t>
      </w:r>
      <w:r w:rsidR="003A6ADB" w:rsidRPr="009C5F11">
        <w:rPr>
          <w:rFonts w:ascii="Times New Roman" w:hAnsi="Times New Roman" w:cs="Times New Roman"/>
          <w:sz w:val="22"/>
          <w:lang w:val="ro-RO"/>
        </w:rPr>
        <w:fldChar w:fldCharType="end"/>
      </w:r>
      <w:r w:rsidR="00A276BE" w:rsidRPr="009C5F11">
        <w:rPr>
          <w:rFonts w:ascii="Times New Roman" w:hAnsi="Times New Roman" w:cs="Times New Roman"/>
          <w:sz w:val="22"/>
          <w:lang w:val="ro-RO"/>
        </w:rPr>
        <w:t xml:space="preserve"> </w:t>
      </w:r>
      <w:r w:rsidR="00D15C6C" w:rsidRPr="009C5F11">
        <w:rPr>
          <w:rFonts w:ascii="Times New Roman" w:hAnsi="Times New Roman" w:cs="Times New Roman"/>
          <w:sz w:val="22"/>
          <w:lang w:val="ro-RO"/>
        </w:rPr>
        <w:t>–</w:t>
      </w:r>
      <w:r w:rsidR="00A276BE" w:rsidRPr="009C5F11">
        <w:rPr>
          <w:rFonts w:ascii="Times New Roman" w:hAnsi="Times New Roman" w:cs="Times New Roman"/>
          <w:sz w:val="22"/>
          <w:lang w:val="ro-RO"/>
        </w:rPr>
        <w:t xml:space="preserve"> </w:t>
      </w:r>
      <w:r w:rsidR="00D15C6C" w:rsidRPr="009C5F11">
        <w:rPr>
          <w:rFonts w:ascii="Times New Roman" w:hAnsi="Times New Roman" w:cs="Times New Roman"/>
          <w:sz w:val="22"/>
          <w:lang w:val="ro-RO"/>
        </w:rPr>
        <w:t>Date s</w:t>
      </w:r>
      <w:r w:rsidR="00A276BE" w:rsidRPr="009C5F11">
        <w:rPr>
          <w:rFonts w:ascii="Times New Roman" w:hAnsi="Times New Roman" w:cs="Times New Roman"/>
          <w:sz w:val="22"/>
          <w:lang w:val="ro-RO"/>
        </w:rPr>
        <w:t>tatistic</w:t>
      </w:r>
      <w:r w:rsidR="00D15C6C" w:rsidRPr="009C5F11">
        <w:rPr>
          <w:rFonts w:ascii="Times New Roman" w:hAnsi="Times New Roman" w:cs="Times New Roman"/>
          <w:sz w:val="22"/>
          <w:lang w:val="ro-RO"/>
        </w:rPr>
        <w:t>e</w:t>
      </w:r>
      <w:r w:rsidR="00A276BE" w:rsidRPr="009C5F11">
        <w:rPr>
          <w:rFonts w:ascii="Times New Roman" w:hAnsi="Times New Roman" w:cs="Times New Roman"/>
          <w:sz w:val="22"/>
          <w:lang w:val="ro-RO"/>
        </w:rPr>
        <w:t xml:space="preserve"> </w:t>
      </w:r>
      <w:r w:rsidR="00D15C6C" w:rsidRPr="009C5F11">
        <w:rPr>
          <w:rFonts w:ascii="Times New Roman" w:hAnsi="Times New Roman" w:cs="Times New Roman"/>
          <w:sz w:val="22"/>
          <w:lang w:val="ro-RO"/>
        </w:rPr>
        <w:t>despre locuinţele</w:t>
      </w:r>
      <w:r w:rsidR="00A276BE" w:rsidRPr="009C5F11">
        <w:rPr>
          <w:rFonts w:ascii="Times New Roman" w:hAnsi="Times New Roman" w:cs="Times New Roman"/>
          <w:sz w:val="22"/>
          <w:lang w:val="ro-RO"/>
        </w:rPr>
        <w:t xml:space="preserve"> (public</w:t>
      </w:r>
      <w:r w:rsidR="00D15C6C" w:rsidRPr="009C5F11">
        <w:rPr>
          <w:rFonts w:ascii="Times New Roman" w:hAnsi="Times New Roman" w:cs="Times New Roman"/>
          <w:sz w:val="22"/>
          <w:lang w:val="ro-RO"/>
        </w:rPr>
        <w:t>e</w:t>
      </w:r>
      <w:r w:rsidRPr="009C5F11">
        <w:rPr>
          <w:rFonts w:ascii="Times New Roman" w:hAnsi="Times New Roman" w:cs="Times New Roman"/>
          <w:sz w:val="22"/>
          <w:lang w:val="ro-RO"/>
        </w:rPr>
        <w:t xml:space="preserve"> şi </w:t>
      </w:r>
      <w:r w:rsidR="00A276BE" w:rsidRPr="009C5F11">
        <w:rPr>
          <w:rFonts w:ascii="Times New Roman" w:hAnsi="Times New Roman" w:cs="Times New Roman"/>
          <w:sz w:val="22"/>
          <w:lang w:val="ro-RO"/>
        </w:rPr>
        <w:t xml:space="preserve">private) </w:t>
      </w:r>
      <w:r w:rsidR="00D15C6C" w:rsidRPr="009C5F11">
        <w:rPr>
          <w:rFonts w:ascii="Times New Roman" w:hAnsi="Times New Roman" w:cs="Times New Roman"/>
          <w:sz w:val="22"/>
          <w:lang w:val="ro-RO"/>
        </w:rPr>
        <w:t xml:space="preserve">din Republica Moldova </w:t>
      </w:r>
      <w:r w:rsidR="00D15C6C" w:rsidRPr="009C5F11">
        <w:rPr>
          <w:rFonts w:ascii="Times New Roman" w:hAnsi="Times New Roman" w:cs="Times New Roman"/>
          <w:sz w:val="22"/>
          <w:lang w:val="ro-RO"/>
        </w:rPr>
        <w:br/>
        <w:t xml:space="preserve">la situaţia din </w:t>
      </w:r>
      <w:r w:rsidR="00A276BE" w:rsidRPr="009C5F11">
        <w:rPr>
          <w:rFonts w:ascii="Times New Roman" w:hAnsi="Times New Roman" w:cs="Times New Roman"/>
          <w:sz w:val="22"/>
          <w:lang w:val="ro-RO"/>
        </w:rPr>
        <w:t>01.01.2015</w:t>
      </w:r>
      <w:r w:rsidR="00CF70A4" w:rsidRPr="009C5F11">
        <w:rPr>
          <w:rFonts w:ascii="Times New Roman" w:hAnsi="Times New Roman" w:cs="Times New Roman"/>
          <w:sz w:val="22"/>
          <w:lang w:val="ro-RO"/>
        </w:rPr>
        <w:t>.</w:t>
      </w:r>
      <w:bookmarkEnd w:id="320"/>
    </w:p>
    <w:tbl>
      <w:tblPr>
        <w:tblW w:w="8111" w:type="dxa"/>
        <w:jc w:val="center"/>
        <w:tblBorders>
          <w:top w:val="single" w:sz="4" w:space="0" w:color="4F81BD"/>
          <w:left w:val="single" w:sz="4" w:space="0" w:color="4F81BD"/>
          <w:bottom w:val="single" w:sz="4" w:space="0" w:color="4F81BD"/>
          <w:right w:val="single" w:sz="4" w:space="0" w:color="4F81BD"/>
          <w:insideH w:val="single" w:sz="4" w:space="0" w:color="4F81BD"/>
        </w:tblBorders>
        <w:tblCellMar>
          <w:left w:w="0" w:type="dxa"/>
          <w:right w:w="0" w:type="dxa"/>
        </w:tblCellMar>
        <w:tblLook w:val="04A0" w:firstRow="1" w:lastRow="0" w:firstColumn="1" w:lastColumn="0" w:noHBand="0" w:noVBand="1"/>
      </w:tblPr>
      <w:tblGrid>
        <w:gridCol w:w="2901"/>
        <w:gridCol w:w="3571"/>
        <w:gridCol w:w="1639"/>
      </w:tblGrid>
      <w:tr w:rsidR="00BC2ED4" w:rsidRPr="009C5F11" w14:paraId="50368793" w14:textId="77777777" w:rsidTr="00A276BE">
        <w:trPr>
          <w:trHeight w:val="72"/>
          <w:jc w:val="center"/>
        </w:trPr>
        <w:tc>
          <w:tcPr>
            <w:tcW w:w="2901" w:type="dxa"/>
            <w:tcBorders>
              <w:top w:val="single" w:sz="4" w:space="0" w:color="001C53" w:themeColor="accent2" w:themeShade="80"/>
              <w:left w:val="single" w:sz="4" w:space="0" w:color="001C53" w:themeColor="accent2" w:themeShade="80"/>
              <w:bottom w:val="single" w:sz="4" w:space="0" w:color="001C53" w:themeColor="accent2" w:themeShade="80"/>
            </w:tcBorders>
            <w:shd w:val="clear" w:color="auto" w:fill="000080"/>
            <w:tcMar>
              <w:top w:w="0" w:type="dxa"/>
              <w:left w:w="108" w:type="dxa"/>
              <w:bottom w:w="0" w:type="dxa"/>
              <w:right w:w="108" w:type="dxa"/>
            </w:tcMar>
            <w:hideMark/>
          </w:tcPr>
          <w:p w14:paraId="5721CF4B" w14:textId="77777777" w:rsidR="00BC2ED4" w:rsidRPr="009C5F11" w:rsidRDefault="00BC2ED4" w:rsidP="00430626">
            <w:pPr>
              <w:spacing w:after="0" w:line="240" w:lineRule="auto"/>
              <w:rPr>
                <w:rFonts w:ascii="Times New Roman" w:eastAsia="Calibri" w:hAnsi="Times New Roman" w:cs="Times New Roman"/>
                <w:b/>
                <w:sz w:val="20"/>
                <w:szCs w:val="16"/>
                <w:lang w:val="ro-RO"/>
              </w:rPr>
            </w:pPr>
          </w:p>
        </w:tc>
        <w:tc>
          <w:tcPr>
            <w:tcW w:w="3571" w:type="dxa"/>
            <w:tcBorders>
              <w:top w:val="single" w:sz="4" w:space="0" w:color="001C53" w:themeColor="accent2" w:themeShade="80"/>
              <w:bottom w:val="single" w:sz="4" w:space="0" w:color="001C53" w:themeColor="accent2" w:themeShade="80"/>
            </w:tcBorders>
            <w:shd w:val="clear" w:color="auto" w:fill="000080"/>
            <w:tcMar>
              <w:top w:w="0" w:type="dxa"/>
              <w:left w:w="108" w:type="dxa"/>
              <w:bottom w:w="0" w:type="dxa"/>
              <w:right w:w="108" w:type="dxa"/>
            </w:tcMar>
            <w:hideMark/>
          </w:tcPr>
          <w:p w14:paraId="471A52B4" w14:textId="77777777" w:rsidR="00BC2ED4" w:rsidRPr="009C5F11" w:rsidRDefault="00D15C6C" w:rsidP="00430626">
            <w:pPr>
              <w:spacing w:after="0" w:line="240" w:lineRule="auto"/>
              <w:jc w:val="center"/>
              <w:rPr>
                <w:rFonts w:ascii="Times New Roman" w:eastAsia="Calibri" w:hAnsi="Times New Roman" w:cs="Times New Roman"/>
                <w:b/>
                <w:sz w:val="20"/>
                <w:szCs w:val="16"/>
                <w:lang w:val="ro-RO"/>
              </w:rPr>
            </w:pPr>
            <w:r w:rsidRPr="009C5F11">
              <w:rPr>
                <w:rFonts w:ascii="Times New Roman" w:eastAsia="Calibri" w:hAnsi="Times New Roman" w:cs="Times New Roman"/>
                <w:b/>
                <w:sz w:val="20"/>
                <w:szCs w:val="16"/>
                <w:lang w:val="ro-RO"/>
              </w:rPr>
              <w:t>Suprafaţa totală</w:t>
            </w:r>
            <w:r w:rsidR="00BC2ED4" w:rsidRPr="009C5F11">
              <w:rPr>
                <w:rFonts w:ascii="Times New Roman" w:eastAsia="Calibri" w:hAnsi="Times New Roman" w:cs="Times New Roman"/>
                <w:b/>
                <w:sz w:val="20"/>
                <w:szCs w:val="16"/>
                <w:lang w:val="ro-RO"/>
              </w:rPr>
              <w:t xml:space="preserve">, </w:t>
            </w:r>
            <w:r w:rsidR="00421FA7" w:rsidRPr="009C5F11">
              <w:rPr>
                <w:rFonts w:ascii="Times New Roman" w:eastAsia="Calibri" w:hAnsi="Times New Roman" w:cs="Times New Roman"/>
                <w:b/>
                <w:sz w:val="20"/>
                <w:szCs w:val="16"/>
                <w:lang w:val="ro-RO"/>
              </w:rPr>
              <w:t>mii</w:t>
            </w:r>
            <w:r w:rsidR="00BC2ED4" w:rsidRPr="009C5F11">
              <w:rPr>
                <w:rFonts w:ascii="Times New Roman" w:eastAsia="Calibri" w:hAnsi="Times New Roman" w:cs="Times New Roman"/>
                <w:b/>
                <w:sz w:val="20"/>
                <w:szCs w:val="16"/>
                <w:lang w:val="ro-RO"/>
              </w:rPr>
              <w:t xml:space="preserve"> m2</w:t>
            </w:r>
          </w:p>
        </w:tc>
        <w:tc>
          <w:tcPr>
            <w:tcW w:w="1639" w:type="dxa"/>
            <w:tcBorders>
              <w:top w:val="single" w:sz="4" w:space="0" w:color="001C53" w:themeColor="accent2" w:themeShade="80"/>
              <w:bottom w:val="single" w:sz="4" w:space="0" w:color="001C53" w:themeColor="accent2" w:themeShade="80"/>
              <w:right w:val="single" w:sz="4" w:space="0" w:color="001C53" w:themeColor="accent2" w:themeShade="80"/>
            </w:tcBorders>
            <w:shd w:val="clear" w:color="auto" w:fill="000080"/>
          </w:tcPr>
          <w:p w14:paraId="57E390CA" w14:textId="77777777" w:rsidR="00BC2ED4" w:rsidRPr="009C5F11" w:rsidRDefault="00BC2ED4" w:rsidP="00430626">
            <w:pPr>
              <w:spacing w:after="0" w:line="240" w:lineRule="auto"/>
              <w:jc w:val="center"/>
              <w:rPr>
                <w:rFonts w:ascii="Times New Roman" w:eastAsia="Calibri" w:hAnsi="Times New Roman" w:cs="Times New Roman"/>
                <w:b/>
                <w:sz w:val="20"/>
                <w:szCs w:val="16"/>
                <w:lang w:val="ro-RO"/>
              </w:rPr>
            </w:pPr>
            <w:r w:rsidRPr="009C5F11">
              <w:rPr>
                <w:rFonts w:ascii="Times New Roman" w:eastAsia="Calibri" w:hAnsi="Times New Roman" w:cs="Times New Roman"/>
                <w:b/>
                <w:sz w:val="20"/>
                <w:szCs w:val="16"/>
                <w:lang w:val="ro-RO"/>
              </w:rPr>
              <w:t>(%)</w:t>
            </w:r>
          </w:p>
        </w:tc>
      </w:tr>
      <w:tr w:rsidR="00BC2ED4" w:rsidRPr="009C5F11" w14:paraId="14FFB95F" w14:textId="77777777" w:rsidTr="00A276BE">
        <w:trPr>
          <w:jc w:val="center"/>
        </w:trPr>
        <w:tc>
          <w:tcPr>
            <w:tcW w:w="2901" w:type="dxa"/>
            <w:tcBorders>
              <w:top w:val="single" w:sz="4" w:space="0" w:color="001C53" w:themeColor="accent2" w:themeShade="80"/>
            </w:tcBorders>
            <w:tcMar>
              <w:top w:w="0" w:type="dxa"/>
              <w:left w:w="108" w:type="dxa"/>
              <w:bottom w:w="0" w:type="dxa"/>
              <w:right w:w="108" w:type="dxa"/>
            </w:tcMar>
            <w:hideMark/>
          </w:tcPr>
          <w:p w14:paraId="56FBE559" w14:textId="77777777" w:rsidR="00BC2ED4" w:rsidRPr="009C5F11" w:rsidRDefault="00D15C6C" w:rsidP="00430626">
            <w:pPr>
              <w:spacing w:after="0" w:line="240" w:lineRule="auto"/>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Locuinţe</w:t>
            </w:r>
            <w:r w:rsidR="00BC2ED4" w:rsidRPr="009C5F11">
              <w:rPr>
                <w:rFonts w:ascii="Times New Roman" w:eastAsia="Calibri" w:hAnsi="Times New Roman" w:cs="Times New Roman"/>
                <w:sz w:val="20"/>
                <w:szCs w:val="16"/>
                <w:lang w:val="ro-RO"/>
              </w:rPr>
              <w:t xml:space="preserve"> – total</w:t>
            </w:r>
          </w:p>
          <w:p w14:paraId="189A6419" w14:textId="77777777" w:rsidR="00BC2ED4" w:rsidRPr="009C5F11" w:rsidRDefault="00F53252" w:rsidP="00430626">
            <w:pPr>
              <w:spacing w:after="0" w:line="240" w:lineRule="auto"/>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din care</w:t>
            </w:r>
            <w:r w:rsidR="00BC2ED4" w:rsidRPr="009C5F11">
              <w:rPr>
                <w:rFonts w:ascii="Times New Roman" w:eastAsia="Calibri" w:hAnsi="Times New Roman" w:cs="Times New Roman"/>
                <w:sz w:val="20"/>
                <w:szCs w:val="16"/>
                <w:lang w:val="ro-RO"/>
              </w:rPr>
              <w:t>:</w:t>
            </w:r>
          </w:p>
        </w:tc>
        <w:tc>
          <w:tcPr>
            <w:tcW w:w="3571" w:type="dxa"/>
            <w:tcBorders>
              <w:top w:val="single" w:sz="4" w:space="0" w:color="001C53" w:themeColor="accent2" w:themeShade="80"/>
            </w:tcBorders>
            <w:tcMar>
              <w:top w:w="0" w:type="dxa"/>
              <w:left w:w="108" w:type="dxa"/>
              <w:bottom w:w="0" w:type="dxa"/>
              <w:right w:w="108" w:type="dxa"/>
            </w:tcMar>
            <w:hideMark/>
          </w:tcPr>
          <w:p w14:paraId="75FEC19C" w14:textId="77777777" w:rsidR="00BC2ED4" w:rsidRPr="009C5F11" w:rsidRDefault="00BC2ED4" w:rsidP="00430626">
            <w:pPr>
              <w:spacing w:after="0" w:line="240" w:lineRule="auto"/>
              <w:jc w:val="center"/>
              <w:rPr>
                <w:rFonts w:ascii="Times New Roman" w:eastAsia="Calibri" w:hAnsi="Times New Roman" w:cs="Times New Roman"/>
                <w:sz w:val="20"/>
                <w:szCs w:val="16"/>
                <w:lang w:val="ro-RO"/>
              </w:rPr>
            </w:pPr>
            <w:r w:rsidRPr="009C5F11">
              <w:rPr>
                <w:rFonts w:ascii="Times New Roman" w:eastAsia="Calibri" w:hAnsi="Times New Roman" w:cs="Times New Roman"/>
                <w:bCs/>
                <w:sz w:val="20"/>
                <w:szCs w:val="16"/>
                <w:lang w:val="ro-RO"/>
              </w:rPr>
              <w:t>81,046.5</w:t>
            </w:r>
          </w:p>
        </w:tc>
        <w:tc>
          <w:tcPr>
            <w:tcW w:w="1639" w:type="dxa"/>
            <w:tcBorders>
              <w:top w:val="single" w:sz="4" w:space="0" w:color="001C53" w:themeColor="accent2" w:themeShade="80"/>
            </w:tcBorders>
          </w:tcPr>
          <w:p w14:paraId="49567628" w14:textId="77777777" w:rsidR="00BC2ED4" w:rsidRPr="009C5F11" w:rsidRDefault="00BC2ED4" w:rsidP="00430626">
            <w:pPr>
              <w:spacing w:after="0" w:line="240" w:lineRule="auto"/>
              <w:jc w:val="center"/>
              <w:rPr>
                <w:rFonts w:ascii="Times New Roman" w:eastAsia="Calibri" w:hAnsi="Times New Roman" w:cs="Times New Roman"/>
                <w:bCs/>
                <w:sz w:val="20"/>
                <w:szCs w:val="16"/>
                <w:lang w:val="ro-RO"/>
              </w:rPr>
            </w:pPr>
            <w:r w:rsidRPr="009C5F11">
              <w:rPr>
                <w:rFonts w:ascii="Times New Roman" w:eastAsia="Calibri" w:hAnsi="Times New Roman" w:cs="Times New Roman"/>
                <w:bCs/>
                <w:sz w:val="20"/>
                <w:szCs w:val="16"/>
                <w:lang w:val="ro-RO"/>
              </w:rPr>
              <w:t>100.0</w:t>
            </w:r>
          </w:p>
        </w:tc>
      </w:tr>
      <w:tr w:rsidR="00BC2ED4" w:rsidRPr="009C5F11" w14:paraId="13FA1205" w14:textId="77777777" w:rsidTr="00430626">
        <w:trPr>
          <w:jc w:val="center"/>
        </w:trPr>
        <w:tc>
          <w:tcPr>
            <w:tcW w:w="2901" w:type="dxa"/>
            <w:tcMar>
              <w:top w:w="0" w:type="dxa"/>
              <w:left w:w="108" w:type="dxa"/>
              <w:bottom w:w="0" w:type="dxa"/>
              <w:right w:w="108" w:type="dxa"/>
            </w:tcMar>
            <w:hideMark/>
          </w:tcPr>
          <w:p w14:paraId="31772703" w14:textId="77777777" w:rsidR="00BC2ED4" w:rsidRPr="009C5F11" w:rsidRDefault="00BC2ED4" w:rsidP="00430626">
            <w:pPr>
              <w:spacing w:after="0" w:line="240" w:lineRule="auto"/>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Public</w:t>
            </w:r>
            <w:r w:rsidR="00D15C6C" w:rsidRPr="009C5F11">
              <w:rPr>
                <w:rFonts w:ascii="Times New Roman" w:eastAsia="Calibri" w:hAnsi="Times New Roman" w:cs="Times New Roman"/>
                <w:sz w:val="20"/>
                <w:szCs w:val="16"/>
                <w:lang w:val="ro-RO"/>
              </w:rPr>
              <w:t>e</w:t>
            </w:r>
          </w:p>
        </w:tc>
        <w:tc>
          <w:tcPr>
            <w:tcW w:w="3571" w:type="dxa"/>
            <w:tcMar>
              <w:top w:w="0" w:type="dxa"/>
              <w:left w:w="108" w:type="dxa"/>
              <w:bottom w:w="0" w:type="dxa"/>
              <w:right w:w="108" w:type="dxa"/>
            </w:tcMar>
            <w:hideMark/>
          </w:tcPr>
          <w:p w14:paraId="43206C17" w14:textId="77777777" w:rsidR="00BC2ED4" w:rsidRPr="009C5F11" w:rsidRDefault="00BC2ED4" w:rsidP="00430626">
            <w:pPr>
              <w:spacing w:after="0" w:line="240" w:lineRule="auto"/>
              <w:jc w:val="center"/>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1,834.1</w:t>
            </w:r>
          </w:p>
        </w:tc>
        <w:tc>
          <w:tcPr>
            <w:tcW w:w="1639" w:type="dxa"/>
          </w:tcPr>
          <w:p w14:paraId="4DDF8B91" w14:textId="77777777" w:rsidR="00BC2ED4" w:rsidRPr="009C5F11" w:rsidRDefault="00BC2ED4" w:rsidP="00430626">
            <w:pPr>
              <w:spacing w:after="0" w:line="240" w:lineRule="auto"/>
              <w:jc w:val="center"/>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2.3</w:t>
            </w:r>
          </w:p>
        </w:tc>
      </w:tr>
      <w:tr w:rsidR="00BC2ED4" w:rsidRPr="009C5F11" w14:paraId="1B4A65F5" w14:textId="77777777" w:rsidTr="00430626">
        <w:trPr>
          <w:trHeight w:val="206"/>
          <w:jc w:val="center"/>
        </w:trPr>
        <w:tc>
          <w:tcPr>
            <w:tcW w:w="2901" w:type="dxa"/>
            <w:tcMar>
              <w:top w:w="0" w:type="dxa"/>
              <w:left w:w="108" w:type="dxa"/>
              <w:bottom w:w="0" w:type="dxa"/>
              <w:right w:w="108" w:type="dxa"/>
            </w:tcMar>
            <w:hideMark/>
          </w:tcPr>
          <w:p w14:paraId="7B920335" w14:textId="77777777" w:rsidR="00BC2ED4" w:rsidRPr="009C5F11" w:rsidRDefault="00BC2ED4" w:rsidP="00430626">
            <w:pPr>
              <w:spacing w:after="0" w:line="240" w:lineRule="auto"/>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Private</w:t>
            </w:r>
          </w:p>
        </w:tc>
        <w:tc>
          <w:tcPr>
            <w:tcW w:w="3571" w:type="dxa"/>
            <w:tcMar>
              <w:top w:w="0" w:type="dxa"/>
              <w:left w:w="108" w:type="dxa"/>
              <w:bottom w:w="0" w:type="dxa"/>
              <w:right w:w="108" w:type="dxa"/>
            </w:tcMar>
            <w:hideMark/>
          </w:tcPr>
          <w:p w14:paraId="2B920DB4" w14:textId="77777777" w:rsidR="00BC2ED4" w:rsidRPr="009C5F11" w:rsidRDefault="00BC2ED4" w:rsidP="00430626">
            <w:pPr>
              <w:spacing w:after="0" w:line="240" w:lineRule="auto"/>
              <w:jc w:val="center"/>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79,1462</w:t>
            </w:r>
          </w:p>
        </w:tc>
        <w:tc>
          <w:tcPr>
            <w:tcW w:w="1639" w:type="dxa"/>
          </w:tcPr>
          <w:p w14:paraId="1D247933" w14:textId="77777777" w:rsidR="00BC2ED4" w:rsidRPr="009C5F11" w:rsidRDefault="00BC2ED4" w:rsidP="00430626">
            <w:pPr>
              <w:spacing w:after="0" w:line="240" w:lineRule="auto"/>
              <w:jc w:val="center"/>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97.7</w:t>
            </w:r>
          </w:p>
        </w:tc>
      </w:tr>
    </w:tbl>
    <w:p w14:paraId="4CF5ACDF" w14:textId="739670C1" w:rsidR="004371C9" w:rsidRPr="009C5F11" w:rsidRDefault="00CF70A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1446CC">
        <w:rPr>
          <w:rFonts w:ascii="Times New Roman" w:hAnsi="Times New Roman" w:cs="Times New Roman"/>
          <w:sz w:val="24"/>
          <w:lang w:val="ro-RO"/>
        </w:rPr>
        <w:t>Clasa energetică</w:t>
      </w:r>
      <w:r w:rsidR="00BC2ED4" w:rsidRPr="001446CC">
        <w:rPr>
          <w:rFonts w:ascii="Times New Roman" w:hAnsi="Times New Roman" w:cs="Times New Roman"/>
          <w:sz w:val="24"/>
          <w:lang w:val="ro-RO"/>
        </w:rPr>
        <w:t xml:space="preserve"> </w:t>
      </w:r>
      <w:r w:rsidRPr="001446CC">
        <w:rPr>
          <w:rFonts w:ascii="Times New Roman" w:hAnsi="Times New Roman" w:cs="Times New Roman"/>
          <w:sz w:val="24"/>
          <w:lang w:val="ro-RO"/>
        </w:rPr>
        <w:t>care</w:t>
      </w:r>
      <w:r w:rsidR="00BC2ED4" w:rsidRPr="001446CC">
        <w:rPr>
          <w:rFonts w:ascii="Times New Roman" w:hAnsi="Times New Roman" w:cs="Times New Roman"/>
          <w:sz w:val="24"/>
          <w:lang w:val="ro-RO"/>
        </w:rPr>
        <w:t xml:space="preserve"> </w:t>
      </w:r>
      <w:r w:rsidRPr="001446CC">
        <w:rPr>
          <w:rFonts w:ascii="Times New Roman" w:hAnsi="Times New Roman" w:cs="Times New Roman"/>
          <w:sz w:val="24"/>
          <w:lang w:val="ro-RO"/>
        </w:rPr>
        <w:t>descrie</w:t>
      </w:r>
      <w:r w:rsidR="00BC2ED4" w:rsidRPr="001446CC">
        <w:rPr>
          <w:rFonts w:ascii="Times New Roman" w:hAnsi="Times New Roman" w:cs="Times New Roman"/>
          <w:sz w:val="24"/>
          <w:lang w:val="ro-RO"/>
        </w:rPr>
        <w:t xml:space="preserve"> </w:t>
      </w:r>
      <w:r w:rsidR="00A13B50" w:rsidRPr="001446CC">
        <w:rPr>
          <w:rFonts w:ascii="Times New Roman" w:hAnsi="Times New Roman" w:cs="Times New Roman"/>
          <w:sz w:val="24"/>
          <w:lang w:val="ro-RO"/>
        </w:rPr>
        <w:t>performanţa energetică</w:t>
      </w:r>
      <w:r w:rsidR="00BC2ED4" w:rsidRPr="001446CC">
        <w:rPr>
          <w:rFonts w:ascii="Times New Roman" w:hAnsi="Times New Roman" w:cs="Times New Roman"/>
          <w:sz w:val="24"/>
          <w:lang w:val="ro-RO"/>
        </w:rPr>
        <w:t xml:space="preserve"> </w:t>
      </w:r>
      <w:r w:rsidRPr="001446CC">
        <w:rPr>
          <w:rFonts w:ascii="Times New Roman" w:hAnsi="Times New Roman" w:cs="Times New Roman"/>
          <w:sz w:val="24"/>
          <w:lang w:val="ro-RO"/>
        </w:rPr>
        <w:t>a fiecărei clădiri</w:t>
      </w:r>
      <w:r w:rsidR="00BC2ED4" w:rsidRPr="001446CC">
        <w:rPr>
          <w:rFonts w:ascii="Times New Roman" w:hAnsi="Times New Roman" w:cs="Times New Roman"/>
          <w:sz w:val="24"/>
          <w:lang w:val="ro-RO"/>
        </w:rPr>
        <w:t xml:space="preserve"> </w:t>
      </w:r>
      <w:r w:rsidRPr="001446CC">
        <w:rPr>
          <w:rFonts w:ascii="Times New Roman" w:hAnsi="Times New Roman" w:cs="Times New Roman"/>
          <w:sz w:val="24"/>
          <w:lang w:val="ro-RO"/>
        </w:rPr>
        <w:t>va fi stabilită</w:t>
      </w:r>
      <w:r w:rsidR="00BC2ED4" w:rsidRPr="001446CC">
        <w:rPr>
          <w:rFonts w:ascii="Times New Roman" w:hAnsi="Times New Roman" w:cs="Times New Roman"/>
          <w:sz w:val="24"/>
          <w:lang w:val="ro-RO"/>
        </w:rPr>
        <w:t xml:space="preserve"> </w:t>
      </w:r>
      <w:r w:rsidR="00D62784" w:rsidRPr="001446CC">
        <w:rPr>
          <w:rFonts w:ascii="Times New Roman" w:hAnsi="Times New Roman" w:cs="Times New Roman"/>
          <w:sz w:val="24"/>
          <w:lang w:val="ro-RO"/>
        </w:rPr>
        <w:t>în conformitate cu</w:t>
      </w:r>
      <w:r w:rsidR="00BC2ED4" w:rsidRPr="001446CC">
        <w:rPr>
          <w:rFonts w:ascii="Times New Roman" w:hAnsi="Times New Roman" w:cs="Times New Roman"/>
          <w:sz w:val="24"/>
          <w:lang w:val="ro-RO"/>
        </w:rPr>
        <w:t xml:space="preserve"> </w:t>
      </w:r>
      <w:r w:rsidR="005E7974" w:rsidRPr="001446CC">
        <w:rPr>
          <w:rFonts w:ascii="Times New Roman" w:hAnsi="Times New Roman" w:cs="Times New Roman"/>
          <w:sz w:val="24"/>
          <w:lang w:val="ro-RO"/>
        </w:rPr>
        <w:t>Metodologia</w:t>
      </w:r>
      <w:r w:rsidR="00BC2ED4" w:rsidRPr="001446CC">
        <w:rPr>
          <w:rFonts w:ascii="Times New Roman" w:hAnsi="Times New Roman" w:cs="Times New Roman"/>
          <w:sz w:val="24"/>
          <w:lang w:val="ro-RO"/>
        </w:rPr>
        <w:t xml:space="preserve"> </w:t>
      </w:r>
      <w:r w:rsidRPr="001446CC">
        <w:rPr>
          <w:rFonts w:ascii="Times New Roman" w:hAnsi="Times New Roman" w:cs="Times New Roman"/>
          <w:sz w:val="24"/>
          <w:lang w:val="ro-RO"/>
        </w:rPr>
        <w:t>de calcul</w:t>
      </w:r>
      <w:r w:rsidR="00BC2ED4" w:rsidRPr="001446CC">
        <w:rPr>
          <w:rFonts w:ascii="Times New Roman" w:hAnsi="Times New Roman" w:cs="Times New Roman"/>
          <w:sz w:val="24"/>
          <w:lang w:val="ro-RO"/>
        </w:rPr>
        <w:t xml:space="preserve"> </w:t>
      </w:r>
      <w:r w:rsidRPr="001446CC">
        <w:rPr>
          <w:rFonts w:ascii="Times New Roman" w:hAnsi="Times New Roman" w:cs="Times New Roman"/>
          <w:sz w:val="24"/>
          <w:lang w:val="ro-RO"/>
        </w:rPr>
        <w:t>a</w:t>
      </w:r>
      <w:r w:rsidR="00BC2ED4" w:rsidRPr="001446CC">
        <w:rPr>
          <w:rFonts w:ascii="Times New Roman" w:hAnsi="Times New Roman" w:cs="Times New Roman"/>
          <w:sz w:val="24"/>
          <w:lang w:val="ro-RO"/>
        </w:rPr>
        <w:t xml:space="preserve"> </w:t>
      </w:r>
      <w:r w:rsidR="004424A0" w:rsidRPr="001446CC">
        <w:rPr>
          <w:rFonts w:ascii="Times New Roman" w:hAnsi="Times New Roman" w:cs="Times New Roman"/>
          <w:sz w:val="24"/>
          <w:lang w:val="ro-RO"/>
        </w:rPr>
        <w:t>performanţei energetice a clădirilor</w:t>
      </w:r>
      <w:r w:rsidR="00BE73BA" w:rsidRPr="001446CC">
        <w:rPr>
          <w:rFonts w:ascii="Times New Roman" w:hAnsi="Times New Roman" w:cs="Times New Roman"/>
          <w:sz w:val="24"/>
          <w:lang w:val="ro-RO"/>
        </w:rPr>
        <w:t xml:space="preserve"> </w:t>
      </w:r>
      <w:r w:rsidR="001446CC">
        <w:rPr>
          <w:rFonts w:ascii="Times New Roman" w:hAnsi="Times New Roman" w:cs="Times New Roman"/>
          <w:sz w:val="24"/>
          <w:lang w:val="ro-RO"/>
        </w:rPr>
        <w:t>ce urmează a fi elaborată</w:t>
      </w:r>
      <w:r w:rsidR="00BC2ED4" w:rsidRPr="001446CC">
        <w:rPr>
          <w:rFonts w:ascii="Times New Roman" w:hAnsi="Times New Roman" w:cs="Times New Roman"/>
          <w:sz w:val="24"/>
          <w:lang w:val="ro-RO"/>
        </w:rPr>
        <w:t>.</w:t>
      </w:r>
      <w:r w:rsidR="00BC2ED4" w:rsidRPr="009C5F11">
        <w:rPr>
          <w:rFonts w:ascii="Times New Roman" w:hAnsi="Times New Roman" w:cs="Times New Roman"/>
          <w:sz w:val="24"/>
          <w:lang w:val="ro-RO"/>
        </w:rPr>
        <w:t xml:space="preserve"> </w:t>
      </w:r>
      <w:r w:rsidR="00BE73BA" w:rsidRPr="009C5F11">
        <w:rPr>
          <w:rFonts w:ascii="Times New Roman" w:hAnsi="Times New Roman" w:cs="Times New Roman"/>
          <w:sz w:val="24"/>
          <w:lang w:val="ro-RO"/>
        </w:rPr>
        <w:t>Certificatul energetic</w:t>
      </w:r>
      <w:r w:rsidR="00BC2ED4" w:rsidRPr="009C5F11">
        <w:rPr>
          <w:rFonts w:ascii="Times New Roman" w:hAnsi="Times New Roman" w:cs="Times New Roman"/>
          <w:sz w:val="24"/>
          <w:lang w:val="ro-RO"/>
        </w:rPr>
        <w:t xml:space="preserve"> </w:t>
      </w:r>
      <w:r w:rsidR="00BE73BA" w:rsidRPr="009C5F11">
        <w:rPr>
          <w:rFonts w:ascii="Times New Roman" w:hAnsi="Times New Roman" w:cs="Times New Roman"/>
          <w:sz w:val="24"/>
          <w:lang w:val="ro-RO"/>
        </w:rPr>
        <w:t>va</w:t>
      </w:r>
      <w:r w:rsidR="00BC2ED4" w:rsidRPr="009C5F11">
        <w:rPr>
          <w:rFonts w:ascii="Times New Roman" w:hAnsi="Times New Roman" w:cs="Times New Roman"/>
          <w:sz w:val="24"/>
          <w:lang w:val="ro-RO"/>
        </w:rPr>
        <w:t xml:space="preserve"> determin</w:t>
      </w:r>
      <w:r w:rsidR="00BE73BA" w:rsidRPr="009C5F11">
        <w:rPr>
          <w:rFonts w:ascii="Times New Roman" w:hAnsi="Times New Roman" w:cs="Times New Roman"/>
          <w:sz w:val="24"/>
          <w:lang w:val="ro-RO"/>
        </w:rPr>
        <w:t>a</w:t>
      </w:r>
      <w:r w:rsidR="00BC2ED4" w:rsidRPr="009C5F11">
        <w:rPr>
          <w:rFonts w:ascii="Times New Roman" w:hAnsi="Times New Roman" w:cs="Times New Roman"/>
          <w:sz w:val="24"/>
          <w:lang w:val="ro-RO"/>
        </w:rPr>
        <w:t xml:space="preserve"> </w:t>
      </w:r>
      <w:r w:rsidR="00BE73BA" w:rsidRPr="009C5F11">
        <w:rPr>
          <w:rFonts w:ascii="Times New Roman" w:hAnsi="Times New Roman" w:cs="Times New Roman"/>
          <w:sz w:val="24"/>
          <w:lang w:val="ro-RO"/>
        </w:rPr>
        <w:t>starea efectivă a</w:t>
      </w:r>
      <w:r w:rsidR="00BC2ED4" w:rsidRPr="009C5F11">
        <w:rPr>
          <w:rFonts w:ascii="Times New Roman" w:hAnsi="Times New Roman" w:cs="Times New Roman"/>
          <w:sz w:val="24"/>
          <w:lang w:val="ro-RO"/>
        </w:rPr>
        <w:t xml:space="preserve"> </w:t>
      </w:r>
      <w:r w:rsidR="00693850" w:rsidRPr="009C5F11">
        <w:rPr>
          <w:rFonts w:ascii="Times New Roman" w:hAnsi="Times New Roman" w:cs="Times New Roman"/>
          <w:sz w:val="24"/>
          <w:lang w:val="ro-RO"/>
        </w:rPr>
        <w:t>clădiri</w:t>
      </w:r>
      <w:r w:rsidR="00BE73BA" w:rsidRPr="009C5F11">
        <w:rPr>
          <w:rFonts w:ascii="Times New Roman" w:hAnsi="Times New Roman" w:cs="Times New Roman"/>
          <w:sz w:val="24"/>
          <w:lang w:val="ro-RO"/>
        </w:rPr>
        <w:t>i</w:t>
      </w:r>
      <w:r w:rsidR="00BC2ED4" w:rsidRPr="009C5F11">
        <w:rPr>
          <w:rFonts w:ascii="Times New Roman" w:hAnsi="Times New Roman" w:cs="Times New Roman"/>
          <w:sz w:val="24"/>
          <w:lang w:val="ro-RO"/>
        </w:rPr>
        <w:t>.</w:t>
      </w:r>
    </w:p>
    <w:p w14:paraId="085B7D41" w14:textId="07F5D130" w:rsidR="00BC2ED4" w:rsidRPr="009C5F11" w:rsidRDefault="00C6082B"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Facilitatea de asistenţă tehnică pentru proiectele din regiunea Dunării (</w:t>
      </w:r>
      <w:r w:rsidR="00BC2ED4" w:rsidRPr="009C5F11">
        <w:rPr>
          <w:rFonts w:ascii="Times New Roman" w:hAnsi="Times New Roman" w:cs="Times New Roman"/>
          <w:sz w:val="24"/>
          <w:lang w:val="ro-RO"/>
        </w:rPr>
        <w:t>TAF DRP</w:t>
      </w:r>
      <w:r w:rsidRPr="009C5F11">
        <w:rPr>
          <w:rFonts w:ascii="Times New Roman" w:hAnsi="Times New Roman" w:cs="Times New Roman"/>
          <w:sz w:val="24"/>
          <w:lang w:val="ro-RO"/>
        </w:rPr>
        <w:t xml:space="preserve"> – eng. </w:t>
      </w:r>
      <w:r w:rsidRPr="009C5F11">
        <w:rPr>
          <w:rFonts w:ascii="Times New Roman" w:hAnsi="Times New Roman" w:cs="Times New Roman"/>
          <w:i/>
          <w:sz w:val="24"/>
          <w:lang w:val="ro-RO"/>
        </w:rPr>
        <w:t>Technical Assistance Facility for Danube Region Projects</w:t>
      </w:r>
      <w:r w:rsidR="00BC2ED4"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se va implica, susţinând </w:t>
      </w:r>
      <w:r w:rsidR="00BC2ED4" w:rsidRPr="009C5F11">
        <w:rPr>
          <w:rFonts w:ascii="Times New Roman" w:hAnsi="Times New Roman" w:cs="Times New Roman"/>
          <w:sz w:val="24"/>
          <w:lang w:val="ro-RO"/>
        </w:rPr>
        <w:t>"</w:t>
      </w:r>
      <w:r w:rsidRPr="009C5F11">
        <w:rPr>
          <w:rFonts w:ascii="Times New Roman" w:hAnsi="Times New Roman" w:cs="Times New Roman"/>
          <w:sz w:val="24"/>
          <w:lang w:val="ro-RO"/>
        </w:rPr>
        <w:t>Proiectul p</w:t>
      </w:r>
      <w:r w:rsidR="00BC2ED4" w:rsidRPr="009C5F11">
        <w:rPr>
          <w:rFonts w:ascii="Times New Roman" w:hAnsi="Times New Roman" w:cs="Times New Roman"/>
          <w:sz w:val="24"/>
          <w:lang w:val="ro-RO"/>
        </w:rPr>
        <w:t>ilot</w:t>
      </w:r>
      <w:r w:rsidRPr="009C5F11">
        <w:rPr>
          <w:rFonts w:ascii="Times New Roman" w:hAnsi="Times New Roman" w:cs="Times New Roman"/>
          <w:sz w:val="24"/>
          <w:lang w:val="ro-RO"/>
        </w:rPr>
        <w:t>:</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date de referinţă,</w:t>
      </w:r>
      <w:r w:rsidR="00321CD5" w:rsidRPr="009C5F11">
        <w:rPr>
          <w:rFonts w:ascii="Times New Roman" w:hAnsi="Times New Roman" w:cs="Times New Roman"/>
          <w:sz w:val="24"/>
          <w:lang w:val="ro-RO"/>
        </w:rPr>
        <w:t xml:space="preserve"> </w:t>
      </w:r>
      <w:r w:rsidR="001D6122" w:rsidRPr="009C5F11">
        <w:rPr>
          <w:rFonts w:ascii="Times New Roman" w:hAnsi="Times New Roman" w:cs="Times New Roman"/>
          <w:sz w:val="24"/>
          <w:lang w:val="ro-RO"/>
        </w:rPr>
        <w:t>elaborarea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procedurii </w:t>
      </w:r>
      <w:r w:rsidR="00C45B72" w:rsidRPr="009C5F11">
        <w:rPr>
          <w:rFonts w:ascii="Times New Roman" w:hAnsi="Times New Roman" w:cs="Times New Roman"/>
          <w:sz w:val="24"/>
          <w:lang w:val="ro-RO"/>
        </w:rPr>
        <w:t>de eliberare a</w:t>
      </w:r>
      <w:r w:rsidRPr="009C5F11">
        <w:rPr>
          <w:rFonts w:ascii="Times New Roman" w:hAnsi="Times New Roman" w:cs="Times New Roman"/>
          <w:sz w:val="24"/>
          <w:lang w:val="ro-RO"/>
        </w:rPr>
        <w:t xml:space="preserve"> certificatel</w:t>
      </w:r>
      <w:r w:rsidR="00C45B72" w:rsidRPr="009C5F11">
        <w:rPr>
          <w:rFonts w:ascii="Times New Roman" w:hAnsi="Times New Roman" w:cs="Times New Roman"/>
          <w:sz w:val="24"/>
          <w:lang w:val="ro-RO"/>
        </w:rPr>
        <w:t>or</w:t>
      </w:r>
      <w:r w:rsidRPr="009C5F11">
        <w:rPr>
          <w:rFonts w:ascii="Times New Roman" w:hAnsi="Times New Roman" w:cs="Times New Roman"/>
          <w:sz w:val="24"/>
          <w:lang w:val="ro-RO"/>
        </w:rPr>
        <w:t xml:space="preserve"> de performanţă pentru</w:t>
      </w:r>
      <w:r w:rsidR="00BC2ED4" w:rsidRPr="009C5F11">
        <w:rPr>
          <w:rFonts w:ascii="Times New Roman" w:hAnsi="Times New Roman" w:cs="Times New Roman"/>
          <w:sz w:val="24"/>
          <w:lang w:val="ro-RO"/>
        </w:rPr>
        <w:t xml:space="preserve"> </w:t>
      </w:r>
      <w:r w:rsidR="00812E1D" w:rsidRPr="009C5F11">
        <w:rPr>
          <w:rFonts w:ascii="Times New Roman" w:hAnsi="Times New Roman" w:cs="Times New Roman"/>
          <w:sz w:val="24"/>
          <w:lang w:val="ro-RO"/>
        </w:rPr>
        <w:t>eficienţa energetică</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construcţiilor </w:t>
      </w:r>
      <w:r w:rsidR="00E54D88" w:rsidRPr="009C5F11">
        <w:rPr>
          <w:rFonts w:ascii="Times New Roman" w:hAnsi="Times New Roman" w:cs="Times New Roman"/>
          <w:sz w:val="24"/>
          <w:lang w:val="ro-RO"/>
        </w:rPr>
        <w:t>din</w:t>
      </w:r>
      <w:r w:rsidR="00321CD5"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Republica Moldova</w:t>
      </w:r>
      <w:r w:rsidR="00BC2ED4" w:rsidRPr="009C5F11">
        <w:rPr>
          <w:rFonts w:ascii="Times New Roman" w:hAnsi="Times New Roman" w:cs="Times New Roman"/>
          <w:sz w:val="24"/>
          <w:lang w:val="ro-RO"/>
        </w:rPr>
        <w:t>". Select</w:t>
      </w:r>
      <w:r w:rsidRPr="009C5F11">
        <w:rPr>
          <w:rFonts w:ascii="Times New Roman" w:hAnsi="Times New Roman" w:cs="Times New Roman"/>
          <w:sz w:val="24"/>
          <w:lang w:val="ro-RO"/>
        </w:rPr>
        <w:t>area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proiectelor</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pentru Apelul nr. 3</w:t>
      </w:r>
      <w:r w:rsidR="00BC2ED4" w:rsidRPr="009C5F11">
        <w:rPr>
          <w:rFonts w:ascii="Times New Roman" w:hAnsi="Times New Roman" w:cs="Times New Roman"/>
          <w:sz w:val="24"/>
          <w:lang w:val="ro-RO"/>
        </w:rPr>
        <w:t xml:space="preserve"> TAF-DRP </w:t>
      </w:r>
      <w:r w:rsidRPr="009C5F11">
        <w:rPr>
          <w:rFonts w:ascii="Times New Roman" w:hAnsi="Times New Roman" w:cs="Times New Roman"/>
          <w:sz w:val="24"/>
          <w:lang w:val="ro-RO"/>
        </w:rPr>
        <w:t xml:space="preserve">a fost încheiată </w:t>
      </w:r>
      <w:r w:rsidR="00321CD5" w:rsidRPr="009C5F11">
        <w:rPr>
          <w:rFonts w:ascii="Times New Roman" w:hAnsi="Times New Roman" w:cs="Times New Roman"/>
          <w:sz w:val="24"/>
          <w:lang w:val="ro-RO"/>
        </w:rPr>
        <w:t xml:space="preserve">în </w:t>
      </w:r>
      <w:r w:rsidR="000A4CC7" w:rsidRPr="009C5F11">
        <w:rPr>
          <w:rFonts w:ascii="Times New Roman" w:hAnsi="Times New Roman" w:cs="Times New Roman"/>
          <w:sz w:val="24"/>
          <w:lang w:val="ro-RO"/>
        </w:rPr>
        <w:t>octombrie</w:t>
      </w:r>
      <w:r w:rsidR="00BC2ED4" w:rsidRPr="009C5F11">
        <w:rPr>
          <w:rFonts w:ascii="Times New Roman" w:hAnsi="Times New Roman" w:cs="Times New Roman"/>
          <w:sz w:val="24"/>
          <w:lang w:val="ro-RO"/>
        </w:rPr>
        <w:t xml:space="preserve"> 2015.</w:t>
      </w:r>
    </w:p>
    <w:p w14:paraId="38E0D824" w14:textId="77777777" w:rsidR="00607023" w:rsidRPr="009C5F11" w:rsidRDefault="00607023" w:rsidP="00A276BE">
      <w:pPr>
        <w:spacing w:before="120" w:after="120" w:line="240" w:lineRule="auto"/>
        <w:jc w:val="both"/>
        <w:rPr>
          <w:rFonts w:ascii="Times New Roman" w:hAnsi="Times New Roman" w:cs="Times New Roman"/>
          <w:sz w:val="24"/>
          <w:lang w:val="ro-RO"/>
        </w:rPr>
      </w:pPr>
    </w:p>
    <w:p w14:paraId="24D0B964" w14:textId="77777777" w:rsidR="00FA392A" w:rsidRPr="009C5F11" w:rsidRDefault="00321CD5" w:rsidP="00FA392A">
      <w:pPr>
        <w:pStyle w:val="Legend"/>
        <w:keepNext/>
        <w:jc w:val="center"/>
        <w:rPr>
          <w:rFonts w:ascii="Times New Roman" w:hAnsi="Times New Roman" w:cs="Times New Roman"/>
          <w:sz w:val="22"/>
          <w:lang w:val="ro-RO"/>
        </w:rPr>
      </w:pPr>
      <w:bookmarkStart w:id="321" w:name="_Toc322013250"/>
      <w:r w:rsidRPr="009C5F11">
        <w:rPr>
          <w:rFonts w:ascii="Times New Roman" w:hAnsi="Times New Roman" w:cs="Times New Roman"/>
          <w:sz w:val="22"/>
          <w:lang w:val="ro-RO"/>
        </w:rPr>
        <w:t>Tabelul</w:t>
      </w:r>
      <w:r w:rsidR="00FA392A"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FA392A"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27</w:t>
      </w:r>
      <w:r w:rsidR="003A6ADB" w:rsidRPr="009C5F11">
        <w:rPr>
          <w:rFonts w:ascii="Times New Roman" w:hAnsi="Times New Roman" w:cs="Times New Roman"/>
          <w:sz w:val="22"/>
          <w:lang w:val="ro-RO"/>
        </w:rPr>
        <w:fldChar w:fldCharType="end"/>
      </w:r>
      <w:r w:rsidR="00FA392A" w:rsidRPr="009C5F11">
        <w:rPr>
          <w:rFonts w:ascii="Times New Roman" w:hAnsi="Times New Roman" w:cs="Times New Roman"/>
          <w:sz w:val="22"/>
          <w:lang w:val="ro-RO"/>
        </w:rPr>
        <w:t xml:space="preserve"> - </w:t>
      </w:r>
      <w:r w:rsidR="00752EBC" w:rsidRPr="009C5F11">
        <w:rPr>
          <w:rFonts w:ascii="Times New Roman" w:hAnsi="Times New Roman" w:cs="Times New Roman"/>
          <w:sz w:val="22"/>
          <w:lang w:val="ro-RO"/>
        </w:rPr>
        <w:t>Apelul nr. 3 TAF-DRP</w:t>
      </w:r>
      <w:r w:rsidR="00FA392A" w:rsidRPr="009C5F11">
        <w:rPr>
          <w:rFonts w:ascii="Times New Roman" w:hAnsi="Times New Roman" w:cs="Times New Roman"/>
          <w:sz w:val="22"/>
          <w:lang w:val="ro-RO"/>
        </w:rPr>
        <w:t>: List</w:t>
      </w:r>
      <w:r w:rsidR="00BE73BA" w:rsidRPr="009C5F11">
        <w:rPr>
          <w:rFonts w:ascii="Times New Roman" w:hAnsi="Times New Roman" w:cs="Times New Roman"/>
          <w:sz w:val="22"/>
          <w:lang w:val="ro-RO"/>
        </w:rPr>
        <w:t>a</w:t>
      </w:r>
      <w:r w:rsidR="00FA392A" w:rsidRPr="009C5F11">
        <w:rPr>
          <w:rFonts w:ascii="Times New Roman" w:hAnsi="Times New Roman" w:cs="Times New Roman"/>
          <w:sz w:val="22"/>
          <w:lang w:val="ro-RO"/>
        </w:rPr>
        <w:t xml:space="preserve"> </w:t>
      </w:r>
      <w:r w:rsidR="00BE73BA" w:rsidRPr="009C5F11">
        <w:rPr>
          <w:rFonts w:ascii="Times New Roman" w:hAnsi="Times New Roman" w:cs="Times New Roman"/>
          <w:sz w:val="22"/>
          <w:lang w:val="ro-RO"/>
        </w:rPr>
        <w:t xml:space="preserve">de </w:t>
      </w:r>
      <w:r w:rsidR="00E10BE5" w:rsidRPr="009C5F11">
        <w:rPr>
          <w:rFonts w:ascii="Times New Roman" w:hAnsi="Times New Roman" w:cs="Times New Roman"/>
          <w:sz w:val="22"/>
          <w:lang w:val="ro-RO"/>
        </w:rPr>
        <w:t>proiecte</w:t>
      </w:r>
      <w:r w:rsidR="00BE73BA" w:rsidRPr="009C5F11">
        <w:rPr>
          <w:rFonts w:ascii="Times New Roman" w:hAnsi="Times New Roman" w:cs="Times New Roman"/>
          <w:sz w:val="22"/>
          <w:lang w:val="ro-RO"/>
        </w:rPr>
        <w:t xml:space="preserve"> selectate.</w:t>
      </w:r>
      <w:bookmarkEnd w:id="321"/>
    </w:p>
    <w:tbl>
      <w:tblPr>
        <w:tblW w:w="8793" w:type="dxa"/>
        <w:jc w:val="center"/>
        <w:tblBorders>
          <w:top w:val="single" w:sz="4" w:space="0" w:color="4F81BD"/>
          <w:left w:val="single" w:sz="4" w:space="0" w:color="4F81BD"/>
          <w:bottom w:val="single" w:sz="4" w:space="0" w:color="4F81BD"/>
          <w:right w:val="single" w:sz="4" w:space="0" w:color="4F81BD"/>
          <w:insideH w:val="single" w:sz="4" w:space="0" w:color="4F81BD"/>
        </w:tblBorders>
        <w:tblLayout w:type="fixed"/>
        <w:tblLook w:val="04A0" w:firstRow="1" w:lastRow="0" w:firstColumn="1" w:lastColumn="0" w:noHBand="0" w:noVBand="1"/>
      </w:tblPr>
      <w:tblGrid>
        <w:gridCol w:w="1503"/>
        <w:gridCol w:w="1260"/>
        <w:gridCol w:w="2789"/>
        <w:gridCol w:w="1294"/>
        <w:gridCol w:w="1947"/>
      </w:tblGrid>
      <w:tr w:rsidR="00BC2ED4" w:rsidRPr="009C5F11" w14:paraId="09303AB3" w14:textId="77777777" w:rsidTr="00FA392A">
        <w:trPr>
          <w:trHeight w:val="350"/>
          <w:jc w:val="center"/>
        </w:trPr>
        <w:tc>
          <w:tcPr>
            <w:tcW w:w="1503" w:type="dxa"/>
            <w:shd w:val="clear" w:color="auto" w:fill="000080"/>
          </w:tcPr>
          <w:p w14:paraId="766502C6" w14:textId="77777777" w:rsidR="00BC2ED4" w:rsidRPr="009C5F11" w:rsidRDefault="007A7914" w:rsidP="007A7914">
            <w:pPr>
              <w:jc w:val="center"/>
              <w:rPr>
                <w:rFonts w:ascii="Times New Roman" w:eastAsia="Calibri" w:hAnsi="Times New Roman" w:cs="Times New Roman"/>
                <w:b/>
                <w:color w:val="FFFFFF"/>
                <w:sz w:val="20"/>
                <w:szCs w:val="16"/>
                <w:lang w:val="ro-RO"/>
              </w:rPr>
            </w:pPr>
            <w:r w:rsidRPr="009C5F11">
              <w:rPr>
                <w:rFonts w:ascii="Times New Roman" w:eastAsia="Calibri" w:hAnsi="Times New Roman" w:cs="Times New Roman"/>
                <w:b/>
                <w:color w:val="FFFFFF"/>
                <w:sz w:val="20"/>
                <w:szCs w:val="16"/>
                <w:lang w:val="ro-RO"/>
              </w:rPr>
              <w:t xml:space="preserve">Nr. </w:t>
            </w:r>
            <w:r w:rsidR="00421FA7" w:rsidRPr="009C5F11">
              <w:rPr>
                <w:rFonts w:ascii="Times New Roman" w:eastAsia="Calibri" w:hAnsi="Times New Roman" w:cs="Times New Roman"/>
                <w:b/>
                <w:color w:val="FFFFFF"/>
                <w:sz w:val="20"/>
                <w:szCs w:val="16"/>
                <w:lang w:val="ro-RO"/>
              </w:rPr>
              <w:t>Proiect</w:t>
            </w:r>
            <w:r w:rsidRPr="009C5F11">
              <w:rPr>
                <w:rFonts w:ascii="Times New Roman" w:eastAsia="Calibri" w:hAnsi="Times New Roman" w:cs="Times New Roman"/>
                <w:b/>
                <w:color w:val="FFFFFF"/>
                <w:sz w:val="20"/>
                <w:szCs w:val="16"/>
                <w:lang w:val="ro-RO"/>
              </w:rPr>
              <w:t>ului</w:t>
            </w:r>
            <w:r w:rsidR="00BC2ED4" w:rsidRPr="009C5F11">
              <w:rPr>
                <w:rFonts w:ascii="Times New Roman" w:eastAsia="Calibri" w:hAnsi="Times New Roman" w:cs="Times New Roman"/>
                <w:b/>
                <w:color w:val="FFFFFF"/>
                <w:sz w:val="20"/>
                <w:szCs w:val="16"/>
                <w:lang w:val="ro-RO"/>
              </w:rPr>
              <w:t xml:space="preserve"> </w:t>
            </w:r>
          </w:p>
        </w:tc>
        <w:tc>
          <w:tcPr>
            <w:tcW w:w="1260" w:type="dxa"/>
            <w:shd w:val="clear" w:color="auto" w:fill="000080"/>
          </w:tcPr>
          <w:p w14:paraId="1C2850C8" w14:textId="77777777" w:rsidR="00BC2ED4" w:rsidRPr="009C5F11" w:rsidRDefault="007A7914" w:rsidP="007A7914">
            <w:pPr>
              <w:jc w:val="center"/>
              <w:rPr>
                <w:rFonts w:ascii="Times New Roman" w:eastAsia="Calibri" w:hAnsi="Times New Roman" w:cs="Times New Roman"/>
                <w:b/>
                <w:color w:val="FFFFFF"/>
                <w:sz w:val="20"/>
                <w:szCs w:val="16"/>
                <w:lang w:val="ro-RO"/>
              </w:rPr>
            </w:pPr>
            <w:r w:rsidRPr="009C5F11">
              <w:rPr>
                <w:rFonts w:ascii="Times New Roman" w:eastAsia="Calibri" w:hAnsi="Times New Roman" w:cs="Times New Roman"/>
                <w:b/>
                <w:color w:val="FFFFFF"/>
                <w:sz w:val="20"/>
                <w:szCs w:val="16"/>
                <w:lang w:val="ro-RO"/>
              </w:rPr>
              <w:t>Acronimul p</w:t>
            </w:r>
            <w:r w:rsidR="00421FA7" w:rsidRPr="009C5F11">
              <w:rPr>
                <w:rFonts w:ascii="Times New Roman" w:eastAsia="Calibri" w:hAnsi="Times New Roman" w:cs="Times New Roman"/>
                <w:b/>
                <w:color w:val="FFFFFF"/>
                <w:sz w:val="20"/>
                <w:szCs w:val="16"/>
                <w:lang w:val="ro-RO"/>
              </w:rPr>
              <w:t>roiect</w:t>
            </w:r>
            <w:r w:rsidRPr="009C5F11">
              <w:rPr>
                <w:rFonts w:ascii="Times New Roman" w:eastAsia="Calibri" w:hAnsi="Times New Roman" w:cs="Times New Roman"/>
                <w:b/>
                <w:color w:val="FFFFFF"/>
                <w:sz w:val="20"/>
                <w:szCs w:val="16"/>
                <w:lang w:val="ro-RO"/>
              </w:rPr>
              <w:t>ului</w:t>
            </w:r>
            <w:r w:rsidR="00BC2ED4" w:rsidRPr="009C5F11">
              <w:rPr>
                <w:rFonts w:ascii="Times New Roman" w:eastAsia="Calibri" w:hAnsi="Times New Roman" w:cs="Times New Roman"/>
                <w:b/>
                <w:color w:val="FFFFFF"/>
                <w:sz w:val="20"/>
                <w:szCs w:val="16"/>
                <w:lang w:val="ro-RO"/>
              </w:rPr>
              <w:t xml:space="preserve"> </w:t>
            </w:r>
          </w:p>
        </w:tc>
        <w:tc>
          <w:tcPr>
            <w:tcW w:w="2789" w:type="dxa"/>
            <w:shd w:val="clear" w:color="auto" w:fill="000080"/>
          </w:tcPr>
          <w:p w14:paraId="51AFBD08" w14:textId="77777777" w:rsidR="00BC2ED4" w:rsidRPr="009C5F11" w:rsidRDefault="007A7914" w:rsidP="007A7914">
            <w:pPr>
              <w:jc w:val="center"/>
              <w:rPr>
                <w:rFonts w:ascii="Times New Roman" w:eastAsia="Calibri" w:hAnsi="Times New Roman" w:cs="Times New Roman"/>
                <w:b/>
                <w:color w:val="FFFFFF"/>
                <w:sz w:val="20"/>
                <w:szCs w:val="16"/>
                <w:lang w:val="ro-RO"/>
              </w:rPr>
            </w:pPr>
            <w:r w:rsidRPr="009C5F11">
              <w:rPr>
                <w:rFonts w:ascii="Times New Roman" w:eastAsia="Calibri" w:hAnsi="Times New Roman" w:cs="Times New Roman"/>
                <w:b/>
                <w:color w:val="FFFFFF"/>
                <w:sz w:val="20"/>
                <w:szCs w:val="16"/>
                <w:lang w:val="ro-RO"/>
              </w:rPr>
              <w:t>Denumirea p</w:t>
            </w:r>
            <w:r w:rsidR="00421FA7" w:rsidRPr="009C5F11">
              <w:rPr>
                <w:rFonts w:ascii="Times New Roman" w:eastAsia="Calibri" w:hAnsi="Times New Roman" w:cs="Times New Roman"/>
                <w:b/>
                <w:color w:val="FFFFFF"/>
                <w:sz w:val="20"/>
                <w:szCs w:val="16"/>
                <w:lang w:val="ro-RO"/>
              </w:rPr>
              <w:t>roiect</w:t>
            </w:r>
            <w:r w:rsidRPr="009C5F11">
              <w:rPr>
                <w:rFonts w:ascii="Times New Roman" w:eastAsia="Calibri" w:hAnsi="Times New Roman" w:cs="Times New Roman"/>
                <w:b/>
                <w:color w:val="FFFFFF"/>
                <w:sz w:val="20"/>
                <w:szCs w:val="16"/>
                <w:lang w:val="ro-RO"/>
              </w:rPr>
              <w:t>ului</w:t>
            </w:r>
          </w:p>
        </w:tc>
        <w:tc>
          <w:tcPr>
            <w:tcW w:w="1294" w:type="dxa"/>
            <w:shd w:val="clear" w:color="auto" w:fill="000080"/>
          </w:tcPr>
          <w:p w14:paraId="5DF3B478" w14:textId="77777777" w:rsidR="00BC2ED4" w:rsidRPr="009C5F11" w:rsidRDefault="007A7914" w:rsidP="007A7914">
            <w:pPr>
              <w:spacing w:after="0" w:line="240" w:lineRule="auto"/>
              <w:jc w:val="center"/>
              <w:rPr>
                <w:rFonts w:ascii="Times New Roman" w:eastAsia="Calibri" w:hAnsi="Times New Roman" w:cs="Times New Roman"/>
                <w:b/>
                <w:color w:val="FFFFFF"/>
                <w:sz w:val="20"/>
                <w:szCs w:val="16"/>
                <w:lang w:val="ro-RO"/>
              </w:rPr>
            </w:pPr>
            <w:r w:rsidRPr="009C5F11">
              <w:rPr>
                <w:rFonts w:ascii="Times New Roman" w:eastAsia="Calibri" w:hAnsi="Times New Roman" w:cs="Times New Roman"/>
                <w:b/>
                <w:color w:val="FFFFFF"/>
                <w:sz w:val="20"/>
                <w:szCs w:val="16"/>
                <w:lang w:val="ro-RO"/>
              </w:rPr>
              <w:t>Domeniul prioritar abordat</w:t>
            </w:r>
          </w:p>
        </w:tc>
        <w:tc>
          <w:tcPr>
            <w:tcW w:w="1947" w:type="dxa"/>
            <w:shd w:val="clear" w:color="auto" w:fill="000080"/>
          </w:tcPr>
          <w:p w14:paraId="695F5441" w14:textId="77777777" w:rsidR="00BC2ED4" w:rsidRPr="009C5F11" w:rsidRDefault="007A7914" w:rsidP="007A7914">
            <w:pPr>
              <w:jc w:val="center"/>
              <w:rPr>
                <w:rFonts w:ascii="Times New Roman" w:eastAsia="Calibri" w:hAnsi="Times New Roman" w:cs="Times New Roman"/>
                <w:b/>
                <w:color w:val="FFFFFF"/>
                <w:sz w:val="20"/>
                <w:szCs w:val="16"/>
                <w:lang w:val="ro-RO"/>
              </w:rPr>
            </w:pPr>
            <w:r w:rsidRPr="009C5F11">
              <w:rPr>
                <w:rFonts w:ascii="Times New Roman" w:eastAsia="Calibri" w:hAnsi="Times New Roman" w:cs="Times New Roman"/>
                <w:b/>
                <w:color w:val="FFFFFF"/>
                <w:sz w:val="20"/>
                <w:szCs w:val="16"/>
                <w:lang w:val="ro-RO"/>
              </w:rPr>
              <w:t xml:space="preserve">Denumirea solicitantului </w:t>
            </w:r>
          </w:p>
        </w:tc>
      </w:tr>
      <w:tr w:rsidR="00BC2ED4" w:rsidRPr="009C5F11" w14:paraId="462B60DF" w14:textId="77777777" w:rsidTr="00430626">
        <w:trPr>
          <w:jc w:val="center"/>
        </w:trPr>
        <w:tc>
          <w:tcPr>
            <w:tcW w:w="1503" w:type="dxa"/>
            <w:shd w:val="clear" w:color="auto" w:fill="auto"/>
          </w:tcPr>
          <w:p w14:paraId="1A48ACE3" w14:textId="77777777" w:rsidR="00BC2ED4" w:rsidRPr="009C5F11" w:rsidRDefault="00BC2ED4" w:rsidP="00430626">
            <w:pPr>
              <w:jc w:val="center"/>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01-05-C3_PA02</w:t>
            </w:r>
          </w:p>
        </w:tc>
        <w:tc>
          <w:tcPr>
            <w:tcW w:w="1260" w:type="dxa"/>
            <w:shd w:val="clear" w:color="auto" w:fill="auto"/>
          </w:tcPr>
          <w:p w14:paraId="711D3B5B" w14:textId="77777777" w:rsidR="00BC2ED4" w:rsidRPr="009C5F11" w:rsidRDefault="00BC2ED4" w:rsidP="00430626">
            <w:pPr>
              <w:jc w:val="center"/>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RefDat E</w:t>
            </w:r>
            <w:r w:rsidR="00055095" w:rsidRPr="009C5F11">
              <w:rPr>
                <w:rFonts w:ascii="Times New Roman" w:eastAsia="Calibri" w:hAnsi="Times New Roman" w:cs="Times New Roman"/>
                <w:sz w:val="20"/>
                <w:szCs w:val="16"/>
                <w:lang w:val="ro-RO"/>
              </w:rPr>
              <w:t>CPE</w:t>
            </w:r>
          </w:p>
        </w:tc>
        <w:tc>
          <w:tcPr>
            <w:tcW w:w="2789" w:type="dxa"/>
            <w:shd w:val="clear" w:color="auto" w:fill="auto"/>
          </w:tcPr>
          <w:p w14:paraId="097B096C" w14:textId="77777777" w:rsidR="00BC2ED4" w:rsidRPr="009C5F11" w:rsidRDefault="00C45B72" w:rsidP="00B45C21">
            <w:pPr>
              <w:spacing w:after="0" w:line="240" w:lineRule="auto"/>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Proiectul pilot: date de referinţă, elaborarea procedurii de eliberare a certificatelor de performanţă energetică a construcţiilor din Republica Moldova</w:t>
            </w:r>
            <w:r w:rsidR="00B45C21" w:rsidRPr="009C5F11">
              <w:rPr>
                <w:rFonts w:ascii="Times New Roman" w:eastAsia="Calibri" w:hAnsi="Times New Roman" w:cs="Times New Roman"/>
                <w:sz w:val="20"/>
                <w:szCs w:val="16"/>
                <w:lang w:val="ro-RO"/>
              </w:rPr>
              <w:t>.</w:t>
            </w:r>
          </w:p>
        </w:tc>
        <w:tc>
          <w:tcPr>
            <w:tcW w:w="1294" w:type="dxa"/>
            <w:shd w:val="clear" w:color="auto" w:fill="auto"/>
          </w:tcPr>
          <w:p w14:paraId="50253559" w14:textId="77777777" w:rsidR="00BC2ED4" w:rsidRPr="009C5F11" w:rsidRDefault="00BC2ED4" w:rsidP="00752EBC">
            <w:pPr>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PA 02 Energ</w:t>
            </w:r>
            <w:r w:rsidR="00752EBC" w:rsidRPr="009C5F11">
              <w:rPr>
                <w:rFonts w:ascii="Times New Roman" w:eastAsia="Calibri" w:hAnsi="Times New Roman" w:cs="Times New Roman"/>
                <w:sz w:val="20"/>
                <w:szCs w:val="16"/>
                <w:lang w:val="ro-RO"/>
              </w:rPr>
              <w:t>etic</w:t>
            </w:r>
          </w:p>
        </w:tc>
        <w:tc>
          <w:tcPr>
            <w:tcW w:w="1947" w:type="dxa"/>
            <w:shd w:val="clear" w:color="auto" w:fill="auto"/>
          </w:tcPr>
          <w:p w14:paraId="3E7C6B41" w14:textId="77777777" w:rsidR="00BC2ED4" w:rsidRPr="009C5F11" w:rsidRDefault="004A2281" w:rsidP="00430626">
            <w:pPr>
              <w:spacing w:after="0"/>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MDRC al</w:t>
            </w:r>
            <w:r w:rsidR="00BC2ED4" w:rsidRPr="009C5F11">
              <w:rPr>
                <w:rFonts w:ascii="Times New Roman" w:eastAsia="Calibri" w:hAnsi="Times New Roman" w:cs="Times New Roman"/>
                <w:sz w:val="20"/>
                <w:szCs w:val="16"/>
                <w:lang w:val="ro-RO"/>
              </w:rPr>
              <w:t xml:space="preserve"> </w:t>
            </w:r>
            <w:r w:rsidR="00A56101" w:rsidRPr="009C5F11">
              <w:rPr>
                <w:rFonts w:ascii="Times New Roman" w:eastAsia="Calibri" w:hAnsi="Times New Roman" w:cs="Times New Roman"/>
                <w:sz w:val="20"/>
                <w:szCs w:val="16"/>
                <w:lang w:val="ro-RO"/>
              </w:rPr>
              <w:t>Republicii Moldova</w:t>
            </w:r>
          </w:p>
        </w:tc>
      </w:tr>
    </w:tbl>
    <w:p w14:paraId="09303710" w14:textId="77777777" w:rsidR="00BC2ED4" w:rsidRPr="009C5F11" w:rsidRDefault="00BC2ED4" w:rsidP="00BC2ED4">
      <w:pPr>
        <w:jc w:val="both"/>
        <w:rPr>
          <w:rFonts w:ascii="Times New Roman" w:hAnsi="Times New Roman" w:cs="Times New Roman"/>
          <w:szCs w:val="18"/>
          <w:lang w:val="ro-RO"/>
        </w:rPr>
      </w:pPr>
    </w:p>
    <w:p w14:paraId="19BD1172" w14:textId="77777777" w:rsidR="002C751B" w:rsidRPr="009C5F11" w:rsidRDefault="002C751B">
      <w:pPr>
        <w:rPr>
          <w:rFonts w:ascii="Times New Roman" w:hAnsi="Times New Roman" w:cs="Times New Roman"/>
          <w:szCs w:val="18"/>
          <w:lang w:val="ro-RO"/>
        </w:rPr>
      </w:pPr>
      <w:r w:rsidRPr="009C5F11">
        <w:rPr>
          <w:rFonts w:ascii="Times New Roman" w:hAnsi="Times New Roman" w:cs="Times New Roman"/>
          <w:szCs w:val="18"/>
          <w:lang w:val="ro-RO"/>
        </w:rPr>
        <w:br w:type="page"/>
      </w:r>
    </w:p>
    <w:p w14:paraId="0552F179" w14:textId="542514C7" w:rsidR="00BC2ED4" w:rsidRPr="00D9464A" w:rsidRDefault="00B45C21" w:rsidP="001C58A9">
      <w:pPr>
        <w:pStyle w:val="Titlu3"/>
        <w:rPr>
          <w:rFonts w:ascii="Times New Roman" w:hAnsi="Times New Roman" w:cs="Times New Roman"/>
          <w:b/>
          <w:color w:val="000000" w:themeColor="text1"/>
          <w:sz w:val="28"/>
          <w:lang w:val="ro-RO"/>
        </w:rPr>
      </w:pPr>
      <w:bookmarkStart w:id="322" w:name="_Toc441419235"/>
      <w:bookmarkStart w:id="323" w:name="_Toc319555432"/>
      <w:bookmarkStart w:id="324" w:name="_Toc322013192"/>
      <w:r w:rsidRPr="00D9464A">
        <w:rPr>
          <w:rFonts w:ascii="Times New Roman" w:hAnsi="Times New Roman" w:cs="Times New Roman"/>
          <w:b/>
          <w:color w:val="000000" w:themeColor="text1"/>
          <w:sz w:val="28"/>
          <w:lang w:val="ro-RO"/>
        </w:rPr>
        <w:lastRenderedPageBreak/>
        <w:t>Construcţii</w:t>
      </w:r>
      <w:r w:rsidR="00BC2ED4" w:rsidRPr="00D9464A">
        <w:rPr>
          <w:rFonts w:ascii="Times New Roman" w:hAnsi="Times New Roman" w:cs="Times New Roman"/>
          <w:b/>
          <w:color w:val="000000" w:themeColor="text1"/>
          <w:sz w:val="28"/>
          <w:lang w:val="ro-RO"/>
        </w:rPr>
        <w:t xml:space="preserve"> </w:t>
      </w:r>
      <w:r w:rsidRPr="00D9464A">
        <w:rPr>
          <w:rFonts w:ascii="Times New Roman" w:hAnsi="Times New Roman" w:cs="Times New Roman"/>
          <w:b/>
          <w:color w:val="000000" w:themeColor="text1"/>
          <w:sz w:val="28"/>
          <w:lang w:val="ro-RO"/>
        </w:rPr>
        <w:t>ale</w:t>
      </w:r>
      <w:r w:rsidR="00BC2ED4" w:rsidRPr="00D9464A">
        <w:rPr>
          <w:rFonts w:ascii="Times New Roman" w:hAnsi="Times New Roman" w:cs="Times New Roman"/>
          <w:b/>
          <w:color w:val="000000" w:themeColor="text1"/>
          <w:sz w:val="28"/>
          <w:lang w:val="ro-RO"/>
        </w:rPr>
        <w:t xml:space="preserve"> </w:t>
      </w:r>
      <w:r w:rsidR="00B95682" w:rsidRPr="00D9464A">
        <w:rPr>
          <w:rFonts w:ascii="Times New Roman" w:hAnsi="Times New Roman" w:cs="Times New Roman"/>
          <w:b/>
          <w:color w:val="000000" w:themeColor="text1"/>
          <w:sz w:val="28"/>
          <w:lang w:val="ro-RO"/>
        </w:rPr>
        <w:t>alt</w:t>
      </w:r>
      <w:r w:rsidRPr="00D9464A">
        <w:rPr>
          <w:rFonts w:ascii="Times New Roman" w:hAnsi="Times New Roman" w:cs="Times New Roman"/>
          <w:b/>
          <w:color w:val="000000" w:themeColor="text1"/>
          <w:sz w:val="28"/>
          <w:lang w:val="ro-RO"/>
        </w:rPr>
        <w:t>or</w:t>
      </w:r>
      <w:r w:rsidR="00BC2ED4" w:rsidRPr="00D9464A">
        <w:rPr>
          <w:rFonts w:ascii="Times New Roman" w:hAnsi="Times New Roman" w:cs="Times New Roman"/>
          <w:b/>
          <w:color w:val="000000" w:themeColor="text1"/>
          <w:sz w:val="28"/>
          <w:lang w:val="ro-RO"/>
        </w:rPr>
        <w:t xml:space="preserve"> </w:t>
      </w:r>
      <w:r w:rsidR="00AB291D">
        <w:rPr>
          <w:rFonts w:ascii="Times New Roman" w:hAnsi="Times New Roman" w:cs="Times New Roman"/>
          <w:b/>
          <w:color w:val="000000" w:themeColor="text1"/>
          <w:sz w:val="28"/>
          <w:lang w:val="ro-RO"/>
        </w:rPr>
        <w:t>autorități ale administrației</w:t>
      </w:r>
      <w:r w:rsidRPr="00D9464A">
        <w:rPr>
          <w:rFonts w:ascii="Times New Roman" w:hAnsi="Times New Roman" w:cs="Times New Roman"/>
          <w:b/>
          <w:color w:val="000000" w:themeColor="text1"/>
          <w:sz w:val="28"/>
          <w:lang w:val="ro-RO"/>
        </w:rPr>
        <w:t xml:space="preserve"> publice</w:t>
      </w:r>
      <w:bookmarkEnd w:id="322"/>
      <w:bookmarkEnd w:id="323"/>
      <w:bookmarkEnd w:id="324"/>
    </w:p>
    <w:p w14:paraId="693C751F" w14:textId="77777777" w:rsidR="004371C9" w:rsidRPr="009C5F11" w:rsidRDefault="00B45C21"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Aspectele de</w:t>
      </w:r>
      <w:r w:rsidR="00BC2ED4"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eficienţă energetică</w:t>
      </w:r>
      <w:r w:rsidR="00321CD5" w:rsidRPr="009C5F11">
        <w:rPr>
          <w:rFonts w:ascii="Times New Roman" w:hAnsi="Times New Roman" w:cs="Times New Roman"/>
          <w:sz w:val="24"/>
          <w:lang w:val="ro-RO"/>
        </w:rPr>
        <w:t xml:space="preserve"> în </w:t>
      </w:r>
      <w:r w:rsidR="007F77BE" w:rsidRPr="009C5F11">
        <w:rPr>
          <w:rFonts w:ascii="Times New Roman" w:hAnsi="Times New Roman" w:cs="Times New Roman"/>
          <w:sz w:val="24"/>
          <w:lang w:val="ro-RO"/>
        </w:rPr>
        <w:t>clădirile publice</w:t>
      </w:r>
      <w:r w:rsidR="00BC2ED4" w:rsidRPr="009C5F11">
        <w:rPr>
          <w:rFonts w:ascii="Times New Roman" w:hAnsi="Times New Roman" w:cs="Times New Roman"/>
          <w:sz w:val="24"/>
          <w:lang w:val="ro-RO"/>
        </w:rPr>
        <w:t xml:space="preserve">, </w:t>
      </w:r>
      <w:r w:rsidR="00B95682" w:rsidRPr="009C5F11">
        <w:rPr>
          <w:rFonts w:ascii="Times New Roman" w:hAnsi="Times New Roman" w:cs="Times New Roman"/>
          <w:sz w:val="24"/>
          <w:lang w:val="ro-RO"/>
        </w:rPr>
        <w:t>alte</w:t>
      </w:r>
      <w:r w:rsidRPr="009C5F11">
        <w:rPr>
          <w:rFonts w:ascii="Times New Roman" w:hAnsi="Times New Roman" w:cs="Times New Roman"/>
          <w:sz w:val="24"/>
          <w:lang w:val="ro-RO"/>
        </w:rPr>
        <w:t>le decât cele guvernamentale</w:t>
      </w:r>
      <w:r w:rsidR="00752EBC"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sunt abordate </w:t>
      </w:r>
      <w:r w:rsidR="00223DAC" w:rsidRPr="009C5F11">
        <w:rPr>
          <w:rFonts w:ascii="Times New Roman" w:hAnsi="Times New Roman" w:cs="Times New Roman"/>
          <w:sz w:val="24"/>
          <w:lang w:val="ro-RO"/>
        </w:rPr>
        <w:t>în Republica Moldova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la diferite niveluri</w:t>
      </w:r>
      <w:r w:rsidR="00BC2ED4" w:rsidRPr="009C5F11">
        <w:rPr>
          <w:rFonts w:ascii="Times New Roman" w:hAnsi="Times New Roman" w:cs="Times New Roman"/>
          <w:sz w:val="24"/>
          <w:lang w:val="ro-RO"/>
        </w:rPr>
        <w:t>: regional (</w:t>
      </w:r>
      <w:r w:rsidR="005F63E1" w:rsidRPr="009C5F11">
        <w:rPr>
          <w:rFonts w:ascii="Times New Roman" w:hAnsi="Times New Roman" w:cs="Times New Roman"/>
          <w:sz w:val="24"/>
          <w:lang w:val="ro-RO"/>
        </w:rPr>
        <w:t>strategii</w:t>
      </w:r>
      <w:r w:rsidR="00321CD5" w:rsidRPr="009C5F11">
        <w:rPr>
          <w:rFonts w:ascii="Times New Roman" w:hAnsi="Times New Roman" w:cs="Times New Roman"/>
          <w:sz w:val="24"/>
          <w:lang w:val="ro-RO"/>
        </w:rPr>
        <w:t xml:space="preserve"> şi </w:t>
      </w:r>
      <w:r w:rsidR="00421FA7" w:rsidRPr="009C5F11">
        <w:rPr>
          <w:rFonts w:ascii="Times New Roman" w:hAnsi="Times New Roman" w:cs="Times New Roman"/>
          <w:sz w:val="24"/>
          <w:lang w:val="ro-RO"/>
        </w:rPr>
        <w:t>programe</w:t>
      </w:r>
      <w:r w:rsidRPr="009C5F11">
        <w:rPr>
          <w:rFonts w:ascii="Times New Roman" w:hAnsi="Times New Roman" w:cs="Times New Roman"/>
          <w:sz w:val="24"/>
          <w:lang w:val="ro-RO"/>
        </w:rPr>
        <w:t xml:space="preserve"> regionale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raional</w:t>
      </w:r>
      <w:r w:rsidR="00321CD5" w:rsidRPr="009C5F11">
        <w:rPr>
          <w:rFonts w:ascii="Times New Roman" w:hAnsi="Times New Roman" w:cs="Times New Roman"/>
          <w:sz w:val="24"/>
          <w:lang w:val="ro-RO"/>
        </w:rPr>
        <w:t xml:space="preserve"> şi </w:t>
      </w:r>
      <w:r w:rsidR="00BC2ED4" w:rsidRPr="009C5F11">
        <w:rPr>
          <w:rFonts w:ascii="Times New Roman" w:hAnsi="Times New Roman" w:cs="Times New Roman"/>
          <w:sz w:val="24"/>
          <w:lang w:val="ro-RO"/>
        </w:rPr>
        <w:t>municipal (</w:t>
      </w:r>
      <w:r w:rsidR="00421FA7" w:rsidRPr="009C5F11">
        <w:rPr>
          <w:rFonts w:ascii="Times New Roman" w:hAnsi="Times New Roman" w:cs="Times New Roman"/>
          <w:sz w:val="24"/>
          <w:lang w:val="ro-RO"/>
        </w:rPr>
        <w:t>programe</w:t>
      </w:r>
      <w:r w:rsidRPr="009C5F11">
        <w:rPr>
          <w:rFonts w:ascii="Times New Roman" w:hAnsi="Times New Roman" w:cs="Times New Roman"/>
          <w:sz w:val="24"/>
          <w:lang w:val="ro-RO"/>
        </w:rPr>
        <w:t xml:space="preserve"> de 3 ani</w:t>
      </w:r>
      <w:r w:rsidR="00752EBC" w:rsidRPr="009C5F11">
        <w:rPr>
          <w:rFonts w:ascii="Times New Roman" w:hAnsi="Times New Roman" w:cs="Times New Roman"/>
          <w:sz w:val="24"/>
          <w:lang w:val="ro-RO"/>
        </w:rPr>
        <w:t xml:space="preserve"> pentru EE</w:t>
      </w:r>
      <w:r w:rsidR="00BC2ED4"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planuri de acţiune</w:t>
      </w:r>
      <w:r w:rsidRPr="009C5F11">
        <w:rPr>
          <w:rFonts w:ascii="Times New Roman" w:hAnsi="Times New Roman" w:cs="Times New Roman"/>
          <w:sz w:val="24"/>
          <w:lang w:val="ro-RO"/>
        </w:rPr>
        <w:t xml:space="preserve"> de un an</w:t>
      </w:r>
      <w:r w:rsidR="00752EBC" w:rsidRPr="009C5F11">
        <w:rPr>
          <w:rFonts w:ascii="Times New Roman" w:hAnsi="Times New Roman" w:cs="Times New Roman"/>
          <w:sz w:val="24"/>
          <w:lang w:val="ro-RO"/>
        </w:rPr>
        <w:t xml:space="preserve"> în domeniul EE</w:t>
      </w:r>
      <w:r w:rsidR="00BC2ED4"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planuri de acţiune</w:t>
      </w:r>
      <w:r w:rsidRPr="009C5F11">
        <w:rPr>
          <w:rFonts w:ascii="Times New Roman" w:hAnsi="Times New Roman" w:cs="Times New Roman"/>
          <w:sz w:val="24"/>
          <w:lang w:val="ro-RO"/>
        </w:rPr>
        <w:t xml:space="preserve"> pentru energi</w:t>
      </w:r>
      <w:r w:rsidR="00752EBC"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durabilă</w:t>
      </w:r>
      <w:r w:rsidR="00BC2ED4" w:rsidRPr="009C5F11">
        <w:rPr>
          <w:rFonts w:ascii="Times New Roman" w:hAnsi="Times New Roman" w:cs="Times New Roman"/>
          <w:sz w:val="24"/>
          <w:lang w:val="ro-RO"/>
        </w:rPr>
        <w:t>).</w:t>
      </w:r>
    </w:p>
    <w:p w14:paraId="7AA802BD" w14:textId="77777777" w:rsidR="004371C9" w:rsidRPr="009C5F11" w:rsidRDefault="00B45C21"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Viziunea de ansamblu pentru orientarea acţiunilor </w:t>
      </w:r>
      <w:r w:rsidR="00AA0566" w:rsidRPr="009C5F11">
        <w:rPr>
          <w:rFonts w:ascii="Times New Roman" w:hAnsi="Times New Roman" w:cs="Times New Roman"/>
          <w:sz w:val="24"/>
          <w:lang w:val="ro-RO"/>
        </w:rPr>
        <w:t>APL</w:t>
      </w:r>
      <w:r w:rsidRPr="009C5F11">
        <w:rPr>
          <w:rFonts w:ascii="Times New Roman" w:hAnsi="Times New Roman" w:cs="Times New Roman"/>
          <w:sz w:val="24"/>
          <w:lang w:val="ro-RO"/>
        </w:rPr>
        <w:t xml:space="preserve"> este </w:t>
      </w:r>
      <w:r w:rsidR="004A2281" w:rsidRPr="009C5F11">
        <w:rPr>
          <w:rFonts w:ascii="Times New Roman" w:hAnsi="Times New Roman" w:cs="Times New Roman"/>
          <w:sz w:val="24"/>
          <w:lang w:val="ro-RO"/>
        </w:rPr>
        <w:t>expusă</w:t>
      </w:r>
      <w:r w:rsidRPr="009C5F11">
        <w:rPr>
          <w:rFonts w:ascii="Times New Roman" w:hAnsi="Times New Roman" w:cs="Times New Roman"/>
          <w:sz w:val="24"/>
          <w:lang w:val="ro-RO"/>
        </w:rPr>
        <w:t xml:space="preserve"> în </w:t>
      </w:r>
      <w:r w:rsidR="00C37FEF" w:rsidRPr="009C5F11">
        <w:rPr>
          <w:rFonts w:ascii="Times New Roman" w:hAnsi="Times New Roman" w:cs="Times New Roman"/>
          <w:sz w:val="24"/>
          <w:lang w:val="ro-RO"/>
        </w:rPr>
        <w:t xml:space="preserve">3 programe sectoriale regionale armonizate pentru eficienţa </w:t>
      </w:r>
      <w:r w:rsidR="00812E1D" w:rsidRPr="009C5F11">
        <w:rPr>
          <w:rFonts w:ascii="Times New Roman" w:hAnsi="Times New Roman" w:cs="Times New Roman"/>
          <w:sz w:val="24"/>
          <w:lang w:val="ro-RO"/>
        </w:rPr>
        <w:t>energetică</w:t>
      </w:r>
      <w:r w:rsidR="00321CD5" w:rsidRPr="009C5F11">
        <w:rPr>
          <w:rFonts w:ascii="Times New Roman" w:hAnsi="Times New Roman" w:cs="Times New Roman"/>
          <w:sz w:val="24"/>
          <w:lang w:val="ro-RO"/>
        </w:rPr>
        <w:t xml:space="preserve"> în </w:t>
      </w:r>
      <w:r w:rsidR="004A7A66" w:rsidRPr="009C5F11">
        <w:rPr>
          <w:rFonts w:ascii="Times New Roman" w:hAnsi="Times New Roman" w:cs="Times New Roman"/>
          <w:sz w:val="24"/>
          <w:lang w:val="ro-RO"/>
        </w:rPr>
        <w:t>clădirile publice</w:t>
      </w:r>
      <w:r w:rsidR="00BC2ED4" w:rsidRPr="009C5F11">
        <w:rPr>
          <w:rFonts w:ascii="Times New Roman" w:hAnsi="Times New Roman" w:cs="Times New Roman"/>
          <w:sz w:val="24"/>
          <w:lang w:val="ro-RO"/>
        </w:rPr>
        <w:t xml:space="preserve"> </w:t>
      </w:r>
      <w:r w:rsidR="00C37FEF" w:rsidRPr="009C5F11">
        <w:rPr>
          <w:rFonts w:ascii="Times New Roman" w:hAnsi="Times New Roman" w:cs="Times New Roman"/>
          <w:sz w:val="24"/>
          <w:lang w:val="ro-RO"/>
        </w:rPr>
        <w:t xml:space="preserve">întocmite de agenţiile regionale de dezvoltare cu </w:t>
      </w:r>
      <w:r w:rsidR="005664F4" w:rsidRPr="009C5F11">
        <w:rPr>
          <w:rFonts w:ascii="Times New Roman" w:hAnsi="Times New Roman" w:cs="Times New Roman"/>
          <w:sz w:val="24"/>
          <w:lang w:val="ro-RO"/>
        </w:rPr>
        <w:t>sprijin</w:t>
      </w:r>
      <w:r w:rsidR="00C37FEF" w:rsidRPr="009C5F11">
        <w:rPr>
          <w:rFonts w:ascii="Times New Roman" w:hAnsi="Times New Roman" w:cs="Times New Roman"/>
          <w:sz w:val="24"/>
          <w:lang w:val="ro-RO"/>
        </w:rPr>
        <w:t>ul</w:t>
      </w:r>
      <w:r w:rsidR="00BC2ED4" w:rsidRPr="009C5F11">
        <w:rPr>
          <w:rFonts w:ascii="Times New Roman" w:hAnsi="Times New Roman" w:cs="Times New Roman"/>
          <w:sz w:val="24"/>
          <w:lang w:val="ro-RO"/>
        </w:rPr>
        <w:t xml:space="preserve"> GIZ, Deutsche Zusamen Arbeit, </w:t>
      </w:r>
      <w:r w:rsidR="00C37FEF" w:rsidRPr="009C5F11">
        <w:rPr>
          <w:rFonts w:ascii="Times New Roman" w:hAnsi="Times New Roman" w:cs="Times New Roman"/>
          <w:sz w:val="24"/>
          <w:lang w:val="ro-RO"/>
        </w:rPr>
        <w:t xml:space="preserve">Ministerul </w:t>
      </w:r>
      <w:r w:rsidR="00BC2ED4" w:rsidRPr="009C5F11">
        <w:rPr>
          <w:rFonts w:ascii="Times New Roman" w:hAnsi="Times New Roman" w:cs="Times New Roman"/>
          <w:sz w:val="24"/>
          <w:lang w:val="ro-RO"/>
        </w:rPr>
        <w:t xml:space="preserve">Federal </w:t>
      </w:r>
      <w:r w:rsidR="00C37FEF" w:rsidRPr="009C5F11">
        <w:rPr>
          <w:rFonts w:ascii="Times New Roman" w:hAnsi="Times New Roman" w:cs="Times New Roman"/>
          <w:sz w:val="24"/>
          <w:lang w:val="ro-RO"/>
        </w:rPr>
        <w:t xml:space="preserve">pentru Cooperare Economică şi Dezvoltare </w:t>
      </w:r>
      <w:r w:rsidR="00BC2ED4" w:rsidRPr="009C5F11">
        <w:rPr>
          <w:rFonts w:ascii="Times New Roman" w:hAnsi="Times New Roman" w:cs="Times New Roman"/>
          <w:sz w:val="24"/>
          <w:lang w:val="ro-RO"/>
        </w:rPr>
        <w:t xml:space="preserve">(BMZ), </w:t>
      </w:r>
      <w:r w:rsidR="00AA0566" w:rsidRPr="009C5F11">
        <w:rPr>
          <w:rFonts w:ascii="Times New Roman" w:hAnsi="Times New Roman" w:cs="Times New Roman"/>
          <w:sz w:val="24"/>
          <w:lang w:val="ro-RO"/>
        </w:rPr>
        <w:t>MDRC</w:t>
      </w:r>
      <w:r w:rsidR="00321CD5" w:rsidRPr="009C5F11">
        <w:rPr>
          <w:rFonts w:ascii="Times New Roman" w:hAnsi="Times New Roman" w:cs="Times New Roman"/>
          <w:sz w:val="24"/>
          <w:lang w:val="ro-RO"/>
        </w:rPr>
        <w:t xml:space="preserve"> şi </w:t>
      </w:r>
      <w:r w:rsidR="00C37FEF" w:rsidRPr="009C5F11">
        <w:rPr>
          <w:rFonts w:ascii="Times New Roman" w:hAnsi="Times New Roman" w:cs="Times New Roman"/>
          <w:sz w:val="24"/>
          <w:lang w:val="ro-RO"/>
        </w:rPr>
        <w:t xml:space="preserve">al Ambasadei Suediei la </w:t>
      </w:r>
      <w:r w:rsidR="00AA0566" w:rsidRPr="009C5F11">
        <w:rPr>
          <w:rFonts w:ascii="Times New Roman" w:hAnsi="Times New Roman" w:cs="Times New Roman"/>
          <w:sz w:val="24"/>
          <w:lang w:val="ro-RO"/>
        </w:rPr>
        <w:t>Chişinău</w:t>
      </w:r>
      <w:r w:rsidR="00BC2ED4" w:rsidRPr="009C5F11">
        <w:rPr>
          <w:rFonts w:ascii="Times New Roman" w:hAnsi="Times New Roman" w:cs="Times New Roman"/>
          <w:sz w:val="24"/>
          <w:lang w:val="ro-RO"/>
        </w:rPr>
        <w:t>.</w:t>
      </w:r>
    </w:p>
    <w:p w14:paraId="1E56F9C5" w14:textId="77777777" w:rsidR="004371C9" w:rsidRPr="009C5F11" w:rsidRDefault="00C37FEF"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Teritoriul</w:t>
      </w:r>
      <w:r w:rsidR="00137156" w:rsidRPr="009C5F11">
        <w:rPr>
          <w:rFonts w:ascii="Times New Roman" w:hAnsi="Times New Roman" w:cs="Times New Roman"/>
          <w:sz w:val="24"/>
          <w:lang w:val="ro-RO"/>
        </w:rPr>
        <w:t xml:space="preserve"> Republicii Moldova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este împărţit în 3 regiuni de dezvoltare</w:t>
      </w:r>
      <w:r w:rsidR="00BC2ED4" w:rsidRPr="009C5F11">
        <w:rPr>
          <w:rFonts w:ascii="Times New Roman" w:hAnsi="Times New Roman" w:cs="Times New Roman"/>
          <w:sz w:val="24"/>
          <w:lang w:val="ro-RO"/>
        </w:rPr>
        <w:t xml:space="preserve">: </w:t>
      </w:r>
      <w:r w:rsidR="004A7A66" w:rsidRPr="009C5F11">
        <w:rPr>
          <w:rFonts w:ascii="Times New Roman" w:hAnsi="Times New Roman" w:cs="Times New Roman"/>
          <w:sz w:val="24"/>
          <w:lang w:val="ro-RO"/>
        </w:rPr>
        <w:t>Nord</w:t>
      </w:r>
      <w:r w:rsidR="00BC2ED4" w:rsidRPr="009C5F11">
        <w:rPr>
          <w:rFonts w:ascii="Times New Roman" w:hAnsi="Times New Roman" w:cs="Times New Roman"/>
          <w:sz w:val="24"/>
          <w:lang w:val="ro-RO"/>
        </w:rPr>
        <w:t>, Centr</w:t>
      </w:r>
      <w:r w:rsidR="00F4274E" w:rsidRPr="009C5F11">
        <w:rPr>
          <w:rFonts w:ascii="Times New Roman" w:hAnsi="Times New Roman" w:cs="Times New Roman"/>
          <w:sz w:val="24"/>
          <w:lang w:val="ro-RO"/>
        </w:rPr>
        <w:t>u</w:t>
      </w:r>
      <w:r w:rsidR="00321CD5" w:rsidRPr="009C5F11">
        <w:rPr>
          <w:rFonts w:ascii="Times New Roman" w:hAnsi="Times New Roman" w:cs="Times New Roman"/>
          <w:sz w:val="24"/>
          <w:lang w:val="ro-RO"/>
        </w:rPr>
        <w:t xml:space="preserve"> şi </w:t>
      </w:r>
      <w:r w:rsidR="00BC2ED4" w:rsidRPr="009C5F11">
        <w:rPr>
          <w:rFonts w:ascii="Times New Roman" w:hAnsi="Times New Roman" w:cs="Times New Roman"/>
          <w:sz w:val="24"/>
          <w:lang w:val="ro-RO"/>
        </w:rPr>
        <w:t>S</w:t>
      </w:r>
      <w:r w:rsidR="00F4274E" w:rsidRPr="009C5F11">
        <w:rPr>
          <w:rFonts w:ascii="Times New Roman" w:hAnsi="Times New Roman" w:cs="Times New Roman"/>
          <w:sz w:val="24"/>
          <w:lang w:val="ro-RO"/>
        </w:rPr>
        <w:t>ud</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w:t>
      </w:r>
      <w:r w:rsidR="003826B8" w:rsidRPr="009C5F11">
        <w:rPr>
          <w:rFonts w:ascii="Times New Roman" w:hAnsi="Times New Roman" w:cs="Times New Roman"/>
          <w:sz w:val="24"/>
          <w:lang w:val="ro-RO"/>
        </w:rPr>
        <w:t>ocumente</w:t>
      </w:r>
      <w:r w:rsidRPr="009C5F11">
        <w:rPr>
          <w:rFonts w:ascii="Times New Roman" w:hAnsi="Times New Roman" w:cs="Times New Roman"/>
          <w:sz w:val="24"/>
          <w:lang w:val="ro-RO"/>
        </w:rPr>
        <w:t xml:space="preserve">le de planificare regională în domeniul </w:t>
      </w:r>
      <w:r w:rsidR="000C7BEC" w:rsidRPr="009C5F11">
        <w:rPr>
          <w:rFonts w:ascii="Times New Roman" w:hAnsi="Times New Roman" w:cs="Times New Roman"/>
          <w:sz w:val="24"/>
          <w:lang w:val="ro-RO"/>
        </w:rPr>
        <w:t>eficienţ</w:t>
      </w:r>
      <w:r w:rsidRPr="009C5F11">
        <w:rPr>
          <w:rFonts w:ascii="Times New Roman" w:hAnsi="Times New Roman" w:cs="Times New Roman"/>
          <w:sz w:val="24"/>
          <w:lang w:val="ro-RO"/>
        </w:rPr>
        <w:t>ei</w:t>
      </w:r>
      <w:r w:rsidR="000C7BEC" w:rsidRPr="009C5F11">
        <w:rPr>
          <w:rFonts w:ascii="Times New Roman" w:hAnsi="Times New Roman" w:cs="Times New Roman"/>
          <w:sz w:val="24"/>
          <w:lang w:val="ro-RO"/>
        </w:rPr>
        <w:t xml:space="preserve"> energetic</w:t>
      </w:r>
      <w:r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w:t>
      </w:r>
      <w:r w:rsidR="00693850" w:rsidRPr="009C5F11">
        <w:rPr>
          <w:rFonts w:ascii="Times New Roman" w:hAnsi="Times New Roman" w:cs="Times New Roman"/>
          <w:sz w:val="24"/>
          <w:lang w:val="ro-RO"/>
        </w:rPr>
        <w:t>a clădirilor</w:t>
      </w:r>
      <w:r w:rsidR="007F77BE" w:rsidRPr="009C5F11">
        <w:rPr>
          <w:rFonts w:ascii="Times New Roman" w:hAnsi="Times New Roman" w:cs="Times New Roman"/>
          <w:sz w:val="24"/>
          <w:lang w:val="ro-RO"/>
        </w:rPr>
        <w:t xml:space="preserve"> publice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sunt elaborate pentru </w:t>
      </w:r>
      <w:r w:rsidR="000B4699" w:rsidRPr="009C5F11">
        <w:rPr>
          <w:rFonts w:ascii="Times New Roman" w:hAnsi="Times New Roman" w:cs="Times New Roman"/>
          <w:sz w:val="24"/>
          <w:lang w:val="ro-RO"/>
        </w:rPr>
        <w:t>perioada</w:t>
      </w:r>
      <w:r w:rsidR="00BC2ED4" w:rsidRPr="009C5F11">
        <w:rPr>
          <w:rFonts w:ascii="Times New Roman" w:hAnsi="Times New Roman" w:cs="Times New Roman"/>
          <w:sz w:val="24"/>
          <w:lang w:val="ro-RO"/>
        </w:rPr>
        <w:t xml:space="preserve"> 2013-2020. </w:t>
      </w:r>
      <w:r w:rsidRPr="009C5F11">
        <w:rPr>
          <w:rFonts w:ascii="Times New Roman" w:hAnsi="Times New Roman" w:cs="Times New Roman"/>
          <w:sz w:val="24"/>
          <w:lang w:val="ro-RO"/>
        </w:rPr>
        <w:t>Programele sectorului regional</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oferă o analiză </w:t>
      </w:r>
      <w:r w:rsidR="004A2281" w:rsidRPr="009C5F11">
        <w:rPr>
          <w:rFonts w:ascii="Times New Roman" w:hAnsi="Times New Roman" w:cs="Times New Roman"/>
          <w:sz w:val="24"/>
          <w:lang w:val="ro-RO"/>
        </w:rPr>
        <w:t>cantitativă</w:t>
      </w:r>
      <w:r w:rsidRPr="009C5F11">
        <w:rPr>
          <w:rFonts w:ascii="Times New Roman" w:hAnsi="Times New Roman" w:cs="Times New Roman"/>
          <w:sz w:val="24"/>
          <w:lang w:val="ro-RO"/>
        </w:rPr>
        <w:t xml:space="preserve"> a </w:t>
      </w:r>
      <w:r w:rsidR="00A07A79" w:rsidRPr="009C5F11">
        <w:rPr>
          <w:rFonts w:ascii="Times New Roman" w:hAnsi="Times New Roman" w:cs="Times New Roman"/>
          <w:sz w:val="24"/>
          <w:lang w:val="ro-RO"/>
        </w:rPr>
        <w:t>consumului de energie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la nivel raional </w:t>
      </w:r>
      <w:r w:rsidR="00321CD5" w:rsidRPr="009C5F11">
        <w:rPr>
          <w:rFonts w:ascii="Times New Roman" w:hAnsi="Times New Roman" w:cs="Times New Roman"/>
          <w:sz w:val="24"/>
          <w:lang w:val="ro-RO"/>
        </w:rPr>
        <w:t xml:space="preserve">şi </w:t>
      </w:r>
      <w:r w:rsidR="00BC2ED4" w:rsidRPr="009C5F11">
        <w:rPr>
          <w:rFonts w:ascii="Times New Roman" w:hAnsi="Times New Roman" w:cs="Times New Roman"/>
          <w:sz w:val="24"/>
          <w:lang w:val="ro-RO"/>
        </w:rPr>
        <w:t xml:space="preserve">regional </w:t>
      </w:r>
      <w:r w:rsidRPr="009C5F11">
        <w:rPr>
          <w:rFonts w:ascii="Times New Roman" w:hAnsi="Times New Roman" w:cs="Times New Roman"/>
          <w:sz w:val="24"/>
          <w:lang w:val="ro-RO"/>
        </w:rPr>
        <w:t>care vor susţine obiectivele</w:t>
      </w:r>
      <w:r w:rsidR="00BC2ED4"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APL</w:t>
      </w:r>
      <w:r w:rsidRPr="009C5F11">
        <w:rPr>
          <w:rFonts w:ascii="Times New Roman" w:hAnsi="Times New Roman" w:cs="Times New Roman"/>
          <w:sz w:val="24"/>
          <w:lang w:val="ro-RO"/>
        </w:rPr>
        <w:t xml:space="preserve"> şi vor asigura </w:t>
      </w:r>
      <w:r w:rsidR="00B40A7C" w:rsidRPr="009C5F11">
        <w:rPr>
          <w:rFonts w:ascii="Times New Roman" w:hAnsi="Times New Roman" w:cs="Times New Roman"/>
          <w:sz w:val="24"/>
          <w:lang w:val="ro-RO"/>
        </w:rPr>
        <w:t>informaţii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pentru programele/planurile proprii de</w:t>
      </w:r>
      <w:r w:rsidR="00BC2ED4"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eficienţă energetică</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Toate </w:t>
      </w:r>
      <w:r w:rsidR="00421FA7" w:rsidRPr="009C5F11">
        <w:rPr>
          <w:rFonts w:ascii="Times New Roman" w:hAnsi="Times New Roman" w:cs="Times New Roman"/>
          <w:sz w:val="24"/>
          <w:lang w:val="ro-RO"/>
        </w:rPr>
        <w:t>programe</w:t>
      </w:r>
      <w:r w:rsidRPr="009C5F11">
        <w:rPr>
          <w:rFonts w:ascii="Times New Roman" w:hAnsi="Times New Roman" w:cs="Times New Roman"/>
          <w:sz w:val="24"/>
          <w:lang w:val="ro-RO"/>
        </w:rPr>
        <w:t>le au fost aprobate</w:t>
      </w:r>
      <w:r w:rsidR="00321CD5" w:rsidRPr="009C5F11">
        <w:rPr>
          <w:rFonts w:ascii="Times New Roman" w:hAnsi="Times New Roman" w:cs="Times New Roman"/>
          <w:sz w:val="24"/>
          <w:lang w:val="ro-RO"/>
        </w:rPr>
        <w:t xml:space="preserve"> în </w:t>
      </w:r>
      <w:r w:rsidR="000A4CC7" w:rsidRPr="009C5F11">
        <w:rPr>
          <w:rFonts w:ascii="Times New Roman" w:hAnsi="Times New Roman" w:cs="Times New Roman"/>
          <w:sz w:val="24"/>
          <w:lang w:val="ro-RO"/>
        </w:rPr>
        <w:t>iunie</w:t>
      </w:r>
      <w:r w:rsidR="00BC2ED4" w:rsidRPr="009C5F11">
        <w:rPr>
          <w:rFonts w:ascii="Times New Roman" w:hAnsi="Times New Roman" w:cs="Times New Roman"/>
          <w:sz w:val="24"/>
          <w:lang w:val="ro-RO"/>
        </w:rPr>
        <w:t xml:space="preserve"> 2014.</w:t>
      </w:r>
    </w:p>
    <w:p w14:paraId="60422778" w14:textId="77777777" w:rsidR="004371C9" w:rsidRPr="009C5F11" w:rsidRDefault="00927CD9"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Potrivit</w:t>
      </w:r>
      <w:r w:rsidR="00BC2ED4" w:rsidRPr="009C5F11">
        <w:rPr>
          <w:rFonts w:ascii="Times New Roman" w:hAnsi="Times New Roman" w:cs="Times New Roman"/>
          <w:sz w:val="24"/>
          <w:lang w:val="ro-RO"/>
        </w:rPr>
        <w:t xml:space="preserve"> </w:t>
      </w:r>
      <w:r w:rsidR="00C37FEF" w:rsidRPr="009C5F11">
        <w:rPr>
          <w:rFonts w:ascii="Times New Roman" w:hAnsi="Times New Roman" w:cs="Times New Roman"/>
          <w:sz w:val="24"/>
          <w:lang w:val="ro-RO"/>
        </w:rPr>
        <w:t>fiecărui program sector</w:t>
      </w:r>
      <w:r w:rsidR="00D90D12" w:rsidRPr="009C5F11">
        <w:rPr>
          <w:rFonts w:ascii="Times New Roman" w:hAnsi="Times New Roman" w:cs="Times New Roman"/>
          <w:sz w:val="24"/>
          <w:lang w:val="ro-RO"/>
        </w:rPr>
        <w:t>ial</w:t>
      </w:r>
      <w:r w:rsidR="00C37FEF" w:rsidRPr="009C5F11">
        <w:rPr>
          <w:rFonts w:ascii="Times New Roman" w:hAnsi="Times New Roman" w:cs="Times New Roman"/>
          <w:sz w:val="24"/>
          <w:lang w:val="ro-RO"/>
        </w:rPr>
        <w:t xml:space="preserve"> </w:t>
      </w:r>
      <w:r w:rsidR="00D90D12" w:rsidRPr="009C5F11">
        <w:rPr>
          <w:rFonts w:ascii="Times New Roman" w:hAnsi="Times New Roman" w:cs="Times New Roman"/>
          <w:sz w:val="24"/>
          <w:lang w:val="ro-RO"/>
        </w:rPr>
        <w:t>r</w:t>
      </w:r>
      <w:r w:rsidR="00BC2ED4" w:rsidRPr="009C5F11">
        <w:rPr>
          <w:rFonts w:ascii="Times New Roman" w:hAnsi="Times New Roman" w:cs="Times New Roman"/>
          <w:sz w:val="24"/>
          <w:lang w:val="ro-RO"/>
        </w:rPr>
        <w:t xml:space="preserve">egional </w:t>
      </w:r>
      <w:r w:rsidR="00D90D12" w:rsidRPr="009C5F11">
        <w:rPr>
          <w:rFonts w:ascii="Times New Roman" w:hAnsi="Times New Roman" w:cs="Times New Roman"/>
          <w:sz w:val="24"/>
          <w:lang w:val="ro-RO"/>
        </w:rPr>
        <w:t>în domeniul</w:t>
      </w:r>
      <w:r w:rsidR="00BC2ED4" w:rsidRPr="009C5F11">
        <w:rPr>
          <w:rFonts w:ascii="Times New Roman" w:hAnsi="Times New Roman" w:cs="Times New Roman"/>
          <w:sz w:val="24"/>
          <w:lang w:val="ro-RO"/>
        </w:rPr>
        <w:t xml:space="preserve"> </w:t>
      </w:r>
      <w:r w:rsidR="00812E1D" w:rsidRPr="009C5F11">
        <w:rPr>
          <w:rFonts w:ascii="Times New Roman" w:hAnsi="Times New Roman" w:cs="Times New Roman"/>
          <w:sz w:val="24"/>
          <w:lang w:val="ro-RO"/>
        </w:rPr>
        <w:t>eficienţ</w:t>
      </w:r>
      <w:r w:rsidR="00D90D12" w:rsidRPr="009C5F11">
        <w:rPr>
          <w:rFonts w:ascii="Times New Roman" w:hAnsi="Times New Roman" w:cs="Times New Roman"/>
          <w:sz w:val="24"/>
          <w:lang w:val="ro-RO"/>
        </w:rPr>
        <w:t>ei</w:t>
      </w:r>
      <w:r w:rsidR="00812E1D" w:rsidRPr="009C5F11">
        <w:rPr>
          <w:rFonts w:ascii="Times New Roman" w:hAnsi="Times New Roman" w:cs="Times New Roman"/>
          <w:sz w:val="24"/>
          <w:lang w:val="ro-RO"/>
        </w:rPr>
        <w:t xml:space="preserve"> energetic</w:t>
      </w:r>
      <w:r w:rsidR="00D90D12"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în </w:t>
      </w:r>
      <w:r w:rsidR="004A7A66" w:rsidRPr="009C5F11">
        <w:rPr>
          <w:rFonts w:ascii="Times New Roman" w:hAnsi="Times New Roman" w:cs="Times New Roman"/>
          <w:sz w:val="24"/>
          <w:lang w:val="ro-RO"/>
        </w:rPr>
        <w:t>clădirile publice</w:t>
      </w:r>
      <w:r w:rsidR="00BC2ED4" w:rsidRPr="009C5F11">
        <w:rPr>
          <w:rFonts w:ascii="Times New Roman" w:hAnsi="Times New Roman" w:cs="Times New Roman"/>
          <w:sz w:val="24"/>
          <w:lang w:val="ro-RO"/>
        </w:rPr>
        <w:t xml:space="preserve">, </w:t>
      </w:r>
      <w:r w:rsidR="00D90D12" w:rsidRPr="009C5F11">
        <w:rPr>
          <w:rFonts w:ascii="Times New Roman" w:hAnsi="Times New Roman" w:cs="Times New Roman"/>
          <w:sz w:val="24"/>
          <w:lang w:val="ro-RO"/>
        </w:rPr>
        <w:t xml:space="preserve">majoritatea </w:t>
      </w:r>
      <w:r w:rsidR="007F77BE" w:rsidRPr="009C5F11">
        <w:rPr>
          <w:rFonts w:ascii="Times New Roman" w:hAnsi="Times New Roman" w:cs="Times New Roman"/>
          <w:sz w:val="24"/>
          <w:lang w:val="ro-RO"/>
        </w:rPr>
        <w:t>clădiril</w:t>
      </w:r>
      <w:r w:rsidR="00D90D12" w:rsidRPr="009C5F11">
        <w:rPr>
          <w:rFonts w:ascii="Times New Roman" w:hAnsi="Times New Roman" w:cs="Times New Roman"/>
          <w:sz w:val="24"/>
          <w:lang w:val="ro-RO"/>
        </w:rPr>
        <w:t>or</w:t>
      </w:r>
      <w:r w:rsidR="007F77BE" w:rsidRPr="009C5F11">
        <w:rPr>
          <w:rFonts w:ascii="Times New Roman" w:hAnsi="Times New Roman" w:cs="Times New Roman"/>
          <w:sz w:val="24"/>
          <w:lang w:val="ro-RO"/>
        </w:rPr>
        <w:t xml:space="preserve"> publice</w:t>
      </w:r>
      <w:r w:rsidR="00BC2ED4" w:rsidRPr="009C5F11">
        <w:rPr>
          <w:rFonts w:ascii="Times New Roman" w:hAnsi="Times New Roman" w:cs="Times New Roman"/>
          <w:sz w:val="24"/>
          <w:lang w:val="ro-RO"/>
        </w:rPr>
        <w:t xml:space="preserve"> </w:t>
      </w:r>
      <w:r w:rsidR="00D90D12" w:rsidRPr="009C5F11">
        <w:rPr>
          <w:rFonts w:ascii="Times New Roman" w:hAnsi="Times New Roman" w:cs="Times New Roman"/>
          <w:sz w:val="24"/>
          <w:lang w:val="ro-RO"/>
        </w:rPr>
        <w:t xml:space="preserve">necesită reparaţie capitală, fapt ce determină oportunitatea majoră de a </w:t>
      </w:r>
      <w:r w:rsidR="00BC2ED4" w:rsidRPr="009C5F11">
        <w:rPr>
          <w:rFonts w:ascii="Times New Roman" w:hAnsi="Times New Roman" w:cs="Times New Roman"/>
          <w:sz w:val="24"/>
          <w:lang w:val="ro-RO"/>
        </w:rPr>
        <w:t xml:space="preserve">introduce </w:t>
      </w:r>
      <w:r w:rsidR="00D77687" w:rsidRPr="009C5F11">
        <w:rPr>
          <w:rFonts w:ascii="Times New Roman" w:hAnsi="Times New Roman" w:cs="Times New Roman"/>
          <w:sz w:val="24"/>
          <w:lang w:val="ro-RO"/>
        </w:rPr>
        <w:t>măsuri de eficienţă energetică</w:t>
      </w:r>
      <w:r w:rsidR="00BC2ED4" w:rsidRPr="009C5F11">
        <w:rPr>
          <w:rFonts w:ascii="Times New Roman" w:hAnsi="Times New Roman" w:cs="Times New Roman"/>
          <w:sz w:val="24"/>
          <w:lang w:val="ro-RO"/>
        </w:rPr>
        <w:t xml:space="preserve">. </w:t>
      </w:r>
    </w:p>
    <w:p w14:paraId="0D239D9B" w14:textId="64F11F87" w:rsidR="00BC2ED4" w:rsidRPr="009C5F11" w:rsidRDefault="00D90D12"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Clădirile</w:t>
      </w:r>
      <w:r w:rsidR="007F77BE" w:rsidRPr="009C5F11">
        <w:rPr>
          <w:rFonts w:ascii="Times New Roman" w:hAnsi="Times New Roman" w:cs="Times New Roman"/>
          <w:sz w:val="24"/>
          <w:lang w:val="ro-RO"/>
        </w:rPr>
        <w:t xml:space="preserve"> publice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sunt clasificate în 4 categorii principale</w:t>
      </w:r>
      <w:r w:rsidR="001738FD" w:rsidRPr="009C5F11">
        <w:rPr>
          <w:rFonts w:ascii="Times New Roman" w:hAnsi="Times New Roman" w:cs="Times New Roman"/>
          <w:sz w:val="24"/>
          <w:lang w:val="ro-RO"/>
        </w:rPr>
        <w:t>:</w:t>
      </w:r>
      <w:r w:rsidR="00BC2ED4" w:rsidRPr="009C5F11">
        <w:rPr>
          <w:rFonts w:ascii="Times New Roman" w:hAnsi="Times New Roman" w:cs="Times New Roman"/>
          <w:sz w:val="24"/>
          <w:lang w:val="ro-RO"/>
        </w:rPr>
        <w:t xml:space="preserve"> </w:t>
      </w:r>
    </w:p>
    <w:p w14:paraId="2A620266" w14:textId="77777777" w:rsidR="00BC2ED4" w:rsidRPr="009C5F11" w:rsidRDefault="00E54D8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Clădiri din</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sectorul educaţiei</w:t>
      </w:r>
      <w:r w:rsidR="00BC2ED4" w:rsidRPr="009C5F11">
        <w:rPr>
          <w:rFonts w:ascii="Times New Roman" w:hAnsi="Times New Roman" w:cs="Times New Roman"/>
          <w:sz w:val="24"/>
          <w:lang w:val="ro-RO"/>
        </w:rPr>
        <w:t xml:space="preserve"> (</w:t>
      </w:r>
      <w:r w:rsidR="00D15C6C" w:rsidRPr="009C5F11">
        <w:rPr>
          <w:rFonts w:ascii="Times New Roman" w:hAnsi="Times New Roman" w:cs="Times New Roman"/>
          <w:sz w:val="24"/>
          <w:lang w:val="ro-RO"/>
        </w:rPr>
        <w:t>instituţii preşcolare şi preuniversitare</w:t>
      </w:r>
      <w:r w:rsidR="00BC2ED4" w:rsidRPr="009C5F11">
        <w:rPr>
          <w:rFonts w:ascii="Times New Roman" w:hAnsi="Times New Roman" w:cs="Times New Roman"/>
          <w:sz w:val="24"/>
          <w:lang w:val="ro-RO"/>
        </w:rPr>
        <w:t>);</w:t>
      </w:r>
    </w:p>
    <w:p w14:paraId="0D02DAA6" w14:textId="77777777" w:rsidR="00BC2ED4" w:rsidRPr="009C5F11" w:rsidRDefault="00E54D8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Clădiri din</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sectorul medical</w:t>
      </w:r>
      <w:r w:rsidR="00BC2ED4" w:rsidRPr="009C5F11">
        <w:rPr>
          <w:rFonts w:ascii="Times New Roman" w:hAnsi="Times New Roman" w:cs="Times New Roman"/>
          <w:sz w:val="24"/>
          <w:lang w:val="ro-RO"/>
        </w:rPr>
        <w:t xml:space="preserve"> (</w:t>
      </w:r>
      <w:r w:rsidR="00D15C6C" w:rsidRPr="009C5F11">
        <w:rPr>
          <w:rFonts w:ascii="Times New Roman" w:hAnsi="Times New Roman" w:cs="Times New Roman"/>
          <w:sz w:val="24"/>
          <w:lang w:val="ro-RO"/>
        </w:rPr>
        <w:t xml:space="preserve">spitale </w:t>
      </w:r>
      <w:r w:rsidR="00BC2ED4" w:rsidRPr="009C5F11">
        <w:rPr>
          <w:rFonts w:ascii="Times New Roman" w:hAnsi="Times New Roman" w:cs="Times New Roman"/>
          <w:sz w:val="24"/>
          <w:lang w:val="ro-RO"/>
        </w:rPr>
        <w:t>public</w:t>
      </w:r>
      <w:r w:rsidR="00D15C6C"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w:t>
      </w:r>
      <w:r w:rsidR="00D15C6C" w:rsidRPr="009C5F11">
        <w:rPr>
          <w:rFonts w:ascii="Times New Roman" w:hAnsi="Times New Roman" w:cs="Times New Roman"/>
          <w:sz w:val="24"/>
          <w:lang w:val="ro-RO"/>
        </w:rPr>
        <w:t>instituţii medico-sanitare, policlinici</w:t>
      </w:r>
      <w:r w:rsidR="00BC2ED4" w:rsidRPr="009C5F11">
        <w:rPr>
          <w:rFonts w:ascii="Times New Roman" w:hAnsi="Times New Roman" w:cs="Times New Roman"/>
          <w:sz w:val="24"/>
          <w:lang w:val="ro-RO"/>
        </w:rPr>
        <w:t>);</w:t>
      </w:r>
    </w:p>
    <w:p w14:paraId="418AD2BE" w14:textId="77777777" w:rsidR="00BC2ED4" w:rsidRPr="009C5F11" w:rsidRDefault="00E54D8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Clădiri din</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sectorul administrativ</w:t>
      </w:r>
      <w:r w:rsidR="00BC2ED4" w:rsidRPr="009C5F11">
        <w:rPr>
          <w:rFonts w:ascii="Times New Roman" w:hAnsi="Times New Roman" w:cs="Times New Roman"/>
          <w:sz w:val="24"/>
          <w:lang w:val="ro-RO"/>
        </w:rPr>
        <w:t xml:space="preserve"> (</w:t>
      </w:r>
      <w:r w:rsidR="00D15C6C" w:rsidRPr="009C5F11">
        <w:rPr>
          <w:rFonts w:ascii="Times New Roman" w:hAnsi="Times New Roman" w:cs="Times New Roman"/>
          <w:sz w:val="24"/>
          <w:lang w:val="ro-RO"/>
        </w:rPr>
        <w:t>primării, consilii raionale</w:t>
      </w:r>
      <w:r w:rsidR="00BC2ED4" w:rsidRPr="009C5F11">
        <w:rPr>
          <w:rFonts w:ascii="Times New Roman" w:hAnsi="Times New Roman" w:cs="Times New Roman"/>
          <w:sz w:val="24"/>
          <w:lang w:val="ro-RO"/>
        </w:rPr>
        <w:t xml:space="preserve">); </w:t>
      </w:r>
      <w:r w:rsidR="00D15C6C" w:rsidRPr="009C5F11">
        <w:rPr>
          <w:rFonts w:ascii="Times New Roman" w:hAnsi="Times New Roman" w:cs="Times New Roman"/>
          <w:sz w:val="24"/>
          <w:lang w:val="ro-RO"/>
        </w:rPr>
        <w:t>şi</w:t>
      </w:r>
      <w:r w:rsidR="00BC2ED4" w:rsidRPr="009C5F11">
        <w:rPr>
          <w:rFonts w:ascii="Times New Roman" w:hAnsi="Times New Roman" w:cs="Times New Roman"/>
          <w:sz w:val="24"/>
          <w:lang w:val="ro-RO"/>
        </w:rPr>
        <w:t>,</w:t>
      </w:r>
    </w:p>
    <w:p w14:paraId="05C3A4F5" w14:textId="77777777" w:rsidR="00BC2ED4" w:rsidRPr="009C5F11" w:rsidRDefault="00E54D8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Clădiri din</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sectorul social</w:t>
      </w:r>
      <w:r w:rsidR="00BC2ED4" w:rsidRPr="009C5F11">
        <w:rPr>
          <w:rFonts w:ascii="Times New Roman" w:hAnsi="Times New Roman" w:cs="Times New Roman"/>
          <w:sz w:val="24"/>
          <w:lang w:val="ro-RO"/>
        </w:rPr>
        <w:t xml:space="preserve"> (</w:t>
      </w:r>
      <w:r w:rsidR="00D15C6C" w:rsidRPr="009C5F11">
        <w:rPr>
          <w:rFonts w:ascii="Times New Roman" w:hAnsi="Times New Roman" w:cs="Times New Roman"/>
          <w:sz w:val="24"/>
          <w:lang w:val="ro-RO"/>
        </w:rPr>
        <w:t>aziluri şi orfelinate</w:t>
      </w:r>
      <w:r w:rsidR="00BC2ED4" w:rsidRPr="009C5F11">
        <w:rPr>
          <w:rFonts w:ascii="Times New Roman" w:hAnsi="Times New Roman" w:cs="Times New Roman"/>
          <w:sz w:val="24"/>
          <w:lang w:val="ro-RO"/>
        </w:rPr>
        <w:t>).</w:t>
      </w:r>
    </w:p>
    <w:p w14:paraId="3D9C0DFE" w14:textId="7CD84336" w:rsidR="00BC2ED4" w:rsidRPr="009C5F11" w:rsidRDefault="00A67DFF"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Sumarul </w:t>
      </w:r>
      <w:r w:rsidR="00204033" w:rsidRPr="009C5F11">
        <w:rPr>
          <w:rFonts w:ascii="Times New Roman" w:hAnsi="Times New Roman" w:cs="Times New Roman"/>
          <w:sz w:val="24"/>
          <w:lang w:val="ro-RO"/>
        </w:rPr>
        <w:t>obiective</w:t>
      </w:r>
      <w:r w:rsidRPr="009C5F11">
        <w:rPr>
          <w:rFonts w:ascii="Times New Roman" w:hAnsi="Times New Roman" w:cs="Times New Roman"/>
          <w:sz w:val="24"/>
          <w:lang w:val="ro-RO"/>
        </w:rPr>
        <w:t xml:space="preserve">lor celor 3 regiuni de dezvoltare de a realiza </w:t>
      </w:r>
      <w:r w:rsidR="00B40A7C" w:rsidRPr="009C5F11">
        <w:rPr>
          <w:rFonts w:ascii="Times New Roman" w:hAnsi="Times New Roman" w:cs="Times New Roman"/>
          <w:sz w:val="24"/>
          <w:lang w:val="ro-RO"/>
        </w:rPr>
        <w:t>obiectivul</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stabilit de documentele strategice (cota de renovare de </w:t>
      </w:r>
      <w:r w:rsidR="00BC2ED4" w:rsidRPr="009C5F11">
        <w:rPr>
          <w:rFonts w:ascii="Times New Roman" w:hAnsi="Times New Roman" w:cs="Times New Roman"/>
          <w:sz w:val="24"/>
          <w:lang w:val="ro-RO"/>
        </w:rPr>
        <w:t xml:space="preserve">10% </w:t>
      </w:r>
      <w:r w:rsidRPr="009C5F11">
        <w:rPr>
          <w:rFonts w:ascii="Times New Roman" w:hAnsi="Times New Roman" w:cs="Times New Roman"/>
          <w:sz w:val="24"/>
          <w:lang w:val="ro-RO"/>
        </w:rPr>
        <w:t xml:space="preserve">până </w:t>
      </w:r>
      <w:r w:rsidR="00321CD5" w:rsidRPr="009C5F11">
        <w:rPr>
          <w:rFonts w:ascii="Times New Roman" w:hAnsi="Times New Roman" w:cs="Times New Roman"/>
          <w:sz w:val="24"/>
          <w:lang w:val="ro-RO"/>
        </w:rPr>
        <w:t xml:space="preserve">în </w:t>
      </w:r>
      <w:r w:rsidR="00BC2ED4" w:rsidRPr="009C5F11">
        <w:rPr>
          <w:rFonts w:ascii="Times New Roman" w:hAnsi="Times New Roman" w:cs="Times New Roman"/>
          <w:sz w:val="24"/>
          <w:lang w:val="ro-RO"/>
        </w:rPr>
        <w:t>2020</w:t>
      </w:r>
      <w:r w:rsidRPr="009C5F11">
        <w:rPr>
          <w:rFonts w:ascii="Times New Roman" w:hAnsi="Times New Roman" w:cs="Times New Roman"/>
          <w:sz w:val="24"/>
          <w:lang w:val="ro-RO"/>
        </w:rPr>
        <w:t>)</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este prezentat în</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tabelul</w:t>
      </w:r>
      <w:r w:rsidR="00BC2ED4"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de mai jos</w:t>
      </w:r>
      <w:r w:rsidR="00BC2ED4" w:rsidRPr="009C5F11">
        <w:rPr>
          <w:rFonts w:ascii="Times New Roman" w:hAnsi="Times New Roman" w:cs="Times New Roman"/>
          <w:sz w:val="24"/>
          <w:lang w:val="ro-RO"/>
        </w:rPr>
        <w:t>.</w:t>
      </w:r>
    </w:p>
    <w:p w14:paraId="26D18B96" w14:textId="77777777" w:rsidR="00607023" w:rsidRPr="009C5F11" w:rsidRDefault="00607023" w:rsidP="002C751B">
      <w:pPr>
        <w:spacing w:before="120" w:after="120" w:line="240" w:lineRule="auto"/>
        <w:jc w:val="both"/>
        <w:rPr>
          <w:rFonts w:ascii="Times New Roman" w:hAnsi="Times New Roman" w:cs="Times New Roman"/>
          <w:sz w:val="24"/>
          <w:lang w:val="ro-RO"/>
        </w:rPr>
      </w:pPr>
    </w:p>
    <w:p w14:paraId="4FE4C9D1" w14:textId="77777777" w:rsidR="00C16535" w:rsidRPr="009C5F11" w:rsidRDefault="00321CD5" w:rsidP="00C16535">
      <w:pPr>
        <w:pStyle w:val="Legend"/>
        <w:keepNext/>
        <w:jc w:val="center"/>
        <w:rPr>
          <w:rFonts w:ascii="Times New Roman" w:hAnsi="Times New Roman" w:cs="Times New Roman"/>
          <w:sz w:val="22"/>
          <w:lang w:val="ro-RO"/>
        </w:rPr>
      </w:pPr>
      <w:bookmarkStart w:id="325" w:name="_Toc322013251"/>
      <w:r w:rsidRPr="009C5F11">
        <w:rPr>
          <w:rFonts w:ascii="Times New Roman" w:hAnsi="Times New Roman" w:cs="Times New Roman"/>
          <w:sz w:val="22"/>
          <w:lang w:val="ro-RO"/>
        </w:rPr>
        <w:t>Tabelul</w:t>
      </w:r>
      <w:r w:rsidR="00C16535"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C16535"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28</w:t>
      </w:r>
      <w:r w:rsidR="003A6ADB" w:rsidRPr="009C5F11">
        <w:rPr>
          <w:rFonts w:ascii="Times New Roman" w:hAnsi="Times New Roman" w:cs="Times New Roman"/>
          <w:sz w:val="22"/>
          <w:lang w:val="ro-RO"/>
        </w:rPr>
        <w:fldChar w:fldCharType="end"/>
      </w:r>
      <w:r w:rsidR="00C16535" w:rsidRPr="009C5F11">
        <w:rPr>
          <w:rFonts w:ascii="Times New Roman" w:hAnsi="Times New Roman" w:cs="Times New Roman"/>
          <w:sz w:val="22"/>
          <w:lang w:val="ro-RO"/>
        </w:rPr>
        <w:t xml:space="preserve"> - </w:t>
      </w:r>
      <w:r w:rsidR="00855ECF" w:rsidRPr="009C5F11">
        <w:rPr>
          <w:rFonts w:ascii="Times New Roman" w:hAnsi="Times New Roman" w:cs="Times New Roman"/>
          <w:sz w:val="22"/>
          <w:lang w:val="ro-RO"/>
        </w:rPr>
        <w:t>Sumarul</w:t>
      </w:r>
      <w:r w:rsidR="00C16535" w:rsidRPr="009C5F11">
        <w:rPr>
          <w:rFonts w:ascii="Times New Roman" w:hAnsi="Times New Roman" w:cs="Times New Roman"/>
          <w:sz w:val="22"/>
          <w:lang w:val="ro-RO"/>
        </w:rPr>
        <w:t xml:space="preserve"> </w:t>
      </w:r>
      <w:r w:rsidR="00204033" w:rsidRPr="009C5F11">
        <w:rPr>
          <w:rFonts w:ascii="Times New Roman" w:hAnsi="Times New Roman" w:cs="Times New Roman"/>
          <w:sz w:val="22"/>
          <w:lang w:val="ro-RO"/>
        </w:rPr>
        <w:t>obiective</w:t>
      </w:r>
      <w:r w:rsidR="007A7914" w:rsidRPr="009C5F11">
        <w:rPr>
          <w:rFonts w:ascii="Times New Roman" w:hAnsi="Times New Roman" w:cs="Times New Roman"/>
          <w:sz w:val="22"/>
          <w:lang w:val="ro-RO"/>
        </w:rPr>
        <w:t>lor regiunilor de dezvoltare.</w:t>
      </w:r>
      <w:bookmarkEnd w:id="325"/>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3775"/>
        <w:gridCol w:w="854"/>
        <w:gridCol w:w="939"/>
        <w:gridCol w:w="854"/>
        <w:gridCol w:w="1024"/>
        <w:gridCol w:w="854"/>
        <w:gridCol w:w="943"/>
      </w:tblGrid>
      <w:tr w:rsidR="00BC2ED4" w:rsidRPr="009C5F11" w14:paraId="2D70D594" w14:textId="77777777" w:rsidTr="005C1841">
        <w:trPr>
          <w:jc w:val="center"/>
        </w:trPr>
        <w:tc>
          <w:tcPr>
            <w:tcW w:w="2042" w:type="pct"/>
            <w:shd w:val="clear" w:color="auto" w:fill="000080"/>
          </w:tcPr>
          <w:p w14:paraId="171F25FA" w14:textId="77777777" w:rsidR="00BC2ED4" w:rsidRPr="009C5F11" w:rsidRDefault="00BC2ED4" w:rsidP="00A67DFF">
            <w:pPr>
              <w:tabs>
                <w:tab w:val="left" w:pos="810"/>
              </w:tabs>
              <w:rPr>
                <w:rFonts w:ascii="Times New Roman" w:eastAsia="Calibri" w:hAnsi="Times New Roman" w:cs="Times New Roman"/>
                <w:b/>
                <w:color w:val="FFFFFF"/>
                <w:sz w:val="18"/>
                <w:szCs w:val="14"/>
                <w:lang w:val="ro-RO"/>
              </w:rPr>
            </w:pPr>
            <w:r w:rsidRPr="009C5F11">
              <w:rPr>
                <w:rFonts w:ascii="Times New Roman" w:eastAsia="Calibri" w:hAnsi="Times New Roman" w:cs="Times New Roman"/>
                <w:b/>
                <w:color w:val="FFFFFF"/>
                <w:sz w:val="18"/>
                <w:szCs w:val="14"/>
                <w:lang w:val="ro-RO"/>
              </w:rPr>
              <w:t>Regi</w:t>
            </w:r>
            <w:r w:rsidR="00A67DFF" w:rsidRPr="009C5F11">
              <w:rPr>
                <w:rFonts w:ascii="Times New Roman" w:eastAsia="Calibri" w:hAnsi="Times New Roman" w:cs="Times New Roman"/>
                <w:b/>
                <w:color w:val="FFFFFF"/>
                <w:sz w:val="18"/>
                <w:szCs w:val="14"/>
                <w:lang w:val="ro-RO"/>
              </w:rPr>
              <w:t>unea</w:t>
            </w:r>
          </w:p>
        </w:tc>
        <w:tc>
          <w:tcPr>
            <w:tcW w:w="970" w:type="pct"/>
            <w:gridSpan w:val="2"/>
            <w:shd w:val="clear" w:color="auto" w:fill="000080"/>
          </w:tcPr>
          <w:p w14:paraId="2100B380" w14:textId="77777777" w:rsidR="00BC2ED4" w:rsidRPr="009C5F11" w:rsidRDefault="00BC2ED4" w:rsidP="00D15C6C">
            <w:pPr>
              <w:tabs>
                <w:tab w:val="left" w:pos="810"/>
              </w:tabs>
              <w:rPr>
                <w:rFonts w:ascii="Times New Roman" w:eastAsia="Calibri" w:hAnsi="Times New Roman" w:cs="Times New Roman"/>
                <w:b/>
                <w:color w:val="FFFFFF"/>
                <w:sz w:val="18"/>
                <w:szCs w:val="14"/>
                <w:lang w:val="ro-RO"/>
              </w:rPr>
            </w:pPr>
            <w:r w:rsidRPr="009C5F11">
              <w:rPr>
                <w:rFonts w:ascii="Times New Roman" w:eastAsia="Calibri" w:hAnsi="Times New Roman" w:cs="Times New Roman"/>
                <w:b/>
                <w:color w:val="FFFFFF"/>
                <w:sz w:val="18"/>
                <w:szCs w:val="14"/>
                <w:lang w:val="ro-RO"/>
              </w:rPr>
              <w:t>Centr</w:t>
            </w:r>
            <w:r w:rsidR="00D15C6C" w:rsidRPr="009C5F11">
              <w:rPr>
                <w:rFonts w:ascii="Times New Roman" w:eastAsia="Calibri" w:hAnsi="Times New Roman" w:cs="Times New Roman"/>
                <w:b/>
                <w:color w:val="FFFFFF"/>
                <w:sz w:val="18"/>
                <w:szCs w:val="14"/>
                <w:lang w:val="ro-RO"/>
              </w:rPr>
              <w:t>u</w:t>
            </w:r>
          </w:p>
        </w:tc>
        <w:tc>
          <w:tcPr>
            <w:tcW w:w="1016" w:type="pct"/>
            <w:gridSpan w:val="2"/>
            <w:shd w:val="clear" w:color="auto" w:fill="000080"/>
          </w:tcPr>
          <w:p w14:paraId="32F2FA83" w14:textId="77777777" w:rsidR="00BC2ED4" w:rsidRPr="009C5F11" w:rsidRDefault="004A7A66" w:rsidP="00430626">
            <w:pPr>
              <w:tabs>
                <w:tab w:val="left" w:pos="810"/>
              </w:tabs>
              <w:rPr>
                <w:rFonts w:ascii="Times New Roman" w:eastAsia="Calibri" w:hAnsi="Times New Roman" w:cs="Times New Roman"/>
                <w:b/>
                <w:color w:val="FFFFFF"/>
                <w:sz w:val="18"/>
                <w:szCs w:val="14"/>
                <w:lang w:val="ro-RO"/>
              </w:rPr>
            </w:pPr>
            <w:r w:rsidRPr="009C5F11">
              <w:rPr>
                <w:rFonts w:ascii="Times New Roman" w:eastAsia="Calibri" w:hAnsi="Times New Roman" w:cs="Times New Roman"/>
                <w:b/>
                <w:color w:val="FFFFFF"/>
                <w:sz w:val="18"/>
                <w:szCs w:val="14"/>
                <w:lang w:val="ro-RO"/>
              </w:rPr>
              <w:t>Nord</w:t>
            </w:r>
          </w:p>
        </w:tc>
        <w:tc>
          <w:tcPr>
            <w:tcW w:w="972" w:type="pct"/>
            <w:gridSpan w:val="2"/>
            <w:shd w:val="clear" w:color="auto" w:fill="000080"/>
          </w:tcPr>
          <w:p w14:paraId="2E81323B" w14:textId="77777777" w:rsidR="00BC2ED4" w:rsidRPr="009C5F11" w:rsidRDefault="00D15C6C" w:rsidP="00430626">
            <w:pPr>
              <w:tabs>
                <w:tab w:val="left" w:pos="810"/>
              </w:tabs>
              <w:rPr>
                <w:rFonts w:ascii="Times New Roman" w:eastAsia="Calibri" w:hAnsi="Times New Roman" w:cs="Times New Roman"/>
                <w:b/>
                <w:color w:val="FFFFFF"/>
                <w:sz w:val="18"/>
                <w:szCs w:val="14"/>
                <w:lang w:val="ro-RO"/>
              </w:rPr>
            </w:pPr>
            <w:r w:rsidRPr="009C5F11">
              <w:rPr>
                <w:rFonts w:ascii="Times New Roman" w:eastAsia="Calibri" w:hAnsi="Times New Roman" w:cs="Times New Roman"/>
                <w:b/>
                <w:color w:val="FFFFFF"/>
                <w:sz w:val="18"/>
                <w:szCs w:val="14"/>
                <w:lang w:val="ro-RO"/>
              </w:rPr>
              <w:t>Sud</w:t>
            </w:r>
          </w:p>
        </w:tc>
      </w:tr>
      <w:tr w:rsidR="00BC2ED4" w:rsidRPr="009C5F11" w14:paraId="21167FFF" w14:textId="77777777" w:rsidTr="005C1841">
        <w:trPr>
          <w:jc w:val="center"/>
        </w:trPr>
        <w:tc>
          <w:tcPr>
            <w:tcW w:w="2042" w:type="pct"/>
            <w:shd w:val="clear" w:color="auto" w:fill="auto"/>
          </w:tcPr>
          <w:p w14:paraId="5CBE67EE" w14:textId="77777777" w:rsidR="00BC2ED4" w:rsidRPr="009C5F11" w:rsidRDefault="00CB649D" w:rsidP="001738FD">
            <w:pPr>
              <w:tabs>
                <w:tab w:val="left" w:pos="810"/>
              </w:tabs>
              <w:spacing w:after="0" w:line="360" w:lineRule="auto"/>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Parcul imobiliar</w:t>
            </w:r>
            <w:r w:rsidR="00A67DFF" w:rsidRPr="009C5F11">
              <w:rPr>
                <w:rFonts w:ascii="Times New Roman" w:eastAsia="Calibri" w:hAnsi="Times New Roman" w:cs="Times New Roman"/>
                <w:sz w:val="18"/>
                <w:szCs w:val="14"/>
                <w:lang w:val="ro-RO"/>
              </w:rPr>
              <w:t xml:space="preserve"> (</w:t>
            </w:r>
            <w:r w:rsidR="004A2281" w:rsidRPr="009C5F11">
              <w:rPr>
                <w:rFonts w:ascii="Times New Roman" w:eastAsia="Calibri" w:hAnsi="Times New Roman" w:cs="Times New Roman"/>
                <w:sz w:val="18"/>
                <w:szCs w:val="14"/>
                <w:lang w:val="ro-RO"/>
              </w:rPr>
              <w:t>clădiri</w:t>
            </w:r>
            <w:r w:rsidRPr="009C5F11">
              <w:rPr>
                <w:rFonts w:ascii="Times New Roman" w:eastAsia="Calibri" w:hAnsi="Times New Roman" w:cs="Times New Roman"/>
                <w:sz w:val="18"/>
                <w:szCs w:val="14"/>
                <w:lang w:val="ro-RO"/>
              </w:rPr>
              <w:t xml:space="preserve"> publice</w:t>
            </w:r>
            <w:r w:rsidR="00A67DFF" w:rsidRPr="009C5F11">
              <w:rPr>
                <w:rFonts w:ascii="Times New Roman" w:eastAsia="Calibri" w:hAnsi="Times New Roman" w:cs="Times New Roman"/>
                <w:sz w:val="18"/>
                <w:szCs w:val="14"/>
                <w:lang w:val="ro-RO"/>
              </w:rPr>
              <w:t>)</w:t>
            </w:r>
            <w:r w:rsidR="00321CD5" w:rsidRPr="009C5F11">
              <w:rPr>
                <w:rFonts w:ascii="Times New Roman" w:eastAsia="Calibri" w:hAnsi="Times New Roman" w:cs="Times New Roman"/>
                <w:sz w:val="18"/>
                <w:szCs w:val="14"/>
                <w:lang w:val="ro-RO"/>
              </w:rPr>
              <w:t xml:space="preserve"> în </w:t>
            </w:r>
            <w:r w:rsidR="001738FD" w:rsidRPr="009C5F11">
              <w:rPr>
                <w:rFonts w:ascii="Times New Roman" w:eastAsia="Calibri" w:hAnsi="Times New Roman" w:cs="Times New Roman"/>
                <w:sz w:val="18"/>
                <w:szCs w:val="14"/>
                <w:lang w:val="ro-RO"/>
              </w:rPr>
              <w:t xml:space="preserve">anul de referinţă </w:t>
            </w:r>
            <w:r w:rsidR="00BC2ED4" w:rsidRPr="009C5F11">
              <w:rPr>
                <w:rFonts w:ascii="Times New Roman" w:eastAsia="Calibri" w:hAnsi="Times New Roman" w:cs="Times New Roman"/>
                <w:sz w:val="18"/>
                <w:szCs w:val="14"/>
                <w:lang w:val="ro-RO"/>
              </w:rPr>
              <w:t>2009</w:t>
            </w:r>
            <w:r w:rsidR="00A67DFF" w:rsidRPr="009C5F11">
              <w:rPr>
                <w:rFonts w:ascii="Times New Roman" w:eastAsia="Calibri" w:hAnsi="Times New Roman" w:cs="Times New Roman"/>
                <w:sz w:val="18"/>
                <w:szCs w:val="14"/>
                <w:lang w:val="ro-RO"/>
              </w:rPr>
              <w:t>,</w:t>
            </w:r>
            <w:r w:rsidR="00321CD5" w:rsidRPr="009C5F11">
              <w:rPr>
                <w:rFonts w:ascii="Times New Roman" w:eastAsia="Calibri" w:hAnsi="Times New Roman" w:cs="Times New Roman"/>
                <w:sz w:val="18"/>
                <w:szCs w:val="14"/>
                <w:lang w:val="ro-RO"/>
              </w:rPr>
              <w:t xml:space="preserve"> în </w:t>
            </w:r>
            <w:r w:rsidR="00BC2ED4" w:rsidRPr="009C5F11">
              <w:rPr>
                <w:rFonts w:ascii="Times New Roman" w:eastAsia="Calibri" w:hAnsi="Times New Roman" w:cs="Times New Roman"/>
                <w:sz w:val="18"/>
                <w:szCs w:val="14"/>
                <w:lang w:val="ro-RO"/>
              </w:rPr>
              <w:t>m²</w:t>
            </w:r>
          </w:p>
        </w:tc>
        <w:tc>
          <w:tcPr>
            <w:tcW w:w="970" w:type="pct"/>
            <w:gridSpan w:val="2"/>
            <w:shd w:val="clear" w:color="auto" w:fill="auto"/>
          </w:tcPr>
          <w:p w14:paraId="0FA5F526" w14:textId="77777777" w:rsidR="00BC2ED4" w:rsidRPr="009C5F11" w:rsidRDefault="00BC2ED4" w:rsidP="00430626">
            <w:pPr>
              <w:tabs>
                <w:tab w:val="left" w:pos="810"/>
              </w:tabs>
              <w:spacing w:after="0" w:line="360" w:lineRule="auto"/>
              <w:jc w:val="right"/>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1,744,518</w:t>
            </w:r>
          </w:p>
        </w:tc>
        <w:tc>
          <w:tcPr>
            <w:tcW w:w="1016" w:type="pct"/>
            <w:gridSpan w:val="2"/>
            <w:shd w:val="clear" w:color="auto" w:fill="auto"/>
          </w:tcPr>
          <w:p w14:paraId="6CBA648E" w14:textId="77777777" w:rsidR="00BC2ED4" w:rsidRPr="009C5F11" w:rsidRDefault="00BC2ED4" w:rsidP="00430626">
            <w:pPr>
              <w:tabs>
                <w:tab w:val="left" w:pos="810"/>
              </w:tabs>
              <w:spacing w:after="0" w:line="360" w:lineRule="auto"/>
              <w:jc w:val="right"/>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1,609,416</w:t>
            </w:r>
          </w:p>
        </w:tc>
        <w:tc>
          <w:tcPr>
            <w:tcW w:w="972" w:type="pct"/>
            <w:gridSpan w:val="2"/>
            <w:shd w:val="clear" w:color="auto" w:fill="auto"/>
          </w:tcPr>
          <w:p w14:paraId="45B08CCD" w14:textId="77777777" w:rsidR="00BC2ED4" w:rsidRPr="009C5F11" w:rsidRDefault="00BC2ED4" w:rsidP="00430626">
            <w:pPr>
              <w:tabs>
                <w:tab w:val="left" w:pos="810"/>
              </w:tabs>
              <w:spacing w:after="0" w:line="360" w:lineRule="auto"/>
              <w:jc w:val="right"/>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934,972</w:t>
            </w:r>
          </w:p>
        </w:tc>
      </w:tr>
      <w:tr w:rsidR="00BC2ED4" w:rsidRPr="009C5F11" w14:paraId="72197FAB" w14:textId="77777777" w:rsidTr="005C1841">
        <w:trPr>
          <w:jc w:val="center"/>
        </w:trPr>
        <w:tc>
          <w:tcPr>
            <w:tcW w:w="2042" w:type="pct"/>
            <w:shd w:val="clear" w:color="auto" w:fill="auto"/>
          </w:tcPr>
          <w:p w14:paraId="77392636" w14:textId="77777777" w:rsidR="00BC2ED4" w:rsidRPr="009C5F11" w:rsidRDefault="00CB649D" w:rsidP="00430626">
            <w:pPr>
              <w:tabs>
                <w:tab w:val="left" w:pos="810"/>
              </w:tabs>
              <w:spacing w:after="0" w:line="360" w:lineRule="auto"/>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Calendar</w:t>
            </w:r>
          </w:p>
        </w:tc>
        <w:tc>
          <w:tcPr>
            <w:tcW w:w="462" w:type="pct"/>
            <w:shd w:val="clear" w:color="auto" w:fill="DBE5F1"/>
          </w:tcPr>
          <w:p w14:paraId="667BD7E1"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2016</w:t>
            </w:r>
          </w:p>
        </w:tc>
        <w:tc>
          <w:tcPr>
            <w:tcW w:w="508" w:type="pct"/>
            <w:shd w:val="clear" w:color="auto" w:fill="DBE5F1"/>
          </w:tcPr>
          <w:p w14:paraId="3815D317"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2020</w:t>
            </w:r>
          </w:p>
        </w:tc>
        <w:tc>
          <w:tcPr>
            <w:tcW w:w="462" w:type="pct"/>
            <w:shd w:val="clear" w:color="auto" w:fill="DBE5F1"/>
          </w:tcPr>
          <w:p w14:paraId="384FF8F7"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2016</w:t>
            </w:r>
          </w:p>
        </w:tc>
        <w:tc>
          <w:tcPr>
            <w:tcW w:w="554" w:type="pct"/>
            <w:shd w:val="clear" w:color="auto" w:fill="DBE5F1"/>
          </w:tcPr>
          <w:p w14:paraId="6F0EECE0"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2020</w:t>
            </w:r>
          </w:p>
        </w:tc>
        <w:tc>
          <w:tcPr>
            <w:tcW w:w="462" w:type="pct"/>
            <w:shd w:val="clear" w:color="auto" w:fill="DBE5F1"/>
          </w:tcPr>
          <w:p w14:paraId="2AA242B7"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2016</w:t>
            </w:r>
          </w:p>
        </w:tc>
        <w:tc>
          <w:tcPr>
            <w:tcW w:w="510" w:type="pct"/>
            <w:shd w:val="clear" w:color="auto" w:fill="DBE5F1"/>
          </w:tcPr>
          <w:p w14:paraId="2DE62B57"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2020</w:t>
            </w:r>
          </w:p>
        </w:tc>
      </w:tr>
      <w:tr w:rsidR="00BC2ED4" w:rsidRPr="009C5F11" w14:paraId="536F87C1" w14:textId="77777777" w:rsidTr="005C1841">
        <w:trPr>
          <w:jc w:val="center"/>
        </w:trPr>
        <w:tc>
          <w:tcPr>
            <w:tcW w:w="2042" w:type="pct"/>
            <w:shd w:val="clear" w:color="auto" w:fill="auto"/>
          </w:tcPr>
          <w:p w14:paraId="5743C5DF" w14:textId="77777777" w:rsidR="00BC2ED4" w:rsidRPr="009C5F11" w:rsidRDefault="00CB649D" w:rsidP="00CB649D">
            <w:pPr>
              <w:tabs>
                <w:tab w:val="left" w:pos="810"/>
              </w:tabs>
              <w:spacing w:after="0" w:line="360" w:lineRule="auto"/>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Rata de r</w:t>
            </w:r>
            <w:r w:rsidR="00E54D88" w:rsidRPr="009C5F11">
              <w:rPr>
                <w:rFonts w:ascii="Times New Roman" w:eastAsia="Calibri" w:hAnsi="Times New Roman" w:cs="Times New Roman"/>
                <w:sz w:val="18"/>
                <w:szCs w:val="14"/>
                <w:lang w:val="ro-RO"/>
              </w:rPr>
              <w:t>enovare</w:t>
            </w:r>
            <w:r w:rsidRPr="009C5F11">
              <w:rPr>
                <w:rFonts w:ascii="Times New Roman" w:eastAsia="Calibri" w:hAnsi="Times New Roman" w:cs="Times New Roman"/>
                <w:sz w:val="18"/>
                <w:szCs w:val="14"/>
                <w:lang w:val="ro-RO"/>
              </w:rPr>
              <w:t xml:space="preserve">, </w:t>
            </w:r>
            <w:r w:rsidR="00321CD5" w:rsidRPr="009C5F11">
              <w:rPr>
                <w:rFonts w:ascii="Times New Roman" w:eastAsia="Calibri" w:hAnsi="Times New Roman" w:cs="Times New Roman"/>
                <w:sz w:val="18"/>
                <w:szCs w:val="14"/>
                <w:lang w:val="ro-RO"/>
              </w:rPr>
              <w:t xml:space="preserve">în </w:t>
            </w:r>
            <w:r w:rsidR="00BC2ED4" w:rsidRPr="009C5F11">
              <w:rPr>
                <w:rFonts w:ascii="Times New Roman" w:eastAsia="Calibri" w:hAnsi="Times New Roman" w:cs="Times New Roman"/>
                <w:sz w:val="18"/>
                <w:szCs w:val="14"/>
                <w:lang w:val="ro-RO"/>
              </w:rPr>
              <w:t>%</w:t>
            </w:r>
          </w:p>
        </w:tc>
        <w:tc>
          <w:tcPr>
            <w:tcW w:w="462" w:type="pct"/>
            <w:shd w:val="clear" w:color="auto" w:fill="auto"/>
          </w:tcPr>
          <w:p w14:paraId="5E0AD480"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4%</w:t>
            </w:r>
          </w:p>
        </w:tc>
        <w:tc>
          <w:tcPr>
            <w:tcW w:w="508" w:type="pct"/>
            <w:shd w:val="clear" w:color="auto" w:fill="auto"/>
          </w:tcPr>
          <w:p w14:paraId="60872031"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10%</w:t>
            </w:r>
          </w:p>
        </w:tc>
        <w:tc>
          <w:tcPr>
            <w:tcW w:w="462" w:type="pct"/>
            <w:shd w:val="clear" w:color="auto" w:fill="auto"/>
          </w:tcPr>
          <w:p w14:paraId="3AEAF502"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4%</w:t>
            </w:r>
          </w:p>
        </w:tc>
        <w:tc>
          <w:tcPr>
            <w:tcW w:w="554" w:type="pct"/>
            <w:shd w:val="clear" w:color="auto" w:fill="auto"/>
          </w:tcPr>
          <w:p w14:paraId="62C61535"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10%</w:t>
            </w:r>
          </w:p>
        </w:tc>
        <w:tc>
          <w:tcPr>
            <w:tcW w:w="462" w:type="pct"/>
            <w:shd w:val="clear" w:color="auto" w:fill="auto"/>
          </w:tcPr>
          <w:p w14:paraId="64287708"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4%</w:t>
            </w:r>
          </w:p>
        </w:tc>
        <w:tc>
          <w:tcPr>
            <w:tcW w:w="510" w:type="pct"/>
            <w:shd w:val="clear" w:color="auto" w:fill="auto"/>
          </w:tcPr>
          <w:p w14:paraId="7F6B5381"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10%</w:t>
            </w:r>
          </w:p>
        </w:tc>
      </w:tr>
      <w:tr w:rsidR="00BC2ED4" w:rsidRPr="009C5F11" w14:paraId="5D375E50" w14:textId="77777777" w:rsidTr="005C1841">
        <w:trPr>
          <w:jc w:val="center"/>
        </w:trPr>
        <w:tc>
          <w:tcPr>
            <w:tcW w:w="2042" w:type="pct"/>
            <w:shd w:val="clear" w:color="auto" w:fill="auto"/>
          </w:tcPr>
          <w:p w14:paraId="78B7D5BF" w14:textId="77777777" w:rsidR="00BC2ED4" w:rsidRPr="009C5F11" w:rsidRDefault="00CB649D" w:rsidP="00CB649D">
            <w:pPr>
              <w:tabs>
                <w:tab w:val="left" w:pos="810"/>
              </w:tabs>
              <w:spacing w:after="0" w:line="360" w:lineRule="auto"/>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 xml:space="preserve">Suprafaţa renovata, </w:t>
            </w:r>
            <w:r w:rsidR="00321CD5" w:rsidRPr="009C5F11">
              <w:rPr>
                <w:rFonts w:ascii="Times New Roman" w:eastAsia="Calibri" w:hAnsi="Times New Roman" w:cs="Times New Roman"/>
                <w:sz w:val="18"/>
                <w:szCs w:val="14"/>
                <w:lang w:val="ro-RO"/>
              </w:rPr>
              <w:t xml:space="preserve">în </w:t>
            </w:r>
            <w:r w:rsidR="00BC2ED4" w:rsidRPr="009C5F11">
              <w:rPr>
                <w:rFonts w:ascii="Times New Roman" w:eastAsia="Calibri" w:hAnsi="Times New Roman" w:cs="Times New Roman"/>
                <w:sz w:val="18"/>
                <w:szCs w:val="14"/>
                <w:lang w:val="ro-RO"/>
              </w:rPr>
              <w:t>m²</w:t>
            </w:r>
          </w:p>
        </w:tc>
        <w:tc>
          <w:tcPr>
            <w:tcW w:w="462" w:type="pct"/>
            <w:shd w:val="clear" w:color="auto" w:fill="auto"/>
          </w:tcPr>
          <w:p w14:paraId="3F8FEA09"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69,780</w:t>
            </w:r>
          </w:p>
        </w:tc>
        <w:tc>
          <w:tcPr>
            <w:tcW w:w="508" w:type="pct"/>
            <w:shd w:val="clear" w:color="auto" w:fill="auto"/>
          </w:tcPr>
          <w:p w14:paraId="0F12399C"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174,452</w:t>
            </w:r>
          </w:p>
        </w:tc>
        <w:tc>
          <w:tcPr>
            <w:tcW w:w="462" w:type="pct"/>
            <w:shd w:val="clear" w:color="auto" w:fill="auto"/>
          </w:tcPr>
          <w:p w14:paraId="4938BD15"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64,377</w:t>
            </w:r>
          </w:p>
        </w:tc>
        <w:tc>
          <w:tcPr>
            <w:tcW w:w="554" w:type="pct"/>
            <w:shd w:val="clear" w:color="auto" w:fill="auto"/>
          </w:tcPr>
          <w:p w14:paraId="20BABD4D"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160,941</w:t>
            </w:r>
          </w:p>
        </w:tc>
        <w:tc>
          <w:tcPr>
            <w:tcW w:w="462" w:type="pct"/>
            <w:shd w:val="clear" w:color="auto" w:fill="auto"/>
          </w:tcPr>
          <w:p w14:paraId="36FCF150"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37,398</w:t>
            </w:r>
          </w:p>
        </w:tc>
        <w:tc>
          <w:tcPr>
            <w:tcW w:w="510" w:type="pct"/>
            <w:shd w:val="clear" w:color="auto" w:fill="auto"/>
          </w:tcPr>
          <w:p w14:paraId="20C268B3"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93,497</w:t>
            </w:r>
          </w:p>
        </w:tc>
      </w:tr>
      <w:tr w:rsidR="00BC2ED4" w:rsidRPr="009C5F11" w14:paraId="367A62E5" w14:textId="77777777" w:rsidTr="005C1841">
        <w:trPr>
          <w:jc w:val="center"/>
        </w:trPr>
        <w:tc>
          <w:tcPr>
            <w:tcW w:w="2042" w:type="pct"/>
            <w:shd w:val="clear" w:color="auto" w:fill="auto"/>
          </w:tcPr>
          <w:p w14:paraId="302A0140" w14:textId="77777777" w:rsidR="00BC2ED4" w:rsidRPr="009C5F11" w:rsidRDefault="00CB649D" w:rsidP="00430626">
            <w:pPr>
              <w:tabs>
                <w:tab w:val="left" w:pos="810"/>
              </w:tabs>
              <w:spacing w:after="0" w:line="360" w:lineRule="auto"/>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Economii anuale estimate de energie,</w:t>
            </w:r>
            <w:r w:rsidR="00321CD5" w:rsidRPr="009C5F11">
              <w:rPr>
                <w:rFonts w:ascii="Times New Roman" w:eastAsia="Calibri" w:hAnsi="Times New Roman" w:cs="Times New Roman"/>
                <w:sz w:val="18"/>
                <w:szCs w:val="14"/>
                <w:lang w:val="ro-RO"/>
              </w:rPr>
              <w:t xml:space="preserve"> în </w:t>
            </w:r>
            <w:r w:rsidR="00BC2ED4" w:rsidRPr="009C5F11">
              <w:rPr>
                <w:rFonts w:ascii="Times New Roman" w:eastAsia="Calibri" w:hAnsi="Times New Roman" w:cs="Times New Roman"/>
                <w:sz w:val="18"/>
                <w:szCs w:val="14"/>
                <w:lang w:val="ro-RO"/>
              </w:rPr>
              <w:t>MWh</w:t>
            </w:r>
          </w:p>
        </w:tc>
        <w:tc>
          <w:tcPr>
            <w:tcW w:w="462" w:type="pct"/>
            <w:shd w:val="clear" w:color="auto" w:fill="auto"/>
          </w:tcPr>
          <w:p w14:paraId="567EB416"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11,025</w:t>
            </w:r>
          </w:p>
        </w:tc>
        <w:tc>
          <w:tcPr>
            <w:tcW w:w="508" w:type="pct"/>
            <w:shd w:val="clear" w:color="auto" w:fill="auto"/>
          </w:tcPr>
          <w:p w14:paraId="55CFA6E7"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27,563</w:t>
            </w:r>
          </w:p>
        </w:tc>
        <w:tc>
          <w:tcPr>
            <w:tcW w:w="462" w:type="pct"/>
            <w:shd w:val="clear" w:color="auto" w:fill="auto"/>
          </w:tcPr>
          <w:p w14:paraId="1A42CFE0"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10,171</w:t>
            </w:r>
          </w:p>
        </w:tc>
        <w:tc>
          <w:tcPr>
            <w:tcW w:w="554" w:type="pct"/>
            <w:shd w:val="clear" w:color="auto" w:fill="auto"/>
          </w:tcPr>
          <w:p w14:paraId="102D83B1"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25,429</w:t>
            </w:r>
          </w:p>
        </w:tc>
        <w:tc>
          <w:tcPr>
            <w:tcW w:w="462" w:type="pct"/>
            <w:shd w:val="clear" w:color="auto" w:fill="auto"/>
          </w:tcPr>
          <w:p w14:paraId="3D21E36F"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5,909</w:t>
            </w:r>
          </w:p>
        </w:tc>
        <w:tc>
          <w:tcPr>
            <w:tcW w:w="510" w:type="pct"/>
            <w:shd w:val="clear" w:color="auto" w:fill="auto"/>
          </w:tcPr>
          <w:p w14:paraId="581EF3C3" w14:textId="77777777" w:rsidR="00BC2ED4" w:rsidRPr="009C5F11" w:rsidRDefault="00BC2ED4" w:rsidP="00430626">
            <w:pPr>
              <w:tabs>
                <w:tab w:val="left" w:pos="810"/>
              </w:tabs>
              <w:spacing w:after="0" w:line="360" w:lineRule="auto"/>
              <w:jc w:val="cente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14,773</w:t>
            </w:r>
          </w:p>
        </w:tc>
      </w:tr>
      <w:tr w:rsidR="00BC2ED4" w:rsidRPr="009C5F11" w14:paraId="60C863FC" w14:textId="77777777" w:rsidTr="005C1841">
        <w:trPr>
          <w:jc w:val="center"/>
        </w:trPr>
        <w:tc>
          <w:tcPr>
            <w:tcW w:w="2042" w:type="pct"/>
            <w:shd w:val="clear" w:color="auto" w:fill="auto"/>
          </w:tcPr>
          <w:p w14:paraId="1030C9FB" w14:textId="77777777" w:rsidR="00BC2ED4" w:rsidRPr="009C5F11" w:rsidRDefault="00BC2ED4" w:rsidP="00430626">
            <w:pPr>
              <w:tabs>
                <w:tab w:val="left" w:pos="810"/>
              </w:tabs>
              <w:spacing w:after="0" w:line="360" w:lineRule="auto"/>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Total</w:t>
            </w:r>
          </w:p>
        </w:tc>
        <w:tc>
          <w:tcPr>
            <w:tcW w:w="462" w:type="pct"/>
            <w:shd w:val="clear" w:color="auto" w:fill="auto"/>
          </w:tcPr>
          <w:p w14:paraId="3AC14D0B"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508" w:type="pct"/>
            <w:shd w:val="clear" w:color="auto" w:fill="auto"/>
          </w:tcPr>
          <w:p w14:paraId="24B574F1"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462" w:type="pct"/>
            <w:shd w:val="clear" w:color="auto" w:fill="auto"/>
          </w:tcPr>
          <w:p w14:paraId="60540223"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554" w:type="pct"/>
            <w:shd w:val="clear" w:color="auto" w:fill="auto"/>
          </w:tcPr>
          <w:p w14:paraId="11E2E896"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462" w:type="pct"/>
            <w:shd w:val="clear" w:color="auto" w:fill="auto"/>
          </w:tcPr>
          <w:p w14:paraId="49017D3C"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510" w:type="pct"/>
            <w:shd w:val="clear" w:color="auto" w:fill="auto"/>
          </w:tcPr>
          <w:p w14:paraId="592E5038"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r>
      <w:tr w:rsidR="00BC2ED4" w:rsidRPr="009C5F11" w14:paraId="51D0F54D" w14:textId="77777777" w:rsidTr="005C1841">
        <w:trPr>
          <w:jc w:val="center"/>
        </w:trPr>
        <w:tc>
          <w:tcPr>
            <w:tcW w:w="2042" w:type="pct"/>
            <w:shd w:val="clear" w:color="auto" w:fill="auto"/>
          </w:tcPr>
          <w:p w14:paraId="02B0AD1E" w14:textId="77777777" w:rsidR="00BC2ED4" w:rsidRPr="009C5F11" w:rsidRDefault="00CB649D" w:rsidP="00430626">
            <w:pPr>
              <w:tabs>
                <w:tab w:val="left" w:pos="810"/>
              </w:tabs>
              <w:spacing w:after="0" w:line="360" w:lineRule="auto"/>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Economii anuale estimate de energie</w:t>
            </w:r>
            <w:r w:rsidR="00321CD5" w:rsidRPr="009C5F11">
              <w:rPr>
                <w:rFonts w:ascii="Times New Roman" w:eastAsia="Calibri" w:hAnsi="Times New Roman" w:cs="Times New Roman"/>
                <w:b/>
                <w:sz w:val="18"/>
                <w:szCs w:val="14"/>
                <w:lang w:val="ro-RO"/>
              </w:rPr>
              <w:t xml:space="preserve"> în </w:t>
            </w:r>
            <w:r w:rsidR="00BC2ED4" w:rsidRPr="009C5F11">
              <w:rPr>
                <w:rFonts w:ascii="Times New Roman" w:eastAsia="Calibri" w:hAnsi="Times New Roman" w:cs="Times New Roman"/>
                <w:b/>
                <w:sz w:val="18"/>
                <w:szCs w:val="14"/>
                <w:lang w:val="ro-RO"/>
              </w:rPr>
              <w:t>MWh</w:t>
            </w:r>
          </w:p>
        </w:tc>
        <w:tc>
          <w:tcPr>
            <w:tcW w:w="462" w:type="pct"/>
            <w:shd w:val="clear" w:color="auto" w:fill="auto"/>
          </w:tcPr>
          <w:p w14:paraId="4EEE00F5"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27,105</w:t>
            </w:r>
          </w:p>
        </w:tc>
        <w:tc>
          <w:tcPr>
            <w:tcW w:w="508" w:type="pct"/>
            <w:shd w:val="clear" w:color="auto" w:fill="auto"/>
          </w:tcPr>
          <w:p w14:paraId="1BA7A587"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67,765</w:t>
            </w:r>
          </w:p>
        </w:tc>
        <w:tc>
          <w:tcPr>
            <w:tcW w:w="462" w:type="pct"/>
            <w:shd w:val="clear" w:color="auto" w:fill="auto"/>
          </w:tcPr>
          <w:p w14:paraId="0985F374"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554" w:type="pct"/>
            <w:shd w:val="clear" w:color="auto" w:fill="auto"/>
          </w:tcPr>
          <w:p w14:paraId="72D96096"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462" w:type="pct"/>
            <w:shd w:val="clear" w:color="auto" w:fill="auto"/>
          </w:tcPr>
          <w:p w14:paraId="185B4438"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510" w:type="pct"/>
            <w:shd w:val="clear" w:color="auto" w:fill="auto"/>
          </w:tcPr>
          <w:p w14:paraId="0054D736"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r>
      <w:tr w:rsidR="00BC2ED4" w:rsidRPr="009C5F11" w14:paraId="1A687A07" w14:textId="77777777" w:rsidTr="005C1841">
        <w:trPr>
          <w:jc w:val="center"/>
        </w:trPr>
        <w:tc>
          <w:tcPr>
            <w:tcW w:w="2042" w:type="pct"/>
            <w:shd w:val="clear" w:color="auto" w:fill="auto"/>
          </w:tcPr>
          <w:p w14:paraId="585F7E23" w14:textId="77777777" w:rsidR="00BC2ED4" w:rsidRPr="009C5F11" w:rsidRDefault="00CB649D" w:rsidP="00430626">
            <w:pPr>
              <w:tabs>
                <w:tab w:val="left" w:pos="810"/>
              </w:tabs>
              <w:spacing w:after="0" w:line="360" w:lineRule="auto"/>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Economii anuale estimate de energie</w:t>
            </w:r>
            <w:r w:rsidR="00321CD5" w:rsidRPr="009C5F11">
              <w:rPr>
                <w:rFonts w:ascii="Times New Roman" w:eastAsia="Calibri" w:hAnsi="Times New Roman" w:cs="Times New Roman"/>
                <w:b/>
                <w:sz w:val="18"/>
                <w:szCs w:val="14"/>
                <w:lang w:val="ro-RO"/>
              </w:rPr>
              <w:t xml:space="preserve"> în </w:t>
            </w:r>
            <w:r w:rsidR="00E52940" w:rsidRPr="009C5F11">
              <w:rPr>
                <w:rFonts w:ascii="Times New Roman" w:eastAsia="Calibri" w:hAnsi="Times New Roman" w:cs="Times New Roman"/>
                <w:b/>
                <w:sz w:val="18"/>
                <w:szCs w:val="14"/>
                <w:lang w:val="ro-RO"/>
              </w:rPr>
              <w:t>ktep</w:t>
            </w:r>
          </w:p>
        </w:tc>
        <w:tc>
          <w:tcPr>
            <w:tcW w:w="462" w:type="pct"/>
            <w:shd w:val="clear" w:color="auto" w:fill="auto"/>
          </w:tcPr>
          <w:p w14:paraId="6276F3E8"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2.33</w:t>
            </w:r>
          </w:p>
        </w:tc>
        <w:tc>
          <w:tcPr>
            <w:tcW w:w="508" w:type="pct"/>
            <w:shd w:val="clear" w:color="auto" w:fill="auto"/>
          </w:tcPr>
          <w:p w14:paraId="0877FA67"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r w:rsidRPr="009C5F11">
              <w:rPr>
                <w:rFonts w:ascii="Times New Roman" w:eastAsia="Calibri" w:hAnsi="Times New Roman" w:cs="Times New Roman"/>
                <w:b/>
                <w:sz w:val="18"/>
                <w:szCs w:val="14"/>
                <w:lang w:val="ro-RO"/>
              </w:rPr>
              <w:t>5.83</w:t>
            </w:r>
          </w:p>
        </w:tc>
        <w:tc>
          <w:tcPr>
            <w:tcW w:w="462" w:type="pct"/>
            <w:shd w:val="clear" w:color="auto" w:fill="auto"/>
          </w:tcPr>
          <w:p w14:paraId="7DCE0334"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554" w:type="pct"/>
            <w:shd w:val="clear" w:color="auto" w:fill="auto"/>
          </w:tcPr>
          <w:p w14:paraId="635DCE29"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462" w:type="pct"/>
            <w:shd w:val="clear" w:color="auto" w:fill="auto"/>
          </w:tcPr>
          <w:p w14:paraId="20BAE6DE"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c>
          <w:tcPr>
            <w:tcW w:w="510" w:type="pct"/>
            <w:shd w:val="clear" w:color="auto" w:fill="auto"/>
          </w:tcPr>
          <w:p w14:paraId="3D37A2AC" w14:textId="77777777" w:rsidR="00BC2ED4" w:rsidRPr="009C5F11" w:rsidRDefault="00BC2ED4" w:rsidP="00430626">
            <w:pPr>
              <w:tabs>
                <w:tab w:val="left" w:pos="810"/>
              </w:tabs>
              <w:spacing w:after="0" w:line="360" w:lineRule="auto"/>
              <w:jc w:val="center"/>
              <w:rPr>
                <w:rFonts w:ascii="Times New Roman" w:eastAsia="Calibri" w:hAnsi="Times New Roman" w:cs="Times New Roman"/>
                <w:b/>
                <w:sz w:val="18"/>
                <w:szCs w:val="14"/>
                <w:lang w:val="ro-RO"/>
              </w:rPr>
            </w:pPr>
          </w:p>
        </w:tc>
      </w:tr>
    </w:tbl>
    <w:p w14:paraId="351E1458" w14:textId="77777777" w:rsidR="007C4DB0" w:rsidRPr="009C5F11" w:rsidRDefault="007C4DB0" w:rsidP="00092ADE">
      <w:pPr>
        <w:rPr>
          <w:rFonts w:ascii="Times New Roman" w:hAnsi="Times New Roman" w:cs="Times New Roman"/>
          <w:sz w:val="24"/>
          <w:lang w:val="ro-RO"/>
        </w:rPr>
      </w:pPr>
    </w:p>
    <w:p w14:paraId="5DFF377A" w14:textId="77777777" w:rsidR="005C1841" w:rsidRPr="009C5F11" w:rsidRDefault="005C1841" w:rsidP="005C1841">
      <w:pPr>
        <w:rPr>
          <w:rFonts w:ascii="Times New Roman" w:hAnsi="Times New Roman" w:cs="Times New Roman"/>
          <w:sz w:val="24"/>
          <w:lang w:val="ro-RO"/>
        </w:rPr>
        <w:sectPr w:rsidR="005C1841" w:rsidRPr="009C5F11" w:rsidSect="00430626">
          <w:pgSz w:w="11907" w:h="16840" w:code="9"/>
          <w:pgMar w:top="1440" w:right="1440" w:bottom="1440" w:left="1440" w:header="720" w:footer="720" w:gutter="0"/>
          <w:cols w:space="720"/>
          <w:docGrid w:linePitch="360"/>
        </w:sectPr>
      </w:pPr>
    </w:p>
    <w:p w14:paraId="2300366A" w14:textId="77777777" w:rsidR="00BC2ED4" w:rsidRPr="00D9464A" w:rsidRDefault="004A2281" w:rsidP="001C58A9">
      <w:pPr>
        <w:pStyle w:val="Titlu3"/>
        <w:rPr>
          <w:rFonts w:ascii="Times New Roman" w:hAnsi="Times New Roman" w:cs="Times New Roman"/>
          <w:b/>
          <w:color w:val="000000" w:themeColor="text1"/>
          <w:sz w:val="28"/>
          <w:lang w:val="ro-RO"/>
        </w:rPr>
      </w:pPr>
      <w:bookmarkStart w:id="326" w:name="_Toc319555433"/>
      <w:bookmarkStart w:id="327" w:name="_Toc322013193"/>
      <w:r w:rsidRPr="00D9464A">
        <w:rPr>
          <w:rFonts w:ascii="Times New Roman" w:hAnsi="Times New Roman" w:cs="Times New Roman"/>
          <w:b/>
          <w:color w:val="000000" w:themeColor="text1"/>
          <w:sz w:val="28"/>
          <w:lang w:val="ro-RO"/>
        </w:rPr>
        <w:lastRenderedPageBreak/>
        <w:t xml:space="preserve">Măsuri întreprinse sau planificate pentru a încuraja organismele publice şi organismele de drept public care gestionează locuinţele sociale să adopte planuri de eficienţă energetică care să demonstreze rolul de exemplu </w:t>
      </w:r>
      <w:r w:rsidR="001738FD" w:rsidRPr="00D9464A">
        <w:rPr>
          <w:rFonts w:ascii="Times New Roman" w:hAnsi="Times New Roman" w:cs="Times New Roman"/>
          <w:b/>
          <w:color w:val="000000" w:themeColor="text1"/>
          <w:sz w:val="28"/>
          <w:lang w:val="ro-RO"/>
        </w:rPr>
        <w:t xml:space="preserve">în materie de eficienţă energetică </w:t>
      </w:r>
      <w:r w:rsidRPr="00D9464A">
        <w:rPr>
          <w:rFonts w:ascii="Times New Roman" w:hAnsi="Times New Roman" w:cs="Times New Roman"/>
          <w:b/>
          <w:color w:val="000000" w:themeColor="text1"/>
          <w:sz w:val="28"/>
          <w:lang w:val="ro-RO"/>
        </w:rPr>
        <w:t>al clădirilor organismelor publice</w:t>
      </w:r>
      <w:bookmarkEnd w:id="326"/>
      <w:r w:rsidRPr="00D9464A">
        <w:rPr>
          <w:rFonts w:ascii="Times New Roman" w:hAnsi="Times New Roman" w:cs="Times New Roman"/>
          <w:b/>
          <w:color w:val="000000" w:themeColor="text1"/>
          <w:sz w:val="28"/>
          <w:lang w:val="ro-RO"/>
        </w:rPr>
        <w:t>.</w:t>
      </w:r>
      <w:bookmarkEnd w:id="327"/>
    </w:p>
    <w:p w14:paraId="5A3433FB" w14:textId="1E302828" w:rsidR="00BC2ED4" w:rsidRPr="009C5F11" w:rsidRDefault="0096092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O</w:t>
      </w:r>
      <w:r w:rsidR="00BC2ED4" w:rsidRPr="009C5F11">
        <w:rPr>
          <w:rFonts w:ascii="Times New Roman" w:hAnsi="Times New Roman" w:cs="Times New Roman"/>
          <w:sz w:val="24"/>
          <w:lang w:val="ro-RO"/>
        </w:rPr>
        <w:t xml:space="preserve"> serie</w:t>
      </w:r>
      <w:r w:rsidRPr="009C5F11">
        <w:rPr>
          <w:rFonts w:ascii="Times New Roman" w:hAnsi="Times New Roman" w:cs="Times New Roman"/>
          <w:sz w:val="24"/>
          <w:lang w:val="ro-RO"/>
        </w:rPr>
        <w:t xml:space="preserve"> de documente</w:t>
      </w:r>
      <w:r w:rsidR="00BC2ED4" w:rsidRPr="009C5F11">
        <w:rPr>
          <w:rFonts w:ascii="Times New Roman" w:hAnsi="Times New Roman" w:cs="Times New Roman"/>
          <w:sz w:val="24"/>
          <w:lang w:val="ro-RO"/>
        </w:rPr>
        <w:t xml:space="preserve"> legislative/</w:t>
      </w:r>
      <w:r w:rsidRPr="009C5F11">
        <w:rPr>
          <w:rFonts w:ascii="Times New Roman" w:hAnsi="Times New Roman" w:cs="Times New Roman"/>
          <w:sz w:val="24"/>
          <w:lang w:val="ro-RO"/>
        </w:rPr>
        <w:t xml:space="preserve">de </w:t>
      </w:r>
      <w:r w:rsidR="00BC2ED4" w:rsidRPr="009C5F11">
        <w:rPr>
          <w:rFonts w:ascii="Times New Roman" w:hAnsi="Times New Roman" w:cs="Times New Roman"/>
          <w:sz w:val="24"/>
          <w:lang w:val="ro-RO"/>
        </w:rPr>
        <w:t>plan</w:t>
      </w:r>
      <w:r w:rsidRPr="009C5F11">
        <w:rPr>
          <w:rFonts w:ascii="Times New Roman" w:hAnsi="Times New Roman" w:cs="Times New Roman"/>
          <w:sz w:val="24"/>
          <w:lang w:val="ro-RO"/>
        </w:rPr>
        <w:t>ificare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nu numai încurajează, dar şi obligă </w:t>
      </w:r>
      <w:r w:rsidR="00B45C21" w:rsidRPr="009C5F11">
        <w:rPr>
          <w:rFonts w:ascii="Times New Roman" w:hAnsi="Times New Roman" w:cs="Times New Roman"/>
          <w:sz w:val="24"/>
          <w:lang w:val="ro-RO"/>
        </w:rPr>
        <w:t>organisme</w:t>
      </w:r>
      <w:r w:rsidRPr="009C5F11">
        <w:rPr>
          <w:rFonts w:ascii="Times New Roman" w:hAnsi="Times New Roman" w:cs="Times New Roman"/>
          <w:sz w:val="24"/>
          <w:lang w:val="ro-RO"/>
        </w:rPr>
        <w:t>le</w:t>
      </w:r>
      <w:r w:rsidR="00B45C21" w:rsidRPr="009C5F11">
        <w:rPr>
          <w:rFonts w:ascii="Times New Roman" w:hAnsi="Times New Roman" w:cs="Times New Roman"/>
          <w:sz w:val="24"/>
          <w:lang w:val="ro-RO"/>
        </w:rPr>
        <w:t xml:space="preserve"> publice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locale să</w:t>
      </w:r>
      <w:r w:rsidR="00BC2ED4" w:rsidRPr="009C5F11">
        <w:rPr>
          <w:rFonts w:ascii="Times New Roman" w:hAnsi="Times New Roman" w:cs="Times New Roman"/>
          <w:sz w:val="24"/>
          <w:lang w:val="ro-RO"/>
        </w:rPr>
        <w:t xml:space="preserve"> adopt</w:t>
      </w:r>
      <w:r w:rsidRPr="009C5F11">
        <w:rPr>
          <w:rFonts w:ascii="Times New Roman" w:hAnsi="Times New Roman" w:cs="Times New Roman"/>
          <w:sz w:val="24"/>
          <w:lang w:val="ro-RO"/>
        </w:rPr>
        <w:t xml:space="preserve">e programe/planuri </w:t>
      </w:r>
      <w:r w:rsidR="001738FD" w:rsidRPr="009C5F11">
        <w:rPr>
          <w:rFonts w:ascii="Times New Roman" w:hAnsi="Times New Roman" w:cs="Times New Roman"/>
          <w:sz w:val="24"/>
          <w:lang w:val="ro-RO"/>
        </w:rPr>
        <w:t>în domeniul</w:t>
      </w:r>
      <w:r w:rsidRPr="009C5F11">
        <w:rPr>
          <w:rFonts w:ascii="Times New Roman" w:hAnsi="Times New Roman" w:cs="Times New Roman"/>
          <w:sz w:val="24"/>
          <w:lang w:val="ro-RO"/>
        </w:rPr>
        <w:t xml:space="preserve"> eficienţ</w:t>
      </w:r>
      <w:r w:rsidR="001738FD" w:rsidRPr="009C5F11">
        <w:rPr>
          <w:rFonts w:ascii="Times New Roman" w:hAnsi="Times New Roman" w:cs="Times New Roman"/>
          <w:sz w:val="24"/>
          <w:lang w:val="ro-RO"/>
        </w:rPr>
        <w:t>ei</w:t>
      </w:r>
      <w:r w:rsidRPr="009C5F11">
        <w:rPr>
          <w:rFonts w:ascii="Times New Roman" w:hAnsi="Times New Roman" w:cs="Times New Roman"/>
          <w:sz w:val="24"/>
          <w:lang w:val="ro-RO"/>
        </w:rPr>
        <w:t xml:space="preserve"> energetic</w:t>
      </w:r>
      <w:r w:rsidR="001738FD" w:rsidRPr="009C5F11">
        <w:rPr>
          <w:rFonts w:ascii="Times New Roman" w:hAnsi="Times New Roman" w:cs="Times New Roman"/>
          <w:sz w:val="24"/>
          <w:lang w:val="ro-RO"/>
        </w:rPr>
        <w:t>e</w:t>
      </w:r>
      <w:r w:rsidR="00BC2ED4" w:rsidRPr="009C5F11">
        <w:rPr>
          <w:rFonts w:ascii="Times New Roman" w:hAnsi="Times New Roman" w:cs="Times New Roman"/>
          <w:sz w:val="24"/>
          <w:lang w:val="ro-RO"/>
        </w:rPr>
        <w:t>.</w:t>
      </w:r>
    </w:p>
    <w:p w14:paraId="1FBB1C39" w14:textId="77777777" w:rsidR="00BC2ED4" w:rsidRPr="009C5F11" w:rsidRDefault="00055095" w:rsidP="00334F3B">
      <w:pPr>
        <w:pStyle w:val="Listparagraf"/>
        <w:numPr>
          <w:ilvl w:val="0"/>
          <w:numId w:val="174"/>
        </w:numPr>
        <w:spacing w:before="120" w:after="120" w:line="240" w:lineRule="auto"/>
        <w:jc w:val="both"/>
        <w:rPr>
          <w:rFonts w:ascii="Times New Roman" w:hAnsi="Times New Roman" w:cs="Times New Roman"/>
          <w:i/>
          <w:szCs w:val="18"/>
          <w:lang w:val="ro-RO"/>
        </w:rPr>
      </w:pPr>
      <w:r w:rsidRPr="009C5F11">
        <w:rPr>
          <w:rFonts w:ascii="Times New Roman" w:hAnsi="Times New Roman" w:cs="Times New Roman"/>
          <w:i/>
          <w:szCs w:val="18"/>
          <w:lang w:val="ro-RO"/>
        </w:rPr>
        <w:t xml:space="preserve">Legea </w:t>
      </w:r>
      <w:r w:rsidR="00D55D28" w:rsidRPr="009C5F11">
        <w:rPr>
          <w:rFonts w:ascii="Times New Roman" w:hAnsi="Times New Roman" w:cs="Times New Roman"/>
          <w:i/>
          <w:szCs w:val="18"/>
          <w:lang w:val="ro-RO"/>
        </w:rPr>
        <w:t>nr.</w:t>
      </w:r>
      <w:r w:rsidR="00BC2ED4" w:rsidRPr="009C5F11">
        <w:rPr>
          <w:rFonts w:ascii="Times New Roman" w:hAnsi="Times New Roman" w:cs="Times New Roman"/>
          <w:i/>
          <w:szCs w:val="18"/>
          <w:lang w:val="ro-RO"/>
        </w:rPr>
        <w:t xml:space="preserve"> 142 02.07.2010 </w:t>
      </w:r>
      <w:r w:rsidR="00960928" w:rsidRPr="009C5F11">
        <w:rPr>
          <w:rFonts w:ascii="Times New Roman" w:hAnsi="Times New Roman" w:cs="Times New Roman"/>
          <w:i/>
          <w:szCs w:val="18"/>
          <w:lang w:val="ro-RO"/>
        </w:rPr>
        <w:t>cu privire la eficienţa energetică</w:t>
      </w:r>
      <w:r w:rsidR="00BC2ED4" w:rsidRPr="009C5F11">
        <w:rPr>
          <w:rFonts w:ascii="Times New Roman" w:hAnsi="Times New Roman" w:cs="Times New Roman"/>
          <w:i/>
          <w:szCs w:val="18"/>
          <w:lang w:val="ro-RO"/>
        </w:rPr>
        <w:t xml:space="preserve"> (</w:t>
      </w:r>
      <w:r w:rsidR="000A4CC7" w:rsidRPr="009C5F11">
        <w:rPr>
          <w:rFonts w:ascii="Times New Roman" w:hAnsi="Times New Roman" w:cs="Times New Roman"/>
          <w:i/>
          <w:szCs w:val="18"/>
          <w:lang w:val="ro-RO"/>
        </w:rPr>
        <w:t>Articolul</w:t>
      </w:r>
      <w:r w:rsidR="00BC2ED4" w:rsidRPr="009C5F11">
        <w:rPr>
          <w:rFonts w:ascii="Times New Roman" w:hAnsi="Times New Roman" w:cs="Times New Roman"/>
          <w:i/>
          <w:szCs w:val="18"/>
          <w:lang w:val="ro-RO"/>
        </w:rPr>
        <w:t xml:space="preserve"> 18) </w:t>
      </w:r>
      <w:r w:rsidR="00960928" w:rsidRPr="009C5F11">
        <w:rPr>
          <w:rFonts w:ascii="Times New Roman" w:hAnsi="Times New Roman" w:cs="Times New Roman"/>
          <w:i/>
          <w:szCs w:val="18"/>
          <w:lang w:val="ro-RO"/>
        </w:rPr>
        <w:t>prevede</w:t>
      </w:r>
      <w:r w:rsidR="00BC2ED4" w:rsidRPr="009C5F11">
        <w:rPr>
          <w:rFonts w:ascii="Times New Roman" w:hAnsi="Times New Roman" w:cs="Times New Roman"/>
          <w:i/>
          <w:szCs w:val="18"/>
          <w:lang w:val="ro-RO"/>
        </w:rPr>
        <w:t xml:space="preserve"> </w:t>
      </w:r>
      <w:r w:rsidR="00960928" w:rsidRPr="009C5F11">
        <w:rPr>
          <w:rFonts w:ascii="Times New Roman" w:hAnsi="Times New Roman" w:cs="Times New Roman"/>
          <w:i/>
          <w:szCs w:val="18"/>
          <w:lang w:val="ro-RO"/>
        </w:rPr>
        <w:t xml:space="preserve">că </w:t>
      </w:r>
      <w:r w:rsidR="00960928" w:rsidRPr="009C5F11">
        <w:rPr>
          <w:rFonts w:ascii="Times New Roman" w:eastAsia="Times New Roman" w:hAnsi="Times New Roman" w:cs="Times New Roman"/>
          <w:i/>
          <w:color w:val="000000"/>
          <w:szCs w:val="18"/>
          <w:lang w:val="ro-RO"/>
        </w:rPr>
        <w:t xml:space="preserve">Consiliile raionale şi consiliile municipale, Adunarea Populară a UTA Găgăuzia au obligaţia să asigure elaborarea, coordonarea şi aprobarea propriilor programe </w:t>
      </w:r>
      <w:r w:rsidR="00F020CB" w:rsidRPr="009C5F11">
        <w:rPr>
          <w:rFonts w:ascii="Times New Roman" w:eastAsia="Times New Roman" w:hAnsi="Times New Roman" w:cs="Times New Roman"/>
          <w:i/>
          <w:color w:val="000000"/>
          <w:szCs w:val="18"/>
          <w:lang w:val="ro-RO"/>
        </w:rPr>
        <w:t xml:space="preserve">(pe 3 ani) </w:t>
      </w:r>
      <w:r w:rsidR="00960928" w:rsidRPr="009C5F11">
        <w:rPr>
          <w:rFonts w:ascii="Times New Roman" w:eastAsia="Times New Roman" w:hAnsi="Times New Roman" w:cs="Times New Roman"/>
          <w:i/>
          <w:color w:val="000000"/>
          <w:szCs w:val="18"/>
          <w:lang w:val="ro-RO"/>
        </w:rPr>
        <w:t xml:space="preserve">şi planuri </w:t>
      </w:r>
      <w:r w:rsidR="00F020CB" w:rsidRPr="009C5F11">
        <w:rPr>
          <w:rFonts w:ascii="Times New Roman" w:eastAsia="Times New Roman" w:hAnsi="Times New Roman" w:cs="Times New Roman"/>
          <w:i/>
          <w:color w:val="000000"/>
          <w:szCs w:val="18"/>
          <w:lang w:val="ro-RO"/>
        </w:rPr>
        <w:t xml:space="preserve">(pe 1 an) </w:t>
      </w:r>
      <w:r w:rsidR="00960928" w:rsidRPr="009C5F11">
        <w:rPr>
          <w:rFonts w:ascii="Times New Roman" w:eastAsia="Times New Roman" w:hAnsi="Times New Roman" w:cs="Times New Roman"/>
          <w:i/>
          <w:color w:val="000000"/>
          <w:szCs w:val="18"/>
          <w:lang w:val="ro-RO"/>
        </w:rPr>
        <w:t>de îmbunătăţire a eficienţei energetice</w:t>
      </w:r>
      <w:r w:rsidR="00BC2ED4" w:rsidRPr="009C5F11">
        <w:rPr>
          <w:rFonts w:ascii="Times New Roman" w:hAnsi="Times New Roman" w:cs="Times New Roman"/>
          <w:i/>
          <w:szCs w:val="18"/>
          <w:lang w:val="ro-RO"/>
        </w:rPr>
        <w:t xml:space="preserve">. </w:t>
      </w:r>
      <w:r w:rsidR="00334DD0" w:rsidRPr="009C5F11">
        <w:rPr>
          <w:rFonts w:ascii="Times New Roman" w:hAnsi="Times New Roman" w:cs="Times New Roman"/>
          <w:i/>
          <w:szCs w:val="18"/>
          <w:lang w:val="ro-RO"/>
        </w:rPr>
        <w:t xml:space="preserve">În </w:t>
      </w:r>
      <w:r w:rsidR="00421FA7" w:rsidRPr="009C5F11">
        <w:rPr>
          <w:rFonts w:ascii="Times New Roman" w:hAnsi="Times New Roman" w:cs="Times New Roman"/>
          <w:i/>
          <w:szCs w:val="18"/>
          <w:lang w:val="ro-RO"/>
        </w:rPr>
        <w:t>Articolul</w:t>
      </w:r>
      <w:r w:rsidR="00BC2ED4" w:rsidRPr="009C5F11">
        <w:rPr>
          <w:rFonts w:ascii="Times New Roman" w:hAnsi="Times New Roman" w:cs="Times New Roman"/>
          <w:i/>
          <w:szCs w:val="18"/>
          <w:lang w:val="ro-RO"/>
        </w:rPr>
        <w:t xml:space="preserve"> 19, </w:t>
      </w:r>
      <w:r w:rsidRPr="009C5F11">
        <w:rPr>
          <w:rFonts w:ascii="Times New Roman" w:hAnsi="Times New Roman" w:cs="Times New Roman"/>
          <w:i/>
          <w:szCs w:val="18"/>
          <w:lang w:val="ro-RO"/>
        </w:rPr>
        <w:t xml:space="preserve">Legea </w:t>
      </w:r>
      <w:r w:rsidR="00F020CB" w:rsidRPr="009C5F11">
        <w:rPr>
          <w:rFonts w:ascii="Times New Roman" w:hAnsi="Times New Roman" w:cs="Times New Roman"/>
          <w:i/>
          <w:szCs w:val="18"/>
          <w:lang w:val="ro-RO"/>
        </w:rPr>
        <w:t>stipulează obligaţia de a întocmi r</w:t>
      </w:r>
      <w:r w:rsidR="00F020CB" w:rsidRPr="009C5F11">
        <w:rPr>
          <w:rFonts w:ascii="Times New Roman" w:eastAsia="Times New Roman" w:hAnsi="Times New Roman" w:cs="Times New Roman"/>
          <w:color w:val="000000"/>
          <w:szCs w:val="18"/>
          <w:lang w:val="ro-RO"/>
        </w:rPr>
        <w:t xml:space="preserve">apoarte </w:t>
      </w:r>
      <w:r w:rsidR="00F020CB" w:rsidRPr="009C5F11">
        <w:rPr>
          <w:rFonts w:ascii="Times New Roman" w:eastAsia="Times New Roman" w:hAnsi="Times New Roman" w:cs="Times New Roman"/>
          <w:i/>
          <w:color w:val="000000"/>
          <w:szCs w:val="18"/>
          <w:lang w:val="ro-RO"/>
        </w:rPr>
        <w:t>privind îndeplinirea programelor locale pentru eficienţă energetică</w:t>
      </w:r>
      <w:r w:rsidR="00BC2ED4" w:rsidRPr="009C5F11">
        <w:rPr>
          <w:rFonts w:ascii="Times New Roman" w:hAnsi="Times New Roman" w:cs="Times New Roman"/>
          <w:i/>
          <w:szCs w:val="18"/>
          <w:lang w:val="ro-RO"/>
        </w:rPr>
        <w:t>.</w:t>
      </w:r>
    </w:p>
    <w:p w14:paraId="683669BB" w14:textId="77777777" w:rsidR="00BC2ED4" w:rsidRPr="009C5F11" w:rsidRDefault="00204033" w:rsidP="00334F3B">
      <w:pPr>
        <w:pStyle w:val="Listparagraf"/>
        <w:numPr>
          <w:ilvl w:val="0"/>
          <w:numId w:val="174"/>
        </w:numPr>
        <w:spacing w:before="120" w:after="120" w:line="240" w:lineRule="auto"/>
        <w:jc w:val="both"/>
        <w:rPr>
          <w:rFonts w:ascii="Times New Roman" w:hAnsi="Times New Roman" w:cs="Times New Roman"/>
          <w:i/>
          <w:szCs w:val="18"/>
          <w:lang w:val="ro-RO"/>
        </w:rPr>
      </w:pPr>
      <w:r w:rsidRPr="009C5F11">
        <w:rPr>
          <w:rFonts w:ascii="Times New Roman" w:hAnsi="Times New Roman" w:cs="Times New Roman"/>
          <w:i/>
          <w:szCs w:val="18"/>
          <w:lang w:val="ro-RO"/>
        </w:rPr>
        <w:t>Programul naţional pentru eficienţă energetică</w:t>
      </w:r>
      <w:r w:rsidR="00BC2ED4" w:rsidRPr="009C5F11">
        <w:rPr>
          <w:rFonts w:ascii="Times New Roman" w:hAnsi="Times New Roman" w:cs="Times New Roman"/>
          <w:i/>
          <w:szCs w:val="18"/>
          <w:lang w:val="ro-RO"/>
        </w:rPr>
        <w:t xml:space="preserve"> 2011-2020 </w:t>
      </w:r>
      <w:r w:rsidR="00334DD0" w:rsidRPr="009C5F11">
        <w:rPr>
          <w:rFonts w:ascii="Times New Roman" w:hAnsi="Times New Roman" w:cs="Times New Roman"/>
          <w:i/>
          <w:szCs w:val="18"/>
          <w:lang w:val="ro-RO"/>
        </w:rPr>
        <w:t xml:space="preserve">aprobat </w:t>
      </w:r>
      <w:r w:rsidR="00394640" w:rsidRPr="009C5F11">
        <w:rPr>
          <w:rFonts w:ascii="Times New Roman" w:hAnsi="Times New Roman" w:cs="Times New Roman"/>
          <w:i/>
          <w:szCs w:val="18"/>
          <w:lang w:val="ro-RO"/>
        </w:rPr>
        <w:t>prin</w:t>
      </w:r>
      <w:r w:rsidR="00BC2ED4" w:rsidRPr="009C5F11">
        <w:rPr>
          <w:rFonts w:ascii="Times New Roman" w:hAnsi="Times New Roman" w:cs="Times New Roman"/>
          <w:i/>
          <w:szCs w:val="18"/>
          <w:lang w:val="ro-RO"/>
        </w:rPr>
        <w:t xml:space="preserve"> </w:t>
      </w:r>
      <w:r w:rsidR="00076D31" w:rsidRPr="009C5F11">
        <w:rPr>
          <w:rFonts w:ascii="Times New Roman" w:hAnsi="Times New Roman" w:cs="Times New Roman"/>
          <w:i/>
          <w:szCs w:val="18"/>
          <w:lang w:val="ro-RO"/>
        </w:rPr>
        <w:t>HG RM</w:t>
      </w:r>
      <w:r w:rsidR="00BC2ED4" w:rsidRPr="009C5F11">
        <w:rPr>
          <w:rFonts w:ascii="Times New Roman" w:hAnsi="Times New Roman" w:cs="Times New Roman"/>
          <w:i/>
          <w:szCs w:val="18"/>
          <w:lang w:val="ro-RO"/>
        </w:rPr>
        <w:t xml:space="preserve"> </w:t>
      </w:r>
      <w:r w:rsidR="00D55D28" w:rsidRPr="009C5F11">
        <w:rPr>
          <w:rFonts w:ascii="Times New Roman" w:hAnsi="Times New Roman" w:cs="Times New Roman"/>
          <w:i/>
          <w:szCs w:val="18"/>
          <w:lang w:val="ro-RO"/>
        </w:rPr>
        <w:t>nr.</w:t>
      </w:r>
      <w:r w:rsidR="00BC2ED4" w:rsidRPr="009C5F11">
        <w:rPr>
          <w:rFonts w:ascii="Times New Roman" w:hAnsi="Times New Roman" w:cs="Times New Roman"/>
          <w:i/>
          <w:szCs w:val="18"/>
          <w:lang w:val="ro-RO"/>
        </w:rPr>
        <w:t xml:space="preserve">833 </w:t>
      </w:r>
      <w:r w:rsidR="00F020CB" w:rsidRPr="009C5F11">
        <w:rPr>
          <w:rFonts w:ascii="Times New Roman" w:hAnsi="Times New Roman" w:cs="Times New Roman"/>
          <w:i/>
          <w:szCs w:val="18"/>
          <w:lang w:val="ro-RO"/>
        </w:rPr>
        <w:t>din</w:t>
      </w:r>
      <w:r w:rsidR="00BC2ED4" w:rsidRPr="009C5F11">
        <w:rPr>
          <w:rFonts w:ascii="Times New Roman" w:hAnsi="Times New Roman" w:cs="Times New Roman"/>
          <w:i/>
          <w:szCs w:val="18"/>
          <w:lang w:val="ro-RO"/>
        </w:rPr>
        <w:t xml:space="preserve"> 10.11.2011 </w:t>
      </w:r>
      <w:r w:rsidR="00F020CB" w:rsidRPr="009C5F11">
        <w:rPr>
          <w:rFonts w:ascii="Times New Roman" w:hAnsi="Times New Roman" w:cs="Times New Roman"/>
          <w:i/>
          <w:szCs w:val="18"/>
          <w:lang w:val="ro-RO"/>
        </w:rPr>
        <w:t xml:space="preserve">pune în aplicare dispoziţiile legii şi prevede obligaţia APL de a </w:t>
      </w:r>
      <w:r w:rsidR="00BA5A89" w:rsidRPr="009C5F11">
        <w:rPr>
          <w:rFonts w:ascii="Times New Roman" w:hAnsi="Times New Roman" w:cs="Times New Roman"/>
          <w:i/>
          <w:szCs w:val="18"/>
          <w:lang w:val="ro-RO"/>
        </w:rPr>
        <w:t>elabora</w:t>
      </w:r>
      <w:r w:rsidR="00F020CB" w:rsidRPr="009C5F11">
        <w:rPr>
          <w:rFonts w:ascii="Times New Roman" w:hAnsi="Times New Roman" w:cs="Times New Roman"/>
          <w:i/>
          <w:szCs w:val="18"/>
          <w:lang w:val="ro-RO"/>
        </w:rPr>
        <w:t xml:space="preserve"> planuri </w:t>
      </w:r>
      <w:r w:rsidR="004A2281" w:rsidRPr="009C5F11">
        <w:rPr>
          <w:rFonts w:ascii="Times New Roman" w:hAnsi="Times New Roman" w:cs="Times New Roman"/>
          <w:i/>
          <w:szCs w:val="18"/>
          <w:lang w:val="ro-RO"/>
        </w:rPr>
        <w:t>locale</w:t>
      </w:r>
      <w:r w:rsidR="00F020CB" w:rsidRPr="009C5F11">
        <w:rPr>
          <w:rFonts w:ascii="Times New Roman" w:hAnsi="Times New Roman" w:cs="Times New Roman"/>
          <w:i/>
          <w:szCs w:val="18"/>
          <w:lang w:val="ro-RO"/>
        </w:rPr>
        <w:t xml:space="preserve"> de acţiuni în domeniul </w:t>
      </w:r>
      <w:r w:rsidR="001F5C51" w:rsidRPr="009C5F11">
        <w:rPr>
          <w:rFonts w:ascii="Times New Roman" w:hAnsi="Times New Roman" w:cs="Times New Roman"/>
          <w:i/>
          <w:szCs w:val="18"/>
          <w:lang w:val="ro-RO"/>
        </w:rPr>
        <w:t>eficienţei energetice</w:t>
      </w:r>
      <w:r w:rsidR="00BC2ED4"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Capitolul</w:t>
      </w:r>
      <w:r w:rsidR="00BC2ED4" w:rsidRPr="009C5F11">
        <w:rPr>
          <w:rFonts w:ascii="Times New Roman" w:hAnsi="Times New Roman" w:cs="Times New Roman"/>
          <w:i/>
          <w:szCs w:val="18"/>
          <w:lang w:val="ro-RO"/>
        </w:rPr>
        <w:t xml:space="preserve"> V, l</w:t>
      </w:r>
      <w:r w:rsidR="004A2281" w:rsidRPr="009C5F11">
        <w:rPr>
          <w:rFonts w:ascii="Times New Roman" w:hAnsi="Times New Roman" w:cs="Times New Roman"/>
          <w:i/>
          <w:szCs w:val="18"/>
          <w:lang w:val="ro-RO"/>
        </w:rPr>
        <w:t>itera</w:t>
      </w:r>
      <w:r w:rsidR="00BC2ED4" w:rsidRPr="009C5F11">
        <w:rPr>
          <w:rFonts w:ascii="Times New Roman" w:hAnsi="Times New Roman" w:cs="Times New Roman"/>
          <w:i/>
          <w:szCs w:val="18"/>
          <w:lang w:val="ro-RO"/>
        </w:rPr>
        <w:t xml:space="preserve"> h). </w:t>
      </w:r>
    </w:p>
    <w:p w14:paraId="0A831F87" w14:textId="77777777" w:rsidR="00BC2ED4" w:rsidRPr="009C5F11" w:rsidRDefault="00F4274E" w:rsidP="00334F3B">
      <w:pPr>
        <w:pStyle w:val="Listparagraf"/>
        <w:numPr>
          <w:ilvl w:val="0"/>
          <w:numId w:val="174"/>
        </w:numPr>
        <w:spacing w:before="120" w:after="120" w:line="240" w:lineRule="auto"/>
        <w:jc w:val="both"/>
        <w:rPr>
          <w:rFonts w:ascii="Times New Roman" w:hAnsi="Times New Roman" w:cs="Times New Roman"/>
          <w:i/>
          <w:szCs w:val="18"/>
          <w:lang w:val="ro-RO"/>
        </w:rPr>
      </w:pPr>
      <w:r w:rsidRPr="009C5F11">
        <w:rPr>
          <w:rFonts w:ascii="Times New Roman" w:hAnsi="Times New Roman" w:cs="Times New Roman"/>
          <w:i/>
          <w:szCs w:val="18"/>
          <w:lang w:val="ro-RO"/>
        </w:rPr>
        <w:t>Planul naţional de acţiuni în domeniul eficienţei energetice</w:t>
      </w:r>
      <w:r w:rsidR="00BC2ED4" w:rsidRPr="009C5F11">
        <w:rPr>
          <w:rFonts w:ascii="Times New Roman" w:hAnsi="Times New Roman" w:cs="Times New Roman"/>
          <w:i/>
          <w:szCs w:val="18"/>
          <w:lang w:val="ro-RO"/>
        </w:rPr>
        <w:t xml:space="preserve"> 2013-2015 </w:t>
      </w:r>
      <w:r w:rsidR="00334DD0" w:rsidRPr="009C5F11">
        <w:rPr>
          <w:rFonts w:ascii="Times New Roman" w:hAnsi="Times New Roman" w:cs="Times New Roman"/>
          <w:i/>
          <w:szCs w:val="18"/>
          <w:lang w:val="ro-RO"/>
        </w:rPr>
        <w:t xml:space="preserve">aprobat </w:t>
      </w:r>
      <w:r w:rsidR="00F020CB" w:rsidRPr="009C5F11">
        <w:rPr>
          <w:rFonts w:ascii="Times New Roman" w:hAnsi="Times New Roman" w:cs="Times New Roman"/>
          <w:i/>
          <w:szCs w:val="18"/>
          <w:lang w:val="ro-RO"/>
        </w:rPr>
        <w:t>prin</w:t>
      </w:r>
      <w:r w:rsidR="00BC2ED4" w:rsidRPr="009C5F11">
        <w:rPr>
          <w:rFonts w:ascii="Times New Roman" w:hAnsi="Times New Roman" w:cs="Times New Roman"/>
          <w:i/>
          <w:szCs w:val="18"/>
          <w:lang w:val="ro-RO"/>
        </w:rPr>
        <w:t xml:space="preserve"> </w:t>
      </w:r>
      <w:r w:rsidR="00076D31" w:rsidRPr="009C5F11">
        <w:rPr>
          <w:rFonts w:ascii="Times New Roman" w:hAnsi="Times New Roman" w:cs="Times New Roman"/>
          <w:i/>
          <w:szCs w:val="18"/>
          <w:lang w:val="ro-RO"/>
        </w:rPr>
        <w:t>HG RM</w:t>
      </w:r>
      <w:r w:rsidR="00BC2ED4" w:rsidRPr="009C5F11">
        <w:rPr>
          <w:rFonts w:ascii="Times New Roman" w:hAnsi="Times New Roman" w:cs="Times New Roman"/>
          <w:i/>
          <w:szCs w:val="18"/>
          <w:lang w:val="ro-RO"/>
        </w:rPr>
        <w:t xml:space="preserve"> n</w:t>
      </w:r>
      <w:r w:rsidR="00F020CB" w:rsidRPr="009C5F11">
        <w:rPr>
          <w:rFonts w:ascii="Times New Roman" w:hAnsi="Times New Roman" w:cs="Times New Roman"/>
          <w:i/>
          <w:szCs w:val="18"/>
          <w:lang w:val="ro-RO"/>
        </w:rPr>
        <w:t>r</w:t>
      </w:r>
      <w:r w:rsidR="00BC2ED4" w:rsidRPr="009C5F11">
        <w:rPr>
          <w:rFonts w:ascii="Times New Roman" w:hAnsi="Times New Roman" w:cs="Times New Roman"/>
          <w:i/>
          <w:szCs w:val="18"/>
          <w:lang w:val="ro-RO"/>
        </w:rPr>
        <w:t xml:space="preserve">.113 </w:t>
      </w:r>
      <w:r w:rsidR="00F020CB" w:rsidRPr="009C5F11">
        <w:rPr>
          <w:rFonts w:ascii="Times New Roman" w:hAnsi="Times New Roman" w:cs="Times New Roman"/>
          <w:i/>
          <w:szCs w:val="18"/>
          <w:lang w:val="ro-RO"/>
        </w:rPr>
        <w:t>din</w:t>
      </w:r>
      <w:r w:rsidR="00BC2ED4" w:rsidRPr="009C5F11">
        <w:rPr>
          <w:rFonts w:ascii="Times New Roman" w:hAnsi="Times New Roman" w:cs="Times New Roman"/>
          <w:i/>
          <w:szCs w:val="18"/>
          <w:lang w:val="ro-RO"/>
        </w:rPr>
        <w:t xml:space="preserve"> 7.02.2013</w:t>
      </w:r>
      <w:r w:rsidR="00F020CB" w:rsidRPr="009C5F11">
        <w:rPr>
          <w:rFonts w:ascii="Times New Roman" w:hAnsi="Times New Roman" w:cs="Times New Roman"/>
          <w:i/>
          <w:szCs w:val="18"/>
          <w:lang w:val="ro-RO"/>
        </w:rPr>
        <w:t xml:space="preserve">, de asemenea, </w:t>
      </w:r>
      <w:r w:rsidR="00105D5C" w:rsidRPr="009C5F11">
        <w:rPr>
          <w:rFonts w:ascii="Times New Roman" w:hAnsi="Times New Roman" w:cs="Times New Roman"/>
          <w:i/>
          <w:szCs w:val="18"/>
          <w:lang w:val="ro-RO"/>
        </w:rPr>
        <w:t>prevede</w:t>
      </w:r>
      <w:r w:rsidR="00BC2ED4" w:rsidRPr="009C5F11">
        <w:rPr>
          <w:rFonts w:ascii="Times New Roman" w:hAnsi="Times New Roman" w:cs="Times New Roman"/>
          <w:i/>
          <w:szCs w:val="18"/>
          <w:lang w:val="ro-RO"/>
        </w:rPr>
        <w:t xml:space="preserve"> (art.64) </w:t>
      </w:r>
      <w:r w:rsidR="00F020CB" w:rsidRPr="009C5F11">
        <w:rPr>
          <w:rFonts w:ascii="Times New Roman" w:hAnsi="Times New Roman" w:cs="Times New Roman"/>
          <w:i/>
          <w:szCs w:val="18"/>
          <w:lang w:val="ro-RO"/>
        </w:rPr>
        <w:t xml:space="preserve">elaborarea planurilor locale proprii de acţiuni în domeniul eficienţei energetice </w:t>
      </w:r>
      <w:r w:rsidR="00BC2ED4" w:rsidRPr="009C5F11">
        <w:rPr>
          <w:rFonts w:ascii="Times New Roman" w:hAnsi="Times New Roman" w:cs="Times New Roman"/>
          <w:i/>
          <w:szCs w:val="18"/>
          <w:lang w:val="ro-RO"/>
        </w:rPr>
        <w:t>(l</w:t>
      </w:r>
      <w:r w:rsidR="004A2281" w:rsidRPr="009C5F11">
        <w:rPr>
          <w:rFonts w:ascii="Times New Roman" w:hAnsi="Times New Roman" w:cs="Times New Roman"/>
          <w:i/>
          <w:szCs w:val="18"/>
          <w:lang w:val="ro-RO"/>
        </w:rPr>
        <w:t>ite</w:t>
      </w:r>
      <w:r w:rsidR="00BC2ED4" w:rsidRPr="009C5F11">
        <w:rPr>
          <w:rFonts w:ascii="Times New Roman" w:hAnsi="Times New Roman" w:cs="Times New Roman"/>
          <w:i/>
          <w:szCs w:val="18"/>
          <w:lang w:val="ro-RO"/>
        </w:rPr>
        <w:t>r</w:t>
      </w:r>
      <w:r w:rsidR="004A2281" w:rsidRPr="009C5F11">
        <w:rPr>
          <w:rFonts w:ascii="Times New Roman" w:hAnsi="Times New Roman" w:cs="Times New Roman"/>
          <w:i/>
          <w:szCs w:val="18"/>
          <w:lang w:val="ro-RO"/>
        </w:rPr>
        <w:t>a</w:t>
      </w:r>
      <w:r w:rsidR="00BC2ED4" w:rsidRPr="009C5F11">
        <w:rPr>
          <w:rFonts w:ascii="Times New Roman" w:hAnsi="Times New Roman" w:cs="Times New Roman"/>
          <w:i/>
          <w:szCs w:val="18"/>
          <w:lang w:val="ro-RO"/>
        </w:rPr>
        <w:t xml:space="preserve"> d)</w:t>
      </w:r>
      <w:r w:rsidR="00321CD5" w:rsidRPr="009C5F11">
        <w:rPr>
          <w:rFonts w:ascii="Times New Roman" w:hAnsi="Times New Roman" w:cs="Times New Roman"/>
          <w:i/>
          <w:szCs w:val="18"/>
          <w:lang w:val="ro-RO"/>
        </w:rPr>
        <w:t xml:space="preserve"> şi </w:t>
      </w:r>
      <w:r w:rsidR="00F020CB" w:rsidRPr="009C5F11">
        <w:rPr>
          <w:rFonts w:ascii="Times New Roman" w:hAnsi="Times New Roman" w:cs="Times New Roman"/>
          <w:i/>
          <w:szCs w:val="18"/>
          <w:lang w:val="ro-RO"/>
        </w:rPr>
        <w:t xml:space="preserve">întocmirea rapoartelor </w:t>
      </w:r>
      <w:r w:rsidR="00BC2ED4" w:rsidRPr="009C5F11">
        <w:rPr>
          <w:rFonts w:ascii="Times New Roman" w:hAnsi="Times New Roman" w:cs="Times New Roman"/>
          <w:i/>
          <w:szCs w:val="18"/>
          <w:lang w:val="ro-RO"/>
        </w:rPr>
        <w:t>anual</w:t>
      </w:r>
      <w:r w:rsidR="00F020CB" w:rsidRPr="009C5F11">
        <w:rPr>
          <w:rFonts w:ascii="Times New Roman" w:hAnsi="Times New Roman" w:cs="Times New Roman"/>
          <w:i/>
          <w:szCs w:val="18"/>
          <w:lang w:val="ro-RO"/>
        </w:rPr>
        <w:t>e</w:t>
      </w:r>
      <w:r w:rsidR="00BC2ED4" w:rsidRPr="009C5F11">
        <w:rPr>
          <w:rFonts w:ascii="Times New Roman" w:hAnsi="Times New Roman" w:cs="Times New Roman"/>
          <w:i/>
          <w:szCs w:val="18"/>
          <w:lang w:val="ro-RO"/>
        </w:rPr>
        <w:t xml:space="preserve"> </w:t>
      </w:r>
      <w:r w:rsidR="00F020CB" w:rsidRPr="009C5F11">
        <w:rPr>
          <w:rFonts w:ascii="Times New Roman" w:hAnsi="Times New Roman" w:cs="Times New Roman"/>
          <w:i/>
          <w:szCs w:val="18"/>
          <w:lang w:val="ro-RO"/>
        </w:rPr>
        <w:t xml:space="preserve">pe baza formularelor elaborate de </w:t>
      </w:r>
      <w:r w:rsidR="00EA007D" w:rsidRPr="009C5F11">
        <w:rPr>
          <w:rFonts w:ascii="Times New Roman" w:hAnsi="Times New Roman" w:cs="Times New Roman"/>
          <w:i/>
          <w:szCs w:val="18"/>
          <w:lang w:val="ro-RO"/>
        </w:rPr>
        <w:t>AEE</w:t>
      </w:r>
      <w:r w:rsidR="00BC2ED4" w:rsidRPr="009C5F11">
        <w:rPr>
          <w:rFonts w:ascii="Times New Roman" w:hAnsi="Times New Roman" w:cs="Times New Roman"/>
          <w:i/>
          <w:szCs w:val="18"/>
          <w:lang w:val="ro-RO"/>
        </w:rPr>
        <w:t>”.</w:t>
      </w:r>
    </w:p>
    <w:p w14:paraId="15CBC5C9" w14:textId="77777777" w:rsidR="008A6691" w:rsidRPr="009C5F11" w:rsidRDefault="00122751"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conformitate cu</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dispoziţiile legii</w:t>
      </w:r>
      <w:r w:rsidR="00BC2ED4"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în </w:t>
      </w:r>
      <w:r w:rsidR="00BC2ED4" w:rsidRPr="009C5F11">
        <w:rPr>
          <w:rFonts w:ascii="Times New Roman" w:hAnsi="Times New Roman" w:cs="Times New Roman"/>
          <w:sz w:val="24"/>
          <w:lang w:val="ro-RO"/>
        </w:rPr>
        <w:t xml:space="preserve">2013, </w:t>
      </w:r>
      <w:r w:rsidR="00F4274E" w:rsidRPr="009C5F11">
        <w:rPr>
          <w:rFonts w:ascii="Times New Roman" w:hAnsi="Times New Roman" w:cs="Times New Roman"/>
          <w:sz w:val="24"/>
          <w:lang w:val="ro-RO"/>
        </w:rPr>
        <w:t>agenţiile de dezvoltare regională</w:t>
      </w:r>
      <w:r w:rsidR="00BC2ED4" w:rsidRPr="009C5F11">
        <w:rPr>
          <w:rFonts w:ascii="Times New Roman" w:hAnsi="Times New Roman" w:cs="Times New Roman"/>
          <w:sz w:val="24"/>
          <w:lang w:val="ro-RO"/>
        </w:rPr>
        <w:t xml:space="preserve"> (</w:t>
      </w:r>
      <w:r w:rsidR="00F4274E" w:rsidRPr="009C5F11">
        <w:rPr>
          <w:rFonts w:ascii="Times New Roman" w:hAnsi="Times New Roman" w:cs="Times New Roman"/>
          <w:sz w:val="24"/>
          <w:lang w:val="ro-RO"/>
        </w:rPr>
        <w:t>ADR</w:t>
      </w:r>
      <w:r w:rsidR="00BC2ED4" w:rsidRPr="009C5F11">
        <w:rPr>
          <w:rFonts w:ascii="Times New Roman" w:hAnsi="Times New Roman" w:cs="Times New Roman"/>
          <w:sz w:val="24"/>
          <w:lang w:val="ro-RO"/>
        </w:rPr>
        <w:t xml:space="preserve">): </w:t>
      </w:r>
      <w:r w:rsidR="00F4274E" w:rsidRPr="009C5F11">
        <w:rPr>
          <w:rFonts w:ascii="Times New Roman" w:hAnsi="Times New Roman" w:cs="Times New Roman"/>
          <w:sz w:val="24"/>
          <w:lang w:val="ro-RO"/>
        </w:rPr>
        <w:t>Agenţia de dezvoltare regională Centru</w:t>
      </w:r>
      <w:r w:rsidR="00BC2ED4" w:rsidRPr="009C5F11">
        <w:rPr>
          <w:rFonts w:ascii="Times New Roman" w:hAnsi="Times New Roman" w:cs="Times New Roman"/>
          <w:sz w:val="24"/>
          <w:lang w:val="ro-RO"/>
        </w:rPr>
        <w:t xml:space="preserve">, </w:t>
      </w:r>
      <w:r w:rsidR="00F4274E" w:rsidRPr="009C5F11">
        <w:rPr>
          <w:rFonts w:ascii="Times New Roman" w:hAnsi="Times New Roman" w:cs="Times New Roman"/>
          <w:sz w:val="24"/>
          <w:lang w:val="ro-RO"/>
        </w:rPr>
        <w:t>Agenţia de dezvoltare regională Nord</w:t>
      </w:r>
      <w:r w:rsidR="00321CD5" w:rsidRPr="009C5F11">
        <w:rPr>
          <w:rFonts w:ascii="Times New Roman" w:hAnsi="Times New Roman" w:cs="Times New Roman"/>
          <w:sz w:val="24"/>
          <w:lang w:val="ro-RO"/>
        </w:rPr>
        <w:t xml:space="preserve"> şi </w:t>
      </w:r>
      <w:r w:rsidR="00F4274E" w:rsidRPr="009C5F11">
        <w:rPr>
          <w:rFonts w:ascii="Times New Roman" w:hAnsi="Times New Roman" w:cs="Times New Roman"/>
          <w:sz w:val="24"/>
          <w:lang w:val="ro-RO"/>
        </w:rPr>
        <w:t>Agenţia de dezvoltare regională Sud</w:t>
      </w:r>
      <w:r w:rsidR="00BC2ED4" w:rsidRPr="009C5F11">
        <w:rPr>
          <w:rFonts w:ascii="Times New Roman" w:hAnsi="Times New Roman" w:cs="Times New Roman"/>
          <w:sz w:val="24"/>
          <w:lang w:val="ro-RO"/>
        </w:rPr>
        <w:t xml:space="preserve"> </w:t>
      </w:r>
      <w:r w:rsidR="004A2281" w:rsidRPr="009C5F11">
        <w:rPr>
          <w:rFonts w:ascii="Times New Roman" w:hAnsi="Times New Roman" w:cs="Times New Roman"/>
          <w:sz w:val="24"/>
          <w:lang w:val="ro-RO"/>
        </w:rPr>
        <w:t>au finalizat</w:t>
      </w:r>
      <w:r w:rsidR="00BC2ED4" w:rsidRPr="009C5F11">
        <w:rPr>
          <w:rFonts w:ascii="Times New Roman" w:hAnsi="Times New Roman" w:cs="Times New Roman"/>
          <w:sz w:val="24"/>
          <w:lang w:val="ro-RO"/>
        </w:rPr>
        <w:t xml:space="preserve"> </w:t>
      </w:r>
      <w:r w:rsidR="001738FD" w:rsidRPr="009C5F11">
        <w:rPr>
          <w:rFonts w:ascii="Times New Roman" w:hAnsi="Times New Roman" w:cs="Times New Roman"/>
          <w:sz w:val="24"/>
          <w:lang w:val="ro-RO"/>
        </w:rPr>
        <w:t xml:space="preserve">elaborarea </w:t>
      </w:r>
      <w:r w:rsidR="003826B8" w:rsidRPr="009C5F11">
        <w:rPr>
          <w:rFonts w:ascii="Times New Roman" w:hAnsi="Times New Roman" w:cs="Times New Roman"/>
          <w:sz w:val="24"/>
          <w:lang w:val="ro-RO"/>
        </w:rPr>
        <w:t>documente</w:t>
      </w:r>
      <w:r w:rsidR="004A2281" w:rsidRPr="009C5F11">
        <w:rPr>
          <w:rFonts w:ascii="Times New Roman" w:hAnsi="Times New Roman" w:cs="Times New Roman"/>
          <w:sz w:val="24"/>
          <w:lang w:val="ro-RO"/>
        </w:rPr>
        <w:t>l</w:t>
      </w:r>
      <w:r w:rsidR="001738FD" w:rsidRPr="009C5F11">
        <w:rPr>
          <w:rFonts w:ascii="Times New Roman" w:hAnsi="Times New Roman" w:cs="Times New Roman"/>
          <w:sz w:val="24"/>
          <w:lang w:val="ro-RO"/>
        </w:rPr>
        <w:t>or</w:t>
      </w:r>
      <w:r w:rsidR="004A2281" w:rsidRPr="009C5F11">
        <w:rPr>
          <w:rFonts w:ascii="Times New Roman" w:hAnsi="Times New Roman" w:cs="Times New Roman"/>
          <w:sz w:val="24"/>
          <w:lang w:val="ro-RO"/>
        </w:rPr>
        <w:t xml:space="preserve"> de planificare regională</w:t>
      </w:r>
      <w:r w:rsidR="00BC2ED4" w:rsidRPr="009C5F11">
        <w:rPr>
          <w:rFonts w:ascii="Times New Roman" w:hAnsi="Times New Roman" w:cs="Times New Roman"/>
          <w:sz w:val="24"/>
          <w:lang w:val="ro-RO"/>
        </w:rPr>
        <w:t xml:space="preserve"> </w:t>
      </w:r>
      <w:r w:rsidR="00960928" w:rsidRPr="009C5F11">
        <w:rPr>
          <w:rFonts w:ascii="Times New Roman" w:hAnsi="Times New Roman" w:cs="Times New Roman"/>
          <w:sz w:val="24"/>
          <w:lang w:val="ro-RO"/>
        </w:rPr>
        <w:t>cu privire la eficienţa energetică</w:t>
      </w:r>
      <w:r w:rsidR="00321CD5" w:rsidRPr="009C5F11">
        <w:rPr>
          <w:rFonts w:ascii="Times New Roman" w:hAnsi="Times New Roman" w:cs="Times New Roman"/>
          <w:sz w:val="24"/>
          <w:lang w:val="ro-RO"/>
        </w:rPr>
        <w:t xml:space="preserve"> în </w:t>
      </w:r>
      <w:r w:rsidR="007F77BE" w:rsidRPr="009C5F11">
        <w:rPr>
          <w:rFonts w:ascii="Times New Roman" w:hAnsi="Times New Roman" w:cs="Times New Roman"/>
          <w:sz w:val="24"/>
          <w:lang w:val="ro-RO"/>
        </w:rPr>
        <w:t>clădirile publice</w:t>
      </w:r>
      <w:r w:rsidR="00BC2ED4" w:rsidRPr="009C5F11">
        <w:rPr>
          <w:rFonts w:ascii="Times New Roman" w:hAnsi="Times New Roman" w:cs="Times New Roman"/>
          <w:sz w:val="24"/>
          <w:lang w:val="ro-RO"/>
        </w:rPr>
        <w:t xml:space="preserve"> </w:t>
      </w:r>
      <w:r w:rsidR="004A2281" w:rsidRPr="009C5F11">
        <w:rPr>
          <w:rFonts w:ascii="Times New Roman" w:hAnsi="Times New Roman" w:cs="Times New Roman"/>
          <w:sz w:val="24"/>
          <w:lang w:val="ro-RO"/>
        </w:rPr>
        <w:t>cu participarea</w:t>
      </w:r>
      <w:r w:rsidR="00BC2ED4" w:rsidRPr="009C5F11">
        <w:rPr>
          <w:rFonts w:ascii="Times New Roman" w:hAnsi="Times New Roman" w:cs="Times New Roman"/>
          <w:sz w:val="24"/>
          <w:lang w:val="ro-RO"/>
        </w:rPr>
        <w:t xml:space="preserve"> activ</w:t>
      </w:r>
      <w:r w:rsidR="001738FD" w:rsidRPr="009C5F11">
        <w:rPr>
          <w:rFonts w:ascii="Times New Roman" w:hAnsi="Times New Roman" w:cs="Times New Roman"/>
          <w:sz w:val="24"/>
          <w:lang w:val="ro-RO"/>
        </w:rPr>
        <w:t>ă</w:t>
      </w:r>
      <w:r w:rsidR="00BC2ED4" w:rsidRPr="009C5F11">
        <w:rPr>
          <w:rFonts w:ascii="Times New Roman" w:hAnsi="Times New Roman" w:cs="Times New Roman"/>
          <w:sz w:val="24"/>
          <w:lang w:val="ro-RO"/>
        </w:rPr>
        <w:t xml:space="preserve"> </w:t>
      </w:r>
      <w:r w:rsidR="004A2281" w:rsidRPr="009C5F11">
        <w:rPr>
          <w:rFonts w:ascii="Times New Roman" w:hAnsi="Times New Roman" w:cs="Times New Roman"/>
          <w:sz w:val="24"/>
          <w:lang w:val="ro-RO"/>
        </w:rPr>
        <w:t xml:space="preserve">a </w:t>
      </w:r>
      <w:r w:rsidR="005664F4" w:rsidRPr="009C5F11">
        <w:rPr>
          <w:rFonts w:ascii="Times New Roman" w:hAnsi="Times New Roman" w:cs="Times New Roman"/>
          <w:sz w:val="24"/>
          <w:lang w:val="ro-RO"/>
        </w:rPr>
        <w:t>organizaţii</w:t>
      </w:r>
      <w:r w:rsidR="004A2281" w:rsidRPr="009C5F11">
        <w:rPr>
          <w:rFonts w:ascii="Times New Roman" w:hAnsi="Times New Roman" w:cs="Times New Roman"/>
          <w:sz w:val="24"/>
          <w:lang w:val="ro-RO"/>
        </w:rPr>
        <w:t>lor internaţionale</w:t>
      </w:r>
      <w:r w:rsidR="00BC2ED4" w:rsidRPr="009C5F11">
        <w:rPr>
          <w:rFonts w:ascii="Times New Roman" w:hAnsi="Times New Roman" w:cs="Times New Roman"/>
          <w:sz w:val="24"/>
          <w:lang w:val="ro-RO"/>
        </w:rPr>
        <w:t xml:space="preserve">, </w:t>
      </w:r>
      <w:r w:rsidR="00F7594D" w:rsidRPr="009C5F11">
        <w:rPr>
          <w:rFonts w:ascii="Times New Roman" w:hAnsi="Times New Roman" w:cs="Times New Roman"/>
          <w:sz w:val="24"/>
          <w:lang w:val="ro-RO"/>
        </w:rPr>
        <w:t>manageri</w:t>
      </w:r>
      <w:r w:rsidR="001738FD" w:rsidRPr="009C5F11">
        <w:rPr>
          <w:rFonts w:ascii="Times New Roman" w:hAnsi="Times New Roman" w:cs="Times New Roman"/>
          <w:sz w:val="24"/>
          <w:lang w:val="ro-RO"/>
        </w:rPr>
        <w:t>lor</w:t>
      </w:r>
      <w:r w:rsidR="00F7594D" w:rsidRPr="009C5F11">
        <w:rPr>
          <w:rFonts w:ascii="Times New Roman" w:hAnsi="Times New Roman" w:cs="Times New Roman"/>
          <w:sz w:val="24"/>
          <w:lang w:val="ro-RO"/>
        </w:rPr>
        <w:t xml:space="preserve"> energetici</w:t>
      </w:r>
      <w:r w:rsidR="004A2281" w:rsidRPr="009C5F11">
        <w:rPr>
          <w:rFonts w:ascii="Times New Roman" w:hAnsi="Times New Roman" w:cs="Times New Roman"/>
          <w:sz w:val="24"/>
          <w:lang w:val="ro-RO"/>
        </w:rPr>
        <w:t xml:space="preserve"> raionali</w:t>
      </w:r>
      <w:r w:rsidR="00BC2ED4" w:rsidRPr="009C5F11">
        <w:rPr>
          <w:rFonts w:ascii="Times New Roman" w:hAnsi="Times New Roman" w:cs="Times New Roman"/>
          <w:sz w:val="24"/>
          <w:lang w:val="ro-RO"/>
        </w:rPr>
        <w:t xml:space="preserve">, </w:t>
      </w:r>
      <w:r w:rsidR="00063101" w:rsidRPr="009C5F11">
        <w:rPr>
          <w:rFonts w:ascii="Times New Roman" w:hAnsi="Times New Roman" w:cs="Times New Roman"/>
          <w:sz w:val="24"/>
          <w:lang w:val="ro-RO"/>
        </w:rPr>
        <w:t>experţi</w:t>
      </w:r>
      <w:r w:rsidR="001738FD" w:rsidRPr="009C5F11">
        <w:rPr>
          <w:rFonts w:ascii="Times New Roman" w:hAnsi="Times New Roman" w:cs="Times New Roman"/>
          <w:sz w:val="24"/>
          <w:lang w:val="ro-RO"/>
        </w:rPr>
        <w:t>lor</w:t>
      </w:r>
      <w:r w:rsidR="00063101" w:rsidRPr="009C5F11">
        <w:rPr>
          <w:rFonts w:ascii="Times New Roman" w:hAnsi="Times New Roman" w:cs="Times New Roman"/>
          <w:sz w:val="24"/>
          <w:lang w:val="ro-RO"/>
        </w:rPr>
        <w:t xml:space="preserve"> în domeniul </w:t>
      </w:r>
      <w:r w:rsidR="000C7BEC" w:rsidRPr="009C5F11">
        <w:rPr>
          <w:rFonts w:ascii="Times New Roman" w:hAnsi="Times New Roman" w:cs="Times New Roman"/>
          <w:sz w:val="24"/>
          <w:lang w:val="ro-RO"/>
        </w:rPr>
        <w:t>eficienţ</w:t>
      </w:r>
      <w:r w:rsidR="00063101" w:rsidRPr="009C5F11">
        <w:rPr>
          <w:rFonts w:ascii="Times New Roman" w:hAnsi="Times New Roman" w:cs="Times New Roman"/>
          <w:sz w:val="24"/>
          <w:lang w:val="ro-RO"/>
        </w:rPr>
        <w:t>ei</w:t>
      </w:r>
      <w:r w:rsidR="000C7BEC" w:rsidRPr="009C5F11">
        <w:rPr>
          <w:rFonts w:ascii="Times New Roman" w:hAnsi="Times New Roman" w:cs="Times New Roman"/>
          <w:sz w:val="24"/>
          <w:lang w:val="ro-RO"/>
        </w:rPr>
        <w:t xml:space="preserve"> energetic</w:t>
      </w:r>
      <w:r w:rsidR="00063101"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w:t>
      </w:r>
      <w:r w:rsidR="00177E9C" w:rsidRPr="009C5F11">
        <w:rPr>
          <w:rFonts w:ascii="Times New Roman" w:hAnsi="Times New Roman" w:cs="Times New Roman"/>
          <w:sz w:val="24"/>
          <w:lang w:val="ro-RO"/>
        </w:rPr>
        <w:t>reprezentanţi</w:t>
      </w:r>
      <w:r w:rsidR="001738FD" w:rsidRPr="009C5F11">
        <w:rPr>
          <w:rFonts w:ascii="Times New Roman" w:hAnsi="Times New Roman" w:cs="Times New Roman"/>
          <w:sz w:val="24"/>
          <w:lang w:val="ro-RO"/>
        </w:rPr>
        <w:t>lor</w:t>
      </w:r>
      <w:r w:rsidR="00BC2ED4"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APL</w:t>
      </w:r>
      <w:r w:rsidR="00321CD5" w:rsidRPr="009C5F11">
        <w:rPr>
          <w:rFonts w:ascii="Times New Roman" w:hAnsi="Times New Roman" w:cs="Times New Roman"/>
          <w:sz w:val="24"/>
          <w:lang w:val="ro-RO"/>
        </w:rPr>
        <w:t xml:space="preserve"> şi</w:t>
      </w:r>
      <w:r w:rsidR="00063101" w:rsidRPr="009C5F11">
        <w:rPr>
          <w:rFonts w:ascii="Times New Roman" w:hAnsi="Times New Roman" w:cs="Times New Roman"/>
          <w:sz w:val="24"/>
          <w:lang w:val="ro-RO"/>
        </w:rPr>
        <w:t xml:space="preserve"> ministerelor de ramură</w:t>
      </w:r>
      <w:r w:rsidR="00BC2ED4" w:rsidRPr="009C5F11">
        <w:rPr>
          <w:rFonts w:ascii="Times New Roman" w:hAnsi="Times New Roman" w:cs="Times New Roman"/>
          <w:sz w:val="24"/>
          <w:lang w:val="ro-RO"/>
        </w:rPr>
        <w:t>.</w:t>
      </w:r>
    </w:p>
    <w:p w14:paraId="78CF51AB" w14:textId="77777777" w:rsidR="008A6691" w:rsidRPr="009C5F11" w:rsidRDefault="00122751"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Convenţia Primarilor</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iniţiativa</w:t>
      </w:r>
      <w:r w:rsidR="00BC2ED4"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UE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aduce împreună autorităţile</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locale şi regionale într-un angajament voluntar comun de a spori </w:t>
      </w:r>
      <w:r w:rsidR="000C7BEC" w:rsidRPr="009C5F11">
        <w:rPr>
          <w:rFonts w:ascii="Times New Roman" w:hAnsi="Times New Roman" w:cs="Times New Roman"/>
          <w:sz w:val="24"/>
          <w:lang w:val="ro-RO"/>
        </w:rPr>
        <w:t>eficienţ</w:t>
      </w:r>
      <w:r w:rsidRPr="009C5F11">
        <w:rPr>
          <w:rFonts w:ascii="Times New Roman" w:hAnsi="Times New Roman" w:cs="Times New Roman"/>
          <w:sz w:val="24"/>
          <w:lang w:val="ro-RO"/>
        </w:rPr>
        <w:t>a</w:t>
      </w:r>
      <w:r w:rsidR="000C7BEC" w:rsidRPr="009C5F11">
        <w:rPr>
          <w:rFonts w:ascii="Times New Roman" w:hAnsi="Times New Roman" w:cs="Times New Roman"/>
          <w:sz w:val="24"/>
          <w:lang w:val="ro-RO"/>
        </w:rPr>
        <w:t xml:space="preserve"> energetică</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utiliza</w:t>
      </w:r>
      <w:r w:rsidR="00BC2ED4" w:rsidRPr="009C5F11">
        <w:rPr>
          <w:rFonts w:ascii="Times New Roman" w:hAnsi="Times New Roman" w:cs="Times New Roman"/>
          <w:sz w:val="24"/>
          <w:lang w:val="ro-RO"/>
        </w:rPr>
        <w:t xml:space="preserve"> </w:t>
      </w:r>
      <w:r w:rsidR="00FF7936" w:rsidRPr="009C5F11">
        <w:rPr>
          <w:rFonts w:ascii="Times New Roman" w:hAnsi="Times New Roman" w:cs="Times New Roman"/>
          <w:sz w:val="24"/>
          <w:lang w:val="ro-RO"/>
        </w:rPr>
        <w:t>surse regenerabile de energie</w:t>
      </w:r>
      <w:r w:rsidR="00321CD5" w:rsidRPr="009C5F11">
        <w:rPr>
          <w:rFonts w:ascii="Times New Roman" w:hAnsi="Times New Roman" w:cs="Times New Roman"/>
          <w:sz w:val="24"/>
          <w:lang w:val="ro-RO"/>
        </w:rPr>
        <w:t xml:space="preserve"> în </w:t>
      </w:r>
      <w:r w:rsidR="00AA06F7" w:rsidRPr="009C5F11">
        <w:rPr>
          <w:rFonts w:ascii="Times New Roman" w:hAnsi="Times New Roman" w:cs="Times New Roman"/>
          <w:sz w:val="24"/>
          <w:lang w:val="ro-RO"/>
        </w:rPr>
        <w:t>teritorii</w:t>
      </w:r>
      <w:r w:rsidRPr="009C5F11">
        <w:rPr>
          <w:rFonts w:ascii="Times New Roman" w:hAnsi="Times New Roman" w:cs="Times New Roman"/>
          <w:sz w:val="24"/>
          <w:lang w:val="ro-RO"/>
        </w:rPr>
        <w:t>le lor</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Semnatarii Convenţiei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îşi propun să </w:t>
      </w:r>
      <w:r w:rsidR="00BC2ED4" w:rsidRPr="009C5F11">
        <w:rPr>
          <w:rFonts w:ascii="Times New Roman" w:hAnsi="Times New Roman" w:cs="Times New Roman"/>
          <w:sz w:val="24"/>
          <w:lang w:val="ro-RO"/>
        </w:rPr>
        <w:t>reduc</w:t>
      </w:r>
      <w:r w:rsidRPr="009C5F11">
        <w:rPr>
          <w:rFonts w:ascii="Times New Roman" w:hAnsi="Times New Roman" w:cs="Times New Roman"/>
          <w:sz w:val="24"/>
          <w:lang w:val="ro-RO"/>
        </w:rPr>
        <w:t>ă</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cu </w:t>
      </w:r>
      <w:r w:rsidR="00BC2ED4" w:rsidRPr="009C5F11">
        <w:rPr>
          <w:rFonts w:ascii="Times New Roman" w:hAnsi="Times New Roman" w:cs="Times New Roman"/>
          <w:sz w:val="24"/>
          <w:lang w:val="ro-RO"/>
        </w:rPr>
        <w:t xml:space="preserve">20% </w:t>
      </w:r>
      <w:r w:rsidRPr="009C5F11">
        <w:rPr>
          <w:rFonts w:ascii="Times New Roman" w:hAnsi="Times New Roman" w:cs="Times New Roman"/>
          <w:sz w:val="24"/>
          <w:lang w:val="ro-RO"/>
        </w:rPr>
        <w:t>emisiile de CO2</w:t>
      </w:r>
      <w:r w:rsidR="00BC2ED4" w:rsidRPr="009C5F11">
        <w:rPr>
          <w:rFonts w:ascii="Times New Roman" w:hAnsi="Times New Roman" w:cs="Times New Roman"/>
          <w:sz w:val="24"/>
          <w:lang w:val="ro-RO"/>
        </w:rPr>
        <w:t xml:space="preserve"> </w:t>
      </w:r>
      <w:r w:rsidR="00603237" w:rsidRPr="009C5F11">
        <w:rPr>
          <w:rFonts w:ascii="Times New Roman" w:hAnsi="Times New Roman" w:cs="Times New Roman"/>
          <w:sz w:val="24"/>
          <w:lang w:val="ro-RO"/>
        </w:rPr>
        <w:t>până în 2020</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contribuind</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în acest mod la dezvoltarea ecologică şi îmbunătăţirea calităţii vieţii</w:t>
      </w:r>
      <w:r w:rsidR="00BC2ED4" w:rsidRPr="009C5F11">
        <w:rPr>
          <w:rFonts w:ascii="Times New Roman" w:hAnsi="Times New Roman" w:cs="Times New Roman"/>
          <w:sz w:val="24"/>
          <w:lang w:val="ro-RO"/>
        </w:rPr>
        <w:t>.</w:t>
      </w:r>
    </w:p>
    <w:p w14:paraId="3714DBDB" w14:textId="447CF426" w:rsidR="00BC2ED4" w:rsidRPr="009C5F11" w:rsidRDefault="00122751"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Planurile de acţiune pentru energie durabilă</w:t>
      </w:r>
      <w:r w:rsidR="00BC2ED4" w:rsidRPr="009C5F11">
        <w:rPr>
          <w:rFonts w:ascii="Times New Roman" w:hAnsi="Times New Roman" w:cs="Times New Roman"/>
          <w:sz w:val="24"/>
          <w:lang w:val="ro-RO"/>
        </w:rPr>
        <w:t xml:space="preserve"> </w:t>
      </w:r>
      <w:r w:rsidR="001738FD" w:rsidRPr="009C5F11">
        <w:rPr>
          <w:rFonts w:ascii="Times New Roman" w:hAnsi="Times New Roman" w:cs="Times New Roman"/>
          <w:sz w:val="24"/>
          <w:lang w:val="ro-RO"/>
        </w:rPr>
        <w:t xml:space="preserve">(PAED) </w:t>
      </w:r>
      <w:r w:rsidRPr="009C5F11">
        <w:rPr>
          <w:rFonts w:ascii="Times New Roman" w:hAnsi="Times New Roman" w:cs="Times New Roman"/>
          <w:sz w:val="24"/>
          <w:lang w:val="ro-RO"/>
        </w:rPr>
        <w:t>prezintă modul în care semnatarii Convenţiei vor realiza angajamentele asumate</w:t>
      </w:r>
      <w:r w:rsidR="00BC2ED4" w:rsidRPr="009C5F11">
        <w:rPr>
          <w:rFonts w:ascii="Times New Roman" w:hAnsi="Times New Roman" w:cs="Times New Roman"/>
          <w:sz w:val="24"/>
          <w:lang w:val="ro-RO"/>
        </w:rPr>
        <w:t xml:space="preserve"> </w:t>
      </w:r>
      <w:r w:rsidR="00603237" w:rsidRPr="009C5F11">
        <w:rPr>
          <w:rFonts w:ascii="Times New Roman" w:hAnsi="Times New Roman" w:cs="Times New Roman"/>
          <w:sz w:val="24"/>
          <w:lang w:val="ro-RO"/>
        </w:rPr>
        <w:t>până în 2020</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Planurile </w:t>
      </w:r>
      <w:r w:rsidR="004000CC" w:rsidRPr="009C5F11">
        <w:rPr>
          <w:rFonts w:ascii="Times New Roman" w:hAnsi="Times New Roman" w:cs="Times New Roman"/>
          <w:sz w:val="24"/>
          <w:lang w:val="ro-RO"/>
        </w:rPr>
        <w:t>define</w:t>
      </w:r>
      <w:r w:rsidRPr="009C5F11">
        <w:rPr>
          <w:rFonts w:ascii="Times New Roman" w:hAnsi="Times New Roman" w:cs="Times New Roman"/>
          <w:sz w:val="24"/>
          <w:lang w:val="ro-RO"/>
        </w:rPr>
        <w:t>sc măsuri</w:t>
      </w:r>
      <w:r w:rsidR="00BC2ED4" w:rsidRPr="009C5F11">
        <w:rPr>
          <w:rFonts w:ascii="Times New Roman" w:hAnsi="Times New Roman" w:cs="Times New Roman"/>
          <w:sz w:val="24"/>
          <w:lang w:val="ro-RO"/>
        </w:rPr>
        <w:t xml:space="preserve"> concrete </w:t>
      </w:r>
      <w:r w:rsidRPr="009C5F11">
        <w:rPr>
          <w:rFonts w:ascii="Times New Roman" w:hAnsi="Times New Roman" w:cs="Times New Roman"/>
          <w:sz w:val="24"/>
          <w:lang w:val="ro-RO"/>
        </w:rPr>
        <w:t xml:space="preserve">de </w:t>
      </w:r>
      <w:r w:rsidR="00BC2ED4" w:rsidRPr="009C5F11">
        <w:rPr>
          <w:rFonts w:ascii="Times New Roman" w:hAnsi="Times New Roman" w:cs="Times New Roman"/>
          <w:sz w:val="24"/>
          <w:lang w:val="ro-RO"/>
        </w:rPr>
        <w:t>reduc</w:t>
      </w:r>
      <w:r w:rsidRPr="009C5F11">
        <w:rPr>
          <w:rFonts w:ascii="Times New Roman" w:hAnsi="Times New Roman" w:cs="Times New Roman"/>
          <w:sz w:val="24"/>
          <w:lang w:val="ro-RO"/>
        </w:rPr>
        <w:t>ere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calendare şi </w:t>
      </w:r>
      <w:r w:rsidR="004000CC" w:rsidRPr="009C5F11">
        <w:rPr>
          <w:rFonts w:ascii="Times New Roman" w:hAnsi="Times New Roman" w:cs="Times New Roman"/>
          <w:sz w:val="24"/>
          <w:lang w:val="ro-RO"/>
        </w:rPr>
        <w:t>responsabilităţile</w:t>
      </w:r>
      <w:r w:rsidRPr="009C5F11">
        <w:rPr>
          <w:rFonts w:ascii="Times New Roman" w:hAnsi="Times New Roman" w:cs="Times New Roman"/>
          <w:sz w:val="24"/>
          <w:lang w:val="ro-RO"/>
        </w:rPr>
        <w:t xml:space="preserve"> atribuite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care transformă strategia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 termen lung în</w:t>
      </w:r>
      <w:r w:rsidR="00BC2ED4" w:rsidRPr="009C5F11">
        <w:rPr>
          <w:rFonts w:ascii="Times New Roman" w:hAnsi="Times New Roman" w:cs="Times New Roman"/>
          <w:sz w:val="24"/>
          <w:lang w:val="ro-RO"/>
        </w:rPr>
        <w:t xml:space="preserve"> </w:t>
      </w:r>
      <w:r w:rsidR="008F7BD5" w:rsidRPr="009C5F11">
        <w:rPr>
          <w:rFonts w:ascii="Times New Roman" w:hAnsi="Times New Roman" w:cs="Times New Roman"/>
          <w:sz w:val="24"/>
          <w:lang w:val="ro-RO"/>
        </w:rPr>
        <w:t>acţiune</w:t>
      </w:r>
      <w:r w:rsidR="00BC2ED4" w:rsidRPr="009C5F11">
        <w:rPr>
          <w:rFonts w:ascii="Times New Roman" w:hAnsi="Times New Roman" w:cs="Times New Roman"/>
          <w:sz w:val="24"/>
          <w:lang w:val="ro-RO"/>
        </w:rPr>
        <w:t>. S</w:t>
      </w:r>
      <w:r w:rsidRPr="009C5F11">
        <w:rPr>
          <w:rFonts w:ascii="Times New Roman" w:hAnsi="Times New Roman" w:cs="Times New Roman"/>
          <w:sz w:val="24"/>
          <w:lang w:val="ro-RO"/>
        </w:rPr>
        <w:t>emnatarii se obligă să prezinte PAED-urile peste un an de la aderare</w:t>
      </w:r>
      <w:r w:rsidR="001738FD"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la Convenţie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PAED-urile trebuie să fie </w:t>
      </w:r>
      <w:r w:rsidR="00334DD0" w:rsidRPr="009C5F11">
        <w:rPr>
          <w:rFonts w:ascii="Times New Roman" w:hAnsi="Times New Roman" w:cs="Times New Roman"/>
          <w:sz w:val="24"/>
          <w:lang w:val="ro-RO"/>
        </w:rPr>
        <w:t>aprobat</w:t>
      </w:r>
      <w:r w:rsidR="001738FD" w:rsidRPr="009C5F11">
        <w:rPr>
          <w:rFonts w:ascii="Times New Roman" w:hAnsi="Times New Roman" w:cs="Times New Roman"/>
          <w:sz w:val="24"/>
          <w:lang w:val="ro-RO"/>
        </w:rPr>
        <w:t>e</w:t>
      </w:r>
      <w:r w:rsidR="00334DD0" w:rsidRPr="009C5F11">
        <w:rPr>
          <w:rFonts w:ascii="Times New Roman" w:hAnsi="Times New Roman" w:cs="Times New Roman"/>
          <w:sz w:val="24"/>
          <w:lang w:val="ro-RO"/>
        </w:rPr>
        <w:t xml:space="preserve"> de</w:t>
      </w:r>
      <w:r w:rsidR="00BC2ED4" w:rsidRPr="009C5F11">
        <w:rPr>
          <w:rFonts w:ascii="Times New Roman" w:hAnsi="Times New Roman" w:cs="Times New Roman"/>
          <w:sz w:val="24"/>
          <w:lang w:val="ro-RO"/>
        </w:rPr>
        <w:t xml:space="preserve"> </w:t>
      </w:r>
      <w:r w:rsidR="00C77D69" w:rsidRPr="009C5F11">
        <w:rPr>
          <w:rFonts w:ascii="Times New Roman" w:hAnsi="Times New Roman" w:cs="Times New Roman"/>
          <w:sz w:val="24"/>
          <w:lang w:val="ro-RO"/>
        </w:rPr>
        <w:t>Consiliul municipal</w:t>
      </w:r>
      <w:r w:rsidR="00BC2ED4" w:rsidRPr="009C5F11">
        <w:rPr>
          <w:rFonts w:ascii="Times New Roman" w:hAnsi="Times New Roman" w:cs="Times New Roman"/>
          <w:sz w:val="24"/>
          <w:lang w:val="ro-RO"/>
        </w:rPr>
        <w:t xml:space="preserve"> (</w:t>
      </w:r>
      <w:r w:rsidR="00C77D69" w:rsidRPr="009C5F11">
        <w:rPr>
          <w:rFonts w:ascii="Times New Roman" w:hAnsi="Times New Roman" w:cs="Times New Roman"/>
          <w:sz w:val="24"/>
          <w:lang w:val="ro-RO"/>
        </w:rPr>
        <w:t>sau de un organism echivalent</w:t>
      </w:r>
      <w:r w:rsidR="00BC2ED4"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şi </w:t>
      </w:r>
      <w:r w:rsidR="00C77D69" w:rsidRPr="009C5F11">
        <w:rPr>
          <w:rFonts w:ascii="Times New Roman" w:hAnsi="Times New Roman" w:cs="Times New Roman"/>
          <w:sz w:val="24"/>
          <w:lang w:val="ro-RO"/>
        </w:rPr>
        <w:t xml:space="preserve">să </w:t>
      </w:r>
      <w:r w:rsidR="00BC2ED4" w:rsidRPr="009C5F11">
        <w:rPr>
          <w:rFonts w:ascii="Times New Roman" w:hAnsi="Times New Roman" w:cs="Times New Roman"/>
          <w:sz w:val="24"/>
          <w:lang w:val="ro-RO"/>
        </w:rPr>
        <w:t>identif</w:t>
      </w:r>
      <w:r w:rsidR="00C77D69" w:rsidRPr="009C5F11">
        <w:rPr>
          <w:rFonts w:ascii="Times New Roman" w:hAnsi="Times New Roman" w:cs="Times New Roman"/>
          <w:sz w:val="24"/>
          <w:lang w:val="ro-RO"/>
        </w:rPr>
        <w:t xml:space="preserve">ice Inventarul de referinţă al emisiilor, </w:t>
      </w:r>
      <w:r w:rsidR="00421FA7" w:rsidRPr="009C5F11">
        <w:rPr>
          <w:rFonts w:ascii="Times New Roman" w:hAnsi="Times New Roman" w:cs="Times New Roman"/>
          <w:sz w:val="24"/>
          <w:lang w:val="ro-RO"/>
        </w:rPr>
        <w:t>precum şi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elemente</w:t>
      </w:r>
      <w:r w:rsidR="00C77D69" w:rsidRPr="009C5F11">
        <w:rPr>
          <w:rFonts w:ascii="Times New Roman" w:hAnsi="Times New Roman" w:cs="Times New Roman"/>
          <w:sz w:val="24"/>
          <w:lang w:val="ro-RO"/>
        </w:rPr>
        <w:t>le-cheie</w:t>
      </w:r>
      <w:r w:rsidR="00BC2ED4" w:rsidRPr="009C5F11">
        <w:rPr>
          <w:rFonts w:ascii="Times New Roman" w:hAnsi="Times New Roman" w:cs="Times New Roman"/>
          <w:sz w:val="24"/>
          <w:lang w:val="ro-RO"/>
        </w:rPr>
        <w:t>.</w:t>
      </w:r>
    </w:p>
    <w:p w14:paraId="36433514" w14:textId="77777777" w:rsidR="007E4688" w:rsidRPr="009C5F11" w:rsidRDefault="007E4688" w:rsidP="00154483">
      <w:pPr>
        <w:spacing w:before="120" w:after="120" w:line="240" w:lineRule="auto"/>
        <w:jc w:val="both"/>
        <w:rPr>
          <w:rFonts w:ascii="Times New Roman" w:hAnsi="Times New Roman" w:cs="Times New Roman"/>
          <w:sz w:val="24"/>
          <w:lang w:val="ro-RO"/>
        </w:rPr>
      </w:pPr>
    </w:p>
    <w:p w14:paraId="4B5815E9" w14:textId="57670518" w:rsidR="00BC2ED4" w:rsidRPr="00D9464A" w:rsidRDefault="00BC2ED4" w:rsidP="001C58A9">
      <w:pPr>
        <w:pStyle w:val="Titlu3"/>
        <w:rPr>
          <w:rFonts w:ascii="Times New Roman" w:hAnsi="Times New Roman" w:cs="Times New Roman"/>
          <w:b/>
          <w:color w:val="000000" w:themeColor="text1"/>
          <w:sz w:val="28"/>
          <w:lang w:val="ro-RO"/>
        </w:rPr>
      </w:pPr>
      <w:bookmarkStart w:id="328" w:name="_Toc319555434"/>
      <w:bookmarkStart w:id="329" w:name="_Ref319687844"/>
      <w:bookmarkStart w:id="330" w:name="_Toc322013194"/>
      <w:r w:rsidRPr="00D9464A">
        <w:rPr>
          <w:rFonts w:ascii="Times New Roman" w:hAnsi="Times New Roman" w:cs="Times New Roman"/>
          <w:b/>
          <w:color w:val="000000" w:themeColor="text1"/>
          <w:sz w:val="28"/>
          <w:lang w:val="ro-RO"/>
        </w:rPr>
        <w:t>List</w:t>
      </w:r>
      <w:r w:rsidR="00122751" w:rsidRPr="00D9464A">
        <w:rPr>
          <w:rFonts w:ascii="Times New Roman" w:hAnsi="Times New Roman" w:cs="Times New Roman"/>
          <w:b/>
          <w:color w:val="000000" w:themeColor="text1"/>
          <w:sz w:val="28"/>
          <w:lang w:val="ro-RO"/>
        </w:rPr>
        <w:t>a</w:t>
      </w:r>
      <w:r w:rsidRPr="00D9464A">
        <w:rPr>
          <w:rFonts w:ascii="Times New Roman" w:hAnsi="Times New Roman" w:cs="Times New Roman"/>
          <w:b/>
          <w:color w:val="000000" w:themeColor="text1"/>
          <w:sz w:val="28"/>
          <w:lang w:val="ro-RO"/>
        </w:rPr>
        <w:t xml:space="preserve"> </w:t>
      </w:r>
      <w:r w:rsidR="00BA4E58">
        <w:rPr>
          <w:rFonts w:ascii="Times New Roman" w:hAnsi="Times New Roman" w:cs="Times New Roman"/>
          <w:b/>
          <w:color w:val="000000" w:themeColor="text1"/>
          <w:sz w:val="28"/>
          <w:lang w:val="ro-RO"/>
        </w:rPr>
        <w:t>autorităților administrației</w:t>
      </w:r>
      <w:r w:rsidR="00B45C21" w:rsidRPr="00D9464A">
        <w:rPr>
          <w:rFonts w:ascii="Times New Roman" w:hAnsi="Times New Roman" w:cs="Times New Roman"/>
          <w:b/>
          <w:color w:val="000000" w:themeColor="text1"/>
          <w:sz w:val="28"/>
          <w:lang w:val="ro-RO"/>
        </w:rPr>
        <w:t xml:space="preserve"> publice</w:t>
      </w:r>
      <w:r w:rsidRPr="00D9464A">
        <w:rPr>
          <w:rFonts w:ascii="Times New Roman" w:hAnsi="Times New Roman" w:cs="Times New Roman"/>
          <w:b/>
          <w:color w:val="000000" w:themeColor="text1"/>
          <w:sz w:val="28"/>
          <w:lang w:val="ro-RO"/>
        </w:rPr>
        <w:t xml:space="preserve"> </w:t>
      </w:r>
      <w:r w:rsidR="00122751" w:rsidRPr="00D9464A">
        <w:rPr>
          <w:rFonts w:ascii="Times New Roman" w:hAnsi="Times New Roman" w:cs="Times New Roman"/>
          <w:b/>
          <w:color w:val="000000" w:themeColor="text1"/>
          <w:sz w:val="28"/>
          <w:lang w:val="ro-RO"/>
        </w:rPr>
        <w:t>care au elaborat planuri de acţiune în domeniul eficienţei</w:t>
      </w:r>
      <w:r w:rsidR="000C7BEC" w:rsidRPr="00D9464A">
        <w:rPr>
          <w:rFonts w:ascii="Times New Roman" w:hAnsi="Times New Roman" w:cs="Times New Roman"/>
          <w:b/>
          <w:color w:val="000000" w:themeColor="text1"/>
          <w:sz w:val="28"/>
          <w:lang w:val="ro-RO"/>
        </w:rPr>
        <w:t xml:space="preserve"> energetic</w:t>
      </w:r>
      <w:r w:rsidR="00122751" w:rsidRPr="00D9464A">
        <w:rPr>
          <w:rFonts w:ascii="Times New Roman" w:hAnsi="Times New Roman" w:cs="Times New Roman"/>
          <w:b/>
          <w:color w:val="000000" w:themeColor="text1"/>
          <w:sz w:val="28"/>
          <w:lang w:val="ro-RO"/>
        </w:rPr>
        <w:t>e</w:t>
      </w:r>
      <w:bookmarkEnd w:id="328"/>
      <w:bookmarkEnd w:id="329"/>
      <w:r w:rsidR="001738FD" w:rsidRPr="00D9464A">
        <w:rPr>
          <w:rFonts w:ascii="Times New Roman" w:hAnsi="Times New Roman" w:cs="Times New Roman"/>
          <w:b/>
          <w:color w:val="000000" w:themeColor="text1"/>
          <w:sz w:val="28"/>
          <w:lang w:val="ro-RO"/>
        </w:rPr>
        <w:t>.</w:t>
      </w:r>
      <w:bookmarkEnd w:id="330"/>
    </w:p>
    <w:p w14:paraId="0D4D56BA" w14:textId="425F2EA6" w:rsidR="00BC2ED4" w:rsidRPr="009C5F11" w:rsidRDefault="00927CD9"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Potrivit</w:t>
      </w:r>
      <w:r w:rsidR="00BC2ED4" w:rsidRPr="009C5F11">
        <w:rPr>
          <w:rFonts w:ascii="Times New Roman" w:hAnsi="Times New Roman" w:cs="Times New Roman"/>
          <w:sz w:val="24"/>
          <w:lang w:val="ro-RO"/>
        </w:rPr>
        <w:t xml:space="preserve"> </w:t>
      </w:r>
      <w:r w:rsidR="00122751" w:rsidRPr="009C5F11">
        <w:rPr>
          <w:rFonts w:ascii="Times New Roman" w:hAnsi="Times New Roman" w:cs="Times New Roman"/>
          <w:sz w:val="24"/>
          <w:lang w:val="ro-RO"/>
        </w:rPr>
        <w:t>dispoziţii</w:t>
      </w:r>
      <w:r w:rsidR="00BC2ED4" w:rsidRPr="009C5F11">
        <w:rPr>
          <w:rFonts w:ascii="Times New Roman" w:hAnsi="Times New Roman" w:cs="Times New Roman"/>
          <w:sz w:val="24"/>
          <w:lang w:val="ro-RO"/>
        </w:rPr>
        <w:t xml:space="preserve"> </w:t>
      </w:r>
      <w:r w:rsidR="00C77D69"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w:t>
      </w:r>
      <w:r w:rsidR="00204033" w:rsidRPr="009C5F11">
        <w:rPr>
          <w:rFonts w:ascii="Times New Roman" w:hAnsi="Times New Roman" w:cs="Times New Roman"/>
          <w:sz w:val="24"/>
          <w:lang w:val="ro-RO"/>
        </w:rPr>
        <w:t>Capitolul</w:t>
      </w:r>
      <w:r w:rsidR="00BC2ED4" w:rsidRPr="009C5F11">
        <w:rPr>
          <w:rFonts w:ascii="Times New Roman" w:hAnsi="Times New Roman" w:cs="Times New Roman"/>
          <w:sz w:val="24"/>
          <w:lang w:val="ro-RO"/>
        </w:rPr>
        <w:t xml:space="preserve"> VI </w:t>
      </w:r>
      <w:r w:rsidR="00C77D69" w:rsidRPr="009C5F11">
        <w:rPr>
          <w:rFonts w:ascii="Times New Roman" w:hAnsi="Times New Roman" w:cs="Times New Roman"/>
          <w:sz w:val="24"/>
          <w:lang w:val="ro-RO"/>
        </w:rPr>
        <w:t>al</w:t>
      </w:r>
      <w:r w:rsidR="00BC2ED4" w:rsidRPr="009C5F11">
        <w:rPr>
          <w:rFonts w:ascii="Times New Roman" w:hAnsi="Times New Roman" w:cs="Times New Roman"/>
          <w:sz w:val="24"/>
          <w:lang w:val="ro-RO"/>
        </w:rPr>
        <w:t xml:space="preserve"> </w:t>
      </w:r>
      <w:r w:rsidR="00204033" w:rsidRPr="009C5F11">
        <w:rPr>
          <w:rFonts w:ascii="Times New Roman" w:hAnsi="Times New Roman" w:cs="Times New Roman"/>
          <w:sz w:val="24"/>
          <w:lang w:val="ro-RO"/>
        </w:rPr>
        <w:t>Programul naţional pentru eficienţă energetică</w:t>
      </w:r>
      <w:r w:rsidR="00BC2ED4" w:rsidRPr="009C5F11">
        <w:rPr>
          <w:rFonts w:ascii="Times New Roman" w:hAnsi="Times New Roman" w:cs="Times New Roman"/>
          <w:sz w:val="24"/>
          <w:lang w:val="ro-RO"/>
        </w:rPr>
        <w:t xml:space="preserve"> 2011-2020 “</w:t>
      </w:r>
      <w:r w:rsidR="00C77D69" w:rsidRPr="009C5F11">
        <w:rPr>
          <w:rFonts w:ascii="Times New Roman" w:hAnsi="Times New Roman" w:cs="Times New Roman"/>
          <w:sz w:val="24"/>
          <w:lang w:val="ro-RO"/>
        </w:rPr>
        <w:t>Consiliile raionale şi consiliile municipale, Adunarea Populară a UTA Găgăuzia vor</w:t>
      </w:r>
      <w:r w:rsidR="00BC2ED4" w:rsidRPr="009C5F11">
        <w:rPr>
          <w:rFonts w:ascii="Times New Roman" w:hAnsi="Times New Roman" w:cs="Times New Roman"/>
          <w:sz w:val="24"/>
          <w:lang w:val="ro-RO"/>
        </w:rPr>
        <w:t>:</w:t>
      </w:r>
    </w:p>
    <w:p w14:paraId="6B04D132" w14:textId="77777777" w:rsidR="00BC2ED4" w:rsidRPr="009C5F11" w:rsidRDefault="00C77D69"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elabora programele proprii de eficienţă energetică la fiecare trei ani. Primul program va fi elaborat cu sprijinul Agenţiei pentru Eficienţă Energetică pentru perioada 2012-2014</w:t>
      </w:r>
      <w:r w:rsidR="00BC2ED4" w:rsidRPr="009C5F11">
        <w:rPr>
          <w:rFonts w:ascii="Times New Roman" w:hAnsi="Times New Roman" w:cs="Times New Roman"/>
          <w:sz w:val="24"/>
          <w:lang w:val="ro-RO"/>
        </w:rPr>
        <w:t>;</w:t>
      </w:r>
    </w:p>
    <w:p w14:paraId="32DA4AC6" w14:textId="77777777" w:rsidR="00BC2ED4" w:rsidRPr="009C5F11" w:rsidRDefault="00C77D69"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lastRenderedPageBreak/>
        <w:t>elabora planul de acţiuni privind eficienţa energetică pentru fiecare an cu identificarea măsurilor prioritare, surselor de finanţare etc.</w:t>
      </w:r>
      <w:r w:rsidR="00AB1710" w:rsidRPr="009C5F11">
        <w:rPr>
          <w:rFonts w:ascii="Times New Roman" w:hAnsi="Times New Roman" w:cs="Times New Roman"/>
          <w:sz w:val="24"/>
          <w:lang w:val="ro-RO"/>
        </w:rPr>
        <w:t>;</w:t>
      </w:r>
    </w:p>
    <w:p w14:paraId="7B735F13" w14:textId="77777777" w:rsidR="00BC2ED4" w:rsidRPr="009C5F11" w:rsidRDefault="00C77D69"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elabora la finele fiecărui an un raport referitor la măsurile de eficienţă energetică întreprinse, expediindu-l Agenţiei pentru Eficienţă Energetică</w:t>
      </w:r>
      <w:r w:rsidR="00BC2ED4" w:rsidRPr="009C5F11">
        <w:rPr>
          <w:rFonts w:ascii="Times New Roman" w:hAnsi="Times New Roman" w:cs="Times New Roman"/>
          <w:sz w:val="24"/>
          <w:lang w:val="ro-RO"/>
        </w:rPr>
        <w:t>;</w:t>
      </w:r>
    </w:p>
    <w:p w14:paraId="033A71D7" w14:textId="77777777" w:rsidR="008A6691" w:rsidRPr="009C5F11" w:rsidRDefault="00927CD9"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Potrivit</w:t>
      </w:r>
      <w:r w:rsidR="00BC2ED4"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Articolul</w:t>
      </w:r>
      <w:r w:rsidR="00C77D69" w:rsidRPr="009C5F11">
        <w:rPr>
          <w:rFonts w:ascii="Times New Roman" w:hAnsi="Times New Roman" w:cs="Times New Roman"/>
          <w:sz w:val="24"/>
          <w:lang w:val="ro-RO"/>
        </w:rPr>
        <w:t>ui</w:t>
      </w:r>
      <w:r w:rsidR="00BC2ED4" w:rsidRPr="009C5F11">
        <w:rPr>
          <w:rFonts w:ascii="Times New Roman" w:hAnsi="Times New Roman" w:cs="Times New Roman"/>
          <w:sz w:val="24"/>
          <w:lang w:val="ro-RO"/>
        </w:rPr>
        <w:t xml:space="preserve"> 116 </w:t>
      </w:r>
      <w:r w:rsidR="00C77D69"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w:t>
      </w:r>
      <w:r w:rsidR="00F4274E" w:rsidRPr="009C5F11">
        <w:rPr>
          <w:rFonts w:ascii="Times New Roman" w:hAnsi="Times New Roman" w:cs="Times New Roman"/>
          <w:sz w:val="24"/>
          <w:lang w:val="ro-RO"/>
        </w:rPr>
        <w:t>Planul naţional de acţiuni în domeniul eficienţei energetice</w:t>
      </w:r>
      <w:r w:rsidR="00BC2ED4" w:rsidRPr="009C5F11">
        <w:rPr>
          <w:rFonts w:ascii="Times New Roman" w:hAnsi="Times New Roman" w:cs="Times New Roman"/>
          <w:sz w:val="24"/>
          <w:lang w:val="ro-RO"/>
        </w:rPr>
        <w:t xml:space="preserve"> 2013-2015, “</w:t>
      </w:r>
      <w:r w:rsidR="001738FD" w:rsidRPr="009C5F11">
        <w:rPr>
          <w:rFonts w:ascii="Times New Roman" w:eastAsia="Verdana" w:hAnsi="Times New Roman" w:cs="Times New Roman"/>
          <w:sz w:val="24"/>
          <w:lang w:val="ro-RO"/>
        </w:rPr>
        <w:t>c</w:t>
      </w:r>
      <w:r w:rsidR="00C77D69" w:rsidRPr="009C5F11">
        <w:rPr>
          <w:rFonts w:ascii="Times New Roman" w:eastAsia="Verdana" w:hAnsi="Times New Roman" w:cs="Times New Roman"/>
          <w:sz w:val="24"/>
          <w:lang w:val="ro-RO"/>
        </w:rPr>
        <w:t>onform legislaţiei în vigoare</w:t>
      </w:r>
      <w:r w:rsidR="00C77D69" w:rsidRPr="009C5F11">
        <w:rPr>
          <w:rFonts w:ascii="Times New Roman" w:hAnsi="Times New Roman" w:cs="Times New Roman"/>
          <w:sz w:val="24"/>
          <w:lang w:val="ro-RO"/>
        </w:rPr>
        <w:t xml:space="preserve"> (Legea nr.142 din 02 iulie 2010),</w:t>
      </w:r>
      <w:r w:rsidR="00C77D69" w:rsidRPr="009C5F11">
        <w:rPr>
          <w:rFonts w:ascii="Times New Roman" w:eastAsia="Verdana" w:hAnsi="Times New Roman" w:cs="Times New Roman"/>
          <w:sz w:val="24"/>
          <w:lang w:val="ro-RO"/>
        </w:rPr>
        <w:t xml:space="preserve"> consiliile raionale, municipale şi Adunarea Populară a UTA Găgăuzia au obligaţia să elaboreze, să coordoneze şi să aprobe propriile programe şi planuri de îmbunătăţire a eficienţei energetice</w:t>
      </w:r>
      <w:r w:rsidR="00BC2ED4" w:rsidRPr="009C5F11">
        <w:rPr>
          <w:rFonts w:ascii="Times New Roman" w:hAnsi="Times New Roman" w:cs="Times New Roman"/>
          <w:sz w:val="24"/>
          <w:lang w:val="ro-RO"/>
        </w:rPr>
        <w:t xml:space="preserve">”. </w:t>
      </w:r>
    </w:p>
    <w:p w14:paraId="6C955945" w14:textId="77777777" w:rsidR="008A6691" w:rsidRPr="009C5F11" w:rsidRDefault="00334DD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În </w:t>
      </w:r>
      <w:r w:rsidR="00C77D69" w:rsidRPr="009C5F11">
        <w:rPr>
          <w:rFonts w:ascii="Times New Roman" w:hAnsi="Times New Roman" w:cs="Times New Roman"/>
          <w:sz w:val="24"/>
          <w:lang w:val="ro-RO"/>
        </w:rPr>
        <w:t>ceea ce priveşte</w:t>
      </w:r>
      <w:r w:rsidR="00BC2ED4" w:rsidRPr="009C5F11">
        <w:rPr>
          <w:rFonts w:ascii="Times New Roman" w:hAnsi="Times New Roman" w:cs="Times New Roman"/>
          <w:sz w:val="24"/>
          <w:lang w:val="ro-RO"/>
        </w:rPr>
        <w:t xml:space="preserve"> </w:t>
      </w:r>
      <w:r w:rsidR="004000CC" w:rsidRPr="009C5F11">
        <w:rPr>
          <w:rFonts w:ascii="Times New Roman" w:hAnsi="Times New Roman" w:cs="Times New Roman"/>
          <w:sz w:val="24"/>
          <w:lang w:val="ro-RO"/>
        </w:rPr>
        <w:t>operatori</w:t>
      </w:r>
      <w:r w:rsidR="00C77D69" w:rsidRPr="009C5F11">
        <w:rPr>
          <w:rFonts w:ascii="Times New Roman" w:hAnsi="Times New Roman" w:cs="Times New Roman"/>
          <w:sz w:val="24"/>
          <w:lang w:val="ro-RO"/>
        </w:rPr>
        <w:t>i,</w:t>
      </w:r>
      <w:r w:rsidR="00BC2ED4"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AEE</w:t>
      </w:r>
      <w:r w:rsidR="00BC2ED4" w:rsidRPr="009C5F11">
        <w:rPr>
          <w:rFonts w:ascii="Times New Roman" w:hAnsi="Times New Roman" w:cs="Times New Roman"/>
          <w:sz w:val="24"/>
          <w:lang w:val="ro-RO"/>
        </w:rPr>
        <w:t xml:space="preserve"> elabor</w:t>
      </w:r>
      <w:r w:rsidR="00C77D69" w:rsidRPr="009C5F11">
        <w:rPr>
          <w:rFonts w:ascii="Times New Roman" w:hAnsi="Times New Roman" w:cs="Times New Roman"/>
          <w:sz w:val="24"/>
          <w:lang w:val="ro-RO"/>
        </w:rPr>
        <w:t>ează</w:t>
      </w:r>
      <w:r w:rsidR="00BC2ED4" w:rsidRPr="009C5F11">
        <w:rPr>
          <w:rFonts w:ascii="Times New Roman" w:hAnsi="Times New Roman" w:cs="Times New Roman"/>
          <w:sz w:val="24"/>
          <w:lang w:val="ro-RO"/>
        </w:rPr>
        <w:t>, dis</w:t>
      </w:r>
      <w:r w:rsidR="00C77D69" w:rsidRPr="009C5F11">
        <w:rPr>
          <w:rFonts w:ascii="Times New Roman" w:hAnsi="Times New Roman" w:cs="Times New Roman"/>
          <w:sz w:val="24"/>
          <w:lang w:val="ro-RO"/>
        </w:rPr>
        <w:t xml:space="preserve">tribuie </w:t>
      </w:r>
      <w:r w:rsidR="00321CD5" w:rsidRPr="009C5F11">
        <w:rPr>
          <w:rFonts w:ascii="Times New Roman" w:hAnsi="Times New Roman" w:cs="Times New Roman"/>
          <w:sz w:val="24"/>
          <w:lang w:val="ro-RO"/>
        </w:rPr>
        <w:t xml:space="preserve">şi </w:t>
      </w:r>
      <w:r w:rsidR="00C77D69" w:rsidRPr="009C5F11">
        <w:rPr>
          <w:rFonts w:ascii="Times New Roman" w:hAnsi="Times New Roman" w:cs="Times New Roman"/>
          <w:sz w:val="24"/>
          <w:lang w:val="ro-RO"/>
        </w:rPr>
        <w:t xml:space="preserve">ulterior colectează formularele completate în scopul raportării </w:t>
      </w:r>
      <w:r w:rsidR="00321CD5" w:rsidRPr="009C5F11">
        <w:rPr>
          <w:rFonts w:ascii="Times New Roman" w:hAnsi="Times New Roman" w:cs="Times New Roman"/>
          <w:sz w:val="24"/>
          <w:lang w:val="ro-RO"/>
        </w:rPr>
        <w:t xml:space="preserve">şi </w:t>
      </w:r>
      <w:r w:rsidR="00210C2C" w:rsidRPr="009C5F11">
        <w:rPr>
          <w:rFonts w:ascii="Times New Roman" w:hAnsi="Times New Roman" w:cs="Times New Roman"/>
          <w:sz w:val="24"/>
          <w:lang w:val="ro-RO"/>
        </w:rPr>
        <w:t>monitoriz</w:t>
      </w:r>
      <w:r w:rsidR="00C77D69" w:rsidRPr="009C5F11">
        <w:rPr>
          <w:rFonts w:ascii="Times New Roman" w:hAnsi="Times New Roman" w:cs="Times New Roman"/>
          <w:sz w:val="24"/>
          <w:lang w:val="ro-RO"/>
        </w:rPr>
        <w:t>ării</w:t>
      </w:r>
      <w:r w:rsidR="00BC2ED4" w:rsidRPr="009C5F11">
        <w:rPr>
          <w:rFonts w:ascii="Times New Roman" w:hAnsi="Times New Roman" w:cs="Times New Roman"/>
          <w:sz w:val="24"/>
          <w:lang w:val="ro-RO"/>
        </w:rPr>
        <w:t xml:space="preserve"> </w:t>
      </w:r>
      <w:r w:rsidR="00C77D69" w:rsidRPr="009C5F11">
        <w:rPr>
          <w:rFonts w:ascii="Times New Roman" w:hAnsi="Times New Roman" w:cs="Times New Roman"/>
          <w:sz w:val="24"/>
          <w:lang w:val="ro-RO"/>
        </w:rPr>
        <w:t xml:space="preserve">procesului de </w:t>
      </w:r>
      <w:r w:rsidR="00532A33" w:rsidRPr="009C5F11">
        <w:rPr>
          <w:rFonts w:ascii="Times New Roman" w:hAnsi="Times New Roman" w:cs="Times New Roman"/>
          <w:sz w:val="24"/>
          <w:lang w:val="ro-RO"/>
        </w:rPr>
        <w:t>implementare</w:t>
      </w:r>
      <w:r w:rsidR="00C77D69"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a</w:t>
      </w:r>
      <w:r w:rsidR="00BC2ED4" w:rsidRPr="009C5F11">
        <w:rPr>
          <w:rFonts w:ascii="Times New Roman" w:hAnsi="Times New Roman" w:cs="Times New Roman"/>
          <w:sz w:val="24"/>
          <w:lang w:val="ro-RO"/>
        </w:rPr>
        <w:t xml:space="preserve"> </w:t>
      </w:r>
      <w:r w:rsidR="00122751" w:rsidRPr="009C5F11">
        <w:rPr>
          <w:rFonts w:ascii="Times New Roman" w:hAnsi="Times New Roman" w:cs="Times New Roman"/>
          <w:sz w:val="24"/>
          <w:lang w:val="ro-RO"/>
        </w:rPr>
        <w:t>dispoziţii</w:t>
      </w:r>
      <w:r w:rsidR="00C77D69" w:rsidRPr="009C5F11">
        <w:rPr>
          <w:rFonts w:ascii="Times New Roman" w:hAnsi="Times New Roman" w:cs="Times New Roman"/>
          <w:sz w:val="24"/>
          <w:lang w:val="ro-RO"/>
        </w:rPr>
        <w:t>lor</w:t>
      </w:r>
      <w:r w:rsidR="00BC2ED4" w:rsidRPr="009C5F11">
        <w:rPr>
          <w:rFonts w:ascii="Times New Roman" w:hAnsi="Times New Roman" w:cs="Times New Roman"/>
          <w:sz w:val="24"/>
          <w:lang w:val="ro-RO"/>
        </w:rPr>
        <w:t xml:space="preserve"> </w:t>
      </w:r>
      <w:r w:rsidR="00872DC2" w:rsidRPr="009C5F11">
        <w:rPr>
          <w:rFonts w:ascii="Times New Roman" w:hAnsi="Times New Roman" w:cs="Times New Roman"/>
          <w:sz w:val="24"/>
          <w:lang w:val="ro-RO"/>
        </w:rPr>
        <w:t>PNAEE</w:t>
      </w:r>
      <w:r w:rsidR="00BC2ED4" w:rsidRPr="009C5F11">
        <w:rPr>
          <w:rFonts w:ascii="Times New Roman" w:hAnsi="Times New Roman" w:cs="Times New Roman"/>
          <w:sz w:val="24"/>
          <w:lang w:val="ro-RO"/>
        </w:rPr>
        <w:t xml:space="preserve"> 2013-2015.</w:t>
      </w:r>
    </w:p>
    <w:p w14:paraId="2D5092AB" w14:textId="09CF059A" w:rsidR="00BC2ED4" w:rsidRPr="009C5F11" w:rsidRDefault="0085681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De asemenea</w:t>
      </w:r>
      <w:r w:rsidR="00C77D69" w:rsidRPr="009C5F11">
        <w:rPr>
          <w:rFonts w:ascii="Times New Roman" w:hAnsi="Times New Roman" w:cs="Times New Roman"/>
          <w:sz w:val="24"/>
          <w:lang w:val="ro-RO"/>
        </w:rPr>
        <w:t>,</w:t>
      </w:r>
      <w:r w:rsidR="00BC2ED4"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AEE</w:t>
      </w:r>
      <w:r w:rsidR="00BC2ED4" w:rsidRPr="009C5F11">
        <w:rPr>
          <w:rFonts w:ascii="Times New Roman" w:hAnsi="Times New Roman" w:cs="Times New Roman"/>
          <w:sz w:val="24"/>
          <w:lang w:val="ro-RO"/>
        </w:rPr>
        <w:t xml:space="preserve"> centraliz</w:t>
      </w:r>
      <w:r w:rsidR="00C77D69" w:rsidRPr="009C5F11">
        <w:rPr>
          <w:rFonts w:ascii="Times New Roman" w:hAnsi="Times New Roman" w:cs="Times New Roman"/>
          <w:sz w:val="24"/>
          <w:lang w:val="ro-RO"/>
        </w:rPr>
        <w:t>ează</w:t>
      </w:r>
      <w:r w:rsidR="00BC2ED4" w:rsidRPr="009C5F11">
        <w:rPr>
          <w:rFonts w:ascii="Times New Roman" w:hAnsi="Times New Roman" w:cs="Times New Roman"/>
          <w:sz w:val="24"/>
          <w:lang w:val="ro-RO"/>
        </w:rPr>
        <w:t xml:space="preserve"> dat</w:t>
      </w:r>
      <w:r w:rsidR="00C77D69" w:rsidRPr="009C5F11">
        <w:rPr>
          <w:rFonts w:ascii="Times New Roman" w:hAnsi="Times New Roman" w:cs="Times New Roman"/>
          <w:sz w:val="24"/>
          <w:lang w:val="ro-RO"/>
        </w:rPr>
        <w:t>ele</w:t>
      </w:r>
      <w:r w:rsidR="00BC2ED4" w:rsidRPr="009C5F11">
        <w:rPr>
          <w:rFonts w:ascii="Times New Roman" w:hAnsi="Times New Roman" w:cs="Times New Roman"/>
          <w:sz w:val="24"/>
          <w:lang w:val="ro-RO"/>
        </w:rPr>
        <w:t xml:space="preserve"> </w:t>
      </w:r>
      <w:r w:rsidR="00C77D69"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w:t>
      </w:r>
      <w:r w:rsidR="00C77D69" w:rsidRPr="009C5F11">
        <w:rPr>
          <w:rFonts w:ascii="Times New Roman" w:hAnsi="Times New Roman" w:cs="Times New Roman"/>
          <w:sz w:val="24"/>
          <w:lang w:val="ro-RO"/>
        </w:rPr>
        <w:t>rapoarte,</w:t>
      </w:r>
      <w:r w:rsidR="00BC2ED4"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inclusiv</w:t>
      </w:r>
      <w:r w:rsidR="00BC2ED4" w:rsidRPr="009C5F11">
        <w:rPr>
          <w:rFonts w:ascii="Times New Roman" w:hAnsi="Times New Roman" w:cs="Times New Roman"/>
          <w:sz w:val="24"/>
          <w:lang w:val="ro-RO"/>
        </w:rPr>
        <w:t xml:space="preserve"> </w:t>
      </w:r>
      <w:r w:rsidR="00C77D69" w:rsidRPr="009C5F11">
        <w:rPr>
          <w:rFonts w:ascii="Times New Roman" w:hAnsi="Times New Roman" w:cs="Times New Roman"/>
          <w:sz w:val="24"/>
          <w:lang w:val="ro-RO"/>
        </w:rPr>
        <w:t>obligaţia</w:t>
      </w:r>
      <w:r w:rsidR="00BC2ED4"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APL</w:t>
      </w:r>
      <w:r w:rsidR="00C77D69" w:rsidRPr="009C5F11">
        <w:rPr>
          <w:rFonts w:ascii="Times New Roman" w:hAnsi="Times New Roman" w:cs="Times New Roman"/>
          <w:sz w:val="24"/>
          <w:lang w:val="ro-RO"/>
        </w:rPr>
        <w:t xml:space="preserve"> de a redacta şi aproba </w:t>
      </w:r>
      <w:r w:rsidR="00BC2ED4" w:rsidRPr="009C5F11">
        <w:rPr>
          <w:rFonts w:ascii="Times New Roman" w:hAnsi="Times New Roman" w:cs="Times New Roman"/>
          <w:sz w:val="24"/>
          <w:lang w:val="ro-RO"/>
        </w:rPr>
        <w:t>program</w:t>
      </w:r>
      <w:r w:rsidR="00C77D69" w:rsidRPr="009C5F11">
        <w:rPr>
          <w:rFonts w:ascii="Times New Roman" w:hAnsi="Times New Roman" w:cs="Times New Roman"/>
          <w:sz w:val="24"/>
          <w:lang w:val="ro-RO"/>
        </w:rPr>
        <w:t xml:space="preserve">e </w:t>
      </w:r>
      <w:r w:rsidR="004A2281" w:rsidRPr="009C5F11">
        <w:rPr>
          <w:rFonts w:ascii="Times New Roman" w:hAnsi="Times New Roman" w:cs="Times New Roman"/>
          <w:sz w:val="24"/>
          <w:lang w:val="ro-RO"/>
        </w:rPr>
        <w:t>locale</w:t>
      </w:r>
      <w:r w:rsidR="00C77D69" w:rsidRPr="009C5F11">
        <w:rPr>
          <w:rFonts w:ascii="Times New Roman" w:hAnsi="Times New Roman" w:cs="Times New Roman"/>
          <w:sz w:val="24"/>
          <w:lang w:val="ro-RO"/>
        </w:rPr>
        <w:t xml:space="preserve"> pentru </w:t>
      </w:r>
      <w:r w:rsidR="003719BD" w:rsidRPr="009C5F11">
        <w:rPr>
          <w:rFonts w:ascii="Times New Roman" w:hAnsi="Times New Roman" w:cs="Times New Roman"/>
          <w:sz w:val="24"/>
          <w:lang w:val="ro-RO"/>
        </w:rPr>
        <w:t>îmbunătăţi</w:t>
      </w:r>
      <w:r w:rsidR="00C77D69" w:rsidRPr="009C5F11">
        <w:rPr>
          <w:rFonts w:ascii="Times New Roman" w:hAnsi="Times New Roman" w:cs="Times New Roman"/>
          <w:sz w:val="24"/>
          <w:lang w:val="ro-RO"/>
        </w:rPr>
        <w:t>rea</w:t>
      </w:r>
      <w:r w:rsidR="00BC2ED4"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w:t>
      </w:r>
      <w:r w:rsidR="00C77D69" w:rsidRPr="009C5F11">
        <w:rPr>
          <w:rFonts w:ascii="Times New Roman" w:hAnsi="Times New Roman" w:cs="Times New Roman"/>
          <w:sz w:val="24"/>
          <w:lang w:val="ro-RO"/>
        </w:rPr>
        <w:t>ei</w:t>
      </w:r>
      <w:r w:rsidR="000C7BEC" w:rsidRPr="009C5F11">
        <w:rPr>
          <w:rFonts w:ascii="Times New Roman" w:hAnsi="Times New Roman" w:cs="Times New Roman"/>
          <w:sz w:val="24"/>
          <w:lang w:val="ro-RO"/>
        </w:rPr>
        <w:t xml:space="preserve"> energetic</w:t>
      </w:r>
      <w:r w:rsidR="00C77D69"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şi </w:t>
      </w:r>
      <w:r w:rsidR="00E10BE5" w:rsidRPr="009C5F11">
        <w:rPr>
          <w:rFonts w:ascii="Times New Roman" w:hAnsi="Times New Roman" w:cs="Times New Roman"/>
          <w:sz w:val="24"/>
          <w:lang w:val="ro-RO"/>
        </w:rPr>
        <w:t xml:space="preserve">planuri </w:t>
      </w:r>
      <w:r w:rsidR="00C77D69" w:rsidRPr="009C5F11">
        <w:rPr>
          <w:rFonts w:ascii="Times New Roman" w:hAnsi="Times New Roman" w:cs="Times New Roman"/>
          <w:sz w:val="24"/>
          <w:lang w:val="ro-RO"/>
        </w:rPr>
        <w:t>local</w:t>
      </w:r>
      <w:r w:rsidR="001738FD" w:rsidRPr="009C5F11">
        <w:rPr>
          <w:rFonts w:ascii="Times New Roman" w:hAnsi="Times New Roman" w:cs="Times New Roman"/>
          <w:sz w:val="24"/>
          <w:lang w:val="ro-RO"/>
        </w:rPr>
        <w:t>e</w:t>
      </w:r>
      <w:r w:rsidR="00C77D69"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de acţiun</w:t>
      </w:r>
      <w:r w:rsidR="001738FD" w:rsidRPr="009C5F11">
        <w:rPr>
          <w:rFonts w:ascii="Times New Roman" w:hAnsi="Times New Roman" w:cs="Times New Roman"/>
          <w:sz w:val="24"/>
          <w:lang w:val="ro-RO"/>
        </w:rPr>
        <w:t>i</w:t>
      </w:r>
      <w:r w:rsidR="00321CD5" w:rsidRPr="009C5F11">
        <w:rPr>
          <w:rFonts w:ascii="Times New Roman" w:hAnsi="Times New Roman" w:cs="Times New Roman"/>
          <w:sz w:val="24"/>
          <w:lang w:val="ro-RO"/>
        </w:rPr>
        <w:t xml:space="preserve"> în </w:t>
      </w:r>
      <w:r w:rsidR="00C77D69" w:rsidRPr="009C5F11">
        <w:rPr>
          <w:rFonts w:ascii="Times New Roman" w:hAnsi="Times New Roman" w:cs="Times New Roman"/>
          <w:sz w:val="24"/>
          <w:lang w:val="ro-RO"/>
        </w:rPr>
        <w:t xml:space="preserve">domeniul </w:t>
      </w:r>
      <w:r w:rsidR="004A2281" w:rsidRPr="009C5F11">
        <w:rPr>
          <w:rFonts w:ascii="Times New Roman" w:hAnsi="Times New Roman" w:cs="Times New Roman"/>
          <w:sz w:val="24"/>
          <w:lang w:val="ro-RO"/>
        </w:rPr>
        <w:t>eficienței</w:t>
      </w:r>
      <w:r w:rsidR="000C7BEC" w:rsidRPr="009C5F11">
        <w:rPr>
          <w:rFonts w:ascii="Times New Roman" w:hAnsi="Times New Roman" w:cs="Times New Roman"/>
          <w:sz w:val="24"/>
          <w:lang w:val="ro-RO"/>
        </w:rPr>
        <w:t xml:space="preserve"> energetic</w:t>
      </w:r>
      <w:r w:rsidR="00C77D69" w:rsidRPr="009C5F11">
        <w:rPr>
          <w:rFonts w:ascii="Times New Roman" w:hAnsi="Times New Roman" w:cs="Times New Roman"/>
          <w:sz w:val="24"/>
          <w:lang w:val="ro-RO"/>
        </w:rPr>
        <w:t>e</w:t>
      </w:r>
      <w:r w:rsidR="00BC2ED4" w:rsidRPr="009C5F11">
        <w:rPr>
          <w:rFonts w:ascii="Times New Roman" w:hAnsi="Times New Roman" w:cs="Times New Roman"/>
          <w:sz w:val="24"/>
          <w:lang w:val="ro-RO"/>
        </w:rPr>
        <w:t>”.</w:t>
      </w:r>
      <w:r w:rsidR="00021A49"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42026C" w:rsidRPr="009C5F11">
        <w:rPr>
          <w:rFonts w:ascii="Times New Roman" w:hAnsi="Times New Roman" w:cs="Times New Roman"/>
          <w:sz w:val="24"/>
          <w:lang w:val="ro-RO"/>
        </w:rPr>
        <w:instrText xml:space="preserve"> REF _Ref319628860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29</w:t>
      </w:r>
      <w:r w:rsidR="003A6ADB" w:rsidRPr="009C5F11">
        <w:rPr>
          <w:rFonts w:ascii="Times New Roman" w:hAnsi="Times New Roman" w:cs="Times New Roman"/>
          <w:sz w:val="24"/>
          <w:lang w:val="ro-RO"/>
        </w:rPr>
        <w:fldChar w:fldCharType="end"/>
      </w:r>
      <w:r w:rsidR="0042026C"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de mai jos</w:t>
      </w:r>
      <w:r w:rsidR="00BC2ED4" w:rsidRPr="009C5F11">
        <w:rPr>
          <w:rFonts w:ascii="Times New Roman" w:hAnsi="Times New Roman" w:cs="Times New Roman"/>
          <w:sz w:val="24"/>
          <w:lang w:val="ro-RO"/>
        </w:rPr>
        <w:t xml:space="preserve"> sum</w:t>
      </w:r>
      <w:r w:rsidR="00C77D69" w:rsidRPr="009C5F11">
        <w:rPr>
          <w:rFonts w:ascii="Times New Roman" w:hAnsi="Times New Roman" w:cs="Times New Roman"/>
          <w:sz w:val="24"/>
          <w:lang w:val="ro-RO"/>
        </w:rPr>
        <w:t xml:space="preserve">ează </w:t>
      </w:r>
      <w:r w:rsidR="00E10BE5" w:rsidRPr="009C5F11">
        <w:rPr>
          <w:rFonts w:ascii="Times New Roman" w:hAnsi="Times New Roman" w:cs="Times New Roman"/>
          <w:sz w:val="24"/>
          <w:lang w:val="ro-RO"/>
        </w:rPr>
        <w:t>rezultate</w:t>
      </w:r>
      <w:r w:rsidR="00C77D69" w:rsidRPr="009C5F11">
        <w:rPr>
          <w:rFonts w:ascii="Times New Roman" w:hAnsi="Times New Roman" w:cs="Times New Roman"/>
          <w:sz w:val="24"/>
          <w:lang w:val="ro-RO"/>
        </w:rPr>
        <w:t xml:space="preserve">le </w:t>
      </w:r>
      <w:r w:rsidR="004A2281" w:rsidRPr="009C5F11">
        <w:rPr>
          <w:rFonts w:ascii="Times New Roman" w:hAnsi="Times New Roman" w:cs="Times New Roman"/>
          <w:sz w:val="24"/>
          <w:lang w:val="ro-RO"/>
        </w:rPr>
        <w:t>obținute</w:t>
      </w:r>
      <w:r w:rsidR="00C77D69" w:rsidRPr="009C5F11">
        <w:rPr>
          <w:rFonts w:ascii="Times New Roman" w:hAnsi="Times New Roman" w:cs="Times New Roman"/>
          <w:sz w:val="24"/>
          <w:lang w:val="ro-RO"/>
        </w:rPr>
        <w:t xml:space="preserve"> de</w:t>
      </w:r>
      <w:r w:rsidR="00BC2ED4"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APL</w:t>
      </w:r>
      <w:r w:rsidR="00BC2ED4" w:rsidRPr="009C5F11">
        <w:rPr>
          <w:rFonts w:ascii="Times New Roman" w:hAnsi="Times New Roman" w:cs="Times New Roman"/>
          <w:sz w:val="24"/>
          <w:lang w:val="ro-RO"/>
        </w:rPr>
        <w:t>.</w:t>
      </w:r>
    </w:p>
    <w:p w14:paraId="07178683" w14:textId="77777777" w:rsidR="00B357CD" w:rsidRPr="009C5F11" w:rsidRDefault="00B357CD" w:rsidP="00021A49">
      <w:pPr>
        <w:spacing w:before="120" w:after="120" w:line="240" w:lineRule="auto"/>
        <w:jc w:val="both"/>
        <w:rPr>
          <w:rFonts w:ascii="Times New Roman" w:hAnsi="Times New Roman" w:cs="Times New Roman"/>
          <w:sz w:val="24"/>
          <w:lang w:val="ro-RO"/>
        </w:rPr>
      </w:pPr>
    </w:p>
    <w:p w14:paraId="2C9001A5" w14:textId="77777777" w:rsidR="0042026C" w:rsidRPr="009C5F11" w:rsidRDefault="00321CD5" w:rsidP="0042026C">
      <w:pPr>
        <w:pStyle w:val="Legend"/>
        <w:keepNext/>
        <w:jc w:val="center"/>
        <w:rPr>
          <w:rFonts w:ascii="Times New Roman" w:hAnsi="Times New Roman" w:cs="Times New Roman"/>
          <w:sz w:val="22"/>
          <w:lang w:val="ro-RO"/>
        </w:rPr>
      </w:pPr>
      <w:bookmarkStart w:id="331" w:name="_Ref319628860"/>
      <w:bookmarkStart w:id="332" w:name="_Toc322013252"/>
      <w:r w:rsidRPr="009C5F11">
        <w:rPr>
          <w:rFonts w:ascii="Times New Roman" w:hAnsi="Times New Roman" w:cs="Times New Roman"/>
          <w:sz w:val="22"/>
          <w:lang w:val="ro-RO"/>
        </w:rPr>
        <w:t>Tabelul</w:t>
      </w:r>
      <w:r w:rsidR="0042026C"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42026C"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29</w:t>
      </w:r>
      <w:r w:rsidR="003A6ADB" w:rsidRPr="009C5F11">
        <w:rPr>
          <w:rFonts w:ascii="Times New Roman" w:hAnsi="Times New Roman" w:cs="Times New Roman"/>
          <w:sz w:val="22"/>
          <w:lang w:val="ro-RO"/>
        </w:rPr>
        <w:fldChar w:fldCharType="end"/>
      </w:r>
      <w:bookmarkEnd w:id="331"/>
      <w:r w:rsidR="0042026C" w:rsidRPr="009C5F11">
        <w:rPr>
          <w:rFonts w:ascii="Times New Roman" w:hAnsi="Times New Roman" w:cs="Times New Roman"/>
          <w:sz w:val="22"/>
          <w:lang w:val="ro-RO"/>
        </w:rPr>
        <w:t xml:space="preserve"> - </w:t>
      </w:r>
      <w:r w:rsidR="00AA0566" w:rsidRPr="009C5F11">
        <w:rPr>
          <w:rFonts w:ascii="Times New Roman" w:hAnsi="Times New Roman" w:cs="Times New Roman"/>
          <w:sz w:val="22"/>
          <w:lang w:val="ro-RO"/>
        </w:rPr>
        <w:t>APL</w:t>
      </w:r>
      <w:r w:rsidR="0042026C" w:rsidRPr="009C5F11">
        <w:rPr>
          <w:rFonts w:ascii="Times New Roman" w:hAnsi="Times New Roman" w:cs="Times New Roman"/>
          <w:sz w:val="22"/>
          <w:lang w:val="ro-RO"/>
        </w:rPr>
        <w:t xml:space="preserve">. </w:t>
      </w:r>
      <w:r w:rsidR="004A2281" w:rsidRPr="009C5F11">
        <w:rPr>
          <w:rFonts w:ascii="Times New Roman" w:hAnsi="Times New Roman" w:cs="Times New Roman"/>
          <w:sz w:val="22"/>
          <w:lang w:val="ro-RO"/>
        </w:rPr>
        <w:t>Inventarul</w:t>
      </w:r>
      <w:r w:rsidR="006A3F1B" w:rsidRPr="009C5F11">
        <w:rPr>
          <w:rFonts w:ascii="Times New Roman" w:hAnsi="Times New Roman" w:cs="Times New Roman"/>
          <w:sz w:val="22"/>
          <w:lang w:val="ro-RO"/>
        </w:rPr>
        <w:t xml:space="preserve"> planurilor, programelor, managerilor energetici angajaţi.</w:t>
      </w:r>
      <w:bookmarkEnd w:id="332"/>
    </w:p>
    <w:tbl>
      <w:tblPr>
        <w:tblW w:w="5000" w:type="pct"/>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441"/>
        <w:gridCol w:w="1688"/>
        <w:gridCol w:w="2756"/>
        <w:gridCol w:w="4358"/>
      </w:tblGrid>
      <w:tr w:rsidR="006A3F1B" w:rsidRPr="009C5F11" w14:paraId="6D86EC0F" w14:textId="77777777" w:rsidTr="006A3F1B">
        <w:trPr>
          <w:trHeight w:val="1169"/>
        </w:trPr>
        <w:tc>
          <w:tcPr>
            <w:tcW w:w="236" w:type="pct"/>
            <w:shd w:val="clear" w:color="auto" w:fill="000080"/>
          </w:tcPr>
          <w:p w14:paraId="2B9BD74E" w14:textId="77777777" w:rsidR="006A3F1B" w:rsidRPr="009C5F11" w:rsidRDefault="006A3F1B" w:rsidP="00430626">
            <w:pPr>
              <w:tabs>
                <w:tab w:val="left" w:pos="162"/>
              </w:tabs>
              <w:spacing w:after="0"/>
              <w:ind w:left="162" w:hanging="162"/>
              <w:contextualSpacing/>
              <w:jc w:val="center"/>
              <w:rPr>
                <w:rFonts w:ascii="Times New Roman" w:hAnsi="Times New Roman" w:cs="Times New Roman"/>
                <w:b/>
                <w:color w:val="FFFFFF"/>
                <w:sz w:val="18"/>
                <w:szCs w:val="14"/>
                <w:lang w:val="ro-RO"/>
              </w:rPr>
            </w:pPr>
            <w:r w:rsidRPr="009C5F11">
              <w:rPr>
                <w:rFonts w:ascii="Times New Roman" w:hAnsi="Times New Roman" w:cs="Times New Roman"/>
                <w:b/>
                <w:color w:val="FFFFFF"/>
                <w:sz w:val="18"/>
                <w:szCs w:val="14"/>
                <w:lang w:val="ro-RO"/>
              </w:rPr>
              <w:t>nr.</w:t>
            </w:r>
          </w:p>
        </w:tc>
        <w:tc>
          <w:tcPr>
            <w:tcW w:w="804" w:type="pct"/>
            <w:shd w:val="clear" w:color="auto" w:fill="000080"/>
          </w:tcPr>
          <w:p w14:paraId="149FA64D" w14:textId="77777777" w:rsidR="006A3F1B" w:rsidRPr="009C5F11" w:rsidRDefault="006A3F1B" w:rsidP="00043064">
            <w:pPr>
              <w:tabs>
                <w:tab w:val="left" w:pos="0"/>
              </w:tabs>
              <w:ind w:hanging="18"/>
              <w:contextualSpacing/>
              <w:rPr>
                <w:rFonts w:ascii="Times New Roman" w:hAnsi="Times New Roman" w:cs="Times New Roman"/>
                <w:b/>
                <w:color w:val="FFFFFF" w:themeColor="background1"/>
                <w:sz w:val="20"/>
                <w:szCs w:val="16"/>
                <w:lang w:val="ro-RO"/>
              </w:rPr>
            </w:pPr>
            <w:r w:rsidRPr="009C5F11">
              <w:rPr>
                <w:rFonts w:ascii="Times New Roman" w:hAnsi="Times New Roman" w:cs="Times New Roman"/>
                <w:b/>
                <w:color w:val="FFFFFF" w:themeColor="background1"/>
                <w:sz w:val="20"/>
                <w:szCs w:val="16"/>
                <w:lang w:val="ro-RO"/>
              </w:rPr>
              <w:t>AUTORITATEA PUBLICĂ LOCALĂ (APL)</w:t>
            </w:r>
          </w:p>
        </w:tc>
        <w:tc>
          <w:tcPr>
            <w:tcW w:w="1547" w:type="pct"/>
            <w:shd w:val="clear" w:color="auto" w:fill="000080"/>
          </w:tcPr>
          <w:p w14:paraId="4BBB9F14" w14:textId="77777777" w:rsidR="006A3F1B" w:rsidRPr="009C5F11" w:rsidRDefault="006A3F1B" w:rsidP="00043064">
            <w:pPr>
              <w:tabs>
                <w:tab w:val="left" w:pos="162"/>
              </w:tabs>
              <w:ind w:left="162"/>
              <w:contextualSpacing/>
              <w:rPr>
                <w:rFonts w:ascii="Times New Roman" w:hAnsi="Times New Roman" w:cs="Times New Roman"/>
                <w:b/>
                <w:color w:val="FFFFFF" w:themeColor="background1"/>
                <w:sz w:val="20"/>
                <w:szCs w:val="16"/>
                <w:lang w:val="ro-RO"/>
              </w:rPr>
            </w:pPr>
            <w:r w:rsidRPr="009C5F11">
              <w:rPr>
                <w:rFonts w:ascii="Times New Roman" w:hAnsi="Times New Roman" w:cs="Times New Roman"/>
                <w:b/>
                <w:color w:val="FFFFFF" w:themeColor="background1"/>
                <w:sz w:val="20"/>
                <w:szCs w:val="16"/>
                <w:lang w:val="ro-RO"/>
              </w:rPr>
              <w:t>PLEE – Program local pentru eficienţă energetică (3 ani)</w:t>
            </w:r>
          </w:p>
          <w:p w14:paraId="77D2AA90" w14:textId="77777777" w:rsidR="006A3F1B" w:rsidRPr="009C5F11" w:rsidRDefault="006A3F1B" w:rsidP="00043064">
            <w:pPr>
              <w:tabs>
                <w:tab w:val="left" w:pos="162"/>
              </w:tabs>
              <w:ind w:left="162"/>
              <w:contextualSpacing/>
              <w:rPr>
                <w:rFonts w:ascii="Times New Roman" w:hAnsi="Times New Roman" w:cs="Times New Roman"/>
                <w:b/>
                <w:color w:val="FFFFFF" w:themeColor="background1"/>
                <w:sz w:val="20"/>
                <w:szCs w:val="16"/>
                <w:lang w:val="ro-RO"/>
              </w:rPr>
            </w:pPr>
            <w:r w:rsidRPr="009C5F11">
              <w:rPr>
                <w:rFonts w:ascii="Times New Roman" w:hAnsi="Times New Roman" w:cs="Times New Roman"/>
                <w:b/>
                <w:color w:val="FFFFFF" w:themeColor="background1"/>
                <w:sz w:val="20"/>
                <w:szCs w:val="16"/>
                <w:lang w:val="ro-RO"/>
              </w:rPr>
              <w:t>PLAEE – Plan local de acţiuni în domeniul eficienţei energetice (1 an)</w:t>
            </w:r>
          </w:p>
        </w:tc>
        <w:tc>
          <w:tcPr>
            <w:tcW w:w="2413" w:type="pct"/>
            <w:shd w:val="clear" w:color="auto" w:fill="000080"/>
          </w:tcPr>
          <w:p w14:paraId="67E65085" w14:textId="77777777" w:rsidR="006A3F1B" w:rsidRPr="009C5F11" w:rsidRDefault="006A3F1B" w:rsidP="00334F3B">
            <w:pPr>
              <w:numPr>
                <w:ilvl w:val="0"/>
                <w:numId w:val="36"/>
              </w:numPr>
              <w:tabs>
                <w:tab w:val="left" w:pos="162"/>
              </w:tabs>
              <w:ind w:hanging="882"/>
              <w:contextualSpacing/>
              <w:rPr>
                <w:rFonts w:ascii="Times New Roman" w:hAnsi="Times New Roman" w:cs="Times New Roman"/>
                <w:b/>
                <w:color w:val="FFFFFF" w:themeColor="background1"/>
                <w:sz w:val="20"/>
                <w:szCs w:val="16"/>
                <w:lang w:val="ro-RO"/>
              </w:rPr>
            </w:pPr>
            <w:r w:rsidRPr="009C5F11">
              <w:rPr>
                <w:rFonts w:ascii="Times New Roman" w:hAnsi="Times New Roman" w:cs="Times New Roman"/>
                <w:b/>
                <w:color w:val="FFFFFF" w:themeColor="background1"/>
                <w:sz w:val="20"/>
                <w:szCs w:val="16"/>
                <w:lang w:val="ro-RO"/>
              </w:rPr>
              <w:t>Angajarea Managerilor energetici;</w:t>
            </w:r>
          </w:p>
          <w:p w14:paraId="09ABE20D" w14:textId="77777777" w:rsidR="006A3F1B" w:rsidRPr="009C5F11" w:rsidRDefault="006A3F1B" w:rsidP="00334F3B">
            <w:pPr>
              <w:numPr>
                <w:ilvl w:val="0"/>
                <w:numId w:val="36"/>
              </w:numPr>
              <w:tabs>
                <w:tab w:val="left" w:pos="162"/>
              </w:tabs>
              <w:ind w:hanging="882"/>
              <w:contextualSpacing/>
              <w:rPr>
                <w:rFonts w:ascii="Times New Roman" w:hAnsi="Times New Roman" w:cs="Times New Roman"/>
                <w:b/>
                <w:color w:val="FFFFFF" w:themeColor="background1"/>
                <w:sz w:val="20"/>
                <w:szCs w:val="16"/>
                <w:lang w:val="ro-RO"/>
              </w:rPr>
            </w:pPr>
            <w:r w:rsidRPr="009C5F11">
              <w:rPr>
                <w:rFonts w:ascii="Times New Roman" w:hAnsi="Times New Roman" w:cs="Times New Roman"/>
                <w:b/>
                <w:color w:val="FFFFFF" w:themeColor="background1"/>
                <w:sz w:val="20"/>
                <w:szCs w:val="16"/>
                <w:lang w:val="ro-RO"/>
              </w:rPr>
              <w:t>Instruirea Managerilor energetici şi a altor persoane;</w:t>
            </w:r>
          </w:p>
          <w:p w14:paraId="220BB722" w14:textId="77777777" w:rsidR="006A3F1B" w:rsidRPr="009C5F11" w:rsidRDefault="006A3F1B" w:rsidP="00334F3B">
            <w:pPr>
              <w:numPr>
                <w:ilvl w:val="0"/>
                <w:numId w:val="36"/>
              </w:numPr>
              <w:tabs>
                <w:tab w:val="left" w:pos="162"/>
              </w:tabs>
              <w:ind w:hanging="882"/>
              <w:contextualSpacing/>
              <w:rPr>
                <w:rFonts w:ascii="Times New Roman" w:hAnsi="Times New Roman" w:cs="Times New Roman"/>
                <w:b/>
                <w:color w:val="FFFFFF" w:themeColor="background1"/>
                <w:sz w:val="20"/>
                <w:szCs w:val="16"/>
                <w:lang w:val="ro-RO"/>
              </w:rPr>
            </w:pPr>
            <w:r w:rsidRPr="009C5F11">
              <w:rPr>
                <w:rFonts w:ascii="Times New Roman" w:hAnsi="Times New Roman" w:cs="Times New Roman"/>
                <w:b/>
                <w:color w:val="FFFFFF" w:themeColor="background1"/>
                <w:sz w:val="20"/>
                <w:szCs w:val="16"/>
                <w:lang w:val="ro-RO"/>
              </w:rPr>
              <w:t>Proiecte de EE în clădiri,</w:t>
            </w:r>
          </w:p>
          <w:p w14:paraId="367D65D9" w14:textId="77777777" w:rsidR="006A3F1B" w:rsidRPr="009C5F11" w:rsidRDefault="006A3F1B" w:rsidP="00043064">
            <w:pPr>
              <w:tabs>
                <w:tab w:val="left" w:pos="162"/>
              </w:tabs>
              <w:ind w:left="882" w:hanging="720"/>
              <w:contextualSpacing/>
              <w:rPr>
                <w:rFonts w:ascii="Times New Roman" w:hAnsi="Times New Roman" w:cs="Times New Roman"/>
                <w:b/>
                <w:color w:val="FFFFFF" w:themeColor="background1"/>
                <w:sz w:val="20"/>
                <w:szCs w:val="16"/>
                <w:lang w:val="ro-RO"/>
              </w:rPr>
            </w:pPr>
            <w:r w:rsidRPr="009C5F11">
              <w:rPr>
                <w:rFonts w:ascii="Times New Roman" w:hAnsi="Times New Roman" w:cs="Times New Roman"/>
                <w:b/>
                <w:color w:val="FFFFFF" w:themeColor="background1"/>
                <w:sz w:val="20"/>
                <w:szCs w:val="16"/>
                <w:lang w:val="ro-RO"/>
              </w:rPr>
              <w:t xml:space="preserve">Proiecte </w:t>
            </w:r>
            <w:r w:rsidR="00610318" w:rsidRPr="009C5F11">
              <w:rPr>
                <w:rFonts w:ascii="Times New Roman" w:hAnsi="Times New Roman" w:cs="Times New Roman"/>
                <w:b/>
                <w:color w:val="FFFFFF" w:themeColor="background1"/>
                <w:sz w:val="20"/>
                <w:szCs w:val="16"/>
                <w:lang w:val="ro-RO"/>
              </w:rPr>
              <w:t>ESR</w:t>
            </w:r>
            <w:r w:rsidRPr="009C5F11">
              <w:rPr>
                <w:rFonts w:ascii="Times New Roman" w:hAnsi="Times New Roman" w:cs="Times New Roman"/>
                <w:b/>
                <w:color w:val="FFFFFF" w:themeColor="background1"/>
                <w:sz w:val="20"/>
                <w:szCs w:val="16"/>
                <w:lang w:val="ro-RO"/>
              </w:rPr>
              <w:t xml:space="preserve"> (biomasă)</w:t>
            </w:r>
          </w:p>
          <w:p w14:paraId="03B90F27" w14:textId="77777777" w:rsidR="006A3F1B" w:rsidRPr="009C5F11" w:rsidRDefault="006A3F1B" w:rsidP="00043064">
            <w:pPr>
              <w:ind w:left="162"/>
              <w:contextualSpacing/>
              <w:rPr>
                <w:rFonts w:ascii="Times New Roman" w:hAnsi="Times New Roman" w:cs="Times New Roman"/>
                <w:b/>
                <w:color w:val="FFFFFF" w:themeColor="background1"/>
                <w:sz w:val="20"/>
                <w:szCs w:val="16"/>
                <w:lang w:val="ro-RO"/>
              </w:rPr>
            </w:pPr>
          </w:p>
        </w:tc>
      </w:tr>
      <w:tr w:rsidR="006A3F1B" w:rsidRPr="009C5F11" w14:paraId="1E58B411" w14:textId="77777777" w:rsidTr="006A3F1B">
        <w:trPr>
          <w:trHeight w:val="76"/>
        </w:trPr>
        <w:tc>
          <w:tcPr>
            <w:tcW w:w="236" w:type="pct"/>
            <w:vMerge w:val="restart"/>
            <w:shd w:val="clear" w:color="auto" w:fill="auto"/>
            <w:hideMark/>
          </w:tcPr>
          <w:p w14:paraId="6C1AF1AF"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w:t>
            </w:r>
          </w:p>
        </w:tc>
        <w:tc>
          <w:tcPr>
            <w:tcW w:w="804" w:type="pct"/>
            <w:vMerge w:val="restart"/>
            <w:shd w:val="clear" w:color="auto" w:fill="auto"/>
            <w:hideMark/>
          </w:tcPr>
          <w:p w14:paraId="60B6B8B0"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Bălţi</w:t>
            </w:r>
          </w:p>
        </w:tc>
        <w:tc>
          <w:tcPr>
            <w:tcW w:w="1547" w:type="pct"/>
            <w:vMerge w:val="restart"/>
            <w:shd w:val="clear" w:color="auto" w:fill="auto"/>
            <w:hideMark/>
          </w:tcPr>
          <w:p w14:paraId="5CD82A5A" w14:textId="77777777" w:rsidR="006A3F1B" w:rsidRPr="009C5F11" w:rsidRDefault="006A3F1B" w:rsidP="00334F3B">
            <w:pPr>
              <w:numPr>
                <w:ilvl w:val="0"/>
                <w:numId w:val="24"/>
              </w:numPr>
              <w:tabs>
                <w:tab w:val="left" w:pos="252"/>
              </w:tabs>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Prin Hotărârea nr. 14/35 din 12/26/2013 a Consiliului Municipal Bălţi a fost aprobat Programul municipal de promovare a eficienţei energetice în mun. Bălţi în 2014-2016.</w:t>
            </w:r>
          </w:p>
          <w:p w14:paraId="6BDDA68B" w14:textId="77777777" w:rsidR="006A3F1B" w:rsidRPr="009C5F11" w:rsidRDefault="006A3F1B" w:rsidP="00334F3B">
            <w:pPr>
              <w:numPr>
                <w:ilvl w:val="0"/>
                <w:numId w:val="24"/>
              </w:numPr>
              <w:tabs>
                <w:tab w:val="left" w:pos="252"/>
              </w:tabs>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Prin Hotărârea nr. 2/59 din 27.03.2014 a Consiliului Municipal Bălţi a fost aprobat Planul municipal de promovare a eficienţei energetice 2014.</w:t>
            </w:r>
          </w:p>
          <w:p w14:paraId="314B1942" w14:textId="77777777" w:rsidR="006A3F1B" w:rsidRPr="009C5F11" w:rsidRDefault="006A3F1B" w:rsidP="00334F3B">
            <w:pPr>
              <w:numPr>
                <w:ilvl w:val="0"/>
                <w:numId w:val="24"/>
              </w:numPr>
              <w:tabs>
                <w:tab w:val="left" w:pos="252"/>
              </w:tabs>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Planul municipal de acţiuni de îmbunătăţire a eficienţei energetice pentru 2015 se află la etapa de elaborare şi va fi finalizat în luna martie 2015.</w:t>
            </w:r>
          </w:p>
        </w:tc>
        <w:tc>
          <w:tcPr>
            <w:tcW w:w="2413" w:type="pct"/>
            <w:shd w:val="clear" w:color="auto" w:fill="DBE5F1"/>
          </w:tcPr>
          <w:p w14:paraId="2914CF12" w14:textId="77777777" w:rsidR="006A3F1B" w:rsidRPr="009C5F11" w:rsidRDefault="006A3F1B" w:rsidP="00043064">
            <w:pPr>
              <w:tabs>
                <w:tab w:val="left" w:pos="252"/>
              </w:tabs>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din 2012</w:t>
            </w:r>
          </w:p>
        </w:tc>
      </w:tr>
      <w:tr w:rsidR="006A3F1B" w:rsidRPr="009C5F11" w14:paraId="4E426CF5" w14:textId="77777777" w:rsidTr="006A3F1B">
        <w:trPr>
          <w:trHeight w:val="1844"/>
        </w:trPr>
        <w:tc>
          <w:tcPr>
            <w:tcW w:w="236" w:type="pct"/>
            <w:vMerge/>
            <w:shd w:val="clear" w:color="auto" w:fill="auto"/>
          </w:tcPr>
          <w:p w14:paraId="4C00B170"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51A3F78B"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1A5C71E1" w14:textId="77777777" w:rsidR="006A3F1B" w:rsidRPr="009C5F11" w:rsidRDefault="006A3F1B" w:rsidP="00334F3B">
            <w:pPr>
              <w:numPr>
                <w:ilvl w:val="0"/>
                <w:numId w:val="24"/>
              </w:numPr>
              <w:tabs>
                <w:tab w:val="left" w:pos="252"/>
              </w:tabs>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67898B2B" w14:textId="77777777" w:rsidR="006A3F1B" w:rsidRPr="009C5F11" w:rsidRDefault="006A3F1B" w:rsidP="00043064">
            <w:pPr>
              <w:tabs>
                <w:tab w:val="left" w:pos="252"/>
              </w:tabs>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22ACE6EF" w14:textId="77777777" w:rsidR="006A3F1B" w:rsidRPr="009C5F11" w:rsidRDefault="006A3F1B" w:rsidP="00334F3B">
            <w:pPr>
              <w:numPr>
                <w:ilvl w:val="0"/>
                <w:numId w:val="24"/>
              </w:numPr>
              <w:tabs>
                <w:tab w:val="left" w:pos="252"/>
              </w:tabs>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ADR Nord,</w:t>
            </w:r>
          </w:p>
          <w:p w14:paraId="5E243165" w14:textId="77777777" w:rsidR="006A3F1B" w:rsidRPr="009C5F11" w:rsidRDefault="006A3F1B" w:rsidP="00334F3B">
            <w:pPr>
              <w:numPr>
                <w:ilvl w:val="0"/>
                <w:numId w:val="24"/>
              </w:numPr>
              <w:tabs>
                <w:tab w:val="left" w:pos="252"/>
              </w:tabs>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Academia de Administrare Publică pe lângă Preşedintele RM în colaborare cu GIZ;</w:t>
            </w:r>
          </w:p>
          <w:p w14:paraId="2D87CFFA" w14:textId="77777777" w:rsidR="006A3F1B" w:rsidRPr="009C5F11" w:rsidRDefault="006A3F1B" w:rsidP="00334F3B">
            <w:pPr>
              <w:numPr>
                <w:ilvl w:val="0"/>
                <w:numId w:val="24"/>
              </w:numPr>
              <w:tabs>
                <w:tab w:val="left" w:pos="252"/>
              </w:tabs>
              <w:spacing w:after="0" w:line="240" w:lineRule="auto"/>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Proiectul STATUS (agende strategice teritoriale pentru sisteme urbane din oraşe mici şi mijlocii), finanţat de Programul transnaţional pentru Europa de Sud-est. </w:t>
            </w:r>
          </w:p>
        </w:tc>
      </w:tr>
      <w:tr w:rsidR="006A3F1B" w:rsidRPr="009C5F11" w14:paraId="4088C4F3" w14:textId="77777777" w:rsidTr="006A3F1B">
        <w:trPr>
          <w:trHeight w:val="80"/>
        </w:trPr>
        <w:tc>
          <w:tcPr>
            <w:tcW w:w="236" w:type="pct"/>
            <w:vMerge w:val="restart"/>
            <w:shd w:val="clear" w:color="auto" w:fill="auto"/>
            <w:hideMark/>
          </w:tcPr>
          <w:p w14:paraId="655AC340"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2</w:t>
            </w:r>
          </w:p>
        </w:tc>
        <w:tc>
          <w:tcPr>
            <w:tcW w:w="804" w:type="pct"/>
            <w:vMerge w:val="restart"/>
            <w:shd w:val="clear" w:color="auto" w:fill="auto"/>
            <w:hideMark/>
          </w:tcPr>
          <w:p w14:paraId="66015CB1"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Anenii Noi</w:t>
            </w:r>
          </w:p>
        </w:tc>
        <w:tc>
          <w:tcPr>
            <w:tcW w:w="1547" w:type="pct"/>
            <w:vMerge w:val="restart"/>
            <w:shd w:val="clear" w:color="auto" w:fill="auto"/>
            <w:hideMark/>
          </w:tcPr>
          <w:p w14:paraId="5D4DE876" w14:textId="77777777" w:rsidR="006A3F1B" w:rsidRPr="009C5F11" w:rsidRDefault="006A3F1B" w:rsidP="00334F3B">
            <w:pPr>
              <w:numPr>
                <w:ilvl w:val="0"/>
                <w:numId w:val="25"/>
              </w:numPr>
              <w:tabs>
                <w:tab w:val="left" w:pos="252"/>
              </w:tabs>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04.11.2013 a fost aprobat PLEE 2013-2016;</w:t>
            </w:r>
          </w:p>
          <w:p w14:paraId="10DBE1DE" w14:textId="77777777" w:rsidR="006A3F1B" w:rsidRPr="009C5F11" w:rsidRDefault="006A3F1B" w:rsidP="00334F3B">
            <w:pPr>
              <w:numPr>
                <w:ilvl w:val="0"/>
                <w:numId w:val="25"/>
              </w:numPr>
              <w:tabs>
                <w:tab w:val="left" w:pos="252"/>
              </w:tabs>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01.08.2014 a fost aprobat PLAEE 2014-2015.</w:t>
            </w:r>
          </w:p>
        </w:tc>
        <w:tc>
          <w:tcPr>
            <w:tcW w:w="2413" w:type="pct"/>
            <w:shd w:val="clear" w:color="auto" w:fill="DBE5F1"/>
          </w:tcPr>
          <w:p w14:paraId="5E74C3CF" w14:textId="77777777" w:rsidR="006A3F1B" w:rsidRPr="009C5F11" w:rsidRDefault="006A3F1B" w:rsidP="00043064">
            <w:pPr>
              <w:tabs>
                <w:tab w:val="left" w:pos="252"/>
              </w:tabs>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prin Hotărârea nr. 139 din 01.12.2012.</w:t>
            </w:r>
          </w:p>
        </w:tc>
      </w:tr>
      <w:tr w:rsidR="006A3F1B" w:rsidRPr="009C5F11" w14:paraId="5E00C8E7" w14:textId="77777777" w:rsidTr="006A3F1B">
        <w:trPr>
          <w:trHeight w:val="728"/>
        </w:trPr>
        <w:tc>
          <w:tcPr>
            <w:tcW w:w="236" w:type="pct"/>
            <w:vMerge/>
            <w:shd w:val="clear" w:color="auto" w:fill="auto"/>
          </w:tcPr>
          <w:p w14:paraId="59F87591"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2BC32CF8"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79A0F225" w14:textId="77777777" w:rsidR="006A3F1B" w:rsidRPr="009C5F11" w:rsidRDefault="006A3F1B" w:rsidP="00334F3B">
            <w:pPr>
              <w:numPr>
                <w:ilvl w:val="0"/>
                <w:numId w:val="25"/>
              </w:numPr>
              <w:tabs>
                <w:tab w:val="left" w:pos="252"/>
              </w:tabs>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2E765D4B" w14:textId="77777777" w:rsidR="006A3F1B" w:rsidRPr="009C5F11" w:rsidRDefault="006A3F1B" w:rsidP="00043064">
            <w:pPr>
              <w:tabs>
                <w:tab w:val="left" w:pos="252"/>
              </w:tabs>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0DE5D6CC" w14:textId="77777777" w:rsidR="006A3F1B" w:rsidRPr="009C5F11" w:rsidRDefault="006A3F1B" w:rsidP="00334F3B">
            <w:pPr>
              <w:numPr>
                <w:ilvl w:val="0"/>
                <w:numId w:val="25"/>
              </w:numPr>
              <w:tabs>
                <w:tab w:val="left" w:pos="252"/>
              </w:tabs>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Agenţia pentru Eficienţă Energetică;</w:t>
            </w:r>
          </w:p>
          <w:p w14:paraId="456E0DB3" w14:textId="77777777" w:rsidR="006A3F1B" w:rsidRPr="009C5F11" w:rsidRDefault="006A3F1B" w:rsidP="00334F3B">
            <w:pPr>
              <w:numPr>
                <w:ilvl w:val="0"/>
                <w:numId w:val="25"/>
              </w:numPr>
              <w:tabs>
                <w:tab w:val="left" w:pos="252"/>
              </w:tabs>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Fondul pentru Eficienţă Energetică;</w:t>
            </w:r>
          </w:p>
          <w:p w14:paraId="2A1071B5" w14:textId="77777777" w:rsidR="006A3F1B" w:rsidRPr="009C5F11" w:rsidRDefault="006A3F1B" w:rsidP="00334F3B">
            <w:pPr>
              <w:numPr>
                <w:ilvl w:val="0"/>
                <w:numId w:val="25"/>
              </w:numPr>
              <w:tabs>
                <w:tab w:val="left" w:pos="252"/>
              </w:tabs>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Ministerul Economiei;</w:t>
            </w:r>
          </w:p>
          <w:p w14:paraId="53E6F2E3" w14:textId="77777777" w:rsidR="006A3F1B" w:rsidRPr="009C5F11" w:rsidRDefault="006A3F1B" w:rsidP="00334F3B">
            <w:pPr>
              <w:numPr>
                <w:ilvl w:val="0"/>
                <w:numId w:val="25"/>
              </w:numPr>
              <w:tabs>
                <w:tab w:val="left" w:pos="252"/>
              </w:tabs>
              <w:spacing w:after="0" w:line="240" w:lineRule="auto"/>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Agenţia pentru Dezvoltare Regională Centru.</w:t>
            </w:r>
          </w:p>
        </w:tc>
      </w:tr>
      <w:tr w:rsidR="006A3F1B" w:rsidRPr="009C5F11" w14:paraId="4B4E1530" w14:textId="77777777" w:rsidTr="006A3F1B">
        <w:trPr>
          <w:trHeight w:val="314"/>
        </w:trPr>
        <w:tc>
          <w:tcPr>
            <w:tcW w:w="236" w:type="pct"/>
            <w:vMerge w:val="restart"/>
            <w:shd w:val="clear" w:color="auto" w:fill="auto"/>
            <w:hideMark/>
          </w:tcPr>
          <w:p w14:paraId="5F2828F9"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3</w:t>
            </w:r>
          </w:p>
        </w:tc>
        <w:tc>
          <w:tcPr>
            <w:tcW w:w="804" w:type="pct"/>
            <w:vMerge w:val="restart"/>
            <w:shd w:val="clear" w:color="auto" w:fill="auto"/>
            <w:hideMark/>
          </w:tcPr>
          <w:p w14:paraId="22B8B73E"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Consiliul Raional </w:t>
            </w:r>
            <w:r w:rsidRPr="009C5F11">
              <w:rPr>
                <w:rFonts w:ascii="Times New Roman" w:hAnsi="Times New Roman" w:cs="Times New Roman"/>
                <w:sz w:val="18"/>
                <w:szCs w:val="14"/>
                <w:lang w:val="ro-RO"/>
              </w:rPr>
              <w:lastRenderedPageBreak/>
              <w:t>Briceni</w:t>
            </w:r>
          </w:p>
        </w:tc>
        <w:tc>
          <w:tcPr>
            <w:tcW w:w="1547" w:type="pct"/>
            <w:vMerge w:val="restart"/>
            <w:shd w:val="clear" w:color="auto" w:fill="auto"/>
            <w:hideMark/>
          </w:tcPr>
          <w:p w14:paraId="235A96BF" w14:textId="77777777" w:rsidR="006A3F1B" w:rsidRPr="009C5F11" w:rsidRDefault="006A3F1B" w:rsidP="00334F3B">
            <w:pPr>
              <w:numPr>
                <w:ilvl w:val="0"/>
                <w:numId w:val="26"/>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 xml:space="preserve">La 02.12.2013 a fost aprobat </w:t>
            </w:r>
            <w:r w:rsidRPr="009C5F11">
              <w:rPr>
                <w:rFonts w:ascii="Times New Roman" w:hAnsi="Times New Roman" w:cs="Times New Roman"/>
                <w:sz w:val="18"/>
                <w:szCs w:val="14"/>
                <w:lang w:val="ro-RO"/>
              </w:rPr>
              <w:lastRenderedPageBreak/>
              <w:t>PLEE 2013-2016.</w:t>
            </w:r>
          </w:p>
          <w:p w14:paraId="6555F354" w14:textId="77777777" w:rsidR="006A3F1B" w:rsidRPr="009C5F11" w:rsidRDefault="006A3F1B" w:rsidP="00334F3B">
            <w:pPr>
              <w:numPr>
                <w:ilvl w:val="0"/>
                <w:numId w:val="26"/>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 septembrie 2014 a fost aprobat PLAEE 2014-2016; </w:t>
            </w:r>
          </w:p>
          <w:p w14:paraId="2D64C478" w14:textId="77777777" w:rsidR="006A3F1B" w:rsidRPr="009C5F11" w:rsidRDefault="006A3F1B" w:rsidP="00334F3B">
            <w:pPr>
              <w:numPr>
                <w:ilvl w:val="0"/>
                <w:numId w:val="26"/>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La 08.09.2014 a fost aprobat PLAEE 2013-2015. </w:t>
            </w:r>
          </w:p>
        </w:tc>
        <w:tc>
          <w:tcPr>
            <w:tcW w:w="2413" w:type="pct"/>
            <w:shd w:val="clear" w:color="auto" w:fill="DBE5F1"/>
          </w:tcPr>
          <w:p w14:paraId="0DD1F91A"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 xml:space="preserve">Managerul energetic angajat prin Hotărârea nr. 94 din </w:t>
            </w:r>
            <w:r w:rsidRPr="009C5F11">
              <w:rPr>
                <w:rFonts w:ascii="Times New Roman" w:hAnsi="Times New Roman" w:cs="Times New Roman"/>
                <w:sz w:val="18"/>
                <w:szCs w:val="14"/>
                <w:lang w:val="ro-RO"/>
              </w:rPr>
              <w:lastRenderedPageBreak/>
              <w:t>08.12.2011.</w:t>
            </w:r>
          </w:p>
        </w:tc>
      </w:tr>
      <w:tr w:rsidR="006A3F1B" w:rsidRPr="009C5F11" w14:paraId="603AF346" w14:textId="77777777" w:rsidTr="006A3F1B">
        <w:trPr>
          <w:trHeight w:val="206"/>
        </w:trPr>
        <w:tc>
          <w:tcPr>
            <w:tcW w:w="236" w:type="pct"/>
            <w:vMerge/>
            <w:shd w:val="clear" w:color="auto" w:fill="auto"/>
          </w:tcPr>
          <w:p w14:paraId="0D8FBBDD"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5E26D690"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130244E2" w14:textId="77777777" w:rsidR="006A3F1B" w:rsidRPr="009C5F11" w:rsidRDefault="006A3F1B" w:rsidP="00334F3B">
            <w:pPr>
              <w:numPr>
                <w:ilvl w:val="0"/>
                <w:numId w:val="26"/>
              </w:numPr>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59193B29"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37FF826A" w14:textId="77777777" w:rsidR="006A3F1B" w:rsidRPr="009C5F11" w:rsidRDefault="006A3F1B" w:rsidP="00430626">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Programul EUREM: Managerul energetic european</w:t>
            </w:r>
            <w:r w:rsidRPr="009C5F11">
              <w:rPr>
                <w:rFonts w:ascii="Times New Roman" w:hAnsi="Times New Roman" w:cs="Times New Roman"/>
                <w:sz w:val="18"/>
                <w:szCs w:val="14"/>
                <w:vertAlign w:val="superscript"/>
                <w:lang w:val="ro-RO"/>
              </w:rPr>
              <w:footnoteReference w:id="25"/>
            </w:r>
            <w:r w:rsidRPr="009C5F11">
              <w:rPr>
                <w:rFonts w:ascii="Times New Roman" w:hAnsi="Times New Roman" w:cs="Times New Roman"/>
                <w:sz w:val="18"/>
                <w:szCs w:val="14"/>
                <w:lang w:val="ro-RO"/>
              </w:rPr>
              <w:t>;</w:t>
            </w:r>
          </w:p>
        </w:tc>
      </w:tr>
      <w:tr w:rsidR="006A3F1B" w:rsidRPr="009C5F11" w14:paraId="31F8AA63" w14:textId="77777777" w:rsidTr="006A3F1B">
        <w:trPr>
          <w:trHeight w:val="80"/>
        </w:trPr>
        <w:tc>
          <w:tcPr>
            <w:tcW w:w="236" w:type="pct"/>
            <w:vMerge w:val="restart"/>
            <w:shd w:val="clear" w:color="auto" w:fill="auto"/>
            <w:hideMark/>
          </w:tcPr>
          <w:p w14:paraId="5093AB4E"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4</w:t>
            </w:r>
          </w:p>
        </w:tc>
        <w:tc>
          <w:tcPr>
            <w:tcW w:w="804" w:type="pct"/>
            <w:vMerge w:val="restart"/>
            <w:shd w:val="clear" w:color="auto" w:fill="auto"/>
            <w:hideMark/>
          </w:tcPr>
          <w:p w14:paraId="4C1FB83C"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Călăraşi</w:t>
            </w:r>
          </w:p>
        </w:tc>
        <w:tc>
          <w:tcPr>
            <w:tcW w:w="1547" w:type="pct"/>
            <w:vMerge w:val="restart"/>
            <w:shd w:val="clear" w:color="auto" w:fill="auto"/>
            <w:hideMark/>
          </w:tcPr>
          <w:p w14:paraId="77EBBB06" w14:textId="77777777" w:rsidR="006A3F1B" w:rsidRPr="009C5F11" w:rsidRDefault="006A3F1B" w:rsidP="00334F3B">
            <w:pPr>
              <w:numPr>
                <w:ilvl w:val="0"/>
                <w:numId w:val="27"/>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 decembrie 2014 a fost aprobat PLEE 2015-2017. </w:t>
            </w:r>
          </w:p>
        </w:tc>
        <w:tc>
          <w:tcPr>
            <w:tcW w:w="2413" w:type="pct"/>
            <w:shd w:val="clear" w:color="auto" w:fill="DBE5F1"/>
          </w:tcPr>
          <w:p w14:paraId="2972BE3B"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din 01.10.2012.</w:t>
            </w:r>
          </w:p>
        </w:tc>
      </w:tr>
      <w:tr w:rsidR="006A3F1B" w:rsidRPr="009C5F11" w14:paraId="027F49DA" w14:textId="77777777" w:rsidTr="006A3F1B">
        <w:trPr>
          <w:trHeight w:val="269"/>
        </w:trPr>
        <w:tc>
          <w:tcPr>
            <w:tcW w:w="236" w:type="pct"/>
            <w:vMerge/>
            <w:shd w:val="clear" w:color="auto" w:fill="auto"/>
          </w:tcPr>
          <w:p w14:paraId="2BAD6059"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3555FBA4"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3EA39D18" w14:textId="77777777" w:rsidR="006A3F1B" w:rsidRPr="009C5F11" w:rsidRDefault="006A3F1B" w:rsidP="00334F3B">
            <w:pPr>
              <w:numPr>
                <w:ilvl w:val="0"/>
                <w:numId w:val="27"/>
              </w:numPr>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25CE6562"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7A1414E6"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Eficienţă Energetică;</w:t>
            </w:r>
          </w:p>
          <w:p w14:paraId="6F72B383"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Fondul pentru Eficienţă Energetică;</w:t>
            </w:r>
          </w:p>
          <w:p w14:paraId="1E5DA174"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Ministerul Economiei;</w:t>
            </w:r>
          </w:p>
          <w:p w14:paraId="0907922C" w14:textId="77777777" w:rsidR="006A3F1B" w:rsidRPr="009C5F11" w:rsidRDefault="006A3F1B" w:rsidP="00430626">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Dezvoltare Regională Centru.</w:t>
            </w:r>
          </w:p>
        </w:tc>
      </w:tr>
      <w:tr w:rsidR="006A3F1B" w:rsidRPr="009C5F11" w14:paraId="24BB352F" w14:textId="77777777" w:rsidTr="006A3F1B">
        <w:trPr>
          <w:trHeight w:val="80"/>
        </w:trPr>
        <w:tc>
          <w:tcPr>
            <w:tcW w:w="236" w:type="pct"/>
            <w:vMerge w:val="restart"/>
            <w:shd w:val="clear" w:color="auto" w:fill="auto"/>
          </w:tcPr>
          <w:p w14:paraId="6840D595"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5</w:t>
            </w:r>
          </w:p>
        </w:tc>
        <w:tc>
          <w:tcPr>
            <w:tcW w:w="804" w:type="pct"/>
            <w:vMerge w:val="restart"/>
            <w:shd w:val="clear" w:color="auto" w:fill="auto"/>
          </w:tcPr>
          <w:p w14:paraId="1A4EA779"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Cantemir</w:t>
            </w:r>
          </w:p>
        </w:tc>
        <w:tc>
          <w:tcPr>
            <w:tcW w:w="1547" w:type="pct"/>
            <w:vMerge w:val="restart"/>
            <w:shd w:val="clear" w:color="auto" w:fill="auto"/>
          </w:tcPr>
          <w:p w14:paraId="567B9E7A" w14:textId="77777777" w:rsidR="006A3F1B" w:rsidRPr="009C5F11" w:rsidRDefault="006A3F1B" w:rsidP="00043064">
            <w:pPr>
              <w:ind w:left="252"/>
              <w:contextualSpacing/>
              <w:rPr>
                <w:rFonts w:ascii="Times New Roman" w:hAnsi="Times New Roman" w:cs="Times New Roman"/>
                <w:sz w:val="18"/>
                <w:szCs w:val="14"/>
                <w:lang w:val="ro-RO"/>
              </w:rPr>
            </w:pPr>
          </w:p>
        </w:tc>
        <w:tc>
          <w:tcPr>
            <w:tcW w:w="2413" w:type="pct"/>
            <w:shd w:val="clear" w:color="auto" w:fill="DBE5F1"/>
          </w:tcPr>
          <w:p w14:paraId="5F7BA023"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prin Hotărârea nr. 1/01p din 15.03.2013.</w:t>
            </w:r>
          </w:p>
        </w:tc>
      </w:tr>
      <w:tr w:rsidR="006A3F1B" w:rsidRPr="009C5F11" w14:paraId="212C0CED" w14:textId="77777777" w:rsidTr="006A3F1B">
        <w:trPr>
          <w:trHeight w:val="1574"/>
        </w:trPr>
        <w:tc>
          <w:tcPr>
            <w:tcW w:w="236" w:type="pct"/>
            <w:vMerge/>
            <w:shd w:val="clear" w:color="auto" w:fill="auto"/>
          </w:tcPr>
          <w:p w14:paraId="3CF41714"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7B262D48"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02A42D41" w14:textId="77777777" w:rsidR="006A3F1B" w:rsidRPr="009C5F11" w:rsidRDefault="006A3F1B" w:rsidP="00430626">
            <w:pPr>
              <w:ind w:left="252"/>
              <w:contextualSpacing/>
              <w:rPr>
                <w:rFonts w:ascii="Times New Roman" w:hAnsi="Times New Roman" w:cs="Times New Roman"/>
                <w:sz w:val="18"/>
                <w:szCs w:val="14"/>
                <w:lang w:val="ro-RO"/>
              </w:rPr>
            </w:pPr>
          </w:p>
        </w:tc>
        <w:tc>
          <w:tcPr>
            <w:tcW w:w="2413" w:type="pct"/>
            <w:shd w:val="clear" w:color="auto" w:fill="auto"/>
          </w:tcPr>
          <w:p w14:paraId="6F68C118"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20C4B58D"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Eficienţă Energetică;</w:t>
            </w:r>
          </w:p>
          <w:p w14:paraId="3575A822"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Fondul pentru Eficienţă Energetică;</w:t>
            </w:r>
          </w:p>
          <w:p w14:paraId="7DBFE5E2"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Ministerul Economiei;</w:t>
            </w:r>
          </w:p>
          <w:p w14:paraId="45E2FE85"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Dezvoltare Regională Sud;</w:t>
            </w:r>
          </w:p>
          <w:p w14:paraId="304B120E" w14:textId="77777777" w:rsidR="006A3F1B" w:rsidRPr="009C5F11" w:rsidRDefault="006A3F1B" w:rsidP="00334F3B">
            <w:pPr>
              <w:numPr>
                <w:ilvl w:val="0"/>
                <w:numId w:val="27"/>
              </w:numPr>
              <w:ind w:hanging="468"/>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USAID;</w:t>
            </w:r>
          </w:p>
          <w:p w14:paraId="4B005F7A" w14:textId="77777777" w:rsidR="006A3F1B" w:rsidRPr="009C5F11" w:rsidRDefault="006A3F1B" w:rsidP="00334F3B">
            <w:pPr>
              <w:numPr>
                <w:ilvl w:val="0"/>
                <w:numId w:val="27"/>
              </w:numPr>
              <w:ind w:hanging="468"/>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Proiectul Energie şi Biomasă în Moldova;</w:t>
            </w:r>
          </w:p>
          <w:p w14:paraId="685BB498" w14:textId="77777777" w:rsidR="006A3F1B" w:rsidRPr="009C5F11" w:rsidRDefault="006A3F1B" w:rsidP="00334F3B">
            <w:pPr>
              <w:numPr>
                <w:ilvl w:val="0"/>
                <w:numId w:val="27"/>
              </w:numPr>
              <w:spacing w:after="0" w:line="240" w:lineRule="auto"/>
              <w:ind w:hanging="468"/>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Programul EUREM: Managerul energetic european.</w:t>
            </w:r>
          </w:p>
        </w:tc>
      </w:tr>
      <w:tr w:rsidR="006A3F1B" w:rsidRPr="009C5F11" w14:paraId="57F71911" w14:textId="77777777" w:rsidTr="006A3F1B">
        <w:trPr>
          <w:trHeight w:val="467"/>
        </w:trPr>
        <w:tc>
          <w:tcPr>
            <w:tcW w:w="236" w:type="pct"/>
            <w:shd w:val="clear" w:color="auto" w:fill="auto"/>
            <w:hideMark/>
          </w:tcPr>
          <w:p w14:paraId="31F8B48B"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5</w:t>
            </w:r>
          </w:p>
        </w:tc>
        <w:tc>
          <w:tcPr>
            <w:tcW w:w="804" w:type="pct"/>
            <w:shd w:val="clear" w:color="auto" w:fill="auto"/>
            <w:hideMark/>
          </w:tcPr>
          <w:p w14:paraId="2D33072C"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Căuşeni</w:t>
            </w:r>
          </w:p>
        </w:tc>
        <w:tc>
          <w:tcPr>
            <w:tcW w:w="1547" w:type="pct"/>
            <w:shd w:val="clear" w:color="auto" w:fill="auto"/>
            <w:hideMark/>
          </w:tcPr>
          <w:p w14:paraId="19A6F230" w14:textId="77777777" w:rsidR="006A3F1B" w:rsidRPr="009C5F11" w:rsidRDefault="006A3F1B" w:rsidP="00334F3B">
            <w:pPr>
              <w:numPr>
                <w:ilvl w:val="0"/>
                <w:numId w:val="28"/>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 2014 a fost elaborat cu suportul USAID PLEE 2014-2016. </w:t>
            </w:r>
          </w:p>
        </w:tc>
        <w:tc>
          <w:tcPr>
            <w:tcW w:w="2413" w:type="pct"/>
            <w:shd w:val="clear" w:color="auto" w:fill="DBE5F1"/>
          </w:tcPr>
          <w:p w14:paraId="34A5CEB1"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prin Hotărârea 145p of 22.08.2014.</w:t>
            </w:r>
          </w:p>
        </w:tc>
      </w:tr>
      <w:tr w:rsidR="006A3F1B" w:rsidRPr="009C5F11" w14:paraId="0E761CA3" w14:textId="77777777" w:rsidTr="006A3F1B">
        <w:trPr>
          <w:trHeight w:val="620"/>
        </w:trPr>
        <w:tc>
          <w:tcPr>
            <w:tcW w:w="236" w:type="pct"/>
            <w:shd w:val="clear" w:color="auto" w:fill="auto"/>
            <w:hideMark/>
          </w:tcPr>
          <w:p w14:paraId="3D8986EE"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6</w:t>
            </w:r>
          </w:p>
        </w:tc>
        <w:tc>
          <w:tcPr>
            <w:tcW w:w="804" w:type="pct"/>
            <w:shd w:val="clear" w:color="auto" w:fill="auto"/>
            <w:hideMark/>
          </w:tcPr>
          <w:p w14:paraId="600A258F"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Cimişlia</w:t>
            </w:r>
          </w:p>
        </w:tc>
        <w:tc>
          <w:tcPr>
            <w:tcW w:w="1547" w:type="pct"/>
            <w:shd w:val="clear" w:color="auto" w:fill="auto"/>
            <w:hideMark/>
          </w:tcPr>
          <w:p w14:paraId="004FDBA2"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Acţiuni pentru realizarea măsurilor de eficienţă energetică,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sunt stabilite în planul strategic socio-economic al raionului Cimişlia 2013-2020.</w:t>
            </w:r>
          </w:p>
        </w:tc>
        <w:tc>
          <w:tcPr>
            <w:tcW w:w="2413" w:type="pct"/>
            <w:shd w:val="clear" w:color="auto" w:fill="auto"/>
          </w:tcPr>
          <w:p w14:paraId="12A992EC"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w:t>
            </w:r>
          </w:p>
        </w:tc>
      </w:tr>
      <w:tr w:rsidR="006A3F1B" w:rsidRPr="009C5F11" w14:paraId="62C1EEB4" w14:textId="77777777" w:rsidTr="006A3F1B">
        <w:trPr>
          <w:trHeight w:val="379"/>
        </w:trPr>
        <w:tc>
          <w:tcPr>
            <w:tcW w:w="236" w:type="pct"/>
            <w:vMerge w:val="restart"/>
            <w:shd w:val="clear" w:color="auto" w:fill="auto"/>
            <w:hideMark/>
          </w:tcPr>
          <w:p w14:paraId="64356433"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7</w:t>
            </w:r>
          </w:p>
        </w:tc>
        <w:tc>
          <w:tcPr>
            <w:tcW w:w="804" w:type="pct"/>
            <w:vMerge w:val="restart"/>
            <w:shd w:val="clear" w:color="auto" w:fill="auto"/>
            <w:hideMark/>
          </w:tcPr>
          <w:p w14:paraId="6F51D365"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Criuleni</w:t>
            </w:r>
          </w:p>
        </w:tc>
        <w:tc>
          <w:tcPr>
            <w:tcW w:w="1547" w:type="pct"/>
            <w:vMerge w:val="restart"/>
            <w:shd w:val="clear" w:color="auto" w:fill="auto"/>
            <w:hideMark/>
          </w:tcPr>
          <w:p w14:paraId="3127B810" w14:textId="77777777" w:rsidR="006A3F1B" w:rsidRPr="009C5F11" w:rsidRDefault="006A3F1B" w:rsidP="00334F3B">
            <w:pPr>
              <w:numPr>
                <w:ilvl w:val="0"/>
                <w:numId w:val="29"/>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23.05.2013 a fost aprobat PLEE 2013-2016;</w:t>
            </w:r>
          </w:p>
          <w:p w14:paraId="5BCD06B7" w14:textId="77777777" w:rsidR="006A3F1B" w:rsidRPr="009C5F11" w:rsidRDefault="006A3F1B" w:rsidP="00334F3B">
            <w:pPr>
              <w:numPr>
                <w:ilvl w:val="0"/>
                <w:numId w:val="29"/>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12.09.2014 a fost aprobat PLAEE 2014-2015.</w:t>
            </w:r>
          </w:p>
        </w:tc>
        <w:tc>
          <w:tcPr>
            <w:tcW w:w="2413" w:type="pct"/>
            <w:shd w:val="clear" w:color="auto" w:fill="DBE5F1"/>
          </w:tcPr>
          <w:p w14:paraId="63879091"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w:t>
            </w:r>
          </w:p>
        </w:tc>
      </w:tr>
      <w:tr w:rsidR="006A3F1B" w:rsidRPr="009C5F11" w14:paraId="584898C1" w14:textId="77777777" w:rsidTr="006A3F1B">
        <w:trPr>
          <w:trHeight w:val="1205"/>
        </w:trPr>
        <w:tc>
          <w:tcPr>
            <w:tcW w:w="236" w:type="pct"/>
            <w:vMerge/>
            <w:shd w:val="clear" w:color="auto" w:fill="auto"/>
          </w:tcPr>
          <w:p w14:paraId="44EF5C09"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2DAAADA5"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07D46DC2" w14:textId="77777777" w:rsidR="006A3F1B" w:rsidRPr="009C5F11" w:rsidRDefault="006A3F1B" w:rsidP="00334F3B">
            <w:pPr>
              <w:numPr>
                <w:ilvl w:val="0"/>
                <w:numId w:val="29"/>
              </w:numPr>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7B8364A5"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7AB8FE7B"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Eficienţă Energetică;</w:t>
            </w:r>
          </w:p>
          <w:p w14:paraId="2607AE4B"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Fondul pentru Eficienţă Energetică;</w:t>
            </w:r>
          </w:p>
          <w:p w14:paraId="0FB64598"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Ministerul Economiei;</w:t>
            </w:r>
          </w:p>
          <w:p w14:paraId="5E98A398"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Dezvoltare Regională Centru;</w:t>
            </w:r>
          </w:p>
          <w:p w14:paraId="20C8F415" w14:textId="77777777" w:rsidR="006A3F1B" w:rsidRPr="009C5F11" w:rsidRDefault="006A3F1B" w:rsidP="00430626">
            <w:pPr>
              <w:spacing w:after="0" w:line="240" w:lineRule="auto"/>
              <w:ind w:left="702" w:hanging="45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Academia de Administrare Publică pe lângă Preşedintele RM.</w:t>
            </w:r>
          </w:p>
        </w:tc>
      </w:tr>
      <w:tr w:rsidR="006A3F1B" w:rsidRPr="009C5F11" w14:paraId="115C332D" w14:textId="77777777" w:rsidTr="006A3F1B">
        <w:trPr>
          <w:trHeight w:val="80"/>
        </w:trPr>
        <w:tc>
          <w:tcPr>
            <w:tcW w:w="236" w:type="pct"/>
            <w:vMerge w:val="restart"/>
            <w:shd w:val="clear" w:color="auto" w:fill="auto"/>
            <w:hideMark/>
          </w:tcPr>
          <w:p w14:paraId="7418F6C2"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8</w:t>
            </w:r>
          </w:p>
        </w:tc>
        <w:tc>
          <w:tcPr>
            <w:tcW w:w="804" w:type="pct"/>
            <w:vMerge w:val="restart"/>
            <w:shd w:val="clear" w:color="auto" w:fill="auto"/>
            <w:hideMark/>
          </w:tcPr>
          <w:p w14:paraId="7CBF57B9"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Donduşeni</w:t>
            </w:r>
          </w:p>
        </w:tc>
        <w:tc>
          <w:tcPr>
            <w:tcW w:w="1547" w:type="pct"/>
            <w:vMerge w:val="restart"/>
            <w:shd w:val="clear" w:color="auto" w:fill="auto"/>
            <w:hideMark/>
          </w:tcPr>
          <w:p w14:paraId="53956019" w14:textId="77777777" w:rsidR="006A3F1B" w:rsidRPr="009C5F11" w:rsidRDefault="006A3F1B" w:rsidP="00334F3B">
            <w:pPr>
              <w:numPr>
                <w:ilvl w:val="0"/>
                <w:numId w:val="30"/>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10.12.2013 a fost aprobat PLEE 2013-2016;</w:t>
            </w:r>
          </w:p>
          <w:p w14:paraId="24947DB8" w14:textId="77777777" w:rsidR="006A3F1B" w:rsidRPr="009C5F11" w:rsidRDefault="006A3F1B" w:rsidP="00334F3B">
            <w:pPr>
              <w:numPr>
                <w:ilvl w:val="0"/>
                <w:numId w:val="30"/>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25.07.2014 a fost aprobat PLAEE 2014-2015;</w:t>
            </w:r>
          </w:p>
        </w:tc>
        <w:tc>
          <w:tcPr>
            <w:tcW w:w="2413" w:type="pct"/>
            <w:shd w:val="clear" w:color="auto" w:fill="DBE5F1"/>
          </w:tcPr>
          <w:p w14:paraId="6FA7BF20"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prin Hotărârea nr. 42-P din 22.04.2013</w:t>
            </w:r>
          </w:p>
        </w:tc>
      </w:tr>
      <w:tr w:rsidR="006A3F1B" w:rsidRPr="009C5F11" w14:paraId="37FAFF37" w14:textId="77777777" w:rsidTr="006A3F1B">
        <w:trPr>
          <w:trHeight w:val="78"/>
        </w:trPr>
        <w:tc>
          <w:tcPr>
            <w:tcW w:w="236" w:type="pct"/>
            <w:vMerge/>
            <w:shd w:val="clear" w:color="auto" w:fill="auto"/>
          </w:tcPr>
          <w:p w14:paraId="19240544"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15EAB2DC"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67DC5B64" w14:textId="77777777" w:rsidR="006A3F1B" w:rsidRPr="009C5F11" w:rsidRDefault="006A3F1B" w:rsidP="00334F3B">
            <w:pPr>
              <w:numPr>
                <w:ilvl w:val="0"/>
                <w:numId w:val="30"/>
              </w:numPr>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0BAAF162" w14:textId="77777777" w:rsidR="006A3F1B" w:rsidRPr="009C5F11" w:rsidRDefault="006A3F1B" w:rsidP="0043062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Au fost organizate 3 sesiuni de instruire în domeniul EE în 2014 de către ADR Nord.</w:t>
            </w:r>
          </w:p>
        </w:tc>
      </w:tr>
      <w:tr w:rsidR="006A3F1B" w:rsidRPr="009C5F11" w14:paraId="4F285966" w14:textId="77777777" w:rsidTr="006A3F1B">
        <w:trPr>
          <w:trHeight w:val="80"/>
        </w:trPr>
        <w:tc>
          <w:tcPr>
            <w:tcW w:w="236" w:type="pct"/>
            <w:vMerge w:val="restart"/>
            <w:shd w:val="clear" w:color="auto" w:fill="auto"/>
            <w:hideMark/>
          </w:tcPr>
          <w:p w14:paraId="331DA6D1"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9</w:t>
            </w:r>
          </w:p>
        </w:tc>
        <w:tc>
          <w:tcPr>
            <w:tcW w:w="804" w:type="pct"/>
            <w:vMerge w:val="restart"/>
            <w:shd w:val="clear" w:color="auto" w:fill="auto"/>
            <w:hideMark/>
          </w:tcPr>
          <w:p w14:paraId="13955E7E"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Făleşti</w:t>
            </w:r>
          </w:p>
        </w:tc>
        <w:tc>
          <w:tcPr>
            <w:tcW w:w="1547" w:type="pct"/>
            <w:vMerge w:val="restart"/>
            <w:shd w:val="clear" w:color="auto" w:fill="auto"/>
            <w:hideMark/>
          </w:tcPr>
          <w:p w14:paraId="6456D4F3" w14:textId="77777777" w:rsidR="006A3F1B" w:rsidRPr="009C5F11" w:rsidRDefault="006A3F1B" w:rsidP="00334F3B">
            <w:pPr>
              <w:numPr>
                <w:ilvl w:val="0"/>
                <w:numId w:val="31"/>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Până la 01.05.2015 va fi elaborat PLEE 2015-2018;</w:t>
            </w:r>
          </w:p>
          <w:p w14:paraId="72344B8F" w14:textId="77777777" w:rsidR="006A3F1B" w:rsidRPr="009C5F11" w:rsidRDefault="006A3F1B" w:rsidP="00334F3B">
            <w:pPr>
              <w:numPr>
                <w:ilvl w:val="0"/>
                <w:numId w:val="31"/>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Până la 01.05.2015 va fi elaborat PLAEE. </w:t>
            </w:r>
          </w:p>
        </w:tc>
        <w:tc>
          <w:tcPr>
            <w:tcW w:w="2413" w:type="pct"/>
            <w:shd w:val="clear" w:color="auto" w:fill="DBE5F1"/>
          </w:tcPr>
          <w:p w14:paraId="5B43B29F"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prin Hotărârea nr. 30-c din 19.03.2014.</w:t>
            </w:r>
          </w:p>
        </w:tc>
      </w:tr>
      <w:tr w:rsidR="006A3F1B" w:rsidRPr="009C5F11" w14:paraId="4BC01931" w14:textId="77777777" w:rsidTr="006A3F1B">
        <w:trPr>
          <w:trHeight w:val="476"/>
        </w:trPr>
        <w:tc>
          <w:tcPr>
            <w:tcW w:w="236" w:type="pct"/>
            <w:vMerge/>
            <w:shd w:val="clear" w:color="auto" w:fill="auto"/>
          </w:tcPr>
          <w:p w14:paraId="59FA7D83"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79ADF429"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217CC67A" w14:textId="77777777" w:rsidR="006A3F1B" w:rsidRPr="009C5F11" w:rsidRDefault="006A3F1B" w:rsidP="00334F3B">
            <w:pPr>
              <w:numPr>
                <w:ilvl w:val="0"/>
                <w:numId w:val="31"/>
              </w:numPr>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4AD6FA48"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344C6C55"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Fondul pentru Eficienţă Energetică;</w:t>
            </w:r>
          </w:p>
          <w:p w14:paraId="72E4B9FD" w14:textId="77777777" w:rsidR="006A3F1B" w:rsidRPr="009C5F11" w:rsidRDefault="006A3F1B" w:rsidP="00430626">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Ministerul Economiei.</w:t>
            </w:r>
          </w:p>
        </w:tc>
      </w:tr>
      <w:tr w:rsidR="006A3F1B" w:rsidRPr="009C5F11" w14:paraId="758755DF" w14:textId="77777777" w:rsidTr="006A3F1B">
        <w:trPr>
          <w:trHeight w:val="80"/>
        </w:trPr>
        <w:tc>
          <w:tcPr>
            <w:tcW w:w="236" w:type="pct"/>
            <w:vMerge w:val="restart"/>
            <w:shd w:val="clear" w:color="auto" w:fill="auto"/>
            <w:hideMark/>
          </w:tcPr>
          <w:p w14:paraId="2393576D"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10</w:t>
            </w:r>
          </w:p>
        </w:tc>
        <w:tc>
          <w:tcPr>
            <w:tcW w:w="804" w:type="pct"/>
            <w:vMerge w:val="restart"/>
            <w:shd w:val="clear" w:color="auto" w:fill="auto"/>
            <w:hideMark/>
          </w:tcPr>
          <w:p w14:paraId="668DB647"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Consiliul Raional </w:t>
            </w:r>
            <w:r w:rsidRPr="009C5F11">
              <w:rPr>
                <w:rFonts w:ascii="Times New Roman" w:hAnsi="Times New Roman" w:cs="Times New Roman"/>
                <w:sz w:val="18"/>
                <w:szCs w:val="14"/>
                <w:lang w:val="ro-RO"/>
              </w:rPr>
              <w:lastRenderedPageBreak/>
              <w:t>Floreşti</w:t>
            </w:r>
          </w:p>
        </w:tc>
        <w:tc>
          <w:tcPr>
            <w:tcW w:w="1547" w:type="pct"/>
            <w:vMerge w:val="restart"/>
            <w:shd w:val="clear" w:color="auto" w:fill="auto"/>
            <w:hideMark/>
          </w:tcPr>
          <w:p w14:paraId="6596BF25" w14:textId="77777777" w:rsidR="006A3F1B" w:rsidRPr="009C5F11" w:rsidRDefault="006A3F1B" w:rsidP="00334F3B">
            <w:pPr>
              <w:numPr>
                <w:ilvl w:val="0"/>
                <w:numId w:val="32"/>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 xml:space="preserve">La 02.12.2013 a fost elaborat </w:t>
            </w:r>
            <w:r w:rsidRPr="009C5F11">
              <w:rPr>
                <w:rFonts w:ascii="Times New Roman" w:hAnsi="Times New Roman" w:cs="Times New Roman"/>
                <w:sz w:val="18"/>
                <w:szCs w:val="14"/>
                <w:lang w:val="ro-RO"/>
              </w:rPr>
              <w:lastRenderedPageBreak/>
              <w:t xml:space="preserve">PLEE 2013-2016; </w:t>
            </w:r>
          </w:p>
          <w:p w14:paraId="632FEA39" w14:textId="77777777" w:rsidR="006A3F1B" w:rsidRPr="009C5F11" w:rsidRDefault="006A3F1B" w:rsidP="00334F3B">
            <w:pPr>
              <w:numPr>
                <w:ilvl w:val="0"/>
                <w:numId w:val="32"/>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În septembrie 2014 a fost elaborat PLAEE 2014-2016.</w:t>
            </w:r>
          </w:p>
        </w:tc>
        <w:tc>
          <w:tcPr>
            <w:tcW w:w="2413" w:type="pct"/>
            <w:shd w:val="clear" w:color="auto" w:fill="DBE5F1"/>
          </w:tcPr>
          <w:p w14:paraId="4039693E"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Managerul energetic angajat prin Hotărârea nr. 22 din 04.02.2013.</w:t>
            </w:r>
          </w:p>
        </w:tc>
      </w:tr>
      <w:tr w:rsidR="006A3F1B" w:rsidRPr="009C5F11" w14:paraId="30D79ECE" w14:textId="77777777" w:rsidTr="006A3F1B">
        <w:trPr>
          <w:trHeight w:val="1169"/>
        </w:trPr>
        <w:tc>
          <w:tcPr>
            <w:tcW w:w="236" w:type="pct"/>
            <w:vMerge/>
            <w:shd w:val="clear" w:color="auto" w:fill="auto"/>
          </w:tcPr>
          <w:p w14:paraId="63F650DC"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7B88E3B5"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4D948426" w14:textId="77777777" w:rsidR="006A3F1B" w:rsidRPr="009C5F11" w:rsidRDefault="006A3F1B" w:rsidP="00334F3B">
            <w:pPr>
              <w:numPr>
                <w:ilvl w:val="0"/>
                <w:numId w:val="32"/>
              </w:numPr>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559E8723"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3DB321AE"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Eficienţă Energetică;</w:t>
            </w:r>
          </w:p>
          <w:p w14:paraId="1C1FF37E"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Fondul pentru Eficienţă Energetică;</w:t>
            </w:r>
          </w:p>
          <w:p w14:paraId="10CCF61A"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Ministerul Economiei;</w:t>
            </w:r>
          </w:p>
          <w:p w14:paraId="220A084E"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Dezvoltare Regională Centru;</w:t>
            </w:r>
          </w:p>
          <w:p w14:paraId="75ED6F66" w14:textId="77777777" w:rsidR="006A3F1B" w:rsidRPr="009C5F11" w:rsidRDefault="006A3F1B" w:rsidP="00430626">
            <w:pPr>
              <w:spacing w:after="0" w:line="240" w:lineRule="auto"/>
              <w:ind w:left="702" w:hanging="45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Academia de Administrare Publică pe lângă Preşedintele RM.</w:t>
            </w:r>
          </w:p>
        </w:tc>
      </w:tr>
      <w:tr w:rsidR="006A3F1B" w:rsidRPr="009C5F11" w14:paraId="06C9D073" w14:textId="77777777" w:rsidTr="006A3F1B">
        <w:trPr>
          <w:trHeight w:val="143"/>
        </w:trPr>
        <w:tc>
          <w:tcPr>
            <w:tcW w:w="236" w:type="pct"/>
            <w:vMerge w:val="restart"/>
            <w:shd w:val="clear" w:color="auto" w:fill="auto"/>
            <w:hideMark/>
          </w:tcPr>
          <w:p w14:paraId="5AF41D53"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11</w:t>
            </w:r>
          </w:p>
        </w:tc>
        <w:tc>
          <w:tcPr>
            <w:tcW w:w="804" w:type="pct"/>
            <w:vMerge w:val="restart"/>
            <w:shd w:val="clear" w:color="auto" w:fill="auto"/>
            <w:hideMark/>
          </w:tcPr>
          <w:p w14:paraId="6215E6D8"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Ialoveni</w:t>
            </w:r>
          </w:p>
        </w:tc>
        <w:tc>
          <w:tcPr>
            <w:tcW w:w="1547" w:type="pct"/>
            <w:vMerge w:val="restart"/>
            <w:shd w:val="clear" w:color="auto" w:fill="auto"/>
            <w:hideMark/>
          </w:tcPr>
          <w:p w14:paraId="7D45E9AC" w14:textId="77777777" w:rsidR="006A3F1B" w:rsidRPr="009C5F11" w:rsidRDefault="006A3F1B" w:rsidP="00334F3B">
            <w:pPr>
              <w:numPr>
                <w:ilvl w:val="0"/>
                <w:numId w:val="32"/>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 ianuarie 2015 a fost elaborat PLAEE 2015. </w:t>
            </w:r>
          </w:p>
        </w:tc>
        <w:tc>
          <w:tcPr>
            <w:tcW w:w="2413" w:type="pct"/>
            <w:shd w:val="clear" w:color="auto" w:fill="DBE5F1"/>
          </w:tcPr>
          <w:p w14:paraId="7E225953"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w:t>
            </w:r>
          </w:p>
        </w:tc>
      </w:tr>
      <w:tr w:rsidR="006A3F1B" w:rsidRPr="009C5F11" w14:paraId="428D97E6" w14:textId="77777777" w:rsidTr="006A3F1B">
        <w:trPr>
          <w:trHeight w:val="539"/>
        </w:trPr>
        <w:tc>
          <w:tcPr>
            <w:tcW w:w="236" w:type="pct"/>
            <w:vMerge/>
            <w:shd w:val="clear" w:color="auto" w:fill="auto"/>
          </w:tcPr>
          <w:p w14:paraId="074E72AB"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6791C803"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5EB2F647" w14:textId="77777777" w:rsidR="006A3F1B" w:rsidRPr="009C5F11" w:rsidRDefault="006A3F1B" w:rsidP="00334F3B">
            <w:pPr>
              <w:numPr>
                <w:ilvl w:val="0"/>
                <w:numId w:val="32"/>
              </w:numPr>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129EDDCF"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73B003C5" w14:textId="77777777" w:rsidR="006A3F1B" w:rsidRPr="009C5F11" w:rsidRDefault="006A3F1B" w:rsidP="00334F3B">
            <w:pPr>
              <w:numPr>
                <w:ilvl w:val="0"/>
                <w:numId w:val="32"/>
              </w:numPr>
              <w:spacing w:after="0" w:line="240" w:lineRule="auto"/>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Programul EUREM: Managerul energetic european, 15.09.2014- mai 2015, realizat de Camera de Comerţ şi Industrie a RM.</w:t>
            </w:r>
          </w:p>
        </w:tc>
      </w:tr>
      <w:tr w:rsidR="006A3F1B" w:rsidRPr="009C5F11" w14:paraId="5CE9BD13" w14:textId="77777777" w:rsidTr="006A3F1B">
        <w:trPr>
          <w:trHeight w:val="296"/>
        </w:trPr>
        <w:tc>
          <w:tcPr>
            <w:tcW w:w="236" w:type="pct"/>
            <w:vMerge w:val="restart"/>
            <w:shd w:val="clear" w:color="auto" w:fill="auto"/>
            <w:hideMark/>
          </w:tcPr>
          <w:p w14:paraId="4D092BCB"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12</w:t>
            </w:r>
          </w:p>
        </w:tc>
        <w:tc>
          <w:tcPr>
            <w:tcW w:w="804" w:type="pct"/>
            <w:vMerge w:val="restart"/>
            <w:shd w:val="clear" w:color="auto" w:fill="auto"/>
            <w:hideMark/>
          </w:tcPr>
          <w:p w14:paraId="73E1F165"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Leova</w:t>
            </w:r>
          </w:p>
        </w:tc>
        <w:tc>
          <w:tcPr>
            <w:tcW w:w="1547" w:type="pct"/>
            <w:vMerge w:val="restart"/>
            <w:shd w:val="clear" w:color="auto" w:fill="auto"/>
            <w:hideMark/>
          </w:tcPr>
          <w:p w14:paraId="3DF6AA0D" w14:textId="77777777" w:rsidR="006A3F1B" w:rsidRPr="009C5F11" w:rsidRDefault="006A3F1B" w:rsidP="00334F3B">
            <w:pPr>
              <w:numPr>
                <w:ilvl w:val="0"/>
                <w:numId w:val="33"/>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02.12.2013 a fost aprobat PLEE 2013-2016;</w:t>
            </w:r>
          </w:p>
          <w:p w14:paraId="3AE68007" w14:textId="77777777" w:rsidR="006A3F1B" w:rsidRPr="009C5F11" w:rsidRDefault="006A3F1B" w:rsidP="00334F3B">
            <w:pPr>
              <w:numPr>
                <w:ilvl w:val="0"/>
                <w:numId w:val="33"/>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 septembrie 2014 a fost elaborat PLAEE 2014-2016; </w:t>
            </w:r>
          </w:p>
          <w:p w14:paraId="37CA5513" w14:textId="77777777" w:rsidR="006A3F1B" w:rsidRPr="009C5F11" w:rsidRDefault="006A3F1B" w:rsidP="00334F3B">
            <w:pPr>
              <w:numPr>
                <w:ilvl w:val="0"/>
                <w:numId w:val="33"/>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La 08.09.2014 a fost adoptat PLAEE 2014-2015; </w:t>
            </w:r>
          </w:p>
        </w:tc>
        <w:tc>
          <w:tcPr>
            <w:tcW w:w="2413" w:type="pct"/>
            <w:shd w:val="clear" w:color="auto" w:fill="DBE5F1"/>
          </w:tcPr>
          <w:p w14:paraId="682E8D25"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prin Hotărârea nr. 251 din 10.12.2014</w:t>
            </w:r>
          </w:p>
        </w:tc>
      </w:tr>
      <w:tr w:rsidR="006A3F1B" w:rsidRPr="009C5F11" w14:paraId="44F67CC2" w14:textId="77777777" w:rsidTr="006A3F1B">
        <w:trPr>
          <w:trHeight w:val="485"/>
        </w:trPr>
        <w:tc>
          <w:tcPr>
            <w:tcW w:w="236" w:type="pct"/>
            <w:vMerge/>
            <w:shd w:val="clear" w:color="auto" w:fill="auto"/>
          </w:tcPr>
          <w:p w14:paraId="0E076CAE"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4DE0FC78"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4B425658" w14:textId="77777777" w:rsidR="006A3F1B" w:rsidRPr="009C5F11" w:rsidRDefault="006A3F1B" w:rsidP="00334F3B">
            <w:pPr>
              <w:numPr>
                <w:ilvl w:val="0"/>
                <w:numId w:val="33"/>
              </w:numPr>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4AF74423"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0AFDC836" w14:textId="77777777" w:rsidR="006A3F1B" w:rsidRPr="009C5F11" w:rsidRDefault="006A3F1B" w:rsidP="00334F3B">
            <w:pPr>
              <w:numPr>
                <w:ilvl w:val="0"/>
                <w:numId w:val="33"/>
              </w:numPr>
              <w:spacing w:after="0" w:line="240" w:lineRule="auto"/>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Programul EUREM: Managerul energetic european, septembrie 2014- mai 2015 , realizat de Camera de Comerţ şi Industrie a RM.</w:t>
            </w:r>
          </w:p>
        </w:tc>
      </w:tr>
      <w:tr w:rsidR="006A3F1B" w:rsidRPr="009C5F11" w14:paraId="16549984" w14:textId="77777777" w:rsidTr="006A3F1B">
        <w:trPr>
          <w:trHeight w:val="80"/>
        </w:trPr>
        <w:tc>
          <w:tcPr>
            <w:tcW w:w="236" w:type="pct"/>
            <w:vMerge w:val="restart"/>
            <w:shd w:val="clear" w:color="auto" w:fill="auto"/>
            <w:hideMark/>
          </w:tcPr>
          <w:p w14:paraId="3F1D00B5"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13</w:t>
            </w:r>
          </w:p>
        </w:tc>
        <w:tc>
          <w:tcPr>
            <w:tcW w:w="804" w:type="pct"/>
            <w:vMerge w:val="restart"/>
            <w:shd w:val="clear" w:color="auto" w:fill="auto"/>
            <w:hideMark/>
          </w:tcPr>
          <w:p w14:paraId="56B0FE9D"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Nisporeni</w:t>
            </w:r>
          </w:p>
        </w:tc>
        <w:tc>
          <w:tcPr>
            <w:tcW w:w="1547" w:type="pct"/>
            <w:vMerge w:val="restart"/>
            <w:shd w:val="clear" w:color="auto" w:fill="auto"/>
            <w:hideMark/>
          </w:tcPr>
          <w:p w14:paraId="5F24A539" w14:textId="77777777" w:rsidR="006A3F1B" w:rsidRPr="009C5F11" w:rsidRDefault="006A3F1B" w:rsidP="00334F3B">
            <w:pPr>
              <w:numPr>
                <w:ilvl w:val="0"/>
                <w:numId w:val="34"/>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02.12.2013 Strategia de dezvoltare a raionului Nisporeni a fost aprobată;</w:t>
            </w:r>
          </w:p>
          <w:p w14:paraId="1BE373E5" w14:textId="77777777" w:rsidR="006A3F1B" w:rsidRPr="009C5F11" w:rsidRDefault="006A3F1B" w:rsidP="00334F3B">
            <w:pPr>
              <w:numPr>
                <w:ilvl w:val="0"/>
                <w:numId w:val="34"/>
              </w:numPr>
              <w:ind w:left="252" w:hanging="18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Planul de acţiuni se află la etapa de elaborare.</w:t>
            </w:r>
          </w:p>
        </w:tc>
        <w:tc>
          <w:tcPr>
            <w:tcW w:w="2413" w:type="pct"/>
            <w:shd w:val="clear" w:color="auto" w:fill="DBE5F1"/>
          </w:tcPr>
          <w:p w14:paraId="7FE1D927"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w:t>
            </w:r>
          </w:p>
        </w:tc>
      </w:tr>
      <w:tr w:rsidR="006A3F1B" w:rsidRPr="009C5F11" w14:paraId="03E82D4D" w14:textId="77777777" w:rsidTr="006A3F1B">
        <w:trPr>
          <w:trHeight w:val="264"/>
        </w:trPr>
        <w:tc>
          <w:tcPr>
            <w:tcW w:w="236" w:type="pct"/>
            <w:vMerge/>
            <w:shd w:val="clear" w:color="auto" w:fill="auto"/>
          </w:tcPr>
          <w:p w14:paraId="4692299B"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7052F22D"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3921A481" w14:textId="77777777" w:rsidR="006A3F1B" w:rsidRPr="009C5F11" w:rsidRDefault="006A3F1B" w:rsidP="00334F3B">
            <w:pPr>
              <w:numPr>
                <w:ilvl w:val="0"/>
                <w:numId w:val="34"/>
              </w:numPr>
              <w:spacing w:after="0" w:line="240" w:lineRule="auto"/>
              <w:ind w:left="252" w:hanging="180"/>
              <w:contextualSpacing/>
              <w:rPr>
                <w:rFonts w:ascii="Times New Roman" w:hAnsi="Times New Roman" w:cs="Times New Roman"/>
                <w:sz w:val="18"/>
                <w:szCs w:val="14"/>
                <w:lang w:val="ro-RO"/>
              </w:rPr>
            </w:pPr>
          </w:p>
        </w:tc>
        <w:tc>
          <w:tcPr>
            <w:tcW w:w="2413" w:type="pct"/>
            <w:shd w:val="clear" w:color="auto" w:fill="auto"/>
          </w:tcPr>
          <w:p w14:paraId="5AB0C1F4" w14:textId="77777777" w:rsidR="006A3F1B" w:rsidRPr="009C5F11" w:rsidRDefault="006A3F1B" w:rsidP="00043064">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4A0D865B" w14:textId="77777777" w:rsidR="006A3F1B" w:rsidRPr="009C5F11" w:rsidRDefault="006A3F1B" w:rsidP="00430626">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Dezvoltare Regională Centru.</w:t>
            </w:r>
          </w:p>
        </w:tc>
      </w:tr>
      <w:tr w:rsidR="006A3F1B" w:rsidRPr="009C5F11" w14:paraId="27BC6DEE" w14:textId="77777777" w:rsidTr="006A3F1B">
        <w:trPr>
          <w:trHeight w:val="80"/>
        </w:trPr>
        <w:tc>
          <w:tcPr>
            <w:tcW w:w="236" w:type="pct"/>
            <w:vMerge w:val="restart"/>
            <w:shd w:val="clear" w:color="auto" w:fill="auto"/>
            <w:hideMark/>
          </w:tcPr>
          <w:p w14:paraId="7D1E8716"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14</w:t>
            </w:r>
          </w:p>
        </w:tc>
        <w:tc>
          <w:tcPr>
            <w:tcW w:w="804" w:type="pct"/>
            <w:vMerge w:val="restart"/>
            <w:shd w:val="clear" w:color="auto" w:fill="auto"/>
            <w:hideMark/>
          </w:tcPr>
          <w:p w14:paraId="173145F7"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Ocniţa</w:t>
            </w:r>
          </w:p>
        </w:tc>
        <w:tc>
          <w:tcPr>
            <w:tcW w:w="1547" w:type="pct"/>
            <w:vMerge w:val="restart"/>
            <w:shd w:val="clear" w:color="auto" w:fill="auto"/>
            <w:hideMark/>
          </w:tcPr>
          <w:p w14:paraId="5855C8A8"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În 2013 a fost elaborat PLEE 2013-2016;</w:t>
            </w:r>
          </w:p>
          <w:p w14:paraId="6DFFAA26"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a fost aprobat PLAEE 2014-2015.</w:t>
            </w:r>
          </w:p>
        </w:tc>
        <w:tc>
          <w:tcPr>
            <w:tcW w:w="2413" w:type="pct"/>
            <w:shd w:val="clear" w:color="auto" w:fill="DBE5F1"/>
          </w:tcPr>
          <w:p w14:paraId="042F5AD6"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prin Hotărârea nr. 145-C din 12.12.2012</w:t>
            </w:r>
          </w:p>
        </w:tc>
      </w:tr>
      <w:tr w:rsidR="006A3F1B" w:rsidRPr="009C5F11" w14:paraId="030162B5" w14:textId="77777777" w:rsidTr="006A3F1B">
        <w:trPr>
          <w:trHeight w:val="1151"/>
        </w:trPr>
        <w:tc>
          <w:tcPr>
            <w:tcW w:w="236" w:type="pct"/>
            <w:vMerge/>
            <w:shd w:val="clear" w:color="auto" w:fill="auto"/>
          </w:tcPr>
          <w:p w14:paraId="02D2010E"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4D7F3566"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2430768E" w14:textId="77777777" w:rsidR="006A3F1B" w:rsidRPr="009C5F11" w:rsidRDefault="006A3F1B" w:rsidP="00334F3B">
            <w:pPr>
              <w:numPr>
                <w:ilvl w:val="0"/>
                <w:numId w:val="35"/>
              </w:numPr>
              <w:spacing w:after="0" w:line="240" w:lineRule="auto"/>
              <w:ind w:left="342" w:hanging="270"/>
              <w:contextualSpacing/>
              <w:rPr>
                <w:rFonts w:ascii="Times New Roman" w:hAnsi="Times New Roman" w:cs="Times New Roman"/>
                <w:sz w:val="18"/>
                <w:szCs w:val="14"/>
                <w:lang w:val="ro-RO"/>
              </w:rPr>
            </w:pPr>
          </w:p>
        </w:tc>
        <w:tc>
          <w:tcPr>
            <w:tcW w:w="2413" w:type="pct"/>
            <w:shd w:val="clear" w:color="auto" w:fill="auto"/>
          </w:tcPr>
          <w:p w14:paraId="7240F0A9"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405D83BF"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Eficienţă Energetică;</w:t>
            </w:r>
          </w:p>
          <w:p w14:paraId="5E941612"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Fondul pentru Eficienţă Energetică;</w:t>
            </w:r>
          </w:p>
          <w:p w14:paraId="721F88A7"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Ministerul Economiei;</w:t>
            </w:r>
          </w:p>
          <w:p w14:paraId="3ECA5FE3"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Dezvoltare Regională Nord;</w:t>
            </w:r>
          </w:p>
          <w:p w14:paraId="74CD4C9F" w14:textId="77777777" w:rsidR="006A3F1B" w:rsidRPr="009C5F11" w:rsidRDefault="006A3F1B" w:rsidP="00430626">
            <w:pPr>
              <w:spacing w:after="0" w:line="240" w:lineRule="auto"/>
              <w:ind w:left="685" w:hanging="343"/>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Academia de Administrare Publică pe lângă Preşedintele RM.</w:t>
            </w:r>
          </w:p>
        </w:tc>
      </w:tr>
      <w:tr w:rsidR="006A3F1B" w:rsidRPr="009C5F11" w14:paraId="069736C3" w14:textId="77777777" w:rsidTr="006A3F1B">
        <w:trPr>
          <w:trHeight w:val="83"/>
        </w:trPr>
        <w:tc>
          <w:tcPr>
            <w:tcW w:w="236" w:type="pct"/>
            <w:vMerge w:val="restart"/>
            <w:shd w:val="clear" w:color="auto" w:fill="auto"/>
            <w:hideMark/>
          </w:tcPr>
          <w:p w14:paraId="67345F71" w14:textId="77777777" w:rsidR="006A3F1B" w:rsidRPr="009C5F11" w:rsidRDefault="006A3F1B" w:rsidP="00430626">
            <w:pPr>
              <w:spacing w:after="0"/>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15</w:t>
            </w:r>
          </w:p>
        </w:tc>
        <w:tc>
          <w:tcPr>
            <w:tcW w:w="804" w:type="pct"/>
            <w:vMerge w:val="restart"/>
            <w:shd w:val="clear" w:color="auto" w:fill="auto"/>
            <w:hideMark/>
          </w:tcPr>
          <w:p w14:paraId="5F3E59E7"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Rezina</w:t>
            </w:r>
          </w:p>
        </w:tc>
        <w:tc>
          <w:tcPr>
            <w:tcW w:w="1547" w:type="pct"/>
            <w:vMerge w:val="restart"/>
            <w:shd w:val="clear" w:color="auto" w:fill="auto"/>
            <w:hideMark/>
          </w:tcPr>
          <w:p w14:paraId="760BDA51"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02.12.2013 a fost aprobat PLEE 2013-2016;</w:t>
            </w:r>
          </w:p>
          <w:p w14:paraId="3FC348BE"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În septembrie 2014 a fost elaborat PLAEE 2014-2016;</w:t>
            </w:r>
          </w:p>
          <w:p w14:paraId="41CA697B"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08.09.2014 PLEE 2014-2015 a fost aprobat.</w:t>
            </w:r>
          </w:p>
        </w:tc>
        <w:tc>
          <w:tcPr>
            <w:tcW w:w="2413" w:type="pct"/>
            <w:shd w:val="clear" w:color="auto" w:fill="DBE5F1"/>
          </w:tcPr>
          <w:p w14:paraId="0D3D5FF7"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prin Hotărârea nr. 161-C din 12.09.2012.</w:t>
            </w:r>
          </w:p>
        </w:tc>
      </w:tr>
      <w:tr w:rsidR="006A3F1B" w:rsidRPr="009C5F11" w14:paraId="57D52C7B" w14:textId="77777777" w:rsidTr="006A3F1B">
        <w:trPr>
          <w:trHeight w:val="80"/>
        </w:trPr>
        <w:tc>
          <w:tcPr>
            <w:tcW w:w="236" w:type="pct"/>
            <w:vMerge/>
            <w:shd w:val="clear" w:color="auto" w:fill="auto"/>
          </w:tcPr>
          <w:p w14:paraId="721C9ADF" w14:textId="77777777" w:rsidR="006A3F1B" w:rsidRPr="009C5F11" w:rsidRDefault="006A3F1B" w:rsidP="00430626">
            <w:pPr>
              <w:spacing w:after="0"/>
              <w:jc w:val="center"/>
              <w:rPr>
                <w:rFonts w:ascii="Times New Roman" w:hAnsi="Times New Roman" w:cs="Times New Roman"/>
                <w:sz w:val="18"/>
                <w:szCs w:val="14"/>
                <w:lang w:val="ro-RO"/>
              </w:rPr>
            </w:pPr>
          </w:p>
        </w:tc>
        <w:tc>
          <w:tcPr>
            <w:tcW w:w="804" w:type="pct"/>
            <w:vMerge/>
            <w:shd w:val="clear" w:color="auto" w:fill="auto"/>
          </w:tcPr>
          <w:p w14:paraId="4E6E5A84" w14:textId="77777777" w:rsidR="006A3F1B" w:rsidRPr="009C5F11" w:rsidRDefault="006A3F1B" w:rsidP="00430626">
            <w:pPr>
              <w:spacing w:after="0"/>
              <w:rPr>
                <w:rFonts w:ascii="Times New Roman" w:hAnsi="Times New Roman" w:cs="Times New Roman"/>
                <w:sz w:val="18"/>
                <w:szCs w:val="14"/>
                <w:lang w:val="ro-RO"/>
              </w:rPr>
            </w:pPr>
          </w:p>
        </w:tc>
        <w:tc>
          <w:tcPr>
            <w:tcW w:w="1547" w:type="pct"/>
            <w:vMerge/>
            <w:shd w:val="clear" w:color="auto" w:fill="auto"/>
          </w:tcPr>
          <w:p w14:paraId="7A935D61" w14:textId="77777777" w:rsidR="006A3F1B" w:rsidRPr="009C5F11" w:rsidRDefault="006A3F1B" w:rsidP="00334F3B">
            <w:pPr>
              <w:numPr>
                <w:ilvl w:val="0"/>
                <w:numId w:val="35"/>
              </w:numPr>
              <w:spacing w:after="0" w:line="240" w:lineRule="auto"/>
              <w:ind w:left="342" w:hanging="270"/>
              <w:contextualSpacing/>
              <w:rPr>
                <w:rFonts w:ascii="Times New Roman" w:hAnsi="Times New Roman" w:cs="Times New Roman"/>
                <w:sz w:val="18"/>
                <w:szCs w:val="14"/>
                <w:lang w:val="ro-RO"/>
              </w:rPr>
            </w:pPr>
          </w:p>
        </w:tc>
        <w:tc>
          <w:tcPr>
            <w:tcW w:w="2413" w:type="pct"/>
            <w:shd w:val="clear" w:color="auto" w:fill="auto"/>
          </w:tcPr>
          <w:p w14:paraId="027253DE"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7708286A"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Eficienţă Energetică;</w:t>
            </w:r>
          </w:p>
          <w:p w14:paraId="0F035044"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Fondul pentru Eficienţă Energetică;</w:t>
            </w:r>
          </w:p>
          <w:p w14:paraId="0D2AFE86"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Ministerul Economiei;</w:t>
            </w:r>
          </w:p>
          <w:p w14:paraId="45730889"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Dezvoltare Regională Nord;</w:t>
            </w:r>
          </w:p>
          <w:p w14:paraId="691B4FE6" w14:textId="77777777" w:rsidR="006A3F1B" w:rsidRPr="009C5F11" w:rsidRDefault="006A3F1B" w:rsidP="00430626">
            <w:pPr>
              <w:spacing w:after="0" w:line="240" w:lineRule="auto"/>
              <w:ind w:left="736" w:hanging="36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Academia de Administrare Publică pe lângă Preşedintele RM.</w:t>
            </w:r>
          </w:p>
        </w:tc>
      </w:tr>
      <w:tr w:rsidR="006A3F1B" w:rsidRPr="009C5F11" w14:paraId="0807168E" w14:textId="77777777" w:rsidTr="006A3F1B">
        <w:trPr>
          <w:trHeight w:val="242"/>
        </w:trPr>
        <w:tc>
          <w:tcPr>
            <w:tcW w:w="236" w:type="pct"/>
            <w:vMerge w:val="restart"/>
            <w:shd w:val="clear" w:color="auto" w:fill="auto"/>
            <w:hideMark/>
          </w:tcPr>
          <w:p w14:paraId="2818432D"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16</w:t>
            </w:r>
          </w:p>
        </w:tc>
        <w:tc>
          <w:tcPr>
            <w:tcW w:w="804" w:type="pct"/>
            <w:vMerge w:val="restart"/>
            <w:shd w:val="clear" w:color="auto" w:fill="auto"/>
            <w:hideMark/>
          </w:tcPr>
          <w:p w14:paraId="45D5DCAE"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Rîşcani</w:t>
            </w:r>
          </w:p>
        </w:tc>
        <w:tc>
          <w:tcPr>
            <w:tcW w:w="1547" w:type="pct"/>
            <w:vMerge w:val="restart"/>
            <w:shd w:val="clear" w:color="auto" w:fill="auto"/>
            <w:hideMark/>
          </w:tcPr>
          <w:p w14:paraId="387FD60E"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În 2013 a fost aprobat PLEE 2013-2016;</w:t>
            </w:r>
          </w:p>
          <w:p w14:paraId="1B439E92"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În septembrie 2014 a fost elaborat PLAEE 2014-2016;</w:t>
            </w:r>
          </w:p>
          <w:p w14:paraId="0C270575"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În 2014 a fost aprobat PLAEE 2014-2015;</w:t>
            </w:r>
          </w:p>
        </w:tc>
        <w:tc>
          <w:tcPr>
            <w:tcW w:w="2413" w:type="pct"/>
            <w:shd w:val="clear" w:color="auto" w:fill="DBE5F1"/>
          </w:tcPr>
          <w:p w14:paraId="500918BE"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w:t>
            </w:r>
          </w:p>
        </w:tc>
      </w:tr>
      <w:tr w:rsidR="006A3F1B" w:rsidRPr="009C5F11" w14:paraId="2858C371" w14:textId="77777777" w:rsidTr="006A3F1B">
        <w:trPr>
          <w:trHeight w:val="1335"/>
        </w:trPr>
        <w:tc>
          <w:tcPr>
            <w:tcW w:w="236" w:type="pct"/>
            <w:vMerge/>
            <w:shd w:val="clear" w:color="auto" w:fill="auto"/>
          </w:tcPr>
          <w:p w14:paraId="12F8FDC9"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752CC455"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5174F98C" w14:textId="77777777" w:rsidR="006A3F1B" w:rsidRPr="009C5F11" w:rsidRDefault="006A3F1B" w:rsidP="00334F3B">
            <w:pPr>
              <w:numPr>
                <w:ilvl w:val="0"/>
                <w:numId w:val="35"/>
              </w:numPr>
              <w:spacing w:after="0" w:line="240" w:lineRule="auto"/>
              <w:ind w:left="342" w:hanging="270"/>
              <w:contextualSpacing/>
              <w:rPr>
                <w:rFonts w:ascii="Times New Roman" w:hAnsi="Times New Roman" w:cs="Times New Roman"/>
                <w:sz w:val="18"/>
                <w:szCs w:val="14"/>
                <w:lang w:val="ro-RO"/>
              </w:rPr>
            </w:pPr>
          </w:p>
        </w:tc>
        <w:tc>
          <w:tcPr>
            <w:tcW w:w="2413" w:type="pct"/>
            <w:shd w:val="clear" w:color="auto" w:fill="auto"/>
          </w:tcPr>
          <w:p w14:paraId="0F9655B1"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15621503" w14:textId="77777777" w:rsidR="006A3F1B" w:rsidRPr="009C5F11" w:rsidRDefault="006A3F1B" w:rsidP="00043064">
            <w:pPr>
              <w:ind w:left="286"/>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Eficienţă Energetică;</w:t>
            </w:r>
          </w:p>
          <w:p w14:paraId="6ECCBFEC" w14:textId="77777777" w:rsidR="006A3F1B" w:rsidRPr="009C5F11" w:rsidRDefault="006A3F1B" w:rsidP="00043064">
            <w:pPr>
              <w:ind w:left="286"/>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Fondul pentru Eficienţă Energetică;</w:t>
            </w:r>
          </w:p>
          <w:p w14:paraId="3FEBA48A" w14:textId="77777777" w:rsidR="006A3F1B" w:rsidRPr="009C5F11" w:rsidRDefault="006A3F1B" w:rsidP="00043064">
            <w:pPr>
              <w:ind w:left="286"/>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Ministerul Economiei;</w:t>
            </w:r>
          </w:p>
          <w:p w14:paraId="4E1419E0" w14:textId="77777777" w:rsidR="006A3F1B" w:rsidRPr="009C5F11" w:rsidRDefault="006A3F1B" w:rsidP="00043064">
            <w:pPr>
              <w:ind w:left="286"/>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Dezvoltare Regională Centru;</w:t>
            </w:r>
          </w:p>
          <w:p w14:paraId="743174BF" w14:textId="77777777" w:rsidR="006A3F1B" w:rsidRPr="009C5F11" w:rsidRDefault="006A3F1B" w:rsidP="00430626">
            <w:pPr>
              <w:spacing w:after="0" w:line="240" w:lineRule="auto"/>
              <w:ind w:left="736" w:hanging="45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Academia de Administrare Publică pe lângă Preşedintele RM.</w:t>
            </w:r>
          </w:p>
        </w:tc>
      </w:tr>
      <w:tr w:rsidR="006A3F1B" w:rsidRPr="009C5F11" w14:paraId="6D093819" w14:textId="77777777" w:rsidTr="006A3F1B">
        <w:trPr>
          <w:trHeight w:val="188"/>
        </w:trPr>
        <w:tc>
          <w:tcPr>
            <w:tcW w:w="236" w:type="pct"/>
            <w:vMerge w:val="restart"/>
            <w:shd w:val="clear" w:color="auto" w:fill="auto"/>
            <w:hideMark/>
          </w:tcPr>
          <w:p w14:paraId="704E89DC"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17</w:t>
            </w:r>
          </w:p>
        </w:tc>
        <w:tc>
          <w:tcPr>
            <w:tcW w:w="804" w:type="pct"/>
            <w:vMerge w:val="restart"/>
            <w:shd w:val="clear" w:color="auto" w:fill="auto"/>
            <w:hideMark/>
          </w:tcPr>
          <w:p w14:paraId="100BA586"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Consiliul Raional </w:t>
            </w:r>
            <w:r w:rsidRPr="009C5F11">
              <w:rPr>
                <w:rFonts w:ascii="Times New Roman" w:hAnsi="Times New Roman" w:cs="Times New Roman"/>
                <w:sz w:val="18"/>
                <w:szCs w:val="14"/>
                <w:lang w:val="ro-RO"/>
              </w:rPr>
              <w:lastRenderedPageBreak/>
              <w:t>Soroca</w:t>
            </w:r>
          </w:p>
        </w:tc>
        <w:tc>
          <w:tcPr>
            <w:tcW w:w="1547" w:type="pct"/>
            <w:vMerge w:val="restart"/>
            <w:shd w:val="clear" w:color="auto" w:fill="auto"/>
            <w:hideMark/>
          </w:tcPr>
          <w:p w14:paraId="29D9CF09"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 xml:space="preserve">În 2013 a fost aprobat PLEE </w:t>
            </w:r>
            <w:r w:rsidRPr="009C5F11">
              <w:rPr>
                <w:rFonts w:ascii="Times New Roman" w:hAnsi="Times New Roman" w:cs="Times New Roman"/>
                <w:sz w:val="18"/>
                <w:szCs w:val="14"/>
                <w:lang w:val="ro-RO"/>
              </w:rPr>
              <w:lastRenderedPageBreak/>
              <w:t>2013-2016;</w:t>
            </w:r>
          </w:p>
          <w:p w14:paraId="23E85F71"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În septembrie 2014 a fost elaborat PLAEE 2014-2016;</w:t>
            </w:r>
          </w:p>
          <w:p w14:paraId="24A23D5B"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În 2014 a fost aprobat PLAEE 2014-2015.</w:t>
            </w:r>
          </w:p>
        </w:tc>
        <w:tc>
          <w:tcPr>
            <w:tcW w:w="2413" w:type="pct"/>
            <w:shd w:val="clear" w:color="auto" w:fill="DBE5F1"/>
          </w:tcPr>
          <w:p w14:paraId="7F189496"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Managerul energetic angajat.</w:t>
            </w:r>
          </w:p>
        </w:tc>
      </w:tr>
      <w:tr w:rsidR="006A3F1B" w:rsidRPr="009C5F11" w14:paraId="0C5988DA" w14:textId="77777777" w:rsidTr="006A3F1B">
        <w:trPr>
          <w:trHeight w:val="1299"/>
        </w:trPr>
        <w:tc>
          <w:tcPr>
            <w:tcW w:w="236" w:type="pct"/>
            <w:vMerge/>
            <w:shd w:val="clear" w:color="auto" w:fill="auto"/>
          </w:tcPr>
          <w:p w14:paraId="15BA0FCB" w14:textId="77777777" w:rsidR="006A3F1B" w:rsidRPr="009C5F11" w:rsidRDefault="006A3F1B" w:rsidP="00430626">
            <w:pPr>
              <w:jc w:val="center"/>
              <w:rPr>
                <w:rFonts w:ascii="Times New Roman" w:hAnsi="Times New Roman" w:cs="Times New Roman"/>
                <w:sz w:val="18"/>
                <w:szCs w:val="14"/>
                <w:lang w:val="ro-RO"/>
              </w:rPr>
            </w:pPr>
          </w:p>
        </w:tc>
        <w:tc>
          <w:tcPr>
            <w:tcW w:w="804" w:type="pct"/>
            <w:vMerge/>
            <w:shd w:val="clear" w:color="auto" w:fill="auto"/>
          </w:tcPr>
          <w:p w14:paraId="1DFCAA34"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011A3D00" w14:textId="77777777" w:rsidR="006A3F1B" w:rsidRPr="009C5F11" w:rsidRDefault="006A3F1B" w:rsidP="00334F3B">
            <w:pPr>
              <w:numPr>
                <w:ilvl w:val="0"/>
                <w:numId w:val="35"/>
              </w:numPr>
              <w:spacing w:after="0" w:line="240" w:lineRule="auto"/>
              <w:ind w:left="342" w:hanging="270"/>
              <w:contextualSpacing/>
              <w:rPr>
                <w:rFonts w:ascii="Times New Roman" w:hAnsi="Times New Roman" w:cs="Times New Roman"/>
                <w:sz w:val="18"/>
                <w:szCs w:val="14"/>
                <w:lang w:val="ro-RO"/>
              </w:rPr>
            </w:pPr>
          </w:p>
        </w:tc>
        <w:tc>
          <w:tcPr>
            <w:tcW w:w="2413" w:type="pct"/>
            <w:shd w:val="clear" w:color="auto" w:fill="auto"/>
          </w:tcPr>
          <w:p w14:paraId="66A2CDA3"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0EB7DF9A" w14:textId="77777777" w:rsidR="006A3F1B" w:rsidRPr="009C5F11" w:rsidRDefault="006A3F1B" w:rsidP="00043064">
            <w:pPr>
              <w:ind w:left="38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Eficienţă Energetică;</w:t>
            </w:r>
          </w:p>
          <w:p w14:paraId="3F09DFC7" w14:textId="77777777" w:rsidR="006A3F1B" w:rsidRPr="009C5F11" w:rsidRDefault="006A3F1B" w:rsidP="00043064">
            <w:pPr>
              <w:ind w:left="38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Fondul pentru Eficienţă Energetică;</w:t>
            </w:r>
          </w:p>
          <w:p w14:paraId="78DA9E0C" w14:textId="77777777" w:rsidR="006A3F1B" w:rsidRPr="009C5F11" w:rsidRDefault="006A3F1B" w:rsidP="00043064">
            <w:pPr>
              <w:ind w:left="38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Ministerul Economiei;</w:t>
            </w:r>
          </w:p>
          <w:p w14:paraId="75EE1A82" w14:textId="77777777" w:rsidR="006A3F1B" w:rsidRPr="009C5F11" w:rsidRDefault="006A3F1B" w:rsidP="00043064">
            <w:pPr>
              <w:ind w:left="38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Dezvoltare Regională Centru;</w:t>
            </w:r>
          </w:p>
          <w:p w14:paraId="4A7BD9A6" w14:textId="77777777" w:rsidR="006A3F1B" w:rsidRPr="009C5F11" w:rsidRDefault="006A3F1B" w:rsidP="00430626">
            <w:pPr>
              <w:spacing w:after="0" w:line="240" w:lineRule="auto"/>
              <w:ind w:left="745" w:hanging="36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Academia de Administrare Publică pe lângă Preşedintele RM.</w:t>
            </w:r>
          </w:p>
        </w:tc>
      </w:tr>
      <w:tr w:rsidR="006A3F1B" w:rsidRPr="009C5F11" w14:paraId="1C4A05E3" w14:textId="77777777" w:rsidTr="006A3F1B">
        <w:trPr>
          <w:trHeight w:val="80"/>
        </w:trPr>
        <w:tc>
          <w:tcPr>
            <w:tcW w:w="236" w:type="pct"/>
            <w:vMerge w:val="restart"/>
            <w:shd w:val="clear" w:color="auto" w:fill="auto"/>
            <w:hideMark/>
          </w:tcPr>
          <w:p w14:paraId="61E3DAFA" w14:textId="77777777" w:rsidR="006A3F1B" w:rsidRPr="009C5F11" w:rsidRDefault="006A3F1B" w:rsidP="0043062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18</w:t>
            </w:r>
          </w:p>
        </w:tc>
        <w:tc>
          <w:tcPr>
            <w:tcW w:w="804" w:type="pct"/>
            <w:vMerge w:val="restart"/>
            <w:shd w:val="clear" w:color="auto" w:fill="auto"/>
            <w:hideMark/>
          </w:tcPr>
          <w:p w14:paraId="7D54831B" w14:textId="77777777" w:rsidR="006A3F1B" w:rsidRPr="009C5F11" w:rsidRDefault="006A3F1B" w:rsidP="00043064">
            <w:p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Taraclia</w:t>
            </w:r>
          </w:p>
        </w:tc>
        <w:tc>
          <w:tcPr>
            <w:tcW w:w="1547" w:type="pct"/>
            <w:vMerge w:val="restart"/>
            <w:shd w:val="clear" w:color="auto" w:fill="auto"/>
            <w:hideMark/>
          </w:tcPr>
          <w:p w14:paraId="2E369E4B"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26.12.2013 a fost aprobat PLEE 2013-2016;</w:t>
            </w:r>
          </w:p>
          <w:p w14:paraId="006363EA" w14:textId="77777777" w:rsidR="006A3F1B" w:rsidRPr="009C5F11" w:rsidRDefault="006A3F1B" w:rsidP="00334F3B">
            <w:pPr>
              <w:numPr>
                <w:ilvl w:val="0"/>
                <w:numId w:val="35"/>
              </w:numPr>
              <w:ind w:left="342" w:hanging="27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La 26.12.2013 a fost aprobat PLAEE 2014-2015.</w:t>
            </w:r>
          </w:p>
        </w:tc>
        <w:tc>
          <w:tcPr>
            <w:tcW w:w="2413" w:type="pct"/>
            <w:shd w:val="clear" w:color="auto" w:fill="DBE5F1"/>
          </w:tcPr>
          <w:p w14:paraId="7FFCB21D"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Managerul energetic angajat din februarie 2013.</w:t>
            </w:r>
          </w:p>
        </w:tc>
      </w:tr>
      <w:tr w:rsidR="006A3F1B" w:rsidRPr="009C5F11" w14:paraId="37BB5351" w14:textId="77777777" w:rsidTr="006A3F1B">
        <w:trPr>
          <w:trHeight w:val="80"/>
        </w:trPr>
        <w:tc>
          <w:tcPr>
            <w:tcW w:w="236" w:type="pct"/>
            <w:vMerge/>
            <w:shd w:val="clear" w:color="auto" w:fill="auto"/>
          </w:tcPr>
          <w:p w14:paraId="5ED0A75C" w14:textId="77777777" w:rsidR="006A3F1B" w:rsidRPr="009C5F11" w:rsidRDefault="006A3F1B" w:rsidP="00430626">
            <w:pPr>
              <w:rPr>
                <w:rFonts w:ascii="Times New Roman" w:hAnsi="Times New Roman" w:cs="Times New Roman"/>
                <w:sz w:val="18"/>
                <w:szCs w:val="14"/>
                <w:lang w:val="ro-RO"/>
              </w:rPr>
            </w:pPr>
          </w:p>
        </w:tc>
        <w:tc>
          <w:tcPr>
            <w:tcW w:w="804" w:type="pct"/>
            <w:vMerge/>
            <w:shd w:val="clear" w:color="auto" w:fill="auto"/>
          </w:tcPr>
          <w:p w14:paraId="05B162B8" w14:textId="77777777" w:rsidR="006A3F1B" w:rsidRPr="009C5F11" w:rsidRDefault="006A3F1B" w:rsidP="00430626">
            <w:pPr>
              <w:rPr>
                <w:rFonts w:ascii="Times New Roman" w:hAnsi="Times New Roman" w:cs="Times New Roman"/>
                <w:sz w:val="18"/>
                <w:szCs w:val="14"/>
                <w:lang w:val="ro-RO"/>
              </w:rPr>
            </w:pPr>
          </w:p>
        </w:tc>
        <w:tc>
          <w:tcPr>
            <w:tcW w:w="1547" w:type="pct"/>
            <w:vMerge/>
            <w:shd w:val="clear" w:color="auto" w:fill="auto"/>
          </w:tcPr>
          <w:p w14:paraId="0124EEB6" w14:textId="77777777" w:rsidR="006A3F1B" w:rsidRPr="009C5F11" w:rsidRDefault="006A3F1B" w:rsidP="00334F3B">
            <w:pPr>
              <w:numPr>
                <w:ilvl w:val="0"/>
                <w:numId w:val="35"/>
              </w:numPr>
              <w:spacing w:after="0" w:line="240" w:lineRule="auto"/>
              <w:ind w:left="342" w:hanging="270"/>
              <w:contextualSpacing/>
              <w:rPr>
                <w:rFonts w:ascii="Times New Roman" w:hAnsi="Times New Roman" w:cs="Times New Roman"/>
                <w:sz w:val="18"/>
                <w:szCs w:val="14"/>
                <w:lang w:val="ro-RO"/>
              </w:rPr>
            </w:pPr>
          </w:p>
        </w:tc>
        <w:tc>
          <w:tcPr>
            <w:tcW w:w="2413" w:type="pct"/>
            <w:shd w:val="clear" w:color="auto" w:fill="auto"/>
          </w:tcPr>
          <w:p w14:paraId="00E662A2" w14:textId="77777777" w:rsidR="006A3F1B" w:rsidRPr="009C5F11" w:rsidRDefault="006A3F1B" w:rsidP="00043064">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Instruirea în domeniul eficienţei energetice susţinută de:</w:t>
            </w:r>
          </w:p>
          <w:p w14:paraId="2162A244" w14:textId="77777777" w:rsidR="006A3F1B" w:rsidRPr="009C5F11" w:rsidRDefault="006A3F1B" w:rsidP="00043064">
            <w:pPr>
              <w:ind w:left="38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Eficienţă Energetică;</w:t>
            </w:r>
          </w:p>
          <w:p w14:paraId="5FF7DFA1" w14:textId="77777777" w:rsidR="006A3F1B" w:rsidRPr="009C5F11" w:rsidRDefault="006A3F1B" w:rsidP="00043064">
            <w:pPr>
              <w:ind w:left="38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Fondul pentru Eficienţă Energetică;</w:t>
            </w:r>
          </w:p>
          <w:p w14:paraId="434B1BA3" w14:textId="77777777" w:rsidR="006A3F1B" w:rsidRPr="009C5F11" w:rsidRDefault="006A3F1B" w:rsidP="00043064">
            <w:pPr>
              <w:ind w:left="38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Ministerul Economiei;</w:t>
            </w:r>
          </w:p>
          <w:p w14:paraId="33700CD7" w14:textId="77777777" w:rsidR="006A3F1B" w:rsidRPr="009C5F11" w:rsidRDefault="006A3F1B" w:rsidP="00043064">
            <w:pPr>
              <w:ind w:left="38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Agenţia pentru Dezvoltare Regională Centru;</w:t>
            </w:r>
          </w:p>
          <w:p w14:paraId="6CA958AA" w14:textId="77777777" w:rsidR="006A3F1B" w:rsidRPr="009C5F11" w:rsidRDefault="006A3F1B" w:rsidP="00430626">
            <w:pPr>
              <w:spacing w:after="0" w:line="240" w:lineRule="auto"/>
              <w:ind w:left="745" w:hanging="36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Academia de Administrare Publică pe lângă Preşedintele RM.</w:t>
            </w:r>
          </w:p>
        </w:tc>
      </w:tr>
    </w:tbl>
    <w:p w14:paraId="28781116" w14:textId="77777777" w:rsidR="00BC2ED4" w:rsidRPr="009C5F11" w:rsidRDefault="00BC2ED4" w:rsidP="00057F51">
      <w:pPr>
        <w:spacing w:before="120" w:after="120" w:line="240" w:lineRule="auto"/>
        <w:jc w:val="both"/>
        <w:rPr>
          <w:rFonts w:ascii="Times New Roman" w:hAnsi="Times New Roman" w:cs="Times New Roman"/>
          <w:sz w:val="24"/>
          <w:lang w:val="ro-RO"/>
        </w:rPr>
      </w:pPr>
    </w:p>
    <w:p w14:paraId="4B344F68" w14:textId="77777777" w:rsidR="008A6691" w:rsidRPr="009C5F11" w:rsidRDefault="000430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Managerii energetici joacă un rol</w:t>
      </w:r>
      <w:r w:rsidR="001738FD" w:rsidRPr="009C5F11">
        <w:rPr>
          <w:rFonts w:ascii="Times New Roman" w:hAnsi="Times New Roman" w:cs="Times New Roman"/>
          <w:sz w:val="24"/>
          <w:lang w:val="ro-RO"/>
        </w:rPr>
        <w:t>-</w:t>
      </w:r>
      <w:r w:rsidRPr="009C5F11">
        <w:rPr>
          <w:rFonts w:ascii="Times New Roman" w:hAnsi="Times New Roman" w:cs="Times New Roman"/>
          <w:sz w:val="24"/>
          <w:lang w:val="ro-RO"/>
        </w:rPr>
        <w:t>cheie în dezvoltarea sistemelor de gestionare a energiei şi în elaborarea planurilor şi programelor de eficienţă energetică. Potrivit Programului naţional pentru eficienţă energetică 2011-2020, “</w:t>
      </w:r>
      <w:r w:rsidRPr="009C5F11">
        <w:rPr>
          <w:rFonts w:ascii="Times New Roman" w:hAnsi="Times New Roman" w:cs="Times New Roman"/>
          <w:i/>
          <w:sz w:val="24"/>
          <w:lang w:val="ro-RO"/>
        </w:rPr>
        <w:t>APL vor angaja un manager energetic sau instrui unul din angajaţi, pentru monitorizarea şi managementul consumurilor în teritoriu … Managerii energetici, cu suportul Agenţiei pentru Eficienţă Energetică, vor elabora Programele locale de îmbunătăţire a eficienţei energetice la fiecare trei ani şi planurile anuale de acţiuni privind implementarea măsurilor de eficienţă energetică … Managerii energetici vor efectua cel puţin o dată pe an analiza consumului de energie în teritoriu în vederea determinării eventualelor intervenţii pentru eficientizarea consumurilor de energie respective, în conformitate cu formularele standard elaborate de către autoritatea publică abilitată. Formularele standard vor fi completate şi anexate la raportul anual privind implementarea programelor locale de îmbunătăţire a eficienţei energetice.”</w:t>
      </w:r>
    </w:p>
    <w:p w14:paraId="6B415641" w14:textId="30D733DB" w:rsidR="00BC2ED4" w:rsidRPr="009C5F11" w:rsidRDefault="000430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Primăriile şi Consiliile Raionale din Republica Moldova au elaborat şi aprobat PAED</w:t>
      </w:r>
      <w:r w:rsidR="001738FD" w:rsidRPr="009C5F11">
        <w:rPr>
          <w:rFonts w:ascii="Times New Roman" w:hAnsi="Times New Roman" w:cs="Times New Roman"/>
          <w:sz w:val="24"/>
          <w:lang w:val="ro-RO"/>
        </w:rPr>
        <w:t>-uri</w:t>
      </w:r>
      <w:r w:rsidRPr="009C5F11">
        <w:rPr>
          <w:rFonts w:ascii="Times New Roman" w:hAnsi="Times New Roman" w:cs="Times New Roman"/>
          <w:sz w:val="24"/>
          <w:lang w:val="ro-RO"/>
        </w:rPr>
        <w:t xml:space="preserve"> în temeiul Convenţiei Primarilor. Elaborarea PAED</w:t>
      </w:r>
      <w:r w:rsidR="001738FD" w:rsidRPr="009C5F11">
        <w:rPr>
          <w:rFonts w:ascii="Times New Roman" w:hAnsi="Times New Roman" w:cs="Times New Roman"/>
          <w:sz w:val="24"/>
          <w:lang w:val="ro-RO"/>
        </w:rPr>
        <w:t>-urilor</w:t>
      </w:r>
      <w:r w:rsidRPr="009C5F11">
        <w:rPr>
          <w:rFonts w:ascii="Times New Roman" w:hAnsi="Times New Roman" w:cs="Times New Roman"/>
          <w:sz w:val="24"/>
          <w:lang w:val="ro-RO"/>
        </w:rPr>
        <w:t xml:space="preserve"> urmează dispoziţiile indicative din Manual – Modul de elaborare a unui PAED. Documentele PAED se axează pe acţiunile planificate să reducă consumul de energie finală, precum şi emisiile de CO2 în conformitate cu angajamentele asumate în temeiul Convenţiei Primarilor. PAED include măsuri ce vizează sectoarele public şi privat; APL urmând să demonstreze </w:t>
      </w:r>
      <w:r w:rsidR="00C77D69" w:rsidRPr="009C5F11">
        <w:rPr>
          <w:rFonts w:ascii="Times New Roman" w:hAnsi="Times New Roman" w:cs="Times New Roman"/>
          <w:sz w:val="24"/>
          <w:lang w:val="ro-RO"/>
        </w:rPr>
        <w:t>rolul de exemplu</w:t>
      </w:r>
      <w:r w:rsidRPr="009C5F11">
        <w:rPr>
          <w:rFonts w:ascii="Times New Roman" w:hAnsi="Times New Roman" w:cs="Times New Roman"/>
          <w:sz w:val="24"/>
          <w:lang w:val="ro-RO"/>
        </w:rPr>
        <w:t xml:space="preserve"> pentru sectorul privat şi, în acest mod, clădirile APL vor constitui primele obiective </w:t>
      </w:r>
      <w:r w:rsidR="00C77D69" w:rsidRPr="009C5F11">
        <w:rPr>
          <w:rFonts w:ascii="Times New Roman" w:hAnsi="Times New Roman" w:cs="Times New Roman"/>
          <w:sz w:val="24"/>
          <w:lang w:val="ro-RO"/>
        </w:rPr>
        <w:t>în care vor fi</w:t>
      </w:r>
      <w:r w:rsidRPr="009C5F11">
        <w:rPr>
          <w:rFonts w:ascii="Times New Roman" w:hAnsi="Times New Roman" w:cs="Times New Roman"/>
          <w:sz w:val="24"/>
          <w:lang w:val="ro-RO"/>
        </w:rPr>
        <w:t xml:space="preserve"> implementa</w:t>
      </w:r>
      <w:r w:rsidR="00C77D69" w:rsidRPr="009C5F11">
        <w:rPr>
          <w:rFonts w:ascii="Times New Roman" w:hAnsi="Times New Roman" w:cs="Times New Roman"/>
          <w:sz w:val="24"/>
          <w:lang w:val="ro-RO"/>
        </w:rPr>
        <w:t>t</w:t>
      </w:r>
      <w:r w:rsidRPr="009C5F11">
        <w:rPr>
          <w:rFonts w:ascii="Times New Roman" w:hAnsi="Times New Roman" w:cs="Times New Roman"/>
          <w:sz w:val="24"/>
          <w:lang w:val="ro-RO"/>
        </w:rPr>
        <w:t>e măsuri de economisire a energiei.</w:t>
      </w:r>
    </w:p>
    <w:p w14:paraId="4496DD05" w14:textId="77777777" w:rsidR="00884CBE" w:rsidRPr="009C5F11" w:rsidRDefault="00884CBE" w:rsidP="00057F51">
      <w:pPr>
        <w:spacing w:before="120" w:after="120" w:line="240" w:lineRule="auto"/>
        <w:jc w:val="both"/>
        <w:rPr>
          <w:rFonts w:ascii="Times New Roman" w:hAnsi="Times New Roman" w:cs="Times New Roman"/>
          <w:sz w:val="24"/>
          <w:lang w:val="ro-RO"/>
        </w:rPr>
      </w:pPr>
    </w:p>
    <w:p w14:paraId="6AA9E7C0" w14:textId="77777777" w:rsidR="00313A92" w:rsidRPr="009C5F11" w:rsidRDefault="00321CD5" w:rsidP="00313A92">
      <w:pPr>
        <w:pStyle w:val="Legend"/>
        <w:keepNext/>
        <w:jc w:val="center"/>
        <w:rPr>
          <w:rFonts w:ascii="Times New Roman" w:hAnsi="Times New Roman" w:cs="Times New Roman"/>
          <w:sz w:val="22"/>
          <w:lang w:val="ro-RO"/>
        </w:rPr>
      </w:pPr>
      <w:bookmarkStart w:id="333" w:name="_Toc322013253"/>
      <w:r w:rsidRPr="009C5F11">
        <w:rPr>
          <w:rFonts w:ascii="Times New Roman" w:hAnsi="Times New Roman" w:cs="Times New Roman"/>
          <w:sz w:val="22"/>
          <w:lang w:val="ro-RO"/>
        </w:rPr>
        <w:t>Tabelul</w:t>
      </w:r>
      <w:r w:rsidR="00313A92"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313A92"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30</w:t>
      </w:r>
      <w:r w:rsidR="003A6ADB" w:rsidRPr="009C5F11">
        <w:rPr>
          <w:rFonts w:ascii="Times New Roman" w:hAnsi="Times New Roman" w:cs="Times New Roman"/>
          <w:sz w:val="22"/>
          <w:lang w:val="ro-RO"/>
        </w:rPr>
        <w:fldChar w:fldCharType="end"/>
      </w:r>
      <w:r w:rsidR="00313A92" w:rsidRPr="009C5F11">
        <w:rPr>
          <w:rFonts w:ascii="Times New Roman" w:hAnsi="Times New Roman" w:cs="Times New Roman"/>
          <w:sz w:val="22"/>
          <w:lang w:val="ro-RO"/>
        </w:rPr>
        <w:t xml:space="preserve"> </w:t>
      </w:r>
      <w:r w:rsidR="00043064" w:rsidRPr="009C5F11">
        <w:rPr>
          <w:rFonts w:ascii="Times New Roman" w:hAnsi="Times New Roman" w:cs="Times New Roman"/>
          <w:sz w:val="22"/>
          <w:lang w:val="ro-RO"/>
        </w:rPr>
        <w:t>–</w:t>
      </w:r>
      <w:r w:rsidR="00313A92" w:rsidRPr="009C5F11">
        <w:rPr>
          <w:rFonts w:ascii="Times New Roman" w:hAnsi="Times New Roman" w:cs="Times New Roman"/>
          <w:sz w:val="22"/>
          <w:lang w:val="ro-RO"/>
        </w:rPr>
        <w:t xml:space="preserve"> </w:t>
      </w:r>
      <w:r w:rsidR="00043064" w:rsidRPr="009C5F11">
        <w:rPr>
          <w:rFonts w:ascii="Times New Roman" w:hAnsi="Times New Roman" w:cs="Times New Roman"/>
          <w:sz w:val="22"/>
          <w:lang w:val="ro-RO"/>
        </w:rPr>
        <w:t>Aprobarea PAED.</w:t>
      </w:r>
      <w:bookmarkEnd w:id="333"/>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1577"/>
        <w:gridCol w:w="6756"/>
      </w:tblGrid>
      <w:tr w:rsidR="00043064" w:rsidRPr="009C5F11" w14:paraId="354F36AC" w14:textId="77777777" w:rsidTr="00313A92">
        <w:trPr>
          <w:trHeight w:val="759"/>
          <w:jc w:val="center"/>
        </w:trPr>
        <w:tc>
          <w:tcPr>
            <w:tcW w:w="1577" w:type="dxa"/>
            <w:shd w:val="clear" w:color="auto" w:fill="000080"/>
            <w:hideMark/>
          </w:tcPr>
          <w:p w14:paraId="132C8FE9" w14:textId="77777777" w:rsidR="00043064" w:rsidRPr="009C5F11" w:rsidRDefault="00043064" w:rsidP="00043064">
            <w:pPr>
              <w:spacing w:before="240"/>
              <w:jc w:val="center"/>
              <w:rPr>
                <w:rFonts w:ascii="Times New Roman" w:hAnsi="Times New Roman" w:cs="Times New Roman"/>
                <w:b/>
                <w:color w:val="FFFFFF" w:themeColor="background1"/>
                <w:lang w:val="ro-RO"/>
              </w:rPr>
            </w:pPr>
            <w:r w:rsidRPr="009C5F11">
              <w:rPr>
                <w:rFonts w:ascii="Times New Roman" w:hAnsi="Times New Roman" w:cs="Times New Roman"/>
                <w:b/>
                <w:color w:val="FFFFFF" w:themeColor="background1"/>
                <w:lang w:val="ro-RO"/>
              </w:rPr>
              <w:t>Primăria</w:t>
            </w:r>
          </w:p>
        </w:tc>
        <w:tc>
          <w:tcPr>
            <w:tcW w:w="6756" w:type="dxa"/>
            <w:shd w:val="clear" w:color="auto" w:fill="000080"/>
            <w:hideMark/>
          </w:tcPr>
          <w:p w14:paraId="2F99AB59" w14:textId="77777777" w:rsidR="00043064" w:rsidRPr="009C5F11" w:rsidRDefault="00043064" w:rsidP="00043064">
            <w:pPr>
              <w:spacing w:before="240"/>
              <w:jc w:val="center"/>
              <w:rPr>
                <w:rFonts w:ascii="Times New Roman" w:hAnsi="Times New Roman" w:cs="Times New Roman"/>
                <w:b/>
                <w:color w:val="FFFFFF" w:themeColor="background1"/>
                <w:lang w:val="ro-RO"/>
              </w:rPr>
            </w:pPr>
            <w:r w:rsidRPr="009C5F11">
              <w:rPr>
                <w:rFonts w:ascii="Times New Roman" w:hAnsi="Times New Roman" w:cs="Times New Roman"/>
                <w:b/>
                <w:color w:val="FFFFFF" w:themeColor="background1"/>
                <w:lang w:val="ro-RO"/>
              </w:rPr>
              <w:t>Data aprobării PAED</w:t>
            </w:r>
          </w:p>
        </w:tc>
      </w:tr>
      <w:tr w:rsidR="00BC2ED4" w:rsidRPr="009C5F11" w14:paraId="715DB527" w14:textId="77777777" w:rsidTr="00430626">
        <w:trPr>
          <w:jc w:val="center"/>
        </w:trPr>
        <w:tc>
          <w:tcPr>
            <w:tcW w:w="1577" w:type="dxa"/>
            <w:shd w:val="clear" w:color="auto" w:fill="auto"/>
            <w:hideMark/>
          </w:tcPr>
          <w:p w14:paraId="3AF126F2" w14:textId="77777777" w:rsidR="00BC2ED4" w:rsidRPr="009C5F11" w:rsidRDefault="00BC2ED4" w:rsidP="00430626">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Cantemir</w:t>
            </w:r>
          </w:p>
        </w:tc>
        <w:tc>
          <w:tcPr>
            <w:tcW w:w="6756" w:type="dxa"/>
            <w:shd w:val="clear" w:color="auto" w:fill="auto"/>
            <w:hideMark/>
          </w:tcPr>
          <w:p w14:paraId="506FF02C"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05.04.2014</w:t>
            </w:r>
          </w:p>
        </w:tc>
      </w:tr>
      <w:tr w:rsidR="00BC2ED4" w:rsidRPr="009C5F11" w14:paraId="4B401109" w14:textId="77777777" w:rsidTr="00430626">
        <w:trPr>
          <w:jc w:val="center"/>
        </w:trPr>
        <w:tc>
          <w:tcPr>
            <w:tcW w:w="1577" w:type="dxa"/>
            <w:shd w:val="clear" w:color="auto" w:fill="auto"/>
            <w:hideMark/>
          </w:tcPr>
          <w:p w14:paraId="32FB8BF6" w14:textId="77777777" w:rsidR="00BC2ED4" w:rsidRPr="009C5F11" w:rsidRDefault="00BC2ED4" w:rsidP="00430626">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Soroca</w:t>
            </w:r>
          </w:p>
        </w:tc>
        <w:tc>
          <w:tcPr>
            <w:tcW w:w="6756" w:type="dxa"/>
            <w:shd w:val="clear" w:color="auto" w:fill="auto"/>
            <w:hideMark/>
          </w:tcPr>
          <w:p w14:paraId="77351A54"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19.11.2014</w:t>
            </w:r>
          </w:p>
        </w:tc>
      </w:tr>
      <w:tr w:rsidR="00BC2ED4" w:rsidRPr="009C5F11" w14:paraId="6F88C1A1" w14:textId="77777777" w:rsidTr="00430626">
        <w:trPr>
          <w:jc w:val="center"/>
        </w:trPr>
        <w:tc>
          <w:tcPr>
            <w:tcW w:w="1577" w:type="dxa"/>
            <w:shd w:val="clear" w:color="auto" w:fill="auto"/>
            <w:hideMark/>
          </w:tcPr>
          <w:p w14:paraId="73DA5E4F" w14:textId="77777777" w:rsidR="00BC2ED4" w:rsidRPr="009C5F11" w:rsidRDefault="00BC2ED4">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Fe</w:t>
            </w:r>
            <w:r w:rsidR="00043064" w:rsidRPr="009C5F11">
              <w:rPr>
                <w:rFonts w:ascii="Times New Roman" w:hAnsi="Times New Roman" w:cs="Times New Roman"/>
                <w:sz w:val="20"/>
                <w:szCs w:val="16"/>
                <w:lang w:val="ro-RO"/>
              </w:rPr>
              <w:t>ş</w:t>
            </w:r>
            <w:r w:rsidRPr="009C5F11">
              <w:rPr>
                <w:rFonts w:ascii="Times New Roman" w:hAnsi="Times New Roman" w:cs="Times New Roman"/>
                <w:sz w:val="20"/>
                <w:szCs w:val="16"/>
                <w:lang w:val="ro-RO"/>
              </w:rPr>
              <w:t>telita</w:t>
            </w:r>
            <w:r w:rsidR="001738FD" w:rsidRPr="009C5F11">
              <w:rPr>
                <w:rFonts w:ascii="Times New Roman" w:hAnsi="Times New Roman" w:cs="Times New Roman"/>
                <w:sz w:val="20"/>
                <w:szCs w:val="16"/>
                <w:lang w:val="ro-RO"/>
              </w:rPr>
              <w:t xml:space="preserve"> </w:t>
            </w:r>
          </w:p>
        </w:tc>
        <w:tc>
          <w:tcPr>
            <w:tcW w:w="6756" w:type="dxa"/>
            <w:shd w:val="clear" w:color="auto" w:fill="auto"/>
            <w:hideMark/>
          </w:tcPr>
          <w:p w14:paraId="1B60E6F3"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13.05.2014</w:t>
            </w:r>
          </w:p>
        </w:tc>
      </w:tr>
      <w:tr w:rsidR="00BC2ED4" w:rsidRPr="009C5F11" w14:paraId="292B9965" w14:textId="77777777" w:rsidTr="00430626">
        <w:trPr>
          <w:jc w:val="center"/>
        </w:trPr>
        <w:tc>
          <w:tcPr>
            <w:tcW w:w="1577" w:type="dxa"/>
            <w:shd w:val="clear" w:color="auto" w:fill="auto"/>
            <w:hideMark/>
          </w:tcPr>
          <w:p w14:paraId="6C793705" w14:textId="77777777" w:rsidR="00BC2ED4" w:rsidRPr="009C5F11" w:rsidRDefault="005D06FD" w:rsidP="00430626">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Anenii Noi</w:t>
            </w:r>
          </w:p>
        </w:tc>
        <w:tc>
          <w:tcPr>
            <w:tcW w:w="6756" w:type="dxa"/>
            <w:shd w:val="clear" w:color="auto" w:fill="auto"/>
            <w:hideMark/>
          </w:tcPr>
          <w:p w14:paraId="0140ACA3"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05.04.2014</w:t>
            </w:r>
          </w:p>
        </w:tc>
      </w:tr>
      <w:tr w:rsidR="00BC2ED4" w:rsidRPr="009C5F11" w14:paraId="18F00649" w14:textId="77777777" w:rsidTr="00430626">
        <w:trPr>
          <w:jc w:val="center"/>
        </w:trPr>
        <w:tc>
          <w:tcPr>
            <w:tcW w:w="1577" w:type="dxa"/>
            <w:shd w:val="clear" w:color="auto" w:fill="auto"/>
            <w:hideMark/>
          </w:tcPr>
          <w:p w14:paraId="08A889AB" w14:textId="77777777" w:rsidR="00BC2ED4" w:rsidRPr="009C5F11" w:rsidRDefault="00BC2ED4" w:rsidP="00430626">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Ungheni</w:t>
            </w:r>
          </w:p>
        </w:tc>
        <w:tc>
          <w:tcPr>
            <w:tcW w:w="6756" w:type="dxa"/>
            <w:shd w:val="clear" w:color="auto" w:fill="auto"/>
            <w:hideMark/>
          </w:tcPr>
          <w:p w14:paraId="44B61929"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20.02.2014</w:t>
            </w:r>
          </w:p>
        </w:tc>
      </w:tr>
      <w:tr w:rsidR="00BC2ED4" w:rsidRPr="009C5F11" w14:paraId="2F170CEE" w14:textId="77777777" w:rsidTr="00430626">
        <w:trPr>
          <w:jc w:val="center"/>
        </w:trPr>
        <w:tc>
          <w:tcPr>
            <w:tcW w:w="1577" w:type="dxa"/>
            <w:shd w:val="clear" w:color="auto" w:fill="auto"/>
            <w:hideMark/>
          </w:tcPr>
          <w:p w14:paraId="4B2DEC25" w14:textId="77777777" w:rsidR="00BC2ED4" w:rsidRPr="009C5F11" w:rsidRDefault="005D06FD" w:rsidP="00430626">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lastRenderedPageBreak/>
              <w:t>Ocniţa</w:t>
            </w:r>
          </w:p>
        </w:tc>
        <w:tc>
          <w:tcPr>
            <w:tcW w:w="6756" w:type="dxa"/>
            <w:shd w:val="clear" w:color="auto" w:fill="auto"/>
            <w:hideMark/>
          </w:tcPr>
          <w:p w14:paraId="3BC9282D"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12.02.2014</w:t>
            </w:r>
          </w:p>
        </w:tc>
      </w:tr>
      <w:tr w:rsidR="00BC2ED4" w:rsidRPr="009C5F11" w14:paraId="4AB9D86D" w14:textId="77777777" w:rsidTr="00430626">
        <w:trPr>
          <w:jc w:val="center"/>
        </w:trPr>
        <w:tc>
          <w:tcPr>
            <w:tcW w:w="1577" w:type="dxa"/>
            <w:shd w:val="clear" w:color="auto" w:fill="auto"/>
            <w:hideMark/>
          </w:tcPr>
          <w:p w14:paraId="2257E459" w14:textId="77777777" w:rsidR="00BC2ED4" w:rsidRPr="009C5F11" w:rsidRDefault="00210C2C" w:rsidP="00430626">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Bălţi</w:t>
            </w:r>
          </w:p>
        </w:tc>
        <w:tc>
          <w:tcPr>
            <w:tcW w:w="6756" w:type="dxa"/>
            <w:shd w:val="clear" w:color="auto" w:fill="auto"/>
            <w:hideMark/>
          </w:tcPr>
          <w:p w14:paraId="20DFF4AA"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26.12.2013</w:t>
            </w:r>
          </w:p>
        </w:tc>
      </w:tr>
      <w:tr w:rsidR="00BC2ED4" w:rsidRPr="009C5F11" w14:paraId="7857453C" w14:textId="77777777" w:rsidTr="00430626">
        <w:trPr>
          <w:jc w:val="center"/>
        </w:trPr>
        <w:tc>
          <w:tcPr>
            <w:tcW w:w="1577" w:type="dxa"/>
            <w:shd w:val="clear" w:color="auto" w:fill="auto"/>
            <w:hideMark/>
          </w:tcPr>
          <w:p w14:paraId="56B0B00D" w14:textId="77777777" w:rsidR="00BC2ED4" w:rsidRPr="009C5F11" w:rsidRDefault="005D06FD" w:rsidP="00430626">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Călăraşi</w:t>
            </w:r>
          </w:p>
        </w:tc>
        <w:tc>
          <w:tcPr>
            <w:tcW w:w="6756" w:type="dxa"/>
            <w:shd w:val="clear" w:color="auto" w:fill="auto"/>
            <w:hideMark/>
          </w:tcPr>
          <w:p w14:paraId="535ED67C"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08.11.2014</w:t>
            </w:r>
          </w:p>
        </w:tc>
      </w:tr>
      <w:tr w:rsidR="00BC2ED4" w:rsidRPr="009C5F11" w14:paraId="1DF025CE" w14:textId="77777777" w:rsidTr="00430626">
        <w:trPr>
          <w:jc w:val="center"/>
        </w:trPr>
        <w:tc>
          <w:tcPr>
            <w:tcW w:w="1577" w:type="dxa"/>
            <w:shd w:val="clear" w:color="auto" w:fill="auto"/>
            <w:hideMark/>
          </w:tcPr>
          <w:p w14:paraId="4708081B" w14:textId="77777777" w:rsidR="00BC2ED4" w:rsidRPr="009C5F11" w:rsidRDefault="005D06FD" w:rsidP="00430626">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Căuşeni</w:t>
            </w:r>
          </w:p>
        </w:tc>
        <w:tc>
          <w:tcPr>
            <w:tcW w:w="6756" w:type="dxa"/>
            <w:shd w:val="clear" w:color="auto" w:fill="auto"/>
            <w:hideMark/>
          </w:tcPr>
          <w:p w14:paraId="1A2BD0A6"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31.07.2014</w:t>
            </w:r>
          </w:p>
        </w:tc>
      </w:tr>
      <w:tr w:rsidR="00BC2ED4" w:rsidRPr="009C5F11" w14:paraId="3EB6A3FB" w14:textId="77777777" w:rsidTr="007C4200">
        <w:trPr>
          <w:jc w:val="center"/>
        </w:trPr>
        <w:tc>
          <w:tcPr>
            <w:tcW w:w="1577" w:type="dxa"/>
            <w:tcBorders>
              <w:bottom w:val="single" w:sz="4" w:space="0" w:color="4F81BD"/>
            </w:tcBorders>
            <w:shd w:val="clear" w:color="auto" w:fill="auto"/>
            <w:hideMark/>
          </w:tcPr>
          <w:p w14:paraId="20E71DD7" w14:textId="77777777" w:rsidR="00BC2ED4" w:rsidRPr="009C5F11" w:rsidRDefault="00BC2ED4" w:rsidP="00430626">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Drochia</w:t>
            </w:r>
          </w:p>
        </w:tc>
        <w:tc>
          <w:tcPr>
            <w:tcW w:w="6756" w:type="dxa"/>
            <w:tcBorders>
              <w:bottom w:val="single" w:sz="4" w:space="0" w:color="4F81BD"/>
            </w:tcBorders>
            <w:shd w:val="clear" w:color="auto" w:fill="auto"/>
            <w:hideMark/>
          </w:tcPr>
          <w:p w14:paraId="5D7077F4"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14.06.2014</w:t>
            </w:r>
          </w:p>
        </w:tc>
      </w:tr>
      <w:tr w:rsidR="00BC2ED4" w:rsidRPr="009C5F11" w14:paraId="27714B06" w14:textId="77777777" w:rsidTr="007C4200">
        <w:trPr>
          <w:jc w:val="center"/>
        </w:trPr>
        <w:tc>
          <w:tcPr>
            <w:tcW w:w="1577" w:type="dxa"/>
            <w:shd w:val="clear" w:color="auto" w:fill="auto"/>
            <w:hideMark/>
          </w:tcPr>
          <w:p w14:paraId="7FBDB3F0" w14:textId="77777777" w:rsidR="00BC2ED4" w:rsidRPr="009C5F11" w:rsidRDefault="00BC2ED4" w:rsidP="00430626">
            <w:pPr>
              <w:spacing w:after="0" w:line="36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Ialoveni</w:t>
            </w:r>
          </w:p>
        </w:tc>
        <w:tc>
          <w:tcPr>
            <w:tcW w:w="6756" w:type="dxa"/>
            <w:shd w:val="clear" w:color="auto" w:fill="auto"/>
            <w:hideMark/>
          </w:tcPr>
          <w:p w14:paraId="2BAD03A3" w14:textId="77777777" w:rsidR="00BC2ED4" w:rsidRPr="009C5F11" w:rsidRDefault="00BC2ED4" w:rsidP="00430626">
            <w:pPr>
              <w:spacing w:after="0" w:line="36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28.01.2014</w:t>
            </w:r>
          </w:p>
        </w:tc>
      </w:tr>
    </w:tbl>
    <w:p w14:paraId="4057F19B" w14:textId="77777777" w:rsidR="00BC2ED4" w:rsidRPr="009C5F11" w:rsidRDefault="00BC2ED4" w:rsidP="00313A92">
      <w:pPr>
        <w:spacing w:before="120" w:after="120" w:line="240" w:lineRule="auto"/>
        <w:jc w:val="both"/>
        <w:rPr>
          <w:rFonts w:ascii="Times New Roman" w:hAnsi="Times New Roman" w:cs="Times New Roman"/>
          <w:sz w:val="24"/>
          <w:lang w:val="ro-RO"/>
        </w:rPr>
      </w:pPr>
    </w:p>
    <w:p w14:paraId="08DCABA4" w14:textId="06324192" w:rsidR="00BC2ED4" w:rsidRPr="009C5F11" w:rsidRDefault="000430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APL elaborează programe şi planuri proprii de EE în conformitate cu legislaţia în vigoare. Acestea prezintă rapoarte anuale A</w:t>
      </w:r>
      <w:r w:rsidR="001738FD" w:rsidRPr="009C5F11">
        <w:rPr>
          <w:rFonts w:ascii="Times New Roman" w:hAnsi="Times New Roman" w:cs="Times New Roman"/>
          <w:sz w:val="24"/>
          <w:lang w:val="ro-RO"/>
        </w:rPr>
        <w:t xml:space="preserve">genţiei pentru </w:t>
      </w:r>
      <w:r w:rsidRPr="009C5F11">
        <w:rPr>
          <w:rFonts w:ascii="Times New Roman" w:hAnsi="Times New Roman" w:cs="Times New Roman"/>
          <w:sz w:val="24"/>
          <w:lang w:val="ro-RO"/>
        </w:rPr>
        <w:t>E</w:t>
      </w:r>
      <w:r w:rsidR="001738FD" w:rsidRPr="009C5F11">
        <w:rPr>
          <w:rFonts w:ascii="Times New Roman" w:hAnsi="Times New Roman" w:cs="Times New Roman"/>
          <w:sz w:val="24"/>
          <w:lang w:val="ro-RO"/>
        </w:rPr>
        <w:t xml:space="preserve">ficienţă </w:t>
      </w:r>
      <w:r w:rsidRPr="009C5F11">
        <w:rPr>
          <w:rFonts w:ascii="Times New Roman" w:hAnsi="Times New Roman" w:cs="Times New Roman"/>
          <w:sz w:val="24"/>
          <w:lang w:val="ro-RO"/>
        </w:rPr>
        <w:t>E</w:t>
      </w:r>
      <w:r w:rsidR="001738FD" w:rsidRPr="009C5F11">
        <w:rPr>
          <w:rFonts w:ascii="Times New Roman" w:hAnsi="Times New Roman" w:cs="Times New Roman"/>
          <w:sz w:val="24"/>
          <w:lang w:val="ro-RO"/>
        </w:rPr>
        <w:t>nergetică</w:t>
      </w:r>
      <w:r w:rsidRPr="009C5F11">
        <w:rPr>
          <w:rFonts w:ascii="Times New Roman" w:hAnsi="Times New Roman" w:cs="Times New Roman"/>
          <w:sz w:val="24"/>
          <w:lang w:val="ro-RO"/>
        </w:rPr>
        <w:t xml:space="preserve"> şi coordonează implementarea măsurilor de EE în conformitate cu planurile/programele adoptate, folosind mijloace financiare alocate din </w:t>
      </w:r>
      <w:r w:rsidR="001738FD" w:rsidRPr="009C5F11">
        <w:rPr>
          <w:rFonts w:ascii="Times New Roman" w:hAnsi="Times New Roman" w:cs="Times New Roman"/>
          <w:sz w:val="24"/>
          <w:lang w:val="ro-RO"/>
        </w:rPr>
        <w:t>b</w:t>
      </w:r>
      <w:r w:rsidRPr="009C5F11">
        <w:rPr>
          <w:rFonts w:ascii="Times New Roman" w:hAnsi="Times New Roman" w:cs="Times New Roman"/>
          <w:sz w:val="24"/>
          <w:lang w:val="ro-RO"/>
        </w:rPr>
        <w:t>ugetul de stat şi de către donatori.</w:t>
      </w:r>
      <w:r w:rsidR="00BC2ED4" w:rsidRPr="009C5F11">
        <w:rPr>
          <w:rFonts w:ascii="Times New Roman" w:hAnsi="Times New Roman" w:cs="Times New Roman"/>
          <w:sz w:val="24"/>
          <w:lang w:val="ro-RO"/>
        </w:rPr>
        <w:t xml:space="preserve"> </w:t>
      </w:r>
    </w:p>
    <w:p w14:paraId="14B16E60" w14:textId="77777777" w:rsidR="00B14797" w:rsidRPr="009C5F11" w:rsidRDefault="00321CD5" w:rsidP="00B14797">
      <w:pPr>
        <w:pStyle w:val="Legend"/>
        <w:keepNext/>
        <w:jc w:val="center"/>
        <w:rPr>
          <w:rFonts w:ascii="Times New Roman" w:hAnsi="Times New Roman" w:cs="Times New Roman"/>
          <w:sz w:val="22"/>
          <w:lang w:val="ro-RO"/>
        </w:rPr>
      </w:pPr>
      <w:bookmarkStart w:id="334" w:name="_Ref319685618"/>
      <w:bookmarkStart w:id="335" w:name="_Toc322013254"/>
      <w:r w:rsidRPr="009C5F11">
        <w:rPr>
          <w:rFonts w:ascii="Times New Roman" w:hAnsi="Times New Roman" w:cs="Times New Roman"/>
          <w:sz w:val="22"/>
          <w:lang w:val="ro-RO"/>
        </w:rPr>
        <w:t>Tabelul</w:t>
      </w:r>
      <w:r w:rsidR="00B14797"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B14797"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31</w:t>
      </w:r>
      <w:r w:rsidR="003A6ADB" w:rsidRPr="009C5F11">
        <w:rPr>
          <w:rFonts w:ascii="Times New Roman" w:hAnsi="Times New Roman" w:cs="Times New Roman"/>
          <w:sz w:val="22"/>
          <w:lang w:val="ro-RO"/>
        </w:rPr>
        <w:fldChar w:fldCharType="end"/>
      </w:r>
      <w:bookmarkEnd w:id="334"/>
      <w:r w:rsidR="00B14797" w:rsidRPr="009C5F11">
        <w:rPr>
          <w:rFonts w:ascii="Times New Roman" w:hAnsi="Times New Roman" w:cs="Times New Roman"/>
          <w:sz w:val="22"/>
          <w:lang w:val="ro-RO"/>
        </w:rPr>
        <w:t xml:space="preserve"> - </w:t>
      </w:r>
      <w:r w:rsidR="00AA0566" w:rsidRPr="009C5F11">
        <w:rPr>
          <w:rFonts w:ascii="Times New Roman" w:hAnsi="Times New Roman" w:cs="Times New Roman"/>
          <w:sz w:val="22"/>
          <w:lang w:val="ro-RO"/>
        </w:rPr>
        <w:t>APL</w:t>
      </w:r>
      <w:r w:rsidR="00B14797" w:rsidRPr="009C5F11">
        <w:rPr>
          <w:rFonts w:ascii="Times New Roman" w:hAnsi="Times New Roman" w:cs="Times New Roman"/>
          <w:sz w:val="22"/>
          <w:lang w:val="ro-RO"/>
        </w:rPr>
        <w:t>. Invent</w:t>
      </w:r>
      <w:r w:rsidR="00043064" w:rsidRPr="009C5F11">
        <w:rPr>
          <w:rFonts w:ascii="Times New Roman" w:hAnsi="Times New Roman" w:cs="Times New Roman"/>
          <w:sz w:val="22"/>
          <w:lang w:val="ro-RO"/>
        </w:rPr>
        <w:t>arul rezultatelor</w:t>
      </w:r>
      <w:r w:rsidR="00043064" w:rsidRPr="009C5F11">
        <w:rPr>
          <w:rFonts w:ascii="Times New Roman" w:eastAsia="Calibri" w:hAnsi="Times New Roman" w:cs="Times New Roman"/>
          <w:sz w:val="22"/>
          <w:lang w:val="ro-RO"/>
        </w:rPr>
        <w:t xml:space="preserve"> obţinute</w:t>
      </w:r>
      <w:r w:rsidR="001738FD" w:rsidRPr="009C5F11">
        <w:rPr>
          <w:rFonts w:ascii="Times New Roman" w:eastAsia="Calibri" w:hAnsi="Times New Roman" w:cs="Times New Roman"/>
          <w:sz w:val="22"/>
          <w:lang w:val="ro-RO"/>
        </w:rPr>
        <w:t>.</w:t>
      </w:r>
      <w:bookmarkEnd w:id="335"/>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468"/>
        <w:gridCol w:w="1682"/>
        <w:gridCol w:w="7093"/>
      </w:tblGrid>
      <w:tr w:rsidR="00043064" w:rsidRPr="009C5F11" w14:paraId="1C64BA95" w14:textId="77777777" w:rsidTr="00884CBE">
        <w:trPr>
          <w:jc w:val="center"/>
        </w:trPr>
        <w:tc>
          <w:tcPr>
            <w:tcW w:w="253" w:type="pct"/>
            <w:shd w:val="clear" w:color="auto" w:fill="000080"/>
          </w:tcPr>
          <w:p w14:paraId="75E40A66" w14:textId="77777777" w:rsidR="00043064" w:rsidRPr="009C5F11" w:rsidRDefault="00043064" w:rsidP="00430626">
            <w:pPr>
              <w:tabs>
                <w:tab w:val="left" w:pos="162"/>
              </w:tabs>
              <w:ind w:left="162" w:hanging="162"/>
              <w:contextualSpacing/>
              <w:jc w:val="center"/>
              <w:rPr>
                <w:rFonts w:ascii="Times New Roman" w:hAnsi="Times New Roman" w:cs="Times New Roman"/>
                <w:b/>
                <w:sz w:val="18"/>
                <w:szCs w:val="14"/>
                <w:lang w:val="ro-RO"/>
              </w:rPr>
            </w:pPr>
            <w:r w:rsidRPr="009C5F11">
              <w:rPr>
                <w:rFonts w:ascii="Times New Roman" w:hAnsi="Times New Roman" w:cs="Times New Roman"/>
                <w:b/>
                <w:sz w:val="18"/>
                <w:szCs w:val="14"/>
                <w:lang w:val="ro-RO"/>
              </w:rPr>
              <w:t>nr.</w:t>
            </w:r>
          </w:p>
        </w:tc>
        <w:tc>
          <w:tcPr>
            <w:tcW w:w="910" w:type="pct"/>
            <w:shd w:val="clear" w:color="auto" w:fill="000080"/>
          </w:tcPr>
          <w:p w14:paraId="486FEDBB" w14:textId="77777777" w:rsidR="00043064" w:rsidRPr="009C5F11" w:rsidRDefault="00043064" w:rsidP="00043064">
            <w:pPr>
              <w:tabs>
                <w:tab w:val="left" w:pos="0"/>
              </w:tabs>
              <w:ind w:hanging="18"/>
              <w:contextualSpacing/>
              <w:jc w:val="center"/>
              <w:rPr>
                <w:rFonts w:ascii="Times New Roman" w:hAnsi="Times New Roman" w:cs="Times New Roman"/>
                <w:b/>
                <w:color w:val="FFFFFF" w:themeColor="background1"/>
                <w:sz w:val="18"/>
                <w:szCs w:val="14"/>
                <w:lang w:val="ro-RO"/>
              </w:rPr>
            </w:pPr>
            <w:r w:rsidRPr="009C5F11">
              <w:rPr>
                <w:rFonts w:ascii="Times New Roman" w:hAnsi="Times New Roman" w:cs="Times New Roman"/>
                <w:b/>
                <w:color w:val="FFFFFF" w:themeColor="background1"/>
                <w:sz w:val="18"/>
                <w:szCs w:val="14"/>
                <w:lang w:val="ro-RO"/>
              </w:rPr>
              <w:t>AUTORITATEA PUBLICĂ LOCALĂ (APL)</w:t>
            </w:r>
          </w:p>
        </w:tc>
        <w:tc>
          <w:tcPr>
            <w:tcW w:w="3837" w:type="pct"/>
            <w:shd w:val="clear" w:color="auto" w:fill="000080"/>
          </w:tcPr>
          <w:p w14:paraId="08FFF062" w14:textId="77777777" w:rsidR="00043064" w:rsidRPr="009C5F11" w:rsidRDefault="00043064" w:rsidP="00043064">
            <w:pPr>
              <w:tabs>
                <w:tab w:val="left" w:pos="162"/>
              </w:tabs>
              <w:rPr>
                <w:rFonts w:ascii="Times New Roman" w:hAnsi="Times New Roman" w:cs="Times New Roman"/>
                <w:b/>
                <w:color w:val="FFFFFF" w:themeColor="background1"/>
                <w:sz w:val="18"/>
                <w:szCs w:val="14"/>
                <w:lang w:val="ro-RO"/>
              </w:rPr>
            </w:pPr>
            <w:r w:rsidRPr="009C5F11">
              <w:rPr>
                <w:rFonts w:ascii="Times New Roman" w:hAnsi="Times New Roman" w:cs="Times New Roman"/>
                <w:b/>
                <w:color w:val="FFFFFF" w:themeColor="background1"/>
                <w:sz w:val="18"/>
                <w:szCs w:val="14"/>
                <w:lang w:val="ro-RO"/>
              </w:rPr>
              <w:t>Proiecte de EE în clădiri,</w:t>
            </w:r>
          </w:p>
          <w:p w14:paraId="5DB5A416" w14:textId="77777777" w:rsidR="00043064" w:rsidRPr="009C5F11" w:rsidRDefault="00043064" w:rsidP="00043064">
            <w:pPr>
              <w:tabs>
                <w:tab w:val="left" w:pos="162"/>
              </w:tabs>
              <w:rPr>
                <w:rFonts w:ascii="Times New Roman" w:hAnsi="Times New Roman" w:cs="Times New Roman"/>
                <w:b/>
                <w:color w:val="FFFFFF" w:themeColor="background1"/>
                <w:sz w:val="18"/>
                <w:szCs w:val="14"/>
                <w:lang w:val="ro-RO"/>
              </w:rPr>
            </w:pPr>
            <w:r w:rsidRPr="009C5F11">
              <w:rPr>
                <w:rFonts w:ascii="Times New Roman" w:hAnsi="Times New Roman" w:cs="Times New Roman"/>
                <w:b/>
                <w:color w:val="FFFFFF" w:themeColor="background1"/>
                <w:sz w:val="18"/>
                <w:szCs w:val="14"/>
                <w:lang w:val="ro-RO"/>
              </w:rPr>
              <w:t xml:space="preserve">Proiecte </w:t>
            </w:r>
            <w:r w:rsidR="00610318" w:rsidRPr="009C5F11">
              <w:rPr>
                <w:rFonts w:ascii="Times New Roman" w:hAnsi="Times New Roman" w:cs="Times New Roman"/>
                <w:b/>
                <w:color w:val="FFFFFF" w:themeColor="background1"/>
                <w:sz w:val="18"/>
                <w:szCs w:val="14"/>
                <w:lang w:val="ro-RO"/>
              </w:rPr>
              <w:t>ESR</w:t>
            </w:r>
            <w:r w:rsidRPr="009C5F11">
              <w:rPr>
                <w:rFonts w:ascii="Times New Roman" w:hAnsi="Times New Roman" w:cs="Times New Roman"/>
                <w:b/>
                <w:color w:val="FFFFFF" w:themeColor="background1"/>
                <w:sz w:val="18"/>
                <w:szCs w:val="14"/>
                <w:lang w:val="ro-RO"/>
              </w:rPr>
              <w:t xml:space="preserve"> (biomasă)</w:t>
            </w:r>
          </w:p>
        </w:tc>
      </w:tr>
      <w:tr w:rsidR="00D15C6C" w:rsidRPr="009C5F11" w14:paraId="39A8E81C" w14:textId="77777777" w:rsidTr="00607023">
        <w:trPr>
          <w:trHeight w:val="699"/>
          <w:jc w:val="center"/>
        </w:trPr>
        <w:tc>
          <w:tcPr>
            <w:tcW w:w="253" w:type="pct"/>
            <w:shd w:val="clear" w:color="auto" w:fill="auto"/>
            <w:hideMark/>
          </w:tcPr>
          <w:p w14:paraId="5F56B0C2"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w:t>
            </w:r>
          </w:p>
        </w:tc>
        <w:tc>
          <w:tcPr>
            <w:tcW w:w="910" w:type="pct"/>
            <w:shd w:val="clear" w:color="auto" w:fill="auto"/>
            <w:hideMark/>
          </w:tcPr>
          <w:p w14:paraId="1BC7D905"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Bălţi</w:t>
            </w:r>
          </w:p>
        </w:tc>
        <w:tc>
          <w:tcPr>
            <w:tcW w:w="3837" w:type="pct"/>
            <w:shd w:val="clear" w:color="auto" w:fill="auto"/>
          </w:tcPr>
          <w:p w14:paraId="5CDD66C9" w14:textId="77777777" w:rsidR="00D15C6C" w:rsidRPr="009C5F11" w:rsidRDefault="00D15C6C" w:rsidP="00B40DB5">
            <w:pPr>
              <w:tabs>
                <w:tab w:val="left" w:pos="252"/>
              </w:tabs>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Proiecte de EE în clădiri:</w:t>
            </w:r>
          </w:p>
          <w:p w14:paraId="34BD2249" w14:textId="77777777" w:rsidR="00D15C6C" w:rsidRPr="009C5F11" w:rsidRDefault="00D15C6C" w:rsidP="00334F3B">
            <w:pPr>
              <w:pStyle w:val="Listparagraf"/>
              <w:numPr>
                <w:ilvl w:val="0"/>
                <w:numId w:val="24"/>
              </w:numPr>
              <w:tabs>
                <w:tab w:val="left" w:pos="252"/>
              </w:tabs>
              <w:rPr>
                <w:rFonts w:ascii="Times New Roman" w:hAnsi="Times New Roman" w:cs="Times New Roman"/>
                <w:sz w:val="18"/>
                <w:szCs w:val="14"/>
                <w:lang w:val="ro-RO"/>
              </w:rPr>
            </w:pPr>
            <w:r w:rsidRPr="009C5F11">
              <w:rPr>
                <w:rFonts w:ascii="Times New Roman" w:hAnsi="Times New Roman" w:cs="Times New Roman"/>
                <w:sz w:val="18"/>
                <w:szCs w:val="14"/>
                <w:lang w:val="ro-RO"/>
              </w:rPr>
              <w:t>izolarea termică a pereţilor;</w:t>
            </w:r>
          </w:p>
          <w:p w14:paraId="56D90842" w14:textId="77777777" w:rsidR="00D15C6C" w:rsidRPr="009C5F11" w:rsidRDefault="00D15C6C" w:rsidP="00334F3B">
            <w:pPr>
              <w:pStyle w:val="Listparagraf"/>
              <w:numPr>
                <w:ilvl w:val="0"/>
                <w:numId w:val="24"/>
              </w:numPr>
              <w:tabs>
                <w:tab w:val="left" w:pos="252"/>
              </w:tabs>
              <w:rPr>
                <w:rFonts w:ascii="Times New Roman" w:hAnsi="Times New Roman" w:cs="Times New Roman"/>
                <w:sz w:val="18"/>
                <w:szCs w:val="14"/>
                <w:lang w:val="ro-RO"/>
              </w:rPr>
            </w:pPr>
            <w:r w:rsidRPr="009C5F11">
              <w:rPr>
                <w:rFonts w:ascii="Times New Roman" w:hAnsi="Times New Roman" w:cs="Times New Roman"/>
                <w:sz w:val="18"/>
                <w:szCs w:val="14"/>
                <w:lang w:val="ro-RO"/>
              </w:rPr>
              <w:t>reparaţia acoperişurilor,</w:t>
            </w:r>
          </w:p>
          <w:p w14:paraId="5F1EBF97" w14:textId="77777777" w:rsidR="00D15C6C" w:rsidRPr="009C5F11" w:rsidRDefault="00D15C6C" w:rsidP="00334F3B">
            <w:pPr>
              <w:pStyle w:val="Listparagraf"/>
              <w:numPr>
                <w:ilvl w:val="0"/>
                <w:numId w:val="24"/>
              </w:numPr>
              <w:tabs>
                <w:tab w:val="left" w:pos="252"/>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reparaţia şi înlocuirea ferestrelor şi a ușilor în locurile de utilizare comună.</w:t>
            </w:r>
          </w:p>
        </w:tc>
      </w:tr>
      <w:tr w:rsidR="00D15C6C" w:rsidRPr="009C5F11" w14:paraId="75E87107" w14:textId="77777777" w:rsidTr="00607023">
        <w:trPr>
          <w:trHeight w:val="993"/>
          <w:jc w:val="center"/>
        </w:trPr>
        <w:tc>
          <w:tcPr>
            <w:tcW w:w="253" w:type="pct"/>
            <w:shd w:val="clear" w:color="auto" w:fill="auto"/>
            <w:hideMark/>
          </w:tcPr>
          <w:p w14:paraId="1FDD555D"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2</w:t>
            </w:r>
          </w:p>
        </w:tc>
        <w:tc>
          <w:tcPr>
            <w:tcW w:w="910" w:type="pct"/>
            <w:shd w:val="clear" w:color="auto" w:fill="auto"/>
            <w:hideMark/>
          </w:tcPr>
          <w:p w14:paraId="09208670"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Anenii Noi</w:t>
            </w:r>
          </w:p>
        </w:tc>
        <w:tc>
          <w:tcPr>
            <w:tcW w:w="3837" w:type="pct"/>
            <w:shd w:val="clear" w:color="auto" w:fill="auto"/>
          </w:tcPr>
          <w:p w14:paraId="3FD22C43" w14:textId="77777777" w:rsidR="00D15C6C" w:rsidRPr="009C5F11" w:rsidRDefault="00D15C6C" w:rsidP="00B40DB5">
            <w:pPr>
              <w:tabs>
                <w:tab w:val="left" w:pos="252"/>
              </w:tabs>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15 Proiecte de EE în clădiri:</w:t>
            </w:r>
          </w:p>
          <w:p w14:paraId="7CF8DB4E" w14:textId="77777777" w:rsidR="00D15C6C" w:rsidRPr="009C5F11" w:rsidRDefault="00D15C6C" w:rsidP="00334F3B">
            <w:pPr>
              <w:pStyle w:val="Listparagraf"/>
              <w:numPr>
                <w:ilvl w:val="0"/>
                <w:numId w:val="25"/>
              </w:numPr>
              <w:tabs>
                <w:tab w:val="left" w:pos="252"/>
              </w:tabs>
              <w:rPr>
                <w:rFonts w:ascii="Times New Roman" w:hAnsi="Times New Roman" w:cs="Times New Roman"/>
                <w:sz w:val="18"/>
                <w:szCs w:val="14"/>
                <w:lang w:val="ro-RO"/>
              </w:rPr>
            </w:pPr>
            <w:r w:rsidRPr="009C5F11">
              <w:rPr>
                <w:rFonts w:ascii="Times New Roman" w:hAnsi="Times New Roman" w:cs="Times New Roman"/>
                <w:sz w:val="18"/>
                <w:szCs w:val="14"/>
                <w:lang w:val="ro-RO"/>
              </w:rPr>
              <w:t>6 grădiniţe;</w:t>
            </w:r>
          </w:p>
          <w:p w14:paraId="72023EC9" w14:textId="77777777" w:rsidR="00D15C6C" w:rsidRPr="009C5F11" w:rsidRDefault="00D15C6C" w:rsidP="00334F3B">
            <w:pPr>
              <w:pStyle w:val="Listparagraf"/>
              <w:numPr>
                <w:ilvl w:val="0"/>
                <w:numId w:val="25"/>
              </w:numPr>
              <w:tabs>
                <w:tab w:val="left" w:pos="252"/>
              </w:tabs>
              <w:rPr>
                <w:rFonts w:ascii="Times New Roman" w:hAnsi="Times New Roman" w:cs="Times New Roman"/>
                <w:sz w:val="18"/>
                <w:szCs w:val="14"/>
                <w:lang w:val="ro-RO"/>
              </w:rPr>
            </w:pPr>
            <w:r w:rsidRPr="009C5F11">
              <w:rPr>
                <w:rFonts w:ascii="Times New Roman" w:hAnsi="Times New Roman" w:cs="Times New Roman"/>
                <w:sz w:val="18"/>
                <w:szCs w:val="14"/>
                <w:lang w:val="ro-RO"/>
              </w:rPr>
              <w:t>7 şcoli / licee;</w:t>
            </w:r>
          </w:p>
          <w:p w14:paraId="5B2FA42C" w14:textId="77777777" w:rsidR="00D15C6C" w:rsidRPr="009C5F11" w:rsidRDefault="00D15C6C" w:rsidP="00334F3B">
            <w:pPr>
              <w:pStyle w:val="Listparagraf"/>
              <w:numPr>
                <w:ilvl w:val="0"/>
                <w:numId w:val="25"/>
              </w:numPr>
              <w:tabs>
                <w:tab w:val="left" w:pos="252"/>
              </w:tabs>
              <w:rPr>
                <w:rFonts w:ascii="Times New Roman" w:hAnsi="Times New Roman" w:cs="Times New Roman"/>
                <w:sz w:val="18"/>
                <w:szCs w:val="14"/>
                <w:lang w:val="ro-RO"/>
              </w:rPr>
            </w:pPr>
            <w:r w:rsidRPr="009C5F11">
              <w:rPr>
                <w:rFonts w:ascii="Times New Roman" w:hAnsi="Times New Roman" w:cs="Times New Roman"/>
                <w:sz w:val="18"/>
                <w:szCs w:val="14"/>
                <w:lang w:val="ro-RO"/>
              </w:rPr>
              <w:t>1 spital;</w:t>
            </w:r>
          </w:p>
          <w:p w14:paraId="4DBA0F44" w14:textId="77777777" w:rsidR="00D15C6C" w:rsidRPr="009C5F11" w:rsidRDefault="00D15C6C" w:rsidP="00334F3B">
            <w:pPr>
              <w:pStyle w:val="Listparagraf"/>
              <w:numPr>
                <w:ilvl w:val="0"/>
                <w:numId w:val="25"/>
              </w:numPr>
              <w:tabs>
                <w:tab w:val="left" w:pos="252"/>
              </w:tabs>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 centru sportiv.</w:t>
            </w:r>
          </w:p>
        </w:tc>
      </w:tr>
      <w:tr w:rsidR="00D15C6C" w:rsidRPr="009C5F11" w14:paraId="551216E4" w14:textId="77777777" w:rsidTr="00607023">
        <w:trPr>
          <w:trHeight w:val="1786"/>
          <w:jc w:val="center"/>
        </w:trPr>
        <w:tc>
          <w:tcPr>
            <w:tcW w:w="253" w:type="pct"/>
            <w:vMerge w:val="restart"/>
            <w:shd w:val="clear" w:color="auto" w:fill="auto"/>
            <w:hideMark/>
          </w:tcPr>
          <w:p w14:paraId="714504C3"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3</w:t>
            </w:r>
          </w:p>
        </w:tc>
        <w:tc>
          <w:tcPr>
            <w:tcW w:w="910" w:type="pct"/>
            <w:vMerge w:val="restart"/>
            <w:shd w:val="clear" w:color="auto" w:fill="auto"/>
            <w:hideMark/>
          </w:tcPr>
          <w:p w14:paraId="7FD4AA57"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Briceni</w:t>
            </w:r>
          </w:p>
        </w:tc>
        <w:tc>
          <w:tcPr>
            <w:tcW w:w="3837" w:type="pct"/>
            <w:shd w:val="clear" w:color="auto" w:fill="auto"/>
          </w:tcPr>
          <w:p w14:paraId="1C97D567"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Domeniul de aplicare a proiectelor de EE în clădiri:</w:t>
            </w:r>
          </w:p>
          <w:p w14:paraId="07E28565" w14:textId="77777777" w:rsidR="00D15C6C" w:rsidRPr="009C5F11" w:rsidRDefault="00D15C6C" w:rsidP="00B40DB5">
            <w:pPr>
              <w:spacing w:after="0" w:line="240" w:lineRule="auto"/>
              <w:ind w:left="702" w:hanging="36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Izolarea termică a pereţilor; înlocuirea ferestrelor/uşilor;</w:t>
            </w:r>
          </w:p>
          <w:p w14:paraId="18243748" w14:textId="77777777" w:rsidR="00D15C6C" w:rsidRPr="009C5F11" w:rsidRDefault="00D15C6C" w:rsidP="00334F3B">
            <w:pPr>
              <w:pStyle w:val="Listparagraf"/>
              <w:numPr>
                <w:ilvl w:val="0"/>
                <w:numId w:val="26"/>
              </w:numPr>
              <w:ind w:left="702" w:hanging="342"/>
              <w:rPr>
                <w:rFonts w:ascii="Times New Roman" w:hAnsi="Times New Roman" w:cs="Times New Roman"/>
                <w:sz w:val="18"/>
                <w:szCs w:val="14"/>
                <w:lang w:val="ro-RO"/>
              </w:rPr>
            </w:pPr>
            <w:r w:rsidRPr="009C5F11">
              <w:rPr>
                <w:rFonts w:ascii="Times New Roman" w:hAnsi="Times New Roman" w:cs="Times New Roman"/>
                <w:sz w:val="18"/>
                <w:szCs w:val="14"/>
                <w:lang w:val="ro-RO"/>
              </w:rPr>
              <w:t>instalarea cazanelor operate cu biomasă;</w:t>
            </w:r>
          </w:p>
          <w:p w14:paraId="4069727D" w14:textId="77777777" w:rsidR="00D15C6C" w:rsidRPr="009C5F11" w:rsidRDefault="00D15C6C" w:rsidP="00334F3B">
            <w:pPr>
              <w:pStyle w:val="Listparagraf"/>
              <w:numPr>
                <w:ilvl w:val="0"/>
                <w:numId w:val="26"/>
              </w:numPr>
              <w:ind w:left="702" w:hanging="342"/>
              <w:rPr>
                <w:rFonts w:ascii="Times New Roman" w:hAnsi="Times New Roman" w:cs="Times New Roman"/>
                <w:sz w:val="18"/>
                <w:szCs w:val="14"/>
                <w:lang w:val="ro-RO"/>
              </w:rPr>
            </w:pPr>
            <w:r w:rsidRPr="009C5F11">
              <w:rPr>
                <w:rFonts w:ascii="Times New Roman" w:hAnsi="Times New Roman" w:cs="Times New Roman"/>
                <w:sz w:val="18"/>
                <w:szCs w:val="14"/>
                <w:lang w:val="ro-RO"/>
              </w:rPr>
              <w:t>sisteme de încălzire;</w:t>
            </w:r>
          </w:p>
          <w:p w14:paraId="2859FB21" w14:textId="77777777" w:rsidR="00D15C6C" w:rsidRPr="009C5F11" w:rsidRDefault="00D15C6C" w:rsidP="00334F3B">
            <w:pPr>
              <w:pStyle w:val="Listparagraf"/>
              <w:numPr>
                <w:ilvl w:val="0"/>
                <w:numId w:val="26"/>
              </w:numPr>
              <w:ind w:left="702"/>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schimbarea sistemului energetic. </w:t>
            </w:r>
          </w:p>
          <w:p w14:paraId="1F03F309" w14:textId="77777777" w:rsidR="00D15C6C" w:rsidRPr="009C5F11" w:rsidRDefault="00D15C6C" w:rsidP="00341E16">
            <w:pPr>
              <w:pStyle w:val="Listparagraf"/>
              <w:ind w:left="702" w:hanging="450"/>
              <w:rPr>
                <w:rFonts w:ascii="Times New Roman" w:hAnsi="Times New Roman" w:cs="Times New Roman"/>
                <w:sz w:val="18"/>
                <w:szCs w:val="14"/>
                <w:lang w:val="ro-RO"/>
              </w:rPr>
            </w:pPr>
            <w:r w:rsidRPr="009C5F11">
              <w:rPr>
                <w:rFonts w:ascii="Times New Roman" w:hAnsi="Times New Roman" w:cs="Times New Roman"/>
                <w:sz w:val="18"/>
                <w:szCs w:val="14"/>
                <w:lang w:val="ro-RO"/>
              </w:rPr>
              <w:t>27 Proiecte de EE în clădiri:</w:t>
            </w:r>
          </w:p>
          <w:p w14:paraId="758F7622" w14:textId="77777777" w:rsidR="00D15C6C" w:rsidRPr="009C5F11" w:rsidRDefault="00D15C6C" w:rsidP="00334F3B">
            <w:pPr>
              <w:pStyle w:val="Listparagraf"/>
              <w:numPr>
                <w:ilvl w:val="0"/>
                <w:numId w:val="26"/>
              </w:numPr>
              <w:rPr>
                <w:rFonts w:ascii="Times New Roman" w:hAnsi="Times New Roman" w:cs="Times New Roman"/>
                <w:sz w:val="18"/>
                <w:szCs w:val="14"/>
                <w:lang w:val="ro-RO"/>
              </w:rPr>
            </w:pPr>
            <w:r w:rsidRPr="009C5F11">
              <w:rPr>
                <w:rFonts w:ascii="Times New Roman" w:hAnsi="Times New Roman" w:cs="Times New Roman"/>
                <w:sz w:val="18"/>
                <w:szCs w:val="14"/>
                <w:lang w:val="ro-RO"/>
              </w:rPr>
              <w:t>7 grădiniţe;</w:t>
            </w:r>
          </w:p>
          <w:p w14:paraId="1BB3FCB3" w14:textId="77777777" w:rsidR="00D15C6C" w:rsidRPr="009C5F11" w:rsidRDefault="00D15C6C" w:rsidP="00334F3B">
            <w:pPr>
              <w:pStyle w:val="Listparagraf"/>
              <w:numPr>
                <w:ilvl w:val="0"/>
                <w:numId w:val="26"/>
              </w:numPr>
              <w:rPr>
                <w:rFonts w:ascii="Times New Roman" w:hAnsi="Times New Roman" w:cs="Times New Roman"/>
                <w:sz w:val="18"/>
                <w:szCs w:val="14"/>
                <w:lang w:val="ro-RO"/>
              </w:rPr>
            </w:pPr>
            <w:r w:rsidRPr="009C5F11">
              <w:rPr>
                <w:rFonts w:ascii="Times New Roman" w:hAnsi="Times New Roman" w:cs="Times New Roman"/>
                <w:sz w:val="18"/>
                <w:szCs w:val="14"/>
                <w:lang w:val="ro-RO"/>
              </w:rPr>
              <w:t>11 şcoli / licee;</w:t>
            </w:r>
          </w:p>
          <w:p w14:paraId="62F22CBA" w14:textId="77777777" w:rsidR="00D15C6C" w:rsidRPr="009C5F11" w:rsidRDefault="00D15C6C" w:rsidP="00334F3B">
            <w:pPr>
              <w:pStyle w:val="Listparagraf"/>
              <w:numPr>
                <w:ilvl w:val="0"/>
                <w:numId w:val="26"/>
              </w:numPr>
              <w:rPr>
                <w:rFonts w:ascii="Times New Roman" w:hAnsi="Times New Roman" w:cs="Times New Roman"/>
                <w:sz w:val="18"/>
                <w:szCs w:val="14"/>
                <w:lang w:val="ro-RO"/>
              </w:rPr>
            </w:pPr>
            <w:r w:rsidRPr="009C5F11">
              <w:rPr>
                <w:rFonts w:ascii="Times New Roman" w:hAnsi="Times New Roman" w:cs="Times New Roman"/>
                <w:sz w:val="18"/>
                <w:szCs w:val="14"/>
                <w:lang w:val="ro-RO"/>
              </w:rPr>
              <w:t>8 case de cultură;</w:t>
            </w:r>
          </w:p>
          <w:p w14:paraId="7FAAC344" w14:textId="77777777" w:rsidR="00D15C6C" w:rsidRPr="009C5F11" w:rsidRDefault="00D15C6C" w:rsidP="00334F3B">
            <w:pPr>
              <w:pStyle w:val="Listparagraf"/>
              <w:numPr>
                <w:ilvl w:val="0"/>
                <w:numId w:val="26"/>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clădirea Consiliului Raional Briceni. </w:t>
            </w:r>
          </w:p>
        </w:tc>
      </w:tr>
      <w:tr w:rsidR="00D15C6C" w:rsidRPr="009C5F11" w14:paraId="2C4316B3" w14:textId="77777777" w:rsidTr="00884CBE">
        <w:trPr>
          <w:trHeight w:val="170"/>
          <w:jc w:val="center"/>
        </w:trPr>
        <w:tc>
          <w:tcPr>
            <w:tcW w:w="253" w:type="pct"/>
            <w:vMerge/>
            <w:shd w:val="clear" w:color="auto" w:fill="auto"/>
          </w:tcPr>
          <w:p w14:paraId="3205072A"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910" w:type="pct"/>
            <w:vMerge/>
            <w:shd w:val="clear" w:color="auto" w:fill="auto"/>
          </w:tcPr>
          <w:p w14:paraId="05F0A40A"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3837" w:type="pct"/>
            <w:shd w:val="clear" w:color="auto" w:fill="auto"/>
          </w:tcPr>
          <w:p w14:paraId="7BD1B592"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proiectelor de EE în clădiri:</w:t>
            </w:r>
          </w:p>
          <w:p w14:paraId="372FAD1B" w14:textId="77777777" w:rsidR="00D15C6C" w:rsidRPr="009C5F11" w:rsidRDefault="00D15C6C" w:rsidP="00334F3B">
            <w:pPr>
              <w:pStyle w:val="Listparagraf"/>
              <w:numPr>
                <w:ilvl w:val="0"/>
                <w:numId w:val="37"/>
              </w:numPr>
              <w:rPr>
                <w:rFonts w:ascii="Times New Roman" w:hAnsi="Times New Roman" w:cs="Times New Roman"/>
                <w:sz w:val="18"/>
                <w:szCs w:val="14"/>
                <w:lang w:val="ro-RO"/>
              </w:rPr>
            </w:pPr>
            <w:r w:rsidRPr="009C5F11">
              <w:rPr>
                <w:rFonts w:ascii="Times New Roman" w:hAnsi="Times New Roman" w:cs="Times New Roman"/>
                <w:sz w:val="18"/>
                <w:szCs w:val="14"/>
                <w:lang w:val="ro-RO"/>
              </w:rPr>
              <w:t>Bugetul de stat;</w:t>
            </w:r>
          </w:p>
          <w:p w14:paraId="3B10C372" w14:textId="77777777" w:rsidR="00D15C6C" w:rsidRPr="009C5F11" w:rsidRDefault="00D15C6C" w:rsidP="00334F3B">
            <w:pPr>
              <w:pStyle w:val="Listparagraf"/>
              <w:numPr>
                <w:ilvl w:val="0"/>
                <w:numId w:val="37"/>
              </w:numPr>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FISM; </w:t>
            </w:r>
          </w:p>
          <w:p w14:paraId="0D26AFB4" w14:textId="77777777" w:rsidR="00D15C6C" w:rsidRPr="009C5F11" w:rsidRDefault="00D15C6C" w:rsidP="00334F3B">
            <w:pPr>
              <w:pStyle w:val="Listparagraf"/>
              <w:numPr>
                <w:ilvl w:val="0"/>
                <w:numId w:val="37"/>
              </w:numPr>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Guvernul României; </w:t>
            </w:r>
          </w:p>
          <w:p w14:paraId="202F4437" w14:textId="77777777" w:rsidR="00D15C6C" w:rsidRPr="009C5F11" w:rsidRDefault="00D15C6C" w:rsidP="00334F3B">
            <w:pPr>
              <w:pStyle w:val="Listparagraf"/>
              <w:numPr>
                <w:ilvl w:val="0"/>
                <w:numId w:val="37"/>
              </w:numPr>
              <w:rPr>
                <w:rFonts w:ascii="Times New Roman" w:hAnsi="Times New Roman" w:cs="Times New Roman"/>
                <w:sz w:val="18"/>
                <w:szCs w:val="14"/>
                <w:lang w:val="ro-RO"/>
              </w:rPr>
            </w:pPr>
            <w:r w:rsidRPr="009C5F11">
              <w:rPr>
                <w:rFonts w:ascii="Times New Roman" w:hAnsi="Times New Roman" w:cs="Times New Roman"/>
                <w:sz w:val="18"/>
                <w:szCs w:val="14"/>
                <w:lang w:val="ro-RO"/>
              </w:rPr>
              <w:t>Proiectul Energie şi Biomasă în Moldova;</w:t>
            </w:r>
          </w:p>
          <w:p w14:paraId="5058B1D2" w14:textId="77777777" w:rsidR="00D15C6C" w:rsidRPr="009C5F11" w:rsidRDefault="00D15C6C" w:rsidP="00334F3B">
            <w:pPr>
              <w:pStyle w:val="Listparagraf"/>
              <w:numPr>
                <w:ilvl w:val="0"/>
                <w:numId w:val="37"/>
              </w:numPr>
              <w:rPr>
                <w:rFonts w:ascii="Times New Roman" w:hAnsi="Times New Roman" w:cs="Times New Roman"/>
                <w:sz w:val="18"/>
                <w:szCs w:val="14"/>
                <w:lang w:val="ro-RO"/>
              </w:rPr>
            </w:pPr>
            <w:r w:rsidRPr="009C5F11">
              <w:rPr>
                <w:rFonts w:ascii="Times New Roman" w:hAnsi="Times New Roman" w:cs="Times New Roman"/>
                <w:sz w:val="18"/>
                <w:szCs w:val="14"/>
                <w:lang w:val="ro-RO"/>
              </w:rPr>
              <w:t>APL 1;</w:t>
            </w:r>
          </w:p>
          <w:p w14:paraId="75AA95D6" w14:textId="77777777" w:rsidR="00D15C6C" w:rsidRPr="009C5F11" w:rsidRDefault="00D15C6C" w:rsidP="00334F3B">
            <w:pPr>
              <w:pStyle w:val="Listparagraf"/>
              <w:numPr>
                <w:ilvl w:val="0"/>
                <w:numId w:val="37"/>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FEE.</w:t>
            </w:r>
          </w:p>
        </w:tc>
      </w:tr>
      <w:tr w:rsidR="00D15C6C" w:rsidRPr="009C5F11" w14:paraId="5F3FE18E" w14:textId="77777777" w:rsidTr="00884CBE">
        <w:trPr>
          <w:trHeight w:val="76"/>
          <w:jc w:val="center"/>
        </w:trPr>
        <w:tc>
          <w:tcPr>
            <w:tcW w:w="253" w:type="pct"/>
            <w:vMerge w:val="restart"/>
            <w:shd w:val="clear" w:color="auto" w:fill="auto"/>
            <w:hideMark/>
          </w:tcPr>
          <w:p w14:paraId="24CA907E"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4</w:t>
            </w:r>
          </w:p>
        </w:tc>
        <w:tc>
          <w:tcPr>
            <w:tcW w:w="910" w:type="pct"/>
            <w:vMerge w:val="restart"/>
            <w:shd w:val="clear" w:color="auto" w:fill="auto"/>
            <w:hideMark/>
          </w:tcPr>
          <w:p w14:paraId="0A1605D9"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Călăraşi</w:t>
            </w:r>
          </w:p>
        </w:tc>
        <w:tc>
          <w:tcPr>
            <w:tcW w:w="3837" w:type="pct"/>
            <w:shd w:val="clear" w:color="auto" w:fill="auto"/>
          </w:tcPr>
          <w:p w14:paraId="09EB01AB"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9 Proiecte de EE în clădiri:</w:t>
            </w:r>
          </w:p>
          <w:p w14:paraId="17ABBA91"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4 grădiniţe;</w:t>
            </w:r>
          </w:p>
          <w:p w14:paraId="3220FE0E"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4 şcoli / licee;</w:t>
            </w:r>
          </w:p>
          <w:p w14:paraId="36BF2D76"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spital</w:t>
            </w:r>
          </w:p>
        </w:tc>
      </w:tr>
      <w:tr w:rsidR="00D15C6C" w:rsidRPr="009C5F11" w14:paraId="427A4FC2" w14:textId="77777777" w:rsidTr="00884CBE">
        <w:trPr>
          <w:trHeight w:val="296"/>
          <w:jc w:val="center"/>
        </w:trPr>
        <w:tc>
          <w:tcPr>
            <w:tcW w:w="253" w:type="pct"/>
            <w:vMerge/>
            <w:shd w:val="clear" w:color="auto" w:fill="auto"/>
          </w:tcPr>
          <w:p w14:paraId="30BCEEB0"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910" w:type="pct"/>
            <w:vMerge/>
            <w:shd w:val="clear" w:color="auto" w:fill="auto"/>
          </w:tcPr>
          <w:p w14:paraId="5B1D9134"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3837" w:type="pct"/>
            <w:shd w:val="clear" w:color="auto" w:fill="auto"/>
          </w:tcPr>
          <w:p w14:paraId="18586BBC"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proiectelor de EE în clădiri:</w:t>
            </w:r>
          </w:p>
          <w:p w14:paraId="1329B7BB" w14:textId="77777777" w:rsidR="00D15C6C" w:rsidRPr="009C5F11" w:rsidRDefault="00D15C6C" w:rsidP="00430626">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FEE.</w:t>
            </w:r>
          </w:p>
        </w:tc>
      </w:tr>
      <w:tr w:rsidR="00D15C6C" w:rsidRPr="009C5F11" w14:paraId="32105C25" w14:textId="77777777" w:rsidTr="00607023">
        <w:trPr>
          <w:trHeight w:val="1213"/>
          <w:jc w:val="center"/>
        </w:trPr>
        <w:tc>
          <w:tcPr>
            <w:tcW w:w="253" w:type="pct"/>
            <w:shd w:val="clear" w:color="auto" w:fill="auto"/>
          </w:tcPr>
          <w:p w14:paraId="6952A29C"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5</w:t>
            </w:r>
          </w:p>
        </w:tc>
        <w:tc>
          <w:tcPr>
            <w:tcW w:w="910" w:type="pct"/>
            <w:shd w:val="clear" w:color="auto" w:fill="auto"/>
          </w:tcPr>
          <w:p w14:paraId="22353269"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Cantemir</w:t>
            </w:r>
          </w:p>
        </w:tc>
        <w:tc>
          <w:tcPr>
            <w:tcW w:w="3837" w:type="pct"/>
            <w:shd w:val="clear" w:color="auto" w:fill="auto"/>
          </w:tcPr>
          <w:p w14:paraId="6DDBA3A8"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14 Proiecte de EE în clădiri:</w:t>
            </w:r>
          </w:p>
          <w:p w14:paraId="1E22691B"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5 grădiniţe;</w:t>
            </w:r>
          </w:p>
          <w:p w14:paraId="2926FB10"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6 şcoli / licee;</w:t>
            </w:r>
          </w:p>
          <w:p w14:paraId="577A6EE0"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spital.</w:t>
            </w:r>
          </w:p>
          <w:p w14:paraId="0EFC6DF5" w14:textId="77777777" w:rsidR="00D15C6C" w:rsidRPr="009C5F11" w:rsidRDefault="00D15C6C" w:rsidP="00334F3B">
            <w:pPr>
              <w:pStyle w:val="Listparagraf"/>
              <w:numPr>
                <w:ilvl w:val="0"/>
                <w:numId w:val="38"/>
              </w:numPr>
              <w:ind w:left="702" w:hanging="450"/>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clădirea Consiliului Raional Cantemir </w:t>
            </w:r>
          </w:p>
          <w:p w14:paraId="0512F6AC" w14:textId="77777777" w:rsidR="00D15C6C" w:rsidRPr="009C5F11" w:rsidRDefault="00D15C6C" w:rsidP="00334F3B">
            <w:pPr>
              <w:pStyle w:val="Listparagraf"/>
              <w:numPr>
                <w:ilvl w:val="0"/>
                <w:numId w:val="38"/>
              </w:numPr>
              <w:spacing w:after="0" w:line="240" w:lineRule="auto"/>
              <w:ind w:left="702" w:hanging="450"/>
              <w:rPr>
                <w:rFonts w:ascii="Times New Roman" w:hAnsi="Times New Roman" w:cs="Times New Roman"/>
                <w:sz w:val="18"/>
                <w:szCs w:val="14"/>
                <w:lang w:val="ro-RO"/>
              </w:rPr>
            </w:pPr>
            <w:r w:rsidRPr="009C5F11">
              <w:rPr>
                <w:rFonts w:ascii="Times New Roman" w:hAnsi="Times New Roman" w:cs="Times New Roman"/>
                <w:sz w:val="18"/>
                <w:szCs w:val="14"/>
                <w:lang w:val="ro-RO"/>
              </w:rPr>
              <w:t>clădirea primăriei.</w:t>
            </w:r>
          </w:p>
          <w:p w14:paraId="438DCD78"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3 proiecte de utilizare a biomasei.</w:t>
            </w:r>
          </w:p>
        </w:tc>
      </w:tr>
      <w:tr w:rsidR="00D15C6C" w:rsidRPr="009C5F11" w14:paraId="59CD93BF" w14:textId="77777777" w:rsidTr="00884CBE">
        <w:trPr>
          <w:trHeight w:val="998"/>
          <w:jc w:val="center"/>
        </w:trPr>
        <w:tc>
          <w:tcPr>
            <w:tcW w:w="253" w:type="pct"/>
            <w:shd w:val="clear" w:color="auto" w:fill="auto"/>
            <w:hideMark/>
          </w:tcPr>
          <w:p w14:paraId="38ABD255"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5</w:t>
            </w:r>
          </w:p>
        </w:tc>
        <w:tc>
          <w:tcPr>
            <w:tcW w:w="910" w:type="pct"/>
            <w:shd w:val="clear" w:color="auto" w:fill="auto"/>
            <w:hideMark/>
          </w:tcPr>
          <w:p w14:paraId="32B0C705"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Căuşeni</w:t>
            </w:r>
          </w:p>
        </w:tc>
        <w:tc>
          <w:tcPr>
            <w:tcW w:w="3837" w:type="pct"/>
            <w:shd w:val="clear" w:color="auto" w:fill="auto"/>
          </w:tcPr>
          <w:p w14:paraId="42CFD0E0"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1 proiect de EE în clădiri:</w:t>
            </w:r>
          </w:p>
          <w:p w14:paraId="398CF4D9" w14:textId="77777777" w:rsidR="00D15C6C" w:rsidRPr="009C5F11" w:rsidRDefault="00D15C6C" w:rsidP="00334F3B">
            <w:pPr>
              <w:pStyle w:val="Listparagraf"/>
              <w:numPr>
                <w:ilvl w:val="0"/>
                <w:numId w:val="28"/>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1 liceu.</w:t>
            </w:r>
          </w:p>
          <w:p w14:paraId="6F99E9A4"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3 Proiecte SRE finanţate de Proiectul Energie şi Biomasă în Moldova:</w:t>
            </w:r>
          </w:p>
          <w:p w14:paraId="7EA53D59"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Încălzire cu biomasă:</w:t>
            </w:r>
          </w:p>
          <w:p w14:paraId="242F7A71" w14:textId="77777777" w:rsidR="00D15C6C" w:rsidRPr="009C5F11" w:rsidRDefault="00D15C6C" w:rsidP="00334F3B">
            <w:pPr>
              <w:pStyle w:val="Listparagraf"/>
              <w:numPr>
                <w:ilvl w:val="0"/>
                <w:numId w:val="28"/>
              </w:numPr>
              <w:rPr>
                <w:rFonts w:ascii="Times New Roman" w:hAnsi="Times New Roman" w:cs="Times New Roman"/>
                <w:sz w:val="18"/>
                <w:szCs w:val="14"/>
                <w:lang w:val="ro-RO"/>
              </w:rPr>
            </w:pPr>
            <w:r w:rsidRPr="009C5F11">
              <w:rPr>
                <w:rFonts w:ascii="Times New Roman" w:hAnsi="Times New Roman" w:cs="Times New Roman"/>
                <w:sz w:val="18"/>
                <w:szCs w:val="14"/>
                <w:lang w:val="ro-RO"/>
              </w:rPr>
              <w:t>1 grădiniţă;</w:t>
            </w:r>
          </w:p>
          <w:p w14:paraId="4C79054F" w14:textId="77777777" w:rsidR="00D15C6C" w:rsidRPr="009C5F11" w:rsidRDefault="00D15C6C" w:rsidP="00334F3B">
            <w:pPr>
              <w:pStyle w:val="Listparagraf"/>
              <w:numPr>
                <w:ilvl w:val="0"/>
                <w:numId w:val="28"/>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2 licee.</w:t>
            </w:r>
          </w:p>
        </w:tc>
      </w:tr>
      <w:tr w:rsidR="00D15C6C" w:rsidRPr="009C5F11" w14:paraId="45190056" w14:textId="77777777" w:rsidTr="00884CBE">
        <w:trPr>
          <w:trHeight w:val="296"/>
          <w:jc w:val="center"/>
        </w:trPr>
        <w:tc>
          <w:tcPr>
            <w:tcW w:w="253" w:type="pct"/>
            <w:shd w:val="clear" w:color="auto" w:fill="auto"/>
            <w:hideMark/>
          </w:tcPr>
          <w:p w14:paraId="3EA9DD61"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6</w:t>
            </w:r>
          </w:p>
        </w:tc>
        <w:tc>
          <w:tcPr>
            <w:tcW w:w="910" w:type="pct"/>
            <w:shd w:val="clear" w:color="auto" w:fill="auto"/>
            <w:hideMark/>
          </w:tcPr>
          <w:p w14:paraId="159EA7A9"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Cimişlia</w:t>
            </w:r>
          </w:p>
        </w:tc>
        <w:tc>
          <w:tcPr>
            <w:tcW w:w="3837" w:type="pct"/>
            <w:shd w:val="clear" w:color="auto" w:fill="auto"/>
          </w:tcPr>
          <w:p w14:paraId="0292B492" w14:textId="77777777" w:rsidR="00D15C6C" w:rsidRPr="009C5F11" w:rsidRDefault="00D15C6C" w:rsidP="00B40DB5">
            <w:pPr>
              <w:spacing w:after="0" w:line="240" w:lineRule="auto"/>
              <w:ind w:firstLine="252"/>
              <w:rPr>
                <w:rFonts w:ascii="Times New Roman" w:hAnsi="Times New Roman" w:cs="Times New Roman"/>
                <w:sz w:val="18"/>
                <w:szCs w:val="14"/>
                <w:lang w:val="ro-RO"/>
              </w:rPr>
            </w:pPr>
            <w:r w:rsidRPr="009C5F11">
              <w:rPr>
                <w:rFonts w:ascii="Times New Roman" w:hAnsi="Times New Roman" w:cs="Times New Roman"/>
                <w:sz w:val="18"/>
                <w:szCs w:val="14"/>
                <w:lang w:val="ro-RO"/>
              </w:rPr>
              <w:t>14 Proiecte de EE în clădiri:</w:t>
            </w:r>
          </w:p>
          <w:p w14:paraId="51260507" w14:textId="77777777" w:rsidR="00D15C6C" w:rsidRPr="009C5F11" w:rsidRDefault="00D15C6C" w:rsidP="00334F3B">
            <w:pPr>
              <w:pStyle w:val="Listparagraf"/>
              <w:numPr>
                <w:ilvl w:val="0"/>
                <w:numId w:val="39"/>
              </w:numPr>
              <w:rPr>
                <w:rFonts w:ascii="Times New Roman" w:hAnsi="Times New Roman" w:cs="Times New Roman"/>
                <w:sz w:val="18"/>
                <w:szCs w:val="14"/>
                <w:lang w:val="ro-RO"/>
              </w:rPr>
            </w:pPr>
            <w:r w:rsidRPr="009C5F11">
              <w:rPr>
                <w:rFonts w:ascii="Times New Roman" w:hAnsi="Times New Roman" w:cs="Times New Roman"/>
                <w:sz w:val="18"/>
                <w:szCs w:val="14"/>
                <w:lang w:val="ro-RO"/>
              </w:rPr>
              <w:t>1 liceu;</w:t>
            </w:r>
          </w:p>
          <w:p w14:paraId="3A9BBC08" w14:textId="77777777" w:rsidR="00D15C6C" w:rsidRPr="009C5F11" w:rsidRDefault="00D15C6C" w:rsidP="00334F3B">
            <w:pPr>
              <w:pStyle w:val="Listparagraf"/>
              <w:numPr>
                <w:ilvl w:val="0"/>
                <w:numId w:val="39"/>
              </w:numP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w:t>
            </w:r>
          </w:p>
          <w:p w14:paraId="03894B43" w14:textId="77777777" w:rsidR="00D15C6C" w:rsidRPr="009C5F11" w:rsidRDefault="00D15C6C" w:rsidP="00B40DB5">
            <w:pPr>
              <w:pStyle w:val="Listparagraf"/>
              <w:spacing w:after="0" w:line="240" w:lineRule="auto"/>
              <w:ind w:left="252"/>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1 proiect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(biomasă) finanţat de Proiectul Energie şi Biomasă în Moldova.</w:t>
            </w:r>
          </w:p>
        </w:tc>
      </w:tr>
      <w:tr w:rsidR="00D15C6C" w:rsidRPr="009C5F11" w14:paraId="2EB673F0" w14:textId="77777777" w:rsidTr="00B40DB5">
        <w:trPr>
          <w:trHeight w:val="260"/>
          <w:jc w:val="center"/>
        </w:trPr>
        <w:tc>
          <w:tcPr>
            <w:tcW w:w="253" w:type="pct"/>
            <w:shd w:val="clear" w:color="auto" w:fill="auto"/>
            <w:hideMark/>
          </w:tcPr>
          <w:p w14:paraId="6B2EC984"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7</w:t>
            </w:r>
          </w:p>
        </w:tc>
        <w:tc>
          <w:tcPr>
            <w:tcW w:w="910" w:type="pct"/>
            <w:shd w:val="clear" w:color="auto" w:fill="auto"/>
            <w:hideMark/>
          </w:tcPr>
          <w:p w14:paraId="7CF5CAD4"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Criuleni</w:t>
            </w:r>
          </w:p>
        </w:tc>
        <w:tc>
          <w:tcPr>
            <w:tcW w:w="3837" w:type="pct"/>
            <w:shd w:val="clear" w:color="auto" w:fill="auto"/>
          </w:tcPr>
          <w:p w14:paraId="7C732D35"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20 de Proiecte de EE în clădiri:</w:t>
            </w:r>
          </w:p>
          <w:p w14:paraId="699A56BE"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4 grădiniţe;</w:t>
            </w:r>
          </w:p>
          <w:p w14:paraId="60FEA70A" w14:textId="77777777" w:rsidR="00D15C6C" w:rsidRPr="009C5F11" w:rsidRDefault="00D15C6C" w:rsidP="00334F3B">
            <w:pPr>
              <w:pStyle w:val="Listparagraf"/>
              <w:numPr>
                <w:ilvl w:val="0"/>
                <w:numId w:val="29"/>
              </w:numPr>
              <w:ind w:hanging="468"/>
              <w:rPr>
                <w:rFonts w:ascii="Times New Roman" w:hAnsi="Times New Roman" w:cs="Times New Roman"/>
                <w:sz w:val="18"/>
                <w:szCs w:val="14"/>
                <w:lang w:val="ro-RO"/>
              </w:rPr>
            </w:pPr>
            <w:r w:rsidRPr="009C5F11">
              <w:rPr>
                <w:rFonts w:ascii="Times New Roman" w:hAnsi="Times New Roman" w:cs="Times New Roman"/>
                <w:sz w:val="18"/>
                <w:szCs w:val="14"/>
                <w:lang w:val="ro-RO"/>
              </w:rPr>
              <w:t>14 şcoli/ licee;</w:t>
            </w:r>
          </w:p>
          <w:p w14:paraId="245B19AE" w14:textId="77777777" w:rsidR="00D15C6C" w:rsidRPr="009C5F11" w:rsidRDefault="00D15C6C" w:rsidP="00334F3B">
            <w:pPr>
              <w:pStyle w:val="Listparagraf"/>
              <w:numPr>
                <w:ilvl w:val="0"/>
                <w:numId w:val="29"/>
              </w:numPr>
              <w:spacing w:after="0" w:line="240" w:lineRule="auto"/>
              <w:ind w:hanging="468"/>
              <w:rPr>
                <w:rFonts w:ascii="Times New Roman" w:hAnsi="Times New Roman" w:cs="Times New Roman"/>
                <w:sz w:val="18"/>
                <w:szCs w:val="14"/>
                <w:lang w:val="ro-RO"/>
              </w:rPr>
            </w:pPr>
            <w:r w:rsidRPr="009C5F11">
              <w:rPr>
                <w:rFonts w:ascii="Times New Roman" w:hAnsi="Times New Roman" w:cs="Times New Roman"/>
                <w:sz w:val="18"/>
                <w:szCs w:val="14"/>
                <w:lang w:val="ro-RO"/>
              </w:rPr>
              <w:t>1 spital.</w:t>
            </w:r>
          </w:p>
          <w:p w14:paraId="55F4E307"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centru medical</w:t>
            </w:r>
          </w:p>
        </w:tc>
      </w:tr>
      <w:tr w:rsidR="00D15C6C" w:rsidRPr="009C5F11" w14:paraId="7B2633C5" w14:textId="77777777" w:rsidTr="00607023">
        <w:trPr>
          <w:trHeight w:val="413"/>
          <w:jc w:val="center"/>
        </w:trPr>
        <w:tc>
          <w:tcPr>
            <w:tcW w:w="253" w:type="pct"/>
            <w:shd w:val="clear" w:color="auto" w:fill="auto"/>
            <w:hideMark/>
          </w:tcPr>
          <w:p w14:paraId="288A8359"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8</w:t>
            </w:r>
          </w:p>
        </w:tc>
        <w:tc>
          <w:tcPr>
            <w:tcW w:w="910" w:type="pct"/>
            <w:shd w:val="clear" w:color="auto" w:fill="auto"/>
            <w:hideMark/>
          </w:tcPr>
          <w:p w14:paraId="64DDB9E8"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Donduşeni</w:t>
            </w:r>
          </w:p>
        </w:tc>
        <w:tc>
          <w:tcPr>
            <w:tcW w:w="3837" w:type="pct"/>
            <w:shd w:val="clear" w:color="auto" w:fill="auto"/>
          </w:tcPr>
          <w:p w14:paraId="2931EB8C" w14:textId="77777777" w:rsidR="00D15C6C" w:rsidRPr="009C5F11" w:rsidRDefault="00D15C6C" w:rsidP="00341E16">
            <w:pPr>
              <w:ind w:left="252"/>
              <w:contextualSpacing/>
              <w:rPr>
                <w:rFonts w:ascii="Times New Roman" w:hAnsi="Times New Roman" w:cs="Times New Roman"/>
                <w:sz w:val="18"/>
                <w:szCs w:val="14"/>
                <w:lang w:val="ro-RO"/>
              </w:rPr>
            </w:pPr>
          </w:p>
        </w:tc>
      </w:tr>
      <w:tr w:rsidR="00D15C6C" w:rsidRPr="009C5F11" w14:paraId="565CF5F3" w14:textId="77777777" w:rsidTr="00884CBE">
        <w:trPr>
          <w:trHeight w:val="539"/>
          <w:jc w:val="center"/>
        </w:trPr>
        <w:tc>
          <w:tcPr>
            <w:tcW w:w="253" w:type="pct"/>
            <w:shd w:val="clear" w:color="auto" w:fill="auto"/>
            <w:hideMark/>
          </w:tcPr>
          <w:p w14:paraId="039D0B93"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9</w:t>
            </w:r>
          </w:p>
        </w:tc>
        <w:tc>
          <w:tcPr>
            <w:tcW w:w="910" w:type="pct"/>
            <w:shd w:val="clear" w:color="auto" w:fill="auto"/>
            <w:hideMark/>
          </w:tcPr>
          <w:p w14:paraId="3AD1B562"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Făleşti</w:t>
            </w:r>
          </w:p>
        </w:tc>
        <w:tc>
          <w:tcPr>
            <w:tcW w:w="3837" w:type="pct"/>
            <w:shd w:val="clear" w:color="auto" w:fill="auto"/>
          </w:tcPr>
          <w:p w14:paraId="1A28462C"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20 Proiecte de EE în clădiri:</w:t>
            </w:r>
          </w:p>
          <w:p w14:paraId="1618CA19"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4 grădiniţe;</w:t>
            </w:r>
          </w:p>
          <w:p w14:paraId="500DD8D4"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14 şcoli/ licee;</w:t>
            </w:r>
          </w:p>
          <w:p w14:paraId="3E441C40"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spital;</w:t>
            </w:r>
          </w:p>
          <w:p w14:paraId="55FC97EB"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centru medical.</w:t>
            </w:r>
          </w:p>
        </w:tc>
      </w:tr>
      <w:tr w:rsidR="00D15C6C" w:rsidRPr="009C5F11" w14:paraId="2DBB941B" w14:textId="77777777" w:rsidTr="00884CBE">
        <w:trPr>
          <w:trHeight w:val="485"/>
          <w:jc w:val="center"/>
        </w:trPr>
        <w:tc>
          <w:tcPr>
            <w:tcW w:w="253" w:type="pct"/>
            <w:shd w:val="clear" w:color="auto" w:fill="auto"/>
            <w:hideMark/>
          </w:tcPr>
          <w:p w14:paraId="4754547A"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10</w:t>
            </w:r>
          </w:p>
        </w:tc>
        <w:tc>
          <w:tcPr>
            <w:tcW w:w="910" w:type="pct"/>
            <w:shd w:val="clear" w:color="auto" w:fill="auto"/>
            <w:hideMark/>
          </w:tcPr>
          <w:p w14:paraId="0939A710"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Floreşti</w:t>
            </w:r>
          </w:p>
        </w:tc>
        <w:tc>
          <w:tcPr>
            <w:tcW w:w="3837" w:type="pct"/>
            <w:shd w:val="clear" w:color="auto" w:fill="auto"/>
          </w:tcPr>
          <w:p w14:paraId="03CAC305"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12 Proiecte de EE în clădiri:</w:t>
            </w:r>
          </w:p>
          <w:p w14:paraId="14A83EC2"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5 grădiniţe;</w:t>
            </w:r>
          </w:p>
          <w:p w14:paraId="157C44D6"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5 şcoli/ licee;</w:t>
            </w:r>
          </w:p>
          <w:p w14:paraId="5B698D99"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spital;</w:t>
            </w:r>
          </w:p>
          <w:p w14:paraId="7B6A07D6"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casă de cultură.</w:t>
            </w:r>
          </w:p>
        </w:tc>
      </w:tr>
      <w:tr w:rsidR="00D15C6C" w:rsidRPr="009C5F11" w14:paraId="4EDC580A" w14:textId="77777777" w:rsidTr="00884CBE">
        <w:trPr>
          <w:trHeight w:val="1061"/>
          <w:jc w:val="center"/>
        </w:trPr>
        <w:tc>
          <w:tcPr>
            <w:tcW w:w="253" w:type="pct"/>
            <w:vMerge w:val="restart"/>
            <w:shd w:val="clear" w:color="auto" w:fill="auto"/>
            <w:hideMark/>
          </w:tcPr>
          <w:p w14:paraId="102D90ED"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11</w:t>
            </w:r>
          </w:p>
        </w:tc>
        <w:tc>
          <w:tcPr>
            <w:tcW w:w="910" w:type="pct"/>
            <w:vMerge w:val="restart"/>
            <w:shd w:val="clear" w:color="auto" w:fill="auto"/>
            <w:hideMark/>
          </w:tcPr>
          <w:p w14:paraId="3F1D81A8"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Ialoveni</w:t>
            </w:r>
          </w:p>
        </w:tc>
        <w:tc>
          <w:tcPr>
            <w:tcW w:w="3837" w:type="pct"/>
            <w:shd w:val="clear" w:color="auto" w:fill="auto"/>
          </w:tcPr>
          <w:p w14:paraId="6A03CE4A"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2 Proiecte de EE în clădiri implementate în cadrul APP1:</w:t>
            </w:r>
          </w:p>
          <w:p w14:paraId="2F0DD8EE"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grădiniţă;</w:t>
            </w:r>
          </w:p>
          <w:p w14:paraId="4147F974" w14:textId="77777777" w:rsidR="00D15C6C" w:rsidRPr="009C5F11" w:rsidRDefault="00D15C6C" w:rsidP="00334F3B">
            <w:pPr>
              <w:pStyle w:val="Listparagraf"/>
              <w:numPr>
                <w:ilvl w:val="0"/>
                <w:numId w:val="32"/>
              </w:numPr>
              <w:ind w:hanging="468"/>
              <w:rPr>
                <w:rFonts w:ascii="Times New Roman" w:hAnsi="Times New Roman" w:cs="Times New Roman"/>
                <w:sz w:val="18"/>
                <w:szCs w:val="14"/>
                <w:lang w:val="ro-RO"/>
              </w:rPr>
            </w:pPr>
            <w:r w:rsidRPr="009C5F11">
              <w:rPr>
                <w:rFonts w:ascii="Times New Roman" w:hAnsi="Times New Roman" w:cs="Times New Roman"/>
                <w:sz w:val="18"/>
                <w:szCs w:val="14"/>
                <w:lang w:val="ro-RO"/>
              </w:rPr>
              <w:t>1 liceu.</w:t>
            </w:r>
          </w:p>
          <w:p w14:paraId="0139AC90" w14:textId="77777777" w:rsidR="00D15C6C" w:rsidRPr="009C5F11" w:rsidRDefault="00D15C6C" w:rsidP="00341E16">
            <w:pPr>
              <w:pStyle w:val="Listparagraf"/>
              <w:rPr>
                <w:rFonts w:ascii="Times New Roman" w:hAnsi="Times New Roman" w:cs="Times New Roman"/>
                <w:sz w:val="18"/>
                <w:szCs w:val="14"/>
                <w:lang w:val="ro-RO"/>
              </w:rPr>
            </w:pPr>
            <w:r w:rsidRPr="009C5F11">
              <w:rPr>
                <w:rFonts w:ascii="Times New Roman" w:hAnsi="Times New Roman" w:cs="Times New Roman"/>
                <w:sz w:val="18"/>
                <w:szCs w:val="14"/>
                <w:lang w:val="ro-RO"/>
              </w:rPr>
              <w:t>6 Proiecte de EE în clădiri iniţiate în cadrul APP3:</w:t>
            </w:r>
          </w:p>
          <w:p w14:paraId="1C9DC67D" w14:textId="77777777" w:rsidR="00D15C6C" w:rsidRPr="009C5F11" w:rsidRDefault="00D15C6C" w:rsidP="00341E16">
            <w:pPr>
              <w:pStyle w:val="Listparagraf"/>
              <w:ind w:hanging="492"/>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3 grădiniţe;</w:t>
            </w:r>
          </w:p>
          <w:p w14:paraId="6BD46966" w14:textId="77777777" w:rsidR="00D15C6C" w:rsidRPr="009C5F11" w:rsidRDefault="00D15C6C" w:rsidP="00B40DB5">
            <w:pPr>
              <w:pStyle w:val="Listparagraf"/>
              <w:spacing w:after="0" w:line="240" w:lineRule="auto"/>
              <w:ind w:hanging="492"/>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3 licee.</w:t>
            </w:r>
          </w:p>
        </w:tc>
      </w:tr>
      <w:tr w:rsidR="00D15C6C" w:rsidRPr="009C5F11" w14:paraId="22C34567" w14:textId="77777777" w:rsidTr="00884CBE">
        <w:trPr>
          <w:trHeight w:val="423"/>
          <w:jc w:val="center"/>
        </w:trPr>
        <w:tc>
          <w:tcPr>
            <w:tcW w:w="253" w:type="pct"/>
            <w:vMerge/>
            <w:shd w:val="clear" w:color="auto" w:fill="auto"/>
          </w:tcPr>
          <w:p w14:paraId="762A621A"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910" w:type="pct"/>
            <w:vMerge/>
            <w:shd w:val="clear" w:color="auto" w:fill="auto"/>
          </w:tcPr>
          <w:p w14:paraId="530283EB"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3837" w:type="pct"/>
            <w:shd w:val="clear" w:color="auto" w:fill="auto"/>
          </w:tcPr>
          <w:p w14:paraId="228BAD9B"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proiectelor de EE în clădiri:</w:t>
            </w:r>
          </w:p>
          <w:p w14:paraId="638FE7FA" w14:textId="77777777" w:rsidR="00D15C6C" w:rsidRPr="009C5F11" w:rsidRDefault="00D15C6C" w:rsidP="00430626">
            <w:pPr>
              <w:spacing w:after="0" w:line="240" w:lineRule="auto"/>
              <w:ind w:left="768" w:hanging="54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FEE (2 proiecte realizate în cadrul APP1, 6 iniţiate în cadrul APP3).</w:t>
            </w:r>
          </w:p>
        </w:tc>
      </w:tr>
      <w:tr w:rsidR="00D15C6C" w:rsidRPr="009C5F11" w14:paraId="1917936E" w14:textId="77777777" w:rsidTr="00884CBE">
        <w:trPr>
          <w:trHeight w:val="350"/>
          <w:jc w:val="center"/>
        </w:trPr>
        <w:tc>
          <w:tcPr>
            <w:tcW w:w="253" w:type="pct"/>
            <w:vMerge w:val="restart"/>
            <w:shd w:val="clear" w:color="auto" w:fill="auto"/>
            <w:hideMark/>
          </w:tcPr>
          <w:p w14:paraId="384A4341"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12</w:t>
            </w:r>
          </w:p>
        </w:tc>
        <w:tc>
          <w:tcPr>
            <w:tcW w:w="910" w:type="pct"/>
            <w:vMerge w:val="restart"/>
            <w:shd w:val="clear" w:color="auto" w:fill="auto"/>
            <w:hideMark/>
          </w:tcPr>
          <w:p w14:paraId="1402EF5B"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Leova</w:t>
            </w:r>
          </w:p>
        </w:tc>
        <w:tc>
          <w:tcPr>
            <w:tcW w:w="3837" w:type="pct"/>
            <w:shd w:val="clear" w:color="auto" w:fill="auto"/>
          </w:tcPr>
          <w:p w14:paraId="4FA52843"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3 Proiecte de EE în clădiri realizate în cadrul APP1:</w:t>
            </w:r>
          </w:p>
          <w:p w14:paraId="0E0660A5"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3 grădiniţe;</w:t>
            </w:r>
          </w:p>
          <w:p w14:paraId="25B6464D"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6 Proiecte de EE în clădiri iniţiate în cadrul APP3:</w:t>
            </w:r>
          </w:p>
          <w:p w14:paraId="5CB3BFD4" w14:textId="77777777" w:rsidR="00D15C6C" w:rsidRPr="009C5F11" w:rsidRDefault="00D15C6C" w:rsidP="00334F3B">
            <w:pPr>
              <w:pStyle w:val="Listparagraf"/>
              <w:numPr>
                <w:ilvl w:val="0"/>
                <w:numId w:val="33"/>
              </w:numPr>
              <w:spacing w:after="0" w:line="240" w:lineRule="auto"/>
              <w:ind w:hanging="492"/>
              <w:rPr>
                <w:rFonts w:ascii="Times New Roman" w:hAnsi="Times New Roman" w:cs="Times New Roman"/>
                <w:sz w:val="18"/>
                <w:szCs w:val="14"/>
                <w:lang w:val="ro-RO"/>
              </w:rPr>
            </w:pPr>
            <w:r w:rsidRPr="009C5F11">
              <w:rPr>
                <w:rFonts w:ascii="Times New Roman" w:hAnsi="Times New Roman" w:cs="Times New Roman"/>
                <w:sz w:val="18"/>
                <w:szCs w:val="14"/>
                <w:lang w:val="ro-RO"/>
              </w:rPr>
              <w:t>3 grădiniţe;</w:t>
            </w:r>
          </w:p>
          <w:p w14:paraId="76D30945"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3 şcoli / licee.</w:t>
            </w:r>
          </w:p>
        </w:tc>
      </w:tr>
      <w:tr w:rsidR="00D15C6C" w:rsidRPr="009C5F11" w14:paraId="525E4D4B" w14:textId="77777777" w:rsidTr="00884CBE">
        <w:trPr>
          <w:trHeight w:val="170"/>
          <w:jc w:val="center"/>
        </w:trPr>
        <w:tc>
          <w:tcPr>
            <w:tcW w:w="253" w:type="pct"/>
            <w:vMerge/>
            <w:shd w:val="clear" w:color="auto" w:fill="auto"/>
          </w:tcPr>
          <w:p w14:paraId="387FA413"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910" w:type="pct"/>
            <w:vMerge/>
            <w:shd w:val="clear" w:color="auto" w:fill="auto"/>
          </w:tcPr>
          <w:p w14:paraId="13C640D3"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3837" w:type="pct"/>
            <w:shd w:val="clear" w:color="auto" w:fill="auto"/>
          </w:tcPr>
          <w:p w14:paraId="37B1A2EA"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proiectelor de EE în clădiri:</w:t>
            </w:r>
          </w:p>
          <w:p w14:paraId="34C3B0B1" w14:textId="77777777" w:rsidR="00D15C6C" w:rsidRPr="009C5F11" w:rsidRDefault="00D15C6C" w:rsidP="00430626">
            <w:pPr>
              <w:spacing w:after="0" w:line="240" w:lineRule="auto"/>
              <w:ind w:left="768" w:hanging="54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FEE (3 proiecte realizate în cadrul APP1, 6 iniţiate în cadrul APP3);</w:t>
            </w:r>
          </w:p>
        </w:tc>
      </w:tr>
      <w:tr w:rsidR="00D15C6C" w:rsidRPr="009C5F11" w14:paraId="23AC7C31" w14:textId="77777777" w:rsidTr="00B40DB5">
        <w:trPr>
          <w:trHeight w:val="620"/>
          <w:jc w:val="center"/>
        </w:trPr>
        <w:tc>
          <w:tcPr>
            <w:tcW w:w="253" w:type="pct"/>
            <w:vMerge w:val="restart"/>
            <w:shd w:val="clear" w:color="auto" w:fill="auto"/>
            <w:hideMark/>
          </w:tcPr>
          <w:p w14:paraId="06C80BAB"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13</w:t>
            </w:r>
          </w:p>
        </w:tc>
        <w:tc>
          <w:tcPr>
            <w:tcW w:w="910" w:type="pct"/>
            <w:vMerge w:val="restart"/>
            <w:shd w:val="clear" w:color="auto" w:fill="auto"/>
            <w:hideMark/>
          </w:tcPr>
          <w:p w14:paraId="4374554B"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Nisporeni</w:t>
            </w:r>
          </w:p>
        </w:tc>
        <w:tc>
          <w:tcPr>
            <w:tcW w:w="3837" w:type="pct"/>
            <w:shd w:val="clear" w:color="auto" w:fill="auto"/>
          </w:tcPr>
          <w:p w14:paraId="60F90499"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3 Proiecte de EE în clădiri realizate în cadrul APP1:</w:t>
            </w:r>
          </w:p>
          <w:p w14:paraId="4C324011"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grădiniţe;</w:t>
            </w:r>
          </w:p>
          <w:p w14:paraId="3ED0A7E3" w14:textId="77777777" w:rsidR="00D15C6C" w:rsidRPr="009C5F11" w:rsidRDefault="00D15C6C" w:rsidP="00334F3B">
            <w:pPr>
              <w:pStyle w:val="Listparagraf"/>
              <w:numPr>
                <w:ilvl w:val="0"/>
                <w:numId w:val="34"/>
              </w:numPr>
              <w:spacing w:after="0" w:line="240" w:lineRule="auto"/>
              <w:ind w:hanging="485"/>
              <w:rPr>
                <w:rFonts w:ascii="Times New Roman" w:hAnsi="Times New Roman" w:cs="Times New Roman"/>
                <w:sz w:val="18"/>
                <w:szCs w:val="14"/>
                <w:lang w:val="ro-RO"/>
              </w:rPr>
            </w:pPr>
            <w:r w:rsidRPr="009C5F11">
              <w:rPr>
                <w:rFonts w:ascii="Times New Roman" w:hAnsi="Times New Roman" w:cs="Times New Roman"/>
                <w:sz w:val="18"/>
                <w:szCs w:val="14"/>
                <w:lang w:val="ro-RO"/>
              </w:rPr>
              <w:t>2 licee.</w:t>
            </w:r>
          </w:p>
          <w:p w14:paraId="65C595E4"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14 Proiecte de EE în clădiri iniţiate în cadrul APP3:</w:t>
            </w:r>
          </w:p>
          <w:p w14:paraId="68143147" w14:textId="77777777" w:rsidR="00D15C6C" w:rsidRPr="009C5F11" w:rsidRDefault="00D15C6C" w:rsidP="00334F3B">
            <w:pPr>
              <w:pStyle w:val="Listparagraf"/>
              <w:numPr>
                <w:ilvl w:val="0"/>
                <w:numId w:val="34"/>
              </w:numPr>
              <w:spacing w:after="0" w:line="240" w:lineRule="auto"/>
              <w:ind w:left="685" w:hanging="450"/>
              <w:rPr>
                <w:rFonts w:ascii="Times New Roman" w:hAnsi="Times New Roman" w:cs="Times New Roman"/>
                <w:sz w:val="18"/>
                <w:szCs w:val="14"/>
                <w:lang w:val="ro-RO"/>
              </w:rPr>
            </w:pPr>
            <w:r w:rsidRPr="009C5F11">
              <w:rPr>
                <w:rFonts w:ascii="Times New Roman" w:hAnsi="Times New Roman" w:cs="Times New Roman"/>
                <w:sz w:val="18"/>
                <w:szCs w:val="14"/>
                <w:lang w:val="ro-RO"/>
              </w:rPr>
              <w:t>14 licee;</w:t>
            </w:r>
          </w:p>
          <w:p w14:paraId="69B36EBF"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2 Proiecte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finanţate de PNUD</w:t>
            </w:r>
          </w:p>
        </w:tc>
      </w:tr>
      <w:tr w:rsidR="00D15C6C" w:rsidRPr="009C5F11" w14:paraId="7030DFA1" w14:textId="77777777" w:rsidTr="00884CBE">
        <w:trPr>
          <w:trHeight w:val="369"/>
          <w:jc w:val="center"/>
        </w:trPr>
        <w:tc>
          <w:tcPr>
            <w:tcW w:w="253" w:type="pct"/>
            <w:vMerge/>
            <w:shd w:val="clear" w:color="auto" w:fill="auto"/>
          </w:tcPr>
          <w:p w14:paraId="2B251F5F"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910" w:type="pct"/>
            <w:vMerge/>
            <w:shd w:val="clear" w:color="auto" w:fill="auto"/>
          </w:tcPr>
          <w:p w14:paraId="4A31427F"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3837" w:type="pct"/>
            <w:shd w:val="clear" w:color="auto" w:fill="auto"/>
          </w:tcPr>
          <w:p w14:paraId="5ED0EACF"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proiectelor de EE în clădiri:</w:t>
            </w:r>
          </w:p>
          <w:p w14:paraId="0FCCFDE4" w14:textId="77777777" w:rsidR="00D15C6C" w:rsidRPr="009C5F11" w:rsidRDefault="00D15C6C" w:rsidP="00341E16">
            <w:pPr>
              <w:ind w:left="685" w:hanging="433"/>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FEE (3 proiecte realizate în cadrul APP1, 14 iniţiate în cadrul APP3)</w:t>
            </w:r>
          </w:p>
          <w:p w14:paraId="4634BC84" w14:textId="77777777" w:rsidR="00D15C6C" w:rsidRPr="009C5F11" w:rsidRDefault="00D15C6C" w:rsidP="00430626">
            <w:pPr>
              <w:spacing w:after="0" w:line="240" w:lineRule="auto"/>
              <w:ind w:left="32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Finanţarea Proiectelor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în clădiri de PNUD</w:t>
            </w:r>
          </w:p>
        </w:tc>
      </w:tr>
      <w:tr w:rsidR="00D15C6C" w:rsidRPr="009C5F11" w14:paraId="2C19E8EF" w14:textId="77777777" w:rsidTr="00884CBE">
        <w:trPr>
          <w:trHeight w:val="476"/>
          <w:jc w:val="center"/>
        </w:trPr>
        <w:tc>
          <w:tcPr>
            <w:tcW w:w="253" w:type="pct"/>
            <w:vMerge w:val="restart"/>
            <w:shd w:val="clear" w:color="auto" w:fill="auto"/>
            <w:hideMark/>
          </w:tcPr>
          <w:p w14:paraId="1E000EDD"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14</w:t>
            </w:r>
          </w:p>
        </w:tc>
        <w:tc>
          <w:tcPr>
            <w:tcW w:w="910" w:type="pct"/>
            <w:vMerge w:val="restart"/>
            <w:shd w:val="clear" w:color="auto" w:fill="auto"/>
            <w:hideMark/>
          </w:tcPr>
          <w:p w14:paraId="0346F301"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Ocniţa</w:t>
            </w:r>
          </w:p>
        </w:tc>
        <w:tc>
          <w:tcPr>
            <w:tcW w:w="3837" w:type="pct"/>
            <w:shd w:val="clear" w:color="auto" w:fill="auto"/>
          </w:tcPr>
          <w:p w14:paraId="53E5221D"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7 Proiecte de EE în clădiri iniţiate în cadrul APP3, 3 respinse:</w:t>
            </w:r>
          </w:p>
          <w:p w14:paraId="185A8795" w14:textId="77777777" w:rsidR="00D15C6C" w:rsidRPr="009C5F11" w:rsidRDefault="00D15C6C" w:rsidP="00334F3B">
            <w:pPr>
              <w:pStyle w:val="Listparagraf"/>
              <w:numPr>
                <w:ilvl w:val="0"/>
                <w:numId w:val="34"/>
              </w:numPr>
              <w:ind w:left="685" w:hanging="399"/>
              <w:rPr>
                <w:rFonts w:ascii="Times New Roman" w:hAnsi="Times New Roman" w:cs="Times New Roman"/>
                <w:sz w:val="18"/>
                <w:szCs w:val="14"/>
                <w:lang w:val="ro-RO"/>
              </w:rPr>
            </w:pPr>
            <w:r w:rsidRPr="009C5F11">
              <w:rPr>
                <w:rFonts w:ascii="Times New Roman" w:hAnsi="Times New Roman" w:cs="Times New Roman"/>
                <w:sz w:val="18"/>
                <w:szCs w:val="14"/>
                <w:lang w:val="ro-RO"/>
              </w:rPr>
              <w:t>3 licee;</w:t>
            </w:r>
          </w:p>
          <w:p w14:paraId="64102FD3" w14:textId="77777777" w:rsidR="00D15C6C" w:rsidRPr="009C5F11" w:rsidRDefault="00D15C6C" w:rsidP="00334F3B">
            <w:pPr>
              <w:pStyle w:val="Listparagraf"/>
              <w:numPr>
                <w:ilvl w:val="0"/>
                <w:numId w:val="34"/>
              </w:numPr>
              <w:spacing w:after="0" w:line="240" w:lineRule="auto"/>
              <w:ind w:left="685" w:hanging="399"/>
              <w:rPr>
                <w:rFonts w:ascii="Times New Roman" w:hAnsi="Times New Roman" w:cs="Times New Roman"/>
                <w:sz w:val="18"/>
                <w:szCs w:val="14"/>
                <w:lang w:val="ro-RO"/>
              </w:rPr>
            </w:pPr>
            <w:r w:rsidRPr="009C5F11">
              <w:rPr>
                <w:rFonts w:ascii="Times New Roman" w:hAnsi="Times New Roman" w:cs="Times New Roman"/>
                <w:sz w:val="18"/>
                <w:szCs w:val="14"/>
                <w:lang w:val="ro-RO"/>
              </w:rPr>
              <w:t>1 casă de cultură.</w:t>
            </w:r>
          </w:p>
          <w:p w14:paraId="5C07A38B" w14:textId="77777777" w:rsidR="00D15C6C" w:rsidRPr="009C5F11" w:rsidRDefault="00D15C6C" w:rsidP="00341E16">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2 Proiecte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(cazane operate cu biomasă) finanţate de PNUD, respectiv de Convenţia Primarilor.</w:t>
            </w:r>
          </w:p>
        </w:tc>
      </w:tr>
      <w:tr w:rsidR="00D15C6C" w:rsidRPr="009C5F11" w14:paraId="498EA543" w14:textId="77777777" w:rsidTr="00884CBE">
        <w:trPr>
          <w:trHeight w:val="231"/>
          <w:jc w:val="center"/>
        </w:trPr>
        <w:tc>
          <w:tcPr>
            <w:tcW w:w="253" w:type="pct"/>
            <w:vMerge/>
            <w:shd w:val="clear" w:color="auto" w:fill="auto"/>
          </w:tcPr>
          <w:p w14:paraId="7909DFB4"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910" w:type="pct"/>
            <w:vMerge/>
            <w:shd w:val="clear" w:color="auto" w:fill="auto"/>
          </w:tcPr>
          <w:p w14:paraId="0AD7F627"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3837" w:type="pct"/>
            <w:shd w:val="clear" w:color="auto" w:fill="auto"/>
          </w:tcPr>
          <w:p w14:paraId="1A0AF017" w14:textId="77777777" w:rsidR="00D15C6C" w:rsidRPr="009C5F11" w:rsidRDefault="00D15C6C" w:rsidP="00341E16">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proiectelor de EE în clădiri:</w:t>
            </w:r>
          </w:p>
          <w:p w14:paraId="30A9657E" w14:textId="77777777" w:rsidR="00D15C6C" w:rsidRPr="009C5F11" w:rsidRDefault="00D15C6C" w:rsidP="00341E16">
            <w:pPr>
              <w:ind w:left="685" w:hanging="343"/>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FEE (4 proiecte iniţiate şi aprobate în cadrul APP3), din care 2 sunt cofinanţate din bugetul local.</w:t>
            </w:r>
          </w:p>
          <w:p w14:paraId="6DA76305" w14:textId="77777777" w:rsidR="00D15C6C" w:rsidRPr="009C5F11" w:rsidRDefault="00D15C6C" w:rsidP="00430626">
            <w:pPr>
              <w:spacing w:after="0" w:line="240" w:lineRule="auto"/>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Finanţarea proiectelor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în clădiri de PNUD şi Convenţia Primarilor.</w:t>
            </w:r>
          </w:p>
        </w:tc>
      </w:tr>
      <w:tr w:rsidR="00D15C6C" w:rsidRPr="009C5F11" w14:paraId="24ECCF52" w14:textId="77777777" w:rsidTr="00B40DB5">
        <w:trPr>
          <w:trHeight w:val="2051"/>
          <w:jc w:val="center"/>
        </w:trPr>
        <w:tc>
          <w:tcPr>
            <w:tcW w:w="253" w:type="pct"/>
            <w:vMerge w:val="restart"/>
            <w:shd w:val="clear" w:color="auto" w:fill="auto"/>
            <w:hideMark/>
          </w:tcPr>
          <w:p w14:paraId="0066CB4B"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15</w:t>
            </w:r>
          </w:p>
        </w:tc>
        <w:tc>
          <w:tcPr>
            <w:tcW w:w="910" w:type="pct"/>
            <w:vMerge w:val="restart"/>
            <w:shd w:val="clear" w:color="auto" w:fill="auto"/>
            <w:hideMark/>
          </w:tcPr>
          <w:p w14:paraId="0291A875"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Rezina</w:t>
            </w:r>
          </w:p>
        </w:tc>
        <w:tc>
          <w:tcPr>
            <w:tcW w:w="3837" w:type="pct"/>
            <w:shd w:val="clear" w:color="auto" w:fill="auto"/>
          </w:tcPr>
          <w:p w14:paraId="28F84A6D"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6 Proiecte de EE în clădiri realizate în cadrul APP1:</w:t>
            </w:r>
          </w:p>
          <w:p w14:paraId="584C091B" w14:textId="77777777" w:rsidR="00D15C6C" w:rsidRPr="009C5F11" w:rsidRDefault="00D15C6C" w:rsidP="00B40DB5">
            <w:pPr>
              <w:spacing w:after="0" w:line="240" w:lineRule="auto"/>
              <w:ind w:left="32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grădiniţă;</w:t>
            </w:r>
          </w:p>
          <w:p w14:paraId="780642BC" w14:textId="77777777" w:rsidR="00D15C6C" w:rsidRPr="009C5F11" w:rsidRDefault="00D15C6C" w:rsidP="00334F3B">
            <w:pPr>
              <w:pStyle w:val="Listparagraf"/>
              <w:numPr>
                <w:ilvl w:val="0"/>
                <w:numId w:val="40"/>
              </w:numPr>
              <w:ind w:left="325" w:firstLine="0"/>
              <w:rPr>
                <w:rFonts w:ascii="Times New Roman" w:hAnsi="Times New Roman" w:cs="Times New Roman"/>
                <w:sz w:val="18"/>
                <w:szCs w:val="14"/>
                <w:lang w:val="ro-RO"/>
              </w:rPr>
            </w:pPr>
            <w:r w:rsidRPr="009C5F11">
              <w:rPr>
                <w:rFonts w:ascii="Times New Roman" w:hAnsi="Times New Roman" w:cs="Times New Roman"/>
                <w:sz w:val="18"/>
                <w:szCs w:val="14"/>
                <w:lang w:val="ro-RO"/>
              </w:rPr>
              <w:t>2 licee;</w:t>
            </w:r>
          </w:p>
          <w:p w14:paraId="233B1A70" w14:textId="77777777" w:rsidR="00D15C6C" w:rsidRPr="009C5F11" w:rsidRDefault="00D15C6C" w:rsidP="00334F3B">
            <w:pPr>
              <w:pStyle w:val="Listparagraf"/>
              <w:numPr>
                <w:ilvl w:val="0"/>
                <w:numId w:val="40"/>
              </w:numPr>
              <w:ind w:left="325" w:firstLine="0"/>
              <w:rPr>
                <w:rFonts w:ascii="Times New Roman" w:hAnsi="Times New Roman" w:cs="Times New Roman"/>
                <w:sz w:val="18"/>
                <w:szCs w:val="14"/>
                <w:lang w:val="ro-RO"/>
              </w:rPr>
            </w:pPr>
            <w:r w:rsidRPr="009C5F11">
              <w:rPr>
                <w:rFonts w:ascii="Times New Roman" w:hAnsi="Times New Roman" w:cs="Times New Roman"/>
                <w:sz w:val="18"/>
                <w:szCs w:val="14"/>
                <w:lang w:val="ro-RO"/>
              </w:rPr>
              <w:t>1 spital;</w:t>
            </w:r>
          </w:p>
          <w:p w14:paraId="2D720325" w14:textId="77777777" w:rsidR="00D15C6C" w:rsidRPr="009C5F11" w:rsidRDefault="00D15C6C" w:rsidP="00334F3B">
            <w:pPr>
              <w:pStyle w:val="Listparagraf"/>
              <w:numPr>
                <w:ilvl w:val="0"/>
                <w:numId w:val="40"/>
              </w:numPr>
              <w:ind w:left="325" w:firstLine="0"/>
              <w:rPr>
                <w:rFonts w:ascii="Times New Roman" w:hAnsi="Times New Roman" w:cs="Times New Roman"/>
                <w:sz w:val="18"/>
                <w:szCs w:val="14"/>
                <w:lang w:val="ro-RO"/>
              </w:rPr>
            </w:pPr>
            <w:r w:rsidRPr="009C5F11">
              <w:rPr>
                <w:rFonts w:ascii="Times New Roman" w:hAnsi="Times New Roman" w:cs="Times New Roman"/>
                <w:sz w:val="18"/>
                <w:szCs w:val="14"/>
                <w:lang w:val="ro-RO"/>
              </w:rPr>
              <w:t>1 azil;</w:t>
            </w:r>
          </w:p>
          <w:p w14:paraId="09EF6EB9" w14:textId="77777777" w:rsidR="00D15C6C" w:rsidRPr="009C5F11" w:rsidRDefault="00D15C6C" w:rsidP="00334F3B">
            <w:pPr>
              <w:pStyle w:val="Listparagraf"/>
              <w:numPr>
                <w:ilvl w:val="0"/>
                <w:numId w:val="40"/>
              </w:numPr>
              <w:spacing w:after="0" w:line="240" w:lineRule="auto"/>
              <w:ind w:left="325" w:firstLine="0"/>
              <w:rPr>
                <w:rFonts w:ascii="Times New Roman" w:hAnsi="Times New Roman" w:cs="Times New Roman"/>
                <w:sz w:val="18"/>
                <w:szCs w:val="14"/>
                <w:lang w:val="ro-RO"/>
              </w:rPr>
            </w:pPr>
            <w:r w:rsidRPr="009C5F11">
              <w:rPr>
                <w:rFonts w:ascii="Times New Roman" w:hAnsi="Times New Roman" w:cs="Times New Roman"/>
                <w:sz w:val="18"/>
                <w:szCs w:val="14"/>
                <w:lang w:val="ro-RO"/>
              </w:rPr>
              <w:t>1 casă de cultură.</w:t>
            </w:r>
          </w:p>
          <w:p w14:paraId="41775F3C"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9 Proiecte de EE în clădiri iniţiate în cadrul APP3:</w:t>
            </w:r>
          </w:p>
          <w:p w14:paraId="1B8D6B33" w14:textId="77777777" w:rsidR="00D15C6C" w:rsidRPr="009C5F11" w:rsidRDefault="00D15C6C" w:rsidP="00334F3B">
            <w:pPr>
              <w:pStyle w:val="Listparagraf"/>
              <w:numPr>
                <w:ilvl w:val="0"/>
                <w:numId w:val="33"/>
              </w:numPr>
              <w:spacing w:after="0" w:line="240" w:lineRule="auto"/>
              <w:ind w:left="685"/>
              <w:rPr>
                <w:rFonts w:ascii="Times New Roman" w:hAnsi="Times New Roman" w:cs="Times New Roman"/>
                <w:sz w:val="18"/>
                <w:szCs w:val="14"/>
                <w:lang w:val="ro-RO"/>
              </w:rPr>
            </w:pPr>
            <w:r w:rsidRPr="009C5F11">
              <w:rPr>
                <w:rFonts w:ascii="Times New Roman" w:hAnsi="Times New Roman" w:cs="Times New Roman"/>
                <w:sz w:val="18"/>
                <w:szCs w:val="14"/>
                <w:lang w:val="ro-RO"/>
              </w:rPr>
              <w:t>4 grădiniţe;</w:t>
            </w:r>
          </w:p>
          <w:p w14:paraId="1B56344F" w14:textId="77777777" w:rsidR="00D15C6C" w:rsidRPr="009C5F11" w:rsidRDefault="00D15C6C" w:rsidP="00B40DB5">
            <w:pPr>
              <w:spacing w:after="0" w:line="240" w:lineRule="auto"/>
              <w:ind w:left="685" w:hanging="36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4 licee;</w:t>
            </w:r>
          </w:p>
          <w:p w14:paraId="552177B1" w14:textId="77777777" w:rsidR="00D15C6C" w:rsidRPr="009C5F11" w:rsidRDefault="00D15C6C" w:rsidP="00334F3B">
            <w:pPr>
              <w:pStyle w:val="Listparagraf"/>
              <w:numPr>
                <w:ilvl w:val="0"/>
                <w:numId w:val="41"/>
              </w:numPr>
              <w:ind w:left="685"/>
              <w:rPr>
                <w:rFonts w:ascii="Times New Roman" w:hAnsi="Times New Roman" w:cs="Times New Roman"/>
                <w:sz w:val="18"/>
                <w:szCs w:val="14"/>
                <w:lang w:val="ro-RO"/>
              </w:rPr>
            </w:pPr>
            <w:r w:rsidRPr="009C5F11">
              <w:rPr>
                <w:rFonts w:ascii="Times New Roman" w:hAnsi="Times New Roman" w:cs="Times New Roman"/>
                <w:sz w:val="18"/>
                <w:szCs w:val="14"/>
                <w:lang w:val="ro-RO"/>
              </w:rPr>
              <w:t>clădirea primăriei.</w:t>
            </w:r>
          </w:p>
          <w:p w14:paraId="7FF99597" w14:textId="77777777" w:rsidR="00D15C6C" w:rsidRPr="009C5F11" w:rsidRDefault="00D15C6C" w:rsidP="00B40DB5">
            <w:pPr>
              <w:pStyle w:val="Listparagraf"/>
              <w:spacing w:after="0" w:line="240" w:lineRule="auto"/>
              <w:ind w:left="325"/>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3 Proiecte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(biomasă solidă) finanţate de Proiectul </w:t>
            </w:r>
            <w:r w:rsidRPr="009C5F11">
              <w:rPr>
                <w:rFonts w:ascii="Times New Roman" w:hAnsi="Times New Roman" w:cs="Times New Roman"/>
                <w:i/>
                <w:sz w:val="18"/>
                <w:szCs w:val="14"/>
                <w:lang w:val="ro-RO"/>
              </w:rPr>
              <w:t xml:space="preserve">„Utilizarea eficientă a biomasei solide " </w:t>
            </w:r>
            <w:r w:rsidRPr="009C5F11">
              <w:rPr>
                <w:rFonts w:ascii="Times New Roman" w:hAnsi="Times New Roman" w:cs="Times New Roman"/>
                <w:sz w:val="18"/>
                <w:szCs w:val="14"/>
                <w:lang w:val="ro-RO"/>
              </w:rPr>
              <w:t>cu sprijin din partea Grupului Moldo-japonez 2KR.</w:t>
            </w:r>
          </w:p>
        </w:tc>
      </w:tr>
      <w:tr w:rsidR="00D15C6C" w:rsidRPr="009C5F11" w14:paraId="720B50CF" w14:textId="77777777" w:rsidTr="00884CBE">
        <w:trPr>
          <w:trHeight w:val="444"/>
          <w:jc w:val="center"/>
        </w:trPr>
        <w:tc>
          <w:tcPr>
            <w:tcW w:w="253" w:type="pct"/>
            <w:vMerge/>
            <w:shd w:val="clear" w:color="auto" w:fill="auto"/>
          </w:tcPr>
          <w:p w14:paraId="2BDA543B"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910" w:type="pct"/>
            <w:vMerge/>
            <w:shd w:val="clear" w:color="auto" w:fill="auto"/>
          </w:tcPr>
          <w:p w14:paraId="71DE344C"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3837" w:type="pct"/>
            <w:shd w:val="clear" w:color="auto" w:fill="auto"/>
          </w:tcPr>
          <w:p w14:paraId="748931C8"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proiectelor de EE în clădiri:</w:t>
            </w:r>
          </w:p>
          <w:p w14:paraId="4E47AE55" w14:textId="77777777" w:rsidR="00D15C6C" w:rsidRPr="009C5F11" w:rsidRDefault="00D15C6C" w:rsidP="00341E16">
            <w:pPr>
              <w:ind w:left="685" w:hanging="36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FEE (6 proiecte realizate în cadrul APP1, 9 iniţiate în cadrul APP3).</w:t>
            </w:r>
          </w:p>
          <w:p w14:paraId="2EF7C347" w14:textId="77777777" w:rsidR="00D15C6C" w:rsidRPr="009C5F11" w:rsidRDefault="00D15C6C" w:rsidP="00430626">
            <w:pPr>
              <w:spacing w:after="0" w:line="240" w:lineRule="auto"/>
              <w:ind w:left="295"/>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Finanţarea proiectelor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în clădiri de Proiectul </w:t>
            </w:r>
            <w:r w:rsidRPr="009C5F11">
              <w:rPr>
                <w:rFonts w:ascii="Times New Roman" w:hAnsi="Times New Roman" w:cs="Times New Roman"/>
                <w:i/>
                <w:sz w:val="18"/>
                <w:szCs w:val="14"/>
                <w:lang w:val="ro-RO"/>
              </w:rPr>
              <w:t xml:space="preserve">„Utilizarea eficientă a biomasei solide " </w:t>
            </w:r>
            <w:r w:rsidRPr="009C5F11">
              <w:rPr>
                <w:rFonts w:ascii="Times New Roman" w:hAnsi="Times New Roman" w:cs="Times New Roman"/>
                <w:sz w:val="18"/>
                <w:szCs w:val="14"/>
                <w:lang w:val="ro-RO"/>
              </w:rPr>
              <w:t>cu sprijin din partea Grupului Moldo-japonez 2KR.</w:t>
            </w:r>
          </w:p>
        </w:tc>
      </w:tr>
      <w:tr w:rsidR="00D15C6C" w:rsidRPr="009C5F11" w14:paraId="6178BDC6" w14:textId="77777777" w:rsidTr="00884CBE">
        <w:trPr>
          <w:trHeight w:val="719"/>
          <w:jc w:val="center"/>
        </w:trPr>
        <w:tc>
          <w:tcPr>
            <w:tcW w:w="253" w:type="pct"/>
            <w:vMerge w:val="restart"/>
            <w:shd w:val="clear" w:color="auto" w:fill="auto"/>
            <w:hideMark/>
          </w:tcPr>
          <w:p w14:paraId="3728031F"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16</w:t>
            </w:r>
          </w:p>
        </w:tc>
        <w:tc>
          <w:tcPr>
            <w:tcW w:w="910" w:type="pct"/>
            <w:vMerge w:val="restart"/>
            <w:shd w:val="clear" w:color="auto" w:fill="auto"/>
            <w:hideMark/>
          </w:tcPr>
          <w:p w14:paraId="150C81B9"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Rîşcani</w:t>
            </w:r>
          </w:p>
        </w:tc>
        <w:tc>
          <w:tcPr>
            <w:tcW w:w="3837" w:type="pct"/>
            <w:shd w:val="clear" w:color="auto" w:fill="auto"/>
          </w:tcPr>
          <w:p w14:paraId="1BD9584C"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11 Proiecte de EE în clădiri iniţiate în cadrul APP3:</w:t>
            </w:r>
          </w:p>
          <w:p w14:paraId="7C1D1706" w14:textId="77777777" w:rsidR="00D15C6C" w:rsidRPr="009C5F11" w:rsidRDefault="00D15C6C" w:rsidP="00334F3B">
            <w:pPr>
              <w:pStyle w:val="Listparagraf"/>
              <w:numPr>
                <w:ilvl w:val="0"/>
                <w:numId w:val="33"/>
              </w:numPr>
              <w:spacing w:after="0" w:line="240" w:lineRule="auto"/>
              <w:ind w:left="685"/>
              <w:rPr>
                <w:rFonts w:ascii="Times New Roman" w:hAnsi="Times New Roman" w:cs="Times New Roman"/>
                <w:sz w:val="18"/>
                <w:szCs w:val="14"/>
                <w:lang w:val="ro-RO"/>
              </w:rPr>
            </w:pPr>
            <w:r w:rsidRPr="009C5F11">
              <w:rPr>
                <w:rFonts w:ascii="Times New Roman" w:hAnsi="Times New Roman" w:cs="Times New Roman"/>
                <w:sz w:val="18"/>
                <w:szCs w:val="14"/>
                <w:lang w:val="ro-RO"/>
              </w:rPr>
              <w:t>1 grădiniţă;</w:t>
            </w:r>
          </w:p>
          <w:p w14:paraId="030942F6" w14:textId="77777777" w:rsidR="00D15C6C" w:rsidRPr="009C5F11" w:rsidRDefault="00D15C6C" w:rsidP="00B40DB5">
            <w:pPr>
              <w:spacing w:after="0" w:line="240" w:lineRule="auto"/>
              <w:ind w:left="685" w:hanging="36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6 licee;</w:t>
            </w:r>
          </w:p>
          <w:p w14:paraId="155A7B8F" w14:textId="77777777" w:rsidR="00D15C6C" w:rsidRPr="009C5F11" w:rsidRDefault="00D15C6C" w:rsidP="00334F3B">
            <w:pPr>
              <w:pStyle w:val="Listparagraf"/>
              <w:numPr>
                <w:ilvl w:val="0"/>
                <w:numId w:val="41"/>
              </w:numPr>
              <w:ind w:left="685"/>
              <w:rPr>
                <w:rFonts w:ascii="Times New Roman" w:hAnsi="Times New Roman" w:cs="Times New Roman"/>
                <w:sz w:val="18"/>
                <w:szCs w:val="14"/>
                <w:lang w:val="ro-RO"/>
              </w:rPr>
            </w:pPr>
            <w:r w:rsidRPr="009C5F11">
              <w:rPr>
                <w:rFonts w:ascii="Times New Roman" w:hAnsi="Times New Roman" w:cs="Times New Roman"/>
                <w:sz w:val="18"/>
                <w:szCs w:val="14"/>
                <w:lang w:val="ro-RO"/>
              </w:rPr>
              <w:t>1 spital;</w:t>
            </w:r>
          </w:p>
          <w:p w14:paraId="4B42EC86" w14:textId="77777777" w:rsidR="00D15C6C" w:rsidRPr="009C5F11" w:rsidRDefault="00D15C6C" w:rsidP="00334F3B">
            <w:pPr>
              <w:pStyle w:val="Listparagraf"/>
              <w:numPr>
                <w:ilvl w:val="0"/>
                <w:numId w:val="41"/>
              </w:numPr>
              <w:spacing w:after="0" w:line="240" w:lineRule="auto"/>
              <w:ind w:left="685"/>
              <w:rPr>
                <w:rFonts w:ascii="Times New Roman" w:hAnsi="Times New Roman" w:cs="Times New Roman"/>
                <w:sz w:val="18"/>
                <w:szCs w:val="14"/>
                <w:lang w:val="ro-RO"/>
              </w:rPr>
            </w:pPr>
            <w:r w:rsidRPr="009C5F11">
              <w:rPr>
                <w:rFonts w:ascii="Times New Roman" w:hAnsi="Times New Roman" w:cs="Times New Roman"/>
                <w:sz w:val="18"/>
                <w:szCs w:val="14"/>
                <w:lang w:val="ro-RO"/>
              </w:rPr>
              <w:t>3 centre de sănătate publică.</w:t>
            </w:r>
          </w:p>
        </w:tc>
      </w:tr>
      <w:tr w:rsidR="00D15C6C" w:rsidRPr="009C5F11" w14:paraId="6DEA5CBD" w14:textId="77777777" w:rsidTr="00884CBE">
        <w:trPr>
          <w:trHeight w:val="444"/>
          <w:jc w:val="center"/>
        </w:trPr>
        <w:tc>
          <w:tcPr>
            <w:tcW w:w="253" w:type="pct"/>
            <w:vMerge/>
            <w:shd w:val="clear" w:color="auto" w:fill="auto"/>
          </w:tcPr>
          <w:p w14:paraId="701540C0"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910" w:type="pct"/>
            <w:vMerge/>
            <w:shd w:val="clear" w:color="auto" w:fill="auto"/>
          </w:tcPr>
          <w:p w14:paraId="7A61EE32"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3837" w:type="pct"/>
            <w:shd w:val="clear" w:color="auto" w:fill="auto"/>
          </w:tcPr>
          <w:p w14:paraId="19FBFC76"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proiectelor de EE în clădiri:</w:t>
            </w:r>
          </w:p>
          <w:p w14:paraId="7310FDED" w14:textId="77777777" w:rsidR="00D15C6C" w:rsidRPr="009C5F11" w:rsidRDefault="00D15C6C" w:rsidP="00430626">
            <w:pPr>
              <w:spacing w:after="0" w:line="240" w:lineRule="auto"/>
              <w:ind w:left="685" w:hanging="36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FEE (11 proiecte iniţiate în cadrul APP3)</w:t>
            </w:r>
          </w:p>
        </w:tc>
      </w:tr>
      <w:tr w:rsidR="00D15C6C" w:rsidRPr="009C5F11" w14:paraId="2F43EDE9" w14:textId="77777777" w:rsidTr="00884CBE">
        <w:trPr>
          <w:trHeight w:val="76"/>
          <w:jc w:val="center"/>
        </w:trPr>
        <w:tc>
          <w:tcPr>
            <w:tcW w:w="253" w:type="pct"/>
            <w:vMerge w:val="restart"/>
            <w:shd w:val="clear" w:color="auto" w:fill="auto"/>
            <w:hideMark/>
          </w:tcPr>
          <w:p w14:paraId="52F4B160"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17</w:t>
            </w:r>
          </w:p>
        </w:tc>
        <w:tc>
          <w:tcPr>
            <w:tcW w:w="910" w:type="pct"/>
            <w:vMerge w:val="restart"/>
            <w:shd w:val="clear" w:color="auto" w:fill="auto"/>
            <w:hideMark/>
          </w:tcPr>
          <w:p w14:paraId="10458D50"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Soroca</w:t>
            </w:r>
          </w:p>
        </w:tc>
        <w:tc>
          <w:tcPr>
            <w:tcW w:w="3837" w:type="pct"/>
            <w:shd w:val="clear" w:color="auto" w:fill="auto"/>
          </w:tcPr>
          <w:p w14:paraId="574AFCF2"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2 Proiecte de EE în clădiri realizate în cadrul APP1:</w:t>
            </w:r>
          </w:p>
          <w:p w14:paraId="72D6A34E" w14:textId="77777777" w:rsidR="00D15C6C" w:rsidRPr="009C5F11" w:rsidRDefault="00D15C6C" w:rsidP="00334F3B">
            <w:pPr>
              <w:pStyle w:val="Listparagraf"/>
              <w:numPr>
                <w:ilvl w:val="0"/>
                <w:numId w:val="34"/>
              </w:numPr>
              <w:spacing w:after="0" w:line="240" w:lineRule="auto"/>
              <w:ind w:hanging="335"/>
              <w:rPr>
                <w:rFonts w:ascii="Times New Roman" w:hAnsi="Times New Roman" w:cs="Times New Roman"/>
                <w:sz w:val="18"/>
                <w:szCs w:val="14"/>
                <w:lang w:val="ro-RO"/>
              </w:rPr>
            </w:pPr>
            <w:r w:rsidRPr="009C5F11">
              <w:rPr>
                <w:rFonts w:ascii="Times New Roman" w:hAnsi="Times New Roman" w:cs="Times New Roman"/>
                <w:sz w:val="18"/>
                <w:szCs w:val="14"/>
                <w:lang w:val="ro-RO"/>
              </w:rPr>
              <w:t>2 licee.</w:t>
            </w:r>
          </w:p>
        </w:tc>
      </w:tr>
      <w:tr w:rsidR="00D15C6C" w:rsidRPr="009C5F11" w14:paraId="7102DECF" w14:textId="77777777" w:rsidTr="00B40DB5">
        <w:trPr>
          <w:trHeight w:val="116"/>
          <w:jc w:val="center"/>
        </w:trPr>
        <w:tc>
          <w:tcPr>
            <w:tcW w:w="253" w:type="pct"/>
            <w:vMerge/>
            <w:shd w:val="clear" w:color="auto" w:fill="auto"/>
          </w:tcPr>
          <w:p w14:paraId="5C0ABFD0"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910" w:type="pct"/>
            <w:vMerge/>
            <w:shd w:val="clear" w:color="auto" w:fill="auto"/>
          </w:tcPr>
          <w:p w14:paraId="236D62EF" w14:textId="77777777" w:rsidR="00D15C6C" w:rsidRPr="009C5F11" w:rsidRDefault="00D15C6C" w:rsidP="00430626">
            <w:pPr>
              <w:spacing w:after="0" w:line="240" w:lineRule="auto"/>
              <w:jc w:val="center"/>
              <w:rPr>
                <w:rFonts w:ascii="Times New Roman" w:hAnsi="Times New Roman" w:cs="Times New Roman"/>
                <w:sz w:val="18"/>
                <w:szCs w:val="14"/>
                <w:lang w:val="ro-RO"/>
              </w:rPr>
            </w:pPr>
          </w:p>
        </w:tc>
        <w:tc>
          <w:tcPr>
            <w:tcW w:w="3837" w:type="pct"/>
            <w:shd w:val="clear" w:color="auto" w:fill="auto"/>
          </w:tcPr>
          <w:p w14:paraId="36793288" w14:textId="77777777" w:rsidR="00D15C6C" w:rsidRPr="009C5F11" w:rsidRDefault="00D15C6C" w:rsidP="00341E16">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proiectelor de EE în clădiri:</w:t>
            </w:r>
          </w:p>
          <w:p w14:paraId="62945EBA" w14:textId="77777777" w:rsidR="00D15C6C" w:rsidRPr="009C5F11" w:rsidRDefault="00D15C6C" w:rsidP="00430626">
            <w:pPr>
              <w:spacing w:after="0" w:line="240" w:lineRule="auto"/>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FEE (2 proiecte implementate în cadrul APP1).</w:t>
            </w:r>
          </w:p>
        </w:tc>
      </w:tr>
      <w:tr w:rsidR="00D15C6C" w:rsidRPr="009C5F11" w14:paraId="3743BAA8" w14:textId="77777777" w:rsidTr="00607023">
        <w:trPr>
          <w:trHeight w:val="1678"/>
          <w:jc w:val="center"/>
        </w:trPr>
        <w:tc>
          <w:tcPr>
            <w:tcW w:w="253" w:type="pct"/>
            <w:vMerge w:val="restart"/>
            <w:shd w:val="clear" w:color="auto" w:fill="auto"/>
            <w:hideMark/>
          </w:tcPr>
          <w:p w14:paraId="162A91DB"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18</w:t>
            </w:r>
          </w:p>
        </w:tc>
        <w:tc>
          <w:tcPr>
            <w:tcW w:w="910" w:type="pct"/>
            <w:vMerge w:val="restart"/>
            <w:shd w:val="clear" w:color="auto" w:fill="auto"/>
            <w:hideMark/>
          </w:tcPr>
          <w:p w14:paraId="7A2A2C56" w14:textId="77777777" w:rsidR="00D15C6C" w:rsidRPr="009C5F11" w:rsidRDefault="00D15C6C" w:rsidP="00341E16">
            <w:pPr>
              <w:jc w:val="center"/>
              <w:rPr>
                <w:rFonts w:ascii="Times New Roman" w:hAnsi="Times New Roman" w:cs="Times New Roman"/>
                <w:sz w:val="18"/>
                <w:szCs w:val="14"/>
                <w:lang w:val="ro-RO"/>
              </w:rPr>
            </w:pPr>
            <w:r w:rsidRPr="009C5F11">
              <w:rPr>
                <w:rFonts w:ascii="Times New Roman" w:hAnsi="Times New Roman" w:cs="Times New Roman"/>
                <w:sz w:val="18"/>
                <w:szCs w:val="14"/>
                <w:lang w:val="ro-RO"/>
              </w:rPr>
              <w:t>Consiliul Raional Taraclia</w:t>
            </w:r>
          </w:p>
        </w:tc>
        <w:tc>
          <w:tcPr>
            <w:tcW w:w="3837" w:type="pct"/>
            <w:shd w:val="clear" w:color="auto" w:fill="auto"/>
          </w:tcPr>
          <w:p w14:paraId="3EF3DEC5" w14:textId="77777777" w:rsidR="00D15C6C" w:rsidRPr="009C5F11" w:rsidRDefault="00D15C6C" w:rsidP="00341E16">
            <w:pPr>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4 Proiecte de EE în clădiri realizate în cadrul APP1:</w:t>
            </w:r>
          </w:p>
          <w:p w14:paraId="2CB60B67" w14:textId="77777777" w:rsidR="00D15C6C" w:rsidRPr="009C5F11" w:rsidRDefault="00D15C6C" w:rsidP="00B40DB5">
            <w:pPr>
              <w:spacing w:after="0" w:line="240" w:lineRule="auto"/>
              <w:ind w:left="325"/>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grădiniţă;</w:t>
            </w:r>
          </w:p>
          <w:p w14:paraId="5EE02E1B" w14:textId="77777777" w:rsidR="00D15C6C" w:rsidRPr="009C5F11" w:rsidRDefault="00D15C6C" w:rsidP="00334F3B">
            <w:pPr>
              <w:pStyle w:val="Listparagraf"/>
              <w:numPr>
                <w:ilvl w:val="0"/>
                <w:numId w:val="40"/>
              </w:numPr>
              <w:spacing w:after="0" w:line="240" w:lineRule="auto"/>
              <w:ind w:left="325" w:firstLine="0"/>
              <w:rPr>
                <w:rFonts w:ascii="Times New Roman" w:hAnsi="Times New Roman" w:cs="Times New Roman"/>
                <w:sz w:val="18"/>
                <w:szCs w:val="14"/>
                <w:lang w:val="ro-RO"/>
              </w:rPr>
            </w:pPr>
            <w:r w:rsidRPr="009C5F11">
              <w:rPr>
                <w:rFonts w:ascii="Times New Roman" w:hAnsi="Times New Roman" w:cs="Times New Roman"/>
                <w:sz w:val="18"/>
                <w:szCs w:val="14"/>
                <w:lang w:val="ro-RO"/>
              </w:rPr>
              <w:t>3 licee.</w:t>
            </w:r>
          </w:p>
          <w:p w14:paraId="5955AAC8" w14:textId="77777777" w:rsidR="00D15C6C" w:rsidRPr="009C5F11" w:rsidRDefault="00D15C6C" w:rsidP="00B40DB5">
            <w:pPr>
              <w:spacing w:after="0" w:line="240" w:lineRule="auto"/>
              <w:ind w:left="25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7 Proiecte de EE în clădiri iniţiate în cadrul APP3:</w:t>
            </w:r>
          </w:p>
          <w:p w14:paraId="4685A6DA" w14:textId="77777777" w:rsidR="00D15C6C" w:rsidRPr="009C5F11" w:rsidRDefault="00D15C6C" w:rsidP="00334F3B">
            <w:pPr>
              <w:pStyle w:val="Listparagraf"/>
              <w:numPr>
                <w:ilvl w:val="0"/>
                <w:numId w:val="33"/>
              </w:numPr>
              <w:spacing w:after="0" w:line="240" w:lineRule="auto"/>
              <w:ind w:left="685"/>
              <w:rPr>
                <w:rFonts w:ascii="Times New Roman" w:hAnsi="Times New Roman" w:cs="Times New Roman"/>
                <w:sz w:val="18"/>
                <w:szCs w:val="14"/>
                <w:lang w:val="ro-RO"/>
              </w:rPr>
            </w:pPr>
            <w:r w:rsidRPr="009C5F11">
              <w:rPr>
                <w:rFonts w:ascii="Times New Roman" w:hAnsi="Times New Roman" w:cs="Times New Roman"/>
                <w:sz w:val="18"/>
                <w:szCs w:val="14"/>
                <w:lang w:val="ro-RO"/>
              </w:rPr>
              <w:t>4 grădiniţe;</w:t>
            </w:r>
          </w:p>
          <w:p w14:paraId="105EDE21" w14:textId="77777777" w:rsidR="00D15C6C" w:rsidRPr="009C5F11" w:rsidRDefault="00D15C6C" w:rsidP="00341E16">
            <w:pPr>
              <w:ind w:left="685" w:hanging="36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3 şcoli / licee.</w:t>
            </w:r>
          </w:p>
          <w:p w14:paraId="227C3ECE" w14:textId="77777777" w:rsidR="00D15C6C" w:rsidRPr="009C5F11" w:rsidRDefault="00D15C6C" w:rsidP="00B40DB5">
            <w:pPr>
              <w:spacing w:after="0" w:line="240" w:lineRule="auto"/>
              <w:ind w:left="342"/>
              <w:contextualSpacing/>
              <w:rPr>
                <w:rFonts w:ascii="Times New Roman" w:hAnsi="Times New Roman" w:cs="Times New Roman"/>
                <w:i/>
                <w:sz w:val="18"/>
                <w:szCs w:val="14"/>
                <w:lang w:val="ro-RO"/>
              </w:rPr>
            </w:pPr>
            <w:r w:rsidRPr="009C5F11">
              <w:rPr>
                <w:rFonts w:ascii="Times New Roman" w:hAnsi="Times New Roman" w:cs="Times New Roman"/>
                <w:sz w:val="18"/>
                <w:szCs w:val="14"/>
                <w:lang w:val="ro-RO"/>
              </w:rPr>
              <w:t xml:space="preserve">4 Proiecte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finanţate </w:t>
            </w:r>
            <w:r w:rsidRPr="009C5F11">
              <w:rPr>
                <w:rFonts w:ascii="Times New Roman" w:hAnsi="Times New Roman" w:cs="Times New Roman"/>
                <w:i/>
                <w:sz w:val="18"/>
                <w:szCs w:val="14"/>
                <w:lang w:val="ro-RO"/>
              </w:rPr>
              <w:t>de Proiectul Energie şi Biomasă în Moldova:</w:t>
            </w:r>
          </w:p>
          <w:p w14:paraId="13821BC3" w14:textId="77777777" w:rsidR="00D15C6C" w:rsidRPr="009C5F11" w:rsidRDefault="00D15C6C" w:rsidP="00334F3B">
            <w:pPr>
              <w:pStyle w:val="Listparagraf"/>
              <w:numPr>
                <w:ilvl w:val="0"/>
                <w:numId w:val="33"/>
              </w:numPr>
              <w:spacing w:after="0" w:line="240" w:lineRule="auto"/>
              <w:ind w:left="685"/>
              <w:rPr>
                <w:rFonts w:ascii="Times New Roman" w:hAnsi="Times New Roman" w:cs="Times New Roman"/>
                <w:sz w:val="18"/>
                <w:szCs w:val="14"/>
                <w:lang w:val="ro-RO"/>
              </w:rPr>
            </w:pPr>
            <w:r w:rsidRPr="009C5F11">
              <w:rPr>
                <w:rFonts w:ascii="Times New Roman" w:hAnsi="Times New Roman" w:cs="Times New Roman"/>
                <w:sz w:val="18"/>
                <w:szCs w:val="14"/>
                <w:lang w:val="ro-RO"/>
              </w:rPr>
              <w:t>3 grădiniţe;</w:t>
            </w:r>
          </w:p>
          <w:p w14:paraId="016FC0CA" w14:textId="77777777" w:rsidR="00D15C6C" w:rsidRPr="009C5F11" w:rsidRDefault="00D15C6C" w:rsidP="00341E16">
            <w:pPr>
              <w:ind w:left="685" w:hanging="36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1 şcoală.</w:t>
            </w:r>
          </w:p>
        </w:tc>
      </w:tr>
      <w:tr w:rsidR="00D15C6C" w:rsidRPr="009C5F11" w14:paraId="720190E4" w14:textId="77777777" w:rsidTr="00884CBE">
        <w:trPr>
          <w:trHeight w:val="388"/>
          <w:jc w:val="center"/>
        </w:trPr>
        <w:tc>
          <w:tcPr>
            <w:tcW w:w="253" w:type="pct"/>
            <w:vMerge/>
            <w:shd w:val="clear" w:color="auto" w:fill="auto"/>
          </w:tcPr>
          <w:p w14:paraId="3C5C9E7E" w14:textId="77777777" w:rsidR="00D15C6C" w:rsidRPr="009C5F11" w:rsidRDefault="00D15C6C" w:rsidP="00430626">
            <w:pPr>
              <w:spacing w:after="0" w:line="240" w:lineRule="auto"/>
              <w:rPr>
                <w:rFonts w:ascii="Times New Roman" w:hAnsi="Times New Roman" w:cs="Times New Roman"/>
                <w:sz w:val="18"/>
                <w:szCs w:val="14"/>
                <w:lang w:val="ro-RO"/>
              </w:rPr>
            </w:pPr>
          </w:p>
        </w:tc>
        <w:tc>
          <w:tcPr>
            <w:tcW w:w="910" w:type="pct"/>
            <w:vMerge/>
            <w:shd w:val="clear" w:color="auto" w:fill="auto"/>
          </w:tcPr>
          <w:p w14:paraId="48391673" w14:textId="77777777" w:rsidR="00D15C6C" w:rsidRPr="009C5F11" w:rsidRDefault="00D15C6C" w:rsidP="00430626">
            <w:pPr>
              <w:spacing w:after="0" w:line="240" w:lineRule="auto"/>
              <w:rPr>
                <w:rFonts w:ascii="Times New Roman" w:hAnsi="Times New Roman" w:cs="Times New Roman"/>
                <w:sz w:val="18"/>
                <w:szCs w:val="14"/>
                <w:lang w:val="ro-RO"/>
              </w:rPr>
            </w:pPr>
          </w:p>
        </w:tc>
        <w:tc>
          <w:tcPr>
            <w:tcW w:w="3837" w:type="pct"/>
            <w:shd w:val="clear" w:color="auto" w:fill="auto"/>
          </w:tcPr>
          <w:p w14:paraId="511F08FA" w14:textId="77777777" w:rsidR="00D15C6C" w:rsidRPr="009C5F11" w:rsidRDefault="00D15C6C" w:rsidP="00341E16">
            <w:pPr>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Finanţarea proiectelor de EE în clădiri:</w:t>
            </w:r>
          </w:p>
          <w:p w14:paraId="2EA83870" w14:textId="77777777" w:rsidR="00D15C6C" w:rsidRPr="009C5F11" w:rsidRDefault="00D15C6C" w:rsidP="00341E16">
            <w:pPr>
              <w:ind w:left="745" w:hanging="450"/>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w:t>
            </w:r>
            <w:r w:rsidRPr="009C5F11">
              <w:rPr>
                <w:rFonts w:ascii="Times New Roman" w:hAnsi="Times New Roman" w:cs="Times New Roman"/>
                <w:sz w:val="18"/>
                <w:szCs w:val="14"/>
                <w:lang w:val="ro-RO"/>
              </w:rPr>
              <w:tab/>
              <w:t>FEE (4 proiecte realizate în cadrul APP1, 7 iniţiate în cadrul APP3).</w:t>
            </w:r>
          </w:p>
          <w:p w14:paraId="0689DD75" w14:textId="77777777" w:rsidR="00D15C6C" w:rsidRPr="009C5F11" w:rsidRDefault="00D15C6C" w:rsidP="00430626">
            <w:pPr>
              <w:spacing w:after="0" w:line="240" w:lineRule="auto"/>
              <w:ind w:left="342"/>
              <w:contextualSpacing/>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Finanţarea proiectelor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în clădiri </w:t>
            </w:r>
            <w:r w:rsidRPr="009C5F11">
              <w:rPr>
                <w:rFonts w:ascii="Times New Roman" w:hAnsi="Times New Roman" w:cs="Times New Roman"/>
                <w:i/>
                <w:sz w:val="18"/>
                <w:szCs w:val="14"/>
                <w:lang w:val="ro-RO"/>
              </w:rPr>
              <w:t>de Proiectul Energie şi Biomasă în Moldova.</w:t>
            </w:r>
          </w:p>
        </w:tc>
      </w:tr>
    </w:tbl>
    <w:p w14:paraId="41206E4B" w14:textId="77777777" w:rsidR="00C23EDB" w:rsidRPr="009C5F11" w:rsidRDefault="00C23EDB">
      <w:pPr>
        <w:rPr>
          <w:rFonts w:ascii="Times New Roman" w:hAnsi="Times New Roman" w:cs="Times New Roman"/>
          <w:color w:val="506070"/>
          <w:sz w:val="32"/>
          <w:lang w:val="ro-RO"/>
        </w:rPr>
      </w:pPr>
      <w:bookmarkStart w:id="336" w:name="_Toc319555436"/>
      <w:r w:rsidRPr="009C5F11">
        <w:rPr>
          <w:rFonts w:ascii="Times New Roman" w:hAnsi="Times New Roman" w:cs="Times New Roman"/>
          <w:sz w:val="24"/>
          <w:lang w:val="ro-RO"/>
        </w:rPr>
        <w:br w:type="page"/>
      </w:r>
    </w:p>
    <w:p w14:paraId="143409A4" w14:textId="77777777" w:rsidR="00BC2ED4" w:rsidRPr="00D9464A" w:rsidRDefault="00C77D69" w:rsidP="00297ED0">
      <w:pPr>
        <w:pStyle w:val="Titlu3"/>
        <w:rPr>
          <w:rFonts w:ascii="Times New Roman" w:hAnsi="Times New Roman" w:cs="Times New Roman"/>
          <w:b/>
          <w:color w:val="000000" w:themeColor="text1"/>
          <w:sz w:val="28"/>
          <w:lang w:val="ro-RO"/>
        </w:rPr>
      </w:pPr>
      <w:bookmarkStart w:id="337" w:name="_Toc322013195"/>
      <w:r w:rsidRPr="00D9464A">
        <w:rPr>
          <w:rFonts w:ascii="Times New Roman" w:hAnsi="Times New Roman" w:cs="Times New Roman"/>
          <w:b/>
          <w:color w:val="000000" w:themeColor="text1"/>
          <w:sz w:val="28"/>
          <w:lang w:val="ro-RO"/>
        </w:rPr>
        <w:lastRenderedPageBreak/>
        <w:t>Iluminatul public</w:t>
      </w:r>
      <w:bookmarkEnd w:id="336"/>
      <w:bookmarkEnd w:id="337"/>
    </w:p>
    <w:p w14:paraId="2B629C9D" w14:textId="77777777" w:rsidR="00BC2ED4" w:rsidRPr="009C5F11" w:rsidRDefault="000A4CC7" w:rsidP="00BC2ED4">
      <w:pPr>
        <w:spacing w:before="240" w:line="240" w:lineRule="auto"/>
        <w:rPr>
          <w:rFonts w:ascii="Times New Roman" w:eastAsia="Calibri" w:hAnsi="Times New Roman" w:cs="Times New Roman"/>
          <w:sz w:val="24"/>
          <w:u w:val="single"/>
          <w:lang w:val="ro-RO" w:eastAsia="de-DE"/>
        </w:rPr>
      </w:pPr>
      <w:r w:rsidRPr="009C5F11">
        <w:rPr>
          <w:rFonts w:ascii="Times New Roman" w:eastAsia="Calibri" w:hAnsi="Times New Roman" w:cs="Times New Roman"/>
          <w:sz w:val="24"/>
          <w:u w:val="single"/>
          <w:lang w:val="ro-RO" w:eastAsia="de-DE"/>
        </w:rPr>
        <w:t>PNEE</w:t>
      </w:r>
      <w:r w:rsidR="00BC2ED4" w:rsidRPr="009C5F11">
        <w:rPr>
          <w:rFonts w:ascii="Times New Roman" w:eastAsia="Calibri" w:hAnsi="Times New Roman" w:cs="Times New Roman"/>
          <w:sz w:val="24"/>
          <w:u w:val="single"/>
          <w:lang w:val="ro-RO" w:eastAsia="de-DE"/>
        </w:rPr>
        <w:t xml:space="preserve"> 2011-2020</w:t>
      </w:r>
    </w:p>
    <w:p w14:paraId="011F0A2E" w14:textId="7790EBA1" w:rsidR="00BC2ED4" w:rsidRPr="009C5F11" w:rsidRDefault="000A4CC7"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PNEE</w:t>
      </w:r>
      <w:r w:rsidR="00BC2ED4" w:rsidRPr="009C5F11">
        <w:rPr>
          <w:rFonts w:ascii="Times New Roman" w:hAnsi="Times New Roman" w:cs="Times New Roman"/>
          <w:sz w:val="24"/>
          <w:lang w:val="ro-RO"/>
        </w:rPr>
        <w:t xml:space="preserve"> 2011-2020 define</w:t>
      </w:r>
      <w:r w:rsidR="00C77D69" w:rsidRPr="009C5F11">
        <w:rPr>
          <w:rFonts w:ascii="Times New Roman" w:hAnsi="Times New Roman" w:cs="Times New Roman"/>
          <w:sz w:val="24"/>
          <w:lang w:val="ro-RO"/>
        </w:rPr>
        <w:t>şte</w:t>
      </w:r>
      <w:r w:rsidR="00BC2ED4" w:rsidRPr="009C5F11">
        <w:rPr>
          <w:rFonts w:ascii="Times New Roman" w:hAnsi="Times New Roman" w:cs="Times New Roman"/>
          <w:sz w:val="24"/>
          <w:lang w:val="ro-RO"/>
        </w:rPr>
        <w:t xml:space="preserve"> </w:t>
      </w:r>
      <w:r w:rsidR="00C77D69" w:rsidRPr="009C5F11">
        <w:rPr>
          <w:rFonts w:ascii="Times New Roman" w:hAnsi="Times New Roman" w:cs="Times New Roman"/>
          <w:sz w:val="24"/>
          <w:lang w:val="ro-RO"/>
        </w:rPr>
        <w:t>iluminatul public</w:t>
      </w:r>
      <w:r w:rsidR="00321CD5" w:rsidRPr="009C5F11">
        <w:rPr>
          <w:rFonts w:ascii="Times New Roman" w:hAnsi="Times New Roman" w:cs="Times New Roman"/>
          <w:sz w:val="24"/>
          <w:lang w:val="ro-RO"/>
        </w:rPr>
        <w:t xml:space="preserve"> şi </w:t>
      </w:r>
      <w:r w:rsidR="00C77D69" w:rsidRPr="009C5F11">
        <w:rPr>
          <w:rFonts w:ascii="Times New Roman" w:hAnsi="Times New Roman" w:cs="Times New Roman"/>
          <w:sz w:val="24"/>
          <w:lang w:val="ro-RO"/>
        </w:rPr>
        <w:t xml:space="preserve">campaniile </w:t>
      </w:r>
      <w:r w:rsidR="00BC2ED4" w:rsidRPr="009C5F11">
        <w:rPr>
          <w:rFonts w:ascii="Times New Roman" w:hAnsi="Times New Roman" w:cs="Times New Roman"/>
          <w:sz w:val="24"/>
          <w:lang w:val="ro-RO"/>
        </w:rPr>
        <w:t>relevant</w:t>
      </w:r>
      <w:r w:rsidR="00C01F3C"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w:t>
      </w:r>
      <w:r w:rsidR="00C77D69" w:rsidRPr="009C5F11">
        <w:rPr>
          <w:rFonts w:ascii="Times New Roman" w:hAnsi="Times New Roman" w:cs="Times New Roman"/>
          <w:sz w:val="24"/>
          <w:lang w:val="ro-RO"/>
        </w:rPr>
        <w:t xml:space="preserve">de sensibilizare </w:t>
      </w:r>
      <w:r w:rsidR="00C01F3C" w:rsidRPr="009C5F11">
        <w:rPr>
          <w:rFonts w:ascii="Times New Roman" w:hAnsi="Times New Roman" w:cs="Times New Roman"/>
          <w:sz w:val="24"/>
          <w:lang w:val="ro-RO"/>
        </w:rPr>
        <w:t xml:space="preserve">drept </w:t>
      </w:r>
      <w:r w:rsidR="00016A4B" w:rsidRPr="009C5F11">
        <w:rPr>
          <w:rFonts w:ascii="Times New Roman" w:hAnsi="Times New Roman" w:cs="Times New Roman"/>
          <w:sz w:val="24"/>
          <w:lang w:val="ro-RO"/>
        </w:rPr>
        <w:t>obiective</w:t>
      </w:r>
      <w:r w:rsidR="00C01F3C" w:rsidRPr="009C5F11">
        <w:rPr>
          <w:rFonts w:ascii="Times New Roman" w:hAnsi="Times New Roman" w:cs="Times New Roman"/>
          <w:sz w:val="24"/>
          <w:lang w:val="ro-RO"/>
        </w:rPr>
        <w:t xml:space="preserve"> sectoriale generale</w:t>
      </w:r>
      <w:r w:rsidR="00321CD5" w:rsidRPr="009C5F11">
        <w:rPr>
          <w:rFonts w:ascii="Times New Roman" w:hAnsi="Times New Roman" w:cs="Times New Roman"/>
          <w:sz w:val="24"/>
          <w:lang w:val="ro-RO"/>
        </w:rPr>
        <w:t xml:space="preserve"> şi </w:t>
      </w:r>
      <w:r w:rsidR="00E10BE5" w:rsidRPr="009C5F11">
        <w:rPr>
          <w:rFonts w:ascii="Times New Roman" w:hAnsi="Times New Roman" w:cs="Times New Roman"/>
          <w:sz w:val="24"/>
          <w:lang w:val="ro-RO"/>
        </w:rPr>
        <w:t>măsuri planificate</w:t>
      </w:r>
      <w:r w:rsidR="00321CD5" w:rsidRPr="009C5F11">
        <w:rPr>
          <w:rFonts w:ascii="Times New Roman" w:hAnsi="Times New Roman" w:cs="Times New Roman"/>
          <w:sz w:val="24"/>
          <w:lang w:val="ro-RO"/>
        </w:rPr>
        <w:t xml:space="preserve"> în </w:t>
      </w:r>
      <w:r w:rsidR="002F0B3A" w:rsidRPr="009C5F11">
        <w:rPr>
          <w:rFonts w:ascii="Times New Roman" w:hAnsi="Times New Roman" w:cs="Times New Roman"/>
          <w:sz w:val="24"/>
          <w:lang w:val="ro-RO"/>
        </w:rPr>
        <w:t>sectorul public</w:t>
      </w:r>
      <w:r w:rsidR="00BC2ED4" w:rsidRPr="009C5F11">
        <w:rPr>
          <w:rFonts w:ascii="Times New Roman" w:hAnsi="Times New Roman" w:cs="Times New Roman"/>
          <w:sz w:val="24"/>
          <w:lang w:val="ro-RO"/>
        </w:rPr>
        <w:t xml:space="preserve">. </w:t>
      </w:r>
      <w:r w:rsidR="00C01F3C" w:rsidRPr="009C5F11">
        <w:rPr>
          <w:rFonts w:ascii="Times New Roman" w:hAnsi="Times New Roman" w:cs="Times New Roman"/>
          <w:sz w:val="24"/>
          <w:lang w:val="ro-RO"/>
        </w:rPr>
        <w:t>Potrivit dispoziţiilor</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PNEE</w:t>
      </w:r>
      <w:r w:rsidR="00BC2ED4"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w:t>
      </w:r>
      <w:r w:rsidR="004A7A66" w:rsidRPr="009C5F11">
        <w:rPr>
          <w:rFonts w:ascii="Times New Roman" w:hAnsi="Times New Roman" w:cs="Times New Roman"/>
          <w:sz w:val="24"/>
          <w:lang w:val="ro-RO"/>
        </w:rPr>
        <w:t>în vederea</w:t>
      </w:r>
      <w:r w:rsidR="00BC2ED4" w:rsidRPr="009C5F11">
        <w:rPr>
          <w:rFonts w:ascii="Times New Roman" w:hAnsi="Times New Roman" w:cs="Times New Roman"/>
          <w:sz w:val="24"/>
          <w:lang w:val="ro-RO"/>
        </w:rPr>
        <w:t xml:space="preserve"> </w:t>
      </w:r>
      <w:r w:rsidR="003719BD" w:rsidRPr="009C5F11">
        <w:rPr>
          <w:rFonts w:ascii="Times New Roman" w:hAnsi="Times New Roman" w:cs="Times New Roman"/>
          <w:sz w:val="24"/>
          <w:lang w:val="ro-RO"/>
        </w:rPr>
        <w:t>îmbunătăţi</w:t>
      </w:r>
      <w:r w:rsidR="00C01F3C" w:rsidRPr="009C5F11">
        <w:rPr>
          <w:rFonts w:ascii="Times New Roman" w:hAnsi="Times New Roman" w:cs="Times New Roman"/>
          <w:sz w:val="24"/>
          <w:lang w:val="ro-RO"/>
        </w:rPr>
        <w:t>rii</w:t>
      </w:r>
      <w:r w:rsidR="00BC2ED4"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w:t>
      </w:r>
      <w:r w:rsidR="00C01F3C" w:rsidRPr="009C5F11">
        <w:rPr>
          <w:rFonts w:ascii="Times New Roman" w:hAnsi="Times New Roman" w:cs="Times New Roman"/>
          <w:sz w:val="24"/>
          <w:lang w:val="ro-RO"/>
        </w:rPr>
        <w:t>ei</w:t>
      </w:r>
      <w:r w:rsidR="000C7BEC" w:rsidRPr="009C5F11">
        <w:rPr>
          <w:rFonts w:ascii="Times New Roman" w:hAnsi="Times New Roman" w:cs="Times New Roman"/>
          <w:sz w:val="24"/>
          <w:lang w:val="ro-RO"/>
        </w:rPr>
        <w:t xml:space="preserve"> energetic</w:t>
      </w:r>
      <w:r w:rsidR="00C01F3C"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în </w:t>
      </w:r>
      <w:r w:rsidR="002F0B3A" w:rsidRPr="009C5F11">
        <w:rPr>
          <w:rFonts w:ascii="Times New Roman" w:hAnsi="Times New Roman" w:cs="Times New Roman"/>
          <w:sz w:val="24"/>
          <w:lang w:val="ro-RO"/>
        </w:rPr>
        <w:t>sectorul public</w:t>
      </w:r>
      <w:r w:rsidR="00BC2ED4" w:rsidRPr="009C5F11">
        <w:rPr>
          <w:rFonts w:ascii="Times New Roman" w:hAnsi="Times New Roman" w:cs="Times New Roman"/>
          <w:sz w:val="24"/>
          <w:lang w:val="ro-RO"/>
        </w:rPr>
        <w:t xml:space="preserve">, </w:t>
      </w:r>
      <w:r w:rsidR="00C01F3C" w:rsidRPr="009C5F11">
        <w:rPr>
          <w:rFonts w:ascii="Times New Roman" w:eastAsia="Times New Roman" w:hAnsi="Times New Roman" w:cs="Times New Roman"/>
          <w:color w:val="000000"/>
          <w:sz w:val="24"/>
          <w:lang w:val="ro-RO"/>
        </w:rPr>
        <w:t xml:space="preserve">Ministerul Economiei, în comun cu Agenţia pentru Eficienţă Energetică şi </w:t>
      </w:r>
      <w:r w:rsidR="001738FD" w:rsidRPr="009C5F11">
        <w:rPr>
          <w:rFonts w:ascii="Times New Roman" w:eastAsia="Times New Roman" w:hAnsi="Times New Roman" w:cs="Times New Roman"/>
          <w:color w:val="000000"/>
          <w:sz w:val="24"/>
          <w:lang w:val="ro-RO"/>
        </w:rPr>
        <w:t xml:space="preserve">cu </w:t>
      </w:r>
      <w:r w:rsidR="00C01F3C" w:rsidRPr="009C5F11">
        <w:rPr>
          <w:rFonts w:ascii="Times New Roman" w:eastAsia="Times New Roman" w:hAnsi="Times New Roman" w:cs="Times New Roman"/>
          <w:color w:val="000000"/>
          <w:sz w:val="24"/>
          <w:lang w:val="ro-RO"/>
        </w:rPr>
        <w:t xml:space="preserve">alte autorităţi publice centrale de resort, va sprijini autorităţile administraţiei publice locale în promovarea eficienţei energetice şi a valorificării surselor regenerabile, </w:t>
      </w:r>
      <w:r w:rsidR="00AB1710" w:rsidRPr="009C5F11">
        <w:rPr>
          <w:rFonts w:ascii="Times New Roman" w:hAnsi="Times New Roman" w:cs="Times New Roman"/>
          <w:sz w:val="24"/>
          <w:lang w:val="ro-RO"/>
        </w:rPr>
        <w:t>inclusiv</w:t>
      </w:r>
      <w:r w:rsidR="00BC2ED4"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implementarea</w:t>
      </w:r>
      <w:r w:rsidR="00321CD5" w:rsidRPr="009C5F11">
        <w:rPr>
          <w:rFonts w:ascii="Times New Roman" w:hAnsi="Times New Roman" w:cs="Times New Roman"/>
          <w:sz w:val="24"/>
          <w:lang w:val="ro-RO"/>
        </w:rPr>
        <w:t xml:space="preserve"> şi </w:t>
      </w:r>
      <w:r w:rsidR="00C01F3C" w:rsidRPr="009C5F11">
        <w:rPr>
          <w:rFonts w:ascii="Times New Roman" w:hAnsi="Times New Roman" w:cs="Times New Roman"/>
          <w:sz w:val="24"/>
          <w:lang w:val="ro-RO"/>
        </w:rPr>
        <w:t xml:space="preserve">susţinerea </w:t>
      </w:r>
      <w:r w:rsidR="00BC2ED4" w:rsidRPr="009C5F11">
        <w:rPr>
          <w:rFonts w:ascii="Times New Roman" w:hAnsi="Times New Roman" w:cs="Times New Roman"/>
          <w:sz w:val="24"/>
          <w:lang w:val="ro-RO"/>
        </w:rPr>
        <w:t>program</w:t>
      </w:r>
      <w:r w:rsidR="00C01F3C" w:rsidRPr="009C5F11">
        <w:rPr>
          <w:rFonts w:ascii="Times New Roman" w:hAnsi="Times New Roman" w:cs="Times New Roman"/>
          <w:sz w:val="24"/>
          <w:lang w:val="ro-RO"/>
        </w:rPr>
        <w:t>elor</w:t>
      </w:r>
      <w:r w:rsidR="00BC2ED4" w:rsidRPr="009C5F11">
        <w:rPr>
          <w:rFonts w:ascii="Times New Roman" w:hAnsi="Times New Roman" w:cs="Times New Roman"/>
          <w:sz w:val="24"/>
          <w:lang w:val="ro-RO"/>
        </w:rPr>
        <w:t xml:space="preserve"> </w:t>
      </w:r>
      <w:r w:rsidR="00C01F3C" w:rsidRPr="009C5F11">
        <w:rPr>
          <w:rFonts w:ascii="Times New Roman" w:hAnsi="Times New Roman" w:cs="Times New Roman"/>
          <w:sz w:val="24"/>
          <w:lang w:val="ro-RO"/>
        </w:rPr>
        <w:t>de</w:t>
      </w:r>
      <w:r w:rsidR="00BC2ED4" w:rsidRPr="009C5F11">
        <w:rPr>
          <w:rFonts w:ascii="Times New Roman" w:hAnsi="Times New Roman" w:cs="Times New Roman"/>
          <w:sz w:val="24"/>
          <w:lang w:val="ro-RO"/>
        </w:rPr>
        <w:t xml:space="preserve"> </w:t>
      </w:r>
      <w:r w:rsidR="003719BD" w:rsidRPr="009C5F11">
        <w:rPr>
          <w:rFonts w:ascii="Times New Roman" w:hAnsi="Times New Roman" w:cs="Times New Roman"/>
          <w:sz w:val="24"/>
          <w:lang w:val="ro-RO"/>
        </w:rPr>
        <w:t>îmbunătăţi</w:t>
      </w:r>
      <w:r w:rsidR="00C01F3C" w:rsidRPr="009C5F11">
        <w:rPr>
          <w:rFonts w:ascii="Times New Roman" w:hAnsi="Times New Roman" w:cs="Times New Roman"/>
          <w:sz w:val="24"/>
          <w:lang w:val="ro-RO"/>
        </w:rPr>
        <w:t>re a</w:t>
      </w:r>
      <w:r w:rsidR="00BC2ED4" w:rsidRPr="009C5F11">
        <w:rPr>
          <w:rFonts w:ascii="Times New Roman" w:hAnsi="Times New Roman" w:cs="Times New Roman"/>
          <w:sz w:val="24"/>
          <w:lang w:val="ro-RO"/>
        </w:rPr>
        <w:t xml:space="preserve"> </w:t>
      </w:r>
      <w:r w:rsidR="006F2A15" w:rsidRPr="009C5F11">
        <w:rPr>
          <w:rFonts w:ascii="Times New Roman" w:hAnsi="Times New Roman" w:cs="Times New Roman"/>
          <w:sz w:val="24"/>
          <w:lang w:val="ro-RO"/>
        </w:rPr>
        <w:t>iluminatul</w:t>
      </w:r>
      <w:r w:rsidR="00C01F3C" w:rsidRPr="009C5F11">
        <w:rPr>
          <w:rFonts w:ascii="Times New Roman" w:hAnsi="Times New Roman" w:cs="Times New Roman"/>
          <w:sz w:val="24"/>
          <w:lang w:val="ro-RO"/>
        </w:rPr>
        <w:t>ui</w:t>
      </w:r>
      <w:r w:rsidR="006F2A15" w:rsidRPr="009C5F11">
        <w:rPr>
          <w:rFonts w:ascii="Times New Roman" w:hAnsi="Times New Roman" w:cs="Times New Roman"/>
          <w:sz w:val="24"/>
          <w:lang w:val="ro-RO"/>
        </w:rPr>
        <w:t xml:space="preserve"> stradal</w:t>
      </w:r>
      <w:r w:rsidR="00BC2ED4" w:rsidRPr="009C5F11">
        <w:rPr>
          <w:rFonts w:ascii="Times New Roman" w:hAnsi="Times New Roman" w:cs="Times New Roman"/>
          <w:sz w:val="24"/>
          <w:lang w:val="ro-RO"/>
        </w:rPr>
        <w:t xml:space="preserve">. </w:t>
      </w:r>
      <w:r w:rsidR="00C01F3C" w:rsidRPr="009C5F11">
        <w:rPr>
          <w:rFonts w:ascii="Times New Roman" w:hAnsi="Times New Roman" w:cs="Times New Roman"/>
          <w:sz w:val="24"/>
          <w:lang w:val="ro-RO"/>
        </w:rPr>
        <w:t xml:space="preserve">În sarcina </w:t>
      </w:r>
      <w:r w:rsidR="00AA0566" w:rsidRPr="009C5F11">
        <w:rPr>
          <w:rFonts w:ascii="Times New Roman" w:hAnsi="Times New Roman" w:cs="Times New Roman"/>
          <w:sz w:val="24"/>
          <w:lang w:val="ro-RO"/>
        </w:rPr>
        <w:t>AEE</w:t>
      </w:r>
      <w:r w:rsidR="00BC2ED4" w:rsidRPr="009C5F11">
        <w:rPr>
          <w:rFonts w:ascii="Times New Roman" w:hAnsi="Times New Roman" w:cs="Times New Roman"/>
          <w:sz w:val="24"/>
          <w:lang w:val="ro-RO"/>
        </w:rPr>
        <w:t xml:space="preserve"> </w:t>
      </w:r>
      <w:r w:rsidR="00C01F3C" w:rsidRPr="009C5F11">
        <w:rPr>
          <w:rFonts w:ascii="Times New Roman" w:hAnsi="Times New Roman" w:cs="Times New Roman"/>
          <w:sz w:val="24"/>
          <w:lang w:val="ro-RO"/>
        </w:rPr>
        <w:t xml:space="preserve">a fost pusă </w:t>
      </w:r>
      <w:r w:rsidR="00BC2ED4" w:rsidRPr="009C5F11">
        <w:rPr>
          <w:rFonts w:ascii="Times New Roman" w:hAnsi="Times New Roman" w:cs="Times New Roman"/>
          <w:sz w:val="24"/>
          <w:lang w:val="ro-RO"/>
        </w:rPr>
        <w:t>defin</w:t>
      </w:r>
      <w:r w:rsidR="00C01F3C" w:rsidRPr="009C5F11">
        <w:rPr>
          <w:rFonts w:ascii="Times New Roman" w:hAnsi="Times New Roman" w:cs="Times New Roman"/>
          <w:sz w:val="24"/>
          <w:lang w:val="ro-RO"/>
        </w:rPr>
        <w:t>irea indicatorilor de</w:t>
      </w:r>
      <w:r w:rsidR="00BC2ED4"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eficienţă energetică</w:t>
      </w:r>
      <w:r w:rsidR="00BC2ED4"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şi </w:t>
      </w:r>
      <w:r w:rsidR="00C01F3C" w:rsidRPr="009C5F11">
        <w:rPr>
          <w:rFonts w:ascii="Times New Roman" w:hAnsi="Times New Roman" w:cs="Times New Roman"/>
          <w:sz w:val="24"/>
          <w:lang w:val="ro-RO"/>
        </w:rPr>
        <w:t>a criteriilor de referinţă</w:t>
      </w:r>
      <w:r w:rsidR="00BC2ED4" w:rsidRPr="009C5F11">
        <w:rPr>
          <w:rFonts w:ascii="Times New Roman" w:hAnsi="Times New Roman" w:cs="Times New Roman"/>
          <w:sz w:val="24"/>
          <w:lang w:val="ro-RO"/>
        </w:rPr>
        <w:t xml:space="preserve"> </w:t>
      </w:r>
      <w:r w:rsidR="000126A5" w:rsidRPr="009C5F11">
        <w:rPr>
          <w:rFonts w:ascii="Times New Roman" w:hAnsi="Times New Roman" w:cs="Times New Roman"/>
          <w:sz w:val="24"/>
          <w:lang w:val="ro-RO"/>
        </w:rPr>
        <w:t>şi/sau</w:t>
      </w:r>
      <w:r w:rsidR="00BC2ED4" w:rsidRPr="009C5F11">
        <w:rPr>
          <w:rFonts w:ascii="Times New Roman" w:hAnsi="Times New Roman" w:cs="Times New Roman"/>
          <w:sz w:val="24"/>
          <w:lang w:val="ro-RO"/>
        </w:rPr>
        <w:t xml:space="preserve"> ali</w:t>
      </w:r>
      <w:r w:rsidR="00C01F3C" w:rsidRPr="009C5F11">
        <w:rPr>
          <w:rFonts w:ascii="Times New Roman" w:hAnsi="Times New Roman" w:cs="Times New Roman"/>
          <w:sz w:val="24"/>
          <w:lang w:val="ro-RO"/>
        </w:rPr>
        <w:t xml:space="preserve">nierea </w:t>
      </w:r>
      <w:r w:rsidR="00D27C3A" w:rsidRPr="009C5F11">
        <w:rPr>
          <w:rFonts w:ascii="Times New Roman" w:hAnsi="Times New Roman" w:cs="Times New Roman"/>
          <w:sz w:val="24"/>
          <w:lang w:val="ro-RO"/>
        </w:rPr>
        <w:t>indicatori</w:t>
      </w:r>
      <w:r w:rsidR="00C01F3C" w:rsidRPr="009C5F11">
        <w:rPr>
          <w:rFonts w:ascii="Times New Roman" w:hAnsi="Times New Roman" w:cs="Times New Roman"/>
          <w:sz w:val="24"/>
          <w:lang w:val="ro-RO"/>
        </w:rPr>
        <w:t xml:space="preserve">lor existenţi cu cei stabiliţi de </w:t>
      </w:r>
      <w:r w:rsidR="00006B57" w:rsidRPr="009C5F11">
        <w:rPr>
          <w:rFonts w:ascii="Times New Roman" w:hAnsi="Times New Roman" w:cs="Times New Roman"/>
          <w:sz w:val="24"/>
          <w:lang w:val="ro-RO"/>
        </w:rPr>
        <w:t>Uniunea Europeană</w:t>
      </w:r>
      <w:r w:rsidR="00BC2ED4"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inclusiv</w:t>
      </w:r>
      <w:r w:rsidR="00BC2ED4" w:rsidRPr="009C5F11">
        <w:rPr>
          <w:rFonts w:ascii="Times New Roman" w:hAnsi="Times New Roman" w:cs="Times New Roman"/>
          <w:sz w:val="24"/>
          <w:lang w:val="ro-RO"/>
        </w:rPr>
        <w:t xml:space="preserve"> </w:t>
      </w:r>
      <w:r w:rsidR="00C01F3C" w:rsidRPr="009C5F11">
        <w:rPr>
          <w:rFonts w:ascii="Times New Roman" w:hAnsi="Times New Roman" w:cs="Times New Roman"/>
          <w:sz w:val="24"/>
          <w:lang w:val="ro-RO"/>
        </w:rPr>
        <w:t>pentru gospodăriile casnice</w:t>
      </w:r>
      <w:r w:rsidR="00BC2ED4" w:rsidRPr="009C5F11">
        <w:rPr>
          <w:rFonts w:ascii="Times New Roman" w:hAnsi="Times New Roman" w:cs="Times New Roman"/>
          <w:sz w:val="24"/>
          <w:lang w:val="ro-RO"/>
        </w:rPr>
        <w:t>, I</w:t>
      </w:r>
      <w:r w:rsidR="000264F0" w:rsidRPr="009C5F11">
        <w:rPr>
          <w:rFonts w:ascii="Times New Roman" w:hAnsi="Times New Roman" w:cs="Times New Roman"/>
          <w:sz w:val="24"/>
          <w:lang w:val="ro-RO"/>
        </w:rPr>
        <w:t>T</w:t>
      </w:r>
      <w:r w:rsidR="00321CD5" w:rsidRPr="009C5F11">
        <w:rPr>
          <w:rFonts w:ascii="Times New Roman" w:hAnsi="Times New Roman" w:cs="Times New Roman"/>
          <w:sz w:val="24"/>
          <w:lang w:val="ro-RO"/>
        </w:rPr>
        <w:t xml:space="preserve"> şi </w:t>
      </w:r>
      <w:r w:rsidR="00C01F3C" w:rsidRPr="009C5F11">
        <w:rPr>
          <w:rFonts w:ascii="Times New Roman" w:hAnsi="Times New Roman" w:cs="Times New Roman"/>
          <w:sz w:val="24"/>
          <w:lang w:val="ro-RO"/>
        </w:rPr>
        <w:t>corpurile de iluminat</w:t>
      </w:r>
      <w:r w:rsidR="00BC2ED4" w:rsidRPr="009C5F11">
        <w:rPr>
          <w:rFonts w:ascii="Times New Roman" w:hAnsi="Times New Roman" w:cs="Times New Roman"/>
          <w:sz w:val="24"/>
          <w:lang w:val="ro-RO"/>
        </w:rPr>
        <w:t>.</w:t>
      </w:r>
    </w:p>
    <w:p w14:paraId="1ED643B4" w14:textId="77777777" w:rsidR="00644E97" w:rsidRPr="009C5F11" w:rsidRDefault="00644E97" w:rsidP="00093FD6">
      <w:pPr>
        <w:spacing w:before="120" w:after="120" w:line="240" w:lineRule="auto"/>
        <w:jc w:val="both"/>
        <w:rPr>
          <w:rFonts w:ascii="Times New Roman" w:hAnsi="Times New Roman" w:cs="Times New Roman"/>
          <w:sz w:val="24"/>
          <w:lang w:val="ro-RO"/>
        </w:rPr>
      </w:pPr>
    </w:p>
    <w:p w14:paraId="1CF024B0" w14:textId="77777777" w:rsidR="00BC2ED4" w:rsidRPr="009C5F11" w:rsidRDefault="00872DC2" w:rsidP="00BC2ED4">
      <w:pPr>
        <w:spacing w:line="240" w:lineRule="auto"/>
        <w:jc w:val="both"/>
        <w:rPr>
          <w:rFonts w:ascii="Times New Roman" w:eastAsia="Calibri" w:hAnsi="Times New Roman" w:cs="Times New Roman"/>
          <w:sz w:val="24"/>
          <w:u w:val="single"/>
          <w:lang w:val="ro-RO" w:eastAsia="de-DE"/>
        </w:rPr>
      </w:pPr>
      <w:r w:rsidRPr="009C5F11">
        <w:rPr>
          <w:rFonts w:ascii="Times New Roman" w:eastAsia="Calibri" w:hAnsi="Times New Roman" w:cs="Times New Roman"/>
          <w:sz w:val="24"/>
          <w:u w:val="single"/>
          <w:lang w:val="ro-RO" w:eastAsia="de-DE"/>
        </w:rPr>
        <w:t>PNAEE</w:t>
      </w:r>
      <w:r w:rsidR="00BC2ED4" w:rsidRPr="009C5F11">
        <w:rPr>
          <w:rFonts w:ascii="Times New Roman" w:eastAsia="Calibri" w:hAnsi="Times New Roman" w:cs="Times New Roman"/>
          <w:sz w:val="24"/>
          <w:u w:val="single"/>
          <w:lang w:val="ro-RO" w:eastAsia="de-DE"/>
        </w:rPr>
        <w:t xml:space="preserve"> 2013-2015</w:t>
      </w:r>
    </w:p>
    <w:p w14:paraId="43BC402D" w14:textId="266BC1D0" w:rsidR="00BC2ED4" w:rsidRPr="009C5F11" w:rsidRDefault="006F2A15"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Măsura</w:t>
      </w:r>
      <w:r w:rsidR="00BC2ED4" w:rsidRPr="009C5F11">
        <w:rPr>
          <w:rFonts w:ascii="Times New Roman" w:hAnsi="Times New Roman" w:cs="Times New Roman"/>
          <w:sz w:val="24"/>
          <w:lang w:val="ro-RO"/>
        </w:rPr>
        <w:t xml:space="preserve"> </w:t>
      </w:r>
      <w:r w:rsidR="00B7502D" w:rsidRPr="009C5F11">
        <w:rPr>
          <w:rFonts w:ascii="Times New Roman" w:hAnsi="Times New Roman" w:cs="Times New Roman"/>
          <w:sz w:val="24"/>
          <w:lang w:val="ro-RO"/>
        </w:rPr>
        <w:t>prevede</w:t>
      </w:r>
      <w:r w:rsidR="00BC2ED4" w:rsidRPr="009C5F11">
        <w:rPr>
          <w:rFonts w:ascii="Times New Roman" w:hAnsi="Times New Roman" w:cs="Times New Roman"/>
          <w:sz w:val="24"/>
          <w:lang w:val="ro-RO"/>
        </w:rPr>
        <w:t xml:space="preserve"> </w:t>
      </w:r>
      <w:r w:rsidR="00B7502D" w:rsidRPr="009C5F11">
        <w:rPr>
          <w:rFonts w:ascii="Times New Roman" w:hAnsi="Times New Roman" w:cs="Times New Roman"/>
          <w:sz w:val="24"/>
          <w:lang w:val="ro-RO"/>
        </w:rPr>
        <w:t xml:space="preserve">realizarea </w:t>
      </w:r>
      <w:r w:rsidR="00E54D88" w:rsidRPr="009C5F11">
        <w:rPr>
          <w:rFonts w:ascii="Times New Roman" w:hAnsi="Times New Roman" w:cs="Times New Roman"/>
          <w:sz w:val="24"/>
          <w:lang w:val="ro-RO"/>
        </w:rPr>
        <w:t>următoarel</w:t>
      </w:r>
      <w:r w:rsidR="00B7502D" w:rsidRPr="009C5F11">
        <w:rPr>
          <w:rFonts w:ascii="Times New Roman" w:hAnsi="Times New Roman" w:cs="Times New Roman"/>
          <w:sz w:val="24"/>
          <w:lang w:val="ro-RO"/>
        </w:rPr>
        <w:t>or</w:t>
      </w:r>
      <w:r w:rsidR="009B0244" w:rsidRPr="009C5F11">
        <w:rPr>
          <w:rFonts w:ascii="Times New Roman" w:hAnsi="Times New Roman" w:cs="Times New Roman"/>
          <w:sz w:val="24"/>
          <w:lang w:val="ro-RO"/>
        </w:rPr>
        <w:t xml:space="preserve"> </w:t>
      </w:r>
      <w:r w:rsidR="00B7502D" w:rsidRPr="009C5F11">
        <w:rPr>
          <w:rFonts w:ascii="Times New Roman" w:hAnsi="Times New Roman" w:cs="Times New Roman"/>
          <w:sz w:val="24"/>
          <w:lang w:val="ro-RO"/>
        </w:rPr>
        <w:t>5</w:t>
      </w:r>
      <w:r w:rsidR="009B0244" w:rsidRPr="009C5F11">
        <w:rPr>
          <w:rFonts w:ascii="Times New Roman" w:hAnsi="Times New Roman" w:cs="Times New Roman"/>
          <w:sz w:val="24"/>
          <w:lang w:val="ro-RO"/>
        </w:rPr>
        <w:t xml:space="preserve"> </w:t>
      </w:r>
      <w:r w:rsidR="008F7BD5" w:rsidRPr="009C5F11">
        <w:rPr>
          <w:rFonts w:ascii="Times New Roman" w:hAnsi="Times New Roman" w:cs="Times New Roman"/>
          <w:sz w:val="24"/>
          <w:lang w:val="ro-RO"/>
        </w:rPr>
        <w:t>acţiuni</w:t>
      </w:r>
      <w:r w:rsidR="00893F68" w:rsidRPr="009C5F11">
        <w:rPr>
          <w:rFonts w:ascii="Times New Roman" w:hAnsi="Times New Roman" w:cs="Times New Roman"/>
          <w:sz w:val="24"/>
          <w:lang w:val="ro-RO"/>
        </w:rPr>
        <w:t xml:space="preserve"> monitor</w:t>
      </w:r>
      <w:r w:rsidR="00B7502D" w:rsidRPr="009C5F11">
        <w:rPr>
          <w:rFonts w:ascii="Times New Roman" w:hAnsi="Times New Roman" w:cs="Times New Roman"/>
          <w:sz w:val="24"/>
          <w:lang w:val="ro-RO"/>
        </w:rPr>
        <w:t>izate de</w:t>
      </w:r>
      <w:r w:rsidR="00893F68" w:rsidRPr="009C5F11">
        <w:rPr>
          <w:rFonts w:ascii="Times New Roman" w:hAnsi="Times New Roman" w:cs="Times New Roman"/>
          <w:sz w:val="24"/>
          <w:lang w:val="ro-RO"/>
        </w:rPr>
        <w:t xml:space="preserve"> </w:t>
      </w:r>
      <w:r w:rsidR="00EA007D" w:rsidRPr="009C5F11">
        <w:rPr>
          <w:rFonts w:ascii="Times New Roman" w:hAnsi="Times New Roman" w:cs="Times New Roman"/>
          <w:sz w:val="24"/>
          <w:lang w:val="ro-RO"/>
        </w:rPr>
        <w:t>AEE</w:t>
      </w:r>
      <w:r w:rsidR="00BC2ED4" w:rsidRPr="009C5F11">
        <w:rPr>
          <w:rFonts w:ascii="Times New Roman" w:hAnsi="Times New Roman" w:cs="Times New Roman"/>
          <w:sz w:val="24"/>
          <w:lang w:val="ro-RO"/>
        </w:rPr>
        <w:t>:</w:t>
      </w:r>
    </w:p>
    <w:p w14:paraId="27F6E470" w14:textId="77777777" w:rsidR="00BC2ED4" w:rsidRPr="009C5F11" w:rsidRDefault="00B7502D" w:rsidP="00334F3B">
      <w:pPr>
        <w:pStyle w:val="Listparagraf"/>
        <w:numPr>
          <w:ilvl w:val="0"/>
          <w:numId w:val="176"/>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Elaborarea</w:t>
      </w:r>
      <w:r w:rsidR="00BC2ED4" w:rsidRPr="009C5F11">
        <w:rPr>
          <w:rFonts w:ascii="Times New Roman" w:hAnsi="Times New Roman" w:cs="Times New Roman"/>
          <w:sz w:val="24"/>
          <w:lang w:val="ro-RO"/>
        </w:rPr>
        <w:t xml:space="preserve"> </w:t>
      </w:r>
      <w:r w:rsidR="00A07A79" w:rsidRPr="009C5F11">
        <w:rPr>
          <w:rFonts w:ascii="Times New Roman" w:hAnsi="Times New Roman" w:cs="Times New Roman"/>
          <w:sz w:val="24"/>
          <w:lang w:val="ro-RO"/>
        </w:rPr>
        <w:t>propunerilor</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axate pe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restricţionarea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utilizării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becurilor cu incandescenţă</w:t>
      </w:r>
      <w:r w:rsidR="00321CD5" w:rsidRPr="009C5F11">
        <w:rPr>
          <w:rFonts w:ascii="Times New Roman" w:hAnsi="Times New Roman" w:cs="Times New Roman"/>
          <w:sz w:val="24"/>
          <w:lang w:val="ro-RO"/>
        </w:rPr>
        <w:t xml:space="preserve"> în </w:t>
      </w:r>
      <w:r w:rsidR="002F0B3A" w:rsidRPr="009C5F11">
        <w:rPr>
          <w:rFonts w:ascii="Times New Roman" w:hAnsi="Times New Roman" w:cs="Times New Roman"/>
          <w:sz w:val="24"/>
          <w:lang w:val="ro-RO"/>
        </w:rPr>
        <w:t>sectorul public</w:t>
      </w:r>
      <w:r w:rsidRPr="009C5F11">
        <w:rPr>
          <w:rFonts w:ascii="Times New Roman" w:hAnsi="Times New Roman" w:cs="Times New Roman"/>
          <w:sz w:val="24"/>
          <w:lang w:val="ro-RO"/>
        </w:rPr>
        <w:t>.</w:t>
      </w:r>
    </w:p>
    <w:p w14:paraId="45A67601" w14:textId="77777777" w:rsidR="00607FC5" w:rsidRPr="009C5F11" w:rsidRDefault="00D63A4A" w:rsidP="00607FC5">
      <w:pPr>
        <w:tabs>
          <w:tab w:val="left" w:pos="720"/>
        </w:tabs>
        <w:spacing w:after="0" w:line="240" w:lineRule="auto"/>
        <w:ind w:left="720"/>
        <w:jc w:val="both"/>
        <w:rPr>
          <w:rFonts w:ascii="Times New Roman" w:eastAsia="Calibri" w:hAnsi="Times New Roman" w:cs="Times New Roman"/>
          <w:i/>
          <w:szCs w:val="18"/>
          <w:lang w:val="ro-RO" w:eastAsia="de-DE"/>
        </w:rPr>
      </w:pPr>
      <w:r w:rsidRPr="009C5F11">
        <w:rPr>
          <w:rFonts w:ascii="Times New Roman" w:hAnsi="Times New Roman" w:cs="Times New Roman"/>
          <w:i/>
          <w:szCs w:val="18"/>
          <w:u w:val="single"/>
          <w:lang w:val="ro-RO"/>
        </w:rPr>
        <w:t>Potrivit Raportului anual al AEE pe anul 2015</w:t>
      </w:r>
      <w:r w:rsidR="00607FC5" w:rsidRPr="009C5F11">
        <w:rPr>
          <w:rFonts w:ascii="Times New Roman" w:hAnsi="Times New Roman" w:cs="Times New Roman"/>
          <w:i/>
          <w:szCs w:val="18"/>
          <w:u w:val="single"/>
          <w:lang w:val="ro-RO"/>
        </w:rPr>
        <w:t>:</w:t>
      </w:r>
      <w:r w:rsidR="00607FC5" w:rsidRPr="009C5F11">
        <w:rPr>
          <w:rFonts w:ascii="Times New Roman" w:hAnsi="Times New Roman" w:cs="Times New Roman"/>
          <w:i/>
          <w:szCs w:val="18"/>
          <w:lang w:val="ro-RO"/>
        </w:rPr>
        <w:t xml:space="preserve"> </w:t>
      </w:r>
      <w:r w:rsidR="00607FC5" w:rsidRPr="009C5F11">
        <w:rPr>
          <w:rFonts w:ascii="Times New Roman" w:eastAsia="Calibri" w:hAnsi="Times New Roman" w:cs="Times New Roman"/>
          <w:i/>
          <w:szCs w:val="18"/>
          <w:lang w:val="ro-RO" w:eastAsia="de-DE"/>
        </w:rPr>
        <w:t xml:space="preserve">77 </w:t>
      </w:r>
      <w:r w:rsidR="005D06FD" w:rsidRPr="009C5F11">
        <w:rPr>
          <w:rFonts w:ascii="Times New Roman" w:eastAsia="Calibri" w:hAnsi="Times New Roman" w:cs="Times New Roman"/>
          <w:i/>
          <w:szCs w:val="18"/>
          <w:lang w:val="ro-RO" w:eastAsia="de-DE"/>
        </w:rPr>
        <w:t>localităţi</w:t>
      </w:r>
      <w:r w:rsidR="00607FC5" w:rsidRPr="009C5F11">
        <w:rPr>
          <w:rFonts w:ascii="Times New Roman" w:eastAsia="Calibri" w:hAnsi="Times New Roman" w:cs="Times New Roman"/>
          <w:i/>
          <w:szCs w:val="18"/>
          <w:lang w:val="ro-RO" w:eastAsia="de-DE"/>
        </w:rPr>
        <w:t xml:space="preserve">, </w:t>
      </w:r>
      <w:r w:rsidR="00AB1710" w:rsidRPr="009C5F11">
        <w:rPr>
          <w:rFonts w:ascii="Times New Roman" w:eastAsia="Calibri" w:hAnsi="Times New Roman" w:cs="Times New Roman"/>
          <w:i/>
          <w:szCs w:val="18"/>
          <w:lang w:val="ro-RO" w:eastAsia="de-DE"/>
        </w:rPr>
        <w:t>inclusiv</w:t>
      </w:r>
      <w:r w:rsidR="00607FC5" w:rsidRPr="009C5F11">
        <w:rPr>
          <w:rFonts w:ascii="Times New Roman" w:eastAsia="Calibri" w:hAnsi="Times New Roman" w:cs="Times New Roman"/>
          <w:i/>
          <w:szCs w:val="18"/>
          <w:lang w:val="ro-RO" w:eastAsia="de-DE"/>
        </w:rPr>
        <w:t xml:space="preserve"> 6 </w:t>
      </w:r>
      <w:r w:rsidR="005D06FD" w:rsidRPr="009C5F11">
        <w:rPr>
          <w:rFonts w:ascii="Times New Roman" w:eastAsia="Calibri" w:hAnsi="Times New Roman" w:cs="Times New Roman"/>
          <w:i/>
          <w:szCs w:val="18"/>
          <w:lang w:val="ro-RO" w:eastAsia="de-DE"/>
        </w:rPr>
        <w:t>oraşe</w:t>
      </w:r>
      <w:r w:rsidR="00607FC5"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au elaborat propuneri</w:t>
      </w:r>
      <w:r w:rsidR="00607FC5"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axate pe</w:t>
      </w:r>
      <w:r w:rsidR="00607FC5"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restricţionarea</w:t>
      </w:r>
      <w:r w:rsidR="00607FC5"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utilizării</w:t>
      </w:r>
      <w:r w:rsidR="00607FC5"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becurilor cu incandescenţă</w:t>
      </w:r>
      <w:r w:rsidR="00321CD5" w:rsidRPr="009C5F11">
        <w:rPr>
          <w:rFonts w:ascii="Times New Roman" w:eastAsia="Calibri" w:hAnsi="Times New Roman" w:cs="Times New Roman"/>
          <w:i/>
          <w:szCs w:val="18"/>
          <w:lang w:val="ro-RO" w:eastAsia="de-DE"/>
        </w:rPr>
        <w:t xml:space="preserve"> în </w:t>
      </w:r>
      <w:r w:rsidR="002F0B3A" w:rsidRPr="009C5F11">
        <w:rPr>
          <w:rFonts w:ascii="Times New Roman" w:eastAsia="Calibri" w:hAnsi="Times New Roman" w:cs="Times New Roman"/>
          <w:i/>
          <w:szCs w:val="18"/>
          <w:lang w:val="ro-RO" w:eastAsia="de-DE"/>
        </w:rPr>
        <w:t>sectorul public</w:t>
      </w:r>
      <w:r w:rsidR="00607FC5"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Din cele 35 de APL-uri</w:t>
      </w:r>
      <w:r w:rsidR="00607FC5" w:rsidRPr="009C5F11">
        <w:rPr>
          <w:rFonts w:ascii="Times New Roman" w:eastAsia="Calibri" w:hAnsi="Times New Roman" w:cs="Times New Roman"/>
          <w:i/>
          <w:szCs w:val="18"/>
          <w:lang w:val="ro-RO" w:eastAsia="de-DE"/>
        </w:rPr>
        <w:t xml:space="preserve"> 12 </w:t>
      </w:r>
      <w:r w:rsidRPr="009C5F11">
        <w:rPr>
          <w:rFonts w:ascii="Times New Roman" w:eastAsia="Calibri" w:hAnsi="Times New Roman" w:cs="Times New Roman"/>
          <w:i/>
          <w:szCs w:val="18"/>
          <w:lang w:val="ro-RO" w:eastAsia="de-DE"/>
        </w:rPr>
        <w:t>au răspuns că</w:t>
      </w:r>
      <w:r w:rsidR="00607FC5" w:rsidRPr="009C5F11">
        <w:rPr>
          <w:rFonts w:ascii="Times New Roman" w:eastAsia="Calibri" w:hAnsi="Times New Roman" w:cs="Times New Roman"/>
          <w:i/>
          <w:szCs w:val="18"/>
          <w:lang w:val="ro-RO" w:eastAsia="de-DE"/>
        </w:rPr>
        <w:t xml:space="preserve"> </w:t>
      </w:r>
      <w:r w:rsidRPr="009C5F11">
        <w:rPr>
          <w:rFonts w:ascii="Times New Roman" w:eastAsia="Calibri" w:hAnsi="Times New Roman" w:cs="Times New Roman"/>
          <w:i/>
          <w:szCs w:val="18"/>
          <w:lang w:val="ro-RO" w:eastAsia="de-DE"/>
        </w:rPr>
        <w:t>propunerile au fost elaborate</w:t>
      </w:r>
      <w:r w:rsidR="00607FC5" w:rsidRPr="009C5F11">
        <w:rPr>
          <w:rFonts w:ascii="Times New Roman" w:eastAsia="Calibri" w:hAnsi="Times New Roman" w:cs="Times New Roman"/>
          <w:i/>
          <w:szCs w:val="18"/>
          <w:lang w:val="ro-RO" w:eastAsia="de-DE"/>
        </w:rPr>
        <w:t xml:space="preserve">: mun. </w:t>
      </w:r>
      <w:r w:rsidR="00210C2C" w:rsidRPr="009C5F11">
        <w:rPr>
          <w:rFonts w:ascii="Times New Roman" w:eastAsia="Calibri" w:hAnsi="Times New Roman" w:cs="Times New Roman"/>
          <w:i/>
          <w:szCs w:val="18"/>
          <w:lang w:val="ro-RO" w:eastAsia="de-DE"/>
        </w:rPr>
        <w:t>Bălţi</w:t>
      </w:r>
      <w:r w:rsidR="00607FC5"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Anenii Noi</w:t>
      </w:r>
      <w:r w:rsidR="00607FC5"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Căuşeni</w:t>
      </w:r>
      <w:r w:rsidR="00607FC5" w:rsidRPr="009C5F11">
        <w:rPr>
          <w:rFonts w:ascii="Times New Roman" w:eastAsia="Calibri" w:hAnsi="Times New Roman" w:cs="Times New Roman"/>
          <w:i/>
          <w:szCs w:val="18"/>
          <w:lang w:val="ro-RO" w:eastAsia="de-DE"/>
        </w:rPr>
        <w:t xml:space="preserve">, Criuleni, </w:t>
      </w:r>
      <w:r w:rsidR="005D06FD" w:rsidRPr="009C5F11">
        <w:rPr>
          <w:rFonts w:ascii="Times New Roman" w:eastAsia="Calibri" w:hAnsi="Times New Roman" w:cs="Times New Roman"/>
          <w:i/>
          <w:szCs w:val="18"/>
          <w:lang w:val="ro-RO" w:eastAsia="de-DE"/>
        </w:rPr>
        <w:t>Floreşti</w:t>
      </w:r>
      <w:r w:rsidR="00607FC5" w:rsidRPr="009C5F11">
        <w:rPr>
          <w:rFonts w:ascii="Times New Roman" w:eastAsia="Calibri" w:hAnsi="Times New Roman" w:cs="Times New Roman"/>
          <w:i/>
          <w:szCs w:val="18"/>
          <w:lang w:val="ro-RO" w:eastAsia="de-DE"/>
        </w:rPr>
        <w:t xml:space="preserve">, Glodeni, </w:t>
      </w:r>
      <w:r w:rsidR="005D06FD" w:rsidRPr="009C5F11">
        <w:rPr>
          <w:rFonts w:ascii="Times New Roman" w:eastAsia="Calibri" w:hAnsi="Times New Roman" w:cs="Times New Roman"/>
          <w:i/>
          <w:szCs w:val="18"/>
          <w:lang w:val="ro-RO" w:eastAsia="de-DE"/>
        </w:rPr>
        <w:t>Ocniţa</w:t>
      </w:r>
      <w:r w:rsidR="00607FC5" w:rsidRPr="009C5F11">
        <w:rPr>
          <w:rFonts w:ascii="Times New Roman" w:eastAsia="Calibri" w:hAnsi="Times New Roman" w:cs="Times New Roman"/>
          <w:i/>
          <w:szCs w:val="18"/>
          <w:lang w:val="ro-RO" w:eastAsia="de-DE"/>
        </w:rPr>
        <w:t xml:space="preserve">, Rezina, </w:t>
      </w:r>
      <w:r w:rsidR="005D06FD" w:rsidRPr="009C5F11">
        <w:rPr>
          <w:rFonts w:ascii="Times New Roman" w:eastAsia="Calibri" w:hAnsi="Times New Roman" w:cs="Times New Roman"/>
          <w:i/>
          <w:szCs w:val="18"/>
          <w:lang w:val="ro-RO" w:eastAsia="de-DE"/>
        </w:rPr>
        <w:t>Rîşcani</w:t>
      </w:r>
      <w:r w:rsidR="00607FC5" w:rsidRPr="009C5F11">
        <w:rPr>
          <w:rFonts w:ascii="Times New Roman" w:eastAsia="Calibri" w:hAnsi="Times New Roman" w:cs="Times New Roman"/>
          <w:i/>
          <w:szCs w:val="18"/>
          <w:lang w:val="ro-RO" w:eastAsia="de-DE"/>
        </w:rPr>
        <w:t xml:space="preserve">, Soroca, </w:t>
      </w:r>
      <w:r w:rsidR="005D06FD" w:rsidRPr="009C5F11">
        <w:rPr>
          <w:rFonts w:ascii="Times New Roman" w:eastAsia="Calibri" w:hAnsi="Times New Roman" w:cs="Times New Roman"/>
          <w:i/>
          <w:szCs w:val="18"/>
          <w:lang w:val="ro-RO" w:eastAsia="de-DE"/>
        </w:rPr>
        <w:t>Şoldăneşti</w:t>
      </w:r>
      <w:r w:rsidR="00607FC5" w:rsidRPr="009C5F11">
        <w:rPr>
          <w:rFonts w:ascii="Times New Roman" w:eastAsia="Calibri" w:hAnsi="Times New Roman" w:cs="Times New Roman"/>
          <w:i/>
          <w:szCs w:val="18"/>
          <w:lang w:val="ro-RO" w:eastAsia="de-DE"/>
        </w:rPr>
        <w:t xml:space="preserve">, Ungheni. </w:t>
      </w:r>
    </w:p>
    <w:p w14:paraId="1E09CB9F" w14:textId="77777777" w:rsidR="00BC2ED4" w:rsidRPr="009C5F11" w:rsidRDefault="00A07A79" w:rsidP="00334F3B">
      <w:pPr>
        <w:pStyle w:val="Listparagraf"/>
        <w:numPr>
          <w:ilvl w:val="0"/>
          <w:numId w:val="176"/>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reflectarea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acestei măsuri</w:t>
      </w:r>
      <w:r w:rsidR="00321CD5" w:rsidRPr="009C5F11">
        <w:rPr>
          <w:rFonts w:ascii="Times New Roman" w:hAnsi="Times New Roman" w:cs="Times New Roman"/>
          <w:sz w:val="24"/>
          <w:lang w:val="ro-RO"/>
        </w:rPr>
        <w:t xml:space="preserve"> în </w:t>
      </w:r>
      <w:r w:rsidR="005D06FD" w:rsidRPr="009C5F11">
        <w:rPr>
          <w:rFonts w:ascii="Times New Roman" w:hAnsi="Times New Roman" w:cs="Times New Roman"/>
          <w:sz w:val="24"/>
          <w:lang w:val="ro-RO"/>
        </w:rPr>
        <w:t>PLEE-uri</w:t>
      </w:r>
      <w:r w:rsidR="00321CD5" w:rsidRPr="009C5F11">
        <w:rPr>
          <w:rFonts w:ascii="Times New Roman" w:hAnsi="Times New Roman" w:cs="Times New Roman"/>
          <w:sz w:val="24"/>
          <w:lang w:val="ro-RO"/>
        </w:rPr>
        <w:t xml:space="preserve"> şi </w:t>
      </w:r>
      <w:r w:rsidR="005D06FD" w:rsidRPr="009C5F11">
        <w:rPr>
          <w:rFonts w:ascii="Times New Roman" w:hAnsi="Times New Roman" w:cs="Times New Roman"/>
          <w:sz w:val="24"/>
          <w:lang w:val="ro-RO"/>
        </w:rPr>
        <w:t>PLAEE-uri</w:t>
      </w:r>
      <w:r w:rsidR="00B7502D" w:rsidRPr="009C5F11">
        <w:rPr>
          <w:rFonts w:ascii="Times New Roman" w:hAnsi="Times New Roman" w:cs="Times New Roman"/>
          <w:sz w:val="24"/>
          <w:lang w:val="ro-RO"/>
        </w:rPr>
        <w:t>:</w:t>
      </w:r>
    </w:p>
    <w:p w14:paraId="78D562A2" w14:textId="77777777" w:rsidR="00607FC5" w:rsidRPr="009C5F11" w:rsidRDefault="00D63A4A" w:rsidP="00607FC5">
      <w:pPr>
        <w:pStyle w:val="Listparagraf"/>
        <w:spacing w:before="120" w:after="120" w:line="240" w:lineRule="auto"/>
        <w:ind w:left="720"/>
        <w:contextualSpacing w:val="0"/>
        <w:jc w:val="both"/>
        <w:textAlignment w:val="baseline"/>
        <w:rPr>
          <w:rFonts w:ascii="Times New Roman" w:eastAsia="Calibri" w:hAnsi="Times New Roman" w:cs="Times New Roman"/>
          <w:i/>
          <w:szCs w:val="18"/>
          <w:lang w:val="ro-RO" w:eastAsia="de-DE"/>
        </w:rPr>
      </w:pPr>
      <w:r w:rsidRPr="009C5F11">
        <w:rPr>
          <w:rFonts w:ascii="Times New Roman" w:hAnsi="Times New Roman" w:cs="Times New Roman"/>
          <w:i/>
          <w:szCs w:val="18"/>
          <w:u w:val="single"/>
          <w:lang w:val="ro-RO"/>
        </w:rPr>
        <w:t>Potrivit Raportului anual al AEE pe anul 2015</w:t>
      </w:r>
      <w:r w:rsidR="00607FC5" w:rsidRPr="009C5F11">
        <w:rPr>
          <w:rFonts w:ascii="Times New Roman" w:hAnsi="Times New Roman" w:cs="Times New Roman"/>
          <w:i/>
          <w:szCs w:val="18"/>
          <w:u w:val="single"/>
          <w:lang w:val="ro-RO"/>
        </w:rPr>
        <w:t>:</w:t>
      </w:r>
      <w:r w:rsidR="00607FC5" w:rsidRPr="009C5F11">
        <w:rPr>
          <w:rFonts w:ascii="Times New Roman" w:eastAsia="Calibri" w:hAnsi="Times New Roman" w:cs="Times New Roman"/>
          <w:i/>
          <w:szCs w:val="18"/>
          <w:lang w:val="ro-RO" w:eastAsia="de-DE"/>
        </w:rPr>
        <w:t xml:space="preserve"> </w:t>
      </w:r>
      <w:r w:rsidRPr="009C5F11">
        <w:rPr>
          <w:rFonts w:ascii="Times New Roman" w:eastAsia="Calibri" w:hAnsi="Times New Roman" w:cs="Times New Roman"/>
          <w:i/>
          <w:szCs w:val="18"/>
          <w:lang w:val="ro-RO" w:eastAsia="de-DE"/>
        </w:rPr>
        <w:t>din cele 35 de APL-uri</w:t>
      </w:r>
      <w:r w:rsidR="00607FC5" w:rsidRPr="009C5F11">
        <w:rPr>
          <w:rFonts w:ascii="Times New Roman" w:eastAsia="Calibri" w:hAnsi="Times New Roman" w:cs="Times New Roman"/>
          <w:i/>
          <w:szCs w:val="18"/>
          <w:lang w:val="ro-RO" w:eastAsia="de-DE"/>
        </w:rPr>
        <w:t xml:space="preserve"> 16 </w:t>
      </w:r>
      <w:r w:rsidRPr="009C5F11">
        <w:rPr>
          <w:rFonts w:ascii="Times New Roman" w:eastAsia="Calibri" w:hAnsi="Times New Roman" w:cs="Times New Roman"/>
          <w:i/>
          <w:szCs w:val="18"/>
          <w:lang w:val="ro-RO" w:eastAsia="de-DE"/>
        </w:rPr>
        <w:t>au răspuns că</w:t>
      </w:r>
      <w:r w:rsidR="00607FC5"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măsurile de îmbunătăţire a iluminatului stradal</w:t>
      </w:r>
      <w:r w:rsidR="00607FC5"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au fost reflectate</w:t>
      </w:r>
      <w:r w:rsidR="00321CD5" w:rsidRPr="009C5F11">
        <w:rPr>
          <w:rFonts w:ascii="Times New Roman" w:eastAsia="Calibri" w:hAnsi="Times New Roman" w:cs="Times New Roman"/>
          <w:i/>
          <w:szCs w:val="18"/>
          <w:lang w:val="ro-RO" w:eastAsia="de-DE"/>
        </w:rPr>
        <w:t xml:space="preserve"> în </w:t>
      </w:r>
      <w:r w:rsidR="005D06FD" w:rsidRPr="009C5F11">
        <w:rPr>
          <w:rFonts w:ascii="Times New Roman" w:eastAsia="Calibri" w:hAnsi="Times New Roman" w:cs="Times New Roman"/>
          <w:i/>
          <w:szCs w:val="18"/>
          <w:lang w:val="ro-RO" w:eastAsia="de-DE"/>
        </w:rPr>
        <w:t>PLEE-uri</w:t>
      </w:r>
      <w:r w:rsidR="00321CD5" w:rsidRPr="009C5F11">
        <w:rPr>
          <w:rFonts w:ascii="Times New Roman" w:eastAsia="Calibri" w:hAnsi="Times New Roman" w:cs="Times New Roman"/>
          <w:i/>
          <w:szCs w:val="18"/>
          <w:lang w:val="ro-RO" w:eastAsia="de-DE"/>
        </w:rPr>
        <w:t xml:space="preserve"> şi </w:t>
      </w:r>
      <w:r w:rsidR="005D06FD" w:rsidRPr="009C5F11">
        <w:rPr>
          <w:rFonts w:ascii="Times New Roman" w:eastAsia="Calibri" w:hAnsi="Times New Roman" w:cs="Times New Roman"/>
          <w:i/>
          <w:szCs w:val="18"/>
          <w:lang w:val="ro-RO" w:eastAsia="de-DE"/>
        </w:rPr>
        <w:t>PLAEE-uri</w:t>
      </w:r>
      <w:r w:rsidR="00607FC5"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Anenii Noi</w:t>
      </w:r>
      <w:r w:rsidR="00607FC5" w:rsidRPr="009C5F11">
        <w:rPr>
          <w:rFonts w:ascii="Times New Roman" w:eastAsia="Calibri" w:hAnsi="Times New Roman" w:cs="Times New Roman"/>
          <w:i/>
          <w:szCs w:val="18"/>
          <w:lang w:val="ro-RO" w:eastAsia="de-DE"/>
        </w:rPr>
        <w:t xml:space="preserve">, Basarabeasca, </w:t>
      </w:r>
      <w:r w:rsidR="005D06FD" w:rsidRPr="009C5F11">
        <w:rPr>
          <w:rFonts w:ascii="Times New Roman" w:eastAsia="Calibri" w:hAnsi="Times New Roman" w:cs="Times New Roman"/>
          <w:i/>
          <w:szCs w:val="18"/>
          <w:lang w:val="ro-RO" w:eastAsia="de-DE"/>
        </w:rPr>
        <w:t>Căuşeni</w:t>
      </w:r>
      <w:r w:rsidR="00607FC5" w:rsidRPr="009C5F11">
        <w:rPr>
          <w:rFonts w:ascii="Times New Roman" w:eastAsia="Calibri" w:hAnsi="Times New Roman" w:cs="Times New Roman"/>
          <w:i/>
          <w:szCs w:val="18"/>
          <w:lang w:val="ro-RO" w:eastAsia="de-DE"/>
        </w:rPr>
        <w:t xml:space="preserve">, Criuleni, </w:t>
      </w:r>
      <w:r w:rsidR="005D06FD" w:rsidRPr="009C5F11">
        <w:rPr>
          <w:rFonts w:ascii="Times New Roman" w:eastAsia="Calibri" w:hAnsi="Times New Roman" w:cs="Times New Roman"/>
          <w:i/>
          <w:szCs w:val="18"/>
          <w:lang w:val="ro-RO" w:eastAsia="de-DE"/>
        </w:rPr>
        <w:t>Donduşeni</w:t>
      </w:r>
      <w:r w:rsidR="00607FC5"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Floreşti</w:t>
      </w:r>
      <w:r w:rsidR="00607FC5" w:rsidRPr="009C5F11">
        <w:rPr>
          <w:rFonts w:ascii="Times New Roman" w:eastAsia="Calibri" w:hAnsi="Times New Roman" w:cs="Times New Roman"/>
          <w:i/>
          <w:szCs w:val="18"/>
          <w:lang w:val="ro-RO" w:eastAsia="de-DE"/>
        </w:rPr>
        <w:t xml:space="preserve">, Glodeni, Ialoveni, Nisporeni, </w:t>
      </w:r>
      <w:r w:rsidR="005D06FD" w:rsidRPr="009C5F11">
        <w:rPr>
          <w:rFonts w:ascii="Times New Roman" w:eastAsia="Calibri" w:hAnsi="Times New Roman" w:cs="Times New Roman"/>
          <w:i/>
          <w:szCs w:val="18"/>
          <w:lang w:val="ro-RO" w:eastAsia="de-DE"/>
        </w:rPr>
        <w:t>Ocniţa</w:t>
      </w:r>
      <w:r w:rsidR="00607FC5" w:rsidRPr="009C5F11">
        <w:rPr>
          <w:rFonts w:ascii="Times New Roman" w:eastAsia="Calibri" w:hAnsi="Times New Roman" w:cs="Times New Roman"/>
          <w:i/>
          <w:szCs w:val="18"/>
          <w:lang w:val="ro-RO" w:eastAsia="de-DE"/>
        </w:rPr>
        <w:t xml:space="preserve">, Rezina, </w:t>
      </w:r>
      <w:r w:rsidR="005D06FD" w:rsidRPr="009C5F11">
        <w:rPr>
          <w:rFonts w:ascii="Times New Roman" w:eastAsia="Calibri" w:hAnsi="Times New Roman" w:cs="Times New Roman"/>
          <w:i/>
          <w:szCs w:val="18"/>
          <w:lang w:val="ro-RO" w:eastAsia="de-DE"/>
        </w:rPr>
        <w:t>Rîşcani</w:t>
      </w:r>
      <w:r w:rsidR="00607FC5" w:rsidRPr="009C5F11">
        <w:rPr>
          <w:rFonts w:ascii="Times New Roman" w:eastAsia="Calibri" w:hAnsi="Times New Roman" w:cs="Times New Roman"/>
          <w:i/>
          <w:szCs w:val="18"/>
          <w:lang w:val="ro-RO" w:eastAsia="de-DE"/>
        </w:rPr>
        <w:t xml:space="preserve">, Soroca, </w:t>
      </w:r>
      <w:r w:rsidR="005D06FD" w:rsidRPr="009C5F11">
        <w:rPr>
          <w:rFonts w:ascii="Times New Roman" w:eastAsia="Calibri" w:hAnsi="Times New Roman" w:cs="Times New Roman"/>
          <w:i/>
          <w:szCs w:val="18"/>
          <w:lang w:val="ro-RO" w:eastAsia="de-DE"/>
        </w:rPr>
        <w:t>Şoldăneşti</w:t>
      </w:r>
      <w:r w:rsidR="00607FC5"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Teleneşti</w:t>
      </w:r>
      <w:r w:rsidR="00607FC5" w:rsidRPr="009C5F11">
        <w:rPr>
          <w:rFonts w:ascii="Times New Roman" w:eastAsia="Calibri" w:hAnsi="Times New Roman" w:cs="Times New Roman"/>
          <w:i/>
          <w:szCs w:val="18"/>
          <w:lang w:val="ro-RO" w:eastAsia="de-DE"/>
        </w:rPr>
        <w:t xml:space="preserve">, Ungheni. </w:t>
      </w:r>
      <w:r w:rsidR="005D06FD" w:rsidRPr="009C5F11">
        <w:rPr>
          <w:rFonts w:ascii="Times New Roman" w:eastAsia="Calibri" w:hAnsi="Times New Roman" w:cs="Times New Roman"/>
          <w:i/>
          <w:szCs w:val="18"/>
          <w:lang w:val="ro-RO" w:eastAsia="de-DE"/>
        </w:rPr>
        <w:t>Făleşti</w:t>
      </w:r>
      <w:r w:rsidR="00607FC5" w:rsidRPr="009C5F11">
        <w:rPr>
          <w:rFonts w:ascii="Times New Roman" w:eastAsia="Calibri" w:hAnsi="Times New Roman" w:cs="Times New Roman"/>
          <w:i/>
          <w:szCs w:val="18"/>
          <w:lang w:val="ro-RO" w:eastAsia="de-DE"/>
        </w:rPr>
        <w:t xml:space="preserve"> </w:t>
      </w:r>
      <w:r w:rsidRPr="009C5F11">
        <w:rPr>
          <w:rFonts w:ascii="Times New Roman" w:eastAsia="Calibri" w:hAnsi="Times New Roman" w:cs="Times New Roman"/>
          <w:i/>
          <w:szCs w:val="18"/>
          <w:lang w:val="ro-RO" w:eastAsia="de-DE"/>
        </w:rPr>
        <w:t>a răspuns că</w:t>
      </w:r>
      <w:r w:rsidR="00607FC5"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măsurile de îmbunătăţire a iluminatului stradal</w:t>
      </w:r>
      <w:r w:rsidR="00607FC5"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vor fi reflectate</w:t>
      </w:r>
      <w:r w:rsidR="00321CD5" w:rsidRPr="009C5F11">
        <w:rPr>
          <w:rFonts w:ascii="Times New Roman" w:eastAsia="Calibri" w:hAnsi="Times New Roman" w:cs="Times New Roman"/>
          <w:i/>
          <w:szCs w:val="18"/>
          <w:lang w:val="ro-RO" w:eastAsia="de-DE"/>
        </w:rPr>
        <w:t xml:space="preserve"> în </w:t>
      </w:r>
      <w:r w:rsidR="00D77687" w:rsidRPr="009C5F11">
        <w:rPr>
          <w:rFonts w:ascii="Times New Roman" w:eastAsia="Calibri" w:hAnsi="Times New Roman" w:cs="Times New Roman"/>
          <w:i/>
          <w:szCs w:val="18"/>
          <w:lang w:val="ro-RO" w:eastAsia="de-DE"/>
        </w:rPr>
        <w:t>PLEE</w:t>
      </w:r>
      <w:r w:rsidR="00321CD5" w:rsidRPr="009C5F11">
        <w:rPr>
          <w:rFonts w:ascii="Times New Roman" w:eastAsia="Calibri" w:hAnsi="Times New Roman" w:cs="Times New Roman"/>
          <w:i/>
          <w:szCs w:val="18"/>
          <w:lang w:val="ro-RO" w:eastAsia="de-DE"/>
        </w:rPr>
        <w:t xml:space="preserve"> şi </w:t>
      </w:r>
      <w:r w:rsidR="00F4274E" w:rsidRPr="009C5F11">
        <w:rPr>
          <w:rFonts w:ascii="Times New Roman" w:eastAsia="Calibri" w:hAnsi="Times New Roman" w:cs="Times New Roman"/>
          <w:i/>
          <w:szCs w:val="18"/>
          <w:lang w:val="ro-RO" w:eastAsia="de-DE"/>
        </w:rPr>
        <w:t>PLAEE</w:t>
      </w:r>
      <w:r w:rsidR="00607FC5" w:rsidRPr="009C5F11">
        <w:rPr>
          <w:rFonts w:ascii="Times New Roman" w:eastAsia="Calibri" w:hAnsi="Times New Roman" w:cs="Times New Roman"/>
          <w:i/>
          <w:szCs w:val="18"/>
          <w:lang w:val="ro-RO" w:eastAsia="de-DE"/>
        </w:rPr>
        <w:t>.</w:t>
      </w:r>
    </w:p>
    <w:p w14:paraId="2D35D2D2" w14:textId="77777777" w:rsidR="007D750A" w:rsidRPr="009C5F11" w:rsidRDefault="00A07A79" w:rsidP="00334F3B">
      <w:pPr>
        <w:pStyle w:val="Listparagraf"/>
        <w:numPr>
          <w:ilvl w:val="0"/>
          <w:numId w:val="176"/>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efectuarea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auditului energetic</w:t>
      </w:r>
      <w:r w:rsidR="00BC2ED4" w:rsidRPr="009C5F11">
        <w:rPr>
          <w:rFonts w:ascii="Times New Roman" w:hAnsi="Times New Roman" w:cs="Times New Roman"/>
          <w:sz w:val="24"/>
          <w:lang w:val="ro-RO"/>
        </w:rPr>
        <w:t xml:space="preserve"> </w:t>
      </w:r>
      <w:r w:rsidR="00B7502D" w:rsidRPr="009C5F11">
        <w:rPr>
          <w:rFonts w:ascii="Times New Roman" w:hAnsi="Times New Roman" w:cs="Times New Roman"/>
          <w:sz w:val="24"/>
          <w:lang w:val="ro-RO"/>
        </w:rPr>
        <w:t>a</w:t>
      </w:r>
      <w:r w:rsidR="0041044E" w:rsidRPr="009C5F11">
        <w:rPr>
          <w:rFonts w:ascii="Times New Roman" w:hAnsi="Times New Roman" w:cs="Times New Roman"/>
          <w:sz w:val="24"/>
          <w:lang w:val="ro-RO"/>
        </w:rPr>
        <w:t>l</w:t>
      </w:r>
      <w:r w:rsidR="00B7502D" w:rsidRPr="009C5F11">
        <w:rPr>
          <w:rFonts w:ascii="Times New Roman" w:hAnsi="Times New Roman" w:cs="Times New Roman"/>
          <w:sz w:val="24"/>
          <w:lang w:val="ro-RO"/>
        </w:rPr>
        <w:t xml:space="preserve"> sistemelor existente de iluminare.</w:t>
      </w:r>
    </w:p>
    <w:p w14:paraId="04E58069" w14:textId="77777777" w:rsidR="007D750A" w:rsidRPr="009C5F11" w:rsidRDefault="00D63A4A" w:rsidP="007D750A">
      <w:pPr>
        <w:pStyle w:val="Listparagraf"/>
        <w:spacing w:before="120" w:after="120" w:line="240" w:lineRule="auto"/>
        <w:ind w:left="720"/>
        <w:contextualSpacing w:val="0"/>
        <w:jc w:val="both"/>
        <w:textAlignment w:val="baseline"/>
        <w:rPr>
          <w:rFonts w:ascii="Times New Roman" w:hAnsi="Times New Roman" w:cs="Times New Roman"/>
          <w:i/>
          <w:szCs w:val="18"/>
          <w:lang w:val="ro-RO"/>
        </w:rPr>
      </w:pPr>
      <w:r w:rsidRPr="009C5F11">
        <w:rPr>
          <w:rFonts w:ascii="Times New Roman" w:hAnsi="Times New Roman" w:cs="Times New Roman"/>
          <w:i/>
          <w:szCs w:val="18"/>
          <w:u w:val="single"/>
          <w:lang w:val="ro-RO"/>
        </w:rPr>
        <w:t>Potrivit Raportului anual al AEE pe anul 2015</w:t>
      </w:r>
      <w:r w:rsidR="007D750A" w:rsidRPr="009C5F11">
        <w:rPr>
          <w:rFonts w:ascii="Times New Roman" w:hAnsi="Times New Roman" w:cs="Times New Roman"/>
          <w:i/>
          <w:szCs w:val="18"/>
          <w:u w:val="single"/>
          <w:lang w:val="ro-RO"/>
        </w:rPr>
        <w:t>:</w:t>
      </w:r>
      <w:r w:rsidR="007D750A" w:rsidRPr="009C5F11">
        <w:rPr>
          <w:rFonts w:ascii="Times New Roman" w:eastAsia="Calibri" w:hAnsi="Times New Roman" w:cs="Times New Roman"/>
          <w:i/>
          <w:szCs w:val="18"/>
          <w:lang w:val="ro-RO" w:eastAsia="de-DE"/>
        </w:rPr>
        <w:t xml:space="preserve"> 52 </w:t>
      </w:r>
      <w:r w:rsidR="005D06FD" w:rsidRPr="009C5F11">
        <w:rPr>
          <w:rFonts w:ascii="Times New Roman" w:eastAsia="Calibri" w:hAnsi="Times New Roman" w:cs="Times New Roman"/>
          <w:i/>
          <w:szCs w:val="18"/>
          <w:lang w:val="ro-RO" w:eastAsia="de-DE"/>
        </w:rPr>
        <w:t>localităţi</w:t>
      </w:r>
      <w:r w:rsidR="007D750A" w:rsidRPr="009C5F11">
        <w:rPr>
          <w:rFonts w:ascii="Times New Roman" w:eastAsia="Calibri" w:hAnsi="Times New Roman" w:cs="Times New Roman"/>
          <w:i/>
          <w:szCs w:val="18"/>
          <w:lang w:val="ro-RO" w:eastAsia="de-DE"/>
        </w:rPr>
        <w:t xml:space="preserve">, </w:t>
      </w:r>
      <w:r w:rsidR="00AB1710" w:rsidRPr="009C5F11">
        <w:rPr>
          <w:rFonts w:ascii="Times New Roman" w:eastAsia="Calibri" w:hAnsi="Times New Roman" w:cs="Times New Roman"/>
          <w:i/>
          <w:szCs w:val="18"/>
          <w:lang w:val="ro-RO" w:eastAsia="de-DE"/>
        </w:rPr>
        <w:t>inclusiv</w:t>
      </w:r>
      <w:r w:rsidR="007D750A" w:rsidRPr="009C5F11">
        <w:rPr>
          <w:rFonts w:ascii="Times New Roman" w:eastAsia="Calibri" w:hAnsi="Times New Roman" w:cs="Times New Roman"/>
          <w:i/>
          <w:szCs w:val="18"/>
          <w:lang w:val="ro-RO" w:eastAsia="de-DE"/>
        </w:rPr>
        <w:t xml:space="preserve"> 14 </w:t>
      </w:r>
      <w:r w:rsidR="005D06FD" w:rsidRPr="009C5F11">
        <w:rPr>
          <w:rFonts w:ascii="Times New Roman" w:eastAsia="Calibri" w:hAnsi="Times New Roman" w:cs="Times New Roman"/>
          <w:i/>
          <w:szCs w:val="18"/>
          <w:lang w:val="ro-RO" w:eastAsia="de-DE"/>
        </w:rPr>
        <w:t>oraşe</w:t>
      </w:r>
      <w:r w:rsidR="007D750A"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au efectuat auditul energetic al sistemelor existente de iluminare</w:t>
      </w:r>
      <w:r w:rsidR="007D750A"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Din cele 35 de APL-uri</w:t>
      </w:r>
      <w:r w:rsidR="007D750A" w:rsidRPr="009C5F11">
        <w:rPr>
          <w:rFonts w:ascii="Times New Roman" w:eastAsia="Calibri" w:hAnsi="Times New Roman" w:cs="Times New Roman"/>
          <w:i/>
          <w:szCs w:val="18"/>
          <w:lang w:val="ro-RO" w:eastAsia="de-DE"/>
        </w:rPr>
        <w:t xml:space="preserve"> 23 </w:t>
      </w:r>
      <w:r w:rsidR="00B7502D" w:rsidRPr="009C5F11">
        <w:rPr>
          <w:rFonts w:ascii="Times New Roman" w:eastAsia="Calibri" w:hAnsi="Times New Roman" w:cs="Times New Roman"/>
          <w:i/>
          <w:szCs w:val="18"/>
          <w:lang w:val="ro-RO" w:eastAsia="de-DE"/>
        </w:rPr>
        <w:t xml:space="preserve">au </w:t>
      </w:r>
      <w:r w:rsidR="0041044E" w:rsidRPr="009C5F11">
        <w:rPr>
          <w:rFonts w:ascii="Times New Roman" w:eastAsia="Calibri" w:hAnsi="Times New Roman" w:cs="Times New Roman"/>
          <w:i/>
          <w:szCs w:val="18"/>
          <w:lang w:val="ro-RO" w:eastAsia="de-DE"/>
        </w:rPr>
        <w:t>raportat despre</w:t>
      </w:r>
      <w:r w:rsidR="00B7502D" w:rsidRPr="009C5F11">
        <w:rPr>
          <w:rFonts w:ascii="Times New Roman" w:eastAsia="Calibri" w:hAnsi="Times New Roman" w:cs="Times New Roman"/>
          <w:i/>
          <w:szCs w:val="18"/>
          <w:lang w:val="ro-RO" w:eastAsia="de-DE"/>
        </w:rPr>
        <w:t xml:space="preserve"> </w:t>
      </w:r>
      <w:r w:rsidR="00A07A79" w:rsidRPr="009C5F11">
        <w:rPr>
          <w:rFonts w:ascii="Times New Roman" w:eastAsia="Calibri" w:hAnsi="Times New Roman" w:cs="Times New Roman"/>
          <w:i/>
          <w:szCs w:val="18"/>
          <w:lang w:val="ro-RO" w:eastAsia="de-DE"/>
        </w:rPr>
        <w:t>auditu</w:t>
      </w:r>
      <w:r w:rsidR="0041044E" w:rsidRPr="009C5F11">
        <w:rPr>
          <w:rFonts w:ascii="Times New Roman" w:eastAsia="Calibri" w:hAnsi="Times New Roman" w:cs="Times New Roman"/>
          <w:i/>
          <w:szCs w:val="18"/>
          <w:lang w:val="ro-RO" w:eastAsia="de-DE"/>
        </w:rPr>
        <w:t>ri</w:t>
      </w:r>
      <w:r w:rsidR="00A07A79" w:rsidRPr="009C5F11">
        <w:rPr>
          <w:rFonts w:ascii="Times New Roman" w:eastAsia="Calibri" w:hAnsi="Times New Roman" w:cs="Times New Roman"/>
          <w:i/>
          <w:szCs w:val="18"/>
          <w:lang w:val="ro-RO" w:eastAsia="de-DE"/>
        </w:rPr>
        <w:t>l</w:t>
      </w:r>
      <w:r w:rsidR="0041044E" w:rsidRPr="009C5F11">
        <w:rPr>
          <w:rFonts w:ascii="Times New Roman" w:eastAsia="Calibri" w:hAnsi="Times New Roman" w:cs="Times New Roman"/>
          <w:i/>
          <w:szCs w:val="18"/>
          <w:lang w:val="ro-RO" w:eastAsia="de-DE"/>
        </w:rPr>
        <w:t>e</w:t>
      </w:r>
      <w:r w:rsidR="00A07A79" w:rsidRPr="009C5F11">
        <w:rPr>
          <w:rFonts w:ascii="Times New Roman" w:eastAsia="Calibri" w:hAnsi="Times New Roman" w:cs="Times New Roman"/>
          <w:i/>
          <w:szCs w:val="18"/>
          <w:lang w:val="ro-RO" w:eastAsia="de-DE"/>
        </w:rPr>
        <w:t xml:space="preserve"> energetic</w:t>
      </w:r>
      <w:r w:rsidR="0041044E" w:rsidRPr="009C5F11">
        <w:rPr>
          <w:rFonts w:ascii="Times New Roman" w:eastAsia="Calibri" w:hAnsi="Times New Roman" w:cs="Times New Roman"/>
          <w:i/>
          <w:szCs w:val="18"/>
          <w:lang w:val="ro-RO" w:eastAsia="de-DE"/>
        </w:rPr>
        <w:t>e</w:t>
      </w:r>
      <w:r w:rsidR="007D750A"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efectuat</w:t>
      </w:r>
      <w:r w:rsidR="0041044E" w:rsidRPr="009C5F11">
        <w:rPr>
          <w:rFonts w:ascii="Times New Roman" w:eastAsia="Calibri" w:hAnsi="Times New Roman" w:cs="Times New Roman"/>
          <w:i/>
          <w:szCs w:val="18"/>
          <w:lang w:val="ro-RO" w:eastAsia="de-DE"/>
        </w:rPr>
        <w:t>e</w:t>
      </w:r>
      <w:r w:rsidR="007D750A" w:rsidRPr="009C5F11">
        <w:rPr>
          <w:rFonts w:ascii="Times New Roman" w:eastAsia="Calibri" w:hAnsi="Times New Roman" w:cs="Times New Roman"/>
          <w:i/>
          <w:szCs w:val="18"/>
          <w:lang w:val="ro-RO" w:eastAsia="de-DE"/>
        </w:rPr>
        <w:t xml:space="preserve"> </w:t>
      </w:r>
      <w:r w:rsidR="00603237" w:rsidRPr="009C5F11">
        <w:rPr>
          <w:rFonts w:ascii="Times New Roman" w:eastAsia="Calibri" w:hAnsi="Times New Roman" w:cs="Times New Roman"/>
          <w:i/>
          <w:szCs w:val="18"/>
          <w:lang w:val="ro-RO" w:eastAsia="de-DE"/>
        </w:rPr>
        <w:t>pe parcursul anului</w:t>
      </w:r>
      <w:r w:rsidR="007D750A" w:rsidRPr="009C5F11">
        <w:rPr>
          <w:rFonts w:ascii="Times New Roman" w:eastAsia="Calibri" w:hAnsi="Times New Roman" w:cs="Times New Roman"/>
          <w:i/>
          <w:szCs w:val="18"/>
          <w:lang w:val="ro-RO" w:eastAsia="de-DE"/>
        </w:rPr>
        <w:t xml:space="preserve"> 2013-2014, </w:t>
      </w:r>
      <w:r w:rsidR="00AB1710" w:rsidRPr="009C5F11">
        <w:rPr>
          <w:rFonts w:ascii="Times New Roman" w:eastAsia="Calibri" w:hAnsi="Times New Roman" w:cs="Times New Roman"/>
          <w:i/>
          <w:szCs w:val="18"/>
          <w:lang w:val="ro-RO" w:eastAsia="de-DE"/>
        </w:rPr>
        <w:t>inclusiv</w:t>
      </w:r>
      <w:r w:rsidR="007D750A" w:rsidRPr="009C5F11">
        <w:rPr>
          <w:rFonts w:ascii="Times New Roman" w:eastAsia="Calibri" w:hAnsi="Times New Roman" w:cs="Times New Roman"/>
          <w:i/>
          <w:szCs w:val="18"/>
          <w:lang w:val="ro-RO" w:eastAsia="de-DE"/>
        </w:rPr>
        <w:t xml:space="preserve">: mun. </w:t>
      </w:r>
      <w:r w:rsidR="00210C2C" w:rsidRPr="009C5F11">
        <w:rPr>
          <w:rFonts w:ascii="Times New Roman" w:eastAsia="Calibri" w:hAnsi="Times New Roman" w:cs="Times New Roman"/>
          <w:i/>
          <w:szCs w:val="18"/>
          <w:lang w:val="ro-RO" w:eastAsia="de-DE"/>
        </w:rPr>
        <w:t>Bălţi</w:t>
      </w:r>
      <w:r w:rsidR="007D750A"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Anenii Noi</w:t>
      </w:r>
      <w:r w:rsidR="007D750A" w:rsidRPr="009C5F11">
        <w:rPr>
          <w:rFonts w:ascii="Times New Roman" w:eastAsia="Calibri" w:hAnsi="Times New Roman" w:cs="Times New Roman"/>
          <w:i/>
          <w:szCs w:val="18"/>
          <w:lang w:val="ro-RO" w:eastAsia="de-DE"/>
        </w:rPr>
        <w:t xml:space="preserve">, Basarabeasca, Briceni, Cahul, </w:t>
      </w:r>
      <w:r w:rsidR="005D06FD" w:rsidRPr="009C5F11">
        <w:rPr>
          <w:rFonts w:ascii="Times New Roman" w:eastAsia="Calibri" w:hAnsi="Times New Roman" w:cs="Times New Roman"/>
          <w:i/>
          <w:szCs w:val="18"/>
          <w:lang w:val="ro-RO" w:eastAsia="de-DE"/>
        </w:rPr>
        <w:t>Călăraşi</w:t>
      </w:r>
      <w:r w:rsidR="007D750A" w:rsidRPr="009C5F11">
        <w:rPr>
          <w:rFonts w:ascii="Times New Roman" w:eastAsia="Calibri" w:hAnsi="Times New Roman" w:cs="Times New Roman"/>
          <w:i/>
          <w:szCs w:val="18"/>
          <w:lang w:val="ro-RO" w:eastAsia="de-DE"/>
        </w:rPr>
        <w:t xml:space="preserve">, Criuleni, Drochia, </w:t>
      </w:r>
      <w:r w:rsidR="005D06FD" w:rsidRPr="009C5F11">
        <w:rPr>
          <w:rFonts w:ascii="Times New Roman" w:eastAsia="Calibri" w:hAnsi="Times New Roman" w:cs="Times New Roman"/>
          <w:i/>
          <w:szCs w:val="18"/>
          <w:lang w:val="ro-RO" w:eastAsia="de-DE"/>
        </w:rPr>
        <w:t>Dubăsari</w:t>
      </w:r>
      <w:r w:rsidR="007D750A"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Hînceşti</w:t>
      </w:r>
      <w:r w:rsidR="007D750A" w:rsidRPr="009C5F11">
        <w:rPr>
          <w:rFonts w:ascii="Times New Roman" w:eastAsia="Calibri" w:hAnsi="Times New Roman" w:cs="Times New Roman"/>
          <w:i/>
          <w:szCs w:val="18"/>
          <w:lang w:val="ro-RO" w:eastAsia="de-DE"/>
        </w:rPr>
        <w:t xml:space="preserve">, Ialoveni, Nisporeni, </w:t>
      </w:r>
      <w:r w:rsidR="005D06FD" w:rsidRPr="009C5F11">
        <w:rPr>
          <w:rFonts w:ascii="Times New Roman" w:eastAsia="Calibri" w:hAnsi="Times New Roman" w:cs="Times New Roman"/>
          <w:i/>
          <w:szCs w:val="18"/>
          <w:lang w:val="ro-RO" w:eastAsia="de-DE"/>
        </w:rPr>
        <w:t>Ocniţa</w:t>
      </w:r>
      <w:r w:rsidR="007D750A" w:rsidRPr="009C5F11">
        <w:rPr>
          <w:rFonts w:ascii="Times New Roman" w:eastAsia="Calibri" w:hAnsi="Times New Roman" w:cs="Times New Roman"/>
          <w:i/>
          <w:szCs w:val="18"/>
          <w:lang w:val="ro-RO" w:eastAsia="de-DE"/>
        </w:rPr>
        <w:t xml:space="preserve">, Orhei, Rezina, </w:t>
      </w:r>
      <w:r w:rsidR="005D06FD" w:rsidRPr="009C5F11">
        <w:rPr>
          <w:rFonts w:ascii="Times New Roman" w:eastAsia="Calibri" w:hAnsi="Times New Roman" w:cs="Times New Roman"/>
          <w:i/>
          <w:szCs w:val="18"/>
          <w:lang w:val="ro-RO" w:eastAsia="de-DE"/>
        </w:rPr>
        <w:t>Sîngerei</w:t>
      </w:r>
      <w:r w:rsidR="007D750A" w:rsidRPr="009C5F11">
        <w:rPr>
          <w:rFonts w:ascii="Times New Roman" w:eastAsia="Calibri" w:hAnsi="Times New Roman" w:cs="Times New Roman"/>
          <w:i/>
          <w:szCs w:val="18"/>
          <w:lang w:val="ro-RO" w:eastAsia="de-DE"/>
        </w:rPr>
        <w:t xml:space="preserve">, Soroca, </w:t>
      </w:r>
      <w:r w:rsidR="005D06FD" w:rsidRPr="009C5F11">
        <w:rPr>
          <w:rFonts w:ascii="Times New Roman" w:eastAsia="Calibri" w:hAnsi="Times New Roman" w:cs="Times New Roman"/>
          <w:i/>
          <w:szCs w:val="18"/>
          <w:lang w:val="ro-RO" w:eastAsia="de-DE"/>
        </w:rPr>
        <w:t>Şoldăneşti</w:t>
      </w:r>
      <w:r w:rsidR="007D750A"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Ştefan-Vodă</w:t>
      </w:r>
      <w:r w:rsidR="007D750A" w:rsidRPr="009C5F11">
        <w:rPr>
          <w:rFonts w:ascii="Times New Roman" w:eastAsia="Calibri" w:hAnsi="Times New Roman" w:cs="Times New Roman"/>
          <w:i/>
          <w:szCs w:val="18"/>
          <w:lang w:val="ro-RO" w:eastAsia="de-DE"/>
        </w:rPr>
        <w:t xml:space="preserve">, Taraclia, </w:t>
      </w:r>
      <w:r w:rsidR="005D06FD" w:rsidRPr="009C5F11">
        <w:rPr>
          <w:rFonts w:ascii="Times New Roman" w:eastAsia="Calibri" w:hAnsi="Times New Roman" w:cs="Times New Roman"/>
          <w:i/>
          <w:szCs w:val="18"/>
          <w:lang w:val="ro-RO" w:eastAsia="de-DE"/>
        </w:rPr>
        <w:t>Teleneşti</w:t>
      </w:r>
      <w:r w:rsidR="007D750A" w:rsidRPr="009C5F11">
        <w:rPr>
          <w:rFonts w:ascii="Times New Roman" w:eastAsia="Calibri" w:hAnsi="Times New Roman" w:cs="Times New Roman"/>
          <w:i/>
          <w:szCs w:val="18"/>
          <w:lang w:val="ro-RO" w:eastAsia="de-DE"/>
        </w:rPr>
        <w:t xml:space="preserve">, Ungheni, UTA Gagauzia (mun. Comrat). </w:t>
      </w:r>
    </w:p>
    <w:p w14:paraId="737BDF82" w14:textId="77777777" w:rsidR="00893F68" w:rsidRPr="009C5F11" w:rsidRDefault="00B7502D" w:rsidP="00334F3B">
      <w:pPr>
        <w:pStyle w:val="Listparagraf"/>
        <w:numPr>
          <w:ilvl w:val="0"/>
          <w:numId w:val="176"/>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înlocuirea accesoriilor existente ale corpurilor de iluminat cu altele mai eficiente</w:t>
      </w:r>
      <w:r w:rsidR="0041044E" w:rsidRPr="009C5F11">
        <w:rPr>
          <w:rFonts w:ascii="Times New Roman" w:hAnsi="Times New Roman" w:cs="Times New Roman"/>
          <w:sz w:val="24"/>
          <w:lang w:val="ro-RO"/>
        </w:rPr>
        <w:t>:</w:t>
      </w:r>
    </w:p>
    <w:p w14:paraId="723A743C" w14:textId="77777777" w:rsidR="00893F68" w:rsidRPr="009C5F11" w:rsidRDefault="00D63A4A" w:rsidP="00893F68">
      <w:pPr>
        <w:pStyle w:val="Listparagraf"/>
        <w:spacing w:before="120" w:after="120" w:line="240" w:lineRule="auto"/>
        <w:ind w:left="720"/>
        <w:contextualSpacing w:val="0"/>
        <w:jc w:val="both"/>
        <w:textAlignment w:val="baseline"/>
        <w:rPr>
          <w:rFonts w:ascii="Times New Roman" w:hAnsi="Times New Roman" w:cs="Times New Roman"/>
          <w:i/>
          <w:szCs w:val="18"/>
          <w:lang w:val="ro-RO"/>
        </w:rPr>
      </w:pPr>
      <w:r w:rsidRPr="009C5F11">
        <w:rPr>
          <w:rFonts w:ascii="Times New Roman" w:hAnsi="Times New Roman" w:cs="Times New Roman"/>
          <w:i/>
          <w:szCs w:val="18"/>
          <w:u w:val="single"/>
          <w:lang w:val="ro-RO"/>
        </w:rPr>
        <w:t>Potrivit Raportului anual al AEE pe anul 2015</w:t>
      </w:r>
      <w:r w:rsidR="00893F68" w:rsidRPr="009C5F11">
        <w:rPr>
          <w:rFonts w:ascii="Times New Roman" w:hAnsi="Times New Roman" w:cs="Times New Roman"/>
          <w:i/>
          <w:szCs w:val="18"/>
          <w:u w:val="single"/>
          <w:lang w:val="ro-RO"/>
        </w:rPr>
        <w:t>:</w:t>
      </w:r>
      <w:r w:rsidR="00893F68" w:rsidRPr="009C5F11">
        <w:rPr>
          <w:rFonts w:ascii="Times New Roman" w:eastAsia="Calibri" w:hAnsi="Times New Roman" w:cs="Times New Roman"/>
          <w:i/>
          <w:szCs w:val="18"/>
          <w:lang w:val="ro-RO" w:eastAsia="de-DE"/>
        </w:rPr>
        <w:t xml:space="preserve"> 136 </w:t>
      </w:r>
      <w:r w:rsidR="005D06FD" w:rsidRPr="009C5F11">
        <w:rPr>
          <w:rFonts w:ascii="Times New Roman" w:eastAsia="Calibri" w:hAnsi="Times New Roman" w:cs="Times New Roman"/>
          <w:i/>
          <w:szCs w:val="18"/>
          <w:lang w:val="ro-RO" w:eastAsia="de-DE"/>
        </w:rPr>
        <w:t>localităţi</w:t>
      </w:r>
      <w:r w:rsidR="00893F68" w:rsidRPr="009C5F11">
        <w:rPr>
          <w:rFonts w:ascii="Times New Roman" w:eastAsia="Calibri" w:hAnsi="Times New Roman" w:cs="Times New Roman"/>
          <w:i/>
          <w:szCs w:val="18"/>
          <w:lang w:val="ro-RO" w:eastAsia="de-DE"/>
        </w:rPr>
        <w:t xml:space="preserve">, </w:t>
      </w:r>
      <w:r w:rsidR="00AB1710" w:rsidRPr="009C5F11">
        <w:rPr>
          <w:rFonts w:ascii="Times New Roman" w:eastAsia="Calibri" w:hAnsi="Times New Roman" w:cs="Times New Roman"/>
          <w:i/>
          <w:szCs w:val="18"/>
          <w:lang w:val="ro-RO" w:eastAsia="de-DE"/>
        </w:rPr>
        <w:t>inclusiv</w:t>
      </w:r>
      <w:r w:rsidR="00893F68" w:rsidRPr="009C5F11">
        <w:rPr>
          <w:rFonts w:ascii="Times New Roman" w:eastAsia="Calibri" w:hAnsi="Times New Roman" w:cs="Times New Roman"/>
          <w:i/>
          <w:szCs w:val="18"/>
          <w:lang w:val="ro-RO" w:eastAsia="de-DE"/>
        </w:rPr>
        <w:t xml:space="preserve"> 10 </w:t>
      </w:r>
      <w:r w:rsidR="005D06FD" w:rsidRPr="009C5F11">
        <w:rPr>
          <w:rFonts w:ascii="Times New Roman" w:eastAsia="Calibri" w:hAnsi="Times New Roman" w:cs="Times New Roman"/>
          <w:i/>
          <w:szCs w:val="18"/>
          <w:lang w:val="ro-RO" w:eastAsia="de-DE"/>
        </w:rPr>
        <w:t>oraşe</w:t>
      </w:r>
      <w:r w:rsidR="00893F68"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au întreprins</w:t>
      </w:r>
      <w:r w:rsidR="00893F68" w:rsidRPr="009C5F11">
        <w:rPr>
          <w:rFonts w:ascii="Times New Roman" w:eastAsia="Calibri" w:hAnsi="Times New Roman" w:cs="Times New Roman"/>
          <w:i/>
          <w:szCs w:val="18"/>
          <w:lang w:val="ro-RO" w:eastAsia="de-DE"/>
        </w:rPr>
        <w:t xml:space="preserve"> </w:t>
      </w:r>
      <w:r w:rsidR="00D77687" w:rsidRPr="009C5F11">
        <w:rPr>
          <w:rFonts w:ascii="Times New Roman" w:eastAsia="Calibri" w:hAnsi="Times New Roman" w:cs="Times New Roman"/>
          <w:i/>
          <w:szCs w:val="18"/>
          <w:lang w:val="ro-RO" w:eastAsia="de-DE"/>
        </w:rPr>
        <w:t>activităţi</w:t>
      </w:r>
      <w:r w:rsidR="00893F68"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de</w:t>
      </w:r>
      <w:r w:rsidR="00893F68" w:rsidRPr="009C5F11">
        <w:rPr>
          <w:rFonts w:ascii="Times New Roman" w:eastAsia="Calibri" w:hAnsi="Times New Roman" w:cs="Times New Roman"/>
          <w:i/>
          <w:szCs w:val="18"/>
          <w:lang w:val="ro-RO" w:eastAsia="de-DE"/>
        </w:rPr>
        <w:t xml:space="preserve"> </w:t>
      </w:r>
      <w:r w:rsidR="00D77687" w:rsidRPr="009C5F11">
        <w:rPr>
          <w:rFonts w:ascii="Times New Roman" w:eastAsia="Calibri" w:hAnsi="Times New Roman" w:cs="Times New Roman"/>
          <w:i/>
          <w:szCs w:val="18"/>
          <w:lang w:val="ro-RO" w:eastAsia="de-DE"/>
        </w:rPr>
        <w:t>înlocuire</w:t>
      </w:r>
      <w:r w:rsidR="00B7502D" w:rsidRPr="009C5F11">
        <w:rPr>
          <w:rFonts w:ascii="Times New Roman" w:eastAsia="Calibri" w:hAnsi="Times New Roman" w:cs="Times New Roman"/>
          <w:i/>
          <w:szCs w:val="18"/>
          <w:lang w:val="ro-RO" w:eastAsia="de-DE"/>
        </w:rPr>
        <w:t xml:space="preserve"> </w:t>
      </w:r>
      <w:r w:rsidR="00D77687" w:rsidRPr="009C5F11">
        <w:rPr>
          <w:rFonts w:ascii="Times New Roman" w:eastAsia="Calibri" w:hAnsi="Times New Roman" w:cs="Times New Roman"/>
          <w:i/>
          <w:szCs w:val="18"/>
          <w:lang w:val="ro-RO" w:eastAsia="de-DE"/>
        </w:rPr>
        <w:t>a</w:t>
      </w:r>
      <w:r w:rsidR="00893F68"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accesoriilor existente ale corpurilor de iluminat cu altele mai eficiente</w:t>
      </w:r>
      <w:r w:rsidR="00893F68"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Din cele 35 de APL-uri</w:t>
      </w:r>
      <w:r w:rsidR="00893F68" w:rsidRPr="009C5F11">
        <w:rPr>
          <w:rFonts w:ascii="Times New Roman" w:eastAsia="Calibri" w:hAnsi="Times New Roman" w:cs="Times New Roman"/>
          <w:i/>
          <w:szCs w:val="18"/>
          <w:lang w:val="ro-RO" w:eastAsia="de-DE"/>
        </w:rPr>
        <w:t xml:space="preserve"> 19 </w:t>
      </w:r>
      <w:r w:rsidR="00B7502D" w:rsidRPr="009C5F11">
        <w:rPr>
          <w:rFonts w:ascii="Times New Roman" w:eastAsia="Calibri" w:hAnsi="Times New Roman" w:cs="Times New Roman"/>
          <w:i/>
          <w:szCs w:val="18"/>
          <w:lang w:val="ro-RO" w:eastAsia="de-DE"/>
        </w:rPr>
        <w:t>au raportat</w:t>
      </w:r>
      <w:r w:rsidR="00893F68"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despre unele înlocuiri realizate</w:t>
      </w:r>
      <w:r w:rsidR="00893F68" w:rsidRPr="009C5F11">
        <w:rPr>
          <w:rFonts w:ascii="Times New Roman" w:eastAsia="Calibri" w:hAnsi="Times New Roman" w:cs="Times New Roman"/>
          <w:i/>
          <w:szCs w:val="18"/>
          <w:lang w:val="ro-RO" w:eastAsia="de-DE"/>
        </w:rPr>
        <w:t xml:space="preserve">, </w:t>
      </w:r>
      <w:r w:rsidR="00AB1710" w:rsidRPr="009C5F11">
        <w:rPr>
          <w:rFonts w:ascii="Times New Roman" w:eastAsia="Calibri" w:hAnsi="Times New Roman" w:cs="Times New Roman"/>
          <w:i/>
          <w:szCs w:val="18"/>
          <w:lang w:val="ro-RO" w:eastAsia="de-DE"/>
        </w:rPr>
        <w:t>inclusiv</w:t>
      </w:r>
      <w:r w:rsidR="00893F68"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Anenii Noi</w:t>
      </w:r>
      <w:r w:rsidR="00893F68" w:rsidRPr="009C5F11">
        <w:rPr>
          <w:rFonts w:ascii="Times New Roman" w:eastAsia="Calibri" w:hAnsi="Times New Roman" w:cs="Times New Roman"/>
          <w:i/>
          <w:szCs w:val="18"/>
          <w:lang w:val="ro-RO" w:eastAsia="de-DE"/>
        </w:rPr>
        <w:t xml:space="preserve">, Cantemir, </w:t>
      </w:r>
      <w:r w:rsidR="005D06FD" w:rsidRPr="009C5F11">
        <w:rPr>
          <w:rFonts w:ascii="Times New Roman" w:eastAsia="Calibri" w:hAnsi="Times New Roman" w:cs="Times New Roman"/>
          <w:i/>
          <w:szCs w:val="18"/>
          <w:lang w:val="ro-RO" w:eastAsia="de-DE"/>
        </w:rPr>
        <w:t>Căuşeni</w:t>
      </w:r>
      <w:r w:rsidR="00893F68" w:rsidRPr="009C5F11">
        <w:rPr>
          <w:rFonts w:ascii="Times New Roman" w:eastAsia="Calibri" w:hAnsi="Times New Roman" w:cs="Times New Roman"/>
          <w:i/>
          <w:szCs w:val="18"/>
          <w:lang w:val="ro-RO" w:eastAsia="de-DE"/>
        </w:rPr>
        <w:t xml:space="preserve">, Criuleni, </w:t>
      </w:r>
      <w:r w:rsidR="005D06FD" w:rsidRPr="009C5F11">
        <w:rPr>
          <w:rFonts w:ascii="Times New Roman" w:eastAsia="Calibri" w:hAnsi="Times New Roman" w:cs="Times New Roman"/>
          <w:i/>
          <w:szCs w:val="18"/>
          <w:lang w:val="ro-RO" w:eastAsia="de-DE"/>
        </w:rPr>
        <w:t>Dubăsari</w:t>
      </w:r>
      <w:r w:rsidR="00893F68"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Făleşti</w:t>
      </w:r>
      <w:r w:rsidR="00893F68" w:rsidRPr="009C5F11">
        <w:rPr>
          <w:rFonts w:ascii="Times New Roman" w:eastAsia="Calibri" w:hAnsi="Times New Roman" w:cs="Times New Roman"/>
          <w:i/>
          <w:szCs w:val="18"/>
          <w:lang w:val="ro-RO" w:eastAsia="de-DE"/>
        </w:rPr>
        <w:t xml:space="preserve">, Glodeni, </w:t>
      </w:r>
      <w:r w:rsidR="005D06FD" w:rsidRPr="009C5F11">
        <w:rPr>
          <w:rFonts w:ascii="Times New Roman" w:eastAsia="Calibri" w:hAnsi="Times New Roman" w:cs="Times New Roman"/>
          <w:i/>
          <w:szCs w:val="18"/>
          <w:lang w:val="ro-RO" w:eastAsia="de-DE"/>
        </w:rPr>
        <w:t>Hînceşti</w:t>
      </w:r>
      <w:r w:rsidR="00893F68" w:rsidRPr="009C5F11">
        <w:rPr>
          <w:rFonts w:ascii="Times New Roman" w:eastAsia="Calibri" w:hAnsi="Times New Roman" w:cs="Times New Roman"/>
          <w:i/>
          <w:szCs w:val="18"/>
          <w:lang w:val="ro-RO" w:eastAsia="de-DE"/>
        </w:rPr>
        <w:t xml:space="preserve">, Ialoveni, Leova, Nisporeni, </w:t>
      </w:r>
      <w:r w:rsidR="005D06FD" w:rsidRPr="009C5F11">
        <w:rPr>
          <w:rFonts w:ascii="Times New Roman" w:eastAsia="Calibri" w:hAnsi="Times New Roman" w:cs="Times New Roman"/>
          <w:i/>
          <w:szCs w:val="18"/>
          <w:lang w:val="ro-RO" w:eastAsia="de-DE"/>
        </w:rPr>
        <w:t>Ocniţa</w:t>
      </w:r>
      <w:r w:rsidR="00893F68" w:rsidRPr="009C5F11">
        <w:rPr>
          <w:rFonts w:ascii="Times New Roman" w:eastAsia="Calibri" w:hAnsi="Times New Roman" w:cs="Times New Roman"/>
          <w:i/>
          <w:szCs w:val="18"/>
          <w:lang w:val="ro-RO" w:eastAsia="de-DE"/>
        </w:rPr>
        <w:t xml:space="preserve">, Rezina, </w:t>
      </w:r>
      <w:r w:rsidR="005D06FD" w:rsidRPr="009C5F11">
        <w:rPr>
          <w:rFonts w:ascii="Times New Roman" w:eastAsia="Calibri" w:hAnsi="Times New Roman" w:cs="Times New Roman"/>
          <w:i/>
          <w:szCs w:val="18"/>
          <w:lang w:val="ro-RO" w:eastAsia="de-DE"/>
        </w:rPr>
        <w:t>Rîşcani</w:t>
      </w:r>
      <w:r w:rsidR="00893F68" w:rsidRPr="009C5F11">
        <w:rPr>
          <w:rFonts w:ascii="Times New Roman" w:eastAsia="Calibri" w:hAnsi="Times New Roman" w:cs="Times New Roman"/>
          <w:i/>
          <w:szCs w:val="18"/>
          <w:lang w:val="ro-RO" w:eastAsia="de-DE"/>
        </w:rPr>
        <w:t xml:space="preserve">, Soroca, </w:t>
      </w:r>
      <w:r w:rsidR="005D06FD" w:rsidRPr="009C5F11">
        <w:rPr>
          <w:rFonts w:ascii="Times New Roman" w:eastAsia="Calibri" w:hAnsi="Times New Roman" w:cs="Times New Roman"/>
          <w:i/>
          <w:szCs w:val="18"/>
          <w:lang w:val="ro-RO" w:eastAsia="de-DE"/>
        </w:rPr>
        <w:t>Şoldăneşti</w:t>
      </w:r>
      <w:r w:rsidR="00893F68"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Ştefan-Vodă</w:t>
      </w:r>
      <w:r w:rsidR="00893F68"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Teleneşti</w:t>
      </w:r>
      <w:r w:rsidR="00893F68" w:rsidRPr="009C5F11">
        <w:rPr>
          <w:rFonts w:ascii="Times New Roman" w:eastAsia="Calibri" w:hAnsi="Times New Roman" w:cs="Times New Roman"/>
          <w:i/>
          <w:szCs w:val="18"/>
          <w:lang w:val="ro-RO" w:eastAsia="de-DE"/>
        </w:rPr>
        <w:t xml:space="preserve">, Ungheni. </w:t>
      </w:r>
      <w:r w:rsidR="00334DD0" w:rsidRPr="009C5F11">
        <w:rPr>
          <w:rFonts w:ascii="Times New Roman" w:eastAsia="Calibri" w:hAnsi="Times New Roman" w:cs="Times New Roman"/>
          <w:i/>
          <w:szCs w:val="18"/>
          <w:lang w:val="ro-RO" w:eastAsia="de-DE"/>
        </w:rPr>
        <w:t xml:space="preserve">În </w:t>
      </w:r>
      <w:r w:rsidR="00893F68" w:rsidRPr="009C5F11">
        <w:rPr>
          <w:rFonts w:ascii="Times New Roman" w:eastAsia="Calibri" w:hAnsi="Times New Roman" w:cs="Times New Roman"/>
          <w:i/>
          <w:szCs w:val="18"/>
          <w:lang w:val="ro-RO" w:eastAsia="de-DE"/>
        </w:rPr>
        <w:t xml:space="preserve">2011-2013, </w:t>
      </w:r>
      <w:r w:rsidR="00B7502D" w:rsidRPr="009C5F11">
        <w:rPr>
          <w:rFonts w:ascii="Times New Roman" w:eastAsia="Calibri" w:hAnsi="Times New Roman" w:cs="Times New Roman"/>
          <w:i/>
          <w:szCs w:val="18"/>
          <w:lang w:val="ro-RO" w:eastAsia="de-DE"/>
        </w:rPr>
        <w:t xml:space="preserve">or. </w:t>
      </w:r>
      <w:r w:rsidR="00893F68" w:rsidRPr="009C5F11">
        <w:rPr>
          <w:rFonts w:ascii="Times New Roman" w:eastAsia="Calibri" w:hAnsi="Times New Roman" w:cs="Times New Roman"/>
          <w:i/>
          <w:szCs w:val="18"/>
          <w:lang w:val="ro-RO" w:eastAsia="de-DE"/>
        </w:rPr>
        <w:t xml:space="preserve">Glodeni </w:t>
      </w:r>
      <w:r w:rsidR="00321CD5" w:rsidRPr="009C5F11">
        <w:rPr>
          <w:rFonts w:ascii="Times New Roman" w:eastAsia="Calibri" w:hAnsi="Times New Roman" w:cs="Times New Roman"/>
          <w:i/>
          <w:szCs w:val="18"/>
          <w:lang w:val="ro-RO" w:eastAsia="de-DE"/>
        </w:rPr>
        <w:t xml:space="preserve">şi </w:t>
      </w:r>
      <w:r w:rsidR="00B7502D" w:rsidRPr="009C5F11">
        <w:rPr>
          <w:rFonts w:ascii="Times New Roman" w:eastAsia="Calibri" w:hAnsi="Times New Roman" w:cs="Times New Roman"/>
          <w:i/>
          <w:szCs w:val="18"/>
          <w:lang w:val="ro-RO" w:eastAsia="de-DE"/>
        </w:rPr>
        <w:t xml:space="preserve">or. </w:t>
      </w:r>
      <w:r w:rsidR="005D06FD" w:rsidRPr="009C5F11">
        <w:rPr>
          <w:rFonts w:ascii="Times New Roman" w:eastAsia="Calibri" w:hAnsi="Times New Roman" w:cs="Times New Roman"/>
          <w:i/>
          <w:szCs w:val="18"/>
          <w:lang w:val="ro-RO" w:eastAsia="de-DE"/>
        </w:rPr>
        <w:t>Hînceşti</w:t>
      </w:r>
      <w:r w:rsidR="00893F68"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au desfăşurat activităţi în materie de</w:t>
      </w:r>
      <w:r w:rsidR="00893F68" w:rsidRPr="009C5F11">
        <w:rPr>
          <w:rFonts w:ascii="Times New Roman" w:eastAsia="Calibri" w:hAnsi="Times New Roman" w:cs="Times New Roman"/>
          <w:i/>
          <w:szCs w:val="18"/>
          <w:lang w:val="ro-RO" w:eastAsia="de-DE"/>
        </w:rPr>
        <w:t xml:space="preserve"> </w:t>
      </w:r>
      <w:r w:rsidR="000C7BEC" w:rsidRPr="009C5F11">
        <w:rPr>
          <w:rFonts w:ascii="Times New Roman" w:eastAsia="Calibri" w:hAnsi="Times New Roman" w:cs="Times New Roman"/>
          <w:i/>
          <w:szCs w:val="18"/>
          <w:lang w:val="ro-RO" w:eastAsia="de-DE"/>
        </w:rPr>
        <w:t>eficienţă energetică</w:t>
      </w:r>
      <w:r w:rsidR="00893F68"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 xml:space="preserve">destinate </w:t>
      </w:r>
      <w:r w:rsidR="006F2A15" w:rsidRPr="009C5F11">
        <w:rPr>
          <w:rFonts w:ascii="Times New Roman" w:eastAsia="Calibri" w:hAnsi="Times New Roman" w:cs="Times New Roman"/>
          <w:i/>
          <w:szCs w:val="18"/>
          <w:lang w:val="ro-RO" w:eastAsia="de-DE"/>
        </w:rPr>
        <w:t>iluminatul</w:t>
      </w:r>
      <w:r w:rsidR="00B7502D" w:rsidRPr="009C5F11">
        <w:rPr>
          <w:rFonts w:ascii="Times New Roman" w:eastAsia="Calibri" w:hAnsi="Times New Roman" w:cs="Times New Roman"/>
          <w:i/>
          <w:szCs w:val="18"/>
          <w:lang w:val="ro-RO" w:eastAsia="de-DE"/>
        </w:rPr>
        <w:t>ui</w:t>
      </w:r>
      <w:r w:rsidR="006F2A15" w:rsidRPr="009C5F11">
        <w:rPr>
          <w:rFonts w:ascii="Times New Roman" w:eastAsia="Calibri" w:hAnsi="Times New Roman" w:cs="Times New Roman"/>
          <w:i/>
          <w:szCs w:val="18"/>
          <w:lang w:val="ro-RO" w:eastAsia="de-DE"/>
        </w:rPr>
        <w:t xml:space="preserve"> stradal</w:t>
      </w:r>
      <w:r w:rsidR="00893F68"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cu finanţare din partea</w:t>
      </w:r>
      <w:r w:rsidR="00893F68"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Fondului Ecologic Naţional</w:t>
      </w:r>
      <w:r w:rsidR="00893F68" w:rsidRPr="009C5F11">
        <w:rPr>
          <w:rFonts w:ascii="Times New Roman" w:eastAsia="Calibri" w:hAnsi="Times New Roman" w:cs="Times New Roman"/>
          <w:i/>
          <w:szCs w:val="18"/>
          <w:lang w:val="ro-RO" w:eastAsia="de-DE"/>
        </w:rPr>
        <w:t>.</w:t>
      </w:r>
    </w:p>
    <w:p w14:paraId="478A254C" w14:textId="77777777" w:rsidR="00893F68" w:rsidRPr="009C5F11" w:rsidRDefault="00B7502D" w:rsidP="00893F68">
      <w:pPr>
        <w:spacing w:after="0" w:line="240" w:lineRule="auto"/>
        <w:ind w:left="720"/>
        <w:jc w:val="both"/>
        <w:rPr>
          <w:rFonts w:ascii="Times New Roman" w:eastAsia="Calibri" w:hAnsi="Times New Roman" w:cs="Times New Roman"/>
          <w:i/>
          <w:szCs w:val="18"/>
          <w:lang w:val="ro-RO" w:eastAsia="de-DE"/>
        </w:rPr>
      </w:pPr>
      <w:r w:rsidRPr="009C5F11">
        <w:rPr>
          <w:rFonts w:ascii="Times New Roman" w:eastAsia="Calibri" w:hAnsi="Times New Roman" w:cs="Times New Roman"/>
          <w:i/>
          <w:szCs w:val="18"/>
          <w:lang w:val="ro-RO" w:eastAsia="de-DE"/>
        </w:rPr>
        <w:lastRenderedPageBreak/>
        <w:t>Începând din</w:t>
      </w:r>
      <w:r w:rsidR="00893F68" w:rsidRPr="009C5F11">
        <w:rPr>
          <w:rFonts w:ascii="Times New Roman" w:eastAsia="Calibri" w:hAnsi="Times New Roman" w:cs="Times New Roman"/>
          <w:i/>
          <w:szCs w:val="18"/>
          <w:lang w:val="ro-RO" w:eastAsia="de-DE"/>
        </w:rPr>
        <w:t xml:space="preserve"> 01.01.2014, 35 </w:t>
      </w:r>
      <w:r w:rsidRPr="009C5F11">
        <w:rPr>
          <w:rFonts w:ascii="Times New Roman" w:eastAsia="Calibri" w:hAnsi="Times New Roman" w:cs="Times New Roman"/>
          <w:i/>
          <w:szCs w:val="18"/>
          <w:lang w:val="ro-RO" w:eastAsia="de-DE"/>
        </w:rPr>
        <w:t xml:space="preserve">de </w:t>
      </w:r>
      <w:r w:rsidR="00AA0566" w:rsidRPr="009C5F11">
        <w:rPr>
          <w:rFonts w:ascii="Times New Roman" w:eastAsia="Calibri" w:hAnsi="Times New Roman" w:cs="Times New Roman"/>
          <w:i/>
          <w:szCs w:val="18"/>
          <w:lang w:val="ro-RO" w:eastAsia="de-DE"/>
        </w:rPr>
        <w:t>APL</w:t>
      </w:r>
      <w:r w:rsidRPr="009C5F11">
        <w:rPr>
          <w:rFonts w:ascii="Times New Roman" w:eastAsia="Calibri" w:hAnsi="Times New Roman" w:cs="Times New Roman"/>
          <w:i/>
          <w:szCs w:val="18"/>
          <w:lang w:val="ro-RO" w:eastAsia="de-DE"/>
        </w:rPr>
        <w:t>-uri</w:t>
      </w:r>
      <w:r w:rsidR="00893F68" w:rsidRPr="009C5F11">
        <w:rPr>
          <w:rFonts w:ascii="Times New Roman" w:eastAsia="Calibri" w:hAnsi="Times New Roman" w:cs="Times New Roman"/>
          <w:i/>
          <w:szCs w:val="18"/>
          <w:lang w:val="ro-RO" w:eastAsia="de-DE"/>
        </w:rPr>
        <w:t xml:space="preserve"> </w:t>
      </w:r>
      <w:r w:rsidRPr="009C5F11">
        <w:rPr>
          <w:rFonts w:ascii="Times New Roman" w:eastAsia="Calibri" w:hAnsi="Times New Roman" w:cs="Times New Roman"/>
          <w:i/>
          <w:szCs w:val="18"/>
          <w:lang w:val="ro-RO" w:eastAsia="de-DE"/>
        </w:rPr>
        <w:t>au primit</w:t>
      </w:r>
      <w:r w:rsidR="00893F68" w:rsidRPr="009C5F11">
        <w:rPr>
          <w:rFonts w:ascii="Times New Roman" w:eastAsia="Calibri" w:hAnsi="Times New Roman" w:cs="Times New Roman"/>
          <w:i/>
          <w:szCs w:val="18"/>
          <w:lang w:val="ro-RO" w:eastAsia="de-DE"/>
        </w:rPr>
        <w:t xml:space="preserve"> </w:t>
      </w:r>
      <w:r w:rsidRPr="009C5F11">
        <w:rPr>
          <w:rFonts w:ascii="Times New Roman" w:eastAsia="Calibri" w:hAnsi="Times New Roman" w:cs="Times New Roman"/>
          <w:i/>
          <w:szCs w:val="18"/>
          <w:lang w:val="ro-RO" w:eastAsia="de-DE"/>
        </w:rPr>
        <w:t>din bugetul</w:t>
      </w:r>
      <w:r w:rsidR="00896342" w:rsidRPr="009C5F11">
        <w:rPr>
          <w:rFonts w:ascii="Times New Roman" w:eastAsia="Calibri" w:hAnsi="Times New Roman" w:cs="Times New Roman"/>
          <w:i/>
          <w:szCs w:val="18"/>
          <w:lang w:val="ro-RO" w:eastAsia="de-DE"/>
        </w:rPr>
        <w:t xml:space="preserve"> de stat</w:t>
      </w:r>
      <w:r w:rsidR="00893F68" w:rsidRPr="009C5F11">
        <w:rPr>
          <w:rFonts w:ascii="Times New Roman" w:eastAsia="Calibri" w:hAnsi="Times New Roman" w:cs="Times New Roman"/>
          <w:i/>
          <w:szCs w:val="18"/>
          <w:lang w:val="ro-RO" w:eastAsia="de-DE"/>
        </w:rPr>
        <w:t xml:space="preserve"> 184.5 </w:t>
      </w:r>
      <w:r w:rsidR="00421FA7" w:rsidRPr="009C5F11">
        <w:rPr>
          <w:rFonts w:ascii="Times New Roman" w:eastAsia="Calibri" w:hAnsi="Times New Roman" w:cs="Times New Roman"/>
          <w:i/>
          <w:szCs w:val="18"/>
          <w:lang w:val="ro-RO" w:eastAsia="de-DE"/>
        </w:rPr>
        <w:t xml:space="preserve">milioane </w:t>
      </w:r>
      <w:r w:rsidR="00893F68" w:rsidRPr="009C5F11">
        <w:rPr>
          <w:rFonts w:ascii="Times New Roman" w:eastAsia="Calibri" w:hAnsi="Times New Roman" w:cs="Times New Roman"/>
          <w:i/>
          <w:szCs w:val="18"/>
          <w:lang w:val="ro-RO" w:eastAsia="de-DE"/>
        </w:rPr>
        <w:t xml:space="preserve">lei, </w:t>
      </w:r>
      <w:r w:rsidR="004A2281" w:rsidRPr="009C5F11">
        <w:rPr>
          <w:rFonts w:ascii="Times New Roman" w:eastAsia="Calibri" w:hAnsi="Times New Roman" w:cs="Times New Roman"/>
          <w:i/>
          <w:szCs w:val="18"/>
          <w:lang w:val="ro-RO" w:eastAsia="de-DE"/>
        </w:rPr>
        <w:t>mijloace</w:t>
      </w:r>
      <w:r w:rsidRPr="009C5F11">
        <w:rPr>
          <w:rFonts w:ascii="Times New Roman" w:eastAsia="Calibri" w:hAnsi="Times New Roman" w:cs="Times New Roman"/>
          <w:i/>
          <w:szCs w:val="18"/>
          <w:lang w:val="ro-RO" w:eastAsia="de-DE"/>
        </w:rPr>
        <w:t xml:space="preserve"> ce le-au permis să </w:t>
      </w:r>
      <w:r w:rsidR="00006F81" w:rsidRPr="009C5F11">
        <w:rPr>
          <w:rFonts w:ascii="Times New Roman" w:eastAsia="Calibri" w:hAnsi="Times New Roman" w:cs="Times New Roman"/>
          <w:i/>
          <w:szCs w:val="18"/>
          <w:lang w:val="ro-RO" w:eastAsia="de-DE"/>
        </w:rPr>
        <w:t>realiz</w:t>
      </w:r>
      <w:r w:rsidRPr="009C5F11">
        <w:rPr>
          <w:rFonts w:ascii="Times New Roman" w:eastAsia="Calibri" w:hAnsi="Times New Roman" w:cs="Times New Roman"/>
          <w:i/>
          <w:szCs w:val="18"/>
          <w:lang w:val="ro-RO" w:eastAsia="de-DE"/>
        </w:rPr>
        <w:t>eze</w:t>
      </w:r>
      <w:r w:rsidR="00893F68" w:rsidRPr="009C5F11">
        <w:rPr>
          <w:rFonts w:ascii="Times New Roman" w:eastAsia="Calibri" w:hAnsi="Times New Roman" w:cs="Times New Roman"/>
          <w:i/>
          <w:szCs w:val="18"/>
          <w:lang w:val="ro-RO" w:eastAsia="de-DE"/>
        </w:rPr>
        <w:t xml:space="preserve"> 260 </w:t>
      </w:r>
      <w:r w:rsidRPr="009C5F11">
        <w:rPr>
          <w:rFonts w:ascii="Times New Roman" w:eastAsia="Calibri" w:hAnsi="Times New Roman" w:cs="Times New Roman"/>
          <w:i/>
          <w:szCs w:val="18"/>
          <w:lang w:val="ro-RO" w:eastAsia="de-DE"/>
        </w:rPr>
        <w:t xml:space="preserve">de </w:t>
      </w:r>
      <w:r w:rsidR="00E10BE5" w:rsidRPr="009C5F11">
        <w:rPr>
          <w:rFonts w:ascii="Times New Roman" w:eastAsia="Calibri" w:hAnsi="Times New Roman" w:cs="Times New Roman"/>
          <w:i/>
          <w:szCs w:val="18"/>
          <w:lang w:val="ro-RO" w:eastAsia="de-DE"/>
        </w:rPr>
        <w:t>proiecte</w:t>
      </w:r>
      <w:r w:rsidR="00321CD5" w:rsidRPr="009C5F11">
        <w:rPr>
          <w:rFonts w:ascii="Times New Roman" w:eastAsia="Calibri" w:hAnsi="Times New Roman" w:cs="Times New Roman"/>
          <w:i/>
          <w:szCs w:val="18"/>
          <w:lang w:val="ro-RO" w:eastAsia="de-DE"/>
        </w:rPr>
        <w:t xml:space="preserve"> şi </w:t>
      </w:r>
      <w:r w:rsidRPr="009C5F11">
        <w:rPr>
          <w:rFonts w:ascii="Times New Roman" w:eastAsia="Calibri" w:hAnsi="Times New Roman" w:cs="Times New Roman"/>
          <w:i/>
          <w:szCs w:val="18"/>
          <w:lang w:val="ro-RO" w:eastAsia="de-DE"/>
        </w:rPr>
        <w:t xml:space="preserve">să </w:t>
      </w:r>
      <w:r w:rsidR="00D77687" w:rsidRPr="009C5F11">
        <w:rPr>
          <w:rFonts w:ascii="Times New Roman" w:eastAsia="Calibri" w:hAnsi="Times New Roman" w:cs="Times New Roman"/>
          <w:i/>
          <w:szCs w:val="18"/>
          <w:lang w:val="ro-RO" w:eastAsia="de-DE"/>
        </w:rPr>
        <w:t>înlocui</w:t>
      </w:r>
      <w:r w:rsidRPr="009C5F11">
        <w:rPr>
          <w:rFonts w:ascii="Times New Roman" w:eastAsia="Calibri" w:hAnsi="Times New Roman" w:cs="Times New Roman"/>
          <w:i/>
          <w:szCs w:val="18"/>
          <w:lang w:val="ro-RO" w:eastAsia="de-DE"/>
        </w:rPr>
        <w:t>ască</w:t>
      </w:r>
      <w:r w:rsidR="00893F68" w:rsidRPr="009C5F11">
        <w:rPr>
          <w:rFonts w:ascii="Times New Roman" w:eastAsia="Calibri" w:hAnsi="Times New Roman" w:cs="Times New Roman"/>
          <w:i/>
          <w:szCs w:val="18"/>
          <w:lang w:val="ro-RO" w:eastAsia="de-DE"/>
        </w:rPr>
        <w:t xml:space="preserve"> 27.8 </w:t>
      </w:r>
      <w:r w:rsidR="00421FA7" w:rsidRPr="009C5F11">
        <w:rPr>
          <w:rFonts w:ascii="Times New Roman" w:eastAsia="Calibri" w:hAnsi="Times New Roman" w:cs="Times New Roman"/>
          <w:i/>
          <w:szCs w:val="18"/>
          <w:lang w:val="ro-RO" w:eastAsia="de-DE"/>
        </w:rPr>
        <w:t>mii</w:t>
      </w:r>
      <w:r w:rsidR="00893F68" w:rsidRPr="009C5F11">
        <w:rPr>
          <w:rFonts w:ascii="Times New Roman" w:eastAsia="Calibri" w:hAnsi="Times New Roman" w:cs="Times New Roman"/>
          <w:i/>
          <w:szCs w:val="18"/>
          <w:lang w:val="ro-RO" w:eastAsia="de-DE"/>
        </w:rPr>
        <w:t xml:space="preserve"> </w:t>
      </w:r>
      <w:r w:rsidRPr="009C5F11">
        <w:rPr>
          <w:rFonts w:ascii="Times New Roman" w:eastAsia="Calibri" w:hAnsi="Times New Roman" w:cs="Times New Roman"/>
          <w:i/>
          <w:szCs w:val="18"/>
          <w:lang w:val="ro-RO" w:eastAsia="de-DE"/>
        </w:rPr>
        <w:t xml:space="preserve">de lămpi, </w:t>
      </w:r>
      <w:r w:rsidR="00F53252" w:rsidRPr="009C5F11">
        <w:rPr>
          <w:rFonts w:ascii="Times New Roman" w:eastAsia="Calibri" w:hAnsi="Times New Roman" w:cs="Times New Roman"/>
          <w:i/>
          <w:szCs w:val="18"/>
          <w:lang w:val="ro-RO" w:eastAsia="de-DE"/>
        </w:rPr>
        <w:t>din care</w:t>
      </w:r>
      <w:r w:rsidR="00893F68" w:rsidRPr="009C5F11">
        <w:rPr>
          <w:rFonts w:ascii="Times New Roman" w:eastAsia="Calibri" w:hAnsi="Times New Roman" w:cs="Times New Roman"/>
          <w:i/>
          <w:szCs w:val="18"/>
          <w:lang w:val="ro-RO" w:eastAsia="de-DE"/>
        </w:rPr>
        <w:t xml:space="preserve"> 50% - LED, 38% </w:t>
      </w:r>
      <w:r w:rsidRPr="009C5F11">
        <w:rPr>
          <w:rFonts w:ascii="Times New Roman" w:eastAsia="Calibri" w:hAnsi="Times New Roman" w:cs="Times New Roman"/>
          <w:i/>
          <w:szCs w:val="18"/>
          <w:lang w:val="ro-RO" w:eastAsia="de-DE"/>
        </w:rPr>
        <w:t xml:space="preserve">- lămpi econome </w:t>
      </w:r>
      <w:r w:rsidR="00321CD5" w:rsidRPr="009C5F11">
        <w:rPr>
          <w:rFonts w:ascii="Times New Roman" w:eastAsia="Calibri" w:hAnsi="Times New Roman" w:cs="Times New Roman"/>
          <w:i/>
          <w:szCs w:val="18"/>
          <w:lang w:val="ro-RO" w:eastAsia="de-DE"/>
        </w:rPr>
        <w:t xml:space="preserve">şi </w:t>
      </w:r>
      <w:r w:rsidRPr="009C5F11">
        <w:rPr>
          <w:rFonts w:ascii="Times New Roman" w:eastAsia="Calibri" w:hAnsi="Times New Roman" w:cs="Times New Roman"/>
          <w:i/>
          <w:szCs w:val="18"/>
          <w:lang w:val="ro-RO" w:eastAsia="de-DE"/>
        </w:rPr>
        <w:t>de alt tip</w:t>
      </w:r>
      <w:r w:rsidR="00893F68" w:rsidRPr="009C5F11">
        <w:rPr>
          <w:rFonts w:ascii="Times New Roman" w:eastAsia="Calibri" w:hAnsi="Times New Roman" w:cs="Times New Roman"/>
          <w:i/>
          <w:szCs w:val="18"/>
          <w:lang w:val="ro-RO" w:eastAsia="de-DE"/>
        </w:rPr>
        <w:t xml:space="preserve">. </w:t>
      </w:r>
      <w:r w:rsidRPr="009C5F11">
        <w:rPr>
          <w:rFonts w:ascii="Times New Roman" w:eastAsia="Calibri" w:hAnsi="Times New Roman" w:cs="Times New Roman"/>
          <w:i/>
          <w:szCs w:val="18"/>
          <w:lang w:val="ro-RO" w:eastAsia="de-DE"/>
        </w:rPr>
        <w:t xml:space="preserve">În rezultat, au fost instalate lămpi noi pe un segment al sistemului de iluminare stradală </w:t>
      </w:r>
      <w:r w:rsidR="0041044E" w:rsidRPr="009C5F11">
        <w:rPr>
          <w:rFonts w:ascii="Times New Roman" w:eastAsia="Calibri" w:hAnsi="Times New Roman" w:cs="Times New Roman"/>
          <w:i/>
          <w:szCs w:val="18"/>
          <w:lang w:val="ro-RO" w:eastAsia="de-DE"/>
        </w:rPr>
        <w:t xml:space="preserve">cu o lungime de </w:t>
      </w:r>
      <w:r w:rsidR="00893F68" w:rsidRPr="009C5F11">
        <w:rPr>
          <w:rFonts w:ascii="Times New Roman" w:eastAsia="Calibri" w:hAnsi="Times New Roman" w:cs="Times New Roman"/>
          <w:i/>
          <w:szCs w:val="18"/>
          <w:lang w:val="ro-RO" w:eastAsia="de-DE"/>
        </w:rPr>
        <w:t xml:space="preserve">1233 km. </w:t>
      </w:r>
    </w:p>
    <w:p w14:paraId="19C5A60F" w14:textId="77777777" w:rsidR="00BC2ED4" w:rsidRPr="009C5F11" w:rsidRDefault="00210C2C" w:rsidP="00334F3B">
      <w:pPr>
        <w:pStyle w:val="Listparagraf"/>
        <w:numPr>
          <w:ilvl w:val="0"/>
          <w:numId w:val="176"/>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monitorizare</w:t>
      </w:r>
      <w:r w:rsidR="00B7502D" w:rsidRPr="009C5F11">
        <w:rPr>
          <w:rFonts w:ascii="Times New Roman" w:hAnsi="Times New Roman" w:cs="Times New Roman"/>
          <w:sz w:val="24"/>
          <w:lang w:val="ro-RO"/>
        </w:rPr>
        <w:t>a</w:t>
      </w:r>
      <w:r w:rsidR="00BC2ED4" w:rsidRPr="009C5F11">
        <w:rPr>
          <w:rFonts w:ascii="Times New Roman" w:hAnsi="Times New Roman" w:cs="Times New Roman"/>
          <w:sz w:val="24"/>
          <w:lang w:val="ro-RO"/>
        </w:rPr>
        <w:t xml:space="preserve"> </w:t>
      </w:r>
      <w:r w:rsidR="00A07A79" w:rsidRPr="009C5F11">
        <w:rPr>
          <w:rFonts w:ascii="Times New Roman" w:hAnsi="Times New Roman" w:cs="Times New Roman"/>
          <w:sz w:val="24"/>
          <w:lang w:val="ro-RO"/>
        </w:rPr>
        <w:t>consumului de energie</w:t>
      </w:r>
      <w:r w:rsidR="00BC2ED4" w:rsidRPr="009C5F11">
        <w:rPr>
          <w:rFonts w:ascii="Times New Roman" w:hAnsi="Times New Roman" w:cs="Times New Roman"/>
          <w:sz w:val="24"/>
          <w:lang w:val="ro-RO"/>
        </w:rPr>
        <w:t xml:space="preserve"> </w:t>
      </w:r>
      <w:r w:rsidR="00A07A79" w:rsidRPr="009C5F11">
        <w:rPr>
          <w:rFonts w:ascii="Times New Roman" w:hAnsi="Times New Roman" w:cs="Times New Roman"/>
          <w:sz w:val="24"/>
          <w:lang w:val="ro-RO"/>
        </w:rPr>
        <w:t>după finalizarea proiectelor de iluminat stradal</w:t>
      </w:r>
      <w:r w:rsidR="00B7502D" w:rsidRPr="009C5F11">
        <w:rPr>
          <w:rFonts w:ascii="Times New Roman" w:hAnsi="Times New Roman" w:cs="Times New Roman"/>
          <w:sz w:val="24"/>
          <w:lang w:val="ro-RO"/>
        </w:rPr>
        <w:t>.</w:t>
      </w:r>
    </w:p>
    <w:p w14:paraId="4E8051EF" w14:textId="77777777" w:rsidR="00BC2ED4" w:rsidRPr="009C5F11" w:rsidRDefault="00D63A4A" w:rsidP="00893F68">
      <w:pPr>
        <w:spacing w:line="240" w:lineRule="auto"/>
        <w:ind w:left="720"/>
        <w:jc w:val="both"/>
        <w:rPr>
          <w:rFonts w:ascii="Times New Roman" w:eastAsia="Calibri" w:hAnsi="Times New Roman" w:cs="Times New Roman"/>
          <w:i/>
          <w:szCs w:val="18"/>
          <w:lang w:val="ro-RO" w:eastAsia="de-DE"/>
        </w:rPr>
      </w:pPr>
      <w:r w:rsidRPr="009C5F11">
        <w:rPr>
          <w:rFonts w:ascii="Times New Roman" w:hAnsi="Times New Roman" w:cs="Times New Roman"/>
          <w:i/>
          <w:szCs w:val="18"/>
          <w:u w:val="single"/>
          <w:lang w:val="ro-RO"/>
        </w:rPr>
        <w:t>Potrivit Raportului anual al AEE pe anul 2015</w:t>
      </w:r>
      <w:r w:rsidR="00893F68" w:rsidRPr="009C5F11">
        <w:rPr>
          <w:rFonts w:ascii="Times New Roman" w:hAnsi="Times New Roman" w:cs="Times New Roman"/>
          <w:i/>
          <w:szCs w:val="18"/>
          <w:u w:val="single"/>
          <w:lang w:val="ro-RO"/>
        </w:rPr>
        <w:t>:</w:t>
      </w:r>
      <w:r w:rsidR="00893F68" w:rsidRPr="009C5F11">
        <w:rPr>
          <w:rFonts w:ascii="Times New Roman" w:eastAsia="Calibri" w:hAnsi="Times New Roman" w:cs="Times New Roman"/>
          <w:i/>
          <w:szCs w:val="18"/>
          <w:lang w:val="ro-RO" w:eastAsia="de-DE"/>
        </w:rPr>
        <w:t xml:space="preserve"> </w:t>
      </w:r>
      <w:r w:rsidR="00603237" w:rsidRPr="009C5F11">
        <w:rPr>
          <w:rFonts w:ascii="Times New Roman" w:eastAsia="Calibri" w:hAnsi="Times New Roman" w:cs="Times New Roman"/>
          <w:i/>
          <w:szCs w:val="18"/>
          <w:lang w:val="ro-RO" w:eastAsia="de-DE"/>
        </w:rPr>
        <w:t>din</w:t>
      </w:r>
      <w:r w:rsidR="00BC2ED4" w:rsidRPr="009C5F11">
        <w:rPr>
          <w:rFonts w:ascii="Times New Roman" w:eastAsia="Calibri" w:hAnsi="Times New Roman" w:cs="Times New Roman"/>
          <w:i/>
          <w:szCs w:val="18"/>
          <w:lang w:val="ro-RO" w:eastAsia="de-DE"/>
        </w:rPr>
        <w:t xml:space="preserve"> 35 </w:t>
      </w:r>
      <w:r w:rsidR="00B7502D" w:rsidRPr="009C5F11">
        <w:rPr>
          <w:rFonts w:ascii="Times New Roman" w:eastAsia="Calibri" w:hAnsi="Times New Roman" w:cs="Times New Roman"/>
          <w:i/>
          <w:szCs w:val="18"/>
          <w:lang w:val="ro-RO" w:eastAsia="de-DE"/>
        </w:rPr>
        <w:t>APL-uri</w:t>
      </w:r>
      <w:r w:rsidR="00BC2ED4" w:rsidRPr="009C5F11">
        <w:rPr>
          <w:rFonts w:ascii="Times New Roman" w:eastAsia="Calibri" w:hAnsi="Times New Roman" w:cs="Times New Roman"/>
          <w:i/>
          <w:szCs w:val="18"/>
          <w:lang w:val="ro-RO" w:eastAsia="de-DE"/>
        </w:rPr>
        <w:t xml:space="preserve"> 13 </w:t>
      </w:r>
      <w:r w:rsidR="00B7502D" w:rsidRPr="009C5F11">
        <w:rPr>
          <w:rFonts w:ascii="Times New Roman" w:eastAsia="Calibri" w:hAnsi="Times New Roman" w:cs="Times New Roman"/>
          <w:i/>
          <w:szCs w:val="18"/>
          <w:lang w:val="ro-RO" w:eastAsia="de-DE"/>
        </w:rPr>
        <w:t>au raportat</w:t>
      </w:r>
      <w:r w:rsidR="00BC2ED4"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 xml:space="preserve">despre existenţa unui sistem de </w:t>
      </w:r>
      <w:r w:rsidR="00210C2C" w:rsidRPr="009C5F11">
        <w:rPr>
          <w:rFonts w:ascii="Times New Roman" w:eastAsia="Calibri" w:hAnsi="Times New Roman" w:cs="Times New Roman"/>
          <w:i/>
          <w:szCs w:val="18"/>
          <w:lang w:val="ro-RO" w:eastAsia="de-DE"/>
        </w:rPr>
        <w:t>monitorizare</w:t>
      </w:r>
      <w:r w:rsidR="00BC2ED4"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a</w:t>
      </w:r>
      <w:r w:rsidR="00BC2ED4" w:rsidRPr="009C5F11">
        <w:rPr>
          <w:rFonts w:ascii="Times New Roman" w:eastAsia="Calibri" w:hAnsi="Times New Roman" w:cs="Times New Roman"/>
          <w:i/>
          <w:szCs w:val="18"/>
          <w:lang w:val="ro-RO" w:eastAsia="de-DE"/>
        </w:rPr>
        <w:t xml:space="preserve"> </w:t>
      </w:r>
      <w:r w:rsidR="00A07A79" w:rsidRPr="009C5F11">
        <w:rPr>
          <w:rFonts w:ascii="Times New Roman" w:eastAsia="Calibri" w:hAnsi="Times New Roman" w:cs="Times New Roman"/>
          <w:i/>
          <w:szCs w:val="18"/>
          <w:lang w:val="ro-RO" w:eastAsia="de-DE"/>
        </w:rPr>
        <w:t>consumului de energie</w:t>
      </w:r>
      <w:r w:rsidR="00BC2ED4" w:rsidRPr="009C5F11">
        <w:rPr>
          <w:rFonts w:ascii="Times New Roman" w:eastAsia="Calibri" w:hAnsi="Times New Roman" w:cs="Times New Roman"/>
          <w:i/>
          <w:szCs w:val="18"/>
          <w:lang w:val="ro-RO" w:eastAsia="de-DE"/>
        </w:rPr>
        <w:t xml:space="preserve">, </w:t>
      </w:r>
      <w:r w:rsidR="00AB1710" w:rsidRPr="009C5F11">
        <w:rPr>
          <w:rFonts w:ascii="Times New Roman" w:eastAsia="Calibri" w:hAnsi="Times New Roman" w:cs="Times New Roman"/>
          <w:i/>
          <w:szCs w:val="18"/>
          <w:lang w:val="ro-RO" w:eastAsia="de-DE"/>
        </w:rPr>
        <w:t>inclusiv</w:t>
      </w:r>
      <w:r w:rsidR="00BC2ED4" w:rsidRPr="009C5F11">
        <w:rPr>
          <w:rFonts w:ascii="Times New Roman" w:eastAsia="Calibri" w:hAnsi="Times New Roman" w:cs="Times New Roman"/>
          <w:i/>
          <w:szCs w:val="18"/>
          <w:lang w:val="ro-RO" w:eastAsia="de-DE"/>
        </w:rPr>
        <w:t xml:space="preserve">: </w:t>
      </w:r>
      <w:r w:rsidR="005D06FD" w:rsidRPr="009C5F11">
        <w:rPr>
          <w:rFonts w:ascii="Times New Roman" w:eastAsia="Calibri" w:hAnsi="Times New Roman" w:cs="Times New Roman"/>
          <w:i/>
          <w:szCs w:val="18"/>
          <w:lang w:val="ro-RO" w:eastAsia="de-DE"/>
        </w:rPr>
        <w:t>Anenii Noi</w:t>
      </w:r>
      <w:r w:rsidR="00BC2ED4" w:rsidRPr="009C5F11">
        <w:rPr>
          <w:rFonts w:ascii="Times New Roman" w:eastAsia="Calibri" w:hAnsi="Times New Roman" w:cs="Times New Roman"/>
          <w:i/>
          <w:szCs w:val="18"/>
          <w:lang w:val="ro-RO" w:eastAsia="de-DE"/>
        </w:rPr>
        <w:t xml:space="preserve">, Cantemir, </w:t>
      </w:r>
      <w:r w:rsidR="005D06FD" w:rsidRPr="009C5F11">
        <w:rPr>
          <w:rFonts w:ascii="Times New Roman" w:eastAsia="Calibri" w:hAnsi="Times New Roman" w:cs="Times New Roman"/>
          <w:i/>
          <w:szCs w:val="18"/>
          <w:lang w:val="ro-RO" w:eastAsia="de-DE"/>
        </w:rPr>
        <w:t>Căuşeni</w:t>
      </w:r>
      <w:r w:rsidR="00BC2ED4" w:rsidRPr="009C5F11">
        <w:rPr>
          <w:rFonts w:ascii="Times New Roman" w:eastAsia="Calibri" w:hAnsi="Times New Roman" w:cs="Times New Roman"/>
          <w:i/>
          <w:szCs w:val="18"/>
          <w:lang w:val="ro-RO" w:eastAsia="de-DE"/>
        </w:rPr>
        <w:t xml:space="preserve">, Criuleni, </w:t>
      </w:r>
      <w:r w:rsidR="005D06FD" w:rsidRPr="009C5F11">
        <w:rPr>
          <w:rFonts w:ascii="Times New Roman" w:eastAsia="Calibri" w:hAnsi="Times New Roman" w:cs="Times New Roman"/>
          <w:i/>
          <w:szCs w:val="18"/>
          <w:lang w:val="ro-RO" w:eastAsia="de-DE"/>
        </w:rPr>
        <w:t>Făleşti</w:t>
      </w:r>
      <w:r w:rsidR="00BC2ED4" w:rsidRPr="009C5F11">
        <w:rPr>
          <w:rFonts w:ascii="Times New Roman" w:eastAsia="Calibri" w:hAnsi="Times New Roman" w:cs="Times New Roman"/>
          <w:i/>
          <w:szCs w:val="18"/>
          <w:lang w:val="ro-RO" w:eastAsia="de-DE"/>
        </w:rPr>
        <w:t xml:space="preserve">, Glodeni, Nisporeni, </w:t>
      </w:r>
      <w:r w:rsidR="005D06FD" w:rsidRPr="009C5F11">
        <w:rPr>
          <w:rFonts w:ascii="Times New Roman" w:eastAsia="Calibri" w:hAnsi="Times New Roman" w:cs="Times New Roman"/>
          <w:i/>
          <w:szCs w:val="18"/>
          <w:lang w:val="ro-RO" w:eastAsia="de-DE"/>
        </w:rPr>
        <w:t>Ocniţa</w:t>
      </w:r>
      <w:r w:rsidR="00BC2ED4" w:rsidRPr="009C5F11">
        <w:rPr>
          <w:rFonts w:ascii="Times New Roman" w:eastAsia="Calibri" w:hAnsi="Times New Roman" w:cs="Times New Roman"/>
          <w:i/>
          <w:szCs w:val="18"/>
          <w:lang w:val="ro-RO" w:eastAsia="de-DE"/>
        </w:rPr>
        <w:t xml:space="preserve">, Rezina, </w:t>
      </w:r>
      <w:r w:rsidR="005D06FD" w:rsidRPr="009C5F11">
        <w:rPr>
          <w:rFonts w:ascii="Times New Roman" w:eastAsia="Calibri" w:hAnsi="Times New Roman" w:cs="Times New Roman"/>
          <w:i/>
          <w:szCs w:val="18"/>
          <w:lang w:val="ro-RO" w:eastAsia="de-DE"/>
        </w:rPr>
        <w:t>Rîşcani</w:t>
      </w:r>
      <w:r w:rsidR="00BC2ED4" w:rsidRPr="009C5F11">
        <w:rPr>
          <w:rFonts w:ascii="Times New Roman" w:eastAsia="Calibri" w:hAnsi="Times New Roman" w:cs="Times New Roman"/>
          <w:i/>
          <w:szCs w:val="18"/>
          <w:lang w:val="ro-RO" w:eastAsia="de-DE"/>
        </w:rPr>
        <w:t xml:space="preserve">, Soroca, </w:t>
      </w:r>
      <w:r w:rsidR="005D06FD" w:rsidRPr="009C5F11">
        <w:rPr>
          <w:rFonts w:ascii="Times New Roman" w:eastAsia="Calibri" w:hAnsi="Times New Roman" w:cs="Times New Roman"/>
          <w:i/>
          <w:szCs w:val="18"/>
          <w:lang w:val="ro-RO" w:eastAsia="de-DE"/>
        </w:rPr>
        <w:t>Şoldăneşti</w:t>
      </w:r>
      <w:r w:rsidR="00BC2ED4" w:rsidRPr="009C5F11">
        <w:rPr>
          <w:rFonts w:ascii="Times New Roman" w:eastAsia="Calibri" w:hAnsi="Times New Roman" w:cs="Times New Roman"/>
          <w:i/>
          <w:szCs w:val="18"/>
          <w:lang w:val="ro-RO" w:eastAsia="de-DE"/>
        </w:rPr>
        <w:t xml:space="preserve">, Ungheni. </w:t>
      </w:r>
      <w:r w:rsidR="00334DD0" w:rsidRPr="009C5F11">
        <w:rPr>
          <w:rFonts w:ascii="Times New Roman" w:eastAsia="Calibri" w:hAnsi="Times New Roman" w:cs="Times New Roman"/>
          <w:i/>
          <w:szCs w:val="18"/>
          <w:lang w:val="ro-RO" w:eastAsia="de-DE"/>
        </w:rPr>
        <w:t xml:space="preserve">În </w:t>
      </w:r>
      <w:r w:rsidR="00BC2ED4" w:rsidRPr="009C5F11">
        <w:rPr>
          <w:rFonts w:ascii="Times New Roman" w:eastAsia="Calibri" w:hAnsi="Times New Roman" w:cs="Times New Roman"/>
          <w:i/>
          <w:szCs w:val="18"/>
          <w:lang w:val="ro-RO" w:eastAsia="de-DE"/>
        </w:rPr>
        <w:t xml:space="preserve">2014, </w:t>
      </w:r>
      <w:r w:rsidR="00B7502D" w:rsidRPr="009C5F11">
        <w:rPr>
          <w:rFonts w:ascii="Times New Roman" w:eastAsia="Calibri" w:hAnsi="Times New Roman" w:cs="Times New Roman"/>
          <w:i/>
          <w:szCs w:val="18"/>
          <w:lang w:val="ro-RO" w:eastAsia="de-DE"/>
        </w:rPr>
        <w:t>a fost elaborat un Studiu</w:t>
      </w:r>
      <w:r w:rsidR="00BC2ED4"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 xml:space="preserve">de evaluare a </w:t>
      </w:r>
      <w:r w:rsidR="006F2A15" w:rsidRPr="009C5F11">
        <w:rPr>
          <w:rFonts w:ascii="Times New Roman" w:eastAsia="Calibri" w:hAnsi="Times New Roman" w:cs="Times New Roman"/>
          <w:i/>
          <w:szCs w:val="18"/>
          <w:lang w:val="ro-RO" w:eastAsia="de-DE"/>
        </w:rPr>
        <w:t>iluminatul</w:t>
      </w:r>
      <w:r w:rsidR="00B7502D" w:rsidRPr="009C5F11">
        <w:rPr>
          <w:rFonts w:ascii="Times New Roman" w:eastAsia="Calibri" w:hAnsi="Times New Roman" w:cs="Times New Roman"/>
          <w:i/>
          <w:szCs w:val="18"/>
          <w:lang w:val="ro-RO" w:eastAsia="de-DE"/>
        </w:rPr>
        <w:t>ui</w:t>
      </w:r>
      <w:r w:rsidR="006F2A15" w:rsidRPr="009C5F11">
        <w:rPr>
          <w:rFonts w:ascii="Times New Roman" w:eastAsia="Calibri" w:hAnsi="Times New Roman" w:cs="Times New Roman"/>
          <w:i/>
          <w:szCs w:val="18"/>
          <w:lang w:val="ro-RO" w:eastAsia="de-DE"/>
        </w:rPr>
        <w:t xml:space="preserve"> stradal</w:t>
      </w:r>
      <w:r w:rsidR="00321CD5" w:rsidRPr="009C5F11">
        <w:rPr>
          <w:rFonts w:ascii="Times New Roman" w:eastAsia="Calibri" w:hAnsi="Times New Roman" w:cs="Times New Roman"/>
          <w:i/>
          <w:szCs w:val="18"/>
          <w:lang w:val="ro-RO" w:eastAsia="de-DE"/>
        </w:rPr>
        <w:t xml:space="preserve"> </w:t>
      </w:r>
      <w:r w:rsidR="00B7502D" w:rsidRPr="009C5F11">
        <w:rPr>
          <w:rFonts w:ascii="Times New Roman" w:eastAsia="Calibri" w:hAnsi="Times New Roman" w:cs="Times New Roman"/>
          <w:i/>
          <w:szCs w:val="18"/>
          <w:lang w:val="ro-RO" w:eastAsia="de-DE"/>
        </w:rPr>
        <w:t xml:space="preserve">de tip LED </w:t>
      </w:r>
      <w:r w:rsidR="00223DAC" w:rsidRPr="009C5F11">
        <w:rPr>
          <w:rFonts w:ascii="Times New Roman" w:eastAsia="Calibri" w:hAnsi="Times New Roman" w:cs="Times New Roman"/>
          <w:i/>
          <w:szCs w:val="18"/>
          <w:lang w:val="ro-RO" w:eastAsia="de-DE"/>
        </w:rPr>
        <w:t>în Republica Moldova</w:t>
      </w:r>
      <w:r w:rsidR="00BC2ED4" w:rsidRPr="009C5F11">
        <w:rPr>
          <w:rFonts w:ascii="Times New Roman" w:eastAsia="Calibri" w:hAnsi="Times New Roman" w:cs="Times New Roman"/>
          <w:i/>
          <w:szCs w:val="18"/>
          <w:lang w:val="ro-RO" w:eastAsia="de-DE"/>
        </w:rPr>
        <w:t xml:space="preserve">. </w:t>
      </w:r>
      <w:r w:rsidR="00D763EC" w:rsidRPr="009C5F11">
        <w:rPr>
          <w:rFonts w:ascii="Times New Roman" w:eastAsia="Calibri" w:hAnsi="Times New Roman" w:cs="Times New Roman"/>
          <w:i/>
          <w:szCs w:val="18"/>
          <w:lang w:val="ro-RO" w:eastAsia="de-DE"/>
        </w:rPr>
        <w:t xml:space="preserve">Pe parcursul anului 2015, Institutul Naţional de Metrologie a efectuat verificarea sistemului de iluminare stradală pe unele dintre străzile or. Bălţi. Verificarea a inclus 5 (cinci) segmente de străzi cu iluminare modernizată de tip LED. Rezultatele verificării au indicat faptul că nici unul dintre segmentele supuse verificării nu a atins cerinţele de iluminare recomandate de normele europene. Rezultatele au fost prezentate public </w:t>
      </w:r>
      <w:r w:rsidR="0041044E" w:rsidRPr="009C5F11">
        <w:rPr>
          <w:rFonts w:ascii="Times New Roman" w:eastAsia="Calibri" w:hAnsi="Times New Roman" w:cs="Times New Roman"/>
          <w:i/>
          <w:szCs w:val="18"/>
          <w:lang w:val="ro-RO" w:eastAsia="de-DE"/>
        </w:rPr>
        <w:t>în sediul</w:t>
      </w:r>
      <w:r w:rsidR="00D763EC" w:rsidRPr="009C5F11">
        <w:rPr>
          <w:rFonts w:ascii="Times New Roman" w:eastAsia="Calibri" w:hAnsi="Times New Roman" w:cs="Times New Roman"/>
          <w:i/>
          <w:szCs w:val="18"/>
          <w:lang w:val="ro-RO" w:eastAsia="de-DE"/>
        </w:rPr>
        <w:t xml:space="preserve"> AEE pe data de 17.02.2016. </w:t>
      </w:r>
    </w:p>
    <w:p w14:paraId="2BD4186A" w14:textId="77777777" w:rsidR="001F5046" w:rsidRPr="009C5F11" w:rsidRDefault="001F5046" w:rsidP="00893F68">
      <w:pPr>
        <w:spacing w:line="240" w:lineRule="auto"/>
        <w:ind w:left="720"/>
        <w:jc w:val="both"/>
        <w:rPr>
          <w:rFonts w:ascii="Times New Roman" w:eastAsia="Calibri" w:hAnsi="Times New Roman" w:cs="Times New Roman"/>
          <w:i/>
          <w:sz w:val="24"/>
          <w:lang w:val="ro-RO" w:eastAsia="de-DE"/>
        </w:rPr>
      </w:pPr>
    </w:p>
    <w:p w14:paraId="02B96524" w14:textId="77777777" w:rsidR="00BC2ED4" w:rsidRPr="009C5F11" w:rsidRDefault="00BC2ED4" w:rsidP="00BC2ED4">
      <w:pPr>
        <w:spacing w:before="120" w:after="120" w:line="240" w:lineRule="auto"/>
        <w:jc w:val="both"/>
        <w:rPr>
          <w:rFonts w:ascii="Times New Roman" w:hAnsi="Times New Roman" w:cs="Times New Roman"/>
          <w:i/>
          <w:sz w:val="24"/>
          <w:lang w:val="ro-RO"/>
        </w:rPr>
      </w:pPr>
      <w:r w:rsidRPr="009C5F11">
        <w:rPr>
          <w:rFonts w:ascii="Times New Roman" w:hAnsi="Times New Roman" w:cs="Times New Roman"/>
          <w:i/>
          <w:sz w:val="24"/>
          <w:lang w:val="ro-RO"/>
        </w:rPr>
        <w:br w:type="page"/>
      </w:r>
    </w:p>
    <w:p w14:paraId="1D69C642" w14:textId="77777777" w:rsidR="00BC2ED4" w:rsidRPr="00D9464A" w:rsidRDefault="00D15C6C" w:rsidP="00297ED0">
      <w:pPr>
        <w:pStyle w:val="Titlu2"/>
        <w:rPr>
          <w:rFonts w:ascii="Times New Roman" w:hAnsi="Times New Roman" w:cs="Times New Roman"/>
          <w:color w:val="000000" w:themeColor="text1"/>
          <w:sz w:val="28"/>
          <w:lang w:val="ro-RO"/>
        </w:rPr>
      </w:pPr>
      <w:bookmarkStart w:id="338" w:name="_Toc319555437"/>
      <w:bookmarkStart w:id="339" w:name="_Toc322013196"/>
      <w:r w:rsidRPr="00D9464A">
        <w:rPr>
          <w:rFonts w:ascii="Times New Roman" w:hAnsi="Times New Roman" w:cs="Times New Roman"/>
          <w:color w:val="000000" w:themeColor="text1"/>
          <w:sz w:val="28"/>
          <w:lang w:val="ro-RO"/>
        </w:rPr>
        <w:lastRenderedPageBreak/>
        <w:t>Achiziţii efectuate de organisme</w:t>
      </w:r>
      <w:r w:rsidR="00D763EC" w:rsidRPr="00D9464A">
        <w:rPr>
          <w:rFonts w:ascii="Times New Roman" w:hAnsi="Times New Roman" w:cs="Times New Roman"/>
          <w:color w:val="000000" w:themeColor="text1"/>
          <w:sz w:val="28"/>
          <w:lang w:val="ro-RO"/>
        </w:rPr>
        <w:t>le</w:t>
      </w:r>
      <w:r w:rsidRPr="00D9464A">
        <w:rPr>
          <w:rFonts w:ascii="Times New Roman" w:hAnsi="Times New Roman" w:cs="Times New Roman"/>
          <w:color w:val="000000" w:themeColor="text1"/>
          <w:sz w:val="28"/>
          <w:lang w:val="ro-RO"/>
        </w:rPr>
        <w:t xml:space="preserve"> publice </w:t>
      </w:r>
      <w:r w:rsidR="00BC2ED4" w:rsidRPr="00D9464A">
        <w:rPr>
          <w:rFonts w:ascii="Times New Roman" w:hAnsi="Times New Roman" w:cs="Times New Roman"/>
          <w:color w:val="000000" w:themeColor="text1"/>
          <w:sz w:val="28"/>
          <w:lang w:val="ro-RO"/>
        </w:rPr>
        <w:t>(</w:t>
      </w:r>
      <w:r w:rsidR="000A4CC7" w:rsidRPr="00D9464A">
        <w:rPr>
          <w:rFonts w:ascii="Times New Roman" w:hAnsi="Times New Roman" w:cs="Times New Roman"/>
          <w:color w:val="000000" w:themeColor="text1"/>
          <w:sz w:val="28"/>
          <w:lang w:val="ro-RO"/>
        </w:rPr>
        <w:t>Articolul</w:t>
      </w:r>
      <w:r w:rsidR="00BC2ED4" w:rsidRPr="00D9464A">
        <w:rPr>
          <w:rFonts w:ascii="Times New Roman" w:hAnsi="Times New Roman" w:cs="Times New Roman"/>
          <w:color w:val="000000" w:themeColor="text1"/>
          <w:sz w:val="28"/>
          <w:lang w:val="ro-RO"/>
        </w:rPr>
        <w:t xml:space="preserve"> 6)</w:t>
      </w:r>
      <w:bookmarkEnd w:id="338"/>
      <w:bookmarkEnd w:id="339"/>
      <w:r w:rsidR="00BC2ED4" w:rsidRPr="00D9464A">
        <w:rPr>
          <w:rFonts w:ascii="Times New Roman" w:hAnsi="Times New Roman" w:cs="Times New Roman"/>
          <w:color w:val="000000" w:themeColor="text1"/>
          <w:sz w:val="28"/>
          <w:lang w:val="ro-RO"/>
        </w:rPr>
        <w:t xml:space="preserve"> </w:t>
      </w:r>
    </w:p>
    <w:p w14:paraId="5BF49053" w14:textId="77777777" w:rsidR="00595171" w:rsidRPr="009C5F11" w:rsidRDefault="000A4CC7"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Articolul</w:t>
      </w:r>
      <w:r w:rsidR="00BC2ED4" w:rsidRPr="009C5F11">
        <w:rPr>
          <w:rFonts w:ascii="Times New Roman" w:hAnsi="Times New Roman" w:cs="Times New Roman"/>
          <w:sz w:val="24"/>
          <w:lang w:val="ro-RO"/>
        </w:rPr>
        <w:t xml:space="preserve"> 6 </w:t>
      </w:r>
      <w:r w:rsidR="00D763EC"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Directiva </w:t>
      </w:r>
      <w:r w:rsidR="00BC2ED4" w:rsidRPr="009C5F11">
        <w:rPr>
          <w:rFonts w:ascii="Times New Roman" w:hAnsi="Times New Roman" w:cs="Times New Roman"/>
          <w:sz w:val="24"/>
          <w:lang w:val="ro-RO"/>
        </w:rPr>
        <w:t>2012/27</w:t>
      </w:r>
      <w:r w:rsidR="00730BB5" w:rsidRPr="009C5F11">
        <w:rPr>
          <w:rFonts w:ascii="Times New Roman" w:hAnsi="Times New Roman" w:cs="Times New Roman"/>
          <w:sz w:val="24"/>
          <w:lang w:val="ro-RO"/>
        </w:rPr>
        <w:t>/UE</w:t>
      </w:r>
      <w:r w:rsidR="00BC2ED4" w:rsidRPr="009C5F11">
        <w:rPr>
          <w:rFonts w:ascii="Times New Roman" w:hAnsi="Times New Roman" w:cs="Times New Roman"/>
          <w:sz w:val="24"/>
          <w:lang w:val="ro-RO"/>
        </w:rPr>
        <w:t xml:space="preserve"> </w:t>
      </w:r>
      <w:r w:rsidR="00590FEF" w:rsidRPr="009C5F11">
        <w:rPr>
          <w:rFonts w:ascii="Times New Roman" w:hAnsi="Times New Roman" w:cs="Times New Roman"/>
          <w:sz w:val="24"/>
          <w:lang w:val="ro-RO"/>
        </w:rPr>
        <w:t>prevede că</w:t>
      </w:r>
      <w:r w:rsidR="00BC2ED4" w:rsidRPr="009C5F11">
        <w:rPr>
          <w:rFonts w:ascii="Times New Roman" w:hAnsi="Times New Roman" w:cs="Times New Roman"/>
          <w:sz w:val="24"/>
          <w:lang w:val="ro-RO"/>
        </w:rPr>
        <w:t xml:space="preserve"> </w:t>
      </w:r>
      <w:r w:rsidR="00D763EC" w:rsidRPr="009C5F11">
        <w:rPr>
          <w:rFonts w:ascii="Times New Roman" w:hAnsi="Times New Roman" w:cs="Times New Roman"/>
          <w:sz w:val="24"/>
          <w:lang w:val="ro-RO"/>
        </w:rPr>
        <w:t>APC</w:t>
      </w:r>
      <w:r w:rsidR="00BC2ED4" w:rsidRPr="009C5F11">
        <w:rPr>
          <w:rFonts w:ascii="Times New Roman" w:hAnsi="Times New Roman" w:cs="Times New Roman"/>
          <w:sz w:val="24"/>
          <w:lang w:val="ro-RO"/>
        </w:rPr>
        <w:t xml:space="preserve"> </w:t>
      </w:r>
      <w:r w:rsidR="00590FEF" w:rsidRPr="009C5F11">
        <w:rPr>
          <w:rFonts w:ascii="Times New Roman" w:eastAsia="Times New Roman" w:hAnsi="Times New Roman" w:cs="Times New Roman"/>
          <w:color w:val="000000"/>
          <w:sz w:val="24"/>
          <w:lang w:val="ro-RO"/>
        </w:rPr>
        <w:t xml:space="preserve">achiziționează doar produse, servicii și clădiri cu performanțe </w:t>
      </w:r>
      <w:r w:rsidR="0041044E" w:rsidRPr="009C5F11">
        <w:rPr>
          <w:rFonts w:ascii="Times New Roman" w:eastAsia="Times New Roman" w:hAnsi="Times New Roman" w:cs="Times New Roman"/>
          <w:color w:val="000000"/>
          <w:sz w:val="24"/>
          <w:lang w:val="ro-RO"/>
        </w:rPr>
        <w:t>ridicate</w:t>
      </w:r>
      <w:r w:rsidR="00590FEF" w:rsidRPr="009C5F11">
        <w:rPr>
          <w:rFonts w:ascii="Times New Roman" w:eastAsia="Times New Roman" w:hAnsi="Times New Roman" w:cs="Times New Roman"/>
          <w:color w:val="000000"/>
          <w:sz w:val="24"/>
          <w:lang w:val="ro-RO"/>
        </w:rPr>
        <w:t xml:space="preserve"> de eficiență energetică, în măsura în care acest</w:t>
      </w:r>
      <w:r w:rsidR="0041044E" w:rsidRPr="009C5F11">
        <w:rPr>
          <w:rFonts w:ascii="Times New Roman" w:eastAsia="Times New Roman" w:hAnsi="Times New Roman" w:cs="Times New Roman"/>
          <w:color w:val="000000"/>
          <w:sz w:val="24"/>
          <w:lang w:val="ro-RO"/>
        </w:rPr>
        <w:t>e</w:t>
      </w:r>
      <w:r w:rsidR="00590FEF" w:rsidRPr="009C5F11">
        <w:rPr>
          <w:rFonts w:ascii="Times New Roman" w:eastAsia="Times New Roman" w:hAnsi="Times New Roman" w:cs="Times New Roman"/>
          <w:color w:val="000000"/>
          <w:sz w:val="24"/>
          <w:lang w:val="ro-RO"/>
        </w:rPr>
        <w:t>a corespund cerințelor de eficacitate a costurilor, fezabilitate economică, viabilitate sporită, conformitate tehnică, precum și unui nivel suficient de concurență</w:t>
      </w:r>
      <w:r w:rsidR="00BC2ED4" w:rsidRPr="009C5F11">
        <w:rPr>
          <w:rFonts w:ascii="Times New Roman" w:hAnsi="Times New Roman" w:cs="Times New Roman"/>
          <w:sz w:val="24"/>
          <w:lang w:val="ro-RO"/>
        </w:rPr>
        <w:t xml:space="preserve">. </w:t>
      </w:r>
      <w:r w:rsidR="00394842" w:rsidRPr="009C5F11">
        <w:rPr>
          <w:rFonts w:ascii="Times New Roman" w:hAnsi="Times New Roman" w:cs="Times New Roman"/>
          <w:sz w:val="24"/>
          <w:lang w:val="ro-RO"/>
        </w:rPr>
        <w:t xml:space="preserve">Sunt în derulare activităţile prevăzute de lege în vederea </w:t>
      </w:r>
      <w:r w:rsidR="00BC2ED4" w:rsidRPr="009C5F11">
        <w:rPr>
          <w:rFonts w:ascii="Times New Roman" w:hAnsi="Times New Roman" w:cs="Times New Roman"/>
          <w:sz w:val="24"/>
          <w:lang w:val="ro-RO"/>
        </w:rPr>
        <w:t>specif</w:t>
      </w:r>
      <w:r w:rsidR="00394842" w:rsidRPr="009C5F11">
        <w:rPr>
          <w:rFonts w:ascii="Times New Roman" w:hAnsi="Times New Roman" w:cs="Times New Roman"/>
          <w:sz w:val="24"/>
          <w:lang w:val="ro-RO"/>
        </w:rPr>
        <w:t>icării</w:t>
      </w:r>
      <w:r w:rsidR="00BC2ED4" w:rsidRPr="009C5F11">
        <w:rPr>
          <w:rFonts w:ascii="Times New Roman" w:hAnsi="Times New Roman" w:cs="Times New Roman"/>
          <w:sz w:val="24"/>
          <w:lang w:val="ro-RO"/>
        </w:rPr>
        <w:t xml:space="preserve"> </w:t>
      </w:r>
      <w:r w:rsidR="00394842" w:rsidRPr="009C5F11">
        <w:rPr>
          <w:rFonts w:ascii="Times New Roman" w:hAnsi="Times New Roman" w:cs="Times New Roman"/>
          <w:sz w:val="24"/>
          <w:lang w:val="ro-RO"/>
        </w:rPr>
        <w:t>obligaţiilor</w:t>
      </w:r>
      <w:r w:rsidR="00BC2ED4" w:rsidRPr="009C5F11">
        <w:rPr>
          <w:rFonts w:ascii="Times New Roman" w:hAnsi="Times New Roman" w:cs="Times New Roman"/>
          <w:sz w:val="24"/>
          <w:lang w:val="ro-RO"/>
        </w:rPr>
        <w:t xml:space="preserve"> </w:t>
      </w:r>
      <w:r w:rsidR="00394842" w:rsidRPr="009C5F11">
        <w:rPr>
          <w:rFonts w:ascii="Times New Roman" w:hAnsi="Times New Roman" w:cs="Times New Roman"/>
          <w:sz w:val="24"/>
          <w:lang w:val="ro-RO"/>
        </w:rPr>
        <w:t>serviciilor de stat</w:t>
      </w:r>
      <w:r w:rsidR="00321CD5" w:rsidRPr="009C5F11">
        <w:rPr>
          <w:rFonts w:ascii="Times New Roman" w:hAnsi="Times New Roman" w:cs="Times New Roman"/>
          <w:sz w:val="24"/>
          <w:lang w:val="ro-RO"/>
        </w:rPr>
        <w:t xml:space="preserve"> în </w:t>
      </w:r>
      <w:r w:rsidR="00394842" w:rsidRPr="009C5F11">
        <w:rPr>
          <w:rFonts w:ascii="Times New Roman" w:eastAsia="Times New Roman" w:hAnsi="Times New Roman" w:cs="Times New Roman"/>
          <w:color w:val="000000"/>
          <w:sz w:val="24"/>
          <w:lang w:val="ro-RO"/>
        </w:rPr>
        <w:t>achiziționarea de produse, servicii și clădiri cu randament sporit</w:t>
      </w:r>
      <w:r w:rsidR="00BC2ED4" w:rsidRPr="009C5F11">
        <w:rPr>
          <w:rFonts w:ascii="Times New Roman" w:hAnsi="Times New Roman" w:cs="Times New Roman"/>
          <w:sz w:val="24"/>
          <w:lang w:val="ro-RO"/>
        </w:rPr>
        <w:t>.</w:t>
      </w:r>
    </w:p>
    <w:p w14:paraId="3A89872E" w14:textId="5051A036" w:rsidR="00BC2ED4" w:rsidRPr="009C5F11" w:rsidRDefault="0048387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Programul naţional</w:t>
      </w:r>
      <w:r w:rsidR="00BC2ED4" w:rsidRPr="009C5F11">
        <w:rPr>
          <w:rFonts w:ascii="Times New Roman" w:hAnsi="Times New Roman" w:cs="Times New Roman"/>
          <w:sz w:val="24"/>
          <w:lang w:val="ro-RO"/>
        </w:rPr>
        <w:t xml:space="preserve"> </w:t>
      </w:r>
      <w:r w:rsidR="00394842" w:rsidRPr="009C5F11">
        <w:rPr>
          <w:rFonts w:ascii="Times New Roman" w:hAnsi="Times New Roman" w:cs="Times New Roman"/>
          <w:sz w:val="24"/>
          <w:lang w:val="ro-RO"/>
        </w:rPr>
        <w:t>pentru</w:t>
      </w:r>
      <w:r w:rsidR="00BC2ED4" w:rsidRPr="009C5F11">
        <w:rPr>
          <w:rFonts w:ascii="Times New Roman" w:hAnsi="Times New Roman" w:cs="Times New Roman"/>
          <w:sz w:val="24"/>
          <w:lang w:val="ro-RO"/>
        </w:rPr>
        <w:t xml:space="preserve"> </w:t>
      </w:r>
      <w:r w:rsidR="00812E1D" w:rsidRPr="009C5F11">
        <w:rPr>
          <w:rFonts w:ascii="Times New Roman" w:hAnsi="Times New Roman" w:cs="Times New Roman"/>
          <w:sz w:val="24"/>
          <w:lang w:val="ro-RO"/>
        </w:rPr>
        <w:t>eficienţ</w:t>
      </w:r>
      <w:r w:rsidR="0041044E" w:rsidRPr="009C5F11">
        <w:rPr>
          <w:rFonts w:ascii="Times New Roman" w:hAnsi="Times New Roman" w:cs="Times New Roman"/>
          <w:sz w:val="24"/>
          <w:lang w:val="ro-RO"/>
        </w:rPr>
        <w:t>ă</w:t>
      </w:r>
      <w:r w:rsidR="00812E1D" w:rsidRPr="009C5F11">
        <w:rPr>
          <w:rFonts w:ascii="Times New Roman" w:hAnsi="Times New Roman" w:cs="Times New Roman"/>
          <w:sz w:val="24"/>
          <w:lang w:val="ro-RO"/>
        </w:rPr>
        <w:t xml:space="preserve"> energetică</w:t>
      </w:r>
      <w:r w:rsidR="00BC2ED4" w:rsidRPr="009C5F11">
        <w:rPr>
          <w:rFonts w:ascii="Times New Roman" w:hAnsi="Times New Roman" w:cs="Times New Roman"/>
          <w:sz w:val="24"/>
          <w:lang w:val="ro-RO"/>
        </w:rPr>
        <w:t xml:space="preserve"> 2011-2020, </w:t>
      </w:r>
      <w:r w:rsidR="00204033" w:rsidRPr="009C5F11">
        <w:rPr>
          <w:rFonts w:ascii="Times New Roman" w:hAnsi="Times New Roman" w:cs="Times New Roman"/>
          <w:sz w:val="24"/>
          <w:lang w:val="ro-RO"/>
        </w:rPr>
        <w:t>Capitolul</w:t>
      </w:r>
      <w:r w:rsidR="00BC2ED4" w:rsidRPr="009C5F11">
        <w:rPr>
          <w:rFonts w:ascii="Times New Roman" w:hAnsi="Times New Roman" w:cs="Times New Roman"/>
          <w:sz w:val="24"/>
          <w:lang w:val="ro-RO"/>
        </w:rPr>
        <w:t xml:space="preserve"> V</w:t>
      </w:r>
      <w:r w:rsidR="00394842" w:rsidRPr="009C5F11">
        <w:rPr>
          <w:rFonts w:ascii="Times New Roman" w:hAnsi="Times New Roman" w:cs="Times New Roman"/>
          <w:sz w:val="24"/>
          <w:lang w:val="ro-RO"/>
        </w:rPr>
        <w:t>I</w:t>
      </w:r>
      <w:r w:rsidR="00BC2ED4" w:rsidRPr="009C5F11">
        <w:rPr>
          <w:rFonts w:ascii="Times New Roman" w:hAnsi="Times New Roman" w:cs="Times New Roman"/>
          <w:sz w:val="24"/>
          <w:lang w:val="ro-RO"/>
        </w:rPr>
        <w:t xml:space="preserve">, </w:t>
      </w:r>
      <w:r w:rsidR="00146799" w:rsidRPr="009C5F11">
        <w:rPr>
          <w:rFonts w:ascii="Times New Roman" w:hAnsi="Times New Roman" w:cs="Times New Roman"/>
          <w:sz w:val="24"/>
          <w:lang w:val="ro-RO"/>
        </w:rPr>
        <w:t>Secţiune</w:t>
      </w:r>
      <w:r w:rsidR="00D763EC" w:rsidRPr="009C5F11">
        <w:rPr>
          <w:rFonts w:ascii="Times New Roman" w:hAnsi="Times New Roman" w:cs="Times New Roman"/>
          <w:sz w:val="24"/>
          <w:lang w:val="ro-RO"/>
        </w:rPr>
        <w:t>a</w:t>
      </w:r>
      <w:r w:rsidR="00BC2ED4" w:rsidRPr="009C5F11">
        <w:rPr>
          <w:rFonts w:ascii="Times New Roman" w:hAnsi="Times New Roman" w:cs="Times New Roman"/>
          <w:sz w:val="24"/>
          <w:lang w:val="ro-RO"/>
        </w:rPr>
        <w:t xml:space="preserve"> “</w:t>
      </w:r>
      <w:r w:rsidR="00D518F0" w:rsidRPr="009C5F11">
        <w:rPr>
          <w:rFonts w:ascii="Times New Roman" w:hAnsi="Times New Roman" w:cs="Times New Roman"/>
          <w:sz w:val="24"/>
          <w:lang w:val="ro-RO"/>
        </w:rPr>
        <w:t>Măsuri</w:t>
      </w:r>
      <w:r w:rsidR="00BC2ED4" w:rsidRPr="009C5F11">
        <w:rPr>
          <w:rFonts w:ascii="Times New Roman" w:hAnsi="Times New Roman" w:cs="Times New Roman"/>
          <w:sz w:val="24"/>
          <w:lang w:val="ro-RO"/>
        </w:rPr>
        <w:t xml:space="preserve"> </w:t>
      </w:r>
      <w:r w:rsidR="00394842" w:rsidRPr="009C5F11">
        <w:rPr>
          <w:rFonts w:ascii="Times New Roman" w:eastAsia="Times New Roman" w:hAnsi="Times New Roman" w:cs="Times New Roman"/>
          <w:bCs/>
          <w:color w:val="000000"/>
          <w:sz w:val="24"/>
          <w:lang w:val="ro-RO"/>
        </w:rPr>
        <w:t>ce urmează a fi întreprinse pentru îmbunătăţirea eficienţei energetice</w:t>
      </w:r>
      <w:r w:rsidR="00394842" w:rsidRPr="009C5F11">
        <w:rPr>
          <w:rFonts w:ascii="Times New Roman" w:hAnsi="Times New Roman" w:cs="Times New Roman"/>
          <w:sz w:val="24"/>
          <w:lang w:val="ro-RO"/>
        </w:rPr>
        <w:t xml:space="preserve"> în</w:t>
      </w:r>
      <w:r w:rsidR="00BC2ED4" w:rsidRPr="009C5F11">
        <w:rPr>
          <w:rFonts w:ascii="Times New Roman" w:hAnsi="Times New Roman" w:cs="Times New Roman"/>
          <w:sz w:val="24"/>
          <w:lang w:val="ro-RO"/>
        </w:rPr>
        <w:t xml:space="preserve"> </w:t>
      </w:r>
      <w:r w:rsidR="002F0B3A" w:rsidRPr="009C5F11">
        <w:rPr>
          <w:rFonts w:ascii="Times New Roman" w:hAnsi="Times New Roman" w:cs="Times New Roman"/>
          <w:sz w:val="24"/>
          <w:lang w:val="ro-RO"/>
        </w:rPr>
        <w:t>sectorul public</w:t>
      </w:r>
      <w:r w:rsidR="00BC2ED4" w:rsidRPr="009C5F11">
        <w:rPr>
          <w:rFonts w:ascii="Times New Roman" w:hAnsi="Times New Roman" w:cs="Times New Roman"/>
          <w:sz w:val="24"/>
          <w:lang w:val="ro-RO"/>
        </w:rPr>
        <w:t xml:space="preserve">” </w:t>
      </w:r>
      <w:r w:rsidR="00394842" w:rsidRPr="009C5F11">
        <w:rPr>
          <w:rFonts w:ascii="Times New Roman" w:hAnsi="Times New Roman" w:cs="Times New Roman"/>
          <w:sz w:val="24"/>
          <w:lang w:val="ro-RO"/>
        </w:rPr>
        <w:t>prevede următoarele</w:t>
      </w:r>
      <w:r w:rsidR="00BC2ED4" w:rsidRPr="009C5F11">
        <w:rPr>
          <w:rFonts w:ascii="Times New Roman" w:hAnsi="Times New Roman" w:cs="Times New Roman"/>
          <w:sz w:val="24"/>
          <w:lang w:val="ro-RO"/>
        </w:rPr>
        <w:t>:</w:t>
      </w:r>
    </w:p>
    <w:p w14:paraId="4913CAC0" w14:textId="77777777" w:rsidR="009C5D45" w:rsidRPr="009C5F11" w:rsidRDefault="009C5D45" w:rsidP="00B40DB5">
      <w:pPr>
        <w:spacing w:after="0" w:line="240" w:lineRule="auto"/>
        <w:ind w:left="720"/>
        <w:jc w:val="both"/>
        <w:rPr>
          <w:rFonts w:ascii="Times New Roman" w:hAnsi="Times New Roman" w:cs="Times New Roman"/>
          <w:b/>
          <w:i/>
          <w:szCs w:val="18"/>
          <w:lang w:val="ro-RO"/>
        </w:rPr>
      </w:pPr>
      <w:r w:rsidRPr="009C5F11">
        <w:rPr>
          <w:rFonts w:ascii="Times New Roman" w:hAnsi="Times New Roman" w:cs="Times New Roman"/>
          <w:b/>
          <w:i/>
          <w:szCs w:val="18"/>
          <w:lang w:val="ro-RO"/>
        </w:rPr>
        <w:t>Sectorul public</w:t>
      </w:r>
    </w:p>
    <w:p w14:paraId="1755F5D4" w14:textId="77777777" w:rsidR="009C5D45" w:rsidRPr="009C5F11" w:rsidRDefault="009C5D45" w:rsidP="00B40DB5">
      <w:pPr>
        <w:spacing w:after="0" w:line="240" w:lineRule="auto"/>
        <w:ind w:left="720"/>
        <w:jc w:val="both"/>
        <w:rPr>
          <w:rFonts w:ascii="Times New Roman" w:hAnsi="Times New Roman" w:cs="Times New Roman"/>
          <w:i/>
          <w:szCs w:val="18"/>
          <w:lang w:val="ro-RO"/>
        </w:rPr>
      </w:pPr>
      <w:r w:rsidRPr="009C5F11">
        <w:rPr>
          <w:rFonts w:ascii="Times New Roman" w:hAnsi="Times New Roman" w:cs="Times New Roman"/>
          <w:i/>
          <w:szCs w:val="18"/>
          <w:lang w:val="ro-RO"/>
        </w:rPr>
        <w:t>Ministerul Economiei, în comun cu Agenţia pentru Eficienţă Energetică şi alte autorităţi publice centrale de resort, va sprijini autorităţile administraţiei publice locale în promovarea eficienţei energetice şi a valorificării surselor regenerabile, executînd următoarele activităţi:</w:t>
      </w:r>
    </w:p>
    <w:p w14:paraId="57C483D5" w14:textId="77777777" w:rsidR="00BC2ED4" w:rsidRPr="009C5F11" w:rsidRDefault="00394842" w:rsidP="00644E97">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c</w:t>
      </w:r>
      <w:r w:rsidR="002C36A4" w:rsidRPr="009C5F11">
        <w:rPr>
          <w:rFonts w:ascii="Times New Roman" w:hAnsi="Times New Roman" w:cs="Times New Roman"/>
          <w:i/>
          <w:szCs w:val="18"/>
          <w:lang w:val="ro-RO"/>
        </w:rPr>
        <w:t xml:space="preserve">) </w:t>
      </w:r>
      <w:r w:rsidR="00BC2ED4" w:rsidRPr="009C5F11">
        <w:rPr>
          <w:rFonts w:ascii="Times New Roman" w:hAnsi="Times New Roman" w:cs="Times New Roman"/>
          <w:i/>
          <w:szCs w:val="18"/>
          <w:lang w:val="ro-RO"/>
        </w:rPr>
        <w:t>…</w:t>
      </w:r>
    </w:p>
    <w:p w14:paraId="2902569A" w14:textId="77777777" w:rsidR="00BC2ED4" w:rsidRPr="009C5F11" w:rsidRDefault="00394842" w:rsidP="00644E97">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d</w:t>
      </w:r>
      <w:r w:rsidR="002C36A4"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 xml:space="preserve">reexaminarea regulilor privind achiziţiile publice </w:t>
      </w:r>
      <w:r w:rsidR="00892294" w:rsidRPr="009C5F11">
        <w:rPr>
          <w:rFonts w:ascii="Times New Roman" w:hAnsi="Times New Roman" w:cs="Times New Roman"/>
          <w:i/>
          <w:szCs w:val="18"/>
          <w:lang w:val="ro-RO"/>
        </w:rPr>
        <w:t>obligând</w:t>
      </w:r>
      <w:r w:rsidRPr="009C5F11">
        <w:rPr>
          <w:rFonts w:ascii="Times New Roman" w:hAnsi="Times New Roman" w:cs="Times New Roman"/>
          <w:i/>
          <w:szCs w:val="18"/>
          <w:lang w:val="ro-RO"/>
        </w:rPr>
        <w:t xml:space="preserve"> autorităţile administraţiei publice locale să adopte decizii de achiziţii publice pe </w:t>
      </w:r>
      <w:r w:rsidR="00892294" w:rsidRPr="009C5F11">
        <w:rPr>
          <w:rFonts w:ascii="Times New Roman" w:hAnsi="Times New Roman" w:cs="Times New Roman"/>
          <w:i/>
          <w:szCs w:val="18"/>
          <w:lang w:val="ro-RO"/>
        </w:rPr>
        <w:t>baza</w:t>
      </w:r>
      <w:r w:rsidRPr="009C5F11">
        <w:rPr>
          <w:rFonts w:ascii="Times New Roman" w:hAnsi="Times New Roman" w:cs="Times New Roman"/>
          <w:i/>
          <w:szCs w:val="18"/>
          <w:lang w:val="ro-RO"/>
        </w:rPr>
        <w:t xml:space="preserve"> criteriilor de eficienţă energetică</w:t>
      </w:r>
      <w:r w:rsidR="00BC2ED4" w:rsidRPr="009C5F11">
        <w:rPr>
          <w:rFonts w:ascii="Times New Roman" w:hAnsi="Times New Roman" w:cs="Times New Roman"/>
          <w:i/>
          <w:szCs w:val="18"/>
          <w:lang w:val="ro-RO"/>
        </w:rPr>
        <w:t>;</w:t>
      </w:r>
    </w:p>
    <w:p w14:paraId="59C10BB7" w14:textId="77777777" w:rsidR="00BC2ED4" w:rsidRPr="009C5F11" w:rsidRDefault="00394842" w:rsidP="00644E97">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e</w:t>
      </w:r>
      <w:r w:rsidR="00BC2ED4" w:rsidRPr="009C5F11">
        <w:rPr>
          <w:rFonts w:ascii="Times New Roman" w:hAnsi="Times New Roman" w:cs="Times New Roman"/>
          <w:i/>
          <w:szCs w:val="18"/>
          <w:lang w:val="ro-RO"/>
        </w:rPr>
        <w:t>)</w:t>
      </w:r>
      <w:r w:rsidR="002C36A4" w:rsidRPr="009C5F11">
        <w:rPr>
          <w:rFonts w:ascii="Times New Roman" w:hAnsi="Times New Roman" w:cs="Times New Roman"/>
          <w:i/>
          <w:szCs w:val="18"/>
          <w:lang w:val="ro-RO"/>
        </w:rPr>
        <w:t xml:space="preserve"> </w:t>
      </w:r>
      <w:r w:rsidRPr="009C5F11">
        <w:rPr>
          <w:rFonts w:ascii="Times New Roman" w:hAnsi="Times New Roman" w:cs="Times New Roman"/>
          <w:i/>
          <w:szCs w:val="18"/>
          <w:lang w:val="ro-RO"/>
        </w:rPr>
        <w:t>elaborarea şi publicarea unui ghid care va fi utilizat de autorităţile administraţiei publice locale pentru evaluare la organizarea licitaţiilor publice, la acordarea contractelor de executare a lucrărilor publice, a contractelor de furnizare şi/sau de prestare a serviciilor publice</w:t>
      </w:r>
      <w:r w:rsidR="00BC2ED4" w:rsidRPr="009C5F11">
        <w:rPr>
          <w:rFonts w:ascii="Times New Roman" w:hAnsi="Times New Roman" w:cs="Times New Roman"/>
          <w:i/>
          <w:szCs w:val="18"/>
          <w:lang w:val="ro-RO"/>
        </w:rPr>
        <w:t>.</w:t>
      </w:r>
    </w:p>
    <w:p w14:paraId="6BF93FB0" w14:textId="77777777" w:rsidR="00595171" w:rsidRPr="009C5F11" w:rsidRDefault="00401F29"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Cu toate acestea</w:t>
      </w:r>
      <w:r w:rsidR="00BC2ED4" w:rsidRPr="009C5F11">
        <w:rPr>
          <w:rFonts w:ascii="Times New Roman" w:hAnsi="Times New Roman" w:cs="Times New Roman"/>
          <w:sz w:val="24"/>
          <w:lang w:val="ro-RO"/>
        </w:rPr>
        <w:t xml:space="preserve">, </w:t>
      </w:r>
      <w:r w:rsidR="00EA007D" w:rsidRPr="009C5F11">
        <w:rPr>
          <w:rFonts w:ascii="Times New Roman" w:hAnsi="Times New Roman" w:cs="Times New Roman"/>
          <w:sz w:val="24"/>
          <w:lang w:val="ro-RO"/>
        </w:rPr>
        <w:t>Legea</w:t>
      </w:r>
      <w:r w:rsidR="00055095" w:rsidRPr="009C5F11">
        <w:rPr>
          <w:rFonts w:ascii="Times New Roman" w:hAnsi="Times New Roman" w:cs="Times New Roman"/>
          <w:i/>
          <w:sz w:val="24"/>
          <w:lang w:val="ro-RO"/>
        </w:rPr>
        <w:t xml:space="preserve"> </w:t>
      </w:r>
      <w:r w:rsidR="00394842" w:rsidRPr="009C5F11">
        <w:rPr>
          <w:rFonts w:ascii="Times New Roman" w:hAnsi="Times New Roman" w:cs="Times New Roman"/>
          <w:i/>
          <w:sz w:val="24"/>
          <w:lang w:val="ro-RO"/>
        </w:rPr>
        <w:t>cu privire la achiziţiile publice</w:t>
      </w:r>
      <w:r w:rsidR="00BC2ED4" w:rsidRPr="009C5F11">
        <w:rPr>
          <w:rFonts w:ascii="Times New Roman" w:hAnsi="Times New Roman" w:cs="Times New Roman"/>
          <w:i/>
          <w:sz w:val="24"/>
          <w:lang w:val="ro-RO"/>
        </w:rPr>
        <w:t xml:space="preserve"> </w:t>
      </w:r>
      <w:r w:rsidR="00D55D28" w:rsidRPr="009C5F11">
        <w:rPr>
          <w:rFonts w:ascii="Times New Roman" w:hAnsi="Times New Roman" w:cs="Times New Roman"/>
          <w:i/>
          <w:sz w:val="24"/>
          <w:lang w:val="ro-RO"/>
        </w:rPr>
        <w:t>nr</w:t>
      </w:r>
      <w:r w:rsidR="00BC2ED4" w:rsidRPr="009C5F11">
        <w:rPr>
          <w:rFonts w:ascii="Times New Roman" w:hAnsi="Times New Roman" w:cs="Times New Roman"/>
          <w:i/>
          <w:sz w:val="24"/>
          <w:lang w:val="ro-RO"/>
        </w:rPr>
        <w:t xml:space="preserve">.131 </w:t>
      </w:r>
      <w:r w:rsidR="00394842" w:rsidRPr="009C5F11">
        <w:rPr>
          <w:rFonts w:ascii="Times New Roman" w:hAnsi="Times New Roman" w:cs="Times New Roman"/>
          <w:i/>
          <w:sz w:val="24"/>
          <w:lang w:val="ro-RO"/>
        </w:rPr>
        <w:t>din</w:t>
      </w:r>
      <w:r w:rsidR="00BC2ED4" w:rsidRPr="009C5F11">
        <w:rPr>
          <w:rFonts w:ascii="Times New Roman" w:hAnsi="Times New Roman" w:cs="Times New Roman"/>
          <w:i/>
          <w:sz w:val="24"/>
          <w:lang w:val="ro-RO"/>
        </w:rPr>
        <w:t xml:space="preserve"> 03.07.2015</w:t>
      </w:r>
      <w:r w:rsidR="00BC2ED4" w:rsidRPr="009C5F11">
        <w:rPr>
          <w:rFonts w:ascii="Times New Roman" w:hAnsi="Times New Roman" w:cs="Times New Roman"/>
          <w:sz w:val="24"/>
          <w:lang w:val="ro-RO"/>
        </w:rPr>
        <w:t xml:space="preserve"> </w:t>
      </w:r>
      <w:r w:rsidR="00394842" w:rsidRPr="009C5F11">
        <w:rPr>
          <w:rFonts w:ascii="Times New Roman" w:hAnsi="Times New Roman" w:cs="Times New Roman"/>
          <w:sz w:val="24"/>
          <w:lang w:val="ro-RO"/>
        </w:rPr>
        <w:t xml:space="preserve">nu impune reguli în materie de </w:t>
      </w:r>
      <w:r w:rsidR="001F5C51" w:rsidRPr="009C5F11">
        <w:rPr>
          <w:rFonts w:ascii="Times New Roman" w:hAnsi="Times New Roman" w:cs="Times New Roman"/>
          <w:sz w:val="24"/>
          <w:lang w:val="ro-RO"/>
        </w:rPr>
        <w:t>eficienţ</w:t>
      </w:r>
      <w:r w:rsidR="00394842" w:rsidRPr="009C5F11">
        <w:rPr>
          <w:rFonts w:ascii="Times New Roman" w:hAnsi="Times New Roman" w:cs="Times New Roman"/>
          <w:sz w:val="24"/>
          <w:lang w:val="ro-RO"/>
        </w:rPr>
        <w:t>ă</w:t>
      </w:r>
      <w:r w:rsidR="001F5C51" w:rsidRPr="009C5F11">
        <w:rPr>
          <w:rFonts w:ascii="Times New Roman" w:hAnsi="Times New Roman" w:cs="Times New Roman"/>
          <w:sz w:val="24"/>
          <w:lang w:val="ro-RO"/>
        </w:rPr>
        <w:t xml:space="preserve"> energetic</w:t>
      </w:r>
      <w:r w:rsidR="00394842" w:rsidRPr="009C5F11">
        <w:rPr>
          <w:rFonts w:ascii="Times New Roman" w:hAnsi="Times New Roman" w:cs="Times New Roman"/>
          <w:sz w:val="24"/>
          <w:lang w:val="ro-RO"/>
        </w:rPr>
        <w:t>ă</w:t>
      </w:r>
      <w:r w:rsidR="00BC2ED4" w:rsidRPr="009C5F11">
        <w:rPr>
          <w:rFonts w:ascii="Times New Roman" w:hAnsi="Times New Roman" w:cs="Times New Roman"/>
          <w:sz w:val="24"/>
          <w:lang w:val="ro-RO"/>
        </w:rPr>
        <w:t xml:space="preserve">. </w:t>
      </w:r>
      <w:r w:rsidR="00394842" w:rsidRPr="009C5F11">
        <w:rPr>
          <w:rFonts w:ascii="Times New Roman" w:hAnsi="Times New Roman" w:cs="Times New Roman"/>
          <w:sz w:val="24"/>
          <w:lang w:val="ro-RO"/>
        </w:rPr>
        <w:t>Actul legislativ doar prevede că „…</w:t>
      </w:r>
      <w:r w:rsidR="00394842" w:rsidRPr="009C5F11">
        <w:rPr>
          <w:rFonts w:ascii="Times New Roman" w:eastAsia="Times New Roman" w:hAnsi="Times New Roman" w:cs="Times New Roman"/>
          <w:i/>
          <w:color w:val="000000"/>
          <w:sz w:val="24"/>
          <w:lang w:val="ro-RO"/>
        </w:rPr>
        <w:t xml:space="preserve">Specificațiile tehnice ale obiectului achiziţiei trebuie să corespundă cerinţelor autorităţii contractante privind </w:t>
      </w:r>
      <w:r w:rsidR="00DB46B0" w:rsidRPr="009C5F11">
        <w:rPr>
          <w:rFonts w:ascii="Times New Roman" w:eastAsia="Times New Roman" w:hAnsi="Times New Roman" w:cs="Times New Roman"/>
          <w:i/>
          <w:color w:val="000000"/>
          <w:sz w:val="24"/>
          <w:lang w:val="ro-RO"/>
        </w:rPr>
        <w:t>…</w:t>
      </w:r>
      <w:r w:rsidR="00394842" w:rsidRPr="009C5F11">
        <w:rPr>
          <w:rFonts w:ascii="Times New Roman" w:eastAsia="Times New Roman" w:hAnsi="Times New Roman" w:cs="Times New Roman"/>
          <w:i/>
          <w:color w:val="000000"/>
          <w:sz w:val="24"/>
          <w:lang w:val="ro-RO"/>
        </w:rPr>
        <w:t>, eficienţa</w:t>
      </w:r>
      <w:r w:rsidR="00DB46B0" w:rsidRPr="009C5F11">
        <w:rPr>
          <w:rFonts w:ascii="Times New Roman" w:eastAsia="Times New Roman" w:hAnsi="Times New Roman" w:cs="Times New Roman"/>
          <w:i/>
          <w:color w:val="000000"/>
          <w:sz w:val="24"/>
          <w:lang w:val="ro-RO"/>
        </w:rPr>
        <w:t>…</w:t>
      </w:r>
      <w:r w:rsidR="00BC2ED4" w:rsidRPr="009C5F11">
        <w:rPr>
          <w:rFonts w:ascii="Times New Roman" w:hAnsi="Times New Roman" w:cs="Times New Roman"/>
          <w:i/>
          <w:sz w:val="24"/>
          <w:lang w:val="ro-RO"/>
        </w:rPr>
        <w:t>”</w:t>
      </w:r>
      <w:r w:rsidR="00BC2ED4" w:rsidRPr="009C5F11">
        <w:rPr>
          <w:rFonts w:ascii="Times New Roman" w:hAnsi="Times New Roman" w:cs="Times New Roman"/>
          <w:sz w:val="24"/>
          <w:lang w:val="ro-RO"/>
        </w:rPr>
        <w:t xml:space="preserve"> (art.37, </w:t>
      </w:r>
      <w:r w:rsidR="00892294" w:rsidRPr="009C5F11">
        <w:rPr>
          <w:rFonts w:ascii="Times New Roman" w:hAnsi="Times New Roman" w:cs="Times New Roman"/>
          <w:sz w:val="24"/>
          <w:lang w:val="ro-RO"/>
        </w:rPr>
        <w:t>alineatul</w:t>
      </w:r>
      <w:r w:rsidR="00BC2ED4" w:rsidRPr="009C5F11">
        <w:rPr>
          <w:rFonts w:ascii="Times New Roman" w:hAnsi="Times New Roman" w:cs="Times New Roman"/>
          <w:sz w:val="24"/>
          <w:lang w:val="ro-RO"/>
        </w:rPr>
        <w:t xml:space="preserve"> 2)</w:t>
      </w:r>
      <w:r w:rsidR="00DB46B0" w:rsidRPr="009C5F11">
        <w:rPr>
          <w:rFonts w:ascii="Times New Roman" w:hAnsi="Times New Roman" w:cs="Times New Roman"/>
          <w:sz w:val="24"/>
          <w:lang w:val="ro-RO"/>
        </w:rPr>
        <w:t>, dar nu în mod necesar</w:t>
      </w:r>
      <w:r w:rsidR="00BC2ED4"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w:t>
      </w:r>
      <w:r w:rsidR="00DB46B0" w:rsidRPr="009C5F11">
        <w:rPr>
          <w:rFonts w:ascii="Times New Roman" w:hAnsi="Times New Roman" w:cs="Times New Roman"/>
          <w:sz w:val="24"/>
          <w:lang w:val="ro-RO"/>
        </w:rPr>
        <w:t>a</w:t>
      </w:r>
      <w:r w:rsidR="000C7BEC" w:rsidRPr="009C5F11">
        <w:rPr>
          <w:rFonts w:ascii="Times New Roman" w:hAnsi="Times New Roman" w:cs="Times New Roman"/>
          <w:sz w:val="24"/>
          <w:lang w:val="ro-RO"/>
        </w:rPr>
        <w:t xml:space="preserve"> energetică</w:t>
      </w:r>
      <w:r w:rsidR="00BC2ED4" w:rsidRPr="009C5F11">
        <w:rPr>
          <w:rFonts w:ascii="Times New Roman" w:hAnsi="Times New Roman" w:cs="Times New Roman"/>
          <w:sz w:val="24"/>
          <w:lang w:val="ro-RO"/>
        </w:rPr>
        <w:t xml:space="preserve">. </w:t>
      </w:r>
      <w:r w:rsidR="00394842" w:rsidRPr="009C5F11">
        <w:rPr>
          <w:rFonts w:ascii="Times New Roman" w:hAnsi="Times New Roman" w:cs="Times New Roman"/>
          <w:sz w:val="24"/>
          <w:lang w:val="ro-RO"/>
        </w:rPr>
        <w:t>Guvernul RM</w:t>
      </w:r>
      <w:r w:rsidR="00BC2ED4" w:rsidRPr="009C5F11">
        <w:rPr>
          <w:rFonts w:ascii="Times New Roman" w:hAnsi="Times New Roman" w:cs="Times New Roman"/>
          <w:sz w:val="24"/>
          <w:lang w:val="ro-RO"/>
        </w:rPr>
        <w:t xml:space="preserve"> </w:t>
      </w:r>
      <w:r w:rsidR="00394842" w:rsidRPr="009C5F11">
        <w:rPr>
          <w:rFonts w:ascii="Times New Roman" w:hAnsi="Times New Roman" w:cs="Times New Roman"/>
          <w:sz w:val="24"/>
          <w:lang w:val="ro-RO"/>
        </w:rPr>
        <w:t>va ajusta</w:t>
      </w:r>
      <w:r w:rsidR="00BC2ED4" w:rsidRPr="009C5F11">
        <w:rPr>
          <w:rFonts w:ascii="Times New Roman" w:hAnsi="Times New Roman" w:cs="Times New Roman"/>
          <w:sz w:val="24"/>
          <w:lang w:val="ro-RO"/>
        </w:rPr>
        <w:t xml:space="preserve"> </w:t>
      </w:r>
      <w:r w:rsidR="007F6775" w:rsidRPr="009C5F11">
        <w:rPr>
          <w:rFonts w:ascii="Times New Roman" w:hAnsi="Times New Roman" w:cs="Times New Roman"/>
          <w:sz w:val="24"/>
          <w:lang w:val="ro-RO"/>
        </w:rPr>
        <w:t>legislaţi</w:t>
      </w:r>
      <w:r w:rsidR="00394842" w:rsidRPr="009C5F11">
        <w:rPr>
          <w:rFonts w:ascii="Times New Roman" w:hAnsi="Times New Roman" w:cs="Times New Roman"/>
          <w:sz w:val="24"/>
          <w:lang w:val="ro-RO"/>
        </w:rPr>
        <w:t>a</w:t>
      </w:r>
      <w:r w:rsidR="00BC2ED4" w:rsidRPr="009C5F11">
        <w:rPr>
          <w:rFonts w:ascii="Times New Roman" w:hAnsi="Times New Roman" w:cs="Times New Roman"/>
          <w:sz w:val="24"/>
          <w:lang w:val="ro-RO"/>
        </w:rPr>
        <w:t xml:space="preserve"> </w:t>
      </w:r>
      <w:r w:rsidR="00394842" w:rsidRPr="009C5F11">
        <w:rPr>
          <w:rFonts w:ascii="Times New Roman" w:hAnsi="Times New Roman" w:cs="Times New Roman"/>
          <w:sz w:val="24"/>
          <w:lang w:val="ro-RO"/>
        </w:rPr>
        <w:t>cât mai curând posibil</w:t>
      </w:r>
      <w:r w:rsidR="0041044E" w:rsidRPr="009C5F11">
        <w:rPr>
          <w:rFonts w:ascii="Times New Roman" w:hAnsi="Times New Roman" w:cs="Times New Roman"/>
          <w:sz w:val="24"/>
          <w:lang w:val="ro-RO"/>
        </w:rPr>
        <w:t xml:space="preserve"> în scopul implementării Acquis-ului comunitar</w:t>
      </w:r>
      <w:r w:rsidR="00BC2ED4" w:rsidRPr="009C5F11">
        <w:rPr>
          <w:rFonts w:ascii="Times New Roman" w:hAnsi="Times New Roman" w:cs="Times New Roman"/>
          <w:sz w:val="24"/>
          <w:lang w:val="ro-RO"/>
        </w:rPr>
        <w:t>.</w:t>
      </w:r>
    </w:p>
    <w:p w14:paraId="2611497D" w14:textId="540D2398" w:rsidR="00BC2ED4" w:rsidRPr="009C5F11" w:rsidRDefault="00DB46B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Recunoscând această situaţie,</w:t>
      </w:r>
      <w:r w:rsidR="00BC2ED4" w:rsidRPr="009C5F11">
        <w:rPr>
          <w:rFonts w:ascii="Times New Roman" w:hAnsi="Times New Roman" w:cs="Times New Roman"/>
          <w:sz w:val="24"/>
          <w:lang w:val="ro-RO"/>
        </w:rPr>
        <w:t xml:space="preserve"> </w:t>
      </w:r>
      <w:r w:rsidR="00D4035F" w:rsidRPr="009C5F11">
        <w:rPr>
          <w:rFonts w:ascii="Times New Roman" w:hAnsi="Times New Roman" w:cs="Times New Roman"/>
          <w:sz w:val="24"/>
          <w:lang w:val="ro-RO"/>
        </w:rPr>
        <w:t>PNAEE</w:t>
      </w:r>
      <w:r w:rsidR="00BC2ED4" w:rsidRPr="009C5F11">
        <w:rPr>
          <w:rFonts w:ascii="Times New Roman" w:hAnsi="Times New Roman" w:cs="Times New Roman"/>
          <w:sz w:val="24"/>
          <w:lang w:val="ro-RO"/>
        </w:rPr>
        <w:t xml:space="preserve"> 2016 – 2018 </w:t>
      </w:r>
      <w:r w:rsidR="00892294" w:rsidRPr="009C5F11">
        <w:rPr>
          <w:rFonts w:ascii="Times New Roman" w:hAnsi="Times New Roman" w:cs="Times New Roman"/>
          <w:sz w:val="24"/>
          <w:lang w:val="ro-RO"/>
        </w:rPr>
        <w:t>planifică</w:t>
      </w:r>
      <w:r w:rsidRPr="009C5F11">
        <w:rPr>
          <w:rFonts w:ascii="Times New Roman" w:hAnsi="Times New Roman" w:cs="Times New Roman"/>
          <w:sz w:val="24"/>
          <w:lang w:val="ro-RO"/>
        </w:rPr>
        <w:t xml:space="preserve"> în cadrul</w:t>
      </w:r>
      <w:r w:rsidR="00BC2ED4" w:rsidRPr="009C5F11">
        <w:rPr>
          <w:rFonts w:ascii="Times New Roman" w:hAnsi="Times New Roman" w:cs="Times New Roman"/>
          <w:sz w:val="24"/>
          <w:lang w:val="ro-RO"/>
        </w:rPr>
        <w:t xml:space="preserve"> </w:t>
      </w:r>
      <w:r w:rsidR="000E55A5" w:rsidRPr="009C5F11">
        <w:rPr>
          <w:rFonts w:ascii="Times New Roman" w:hAnsi="Times New Roman" w:cs="Times New Roman"/>
          <w:sz w:val="24"/>
          <w:lang w:val="ro-RO"/>
        </w:rPr>
        <w:t>măsur</w:t>
      </w:r>
      <w:r w:rsidRPr="009C5F11">
        <w:rPr>
          <w:rFonts w:ascii="Times New Roman" w:hAnsi="Times New Roman" w:cs="Times New Roman"/>
          <w:sz w:val="24"/>
          <w:lang w:val="ro-RO"/>
        </w:rPr>
        <w:t>ii</w:t>
      </w:r>
      <w:r w:rsidR="00BC2ED4" w:rsidRPr="009C5F11">
        <w:rPr>
          <w:rFonts w:ascii="Times New Roman" w:hAnsi="Times New Roman" w:cs="Times New Roman"/>
          <w:sz w:val="24"/>
          <w:lang w:val="ro-RO"/>
        </w:rPr>
        <w:t xml:space="preserve"> </w:t>
      </w:r>
      <w:r w:rsidR="00BC2ED4" w:rsidRPr="009C5F11">
        <w:rPr>
          <w:rFonts w:ascii="Times New Roman" w:hAnsi="Times New Roman" w:cs="Times New Roman"/>
          <w:i/>
          <w:sz w:val="24"/>
          <w:lang w:val="ro-RO"/>
        </w:rPr>
        <w:t>H2 “</w:t>
      </w:r>
      <w:r w:rsidR="006A096E" w:rsidRPr="009C5F11">
        <w:rPr>
          <w:rFonts w:ascii="Times New Roman" w:hAnsi="Times New Roman" w:cs="Times New Roman"/>
          <w:i/>
          <w:sz w:val="24"/>
          <w:lang w:val="ro-RO"/>
        </w:rPr>
        <w:t>Actualizarea şi adoptarea cadrului juridic</w:t>
      </w:r>
      <w:r w:rsidR="00BC2ED4" w:rsidRPr="009C5F11">
        <w:rPr>
          <w:rFonts w:ascii="Times New Roman" w:hAnsi="Times New Roman" w:cs="Times New Roman"/>
          <w:i/>
          <w:sz w:val="24"/>
          <w:lang w:val="ro-RO"/>
        </w:rPr>
        <w:t xml:space="preserve"> </w:t>
      </w:r>
      <w:r w:rsidR="006A096E" w:rsidRPr="009C5F11">
        <w:rPr>
          <w:rFonts w:ascii="Times New Roman" w:hAnsi="Times New Roman" w:cs="Times New Roman"/>
          <w:i/>
          <w:sz w:val="24"/>
          <w:lang w:val="ro-RO"/>
        </w:rPr>
        <w:t>în vederea asigurării punerii în aplicare a Directivei privind eficienţa energetică şi a Legii cu privire la eficienţa energetică</w:t>
      </w:r>
      <w:r w:rsidR="00BC2ED4" w:rsidRPr="009C5F11">
        <w:rPr>
          <w:rFonts w:ascii="Times New Roman" w:hAnsi="Times New Roman" w:cs="Times New Roman"/>
          <w:i/>
          <w:sz w:val="24"/>
          <w:lang w:val="ro-RO"/>
        </w:rPr>
        <w:t xml:space="preserve">” </w:t>
      </w:r>
      <w:r w:rsidR="008F7BD5" w:rsidRPr="009C5F11">
        <w:rPr>
          <w:rFonts w:ascii="Times New Roman" w:hAnsi="Times New Roman" w:cs="Times New Roman"/>
          <w:sz w:val="24"/>
          <w:lang w:val="ro-RO"/>
        </w:rPr>
        <w:t>acţiunea</w:t>
      </w:r>
      <w:r w:rsidRPr="009C5F11">
        <w:rPr>
          <w:rFonts w:ascii="Times New Roman" w:hAnsi="Times New Roman" w:cs="Times New Roman"/>
          <w:sz w:val="24"/>
          <w:lang w:val="ro-RO"/>
        </w:rPr>
        <w:t xml:space="preserve"> concretă</w:t>
      </w:r>
      <w:r w:rsidR="00BC2ED4" w:rsidRPr="009C5F11">
        <w:rPr>
          <w:rFonts w:ascii="Times New Roman" w:hAnsi="Times New Roman" w:cs="Times New Roman"/>
          <w:i/>
          <w:sz w:val="24"/>
          <w:lang w:val="ro-RO"/>
        </w:rPr>
        <w:t>: “</w:t>
      </w:r>
      <w:r w:rsidR="005F63E1" w:rsidRPr="009C5F11">
        <w:rPr>
          <w:rFonts w:ascii="Times New Roman" w:hAnsi="Times New Roman" w:cs="Times New Roman"/>
          <w:i/>
          <w:sz w:val="24"/>
          <w:lang w:val="ro-RO"/>
        </w:rPr>
        <w:t>Amendamente operate</w:t>
      </w:r>
      <w:r w:rsidR="00BC2ED4" w:rsidRPr="009C5F11">
        <w:rPr>
          <w:rFonts w:ascii="Times New Roman" w:hAnsi="Times New Roman" w:cs="Times New Roman"/>
          <w:i/>
          <w:sz w:val="24"/>
          <w:lang w:val="ro-RO"/>
        </w:rPr>
        <w:t xml:space="preserve"> </w:t>
      </w:r>
      <w:r w:rsidR="005F63E1" w:rsidRPr="009C5F11">
        <w:rPr>
          <w:rFonts w:ascii="Times New Roman" w:hAnsi="Times New Roman" w:cs="Times New Roman"/>
          <w:i/>
          <w:sz w:val="24"/>
          <w:lang w:val="ro-RO"/>
        </w:rPr>
        <w:t>Legii privind achiziţiile publice</w:t>
      </w:r>
      <w:r w:rsidR="00055095" w:rsidRPr="009C5F11">
        <w:rPr>
          <w:rFonts w:ascii="Times New Roman" w:hAnsi="Times New Roman" w:cs="Times New Roman"/>
          <w:i/>
          <w:sz w:val="24"/>
          <w:lang w:val="ro-RO"/>
        </w:rPr>
        <w:t xml:space="preserve"> </w:t>
      </w:r>
      <w:r w:rsidR="005F63E1" w:rsidRPr="009C5F11">
        <w:rPr>
          <w:rFonts w:ascii="Times New Roman" w:hAnsi="Times New Roman" w:cs="Times New Roman"/>
          <w:i/>
          <w:sz w:val="24"/>
          <w:lang w:val="ro-RO"/>
        </w:rPr>
        <w:t>pentru a se conforma cu cerinţele</w:t>
      </w:r>
      <w:r w:rsidR="00C81D82" w:rsidRPr="009C5F11">
        <w:rPr>
          <w:rFonts w:ascii="Times New Roman" w:hAnsi="Times New Roman" w:cs="Times New Roman"/>
          <w:i/>
          <w:sz w:val="24"/>
          <w:lang w:val="ro-RO"/>
        </w:rPr>
        <w:t xml:space="preserve"> DEE</w:t>
      </w:r>
      <w:r w:rsidR="00BC2ED4" w:rsidRPr="009C5F11">
        <w:rPr>
          <w:rFonts w:ascii="Times New Roman" w:hAnsi="Times New Roman" w:cs="Times New Roman"/>
          <w:i/>
          <w:sz w:val="24"/>
          <w:lang w:val="ro-RO"/>
        </w:rPr>
        <w:t>”</w:t>
      </w:r>
      <w:r w:rsidR="002E1216" w:rsidRPr="009C5F11">
        <w:rPr>
          <w:rFonts w:ascii="Times New Roman" w:hAnsi="Times New Roman" w:cs="Times New Roman"/>
          <w:i/>
          <w:sz w:val="24"/>
          <w:lang w:val="ro-RO"/>
        </w:rPr>
        <w:t>.</w:t>
      </w:r>
    </w:p>
    <w:p w14:paraId="003D07BF" w14:textId="77777777" w:rsidR="002F68E8" w:rsidRPr="009C5F11" w:rsidRDefault="002F68E8" w:rsidP="00BC2ED4">
      <w:pPr>
        <w:spacing w:before="120" w:after="120" w:line="240" w:lineRule="auto"/>
        <w:jc w:val="both"/>
        <w:rPr>
          <w:rFonts w:ascii="Times New Roman" w:hAnsi="Times New Roman" w:cs="Times New Roman"/>
          <w:i/>
          <w:sz w:val="24"/>
          <w:lang w:val="ro-RO"/>
        </w:rPr>
      </w:pPr>
    </w:p>
    <w:p w14:paraId="405EDADE" w14:textId="77777777" w:rsidR="002E1216" w:rsidRPr="009C5F11" w:rsidRDefault="002E1216" w:rsidP="00BC2ED4">
      <w:pPr>
        <w:spacing w:before="120" w:after="120" w:line="240" w:lineRule="auto"/>
        <w:jc w:val="both"/>
        <w:rPr>
          <w:rFonts w:ascii="Times New Roman" w:hAnsi="Times New Roman" w:cs="Times New Roman"/>
          <w:sz w:val="24"/>
          <w:lang w:val="ro-RO"/>
        </w:rPr>
        <w:sectPr w:rsidR="002E1216" w:rsidRPr="009C5F11" w:rsidSect="00430626">
          <w:pgSz w:w="11907" w:h="16840" w:code="9"/>
          <w:pgMar w:top="1440" w:right="1440" w:bottom="1440" w:left="1440" w:header="720" w:footer="720" w:gutter="0"/>
          <w:cols w:space="720"/>
          <w:docGrid w:linePitch="360"/>
        </w:sectPr>
      </w:pPr>
    </w:p>
    <w:p w14:paraId="11FF3E22" w14:textId="77777777" w:rsidR="002E1216" w:rsidRPr="009C5F11" w:rsidRDefault="002E1216" w:rsidP="00BC2ED4">
      <w:pPr>
        <w:spacing w:before="120" w:after="120" w:line="240" w:lineRule="auto"/>
        <w:jc w:val="both"/>
        <w:rPr>
          <w:rFonts w:ascii="Times New Roman" w:hAnsi="Times New Roman" w:cs="Times New Roman"/>
          <w:sz w:val="24"/>
          <w:lang w:val="ro-RO"/>
        </w:rPr>
      </w:pPr>
    </w:p>
    <w:p w14:paraId="07FF6B28" w14:textId="77777777" w:rsidR="00BC2ED4" w:rsidRPr="00D9464A" w:rsidRDefault="000264F0" w:rsidP="007A7E04">
      <w:pPr>
        <w:pStyle w:val="Titlu2"/>
        <w:rPr>
          <w:rFonts w:ascii="Times New Roman" w:hAnsi="Times New Roman" w:cs="Times New Roman"/>
          <w:color w:val="000000" w:themeColor="text1"/>
          <w:sz w:val="28"/>
          <w:lang w:val="ro-RO"/>
        </w:rPr>
      </w:pPr>
      <w:bookmarkStart w:id="340" w:name="_Ref319774360"/>
      <w:bookmarkStart w:id="341" w:name="_Toc322013197"/>
      <w:bookmarkStart w:id="342" w:name="_Toc319555438"/>
      <w:bookmarkStart w:id="343" w:name="_Ref319626511"/>
      <w:r w:rsidRPr="00D9464A">
        <w:rPr>
          <w:rFonts w:ascii="Times New Roman" w:hAnsi="Times New Roman" w:cs="Times New Roman"/>
          <w:color w:val="000000" w:themeColor="text1"/>
          <w:sz w:val="28"/>
          <w:lang w:val="ro-RO"/>
        </w:rPr>
        <w:t xml:space="preserve">Schema </w:t>
      </w:r>
      <w:r w:rsidR="00CB5515" w:rsidRPr="00D9464A">
        <w:rPr>
          <w:rFonts w:ascii="Times New Roman" w:hAnsi="Times New Roman" w:cs="Times New Roman"/>
          <w:color w:val="000000" w:themeColor="text1"/>
          <w:sz w:val="28"/>
          <w:lang w:val="ro-RO"/>
        </w:rPr>
        <w:t>de obligaţii</w:t>
      </w:r>
      <w:r w:rsidR="00321CD5" w:rsidRPr="00D9464A">
        <w:rPr>
          <w:rFonts w:ascii="Times New Roman" w:hAnsi="Times New Roman" w:cs="Times New Roman"/>
          <w:color w:val="000000" w:themeColor="text1"/>
          <w:sz w:val="28"/>
          <w:lang w:val="ro-RO"/>
        </w:rPr>
        <w:t xml:space="preserve"> </w:t>
      </w:r>
      <w:r w:rsidR="00EC5F7C" w:rsidRPr="00D9464A">
        <w:rPr>
          <w:rFonts w:ascii="Times New Roman" w:hAnsi="Times New Roman" w:cs="Times New Roman"/>
          <w:color w:val="000000" w:themeColor="text1"/>
          <w:sz w:val="28"/>
          <w:lang w:val="ro-RO"/>
        </w:rPr>
        <w:t xml:space="preserve">în </w:t>
      </w:r>
      <w:r w:rsidRPr="00D9464A">
        <w:rPr>
          <w:rFonts w:ascii="Times New Roman" w:hAnsi="Times New Roman" w:cs="Times New Roman"/>
          <w:color w:val="000000" w:themeColor="text1"/>
          <w:sz w:val="28"/>
          <w:lang w:val="ro-RO"/>
        </w:rPr>
        <w:t>ceea ce prive</w:t>
      </w:r>
      <w:r w:rsidR="007A7E04" w:rsidRPr="00D9464A">
        <w:rPr>
          <w:rFonts w:ascii="Times New Roman" w:hAnsi="Times New Roman" w:cs="Times New Roman"/>
          <w:color w:val="000000" w:themeColor="text1"/>
          <w:sz w:val="28"/>
          <w:lang w:val="ro-RO"/>
        </w:rPr>
        <w:t>ş</w:t>
      </w:r>
      <w:r w:rsidRPr="00D9464A">
        <w:rPr>
          <w:rFonts w:ascii="Times New Roman" w:hAnsi="Times New Roman" w:cs="Times New Roman"/>
          <w:color w:val="000000" w:themeColor="text1"/>
          <w:sz w:val="28"/>
          <w:lang w:val="ro-RO"/>
        </w:rPr>
        <w:t>te</w:t>
      </w:r>
      <w:r w:rsidRPr="00D9464A" w:rsidDel="000264F0">
        <w:rPr>
          <w:rFonts w:ascii="Times New Roman" w:hAnsi="Times New Roman" w:cs="Times New Roman"/>
          <w:color w:val="000000" w:themeColor="text1"/>
          <w:sz w:val="28"/>
          <w:lang w:val="ro-RO"/>
        </w:rPr>
        <w:t xml:space="preserve"> </w:t>
      </w:r>
      <w:r w:rsidR="00EC5F7C" w:rsidRPr="00D9464A">
        <w:rPr>
          <w:rFonts w:ascii="Times New Roman" w:hAnsi="Times New Roman" w:cs="Times New Roman"/>
          <w:color w:val="000000" w:themeColor="text1"/>
          <w:sz w:val="28"/>
          <w:lang w:val="ro-RO"/>
        </w:rPr>
        <w:t xml:space="preserve">eficienţa energetică </w:t>
      </w:r>
      <w:r w:rsidR="00321CD5" w:rsidRPr="00D9464A">
        <w:rPr>
          <w:rFonts w:ascii="Times New Roman" w:hAnsi="Times New Roman" w:cs="Times New Roman"/>
          <w:color w:val="000000" w:themeColor="text1"/>
          <w:sz w:val="28"/>
          <w:lang w:val="ro-RO"/>
        </w:rPr>
        <w:t xml:space="preserve">şi </w:t>
      </w:r>
      <w:r w:rsidR="00CB5515" w:rsidRPr="00D9464A">
        <w:rPr>
          <w:rFonts w:ascii="Times New Roman" w:hAnsi="Times New Roman" w:cs="Times New Roman"/>
          <w:color w:val="000000" w:themeColor="text1"/>
          <w:sz w:val="28"/>
          <w:lang w:val="ro-RO"/>
        </w:rPr>
        <w:t xml:space="preserve">măsuri </w:t>
      </w:r>
      <w:r w:rsidR="00EC5F7C" w:rsidRPr="00D9464A">
        <w:rPr>
          <w:rFonts w:ascii="Times New Roman" w:hAnsi="Times New Roman" w:cs="Times New Roman"/>
          <w:color w:val="000000" w:themeColor="text1"/>
          <w:sz w:val="28"/>
          <w:lang w:val="ro-RO"/>
        </w:rPr>
        <w:t xml:space="preserve">alternative </w:t>
      </w:r>
      <w:r w:rsidR="00CB5515" w:rsidRPr="00D9464A">
        <w:rPr>
          <w:rFonts w:ascii="Times New Roman" w:hAnsi="Times New Roman" w:cs="Times New Roman"/>
          <w:color w:val="000000" w:themeColor="text1"/>
          <w:sz w:val="28"/>
          <w:lang w:val="ro-RO"/>
        </w:rPr>
        <w:t>de politici</w:t>
      </w:r>
      <w:bookmarkEnd w:id="340"/>
      <w:bookmarkEnd w:id="341"/>
      <w:r w:rsidR="00BC2ED4" w:rsidRPr="00D9464A">
        <w:rPr>
          <w:rFonts w:ascii="Times New Roman" w:hAnsi="Times New Roman" w:cs="Times New Roman"/>
          <w:color w:val="000000" w:themeColor="text1"/>
          <w:sz w:val="28"/>
          <w:lang w:val="ro-RO"/>
        </w:rPr>
        <w:t xml:space="preserve"> </w:t>
      </w:r>
      <w:bookmarkEnd w:id="342"/>
      <w:bookmarkEnd w:id="343"/>
    </w:p>
    <w:p w14:paraId="4E290AFC" w14:textId="77777777" w:rsidR="00595171" w:rsidRPr="009C5F11" w:rsidRDefault="00DB46B0"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Potrivit Articolului </w:t>
      </w:r>
      <w:r w:rsidR="00BC2ED4" w:rsidRPr="009C5F11">
        <w:rPr>
          <w:rFonts w:ascii="Times New Roman" w:hAnsi="Times New Roman" w:cs="Times New Roman"/>
          <w:sz w:val="24"/>
          <w:lang w:val="ro-RO"/>
        </w:rPr>
        <w:t>7</w:t>
      </w:r>
      <w:r w:rsidR="0041044E" w:rsidRPr="009C5F11">
        <w:rPr>
          <w:rFonts w:ascii="Times New Roman" w:hAnsi="Times New Roman" w:cs="Times New Roman"/>
          <w:sz w:val="24"/>
          <w:lang w:val="ro-RO"/>
        </w:rPr>
        <w:t xml:space="preserve"> alineatul </w:t>
      </w:r>
      <w:r w:rsidR="00BC2ED4" w:rsidRPr="009C5F11">
        <w:rPr>
          <w:rFonts w:ascii="Times New Roman" w:hAnsi="Times New Roman" w:cs="Times New Roman"/>
          <w:sz w:val="24"/>
          <w:lang w:val="ro-RO"/>
        </w:rPr>
        <w:t xml:space="preserve">(1) </w:t>
      </w:r>
      <w:r w:rsidR="00421FA7" w:rsidRPr="009C5F11">
        <w:rPr>
          <w:rFonts w:ascii="Times New Roman" w:hAnsi="Times New Roman" w:cs="Times New Roman"/>
          <w:sz w:val="24"/>
          <w:lang w:val="ro-RO"/>
        </w:rPr>
        <w:t>din DEE</w:t>
      </w:r>
      <w:r w:rsidR="00BC2ED4" w:rsidRPr="009C5F11">
        <w:rPr>
          <w:rFonts w:ascii="Times New Roman" w:hAnsi="Times New Roman" w:cs="Times New Roman"/>
          <w:sz w:val="24"/>
          <w:lang w:val="ro-RO"/>
        </w:rPr>
        <w:t xml:space="preserve"> adapt</w:t>
      </w:r>
      <w:r w:rsidRPr="009C5F11">
        <w:rPr>
          <w:rFonts w:ascii="Times New Roman" w:hAnsi="Times New Roman" w:cs="Times New Roman"/>
          <w:sz w:val="24"/>
          <w:lang w:val="ro-RO"/>
        </w:rPr>
        <w:t>at prin</w:t>
      </w:r>
      <w:r w:rsidR="00BC2ED4" w:rsidRPr="009C5F11">
        <w:rPr>
          <w:rFonts w:ascii="Times New Roman" w:hAnsi="Times New Roman" w:cs="Times New Roman"/>
          <w:sz w:val="24"/>
          <w:lang w:val="ro-RO"/>
        </w:rPr>
        <w:t xml:space="preserve"> </w:t>
      </w:r>
      <w:r w:rsidR="0036629A" w:rsidRPr="009C5F11">
        <w:rPr>
          <w:rFonts w:ascii="Times New Roman" w:hAnsi="Times New Roman" w:cs="Times New Roman"/>
          <w:sz w:val="24"/>
          <w:lang w:val="ro-RO"/>
        </w:rPr>
        <w:t>Decizia</w:t>
      </w:r>
      <w:r w:rsidR="00BC2ED4" w:rsidRPr="009C5F11">
        <w:rPr>
          <w:rFonts w:ascii="Times New Roman" w:hAnsi="Times New Roman" w:cs="Times New Roman"/>
          <w:sz w:val="24"/>
          <w:lang w:val="ro-RO"/>
        </w:rPr>
        <w:t xml:space="preserve"> D/2015/08/MC-EnC, </w:t>
      </w:r>
      <w:r w:rsidR="0041044E" w:rsidRPr="009C5F11">
        <w:rPr>
          <w:rFonts w:ascii="Times New Roman" w:hAnsi="Times New Roman" w:cs="Times New Roman"/>
          <w:sz w:val="24"/>
          <w:lang w:val="ro-RO"/>
        </w:rPr>
        <w:t>p</w:t>
      </w:r>
      <w:r w:rsidR="00D07C8F" w:rsidRPr="009C5F11">
        <w:rPr>
          <w:rFonts w:ascii="Times New Roman" w:hAnsi="Times New Roman" w:cs="Times New Roman"/>
          <w:sz w:val="24"/>
          <w:lang w:val="ro-RO"/>
        </w:rPr>
        <w:t>ărţile contractante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au obligaţia să</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prezinte până la</w:t>
      </w:r>
      <w:r w:rsidR="00BC2ED4" w:rsidRPr="009C5F11">
        <w:rPr>
          <w:rFonts w:ascii="Times New Roman" w:hAnsi="Times New Roman" w:cs="Times New Roman"/>
          <w:sz w:val="24"/>
          <w:lang w:val="ro-RO"/>
        </w:rPr>
        <w:t xml:space="preserve"> 15 </w:t>
      </w:r>
      <w:r w:rsidR="000A4CC7" w:rsidRPr="009C5F11">
        <w:rPr>
          <w:rFonts w:ascii="Times New Roman" w:hAnsi="Times New Roman" w:cs="Times New Roman"/>
          <w:sz w:val="24"/>
          <w:lang w:val="ro-RO"/>
        </w:rPr>
        <w:t>martie</w:t>
      </w:r>
      <w:r w:rsidR="00BC2ED4" w:rsidRPr="009C5F11">
        <w:rPr>
          <w:rFonts w:ascii="Times New Roman" w:hAnsi="Times New Roman" w:cs="Times New Roman"/>
          <w:sz w:val="24"/>
          <w:lang w:val="ro-RO"/>
        </w:rPr>
        <w:t xml:space="preserve"> 2017 </w:t>
      </w:r>
      <w:r w:rsidR="00B40A7C" w:rsidRPr="009C5F11">
        <w:rPr>
          <w:rFonts w:ascii="Times New Roman" w:hAnsi="Times New Roman" w:cs="Times New Roman"/>
          <w:sz w:val="24"/>
          <w:lang w:val="ro-RO"/>
        </w:rPr>
        <w:t>informaţii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despre cuantumul prevăzut de economii </w:t>
      </w:r>
      <w:r w:rsidR="00BC2ED4" w:rsidRPr="009C5F11">
        <w:rPr>
          <w:rFonts w:ascii="Times New Roman" w:hAnsi="Times New Roman" w:cs="Times New Roman"/>
          <w:sz w:val="24"/>
          <w:lang w:val="ro-RO"/>
        </w:rPr>
        <w:t xml:space="preserve">cumulative </w:t>
      </w:r>
      <w:r w:rsidRPr="009C5F11">
        <w:rPr>
          <w:rFonts w:ascii="Times New Roman" w:hAnsi="Times New Roman" w:cs="Times New Roman"/>
          <w:sz w:val="24"/>
          <w:lang w:val="ro-RO"/>
        </w:rPr>
        <w:t>de energie finală pentru perioada</w:t>
      </w:r>
      <w:r w:rsidR="00BC2ED4" w:rsidRPr="009C5F11">
        <w:rPr>
          <w:rFonts w:ascii="Times New Roman" w:hAnsi="Times New Roman" w:cs="Times New Roman"/>
          <w:sz w:val="24"/>
          <w:lang w:val="ro-RO"/>
        </w:rPr>
        <w:t xml:space="preserve"> 1 </w:t>
      </w:r>
      <w:r w:rsidR="000A4CC7" w:rsidRPr="009C5F11">
        <w:rPr>
          <w:rFonts w:ascii="Times New Roman" w:hAnsi="Times New Roman" w:cs="Times New Roman"/>
          <w:sz w:val="24"/>
          <w:lang w:val="ro-RO"/>
        </w:rPr>
        <w:t>ianuarie</w:t>
      </w:r>
      <w:r w:rsidR="00BC2ED4" w:rsidRPr="009C5F11">
        <w:rPr>
          <w:rFonts w:ascii="Times New Roman" w:hAnsi="Times New Roman" w:cs="Times New Roman"/>
          <w:sz w:val="24"/>
          <w:lang w:val="ro-RO"/>
        </w:rPr>
        <w:t xml:space="preserve"> 2017 </w:t>
      </w:r>
      <w:r w:rsidRPr="009C5F11">
        <w:rPr>
          <w:rFonts w:ascii="Times New Roman" w:hAnsi="Times New Roman" w:cs="Times New Roman"/>
          <w:sz w:val="24"/>
          <w:lang w:val="ro-RO"/>
        </w:rPr>
        <w:t>–</w:t>
      </w:r>
      <w:r w:rsidR="00BC2ED4" w:rsidRPr="009C5F11">
        <w:rPr>
          <w:rFonts w:ascii="Times New Roman" w:hAnsi="Times New Roman" w:cs="Times New Roman"/>
          <w:sz w:val="24"/>
          <w:lang w:val="ro-RO"/>
        </w:rPr>
        <w:t xml:space="preserve"> 31 </w:t>
      </w:r>
      <w:r w:rsidR="000A4CC7" w:rsidRPr="009C5F11">
        <w:rPr>
          <w:rFonts w:ascii="Times New Roman" w:hAnsi="Times New Roman" w:cs="Times New Roman"/>
          <w:sz w:val="24"/>
          <w:lang w:val="ro-RO"/>
        </w:rPr>
        <w:t>decembrie</w:t>
      </w:r>
      <w:r w:rsidR="00BC2ED4" w:rsidRPr="009C5F11">
        <w:rPr>
          <w:rFonts w:ascii="Times New Roman" w:hAnsi="Times New Roman" w:cs="Times New Roman"/>
          <w:sz w:val="24"/>
          <w:lang w:val="ro-RO"/>
        </w:rPr>
        <w:t xml:space="preserve"> 2020 </w:t>
      </w:r>
      <w:r w:rsidRPr="009C5F11">
        <w:rPr>
          <w:rFonts w:ascii="Times New Roman" w:hAnsi="Times New Roman" w:cs="Times New Roman"/>
          <w:sz w:val="24"/>
          <w:lang w:val="ro-RO"/>
        </w:rPr>
        <w:t>întru</w:t>
      </w:r>
      <w:r w:rsidR="00BC2ED4" w:rsidRPr="009C5F11">
        <w:rPr>
          <w:rFonts w:ascii="Times New Roman" w:hAnsi="Times New Roman" w:cs="Times New Roman"/>
          <w:sz w:val="24"/>
          <w:lang w:val="ro-RO"/>
        </w:rPr>
        <w:t xml:space="preserve"> </w:t>
      </w:r>
      <w:r w:rsidR="00532A33" w:rsidRPr="009C5F11">
        <w:rPr>
          <w:rFonts w:ascii="Times New Roman" w:hAnsi="Times New Roman" w:cs="Times New Roman"/>
          <w:sz w:val="24"/>
          <w:lang w:val="ro-RO"/>
        </w:rPr>
        <w:t>implementarea</w:t>
      </w:r>
      <w:r w:rsidR="00BC2ED4"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Articolul</w:t>
      </w:r>
      <w:r w:rsidR="00BC2ED4" w:rsidRPr="009C5F11">
        <w:rPr>
          <w:rFonts w:ascii="Times New Roman" w:hAnsi="Times New Roman" w:cs="Times New Roman"/>
          <w:sz w:val="24"/>
          <w:lang w:val="ro-RO"/>
        </w:rPr>
        <w:t xml:space="preserve"> 7 </w:t>
      </w:r>
      <w:r w:rsidR="00421FA7" w:rsidRPr="009C5F11">
        <w:rPr>
          <w:rFonts w:ascii="Times New Roman" w:hAnsi="Times New Roman" w:cs="Times New Roman"/>
          <w:sz w:val="24"/>
          <w:lang w:val="ro-RO"/>
        </w:rPr>
        <w:t>din DEE</w:t>
      </w:r>
      <w:r w:rsidR="00321CD5"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w:t>
      </w:r>
      <w:r w:rsidRPr="009C5F11">
        <w:rPr>
          <w:rFonts w:ascii="Times New Roman" w:eastAsia="Times New Roman" w:hAnsi="Times New Roman" w:cs="Times New Roman"/>
          <w:bCs/>
          <w:color w:val="000000"/>
          <w:sz w:val="24"/>
          <w:lang w:val="ro-RO"/>
        </w:rPr>
        <w:t>Scheme de obligații în ceea ce privește eficiența energetică”</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Aceste </w:t>
      </w:r>
      <w:r w:rsidR="00B40A7C" w:rsidRPr="009C5F11">
        <w:rPr>
          <w:rFonts w:ascii="Times New Roman" w:hAnsi="Times New Roman" w:cs="Times New Roman"/>
          <w:sz w:val="24"/>
          <w:lang w:val="ro-RO"/>
        </w:rPr>
        <w:t>informaţii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ar trebui raportate şi în </w:t>
      </w:r>
      <w:r w:rsidR="00872DC2" w:rsidRPr="009C5F11">
        <w:rPr>
          <w:rFonts w:ascii="Times New Roman" w:hAnsi="Times New Roman" w:cs="Times New Roman"/>
          <w:sz w:val="24"/>
          <w:lang w:val="ro-RO"/>
        </w:rPr>
        <w:t>PNAEE</w:t>
      </w:r>
      <w:r w:rsidR="00BC2ED4" w:rsidRPr="009C5F11">
        <w:rPr>
          <w:rFonts w:ascii="Times New Roman" w:hAnsi="Times New Roman" w:cs="Times New Roman"/>
          <w:sz w:val="24"/>
          <w:lang w:val="ro-RO"/>
        </w:rPr>
        <w:t>.</w:t>
      </w:r>
    </w:p>
    <w:p w14:paraId="66D91F5E" w14:textId="17974E73" w:rsidR="00BC2ED4" w:rsidRPr="009C5F11" w:rsidRDefault="00EC5F7C"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Valoarea medie a vânzărilor anuale de </w:t>
      </w:r>
      <w:r w:rsidR="001E3482" w:rsidRPr="009C5F11">
        <w:rPr>
          <w:rFonts w:ascii="Times New Roman" w:hAnsi="Times New Roman" w:cs="Times New Roman"/>
          <w:sz w:val="24"/>
          <w:lang w:val="ro-RO"/>
        </w:rPr>
        <w:t>energie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perioada </w:t>
      </w:r>
      <w:r w:rsidR="00BC2ED4" w:rsidRPr="009C5F11">
        <w:rPr>
          <w:rFonts w:ascii="Times New Roman" w:hAnsi="Times New Roman" w:cs="Times New Roman"/>
          <w:sz w:val="24"/>
          <w:lang w:val="ro-RO"/>
        </w:rPr>
        <w:t>201</w:t>
      </w:r>
      <w:r w:rsidR="00535843" w:rsidRPr="009C5F11">
        <w:rPr>
          <w:rFonts w:ascii="Times New Roman" w:hAnsi="Times New Roman" w:cs="Times New Roman"/>
          <w:sz w:val="24"/>
          <w:lang w:val="ro-RO"/>
        </w:rPr>
        <w:t>2</w:t>
      </w:r>
      <w:r w:rsidR="00BC2ED4" w:rsidRPr="009C5F11">
        <w:rPr>
          <w:rFonts w:ascii="Times New Roman" w:hAnsi="Times New Roman" w:cs="Times New Roman"/>
          <w:sz w:val="24"/>
          <w:lang w:val="ro-RO"/>
        </w:rPr>
        <w:t>-201</w:t>
      </w:r>
      <w:r w:rsidR="00535843" w:rsidRPr="009C5F11">
        <w:rPr>
          <w:rFonts w:ascii="Times New Roman" w:hAnsi="Times New Roman" w:cs="Times New Roman"/>
          <w:sz w:val="24"/>
          <w:lang w:val="ro-RO"/>
        </w:rPr>
        <w:t>4</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la care se aplică procentul anual de economii este calculată folosind datele din </w:t>
      </w:r>
      <w:r w:rsidR="001A3D16" w:rsidRPr="009C5F11">
        <w:rPr>
          <w:rFonts w:ascii="Times New Roman" w:hAnsi="Times New Roman" w:cs="Times New Roman"/>
          <w:sz w:val="24"/>
          <w:lang w:val="ro-RO"/>
        </w:rPr>
        <w:t>Balanţa energetică a Republicii Moldova</w:t>
      </w:r>
      <w:r w:rsidR="00535843" w:rsidRPr="009C5F11">
        <w:rPr>
          <w:rFonts w:ascii="Times New Roman" w:hAnsi="Times New Roman" w:cs="Times New Roman"/>
          <w:sz w:val="24"/>
          <w:lang w:val="ro-RO"/>
        </w:rPr>
        <w:t xml:space="preserve"> 2015</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În scopul calculării economiilor necesare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din calcul a fost eliminată cantitatea de </w:t>
      </w:r>
      <w:r w:rsidR="001E3482" w:rsidRPr="009C5F11">
        <w:rPr>
          <w:rFonts w:ascii="Times New Roman" w:hAnsi="Times New Roman" w:cs="Times New Roman"/>
          <w:sz w:val="24"/>
          <w:lang w:val="ro-RO"/>
        </w:rPr>
        <w:t>energie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utilizată </w:t>
      </w:r>
      <w:r w:rsidR="00321CD5" w:rsidRPr="009C5F11">
        <w:rPr>
          <w:rFonts w:ascii="Times New Roman" w:hAnsi="Times New Roman" w:cs="Times New Roman"/>
          <w:sz w:val="24"/>
          <w:lang w:val="ro-RO"/>
        </w:rPr>
        <w:t xml:space="preserve">în </w:t>
      </w:r>
      <w:r w:rsidR="00D74B9A" w:rsidRPr="009C5F11">
        <w:rPr>
          <w:rFonts w:ascii="Times New Roman" w:hAnsi="Times New Roman" w:cs="Times New Roman"/>
          <w:sz w:val="24"/>
          <w:lang w:val="ro-RO"/>
        </w:rPr>
        <w:t>sectorul transporturilor</w:t>
      </w:r>
      <w:r w:rsidR="00BC2ED4" w:rsidRPr="009C5F11">
        <w:rPr>
          <w:rFonts w:ascii="Times New Roman" w:hAnsi="Times New Roman" w:cs="Times New Roman"/>
          <w:sz w:val="24"/>
          <w:lang w:val="ro-RO"/>
        </w:rPr>
        <w:t xml:space="preserve"> </w:t>
      </w:r>
      <w:r w:rsidR="00D62784" w:rsidRPr="009C5F11">
        <w:rPr>
          <w:rFonts w:ascii="Times New Roman" w:hAnsi="Times New Roman" w:cs="Times New Roman"/>
          <w:sz w:val="24"/>
          <w:lang w:val="ro-RO"/>
        </w:rPr>
        <w:t>în conformitate cu</w:t>
      </w:r>
      <w:r w:rsidR="00BC2ED4" w:rsidRPr="009C5F11">
        <w:rPr>
          <w:rFonts w:ascii="Times New Roman" w:hAnsi="Times New Roman" w:cs="Times New Roman"/>
          <w:sz w:val="24"/>
          <w:lang w:val="ro-RO"/>
        </w:rPr>
        <w:t xml:space="preserve"> </w:t>
      </w:r>
      <w:r w:rsidR="00122751" w:rsidRPr="009C5F11">
        <w:rPr>
          <w:rFonts w:ascii="Times New Roman" w:hAnsi="Times New Roman" w:cs="Times New Roman"/>
          <w:sz w:val="24"/>
          <w:lang w:val="ro-RO"/>
        </w:rPr>
        <w:t>dispoziţii</w:t>
      </w:r>
      <w:r w:rsidRPr="009C5F11">
        <w:rPr>
          <w:rFonts w:ascii="Times New Roman" w:hAnsi="Times New Roman" w:cs="Times New Roman"/>
          <w:sz w:val="24"/>
          <w:lang w:val="ro-RO"/>
        </w:rPr>
        <w:t>le</w:t>
      </w:r>
      <w:r w:rsidR="00BC2ED4" w:rsidRPr="009C5F11">
        <w:rPr>
          <w:rFonts w:ascii="Times New Roman" w:hAnsi="Times New Roman" w:cs="Times New Roman"/>
          <w:sz w:val="24"/>
          <w:lang w:val="ro-RO"/>
        </w:rPr>
        <w:t xml:space="preserve"> art.7</w:t>
      </w:r>
      <w:r w:rsidR="0041044E" w:rsidRPr="009C5F11">
        <w:rPr>
          <w:rFonts w:ascii="Times New Roman" w:hAnsi="Times New Roman" w:cs="Times New Roman"/>
          <w:sz w:val="24"/>
          <w:lang w:val="ro-RO"/>
        </w:rPr>
        <w:t xml:space="preserve"> alineatul (</w:t>
      </w:r>
      <w:r w:rsidR="00BC2ED4" w:rsidRPr="009C5F11">
        <w:rPr>
          <w:rFonts w:ascii="Times New Roman" w:hAnsi="Times New Roman" w:cs="Times New Roman"/>
          <w:sz w:val="24"/>
          <w:lang w:val="ro-RO"/>
        </w:rPr>
        <w:t>1</w:t>
      </w:r>
      <w:r w:rsidR="0041044E" w:rsidRPr="009C5F11">
        <w:rPr>
          <w:rFonts w:ascii="Times New Roman" w:hAnsi="Times New Roman" w:cs="Times New Roman"/>
          <w:sz w:val="24"/>
          <w:lang w:val="ro-RO"/>
        </w:rPr>
        <w:t>)</w:t>
      </w:r>
      <w:r w:rsidR="00BC2ED4" w:rsidRPr="009C5F11">
        <w:rPr>
          <w:rFonts w:ascii="Times New Roman" w:hAnsi="Times New Roman" w:cs="Times New Roman"/>
          <w:sz w:val="24"/>
          <w:lang w:val="ro-RO"/>
        </w:rPr>
        <w:t xml:space="preserve">. </w:t>
      </w:r>
      <w:r w:rsidR="00CB011F" w:rsidRPr="009C5F11">
        <w:rPr>
          <w:rFonts w:ascii="Times New Roman" w:hAnsi="Times New Roman" w:cs="Times New Roman"/>
          <w:sz w:val="24"/>
          <w:lang w:val="ro-RO"/>
        </w:rPr>
        <w:t>DEE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Valoarea medie a</w:t>
      </w:r>
      <w:r w:rsidR="00535843" w:rsidRPr="009C5F11">
        <w:rPr>
          <w:rFonts w:ascii="Times New Roman" w:hAnsi="Times New Roman" w:cs="Times New Roman"/>
          <w:sz w:val="24"/>
          <w:lang w:val="ro-RO"/>
        </w:rPr>
        <w:t xml:space="preserve"> </w:t>
      </w:r>
      <w:r w:rsidR="001A3D16" w:rsidRPr="009C5F11">
        <w:rPr>
          <w:rFonts w:ascii="Times New Roman" w:hAnsi="Times New Roman" w:cs="Times New Roman"/>
          <w:sz w:val="24"/>
          <w:lang w:val="ro-RO"/>
        </w:rPr>
        <w:t>consumul</w:t>
      </w:r>
      <w:r w:rsidRPr="009C5F11">
        <w:rPr>
          <w:rFonts w:ascii="Times New Roman" w:hAnsi="Times New Roman" w:cs="Times New Roman"/>
          <w:sz w:val="24"/>
          <w:lang w:val="ro-RO"/>
        </w:rPr>
        <w:t>ui</w:t>
      </w:r>
      <w:r w:rsidR="001A3D16" w:rsidRPr="009C5F11">
        <w:rPr>
          <w:rFonts w:ascii="Times New Roman" w:hAnsi="Times New Roman" w:cs="Times New Roman"/>
          <w:sz w:val="24"/>
          <w:lang w:val="ro-RO"/>
        </w:rPr>
        <w:t xml:space="preserve"> de energie finală</w:t>
      </w:r>
      <w:r w:rsidR="00535843" w:rsidRPr="009C5F11">
        <w:rPr>
          <w:rFonts w:ascii="Times New Roman" w:hAnsi="Times New Roman" w:cs="Times New Roman"/>
          <w:sz w:val="24"/>
          <w:lang w:val="ro-RO"/>
        </w:rPr>
        <w:t xml:space="preserve"> 2012-2014 </w:t>
      </w:r>
      <w:r w:rsidRPr="009C5F11">
        <w:rPr>
          <w:rFonts w:ascii="Times New Roman" w:hAnsi="Times New Roman" w:cs="Times New Roman"/>
          <w:sz w:val="24"/>
          <w:lang w:val="ro-RO"/>
        </w:rPr>
        <w:t>constituie</w:t>
      </w:r>
      <w:r w:rsidR="00535843" w:rsidRPr="009C5F11">
        <w:rPr>
          <w:rFonts w:ascii="Times New Roman" w:hAnsi="Times New Roman" w:cs="Times New Roman"/>
          <w:sz w:val="24"/>
          <w:lang w:val="ro-RO"/>
        </w:rPr>
        <w:t xml:space="preserve"> 1,412</w:t>
      </w:r>
      <w:r w:rsidR="00BC2ED4" w:rsidRPr="009C5F11">
        <w:rPr>
          <w:rFonts w:ascii="Times New Roman" w:hAnsi="Times New Roman" w:cs="Times New Roman"/>
          <w:sz w:val="24"/>
          <w:lang w:val="ro-RO"/>
        </w:rPr>
        <w:t>.3</w:t>
      </w:r>
      <w:r w:rsidR="00535843" w:rsidRPr="009C5F11">
        <w:rPr>
          <w:rFonts w:ascii="Times New Roman" w:hAnsi="Times New Roman" w:cs="Times New Roman"/>
          <w:sz w:val="24"/>
          <w:lang w:val="ro-RO"/>
        </w:rPr>
        <w:t>3</w:t>
      </w:r>
      <w:r w:rsidR="00BC2ED4" w:rsidRPr="009C5F11">
        <w:rPr>
          <w:rFonts w:ascii="Times New Roman" w:hAnsi="Times New Roman" w:cs="Times New Roman"/>
          <w:sz w:val="24"/>
          <w:lang w:val="ro-RO"/>
        </w:rPr>
        <w:t xml:space="preserve"> </w:t>
      </w:r>
      <w:r w:rsidR="00E52940" w:rsidRPr="009C5F11">
        <w:rPr>
          <w:rFonts w:ascii="Times New Roman" w:hAnsi="Times New Roman" w:cs="Times New Roman"/>
          <w:sz w:val="24"/>
          <w:lang w:val="ro-RO"/>
        </w:rPr>
        <w:t>ktep</w:t>
      </w:r>
      <w:r w:rsidR="00BC2ED4" w:rsidRPr="009C5F11">
        <w:rPr>
          <w:rFonts w:ascii="Times New Roman" w:hAnsi="Times New Roman" w:cs="Times New Roman"/>
          <w:sz w:val="24"/>
          <w:lang w:val="ro-RO"/>
        </w:rPr>
        <w:t>.</w:t>
      </w:r>
    </w:p>
    <w:p w14:paraId="3295595A" w14:textId="77777777" w:rsidR="00884CBE" w:rsidRPr="009C5F11" w:rsidRDefault="00884CBE" w:rsidP="00BC2ED4">
      <w:pPr>
        <w:spacing w:before="120" w:after="0" w:line="240" w:lineRule="auto"/>
        <w:jc w:val="both"/>
        <w:rPr>
          <w:rFonts w:ascii="Times New Roman" w:hAnsi="Times New Roman" w:cs="Times New Roman"/>
          <w:sz w:val="24"/>
          <w:lang w:val="ro-RO"/>
        </w:rPr>
      </w:pPr>
    </w:p>
    <w:p w14:paraId="2691A35E" w14:textId="77777777" w:rsidR="00F5793F" w:rsidRPr="009C5F11" w:rsidRDefault="00321CD5" w:rsidP="00F5793F">
      <w:pPr>
        <w:pStyle w:val="Legend"/>
        <w:keepNext/>
        <w:jc w:val="center"/>
        <w:rPr>
          <w:rFonts w:ascii="Times New Roman" w:hAnsi="Times New Roman" w:cs="Times New Roman"/>
          <w:sz w:val="22"/>
          <w:lang w:val="ro-RO"/>
        </w:rPr>
      </w:pPr>
      <w:bookmarkStart w:id="344" w:name="_Toc322013255"/>
      <w:r w:rsidRPr="009C5F11">
        <w:rPr>
          <w:rFonts w:ascii="Times New Roman" w:hAnsi="Times New Roman" w:cs="Times New Roman"/>
          <w:sz w:val="22"/>
          <w:lang w:val="ro-RO"/>
        </w:rPr>
        <w:t>Tabelul</w:t>
      </w:r>
      <w:r w:rsidR="00F5793F"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F5793F"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32</w:t>
      </w:r>
      <w:r w:rsidR="003A6ADB" w:rsidRPr="009C5F11">
        <w:rPr>
          <w:rFonts w:ascii="Times New Roman" w:hAnsi="Times New Roman" w:cs="Times New Roman"/>
          <w:sz w:val="22"/>
          <w:lang w:val="ro-RO"/>
        </w:rPr>
        <w:fldChar w:fldCharType="end"/>
      </w:r>
      <w:r w:rsidR="00F5793F" w:rsidRPr="009C5F11">
        <w:rPr>
          <w:rFonts w:ascii="Times New Roman" w:hAnsi="Times New Roman" w:cs="Times New Roman"/>
          <w:sz w:val="22"/>
          <w:lang w:val="ro-RO"/>
        </w:rPr>
        <w:t xml:space="preserve"> </w:t>
      </w:r>
      <w:r w:rsidR="00EC5F7C" w:rsidRPr="009C5F11">
        <w:rPr>
          <w:rFonts w:ascii="Times New Roman" w:hAnsi="Times New Roman" w:cs="Times New Roman"/>
          <w:sz w:val="22"/>
          <w:lang w:val="ro-RO"/>
        </w:rPr>
        <w:t>–</w:t>
      </w:r>
      <w:r w:rsidR="00F5793F" w:rsidRPr="009C5F11">
        <w:rPr>
          <w:rFonts w:ascii="Times New Roman" w:hAnsi="Times New Roman" w:cs="Times New Roman"/>
          <w:sz w:val="22"/>
          <w:lang w:val="ro-RO"/>
        </w:rPr>
        <w:t xml:space="preserve"> </w:t>
      </w:r>
      <w:r w:rsidR="00EC5F7C" w:rsidRPr="009C5F11">
        <w:rPr>
          <w:rFonts w:ascii="Times New Roman" w:hAnsi="Times New Roman" w:cs="Times New Roman"/>
          <w:sz w:val="22"/>
          <w:lang w:val="ro-RO"/>
        </w:rPr>
        <w:t xml:space="preserve">Valoarea medie a consumului de </w:t>
      </w:r>
      <w:r w:rsidR="001E3482" w:rsidRPr="009C5F11">
        <w:rPr>
          <w:rFonts w:ascii="Times New Roman" w:hAnsi="Times New Roman" w:cs="Times New Roman"/>
          <w:sz w:val="22"/>
          <w:lang w:val="ro-RO"/>
        </w:rPr>
        <w:t>energie</w:t>
      </w:r>
      <w:r w:rsidR="00535843" w:rsidRPr="009C5F11">
        <w:rPr>
          <w:rFonts w:ascii="Times New Roman" w:hAnsi="Times New Roman" w:cs="Times New Roman"/>
          <w:sz w:val="22"/>
          <w:lang w:val="ro-RO"/>
        </w:rPr>
        <w:t xml:space="preserve"> final</w:t>
      </w:r>
      <w:r w:rsidR="00EC5F7C" w:rsidRPr="009C5F11">
        <w:rPr>
          <w:rFonts w:ascii="Times New Roman" w:hAnsi="Times New Roman" w:cs="Times New Roman"/>
          <w:sz w:val="22"/>
          <w:lang w:val="ro-RO"/>
        </w:rPr>
        <w:t>ă</w:t>
      </w:r>
      <w:r w:rsidR="00535843" w:rsidRPr="009C5F11">
        <w:rPr>
          <w:rFonts w:ascii="Times New Roman" w:hAnsi="Times New Roman" w:cs="Times New Roman"/>
          <w:sz w:val="22"/>
          <w:lang w:val="ro-RO"/>
        </w:rPr>
        <w:t xml:space="preserve"> 2012</w:t>
      </w:r>
      <w:r w:rsidR="00F5793F" w:rsidRPr="009C5F11">
        <w:rPr>
          <w:rFonts w:ascii="Times New Roman" w:hAnsi="Times New Roman" w:cs="Times New Roman"/>
          <w:sz w:val="22"/>
          <w:lang w:val="ro-RO"/>
        </w:rPr>
        <w:t>-201</w:t>
      </w:r>
      <w:r w:rsidR="00535843" w:rsidRPr="009C5F11">
        <w:rPr>
          <w:rFonts w:ascii="Times New Roman" w:hAnsi="Times New Roman" w:cs="Times New Roman"/>
          <w:sz w:val="22"/>
          <w:lang w:val="ro-RO"/>
        </w:rPr>
        <w:t>4</w:t>
      </w:r>
      <w:r w:rsidR="00F5793F" w:rsidRPr="009C5F11">
        <w:rPr>
          <w:rFonts w:ascii="Times New Roman" w:hAnsi="Times New Roman" w:cs="Times New Roman"/>
          <w:sz w:val="22"/>
          <w:lang w:val="ro-RO"/>
        </w:rPr>
        <w:t xml:space="preserve"> </w:t>
      </w:r>
      <w:r w:rsidR="00EC5F7C" w:rsidRPr="009C5F11">
        <w:rPr>
          <w:rFonts w:ascii="Times New Roman" w:hAnsi="Times New Roman" w:cs="Times New Roman"/>
          <w:sz w:val="22"/>
          <w:lang w:val="ro-RO"/>
        </w:rPr>
        <w:t>fără</w:t>
      </w:r>
      <w:r w:rsidR="00F5793F" w:rsidRPr="009C5F11">
        <w:rPr>
          <w:rFonts w:ascii="Times New Roman" w:hAnsi="Times New Roman" w:cs="Times New Roman"/>
          <w:sz w:val="22"/>
          <w:lang w:val="ro-RO"/>
        </w:rPr>
        <w:t xml:space="preserve"> transport</w:t>
      </w:r>
      <w:r w:rsidR="00EC5F7C" w:rsidRPr="009C5F11">
        <w:rPr>
          <w:rFonts w:ascii="Times New Roman" w:hAnsi="Times New Roman" w:cs="Times New Roman"/>
          <w:sz w:val="22"/>
          <w:lang w:val="ro-RO"/>
        </w:rPr>
        <w:t>uri.</w:t>
      </w:r>
      <w:bookmarkEnd w:id="344"/>
    </w:p>
    <w:tbl>
      <w:tblPr>
        <w:tblW w:w="5000" w:type="pct"/>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4541"/>
        <w:gridCol w:w="1508"/>
        <w:gridCol w:w="1508"/>
        <w:gridCol w:w="1686"/>
      </w:tblGrid>
      <w:tr w:rsidR="00535843" w:rsidRPr="009C5F11" w14:paraId="18C3E20A" w14:textId="77777777" w:rsidTr="0032423E">
        <w:trPr>
          <w:trHeight w:val="72"/>
        </w:trPr>
        <w:tc>
          <w:tcPr>
            <w:tcW w:w="2456" w:type="pct"/>
            <w:shd w:val="clear" w:color="auto" w:fill="000080"/>
            <w:noWrap/>
            <w:vAlign w:val="center"/>
            <w:hideMark/>
          </w:tcPr>
          <w:p w14:paraId="3C35268A" w14:textId="77777777" w:rsidR="00535843" w:rsidRPr="009C5F11" w:rsidRDefault="00E52940" w:rsidP="002B09B5">
            <w:pPr>
              <w:spacing w:after="0" w:line="240" w:lineRule="auto"/>
              <w:jc w:val="center"/>
              <w:rPr>
                <w:rFonts w:ascii="Times New Roman" w:hAnsi="Times New Roman" w:cs="Times New Roman"/>
                <w:b/>
                <w:bCs/>
                <w:color w:val="FFFFFF" w:themeColor="background1"/>
                <w:sz w:val="20"/>
                <w:szCs w:val="16"/>
                <w:lang w:val="ro-RO"/>
              </w:rPr>
            </w:pPr>
            <w:r w:rsidRPr="009C5F11">
              <w:rPr>
                <w:rFonts w:ascii="Times New Roman" w:hAnsi="Times New Roman" w:cs="Times New Roman"/>
                <w:b/>
                <w:bCs/>
                <w:color w:val="FFFFFF" w:themeColor="background1"/>
                <w:sz w:val="20"/>
                <w:szCs w:val="16"/>
                <w:lang w:val="ro-RO"/>
              </w:rPr>
              <w:t>ktep</w:t>
            </w:r>
          </w:p>
        </w:tc>
        <w:tc>
          <w:tcPr>
            <w:tcW w:w="816" w:type="pct"/>
            <w:shd w:val="clear" w:color="auto" w:fill="000080"/>
            <w:vAlign w:val="center"/>
          </w:tcPr>
          <w:p w14:paraId="5E144A5B" w14:textId="77777777" w:rsidR="00535843" w:rsidRPr="009C5F11" w:rsidRDefault="00535843" w:rsidP="002B09B5">
            <w:pPr>
              <w:spacing w:after="0" w:line="240" w:lineRule="auto"/>
              <w:jc w:val="center"/>
              <w:rPr>
                <w:rFonts w:ascii="Times New Roman" w:hAnsi="Times New Roman" w:cs="Times New Roman"/>
                <w:b/>
                <w:bCs/>
                <w:color w:val="FFFFFF" w:themeColor="background1"/>
                <w:sz w:val="20"/>
                <w:szCs w:val="16"/>
                <w:lang w:val="ro-RO"/>
              </w:rPr>
            </w:pPr>
            <w:r w:rsidRPr="009C5F11">
              <w:rPr>
                <w:rFonts w:ascii="Times New Roman" w:hAnsi="Times New Roman" w:cs="Times New Roman"/>
                <w:b/>
                <w:bCs/>
                <w:color w:val="FFFFFF" w:themeColor="background1"/>
                <w:sz w:val="20"/>
                <w:szCs w:val="16"/>
                <w:lang w:val="ro-RO"/>
              </w:rPr>
              <w:t>2012</w:t>
            </w:r>
          </w:p>
        </w:tc>
        <w:tc>
          <w:tcPr>
            <w:tcW w:w="816" w:type="pct"/>
            <w:shd w:val="clear" w:color="auto" w:fill="000080"/>
            <w:noWrap/>
            <w:vAlign w:val="center"/>
            <w:hideMark/>
          </w:tcPr>
          <w:p w14:paraId="4B75772D" w14:textId="77777777" w:rsidR="00535843" w:rsidRPr="009C5F11" w:rsidRDefault="00535843" w:rsidP="002B09B5">
            <w:pPr>
              <w:spacing w:after="0" w:line="240" w:lineRule="auto"/>
              <w:jc w:val="center"/>
              <w:rPr>
                <w:rFonts w:ascii="Times New Roman" w:hAnsi="Times New Roman" w:cs="Times New Roman"/>
                <w:b/>
                <w:bCs/>
                <w:color w:val="FFFFFF" w:themeColor="background1"/>
                <w:sz w:val="20"/>
                <w:szCs w:val="16"/>
                <w:lang w:val="ro-RO"/>
              </w:rPr>
            </w:pPr>
            <w:r w:rsidRPr="009C5F11">
              <w:rPr>
                <w:rFonts w:ascii="Times New Roman" w:hAnsi="Times New Roman" w:cs="Times New Roman"/>
                <w:b/>
                <w:bCs/>
                <w:color w:val="FFFFFF" w:themeColor="background1"/>
                <w:sz w:val="20"/>
                <w:szCs w:val="16"/>
                <w:lang w:val="ro-RO"/>
              </w:rPr>
              <w:t>2013</w:t>
            </w:r>
          </w:p>
        </w:tc>
        <w:tc>
          <w:tcPr>
            <w:tcW w:w="912" w:type="pct"/>
            <w:shd w:val="clear" w:color="auto" w:fill="000080"/>
            <w:noWrap/>
            <w:vAlign w:val="center"/>
            <w:hideMark/>
          </w:tcPr>
          <w:p w14:paraId="7469C552" w14:textId="77777777" w:rsidR="00535843" w:rsidRPr="009C5F11" w:rsidRDefault="00535843" w:rsidP="002B09B5">
            <w:pPr>
              <w:spacing w:after="0" w:line="240" w:lineRule="auto"/>
              <w:jc w:val="center"/>
              <w:rPr>
                <w:rFonts w:ascii="Times New Roman" w:hAnsi="Times New Roman" w:cs="Times New Roman"/>
                <w:b/>
                <w:bCs/>
                <w:color w:val="FFFFFF" w:themeColor="background1"/>
                <w:sz w:val="20"/>
                <w:szCs w:val="16"/>
                <w:lang w:val="ro-RO"/>
              </w:rPr>
            </w:pPr>
            <w:r w:rsidRPr="009C5F11">
              <w:rPr>
                <w:rFonts w:ascii="Times New Roman" w:hAnsi="Times New Roman" w:cs="Times New Roman"/>
                <w:b/>
                <w:bCs/>
                <w:color w:val="FFFFFF" w:themeColor="background1"/>
                <w:sz w:val="20"/>
                <w:szCs w:val="16"/>
                <w:lang w:val="ro-RO"/>
              </w:rPr>
              <w:t>2014</w:t>
            </w:r>
          </w:p>
        </w:tc>
      </w:tr>
      <w:tr w:rsidR="00535843" w:rsidRPr="009C5F11" w14:paraId="1251A2BB" w14:textId="77777777" w:rsidTr="0032423E">
        <w:trPr>
          <w:trHeight w:val="72"/>
        </w:trPr>
        <w:tc>
          <w:tcPr>
            <w:tcW w:w="2456" w:type="pct"/>
            <w:shd w:val="clear" w:color="auto" w:fill="auto"/>
            <w:noWrap/>
            <w:vAlign w:val="bottom"/>
            <w:hideMark/>
          </w:tcPr>
          <w:p w14:paraId="2DC347DD" w14:textId="77777777" w:rsidR="00535843" w:rsidRPr="009C5F11" w:rsidRDefault="00EC5F7C"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Gospodăriile casnice</w:t>
            </w:r>
          </w:p>
        </w:tc>
        <w:tc>
          <w:tcPr>
            <w:tcW w:w="816" w:type="pct"/>
          </w:tcPr>
          <w:p w14:paraId="37A8C5E6" w14:textId="77777777" w:rsidR="00535843" w:rsidRPr="009C5F11" w:rsidRDefault="00AA34EA"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834</w:t>
            </w:r>
          </w:p>
        </w:tc>
        <w:tc>
          <w:tcPr>
            <w:tcW w:w="816" w:type="pct"/>
            <w:shd w:val="clear" w:color="auto" w:fill="auto"/>
            <w:noWrap/>
            <w:vAlign w:val="bottom"/>
            <w:hideMark/>
          </w:tcPr>
          <w:p w14:paraId="60BCCF83"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857</w:t>
            </w:r>
          </w:p>
        </w:tc>
        <w:tc>
          <w:tcPr>
            <w:tcW w:w="912" w:type="pct"/>
            <w:shd w:val="clear" w:color="auto" w:fill="auto"/>
            <w:noWrap/>
            <w:vAlign w:val="bottom"/>
            <w:hideMark/>
          </w:tcPr>
          <w:p w14:paraId="4671AEF4"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85</w:t>
            </w:r>
            <w:r w:rsidR="00AA34EA" w:rsidRPr="009C5F11">
              <w:rPr>
                <w:rFonts w:ascii="Times New Roman" w:hAnsi="Times New Roman" w:cs="Times New Roman"/>
                <w:color w:val="000000"/>
                <w:sz w:val="20"/>
                <w:szCs w:val="16"/>
                <w:lang w:val="ro-RO"/>
              </w:rPr>
              <w:t>3</w:t>
            </w:r>
          </w:p>
        </w:tc>
      </w:tr>
      <w:tr w:rsidR="00535843" w:rsidRPr="009C5F11" w14:paraId="0F5DB212" w14:textId="77777777" w:rsidTr="0032423E">
        <w:trPr>
          <w:trHeight w:val="72"/>
        </w:trPr>
        <w:tc>
          <w:tcPr>
            <w:tcW w:w="2456" w:type="pct"/>
            <w:shd w:val="clear" w:color="auto" w:fill="auto"/>
            <w:vAlign w:val="bottom"/>
            <w:hideMark/>
          </w:tcPr>
          <w:p w14:paraId="60DC9C79" w14:textId="77777777" w:rsidR="00535843" w:rsidRPr="009C5F11" w:rsidRDefault="00EC5F7C" w:rsidP="00EC5F7C">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Serviciile c</w:t>
            </w:r>
            <w:r w:rsidR="00535843" w:rsidRPr="009C5F11">
              <w:rPr>
                <w:rFonts w:ascii="Times New Roman" w:hAnsi="Times New Roman" w:cs="Times New Roman"/>
                <w:color w:val="000000"/>
                <w:sz w:val="20"/>
                <w:szCs w:val="16"/>
                <w:lang w:val="ro-RO"/>
              </w:rPr>
              <w:t>omercial</w:t>
            </w:r>
            <w:r w:rsidRPr="009C5F11">
              <w:rPr>
                <w:rFonts w:ascii="Times New Roman" w:hAnsi="Times New Roman" w:cs="Times New Roman"/>
                <w:color w:val="000000"/>
                <w:sz w:val="20"/>
                <w:szCs w:val="16"/>
                <w:lang w:val="ro-RO"/>
              </w:rPr>
              <w:t>e</w:t>
            </w:r>
            <w:r w:rsidR="00321CD5" w:rsidRPr="009C5F11">
              <w:rPr>
                <w:rFonts w:ascii="Times New Roman" w:hAnsi="Times New Roman" w:cs="Times New Roman"/>
                <w:color w:val="000000"/>
                <w:sz w:val="20"/>
                <w:szCs w:val="16"/>
                <w:lang w:val="ro-RO"/>
              </w:rPr>
              <w:t xml:space="preserve"> şi </w:t>
            </w:r>
            <w:r w:rsidRPr="009C5F11">
              <w:rPr>
                <w:rFonts w:ascii="Times New Roman" w:hAnsi="Times New Roman" w:cs="Times New Roman"/>
                <w:color w:val="000000"/>
                <w:sz w:val="20"/>
                <w:szCs w:val="16"/>
                <w:lang w:val="ro-RO"/>
              </w:rPr>
              <w:t>p</w:t>
            </w:r>
            <w:r w:rsidR="00535843" w:rsidRPr="009C5F11">
              <w:rPr>
                <w:rFonts w:ascii="Times New Roman" w:hAnsi="Times New Roman" w:cs="Times New Roman"/>
                <w:color w:val="000000"/>
                <w:sz w:val="20"/>
                <w:szCs w:val="16"/>
                <w:lang w:val="ro-RO"/>
              </w:rPr>
              <w:t>ublic</w:t>
            </w:r>
            <w:r w:rsidRPr="009C5F11">
              <w:rPr>
                <w:rFonts w:ascii="Times New Roman" w:hAnsi="Times New Roman" w:cs="Times New Roman"/>
                <w:color w:val="000000"/>
                <w:sz w:val="20"/>
                <w:szCs w:val="16"/>
                <w:lang w:val="ro-RO"/>
              </w:rPr>
              <w:t>e</w:t>
            </w:r>
          </w:p>
        </w:tc>
        <w:tc>
          <w:tcPr>
            <w:tcW w:w="816" w:type="pct"/>
          </w:tcPr>
          <w:p w14:paraId="0A6BC52C" w14:textId="77777777" w:rsidR="00535843" w:rsidRPr="009C5F11" w:rsidRDefault="00AA34EA"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270</w:t>
            </w:r>
          </w:p>
        </w:tc>
        <w:tc>
          <w:tcPr>
            <w:tcW w:w="816" w:type="pct"/>
            <w:shd w:val="clear" w:color="auto" w:fill="auto"/>
            <w:noWrap/>
            <w:vAlign w:val="bottom"/>
            <w:hideMark/>
          </w:tcPr>
          <w:p w14:paraId="6377DC15"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259</w:t>
            </w:r>
          </w:p>
        </w:tc>
        <w:tc>
          <w:tcPr>
            <w:tcW w:w="912" w:type="pct"/>
            <w:shd w:val="clear" w:color="auto" w:fill="auto"/>
            <w:noWrap/>
            <w:vAlign w:val="bottom"/>
            <w:hideMark/>
          </w:tcPr>
          <w:p w14:paraId="08430D30"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245</w:t>
            </w:r>
          </w:p>
        </w:tc>
      </w:tr>
      <w:tr w:rsidR="00535843" w:rsidRPr="009C5F11" w14:paraId="297F4C79" w14:textId="77777777" w:rsidTr="0032423E">
        <w:trPr>
          <w:trHeight w:val="72"/>
        </w:trPr>
        <w:tc>
          <w:tcPr>
            <w:tcW w:w="2456" w:type="pct"/>
            <w:shd w:val="clear" w:color="auto" w:fill="auto"/>
            <w:noWrap/>
            <w:vAlign w:val="bottom"/>
            <w:hideMark/>
          </w:tcPr>
          <w:p w14:paraId="188528E5" w14:textId="77777777" w:rsidR="00535843" w:rsidRPr="009C5F11" w:rsidRDefault="00535843" w:rsidP="00EC5F7C">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Agricultur</w:t>
            </w:r>
            <w:r w:rsidR="00EC5F7C" w:rsidRPr="009C5F11">
              <w:rPr>
                <w:rFonts w:ascii="Times New Roman" w:hAnsi="Times New Roman" w:cs="Times New Roman"/>
                <w:color w:val="000000"/>
                <w:sz w:val="20"/>
                <w:szCs w:val="16"/>
                <w:lang w:val="ro-RO"/>
              </w:rPr>
              <w:t>a</w:t>
            </w:r>
          </w:p>
        </w:tc>
        <w:tc>
          <w:tcPr>
            <w:tcW w:w="816" w:type="pct"/>
          </w:tcPr>
          <w:p w14:paraId="477E9030" w14:textId="77777777" w:rsidR="00535843" w:rsidRPr="009C5F11" w:rsidRDefault="00AA34EA"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60</w:t>
            </w:r>
          </w:p>
        </w:tc>
        <w:tc>
          <w:tcPr>
            <w:tcW w:w="816" w:type="pct"/>
            <w:shd w:val="clear" w:color="auto" w:fill="auto"/>
            <w:noWrap/>
            <w:vAlign w:val="bottom"/>
            <w:hideMark/>
          </w:tcPr>
          <w:p w14:paraId="5D6E67B7" w14:textId="77777777" w:rsidR="00535843" w:rsidRPr="009C5F11" w:rsidRDefault="00AA34EA"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64</w:t>
            </w:r>
          </w:p>
        </w:tc>
        <w:tc>
          <w:tcPr>
            <w:tcW w:w="912" w:type="pct"/>
            <w:shd w:val="clear" w:color="auto" w:fill="auto"/>
            <w:noWrap/>
            <w:vAlign w:val="bottom"/>
            <w:hideMark/>
          </w:tcPr>
          <w:p w14:paraId="6F8DAEFE" w14:textId="77777777" w:rsidR="00535843" w:rsidRPr="009C5F11" w:rsidRDefault="00AA34EA"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64</w:t>
            </w:r>
          </w:p>
        </w:tc>
      </w:tr>
      <w:tr w:rsidR="00535843" w:rsidRPr="009C5F11" w14:paraId="47738BD6" w14:textId="77777777" w:rsidTr="0032423E">
        <w:trPr>
          <w:trHeight w:val="72"/>
        </w:trPr>
        <w:tc>
          <w:tcPr>
            <w:tcW w:w="2456" w:type="pct"/>
            <w:shd w:val="clear" w:color="auto" w:fill="auto"/>
            <w:noWrap/>
            <w:vAlign w:val="bottom"/>
            <w:hideMark/>
          </w:tcPr>
          <w:p w14:paraId="13A57DB9" w14:textId="77777777" w:rsidR="00535843" w:rsidRPr="009C5F11" w:rsidRDefault="0079253D" w:rsidP="00EC5F7C">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Industri</w:t>
            </w:r>
            <w:r w:rsidR="00EC5F7C" w:rsidRPr="009C5F11">
              <w:rPr>
                <w:rFonts w:ascii="Times New Roman" w:hAnsi="Times New Roman" w:cs="Times New Roman"/>
                <w:color w:val="000000"/>
                <w:sz w:val="20"/>
                <w:szCs w:val="16"/>
                <w:lang w:val="ro-RO"/>
              </w:rPr>
              <w:t>a</w:t>
            </w:r>
          </w:p>
        </w:tc>
        <w:tc>
          <w:tcPr>
            <w:tcW w:w="816" w:type="pct"/>
          </w:tcPr>
          <w:p w14:paraId="4ED4EBC9" w14:textId="77777777" w:rsidR="00535843" w:rsidRPr="009C5F11" w:rsidRDefault="00AA34EA"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239</w:t>
            </w:r>
          </w:p>
        </w:tc>
        <w:tc>
          <w:tcPr>
            <w:tcW w:w="816" w:type="pct"/>
            <w:shd w:val="clear" w:color="auto" w:fill="auto"/>
            <w:noWrap/>
            <w:vAlign w:val="bottom"/>
            <w:hideMark/>
          </w:tcPr>
          <w:p w14:paraId="59666618"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257</w:t>
            </w:r>
          </w:p>
        </w:tc>
        <w:tc>
          <w:tcPr>
            <w:tcW w:w="912" w:type="pct"/>
            <w:shd w:val="clear" w:color="auto" w:fill="auto"/>
            <w:noWrap/>
            <w:vAlign w:val="bottom"/>
            <w:hideMark/>
          </w:tcPr>
          <w:p w14:paraId="48678C06"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235</w:t>
            </w:r>
          </w:p>
        </w:tc>
      </w:tr>
      <w:tr w:rsidR="00535843" w:rsidRPr="009C5F11" w14:paraId="24149DD8" w14:textId="77777777" w:rsidTr="0032423E">
        <w:trPr>
          <w:trHeight w:val="72"/>
        </w:trPr>
        <w:tc>
          <w:tcPr>
            <w:tcW w:w="2456" w:type="pct"/>
            <w:shd w:val="clear" w:color="auto" w:fill="DBE5F1"/>
            <w:noWrap/>
            <w:vAlign w:val="bottom"/>
            <w:hideMark/>
          </w:tcPr>
          <w:p w14:paraId="36C8596C" w14:textId="77777777" w:rsidR="00535843" w:rsidRPr="009C5F11" w:rsidRDefault="00535843" w:rsidP="00EC5F7C">
            <w:pPr>
              <w:spacing w:after="0" w:line="240" w:lineRule="auto"/>
              <w:rPr>
                <w:rFonts w:ascii="Times New Roman" w:hAnsi="Times New Roman" w:cs="Times New Roman"/>
                <w:bCs/>
                <w:color w:val="000000"/>
                <w:sz w:val="20"/>
                <w:szCs w:val="16"/>
                <w:lang w:val="ro-RO"/>
              </w:rPr>
            </w:pPr>
            <w:r w:rsidRPr="009C5F11">
              <w:rPr>
                <w:rFonts w:ascii="Times New Roman" w:hAnsi="Times New Roman" w:cs="Times New Roman"/>
                <w:bCs/>
                <w:color w:val="000000"/>
                <w:sz w:val="20"/>
                <w:szCs w:val="16"/>
                <w:lang w:val="ro-RO"/>
              </w:rPr>
              <w:t xml:space="preserve">Total </w:t>
            </w:r>
            <w:r w:rsidR="00EC5F7C" w:rsidRPr="009C5F11">
              <w:rPr>
                <w:rFonts w:ascii="Times New Roman" w:hAnsi="Times New Roman" w:cs="Times New Roman"/>
                <w:bCs/>
                <w:color w:val="000000"/>
                <w:sz w:val="20"/>
                <w:szCs w:val="16"/>
                <w:lang w:val="ro-RO"/>
              </w:rPr>
              <w:t>fără</w:t>
            </w:r>
            <w:r w:rsidRPr="009C5F11">
              <w:rPr>
                <w:rFonts w:ascii="Times New Roman" w:hAnsi="Times New Roman" w:cs="Times New Roman"/>
                <w:bCs/>
                <w:color w:val="000000"/>
                <w:sz w:val="20"/>
                <w:szCs w:val="16"/>
                <w:lang w:val="ro-RO"/>
              </w:rPr>
              <w:t xml:space="preserve"> transport</w:t>
            </w:r>
            <w:r w:rsidR="00EC5F7C" w:rsidRPr="009C5F11">
              <w:rPr>
                <w:rFonts w:ascii="Times New Roman" w:hAnsi="Times New Roman" w:cs="Times New Roman"/>
                <w:bCs/>
                <w:color w:val="000000"/>
                <w:sz w:val="20"/>
                <w:szCs w:val="16"/>
                <w:lang w:val="ro-RO"/>
              </w:rPr>
              <w:t>uri</w:t>
            </w:r>
          </w:p>
        </w:tc>
        <w:tc>
          <w:tcPr>
            <w:tcW w:w="816" w:type="pct"/>
            <w:shd w:val="clear" w:color="auto" w:fill="DBE5F1"/>
          </w:tcPr>
          <w:p w14:paraId="3F1B656B" w14:textId="77777777" w:rsidR="00535843" w:rsidRPr="009C5F11" w:rsidRDefault="00AA34EA"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1,403</w:t>
            </w:r>
          </w:p>
        </w:tc>
        <w:tc>
          <w:tcPr>
            <w:tcW w:w="816" w:type="pct"/>
            <w:shd w:val="clear" w:color="auto" w:fill="DBE5F1"/>
            <w:noWrap/>
            <w:vAlign w:val="bottom"/>
            <w:hideMark/>
          </w:tcPr>
          <w:p w14:paraId="190E83E7"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1,437</w:t>
            </w:r>
          </w:p>
        </w:tc>
        <w:tc>
          <w:tcPr>
            <w:tcW w:w="912" w:type="pct"/>
            <w:shd w:val="clear" w:color="auto" w:fill="DBE5F1"/>
            <w:noWrap/>
            <w:vAlign w:val="bottom"/>
            <w:hideMark/>
          </w:tcPr>
          <w:p w14:paraId="5CE6FA13" w14:textId="77777777" w:rsidR="00535843" w:rsidRPr="009C5F11" w:rsidRDefault="00535843" w:rsidP="002A0D19">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1,397</w:t>
            </w:r>
          </w:p>
        </w:tc>
      </w:tr>
      <w:tr w:rsidR="00535843" w:rsidRPr="009C5F11" w14:paraId="0ACBEE90" w14:textId="77777777" w:rsidTr="0032423E">
        <w:trPr>
          <w:trHeight w:val="72"/>
        </w:trPr>
        <w:tc>
          <w:tcPr>
            <w:tcW w:w="2456" w:type="pct"/>
            <w:shd w:val="clear" w:color="auto" w:fill="auto"/>
            <w:noWrap/>
            <w:vAlign w:val="bottom"/>
            <w:hideMark/>
          </w:tcPr>
          <w:p w14:paraId="45F8335F" w14:textId="77777777" w:rsidR="00535843" w:rsidRPr="009C5F11" w:rsidRDefault="00535843"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Transport</w:t>
            </w:r>
            <w:r w:rsidR="00EC5F7C" w:rsidRPr="009C5F11">
              <w:rPr>
                <w:rFonts w:ascii="Times New Roman" w:hAnsi="Times New Roman" w:cs="Times New Roman"/>
                <w:color w:val="000000"/>
                <w:sz w:val="20"/>
                <w:szCs w:val="16"/>
                <w:lang w:val="ro-RO"/>
              </w:rPr>
              <w:t>urile</w:t>
            </w:r>
          </w:p>
        </w:tc>
        <w:tc>
          <w:tcPr>
            <w:tcW w:w="816" w:type="pct"/>
          </w:tcPr>
          <w:p w14:paraId="5DD79D6D" w14:textId="77777777" w:rsidR="00535843" w:rsidRPr="009C5F11" w:rsidRDefault="00AA34EA"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561</w:t>
            </w:r>
          </w:p>
        </w:tc>
        <w:tc>
          <w:tcPr>
            <w:tcW w:w="816" w:type="pct"/>
            <w:shd w:val="clear" w:color="auto" w:fill="auto"/>
            <w:noWrap/>
            <w:vAlign w:val="bottom"/>
            <w:hideMark/>
          </w:tcPr>
          <w:p w14:paraId="33BF373D"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5</w:t>
            </w:r>
            <w:r w:rsidR="00AA34EA" w:rsidRPr="009C5F11">
              <w:rPr>
                <w:rFonts w:ascii="Times New Roman" w:hAnsi="Times New Roman" w:cs="Times New Roman"/>
                <w:color w:val="000000"/>
                <w:sz w:val="20"/>
                <w:szCs w:val="16"/>
                <w:lang w:val="ro-RO"/>
              </w:rPr>
              <w:t>86</w:t>
            </w:r>
          </w:p>
        </w:tc>
        <w:tc>
          <w:tcPr>
            <w:tcW w:w="912" w:type="pct"/>
            <w:shd w:val="clear" w:color="auto" w:fill="auto"/>
            <w:noWrap/>
            <w:vAlign w:val="bottom"/>
            <w:hideMark/>
          </w:tcPr>
          <w:p w14:paraId="49B6F46E"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610</w:t>
            </w:r>
          </w:p>
        </w:tc>
      </w:tr>
      <w:tr w:rsidR="00535843" w:rsidRPr="009C5F11" w14:paraId="120F8FE7" w14:textId="77777777" w:rsidTr="0032423E">
        <w:trPr>
          <w:trHeight w:val="72"/>
        </w:trPr>
        <w:tc>
          <w:tcPr>
            <w:tcW w:w="2456" w:type="pct"/>
            <w:shd w:val="clear" w:color="auto" w:fill="auto"/>
            <w:noWrap/>
            <w:vAlign w:val="bottom"/>
            <w:hideMark/>
          </w:tcPr>
          <w:p w14:paraId="4C8BD28B" w14:textId="77777777" w:rsidR="00535843" w:rsidRPr="009C5F11" w:rsidRDefault="00EC5F7C" w:rsidP="00430626">
            <w:pPr>
              <w:spacing w:after="0" w:line="240" w:lineRule="auto"/>
              <w:rPr>
                <w:rFonts w:ascii="Times New Roman" w:hAnsi="Times New Roman" w:cs="Times New Roman"/>
                <w:bCs/>
                <w:color w:val="000000"/>
                <w:sz w:val="20"/>
                <w:szCs w:val="16"/>
                <w:lang w:val="ro-RO"/>
              </w:rPr>
            </w:pPr>
            <w:r w:rsidRPr="009C5F11">
              <w:rPr>
                <w:rFonts w:ascii="Times New Roman" w:hAnsi="Times New Roman" w:cs="Times New Roman"/>
                <w:bCs/>
                <w:color w:val="000000"/>
                <w:sz w:val="20"/>
                <w:szCs w:val="16"/>
                <w:lang w:val="ro-RO"/>
              </w:rPr>
              <w:t>Totalul general</w:t>
            </w:r>
          </w:p>
        </w:tc>
        <w:tc>
          <w:tcPr>
            <w:tcW w:w="816" w:type="pct"/>
          </w:tcPr>
          <w:p w14:paraId="2B18FC3C" w14:textId="77777777" w:rsidR="00535843" w:rsidRPr="009C5F11" w:rsidRDefault="00AA34EA"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1,964</w:t>
            </w:r>
          </w:p>
        </w:tc>
        <w:tc>
          <w:tcPr>
            <w:tcW w:w="816" w:type="pct"/>
            <w:shd w:val="clear" w:color="auto" w:fill="auto"/>
            <w:noWrap/>
            <w:vAlign w:val="bottom"/>
            <w:hideMark/>
          </w:tcPr>
          <w:p w14:paraId="78914630"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2,023</w:t>
            </w:r>
          </w:p>
        </w:tc>
        <w:tc>
          <w:tcPr>
            <w:tcW w:w="912" w:type="pct"/>
            <w:shd w:val="clear" w:color="auto" w:fill="auto"/>
            <w:noWrap/>
            <w:vAlign w:val="bottom"/>
            <w:hideMark/>
          </w:tcPr>
          <w:p w14:paraId="783E88B5" w14:textId="77777777" w:rsidR="00535843" w:rsidRPr="009C5F11" w:rsidRDefault="00535843"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2,007</w:t>
            </w:r>
          </w:p>
        </w:tc>
      </w:tr>
      <w:tr w:rsidR="00535843" w:rsidRPr="009C5F11" w14:paraId="2980EAC5" w14:textId="77777777" w:rsidTr="0032423E">
        <w:trPr>
          <w:gridAfter w:val="2"/>
          <w:wAfter w:w="1728" w:type="pct"/>
          <w:trHeight w:val="72"/>
        </w:trPr>
        <w:tc>
          <w:tcPr>
            <w:tcW w:w="2456" w:type="pct"/>
            <w:shd w:val="clear" w:color="auto" w:fill="DBE5F1"/>
            <w:noWrap/>
            <w:vAlign w:val="bottom"/>
            <w:hideMark/>
          </w:tcPr>
          <w:p w14:paraId="7A10460A" w14:textId="77777777" w:rsidR="00535843" w:rsidRPr="009C5F11" w:rsidRDefault="00EC5F7C" w:rsidP="00EC5F7C">
            <w:pPr>
              <w:spacing w:after="0" w:line="240" w:lineRule="auto"/>
              <w:rPr>
                <w:rFonts w:ascii="Times New Roman" w:hAnsi="Times New Roman" w:cs="Times New Roman"/>
                <w:b/>
                <w:color w:val="000000"/>
                <w:sz w:val="20"/>
                <w:szCs w:val="16"/>
                <w:lang w:val="ro-RO"/>
              </w:rPr>
            </w:pPr>
            <w:r w:rsidRPr="009C5F11">
              <w:rPr>
                <w:rFonts w:ascii="Times New Roman" w:hAnsi="Times New Roman" w:cs="Times New Roman"/>
                <w:b/>
                <w:color w:val="000000"/>
                <w:sz w:val="20"/>
                <w:szCs w:val="16"/>
                <w:lang w:val="ro-RO"/>
              </w:rPr>
              <w:t xml:space="preserve">Valoarea medie </w:t>
            </w:r>
            <w:r w:rsidR="00535843" w:rsidRPr="009C5F11">
              <w:rPr>
                <w:rFonts w:ascii="Times New Roman" w:hAnsi="Times New Roman" w:cs="Times New Roman"/>
                <w:b/>
                <w:color w:val="000000"/>
                <w:sz w:val="20"/>
                <w:szCs w:val="16"/>
                <w:lang w:val="ro-RO"/>
              </w:rPr>
              <w:t>201</w:t>
            </w:r>
            <w:r w:rsidRPr="009C5F11">
              <w:rPr>
                <w:rFonts w:ascii="Times New Roman" w:hAnsi="Times New Roman" w:cs="Times New Roman"/>
                <w:b/>
                <w:color w:val="000000"/>
                <w:sz w:val="20"/>
                <w:szCs w:val="16"/>
                <w:lang w:val="ro-RO"/>
              </w:rPr>
              <w:t>2</w:t>
            </w:r>
            <w:r w:rsidR="00535843" w:rsidRPr="009C5F11">
              <w:rPr>
                <w:rFonts w:ascii="Times New Roman" w:hAnsi="Times New Roman" w:cs="Times New Roman"/>
                <w:b/>
                <w:color w:val="000000"/>
                <w:sz w:val="20"/>
                <w:szCs w:val="16"/>
                <w:lang w:val="ro-RO"/>
              </w:rPr>
              <w:t>-201</w:t>
            </w:r>
            <w:r w:rsidRPr="009C5F11">
              <w:rPr>
                <w:rFonts w:ascii="Times New Roman" w:hAnsi="Times New Roman" w:cs="Times New Roman"/>
                <w:b/>
                <w:color w:val="000000"/>
                <w:sz w:val="20"/>
                <w:szCs w:val="16"/>
                <w:lang w:val="ro-RO"/>
              </w:rPr>
              <w:t>4</w:t>
            </w:r>
            <w:r w:rsidR="00535843" w:rsidRPr="009C5F11">
              <w:rPr>
                <w:rFonts w:ascii="Times New Roman" w:hAnsi="Times New Roman" w:cs="Times New Roman"/>
                <w:b/>
                <w:color w:val="000000"/>
                <w:sz w:val="20"/>
                <w:szCs w:val="16"/>
                <w:lang w:val="ro-RO"/>
              </w:rPr>
              <w:t xml:space="preserve"> </w:t>
            </w:r>
            <w:r w:rsidRPr="009C5F11">
              <w:rPr>
                <w:rFonts w:ascii="Times New Roman" w:hAnsi="Times New Roman" w:cs="Times New Roman"/>
                <w:b/>
                <w:color w:val="000000"/>
                <w:sz w:val="20"/>
                <w:szCs w:val="16"/>
                <w:lang w:val="ro-RO"/>
              </w:rPr>
              <w:t>fără</w:t>
            </w:r>
            <w:r w:rsidR="00535843" w:rsidRPr="009C5F11">
              <w:rPr>
                <w:rFonts w:ascii="Times New Roman" w:hAnsi="Times New Roman" w:cs="Times New Roman"/>
                <w:b/>
                <w:color w:val="000000"/>
                <w:sz w:val="20"/>
                <w:szCs w:val="16"/>
                <w:lang w:val="ro-RO"/>
              </w:rPr>
              <w:t xml:space="preserve"> transport</w:t>
            </w:r>
            <w:r w:rsidRPr="009C5F11">
              <w:rPr>
                <w:rFonts w:ascii="Times New Roman" w:hAnsi="Times New Roman" w:cs="Times New Roman"/>
                <w:b/>
                <w:color w:val="000000"/>
                <w:sz w:val="20"/>
                <w:szCs w:val="16"/>
                <w:lang w:val="ro-RO"/>
              </w:rPr>
              <w:t>uri</w:t>
            </w:r>
          </w:p>
        </w:tc>
        <w:tc>
          <w:tcPr>
            <w:tcW w:w="816" w:type="pct"/>
            <w:shd w:val="clear" w:color="auto" w:fill="DBE5F1"/>
            <w:vAlign w:val="center"/>
          </w:tcPr>
          <w:p w14:paraId="5D5BE584" w14:textId="77777777" w:rsidR="00535843" w:rsidRPr="009C5F11" w:rsidRDefault="00D561B6" w:rsidP="00D561B6">
            <w:pPr>
              <w:spacing w:after="0" w:line="240" w:lineRule="auto"/>
              <w:jc w:val="center"/>
              <w:rPr>
                <w:rFonts w:ascii="Times New Roman" w:hAnsi="Times New Roman" w:cs="Times New Roman"/>
                <w:b/>
                <w:color w:val="000000"/>
                <w:sz w:val="20"/>
                <w:szCs w:val="16"/>
                <w:lang w:val="ro-RO"/>
              </w:rPr>
            </w:pPr>
            <w:r w:rsidRPr="009C5F11">
              <w:rPr>
                <w:rFonts w:ascii="Times New Roman" w:hAnsi="Times New Roman" w:cs="Times New Roman"/>
                <w:b/>
                <w:color w:val="000000"/>
                <w:sz w:val="20"/>
                <w:szCs w:val="16"/>
                <w:lang w:val="ro-RO"/>
              </w:rPr>
              <w:t>1,412.33</w:t>
            </w:r>
          </w:p>
        </w:tc>
      </w:tr>
    </w:tbl>
    <w:p w14:paraId="666A991C" w14:textId="77777777" w:rsidR="00384A0E" w:rsidRPr="009C5F11" w:rsidRDefault="00927CD9"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Potrivit</w:t>
      </w:r>
      <w:r w:rsidR="00BC2ED4" w:rsidRPr="009C5F11">
        <w:rPr>
          <w:rFonts w:ascii="Times New Roman" w:hAnsi="Times New Roman" w:cs="Times New Roman"/>
          <w:sz w:val="24"/>
          <w:lang w:val="ro-RO"/>
        </w:rPr>
        <w:t xml:space="preserve"> </w:t>
      </w:r>
      <w:r w:rsidR="00CB011F" w:rsidRPr="009C5F11">
        <w:rPr>
          <w:rFonts w:ascii="Times New Roman" w:hAnsi="Times New Roman" w:cs="Times New Roman"/>
          <w:sz w:val="24"/>
          <w:lang w:val="ro-RO"/>
        </w:rPr>
        <w:t>DEE</w:t>
      </w:r>
      <w:r w:rsidR="00BC2ED4" w:rsidRPr="009C5F11">
        <w:rPr>
          <w:rFonts w:ascii="Times New Roman" w:hAnsi="Times New Roman" w:cs="Times New Roman"/>
          <w:sz w:val="24"/>
          <w:lang w:val="ro-RO"/>
        </w:rPr>
        <w:t xml:space="preserve"> </w:t>
      </w:r>
      <w:r w:rsidR="00EC5F7C" w:rsidRPr="009C5F11">
        <w:rPr>
          <w:rFonts w:ascii="Times New Roman" w:hAnsi="Times New Roman" w:cs="Times New Roman"/>
          <w:sz w:val="24"/>
          <w:lang w:val="ro-RO"/>
        </w:rPr>
        <w:t>adaptată</w:t>
      </w:r>
      <w:r w:rsidR="00BC2ED4" w:rsidRPr="009C5F11">
        <w:rPr>
          <w:rFonts w:ascii="Times New Roman" w:hAnsi="Times New Roman" w:cs="Times New Roman"/>
          <w:sz w:val="24"/>
          <w:lang w:val="ro-RO"/>
        </w:rPr>
        <w:t xml:space="preserve"> </w:t>
      </w:r>
      <w:r w:rsidR="00EC5F7C" w:rsidRPr="009C5F11">
        <w:rPr>
          <w:rFonts w:ascii="Times New Roman" w:hAnsi="Times New Roman" w:cs="Times New Roman"/>
          <w:sz w:val="24"/>
          <w:lang w:val="ro-RO"/>
        </w:rPr>
        <w:t>prin</w:t>
      </w:r>
      <w:r w:rsidR="00BC2ED4" w:rsidRPr="009C5F11">
        <w:rPr>
          <w:rFonts w:ascii="Times New Roman" w:hAnsi="Times New Roman" w:cs="Times New Roman"/>
          <w:sz w:val="24"/>
          <w:lang w:val="ro-RO"/>
        </w:rPr>
        <w:t xml:space="preserve"> </w:t>
      </w:r>
      <w:r w:rsidR="0036629A" w:rsidRPr="009C5F11">
        <w:rPr>
          <w:rFonts w:ascii="Times New Roman" w:hAnsi="Times New Roman" w:cs="Times New Roman"/>
          <w:sz w:val="24"/>
          <w:lang w:val="ro-RO"/>
        </w:rPr>
        <w:t>Decizia</w:t>
      </w:r>
      <w:r w:rsidR="00BC2ED4" w:rsidRPr="009C5F11">
        <w:rPr>
          <w:rFonts w:ascii="Times New Roman" w:hAnsi="Times New Roman" w:cs="Times New Roman"/>
          <w:sz w:val="24"/>
          <w:lang w:val="ro-RO"/>
        </w:rPr>
        <w:t xml:space="preserve"> D/2015/08/MC-EnC, </w:t>
      </w:r>
      <w:r w:rsidR="00EC5F7C" w:rsidRPr="009C5F11">
        <w:rPr>
          <w:rFonts w:ascii="Times New Roman" w:hAnsi="Times New Roman" w:cs="Times New Roman"/>
          <w:sz w:val="24"/>
          <w:lang w:val="ro-RO"/>
        </w:rPr>
        <w:t>în 2017 şi 2018, p</w:t>
      </w:r>
      <w:r w:rsidR="00D07C8F" w:rsidRPr="009C5F11">
        <w:rPr>
          <w:rFonts w:ascii="Times New Roman" w:hAnsi="Times New Roman" w:cs="Times New Roman"/>
          <w:sz w:val="24"/>
          <w:lang w:val="ro-RO"/>
        </w:rPr>
        <w:t>ărţile contractante</w:t>
      </w:r>
      <w:r w:rsidR="00BC2ED4" w:rsidRPr="009C5F11">
        <w:rPr>
          <w:rFonts w:ascii="Times New Roman" w:hAnsi="Times New Roman" w:cs="Times New Roman"/>
          <w:sz w:val="24"/>
          <w:lang w:val="ro-RO"/>
        </w:rPr>
        <w:t xml:space="preserve"> </w:t>
      </w:r>
      <w:r w:rsidR="00EC5F7C" w:rsidRPr="009C5F11">
        <w:rPr>
          <w:rFonts w:ascii="Times New Roman" w:hAnsi="Times New Roman" w:cs="Times New Roman"/>
          <w:sz w:val="24"/>
          <w:lang w:val="ro-RO"/>
        </w:rPr>
        <w:t xml:space="preserve">pot efectua calculul folosind în loc de </w:t>
      </w:r>
      <w:r w:rsidR="00BC2ED4" w:rsidRPr="009C5F11">
        <w:rPr>
          <w:rFonts w:ascii="Times New Roman" w:hAnsi="Times New Roman" w:cs="Times New Roman"/>
          <w:sz w:val="24"/>
          <w:lang w:val="ro-RO"/>
        </w:rPr>
        <w:t xml:space="preserve">0.7 %, </w:t>
      </w:r>
      <w:r w:rsidR="00EC5F7C" w:rsidRPr="009C5F11">
        <w:rPr>
          <w:rFonts w:ascii="Times New Roman" w:hAnsi="Times New Roman" w:cs="Times New Roman"/>
          <w:sz w:val="24"/>
          <w:lang w:val="ro-RO"/>
        </w:rPr>
        <w:t xml:space="preserve">o </w:t>
      </w:r>
      <w:r w:rsidR="0041044E" w:rsidRPr="009C5F11">
        <w:rPr>
          <w:rFonts w:ascii="Times New Roman" w:hAnsi="Times New Roman" w:cs="Times New Roman"/>
          <w:sz w:val="24"/>
          <w:lang w:val="ro-RO"/>
        </w:rPr>
        <w:t xml:space="preserve">cotă </w:t>
      </w:r>
      <w:r w:rsidR="00EC5F7C" w:rsidRPr="009C5F11">
        <w:rPr>
          <w:rFonts w:ascii="Times New Roman" w:hAnsi="Times New Roman" w:cs="Times New Roman"/>
          <w:sz w:val="24"/>
          <w:lang w:val="ro-RO"/>
        </w:rPr>
        <w:t>de</w:t>
      </w:r>
      <w:r w:rsidR="00BC2ED4" w:rsidRPr="009C5F11">
        <w:rPr>
          <w:rFonts w:ascii="Times New Roman" w:hAnsi="Times New Roman" w:cs="Times New Roman"/>
          <w:sz w:val="24"/>
          <w:lang w:val="ro-RO"/>
        </w:rPr>
        <w:t xml:space="preserve"> 0.5 %.</w:t>
      </w:r>
    </w:p>
    <w:p w14:paraId="217C842B" w14:textId="0F0434D4" w:rsidR="00384A0E" w:rsidRPr="009C5F11" w:rsidRDefault="00CF70A8"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Economiile minime cumulate de energie finală au fost calculate</w:t>
      </w:r>
      <w:r w:rsidR="00BC2ED4"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pentru perioada</w:t>
      </w:r>
      <w:r w:rsidR="00BC2ED4" w:rsidRPr="009C5F11">
        <w:rPr>
          <w:rFonts w:ascii="Times New Roman" w:hAnsi="Times New Roman" w:cs="Times New Roman"/>
          <w:sz w:val="24"/>
          <w:lang w:val="ro-RO"/>
        </w:rPr>
        <w:t xml:space="preserve"> 2017-2020. </w:t>
      </w:r>
      <w:r w:rsidRPr="009C5F11">
        <w:rPr>
          <w:rFonts w:ascii="Times New Roman" w:hAnsi="Times New Roman" w:cs="Times New Roman"/>
          <w:sz w:val="24"/>
          <w:lang w:val="ro-RO"/>
        </w:rPr>
        <w:t xml:space="preserve">În tabelele de mai jos sunt prezentate </w:t>
      </w:r>
      <w:r w:rsidR="0036629A" w:rsidRPr="009C5F11">
        <w:rPr>
          <w:rFonts w:ascii="Times New Roman" w:hAnsi="Times New Roman" w:cs="Times New Roman"/>
          <w:sz w:val="24"/>
          <w:lang w:val="ro-RO"/>
        </w:rPr>
        <w:t>calculele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pentru cota de</w:t>
      </w:r>
      <w:r w:rsidR="00BC2ED4" w:rsidRPr="009C5F11">
        <w:rPr>
          <w:rFonts w:ascii="Times New Roman" w:hAnsi="Times New Roman" w:cs="Times New Roman"/>
          <w:sz w:val="24"/>
          <w:lang w:val="ro-RO"/>
        </w:rPr>
        <w:t xml:space="preserve"> 0.7% (</w:t>
      </w:r>
      <w:r w:rsidR="003A6ADB" w:rsidRPr="009C5F11">
        <w:rPr>
          <w:rFonts w:ascii="Times New Roman" w:hAnsi="Times New Roman" w:cs="Times New Roman"/>
          <w:sz w:val="24"/>
          <w:lang w:val="ro-RO"/>
        </w:rPr>
        <w:fldChar w:fldCharType="begin"/>
      </w:r>
      <w:r w:rsidR="00E825BF" w:rsidRPr="009C5F11">
        <w:rPr>
          <w:rFonts w:ascii="Times New Roman" w:hAnsi="Times New Roman" w:cs="Times New Roman"/>
          <w:sz w:val="24"/>
          <w:lang w:val="ro-RO"/>
        </w:rPr>
        <w:instrText xml:space="preserve"> REF _Ref319683219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33</w:t>
      </w:r>
      <w:r w:rsidR="003A6ADB" w:rsidRPr="009C5F11">
        <w:rPr>
          <w:rFonts w:ascii="Times New Roman" w:hAnsi="Times New Roman" w:cs="Times New Roman"/>
          <w:sz w:val="24"/>
          <w:lang w:val="ro-RO"/>
        </w:rPr>
        <w:fldChar w:fldCharType="end"/>
      </w:r>
      <w:r w:rsidR="00BC2ED4"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de</w:t>
      </w:r>
      <w:r w:rsidR="00BC2ED4" w:rsidRPr="009C5F11">
        <w:rPr>
          <w:rFonts w:ascii="Times New Roman" w:hAnsi="Times New Roman" w:cs="Times New Roman"/>
          <w:sz w:val="24"/>
          <w:lang w:val="ro-RO"/>
        </w:rPr>
        <w:t xml:space="preserve"> 0.5% </w:t>
      </w:r>
      <w:r w:rsidRPr="009C5F11">
        <w:rPr>
          <w:rFonts w:ascii="Times New Roman" w:hAnsi="Times New Roman" w:cs="Times New Roman"/>
          <w:sz w:val="24"/>
          <w:lang w:val="ro-RO"/>
        </w:rPr>
        <w:t>aplicată în</w:t>
      </w:r>
      <w:r w:rsidR="00321CD5" w:rsidRPr="009C5F11">
        <w:rPr>
          <w:rFonts w:ascii="Times New Roman" w:hAnsi="Times New Roman" w:cs="Times New Roman"/>
          <w:sz w:val="24"/>
          <w:lang w:val="ro-RO"/>
        </w:rPr>
        <w:t xml:space="preserve"> </w:t>
      </w:r>
      <w:r w:rsidR="00BC2ED4" w:rsidRPr="009C5F11">
        <w:rPr>
          <w:rFonts w:ascii="Times New Roman" w:hAnsi="Times New Roman" w:cs="Times New Roman"/>
          <w:sz w:val="24"/>
          <w:lang w:val="ro-RO"/>
        </w:rPr>
        <w:t>2017, 2018;</w:t>
      </w:r>
      <w:r w:rsidR="00321CD5" w:rsidRPr="009C5F11">
        <w:rPr>
          <w:rFonts w:ascii="Times New Roman" w:hAnsi="Times New Roman" w:cs="Times New Roman"/>
          <w:sz w:val="24"/>
          <w:lang w:val="ro-RO"/>
        </w:rPr>
        <w:t xml:space="preserve"> şi </w:t>
      </w:r>
      <w:r w:rsidR="007445E9" w:rsidRPr="009C5F11">
        <w:rPr>
          <w:rFonts w:ascii="Times New Roman" w:hAnsi="Times New Roman" w:cs="Times New Roman"/>
          <w:sz w:val="24"/>
          <w:lang w:val="ro-RO"/>
        </w:rPr>
        <w:t xml:space="preserve">pentru cota </w:t>
      </w:r>
      <w:r w:rsidRPr="009C5F11">
        <w:rPr>
          <w:rFonts w:ascii="Times New Roman" w:hAnsi="Times New Roman" w:cs="Times New Roman"/>
          <w:sz w:val="24"/>
          <w:lang w:val="ro-RO"/>
        </w:rPr>
        <w:t xml:space="preserve">de </w:t>
      </w:r>
      <w:r w:rsidR="00BC2ED4" w:rsidRPr="009C5F11">
        <w:rPr>
          <w:rFonts w:ascii="Times New Roman" w:hAnsi="Times New Roman" w:cs="Times New Roman"/>
          <w:sz w:val="24"/>
          <w:lang w:val="ro-RO"/>
        </w:rPr>
        <w:t xml:space="preserve">0.7% </w:t>
      </w:r>
      <w:r w:rsidRPr="009C5F11">
        <w:rPr>
          <w:rFonts w:ascii="Times New Roman" w:hAnsi="Times New Roman" w:cs="Times New Roman"/>
          <w:sz w:val="24"/>
          <w:lang w:val="ro-RO"/>
        </w:rPr>
        <w:t>aplicată</w:t>
      </w:r>
      <w:r w:rsidR="00321CD5" w:rsidRPr="009C5F11">
        <w:rPr>
          <w:rFonts w:ascii="Times New Roman" w:hAnsi="Times New Roman" w:cs="Times New Roman"/>
          <w:sz w:val="24"/>
          <w:lang w:val="ro-RO"/>
        </w:rPr>
        <w:t xml:space="preserve"> în </w:t>
      </w:r>
      <w:r w:rsidR="00BC2ED4" w:rsidRPr="009C5F11">
        <w:rPr>
          <w:rFonts w:ascii="Times New Roman" w:hAnsi="Times New Roman" w:cs="Times New Roman"/>
          <w:sz w:val="24"/>
          <w:lang w:val="ro-RO"/>
        </w:rPr>
        <w:t>2019, 2020 (</w:t>
      </w:r>
      <w:r w:rsidR="003A6ADB" w:rsidRPr="009C5F11">
        <w:rPr>
          <w:rFonts w:ascii="Times New Roman" w:hAnsi="Times New Roman" w:cs="Times New Roman"/>
          <w:sz w:val="24"/>
          <w:lang w:val="ro-RO"/>
        </w:rPr>
        <w:fldChar w:fldCharType="begin"/>
      </w:r>
      <w:r w:rsidR="00E825BF" w:rsidRPr="009C5F11">
        <w:rPr>
          <w:rFonts w:ascii="Times New Roman" w:hAnsi="Times New Roman" w:cs="Times New Roman"/>
          <w:sz w:val="24"/>
          <w:lang w:val="ro-RO"/>
        </w:rPr>
        <w:instrText xml:space="preserve"> REF _Ref319683232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34</w:t>
      </w:r>
      <w:r w:rsidR="003A6ADB" w:rsidRPr="009C5F11">
        <w:rPr>
          <w:rFonts w:ascii="Times New Roman" w:hAnsi="Times New Roman" w:cs="Times New Roman"/>
          <w:sz w:val="24"/>
          <w:lang w:val="ro-RO"/>
        </w:rPr>
        <w:fldChar w:fldCharType="end"/>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Pe baza calculelor a fost determinată valoare minimă a noilor economii în </w:t>
      </w:r>
      <w:r w:rsidR="00BC2ED4" w:rsidRPr="009C5F11">
        <w:rPr>
          <w:rFonts w:ascii="Times New Roman" w:hAnsi="Times New Roman" w:cs="Times New Roman"/>
          <w:sz w:val="24"/>
          <w:lang w:val="ro-RO"/>
        </w:rPr>
        <w:t xml:space="preserve">2017 – 2020 </w:t>
      </w:r>
      <w:r w:rsidRPr="009C5F11">
        <w:rPr>
          <w:rFonts w:ascii="Times New Roman" w:hAnsi="Times New Roman" w:cs="Times New Roman"/>
          <w:sz w:val="24"/>
          <w:lang w:val="ro-RO"/>
        </w:rPr>
        <w:t xml:space="preserve">care constituie </w:t>
      </w:r>
      <w:r w:rsidR="00413C2A" w:rsidRPr="009C5F11">
        <w:rPr>
          <w:rFonts w:ascii="Times New Roman" w:hAnsi="Times New Roman" w:cs="Times New Roman"/>
          <w:sz w:val="24"/>
          <w:lang w:val="ro-RO"/>
        </w:rPr>
        <w:t>98.86</w:t>
      </w:r>
      <w:r w:rsidR="00BC2ED4" w:rsidRPr="009C5F11">
        <w:rPr>
          <w:rFonts w:ascii="Times New Roman" w:hAnsi="Times New Roman" w:cs="Times New Roman"/>
          <w:sz w:val="24"/>
          <w:lang w:val="ro-RO"/>
        </w:rPr>
        <w:t xml:space="preserve"> </w:t>
      </w:r>
      <w:r w:rsidR="00E52940" w:rsidRPr="009C5F11">
        <w:rPr>
          <w:rFonts w:ascii="Times New Roman" w:hAnsi="Times New Roman" w:cs="Times New Roman"/>
          <w:sz w:val="24"/>
          <w:lang w:val="ro-RO"/>
        </w:rPr>
        <w:t>ktep</w:t>
      </w:r>
      <w:r w:rsidRPr="009C5F11">
        <w:rPr>
          <w:rFonts w:ascii="Times New Roman" w:hAnsi="Times New Roman" w:cs="Times New Roman"/>
          <w:sz w:val="24"/>
          <w:lang w:val="ro-RO"/>
        </w:rPr>
        <w:t xml:space="preserve">, aplicând </w:t>
      </w:r>
      <w:r w:rsidR="00BC2ED4" w:rsidRPr="009C5F11">
        <w:rPr>
          <w:rFonts w:ascii="Times New Roman" w:hAnsi="Times New Roman" w:cs="Times New Roman"/>
          <w:sz w:val="24"/>
          <w:lang w:val="ro-RO"/>
        </w:rPr>
        <w:t>uniform</w:t>
      </w:r>
      <w:r w:rsidRPr="009C5F11">
        <w:rPr>
          <w:rFonts w:ascii="Times New Roman" w:hAnsi="Times New Roman" w:cs="Times New Roman"/>
          <w:sz w:val="24"/>
          <w:lang w:val="ro-RO"/>
        </w:rPr>
        <w:t xml:space="preserve"> cota de</w:t>
      </w:r>
      <w:r w:rsidR="00BC2ED4" w:rsidRPr="009C5F11">
        <w:rPr>
          <w:rFonts w:ascii="Times New Roman" w:hAnsi="Times New Roman" w:cs="Times New Roman"/>
          <w:sz w:val="24"/>
          <w:lang w:val="ro-RO"/>
        </w:rPr>
        <w:t xml:space="preserve"> 0.7% </w:t>
      </w:r>
      <w:r w:rsidRPr="009C5F11">
        <w:rPr>
          <w:rFonts w:ascii="Times New Roman" w:hAnsi="Times New Roman" w:cs="Times New Roman"/>
          <w:sz w:val="24"/>
          <w:lang w:val="ro-RO"/>
        </w:rPr>
        <w:t>pentru toată perioada</w:t>
      </w:r>
      <w:r w:rsidR="00BC2ED4" w:rsidRPr="009C5F11">
        <w:rPr>
          <w:rFonts w:ascii="Times New Roman" w:hAnsi="Times New Roman" w:cs="Times New Roman"/>
          <w:sz w:val="24"/>
          <w:lang w:val="ro-RO"/>
        </w:rPr>
        <w:t xml:space="preserve"> 2017-2020. </w:t>
      </w:r>
      <w:r w:rsidRPr="009C5F11">
        <w:rPr>
          <w:rFonts w:ascii="Times New Roman" w:hAnsi="Times New Roman" w:cs="Times New Roman"/>
          <w:sz w:val="24"/>
          <w:lang w:val="ro-RO"/>
        </w:rPr>
        <w:t xml:space="preserve">Totodată, această valoare constituie </w:t>
      </w:r>
      <w:r w:rsidR="00413C2A" w:rsidRPr="009C5F11">
        <w:rPr>
          <w:rFonts w:ascii="Times New Roman" w:hAnsi="Times New Roman" w:cs="Times New Roman"/>
          <w:sz w:val="24"/>
          <w:lang w:val="ro-RO"/>
        </w:rPr>
        <w:t>79.09</w:t>
      </w:r>
      <w:r w:rsidR="00BC2ED4" w:rsidRPr="009C5F11">
        <w:rPr>
          <w:rFonts w:ascii="Times New Roman" w:hAnsi="Times New Roman" w:cs="Times New Roman"/>
          <w:sz w:val="24"/>
          <w:lang w:val="ro-RO"/>
        </w:rPr>
        <w:t xml:space="preserve"> </w:t>
      </w:r>
      <w:r w:rsidR="00E52940" w:rsidRPr="009C5F11">
        <w:rPr>
          <w:rFonts w:ascii="Times New Roman" w:hAnsi="Times New Roman" w:cs="Times New Roman"/>
          <w:sz w:val="24"/>
          <w:lang w:val="ro-RO"/>
        </w:rPr>
        <w:t>ktep</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cazul în care se aplică cota redusă de </w:t>
      </w:r>
      <w:r w:rsidR="00BC2ED4" w:rsidRPr="009C5F11">
        <w:rPr>
          <w:rFonts w:ascii="Times New Roman" w:hAnsi="Times New Roman" w:cs="Times New Roman"/>
          <w:sz w:val="24"/>
          <w:lang w:val="ro-RO"/>
        </w:rPr>
        <w:t xml:space="preserve">0.5% </w:t>
      </w:r>
      <w:r w:rsidRPr="009C5F11">
        <w:rPr>
          <w:rFonts w:ascii="Times New Roman" w:hAnsi="Times New Roman" w:cs="Times New Roman"/>
          <w:sz w:val="24"/>
          <w:lang w:val="ro-RO"/>
        </w:rPr>
        <w:t>în</w:t>
      </w:r>
      <w:r w:rsidR="00BC2ED4" w:rsidRPr="009C5F11">
        <w:rPr>
          <w:rFonts w:ascii="Times New Roman" w:hAnsi="Times New Roman" w:cs="Times New Roman"/>
          <w:sz w:val="24"/>
          <w:lang w:val="ro-RO"/>
        </w:rPr>
        <w:t xml:space="preserve"> 2017</w:t>
      </w:r>
      <w:r w:rsidR="00321CD5" w:rsidRPr="009C5F11">
        <w:rPr>
          <w:rFonts w:ascii="Times New Roman" w:hAnsi="Times New Roman" w:cs="Times New Roman"/>
          <w:sz w:val="24"/>
          <w:lang w:val="ro-RO"/>
        </w:rPr>
        <w:t xml:space="preserve"> şi </w:t>
      </w:r>
      <w:r w:rsidR="00BC2ED4" w:rsidRPr="009C5F11">
        <w:rPr>
          <w:rFonts w:ascii="Times New Roman" w:hAnsi="Times New Roman" w:cs="Times New Roman"/>
          <w:sz w:val="24"/>
          <w:lang w:val="ro-RO"/>
        </w:rPr>
        <w:t xml:space="preserve">2018, </w:t>
      </w:r>
      <w:r w:rsidRPr="009C5F11">
        <w:rPr>
          <w:rFonts w:ascii="Times New Roman" w:hAnsi="Times New Roman" w:cs="Times New Roman"/>
          <w:sz w:val="24"/>
          <w:lang w:val="ro-RO"/>
        </w:rPr>
        <w:t>ceea ce reprezintă</w:t>
      </w:r>
      <w:r w:rsidR="00BC2ED4" w:rsidRPr="009C5F11">
        <w:rPr>
          <w:rFonts w:ascii="Times New Roman" w:hAnsi="Times New Roman" w:cs="Times New Roman"/>
          <w:sz w:val="24"/>
          <w:lang w:val="ro-RO"/>
        </w:rPr>
        <w:t xml:space="preserve"> 80% </w:t>
      </w:r>
      <w:r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101.45 </w:t>
      </w:r>
      <w:r w:rsidR="00E52940" w:rsidRPr="009C5F11">
        <w:rPr>
          <w:rFonts w:ascii="Times New Roman" w:hAnsi="Times New Roman" w:cs="Times New Roman"/>
          <w:sz w:val="24"/>
          <w:lang w:val="ro-RO"/>
        </w:rPr>
        <w:t>ktep</w:t>
      </w:r>
      <w:r w:rsidR="00BC2ED4" w:rsidRPr="009C5F11">
        <w:rPr>
          <w:rFonts w:ascii="Times New Roman" w:hAnsi="Times New Roman" w:cs="Times New Roman"/>
          <w:sz w:val="24"/>
          <w:lang w:val="ro-RO"/>
        </w:rPr>
        <w:t xml:space="preserve"> calculate </w:t>
      </w:r>
      <w:r w:rsidRPr="009C5F11">
        <w:rPr>
          <w:rFonts w:ascii="Times New Roman" w:hAnsi="Times New Roman" w:cs="Times New Roman"/>
          <w:sz w:val="24"/>
          <w:lang w:val="ro-RO"/>
        </w:rPr>
        <w:t>cu aplicarea uniformă a cotei de 0.7%</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R</w:t>
      </w:r>
      <w:r w:rsidR="00BC2ED4" w:rsidRPr="009C5F11">
        <w:rPr>
          <w:rFonts w:ascii="Times New Roman" w:hAnsi="Times New Roman" w:cs="Times New Roman"/>
          <w:sz w:val="24"/>
          <w:lang w:val="ro-RO"/>
        </w:rPr>
        <w:t>educ</w:t>
      </w:r>
      <w:r w:rsidRPr="009C5F11">
        <w:rPr>
          <w:rFonts w:ascii="Times New Roman" w:hAnsi="Times New Roman" w:cs="Times New Roman"/>
          <w:sz w:val="24"/>
          <w:lang w:val="ro-RO"/>
        </w:rPr>
        <w:t xml:space="preserve">erea constituie </w:t>
      </w:r>
      <w:r w:rsidR="00BC2ED4" w:rsidRPr="009C5F11">
        <w:rPr>
          <w:rFonts w:ascii="Times New Roman" w:hAnsi="Times New Roman" w:cs="Times New Roman"/>
          <w:sz w:val="24"/>
          <w:lang w:val="ro-RO"/>
        </w:rPr>
        <w:t xml:space="preserve">20%, </w:t>
      </w:r>
      <w:r w:rsidRPr="009C5F11">
        <w:rPr>
          <w:rFonts w:ascii="Times New Roman" w:hAnsi="Times New Roman" w:cs="Times New Roman"/>
          <w:sz w:val="24"/>
          <w:lang w:val="ro-RO"/>
        </w:rPr>
        <w:t xml:space="preserve">ceea ce este inferior </w:t>
      </w:r>
      <w:r w:rsidR="00BC2ED4" w:rsidRPr="009C5F11">
        <w:rPr>
          <w:rFonts w:ascii="Times New Roman" w:hAnsi="Times New Roman" w:cs="Times New Roman"/>
          <w:sz w:val="24"/>
          <w:lang w:val="ro-RO"/>
        </w:rPr>
        <w:t>limit</w:t>
      </w:r>
      <w:r w:rsidRPr="009C5F11">
        <w:rPr>
          <w:rFonts w:ascii="Times New Roman" w:hAnsi="Times New Roman" w:cs="Times New Roman"/>
          <w:sz w:val="24"/>
          <w:lang w:val="ro-RO"/>
        </w:rPr>
        <w:t>ei de</w:t>
      </w:r>
      <w:r w:rsidR="00BC2ED4" w:rsidRPr="009C5F11">
        <w:rPr>
          <w:rFonts w:ascii="Times New Roman" w:hAnsi="Times New Roman" w:cs="Times New Roman"/>
          <w:sz w:val="24"/>
          <w:lang w:val="ro-RO"/>
        </w:rPr>
        <w:t xml:space="preserve"> 25% </w:t>
      </w:r>
      <w:r w:rsidR="00EC5F7C" w:rsidRPr="009C5F11">
        <w:rPr>
          <w:rFonts w:ascii="Times New Roman" w:hAnsi="Times New Roman" w:cs="Times New Roman"/>
          <w:sz w:val="24"/>
          <w:lang w:val="ro-RO"/>
        </w:rPr>
        <w:t>impus</w:t>
      </w:r>
      <w:r w:rsidR="0082067F" w:rsidRPr="009C5F11">
        <w:rPr>
          <w:rFonts w:ascii="Times New Roman" w:hAnsi="Times New Roman" w:cs="Times New Roman"/>
          <w:sz w:val="24"/>
          <w:lang w:val="ro-RO"/>
        </w:rPr>
        <w:t>ă</w:t>
      </w:r>
      <w:r w:rsidR="00EC5F7C" w:rsidRPr="009C5F11">
        <w:rPr>
          <w:rFonts w:ascii="Times New Roman" w:hAnsi="Times New Roman" w:cs="Times New Roman"/>
          <w:sz w:val="24"/>
          <w:lang w:val="ro-RO"/>
        </w:rPr>
        <w:t xml:space="preserve"> de</w:t>
      </w:r>
      <w:r w:rsidR="00BC2ED4"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Articolul</w:t>
      </w:r>
      <w:r w:rsidR="00BC2ED4" w:rsidRPr="009C5F11">
        <w:rPr>
          <w:rFonts w:ascii="Times New Roman" w:hAnsi="Times New Roman" w:cs="Times New Roman"/>
          <w:sz w:val="24"/>
          <w:lang w:val="ro-RO"/>
        </w:rPr>
        <w:t xml:space="preserve"> 7 </w:t>
      </w:r>
      <w:r w:rsidR="007445E9" w:rsidRPr="009C5F11">
        <w:rPr>
          <w:rFonts w:ascii="Times New Roman" w:hAnsi="Times New Roman" w:cs="Times New Roman"/>
          <w:sz w:val="24"/>
          <w:lang w:val="ro-RO"/>
        </w:rPr>
        <w:t xml:space="preserve">alineatul </w:t>
      </w:r>
      <w:r w:rsidR="00BC2ED4" w:rsidRPr="009C5F11">
        <w:rPr>
          <w:rFonts w:ascii="Times New Roman" w:hAnsi="Times New Roman" w:cs="Times New Roman"/>
          <w:sz w:val="24"/>
          <w:lang w:val="ro-RO"/>
        </w:rPr>
        <w:t xml:space="preserve">(3) </w:t>
      </w:r>
      <w:r w:rsidR="00421FA7" w:rsidRPr="009C5F11">
        <w:rPr>
          <w:rFonts w:ascii="Times New Roman" w:hAnsi="Times New Roman" w:cs="Times New Roman"/>
          <w:sz w:val="24"/>
          <w:lang w:val="ro-RO"/>
        </w:rPr>
        <w:t>din DEE</w:t>
      </w:r>
      <w:r w:rsidR="00BC2ED4" w:rsidRPr="009C5F11">
        <w:rPr>
          <w:rFonts w:ascii="Times New Roman" w:hAnsi="Times New Roman" w:cs="Times New Roman"/>
          <w:sz w:val="24"/>
          <w:lang w:val="ro-RO"/>
        </w:rPr>
        <w:t>.</w:t>
      </w:r>
    </w:p>
    <w:p w14:paraId="2B153274" w14:textId="40E72C94" w:rsidR="00BC2ED4" w:rsidRPr="009C5F11" w:rsidRDefault="0036629A"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Suplimentar</w:t>
      </w:r>
      <w:r w:rsidR="00BC2ED4" w:rsidRPr="009C5F11">
        <w:rPr>
          <w:rFonts w:ascii="Times New Roman" w:hAnsi="Times New Roman" w:cs="Times New Roman"/>
          <w:sz w:val="24"/>
          <w:lang w:val="ro-RO"/>
        </w:rPr>
        <w:t xml:space="preserve">, </w:t>
      </w:r>
      <w:r w:rsidR="00CF70A8" w:rsidRPr="009C5F11">
        <w:rPr>
          <w:rFonts w:ascii="Times New Roman" w:hAnsi="Times New Roman" w:cs="Times New Roman"/>
          <w:sz w:val="24"/>
          <w:lang w:val="ro-RO"/>
        </w:rPr>
        <w:t>p</w:t>
      </w:r>
      <w:r w:rsidR="00D07C8F" w:rsidRPr="009C5F11">
        <w:rPr>
          <w:rFonts w:ascii="Times New Roman" w:hAnsi="Times New Roman" w:cs="Times New Roman"/>
          <w:sz w:val="24"/>
          <w:lang w:val="ro-RO"/>
        </w:rPr>
        <w:t>ărţil</w:t>
      </w:r>
      <w:r w:rsidR="00CF70A8" w:rsidRPr="009C5F11">
        <w:rPr>
          <w:rFonts w:ascii="Times New Roman" w:hAnsi="Times New Roman" w:cs="Times New Roman"/>
          <w:sz w:val="24"/>
          <w:lang w:val="ro-RO"/>
        </w:rPr>
        <w:t>or</w:t>
      </w:r>
      <w:r w:rsidR="00D07C8F" w:rsidRPr="009C5F11">
        <w:rPr>
          <w:rFonts w:ascii="Times New Roman" w:hAnsi="Times New Roman" w:cs="Times New Roman"/>
          <w:sz w:val="24"/>
          <w:lang w:val="ro-RO"/>
        </w:rPr>
        <w:t xml:space="preserve"> contractante</w:t>
      </w:r>
      <w:r w:rsidR="00BC2ED4" w:rsidRPr="009C5F11">
        <w:rPr>
          <w:rFonts w:ascii="Times New Roman" w:hAnsi="Times New Roman" w:cs="Times New Roman"/>
          <w:sz w:val="24"/>
          <w:lang w:val="ro-RO"/>
        </w:rPr>
        <w:t xml:space="preserve"> </w:t>
      </w:r>
      <w:r w:rsidR="00CF70A8" w:rsidRPr="009C5F11">
        <w:rPr>
          <w:rFonts w:ascii="Times New Roman" w:hAnsi="Times New Roman" w:cs="Times New Roman"/>
          <w:sz w:val="24"/>
          <w:lang w:val="ro-RO"/>
        </w:rPr>
        <w:t xml:space="preserve">li se permite să </w:t>
      </w:r>
      <w:r w:rsidR="0082067F" w:rsidRPr="009C5F11">
        <w:rPr>
          <w:rFonts w:ascii="Times New Roman" w:hAnsi="Times New Roman" w:cs="Times New Roman"/>
          <w:sz w:val="24"/>
          <w:lang w:val="ro-RO"/>
        </w:rPr>
        <w:t xml:space="preserve">includă în cuantumul </w:t>
      </w:r>
      <w:r w:rsidR="004424A0" w:rsidRPr="009C5F11">
        <w:rPr>
          <w:rFonts w:ascii="Times New Roman" w:hAnsi="Times New Roman" w:cs="Times New Roman"/>
          <w:sz w:val="24"/>
          <w:lang w:val="ro-RO"/>
        </w:rPr>
        <w:t>economii</w:t>
      </w:r>
      <w:r w:rsidR="0082067F" w:rsidRPr="009C5F11">
        <w:rPr>
          <w:rFonts w:ascii="Times New Roman" w:hAnsi="Times New Roman" w:cs="Times New Roman"/>
          <w:sz w:val="24"/>
          <w:lang w:val="ro-RO"/>
        </w:rPr>
        <w:t>lor</w:t>
      </w:r>
      <w:r w:rsidR="004424A0" w:rsidRPr="009C5F11">
        <w:rPr>
          <w:rFonts w:ascii="Times New Roman" w:hAnsi="Times New Roman" w:cs="Times New Roman"/>
          <w:sz w:val="24"/>
          <w:lang w:val="ro-RO"/>
        </w:rPr>
        <w:t xml:space="preserve"> de energie</w:t>
      </w:r>
      <w:r w:rsidR="00BC2ED4" w:rsidRPr="009C5F11">
        <w:rPr>
          <w:rFonts w:ascii="Times New Roman" w:hAnsi="Times New Roman" w:cs="Times New Roman"/>
          <w:sz w:val="24"/>
          <w:lang w:val="ro-RO"/>
        </w:rPr>
        <w:t xml:space="preserve">: </w:t>
      </w:r>
    </w:p>
    <w:p w14:paraId="673D4981" w14:textId="77777777" w:rsidR="00BC2ED4" w:rsidRPr="009C5F11" w:rsidRDefault="00DC52B8" w:rsidP="00DC52B8">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Art.7 (2) c): </w:t>
      </w:r>
      <w:r w:rsidR="0082067F" w:rsidRPr="009C5F11">
        <w:rPr>
          <w:rFonts w:ascii="Times New Roman" w:eastAsia="Times New Roman" w:hAnsi="Times New Roman" w:cs="Times New Roman"/>
          <w:i/>
          <w:szCs w:val="18"/>
          <w:lang w:val="ro-RO"/>
        </w:rPr>
        <w:t>economiile de energie realizate în sectoarele transformării, distribuției și transportului de energie, incluzând infrastructura de termoficare și răcire centralizată eficientă, ca urmare a punerii în aplicare a cerințelor prevăzute la articolul 14 alineatul (4), la articolul 14 alineatul (5) litera (b) și la articolul 15 alineatele (1)-(6) și (9); şi</w:t>
      </w:r>
    </w:p>
    <w:p w14:paraId="3539D100" w14:textId="77777777" w:rsidR="00BC2ED4" w:rsidRPr="009C5F11" w:rsidRDefault="00DC52B8" w:rsidP="00DC52B8">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Art.7 (2) d</w:t>
      </w:r>
      <w:r w:rsidR="0082067F" w:rsidRPr="009C5F11">
        <w:rPr>
          <w:rFonts w:ascii="Times New Roman" w:eastAsia="Times New Roman" w:hAnsi="Times New Roman" w:cs="Times New Roman"/>
          <w:i/>
          <w:szCs w:val="18"/>
          <w:lang w:val="ro-RO"/>
        </w:rPr>
        <w:t xml:space="preserve"> economiile de energie rezultate din acțiunile individuale nou puse în aplicare de la 31 decembrie 2008, care continuă să aibă impact în 2020.</w:t>
      </w:r>
    </w:p>
    <w:p w14:paraId="05234B43" w14:textId="77777777" w:rsidR="00384A0E" w:rsidRPr="009C5F11" w:rsidRDefault="0082067F"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Aplicarea alineatului (2) nu conduce la o reducere de mai mult de 25% din cantitatea de economii de energie prevăzut</w:t>
      </w:r>
      <w:r w:rsidR="007445E9" w:rsidRPr="009C5F11">
        <w:rPr>
          <w:rFonts w:ascii="Times New Roman" w:eastAsia="Times New Roman" w:hAnsi="Times New Roman" w:cs="Times New Roman"/>
          <w:color w:val="000000"/>
          <w:sz w:val="24"/>
          <w:lang w:val="ro-RO"/>
        </w:rPr>
        <w:t>ă</w:t>
      </w:r>
      <w:r w:rsidRPr="009C5F11">
        <w:rPr>
          <w:rFonts w:ascii="Times New Roman" w:eastAsia="Times New Roman" w:hAnsi="Times New Roman" w:cs="Times New Roman"/>
          <w:color w:val="000000"/>
          <w:sz w:val="24"/>
          <w:lang w:val="ro-RO"/>
        </w:rPr>
        <w:t xml:space="preserve"> la </w:t>
      </w:r>
      <w:r w:rsidR="000A4CC7" w:rsidRPr="009C5F11">
        <w:rPr>
          <w:rFonts w:ascii="Times New Roman" w:hAnsi="Times New Roman" w:cs="Times New Roman"/>
          <w:sz w:val="24"/>
          <w:lang w:val="ro-RO"/>
        </w:rPr>
        <w:t>Articolul</w:t>
      </w:r>
      <w:r w:rsidR="00BC2ED4" w:rsidRPr="009C5F11">
        <w:rPr>
          <w:rFonts w:ascii="Times New Roman" w:hAnsi="Times New Roman" w:cs="Times New Roman"/>
          <w:sz w:val="24"/>
          <w:lang w:val="ro-RO"/>
        </w:rPr>
        <w:t xml:space="preserve"> 7</w:t>
      </w:r>
      <w:r w:rsidRPr="009C5F11">
        <w:rPr>
          <w:rFonts w:ascii="Times New Roman" w:hAnsi="Times New Roman" w:cs="Times New Roman"/>
          <w:sz w:val="24"/>
          <w:lang w:val="ro-RO"/>
        </w:rPr>
        <w:t xml:space="preserve"> </w:t>
      </w:r>
      <w:r w:rsidRPr="009C5F11">
        <w:rPr>
          <w:rFonts w:ascii="Times New Roman" w:eastAsia="Times New Roman" w:hAnsi="Times New Roman" w:cs="Times New Roman"/>
          <w:color w:val="000000"/>
          <w:sz w:val="24"/>
          <w:lang w:val="ro-RO"/>
        </w:rPr>
        <w:t>alineatul (1).</w:t>
      </w:r>
      <w:r w:rsidR="00BC2ED4" w:rsidRPr="009C5F11">
        <w:rPr>
          <w:rFonts w:ascii="Times New Roman" w:hAnsi="Times New Roman" w:cs="Times New Roman"/>
          <w:sz w:val="24"/>
          <w:lang w:val="ro-RO"/>
        </w:rPr>
        <w:t xml:space="preserve"> </w:t>
      </w:r>
    </w:p>
    <w:p w14:paraId="3EA64474" w14:textId="2F6B5D2B" w:rsidR="00BC2ED4" w:rsidRPr="009C5F11" w:rsidRDefault="0082067F"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lastRenderedPageBreak/>
        <w:t>Reducerea cu</w:t>
      </w:r>
      <w:r w:rsidR="00BC2ED4" w:rsidRPr="009C5F11">
        <w:rPr>
          <w:rFonts w:ascii="Times New Roman" w:hAnsi="Times New Roman" w:cs="Times New Roman"/>
          <w:sz w:val="24"/>
          <w:lang w:val="ro-RO"/>
        </w:rPr>
        <w:t xml:space="preserve"> 25% determin</w:t>
      </w:r>
      <w:r w:rsidRPr="009C5F11">
        <w:rPr>
          <w:rFonts w:ascii="Times New Roman" w:hAnsi="Times New Roman" w:cs="Times New Roman"/>
          <w:sz w:val="24"/>
          <w:lang w:val="ro-RO"/>
        </w:rPr>
        <w:t xml:space="preserve">ă </w:t>
      </w:r>
      <w:r w:rsidR="00C639BC" w:rsidRPr="009C5F11">
        <w:rPr>
          <w:rFonts w:ascii="Times New Roman" w:hAnsi="Times New Roman" w:cs="Times New Roman"/>
          <w:sz w:val="24"/>
          <w:lang w:val="ro-RO"/>
        </w:rPr>
        <w:t>economii</w:t>
      </w:r>
      <w:r w:rsidRPr="009C5F11">
        <w:rPr>
          <w:rFonts w:ascii="Times New Roman" w:hAnsi="Times New Roman" w:cs="Times New Roman"/>
          <w:sz w:val="24"/>
          <w:lang w:val="ro-RO"/>
        </w:rPr>
        <w:t>le finale în cuantum de</w:t>
      </w:r>
      <w:r w:rsidR="00BC2ED4" w:rsidRPr="009C5F11">
        <w:rPr>
          <w:rFonts w:ascii="Times New Roman" w:hAnsi="Times New Roman" w:cs="Times New Roman"/>
          <w:sz w:val="24"/>
          <w:lang w:val="ro-RO"/>
        </w:rPr>
        <w:t xml:space="preserve"> </w:t>
      </w:r>
      <w:r w:rsidR="00413C2A" w:rsidRPr="009C5F11">
        <w:rPr>
          <w:rFonts w:ascii="Times New Roman" w:hAnsi="Times New Roman" w:cs="Times New Roman"/>
          <w:sz w:val="24"/>
          <w:lang w:val="ro-RO"/>
        </w:rPr>
        <w:t>29.66</w:t>
      </w:r>
      <w:r w:rsidR="00BC2ED4" w:rsidRPr="009C5F11">
        <w:rPr>
          <w:rFonts w:ascii="Times New Roman" w:hAnsi="Times New Roman" w:cs="Times New Roman"/>
          <w:sz w:val="24"/>
          <w:lang w:val="ro-RO"/>
        </w:rPr>
        <w:t xml:space="preserve"> </w:t>
      </w:r>
      <w:r w:rsidR="00E52940" w:rsidRPr="009C5F11">
        <w:rPr>
          <w:rFonts w:ascii="Times New Roman" w:hAnsi="Times New Roman" w:cs="Times New Roman"/>
          <w:sz w:val="24"/>
          <w:lang w:val="ro-RO"/>
        </w:rPr>
        <w:t>ktep</w:t>
      </w:r>
      <w:r w:rsidR="00321CD5" w:rsidRPr="009C5F11">
        <w:rPr>
          <w:rFonts w:ascii="Times New Roman" w:hAnsi="Times New Roman" w:cs="Times New Roman"/>
          <w:sz w:val="24"/>
          <w:lang w:val="ro-RO"/>
        </w:rPr>
        <w:t xml:space="preserve"> în </w:t>
      </w:r>
      <w:r w:rsidR="00BC2ED4" w:rsidRPr="009C5F11">
        <w:rPr>
          <w:rFonts w:ascii="Times New Roman" w:hAnsi="Times New Roman" w:cs="Times New Roman"/>
          <w:sz w:val="24"/>
          <w:lang w:val="ro-RO"/>
        </w:rPr>
        <w:t>2020</w:t>
      </w:r>
      <w:r w:rsidR="00321CD5" w:rsidRPr="009C5F11">
        <w:rPr>
          <w:rFonts w:ascii="Times New Roman" w:hAnsi="Times New Roman" w:cs="Times New Roman"/>
          <w:sz w:val="24"/>
          <w:lang w:val="ro-RO"/>
        </w:rPr>
        <w:t xml:space="preserve"> şi </w:t>
      </w:r>
      <w:r w:rsidR="00C639BC" w:rsidRPr="009C5F11">
        <w:rPr>
          <w:rFonts w:ascii="Times New Roman" w:hAnsi="Times New Roman" w:cs="Times New Roman"/>
          <w:sz w:val="24"/>
          <w:lang w:val="ro-RO"/>
        </w:rPr>
        <w:t>economii</w:t>
      </w:r>
      <w:r w:rsidR="007445E9" w:rsidRPr="009C5F11">
        <w:rPr>
          <w:rFonts w:ascii="Times New Roman" w:hAnsi="Times New Roman" w:cs="Times New Roman"/>
          <w:sz w:val="24"/>
          <w:lang w:val="ro-RO"/>
        </w:rPr>
        <w:t>le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cumulate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cuantum de </w:t>
      </w:r>
      <w:r w:rsidR="00413C2A" w:rsidRPr="009C5F11">
        <w:rPr>
          <w:rFonts w:ascii="Times New Roman" w:hAnsi="Times New Roman" w:cs="Times New Roman"/>
          <w:sz w:val="24"/>
          <w:lang w:val="ro-RO"/>
        </w:rPr>
        <w:t>74.15</w:t>
      </w:r>
      <w:r w:rsidR="00BC2ED4" w:rsidRPr="009C5F11">
        <w:rPr>
          <w:rFonts w:ascii="Times New Roman" w:hAnsi="Times New Roman" w:cs="Times New Roman"/>
          <w:sz w:val="24"/>
          <w:lang w:val="ro-RO"/>
        </w:rPr>
        <w:t xml:space="preserve"> </w:t>
      </w:r>
      <w:r w:rsidR="00E52940" w:rsidRPr="009C5F11">
        <w:rPr>
          <w:rFonts w:ascii="Times New Roman" w:hAnsi="Times New Roman" w:cs="Times New Roman"/>
          <w:sz w:val="24"/>
          <w:lang w:val="ro-RO"/>
        </w:rPr>
        <w:t>ktep</w:t>
      </w:r>
      <w:r w:rsidR="00BC2ED4"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E825BF" w:rsidRPr="009C5F11">
        <w:rPr>
          <w:rFonts w:ascii="Times New Roman" w:hAnsi="Times New Roman" w:cs="Times New Roman"/>
          <w:sz w:val="24"/>
          <w:lang w:val="ro-RO"/>
        </w:rPr>
        <w:instrText xml:space="preserve"> REF _Ref319683258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35</w:t>
      </w:r>
      <w:r w:rsidR="003A6ADB" w:rsidRPr="009C5F11">
        <w:rPr>
          <w:rFonts w:ascii="Times New Roman" w:hAnsi="Times New Roman" w:cs="Times New Roman"/>
          <w:sz w:val="24"/>
          <w:lang w:val="ro-RO"/>
        </w:rPr>
        <w:fldChar w:fldCharType="end"/>
      </w:r>
      <w:r w:rsidR="00413C2A" w:rsidRPr="009C5F11">
        <w:rPr>
          <w:rFonts w:ascii="Times New Roman" w:hAnsi="Times New Roman" w:cs="Times New Roman"/>
          <w:sz w:val="24"/>
          <w:lang w:val="ro-RO"/>
        </w:rPr>
        <w:t xml:space="preserve">) </w:t>
      </w:r>
      <w:r w:rsidR="00982050" w:rsidRPr="009C5F11">
        <w:rPr>
          <w:rFonts w:ascii="Times New Roman" w:hAnsi="Times New Roman" w:cs="Times New Roman"/>
          <w:sz w:val="24"/>
          <w:lang w:val="ro-RO"/>
        </w:rPr>
        <w:t xml:space="preserve">care urmează a fi obţinute </w:t>
      </w:r>
      <w:r w:rsidR="000B4699" w:rsidRPr="009C5F11">
        <w:rPr>
          <w:rFonts w:ascii="Times New Roman" w:hAnsi="Times New Roman" w:cs="Times New Roman"/>
          <w:sz w:val="24"/>
          <w:lang w:val="ro-RO"/>
        </w:rPr>
        <w:t>în perioada</w:t>
      </w:r>
      <w:r w:rsidR="00BC2ED4" w:rsidRPr="009C5F11">
        <w:rPr>
          <w:rFonts w:ascii="Times New Roman" w:hAnsi="Times New Roman" w:cs="Times New Roman"/>
          <w:sz w:val="24"/>
          <w:lang w:val="ro-RO"/>
        </w:rPr>
        <w:t xml:space="preserve"> 2017-2020 </w:t>
      </w:r>
      <w:r w:rsidR="00982050" w:rsidRPr="009C5F11">
        <w:rPr>
          <w:rFonts w:ascii="Times New Roman" w:hAnsi="Times New Roman" w:cs="Times New Roman"/>
          <w:sz w:val="24"/>
          <w:lang w:val="ro-RO"/>
        </w:rPr>
        <w:t>în conformitate cu</w:t>
      </w:r>
      <w:r w:rsidR="00BC2ED4"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Articolul</w:t>
      </w:r>
      <w:r w:rsidR="00BC2ED4" w:rsidRPr="009C5F11">
        <w:rPr>
          <w:rFonts w:ascii="Times New Roman" w:hAnsi="Times New Roman" w:cs="Times New Roman"/>
          <w:sz w:val="24"/>
          <w:lang w:val="ro-RO"/>
        </w:rPr>
        <w:t xml:space="preserve"> 7 </w:t>
      </w:r>
      <w:r w:rsidR="00982050"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w:t>
      </w:r>
      <w:r w:rsidR="00CB011F" w:rsidRPr="009C5F11">
        <w:rPr>
          <w:rFonts w:ascii="Times New Roman" w:hAnsi="Times New Roman" w:cs="Times New Roman"/>
          <w:sz w:val="24"/>
          <w:lang w:val="ro-RO"/>
        </w:rPr>
        <w:t>DEE</w:t>
      </w:r>
      <w:r w:rsidR="00BC2ED4" w:rsidRPr="009C5F11">
        <w:rPr>
          <w:rFonts w:ascii="Times New Roman" w:hAnsi="Times New Roman" w:cs="Times New Roman"/>
          <w:sz w:val="24"/>
          <w:lang w:val="ro-RO"/>
        </w:rPr>
        <w:t>.</w:t>
      </w:r>
    </w:p>
    <w:p w14:paraId="0B9CDD67" w14:textId="77777777" w:rsidR="00780DBA" w:rsidRPr="009C5F11" w:rsidRDefault="00321CD5" w:rsidP="00780DBA">
      <w:pPr>
        <w:pStyle w:val="Legend"/>
        <w:keepNext/>
        <w:jc w:val="center"/>
        <w:rPr>
          <w:rFonts w:ascii="Times New Roman" w:hAnsi="Times New Roman" w:cs="Times New Roman"/>
          <w:sz w:val="22"/>
          <w:lang w:val="ro-RO"/>
        </w:rPr>
      </w:pPr>
      <w:bookmarkStart w:id="345" w:name="_Ref319683219"/>
      <w:bookmarkStart w:id="346" w:name="_Toc322013256"/>
      <w:r w:rsidRPr="009C5F11">
        <w:rPr>
          <w:rFonts w:ascii="Times New Roman" w:hAnsi="Times New Roman" w:cs="Times New Roman"/>
          <w:sz w:val="22"/>
          <w:lang w:val="ro-RO"/>
        </w:rPr>
        <w:t>Tabelul</w:t>
      </w:r>
      <w:r w:rsidR="00780DBA"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780DBA"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33</w:t>
      </w:r>
      <w:r w:rsidR="003A6ADB" w:rsidRPr="009C5F11">
        <w:rPr>
          <w:rFonts w:ascii="Times New Roman" w:hAnsi="Times New Roman" w:cs="Times New Roman"/>
          <w:sz w:val="22"/>
          <w:lang w:val="ro-RO"/>
        </w:rPr>
        <w:fldChar w:fldCharType="end"/>
      </w:r>
      <w:bookmarkEnd w:id="345"/>
      <w:r w:rsidR="00780DBA" w:rsidRPr="009C5F11">
        <w:rPr>
          <w:rFonts w:ascii="Times New Roman" w:hAnsi="Times New Roman" w:cs="Times New Roman"/>
          <w:sz w:val="22"/>
          <w:lang w:val="ro-RO"/>
        </w:rPr>
        <w:t xml:space="preserve"> - </w:t>
      </w:r>
      <w:r w:rsidR="00E46DD7" w:rsidRPr="009C5F11">
        <w:rPr>
          <w:rFonts w:ascii="Times New Roman" w:hAnsi="Times New Roman" w:cs="Times New Roman"/>
          <w:sz w:val="22"/>
          <w:lang w:val="ro-RO"/>
        </w:rPr>
        <w:t>Economii de energie</w:t>
      </w:r>
      <w:r w:rsidR="00780DBA" w:rsidRPr="009C5F11">
        <w:rPr>
          <w:rFonts w:ascii="Times New Roman" w:hAnsi="Times New Roman" w:cs="Times New Roman"/>
          <w:sz w:val="22"/>
          <w:lang w:val="ro-RO"/>
        </w:rPr>
        <w:t xml:space="preserve"> </w:t>
      </w:r>
      <w:r w:rsidR="00C55F0D" w:rsidRPr="009C5F11">
        <w:rPr>
          <w:rFonts w:ascii="Times New Roman" w:hAnsi="Times New Roman" w:cs="Times New Roman"/>
          <w:sz w:val="22"/>
          <w:lang w:val="ro-RO"/>
        </w:rPr>
        <w:t>în conformitate cu</w:t>
      </w:r>
      <w:r w:rsidR="00780DBA" w:rsidRPr="009C5F11">
        <w:rPr>
          <w:rFonts w:ascii="Times New Roman" w:hAnsi="Times New Roman" w:cs="Times New Roman"/>
          <w:sz w:val="22"/>
          <w:lang w:val="ro-RO"/>
        </w:rPr>
        <w:t xml:space="preserve"> </w:t>
      </w:r>
      <w:r w:rsidR="00CB011F" w:rsidRPr="009C5F11">
        <w:rPr>
          <w:rFonts w:ascii="Times New Roman" w:hAnsi="Times New Roman" w:cs="Times New Roman"/>
          <w:sz w:val="22"/>
          <w:lang w:val="ro-RO"/>
        </w:rPr>
        <w:t>DEE</w:t>
      </w:r>
      <w:r w:rsidR="00780DBA" w:rsidRPr="009C5F11">
        <w:rPr>
          <w:rFonts w:ascii="Times New Roman" w:hAnsi="Times New Roman" w:cs="Times New Roman"/>
          <w:sz w:val="22"/>
          <w:lang w:val="ro-RO"/>
        </w:rPr>
        <w:t>, art</w:t>
      </w:r>
      <w:r w:rsidR="00982050" w:rsidRPr="009C5F11">
        <w:rPr>
          <w:rFonts w:ascii="Times New Roman" w:hAnsi="Times New Roman" w:cs="Times New Roman"/>
          <w:sz w:val="22"/>
          <w:lang w:val="ro-RO"/>
        </w:rPr>
        <w:t>.</w:t>
      </w:r>
      <w:r w:rsidR="00780DBA" w:rsidRPr="009C5F11">
        <w:rPr>
          <w:rFonts w:ascii="Times New Roman" w:hAnsi="Times New Roman" w:cs="Times New Roman"/>
          <w:sz w:val="22"/>
          <w:lang w:val="ro-RO"/>
        </w:rPr>
        <w:t xml:space="preserve"> 7</w:t>
      </w:r>
      <w:r w:rsidR="00982050" w:rsidRPr="009C5F11">
        <w:rPr>
          <w:rFonts w:ascii="Times New Roman" w:hAnsi="Times New Roman" w:cs="Times New Roman"/>
          <w:sz w:val="22"/>
          <w:lang w:val="ro-RO"/>
        </w:rPr>
        <w:t xml:space="preserve"> alineatul (</w:t>
      </w:r>
      <w:r w:rsidR="00780DBA" w:rsidRPr="009C5F11">
        <w:rPr>
          <w:rFonts w:ascii="Times New Roman" w:hAnsi="Times New Roman" w:cs="Times New Roman"/>
          <w:sz w:val="22"/>
          <w:lang w:val="ro-RO"/>
        </w:rPr>
        <w:t>1</w:t>
      </w:r>
      <w:r w:rsidR="00982050" w:rsidRPr="009C5F11">
        <w:rPr>
          <w:rFonts w:ascii="Times New Roman" w:hAnsi="Times New Roman" w:cs="Times New Roman"/>
          <w:sz w:val="22"/>
          <w:lang w:val="ro-RO"/>
        </w:rPr>
        <w:t>).</w:t>
      </w:r>
      <w:bookmarkEnd w:id="346"/>
    </w:p>
    <w:tbl>
      <w:tblPr>
        <w:tblW w:w="5000" w:type="pct"/>
        <w:tblBorders>
          <w:top w:val="single" w:sz="4" w:space="0" w:color="4F81BD"/>
          <w:left w:val="single" w:sz="4" w:space="0" w:color="4F81BD"/>
          <w:bottom w:val="single" w:sz="4" w:space="0" w:color="4F81BD"/>
          <w:right w:val="single" w:sz="4" w:space="0" w:color="4F81BD"/>
          <w:insideH w:val="single" w:sz="4" w:space="0" w:color="4F81BD"/>
        </w:tblBorders>
        <w:tblLayout w:type="fixed"/>
        <w:tblLook w:val="04A0" w:firstRow="1" w:lastRow="0" w:firstColumn="1" w:lastColumn="0" w:noHBand="0" w:noVBand="1"/>
      </w:tblPr>
      <w:tblGrid>
        <w:gridCol w:w="865"/>
        <w:gridCol w:w="170"/>
        <w:gridCol w:w="1429"/>
        <w:gridCol w:w="802"/>
        <w:gridCol w:w="824"/>
        <w:gridCol w:w="760"/>
        <w:gridCol w:w="760"/>
        <w:gridCol w:w="2509"/>
        <w:gridCol w:w="1124"/>
      </w:tblGrid>
      <w:tr w:rsidR="00BC2ED4" w:rsidRPr="009C5F11" w14:paraId="5911941B" w14:textId="77777777" w:rsidTr="00B40DB5">
        <w:trPr>
          <w:trHeight w:val="250"/>
        </w:trPr>
        <w:tc>
          <w:tcPr>
            <w:tcW w:w="3035" w:type="pct"/>
            <w:gridSpan w:val="7"/>
            <w:tcBorders>
              <w:bottom w:val="single" w:sz="4" w:space="0" w:color="4F81BD"/>
            </w:tcBorders>
            <w:shd w:val="clear" w:color="auto" w:fill="000080"/>
            <w:noWrap/>
          </w:tcPr>
          <w:p w14:paraId="1BE661EE" w14:textId="77777777" w:rsidR="00BC2ED4" w:rsidRPr="009C5F11" w:rsidRDefault="00982050" w:rsidP="0067285B">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bCs/>
                <w:sz w:val="20"/>
                <w:szCs w:val="16"/>
                <w:lang w:val="ro-RO"/>
              </w:rPr>
              <w:t>Consumul mediu final</w:t>
            </w:r>
            <w:r w:rsidR="0067285B" w:rsidRPr="009C5F11">
              <w:rPr>
                <w:rFonts w:ascii="Times New Roman" w:hAnsi="Times New Roman" w:cs="Times New Roman"/>
                <w:b/>
                <w:bCs/>
                <w:sz w:val="20"/>
                <w:szCs w:val="16"/>
                <w:lang w:val="ro-RO"/>
              </w:rPr>
              <w:t xml:space="preserve"> </w:t>
            </w:r>
            <w:r w:rsidR="000B4699" w:rsidRPr="009C5F11">
              <w:rPr>
                <w:rFonts w:ascii="Times New Roman" w:hAnsi="Times New Roman" w:cs="Times New Roman"/>
                <w:b/>
                <w:bCs/>
                <w:sz w:val="20"/>
                <w:szCs w:val="16"/>
                <w:lang w:val="ro-RO"/>
              </w:rPr>
              <w:t>în perioada</w:t>
            </w:r>
            <w:r w:rsidR="0067285B" w:rsidRPr="009C5F11">
              <w:rPr>
                <w:rFonts w:ascii="Times New Roman" w:hAnsi="Times New Roman" w:cs="Times New Roman"/>
                <w:b/>
                <w:bCs/>
                <w:sz w:val="20"/>
                <w:szCs w:val="16"/>
                <w:lang w:val="ro-RO"/>
              </w:rPr>
              <w:t xml:space="preserve"> 2012</w:t>
            </w:r>
            <w:r w:rsidR="00BC2ED4" w:rsidRPr="009C5F11">
              <w:rPr>
                <w:rFonts w:ascii="Times New Roman" w:hAnsi="Times New Roman" w:cs="Times New Roman"/>
                <w:b/>
                <w:bCs/>
                <w:sz w:val="20"/>
                <w:szCs w:val="16"/>
                <w:lang w:val="ro-RO"/>
              </w:rPr>
              <w:t>-201</w:t>
            </w:r>
            <w:r w:rsidR="0067285B" w:rsidRPr="009C5F11">
              <w:rPr>
                <w:rFonts w:ascii="Times New Roman" w:hAnsi="Times New Roman" w:cs="Times New Roman"/>
                <w:b/>
                <w:bCs/>
                <w:sz w:val="20"/>
                <w:szCs w:val="16"/>
                <w:lang w:val="ro-RO"/>
              </w:rPr>
              <w:t>4</w:t>
            </w:r>
            <w:r w:rsidR="00BC2ED4" w:rsidRPr="009C5F11">
              <w:rPr>
                <w:rFonts w:ascii="Times New Roman" w:hAnsi="Times New Roman" w:cs="Times New Roman"/>
                <w:b/>
                <w:bCs/>
                <w:sz w:val="20"/>
                <w:szCs w:val="16"/>
                <w:lang w:val="ro-RO"/>
              </w:rPr>
              <w:t xml:space="preserve"> (</w:t>
            </w:r>
            <w:r w:rsidR="00E52940" w:rsidRPr="009C5F11">
              <w:rPr>
                <w:rFonts w:ascii="Times New Roman" w:hAnsi="Times New Roman" w:cs="Times New Roman"/>
                <w:b/>
                <w:bCs/>
                <w:sz w:val="20"/>
                <w:szCs w:val="16"/>
                <w:lang w:val="ro-RO"/>
              </w:rPr>
              <w:t>ktep</w:t>
            </w:r>
            <w:r w:rsidR="00BC2ED4" w:rsidRPr="009C5F11">
              <w:rPr>
                <w:rFonts w:ascii="Times New Roman" w:hAnsi="Times New Roman" w:cs="Times New Roman"/>
                <w:b/>
                <w:bCs/>
                <w:sz w:val="20"/>
                <w:szCs w:val="16"/>
                <w:lang w:val="ro-RO"/>
              </w:rPr>
              <w:t>)</w:t>
            </w:r>
          </w:p>
        </w:tc>
        <w:tc>
          <w:tcPr>
            <w:tcW w:w="1357" w:type="pct"/>
            <w:tcBorders>
              <w:bottom w:val="single" w:sz="4" w:space="0" w:color="4F81BD"/>
            </w:tcBorders>
            <w:shd w:val="clear" w:color="auto" w:fill="000080"/>
            <w:noWrap/>
          </w:tcPr>
          <w:p w14:paraId="7047B310" w14:textId="77777777" w:rsidR="00BC2ED4" w:rsidRPr="009C5F11" w:rsidRDefault="0067285B" w:rsidP="00430626">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bCs/>
                <w:sz w:val="20"/>
                <w:szCs w:val="16"/>
                <w:lang w:val="ro-RO"/>
              </w:rPr>
              <w:t>1,412</w:t>
            </w:r>
            <w:r w:rsidR="00BC2ED4" w:rsidRPr="009C5F11">
              <w:rPr>
                <w:rFonts w:ascii="Times New Roman" w:hAnsi="Times New Roman" w:cs="Times New Roman"/>
                <w:b/>
                <w:bCs/>
                <w:sz w:val="20"/>
                <w:szCs w:val="16"/>
                <w:lang w:val="ro-RO"/>
              </w:rPr>
              <w:t>.33</w:t>
            </w:r>
          </w:p>
        </w:tc>
        <w:tc>
          <w:tcPr>
            <w:tcW w:w="609" w:type="pct"/>
            <w:tcBorders>
              <w:bottom w:val="single" w:sz="4" w:space="0" w:color="4F81BD"/>
            </w:tcBorders>
            <w:shd w:val="clear" w:color="auto" w:fill="000080"/>
          </w:tcPr>
          <w:p w14:paraId="09AD5138" w14:textId="77777777" w:rsidR="00BC2ED4" w:rsidRPr="009C5F11" w:rsidRDefault="00BC2ED4" w:rsidP="00430626">
            <w:pPr>
              <w:spacing w:after="0" w:line="240" w:lineRule="auto"/>
              <w:jc w:val="center"/>
              <w:rPr>
                <w:rFonts w:ascii="Times New Roman" w:hAnsi="Times New Roman" w:cs="Times New Roman"/>
                <w:b/>
                <w:sz w:val="20"/>
                <w:szCs w:val="16"/>
                <w:lang w:val="ro-RO"/>
              </w:rPr>
            </w:pPr>
          </w:p>
        </w:tc>
      </w:tr>
      <w:tr w:rsidR="00BC2ED4" w:rsidRPr="009C5F11" w14:paraId="0816C044" w14:textId="77777777" w:rsidTr="00B40DB5">
        <w:trPr>
          <w:trHeight w:val="250"/>
        </w:trPr>
        <w:tc>
          <w:tcPr>
            <w:tcW w:w="468" w:type="pct"/>
            <w:shd w:val="clear" w:color="auto" w:fill="000080"/>
            <w:noWrap/>
            <w:hideMark/>
          </w:tcPr>
          <w:p w14:paraId="126BA395" w14:textId="77777777" w:rsidR="00BC2ED4" w:rsidRPr="009C5F11" w:rsidRDefault="009C5DCF" w:rsidP="00430626">
            <w:pPr>
              <w:spacing w:after="0" w:line="240" w:lineRule="auto"/>
              <w:jc w:val="center"/>
              <w:rPr>
                <w:rFonts w:ascii="Times New Roman" w:hAnsi="Times New Roman" w:cs="Times New Roman"/>
                <w:b/>
                <w:bCs/>
                <w:sz w:val="20"/>
                <w:szCs w:val="16"/>
                <w:lang w:val="ro-RO"/>
              </w:rPr>
            </w:pPr>
            <w:r w:rsidRPr="009C5F11">
              <w:rPr>
                <w:rFonts w:ascii="Times New Roman" w:hAnsi="Times New Roman" w:cs="Times New Roman"/>
                <w:b/>
                <w:bCs/>
                <w:sz w:val="20"/>
                <w:szCs w:val="16"/>
                <w:lang w:val="ro-RO"/>
              </w:rPr>
              <w:t>Anul</w:t>
            </w:r>
          </w:p>
        </w:tc>
        <w:tc>
          <w:tcPr>
            <w:tcW w:w="865" w:type="pct"/>
            <w:gridSpan w:val="2"/>
            <w:shd w:val="clear" w:color="auto" w:fill="000080"/>
            <w:noWrap/>
            <w:hideMark/>
          </w:tcPr>
          <w:p w14:paraId="466F4174" w14:textId="77777777" w:rsidR="00BC2ED4" w:rsidRPr="009C5F11" w:rsidRDefault="00982050" w:rsidP="00982050">
            <w:pPr>
              <w:spacing w:after="0" w:line="240" w:lineRule="auto"/>
              <w:jc w:val="center"/>
              <w:rPr>
                <w:rFonts w:ascii="Times New Roman" w:hAnsi="Times New Roman" w:cs="Times New Roman"/>
                <w:b/>
                <w:bCs/>
                <w:sz w:val="20"/>
                <w:szCs w:val="16"/>
                <w:lang w:val="ro-RO"/>
              </w:rPr>
            </w:pPr>
            <w:r w:rsidRPr="009C5F11">
              <w:rPr>
                <w:rFonts w:ascii="Times New Roman" w:hAnsi="Times New Roman" w:cs="Times New Roman"/>
                <w:b/>
                <w:bCs/>
                <w:sz w:val="20"/>
                <w:szCs w:val="16"/>
                <w:lang w:val="ro-RO"/>
              </w:rPr>
              <w:t>E</w:t>
            </w:r>
            <w:r w:rsidR="00C639BC" w:rsidRPr="009C5F11">
              <w:rPr>
                <w:rFonts w:ascii="Times New Roman" w:hAnsi="Times New Roman" w:cs="Times New Roman"/>
                <w:b/>
                <w:bCs/>
                <w:sz w:val="20"/>
                <w:szCs w:val="16"/>
                <w:lang w:val="ro-RO"/>
              </w:rPr>
              <w:t>conomii</w:t>
            </w:r>
            <w:r w:rsidRPr="009C5F11">
              <w:rPr>
                <w:rFonts w:ascii="Times New Roman" w:hAnsi="Times New Roman" w:cs="Times New Roman"/>
                <w:b/>
                <w:bCs/>
                <w:sz w:val="20"/>
                <w:szCs w:val="16"/>
                <w:lang w:val="ro-RO"/>
              </w:rPr>
              <w:t xml:space="preserve"> anuale</w:t>
            </w:r>
          </w:p>
        </w:tc>
        <w:tc>
          <w:tcPr>
            <w:tcW w:w="1702" w:type="pct"/>
            <w:gridSpan w:val="4"/>
            <w:shd w:val="clear" w:color="auto" w:fill="000080"/>
            <w:noWrap/>
          </w:tcPr>
          <w:p w14:paraId="352ECD11" w14:textId="77777777" w:rsidR="00BC2ED4" w:rsidRPr="009C5F11" w:rsidRDefault="00982050" w:rsidP="00430626">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bCs/>
                <w:sz w:val="20"/>
                <w:szCs w:val="16"/>
                <w:lang w:val="ro-RO"/>
              </w:rPr>
              <w:t>Economii anuale</w:t>
            </w:r>
            <w:r w:rsidR="004424A0" w:rsidRPr="009C5F11">
              <w:rPr>
                <w:rFonts w:ascii="Times New Roman" w:hAnsi="Times New Roman" w:cs="Times New Roman"/>
                <w:b/>
                <w:sz w:val="20"/>
                <w:szCs w:val="16"/>
                <w:lang w:val="ro-RO"/>
              </w:rPr>
              <w:t xml:space="preserve"> de energie</w:t>
            </w:r>
            <w:r w:rsidR="00BC2ED4" w:rsidRPr="009C5F11">
              <w:rPr>
                <w:rFonts w:ascii="Times New Roman" w:hAnsi="Times New Roman" w:cs="Times New Roman"/>
                <w:b/>
                <w:sz w:val="20"/>
                <w:szCs w:val="16"/>
                <w:lang w:val="ro-RO"/>
              </w:rPr>
              <w:t xml:space="preserve"> (</w:t>
            </w:r>
            <w:r w:rsidR="00E52940" w:rsidRPr="009C5F11">
              <w:rPr>
                <w:rFonts w:ascii="Times New Roman" w:hAnsi="Times New Roman" w:cs="Times New Roman"/>
                <w:b/>
                <w:sz w:val="20"/>
                <w:szCs w:val="16"/>
                <w:lang w:val="ro-RO"/>
              </w:rPr>
              <w:t>ktep</w:t>
            </w:r>
            <w:r w:rsidR="00BC2ED4" w:rsidRPr="009C5F11">
              <w:rPr>
                <w:rFonts w:ascii="Times New Roman" w:hAnsi="Times New Roman" w:cs="Times New Roman"/>
                <w:b/>
                <w:sz w:val="20"/>
                <w:szCs w:val="16"/>
                <w:lang w:val="ro-RO"/>
              </w:rPr>
              <w:t>)</w:t>
            </w:r>
          </w:p>
        </w:tc>
        <w:tc>
          <w:tcPr>
            <w:tcW w:w="1357" w:type="pct"/>
            <w:shd w:val="clear" w:color="auto" w:fill="000080"/>
            <w:noWrap/>
            <w:hideMark/>
          </w:tcPr>
          <w:p w14:paraId="5F7DDB6B" w14:textId="77777777" w:rsidR="00BC2ED4" w:rsidRPr="009C5F11" w:rsidRDefault="00645B06" w:rsidP="00982050">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sz w:val="20"/>
                <w:szCs w:val="16"/>
                <w:lang w:val="ro-RO"/>
              </w:rPr>
              <w:t xml:space="preserve">Total </w:t>
            </w:r>
            <w:r w:rsidR="00982050" w:rsidRPr="009C5F11">
              <w:rPr>
                <w:rFonts w:ascii="Times New Roman" w:hAnsi="Times New Roman" w:cs="Times New Roman"/>
                <w:b/>
                <w:bCs/>
                <w:sz w:val="20"/>
                <w:szCs w:val="16"/>
                <w:lang w:val="ro-RO"/>
              </w:rPr>
              <w:t>economii anuale</w:t>
            </w:r>
            <w:r w:rsidR="00982050" w:rsidRPr="009C5F11">
              <w:rPr>
                <w:rFonts w:ascii="Times New Roman" w:hAnsi="Times New Roman" w:cs="Times New Roman"/>
                <w:b/>
                <w:sz w:val="20"/>
                <w:szCs w:val="16"/>
                <w:lang w:val="ro-RO"/>
              </w:rPr>
              <w:t xml:space="preserve"> </w:t>
            </w:r>
            <w:r w:rsidR="00BC2ED4" w:rsidRPr="009C5F11">
              <w:rPr>
                <w:rFonts w:ascii="Times New Roman" w:hAnsi="Times New Roman" w:cs="Times New Roman"/>
                <w:b/>
                <w:sz w:val="20"/>
                <w:szCs w:val="16"/>
                <w:lang w:val="ro-RO"/>
              </w:rPr>
              <w:t>(</w:t>
            </w:r>
            <w:r w:rsidR="00E52940" w:rsidRPr="009C5F11">
              <w:rPr>
                <w:rFonts w:ascii="Times New Roman" w:hAnsi="Times New Roman" w:cs="Times New Roman"/>
                <w:b/>
                <w:sz w:val="20"/>
                <w:szCs w:val="16"/>
                <w:lang w:val="ro-RO"/>
              </w:rPr>
              <w:t>ktep</w:t>
            </w:r>
            <w:r w:rsidR="00BC2ED4" w:rsidRPr="009C5F11">
              <w:rPr>
                <w:rFonts w:ascii="Times New Roman" w:hAnsi="Times New Roman" w:cs="Times New Roman"/>
                <w:b/>
                <w:sz w:val="20"/>
                <w:szCs w:val="16"/>
                <w:lang w:val="ro-RO"/>
              </w:rPr>
              <w:t>)</w:t>
            </w:r>
          </w:p>
        </w:tc>
        <w:tc>
          <w:tcPr>
            <w:tcW w:w="609" w:type="pct"/>
            <w:shd w:val="clear" w:color="auto" w:fill="000080"/>
          </w:tcPr>
          <w:p w14:paraId="7A577454" w14:textId="77777777" w:rsidR="00BC2ED4" w:rsidRPr="009C5F11" w:rsidRDefault="003719BD" w:rsidP="00982050">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sz w:val="20"/>
                <w:szCs w:val="16"/>
                <w:lang w:val="ro-RO"/>
              </w:rPr>
              <w:t>Reducere</w:t>
            </w:r>
            <w:r w:rsidR="00BC2ED4" w:rsidRPr="009C5F11">
              <w:rPr>
                <w:rFonts w:ascii="Times New Roman" w:hAnsi="Times New Roman" w:cs="Times New Roman"/>
                <w:b/>
                <w:sz w:val="20"/>
                <w:szCs w:val="16"/>
                <w:lang w:val="ro-RO"/>
              </w:rPr>
              <w:t xml:space="preserve"> (%)</w:t>
            </w:r>
          </w:p>
        </w:tc>
      </w:tr>
      <w:tr w:rsidR="00476CAF" w:rsidRPr="009C5F11" w14:paraId="1DE5A15F" w14:textId="77777777" w:rsidTr="00B40DB5">
        <w:trPr>
          <w:trHeight w:val="62"/>
        </w:trPr>
        <w:tc>
          <w:tcPr>
            <w:tcW w:w="560" w:type="pct"/>
            <w:gridSpan w:val="2"/>
            <w:shd w:val="clear" w:color="auto" w:fill="auto"/>
            <w:noWrap/>
            <w:vAlign w:val="center"/>
            <w:hideMark/>
          </w:tcPr>
          <w:p w14:paraId="6BDAAD05" w14:textId="77777777" w:rsidR="00476CAF" w:rsidRPr="009C5F11" w:rsidRDefault="00476CAF"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2017 (8)</w:t>
            </w:r>
          </w:p>
        </w:tc>
        <w:tc>
          <w:tcPr>
            <w:tcW w:w="772" w:type="pct"/>
            <w:shd w:val="clear" w:color="auto" w:fill="auto"/>
            <w:noWrap/>
            <w:hideMark/>
          </w:tcPr>
          <w:p w14:paraId="3F2C7B1F" w14:textId="77777777" w:rsidR="00476CAF" w:rsidRPr="009C5F11" w:rsidRDefault="00476CAF"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0.70%</w:t>
            </w:r>
          </w:p>
        </w:tc>
        <w:tc>
          <w:tcPr>
            <w:tcW w:w="434" w:type="pct"/>
            <w:shd w:val="clear" w:color="auto" w:fill="auto"/>
            <w:noWrap/>
            <w:hideMark/>
          </w:tcPr>
          <w:p w14:paraId="287C3A17" w14:textId="77777777" w:rsidR="00476CAF" w:rsidRPr="009C5F11" w:rsidRDefault="00476CAF" w:rsidP="00430626">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446" w:type="pct"/>
            <w:shd w:val="clear" w:color="auto" w:fill="auto"/>
            <w:noWrap/>
            <w:hideMark/>
          </w:tcPr>
          <w:p w14:paraId="40CD586D" w14:textId="77777777" w:rsidR="00476CAF" w:rsidRPr="009C5F11" w:rsidRDefault="00476CAF" w:rsidP="00430626">
            <w:pPr>
              <w:spacing w:after="0" w:line="240" w:lineRule="auto"/>
              <w:jc w:val="center"/>
              <w:rPr>
                <w:rFonts w:ascii="Times New Roman" w:hAnsi="Times New Roman" w:cs="Times New Roman"/>
                <w:sz w:val="20"/>
                <w:szCs w:val="16"/>
                <w:lang w:val="ro-RO"/>
              </w:rPr>
            </w:pPr>
          </w:p>
        </w:tc>
        <w:tc>
          <w:tcPr>
            <w:tcW w:w="411" w:type="pct"/>
            <w:shd w:val="clear" w:color="auto" w:fill="auto"/>
            <w:noWrap/>
            <w:hideMark/>
          </w:tcPr>
          <w:p w14:paraId="20C61FCC" w14:textId="77777777" w:rsidR="00476CAF" w:rsidRPr="009C5F11" w:rsidRDefault="00476CAF"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 </w:t>
            </w:r>
          </w:p>
        </w:tc>
        <w:tc>
          <w:tcPr>
            <w:tcW w:w="411" w:type="pct"/>
            <w:shd w:val="clear" w:color="auto" w:fill="auto"/>
            <w:noWrap/>
            <w:hideMark/>
          </w:tcPr>
          <w:p w14:paraId="6BBE928C" w14:textId="77777777" w:rsidR="00476CAF" w:rsidRPr="009C5F11" w:rsidRDefault="00476CAF"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 </w:t>
            </w:r>
          </w:p>
        </w:tc>
        <w:tc>
          <w:tcPr>
            <w:tcW w:w="1357" w:type="pct"/>
            <w:shd w:val="clear" w:color="auto" w:fill="auto"/>
            <w:noWrap/>
            <w:vAlign w:val="center"/>
            <w:hideMark/>
          </w:tcPr>
          <w:p w14:paraId="090902F8" w14:textId="77777777" w:rsidR="00476CAF" w:rsidRPr="009C5F11" w:rsidRDefault="00476CAF" w:rsidP="00413C2A">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609" w:type="pct"/>
          </w:tcPr>
          <w:p w14:paraId="39C38C2E" w14:textId="77777777" w:rsidR="00476CAF" w:rsidRPr="009C5F11" w:rsidRDefault="00476CAF" w:rsidP="00430626">
            <w:pPr>
              <w:spacing w:after="0" w:line="240" w:lineRule="auto"/>
              <w:jc w:val="right"/>
              <w:rPr>
                <w:rFonts w:ascii="Times New Roman" w:hAnsi="Times New Roman" w:cs="Times New Roman"/>
                <w:sz w:val="20"/>
                <w:szCs w:val="16"/>
                <w:lang w:val="ro-RO"/>
              </w:rPr>
            </w:pPr>
          </w:p>
        </w:tc>
      </w:tr>
      <w:tr w:rsidR="00476CAF" w:rsidRPr="009C5F11" w14:paraId="5A30E186" w14:textId="77777777" w:rsidTr="00B40DB5">
        <w:trPr>
          <w:trHeight w:val="72"/>
        </w:trPr>
        <w:tc>
          <w:tcPr>
            <w:tcW w:w="560" w:type="pct"/>
            <w:gridSpan w:val="2"/>
            <w:shd w:val="clear" w:color="auto" w:fill="auto"/>
            <w:noWrap/>
            <w:hideMark/>
          </w:tcPr>
          <w:p w14:paraId="0D6C7921" w14:textId="77777777" w:rsidR="00476CAF" w:rsidRPr="009C5F11" w:rsidRDefault="00476CAF"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2018 (9)</w:t>
            </w:r>
          </w:p>
        </w:tc>
        <w:tc>
          <w:tcPr>
            <w:tcW w:w="772" w:type="pct"/>
            <w:shd w:val="clear" w:color="auto" w:fill="auto"/>
            <w:noWrap/>
            <w:hideMark/>
          </w:tcPr>
          <w:p w14:paraId="156FA2A2" w14:textId="77777777" w:rsidR="00476CAF" w:rsidRPr="009C5F11" w:rsidRDefault="00476CAF"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0.70%</w:t>
            </w:r>
          </w:p>
        </w:tc>
        <w:tc>
          <w:tcPr>
            <w:tcW w:w="434" w:type="pct"/>
            <w:shd w:val="clear" w:color="auto" w:fill="auto"/>
            <w:noWrap/>
            <w:hideMark/>
          </w:tcPr>
          <w:p w14:paraId="76BEEACE" w14:textId="77777777" w:rsidR="00476CAF" w:rsidRPr="009C5F11" w:rsidRDefault="00476CAF" w:rsidP="00430626">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446" w:type="pct"/>
            <w:shd w:val="clear" w:color="auto" w:fill="auto"/>
            <w:noWrap/>
            <w:hideMark/>
          </w:tcPr>
          <w:p w14:paraId="1542C565" w14:textId="77777777" w:rsidR="00476CAF" w:rsidRPr="009C5F11" w:rsidRDefault="00476CAF" w:rsidP="00430626">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411" w:type="pct"/>
            <w:shd w:val="clear" w:color="auto" w:fill="auto"/>
            <w:noWrap/>
            <w:hideMark/>
          </w:tcPr>
          <w:p w14:paraId="3D9B5E2D" w14:textId="77777777" w:rsidR="00476CAF" w:rsidRPr="009C5F11" w:rsidRDefault="00476CAF"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 </w:t>
            </w:r>
          </w:p>
        </w:tc>
        <w:tc>
          <w:tcPr>
            <w:tcW w:w="411" w:type="pct"/>
            <w:shd w:val="clear" w:color="auto" w:fill="auto"/>
            <w:noWrap/>
            <w:hideMark/>
          </w:tcPr>
          <w:p w14:paraId="0C78BDD1" w14:textId="77777777" w:rsidR="00476CAF" w:rsidRPr="009C5F11" w:rsidRDefault="00476CAF"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 </w:t>
            </w:r>
          </w:p>
        </w:tc>
        <w:tc>
          <w:tcPr>
            <w:tcW w:w="1357" w:type="pct"/>
            <w:shd w:val="clear" w:color="auto" w:fill="auto"/>
            <w:noWrap/>
            <w:vAlign w:val="center"/>
            <w:hideMark/>
          </w:tcPr>
          <w:p w14:paraId="0F16A9C2" w14:textId="77777777" w:rsidR="00476CAF" w:rsidRPr="009C5F11" w:rsidRDefault="00476CAF" w:rsidP="00413C2A">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19,77</w:t>
            </w:r>
          </w:p>
        </w:tc>
        <w:tc>
          <w:tcPr>
            <w:tcW w:w="609" w:type="pct"/>
          </w:tcPr>
          <w:p w14:paraId="737B3F1B" w14:textId="77777777" w:rsidR="00476CAF" w:rsidRPr="009C5F11" w:rsidRDefault="00476CAF" w:rsidP="00430626">
            <w:pPr>
              <w:spacing w:after="0" w:line="240" w:lineRule="auto"/>
              <w:jc w:val="right"/>
              <w:rPr>
                <w:rFonts w:ascii="Times New Roman" w:hAnsi="Times New Roman" w:cs="Times New Roman"/>
                <w:sz w:val="20"/>
                <w:szCs w:val="16"/>
                <w:lang w:val="ro-RO"/>
              </w:rPr>
            </w:pPr>
          </w:p>
        </w:tc>
      </w:tr>
      <w:tr w:rsidR="00476CAF" w:rsidRPr="009C5F11" w14:paraId="5D6B4191" w14:textId="77777777" w:rsidTr="00B40DB5">
        <w:trPr>
          <w:trHeight w:val="72"/>
        </w:trPr>
        <w:tc>
          <w:tcPr>
            <w:tcW w:w="560" w:type="pct"/>
            <w:gridSpan w:val="2"/>
            <w:shd w:val="clear" w:color="auto" w:fill="auto"/>
            <w:noWrap/>
            <w:hideMark/>
          </w:tcPr>
          <w:p w14:paraId="2048AF1E" w14:textId="77777777" w:rsidR="00476CAF" w:rsidRPr="009C5F11" w:rsidRDefault="00476CAF"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2019 (10)</w:t>
            </w:r>
          </w:p>
        </w:tc>
        <w:tc>
          <w:tcPr>
            <w:tcW w:w="772" w:type="pct"/>
            <w:shd w:val="clear" w:color="auto" w:fill="auto"/>
            <w:noWrap/>
            <w:hideMark/>
          </w:tcPr>
          <w:p w14:paraId="1F72D8C8" w14:textId="77777777" w:rsidR="00476CAF" w:rsidRPr="009C5F11" w:rsidRDefault="00476CAF"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0.70%</w:t>
            </w:r>
          </w:p>
        </w:tc>
        <w:tc>
          <w:tcPr>
            <w:tcW w:w="434" w:type="pct"/>
            <w:shd w:val="clear" w:color="auto" w:fill="auto"/>
            <w:noWrap/>
            <w:hideMark/>
          </w:tcPr>
          <w:p w14:paraId="13F3440E" w14:textId="77777777" w:rsidR="00476CAF" w:rsidRPr="009C5F11" w:rsidRDefault="00476CAF" w:rsidP="00430626">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446" w:type="pct"/>
            <w:shd w:val="clear" w:color="auto" w:fill="auto"/>
            <w:noWrap/>
            <w:hideMark/>
          </w:tcPr>
          <w:p w14:paraId="768686ED" w14:textId="77777777" w:rsidR="00476CAF" w:rsidRPr="009C5F11" w:rsidRDefault="00476CAF" w:rsidP="00430626">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411" w:type="pct"/>
            <w:shd w:val="clear" w:color="auto" w:fill="auto"/>
            <w:noWrap/>
            <w:hideMark/>
          </w:tcPr>
          <w:p w14:paraId="21F33AFE" w14:textId="77777777" w:rsidR="00476CAF" w:rsidRPr="009C5F11" w:rsidRDefault="00476CAF" w:rsidP="00430626">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411" w:type="pct"/>
            <w:shd w:val="clear" w:color="auto" w:fill="auto"/>
            <w:noWrap/>
            <w:hideMark/>
          </w:tcPr>
          <w:p w14:paraId="0B2AF6B9" w14:textId="77777777" w:rsidR="00476CAF" w:rsidRPr="009C5F11" w:rsidRDefault="00476CAF" w:rsidP="00430626">
            <w:pPr>
              <w:spacing w:after="0" w:line="240" w:lineRule="auto"/>
              <w:jc w:val="center"/>
              <w:rPr>
                <w:rFonts w:ascii="Times New Roman" w:hAnsi="Times New Roman" w:cs="Times New Roman"/>
                <w:sz w:val="20"/>
                <w:szCs w:val="16"/>
                <w:lang w:val="ro-RO"/>
              </w:rPr>
            </w:pPr>
          </w:p>
        </w:tc>
        <w:tc>
          <w:tcPr>
            <w:tcW w:w="1357" w:type="pct"/>
            <w:shd w:val="clear" w:color="auto" w:fill="auto"/>
            <w:noWrap/>
            <w:vAlign w:val="center"/>
            <w:hideMark/>
          </w:tcPr>
          <w:p w14:paraId="0A47BF86" w14:textId="77777777" w:rsidR="00476CAF" w:rsidRPr="009C5F11" w:rsidRDefault="00476CAF" w:rsidP="00413C2A">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29,66</w:t>
            </w:r>
          </w:p>
        </w:tc>
        <w:tc>
          <w:tcPr>
            <w:tcW w:w="609" w:type="pct"/>
          </w:tcPr>
          <w:p w14:paraId="7D8B2083" w14:textId="77777777" w:rsidR="00476CAF" w:rsidRPr="009C5F11" w:rsidRDefault="00476CAF" w:rsidP="00430626">
            <w:pPr>
              <w:spacing w:after="0" w:line="240" w:lineRule="auto"/>
              <w:jc w:val="right"/>
              <w:rPr>
                <w:rFonts w:ascii="Times New Roman" w:hAnsi="Times New Roman" w:cs="Times New Roman"/>
                <w:sz w:val="20"/>
                <w:szCs w:val="16"/>
                <w:lang w:val="ro-RO"/>
              </w:rPr>
            </w:pPr>
          </w:p>
        </w:tc>
      </w:tr>
      <w:tr w:rsidR="00476CAF" w:rsidRPr="009C5F11" w14:paraId="641FF78C" w14:textId="77777777" w:rsidTr="00B40DB5">
        <w:trPr>
          <w:trHeight w:val="72"/>
        </w:trPr>
        <w:tc>
          <w:tcPr>
            <w:tcW w:w="560" w:type="pct"/>
            <w:gridSpan w:val="2"/>
            <w:shd w:val="clear" w:color="auto" w:fill="auto"/>
            <w:noWrap/>
            <w:hideMark/>
          </w:tcPr>
          <w:p w14:paraId="76BF3ACE" w14:textId="77777777" w:rsidR="00476CAF" w:rsidRPr="009C5F11" w:rsidRDefault="00476CAF"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2020 (11)</w:t>
            </w:r>
          </w:p>
        </w:tc>
        <w:tc>
          <w:tcPr>
            <w:tcW w:w="772" w:type="pct"/>
            <w:shd w:val="clear" w:color="auto" w:fill="auto"/>
            <w:noWrap/>
            <w:hideMark/>
          </w:tcPr>
          <w:p w14:paraId="213FD697" w14:textId="77777777" w:rsidR="00476CAF" w:rsidRPr="009C5F11" w:rsidRDefault="00476CAF"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0.70%</w:t>
            </w:r>
          </w:p>
        </w:tc>
        <w:tc>
          <w:tcPr>
            <w:tcW w:w="434" w:type="pct"/>
            <w:shd w:val="clear" w:color="auto" w:fill="auto"/>
            <w:noWrap/>
            <w:hideMark/>
          </w:tcPr>
          <w:p w14:paraId="29182C1C" w14:textId="77777777" w:rsidR="00476CAF" w:rsidRPr="009C5F11" w:rsidRDefault="00476CAF" w:rsidP="00430626">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446" w:type="pct"/>
            <w:shd w:val="clear" w:color="auto" w:fill="auto"/>
            <w:noWrap/>
            <w:hideMark/>
          </w:tcPr>
          <w:p w14:paraId="1F60EC11" w14:textId="77777777" w:rsidR="00476CAF" w:rsidRPr="009C5F11" w:rsidRDefault="00476CAF" w:rsidP="00430626">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411" w:type="pct"/>
            <w:shd w:val="clear" w:color="auto" w:fill="auto"/>
            <w:noWrap/>
            <w:hideMark/>
          </w:tcPr>
          <w:p w14:paraId="644CFD00" w14:textId="77777777" w:rsidR="00476CAF" w:rsidRPr="009C5F11" w:rsidRDefault="00476CAF" w:rsidP="00430626">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411" w:type="pct"/>
            <w:shd w:val="clear" w:color="auto" w:fill="auto"/>
            <w:noWrap/>
            <w:hideMark/>
          </w:tcPr>
          <w:p w14:paraId="7892C502" w14:textId="77777777" w:rsidR="00476CAF" w:rsidRPr="009C5F11" w:rsidRDefault="00476CAF" w:rsidP="00430626">
            <w:pPr>
              <w:spacing w:after="0" w:line="240" w:lineRule="auto"/>
              <w:jc w:val="center"/>
              <w:rPr>
                <w:rFonts w:ascii="Times New Roman" w:hAnsi="Times New Roman" w:cs="Times New Roman"/>
                <w:sz w:val="20"/>
                <w:szCs w:val="16"/>
                <w:lang w:val="ro-RO"/>
              </w:rPr>
            </w:pPr>
            <w:r w:rsidRPr="009C5F11">
              <w:rPr>
                <w:rFonts w:ascii="Times New Roman" w:hAnsi="Times New Roman" w:cs="Times New Roman"/>
                <w:sz w:val="20"/>
                <w:szCs w:val="16"/>
                <w:lang w:val="ro-RO"/>
              </w:rPr>
              <w:t>9.89</w:t>
            </w:r>
          </w:p>
        </w:tc>
        <w:tc>
          <w:tcPr>
            <w:tcW w:w="1357" w:type="pct"/>
            <w:shd w:val="clear" w:color="auto" w:fill="auto"/>
            <w:noWrap/>
            <w:vAlign w:val="center"/>
            <w:hideMark/>
          </w:tcPr>
          <w:p w14:paraId="319CE007" w14:textId="77777777" w:rsidR="00476CAF" w:rsidRPr="009C5F11" w:rsidRDefault="00476CAF" w:rsidP="00413C2A">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39,35</w:t>
            </w:r>
          </w:p>
        </w:tc>
        <w:tc>
          <w:tcPr>
            <w:tcW w:w="609" w:type="pct"/>
            <w:shd w:val="clear" w:color="auto" w:fill="auto"/>
          </w:tcPr>
          <w:p w14:paraId="6A4B4196" w14:textId="77777777" w:rsidR="00476CAF" w:rsidRPr="009C5F11" w:rsidRDefault="00476CAF" w:rsidP="00430626">
            <w:pPr>
              <w:spacing w:after="0" w:line="240" w:lineRule="auto"/>
              <w:jc w:val="right"/>
              <w:rPr>
                <w:rFonts w:ascii="Times New Roman" w:hAnsi="Times New Roman" w:cs="Times New Roman"/>
                <w:bCs/>
                <w:sz w:val="20"/>
                <w:szCs w:val="16"/>
                <w:lang w:val="ro-RO"/>
              </w:rPr>
            </w:pPr>
          </w:p>
        </w:tc>
      </w:tr>
      <w:tr w:rsidR="00BC2ED4" w:rsidRPr="009C5F11" w14:paraId="2BC75BB9" w14:textId="77777777" w:rsidTr="00B40DB5">
        <w:trPr>
          <w:trHeight w:val="72"/>
        </w:trPr>
        <w:tc>
          <w:tcPr>
            <w:tcW w:w="3035" w:type="pct"/>
            <w:gridSpan w:val="7"/>
            <w:shd w:val="clear" w:color="auto" w:fill="auto"/>
            <w:noWrap/>
          </w:tcPr>
          <w:p w14:paraId="3968B0D1" w14:textId="77777777" w:rsidR="00BC2ED4" w:rsidRPr="009C5F11" w:rsidRDefault="00BC2ED4" w:rsidP="00982050">
            <w:pPr>
              <w:spacing w:after="0" w:line="240" w:lineRule="auto"/>
              <w:rPr>
                <w:rFonts w:ascii="Times New Roman" w:hAnsi="Times New Roman" w:cs="Times New Roman"/>
                <w:b/>
                <w:bCs/>
                <w:sz w:val="20"/>
                <w:szCs w:val="16"/>
                <w:lang w:val="ro-RO"/>
              </w:rPr>
            </w:pPr>
            <w:r w:rsidRPr="009C5F11">
              <w:rPr>
                <w:rFonts w:ascii="Times New Roman" w:hAnsi="Times New Roman" w:cs="Times New Roman"/>
                <w:b/>
                <w:bCs/>
                <w:sz w:val="20"/>
                <w:szCs w:val="16"/>
                <w:lang w:val="ro-RO"/>
              </w:rPr>
              <w:t xml:space="preserve">Total </w:t>
            </w:r>
            <w:r w:rsidR="00C639BC" w:rsidRPr="009C5F11">
              <w:rPr>
                <w:rFonts w:ascii="Times New Roman" w:hAnsi="Times New Roman" w:cs="Times New Roman"/>
                <w:b/>
                <w:bCs/>
                <w:sz w:val="20"/>
                <w:szCs w:val="16"/>
                <w:lang w:val="ro-RO"/>
              </w:rPr>
              <w:t>economii</w:t>
            </w:r>
            <w:r w:rsidRPr="009C5F11">
              <w:rPr>
                <w:rFonts w:ascii="Times New Roman" w:hAnsi="Times New Roman" w:cs="Times New Roman"/>
                <w:b/>
                <w:bCs/>
                <w:sz w:val="20"/>
                <w:szCs w:val="16"/>
                <w:lang w:val="ro-RO"/>
              </w:rPr>
              <w:t xml:space="preserve"> </w:t>
            </w:r>
            <w:r w:rsidR="00982050" w:rsidRPr="009C5F11">
              <w:rPr>
                <w:rFonts w:ascii="Times New Roman" w:hAnsi="Times New Roman" w:cs="Times New Roman"/>
                <w:b/>
                <w:bCs/>
                <w:sz w:val="20"/>
                <w:szCs w:val="16"/>
                <w:lang w:val="ro-RO"/>
              </w:rPr>
              <w:t>cumulative în perioada</w:t>
            </w:r>
            <w:r w:rsidRPr="009C5F11">
              <w:rPr>
                <w:rFonts w:ascii="Times New Roman" w:hAnsi="Times New Roman" w:cs="Times New Roman"/>
                <w:b/>
                <w:bCs/>
                <w:sz w:val="20"/>
                <w:szCs w:val="16"/>
                <w:lang w:val="ro-RO"/>
              </w:rPr>
              <w:t xml:space="preserve"> 2017-2020</w:t>
            </w:r>
          </w:p>
        </w:tc>
        <w:tc>
          <w:tcPr>
            <w:tcW w:w="1357" w:type="pct"/>
            <w:shd w:val="clear" w:color="auto" w:fill="DBE5F1"/>
            <w:noWrap/>
            <w:vAlign w:val="center"/>
          </w:tcPr>
          <w:p w14:paraId="00541E8B" w14:textId="77777777" w:rsidR="00BC2ED4" w:rsidRPr="009C5F11" w:rsidRDefault="00476CAF" w:rsidP="00413C2A">
            <w:pPr>
              <w:spacing w:after="0" w:line="240" w:lineRule="auto"/>
              <w:jc w:val="right"/>
              <w:rPr>
                <w:rFonts w:ascii="Times New Roman" w:hAnsi="Times New Roman" w:cs="Times New Roman"/>
                <w:b/>
                <w:bCs/>
                <w:sz w:val="20"/>
                <w:szCs w:val="16"/>
                <w:lang w:val="ro-RO"/>
              </w:rPr>
            </w:pPr>
            <w:r w:rsidRPr="009C5F11">
              <w:rPr>
                <w:rFonts w:ascii="Times New Roman" w:hAnsi="Times New Roman" w:cs="Times New Roman"/>
                <w:b/>
                <w:bCs/>
                <w:sz w:val="20"/>
                <w:szCs w:val="16"/>
                <w:lang w:val="ro-RO"/>
              </w:rPr>
              <w:t>98.86</w:t>
            </w:r>
          </w:p>
        </w:tc>
        <w:tc>
          <w:tcPr>
            <w:tcW w:w="609" w:type="pct"/>
            <w:shd w:val="clear" w:color="auto" w:fill="auto"/>
          </w:tcPr>
          <w:p w14:paraId="36245B17" w14:textId="77777777" w:rsidR="00BC2ED4" w:rsidRPr="009C5F11" w:rsidRDefault="00BC2ED4" w:rsidP="00430626">
            <w:pPr>
              <w:spacing w:after="0" w:line="240" w:lineRule="auto"/>
              <w:jc w:val="right"/>
              <w:rPr>
                <w:rFonts w:ascii="Times New Roman" w:hAnsi="Times New Roman" w:cs="Times New Roman"/>
                <w:b/>
                <w:bCs/>
                <w:sz w:val="20"/>
                <w:szCs w:val="16"/>
                <w:lang w:val="ro-RO"/>
              </w:rPr>
            </w:pPr>
            <w:r w:rsidRPr="009C5F11">
              <w:rPr>
                <w:rFonts w:ascii="Times New Roman" w:hAnsi="Times New Roman" w:cs="Times New Roman"/>
                <w:b/>
                <w:bCs/>
                <w:sz w:val="20"/>
                <w:szCs w:val="16"/>
                <w:lang w:val="ro-RO"/>
              </w:rPr>
              <w:t>0</w:t>
            </w:r>
          </w:p>
        </w:tc>
      </w:tr>
    </w:tbl>
    <w:p w14:paraId="1A168C52" w14:textId="77777777" w:rsidR="00780DBA" w:rsidRPr="009C5F11" w:rsidRDefault="00780DBA" w:rsidP="00BC2ED4">
      <w:pPr>
        <w:spacing w:before="120" w:line="240" w:lineRule="auto"/>
        <w:jc w:val="center"/>
        <w:rPr>
          <w:rFonts w:ascii="Times New Roman" w:hAnsi="Times New Roman" w:cs="Times New Roman"/>
          <w:color w:val="000000"/>
          <w:szCs w:val="18"/>
          <w:lang w:val="ro-RO"/>
        </w:rPr>
      </w:pPr>
    </w:p>
    <w:p w14:paraId="6E11DD89" w14:textId="77777777" w:rsidR="00780DBA" w:rsidRPr="009C5F11" w:rsidRDefault="00321CD5" w:rsidP="00780DBA">
      <w:pPr>
        <w:pStyle w:val="Legend"/>
        <w:keepNext/>
        <w:jc w:val="center"/>
        <w:rPr>
          <w:rFonts w:ascii="Times New Roman" w:hAnsi="Times New Roman" w:cs="Times New Roman"/>
          <w:sz w:val="22"/>
          <w:lang w:val="ro-RO"/>
        </w:rPr>
      </w:pPr>
      <w:bookmarkStart w:id="347" w:name="_Ref319683232"/>
      <w:bookmarkStart w:id="348" w:name="_Toc322013257"/>
      <w:r w:rsidRPr="009C5F11">
        <w:rPr>
          <w:rFonts w:ascii="Times New Roman" w:hAnsi="Times New Roman" w:cs="Times New Roman"/>
          <w:sz w:val="22"/>
          <w:lang w:val="ro-RO"/>
        </w:rPr>
        <w:t>Tabelul</w:t>
      </w:r>
      <w:r w:rsidR="00780DBA"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780DBA"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34</w:t>
      </w:r>
      <w:r w:rsidR="003A6ADB" w:rsidRPr="009C5F11">
        <w:rPr>
          <w:rFonts w:ascii="Times New Roman" w:hAnsi="Times New Roman" w:cs="Times New Roman"/>
          <w:sz w:val="22"/>
          <w:lang w:val="ro-RO"/>
        </w:rPr>
        <w:fldChar w:fldCharType="end"/>
      </w:r>
      <w:bookmarkEnd w:id="347"/>
      <w:r w:rsidR="00780DBA" w:rsidRPr="009C5F11">
        <w:rPr>
          <w:rFonts w:ascii="Times New Roman" w:hAnsi="Times New Roman" w:cs="Times New Roman"/>
          <w:sz w:val="22"/>
          <w:lang w:val="ro-RO"/>
        </w:rPr>
        <w:t xml:space="preserve"> - </w:t>
      </w:r>
      <w:r w:rsidR="00E46DD7" w:rsidRPr="009C5F11">
        <w:rPr>
          <w:rFonts w:ascii="Times New Roman" w:hAnsi="Times New Roman" w:cs="Times New Roman"/>
          <w:sz w:val="22"/>
          <w:lang w:val="ro-RO"/>
        </w:rPr>
        <w:t>Economii de energie</w:t>
      </w:r>
      <w:r w:rsidR="00780DBA" w:rsidRPr="009C5F11">
        <w:rPr>
          <w:rFonts w:ascii="Times New Roman" w:hAnsi="Times New Roman" w:cs="Times New Roman"/>
          <w:sz w:val="22"/>
          <w:lang w:val="ro-RO"/>
        </w:rPr>
        <w:t xml:space="preserve"> </w:t>
      </w:r>
      <w:r w:rsidR="00C55F0D" w:rsidRPr="009C5F11">
        <w:rPr>
          <w:rFonts w:ascii="Times New Roman" w:hAnsi="Times New Roman" w:cs="Times New Roman"/>
          <w:sz w:val="22"/>
          <w:lang w:val="ro-RO"/>
        </w:rPr>
        <w:t>în conformitate cu</w:t>
      </w:r>
      <w:r w:rsidR="00780DBA" w:rsidRPr="009C5F11">
        <w:rPr>
          <w:rFonts w:ascii="Times New Roman" w:hAnsi="Times New Roman" w:cs="Times New Roman"/>
          <w:sz w:val="22"/>
          <w:lang w:val="ro-RO"/>
        </w:rPr>
        <w:t xml:space="preserve"> </w:t>
      </w:r>
      <w:r w:rsidR="00CB011F" w:rsidRPr="009C5F11">
        <w:rPr>
          <w:rFonts w:ascii="Times New Roman" w:hAnsi="Times New Roman" w:cs="Times New Roman"/>
          <w:sz w:val="22"/>
          <w:lang w:val="ro-RO"/>
        </w:rPr>
        <w:t>DEE</w:t>
      </w:r>
      <w:r w:rsidR="00780DBA" w:rsidRPr="009C5F11">
        <w:rPr>
          <w:rFonts w:ascii="Times New Roman" w:hAnsi="Times New Roman" w:cs="Times New Roman"/>
          <w:sz w:val="22"/>
          <w:lang w:val="ro-RO"/>
        </w:rPr>
        <w:t>, art</w:t>
      </w:r>
      <w:r w:rsidR="00982050" w:rsidRPr="009C5F11">
        <w:rPr>
          <w:rFonts w:ascii="Times New Roman" w:hAnsi="Times New Roman" w:cs="Times New Roman"/>
          <w:sz w:val="22"/>
          <w:lang w:val="ro-RO"/>
        </w:rPr>
        <w:t>.</w:t>
      </w:r>
      <w:r w:rsidR="00780DBA" w:rsidRPr="009C5F11">
        <w:rPr>
          <w:rFonts w:ascii="Times New Roman" w:hAnsi="Times New Roman" w:cs="Times New Roman"/>
          <w:sz w:val="22"/>
          <w:lang w:val="ro-RO"/>
        </w:rPr>
        <w:t xml:space="preserve"> 7</w:t>
      </w:r>
      <w:r w:rsidR="00982050" w:rsidRPr="009C5F11">
        <w:rPr>
          <w:rFonts w:ascii="Times New Roman" w:hAnsi="Times New Roman" w:cs="Times New Roman"/>
          <w:sz w:val="22"/>
          <w:lang w:val="ro-RO"/>
        </w:rPr>
        <w:t xml:space="preserve"> alineatul (</w:t>
      </w:r>
      <w:r w:rsidR="00780DBA" w:rsidRPr="009C5F11">
        <w:rPr>
          <w:rFonts w:ascii="Times New Roman" w:hAnsi="Times New Roman" w:cs="Times New Roman"/>
          <w:sz w:val="22"/>
          <w:lang w:val="ro-RO"/>
        </w:rPr>
        <w:t>2</w:t>
      </w:r>
      <w:r w:rsidR="00982050" w:rsidRPr="009C5F11">
        <w:rPr>
          <w:rFonts w:ascii="Times New Roman" w:hAnsi="Times New Roman" w:cs="Times New Roman"/>
          <w:sz w:val="22"/>
          <w:lang w:val="ro-RO"/>
        </w:rPr>
        <w:t>) litera</w:t>
      </w:r>
      <w:r w:rsidR="00780DBA" w:rsidRPr="009C5F11">
        <w:rPr>
          <w:rFonts w:ascii="Times New Roman" w:hAnsi="Times New Roman" w:cs="Times New Roman"/>
          <w:sz w:val="22"/>
          <w:lang w:val="ro-RO"/>
        </w:rPr>
        <w:t xml:space="preserve"> (a)</w:t>
      </w:r>
      <w:r w:rsidR="00982050" w:rsidRPr="009C5F11">
        <w:rPr>
          <w:rFonts w:ascii="Times New Roman" w:hAnsi="Times New Roman" w:cs="Times New Roman"/>
          <w:sz w:val="22"/>
          <w:lang w:val="ro-RO"/>
        </w:rPr>
        <w:t>.</w:t>
      </w:r>
      <w:bookmarkEnd w:id="348"/>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tblBorders>
        <w:tblLayout w:type="fixed"/>
        <w:tblLook w:val="04A0" w:firstRow="1" w:lastRow="0" w:firstColumn="1" w:lastColumn="0" w:noHBand="0" w:noVBand="1"/>
      </w:tblPr>
      <w:tblGrid>
        <w:gridCol w:w="1014"/>
        <w:gridCol w:w="100"/>
        <w:gridCol w:w="1019"/>
        <w:gridCol w:w="751"/>
        <w:gridCol w:w="832"/>
        <w:gridCol w:w="665"/>
        <w:gridCol w:w="122"/>
        <w:gridCol w:w="917"/>
        <w:gridCol w:w="2699"/>
        <w:gridCol w:w="1124"/>
      </w:tblGrid>
      <w:tr w:rsidR="00982050" w:rsidRPr="009C5F11" w14:paraId="3DE76923" w14:textId="77777777" w:rsidTr="00B40DB5">
        <w:trPr>
          <w:trHeight w:val="124"/>
          <w:jc w:val="center"/>
        </w:trPr>
        <w:tc>
          <w:tcPr>
            <w:tcW w:w="2931" w:type="pct"/>
            <w:gridSpan w:val="8"/>
            <w:shd w:val="clear" w:color="auto" w:fill="000080"/>
            <w:noWrap/>
          </w:tcPr>
          <w:p w14:paraId="3E6CB001" w14:textId="77777777" w:rsidR="00982050" w:rsidRPr="009C5F11" w:rsidRDefault="00982050" w:rsidP="0025366D">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bCs/>
                <w:sz w:val="20"/>
                <w:szCs w:val="16"/>
                <w:lang w:val="ro-RO"/>
              </w:rPr>
              <w:t>Consumul mediu final în perioada 2012-2014 (ktep)</w:t>
            </w:r>
          </w:p>
        </w:tc>
        <w:tc>
          <w:tcPr>
            <w:tcW w:w="1460" w:type="pct"/>
            <w:shd w:val="clear" w:color="auto" w:fill="000080"/>
            <w:noWrap/>
          </w:tcPr>
          <w:p w14:paraId="6AA8EB1B" w14:textId="77777777" w:rsidR="00982050" w:rsidRPr="009C5F11" w:rsidRDefault="00982050" w:rsidP="0025366D">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bCs/>
                <w:sz w:val="20"/>
                <w:szCs w:val="16"/>
                <w:lang w:val="ro-RO"/>
              </w:rPr>
              <w:t>1,412.33</w:t>
            </w:r>
          </w:p>
        </w:tc>
        <w:tc>
          <w:tcPr>
            <w:tcW w:w="609" w:type="pct"/>
            <w:shd w:val="clear" w:color="auto" w:fill="000080"/>
          </w:tcPr>
          <w:p w14:paraId="6D50555B" w14:textId="77777777" w:rsidR="00982050" w:rsidRPr="009C5F11" w:rsidRDefault="00982050" w:rsidP="00430626">
            <w:pPr>
              <w:spacing w:after="0" w:line="240" w:lineRule="auto"/>
              <w:jc w:val="center"/>
              <w:rPr>
                <w:rFonts w:ascii="Times New Roman" w:hAnsi="Times New Roman" w:cs="Times New Roman"/>
                <w:b/>
                <w:color w:val="FFFFFF" w:themeColor="background1"/>
                <w:sz w:val="20"/>
                <w:szCs w:val="16"/>
                <w:lang w:val="ro-RO"/>
              </w:rPr>
            </w:pPr>
          </w:p>
        </w:tc>
      </w:tr>
      <w:tr w:rsidR="00982050" w:rsidRPr="009C5F11" w14:paraId="2AC2EDC8" w14:textId="77777777" w:rsidTr="00B40DB5">
        <w:trPr>
          <w:trHeight w:val="70"/>
          <w:jc w:val="center"/>
        </w:trPr>
        <w:tc>
          <w:tcPr>
            <w:tcW w:w="603" w:type="pct"/>
            <w:gridSpan w:val="2"/>
            <w:shd w:val="clear" w:color="auto" w:fill="000080"/>
            <w:noWrap/>
            <w:hideMark/>
          </w:tcPr>
          <w:p w14:paraId="71B93EE6" w14:textId="77777777" w:rsidR="00982050" w:rsidRPr="009C5F11" w:rsidRDefault="00982050" w:rsidP="0025366D">
            <w:pPr>
              <w:spacing w:after="0" w:line="240" w:lineRule="auto"/>
              <w:jc w:val="center"/>
              <w:rPr>
                <w:rFonts w:ascii="Times New Roman" w:hAnsi="Times New Roman" w:cs="Times New Roman"/>
                <w:b/>
                <w:bCs/>
                <w:sz w:val="20"/>
                <w:szCs w:val="16"/>
                <w:lang w:val="ro-RO"/>
              </w:rPr>
            </w:pPr>
            <w:r w:rsidRPr="009C5F11">
              <w:rPr>
                <w:rFonts w:ascii="Times New Roman" w:hAnsi="Times New Roman" w:cs="Times New Roman"/>
                <w:b/>
                <w:bCs/>
                <w:sz w:val="20"/>
                <w:szCs w:val="16"/>
                <w:lang w:val="ro-RO"/>
              </w:rPr>
              <w:t>Anul</w:t>
            </w:r>
          </w:p>
        </w:tc>
        <w:tc>
          <w:tcPr>
            <w:tcW w:w="551" w:type="pct"/>
            <w:shd w:val="clear" w:color="auto" w:fill="000080"/>
          </w:tcPr>
          <w:p w14:paraId="6AAEFFED" w14:textId="77777777" w:rsidR="00982050" w:rsidRPr="009C5F11" w:rsidRDefault="00982050" w:rsidP="0025366D">
            <w:pPr>
              <w:spacing w:after="0" w:line="240" w:lineRule="auto"/>
              <w:jc w:val="center"/>
              <w:rPr>
                <w:rFonts w:ascii="Times New Roman" w:hAnsi="Times New Roman" w:cs="Times New Roman"/>
                <w:b/>
                <w:bCs/>
                <w:sz w:val="20"/>
                <w:szCs w:val="16"/>
                <w:lang w:val="ro-RO"/>
              </w:rPr>
            </w:pPr>
            <w:r w:rsidRPr="009C5F11">
              <w:rPr>
                <w:rFonts w:ascii="Times New Roman" w:hAnsi="Times New Roman" w:cs="Times New Roman"/>
                <w:b/>
                <w:bCs/>
                <w:sz w:val="20"/>
                <w:szCs w:val="16"/>
                <w:lang w:val="ro-RO"/>
              </w:rPr>
              <w:t>Economii anuale</w:t>
            </w:r>
          </w:p>
        </w:tc>
        <w:tc>
          <w:tcPr>
            <w:tcW w:w="1778" w:type="pct"/>
            <w:gridSpan w:val="5"/>
            <w:shd w:val="clear" w:color="auto" w:fill="000080"/>
            <w:noWrap/>
          </w:tcPr>
          <w:p w14:paraId="569D2966" w14:textId="77777777" w:rsidR="00982050" w:rsidRPr="009C5F11" w:rsidRDefault="00982050" w:rsidP="0025366D">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bCs/>
                <w:sz w:val="20"/>
                <w:szCs w:val="16"/>
                <w:lang w:val="ro-RO"/>
              </w:rPr>
              <w:t>Economii anuale</w:t>
            </w:r>
            <w:r w:rsidRPr="009C5F11">
              <w:rPr>
                <w:rFonts w:ascii="Times New Roman" w:hAnsi="Times New Roman" w:cs="Times New Roman"/>
                <w:b/>
                <w:sz w:val="20"/>
                <w:szCs w:val="16"/>
                <w:lang w:val="ro-RO"/>
              </w:rPr>
              <w:t xml:space="preserve"> de energie (ktep)</w:t>
            </w:r>
          </w:p>
        </w:tc>
        <w:tc>
          <w:tcPr>
            <w:tcW w:w="1460" w:type="pct"/>
            <w:shd w:val="clear" w:color="auto" w:fill="000080"/>
            <w:noWrap/>
            <w:hideMark/>
          </w:tcPr>
          <w:p w14:paraId="664A0305" w14:textId="77777777" w:rsidR="00982050" w:rsidRPr="009C5F11" w:rsidRDefault="00982050" w:rsidP="0025366D">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sz w:val="20"/>
                <w:szCs w:val="16"/>
                <w:lang w:val="ro-RO"/>
              </w:rPr>
              <w:t xml:space="preserve">Total </w:t>
            </w:r>
            <w:r w:rsidRPr="009C5F11">
              <w:rPr>
                <w:rFonts w:ascii="Times New Roman" w:hAnsi="Times New Roman" w:cs="Times New Roman"/>
                <w:b/>
                <w:bCs/>
                <w:sz w:val="20"/>
                <w:szCs w:val="16"/>
                <w:lang w:val="ro-RO"/>
              </w:rPr>
              <w:t>economii anuale</w:t>
            </w:r>
            <w:r w:rsidRPr="009C5F11">
              <w:rPr>
                <w:rFonts w:ascii="Times New Roman" w:hAnsi="Times New Roman" w:cs="Times New Roman"/>
                <w:b/>
                <w:sz w:val="20"/>
                <w:szCs w:val="16"/>
                <w:lang w:val="ro-RO"/>
              </w:rPr>
              <w:t xml:space="preserve"> (ktep)</w:t>
            </w:r>
          </w:p>
        </w:tc>
        <w:tc>
          <w:tcPr>
            <w:tcW w:w="609" w:type="pct"/>
            <w:shd w:val="clear" w:color="auto" w:fill="000080"/>
          </w:tcPr>
          <w:p w14:paraId="4062D645" w14:textId="77777777" w:rsidR="00982050" w:rsidRPr="009C5F11" w:rsidRDefault="00982050" w:rsidP="0025366D">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sz w:val="20"/>
                <w:szCs w:val="16"/>
                <w:lang w:val="ro-RO"/>
              </w:rPr>
              <w:t>Reducere (%)</w:t>
            </w:r>
          </w:p>
        </w:tc>
      </w:tr>
      <w:tr w:rsidR="00397856" w:rsidRPr="009C5F11" w14:paraId="4D3DD7D4" w14:textId="77777777" w:rsidTr="00B40DB5">
        <w:trPr>
          <w:trHeight w:val="62"/>
          <w:jc w:val="center"/>
        </w:trPr>
        <w:tc>
          <w:tcPr>
            <w:tcW w:w="549" w:type="pct"/>
            <w:shd w:val="clear" w:color="auto" w:fill="auto"/>
            <w:noWrap/>
            <w:vAlign w:val="center"/>
            <w:hideMark/>
          </w:tcPr>
          <w:p w14:paraId="1328EDE5" w14:textId="77777777" w:rsidR="00397856" w:rsidRPr="009C5F11" w:rsidRDefault="00397856"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sz w:val="20"/>
                <w:szCs w:val="16"/>
                <w:lang w:val="ro-RO"/>
              </w:rPr>
              <w:t>2017 (8)</w:t>
            </w:r>
          </w:p>
        </w:tc>
        <w:tc>
          <w:tcPr>
            <w:tcW w:w="605" w:type="pct"/>
            <w:gridSpan w:val="2"/>
            <w:shd w:val="clear" w:color="auto" w:fill="auto"/>
            <w:noWrap/>
            <w:vAlign w:val="bottom"/>
            <w:hideMark/>
          </w:tcPr>
          <w:p w14:paraId="243B34AC" w14:textId="77777777" w:rsidR="00397856" w:rsidRPr="009C5F11" w:rsidRDefault="00397856" w:rsidP="00430626">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0.50%</w:t>
            </w:r>
          </w:p>
        </w:tc>
        <w:tc>
          <w:tcPr>
            <w:tcW w:w="406" w:type="pct"/>
            <w:shd w:val="clear" w:color="auto" w:fill="auto"/>
            <w:noWrap/>
            <w:vAlign w:val="bottom"/>
            <w:hideMark/>
          </w:tcPr>
          <w:p w14:paraId="0E607318" w14:textId="77777777" w:rsidR="00397856" w:rsidRPr="009C5F11" w:rsidRDefault="00397856"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7.06</w:t>
            </w:r>
          </w:p>
        </w:tc>
        <w:tc>
          <w:tcPr>
            <w:tcW w:w="450" w:type="pct"/>
            <w:shd w:val="clear" w:color="auto" w:fill="auto"/>
            <w:noWrap/>
            <w:vAlign w:val="bottom"/>
            <w:hideMark/>
          </w:tcPr>
          <w:p w14:paraId="252C1392" w14:textId="77777777" w:rsidR="00397856" w:rsidRPr="009C5F11" w:rsidRDefault="00397856" w:rsidP="00430626">
            <w:pPr>
              <w:spacing w:after="0" w:line="240" w:lineRule="auto"/>
              <w:jc w:val="center"/>
              <w:rPr>
                <w:rFonts w:ascii="Times New Roman" w:hAnsi="Times New Roman" w:cs="Times New Roman"/>
                <w:color w:val="000000"/>
                <w:sz w:val="20"/>
                <w:szCs w:val="16"/>
                <w:lang w:val="ro-RO"/>
              </w:rPr>
            </w:pPr>
          </w:p>
        </w:tc>
        <w:tc>
          <w:tcPr>
            <w:tcW w:w="360" w:type="pct"/>
            <w:shd w:val="clear" w:color="auto" w:fill="auto"/>
            <w:noWrap/>
            <w:vAlign w:val="bottom"/>
            <w:hideMark/>
          </w:tcPr>
          <w:p w14:paraId="26F79631" w14:textId="77777777" w:rsidR="00397856" w:rsidRPr="009C5F11" w:rsidRDefault="00397856"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 </w:t>
            </w:r>
          </w:p>
        </w:tc>
        <w:tc>
          <w:tcPr>
            <w:tcW w:w="562" w:type="pct"/>
            <w:gridSpan w:val="2"/>
            <w:shd w:val="clear" w:color="auto" w:fill="auto"/>
            <w:noWrap/>
            <w:vAlign w:val="bottom"/>
            <w:hideMark/>
          </w:tcPr>
          <w:p w14:paraId="03499A97" w14:textId="77777777" w:rsidR="00397856" w:rsidRPr="009C5F11" w:rsidRDefault="00397856"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 </w:t>
            </w:r>
          </w:p>
        </w:tc>
        <w:tc>
          <w:tcPr>
            <w:tcW w:w="1460" w:type="pct"/>
            <w:shd w:val="clear" w:color="auto" w:fill="auto"/>
            <w:noWrap/>
            <w:vAlign w:val="center"/>
            <w:hideMark/>
          </w:tcPr>
          <w:p w14:paraId="39BC3C97" w14:textId="77777777" w:rsidR="00397856" w:rsidRPr="009C5F11" w:rsidRDefault="00397856"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7,06</w:t>
            </w:r>
          </w:p>
        </w:tc>
        <w:tc>
          <w:tcPr>
            <w:tcW w:w="609" w:type="pct"/>
            <w:vAlign w:val="bottom"/>
          </w:tcPr>
          <w:p w14:paraId="056D4D5F" w14:textId="77777777" w:rsidR="00397856" w:rsidRPr="009C5F11" w:rsidRDefault="00397856" w:rsidP="00430626">
            <w:pPr>
              <w:spacing w:after="0" w:line="240" w:lineRule="auto"/>
              <w:jc w:val="right"/>
              <w:rPr>
                <w:rFonts w:ascii="Times New Roman" w:hAnsi="Times New Roman" w:cs="Times New Roman"/>
                <w:color w:val="000000"/>
                <w:sz w:val="20"/>
                <w:szCs w:val="16"/>
                <w:lang w:val="ro-RO"/>
              </w:rPr>
            </w:pPr>
          </w:p>
        </w:tc>
      </w:tr>
      <w:tr w:rsidR="00397856" w:rsidRPr="009C5F11" w14:paraId="48E8E58F" w14:textId="77777777" w:rsidTr="00B40DB5">
        <w:trPr>
          <w:trHeight w:val="72"/>
          <w:jc w:val="center"/>
        </w:trPr>
        <w:tc>
          <w:tcPr>
            <w:tcW w:w="549" w:type="pct"/>
            <w:shd w:val="clear" w:color="auto" w:fill="auto"/>
            <w:noWrap/>
            <w:hideMark/>
          </w:tcPr>
          <w:p w14:paraId="588DC132" w14:textId="77777777" w:rsidR="00397856" w:rsidRPr="009C5F11" w:rsidRDefault="00397856"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sz w:val="20"/>
                <w:szCs w:val="16"/>
                <w:lang w:val="ro-RO"/>
              </w:rPr>
              <w:t>2018 (9)</w:t>
            </w:r>
          </w:p>
        </w:tc>
        <w:tc>
          <w:tcPr>
            <w:tcW w:w="605" w:type="pct"/>
            <w:gridSpan w:val="2"/>
            <w:shd w:val="clear" w:color="auto" w:fill="auto"/>
            <w:noWrap/>
            <w:vAlign w:val="bottom"/>
            <w:hideMark/>
          </w:tcPr>
          <w:p w14:paraId="51398B8E" w14:textId="77777777" w:rsidR="00397856" w:rsidRPr="009C5F11" w:rsidRDefault="00397856" w:rsidP="00430626">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0.50%</w:t>
            </w:r>
          </w:p>
        </w:tc>
        <w:tc>
          <w:tcPr>
            <w:tcW w:w="406" w:type="pct"/>
            <w:shd w:val="clear" w:color="auto" w:fill="auto"/>
            <w:noWrap/>
            <w:hideMark/>
          </w:tcPr>
          <w:p w14:paraId="27ABB21C" w14:textId="77777777" w:rsidR="00397856" w:rsidRPr="009C5F11" w:rsidRDefault="00397856"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7.06</w:t>
            </w:r>
          </w:p>
        </w:tc>
        <w:tc>
          <w:tcPr>
            <w:tcW w:w="450" w:type="pct"/>
            <w:shd w:val="clear" w:color="auto" w:fill="auto"/>
            <w:noWrap/>
            <w:hideMark/>
          </w:tcPr>
          <w:p w14:paraId="00DCA8C1" w14:textId="77777777" w:rsidR="00397856" w:rsidRPr="009C5F11" w:rsidRDefault="00397856"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7.06</w:t>
            </w:r>
          </w:p>
        </w:tc>
        <w:tc>
          <w:tcPr>
            <w:tcW w:w="360" w:type="pct"/>
            <w:shd w:val="clear" w:color="auto" w:fill="auto"/>
            <w:noWrap/>
            <w:vAlign w:val="bottom"/>
            <w:hideMark/>
          </w:tcPr>
          <w:p w14:paraId="2C4299A7" w14:textId="77777777" w:rsidR="00397856" w:rsidRPr="009C5F11" w:rsidRDefault="00397856"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 </w:t>
            </w:r>
          </w:p>
        </w:tc>
        <w:tc>
          <w:tcPr>
            <w:tcW w:w="562" w:type="pct"/>
            <w:gridSpan w:val="2"/>
            <w:shd w:val="clear" w:color="auto" w:fill="auto"/>
            <w:noWrap/>
            <w:vAlign w:val="bottom"/>
            <w:hideMark/>
          </w:tcPr>
          <w:p w14:paraId="120D7596" w14:textId="77777777" w:rsidR="00397856" w:rsidRPr="009C5F11" w:rsidRDefault="00397856"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 </w:t>
            </w:r>
          </w:p>
        </w:tc>
        <w:tc>
          <w:tcPr>
            <w:tcW w:w="1460" w:type="pct"/>
            <w:shd w:val="clear" w:color="auto" w:fill="auto"/>
            <w:noWrap/>
            <w:vAlign w:val="center"/>
            <w:hideMark/>
          </w:tcPr>
          <w:p w14:paraId="2964B946" w14:textId="77777777" w:rsidR="00397856" w:rsidRPr="009C5F11" w:rsidRDefault="00397856"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14,12</w:t>
            </w:r>
          </w:p>
        </w:tc>
        <w:tc>
          <w:tcPr>
            <w:tcW w:w="609" w:type="pct"/>
            <w:vAlign w:val="bottom"/>
          </w:tcPr>
          <w:p w14:paraId="18246FFC" w14:textId="77777777" w:rsidR="00397856" w:rsidRPr="009C5F11" w:rsidRDefault="00397856" w:rsidP="00430626">
            <w:pPr>
              <w:spacing w:after="0" w:line="240" w:lineRule="auto"/>
              <w:jc w:val="right"/>
              <w:rPr>
                <w:rFonts w:ascii="Times New Roman" w:hAnsi="Times New Roman" w:cs="Times New Roman"/>
                <w:color w:val="000000"/>
                <w:sz w:val="20"/>
                <w:szCs w:val="16"/>
                <w:lang w:val="ro-RO"/>
              </w:rPr>
            </w:pPr>
          </w:p>
        </w:tc>
      </w:tr>
      <w:tr w:rsidR="00397856" w:rsidRPr="009C5F11" w14:paraId="604B0C0F" w14:textId="77777777" w:rsidTr="00B40DB5">
        <w:trPr>
          <w:trHeight w:val="72"/>
          <w:jc w:val="center"/>
        </w:trPr>
        <w:tc>
          <w:tcPr>
            <w:tcW w:w="549" w:type="pct"/>
            <w:shd w:val="clear" w:color="auto" w:fill="auto"/>
            <w:noWrap/>
            <w:hideMark/>
          </w:tcPr>
          <w:p w14:paraId="29BB7A53" w14:textId="77777777" w:rsidR="00397856" w:rsidRPr="009C5F11" w:rsidRDefault="00397856"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sz w:val="20"/>
                <w:szCs w:val="16"/>
                <w:lang w:val="ro-RO"/>
              </w:rPr>
              <w:t>2019 (10)</w:t>
            </w:r>
          </w:p>
        </w:tc>
        <w:tc>
          <w:tcPr>
            <w:tcW w:w="605" w:type="pct"/>
            <w:gridSpan w:val="2"/>
            <w:shd w:val="clear" w:color="auto" w:fill="auto"/>
            <w:noWrap/>
            <w:vAlign w:val="bottom"/>
            <w:hideMark/>
          </w:tcPr>
          <w:p w14:paraId="18509C5E" w14:textId="77777777" w:rsidR="00397856" w:rsidRPr="009C5F11" w:rsidRDefault="00397856" w:rsidP="00430626">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0.70%</w:t>
            </w:r>
          </w:p>
        </w:tc>
        <w:tc>
          <w:tcPr>
            <w:tcW w:w="406" w:type="pct"/>
            <w:shd w:val="clear" w:color="auto" w:fill="auto"/>
            <w:noWrap/>
            <w:hideMark/>
          </w:tcPr>
          <w:p w14:paraId="678B904C" w14:textId="77777777" w:rsidR="00397856" w:rsidRPr="009C5F11" w:rsidRDefault="00397856"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7.06</w:t>
            </w:r>
          </w:p>
        </w:tc>
        <w:tc>
          <w:tcPr>
            <w:tcW w:w="450" w:type="pct"/>
            <w:shd w:val="clear" w:color="auto" w:fill="auto"/>
            <w:noWrap/>
            <w:hideMark/>
          </w:tcPr>
          <w:p w14:paraId="702B9EC1" w14:textId="77777777" w:rsidR="00397856" w:rsidRPr="009C5F11" w:rsidRDefault="00397856"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7.06</w:t>
            </w:r>
          </w:p>
        </w:tc>
        <w:tc>
          <w:tcPr>
            <w:tcW w:w="426" w:type="pct"/>
            <w:gridSpan w:val="2"/>
            <w:shd w:val="clear" w:color="auto" w:fill="auto"/>
            <w:noWrap/>
            <w:hideMark/>
          </w:tcPr>
          <w:p w14:paraId="54764893" w14:textId="77777777" w:rsidR="00397856" w:rsidRPr="009C5F11" w:rsidRDefault="00397856" w:rsidP="00430626">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sz w:val="20"/>
                <w:szCs w:val="16"/>
                <w:lang w:val="ro-RO"/>
              </w:rPr>
              <w:t>9.89</w:t>
            </w:r>
          </w:p>
        </w:tc>
        <w:tc>
          <w:tcPr>
            <w:tcW w:w="496" w:type="pct"/>
            <w:shd w:val="clear" w:color="auto" w:fill="auto"/>
            <w:noWrap/>
            <w:hideMark/>
          </w:tcPr>
          <w:p w14:paraId="58CB0FFC" w14:textId="77777777" w:rsidR="00397856" w:rsidRPr="009C5F11" w:rsidRDefault="00397856" w:rsidP="00430626">
            <w:pPr>
              <w:spacing w:after="0" w:line="240" w:lineRule="auto"/>
              <w:rPr>
                <w:rFonts w:ascii="Times New Roman" w:hAnsi="Times New Roman" w:cs="Times New Roman"/>
                <w:color w:val="000000"/>
                <w:sz w:val="20"/>
                <w:szCs w:val="16"/>
                <w:lang w:val="ro-RO"/>
              </w:rPr>
            </w:pPr>
          </w:p>
        </w:tc>
        <w:tc>
          <w:tcPr>
            <w:tcW w:w="1460" w:type="pct"/>
            <w:shd w:val="clear" w:color="auto" w:fill="auto"/>
            <w:noWrap/>
            <w:vAlign w:val="center"/>
            <w:hideMark/>
          </w:tcPr>
          <w:p w14:paraId="0131158F" w14:textId="77777777" w:rsidR="00397856" w:rsidRPr="009C5F11" w:rsidRDefault="00397856"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24,01</w:t>
            </w:r>
          </w:p>
        </w:tc>
        <w:tc>
          <w:tcPr>
            <w:tcW w:w="609" w:type="pct"/>
            <w:vAlign w:val="bottom"/>
          </w:tcPr>
          <w:p w14:paraId="5314CEB6" w14:textId="77777777" w:rsidR="00397856" w:rsidRPr="009C5F11" w:rsidRDefault="00397856" w:rsidP="00430626">
            <w:pPr>
              <w:spacing w:after="0" w:line="240" w:lineRule="auto"/>
              <w:jc w:val="right"/>
              <w:rPr>
                <w:rFonts w:ascii="Times New Roman" w:hAnsi="Times New Roman" w:cs="Times New Roman"/>
                <w:color w:val="000000"/>
                <w:sz w:val="20"/>
                <w:szCs w:val="16"/>
                <w:lang w:val="ro-RO"/>
              </w:rPr>
            </w:pPr>
          </w:p>
        </w:tc>
      </w:tr>
      <w:tr w:rsidR="00397856" w:rsidRPr="009C5F11" w14:paraId="2CD6DC9F" w14:textId="77777777" w:rsidTr="00B40DB5">
        <w:trPr>
          <w:trHeight w:val="72"/>
          <w:jc w:val="center"/>
        </w:trPr>
        <w:tc>
          <w:tcPr>
            <w:tcW w:w="549" w:type="pct"/>
            <w:shd w:val="clear" w:color="auto" w:fill="auto"/>
            <w:noWrap/>
            <w:hideMark/>
          </w:tcPr>
          <w:p w14:paraId="3A1A8EFD" w14:textId="77777777" w:rsidR="00397856" w:rsidRPr="009C5F11" w:rsidRDefault="00397856"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sz w:val="20"/>
                <w:szCs w:val="16"/>
                <w:lang w:val="ro-RO"/>
              </w:rPr>
              <w:t>2020 (11)</w:t>
            </w:r>
          </w:p>
        </w:tc>
        <w:tc>
          <w:tcPr>
            <w:tcW w:w="605" w:type="pct"/>
            <w:gridSpan w:val="2"/>
            <w:shd w:val="clear" w:color="auto" w:fill="auto"/>
            <w:noWrap/>
            <w:vAlign w:val="bottom"/>
            <w:hideMark/>
          </w:tcPr>
          <w:p w14:paraId="27EC5D33" w14:textId="77777777" w:rsidR="00397856" w:rsidRPr="009C5F11" w:rsidRDefault="00397856" w:rsidP="00430626">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0.70%</w:t>
            </w:r>
          </w:p>
        </w:tc>
        <w:tc>
          <w:tcPr>
            <w:tcW w:w="406" w:type="pct"/>
            <w:shd w:val="clear" w:color="auto" w:fill="auto"/>
            <w:noWrap/>
            <w:hideMark/>
          </w:tcPr>
          <w:p w14:paraId="31C02679" w14:textId="77777777" w:rsidR="00397856" w:rsidRPr="009C5F11" w:rsidRDefault="00397856"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7.06</w:t>
            </w:r>
          </w:p>
        </w:tc>
        <w:tc>
          <w:tcPr>
            <w:tcW w:w="450" w:type="pct"/>
            <w:shd w:val="clear" w:color="auto" w:fill="auto"/>
            <w:noWrap/>
            <w:hideMark/>
          </w:tcPr>
          <w:p w14:paraId="3390CB98" w14:textId="77777777" w:rsidR="00397856" w:rsidRPr="009C5F11" w:rsidRDefault="00397856" w:rsidP="00430626">
            <w:pPr>
              <w:spacing w:after="0" w:line="240" w:lineRule="auto"/>
              <w:jc w:val="center"/>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7.06</w:t>
            </w:r>
          </w:p>
        </w:tc>
        <w:tc>
          <w:tcPr>
            <w:tcW w:w="426" w:type="pct"/>
            <w:gridSpan w:val="2"/>
            <w:shd w:val="clear" w:color="auto" w:fill="auto"/>
            <w:noWrap/>
            <w:hideMark/>
          </w:tcPr>
          <w:p w14:paraId="54DF65AD" w14:textId="77777777" w:rsidR="00397856" w:rsidRPr="009C5F11" w:rsidRDefault="00397856" w:rsidP="00430626">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sz w:val="20"/>
                <w:szCs w:val="16"/>
                <w:lang w:val="ro-RO"/>
              </w:rPr>
              <w:t>9.89</w:t>
            </w:r>
          </w:p>
        </w:tc>
        <w:tc>
          <w:tcPr>
            <w:tcW w:w="496" w:type="pct"/>
            <w:shd w:val="clear" w:color="auto" w:fill="auto"/>
            <w:noWrap/>
            <w:hideMark/>
          </w:tcPr>
          <w:p w14:paraId="194C876D" w14:textId="77777777" w:rsidR="00397856" w:rsidRPr="009C5F11" w:rsidRDefault="00397856" w:rsidP="00430626">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sz w:val="20"/>
                <w:szCs w:val="16"/>
                <w:lang w:val="ro-RO"/>
              </w:rPr>
              <w:t>9.89</w:t>
            </w:r>
          </w:p>
        </w:tc>
        <w:tc>
          <w:tcPr>
            <w:tcW w:w="1460" w:type="pct"/>
            <w:shd w:val="clear" w:color="auto" w:fill="auto"/>
            <w:noWrap/>
            <w:vAlign w:val="center"/>
            <w:hideMark/>
          </w:tcPr>
          <w:p w14:paraId="27F41174" w14:textId="77777777" w:rsidR="00397856" w:rsidRPr="009C5F11" w:rsidRDefault="00397856"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33,90</w:t>
            </w:r>
          </w:p>
        </w:tc>
        <w:tc>
          <w:tcPr>
            <w:tcW w:w="609" w:type="pct"/>
            <w:shd w:val="clear" w:color="auto" w:fill="auto"/>
            <w:vAlign w:val="bottom"/>
          </w:tcPr>
          <w:p w14:paraId="594E5319" w14:textId="77777777" w:rsidR="00397856" w:rsidRPr="009C5F11" w:rsidRDefault="00397856" w:rsidP="00430626">
            <w:pPr>
              <w:spacing w:after="0" w:line="240" w:lineRule="auto"/>
              <w:jc w:val="right"/>
              <w:rPr>
                <w:rFonts w:ascii="Times New Roman" w:hAnsi="Times New Roman" w:cs="Times New Roman"/>
                <w:bCs/>
                <w:color w:val="000000"/>
                <w:sz w:val="20"/>
                <w:szCs w:val="16"/>
                <w:lang w:val="ro-RO"/>
              </w:rPr>
            </w:pPr>
          </w:p>
        </w:tc>
      </w:tr>
      <w:tr w:rsidR="00BC2ED4" w:rsidRPr="009C5F11" w14:paraId="210128B2" w14:textId="77777777" w:rsidTr="00B40DB5">
        <w:trPr>
          <w:trHeight w:val="72"/>
          <w:jc w:val="center"/>
        </w:trPr>
        <w:tc>
          <w:tcPr>
            <w:tcW w:w="2931" w:type="pct"/>
            <w:gridSpan w:val="8"/>
            <w:shd w:val="clear" w:color="auto" w:fill="auto"/>
            <w:noWrap/>
            <w:vAlign w:val="bottom"/>
          </w:tcPr>
          <w:p w14:paraId="49DA80E0" w14:textId="77777777" w:rsidR="00BC2ED4" w:rsidRPr="009C5F11" w:rsidRDefault="00982050" w:rsidP="00397856">
            <w:pPr>
              <w:spacing w:after="0" w:line="240" w:lineRule="auto"/>
              <w:rPr>
                <w:rFonts w:ascii="Times New Roman" w:hAnsi="Times New Roman" w:cs="Times New Roman"/>
                <w:b/>
                <w:bCs/>
                <w:color w:val="000000"/>
                <w:sz w:val="20"/>
                <w:szCs w:val="16"/>
                <w:lang w:val="ro-RO"/>
              </w:rPr>
            </w:pPr>
            <w:r w:rsidRPr="009C5F11">
              <w:rPr>
                <w:rFonts w:ascii="Times New Roman" w:hAnsi="Times New Roman" w:cs="Times New Roman"/>
                <w:b/>
                <w:bCs/>
                <w:sz w:val="20"/>
                <w:szCs w:val="16"/>
                <w:lang w:val="ro-RO"/>
              </w:rPr>
              <w:t>Total economii cumulative în perioada</w:t>
            </w:r>
            <w:r w:rsidR="00397856" w:rsidRPr="009C5F11">
              <w:rPr>
                <w:rFonts w:ascii="Times New Roman" w:hAnsi="Times New Roman" w:cs="Times New Roman"/>
                <w:b/>
                <w:bCs/>
                <w:sz w:val="20"/>
                <w:szCs w:val="16"/>
                <w:lang w:val="ro-RO"/>
              </w:rPr>
              <w:t xml:space="preserve"> 2017-2020</w:t>
            </w:r>
          </w:p>
        </w:tc>
        <w:tc>
          <w:tcPr>
            <w:tcW w:w="1460" w:type="pct"/>
            <w:shd w:val="clear" w:color="auto" w:fill="DBE5F1"/>
            <w:noWrap/>
            <w:vAlign w:val="bottom"/>
          </w:tcPr>
          <w:p w14:paraId="5E8EE54B" w14:textId="77777777" w:rsidR="00BC2ED4" w:rsidRPr="009C5F11" w:rsidRDefault="00397856" w:rsidP="00397856">
            <w:pPr>
              <w:spacing w:after="0" w:line="240" w:lineRule="auto"/>
              <w:jc w:val="right"/>
              <w:rPr>
                <w:rFonts w:ascii="Times New Roman" w:hAnsi="Times New Roman" w:cs="Times New Roman"/>
                <w:b/>
                <w:bCs/>
                <w:color w:val="000000"/>
                <w:sz w:val="20"/>
                <w:szCs w:val="16"/>
                <w:lang w:val="ro-RO"/>
              </w:rPr>
            </w:pPr>
            <w:r w:rsidRPr="009C5F11">
              <w:rPr>
                <w:rFonts w:ascii="Times New Roman" w:hAnsi="Times New Roman" w:cs="Times New Roman"/>
                <w:b/>
                <w:bCs/>
                <w:color w:val="000000"/>
                <w:sz w:val="20"/>
                <w:szCs w:val="16"/>
                <w:lang w:val="ro-RO"/>
              </w:rPr>
              <w:t>79.09</w:t>
            </w:r>
          </w:p>
        </w:tc>
        <w:tc>
          <w:tcPr>
            <w:tcW w:w="609" w:type="pct"/>
            <w:shd w:val="clear" w:color="auto" w:fill="auto"/>
            <w:vAlign w:val="bottom"/>
          </w:tcPr>
          <w:p w14:paraId="2AFF58DF" w14:textId="77777777" w:rsidR="00BC2ED4" w:rsidRPr="009C5F11" w:rsidRDefault="00BC2ED4" w:rsidP="00430626">
            <w:pPr>
              <w:spacing w:after="0" w:line="240" w:lineRule="auto"/>
              <w:jc w:val="right"/>
              <w:rPr>
                <w:rFonts w:ascii="Times New Roman" w:hAnsi="Times New Roman" w:cs="Times New Roman"/>
                <w:b/>
                <w:bCs/>
                <w:color w:val="000000"/>
                <w:sz w:val="20"/>
                <w:szCs w:val="16"/>
                <w:lang w:val="ro-RO"/>
              </w:rPr>
            </w:pPr>
            <w:r w:rsidRPr="009C5F11">
              <w:rPr>
                <w:rFonts w:ascii="Times New Roman" w:hAnsi="Times New Roman" w:cs="Times New Roman"/>
                <w:b/>
                <w:bCs/>
                <w:color w:val="000000"/>
                <w:sz w:val="20"/>
                <w:szCs w:val="16"/>
                <w:lang w:val="ro-RO"/>
              </w:rPr>
              <w:t>20</w:t>
            </w:r>
          </w:p>
        </w:tc>
      </w:tr>
    </w:tbl>
    <w:p w14:paraId="44830BA8" w14:textId="77777777" w:rsidR="00BC2ED4" w:rsidRPr="009C5F11" w:rsidRDefault="00BC2ED4" w:rsidP="00BC2ED4">
      <w:pPr>
        <w:spacing w:before="240" w:line="240" w:lineRule="auto"/>
        <w:jc w:val="center"/>
        <w:rPr>
          <w:rFonts w:ascii="Times New Roman" w:hAnsi="Times New Roman" w:cs="Times New Roman"/>
          <w:szCs w:val="18"/>
          <w:lang w:val="ro-RO"/>
        </w:rPr>
      </w:pPr>
    </w:p>
    <w:p w14:paraId="72630172" w14:textId="77777777" w:rsidR="00780DBA" w:rsidRPr="009C5F11" w:rsidRDefault="00321CD5" w:rsidP="00780DBA">
      <w:pPr>
        <w:pStyle w:val="Legend"/>
        <w:keepNext/>
        <w:jc w:val="center"/>
        <w:rPr>
          <w:rFonts w:ascii="Times New Roman" w:hAnsi="Times New Roman" w:cs="Times New Roman"/>
          <w:sz w:val="22"/>
          <w:lang w:val="ro-RO"/>
        </w:rPr>
      </w:pPr>
      <w:bookmarkStart w:id="349" w:name="_Ref319683258"/>
      <w:bookmarkStart w:id="350" w:name="_Toc322013258"/>
      <w:r w:rsidRPr="009C5F11">
        <w:rPr>
          <w:rFonts w:ascii="Times New Roman" w:hAnsi="Times New Roman" w:cs="Times New Roman"/>
          <w:sz w:val="22"/>
          <w:lang w:val="ro-RO"/>
        </w:rPr>
        <w:t>Tabelul</w:t>
      </w:r>
      <w:r w:rsidR="00780DBA"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780DBA"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35</w:t>
      </w:r>
      <w:r w:rsidR="003A6ADB" w:rsidRPr="009C5F11">
        <w:rPr>
          <w:rFonts w:ascii="Times New Roman" w:hAnsi="Times New Roman" w:cs="Times New Roman"/>
          <w:sz w:val="22"/>
          <w:lang w:val="ro-RO"/>
        </w:rPr>
        <w:fldChar w:fldCharType="end"/>
      </w:r>
      <w:bookmarkEnd w:id="349"/>
      <w:r w:rsidR="00780DBA" w:rsidRPr="009C5F11">
        <w:rPr>
          <w:rFonts w:ascii="Times New Roman" w:hAnsi="Times New Roman" w:cs="Times New Roman"/>
          <w:sz w:val="22"/>
          <w:lang w:val="ro-RO"/>
        </w:rPr>
        <w:t xml:space="preserve"> - </w:t>
      </w:r>
      <w:r w:rsidR="00E46DD7" w:rsidRPr="009C5F11">
        <w:rPr>
          <w:rFonts w:ascii="Times New Roman" w:hAnsi="Times New Roman" w:cs="Times New Roman"/>
          <w:sz w:val="22"/>
          <w:lang w:val="ro-RO"/>
        </w:rPr>
        <w:t>Economii de energie</w:t>
      </w:r>
      <w:r w:rsidR="00780DBA" w:rsidRPr="009C5F11">
        <w:rPr>
          <w:rFonts w:ascii="Times New Roman" w:hAnsi="Times New Roman" w:cs="Times New Roman"/>
          <w:sz w:val="22"/>
          <w:lang w:val="ro-RO"/>
        </w:rPr>
        <w:t xml:space="preserve"> </w:t>
      </w:r>
      <w:r w:rsidR="00C55F0D" w:rsidRPr="009C5F11">
        <w:rPr>
          <w:rFonts w:ascii="Times New Roman" w:hAnsi="Times New Roman" w:cs="Times New Roman"/>
          <w:sz w:val="22"/>
          <w:lang w:val="ro-RO"/>
        </w:rPr>
        <w:t>în conformitate cu</w:t>
      </w:r>
      <w:r w:rsidR="00780DBA" w:rsidRPr="009C5F11">
        <w:rPr>
          <w:rFonts w:ascii="Times New Roman" w:hAnsi="Times New Roman" w:cs="Times New Roman"/>
          <w:sz w:val="22"/>
          <w:lang w:val="ro-RO"/>
        </w:rPr>
        <w:t xml:space="preserve"> </w:t>
      </w:r>
      <w:r w:rsidR="00CB011F" w:rsidRPr="009C5F11">
        <w:rPr>
          <w:rFonts w:ascii="Times New Roman" w:hAnsi="Times New Roman" w:cs="Times New Roman"/>
          <w:sz w:val="22"/>
          <w:lang w:val="ro-RO"/>
        </w:rPr>
        <w:t>DEE</w:t>
      </w:r>
      <w:r w:rsidR="00780DBA" w:rsidRPr="009C5F11">
        <w:rPr>
          <w:rFonts w:ascii="Times New Roman" w:hAnsi="Times New Roman" w:cs="Times New Roman"/>
          <w:sz w:val="22"/>
          <w:lang w:val="ro-RO"/>
        </w:rPr>
        <w:t xml:space="preserve">, </w:t>
      </w:r>
      <w:r w:rsidR="00892294" w:rsidRPr="009C5F11">
        <w:rPr>
          <w:rFonts w:ascii="Times New Roman" w:hAnsi="Times New Roman" w:cs="Times New Roman"/>
          <w:sz w:val="22"/>
          <w:lang w:val="ro-RO"/>
        </w:rPr>
        <w:t>art.</w:t>
      </w:r>
      <w:r w:rsidR="00780DBA" w:rsidRPr="009C5F11">
        <w:rPr>
          <w:rFonts w:ascii="Times New Roman" w:hAnsi="Times New Roman" w:cs="Times New Roman"/>
          <w:sz w:val="22"/>
          <w:lang w:val="ro-RO"/>
        </w:rPr>
        <w:t xml:space="preserve"> 7</w:t>
      </w:r>
      <w:r w:rsidR="007445E9" w:rsidRPr="009C5F11">
        <w:rPr>
          <w:rFonts w:ascii="Times New Roman" w:hAnsi="Times New Roman" w:cs="Times New Roman"/>
          <w:sz w:val="22"/>
          <w:lang w:val="ro-RO"/>
        </w:rPr>
        <w:t xml:space="preserve"> alineatul </w:t>
      </w:r>
      <w:r w:rsidR="00780DBA" w:rsidRPr="009C5F11">
        <w:rPr>
          <w:rFonts w:ascii="Times New Roman" w:hAnsi="Times New Roman" w:cs="Times New Roman"/>
          <w:sz w:val="22"/>
          <w:lang w:val="ro-RO"/>
        </w:rPr>
        <w:t xml:space="preserve">2 </w:t>
      </w:r>
      <w:r w:rsidR="007445E9" w:rsidRPr="009C5F11">
        <w:rPr>
          <w:rFonts w:ascii="Times New Roman" w:hAnsi="Times New Roman" w:cs="Times New Roman"/>
          <w:sz w:val="22"/>
          <w:lang w:val="ro-RO"/>
        </w:rPr>
        <w:t xml:space="preserve">literele </w:t>
      </w:r>
      <w:r w:rsidR="00780DBA" w:rsidRPr="009C5F11">
        <w:rPr>
          <w:rFonts w:ascii="Times New Roman" w:hAnsi="Times New Roman" w:cs="Times New Roman"/>
          <w:sz w:val="22"/>
          <w:lang w:val="ro-RO"/>
        </w:rPr>
        <w:t>(c)</w:t>
      </w:r>
      <w:r w:rsidR="007445E9" w:rsidRPr="009C5F11">
        <w:rPr>
          <w:rFonts w:ascii="Times New Roman" w:hAnsi="Times New Roman" w:cs="Times New Roman"/>
          <w:sz w:val="22"/>
          <w:lang w:val="ro-RO"/>
        </w:rPr>
        <w:t xml:space="preserve"> şi</w:t>
      </w:r>
      <w:r w:rsidR="00780DBA" w:rsidRPr="009C5F11">
        <w:rPr>
          <w:rFonts w:ascii="Times New Roman" w:hAnsi="Times New Roman" w:cs="Times New Roman"/>
          <w:sz w:val="22"/>
          <w:lang w:val="ro-RO"/>
        </w:rPr>
        <w:t xml:space="preserve"> (d)</w:t>
      </w:r>
      <w:r w:rsidR="007445E9" w:rsidRPr="009C5F11">
        <w:rPr>
          <w:rFonts w:ascii="Times New Roman" w:hAnsi="Times New Roman" w:cs="Times New Roman"/>
          <w:sz w:val="22"/>
          <w:lang w:val="ro-RO"/>
        </w:rPr>
        <w:t>.</w:t>
      </w:r>
      <w:bookmarkEnd w:id="350"/>
    </w:p>
    <w:tbl>
      <w:tblPr>
        <w:tblW w:w="5000" w:type="pct"/>
        <w:tblBorders>
          <w:top w:val="single" w:sz="4" w:space="0" w:color="4F81BD"/>
          <w:left w:val="single" w:sz="4" w:space="0" w:color="4F81BD"/>
          <w:bottom w:val="single" w:sz="4" w:space="0" w:color="4F81BD"/>
          <w:right w:val="single" w:sz="4" w:space="0" w:color="4F81BD"/>
          <w:insideH w:val="single" w:sz="4" w:space="0" w:color="4F81BD"/>
        </w:tblBorders>
        <w:tblLayout w:type="fixed"/>
        <w:tblLook w:val="04A0" w:firstRow="1" w:lastRow="0" w:firstColumn="1" w:lastColumn="0" w:noHBand="0" w:noVBand="1"/>
      </w:tblPr>
      <w:tblGrid>
        <w:gridCol w:w="978"/>
        <w:gridCol w:w="1420"/>
        <w:gridCol w:w="762"/>
        <w:gridCol w:w="765"/>
        <w:gridCol w:w="762"/>
        <w:gridCol w:w="885"/>
        <w:gridCol w:w="2547"/>
        <w:gridCol w:w="1124"/>
      </w:tblGrid>
      <w:tr w:rsidR="00982050" w:rsidRPr="009C5F11" w14:paraId="551D99E0" w14:textId="77777777" w:rsidTr="00B40DB5">
        <w:trPr>
          <w:trHeight w:val="84"/>
        </w:trPr>
        <w:tc>
          <w:tcPr>
            <w:tcW w:w="3014" w:type="pct"/>
            <w:gridSpan w:val="6"/>
            <w:shd w:val="clear" w:color="auto" w:fill="000080"/>
            <w:noWrap/>
          </w:tcPr>
          <w:p w14:paraId="5B3B7550" w14:textId="77777777" w:rsidR="00982050" w:rsidRPr="009C5F11" w:rsidRDefault="00982050" w:rsidP="0025366D">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bCs/>
                <w:sz w:val="20"/>
                <w:szCs w:val="16"/>
                <w:lang w:val="ro-RO"/>
              </w:rPr>
              <w:t>Consumul mediu final în perioada 2012-2014 (ktep)</w:t>
            </w:r>
          </w:p>
        </w:tc>
        <w:tc>
          <w:tcPr>
            <w:tcW w:w="1378" w:type="pct"/>
            <w:shd w:val="clear" w:color="auto" w:fill="000080"/>
            <w:noWrap/>
          </w:tcPr>
          <w:p w14:paraId="1310647E" w14:textId="77777777" w:rsidR="00982050" w:rsidRPr="009C5F11" w:rsidRDefault="00982050" w:rsidP="0025366D">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bCs/>
                <w:sz w:val="20"/>
                <w:szCs w:val="16"/>
                <w:lang w:val="ro-RO"/>
              </w:rPr>
              <w:t>1,412.33</w:t>
            </w:r>
          </w:p>
        </w:tc>
        <w:tc>
          <w:tcPr>
            <w:tcW w:w="609" w:type="pct"/>
            <w:shd w:val="clear" w:color="auto" w:fill="000080"/>
          </w:tcPr>
          <w:p w14:paraId="76EBF4DC" w14:textId="77777777" w:rsidR="00982050" w:rsidRPr="009C5F11" w:rsidRDefault="00982050" w:rsidP="00430626">
            <w:pPr>
              <w:spacing w:after="0" w:line="240" w:lineRule="auto"/>
              <w:jc w:val="center"/>
              <w:rPr>
                <w:rFonts w:ascii="Times New Roman" w:hAnsi="Times New Roman" w:cs="Times New Roman"/>
                <w:b/>
                <w:color w:val="FFFFFF" w:themeColor="background1"/>
                <w:sz w:val="20"/>
                <w:szCs w:val="16"/>
                <w:lang w:val="ro-RO"/>
              </w:rPr>
            </w:pPr>
          </w:p>
        </w:tc>
      </w:tr>
      <w:tr w:rsidR="00982050" w:rsidRPr="009C5F11" w14:paraId="032905A6" w14:textId="77777777" w:rsidTr="00B40DB5">
        <w:trPr>
          <w:trHeight w:val="197"/>
        </w:trPr>
        <w:tc>
          <w:tcPr>
            <w:tcW w:w="529" w:type="pct"/>
            <w:shd w:val="clear" w:color="auto" w:fill="000080"/>
            <w:noWrap/>
            <w:hideMark/>
          </w:tcPr>
          <w:p w14:paraId="6BA50D40" w14:textId="77777777" w:rsidR="00982050" w:rsidRPr="009C5F11" w:rsidRDefault="00982050" w:rsidP="0025366D">
            <w:pPr>
              <w:spacing w:after="0" w:line="240" w:lineRule="auto"/>
              <w:jc w:val="center"/>
              <w:rPr>
                <w:rFonts w:ascii="Times New Roman" w:hAnsi="Times New Roman" w:cs="Times New Roman"/>
                <w:b/>
                <w:bCs/>
                <w:sz w:val="20"/>
                <w:szCs w:val="16"/>
                <w:lang w:val="ro-RO"/>
              </w:rPr>
            </w:pPr>
            <w:r w:rsidRPr="009C5F11">
              <w:rPr>
                <w:rFonts w:ascii="Times New Roman" w:hAnsi="Times New Roman" w:cs="Times New Roman"/>
                <w:b/>
                <w:bCs/>
                <w:sz w:val="20"/>
                <w:szCs w:val="16"/>
                <w:lang w:val="ro-RO"/>
              </w:rPr>
              <w:t>Anul</w:t>
            </w:r>
          </w:p>
        </w:tc>
        <w:tc>
          <w:tcPr>
            <w:tcW w:w="768" w:type="pct"/>
            <w:shd w:val="clear" w:color="auto" w:fill="000080"/>
          </w:tcPr>
          <w:p w14:paraId="35FA3927" w14:textId="77777777" w:rsidR="00982050" w:rsidRPr="009C5F11" w:rsidRDefault="00982050" w:rsidP="0025366D">
            <w:pPr>
              <w:spacing w:after="0" w:line="240" w:lineRule="auto"/>
              <w:jc w:val="center"/>
              <w:rPr>
                <w:rFonts w:ascii="Times New Roman" w:hAnsi="Times New Roman" w:cs="Times New Roman"/>
                <w:b/>
                <w:bCs/>
                <w:sz w:val="20"/>
                <w:szCs w:val="16"/>
                <w:lang w:val="ro-RO"/>
              </w:rPr>
            </w:pPr>
            <w:r w:rsidRPr="009C5F11">
              <w:rPr>
                <w:rFonts w:ascii="Times New Roman" w:hAnsi="Times New Roman" w:cs="Times New Roman"/>
                <w:b/>
                <w:bCs/>
                <w:sz w:val="20"/>
                <w:szCs w:val="16"/>
                <w:lang w:val="ro-RO"/>
              </w:rPr>
              <w:t>Economii anuale</w:t>
            </w:r>
          </w:p>
        </w:tc>
        <w:tc>
          <w:tcPr>
            <w:tcW w:w="1717" w:type="pct"/>
            <w:gridSpan w:val="4"/>
            <w:shd w:val="clear" w:color="auto" w:fill="000080"/>
            <w:noWrap/>
            <w:hideMark/>
          </w:tcPr>
          <w:p w14:paraId="5B6F4C08" w14:textId="77777777" w:rsidR="00982050" w:rsidRPr="009C5F11" w:rsidRDefault="00982050" w:rsidP="0025366D">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bCs/>
                <w:sz w:val="20"/>
                <w:szCs w:val="16"/>
                <w:lang w:val="ro-RO"/>
              </w:rPr>
              <w:t>Economii anuale</w:t>
            </w:r>
            <w:r w:rsidRPr="009C5F11">
              <w:rPr>
                <w:rFonts w:ascii="Times New Roman" w:hAnsi="Times New Roman" w:cs="Times New Roman"/>
                <w:b/>
                <w:sz w:val="20"/>
                <w:szCs w:val="16"/>
                <w:lang w:val="ro-RO"/>
              </w:rPr>
              <w:t xml:space="preserve"> de energie (ktep)</w:t>
            </w:r>
          </w:p>
        </w:tc>
        <w:tc>
          <w:tcPr>
            <w:tcW w:w="1378" w:type="pct"/>
            <w:shd w:val="clear" w:color="auto" w:fill="000080"/>
            <w:noWrap/>
            <w:hideMark/>
          </w:tcPr>
          <w:p w14:paraId="57C4B7F4" w14:textId="77777777" w:rsidR="00982050" w:rsidRPr="009C5F11" w:rsidRDefault="00982050" w:rsidP="0025366D">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sz w:val="20"/>
                <w:szCs w:val="16"/>
                <w:lang w:val="ro-RO"/>
              </w:rPr>
              <w:t xml:space="preserve">Total </w:t>
            </w:r>
            <w:r w:rsidRPr="009C5F11">
              <w:rPr>
                <w:rFonts w:ascii="Times New Roman" w:hAnsi="Times New Roman" w:cs="Times New Roman"/>
                <w:b/>
                <w:bCs/>
                <w:sz w:val="20"/>
                <w:szCs w:val="16"/>
                <w:lang w:val="ro-RO"/>
              </w:rPr>
              <w:t>economii anuale</w:t>
            </w:r>
            <w:r w:rsidRPr="009C5F11">
              <w:rPr>
                <w:rFonts w:ascii="Times New Roman" w:hAnsi="Times New Roman" w:cs="Times New Roman"/>
                <w:b/>
                <w:sz w:val="20"/>
                <w:szCs w:val="16"/>
                <w:lang w:val="ro-RO"/>
              </w:rPr>
              <w:t xml:space="preserve"> (ktep)</w:t>
            </w:r>
          </w:p>
        </w:tc>
        <w:tc>
          <w:tcPr>
            <w:tcW w:w="609" w:type="pct"/>
            <w:shd w:val="clear" w:color="auto" w:fill="000080"/>
          </w:tcPr>
          <w:p w14:paraId="30D1FECF" w14:textId="77777777" w:rsidR="00982050" w:rsidRPr="009C5F11" w:rsidRDefault="00982050" w:rsidP="0025366D">
            <w:pPr>
              <w:spacing w:after="0" w:line="240" w:lineRule="auto"/>
              <w:jc w:val="center"/>
              <w:rPr>
                <w:rFonts w:ascii="Times New Roman" w:hAnsi="Times New Roman" w:cs="Times New Roman"/>
                <w:b/>
                <w:sz w:val="20"/>
                <w:szCs w:val="16"/>
                <w:lang w:val="ro-RO"/>
              </w:rPr>
            </w:pPr>
            <w:r w:rsidRPr="009C5F11">
              <w:rPr>
                <w:rFonts w:ascii="Times New Roman" w:hAnsi="Times New Roman" w:cs="Times New Roman"/>
                <w:b/>
                <w:sz w:val="20"/>
                <w:szCs w:val="16"/>
                <w:lang w:val="ro-RO"/>
              </w:rPr>
              <w:t>Reducere (%)</w:t>
            </w:r>
          </w:p>
        </w:tc>
      </w:tr>
      <w:tr w:rsidR="00BC2ED4" w:rsidRPr="009C5F11" w14:paraId="67B51B36" w14:textId="77777777" w:rsidTr="00B40DB5">
        <w:trPr>
          <w:trHeight w:val="84"/>
        </w:trPr>
        <w:tc>
          <w:tcPr>
            <w:tcW w:w="529" w:type="pct"/>
            <w:shd w:val="clear" w:color="auto" w:fill="auto"/>
            <w:noWrap/>
            <w:vAlign w:val="center"/>
            <w:hideMark/>
          </w:tcPr>
          <w:p w14:paraId="57CA587E" w14:textId="77777777" w:rsidR="00BC2ED4" w:rsidRPr="009C5F11" w:rsidRDefault="00BC2ED4"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2017 (8)</w:t>
            </w:r>
          </w:p>
        </w:tc>
        <w:tc>
          <w:tcPr>
            <w:tcW w:w="768" w:type="pct"/>
            <w:shd w:val="clear" w:color="auto" w:fill="auto"/>
            <w:noWrap/>
            <w:vAlign w:val="bottom"/>
            <w:hideMark/>
          </w:tcPr>
          <w:p w14:paraId="08B1B38B" w14:textId="77777777" w:rsidR="00BC2ED4" w:rsidRPr="009C5F11" w:rsidRDefault="00BC2ED4" w:rsidP="002A4284">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0.7% x 75.00%</w:t>
            </w:r>
          </w:p>
        </w:tc>
        <w:tc>
          <w:tcPr>
            <w:tcW w:w="412" w:type="pct"/>
            <w:shd w:val="clear" w:color="auto" w:fill="auto"/>
            <w:noWrap/>
            <w:hideMark/>
          </w:tcPr>
          <w:p w14:paraId="244196D7" w14:textId="77777777" w:rsidR="00BC2ED4" w:rsidRPr="009C5F11" w:rsidRDefault="003A0E19"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414" w:type="pct"/>
            <w:shd w:val="clear" w:color="auto" w:fill="auto"/>
            <w:noWrap/>
            <w:hideMark/>
          </w:tcPr>
          <w:p w14:paraId="03448A8E" w14:textId="77777777" w:rsidR="00BC2ED4" w:rsidRPr="009C5F11" w:rsidRDefault="00BC2ED4" w:rsidP="00430626">
            <w:pPr>
              <w:spacing w:after="0" w:line="240" w:lineRule="auto"/>
              <w:jc w:val="right"/>
              <w:rPr>
                <w:rFonts w:ascii="Times New Roman" w:hAnsi="Times New Roman" w:cs="Times New Roman"/>
                <w:sz w:val="20"/>
                <w:szCs w:val="16"/>
                <w:lang w:val="ro-RO"/>
              </w:rPr>
            </w:pPr>
          </w:p>
        </w:tc>
        <w:tc>
          <w:tcPr>
            <w:tcW w:w="412" w:type="pct"/>
            <w:shd w:val="clear" w:color="auto" w:fill="auto"/>
            <w:noWrap/>
            <w:hideMark/>
          </w:tcPr>
          <w:p w14:paraId="778411E5" w14:textId="77777777" w:rsidR="00BC2ED4" w:rsidRPr="009C5F11" w:rsidRDefault="00BC2ED4" w:rsidP="00430626">
            <w:pPr>
              <w:spacing w:after="0" w:line="240" w:lineRule="auto"/>
              <w:jc w:val="right"/>
              <w:rPr>
                <w:rFonts w:ascii="Times New Roman" w:hAnsi="Times New Roman" w:cs="Times New Roman"/>
                <w:sz w:val="20"/>
                <w:szCs w:val="16"/>
                <w:lang w:val="ro-RO"/>
              </w:rPr>
            </w:pPr>
          </w:p>
        </w:tc>
        <w:tc>
          <w:tcPr>
            <w:tcW w:w="479" w:type="pct"/>
            <w:shd w:val="clear" w:color="auto" w:fill="auto"/>
            <w:noWrap/>
            <w:hideMark/>
          </w:tcPr>
          <w:p w14:paraId="20AF73C2" w14:textId="77777777" w:rsidR="00BC2ED4" w:rsidRPr="009C5F11" w:rsidRDefault="00BC2ED4" w:rsidP="00430626">
            <w:pPr>
              <w:spacing w:after="0" w:line="240" w:lineRule="auto"/>
              <w:jc w:val="right"/>
              <w:rPr>
                <w:rFonts w:ascii="Times New Roman" w:hAnsi="Times New Roman" w:cs="Times New Roman"/>
                <w:sz w:val="20"/>
                <w:szCs w:val="16"/>
                <w:lang w:val="ro-RO"/>
              </w:rPr>
            </w:pPr>
          </w:p>
        </w:tc>
        <w:tc>
          <w:tcPr>
            <w:tcW w:w="1378" w:type="pct"/>
            <w:shd w:val="clear" w:color="auto" w:fill="auto"/>
            <w:noWrap/>
            <w:hideMark/>
          </w:tcPr>
          <w:p w14:paraId="05F8A3BC" w14:textId="77777777" w:rsidR="00BC2ED4" w:rsidRPr="009C5F11" w:rsidRDefault="004C0DE1"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609" w:type="pct"/>
          </w:tcPr>
          <w:p w14:paraId="2EAE1700" w14:textId="77777777" w:rsidR="00BC2ED4" w:rsidRPr="009C5F11" w:rsidRDefault="00BC2ED4" w:rsidP="00430626">
            <w:pPr>
              <w:spacing w:after="0" w:line="240" w:lineRule="auto"/>
              <w:rPr>
                <w:rFonts w:ascii="Times New Roman" w:hAnsi="Times New Roman" w:cs="Times New Roman"/>
                <w:color w:val="000000"/>
                <w:sz w:val="20"/>
                <w:szCs w:val="16"/>
                <w:lang w:val="ro-RO"/>
              </w:rPr>
            </w:pPr>
          </w:p>
        </w:tc>
      </w:tr>
      <w:tr w:rsidR="003A0E19" w:rsidRPr="009C5F11" w14:paraId="46D29F11" w14:textId="77777777" w:rsidTr="00B40DB5">
        <w:trPr>
          <w:trHeight w:val="72"/>
        </w:trPr>
        <w:tc>
          <w:tcPr>
            <w:tcW w:w="529" w:type="pct"/>
            <w:shd w:val="clear" w:color="auto" w:fill="auto"/>
            <w:noWrap/>
            <w:vAlign w:val="bottom"/>
            <w:hideMark/>
          </w:tcPr>
          <w:p w14:paraId="29E1DA02" w14:textId="77777777" w:rsidR="003A0E19" w:rsidRPr="009C5F11" w:rsidRDefault="003A0E19"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2018 (9)</w:t>
            </w:r>
          </w:p>
        </w:tc>
        <w:tc>
          <w:tcPr>
            <w:tcW w:w="768" w:type="pct"/>
            <w:shd w:val="clear" w:color="auto" w:fill="auto"/>
            <w:noWrap/>
            <w:vAlign w:val="bottom"/>
            <w:hideMark/>
          </w:tcPr>
          <w:p w14:paraId="58754E13" w14:textId="77777777" w:rsidR="003A0E19" w:rsidRPr="009C5F11" w:rsidRDefault="003A0E19" w:rsidP="00430626">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0.7% x 75.00%</w:t>
            </w:r>
          </w:p>
        </w:tc>
        <w:tc>
          <w:tcPr>
            <w:tcW w:w="412" w:type="pct"/>
            <w:shd w:val="clear" w:color="auto" w:fill="auto"/>
            <w:noWrap/>
            <w:hideMark/>
          </w:tcPr>
          <w:p w14:paraId="27411674" w14:textId="77777777" w:rsidR="003A0E19" w:rsidRPr="009C5F11" w:rsidRDefault="003A0E19"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414" w:type="pct"/>
            <w:shd w:val="clear" w:color="auto" w:fill="auto"/>
            <w:noWrap/>
            <w:hideMark/>
          </w:tcPr>
          <w:p w14:paraId="07073B08" w14:textId="77777777" w:rsidR="003A0E19" w:rsidRPr="009C5F11" w:rsidRDefault="003A0E19"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412" w:type="pct"/>
            <w:shd w:val="clear" w:color="auto" w:fill="auto"/>
            <w:noWrap/>
            <w:hideMark/>
          </w:tcPr>
          <w:p w14:paraId="3B70620C" w14:textId="77777777" w:rsidR="003A0E19" w:rsidRPr="009C5F11" w:rsidRDefault="003A0E19" w:rsidP="00430626">
            <w:pPr>
              <w:spacing w:after="0" w:line="240" w:lineRule="auto"/>
              <w:jc w:val="right"/>
              <w:rPr>
                <w:rFonts w:ascii="Times New Roman" w:hAnsi="Times New Roman" w:cs="Times New Roman"/>
                <w:sz w:val="20"/>
                <w:szCs w:val="16"/>
                <w:lang w:val="ro-RO"/>
              </w:rPr>
            </w:pPr>
          </w:p>
        </w:tc>
        <w:tc>
          <w:tcPr>
            <w:tcW w:w="479" w:type="pct"/>
            <w:shd w:val="clear" w:color="auto" w:fill="auto"/>
            <w:noWrap/>
            <w:hideMark/>
          </w:tcPr>
          <w:p w14:paraId="616E2C6A" w14:textId="77777777" w:rsidR="003A0E19" w:rsidRPr="009C5F11" w:rsidRDefault="003A0E19" w:rsidP="00430626">
            <w:pPr>
              <w:spacing w:after="0" w:line="240" w:lineRule="auto"/>
              <w:jc w:val="right"/>
              <w:rPr>
                <w:rFonts w:ascii="Times New Roman" w:hAnsi="Times New Roman" w:cs="Times New Roman"/>
                <w:sz w:val="20"/>
                <w:szCs w:val="16"/>
                <w:lang w:val="ro-RO"/>
              </w:rPr>
            </w:pPr>
          </w:p>
        </w:tc>
        <w:tc>
          <w:tcPr>
            <w:tcW w:w="1378" w:type="pct"/>
            <w:shd w:val="clear" w:color="auto" w:fill="auto"/>
            <w:noWrap/>
            <w:hideMark/>
          </w:tcPr>
          <w:p w14:paraId="5AAAD857" w14:textId="77777777" w:rsidR="003A0E19" w:rsidRPr="009C5F11" w:rsidRDefault="004C0DE1"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14.83</w:t>
            </w:r>
          </w:p>
        </w:tc>
        <w:tc>
          <w:tcPr>
            <w:tcW w:w="609" w:type="pct"/>
          </w:tcPr>
          <w:p w14:paraId="673A68C8" w14:textId="77777777" w:rsidR="003A0E19" w:rsidRPr="009C5F11" w:rsidRDefault="003A0E19" w:rsidP="00430626">
            <w:pPr>
              <w:spacing w:after="0" w:line="240" w:lineRule="auto"/>
              <w:rPr>
                <w:rFonts w:ascii="Times New Roman" w:hAnsi="Times New Roman" w:cs="Times New Roman"/>
                <w:color w:val="000000"/>
                <w:sz w:val="20"/>
                <w:szCs w:val="16"/>
                <w:lang w:val="ro-RO"/>
              </w:rPr>
            </w:pPr>
          </w:p>
        </w:tc>
      </w:tr>
      <w:tr w:rsidR="003A0E19" w:rsidRPr="009C5F11" w14:paraId="6C2FE855" w14:textId="77777777" w:rsidTr="00B40DB5">
        <w:trPr>
          <w:trHeight w:val="72"/>
        </w:trPr>
        <w:tc>
          <w:tcPr>
            <w:tcW w:w="529" w:type="pct"/>
            <w:shd w:val="clear" w:color="auto" w:fill="auto"/>
            <w:noWrap/>
            <w:vAlign w:val="bottom"/>
            <w:hideMark/>
          </w:tcPr>
          <w:p w14:paraId="192D23EC" w14:textId="77777777" w:rsidR="003A0E19" w:rsidRPr="009C5F11" w:rsidRDefault="003A0E19"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2019 (10)</w:t>
            </w:r>
          </w:p>
        </w:tc>
        <w:tc>
          <w:tcPr>
            <w:tcW w:w="768" w:type="pct"/>
            <w:shd w:val="clear" w:color="auto" w:fill="auto"/>
            <w:noWrap/>
            <w:vAlign w:val="bottom"/>
            <w:hideMark/>
          </w:tcPr>
          <w:p w14:paraId="73C7D8EB" w14:textId="77777777" w:rsidR="003A0E19" w:rsidRPr="009C5F11" w:rsidRDefault="003A0E19" w:rsidP="00430626">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0.7% x 75.00%</w:t>
            </w:r>
          </w:p>
        </w:tc>
        <w:tc>
          <w:tcPr>
            <w:tcW w:w="412" w:type="pct"/>
            <w:shd w:val="clear" w:color="auto" w:fill="auto"/>
            <w:noWrap/>
            <w:hideMark/>
          </w:tcPr>
          <w:p w14:paraId="54D99473" w14:textId="77777777" w:rsidR="003A0E19" w:rsidRPr="009C5F11" w:rsidRDefault="003A0E19"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414" w:type="pct"/>
            <w:shd w:val="clear" w:color="auto" w:fill="auto"/>
            <w:noWrap/>
            <w:hideMark/>
          </w:tcPr>
          <w:p w14:paraId="3A20DAF7" w14:textId="77777777" w:rsidR="003A0E19" w:rsidRPr="009C5F11" w:rsidRDefault="003A0E19"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412" w:type="pct"/>
            <w:shd w:val="clear" w:color="auto" w:fill="auto"/>
            <w:noWrap/>
            <w:hideMark/>
          </w:tcPr>
          <w:p w14:paraId="197D11BF" w14:textId="77777777" w:rsidR="003A0E19" w:rsidRPr="009C5F11" w:rsidRDefault="003A0E19"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479" w:type="pct"/>
            <w:shd w:val="clear" w:color="auto" w:fill="auto"/>
            <w:noWrap/>
            <w:hideMark/>
          </w:tcPr>
          <w:p w14:paraId="6E1E81F5" w14:textId="77777777" w:rsidR="003A0E19" w:rsidRPr="009C5F11" w:rsidRDefault="003A0E19" w:rsidP="00430626">
            <w:pPr>
              <w:spacing w:after="0" w:line="240" w:lineRule="auto"/>
              <w:jc w:val="right"/>
              <w:rPr>
                <w:rFonts w:ascii="Times New Roman" w:hAnsi="Times New Roman" w:cs="Times New Roman"/>
                <w:sz w:val="20"/>
                <w:szCs w:val="16"/>
                <w:lang w:val="ro-RO"/>
              </w:rPr>
            </w:pPr>
          </w:p>
        </w:tc>
        <w:tc>
          <w:tcPr>
            <w:tcW w:w="1378" w:type="pct"/>
            <w:shd w:val="clear" w:color="auto" w:fill="auto"/>
            <w:noWrap/>
            <w:hideMark/>
          </w:tcPr>
          <w:p w14:paraId="236C8F57" w14:textId="77777777" w:rsidR="003A0E19" w:rsidRPr="009C5F11" w:rsidRDefault="004C0DE1"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22.24</w:t>
            </w:r>
          </w:p>
        </w:tc>
        <w:tc>
          <w:tcPr>
            <w:tcW w:w="609" w:type="pct"/>
          </w:tcPr>
          <w:p w14:paraId="16C3AF7C" w14:textId="77777777" w:rsidR="003A0E19" w:rsidRPr="009C5F11" w:rsidRDefault="003A0E19" w:rsidP="00430626">
            <w:pPr>
              <w:spacing w:after="0" w:line="240" w:lineRule="auto"/>
              <w:rPr>
                <w:rFonts w:ascii="Times New Roman" w:hAnsi="Times New Roman" w:cs="Times New Roman"/>
                <w:color w:val="000000"/>
                <w:sz w:val="20"/>
                <w:szCs w:val="16"/>
                <w:lang w:val="ro-RO"/>
              </w:rPr>
            </w:pPr>
          </w:p>
        </w:tc>
      </w:tr>
      <w:tr w:rsidR="003A0E19" w:rsidRPr="009C5F11" w14:paraId="13F75754" w14:textId="77777777" w:rsidTr="00B40DB5">
        <w:trPr>
          <w:trHeight w:val="84"/>
        </w:trPr>
        <w:tc>
          <w:tcPr>
            <w:tcW w:w="529" w:type="pct"/>
            <w:shd w:val="clear" w:color="auto" w:fill="auto"/>
            <w:noWrap/>
            <w:vAlign w:val="bottom"/>
            <w:hideMark/>
          </w:tcPr>
          <w:p w14:paraId="04F0FF3E" w14:textId="77777777" w:rsidR="003A0E19" w:rsidRPr="009C5F11" w:rsidRDefault="003A0E19"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2020 (11)</w:t>
            </w:r>
          </w:p>
        </w:tc>
        <w:tc>
          <w:tcPr>
            <w:tcW w:w="768" w:type="pct"/>
            <w:shd w:val="clear" w:color="auto" w:fill="auto"/>
            <w:noWrap/>
            <w:vAlign w:val="bottom"/>
            <w:hideMark/>
          </w:tcPr>
          <w:p w14:paraId="2C7C9277" w14:textId="77777777" w:rsidR="003A0E19" w:rsidRPr="009C5F11" w:rsidRDefault="003A0E19" w:rsidP="00430626">
            <w:pPr>
              <w:spacing w:after="0" w:line="240" w:lineRule="auto"/>
              <w:jc w:val="right"/>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0.7% x 75.00%</w:t>
            </w:r>
          </w:p>
        </w:tc>
        <w:tc>
          <w:tcPr>
            <w:tcW w:w="412" w:type="pct"/>
            <w:shd w:val="clear" w:color="auto" w:fill="auto"/>
            <w:noWrap/>
            <w:hideMark/>
          </w:tcPr>
          <w:p w14:paraId="420BA7C3" w14:textId="77777777" w:rsidR="003A0E19" w:rsidRPr="009C5F11" w:rsidRDefault="003A0E19"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414" w:type="pct"/>
            <w:shd w:val="clear" w:color="auto" w:fill="auto"/>
            <w:noWrap/>
            <w:hideMark/>
          </w:tcPr>
          <w:p w14:paraId="542FB716" w14:textId="77777777" w:rsidR="003A0E19" w:rsidRPr="009C5F11" w:rsidRDefault="003A0E19"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412" w:type="pct"/>
            <w:shd w:val="clear" w:color="auto" w:fill="auto"/>
            <w:noWrap/>
            <w:hideMark/>
          </w:tcPr>
          <w:p w14:paraId="458F9943" w14:textId="77777777" w:rsidR="003A0E19" w:rsidRPr="009C5F11" w:rsidRDefault="003A0E19"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479" w:type="pct"/>
            <w:shd w:val="clear" w:color="auto" w:fill="auto"/>
            <w:noWrap/>
            <w:hideMark/>
          </w:tcPr>
          <w:p w14:paraId="30F78A1D" w14:textId="77777777" w:rsidR="003A0E19" w:rsidRPr="009C5F11" w:rsidRDefault="003A0E19" w:rsidP="00430626">
            <w:pPr>
              <w:spacing w:after="0" w:line="240" w:lineRule="auto"/>
              <w:jc w:val="right"/>
              <w:rPr>
                <w:rFonts w:ascii="Times New Roman" w:hAnsi="Times New Roman" w:cs="Times New Roman"/>
                <w:sz w:val="20"/>
                <w:szCs w:val="16"/>
                <w:lang w:val="ro-RO"/>
              </w:rPr>
            </w:pPr>
            <w:r w:rsidRPr="009C5F11">
              <w:rPr>
                <w:rFonts w:ascii="Times New Roman" w:hAnsi="Times New Roman" w:cs="Times New Roman"/>
                <w:sz w:val="20"/>
                <w:szCs w:val="16"/>
                <w:lang w:val="ro-RO"/>
              </w:rPr>
              <w:t>7.41</w:t>
            </w:r>
          </w:p>
        </w:tc>
        <w:tc>
          <w:tcPr>
            <w:tcW w:w="1378" w:type="pct"/>
            <w:shd w:val="clear" w:color="auto" w:fill="auto"/>
            <w:noWrap/>
            <w:vAlign w:val="bottom"/>
            <w:hideMark/>
          </w:tcPr>
          <w:p w14:paraId="237A4E28" w14:textId="77777777" w:rsidR="003A0E19" w:rsidRPr="009C5F11" w:rsidRDefault="004C0DE1" w:rsidP="00430626">
            <w:pPr>
              <w:spacing w:after="0" w:line="240" w:lineRule="auto"/>
              <w:jc w:val="right"/>
              <w:rPr>
                <w:rFonts w:ascii="Times New Roman" w:hAnsi="Times New Roman" w:cs="Times New Roman"/>
                <w:bCs/>
                <w:color w:val="000000"/>
                <w:sz w:val="20"/>
                <w:szCs w:val="16"/>
                <w:lang w:val="ro-RO"/>
              </w:rPr>
            </w:pPr>
            <w:r w:rsidRPr="009C5F11">
              <w:rPr>
                <w:rFonts w:ascii="Times New Roman" w:hAnsi="Times New Roman" w:cs="Times New Roman"/>
                <w:bCs/>
                <w:color w:val="000000"/>
                <w:sz w:val="20"/>
                <w:szCs w:val="16"/>
                <w:lang w:val="ro-RO"/>
              </w:rPr>
              <w:t>29.66</w:t>
            </w:r>
          </w:p>
        </w:tc>
        <w:tc>
          <w:tcPr>
            <w:tcW w:w="609" w:type="pct"/>
            <w:shd w:val="clear" w:color="auto" w:fill="auto"/>
          </w:tcPr>
          <w:p w14:paraId="26152348" w14:textId="77777777" w:rsidR="003A0E19" w:rsidRPr="009C5F11" w:rsidRDefault="003A0E19" w:rsidP="00430626">
            <w:pPr>
              <w:spacing w:after="0" w:line="240" w:lineRule="auto"/>
              <w:jc w:val="right"/>
              <w:rPr>
                <w:rFonts w:ascii="Times New Roman" w:hAnsi="Times New Roman" w:cs="Times New Roman"/>
                <w:bCs/>
                <w:color w:val="000000"/>
                <w:sz w:val="20"/>
                <w:szCs w:val="16"/>
                <w:lang w:val="ro-RO"/>
              </w:rPr>
            </w:pPr>
          </w:p>
        </w:tc>
      </w:tr>
      <w:tr w:rsidR="00BC2ED4" w:rsidRPr="009C5F11" w14:paraId="7578F8CC" w14:textId="77777777" w:rsidTr="00B40DB5">
        <w:trPr>
          <w:trHeight w:val="72"/>
        </w:trPr>
        <w:tc>
          <w:tcPr>
            <w:tcW w:w="3014" w:type="pct"/>
            <w:gridSpan w:val="6"/>
            <w:shd w:val="clear" w:color="auto" w:fill="auto"/>
            <w:noWrap/>
            <w:vAlign w:val="bottom"/>
          </w:tcPr>
          <w:p w14:paraId="12DDE0A6" w14:textId="77777777" w:rsidR="00BC2ED4" w:rsidRPr="009C5F11" w:rsidRDefault="00982050" w:rsidP="00397856">
            <w:pPr>
              <w:spacing w:after="0" w:line="240" w:lineRule="auto"/>
              <w:rPr>
                <w:rFonts w:ascii="Times New Roman" w:hAnsi="Times New Roman" w:cs="Times New Roman"/>
                <w:b/>
                <w:bCs/>
                <w:color w:val="000000"/>
                <w:sz w:val="20"/>
                <w:szCs w:val="16"/>
                <w:lang w:val="ro-RO"/>
              </w:rPr>
            </w:pPr>
            <w:r w:rsidRPr="009C5F11">
              <w:rPr>
                <w:rFonts w:ascii="Times New Roman" w:hAnsi="Times New Roman" w:cs="Times New Roman"/>
                <w:b/>
                <w:bCs/>
                <w:sz w:val="20"/>
                <w:szCs w:val="16"/>
                <w:lang w:val="ro-RO"/>
              </w:rPr>
              <w:t xml:space="preserve">Total economii cumulative în perioada </w:t>
            </w:r>
            <w:r w:rsidR="00397856" w:rsidRPr="009C5F11">
              <w:rPr>
                <w:rFonts w:ascii="Times New Roman" w:hAnsi="Times New Roman" w:cs="Times New Roman"/>
                <w:b/>
                <w:bCs/>
                <w:sz w:val="20"/>
                <w:szCs w:val="16"/>
                <w:lang w:val="ro-RO"/>
              </w:rPr>
              <w:t>2017-2020</w:t>
            </w:r>
          </w:p>
        </w:tc>
        <w:tc>
          <w:tcPr>
            <w:tcW w:w="1378" w:type="pct"/>
            <w:shd w:val="clear" w:color="auto" w:fill="DBE5F1"/>
            <w:noWrap/>
            <w:vAlign w:val="bottom"/>
          </w:tcPr>
          <w:p w14:paraId="64FFFD72" w14:textId="77777777" w:rsidR="00BC2ED4" w:rsidRPr="009C5F11" w:rsidRDefault="004C0DE1" w:rsidP="00430626">
            <w:pPr>
              <w:spacing w:after="0" w:line="240" w:lineRule="auto"/>
              <w:jc w:val="right"/>
              <w:rPr>
                <w:rFonts w:ascii="Times New Roman" w:hAnsi="Times New Roman" w:cs="Times New Roman"/>
                <w:b/>
                <w:bCs/>
                <w:color w:val="000000"/>
                <w:sz w:val="20"/>
                <w:szCs w:val="16"/>
                <w:lang w:val="ro-RO"/>
              </w:rPr>
            </w:pPr>
            <w:r w:rsidRPr="009C5F11">
              <w:rPr>
                <w:rFonts w:ascii="Times New Roman" w:hAnsi="Times New Roman" w:cs="Times New Roman"/>
                <w:b/>
                <w:bCs/>
                <w:color w:val="000000"/>
                <w:sz w:val="20"/>
                <w:szCs w:val="16"/>
                <w:lang w:val="ro-RO"/>
              </w:rPr>
              <w:t>74.15</w:t>
            </w:r>
          </w:p>
        </w:tc>
        <w:tc>
          <w:tcPr>
            <w:tcW w:w="609" w:type="pct"/>
            <w:shd w:val="clear" w:color="auto" w:fill="auto"/>
          </w:tcPr>
          <w:p w14:paraId="4BAAE0A5" w14:textId="77777777" w:rsidR="00BC2ED4" w:rsidRPr="009C5F11" w:rsidRDefault="00BC2ED4" w:rsidP="00430626">
            <w:pPr>
              <w:spacing w:after="0" w:line="240" w:lineRule="auto"/>
              <w:jc w:val="right"/>
              <w:rPr>
                <w:rFonts w:ascii="Times New Roman" w:hAnsi="Times New Roman" w:cs="Times New Roman"/>
                <w:b/>
                <w:bCs/>
                <w:color w:val="000000"/>
                <w:sz w:val="20"/>
                <w:szCs w:val="16"/>
                <w:lang w:val="ro-RO"/>
              </w:rPr>
            </w:pPr>
            <w:r w:rsidRPr="009C5F11">
              <w:rPr>
                <w:rFonts w:ascii="Times New Roman" w:hAnsi="Times New Roman" w:cs="Times New Roman"/>
                <w:b/>
                <w:bCs/>
                <w:color w:val="000000"/>
                <w:sz w:val="20"/>
                <w:szCs w:val="16"/>
                <w:lang w:val="ro-RO"/>
              </w:rPr>
              <w:t>25</w:t>
            </w:r>
          </w:p>
        </w:tc>
      </w:tr>
    </w:tbl>
    <w:p w14:paraId="3CEDA8AA" w14:textId="77777777" w:rsidR="00BC2ED4" w:rsidRPr="009C5F11" w:rsidRDefault="00BC2ED4" w:rsidP="00BC2ED4">
      <w:pPr>
        <w:spacing w:before="120" w:line="240" w:lineRule="auto"/>
        <w:jc w:val="center"/>
        <w:rPr>
          <w:rFonts w:ascii="Times New Roman" w:hAnsi="Times New Roman" w:cs="Times New Roman"/>
          <w:szCs w:val="18"/>
          <w:lang w:val="ro-RO"/>
        </w:rPr>
      </w:pPr>
    </w:p>
    <w:p w14:paraId="046C53A9" w14:textId="77777777" w:rsidR="00BC2ED4" w:rsidRPr="00D9464A" w:rsidRDefault="00982050" w:rsidP="00297ED0">
      <w:pPr>
        <w:pStyle w:val="Titlu3"/>
        <w:rPr>
          <w:rFonts w:ascii="Times New Roman" w:hAnsi="Times New Roman" w:cs="Times New Roman"/>
          <w:b/>
          <w:color w:val="000000" w:themeColor="text1"/>
          <w:sz w:val="28"/>
          <w:lang w:val="ro-RO"/>
        </w:rPr>
      </w:pPr>
      <w:bookmarkStart w:id="351" w:name="_Toc322013198"/>
      <w:bookmarkStart w:id="352" w:name="_Toc319555439"/>
      <w:r w:rsidRPr="00D9464A">
        <w:rPr>
          <w:rFonts w:ascii="Times New Roman" w:hAnsi="Times New Roman" w:cs="Times New Roman"/>
          <w:b/>
          <w:color w:val="000000" w:themeColor="text1"/>
          <w:sz w:val="28"/>
          <w:lang w:val="ro-RO"/>
        </w:rPr>
        <w:t>D</w:t>
      </w:r>
      <w:r w:rsidR="00BC2ED4" w:rsidRPr="00D9464A">
        <w:rPr>
          <w:rFonts w:ascii="Times New Roman" w:hAnsi="Times New Roman" w:cs="Times New Roman"/>
          <w:b/>
          <w:color w:val="000000" w:themeColor="text1"/>
          <w:sz w:val="28"/>
          <w:lang w:val="ro-RO"/>
        </w:rPr>
        <w:t>escri</w:t>
      </w:r>
      <w:r w:rsidRPr="00D9464A">
        <w:rPr>
          <w:rFonts w:ascii="Times New Roman" w:hAnsi="Times New Roman" w:cs="Times New Roman"/>
          <w:b/>
          <w:color w:val="000000" w:themeColor="text1"/>
          <w:sz w:val="28"/>
          <w:lang w:val="ro-RO"/>
        </w:rPr>
        <w:t xml:space="preserve">ere succintă a </w:t>
      </w:r>
      <w:r w:rsidR="007A7E04" w:rsidRPr="00D9464A">
        <w:rPr>
          <w:rFonts w:ascii="Times New Roman" w:hAnsi="Times New Roman" w:cs="Times New Roman"/>
          <w:b/>
          <w:color w:val="000000" w:themeColor="text1"/>
          <w:sz w:val="28"/>
          <w:lang w:val="ro-RO"/>
        </w:rPr>
        <w:t>schemei</w:t>
      </w:r>
      <w:r w:rsidRPr="00D9464A">
        <w:rPr>
          <w:rFonts w:ascii="Times New Roman" w:hAnsi="Times New Roman" w:cs="Times New Roman"/>
          <w:b/>
          <w:color w:val="000000" w:themeColor="text1"/>
          <w:sz w:val="28"/>
          <w:lang w:val="ro-RO"/>
        </w:rPr>
        <w:t xml:space="preserve"> </w:t>
      </w:r>
      <w:r w:rsidR="00B40A7C" w:rsidRPr="00D9464A">
        <w:rPr>
          <w:rFonts w:ascii="Times New Roman" w:hAnsi="Times New Roman" w:cs="Times New Roman"/>
          <w:b/>
          <w:color w:val="000000" w:themeColor="text1"/>
          <w:sz w:val="28"/>
          <w:lang w:val="ro-RO"/>
        </w:rPr>
        <w:t>naţional</w:t>
      </w:r>
      <w:r w:rsidR="007A7E04" w:rsidRPr="00D9464A">
        <w:rPr>
          <w:rFonts w:ascii="Times New Roman" w:hAnsi="Times New Roman" w:cs="Times New Roman"/>
          <w:b/>
          <w:color w:val="000000" w:themeColor="text1"/>
          <w:sz w:val="28"/>
          <w:lang w:val="ro-RO"/>
        </w:rPr>
        <w:t>e</w:t>
      </w:r>
      <w:r w:rsidR="00BC2ED4" w:rsidRPr="00D9464A">
        <w:rPr>
          <w:rFonts w:ascii="Times New Roman" w:hAnsi="Times New Roman" w:cs="Times New Roman"/>
          <w:b/>
          <w:color w:val="000000" w:themeColor="text1"/>
          <w:sz w:val="28"/>
          <w:lang w:val="ro-RO"/>
        </w:rPr>
        <w:t xml:space="preserve"> </w:t>
      </w:r>
      <w:r w:rsidRPr="00D9464A">
        <w:rPr>
          <w:rFonts w:ascii="Times New Roman" w:hAnsi="Times New Roman" w:cs="Times New Roman"/>
          <w:b/>
          <w:color w:val="000000" w:themeColor="text1"/>
          <w:sz w:val="28"/>
          <w:lang w:val="ro-RO"/>
        </w:rPr>
        <w:t xml:space="preserve">de obligaţii în </w:t>
      </w:r>
      <w:r w:rsidR="007A7E04" w:rsidRPr="00D9464A">
        <w:rPr>
          <w:rFonts w:ascii="Times New Roman" w:hAnsi="Times New Roman" w:cs="Times New Roman"/>
          <w:b/>
          <w:color w:val="000000" w:themeColor="text1"/>
          <w:sz w:val="28"/>
          <w:lang w:val="ro-RO"/>
        </w:rPr>
        <w:t>ceea ce priveste</w:t>
      </w:r>
      <w:r w:rsidRPr="00D9464A">
        <w:rPr>
          <w:rFonts w:ascii="Times New Roman" w:hAnsi="Times New Roman" w:cs="Times New Roman"/>
          <w:b/>
          <w:color w:val="000000" w:themeColor="text1"/>
          <w:sz w:val="28"/>
          <w:lang w:val="ro-RO"/>
        </w:rPr>
        <w:t xml:space="preserve"> </w:t>
      </w:r>
      <w:r w:rsidR="000C7BEC" w:rsidRPr="00D9464A">
        <w:rPr>
          <w:rFonts w:ascii="Times New Roman" w:hAnsi="Times New Roman" w:cs="Times New Roman"/>
          <w:b/>
          <w:color w:val="000000" w:themeColor="text1"/>
          <w:sz w:val="28"/>
          <w:lang w:val="ro-RO"/>
        </w:rPr>
        <w:t>eficienţ</w:t>
      </w:r>
      <w:r w:rsidR="007A7E04" w:rsidRPr="00D9464A">
        <w:rPr>
          <w:rFonts w:ascii="Times New Roman" w:hAnsi="Times New Roman" w:cs="Times New Roman"/>
          <w:b/>
          <w:color w:val="000000" w:themeColor="text1"/>
          <w:sz w:val="28"/>
          <w:lang w:val="ro-RO"/>
        </w:rPr>
        <w:t>a</w:t>
      </w:r>
      <w:r w:rsidR="000C7BEC" w:rsidRPr="00D9464A">
        <w:rPr>
          <w:rFonts w:ascii="Times New Roman" w:hAnsi="Times New Roman" w:cs="Times New Roman"/>
          <w:b/>
          <w:color w:val="000000" w:themeColor="text1"/>
          <w:sz w:val="28"/>
          <w:lang w:val="ro-RO"/>
        </w:rPr>
        <w:t xml:space="preserve"> energetică</w:t>
      </w:r>
      <w:bookmarkEnd w:id="351"/>
      <w:r w:rsidR="00BC2ED4" w:rsidRPr="00D9464A">
        <w:rPr>
          <w:rFonts w:ascii="Times New Roman" w:hAnsi="Times New Roman" w:cs="Times New Roman"/>
          <w:b/>
          <w:color w:val="000000" w:themeColor="text1"/>
          <w:sz w:val="28"/>
          <w:lang w:val="ro-RO"/>
        </w:rPr>
        <w:t xml:space="preserve"> </w:t>
      </w:r>
      <w:bookmarkEnd w:id="352"/>
    </w:p>
    <w:p w14:paraId="71E32689" w14:textId="77777777" w:rsidR="00384A0E" w:rsidRPr="009C5F11" w:rsidRDefault="00BC1C53"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Atât furnizarea energiei electrice, cât şi cea a gazelor naturale în Republica Moldova se confruntă cu deficienţe majore în ceea ce priveşte s</w:t>
      </w:r>
      <w:r w:rsidR="007A7E04" w:rsidRPr="009C5F11">
        <w:rPr>
          <w:rFonts w:ascii="Times New Roman" w:hAnsi="Times New Roman" w:cs="Times New Roman"/>
          <w:sz w:val="24"/>
          <w:lang w:val="ro-RO"/>
        </w:rPr>
        <w:t>iguranta</w:t>
      </w:r>
      <w:r w:rsidRPr="009C5F11">
        <w:rPr>
          <w:rFonts w:ascii="Times New Roman" w:hAnsi="Times New Roman" w:cs="Times New Roman"/>
          <w:sz w:val="24"/>
          <w:lang w:val="ro-RO"/>
        </w:rPr>
        <w:t xml:space="preserve"> </w:t>
      </w:r>
      <w:r w:rsidR="007A7E04" w:rsidRPr="009C5F11">
        <w:rPr>
          <w:rFonts w:ascii="Times New Roman" w:hAnsi="Times New Roman" w:cs="Times New Roman"/>
          <w:sz w:val="24"/>
          <w:lang w:val="ro-RO"/>
        </w:rPr>
        <w:t>aprovizionarii</w:t>
      </w:r>
      <w:r w:rsidRPr="009C5F11">
        <w:rPr>
          <w:rFonts w:ascii="Times New Roman" w:hAnsi="Times New Roman" w:cs="Times New Roman"/>
          <w:sz w:val="24"/>
          <w:lang w:val="ro-RO"/>
        </w:rPr>
        <w:t xml:space="preserve"> şi accesibilitatea din cauza faptului că </w:t>
      </w:r>
      <w:r w:rsidR="007A7E04" w:rsidRPr="009C5F11">
        <w:rPr>
          <w:rFonts w:ascii="Times New Roman" w:hAnsi="Times New Roman" w:cs="Times New Roman"/>
          <w:sz w:val="24"/>
          <w:lang w:val="ro-RO"/>
        </w:rPr>
        <w:t xml:space="preserve">in prezent </w:t>
      </w:r>
      <w:r w:rsidRPr="009C5F11">
        <w:rPr>
          <w:rFonts w:ascii="Times New Roman" w:hAnsi="Times New Roman" w:cs="Times New Roman"/>
          <w:sz w:val="24"/>
          <w:lang w:val="ro-RO"/>
        </w:rPr>
        <w:t xml:space="preserve">toate achiziţiile </w:t>
      </w:r>
      <w:r w:rsidR="007A7E04" w:rsidRPr="009C5F11">
        <w:rPr>
          <w:rFonts w:ascii="Times New Roman" w:hAnsi="Times New Roman" w:cs="Times New Roman"/>
          <w:sz w:val="24"/>
          <w:lang w:val="ro-RO"/>
        </w:rPr>
        <w:t xml:space="preserve">de gaz natural </w:t>
      </w:r>
      <w:r w:rsidRPr="009C5F11">
        <w:rPr>
          <w:rFonts w:ascii="Times New Roman" w:hAnsi="Times New Roman" w:cs="Times New Roman"/>
          <w:sz w:val="24"/>
          <w:lang w:val="ro-RO"/>
        </w:rPr>
        <w:t>sunt efectuate dintr-o singură sursă (import din Rusia); iar circa 80% din energi</w:t>
      </w:r>
      <w:r w:rsidR="007445E9"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electrică este generată de centrala term</w:t>
      </w:r>
      <w:r w:rsidR="001E1250" w:rsidRPr="009C5F11">
        <w:rPr>
          <w:rFonts w:ascii="Times New Roman" w:hAnsi="Times New Roman" w:cs="Times New Roman"/>
          <w:sz w:val="24"/>
          <w:lang w:val="ro-RO"/>
        </w:rPr>
        <w:t>oelectr</w:t>
      </w:r>
      <w:r w:rsidRPr="009C5F11">
        <w:rPr>
          <w:rFonts w:ascii="Times New Roman" w:hAnsi="Times New Roman" w:cs="Times New Roman"/>
          <w:sz w:val="24"/>
          <w:lang w:val="ro-RO"/>
        </w:rPr>
        <w:t>ică din Moldova (C</w:t>
      </w:r>
      <w:r w:rsidR="001E1250" w:rsidRPr="009C5F11">
        <w:rPr>
          <w:rFonts w:ascii="Times New Roman" w:hAnsi="Times New Roman" w:cs="Times New Roman"/>
          <w:sz w:val="24"/>
          <w:lang w:val="ro-RO"/>
        </w:rPr>
        <w:t>T</w:t>
      </w:r>
      <w:r w:rsidRPr="009C5F11">
        <w:rPr>
          <w:rFonts w:ascii="Times New Roman" w:hAnsi="Times New Roman" w:cs="Times New Roman"/>
          <w:sz w:val="24"/>
          <w:lang w:val="ro-RO"/>
        </w:rPr>
        <w:t>EM). Achiziţiile efectuate dintr-o singură sursă sunt lipsite de concurenţă şi subminează grav procesul de negociere a preţurilor.</w:t>
      </w:r>
    </w:p>
    <w:p w14:paraId="52C2EE8A" w14:textId="77777777" w:rsidR="00384A0E" w:rsidRPr="009C5F11" w:rsidRDefault="00BC1C53"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lastRenderedPageBreak/>
        <w:t>Regretabil, acţiunile efective menite să amelioreze poziţia ţării prin asigurarea unor căi alternative (inclusiv din Occident) în concordanţă cu prevederile Strategiei energetice naţionale sunt pendinte</w:t>
      </w:r>
      <w:r w:rsidRPr="009C5F11">
        <w:rPr>
          <w:rFonts w:ascii="Times New Roman" w:hAnsi="Times New Roman" w:cs="Times New Roman"/>
          <w:sz w:val="24"/>
          <w:vertAlign w:val="superscript"/>
          <w:lang w:val="ro-RO"/>
        </w:rPr>
        <w:footnoteReference w:id="26"/>
      </w:r>
      <w:r w:rsidRPr="009C5F11">
        <w:rPr>
          <w:rFonts w:ascii="Times New Roman" w:hAnsi="Times New Roman" w:cs="Times New Roman"/>
          <w:sz w:val="24"/>
          <w:lang w:val="ro-RO"/>
        </w:rPr>
        <w:t>. Calea alternativă de urgenţă pentru transportarea gazelor naturale din România există, însă aprovizionarea reţelei de gaze naturale pe această cale necesită realizări tehnice suplimentare</w:t>
      </w:r>
      <w:r w:rsidRPr="009C5F11">
        <w:rPr>
          <w:rFonts w:ascii="Times New Roman" w:hAnsi="Times New Roman" w:cs="Times New Roman"/>
          <w:sz w:val="24"/>
          <w:vertAlign w:val="superscript"/>
          <w:lang w:val="ro-RO"/>
        </w:rPr>
        <w:footnoteReference w:id="27"/>
      </w:r>
      <w:r w:rsidRPr="009C5F11">
        <w:rPr>
          <w:rFonts w:ascii="Times New Roman" w:hAnsi="Times New Roman" w:cs="Times New Roman"/>
          <w:sz w:val="24"/>
          <w:lang w:val="ro-RO"/>
        </w:rPr>
        <w:t>.</w:t>
      </w:r>
    </w:p>
    <w:p w14:paraId="799501F9" w14:textId="77777777" w:rsidR="00D2187F" w:rsidRPr="009C5F11" w:rsidRDefault="003B68BB"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Atât în Chișinău, cât şi în Bălţi s</w:t>
      </w:r>
      <w:r w:rsidR="00BC1C53" w:rsidRPr="009C5F11">
        <w:rPr>
          <w:rFonts w:ascii="Times New Roman" w:hAnsi="Times New Roman" w:cs="Times New Roman"/>
          <w:sz w:val="24"/>
          <w:lang w:val="ro-RO"/>
        </w:rPr>
        <w:t>istem</w:t>
      </w:r>
      <w:r w:rsidRPr="009C5F11">
        <w:rPr>
          <w:rFonts w:ascii="Times New Roman" w:hAnsi="Times New Roman" w:cs="Times New Roman"/>
          <w:sz w:val="24"/>
          <w:lang w:val="ro-RO"/>
        </w:rPr>
        <w:t>e</w:t>
      </w:r>
      <w:r w:rsidR="00BC1C53" w:rsidRPr="009C5F11">
        <w:rPr>
          <w:rFonts w:ascii="Times New Roman" w:hAnsi="Times New Roman" w:cs="Times New Roman"/>
          <w:sz w:val="24"/>
          <w:lang w:val="ro-RO"/>
        </w:rPr>
        <w:t>l</w:t>
      </w:r>
      <w:r w:rsidRPr="009C5F11">
        <w:rPr>
          <w:rFonts w:ascii="Times New Roman" w:hAnsi="Times New Roman" w:cs="Times New Roman"/>
          <w:sz w:val="24"/>
          <w:lang w:val="ro-RO"/>
        </w:rPr>
        <w:t>e</w:t>
      </w:r>
      <w:r w:rsidR="00BC1C53" w:rsidRPr="009C5F11">
        <w:rPr>
          <w:rFonts w:ascii="Times New Roman" w:hAnsi="Times New Roman" w:cs="Times New Roman"/>
          <w:sz w:val="24"/>
          <w:lang w:val="ro-RO"/>
        </w:rPr>
        <w:t xml:space="preserve"> </w:t>
      </w:r>
      <w:r w:rsidR="007A7E04" w:rsidRPr="009C5F11">
        <w:rPr>
          <w:rFonts w:ascii="Times New Roman" w:hAnsi="Times New Roman" w:cs="Times New Roman"/>
          <w:sz w:val="24"/>
          <w:lang w:val="ro-RO"/>
        </w:rPr>
        <w:t>centralizat</w:t>
      </w:r>
      <w:r w:rsidRPr="009C5F11">
        <w:rPr>
          <w:rFonts w:ascii="Times New Roman" w:hAnsi="Times New Roman" w:cs="Times New Roman"/>
          <w:sz w:val="24"/>
          <w:lang w:val="ro-RO"/>
        </w:rPr>
        <w:t xml:space="preserve">e </w:t>
      </w:r>
      <w:r w:rsidR="00BC1C53" w:rsidRPr="009C5F11">
        <w:rPr>
          <w:rFonts w:ascii="Times New Roman" w:hAnsi="Times New Roman" w:cs="Times New Roman"/>
          <w:sz w:val="24"/>
          <w:lang w:val="ro-RO"/>
        </w:rPr>
        <w:t xml:space="preserve">de termoficare  funcţionează pe baza consumului </w:t>
      </w:r>
      <w:r w:rsidR="007445E9" w:rsidRPr="009C5F11">
        <w:rPr>
          <w:rFonts w:ascii="Times New Roman" w:hAnsi="Times New Roman" w:cs="Times New Roman"/>
          <w:sz w:val="24"/>
          <w:lang w:val="ro-RO"/>
        </w:rPr>
        <w:t xml:space="preserve">de </w:t>
      </w:r>
      <w:r w:rsidR="00BC1C53" w:rsidRPr="009C5F11">
        <w:rPr>
          <w:rFonts w:ascii="Times New Roman" w:hAnsi="Times New Roman" w:cs="Times New Roman"/>
          <w:sz w:val="24"/>
          <w:lang w:val="ro-RO"/>
        </w:rPr>
        <w:t>gaze naturale, care se confruntă cu obstacolele menţionate mai sus. În</w:t>
      </w:r>
      <w:r w:rsidRPr="009C5F11">
        <w:rPr>
          <w:rFonts w:ascii="Times New Roman" w:hAnsi="Times New Roman" w:cs="Times New Roman"/>
          <w:sz w:val="24"/>
          <w:lang w:val="ro-RO"/>
        </w:rPr>
        <w:t xml:space="preserve"> acelasi</w:t>
      </w:r>
      <w:r w:rsidR="00BC1C53" w:rsidRPr="009C5F11">
        <w:rPr>
          <w:rFonts w:ascii="Times New Roman" w:hAnsi="Times New Roman" w:cs="Times New Roman"/>
          <w:sz w:val="24"/>
          <w:lang w:val="ro-RO"/>
        </w:rPr>
        <w:t xml:space="preserve"> timp, centralele electr</w:t>
      </w:r>
      <w:r w:rsidRPr="009C5F11">
        <w:rPr>
          <w:rFonts w:ascii="Times New Roman" w:hAnsi="Times New Roman" w:cs="Times New Roman"/>
          <w:sz w:val="24"/>
          <w:lang w:val="ro-RO"/>
        </w:rPr>
        <w:t>ice de termoficare</w:t>
      </w:r>
      <w:r w:rsidR="00BC1C53" w:rsidRPr="009C5F11">
        <w:rPr>
          <w:rFonts w:ascii="Times New Roman" w:hAnsi="Times New Roman" w:cs="Times New Roman"/>
          <w:sz w:val="24"/>
          <w:lang w:val="ro-RO"/>
        </w:rPr>
        <w:t xml:space="preserve"> din ambele oraşe au nevoie urgentă de renovare/modernizare/alternativ </w:t>
      </w:r>
      <w:r w:rsidR="00892294" w:rsidRPr="009C5F11">
        <w:rPr>
          <w:rFonts w:ascii="Times New Roman" w:hAnsi="Times New Roman" w:cs="Times New Roman"/>
          <w:sz w:val="24"/>
          <w:lang w:val="ro-RO"/>
        </w:rPr>
        <w:t>înlocuire</w:t>
      </w:r>
      <w:r w:rsidR="00BC1C53" w:rsidRPr="009C5F11">
        <w:rPr>
          <w:rFonts w:ascii="Times New Roman" w:hAnsi="Times New Roman" w:cs="Times New Roman"/>
          <w:sz w:val="24"/>
          <w:lang w:val="ro-RO"/>
        </w:rPr>
        <w:t>. Toate problemele indicate, care determină preţuri ridicate la gaze/energi</w:t>
      </w:r>
      <w:r w:rsidR="007445E9" w:rsidRPr="009C5F11">
        <w:rPr>
          <w:rFonts w:ascii="Times New Roman" w:hAnsi="Times New Roman" w:cs="Times New Roman"/>
          <w:sz w:val="24"/>
          <w:lang w:val="ro-RO"/>
        </w:rPr>
        <w:t>a</w:t>
      </w:r>
      <w:r w:rsidR="00BC1C53" w:rsidRPr="009C5F11">
        <w:rPr>
          <w:rFonts w:ascii="Times New Roman" w:hAnsi="Times New Roman" w:cs="Times New Roman"/>
          <w:sz w:val="24"/>
          <w:lang w:val="ro-RO"/>
        </w:rPr>
        <w:t xml:space="preserve"> electrică/energi</w:t>
      </w:r>
      <w:r w:rsidR="007445E9" w:rsidRPr="009C5F11">
        <w:rPr>
          <w:rFonts w:ascii="Times New Roman" w:hAnsi="Times New Roman" w:cs="Times New Roman"/>
          <w:sz w:val="24"/>
          <w:lang w:val="ro-RO"/>
        </w:rPr>
        <w:t>a</w:t>
      </w:r>
      <w:r w:rsidR="00BC1C53" w:rsidRPr="009C5F11">
        <w:rPr>
          <w:rFonts w:ascii="Times New Roman" w:hAnsi="Times New Roman" w:cs="Times New Roman"/>
          <w:sz w:val="24"/>
          <w:lang w:val="ro-RO"/>
        </w:rPr>
        <w:t xml:space="preserve"> termică în calitate de marfă exercită presiune asupra reglementatorului atunci când cel din urmă determină tarifele de transport/distribuţie, având consecinţe potenţiale pe termen lung asupra investiţiilor în reţea.</w:t>
      </w:r>
      <w:r w:rsidR="00BC2ED4" w:rsidRPr="009C5F11">
        <w:rPr>
          <w:rFonts w:ascii="Times New Roman" w:hAnsi="Times New Roman" w:cs="Times New Roman"/>
          <w:sz w:val="24"/>
          <w:lang w:val="ro-RO"/>
        </w:rPr>
        <w:t xml:space="preserve"> </w:t>
      </w:r>
    </w:p>
    <w:p w14:paraId="2EAC78A5" w14:textId="64799A40" w:rsidR="00BC2ED4" w:rsidRPr="009C5F11" w:rsidRDefault="00BC1C53"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Costurile adiţionale legate de introducerea obligaţiei în ceea ce priveşte eficienţa energetică printre distribuitorii de energie vor genera tarife şi mai mari în reţea</w:t>
      </w:r>
      <w:r w:rsidR="007445E9"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fapt ce va conduce la majorarea preţurilor pentru consumatorii finali, iar introducerea unei obligaţii similare pentru </w:t>
      </w:r>
      <w:r w:rsidR="00450D37" w:rsidRPr="009C5F11">
        <w:rPr>
          <w:rFonts w:ascii="Times New Roman" w:hAnsi="Times New Roman" w:cs="Times New Roman"/>
          <w:sz w:val="24"/>
          <w:lang w:val="ro-RO"/>
        </w:rPr>
        <w:t>furnizorii de</w:t>
      </w:r>
      <w:r w:rsidRPr="009C5F11">
        <w:rPr>
          <w:rFonts w:ascii="Times New Roman" w:hAnsi="Times New Roman" w:cs="Times New Roman"/>
          <w:sz w:val="24"/>
          <w:lang w:val="ro-RO"/>
        </w:rPr>
        <w:t xml:space="preserve"> energ</w:t>
      </w:r>
      <w:r w:rsidR="00450D37" w:rsidRPr="009C5F11">
        <w:rPr>
          <w:rFonts w:ascii="Times New Roman" w:hAnsi="Times New Roman" w:cs="Times New Roman"/>
          <w:sz w:val="24"/>
          <w:lang w:val="ro-RO"/>
        </w:rPr>
        <w:t>i</w:t>
      </w:r>
      <w:r w:rsidRPr="009C5F11">
        <w:rPr>
          <w:rFonts w:ascii="Times New Roman" w:hAnsi="Times New Roman" w:cs="Times New Roman"/>
          <w:sz w:val="24"/>
          <w:lang w:val="ro-RO"/>
        </w:rPr>
        <w:t xml:space="preserve">e va spori costul serviciilor de furnizare ca parte a preţurilor pentru utilizatorii finali. </w:t>
      </w:r>
      <w:r w:rsidR="004D0283" w:rsidRPr="009C5F11">
        <w:rPr>
          <w:rFonts w:ascii="Times New Roman" w:hAnsi="Times New Roman" w:cs="Times New Roman"/>
          <w:sz w:val="24"/>
          <w:lang w:val="ro-RO"/>
        </w:rPr>
        <w:t>Înainte de asuma</w:t>
      </w:r>
      <w:r w:rsidR="00450D37" w:rsidRPr="009C5F11">
        <w:rPr>
          <w:rFonts w:ascii="Times New Roman" w:hAnsi="Times New Roman" w:cs="Times New Roman"/>
          <w:sz w:val="24"/>
          <w:lang w:val="ro-RO"/>
        </w:rPr>
        <w:t>rea</w:t>
      </w:r>
      <w:r w:rsidR="004D0283" w:rsidRPr="009C5F11">
        <w:rPr>
          <w:rFonts w:ascii="Times New Roman" w:hAnsi="Times New Roman" w:cs="Times New Roman"/>
          <w:sz w:val="24"/>
          <w:lang w:val="ro-RO"/>
        </w:rPr>
        <w:t xml:space="preserve"> oric</w:t>
      </w:r>
      <w:r w:rsidR="003B6544" w:rsidRPr="009C5F11">
        <w:rPr>
          <w:rFonts w:ascii="Times New Roman" w:hAnsi="Times New Roman" w:cs="Times New Roman"/>
          <w:sz w:val="24"/>
          <w:lang w:val="ro-RO"/>
        </w:rPr>
        <w:t>ă</w:t>
      </w:r>
      <w:r w:rsidR="00450D37" w:rsidRPr="009C5F11">
        <w:rPr>
          <w:rFonts w:ascii="Times New Roman" w:hAnsi="Times New Roman" w:cs="Times New Roman"/>
          <w:sz w:val="24"/>
          <w:lang w:val="ro-RO"/>
        </w:rPr>
        <w:t>r</w:t>
      </w:r>
      <w:r w:rsidR="004D0283" w:rsidRPr="009C5F11">
        <w:rPr>
          <w:rFonts w:ascii="Times New Roman" w:hAnsi="Times New Roman" w:cs="Times New Roman"/>
          <w:sz w:val="24"/>
          <w:lang w:val="ro-RO"/>
        </w:rPr>
        <w:t>e</w:t>
      </w:r>
      <w:r w:rsidR="00450D37" w:rsidRPr="009C5F11">
        <w:rPr>
          <w:rFonts w:ascii="Times New Roman" w:hAnsi="Times New Roman" w:cs="Times New Roman"/>
          <w:sz w:val="24"/>
          <w:lang w:val="ro-RO"/>
        </w:rPr>
        <w:t>i</w:t>
      </w:r>
      <w:r w:rsidR="004D0283" w:rsidRPr="009C5F11">
        <w:rPr>
          <w:rFonts w:ascii="Times New Roman" w:hAnsi="Times New Roman" w:cs="Times New Roman"/>
          <w:sz w:val="24"/>
          <w:lang w:val="ro-RO"/>
        </w:rPr>
        <w:t xml:space="preserve"> obligaţii, se impune efectuarea unui studiu cu privire la diferite sisteme de obligaţii şi aplicabilitatea acestora în condiţiile Republicii Moldova. Elaborarea </w:t>
      </w:r>
      <w:r w:rsidR="007445E9" w:rsidRPr="009C5F11">
        <w:rPr>
          <w:rFonts w:ascii="Times New Roman" w:hAnsi="Times New Roman" w:cs="Times New Roman"/>
          <w:sz w:val="24"/>
          <w:lang w:val="ro-RO"/>
        </w:rPr>
        <w:t>acestui s</w:t>
      </w:r>
      <w:r w:rsidR="004D0283" w:rsidRPr="009C5F11">
        <w:rPr>
          <w:rFonts w:ascii="Times New Roman" w:hAnsi="Times New Roman" w:cs="Times New Roman"/>
          <w:sz w:val="24"/>
          <w:lang w:val="ro-RO"/>
        </w:rPr>
        <w:t>tudiu (măsura H5) este inclusă în PNAEE 2016-2018. Î</w:t>
      </w:r>
      <w:r w:rsidRPr="009C5F11">
        <w:rPr>
          <w:rFonts w:ascii="Times New Roman" w:hAnsi="Times New Roman" w:cs="Times New Roman"/>
          <w:sz w:val="24"/>
          <w:lang w:val="ro-RO"/>
        </w:rPr>
        <w:t xml:space="preserve">n consecinţă, Republica Moldova </w:t>
      </w:r>
      <w:r w:rsidR="00450D37" w:rsidRPr="009C5F11">
        <w:rPr>
          <w:rFonts w:ascii="Times New Roman" w:hAnsi="Times New Roman" w:cs="Times New Roman"/>
          <w:sz w:val="24"/>
          <w:lang w:val="ro-RO"/>
        </w:rPr>
        <w:t xml:space="preserve">nu îsi </w:t>
      </w:r>
      <w:r w:rsidR="004D0283" w:rsidRPr="009C5F11">
        <w:rPr>
          <w:rFonts w:ascii="Times New Roman" w:hAnsi="Times New Roman" w:cs="Times New Roman"/>
          <w:sz w:val="24"/>
          <w:lang w:val="ro-RO"/>
        </w:rPr>
        <w:t>a</w:t>
      </w:r>
      <w:r w:rsidR="00450D37" w:rsidRPr="009C5F11">
        <w:rPr>
          <w:rFonts w:ascii="Times New Roman" w:hAnsi="Times New Roman" w:cs="Times New Roman"/>
          <w:sz w:val="24"/>
          <w:lang w:val="ro-RO"/>
        </w:rPr>
        <w:t>sumă</w:t>
      </w:r>
      <w:r w:rsidRPr="009C5F11">
        <w:rPr>
          <w:rFonts w:ascii="Times New Roman" w:hAnsi="Times New Roman" w:cs="Times New Roman"/>
          <w:sz w:val="24"/>
          <w:lang w:val="ro-RO"/>
        </w:rPr>
        <w:t xml:space="preserve"> angajamentul de a introduce </w:t>
      </w:r>
      <w:r w:rsidR="00450D37" w:rsidRPr="009C5F11">
        <w:rPr>
          <w:rFonts w:ascii="Times New Roman" w:hAnsi="Times New Roman" w:cs="Times New Roman"/>
          <w:sz w:val="24"/>
          <w:lang w:val="ro-RO"/>
        </w:rPr>
        <w:t xml:space="preserve">o </w:t>
      </w:r>
      <w:r w:rsidRPr="009C5F11">
        <w:rPr>
          <w:rFonts w:ascii="Times New Roman" w:hAnsi="Times New Roman" w:cs="Times New Roman"/>
          <w:sz w:val="24"/>
          <w:lang w:val="ro-RO"/>
        </w:rPr>
        <w:t>schem</w:t>
      </w:r>
      <w:r w:rsidR="00450D37" w:rsidRPr="009C5F11">
        <w:rPr>
          <w:rFonts w:ascii="Times New Roman" w:hAnsi="Times New Roman" w:cs="Times New Roman"/>
          <w:sz w:val="24"/>
          <w:lang w:val="ro-RO"/>
        </w:rPr>
        <w:t>ă</w:t>
      </w:r>
      <w:r w:rsidRPr="009C5F11">
        <w:rPr>
          <w:rFonts w:ascii="Times New Roman" w:hAnsi="Times New Roman" w:cs="Times New Roman"/>
          <w:sz w:val="24"/>
          <w:lang w:val="ro-RO"/>
        </w:rPr>
        <w:t xml:space="preserve"> de obligaţii, </w:t>
      </w:r>
      <w:r w:rsidR="004D0283" w:rsidRPr="009C5F11">
        <w:rPr>
          <w:rFonts w:ascii="Times New Roman" w:hAnsi="Times New Roman" w:cs="Times New Roman"/>
          <w:sz w:val="24"/>
          <w:lang w:val="ro-RO"/>
        </w:rPr>
        <w:t>dar trebuie</w:t>
      </w:r>
      <w:r w:rsidRPr="009C5F11">
        <w:rPr>
          <w:rFonts w:ascii="Times New Roman" w:hAnsi="Times New Roman" w:cs="Times New Roman"/>
          <w:sz w:val="24"/>
          <w:lang w:val="ro-RO"/>
        </w:rPr>
        <w:t xml:space="preserve"> să obţină economiile menţionate la alineatul precedent pe baza unor măsuri </w:t>
      </w:r>
      <w:r w:rsidR="00450D37" w:rsidRPr="009C5F11">
        <w:rPr>
          <w:rFonts w:ascii="Times New Roman" w:hAnsi="Times New Roman" w:cs="Times New Roman"/>
          <w:sz w:val="24"/>
          <w:lang w:val="ro-RO"/>
        </w:rPr>
        <w:t xml:space="preserve">de politică </w:t>
      </w:r>
      <w:r w:rsidRPr="009C5F11">
        <w:rPr>
          <w:rFonts w:ascii="Times New Roman" w:hAnsi="Times New Roman" w:cs="Times New Roman"/>
          <w:sz w:val="24"/>
          <w:lang w:val="ro-RO"/>
        </w:rPr>
        <w:t>alternative.</w:t>
      </w:r>
      <w:r w:rsidR="00BC2ED4" w:rsidRPr="009C5F11">
        <w:rPr>
          <w:rFonts w:ascii="Times New Roman" w:hAnsi="Times New Roman" w:cs="Times New Roman"/>
          <w:sz w:val="24"/>
          <w:lang w:val="ro-RO"/>
        </w:rPr>
        <w:t xml:space="preserve"> </w:t>
      </w:r>
    </w:p>
    <w:p w14:paraId="299D294F" w14:textId="77777777" w:rsidR="00CE0F19" w:rsidRPr="009C5F11" w:rsidRDefault="00CE0F19" w:rsidP="00CE0F19">
      <w:pPr>
        <w:spacing w:before="120" w:after="0" w:line="240" w:lineRule="auto"/>
        <w:jc w:val="both"/>
        <w:rPr>
          <w:rFonts w:ascii="Times New Roman" w:hAnsi="Times New Roman" w:cs="Times New Roman"/>
          <w:sz w:val="24"/>
          <w:lang w:val="ro-RO"/>
        </w:rPr>
      </w:pPr>
    </w:p>
    <w:p w14:paraId="0D468D99" w14:textId="77777777" w:rsidR="00BC2ED4" w:rsidRPr="00D9464A" w:rsidRDefault="00982050" w:rsidP="00450D37">
      <w:pPr>
        <w:pStyle w:val="Titlu3"/>
        <w:rPr>
          <w:rFonts w:ascii="Times New Roman" w:hAnsi="Times New Roman" w:cs="Times New Roman"/>
          <w:b/>
          <w:color w:val="000000" w:themeColor="text1"/>
          <w:sz w:val="28"/>
          <w:lang w:val="ro-RO"/>
        </w:rPr>
      </w:pPr>
      <w:bookmarkStart w:id="353" w:name="_Toc319555440"/>
      <w:bookmarkStart w:id="354" w:name="_Toc322013199"/>
      <w:r w:rsidRPr="00D9464A">
        <w:rPr>
          <w:rFonts w:ascii="Times New Roman" w:hAnsi="Times New Roman" w:cs="Times New Roman"/>
          <w:b/>
          <w:color w:val="000000" w:themeColor="text1"/>
          <w:sz w:val="28"/>
          <w:lang w:val="ro-RO"/>
        </w:rPr>
        <w:t>M</w:t>
      </w:r>
      <w:r w:rsidR="00CB5515" w:rsidRPr="00D9464A">
        <w:rPr>
          <w:rFonts w:ascii="Times New Roman" w:hAnsi="Times New Roman" w:cs="Times New Roman"/>
          <w:b/>
          <w:color w:val="000000" w:themeColor="text1"/>
          <w:sz w:val="28"/>
          <w:lang w:val="ro-RO"/>
        </w:rPr>
        <w:t xml:space="preserve">ăsuri </w:t>
      </w:r>
      <w:r w:rsidR="00450D37" w:rsidRPr="00D9464A">
        <w:rPr>
          <w:rFonts w:ascii="Times New Roman" w:hAnsi="Times New Roman" w:cs="Times New Roman"/>
          <w:b/>
          <w:color w:val="000000" w:themeColor="text1"/>
          <w:sz w:val="28"/>
          <w:lang w:val="ro-RO"/>
        </w:rPr>
        <w:t xml:space="preserve">de politică </w:t>
      </w:r>
      <w:r w:rsidRPr="00D9464A">
        <w:rPr>
          <w:rFonts w:ascii="Times New Roman" w:hAnsi="Times New Roman" w:cs="Times New Roman"/>
          <w:b/>
          <w:color w:val="000000" w:themeColor="text1"/>
          <w:sz w:val="28"/>
          <w:lang w:val="ro-RO"/>
        </w:rPr>
        <w:t xml:space="preserve">alternative </w:t>
      </w:r>
      <w:r w:rsidR="00BC2ED4" w:rsidRPr="00D9464A">
        <w:rPr>
          <w:rFonts w:ascii="Times New Roman" w:hAnsi="Times New Roman" w:cs="Times New Roman"/>
          <w:b/>
          <w:color w:val="000000" w:themeColor="text1"/>
          <w:sz w:val="28"/>
          <w:lang w:val="ro-RO"/>
        </w:rPr>
        <w:t>adopt</w:t>
      </w:r>
      <w:r w:rsidRPr="00D9464A">
        <w:rPr>
          <w:rFonts w:ascii="Times New Roman" w:hAnsi="Times New Roman" w:cs="Times New Roman"/>
          <w:b/>
          <w:color w:val="000000" w:themeColor="text1"/>
          <w:sz w:val="28"/>
          <w:lang w:val="ro-RO"/>
        </w:rPr>
        <w:t xml:space="preserve">ate </w:t>
      </w:r>
      <w:r w:rsidR="00321CD5" w:rsidRPr="00D9464A">
        <w:rPr>
          <w:rFonts w:ascii="Times New Roman" w:hAnsi="Times New Roman" w:cs="Times New Roman"/>
          <w:b/>
          <w:color w:val="000000" w:themeColor="text1"/>
          <w:sz w:val="28"/>
          <w:lang w:val="ro-RO"/>
        </w:rPr>
        <w:t xml:space="preserve">în </w:t>
      </w:r>
      <w:r w:rsidR="00BC2ED4" w:rsidRPr="00D9464A">
        <w:rPr>
          <w:rFonts w:ascii="Times New Roman" w:hAnsi="Times New Roman" w:cs="Times New Roman"/>
          <w:b/>
          <w:color w:val="000000" w:themeColor="text1"/>
          <w:sz w:val="28"/>
          <w:lang w:val="ro-RO"/>
        </w:rPr>
        <w:t>aplica</w:t>
      </w:r>
      <w:r w:rsidRPr="00D9464A">
        <w:rPr>
          <w:rFonts w:ascii="Times New Roman" w:hAnsi="Times New Roman" w:cs="Times New Roman"/>
          <w:b/>
          <w:color w:val="000000" w:themeColor="text1"/>
          <w:sz w:val="28"/>
          <w:lang w:val="ro-RO"/>
        </w:rPr>
        <w:t>rea</w:t>
      </w:r>
      <w:r w:rsidR="00BC2ED4" w:rsidRPr="00D9464A">
        <w:rPr>
          <w:rFonts w:ascii="Times New Roman" w:hAnsi="Times New Roman" w:cs="Times New Roman"/>
          <w:b/>
          <w:color w:val="000000" w:themeColor="text1"/>
          <w:sz w:val="28"/>
          <w:lang w:val="ro-RO"/>
        </w:rPr>
        <w:t xml:space="preserve"> </w:t>
      </w:r>
      <w:r w:rsidR="004D0283" w:rsidRPr="00D9464A">
        <w:rPr>
          <w:rFonts w:ascii="Times New Roman" w:hAnsi="Times New Roman" w:cs="Times New Roman"/>
          <w:b/>
          <w:color w:val="000000" w:themeColor="text1"/>
          <w:sz w:val="28"/>
          <w:lang w:val="ro-RO"/>
        </w:rPr>
        <w:t xml:space="preserve">cerinţelor de la </w:t>
      </w:r>
      <w:r w:rsidR="000A4CC7" w:rsidRPr="00D9464A">
        <w:rPr>
          <w:rFonts w:ascii="Times New Roman" w:hAnsi="Times New Roman" w:cs="Times New Roman"/>
          <w:b/>
          <w:color w:val="000000" w:themeColor="text1"/>
          <w:sz w:val="28"/>
          <w:lang w:val="ro-RO"/>
        </w:rPr>
        <w:t>Articolul</w:t>
      </w:r>
      <w:r w:rsidR="00BC2ED4" w:rsidRPr="00D9464A">
        <w:rPr>
          <w:rFonts w:ascii="Times New Roman" w:hAnsi="Times New Roman" w:cs="Times New Roman"/>
          <w:b/>
          <w:color w:val="000000" w:themeColor="text1"/>
          <w:sz w:val="28"/>
          <w:lang w:val="ro-RO"/>
        </w:rPr>
        <w:t xml:space="preserve"> 7</w:t>
      </w:r>
      <w:r w:rsidRPr="00D9464A">
        <w:rPr>
          <w:rFonts w:ascii="Times New Roman" w:hAnsi="Times New Roman" w:cs="Times New Roman"/>
          <w:b/>
          <w:color w:val="000000" w:themeColor="text1"/>
          <w:sz w:val="28"/>
          <w:lang w:val="ro-RO"/>
        </w:rPr>
        <w:t xml:space="preserve"> alineatul </w:t>
      </w:r>
      <w:r w:rsidR="00BC2ED4" w:rsidRPr="00D9464A">
        <w:rPr>
          <w:rFonts w:ascii="Times New Roman" w:hAnsi="Times New Roman" w:cs="Times New Roman"/>
          <w:b/>
          <w:color w:val="000000" w:themeColor="text1"/>
          <w:sz w:val="28"/>
          <w:lang w:val="ro-RO"/>
        </w:rPr>
        <w:t>(9)</w:t>
      </w:r>
      <w:r w:rsidR="00321CD5" w:rsidRPr="00D9464A">
        <w:rPr>
          <w:rFonts w:ascii="Times New Roman" w:hAnsi="Times New Roman" w:cs="Times New Roman"/>
          <w:b/>
          <w:color w:val="000000" w:themeColor="text1"/>
          <w:sz w:val="28"/>
          <w:lang w:val="ro-RO"/>
        </w:rPr>
        <w:t xml:space="preserve"> şi </w:t>
      </w:r>
      <w:r w:rsidR="000A4CC7" w:rsidRPr="00D9464A">
        <w:rPr>
          <w:rFonts w:ascii="Times New Roman" w:hAnsi="Times New Roman" w:cs="Times New Roman"/>
          <w:b/>
          <w:color w:val="000000" w:themeColor="text1"/>
          <w:sz w:val="28"/>
          <w:lang w:val="ro-RO"/>
        </w:rPr>
        <w:t>Articolul</w:t>
      </w:r>
      <w:r w:rsidR="00BC2ED4" w:rsidRPr="00D9464A">
        <w:rPr>
          <w:rFonts w:ascii="Times New Roman" w:hAnsi="Times New Roman" w:cs="Times New Roman"/>
          <w:b/>
          <w:color w:val="000000" w:themeColor="text1"/>
          <w:sz w:val="28"/>
          <w:lang w:val="ro-RO"/>
        </w:rPr>
        <w:t xml:space="preserve"> 20</w:t>
      </w:r>
      <w:r w:rsidRPr="00D9464A">
        <w:rPr>
          <w:rFonts w:ascii="Times New Roman" w:hAnsi="Times New Roman" w:cs="Times New Roman"/>
          <w:b/>
          <w:color w:val="000000" w:themeColor="text1"/>
          <w:sz w:val="28"/>
          <w:lang w:val="ro-RO"/>
        </w:rPr>
        <w:t xml:space="preserve"> alineatul </w:t>
      </w:r>
      <w:r w:rsidR="00BC2ED4" w:rsidRPr="00D9464A">
        <w:rPr>
          <w:rFonts w:ascii="Times New Roman" w:hAnsi="Times New Roman" w:cs="Times New Roman"/>
          <w:b/>
          <w:color w:val="000000" w:themeColor="text1"/>
          <w:sz w:val="28"/>
          <w:lang w:val="ro-RO"/>
        </w:rPr>
        <w:t>(6)</w:t>
      </w:r>
      <w:bookmarkEnd w:id="353"/>
      <w:bookmarkEnd w:id="354"/>
      <w:r w:rsidR="00BC2ED4" w:rsidRPr="00D9464A">
        <w:rPr>
          <w:rFonts w:ascii="Times New Roman" w:hAnsi="Times New Roman" w:cs="Times New Roman"/>
          <w:b/>
          <w:color w:val="000000" w:themeColor="text1"/>
          <w:sz w:val="28"/>
          <w:lang w:val="ro-RO"/>
        </w:rPr>
        <w:t xml:space="preserve"> </w:t>
      </w:r>
    </w:p>
    <w:p w14:paraId="570C42F9" w14:textId="77777777" w:rsidR="00D2187F" w:rsidRPr="009C5F11" w:rsidRDefault="004D0283"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Potrivit dispozițiilor DEE, după cum sunt adaptate de Decizia Consiliului Ministerial al Comunităţii Energetice, măsurile de politic</w:t>
      </w:r>
      <w:r w:rsidR="00450D37" w:rsidRPr="009C5F11">
        <w:rPr>
          <w:rFonts w:ascii="Times New Roman" w:hAnsi="Times New Roman" w:cs="Times New Roman"/>
          <w:sz w:val="24"/>
          <w:lang w:val="ro-RO"/>
        </w:rPr>
        <w:t>ă</w:t>
      </w:r>
      <w:r w:rsidRPr="009C5F11">
        <w:rPr>
          <w:rFonts w:ascii="Times New Roman" w:hAnsi="Times New Roman" w:cs="Times New Roman"/>
          <w:sz w:val="24"/>
          <w:lang w:val="ro-RO"/>
        </w:rPr>
        <w:t xml:space="preserve"> menţionate la primul </w:t>
      </w:r>
      <w:r w:rsidR="007445E9" w:rsidRPr="009C5F11">
        <w:rPr>
          <w:rFonts w:ascii="Times New Roman" w:hAnsi="Times New Roman" w:cs="Times New Roman"/>
          <w:sz w:val="24"/>
          <w:lang w:val="ro-RO"/>
        </w:rPr>
        <w:t>alineat</w:t>
      </w:r>
      <w:r w:rsidRPr="009C5F11">
        <w:rPr>
          <w:rFonts w:ascii="Times New Roman" w:hAnsi="Times New Roman" w:cs="Times New Roman"/>
          <w:sz w:val="24"/>
          <w:lang w:val="ro-RO"/>
        </w:rPr>
        <w:t xml:space="preserve"> pot include, fără a se limita la acestea, măsuri de politic</w:t>
      </w:r>
      <w:r w:rsidR="00450D37" w:rsidRPr="009C5F11">
        <w:rPr>
          <w:rFonts w:ascii="Times New Roman" w:hAnsi="Times New Roman" w:cs="Times New Roman"/>
          <w:sz w:val="24"/>
          <w:lang w:val="ro-RO"/>
        </w:rPr>
        <w:t>ă</w:t>
      </w:r>
      <w:r w:rsidR="007445E9" w:rsidRPr="009C5F11">
        <w:rPr>
          <w:rFonts w:ascii="Times New Roman" w:hAnsi="Times New Roman" w:cs="Times New Roman"/>
          <w:sz w:val="24"/>
          <w:lang w:val="ro-RO"/>
        </w:rPr>
        <w:t>i</w:t>
      </w:r>
      <w:r w:rsidRPr="009C5F11">
        <w:rPr>
          <w:rFonts w:ascii="Times New Roman" w:hAnsi="Times New Roman" w:cs="Times New Roman"/>
          <w:sz w:val="24"/>
          <w:lang w:val="ro-RO"/>
        </w:rPr>
        <w:t xml:space="preserve"> sau o combinare a acestora indicată la Articolul 7 alineatul (9).</w:t>
      </w:r>
      <w:r w:rsidR="00BC2ED4" w:rsidRPr="009C5F11">
        <w:rPr>
          <w:rFonts w:ascii="Times New Roman" w:hAnsi="Times New Roman" w:cs="Times New Roman"/>
          <w:sz w:val="24"/>
          <w:lang w:val="ro-RO"/>
        </w:rPr>
        <w:t xml:space="preserve"> </w:t>
      </w:r>
    </w:p>
    <w:p w14:paraId="7974FFD0" w14:textId="0C7237C8" w:rsidR="00BC2ED4" w:rsidRPr="009C5F11" w:rsidRDefault="00D666B5" w:rsidP="00087B37">
      <w:pPr>
        <w:pStyle w:val="Listparagraf"/>
        <w:numPr>
          <w:ilvl w:val="0"/>
          <w:numId w:val="210"/>
        </w:numPr>
        <w:spacing w:before="120" w:after="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Tabelul</w:t>
      </w:r>
      <w:r w:rsidR="00BC2ED4" w:rsidRPr="009C5F11">
        <w:rPr>
          <w:rFonts w:ascii="Times New Roman" w:hAnsi="Times New Roman" w:cs="Times New Roman"/>
          <w:sz w:val="24"/>
          <w:lang w:val="ro-RO"/>
        </w:rPr>
        <w:t xml:space="preserve"> </w:t>
      </w:r>
      <w:r w:rsidR="00E46DD7" w:rsidRPr="009C5F11">
        <w:rPr>
          <w:rFonts w:ascii="Times New Roman" w:hAnsi="Times New Roman" w:cs="Times New Roman"/>
          <w:sz w:val="24"/>
          <w:lang w:val="ro-RO"/>
        </w:rPr>
        <w:t>de mai jos</w:t>
      </w:r>
      <w:r w:rsidR="00BC2ED4" w:rsidRPr="009C5F11">
        <w:rPr>
          <w:rFonts w:ascii="Times New Roman" w:hAnsi="Times New Roman" w:cs="Times New Roman"/>
          <w:sz w:val="24"/>
          <w:lang w:val="ro-RO"/>
        </w:rPr>
        <w:t xml:space="preserve"> </w:t>
      </w:r>
      <w:r w:rsidR="00F43616" w:rsidRPr="009C5F11">
        <w:rPr>
          <w:rFonts w:ascii="Times New Roman" w:hAnsi="Times New Roman" w:cs="Times New Roman"/>
          <w:sz w:val="24"/>
          <w:lang w:val="ro-RO"/>
        </w:rPr>
        <w:t>reprezintă</w:t>
      </w:r>
      <w:r w:rsidR="00BC2ED4" w:rsidRPr="009C5F11">
        <w:rPr>
          <w:rFonts w:ascii="Times New Roman" w:hAnsi="Times New Roman" w:cs="Times New Roman"/>
          <w:sz w:val="24"/>
          <w:lang w:val="ro-RO"/>
        </w:rPr>
        <w:t xml:space="preserve"> </w:t>
      </w:r>
      <w:r w:rsidR="00BC1C53" w:rsidRPr="009C5F11">
        <w:rPr>
          <w:rFonts w:ascii="Times New Roman" w:hAnsi="Times New Roman" w:cs="Times New Roman"/>
          <w:sz w:val="24"/>
          <w:lang w:val="ro-RO"/>
        </w:rPr>
        <w:t>o analiză a</w:t>
      </w:r>
      <w:r w:rsidR="00BC2ED4"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00BC1C53" w:rsidRPr="009C5F11">
        <w:rPr>
          <w:rFonts w:ascii="Times New Roman" w:hAnsi="Times New Roman" w:cs="Times New Roman"/>
          <w:sz w:val="24"/>
          <w:lang w:val="ro-RO"/>
        </w:rPr>
        <w:t>lor eligibile indicate</w:t>
      </w:r>
      <w:r w:rsidR="00BC2ED4" w:rsidRPr="009C5F11">
        <w:rPr>
          <w:rFonts w:ascii="Times New Roman" w:hAnsi="Times New Roman" w:cs="Times New Roman"/>
          <w:sz w:val="24"/>
          <w:lang w:val="ro-RO"/>
        </w:rPr>
        <w:t xml:space="preserve"> </w:t>
      </w:r>
      <w:r w:rsidR="007445E9" w:rsidRPr="009C5F11">
        <w:rPr>
          <w:rFonts w:ascii="Times New Roman" w:hAnsi="Times New Roman" w:cs="Times New Roman"/>
          <w:sz w:val="24"/>
          <w:lang w:val="ro-RO"/>
        </w:rPr>
        <w:t>la</w:t>
      </w:r>
      <w:r w:rsidR="00BC2ED4" w:rsidRPr="009C5F11">
        <w:rPr>
          <w:rFonts w:ascii="Times New Roman" w:hAnsi="Times New Roman" w:cs="Times New Roman"/>
          <w:sz w:val="24"/>
          <w:lang w:val="ro-RO"/>
        </w:rPr>
        <w:t xml:space="preserve"> </w:t>
      </w:r>
      <w:r w:rsidR="000A4CC7" w:rsidRPr="009C5F11">
        <w:rPr>
          <w:rFonts w:ascii="Times New Roman" w:hAnsi="Times New Roman" w:cs="Times New Roman"/>
          <w:sz w:val="24"/>
          <w:lang w:val="ro-RO"/>
        </w:rPr>
        <w:t>Articolul</w:t>
      </w:r>
      <w:r w:rsidR="00BC2ED4" w:rsidRPr="009C5F11">
        <w:rPr>
          <w:rFonts w:ascii="Times New Roman" w:hAnsi="Times New Roman" w:cs="Times New Roman"/>
          <w:sz w:val="24"/>
          <w:lang w:val="ro-RO"/>
        </w:rPr>
        <w:t xml:space="preserve"> 7</w:t>
      </w:r>
      <w:r w:rsidR="00BC1C53" w:rsidRPr="009C5F11">
        <w:rPr>
          <w:rFonts w:ascii="Times New Roman" w:hAnsi="Times New Roman" w:cs="Times New Roman"/>
          <w:sz w:val="24"/>
          <w:lang w:val="ro-RO"/>
        </w:rPr>
        <w:t xml:space="preserve"> alineatul </w:t>
      </w:r>
      <w:r w:rsidR="00BC2ED4" w:rsidRPr="009C5F11">
        <w:rPr>
          <w:rFonts w:ascii="Times New Roman" w:hAnsi="Times New Roman" w:cs="Times New Roman"/>
          <w:sz w:val="24"/>
          <w:lang w:val="ro-RO"/>
        </w:rPr>
        <w:t xml:space="preserve">(9), </w:t>
      </w:r>
      <w:r w:rsidR="00BC1C53" w:rsidRPr="009C5F11">
        <w:rPr>
          <w:rFonts w:ascii="Times New Roman" w:hAnsi="Times New Roman" w:cs="Times New Roman"/>
          <w:sz w:val="24"/>
          <w:lang w:val="ro-RO"/>
        </w:rPr>
        <w:t xml:space="preserve">modul în care acestea sunt </w:t>
      </w:r>
      <w:r w:rsidR="007445E9" w:rsidRPr="009C5F11">
        <w:rPr>
          <w:rFonts w:ascii="Times New Roman" w:hAnsi="Times New Roman" w:cs="Times New Roman"/>
          <w:sz w:val="24"/>
          <w:lang w:val="ro-RO"/>
        </w:rPr>
        <w:t xml:space="preserve">sau nu sunt </w:t>
      </w:r>
      <w:r w:rsidR="00960928" w:rsidRPr="009C5F11">
        <w:rPr>
          <w:rFonts w:ascii="Times New Roman" w:hAnsi="Times New Roman" w:cs="Times New Roman"/>
          <w:sz w:val="24"/>
          <w:lang w:val="ro-RO"/>
        </w:rPr>
        <w:t>planificate</w:t>
      </w:r>
      <w:r w:rsidR="00BC2ED4" w:rsidRPr="009C5F11">
        <w:rPr>
          <w:rFonts w:ascii="Times New Roman" w:hAnsi="Times New Roman" w:cs="Times New Roman"/>
          <w:sz w:val="24"/>
          <w:lang w:val="ro-RO"/>
        </w:rPr>
        <w:t>/adopt</w:t>
      </w:r>
      <w:r w:rsidR="00BC1C53" w:rsidRPr="009C5F11">
        <w:rPr>
          <w:rFonts w:ascii="Times New Roman" w:hAnsi="Times New Roman" w:cs="Times New Roman"/>
          <w:sz w:val="24"/>
          <w:lang w:val="ro-RO"/>
        </w:rPr>
        <w:t>at</w:t>
      </w:r>
      <w:r w:rsidR="00BC2ED4"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w:t>
      </w:r>
      <w:r w:rsidR="003A5D89" w:rsidRPr="009C5F11">
        <w:rPr>
          <w:rFonts w:ascii="Times New Roman" w:hAnsi="Times New Roman" w:cs="Times New Roman"/>
          <w:sz w:val="24"/>
          <w:lang w:val="ro-RO"/>
        </w:rPr>
        <w:t xml:space="preserve">până </w:t>
      </w:r>
      <w:r w:rsidR="00BC1C53" w:rsidRPr="009C5F11">
        <w:rPr>
          <w:rFonts w:ascii="Times New Roman" w:hAnsi="Times New Roman" w:cs="Times New Roman"/>
          <w:sz w:val="24"/>
          <w:lang w:val="ro-RO"/>
        </w:rPr>
        <w:t>în prezent</w:t>
      </w:r>
      <w:r w:rsidR="00BC2ED4" w:rsidRPr="009C5F11">
        <w:rPr>
          <w:rFonts w:ascii="Times New Roman" w:hAnsi="Times New Roman" w:cs="Times New Roman"/>
          <w:sz w:val="24"/>
          <w:lang w:val="ro-RO"/>
        </w:rPr>
        <w:t>.</w:t>
      </w:r>
    </w:p>
    <w:p w14:paraId="1886C1CE" w14:textId="77777777" w:rsidR="00BC2ED4" w:rsidRPr="009C5F11" w:rsidRDefault="00BC2ED4" w:rsidP="00CE0F19">
      <w:pPr>
        <w:spacing w:before="120" w:after="0" w:line="240" w:lineRule="auto"/>
        <w:jc w:val="both"/>
        <w:rPr>
          <w:rFonts w:ascii="Times New Roman" w:hAnsi="Times New Roman" w:cs="Times New Roman"/>
          <w:sz w:val="24"/>
          <w:lang w:val="ro-RO"/>
        </w:rPr>
      </w:pPr>
    </w:p>
    <w:p w14:paraId="04C5BD67" w14:textId="77777777" w:rsidR="00CE0F19" w:rsidRPr="009C5F11" w:rsidRDefault="00321CD5" w:rsidP="00CE0F19">
      <w:pPr>
        <w:pStyle w:val="Legend"/>
        <w:keepNext/>
        <w:jc w:val="center"/>
        <w:rPr>
          <w:rFonts w:ascii="Times New Roman" w:hAnsi="Times New Roman" w:cs="Times New Roman"/>
          <w:sz w:val="22"/>
          <w:lang w:val="ro-RO"/>
        </w:rPr>
      </w:pPr>
      <w:bookmarkStart w:id="355" w:name="_Toc322013259"/>
      <w:r w:rsidRPr="009C5F11">
        <w:rPr>
          <w:rFonts w:ascii="Times New Roman" w:hAnsi="Times New Roman" w:cs="Times New Roman"/>
          <w:sz w:val="22"/>
          <w:lang w:val="ro-RO"/>
        </w:rPr>
        <w:t>Tabelul</w:t>
      </w:r>
      <w:r w:rsidR="00CE0F19"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CE0F19"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36</w:t>
      </w:r>
      <w:r w:rsidR="003A6ADB" w:rsidRPr="009C5F11">
        <w:rPr>
          <w:rFonts w:ascii="Times New Roman" w:hAnsi="Times New Roman" w:cs="Times New Roman"/>
          <w:sz w:val="22"/>
          <w:lang w:val="ro-RO"/>
        </w:rPr>
        <w:fldChar w:fldCharType="end"/>
      </w:r>
      <w:r w:rsidR="00CE0F19" w:rsidRPr="009C5F11">
        <w:rPr>
          <w:rFonts w:ascii="Times New Roman" w:hAnsi="Times New Roman" w:cs="Times New Roman"/>
          <w:sz w:val="22"/>
          <w:lang w:val="ro-RO"/>
        </w:rPr>
        <w:t xml:space="preserve"> - </w:t>
      </w:r>
      <w:r w:rsidR="004D0283" w:rsidRPr="009C5F11">
        <w:rPr>
          <w:rFonts w:ascii="Times New Roman" w:hAnsi="Times New Roman" w:cs="Times New Roman"/>
          <w:sz w:val="22"/>
          <w:lang w:val="ro-RO"/>
        </w:rPr>
        <w:t>Privire de ansamblu asupra măsurilor</w:t>
      </w:r>
      <w:r w:rsidR="00BC1C53" w:rsidRPr="009C5F11">
        <w:rPr>
          <w:rFonts w:ascii="Times New Roman" w:hAnsi="Times New Roman" w:cs="Times New Roman"/>
          <w:sz w:val="22"/>
          <w:lang w:val="ro-RO"/>
        </w:rPr>
        <w:t xml:space="preserve"> de eficienţ</w:t>
      </w:r>
      <w:r w:rsidR="003B6544" w:rsidRPr="009C5F11">
        <w:rPr>
          <w:rFonts w:ascii="Times New Roman" w:hAnsi="Times New Roman" w:cs="Times New Roman"/>
          <w:sz w:val="22"/>
          <w:lang w:val="ro-RO"/>
        </w:rPr>
        <w:t>ă</w:t>
      </w:r>
      <w:r w:rsidR="00BC1C53" w:rsidRPr="009C5F11">
        <w:rPr>
          <w:rFonts w:ascii="Times New Roman" w:hAnsi="Times New Roman" w:cs="Times New Roman"/>
          <w:sz w:val="22"/>
          <w:lang w:val="ro-RO"/>
        </w:rPr>
        <w:t xml:space="preserve"> energetică</w:t>
      </w:r>
      <w:r w:rsidR="00CE0F19" w:rsidRPr="009C5F11">
        <w:rPr>
          <w:rFonts w:ascii="Times New Roman" w:hAnsi="Times New Roman" w:cs="Times New Roman"/>
          <w:sz w:val="22"/>
          <w:lang w:val="ro-RO"/>
        </w:rPr>
        <w:t xml:space="preserve">, </w:t>
      </w:r>
      <w:r w:rsidR="00BC1C53" w:rsidRPr="009C5F11">
        <w:rPr>
          <w:rFonts w:ascii="Times New Roman" w:hAnsi="Times New Roman" w:cs="Times New Roman"/>
          <w:sz w:val="22"/>
          <w:lang w:val="ro-RO"/>
        </w:rPr>
        <w:t>put</w:t>
      </w:r>
      <w:r w:rsidR="00450D37" w:rsidRPr="009C5F11">
        <w:rPr>
          <w:rFonts w:ascii="Times New Roman" w:hAnsi="Times New Roman" w:cs="Times New Roman"/>
          <w:sz w:val="22"/>
          <w:lang w:val="ro-RO"/>
        </w:rPr>
        <w:t>and</w:t>
      </w:r>
      <w:r w:rsidR="00BC1C53" w:rsidRPr="009C5F11">
        <w:rPr>
          <w:rFonts w:ascii="Times New Roman" w:hAnsi="Times New Roman" w:cs="Times New Roman"/>
          <w:sz w:val="22"/>
          <w:lang w:val="ro-RO"/>
        </w:rPr>
        <w:t xml:space="preserve"> fi a</w:t>
      </w:r>
      <w:r w:rsidR="00CE0F19" w:rsidRPr="009C5F11">
        <w:rPr>
          <w:rFonts w:ascii="Times New Roman" w:hAnsi="Times New Roman" w:cs="Times New Roman"/>
          <w:sz w:val="22"/>
          <w:lang w:val="ro-RO"/>
        </w:rPr>
        <w:t>similate</w:t>
      </w:r>
      <w:r w:rsidR="00BC1C53" w:rsidRPr="009C5F11">
        <w:rPr>
          <w:rFonts w:ascii="Times New Roman" w:hAnsi="Times New Roman" w:cs="Times New Roman"/>
          <w:sz w:val="22"/>
          <w:lang w:val="ro-RO"/>
        </w:rPr>
        <w:t xml:space="preserve"> cu </w:t>
      </w:r>
      <w:r w:rsidR="003B6544" w:rsidRPr="009C5F11">
        <w:rPr>
          <w:rFonts w:ascii="Times New Roman" w:hAnsi="Times New Roman" w:cs="Times New Roman"/>
          <w:sz w:val="22"/>
          <w:lang w:val="ro-RO"/>
        </w:rPr>
        <w:t xml:space="preserve">măsuri de </w:t>
      </w:r>
      <w:r w:rsidR="006025D6" w:rsidRPr="009C5F11">
        <w:rPr>
          <w:rFonts w:ascii="Times New Roman" w:hAnsi="Times New Roman" w:cs="Times New Roman"/>
          <w:sz w:val="22"/>
          <w:lang w:val="ro-RO"/>
        </w:rPr>
        <w:t>politic</w:t>
      </w:r>
      <w:r w:rsidR="003B6544" w:rsidRPr="009C5F11">
        <w:rPr>
          <w:rFonts w:ascii="Times New Roman" w:hAnsi="Times New Roman" w:cs="Times New Roman"/>
          <w:sz w:val="22"/>
          <w:lang w:val="ro-RO"/>
        </w:rPr>
        <w:t>ă</w:t>
      </w:r>
      <w:r w:rsidR="00CE0F19" w:rsidRPr="009C5F11">
        <w:rPr>
          <w:rFonts w:ascii="Times New Roman" w:hAnsi="Times New Roman" w:cs="Times New Roman"/>
          <w:sz w:val="22"/>
          <w:lang w:val="ro-RO"/>
        </w:rPr>
        <w:t xml:space="preserve"> </w:t>
      </w:r>
      <w:r w:rsidR="00BC1C53" w:rsidRPr="009C5F11">
        <w:rPr>
          <w:rFonts w:ascii="Times New Roman" w:hAnsi="Times New Roman" w:cs="Times New Roman"/>
          <w:sz w:val="22"/>
          <w:lang w:val="ro-RO"/>
        </w:rPr>
        <w:t>alternative după cum este indicat</w:t>
      </w:r>
      <w:r w:rsidRPr="009C5F11">
        <w:rPr>
          <w:rFonts w:ascii="Times New Roman" w:hAnsi="Times New Roman" w:cs="Times New Roman"/>
          <w:sz w:val="22"/>
          <w:lang w:val="ro-RO"/>
        </w:rPr>
        <w:t xml:space="preserve"> în </w:t>
      </w:r>
      <w:r w:rsidR="00CB011F" w:rsidRPr="009C5F11">
        <w:rPr>
          <w:rFonts w:ascii="Times New Roman" w:hAnsi="Times New Roman" w:cs="Times New Roman"/>
          <w:sz w:val="22"/>
          <w:lang w:val="ro-RO"/>
        </w:rPr>
        <w:t>DEE</w:t>
      </w:r>
      <w:r w:rsidR="00BC1C53" w:rsidRPr="009C5F11">
        <w:rPr>
          <w:rFonts w:ascii="Times New Roman" w:hAnsi="Times New Roman" w:cs="Times New Roman"/>
          <w:sz w:val="22"/>
          <w:lang w:val="ro-RO"/>
        </w:rPr>
        <w:t>,</w:t>
      </w:r>
      <w:r w:rsidR="00CE0F19" w:rsidRPr="009C5F11">
        <w:rPr>
          <w:rFonts w:ascii="Times New Roman" w:hAnsi="Times New Roman" w:cs="Times New Roman"/>
          <w:sz w:val="22"/>
          <w:lang w:val="ro-RO"/>
        </w:rPr>
        <w:t xml:space="preserve"> art.7</w:t>
      </w:r>
      <w:r w:rsidR="00BC1C53" w:rsidRPr="009C5F11">
        <w:rPr>
          <w:rFonts w:ascii="Times New Roman" w:hAnsi="Times New Roman" w:cs="Times New Roman"/>
          <w:sz w:val="22"/>
          <w:lang w:val="ro-RO"/>
        </w:rPr>
        <w:t>.</w:t>
      </w:r>
      <w:bookmarkEnd w:id="355"/>
    </w:p>
    <w:tbl>
      <w:tblPr>
        <w:tblW w:w="0" w:type="auto"/>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3316"/>
        <w:gridCol w:w="5927"/>
      </w:tblGrid>
      <w:tr w:rsidR="00BC2ED4" w:rsidRPr="009C5F11" w14:paraId="09FB0E49" w14:textId="77777777" w:rsidTr="00CE0F19">
        <w:trPr>
          <w:trHeight w:val="296"/>
        </w:trPr>
        <w:tc>
          <w:tcPr>
            <w:tcW w:w="3316" w:type="dxa"/>
            <w:tcBorders>
              <w:bottom w:val="single" w:sz="4" w:space="0" w:color="4F81BD"/>
            </w:tcBorders>
            <w:shd w:val="clear" w:color="auto" w:fill="000080"/>
          </w:tcPr>
          <w:p w14:paraId="30FFC96C" w14:textId="77777777" w:rsidR="00BC2ED4" w:rsidRPr="009C5F11" w:rsidRDefault="004D0283" w:rsidP="00430626">
            <w:pPr>
              <w:contextualSpacing/>
              <w:jc w:val="center"/>
              <w:textAlignment w:val="baseline"/>
              <w:rPr>
                <w:rFonts w:ascii="Times New Roman" w:hAnsi="Times New Roman" w:cs="Times New Roman"/>
                <w:b/>
                <w:color w:val="FFFFFF"/>
                <w:sz w:val="20"/>
                <w:szCs w:val="16"/>
                <w:lang w:val="ro-RO"/>
              </w:rPr>
            </w:pPr>
            <w:r w:rsidRPr="009C5F11">
              <w:rPr>
                <w:rFonts w:ascii="Times New Roman" w:hAnsi="Times New Roman" w:cs="Times New Roman"/>
                <w:b/>
                <w:color w:val="FFFFFF"/>
                <w:sz w:val="20"/>
                <w:szCs w:val="16"/>
                <w:lang w:val="ro-RO"/>
              </w:rPr>
              <w:t>Conform prevederilor de</w:t>
            </w:r>
            <w:r w:rsidR="00BC1C53" w:rsidRPr="009C5F11">
              <w:rPr>
                <w:rFonts w:ascii="Times New Roman" w:hAnsi="Times New Roman" w:cs="Times New Roman"/>
                <w:b/>
                <w:color w:val="FFFFFF"/>
                <w:sz w:val="20"/>
                <w:szCs w:val="16"/>
                <w:lang w:val="ro-RO"/>
              </w:rPr>
              <w:t xml:space="preserve"> la</w:t>
            </w:r>
            <w:r w:rsidR="00321CD5" w:rsidRPr="009C5F11">
              <w:rPr>
                <w:rFonts w:ascii="Times New Roman" w:hAnsi="Times New Roman" w:cs="Times New Roman"/>
                <w:b/>
                <w:color w:val="FFFFFF"/>
                <w:sz w:val="20"/>
                <w:szCs w:val="16"/>
                <w:lang w:val="ro-RO"/>
              </w:rPr>
              <w:t xml:space="preserve"> </w:t>
            </w:r>
            <w:r w:rsidR="00BC2ED4" w:rsidRPr="009C5F11">
              <w:rPr>
                <w:rFonts w:ascii="Times New Roman" w:hAnsi="Times New Roman" w:cs="Times New Roman"/>
                <w:b/>
                <w:color w:val="FFFFFF"/>
                <w:sz w:val="20"/>
                <w:szCs w:val="16"/>
                <w:lang w:val="ro-RO"/>
              </w:rPr>
              <w:t xml:space="preserve">art. 7(9), </w:t>
            </w:r>
            <w:r w:rsidR="000A4CC7" w:rsidRPr="009C5F11">
              <w:rPr>
                <w:rFonts w:ascii="Times New Roman" w:hAnsi="Times New Roman" w:cs="Times New Roman"/>
                <w:b/>
                <w:color w:val="FFFFFF"/>
                <w:sz w:val="20"/>
                <w:szCs w:val="16"/>
                <w:lang w:val="ro-RO"/>
              </w:rPr>
              <w:t xml:space="preserve">Directiva </w:t>
            </w:r>
            <w:r w:rsidR="00BC2ED4" w:rsidRPr="009C5F11">
              <w:rPr>
                <w:rFonts w:ascii="Times New Roman" w:hAnsi="Times New Roman" w:cs="Times New Roman"/>
                <w:b/>
                <w:color w:val="FFFFFF"/>
                <w:sz w:val="20"/>
                <w:szCs w:val="16"/>
                <w:lang w:val="ro-RO"/>
              </w:rPr>
              <w:t>2012/27</w:t>
            </w:r>
            <w:r w:rsidR="00730BB5" w:rsidRPr="009C5F11">
              <w:rPr>
                <w:rFonts w:ascii="Times New Roman" w:hAnsi="Times New Roman" w:cs="Times New Roman"/>
                <w:b/>
                <w:color w:val="FFFFFF"/>
                <w:sz w:val="20"/>
                <w:szCs w:val="16"/>
                <w:lang w:val="ro-RO"/>
              </w:rPr>
              <w:t>/UE</w:t>
            </w:r>
          </w:p>
        </w:tc>
        <w:tc>
          <w:tcPr>
            <w:tcW w:w="5927" w:type="dxa"/>
            <w:tcBorders>
              <w:bottom w:val="single" w:sz="4" w:space="0" w:color="4F81BD"/>
            </w:tcBorders>
            <w:shd w:val="clear" w:color="auto" w:fill="000080"/>
          </w:tcPr>
          <w:p w14:paraId="5FDF0621" w14:textId="77777777" w:rsidR="00BC2ED4" w:rsidRPr="009C5F11" w:rsidRDefault="00BC1C53" w:rsidP="00BC1C53">
            <w:pPr>
              <w:contextualSpacing/>
              <w:jc w:val="center"/>
              <w:textAlignment w:val="baseline"/>
              <w:rPr>
                <w:rFonts w:ascii="Times New Roman" w:hAnsi="Times New Roman" w:cs="Times New Roman"/>
                <w:b/>
                <w:color w:val="FFFFFF"/>
                <w:sz w:val="20"/>
                <w:szCs w:val="16"/>
                <w:lang w:val="ro-RO"/>
              </w:rPr>
            </w:pPr>
            <w:r w:rsidRPr="009C5F11">
              <w:rPr>
                <w:rFonts w:ascii="Times New Roman" w:hAnsi="Times New Roman" w:cs="Times New Roman"/>
                <w:b/>
                <w:color w:val="FFFFFF"/>
                <w:sz w:val="20"/>
                <w:szCs w:val="16"/>
                <w:lang w:val="ro-RO"/>
              </w:rPr>
              <w:t>Aplicabilitatea</w:t>
            </w:r>
            <w:r w:rsidR="00BC2ED4" w:rsidRPr="009C5F11">
              <w:rPr>
                <w:rFonts w:ascii="Times New Roman" w:hAnsi="Times New Roman" w:cs="Times New Roman"/>
                <w:b/>
                <w:color w:val="FFFFFF"/>
                <w:sz w:val="20"/>
                <w:szCs w:val="16"/>
                <w:lang w:val="ro-RO"/>
              </w:rPr>
              <w:t xml:space="preserve"> (exist</w:t>
            </w:r>
            <w:r w:rsidRPr="009C5F11">
              <w:rPr>
                <w:rFonts w:ascii="Times New Roman" w:hAnsi="Times New Roman" w:cs="Times New Roman"/>
                <w:b/>
                <w:color w:val="FFFFFF"/>
                <w:sz w:val="20"/>
                <w:szCs w:val="16"/>
                <w:lang w:val="ro-RO"/>
              </w:rPr>
              <w:t>ente</w:t>
            </w:r>
            <w:r w:rsidR="00BC2ED4" w:rsidRPr="009C5F11">
              <w:rPr>
                <w:rFonts w:ascii="Times New Roman" w:hAnsi="Times New Roman" w:cs="Times New Roman"/>
                <w:b/>
                <w:color w:val="FFFFFF"/>
                <w:sz w:val="20"/>
                <w:szCs w:val="16"/>
                <w:lang w:val="ro-RO"/>
              </w:rPr>
              <w:t>/</w:t>
            </w:r>
            <w:r w:rsidR="00960928" w:rsidRPr="009C5F11">
              <w:rPr>
                <w:rFonts w:ascii="Times New Roman" w:hAnsi="Times New Roman" w:cs="Times New Roman"/>
                <w:b/>
                <w:color w:val="FFFFFF"/>
                <w:sz w:val="20"/>
                <w:szCs w:val="16"/>
                <w:lang w:val="ro-RO"/>
              </w:rPr>
              <w:t>planificate</w:t>
            </w:r>
            <w:r w:rsidR="00BC2ED4" w:rsidRPr="009C5F11">
              <w:rPr>
                <w:rFonts w:ascii="Times New Roman" w:hAnsi="Times New Roman" w:cs="Times New Roman"/>
                <w:b/>
                <w:color w:val="FFFFFF"/>
                <w:sz w:val="20"/>
                <w:szCs w:val="16"/>
                <w:lang w:val="ro-RO"/>
              </w:rPr>
              <w:t xml:space="preserve">) </w:t>
            </w:r>
            <w:r w:rsidRPr="009C5F11">
              <w:rPr>
                <w:rFonts w:ascii="Times New Roman" w:hAnsi="Times New Roman" w:cs="Times New Roman"/>
                <w:b/>
                <w:color w:val="FFFFFF"/>
                <w:sz w:val="20"/>
                <w:szCs w:val="16"/>
                <w:lang w:val="ro-RO"/>
              </w:rPr>
              <w:t>pentru</w:t>
            </w:r>
            <w:r w:rsidR="00BC2ED4" w:rsidRPr="009C5F11">
              <w:rPr>
                <w:rFonts w:ascii="Times New Roman" w:hAnsi="Times New Roman" w:cs="Times New Roman"/>
                <w:b/>
                <w:color w:val="FFFFFF"/>
                <w:sz w:val="20"/>
                <w:szCs w:val="16"/>
                <w:lang w:val="ro-RO"/>
              </w:rPr>
              <w:t xml:space="preserve"> Moldova</w:t>
            </w:r>
          </w:p>
        </w:tc>
      </w:tr>
      <w:tr w:rsidR="00045F68" w:rsidRPr="009C5F11" w14:paraId="795F443E" w14:textId="77777777" w:rsidTr="00CE0F19">
        <w:tc>
          <w:tcPr>
            <w:tcW w:w="3316" w:type="dxa"/>
            <w:shd w:val="clear" w:color="auto" w:fill="auto"/>
          </w:tcPr>
          <w:p w14:paraId="7F5FC861" w14:textId="77777777" w:rsidR="00045F68" w:rsidRPr="009C5F11" w:rsidRDefault="00045F68" w:rsidP="00045F68">
            <w:pPr>
              <w:numPr>
                <w:ilvl w:val="0"/>
                <w:numId w:val="22"/>
              </w:numPr>
              <w:ind w:left="357" w:hanging="357"/>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taxe pe energie sau CO</w:t>
            </w:r>
            <w:r w:rsidRPr="009C5F11">
              <w:rPr>
                <w:rFonts w:ascii="Times New Roman" w:eastAsia="Times New Roman" w:hAnsi="Times New Roman" w:cs="Times New Roman"/>
                <w:sz w:val="20"/>
                <w:szCs w:val="16"/>
                <w:vertAlign w:val="subscript"/>
                <w:lang w:val="ro-RO"/>
              </w:rPr>
              <w:t>2</w:t>
            </w:r>
            <w:r w:rsidRPr="009C5F11">
              <w:rPr>
                <w:rFonts w:ascii="Times New Roman" w:eastAsia="Times New Roman" w:hAnsi="Times New Roman" w:cs="Times New Roman"/>
                <w:sz w:val="20"/>
                <w:szCs w:val="16"/>
                <w:lang w:val="ro-RO"/>
              </w:rPr>
              <w:t xml:space="preserve"> care au ca efect reducerea consumului de energie la utilizatorii finali.</w:t>
            </w:r>
          </w:p>
        </w:tc>
        <w:tc>
          <w:tcPr>
            <w:tcW w:w="5927" w:type="dxa"/>
            <w:shd w:val="clear" w:color="auto" w:fill="auto"/>
          </w:tcPr>
          <w:p w14:paraId="1897247B" w14:textId="77777777" w:rsidR="00045F68" w:rsidRPr="009C5F11" w:rsidRDefault="00045F68" w:rsidP="0025366D">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În perioada 2013-2015 nu au fost aplicate taxe pe energie sau CO</w:t>
            </w:r>
            <w:r w:rsidRPr="009C5F11">
              <w:rPr>
                <w:rFonts w:ascii="Times New Roman" w:eastAsia="Times New Roman" w:hAnsi="Times New Roman" w:cs="Times New Roman"/>
                <w:sz w:val="20"/>
                <w:szCs w:val="16"/>
                <w:vertAlign w:val="subscript"/>
                <w:lang w:val="ro-RO"/>
              </w:rPr>
              <w:t>2</w:t>
            </w:r>
            <w:r w:rsidRPr="009C5F11">
              <w:rPr>
                <w:rFonts w:ascii="Times New Roman" w:eastAsia="Times New Roman" w:hAnsi="Times New Roman" w:cs="Times New Roman"/>
                <w:sz w:val="20"/>
                <w:szCs w:val="16"/>
                <w:lang w:val="ro-RO"/>
              </w:rPr>
              <w:t xml:space="preserve"> care au ca efect reducerea consumului de energie la utilizatorii finali.</w:t>
            </w:r>
          </w:p>
        </w:tc>
      </w:tr>
      <w:tr w:rsidR="00BC2ED4" w:rsidRPr="009C5F11" w14:paraId="72250252" w14:textId="77777777" w:rsidTr="00430626">
        <w:trPr>
          <w:trHeight w:val="1754"/>
        </w:trPr>
        <w:tc>
          <w:tcPr>
            <w:tcW w:w="3316" w:type="dxa"/>
            <w:shd w:val="clear" w:color="auto" w:fill="auto"/>
          </w:tcPr>
          <w:p w14:paraId="56C9FC41" w14:textId="77777777" w:rsidR="00BC2ED4" w:rsidRPr="009C5F11" w:rsidRDefault="00045F68" w:rsidP="00531098">
            <w:pPr>
              <w:numPr>
                <w:ilvl w:val="0"/>
                <w:numId w:val="22"/>
              </w:numPr>
              <w:spacing w:after="0" w:line="240" w:lineRule="auto"/>
              <w:ind w:left="357" w:hanging="357"/>
              <w:contextualSpacing/>
              <w:textAlignment w:val="baseline"/>
              <w:rPr>
                <w:rFonts w:ascii="Times New Roman" w:hAnsi="Times New Roman" w:cs="Times New Roman"/>
                <w:sz w:val="20"/>
                <w:szCs w:val="16"/>
                <w:lang w:val="ro-RO"/>
              </w:rPr>
            </w:pPr>
            <w:r w:rsidRPr="009C5F11">
              <w:rPr>
                <w:rFonts w:ascii="Times New Roman" w:eastAsia="Times New Roman" w:hAnsi="Times New Roman" w:cs="Times New Roman"/>
                <w:sz w:val="20"/>
                <w:szCs w:val="16"/>
                <w:lang w:val="ro-RO"/>
              </w:rPr>
              <w:lastRenderedPageBreak/>
              <w:t>sisteme și instrumente de finanțare sau stimulente fiscale care duc la aplicarea tehnologiei sau a tehnicilor eficiente din punct de vedere energetic și care au ca efect reducerea consumului de energie la utilizatorii finali.</w:t>
            </w:r>
          </w:p>
        </w:tc>
        <w:tc>
          <w:tcPr>
            <w:tcW w:w="5927" w:type="dxa"/>
            <w:shd w:val="clear" w:color="auto" w:fill="auto"/>
          </w:tcPr>
          <w:p w14:paraId="1DDF1BAA" w14:textId="77777777" w:rsidR="00045F68" w:rsidRPr="009C5F11" w:rsidRDefault="00045F68" w:rsidP="00045F68">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În perioada 2013-2015 a fost aplicată o serie de instrumente de finanţare care a permis utilizarea tehnologiilor şi tehnicilor eficiente din punct de vedere energetic, având drept efect reducerea consumului de energie la utilizatorii finali: sprijin financiar acordat de Fondul pentru Eficienţă Energetică, Fondul Naţional de Mediu, Fondul Naţional de Dezvoltare Regională, Fondul de Investiţii Sociale din Moldova, MoSEFF, MoREEFF, Proiectul Energie şi Biomasă în Moldova, utilizarea eficientă a combustibilului din b</w:t>
            </w:r>
            <w:r w:rsidRPr="009C5F11">
              <w:rPr>
                <w:rFonts w:ascii="Times New Roman" w:hAnsi="Times New Roman" w:cs="Times New Roman"/>
                <w:sz w:val="20"/>
                <w:szCs w:val="16"/>
                <w:shd w:val="clear" w:color="auto" w:fill="FFFFFF"/>
                <w:lang w:val="ro-RO"/>
              </w:rPr>
              <w:t>iomasă în Republica Moldova</w:t>
            </w:r>
            <w:r w:rsidRPr="009C5F11">
              <w:rPr>
                <w:rFonts w:ascii="Times New Roman" w:hAnsi="Times New Roman" w:cs="Times New Roman"/>
                <w:sz w:val="20"/>
                <w:szCs w:val="16"/>
                <w:lang w:val="ro-RO"/>
              </w:rPr>
              <w:t xml:space="preserve"> (2013-2014),</w:t>
            </w:r>
            <w:r w:rsidRPr="009C5F11">
              <w:rPr>
                <w:rFonts w:ascii="Times New Roman" w:eastAsia="Times New Roman" w:hAnsi="Times New Roman" w:cs="Times New Roman"/>
                <w:sz w:val="20"/>
                <w:szCs w:val="16"/>
                <w:lang w:val="ro-RO"/>
              </w:rPr>
              <w:t xml:space="preserve"> Programul naţional de producere mai </w:t>
            </w:r>
            <w:r w:rsidR="003A7B6F" w:rsidRPr="009C5F11">
              <w:rPr>
                <w:rFonts w:ascii="Times New Roman" w:eastAsia="Times New Roman" w:hAnsi="Times New Roman" w:cs="Times New Roman"/>
                <w:sz w:val="20"/>
                <w:szCs w:val="16"/>
                <w:lang w:val="ro-RO"/>
              </w:rPr>
              <w:t>pura</w:t>
            </w:r>
            <w:r w:rsidRPr="009C5F11">
              <w:rPr>
                <w:rFonts w:ascii="Times New Roman" w:eastAsia="Times New Roman" w:hAnsi="Times New Roman" w:cs="Times New Roman"/>
                <w:sz w:val="20"/>
                <w:szCs w:val="16"/>
                <w:lang w:val="ro-RO"/>
              </w:rPr>
              <w:t xml:space="preserve"> etc.</w:t>
            </w:r>
          </w:p>
          <w:p w14:paraId="1334F844" w14:textId="77777777" w:rsidR="00BC2ED4" w:rsidRPr="009C5F11" w:rsidRDefault="00045F68" w:rsidP="00045F68">
            <w:pPr>
              <w:spacing w:after="0" w:line="240" w:lineRule="auto"/>
              <w:contextualSpacing/>
              <w:textAlignment w:val="baseline"/>
              <w:rPr>
                <w:rFonts w:ascii="Times New Roman" w:hAnsi="Times New Roman" w:cs="Times New Roman"/>
                <w:sz w:val="20"/>
                <w:szCs w:val="16"/>
                <w:lang w:val="ro-RO"/>
              </w:rPr>
            </w:pPr>
            <w:r w:rsidRPr="009C5F11">
              <w:rPr>
                <w:rFonts w:ascii="Times New Roman" w:eastAsia="Times New Roman" w:hAnsi="Times New Roman" w:cs="Times New Roman"/>
                <w:sz w:val="20"/>
                <w:szCs w:val="16"/>
                <w:lang w:val="ro-RO"/>
              </w:rPr>
              <w:t>Nu au fost aplicate stimulente fiscale.</w:t>
            </w:r>
          </w:p>
        </w:tc>
      </w:tr>
      <w:tr w:rsidR="00045F68" w:rsidRPr="009C5F11" w14:paraId="62AF4354" w14:textId="77777777" w:rsidTr="00430626">
        <w:tc>
          <w:tcPr>
            <w:tcW w:w="3316" w:type="dxa"/>
            <w:shd w:val="clear" w:color="auto" w:fill="auto"/>
          </w:tcPr>
          <w:p w14:paraId="10D6F7C8" w14:textId="77777777" w:rsidR="00045F68" w:rsidRPr="009C5F11" w:rsidRDefault="00045F68" w:rsidP="00045F68">
            <w:pPr>
              <w:numPr>
                <w:ilvl w:val="0"/>
                <w:numId w:val="22"/>
              </w:numPr>
              <w:ind w:left="357" w:hanging="357"/>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 xml:space="preserve">reglementări sau acorduri voluntare care duc la aplicarea tehnologiei sau a tehnicilor eficiente din punct de vedere energetic și care au ca efect reducerea consumului de energie la utilizatorii finali. </w:t>
            </w:r>
          </w:p>
        </w:tc>
        <w:tc>
          <w:tcPr>
            <w:tcW w:w="5927" w:type="dxa"/>
            <w:shd w:val="clear" w:color="auto" w:fill="auto"/>
          </w:tcPr>
          <w:p w14:paraId="21EC6E07" w14:textId="77777777" w:rsidR="00045F68" w:rsidRPr="009C5F11" w:rsidRDefault="00045F68" w:rsidP="0025366D">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 xml:space="preserve">Reglementări: </w:t>
            </w:r>
          </w:p>
          <w:p w14:paraId="0645C921" w14:textId="77777777" w:rsidR="00045F68" w:rsidRPr="009C5F11" w:rsidRDefault="00045F68" w:rsidP="0025366D">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bCs/>
                <w:sz w:val="20"/>
                <w:szCs w:val="16"/>
                <w:lang w:val="ro-RO"/>
              </w:rPr>
              <w:t>Regulamentul privind auditul energetic (</w:t>
            </w:r>
            <w:r w:rsidRPr="009C5F11">
              <w:rPr>
                <w:rFonts w:ascii="Times New Roman" w:eastAsia="Times New Roman" w:hAnsi="Times New Roman" w:cs="Times New Roman"/>
                <w:sz w:val="20"/>
                <w:szCs w:val="16"/>
                <w:lang w:val="ro-RO"/>
              </w:rPr>
              <w:t>27.11.2012),</w:t>
            </w:r>
          </w:p>
          <w:p w14:paraId="3E41AE83" w14:textId="77777777" w:rsidR="00045F68" w:rsidRPr="009C5F11" w:rsidRDefault="00045F68" w:rsidP="0025366D">
            <w:pPr>
              <w:contextualSpacing/>
              <w:textAlignment w:val="baseline"/>
              <w:rPr>
                <w:rFonts w:ascii="Times New Roman" w:eastAsia="Times New Roman" w:hAnsi="Times New Roman" w:cs="Times New Roman"/>
                <w:bCs/>
                <w:sz w:val="20"/>
                <w:szCs w:val="16"/>
                <w:lang w:val="ro-RO"/>
              </w:rPr>
            </w:pPr>
            <w:r w:rsidRPr="009C5F11">
              <w:rPr>
                <w:rFonts w:ascii="Times New Roman" w:eastAsia="Times New Roman" w:hAnsi="Times New Roman" w:cs="Times New Roman"/>
                <w:sz w:val="20"/>
                <w:szCs w:val="16"/>
                <w:lang w:val="ro-RO"/>
              </w:rPr>
              <w:t>Regulamentul privind auditorii energetici (27.11.2012),</w:t>
            </w:r>
          </w:p>
          <w:p w14:paraId="78D0A1EA" w14:textId="77777777" w:rsidR="00045F68" w:rsidRPr="009C5F11" w:rsidRDefault="00045F68" w:rsidP="0025366D">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bCs/>
                <w:sz w:val="20"/>
                <w:szCs w:val="16"/>
                <w:lang w:val="ro-RO"/>
              </w:rPr>
              <w:t xml:space="preserve">Regulamentul privind serviciile energetice </w:t>
            </w:r>
            <w:r w:rsidRPr="009C5F11">
              <w:rPr>
                <w:rFonts w:ascii="Times New Roman" w:hAnsi="Times New Roman" w:cs="Times New Roman"/>
                <w:sz w:val="20"/>
                <w:szCs w:val="16"/>
                <w:lang w:val="ro-RO"/>
              </w:rPr>
              <w:t>(</w:t>
            </w:r>
            <w:r w:rsidRPr="009C5F11">
              <w:rPr>
                <w:rFonts w:ascii="Times New Roman" w:eastAsia="Times New Roman" w:hAnsi="Times New Roman" w:cs="Times New Roman"/>
                <w:sz w:val="20"/>
                <w:szCs w:val="16"/>
                <w:lang w:val="ro-RO"/>
              </w:rPr>
              <w:t>31.12.2013),</w:t>
            </w:r>
          </w:p>
          <w:p w14:paraId="76E09566" w14:textId="77777777" w:rsidR="00045F68" w:rsidRPr="009C5F11" w:rsidRDefault="00045F68" w:rsidP="0025366D">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bCs/>
                <w:sz w:val="20"/>
                <w:szCs w:val="16"/>
                <w:lang w:val="ro-RO"/>
              </w:rPr>
              <w:t xml:space="preserve">Regulamentul privind livrarea şi consumul de energie electrică </w:t>
            </w:r>
            <w:r w:rsidRPr="009C5F11">
              <w:rPr>
                <w:rFonts w:ascii="Times New Roman" w:hAnsi="Times New Roman" w:cs="Times New Roman"/>
                <w:sz w:val="20"/>
                <w:szCs w:val="16"/>
                <w:lang w:val="ro-RO"/>
              </w:rPr>
              <w:t>(</w:t>
            </w:r>
            <w:r w:rsidRPr="009C5F11">
              <w:rPr>
                <w:rFonts w:ascii="Times New Roman" w:eastAsia="Times New Roman" w:hAnsi="Times New Roman" w:cs="Times New Roman"/>
                <w:sz w:val="20"/>
                <w:szCs w:val="16"/>
                <w:lang w:val="ro-RO"/>
              </w:rPr>
              <w:t>15.12.2010, modificat la 26.11.2013),</w:t>
            </w:r>
          </w:p>
          <w:p w14:paraId="20D072F3" w14:textId="77777777" w:rsidR="00045F68" w:rsidRPr="009C5F11" w:rsidRDefault="00045F68" w:rsidP="0025366D">
            <w:pPr>
              <w:contextualSpacing/>
              <w:textAlignment w:val="baseline"/>
              <w:rPr>
                <w:rFonts w:ascii="Times New Roman" w:eastAsia="Times New Roman" w:hAnsi="Times New Roman" w:cs="Times New Roman"/>
                <w:bCs/>
                <w:sz w:val="20"/>
                <w:szCs w:val="16"/>
                <w:lang w:val="ro-RO"/>
              </w:rPr>
            </w:pPr>
            <w:r w:rsidRPr="009C5F11">
              <w:rPr>
                <w:rFonts w:ascii="Times New Roman" w:eastAsia="Times New Roman" w:hAnsi="Times New Roman" w:cs="Times New Roman"/>
                <w:bCs/>
                <w:sz w:val="20"/>
                <w:szCs w:val="16"/>
                <w:lang w:val="ro-RO"/>
              </w:rPr>
              <w:t>Reglementări (5) privind etichetarea energetică a produselor energetice (10.12.2014),</w:t>
            </w:r>
          </w:p>
          <w:p w14:paraId="77D6A8B8" w14:textId="77777777" w:rsidR="00045F68" w:rsidRPr="009C5F11" w:rsidRDefault="00045F68" w:rsidP="0025366D">
            <w:pPr>
              <w:contextualSpacing/>
              <w:textAlignment w:val="baseline"/>
              <w:rPr>
                <w:rFonts w:ascii="Times New Roman" w:eastAsia="Times New Roman" w:hAnsi="Times New Roman" w:cs="Times New Roman"/>
                <w:bCs/>
                <w:sz w:val="20"/>
                <w:szCs w:val="16"/>
                <w:lang w:val="ro-RO"/>
              </w:rPr>
            </w:pPr>
            <w:r w:rsidRPr="009C5F11">
              <w:rPr>
                <w:rFonts w:ascii="Times New Roman" w:eastAsia="Times New Roman" w:hAnsi="Times New Roman" w:cs="Times New Roman"/>
                <w:bCs/>
                <w:sz w:val="20"/>
                <w:szCs w:val="16"/>
                <w:lang w:val="ro-RO"/>
              </w:rPr>
              <w:t>Reglementări (7) privind cerinţele de proiectare ecologică (adoptarea cărora era preconizată în 2015).</w:t>
            </w:r>
          </w:p>
          <w:p w14:paraId="01138FE3" w14:textId="77777777" w:rsidR="00045F68" w:rsidRPr="009C5F11" w:rsidRDefault="00045F68" w:rsidP="0025366D">
            <w:pPr>
              <w:contextualSpacing/>
              <w:textAlignment w:val="baseline"/>
              <w:rPr>
                <w:rFonts w:ascii="Times New Roman" w:eastAsia="Times New Roman" w:hAnsi="Times New Roman" w:cs="Times New Roman"/>
                <w:sz w:val="20"/>
                <w:szCs w:val="16"/>
                <w:lang w:val="ro-RO"/>
              </w:rPr>
            </w:pPr>
          </w:p>
          <w:p w14:paraId="6683A073" w14:textId="77777777" w:rsidR="00045F68" w:rsidRPr="009C5F11" w:rsidRDefault="00045F68" w:rsidP="00045F68">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 xml:space="preserve">Acorduri voluntare: deocamdată nu există astfel de acorduri. </w:t>
            </w:r>
          </w:p>
        </w:tc>
      </w:tr>
      <w:tr w:rsidR="00045F68" w:rsidRPr="009C5F11" w14:paraId="19D59582" w14:textId="77777777" w:rsidTr="00430626">
        <w:tc>
          <w:tcPr>
            <w:tcW w:w="3316" w:type="dxa"/>
            <w:shd w:val="clear" w:color="auto" w:fill="auto"/>
          </w:tcPr>
          <w:p w14:paraId="78B6D3DD" w14:textId="77777777" w:rsidR="00045F68" w:rsidRPr="009C5F11" w:rsidRDefault="00045F68" w:rsidP="00045F68">
            <w:pPr>
              <w:numPr>
                <w:ilvl w:val="0"/>
                <w:numId w:val="22"/>
              </w:numPr>
              <w:ind w:left="357" w:hanging="357"/>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 xml:space="preserve">standarde și norme care urmăresc îmbunătățirea eficienței energetice a produselor și a serviciilor, inclusiv a clădirilor și a vehiculelor, </w:t>
            </w:r>
            <w:r w:rsidRPr="009C5F11">
              <w:rPr>
                <w:rFonts w:ascii="Times New Roman" w:eastAsia="Times New Roman" w:hAnsi="Times New Roman" w:cs="Times New Roman"/>
                <w:i/>
                <w:sz w:val="20"/>
                <w:szCs w:val="16"/>
                <w:lang w:val="ro-RO"/>
              </w:rPr>
              <w:t>cu excepția cazurilor în care acestea sunt obligatorii și aplicabile de părţile contractante în temeiul legii.</w:t>
            </w:r>
          </w:p>
        </w:tc>
        <w:tc>
          <w:tcPr>
            <w:tcW w:w="5927" w:type="dxa"/>
            <w:shd w:val="clear" w:color="auto" w:fill="auto"/>
          </w:tcPr>
          <w:p w14:paraId="18EACA23" w14:textId="77777777" w:rsidR="00045F68" w:rsidRPr="009C5F11" w:rsidRDefault="00045F68" w:rsidP="0025366D">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50001 – gestionarea energiei;</w:t>
            </w:r>
          </w:p>
          <w:p w14:paraId="02595625" w14:textId="77777777" w:rsidR="00045F68" w:rsidRPr="009C5F11" w:rsidRDefault="00045F68" w:rsidP="0025366D">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16501 – performanţa energetică a clădirilor;</w:t>
            </w:r>
          </w:p>
          <w:p w14:paraId="384A6A1C" w14:textId="77777777" w:rsidR="00045F68" w:rsidRPr="009C5F11" w:rsidRDefault="00045F68" w:rsidP="0025366D">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 xml:space="preserve">alte standarde (peste 200 de standarde). </w:t>
            </w:r>
          </w:p>
        </w:tc>
      </w:tr>
      <w:tr w:rsidR="00BC2ED4" w:rsidRPr="009C5F11" w14:paraId="6704AA5E" w14:textId="77777777" w:rsidTr="00430626">
        <w:tc>
          <w:tcPr>
            <w:tcW w:w="3316" w:type="dxa"/>
            <w:shd w:val="clear" w:color="auto" w:fill="auto"/>
          </w:tcPr>
          <w:p w14:paraId="31D564D5" w14:textId="77777777" w:rsidR="00BC2ED4" w:rsidRPr="009C5F11" w:rsidRDefault="00045F68" w:rsidP="00531098">
            <w:pPr>
              <w:numPr>
                <w:ilvl w:val="0"/>
                <w:numId w:val="22"/>
              </w:numPr>
              <w:spacing w:after="0" w:line="240" w:lineRule="auto"/>
              <w:ind w:left="357" w:hanging="357"/>
              <w:contextualSpacing/>
              <w:textAlignment w:val="baseline"/>
              <w:rPr>
                <w:rFonts w:ascii="Times New Roman" w:hAnsi="Times New Roman" w:cs="Times New Roman"/>
                <w:sz w:val="20"/>
                <w:szCs w:val="16"/>
                <w:lang w:val="ro-RO"/>
              </w:rPr>
            </w:pPr>
            <w:r w:rsidRPr="009C5F11">
              <w:rPr>
                <w:rFonts w:ascii="Times New Roman" w:eastAsia="Times New Roman" w:hAnsi="Times New Roman" w:cs="Times New Roman"/>
                <w:sz w:val="20"/>
                <w:szCs w:val="16"/>
                <w:lang w:val="ro-RO"/>
              </w:rPr>
              <w:t xml:space="preserve">sisteme de etichetare energetică, </w:t>
            </w:r>
            <w:r w:rsidRPr="009C5F11">
              <w:rPr>
                <w:rFonts w:ascii="Times New Roman" w:eastAsia="Times New Roman" w:hAnsi="Times New Roman" w:cs="Times New Roman"/>
                <w:i/>
                <w:sz w:val="20"/>
                <w:szCs w:val="16"/>
                <w:lang w:val="ro-RO"/>
              </w:rPr>
              <w:t>cu excepția celor care sunt obligatorii și aplicabile de părţile contractante în temeiul legii.</w:t>
            </w:r>
          </w:p>
        </w:tc>
        <w:tc>
          <w:tcPr>
            <w:tcW w:w="5927" w:type="dxa"/>
            <w:shd w:val="clear" w:color="auto" w:fill="auto"/>
          </w:tcPr>
          <w:p w14:paraId="628A1997" w14:textId="77777777" w:rsidR="00BC2ED4" w:rsidRPr="009C5F11" w:rsidRDefault="00AE143B" w:rsidP="00430626">
            <w:pPr>
              <w:spacing w:line="240" w:lineRule="auto"/>
              <w:contextualSpacing/>
              <w:textAlignment w:val="baseline"/>
              <w:rPr>
                <w:rFonts w:ascii="Times New Roman" w:hAnsi="Times New Roman" w:cs="Times New Roman"/>
                <w:sz w:val="20"/>
                <w:szCs w:val="16"/>
                <w:lang w:val="ro-RO"/>
              </w:rPr>
            </w:pPr>
            <w:r w:rsidRPr="009C5F11">
              <w:rPr>
                <w:rFonts w:ascii="Times New Roman" w:hAnsi="Times New Roman" w:cs="Times New Roman"/>
                <w:sz w:val="20"/>
                <w:szCs w:val="16"/>
                <w:lang w:val="ro-RO"/>
              </w:rPr>
              <w:t>N/A</w:t>
            </w:r>
          </w:p>
        </w:tc>
      </w:tr>
      <w:tr w:rsidR="00BC2ED4" w:rsidRPr="009C5F11" w14:paraId="475CA243" w14:textId="77777777" w:rsidTr="00430626">
        <w:tc>
          <w:tcPr>
            <w:tcW w:w="3316" w:type="dxa"/>
            <w:shd w:val="clear" w:color="auto" w:fill="auto"/>
          </w:tcPr>
          <w:p w14:paraId="3908C34C" w14:textId="77777777" w:rsidR="00BC2ED4" w:rsidRPr="009C5F11" w:rsidRDefault="00045F68" w:rsidP="00531098">
            <w:pPr>
              <w:numPr>
                <w:ilvl w:val="0"/>
                <w:numId w:val="22"/>
              </w:numPr>
              <w:spacing w:after="0" w:line="240" w:lineRule="auto"/>
              <w:ind w:left="357" w:hanging="357"/>
              <w:contextualSpacing/>
              <w:textAlignment w:val="baseline"/>
              <w:rPr>
                <w:rFonts w:ascii="Times New Roman" w:hAnsi="Times New Roman" w:cs="Times New Roman"/>
                <w:sz w:val="20"/>
                <w:szCs w:val="16"/>
                <w:lang w:val="ro-RO"/>
              </w:rPr>
            </w:pPr>
            <w:r w:rsidRPr="009C5F11">
              <w:rPr>
                <w:rFonts w:ascii="Times New Roman" w:eastAsia="Times New Roman" w:hAnsi="Times New Roman" w:cs="Times New Roman"/>
                <w:sz w:val="20"/>
                <w:szCs w:val="16"/>
                <w:lang w:val="ro-RO"/>
              </w:rPr>
              <w:t>formare și instruire, inclusiv programe de consiliere în materie energetică, care duc la aplicarea tehnologiei sau a tehnicilor eficiente din punct de vedere energetic și care au ca efect reducerea consumului de energie la utilizatorii finali.</w:t>
            </w:r>
          </w:p>
        </w:tc>
        <w:tc>
          <w:tcPr>
            <w:tcW w:w="5927" w:type="dxa"/>
            <w:shd w:val="clear" w:color="auto" w:fill="auto"/>
          </w:tcPr>
          <w:p w14:paraId="20390AB6" w14:textId="77777777" w:rsidR="00BC2ED4" w:rsidRPr="009C5F11" w:rsidRDefault="00045F68" w:rsidP="00430626">
            <w:pPr>
              <w:spacing w:line="240" w:lineRule="auto"/>
              <w:contextualSpacing/>
              <w:textAlignment w:val="baseline"/>
              <w:rPr>
                <w:rFonts w:ascii="Times New Roman" w:hAnsi="Times New Roman" w:cs="Times New Roman"/>
                <w:sz w:val="20"/>
                <w:szCs w:val="16"/>
                <w:lang w:val="ro-RO"/>
              </w:rPr>
            </w:pPr>
            <w:r w:rsidRPr="009C5F11">
              <w:rPr>
                <w:rFonts w:ascii="Times New Roman" w:hAnsi="Times New Roman" w:cs="Times New Roman"/>
                <w:sz w:val="20"/>
                <w:szCs w:val="16"/>
                <w:lang w:val="ro-RO"/>
              </w:rPr>
              <w:t>În derulare</w:t>
            </w:r>
          </w:p>
        </w:tc>
      </w:tr>
      <w:tr w:rsidR="00BC2ED4" w:rsidRPr="009C5F11" w14:paraId="214CBF7D" w14:textId="77777777" w:rsidTr="00430626">
        <w:trPr>
          <w:trHeight w:val="60"/>
        </w:trPr>
        <w:tc>
          <w:tcPr>
            <w:tcW w:w="9243" w:type="dxa"/>
            <w:gridSpan w:val="2"/>
            <w:shd w:val="clear" w:color="auto" w:fill="auto"/>
          </w:tcPr>
          <w:p w14:paraId="47C9BC61" w14:textId="77777777" w:rsidR="00BC2ED4" w:rsidRPr="009C5F11" w:rsidRDefault="00045F68" w:rsidP="00430626">
            <w:pPr>
              <w:spacing w:after="0" w:line="240" w:lineRule="auto"/>
              <w:contextualSpacing/>
              <w:textAlignment w:val="baseline"/>
              <w:rPr>
                <w:rFonts w:ascii="Times New Roman" w:hAnsi="Times New Roman" w:cs="Times New Roman"/>
                <w:sz w:val="20"/>
                <w:szCs w:val="16"/>
                <w:lang w:val="ro-RO"/>
              </w:rPr>
            </w:pPr>
            <w:r w:rsidRPr="009C5F11">
              <w:rPr>
                <w:rFonts w:ascii="Times New Roman" w:eastAsia="Times New Roman" w:hAnsi="Times New Roman" w:cs="Times New Roman"/>
                <w:sz w:val="20"/>
                <w:szCs w:val="16"/>
                <w:lang w:val="ro-RO"/>
              </w:rPr>
              <w:t>Conform prevederilor de la Articolul 20 alineatul (6), Directiva 2012/27/UE</w:t>
            </w:r>
          </w:p>
        </w:tc>
      </w:tr>
      <w:tr w:rsidR="00045F68" w:rsidRPr="009C5F11" w14:paraId="7538E365" w14:textId="77777777" w:rsidTr="00430626">
        <w:tc>
          <w:tcPr>
            <w:tcW w:w="3316" w:type="dxa"/>
            <w:shd w:val="clear" w:color="auto" w:fill="auto"/>
          </w:tcPr>
          <w:p w14:paraId="185AE79E" w14:textId="77777777" w:rsidR="00045F68" w:rsidRPr="009C5F11" w:rsidRDefault="00045F68" w:rsidP="0025366D">
            <w:pPr>
              <w:ind w:left="170"/>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 xml:space="preserve">Părţile contractante </w:t>
            </w:r>
            <w:r w:rsidRPr="009C5F11">
              <w:rPr>
                <w:rFonts w:ascii="Times New Roman" w:eastAsia="Times New Roman" w:hAnsi="Times New Roman" w:cs="Times New Roman"/>
                <w:color w:val="000000"/>
                <w:sz w:val="20"/>
                <w:szCs w:val="16"/>
                <w:lang w:val="ro-RO"/>
              </w:rPr>
              <w:t>pot dispune că părțile obligate își pot îndeplini obligațiile referitoare la stabilirea unei scheme de obligaţii în materie de eficienţă energetică printr-o contribuție anuală la Fondul național pentru eficiență energetică echivalentă cu investițiile necesare pentru a îndeplini obligațiile respective</w:t>
            </w:r>
            <w:r w:rsidRPr="009C5F11">
              <w:rPr>
                <w:rFonts w:ascii="Times New Roman" w:eastAsia="Times New Roman" w:hAnsi="Times New Roman" w:cs="Times New Roman"/>
                <w:sz w:val="20"/>
                <w:szCs w:val="16"/>
                <w:lang w:val="ro-RO"/>
              </w:rPr>
              <w:t>.</w:t>
            </w:r>
          </w:p>
        </w:tc>
        <w:tc>
          <w:tcPr>
            <w:tcW w:w="5927" w:type="dxa"/>
            <w:shd w:val="clear" w:color="auto" w:fill="auto"/>
          </w:tcPr>
          <w:p w14:paraId="72745DA1" w14:textId="77777777" w:rsidR="00045F68" w:rsidRPr="009C5F11" w:rsidRDefault="00045F68" w:rsidP="0025366D">
            <w:pPr>
              <w:contextualSpacing/>
              <w:textAlignment w:val="baseline"/>
              <w:rPr>
                <w:rFonts w:ascii="Times New Roman" w:eastAsia="Times New Roman" w:hAnsi="Times New Roman" w:cs="Times New Roman"/>
                <w:sz w:val="20"/>
                <w:szCs w:val="16"/>
                <w:lang w:val="ro-RO"/>
              </w:rPr>
            </w:pPr>
            <w:r w:rsidRPr="009C5F11">
              <w:rPr>
                <w:rFonts w:ascii="Times New Roman" w:eastAsia="Times New Roman" w:hAnsi="Times New Roman" w:cs="Times New Roman"/>
                <w:sz w:val="20"/>
                <w:szCs w:val="16"/>
                <w:lang w:val="ro-RO"/>
              </w:rPr>
              <w:t>Deocamdată nu există evoluţii în această privinţă.</w:t>
            </w:r>
          </w:p>
        </w:tc>
      </w:tr>
    </w:tbl>
    <w:p w14:paraId="227887EA" w14:textId="7076B41E" w:rsidR="00BC2ED4" w:rsidRPr="009C5F11" w:rsidRDefault="0025366D"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lastRenderedPageBreak/>
        <w:t>În vederea îndeplinirii obligaţiilor asumate conform cerinţelor de la Articolul 7 din DEE, PNAEE 2016-2018 selectează următoarele 4 măsuri de politici</w:t>
      </w:r>
      <w:r w:rsidR="00BC2ED4" w:rsidRPr="009C5F11">
        <w:rPr>
          <w:rFonts w:ascii="Times New Roman" w:hAnsi="Times New Roman" w:cs="Times New Roman"/>
          <w:sz w:val="24"/>
          <w:lang w:val="ro-RO"/>
        </w:rPr>
        <w:t>:</w:t>
      </w:r>
    </w:p>
    <w:p w14:paraId="0502D6FB" w14:textId="77777777" w:rsidR="00BC2ED4" w:rsidRPr="009C5F11" w:rsidRDefault="00614EF1" w:rsidP="00334F3B">
      <w:pPr>
        <w:pStyle w:val="Listparagraf"/>
        <w:numPr>
          <w:ilvl w:val="0"/>
          <w:numId w:val="177"/>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i/>
          <w:sz w:val="24"/>
          <w:lang w:val="ro-RO"/>
        </w:rPr>
        <w:t>Sisteme și instrumente de finanțare sau stimulente fiscale</w:t>
      </w:r>
      <w:r w:rsidRPr="009C5F11">
        <w:rPr>
          <w:rFonts w:ascii="Times New Roman" w:eastAsia="Times New Roman" w:hAnsi="Times New Roman" w:cs="Times New Roman"/>
          <w:sz w:val="24"/>
          <w:lang w:val="ro-RO"/>
        </w:rPr>
        <w:t xml:space="preserve"> care duc la aplicarea tehnologiei sau a tehnicilor eficiente din punct de vedere energetic și care au ca efect reducerea consumului de energie la utilizatorii finali</w:t>
      </w:r>
      <w:r w:rsidR="00BC2ED4" w:rsidRPr="009C5F11">
        <w:rPr>
          <w:rFonts w:ascii="Times New Roman" w:hAnsi="Times New Roman" w:cs="Times New Roman"/>
          <w:sz w:val="24"/>
          <w:lang w:val="ro-RO"/>
        </w:rPr>
        <w:t>;</w:t>
      </w:r>
    </w:p>
    <w:p w14:paraId="58FE0CC9" w14:textId="77777777" w:rsidR="00BC2ED4" w:rsidRPr="009C5F11" w:rsidRDefault="00614EF1" w:rsidP="00334F3B">
      <w:pPr>
        <w:pStyle w:val="Listparagraf"/>
        <w:numPr>
          <w:ilvl w:val="0"/>
          <w:numId w:val="177"/>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i/>
          <w:sz w:val="24"/>
          <w:lang w:val="ro-RO"/>
        </w:rPr>
        <w:t>Reglementări sau acorduri voluntare</w:t>
      </w:r>
      <w:r w:rsidRPr="009C5F11">
        <w:rPr>
          <w:rFonts w:ascii="Times New Roman" w:eastAsia="Times New Roman" w:hAnsi="Times New Roman" w:cs="Times New Roman"/>
          <w:sz w:val="24"/>
          <w:lang w:val="ro-RO"/>
        </w:rPr>
        <w:t xml:space="preserve"> care duc la aplicarea tehnologiei sau a tehnicilor eficiente din punct de vedere energetic și care au ca efect reducerea consumului de energie la utilizatorii finali</w:t>
      </w:r>
      <w:r w:rsidR="00BC2ED4" w:rsidRPr="009C5F11">
        <w:rPr>
          <w:rFonts w:ascii="Times New Roman" w:hAnsi="Times New Roman" w:cs="Times New Roman"/>
          <w:sz w:val="24"/>
          <w:lang w:val="ro-RO"/>
        </w:rPr>
        <w:t>;</w:t>
      </w:r>
    </w:p>
    <w:p w14:paraId="253D5E4D" w14:textId="77777777" w:rsidR="00BC2ED4" w:rsidRPr="009C5F11" w:rsidRDefault="00614EF1" w:rsidP="00334F3B">
      <w:pPr>
        <w:pStyle w:val="Listparagraf"/>
        <w:numPr>
          <w:ilvl w:val="0"/>
          <w:numId w:val="177"/>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i/>
          <w:sz w:val="24"/>
          <w:lang w:val="ro-RO"/>
        </w:rPr>
        <w:t>Standarde și norme</w:t>
      </w:r>
      <w:r w:rsidRPr="009C5F11">
        <w:rPr>
          <w:rFonts w:ascii="Times New Roman" w:eastAsia="Times New Roman" w:hAnsi="Times New Roman" w:cs="Times New Roman"/>
          <w:sz w:val="24"/>
          <w:lang w:val="ro-RO"/>
        </w:rPr>
        <w:t xml:space="preserve"> care urmăresc îmbunătățirea eficienței energetice a produselor și a serviciilor, inclusiv a clădirilor și a vehiculelor, cu excepția cazurilor în care acestea sunt obligatorii și aplicabile Părţilor contractante în temeiul dreptului Uniunii</w:t>
      </w:r>
      <w:r w:rsidR="00BC2ED4" w:rsidRPr="009C5F11">
        <w:rPr>
          <w:rFonts w:ascii="Times New Roman" w:hAnsi="Times New Roman" w:cs="Times New Roman"/>
          <w:sz w:val="24"/>
          <w:lang w:val="ro-RO"/>
        </w:rPr>
        <w:t>;</w:t>
      </w:r>
    </w:p>
    <w:p w14:paraId="3E577D4D" w14:textId="77777777" w:rsidR="00BC2ED4" w:rsidRPr="009C5F11" w:rsidRDefault="00614EF1" w:rsidP="00334F3B">
      <w:pPr>
        <w:pStyle w:val="Listparagraf"/>
        <w:numPr>
          <w:ilvl w:val="0"/>
          <w:numId w:val="177"/>
        </w:numPr>
        <w:spacing w:before="120" w:after="120" w:line="240" w:lineRule="auto"/>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i/>
          <w:sz w:val="24"/>
          <w:lang w:val="ro-RO"/>
        </w:rPr>
        <w:t>Formare și instruire, inclusiv programe de</w:t>
      </w:r>
      <w:r w:rsidRPr="009C5F11">
        <w:rPr>
          <w:rFonts w:ascii="Times New Roman" w:eastAsia="Times New Roman" w:hAnsi="Times New Roman" w:cs="Times New Roman"/>
          <w:sz w:val="24"/>
          <w:lang w:val="ro-RO"/>
        </w:rPr>
        <w:t xml:space="preserve"> </w:t>
      </w:r>
      <w:r w:rsidRPr="009C5F11">
        <w:rPr>
          <w:rFonts w:ascii="Times New Roman" w:eastAsia="Times New Roman" w:hAnsi="Times New Roman" w:cs="Times New Roman"/>
          <w:i/>
          <w:sz w:val="24"/>
          <w:lang w:val="ro-RO"/>
        </w:rPr>
        <w:t>consultanţă</w:t>
      </w:r>
      <w:r w:rsidRPr="009C5F11">
        <w:rPr>
          <w:rFonts w:ascii="Times New Roman" w:eastAsia="Times New Roman" w:hAnsi="Times New Roman" w:cs="Times New Roman"/>
          <w:sz w:val="24"/>
          <w:lang w:val="ro-RO"/>
        </w:rPr>
        <w:t xml:space="preserve"> în materie energetică, care duc la aplicarea tehnologiei sau a tehnicilor eficiente din punct de vedere energetic și care au ca efect reducerea consumului de energie la utilizatorii finali</w:t>
      </w:r>
      <w:r w:rsidR="00BC2ED4" w:rsidRPr="009C5F11">
        <w:rPr>
          <w:rFonts w:ascii="Times New Roman" w:hAnsi="Times New Roman" w:cs="Times New Roman"/>
          <w:sz w:val="24"/>
          <w:lang w:val="ro-RO"/>
        </w:rPr>
        <w:t>.</w:t>
      </w:r>
    </w:p>
    <w:p w14:paraId="3D6EB7D5" w14:textId="12BD6359" w:rsidR="00EA4C6E" w:rsidRPr="009C5F11" w:rsidRDefault="00603E5B" w:rsidP="00087B37">
      <w:pPr>
        <w:pStyle w:val="Listparagraf"/>
        <w:numPr>
          <w:ilvl w:val="0"/>
          <w:numId w:val="210"/>
        </w:numPr>
        <w:tabs>
          <w:tab w:val="left" w:pos="0"/>
        </w:tabs>
        <w:spacing w:before="240" w:after="0" w:line="240" w:lineRule="auto"/>
        <w:ind w:left="0" w:firstLine="142"/>
        <w:jc w:val="both"/>
        <w:rPr>
          <w:rFonts w:ascii="Times New Roman" w:eastAsia="Calibri" w:hAnsi="Times New Roman" w:cs="Times New Roman"/>
          <w:sz w:val="24"/>
          <w:lang w:val="ro-RO"/>
        </w:rPr>
      </w:pPr>
      <w:r w:rsidRPr="009C5F11">
        <w:rPr>
          <w:rFonts w:ascii="Times New Roman" w:eastAsia="Calibri" w:hAnsi="Times New Roman" w:cs="Times New Roman"/>
          <w:sz w:val="24"/>
          <w:lang w:val="ro-RO"/>
        </w:rPr>
        <w:t>Lista</w:t>
      </w:r>
      <w:r w:rsidR="00EA4C6E" w:rsidRPr="009C5F11">
        <w:rPr>
          <w:rFonts w:ascii="Times New Roman" w:eastAsia="Calibri" w:hAnsi="Times New Roman" w:cs="Times New Roman"/>
          <w:sz w:val="24"/>
          <w:lang w:val="ro-RO"/>
        </w:rPr>
        <w:t xml:space="preserve"> </w:t>
      </w:r>
      <w:r w:rsidR="006E540D" w:rsidRPr="009C5F11">
        <w:rPr>
          <w:rFonts w:ascii="Times New Roman" w:eastAsia="Calibri" w:hAnsi="Times New Roman" w:cs="Times New Roman"/>
          <w:sz w:val="24"/>
          <w:u w:val="single"/>
          <w:lang w:val="ro-RO"/>
        </w:rPr>
        <w:t>scheme</w:t>
      </w:r>
      <w:r w:rsidR="00614EF1" w:rsidRPr="009C5F11">
        <w:rPr>
          <w:rFonts w:ascii="Times New Roman" w:eastAsia="Calibri" w:hAnsi="Times New Roman" w:cs="Times New Roman"/>
          <w:sz w:val="24"/>
          <w:u w:val="single"/>
          <w:lang w:val="ro-RO"/>
        </w:rPr>
        <w:t>lor financiare</w:t>
      </w:r>
      <w:r w:rsidR="00321CD5" w:rsidRPr="009C5F11">
        <w:rPr>
          <w:rFonts w:ascii="Times New Roman" w:eastAsia="Calibri" w:hAnsi="Times New Roman" w:cs="Times New Roman"/>
          <w:sz w:val="24"/>
          <w:u w:val="single"/>
          <w:lang w:val="ro-RO"/>
        </w:rPr>
        <w:t xml:space="preserve"> şi </w:t>
      </w:r>
      <w:r w:rsidR="007445E9" w:rsidRPr="009C5F11">
        <w:rPr>
          <w:rFonts w:ascii="Times New Roman" w:eastAsia="Calibri" w:hAnsi="Times New Roman" w:cs="Times New Roman"/>
          <w:sz w:val="24"/>
          <w:u w:val="single"/>
          <w:lang w:val="ro-RO"/>
        </w:rPr>
        <w:t xml:space="preserve">a </w:t>
      </w:r>
      <w:r w:rsidR="00614EF1" w:rsidRPr="009C5F11">
        <w:rPr>
          <w:rFonts w:ascii="Times New Roman" w:eastAsia="Calibri" w:hAnsi="Times New Roman" w:cs="Times New Roman"/>
          <w:sz w:val="24"/>
          <w:u w:val="single"/>
          <w:lang w:val="ro-RO"/>
        </w:rPr>
        <w:t xml:space="preserve">stimulentelor </w:t>
      </w:r>
      <w:r w:rsidR="00A70D1C" w:rsidRPr="009C5F11">
        <w:rPr>
          <w:rFonts w:ascii="Times New Roman" w:eastAsia="Calibri" w:hAnsi="Times New Roman" w:cs="Times New Roman"/>
          <w:sz w:val="24"/>
          <w:u w:val="single"/>
          <w:lang w:val="ro-RO"/>
        </w:rPr>
        <w:t>fiscal</w:t>
      </w:r>
      <w:r w:rsidR="00614EF1" w:rsidRPr="009C5F11">
        <w:rPr>
          <w:rFonts w:ascii="Times New Roman" w:eastAsia="Calibri" w:hAnsi="Times New Roman" w:cs="Times New Roman"/>
          <w:sz w:val="24"/>
          <w:u w:val="single"/>
          <w:lang w:val="ro-RO"/>
        </w:rPr>
        <w:t>e</w:t>
      </w:r>
      <w:r w:rsidR="00A70D1C" w:rsidRPr="009C5F11">
        <w:rPr>
          <w:rFonts w:ascii="Times New Roman" w:eastAsia="Calibri" w:hAnsi="Times New Roman" w:cs="Times New Roman"/>
          <w:sz w:val="24"/>
          <w:u w:val="single"/>
          <w:lang w:val="ro-RO"/>
        </w:rPr>
        <w:t xml:space="preserve"> </w:t>
      </w:r>
      <w:r w:rsidR="00614EF1" w:rsidRPr="009C5F11">
        <w:rPr>
          <w:rFonts w:ascii="Times New Roman" w:eastAsia="Calibri" w:hAnsi="Times New Roman" w:cs="Times New Roman"/>
          <w:sz w:val="24"/>
          <w:lang w:val="ro-RO"/>
        </w:rPr>
        <w:t xml:space="preserve">a fost identificată </w:t>
      </w:r>
      <w:r w:rsidR="00321CD5" w:rsidRPr="009C5F11">
        <w:rPr>
          <w:rFonts w:ascii="Times New Roman" w:eastAsia="Calibri" w:hAnsi="Times New Roman" w:cs="Times New Roman"/>
          <w:sz w:val="24"/>
          <w:lang w:val="ro-RO"/>
        </w:rPr>
        <w:t xml:space="preserve">în </w:t>
      </w:r>
      <w:r w:rsidR="00614EF1" w:rsidRPr="009C5F11">
        <w:rPr>
          <w:rFonts w:ascii="Times New Roman" w:eastAsia="Calibri" w:hAnsi="Times New Roman" w:cs="Times New Roman"/>
          <w:sz w:val="24"/>
          <w:lang w:val="ro-RO"/>
        </w:rPr>
        <w:t>d</w:t>
      </w:r>
      <w:r w:rsidR="00EA4C6E" w:rsidRPr="009C5F11">
        <w:rPr>
          <w:rFonts w:ascii="Times New Roman" w:eastAsia="Calibri" w:hAnsi="Times New Roman" w:cs="Times New Roman"/>
          <w:sz w:val="24"/>
          <w:lang w:val="ro-RO"/>
        </w:rPr>
        <w:t>ocument</w:t>
      </w:r>
      <w:r w:rsidR="00614EF1" w:rsidRPr="009C5F11">
        <w:rPr>
          <w:rFonts w:ascii="Times New Roman" w:eastAsia="Calibri" w:hAnsi="Times New Roman" w:cs="Times New Roman"/>
          <w:sz w:val="24"/>
          <w:lang w:val="ro-RO"/>
        </w:rPr>
        <w:t xml:space="preserve">ul supus discuţiei </w:t>
      </w:r>
      <w:r w:rsidR="00EA4C6E" w:rsidRPr="009C5F11">
        <w:rPr>
          <w:rFonts w:ascii="Times New Roman" w:eastAsia="Calibri" w:hAnsi="Times New Roman" w:cs="Times New Roman"/>
          <w:i/>
          <w:sz w:val="24"/>
          <w:lang w:val="ro-RO"/>
        </w:rPr>
        <w:t>“</w:t>
      </w:r>
      <w:r w:rsidR="00B7502D" w:rsidRPr="009C5F11">
        <w:rPr>
          <w:rFonts w:ascii="Times New Roman" w:eastAsia="Calibri" w:hAnsi="Times New Roman" w:cs="Times New Roman"/>
          <w:i/>
          <w:sz w:val="24"/>
          <w:lang w:val="ro-RO"/>
        </w:rPr>
        <w:t>Elaborarea</w:t>
      </w:r>
      <w:r w:rsidR="00EA4C6E" w:rsidRPr="009C5F11">
        <w:rPr>
          <w:rFonts w:ascii="Times New Roman" w:eastAsia="Calibri" w:hAnsi="Times New Roman" w:cs="Times New Roman"/>
          <w:i/>
          <w:sz w:val="24"/>
          <w:lang w:val="ro-RO"/>
        </w:rPr>
        <w:t xml:space="preserve"> </w:t>
      </w:r>
      <w:r w:rsidR="00D07C8F" w:rsidRPr="009C5F11">
        <w:rPr>
          <w:rFonts w:ascii="Times New Roman" w:eastAsia="Calibri" w:hAnsi="Times New Roman" w:cs="Times New Roman"/>
          <w:i/>
          <w:sz w:val="24"/>
          <w:lang w:val="ro-RO"/>
        </w:rPr>
        <w:t>Fo</w:t>
      </w:r>
      <w:r w:rsidR="00614EF1" w:rsidRPr="009C5F11">
        <w:rPr>
          <w:rFonts w:ascii="Times New Roman" w:eastAsia="Calibri" w:hAnsi="Times New Roman" w:cs="Times New Roman"/>
          <w:i/>
          <w:sz w:val="24"/>
          <w:lang w:val="ro-RO"/>
        </w:rPr>
        <w:t>ii</w:t>
      </w:r>
      <w:r w:rsidR="00D07C8F" w:rsidRPr="009C5F11">
        <w:rPr>
          <w:rFonts w:ascii="Times New Roman" w:eastAsia="Calibri" w:hAnsi="Times New Roman" w:cs="Times New Roman"/>
          <w:i/>
          <w:sz w:val="24"/>
          <w:lang w:val="ro-RO"/>
        </w:rPr>
        <w:t xml:space="preserve"> de parcurs</w:t>
      </w:r>
      <w:r w:rsidR="00EA4C6E" w:rsidRPr="009C5F11">
        <w:rPr>
          <w:rFonts w:ascii="Times New Roman" w:eastAsia="Calibri" w:hAnsi="Times New Roman" w:cs="Times New Roman"/>
          <w:i/>
          <w:sz w:val="24"/>
          <w:lang w:val="ro-RO"/>
        </w:rPr>
        <w:t>/</w:t>
      </w:r>
      <w:r w:rsidR="004424A0" w:rsidRPr="009C5F11">
        <w:rPr>
          <w:rFonts w:ascii="Times New Roman" w:eastAsia="Calibri" w:hAnsi="Times New Roman" w:cs="Times New Roman"/>
          <w:i/>
          <w:sz w:val="24"/>
          <w:lang w:val="ro-RO"/>
        </w:rPr>
        <w:t>Planul</w:t>
      </w:r>
      <w:r w:rsidR="00614EF1" w:rsidRPr="009C5F11">
        <w:rPr>
          <w:rFonts w:ascii="Times New Roman" w:eastAsia="Calibri" w:hAnsi="Times New Roman" w:cs="Times New Roman"/>
          <w:i/>
          <w:sz w:val="24"/>
          <w:lang w:val="ro-RO"/>
        </w:rPr>
        <w:t>ui</w:t>
      </w:r>
      <w:r w:rsidR="004424A0" w:rsidRPr="009C5F11">
        <w:rPr>
          <w:rFonts w:ascii="Times New Roman" w:eastAsia="Calibri" w:hAnsi="Times New Roman" w:cs="Times New Roman"/>
          <w:i/>
          <w:sz w:val="24"/>
          <w:lang w:val="ro-RO"/>
        </w:rPr>
        <w:t xml:space="preserve"> de acţiune</w:t>
      </w:r>
      <w:r w:rsidR="00EA4C6E" w:rsidRPr="009C5F11">
        <w:rPr>
          <w:rFonts w:ascii="Times New Roman" w:eastAsia="Calibri" w:hAnsi="Times New Roman" w:cs="Times New Roman"/>
          <w:i/>
          <w:sz w:val="24"/>
          <w:lang w:val="ro-RO"/>
        </w:rPr>
        <w:t xml:space="preserve"> </w:t>
      </w:r>
      <w:r w:rsidR="00614EF1" w:rsidRPr="009C5F11">
        <w:rPr>
          <w:rFonts w:ascii="Times New Roman" w:eastAsia="Calibri" w:hAnsi="Times New Roman" w:cs="Times New Roman"/>
          <w:i/>
          <w:sz w:val="24"/>
          <w:lang w:val="ro-RO"/>
        </w:rPr>
        <w:t xml:space="preserve">pentru transpunerea </w:t>
      </w:r>
      <w:r w:rsidR="000A4CC7" w:rsidRPr="009C5F11">
        <w:rPr>
          <w:rFonts w:ascii="Times New Roman" w:eastAsia="Calibri" w:hAnsi="Times New Roman" w:cs="Times New Roman"/>
          <w:i/>
          <w:sz w:val="24"/>
          <w:lang w:val="ro-RO"/>
        </w:rPr>
        <w:t>Directiv</w:t>
      </w:r>
      <w:r w:rsidR="00614EF1" w:rsidRPr="009C5F11">
        <w:rPr>
          <w:rFonts w:ascii="Times New Roman" w:eastAsia="Calibri" w:hAnsi="Times New Roman" w:cs="Times New Roman"/>
          <w:i/>
          <w:sz w:val="24"/>
          <w:lang w:val="ro-RO"/>
        </w:rPr>
        <w:t>ei (UE)</w:t>
      </w:r>
      <w:r w:rsidR="000A4CC7" w:rsidRPr="009C5F11">
        <w:rPr>
          <w:rFonts w:ascii="Times New Roman" w:eastAsia="Calibri" w:hAnsi="Times New Roman" w:cs="Times New Roman"/>
          <w:i/>
          <w:sz w:val="24"/>
          <w:lang w:val="ro-RO"/>
        </w:rPr>
        <w:t xml:space="preserve"> </w:t>
      </w:r>
      <w:r w:rsidR="00D160E1" w:rsidRPr="009C5F11">
        <w:rPr>
          <w:rFonts w:ascii="Times New Roman" w:eastAsia="Calibri" w:hAnsi="Times New Roman" w:cs="Times New Roman"/>
          <w:i/>
          <w:sz w:val="24"/>
          <w:lang w:val="ro-RO"/>
        </w:rPr>
        <w:t>PEC</w:t>
      </w:r>
      <w:r w:rsidR="00321CD5" w:rsidRPr="009C5F11">
        <w:rPr>
          <w:rFonts w:ascii="Times New Roman" w:eastAsia="Calibri" w:hAnsi="Times New Roman" w:cs="Times New Roman"/>
          <w:i/>
          <w:sz w:val="24"/>
          <w:lang w:val="ro-RO"/>
        </w:rPr>
        <w:t xml:space="preserve"> </w:t>
      </w:r>
      <w:r w:rsidR="00223DAC" w:rsidRPr="009C5F11">
        <w:rPr>
          <w:rFonts w:ascii="Times New Roman" w:eastAsia="Calibri" w:hAnsi="Times New Roman" w:cs="Times New Roman"/>
          <w:i/>
          <w:sz w:val="24"/>
          <w:lang w:val="ro-RO"/>
        </w:rPr>
        <w:t>în Republica Moldova</w:t>
      </w:r>
      <w:r w:rsidR="00EA4C6E" w:rsidRPr="009C5F11">
        <w:rPr>
          <w:rFonts w:ascii="Times New Roman" w:eastAsia="Calibri" w:hAnsi="Times New Roman" w:cs="Times New Roman"/>
          <w:sz w:val="24"/>
          <w:lang w:val="ro-RO"/>
        </w:rPr>
        <w:t>”.</w:t>
      </w:r>
      <w:r w:rsidR="00614EF1" w:rsidRPr="009C5F11">
        <w:rPr>
          <w:rFonts w:ascii="Times New Roman" w:eastAsia="Calibri" w:hAnsi="Times New Roman" w:cs="Times New Roman"/>
          <w:sz w:val="24"/>
          <w:lang w:val="ro-RO"/>
        </w:rPr>
        <w:t xml:space="preserve"> Stimulente indicate mai jos ar putea fi</w:t>
      </w:r>
      <w:r w:rsidR="00EA4C6E" w:rsidRPr="009C5F11">
        <w:rPr>
          <w:rFonts w:ascii="Times New Roman" w:eastAsia="Calibri" w:hAnsi="Times New Roman" w:cs="Times New Roman"/>
          <w:sz w:val="24"/>
          <w:lang w:val="ro-RO"/>
        </w:rPr>
        <w:t xml:space="preserve"> adopt</w:t>
      </w:r>
      <w:r w:rsidR="00614EF1" w:rsidRPr="009C5F11">
        <w:rPr>
          <w:rFonts w:ascii="Times New Roman" w:eastAsia="Calibri" w:hAnsi="Times New Roman" w:cs="Times New Roman"/>
          <w:sz w:val="24"/>
          <w:lang w:val="ro-RO"/>
        </w:rPr>
        <w:t>at</w:t>
      </w:r>
      <w:r w:rsidR="00EA4C6E" w:rsidRPr="009C5F11">
        <w:rPr>
          <w:rFonts w:ascii="Times New Roman" w:eastAsia="Calibri" w:hAnsi="Times New Roman" w:cs="Times New Roman"/>
          <w:sz w:val="24"/>
          <w:lang w:val="ro-RO"/>
        </w:rPr>
        <w:t xml:space="preserve">e </w:t>
      </w:r>
      <w:r w:rsidR="00614EF1" w:rsidRPr="009C5F11">
        <w:rPr>
          <w:rFonts w:ascii="Times New Roman" w:eastAsia="Calibri" w:hAnsi="Times New Roman" w:cs="Times New Roman"/>
          <w:sz w:val="24"/>
          <w:lang w:val="ro-RO"/>
        </w:rPr>
        <w:t>de</w:t>
      </w:r>
      <w:r w:rsidR="00EA4C6E" w:rsidRPr="009C5F11">
        <w:rPr>
          <w:rFonts w:ascii="Times New Roman" w:eastAsia="Calibri" w:hAnsi="Times New Roman" w:cs="Times New Roman"/>
          <w:sz w:val="24"/>
          <w:lang w:val="ro-RO"/>
        </w:rPr>
        <w:t xml:space="preserve"> Republic</w:t>
      </w:r>
      <w:r w:rsidR="00614EF1" w:rsidRPr="009C5F11">
        <w:rPr>
          <w:rFonts w:ascii="Times New Roman" w:eastAsia="Calibri" w:hAnsi="Times New Roman" w:cs="Times New Roman"/>
          <w:sz w:val="24"/>
          <w:lang w:val="ro-RO"/>
        </w:rPr>
        <w:t>a</w:t>
      </w:r>
      <w:r w:rsidR="00EA4C6E" w:rsidRPr="009C5F11">
        <w:rPr>
          <w:rFonts w:ascii="Times New Roman" w:eastAsia="Calibri" w:hAnsi="Times New Roman" w:cs="Times New Roman"/>
          <w:sz w:val="24"/>
          <w:lang w:val="ro-RO"/>
        </w:rPr>
        <w:t xml:space="preserve"> </w:t>
      </w:r>
      <w:r w:rsidR="00137156" w:rsidRPr="009C5F11">
        <w:rPr>
          <w:rFonts w:ascii="Times New Roman" w:eastAsia="Calibri" w:hAnsi="Times New Roman" w:cs="Times New Roman"/>
          <w:sz w:val="24"/>
          <w:lang w:val="ro-RO"/>
        </w:rPr>
        <w:t>Moldova</w:t>
      </w:r>
      <w:r w:rsidR="00EA4C6E" w:rsidRPr="009C5F11">
        <w:rPr>
          <w:rFonts w:ascii="Times New Roman" w:eastAsia="Calibri" w:hAnsi="Times New Roman" w:cs="Times New Roman"/>
          <w:sz w:val="24"/>
          <w:lang w:val="ro-RO"/>
        </w:rPr>
        <w:t xml:space="preserve"> </w:t>
      </w:r>
      <w:r w:rsidR="00614EF1" w:rsidRPr="009C5F11">
        <w:rPr>
          <w:rFonts w:ascii="Times New Roman" w:eastAsia="Calibri" w:hAnsi="Times New Roman" w:cs="Times New Roman"/>
          <w:sz w:val="24"/>
          <w:lang w:val="ro-RO"/>
        </w:rPr>
        <w:t xml:space="preserve">numai după </w:t>
      </w:r>
      <w:r w:rsidR="009E70B4" w:rsidRPr="009C5F11">
        <w:rPr>
          <w:rFonts w:ascii="Times New Roman" w:eastAsia="Calibri" w:hAnsi="Times New Roman" w:cs="Times New Roman"/>
          <w:sz w:val="24"/>
          <w:lang w:val="ro-RO"/>
        </w:rPr>
        <w:t>efectuarea</w:t>
      </w:r>
      <w:r w:rsidR="00614EF1" w:rsidRPr="009C5F11">
        <w:rPr>
          <w:rFonts w:ascii="Times New Roman" w:eastAsia="Calibri" w:hAnsi="Times New Roman" w:cs="Times New Roman"/>
          <w:sz w:val="24"/>
          <w:lang w:val="ro-RO"/>
        </w:rPr>
        <w:t xml:space="preserve"> unei analize </w:t>
      </w:r>
      <w:r w:rsidR="00E54D88" w:rsidRPr="009C5F11">
        <w:rPr>
          <w:rFonts w:ascii="Times New Roman" w:eastAsia="Calibri" w:hAnsi="Times New Roman" w:cs="Times New Roman"/>
          <w:sz w:val="24"/>
          <w:lang w:val="ro-RO"/>
        </w:rPr>
        <w:t>financiar</w:t>
      </w:r>
      <w:r w:rsidR="00614EF1" w:rsidRPr="009C5F11">
        <w:rPr>
          <w:rFonts w:ascii="Times New Roman" w:eastAsia="Calibri" w:hAnsi="Times New Roman" w:cs="Times New Roman"/>
          <w:sz w:val="24"/>
          <w:lang w:val="ro-RO"/>
        </w:rPr>
        <w:t xml:space="preserve">e </w:t>
      </w:r>
      <w:r w:rsidR="007445E9" w:rsidRPr="009C5F11">
        <w:rPr>
          <w:rFonts w:ascii="Times New Roman" w:eastAsia="Calibri" w:hAnsi="Times New Roman" w:cs="Times New Roman"/>
          <w:sz w:val="24"/>
          <w:lang w:val="ro-RO"/>
        </w:rPr>
        <w:t>rigur</w:t>
      </w:r>
      <w:r w:rsidR="00614EF1" w:rsidRPr="009C5F11">
        <w:rPr>
          <w:rFonts w:ascii="Times New Roman" w:eastAsia="Calibri" w:hAnsi="Times New Roman" w:cs="Times New Roman"/>
          <w:sz w:val="24"/>
          <w:lang w:val="ro-RO"/>
        </w:rPr>
        <w:t>oase</w:t>
      </w:r>
      <w:r w:rsidR="002824C4" w:rsidRPr="009C5F11">
        <w:rPr>
          <w:rFonts w:ascii="Times New Roman" w:eastAsia="Calibri" w:hAnsi="Times New Roman" w:cs="Times New Roman"/>
          <w:sz w:val="24"/>
          <w:lang w:val="ro-RO"/>
        </w:rPr>
        <w:t>:</w:t>
      </w:r>
    </w:p>
    <w:p w14:paraId="5B8F3D72"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Credite fiscale, deduceri fiscale pentru modernizările energetice, cotă redusă TVA pentru lucrările de izolare, renovare;</w:t>
      </w:r>
      <w:r w:rsidR="00DE0EF3" w:rsidRPr="009C5F11">
        <w:rPr>
          <w:rFonts w:ascii="Times New Roman" w:hAnsi="Times New Roman" w:cs="Times New Roman"/>
          <w:sz w:val="24"/>
          <w:lang w:val="ro-RO"/>
        </w:rPr>
        <w:t xml:space="preserve"> </w:t>
      </w:r>
    </w:p>
    <w:p w14:paraId="21351ACE"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Împrumuturi bancare, împrumuturi cu o dobândă redusă, împrumuturi cu dobânda egală cu zero, costuri achitate prin facturi la energie</w:t>
      </w:r>
      <w:r w:rsidR="00DE0EF3" w:rsidRPr="009C5F11">
        <w:rPr>
          <w:rFonts w:ascii="Times New Roman" w:hAnsi="Times New Roman" w:cs="Times New Roman"/>
          <w:sz w:val="24"/>
          <w:lang w:val="ro-RO"/>
        </w:rPr>
        <w:t xml:space="preserve">; </w:t>
      </w:r>
    </w:p>
    <w:p w14:paraId="0D5202E4"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Granturi pentru companii de servicii publice</w:t>
      </w:r>
      <w:r w:rsidR="00DE0EF3" w:rsidRPr="009C5F11">
        <w:rPr>
          <w:rFonts w:ascii="Times New Roman" w:hAnsi="Times New Roman" w:cs="Times New Roman"/>
          <w:sz w:val="24"/>
          <w:lang w:val="ro-RO"/>
        </w:rPr>
        <w:t xml:space="preserve">; </w:t>
      </w:r>
    </w:p>
    <w:p w14:paraId="1E45A532"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Finanțare oferită categoriilor de risc, măsuri de EE în gospodăriile casnice cu un nivel precar de asigurare cu combustibil/energie, pentru gospodăriile casnice cu nivel redus de venituri</w:t>
      </w:r>
      <w:r w:rsidR="00DE0EF3" w:rsidRPr="009C5F11">
        <w:rPr>
          <w:rFonts w:ascii="Times New Roman" w:hAnsi="Times New Roman" w:cs="Times New Roman"/>
          <w:sz w:val="24"/>
          <w:lang w:val="ro-RO"/>
        </w:rPr>
        <w:t xml:space="preserve">; </w:t>
      </w:r>
    </w:p>
    <w:p w14:paraId="70DF23C3"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Programe de ajutor financiar pentru proprietarii măsurilor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/EE</w:t>
      </w:r>
      <w:r w:rsidR="00DE0EF3" w:rsidRPr="009C5F11">
        <w:rPr>
          <w:rFonts w:ascii="Times New Roman" w:hAnsi="Times New Roman" w:cs="Times New Roman"/>
          <w:sz w:val="24"/>
          <w:lang w:val="ro-RO"/>
        </w:rPr>
        <w:t xml:space="preserve">; </w:t>
      </w:r>
    </w:p>
    <w:p w14:paraId="3B6BDD50"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Scheme pentru integrarea </w:t>
      </w:r>
      <w:r w:rsidR="00610318" w:rsidRPr="009C5F11">
        <w:rPr>
          <w:rFonts w:ascii="Times New Roman" w:hAnsi="Times New Roman" w:cs="Times New Roman"/>
          <w:sz w:val="24"/>
          <w:lang w:val="ro-RO"/>
        </w:rPr>
        <w:t>ESR</w:t>
      </w:r>
      <w:r w:rsidR="00DE0EF3" w:rsidRPr="009C5F11">
        <w:rPr>
          <w:rFonts w:ascii="Times New Roman" w:hAnsi="Times New Roman" w:cs="Times New Roman"/>
          <w:sz w:val="24"/>
          <w:lang w:val="ro-RO"/>
        </w:rPr>
        <w:t xml:space="preserve">; </w:t>
      </w:r>
    </w:p>
    <w:p w14:paraId="34160813"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Programe de economii ecologice, stimulente pentru sisteme de încălzire eficiente din punct de vedere energetic</w:t>
      </w:r>
      <w:r w:rsidR="00DE0EF3" w:rsidRPr="009C5F11">
        <w:rPr>
          <w:rFonts w:ascii="Times New Roman" w:hAnsi="Times New Roman" w:cs="Times New Roman"/>
          <w:sz w:val="24"/>
          <w:lang w:val="ro-RO"/>
        </w:rPr>
        <w:t xml:space="preserve">; </w:t>
      </w:r>
    </w:p>
    <w:p w14:paraId="4C409BB7"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Utilizarea fondurilor structurale şi investiţionale ale UE pentru clădirile al căror consum de energie este aproape egal cu zero</w:t>
      </w:r>
      <w:r w:rsidR="00DE0EF3" w:rsidRPr="009C5F11">
        <w:rPr>
          <w:rFonts w:ascii="Times New Roman" w:hAnsi="Times New Roman" w:cs="Times New Roman"/>
          <w:sz w:val="24"/>
          <w:lang w:val="ro-RO"/>
        </w:rPr>
        <w:t xml:space="preserve">; </w:t>
      </w:r>
    </w:p>
    <w:p w14:paraId="65A29B03"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Programe de sprijin pentru construcţia şi renovarea clădirilor eficiente din punct de vedere energetic, stimulente, granturi energetice, subvenţii pentru renovare acordate primăriilor;</w:t>
      </w:r>
      <w:r w:rsidR="00DE0EF3" w:rsidRPr="009C5F11">
        <w:rPr>
          <w:rFonts w:ascii="Times New Roman" w:hAnsi="Times New Roman" w:cs="Times New Roman"/>
          <w:sz w:val="24"/>
          <w:lang w:val="ro-RO"/>
        </w:rPr>
        <w:t xml:space="preserve"> </w:t>
      </w:r>
    </w:p>
    <w:p w14:paraId="2A21B2A2"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Program de stimulare a pieţei pentru îndeplinirea cotei de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în furnizarea căldurii şi răcirii</w:t>
      </w:r>
      <w:r w:rsidR="00DE0EF3" w:rsidRPr="009C5F11">
        <w:rPr>
          <w:rFonts w:ascii="Times New Roman" w:hAnsi="Times New Roman" w:cs="Times New Roman"/>
          <w:sz w:val="24"/>
          <w:lang w:val="ro-RO"/>
        </w:rPr>
        <w:t xml:space="preserve">; </w:t>
      </w:r>
    </w:p>
    <w:p w14:paraId="69CEC3F2" w14:textId="77777777" w:rsidR="00DE0EF3" w:rsidRPr="009C5F11" w:rsidRDefault="00614EF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Sprijin investiţional acordat fabricanţilor din sectorul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de exemplu, asistenţă financiară pentru generarea CET, subvenţii, granturi pentru instalații solare, termale, PV, micro-turbine eoliene</w:t>
      </w:r>
      <w:r w:rsidR="00DE0EF3" w:rsidRPr="009C5F11">
        <w:rPr>
          <w:rFonts w:ascii="Times New Roman" w:hAnsi="Times New Roman" w:cs="Times New Roman"/>
          <w:sz w:val="24"/>
          <w:lang w:val="ro-RO"/>
        </w:rPr>
        <w:t>.</w:t>
      </w:r>
    </w:p>
    <w:p w14:paraId="3C40059D" w14:textId="7A6F74FE" w:rsidR="00BC2ED4" w:rsidRPr="009C5F11" w:rsidRDefault="008F06C4" w:rsidP="00087B37">
      <w:pPr>
        <w:pStyle w:val="Listparagraf"/>
        <w:numPr>
          <w:ilvl w:val="0"/>
          <w:numId w:val="210"/>
        </w:numPr>
        <w:tabs>
          <w:tab w:val="left" w:pos="0"/>
        </w:tabs>
        <w:spacing w:before="240" w:after="0" w:line="240" w:lineRule="auto"/>
        <w:ind w:left="0" w:firstLine="142"/>
        <w:jc w:val="both"/>
        <w:rPr>
          <w:rFonts w:ascii="Times New Roman" w:eastAsia="Calibri" w:hAnsi="Times New Roman" w:cs="Times New Roman"/>
          <w:sz w:val="24"/>
          <w:lang w:val="ro-RO"/>
        </w:rPr>
      </w:pPr>
      <w:r w:rsidRPr="009C5F11">
        <w:rPr>
          <w:rFonts w:ascii="Times New Roman" w:eastAsia="Calibri" w:hAnsi="Times New Roman" w:cs="Times New Roman"/>
          <w:sz w:val="24"/>
          <w:lang w:val="ro-RO"/>
        </w:rPr>
        <w:t>Actualmente</w:t>
      </w:r>
      <w:r w:rsidR="00614EF1" w:rsidRPr="009C5F11">
        <w:rPr>
          <w:rFonts w:ascii="Times New Roman" w:eastAsia="Calibri" w:hAnsi="Times New Roman" w:cs="Times New Roman"/>
          <w:sz w:val="24"/>
          <w:lang w:val="ro-RO"/>
        </w:rPr>
        <w:t>, principalii</w:t>
      </w:r>
      <w:r w:rsidR="00BC2ED4" w:rsidRPr="009C5F11">
        <w:rPr>
          <w:rFonts w:ascii="Times New Roman" w:eastAsia="Calibri" w:hAnsi="Times New Roman" w:cs="Times New Roman"/>
          <w:sz w:val="24"/>
          <w:lang w:val="ro-RO"/>
        </w:rPr>
        <w:t xml:space="preserve"> </w:t>
      </w:r>
      <w:r w:rsidR="002824C4" w:rsidRPr="009C5F11">
        <w:rPr>
          <w:rFonts w:ascii="Times New Roman" w:eastAsia="Calibri" w:hAnsi="Times New Roman" w:cs="Times New Roman"/>
          <w:sz w:val="24"/>
          <w:lang w:val="ro-RO"/>
        </w:rPr>
        <w:t>facilitator</w:t>
      </w:r>
      <w:r w:rsidR="00614EF1" w:rsidRPr="009C5F11">
        <w:rPr>
          <w:rFonts w:ascii="Times New Roman" w:eastAsia="Calibri" w:hAnsi="Times New Roman" w:cs="Times New Roman"/>
          <w:sz w:val="24"/>
          <w:lang w:val="ro-RO"/>
        </w:rPr>
        <w:t xml:space="preserve">i pentru finanţarea </w:t>
      </w:r>
      <w:r w:rsidR="000C7BEC" w:rsidRPr="009C5F11">
        <w:rPr>
          <w:rFonts w:ascii="Times New Roman" w:eastAsia="Calibri" w:hAnsi="Times New Roman" w:cs="Times New Roman"/>
          <w:sz w:val="24"/>
          <w:lang w:val="ro-RO"/>
        </w:rPr>
        <w:t>proiecte</w:t>
      </w:r>
      <w:r w:rsidR="00614EF1" w:rsidRPr="009C5F11">
        <w:rPr>
          <w:rFonts w:ascii="Times New Roman" w:eastAsia="Calibri" w:hAnsi="Times New Roman" w:cs="Times New Roman"/>
          <w:sz w:val="24"/>
          <w:lang w:val="ro-RO"/>
        </w:rPr>
        <w:t>lor</w:t>
      </w:r>
      <w:r w:rsidR="000C7BEC" w:rsidRPr="009C5F11">
        <w:rPr>
          <w:rFonts w:ascii="Times New Roman" w:eastAsia="Calibri" w:hAnsi="Times New Roman" w:cs="Times New Roman"/>
          <w:sz w:val="24"/>
          <w:lang w:val="ro-RO"/>
        </w:rPr>
        <w:t xml:space="preserve"> de eficienţă energetică</w:t>
      </w:r>
      <w:r w:rsidR="00321CD5" w:rsidRPr="009C5F11">
        <w:rPr>
          <w:rFonts w:ascii="Times New Roman" w:eastAsia="Calibri" w:hAnsi="Times New Roman" w:cs="Times New Roman"/>
          <w:sz w:val="24"/>
          <w:lang w:val="ro-RO"/>
        </w:rPr>
        <w:t xml:space="preserve"> în </w:t>
      </w:r>
      <w:r w:rsidR="00B40A7C" w:rsidRPr="009C5F11">
        <w:rPr>
          <w:rFonts w:ascii="Times New Roman" w:eastAsia="Calibri" w:hAnsi="Times New Roman" w:cs="Times New Roman"/>
          <w:sz w:val="24"/>
          <w:lang w:val="ro-RO"/>
        </w:rPr>
        <w:t>Republica Moldova</w:t>
      </w:r>
      <w:r w:rsidR="002824C4" w:rsidRPr="009C5F11">
        <w:rPr>
          <w:rFonts w:ascii="Times New Roman" w:eastAsia="Calibri" w:hAnsi="Times New Roman" w:cs="Times New Roman"/>
          <w:sz w:val="24"/>
          <w:lang w:val="ro-RO"/>
        </w:rPr>
        <w:t xml:space="preserve"> </w:t>
      </w:r>
      <w:r w:rsidR="00614EF1" w:rsidRPr="009C5F11">
        <w:rPr>
          <w:rFonts w:ascii="Times New Roman" w:eastAsia="Calibri" w:hAnsi="Times New Roman" w:cs="Times New Roman"/>
          <w:sz w:val="24"/>
          <w:lang w:val="ro-RO"/>
        </w:rPr>
        <w:t xml:space="preserve">sunt </w:t>
      </w:r>
      <w:r w:rsidR="008C1627" w:rsidRPr="009C5F11">
        <w:rPr>
          <w:rFonts w:ascii="Times New Roman" w:eastAsia="Calibri" w:hAnsi="Times New Roman" w:cs="Times New Roman"/>
          <w:sz w:val="24"/>
          <w:lang w:val="ro-RO"/>
        </w:rPr>
        <w:t>urm</w:t>
      </w:r>
      <w:r w:rsidR="003B6544" w:rsidRPr="009C5F11">
        <w:rPr>
          <w:rFonts w:ascii="Times New Roman" w:eastAsia="Calibri" w:hAnsi="Times New Roman" w:cs="Times New Roman"/>
          <w:sz w:val="24"/>
          <w:lang w:val="ro-RO"/>
        </w:rPr>
        <w:t>ă</w:t>
      </w:r>
      <w:r w:rsidR="008C1627" w:rsidRPr="009C5F11">
        <w:rPr>
          <w:rFonts w:ascii="Times New Roman" w:eastAsia="Calibri" w:hAnsi="Times New Roman" w:cs="Times New Roman"/>
          <w:sz w:val="24"/>
          <w:lang w:val="ro-RO"/>
        </w:rPr>
        <w:t>torii</w:t>
      </w:r>
      <w:r w:rsidR="00BC2ED4" w:rsidRPr="009C5F11">
        <w:rPr>
          <w:rFonts w:ascii="Times New Roman" w:eastAsia="Calibri" w:hAnsi="Times New Roman" w:cs="Times New Roman"/>
          <w:sz w:val="24"/>
          <w:lang w:val="ro-RO"/>
        </w:rPr>
        <w:t>:</w:t>
      </w:r>
    </w:p>
    <w:p w14:paraId="7F2424AF" w14:textId="77777777" w:rsidR="00BC2ED4" w:rsidRPr="009C5F11" w:rsidRDefault="00321CD5"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lastRenderedPageBreak/>
        <w:t>Fondul pentru Eficienţă Energetică</w:t>
      </w:r>
      <w:r w:rsidR="00BC2ED4" w:rsidRPr="009C5F11">
        <w:rPr>
          <w:rFonts w:ascii="Times New Roman" w:hAnsi="Times New Roman" w:cs="Times New Roman"/>
          <w:sz w:val="24"/>
          <w:lang w:val="ro-RO"/>
        </w:rPr>
        <w:t xml:space="preserve"> – </w:t>
      </w:r>
      <w:r w:rsidR="00614EF1" w:rsidRPr="009C5F11">
        <w:rPr>
          <w:rFonts w:ascii="Times New Roman" w:hAnsi="Times New Roman" w:cs="Times New Roman"/>
          <w:sz w:val="24"/>
          <w:lang w:val="ro-RO"/>
        </w:rPr>
        <w:t>asistenţă pentru realizarea de îmbunătăţiri în materie de</w:t>
      </w:r>
      <w:r w:rsidR="00960928" w:rsidRPr="009C5F11">
        <w:rPr>
          <w:rFonts w:ascii="Times New Roman" w:hAnsi="Times New Roman" w:cs="Times New Roman"/>
          <w:sz w:val="24"/>
          <w:lang w:val="ro-RO"/>
        </w:rPr>
        <w:t xml:space="preserve"> eficienţ</w:t>
      </w:r>
      <w:r w:rsidR="00614EF1" w:rsidRPr="009C5F11">
        <w:rPr>
          <w:rFonts w:ascii="Times New Roman" w:hAnsi="Times New Roman" w:cs="Times New Roman"/>
          <w:sz w:val="24"/>
          <w:lang w:val="ro-RO"/>
        </w:rPr>
        <w:t>ă</w:t>
      </w:r>
      <w:r w:rsidR="00960928" w:rsidRPr="009C5F11">
        <w:rPr>
          <w:rFonts w:ascii="Times New Roman" w:hAnsi="Times New Roman" w:cs="Times New Roman"/>
          <w:sz w:val="24"/>
          <w:lang w:val="ro-RO"/>
        </w:rPr>
        <w:t xml:space="preserve"> energetică</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în </w:t>
      </w:r>
      <w:r w:rsidR="00F43616" w:rsidRPr="009C5F11">
        <w:rPr>
          <w:rFonts w:ascii="Times New Roman" w:hAnsi="Times New Roman" w:cs="Times New Roman"/>
          <w:sz w:val="24"/>
          <w:lang w:val="ro-RO"/>
        </w:rPr>
        <w:t>sectorul public</w:t>
      </w:r>
      <w:r w:rsidR="00BC2ED4" w:rsidRPr="009C5F11">
        <w:rPr>
          <w:rFonts w:ascii="Times New Roman" w:hAnsi="Times New Roman" w:cs="Times New Roman"/>
          <w:sz w:val="24"/>
          <w:lang w:val="ro-RO"/>
        </w:rPr>
        <w:t>, incl</w:t>
      </w:r>
      <w:r w:rsidR="00614EF1" w:rsidRPr="009C5F11">
        <w:rPr>
          <w:rFonts w:ascii="Times New Roman" w:hAnsi="Times New Roman" w:cs="Times New Roman"/>
          <w:sz w:val="24"/>
          <w:lang w:val="ro-RO"/>
        </w:rPr>
        <w:t xml:space="preserve">usiv, dar fără a se limita la, </w:t>
      </w:r>
      <w:r w:rsidR="007F77BE" w:rsidRPr="009C5F11">
        <w:rPr>
          <w:rFonts w:ascii="Times New Roman" w:hAnsi="Times New Roman" w:cs="Times New Roman"/>
          <w:sz w:val="24"/>
          <w:lang w:val="ro-RO"/>
        </w:rPr>
        <w:t>clădirile publice</w:t>
      </w:r>
      <w:r w:rsidR="00BC2ED4" w:rsidRPr="009C5F11">
        <w:rPr>
          <w:rFonts w:ascii="Times New Roman" w:hAnsi="Times New Roman" w:cs="Times New Roman"/>
          <w:sz w:val="24"/>
          <w:lang w:val="ro-RO"/>
        </w:rPr>
        <w:t xml:space="preserve">, </w:t>
      </w:r>
      <w:r w:rsidR="00F43616" w:rsidRPr="009C5F11">
        <w:rPr>
          <w:rFonts w:ascii="Times New Roman" w:hAnsi="Times New Roman" w:cs="Times New Roman"/>
          <w:i/>
          <w:sz w:val="24"/>
          <w:lang w:val="ro-RO"/>
        </w:rPr>
        <w:t>iluminatul stradal</w:t>
      </w:r>
      <w:r w:rsidR="00BC2ED4" w:rsidRPr="009C5F11">
        <w:rPr>
          <w:rFonts w:ascii="Times New Roman" w:hAnsi="Times New Roman" w:cs="Times New Roman"/>
          <w:sz w:val="24"/>
          <w:lang w:val="ro-RO"/>
        </w:rPr>
        <w:t xml:space="preserve">, </w:t>
      </w:r>
      <w:r w:rsidR="006F2A15" w:rsidRPr="009C5F11">
        <w:rPr>
          <w:rFonts w:ascii="Times New Roman" w:hAnsi="Times New Roman" w:cs="Times New Roman"/>
          <w:sz w:val="24"/>
          <w:lang w:val="ro-RO"/>
        </w:rPr>
        <w:t>transportul public</w:t>
      </w:r>
      <w:r w:rsidR="00BC2ED4" w:rsidRPr="009C5F11">
        <w:rPr>
          <w:rFonts w:ascii="Times New Roman" w:hAnsi="Times New Roman" w:cs="Times New Roman"/>
          <w:sz w:val="24"/>
          <w:lang w:val="ro-RO"/>
        </w:rPr>
        <w:t>, etc</w:t>
      </w:r>
      <w:r w:rsidR="004C784B" w:rsidRPr="009C5F11">
        <w:rPr>
          <w:rFonts w:ascii="Times New Roman" w:hAnsi="Times New Roman" w:cs="Times New Roman"/>
          <w:sz w:val="24"/>
          <w:lang w:val="ro-RO"/>
        </w:rPr>
        <w:t>.;</w:t>
      </w:r>
    </w:p>
    <w:p w14:paraId="28A046CF" w14:textId="77777777" w:rsidR="00BC2ED4" w:rsidRPr="009C5F11" w:rsidRDefault="004C784B"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FISM</w:t>
      </w:r>
      <w:r w:rsidR="00BC2ED4" w:rsidRPr="009C5F11">
        <w:rPr>
          <w:rFonts w:ascii="Times New Roman" w:hAnsi="Times New Roman" w:cs="Times New Roman"/>
          <w:sz w:val="24"/>
          <w:lang w:val="ro-RO"/>
        </w:rPr>
        <w:t xml:space="preserve"> – </w:t>
      </w:r>
      <w:r w:rsidRPr="009C5F11">
        <w:rPr>
          <w:rFonts w:ascii="Times New Roman" w:hAnsi="Times New Roman" w:cs="Times New Roman"/>
          <w:sz w:val="24"/>
          <w:lang w:val="ro-RO"/>
        </w:rPr>
        <w:t>asistenţă pentru realizarea de îmbunătăţiri în materie de eficienţă energetică în sectorul public, inclusiv clădirile publice</w:t>
      </w:r>
      <w:r w:rsidR="00BC2ED4" w:rsidRPr="009C5F11">
        <w:rPr>
          <w:rFonts w:ascii="Times New Roman" w:hAnsi="Times New Roman" w:cs="Times New Roman"/>
          <w:sz w:val="24"/>
          <w:lang w:val="ro-RO"/>
        </w:rPr>
        <w:t xml:space="preserve">, </w:t>
      </w:r>
      <w:r w:rsidR="00F43616" w:rsidRPr="009C5F11">
        <w:rPr>
          <w:rFonts w:ascii="Times New Roman" w:hAnsi="Times New Roman" w:cs="Times New Roman"/>
          <w:i/>
          <w:sz w:val="24"/>
          <w:lang w:val="ro-RO"/>
        </w:rPr>
        <w:t>iluminatul stradal</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infrastructura de transport</w:t>
      </w:r>
      <w:r w:rsidR="00BC2ED4" w:rsidRPr="009C5F11">
        <w:rPr>
          <w:rFonts w:ascii="Times New Roman" w:hAnsi="Times New Roman" w:cs="Times New Roman"/>
          <w:sz w:val="24"/>
          <w:lang w:val="ro-RO"/>
        </w:rPr>
        <w:t xml:space="preserve">, </w:t>
      </w:r>
      <w:r w:rsidR="00F43616" w:rsidRPr="009C5F11">
        <w:rPr>
          <w:rFonts w:ascii="Times New Roman" w:hAnsi="Times New Roman" w:cs="Times New Roman"/>
          <w:sz w:val="24"/>
          <w:lang w:val="ro-RO"/>
        </w:rPr>
        <w:t>infrastructura hidrografică</w:t>
      </w:r>
      <w:r w:rsidR="00BC2ED4" w:rsidRPr="009C5F11">
        <w:rPr>
          <w:rFonts w:ascii="Times New Roman" w:hAnsi="Times New Roman" w:cs="Times New Roman"/>
          <w:sz w:val="24"/>
          <w:lang w:val="ro-RO"/>
        </w:rPr>
        <w:t>;</w:t>
      </w:r>
    </w:p>
    <w:p w14:paraId="27C94925" w14:textId="77777777" w:rsidR="00BC2ED4" w:rsidRPr="009C5F11" w:rsidRDefault="004424A0"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MoREEFF</w:t>
      </w:r>
      <w:r w:rsidR="00BC2ED4" w:rsidRPr="009C5F11">
        <w:rPr>
          <w:rFonts w:ascii="Times New Roman" w:hAnsi="Times New Roman" w:cs="Times New Roman"/>
          <w:sz w:val="24"/>
          <w:lang w:val="ro-RO"/>
        </w:rPr>
        <w:t xml:space="preserve"> –</w:t>
      </w:r>
      <w:r w:rsidR="004C784B" w:rsidRPr="009C5F11">
        <w:rPr>
          <w:rFonts w:ascii="Times New Roman" w:hAnsi="Times New Roman" w:cs="Times New Roman"/>
          <w:sz w:val="24"/>
          <w:lang w:val="ro-RO"/>
        </w:rPr>
        <w:t xml:space="preserve"> Proiect</w:t>
      </w:r>
      <w:r w:rsidR="00BC2ED4" w:rsidRPr="009C5F11">
        <w:rPr>
          <w:rFonts w:ascii="Times New Roman" w:hAnsi="Times New Roman" w:cs="Times New Roman"/>
          <w:sz w:val="24"/>
          <w:lang w:val="ro-RO"/>
        </w:rPr>
        <w:t xml:space="preserve"> </w:t>
      </w:r>
      <w:r w:rsidR="004C784B" w:rsidRPr="009C5F11">
        <w:rPr>
          <w:rFonts w:ascii="Times New Roman" w:hAnsi="Times New Roman" w:cs="Times New Roman"/>
          <w:sz w:val="24"/>
          <w:lang w:val="ro-RO"/>
        </w:rPr>
        <w:t>BERD dedicat clădirilor din sectorul</w:t>
      </w:r>
      <w:r w:rsidR="00BC2ED4" w:rsidRPr="009C5F11">
        <w:rPr>
          <w:rFonts w:ascii="Times New Roman" w:hAnsi="Times New Roman" w:cs="Times New Roman"/>
          <w:sz w:val="24"/>
          <w:lang w:val="ro-RO"/>
        </w:rPr>
        <w:t xml:space="preserve"> </w:t>
      </w:r>
      <w:r w:rsidR="00AB1710" w:rsidRPr="009C5F11">
        <w:rPr>
          <w:rFonts w:ascii="Times New Roman" w:hAnsi="Times New Roman" w:cs="Times New Roman"/>
          <w:sz w:val="24"/>
          <w:lang w:val="ro-RO"/>
        </w:rPr>
        <w:t>rezidenţial</w:t>
      </w:r>
      <w:r w:rsidR="00BC2ED4" w:rsidRPr="009C5F11">
        <w:rPr>
          <w:rFonts w:ascii="Times New Roman" w:hAnsi="Times New Roman" w:cs="Times New Roman"/>
          <w:sz w:val="24"/>
          <w:lang w:val="ro-RO"/>
        </w:rPr>
        <w:t>;</w:t>
      </w:r>
    </w:p>
    <w:p w14:paraId="7007D107" w14:textId="77777777" w:rsidR="00BC2ED4" w:rsidRPr="009C5F11" w:rsidRDefault="00BC2ED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MoSEFF – </w:t>
      </w:r>
      <w:r w:rsidR="004C784B" w:rsidRPr="009C5F11">
        <w:rPr>
          <w:rFonts w:ascii="Times New Roman" w:hAnsi="Times New Roman" w:cs="Times New Roman"/>
          <w:sz w:val="24"/>
          <w:lang w:val="ro-RO"/>
        </w:rPr>
        <w:t xml:space="preserve">Proiect </w:t>
      </w:r>
      <w:r w:rsidR="00AA0566" w:rsidRPr="009C5F11">
        <w:rPr>
          <w:rFonts w:ascii="Times New Roman" w:hAnsi="Times New Roman" w:cs="Times New Roman"/>
          <w:sz w:val="24"/>
          <w:lang w:val="ro-RO"/>
        </w:rPr>
        <w:t>BERD</w:t>
      </w:r>
      <w:r w:rsidRPr="009C5F11">
        <w:rPr>
          <w:rFonts w:ascii="Times New Roman" w:hAnsi="Times New Roman" w:cs="Times New Roman"/>
          <w:sz w:val="24"/>
          <w:lang w:val="ro-RO"/>
        </w:rPr>
        <w:t xml:space="preserve"> </w:t>
      </w:r>
      <w:r w:rsidR="004C784B" w:rsidRPr="009C5F11">
        <w:rPr>
          <w:rFonts w:ascii="Times New Roman" w:hAnsi="Times New Roman" w:cs="Times New Roman"/>
          <w:sz w:val="24"/>
          <w:lang w:val="ro-RO"/>
        </w:rPr>
        <w:t>pentru realizarea de îmbunătăţiri în materie de eficienţă energetică în sectorul industrial</w:t>
      </w:r>
      <w:r w:rsidRPr="009C5F11">
        <w:rPr>
          <w:rFonts w:ascii="Times New Roman" w:hAnsi="Times New Roman" w:cs="Times New Roman"/>
          <w:sz w:val="24"/>
          <w:lang w:val="ro-RO"/>
        </w:rPr>
        <w:t>;</w:t>
      </w:r>
    </w:p>
    <w:p w14:paraId="76EAE968" w14:textId="77777777" w:rsidR="00BC2ED4" w:rsidRPr="009C5F11" w:rsidRDefault="00BC2ED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Energ</w:t>
      </w:r>
      <w:r w:rsidR="004C784B" w:rsidRPr="009C5F11">
        <w:rPr>
          <w:rFonts w:ascii="Times New Roman" w:hAnsi="Times New Roman" w:cs="Times New Roman"/>
          <w:sz w:val="24"/>
          <w:lang w:val="ro-RO"/>
        </w:rPr>
        <w:t>ie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Biomas</w:t>
      </w:r>
      <w:r w:rsidR="004C784B" w:rsidRPr="009C5F11">
        <w:rPr>
          <w:rFonts w:ascii="Times New Roman" w:hAnsi="Times New Roman" w:cs="Times New Roman"/>
          <w:sz w:val="24"/>
          <w:lang w:val="ro-RO"/>
        </w:rPr>
        <w:t>ă</w:t>
      </w:r>
      <w:r w:rsidRPr="009C5F11">
        <w:rPr>
          <w:rFonts w:ascii="Times New Roman" w:hAnsi="Times New Roman" w:cs="Times New Roman"/>
          <w:sz w:val="24"/>
          <w:lang w:val="ro-RO"/>
        </w:rPr>
        <w:t xml:space="preserve"> – </w:t>
      </w:r>
      <w:r w:rsidR="004C784B" w:rsidRPr="009C5F11">
        <w:rPr>
          <w:rFonts w:ascii="Times New Roman" w:hAnsi="Times New Roman" w:cs="Times New Roman"/>
          <w:sz w:val="24"/>
          <w:lang w:val="ro-RO"/>
        </w:rPr>
        <w:t xml:space="preserve">Proiect </w:t>
      </w:r>
      <w:r w:rsidR="00321CD5" w:rsidRPr="009C5F11">
        <w:rPr>
          <w:rFonts w:ascii="Times New Roman" w:hAnsi="Times New Roman" w:cs="Times New Roman"/>
          <w:sz w:val="24"/>
          <w:lang w:val="ro-RO"/>
        </w:rPr>
        <w:t>PNUD</w:t>
      </w:r>
      <w:r w:rsidRPr="009C5F11">
        <w:rPr>
          <w:rFonts w:ascii="Times New Roman" w:hAnsi="Times New Roman" w:cs="Times New Roman"/>
          <w:sz w:val="24"/>
          <w:lang w:val="ro-RO"/>
        </w:rPr>
        <w:t xml:space="preserve"> </w:t>
      </w:r>
      <w:r w:rsidR="004C784B" w:rsidRPr="009C5F11">
        <w:rPr>
          <w:rFonts w:ascii="Times New Roman" w:hAnsi="Times New Roman" w:cs="Times New Roman"/>
          <w:sz w:val="24"/>
          <w:lang w:val="ro-RO"/>
        </w:rPr>
        <w:t xml:space="preserve">pentru realizarea </w:t>
      </w:r>
      <w:r w:rsidR="007445E9" w:rsidRPr="009C5F11">
        <w:rPr>
          <w:rFonts w:ascii="Times New Roman" w:hAnsi="Times New Roman" w:cs="Times New Roman"/>
          <w:sz w:val="24"/>
          <w:lang w:val="ro-RO"/>
        </w:rPr>
        <w:t>î</w:t>
      </w:r>
      <w:r w:rsidR="004C784B" w:rsidRPr="009C5F11">
        <w:rPr>
          <w:rFonts w:ascii="Times New Roman" w:hAnsi="Times New Roman" w:cs="Times New Roman"/>
          <w:sz w:val="24"/>
          <w:lang w:val="ro-RO"/>
        </w:rPr>
        <w:t>mbunătăţiri</w:t>
      </w:r>
      <w:r w:rsidR="007445E9" w:rsidRPr="009C5F11">
        <w:rPr>
          <w:rFonts w:ascii="Times New Roman" w:hAnsi="Times New Roman" w:cs="Times New Roman"/>
          <w:sz w:val="24"/>
          <w:lang w:val="ro-RO"/>
        </w:rPr>
        <w:t>lor</w:t>
      </w:r>
      <w:r w:rsidR="004C784B" w:rsidRPr="009C5F11">
        <w:rPr>
          <w:rFonts w:ascii="Times New Roman" w:hAnsi="Times New Roman" w:cs="Times New Roman"/>
          <w:sz w:val="24"/>
          <w:lang w:val="ro-RO"/>
        </w:rPr>
        <w:t xml:space="preserve"> în materie de eficienţă energetică în </w:t>
      </w:r>
      <w:r w:rsidR="007F77BE" w:rsidRPr="009C5F11">
        <w:rPr>
          <w:rFonts w:ascii="Times New Roman" w:hAnsi="Times New Roman" w:cs="Times New Roman"/>
          <w:sz w:val="24"/>
          <w:lang w:val="ro-RO"/>
        </w:rPr>
        <w:t>clădirile publice</w:t>
      </w:r>
      <w:r w:rsidRPr="009C5F11">
        <w:rPr>
          <w:rFonts w:ascii="Times New Roman" w:hAnsi="Times New Roman" w:cs="Times New Roman"/>
          <w:sz w:val="24"/>
          <w:lang w:val="ro-RO"/>
        </w:rPr>
        <w:t xml:space="preserve">, </w:t>
      </w:r>
      <w:r w:rsidR="004C784B" w:rsidRPr="009C5F11">
        <w:rPr>
          <w:rFonts w:ascii="Times New Roman" w:hAnsi="Times New Roman" w:cs="Times New Roman"/>
          <w:sz w:val="24"/>
          <w:lang w:val="ro-RO"/>
        </w:rPr>
        <w:t>mai concret</w:t>
      </w:r>
      <w:r w:rsidR="00381551" w:rsidRPr="009C5F11">
        <w:rPr>
          <w:rFonts w:ascii="Times New Roman" w:hAnsi="Times New Roman" w:cs="Times New Roman"/>
          <w:sz w:val="24"/>
          <w:lang w:val="ro-RO"/>
        </w:rPr>
        <w:t>,</w:t>
      </w:r>
      <w:r w:rsidR="004C784B" w:rsidRPr="009C5F11">
        <w:rPr>
          <w:rFonts w:ascii="Times New Roman" w:hAnsi="Times New Roman" w:cs="Times New Roman"/>
          <w:sz w:val="24"/>
          <w:lang w:val="ro-RO"/>
        </w:rPr>
        <w:t xml:space="preserve"> </w:t>
      </w:r>
      <w:r w:rsidR="00381551" w:rsidRPr="009C5F11">
        <w:rPr>
          <w:rFonts w:ascii="Times New Roman" w:hAnsi="Times New Roman" w:cs="Times New Roman"/>
          <w:sz w:val="24"/>
          <w:lang w:val="ro-RO"/>
        </w:rPr>
        <w:t xml:space="preserve">prin </w:t>
      </w:r>
      <w:r w:rsidR="004C784B" w:rsidRPr="009C5F11">
        <w:rPr>
          <w:rFonts w:ascii="Times New Roman" w:hAnsi="Times New Roman" w:cs="Times New Roman"/>
          <w:sz w:val="24"/>
          <w:lang w:val="ro-RO"/>
        </w:rPr>
        <w:t xml:space="preserve">perfecţionarea </w:t>
      </w:r>
      <w:r w:rsidRPr="009C5F11">
        <w:rPr>
          <w:rFonts w:ascii="Times New Roman" w:hAnsi="Times New Roman" w:cs="Times New Roman"/>
          <w:sz w:val="24"/>
          <w:lang w:val="ro-RO"/>
        </w:rPr>
        <w:t>infrastructur</w:t>
      </w:r>
      <w:r w:rsidR="004C784B" w:rsidRPr="009C5F11">
        <w:rPr>
          <w:rFonts w:ascii="Times New Roman" w:hAnsi="Times New Roman" w:cs="Times New Roman"/>
          <w:sz w:val="24"/>
          <w:lang w:val="ro-RO"/>
        </w:rPr>
        <w:t>ii termoenergetice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introduc</w:t>
      </w:r>
      <w:r w:rsidR="004C784B" w:rsidRPr="009C5F11">
        <w:rPr>
          <w:rFonts w:ascii="Times New Roman" w:hAnsi="Times New Roman" w:cs="Times New Roman"/>
          <w:sz w:val="24"/>
          <w:lang w:val="ro-RO"/>
        </w:rPr>
        <w:t>erea generării bazate pe SRE</w:t>
      </w:r>
      <w:r w:rsidRPr="009C5F11">
        <w:rPr>
          <w:rFonts w:ascii="Times New Roman" w:hAnsi="Times New Roman" w:cs="Times New Roman"/>
          <w:sz w:val="24"/>
          <w:lang w:val="ro-RO"/>
        </w:rPr>
        <w:t>;</w:t>
      </w:r>
    </w:p>
    <w:p w14:paraId="2D094254" w14:textId="77777777" w:rsidR="00BC2ED4" w:rsidRPr="009C5F11" w:rsidRDefault="004563F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Proiectul ESCO</w:t>
      </w:r>
      <w:r w:rsidR="00BC2ED4" w:rsidRPr="009C5F11">
        <w:rPr>
          <w:rFonts w:ascii="Times New Roman" w:hAnsi="Times New Roman" w:cs="Times New Roman"/>
          <w:sz w:val="24"/>
          <w:lang w:val="ro-RO"/>
        </w:rPr>
        <w:t xml:space="preserve"> – </w:t>
      </w:r>
      <w:r w:rsidR="004C784B" w:rsidRPr="009C5F11">
        <w:rPr>
          <w:rFonts w:ascii="Times New Roman" w:hAnsi="Times New Roman" w:cs="Times New Roman"/>
          <w:sz w:val="24"/>
          <w:lang w:val="ro-RO"/>
        </w:rPr>
        <w:t xml:space="preserve">Proiect </w:t>
      </w:r>
      <w:r w:rsidR="00321CD5" w:rsidRPr="009C5F11">
        <w:rPr>
          <w:rFonts w:ascii="Times New Roman" w:hAnsi="Times New Roman" w:cs="Times New Roman"/>
          <w:sz w:val="24"/>
          <w:lang w:val="ro-RO"/>
        </w:rPr>
        <w:t>PNUD</w:t>
      </w:r>
      <w:r w:rsidR="00BC2ED4" w:rsidRPr="009C5F11">
        <w:rPr>
          <w:rFonts w:ascii="Times New Roman" w:hAnsi="Times New Roman" w:cs="Times New Roman"/>
          <w:sz w:val="24"/>
          <w:lang w:val="ro-RO"/>
        </w:rPr>
        <w:t xml:space="preserve"> </w:t>
      </w:r>
      <w:r w:rsidR="004C784B" w:rsidRPr="009C5F11">
        <w:rPr>
          <w:rFonts w:ascii="Times New Roman" w:hAnsi="Times New Roman" w:cs="Times New Roman"/>
          <w:sz w:val="24"/>
          <w:lang w:val="ro-RO"/>
        </w:rPr>
        <w:t xml:space="preserve">axat pe studierea potenţialului nefolosit de </w:t>
      </w:r>
      <w:r w:rsidR="000C7BEC" w:rsidRPr="009C5F11">
        <w:rPr>
          <w:rFonts w:ascii="Times New Roman" w:hAnsi="Times New Roman" w:cs="Times New Roman"/>
          <w:sz w:val="24"/>
          <w:lang w:val="ro-RO"/>
        </w:rPr>
        <w:t>eficienţă energetică</w:t>
      </w:r>
      <w:r w:rsidR="00BC2ED4"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în </w:t>
      </w:r>
      <w:r w:rsidR="007F77BE" w:rsidRPr="009C5F11">
        <w:rPr>
          <w:rFonts w:ascii="Times New Roman" w:hAnsi="Times New Roman" w:cs="Times New Roman"/>
          <w:sz w:val="24"/>
          <w:lang w:val="ro-RO"/>
        </w:rPr>
        <w:t xml:space="preserve">clădirile </w:t>
      </w:r>
      <w:r w:rsidR="004C784B" w:rsidRPr="009C5F11">
        <w:rPr>
          <w:rFonts w:ascii="Times New Roman" w:hAnsi="Times New Roman" w:cs="Times New Roman"/>
          <w:sz w:val="24"/>
          <w:lang w:val="ro-RO"/>
        </w:rPr>
        <w:t xml:space="preserve">din sectorul </w:t>
      </w:r>
      <w:r w:rsidR="007F77BE" w:rsidRPr="009C5F11">
        <w:rPr>
          <w:rFonts w:ascii="Times New Roman" w:hAnsi="Times New Roman" w:cs="Times New Roman"/>
          <w:sz w:val="24"/>
          <w:lang w:val="ro-RO"/>
        </w:rPr>
        <w:t>public</w:t>
      </w:r>
      <w:r w:rsidR="00BC2ED4" w:rsidRPr="009C5F11">
        <w:rPr>
          <w:rFonts w:ascii="Times New Roman" w:hAnsi="Times New Roman" w:cs="Times New Roman"/>
          <w:sz w:val="24"/>
          <w:lang w:val="ro-RO"/>
        </w:rPr>
        <w:t xml:space="preserve">, </w:t>
      </w:r>
      <w:r w:rsidR="004C784B" w:rsidRPr="009C5F11">
        <w:rPr>
          <w:rFonts w:ascii="Times New Roman" w:hAnsi="Times New Roman" w:cs="Times New Roman"/>
          <w:sz w:val="24"/>
          <w:lang w:val="ro-RO"/>
        </w:rPr>
        <w:t xml:space="preserve">în principal, la nivel </w:t>
      </w:r>
      <w:r w:rsidR="00BC2ED4" w:rsidRPr="009C5F11">
        <w:rPr>
          <w:rFonts w:ascii="Times New Roman" w:hAnsi="Times New Roman" w:cs="Times New Roman"/>
          <w:sz w:val="24"/>
          <w:lang w:val="ro-RO"/>
        </w:rPr>
        <w:t>municipal</w:t>
      </w:r>
      <w:r w:rsidR="004C784B" w:rsidRPr="009C5F11">
        <w:rPr>
          <w:rFonts w:ascii="Times New Roman" w:hAnsi="Times New Roman" w:cs="Times New Roman"/>
          <w:sz w:val="24"/>
          <w:lang w:val="ro-RO"/>
        </w:rPr>
        <w:t>.</w:t>
      </w:r>
    </w:p>
    <w:p w14:paraId="4E0B3CBD" w14:textId="44E1FE48" w:rsidR="00DB6C2C" w:rsidRPr="009C5F11" w:rsidRDefault="004C784B" w:rsidP="00087B37">
      <w:pPr>
        <w:pStyle w:val="Listparagraf"/>
        <w:numPr>
          <w:ilvl w:val="0"/>
          <w:numId w:val="210"/>
        </w:numPr>
        <w:tabs>
          <w:tab w:val="left" w:pos="0"/>
        </w:tabs>
        <w:spacing w:before="240" w:after="0" w:line="240" w:lineRule="auto"/>
        <w:ind w:left="0" w:firstLine="142"/>
        <w:jc w:val="both"/>
        <w:rPr>
          <w:rFonts w:ascii="Times New Roman" w:eastAsia="Calibri" w:hAnsi="Times New Roman" w:cs="Times New Roman"/>
          <w:sz w:val="24"/>
          <w:lang w:val="ro-RO"/>
        </w:rPr>
      </w:pPr>
      <w:r w:rsidRPr="009C5F11">
        <w:rPr>
          <w:rFonts w:ascii="Times New Roman" w:eastAsia="Calibri" w:hAnsi="Times New Roman" w:cs="Times New Roman"/>
          <w:sz w:val="24"/>
          <w:lang w:val="ro-RO"/>
        </w:rPr>
        <w:t xml:space="preserve">Mai multe </w:t>
      </w:r>
      <w:r w:rsidR="00B40A7C" w:rsidRPr="009C5F11">
        <w:rPr>
          <w:rFonts w:ascii="Times New Roman" w:eastAsia="Calibri" w:hAnsi="Times New Roman" w:cs="Times New Roman"/>
          <w:sz w:val="24"/>
          <w:lang w:val="ro-RO"/>
        </w:rPr>
        <w:t>informaţii</w:t>
      </w:r>
      <w:r w:rsidR="00BC2ED4"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 xml:space="preserve">cu privire la schemele şi instrumentele de finanţare sunt incluse în </w:t>
      </w:r>
      <w:r w:rsidR="005619E4" w:rsidRPr="009C5F11">
        <w:rPr>
          <w:rFonts w:ascii="Times New Roman" w:eastAsia="Calibri" w:hAnsi="Times New Roman" w:cs="Times New Roman"/>
          <w:sz w:val="24"/>
          <w:lang w:val="ro-RO"/>
        </w:rPr>
        <w:t>Secţiunea</w:t>
      </w:r>
      <w:r w:rsidR="00374972" w:rsidRPr="009C5F11">
        <w:rPr>
          <w:rFonts w:ascii="Times New Roman" w:eastAsia="Calibri" w:hAnsi="Times New Roman" w:cs="Times New Roman"/>
          <w:sz w:val="24"/>
          <w:lang w:val="ro-RO"/>
        </w:rPr>
        <w:t xml:space="preserve"> </w:t>
      </w:r>
      <w:r w:rsidR="003A6ADB" w:rsidRPr="009C5F11">
        <w:rPr>
          <w:rFonts w:ascii="Times New Roman" w:eastAsia="Calibri" w:hAnsi="Times New Roman" w:cs="Times New Roman"/>
          <w:sz w:val="24"/>
          <w:lang w:val="ro-RO"/>
        </w:rPr>
        <w:fldChar w:fldCharType="begin"/>
      </w:r>
      <w:r w:rsidR="00374972" w:rsidRPr="009C5F11">
        <w:rPr>
          <w:rFonts w:ascii="Times New Roman" w:eastAsia="Calibri" w:hAnsi="Times New Roman" w:cs="Times New Roman"/>
          <w:sz w:val="24"/>
          <w:lang w:val="ro-RO"/>
        </w:rPr>
        <w:instrText xml:space="preserve"> REF _Ref319683845 \r \h </w:instrText>
      </w:r>
      <w:r w:rsidR="009C5F11" w:rsidRPr="009C5F11">
        <w:rPr>
          <w:rFonts w:ascii="Times New Roman" w:eastAsia="Calibri" w:hAnsi="Times New Roman" w:cs="Times New Roman"/>
          <w:sz w:val="24"/>
          <w:lang w:val="ro-RO"/>
        </w:rPr>
        <w:instrText xml:space="preserve"> \* MERGEFORMAT </w:instrText>
      </w:r>
      <w:r w:rsidR="003A6ADB" w:rsidRPr="009C5F11">
        <w:rPr>
          <w:rFonts w:ascii="Times New Roman" w:eastAsia="Calibri" w:hAnsi="Times New Roman" w:cs="Times New Roman"/>
          <w:sz w:val="24"/>
          <w:lang w:val="ro-RO"/>
        </w:rPr>
      </w:r>
      <w:r w:rsidR="003A6ADB" w:rsidRPr="009C5F11">
        <w:rPr>
          <w:rFonts w:ascii="Times New Roman" w:eastAsia="Calibri" w:hAnsi="Times New Roman" w:cs="Times New Roman"/>
          <w:sz w:val="24"/>
          <w:lang w:val="ro-RO"/>
        </w:rPr>
        <w:fldChar w:fldCharType="separate"/>
      </w:r>
      <w:r w:rsidR="0014013D">
        <w:rPr>
          <w:rFonts w:ascii="Times New Roman" w:eastAsia="Calibri" w:hAnsi="Times New Roman" w:cs="Times New Roman"/>
          <w:sz w:val="24"/>
          <w:lang w:val="ro-RO"/>
        </w:rPr>
        <w:t>5.2</w:t>
      </w:r>
      <w:r w:rsidR="003A6ADB" w:rsidRPr="009C5F11">
        <w:rPr>
          <w:rFonts w:ascii="Times New Roman" w:eastAsia="Calibri" w:hAnsi="Times New Roman" w:cs="Times New Roman"/>
          <w:sz w:val="24"/>
          <w:lang w:val="ro-RO"/>
        </w:rPr>
        <w:fldChar w:fldCharType="end"/>
      </w:r>
      <w:r w:rsidR="00BC2ED4" w:rsidRPr="009C5F11">
        <w:rPr>
          <w:rFonts w:ascii="Times New Roman" w:eastAsia="Calibri" w:hAnsi="Times New Roman" w:cs="Times New Roman"/>
          <w:sz w:val="24"/>
          <w:lang w:val="ro-RO"/>
        </w:rPr>
        <w:t xml:space="preserve">. </w:t>
      </w:r>
    </w:p>
    <w:p w14:paraId="279B51E4" w14:textId="2025FA00" w:rsidR="000C4380" w:rsidRPr="009C5F11" w:rsidRDefault="004C784B" w:rsidP="00087B37">
      <w:pPr>
        <w:pStyle w:val="Listparagraf"/>
        <w:numPr>
          <w:ilvl w:val="0"/>
          <w:numId w:val="210"/>
        </w:numPr>
        <w:tabs>
          <w:tab w:val="left" w:pos="0"/>
        </w:tabs>
        <w:spacing w:before="240" w:after="0" w:line="240" w:lineRule="auto"/>
        <w:ind w:left="0" w:firstLine="142"/>
        <w:jc w:val="both"/>
        <w:rPr>
          <w:rFonts w:ascii="Times New Roman" w:eastAsia="Calibri" w:hAnsi="Times New Roman" w:cs="Times New Roman"/>
          <w:sz w:val="24"/>
          <w:lang w:val="ro-RO"/>
        </w:rPr>
      </w:pPr>
      <w:r w:rsidRPr="009C5F11">
        <w:rPr>
          <w:rFonts w:ascii="Times New Roman" w:eastAsia="Calibri" w:hAnsi="Times New Roman" w:cs="Times New Roman"/>
          <w:sz w:val="24"/>
          <w:u w:val="single"/>
          <w:lang w:val="ro-RO"/>
        </w:rPr>
        <w:t>Taxele la e</w:t>
      </w:r>
      <w:r w:rsidR="00BC2ED4" w:rsidRPr="009C5F11">
        <w:rPr>
          <w:rFonts w:ascii="Times New Roman" w:eastAsia="Calibri" w:hAnsi="Times New Roman" w:cs="Times New Roman"/>
          <w:sz w:val="24"/>
          <w:u w:val="single"/>
          <w:lang w:val="ro-RO"/>
        </w:rPr>
        <w:t>nerg</w:t>
      </w:r>
      <w:r w:rsidRPr="009C5F11">
        <w:rPr>
          <w:rFonts w:ascii="Times New Roman" w:eastAsia="Calibri" w:hAnsi="Times New Roman" w:cs="Times New Roman"/>
          <w:sz w:val="24"/>
          <w:u w:val="single"/>
          <w:lang w:val="ro-RO"/>
        </w:rPr>
        <w:t>ie</w:t>
      </w:r>
      <w:r w:rsidR="00321CD5" w:rsidRPr="009C5F11">
        <w:rPr>
          <w:rFonts w:ascii="Times New Roman" w:eastAsia="Calibri" w:hAnsi="Times New Roman" w:cs="Times New Roman"/>
          <w:sz w:val="24"/>
          <w:u w:val="single"/>
          <w:lang w:val="ro-RO"/>
        </w:rPr>
        <w:t xml:space="preserve"> sau </w:t>
      </w:r>
      <w:r w:rsidR="00BC2ED4" w:rsidRPr="009C5F11">
        <w:rPr>
          <w:rFonts w:ascii="Times New Roman" w:eastAsia="Calibri" w:hAnsi="Times New Roman" w:cs="Times New Roman"/>
          <w:sz w:val="24"/>
          <w:u w:val="single"/>
          <w:lang w:val="ro-RO"/>
        </w:rPr>
        <w:t>CO2</w:t>
      </w:r>
      <w:r w:rsidRPr="009C5F11">
        <w:rPr>
          <w:rFonts w:ascii="Times New Roman" w:eastAsia="Calibri" w:hAnsi="Times New Roman" w:cs="Times New Roman"/>
          <w:sz w:val="24"/>
          <w:u w:val="single"/>
          <w:lang w:val="ro-RO"/>
        </w:rPr>
        <w:t xml:space="preserve"> </w:t>
      </w:r>
      <w:r w:rsidR="00321CD5" w:rsidRPr="009C5F11">
        <w:rPr>
          <w:rFonts w:ascii="Times New Roman" w:eastAsia="Calibri" w:hAnsi="Times New Roman" w:cs="Times New Roman"/>
          <w:sz w:val="24"/>
          <w:u w:val="single"/>
          <w:lang w:val="ro-RO"/>
        </w:rPr>
        <w:t xml:space="preserve">şi </w:t>
      </w:r>
      <w:r w:rsidRPr="009C5F11">
        <w:rPr>
          <w:rFonts w:ascii="Times New Roman" w:eastAsia="Calibri" w:hAnsi="Times New Roman" w:cs="Times New Roman"/>
          <w:sz w:val="24"/>
          <w:u w:val="single"/>
          <w:lang w:val="ro-RO"/>
        </w:rPr>
        <w:t>s</w:t>
      </w:r>
      <w:r w:rsidR="00A224DA" w:rsidRPr="009C5F11">
        <w:rPr>
          <w:rFonts w:ascii="Times New Roman" w:eastAsia="Calibri" w:hAnsi="Times New Roman" w:cs="Times New Roman"/>
          <w:sz w:val="24"/>
          <w:u w:val="single"/>
          <w:lang w:val="ro-RO"/>
        </w:rPr>
        <w:t>cheme</w:t>
      </w:r>
      <w:r w:rsidRPr="009C5F11">
        <w:rPr>
          <w:rFonts w:ascii="Times New Roman" w:eastAsia="Calibri" w:hAnsi="Times New Roman" w:cs="Times New Roman"/>
          <w:sz w:val="24"/>
          <w:u w:val="single"/>
          <w:lang w:val="ro-RO"/>
        </w:rPr>
        <w:t>le</w:t>
      </w:r>
      <w:r w:rsidR="00A224DA" w:rsidRPr="009C5F11">
        <w:rPr>
          <w:rFonts w:ascii="Times New Roman" w:eastAsia="Calibri" w:hAnsi="Times New Roman" w:cs="Times New Roman"/>
          <w:sz w:val="24"/>
          <w:u w:val="single"/>
          <w:lang w:val="ro-RO"/>
        </w:rPr>
        <w:t xml:space="preserve"> de etichetare a produselor cu impact energetic</w:t>
      </w:r>
      <w:r w:rsidR="00BC2ED4"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 xml:space="preserve">cu excepţia celor obligatorii </w:t>
      </w:r>
      <w:r w:rsidR="00321CD5" w:rsidRPr="009C5F11">
        <w:rPr>
          <w:rFonts w:ascii="Times New Roman" w:eastAsia="Calibri" w:hAnsi="Times New Roman" w:cs="Times New Roman"/>
          <w:sz w:val="24"/>
          <w:lang w:val="ro-RO"/>
        </w:rPr>
        <w:t xml:space="preserve">şi </w:t>
      </w:r>
      <w:r w:rsidR="005F63E1" w:rsidRPr="009C5F11">
        <w:rPr>
          <w:rFonts w:ascii="Times New Roman" w:eastAsia="Calibri" w:hAnsi="Times New Roman" w:cs="Times New Roman"/>
          <w:sz w:val="24"/>
          <w:lang w:val="ro-RO"/>
        </w:rPr>
        <w:t>aplicabile</w:t>
      </w:r>
      <w:r w:rsidR="00321CD5" w:rsidRPr="009C5F11">
        <w:rPr>
          <w:rFonts w:ascii="Times New Roman" w:eastAsia="Calibri" w:hAnsi="Times New Roman" w:cs="Times New Roman"/>
          <w:sz w:val="24"/>
          <w:lang w:val="ro-RO"/>
        </w:rPr>
        <w:t xml:space="preserve"> în </w:t>
      </w:r>
      <w:r w:rsidRPr="009C5F11">
        <w:rPr>
          <w:rFonts w:ascii="Times New Roman" w:eastAsia="Calibri" w:hAnsi="Times New Roman" w:cs="Times New Roman"/>
          <w:sz w:val="24"/>
          <w:lang w:val="ro-RO"/>
        </w:rPr>
        <w:t>statele</w:t>
      </w:r>
      <w:r w:rsidR="00D07C8F" w:rsidRPr="009C5F11">
        <w:rPr>
          <w:rFonts w:ascii="Times New Roman" w:eastAsia="Calibri" w:hAnsi="Times New Roman" w:cs="Times New Roman"/>
          <w:sz w:val="24"/>
          <w:lang w:val="ro-RO"/>
        </w:rPr>
        <w:t xml:space="preserve"> contractante</w:t>
      </w:r>
      <w:r w:rsidR="00BC2ED4"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în temeiul dreptului comunitar</w:t>
      </w:r>
      <w:r w:rsidR="00381551" w:rsidRPr="009C5F11">
        <w:rPr>
          <w:rFonts w:ascii="Times New Roman" w:eastAsia="Calibri" w:hAnsi="Times New Roman" w:cs="Times New Roman"/>
          <w:sz w:val="24"/>
          <w:lang w:val="ro-RO"/>
        </w:rPr>
        <w:t>,</w:t>
      </w:r>
      <w:r w:rsidR="00BC2ED4"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 xml:space="preserve">deocamdată nu sunt implementate </w:t>
      </w:r>
      <w:r w:rsidR="00223DAC" w:rsidRPr="009C5F11">
        <w:rPr>
          <w:rFonts w:ascii="Times New Roman" w:eastAsia="Calibri" w:hAnsi="Times New Roman" w:cs="Times New Roman"/>
          <w:sz w:val="24"/>
          <w:lang w:val="ro-RO"/>
        </w:rPr>
        <w:t>în Republica Moldova</w:t>
      </w:r>
      <w:r w:rsidR="00BC2ED4" w:rsidRPr="009C5F11">
        <w:rPr>
          <w:rFonts w:ascii="Times New Roman" w:eastAsia="Calibri" w:hAnsi="Times New Roman" w:cs="Times New Roman"/>
          <w:sz w:val="24"/>
          <w:lang w:val="ro-RO"/>
        </w:rPr>
        <w:t xml:space="preserve">. </w:t>
      </w:r>
      <w:r w:rsidR="00401F29" w:rsidRPr="009C5F11">
        <w:rPr>
          <w:rFonts w:ascii="Times New Roman" w:eastAsia="Calibri" w:hAnsi="Times New Roman" w:cs="Times New Roman"/>
          <w:sz w:val="24"/>
          <w:lang w:val="ro-RO"/>
        </w:rPr>
        <w:t>Cu toate acestea</w:t>
      </w:r>
      <w:r w:rsidR="00BC2ED4"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 xml:space="preserve">Strategia de mediu 2014-2023 </w:t>
      </w:r>
      <w:r w:rsidR="00321CD5" w:rsidRPr="009C5F11">
        <w:rPr>
          <w:rFonts w:ascii="Times New Roman" w:eastAsia="Calibri" w:hAnsi="Times New Roman" w:cs="Times New Roman"/>
          <w:sz w:val="24"/>
          <w:lang w:val="ro-RO"/>
        </w:rPr>
        <w:t xml:space="preserve">şi </w:t>
      </w:r>
      <w:r w:rsidR="00455A9A" w:rsidRPr="009C5F11">
        <w:rPr>
          <w:rFonts w:ascii="Times New Roman" w:eastAsia="Calibri" w:hAnsi="Times New Roman" w:cs="Times New Roman"/>
          <w:sz w:val="24"/>
          <w:lang w:val="ro-RO"/>
        </w:rPr>
        <w:t>Planul</w:t>
      </w:r>
      <w:r w:rsidR="004424A0" w:rsidRPr="009C5F11">
        <w:rPr>
          <w:rFonts w:ascii="Times New Roman" w:eastAsia="Calibri" w:hAnsi="Times New Roman" w:cs="Times New Roman"/>
          <w:sz w:val="24"/>
          <w:lang w:val="ro-RO"/>
        </w:rPr>
        <w:t xml:space="preserve"> de acţiun</w:t>
      </w:r>
      <w:r w:rsidRPr="009C5F11">
        <w:rPr>
          <w:rFonts w:ascii="Times New Roman" w:eastAsia="Calibri" w:hAnsi="Times New Roman" w:cs="Times New Roman"/>
          <w:sz w:val="24"/>
          <w:lang w:val="ro-RO"/>
        </w:rPr>
        <w:t>i pentru</w:t>
      </w:r>
      <w:r w:rsidR="00BC2ED4" w:rsidRPr="009C5F11">
        <w:rPr>
          <w:rFonts w:ascii="Times New Roman" w:eastAsia="Calibri" w:hAnsi="Times New Roman" w:cs="Times New Roman"/>
          <w:sz w:val="24"/>
          <w:lang w:val="ro-RO"/>
        </w:rPr>
        <w:t xml:space="preserve"> </w:t>
      </w:r>
      <w:r w:rsidR="00532A33" w:rsidRPr="009C5F11">
        <w:rPr>
          <w:rFonts w:ascii="Times New Roman" w:eastAsia="Calibri" w:hAnsi="Times New Roman" w:cs="Times New Roman"/>
          <w:sz w:val="24"/>
          <w:lang w:val="ro-RO"/>
        </w:rPr>
        <w:t>implementarea</w:t>
      </w:r>
      <w:r w:rsidRPr="009C5F11">
        <w:rPr>
          <w:rFonts w:ascii="Times New Roman" w:eastAsia="Calibri" w:hAnsi="Times New Roman" w:cs="Times New Roman"/>
          <w:sz w:val="24"/>
          <w:lang w:val="ro-RO"/>
        </w:rPr>
        <w:t xml:space="preserve"> acesteia indică următoarele direcţii:</w:t>
      </w:r>
    </w:p>
    <w:p w14:paraId="0CA1604A" w14:textId="77777777" w:rsidR="000C4380" w:rsidRPr="009C5F11" w:rsidRDefault="00321CD5" w:rsidP="000C4380">
      <w:pPr>
        <w:pStyle w:val="Legend"/>
        <w:keepNext/>
        <w:jc w:val="center"/>
        <w:rPr>
          <w:rFonts w:ascii="Times New Roman" w:hAnsi="Times New Roman" w:cs="Times New Roman"/>
          <w:sz w:val="22"/>
          <w:lang w:val="ro-RO"/>
        </w:rPr>
      </w:pPr>
      <w:bookmarkStart w:id="356" w:name="_Toc322013260"/>
      <w:r w:rsidRPr="009C5F11">
        <w:rPr>
          <w:rFonts w:ascii="Times New Roman" w:hAnsi="Times New Roman" w:cs="Times New Roman"/>
          <w:sz w:val="22"/>
          <w:lang w:val="ro-RO"/>
        </w:rPr>
        <w:t>Tabelul</w:t>
      </w:r>
      <w:r w:rsidR="000C4380"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0C4380"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37</w:t>
      </w:r>
      <w:r w:rsidR="003A6ADB" w:rsidRPr="009C5F11">
        <w:rPr>
          <w:rFonts w:ascii="Times New Roman" w:hAnsi="Times New Roman" w:cs="Times New Roman"/>
          <w:sz w:val="22"/>
          <w:lang w:val="ro-RO"/>
        </w:rPr>
        <w:fldChar w:fldCharType="end"/>
      </w:r>
      <w:r w:rsidR="000C4380" w:rsidRPr="009C5F11">
        <w:rPr>
          <w:rFonts w:ascii="Times New Roman" w:hAnsi="Times New Roman" w:cs="Times New Roman"/>
          <w:sz w:val="22"/>
          <w:lang w:val="ro-RO"/>
        </w:rPr>
        <w:t xml:space="preserve"> </w:t>
      </w:r>
      <w:r w:rsidR="004C784B" w:rsidRPr="009C5F11">
        <w:rPr>
          <w:rFonts w:ascii="Times New Roman" w:hAnsi="Times New Roman" w:cs="Times New Roman"/>
          <w:sz w:val="22"/>
          <w:lang w:val="ro-RO"/>
        </w:rPr>
        <w:t>–</w:t>
      </w:r>
      <w:r w:rsidR="000C4380" w:rsidRPr="009C5F11">
        <w:rPr>
          <w:rFonts w:ascii="Times New Roman" w:hAnsi="Times New Roman" w:cs="Times New Roman"/>
          <w:sz w:val="22"/>
          <w:lang w:val="ro-RO"/>
        </w:rPr>
        <w:t xml:space="preserve"> </w:t>
      </w:r>
      <w:r w:rsidR="006F5A04" w:rsidRPr="009C5F11">
        <w:rPr>
          <w:rFonts w:ascii="Times New Roman" w:hAnsi="Times New Roman" w:cs="Times New Roman"/>
          <w:sz w:val="22"/>
          <w:lang w:val="ro-RO"/>
        </w:rPr>
        <w:t>Măsurile</w:t>
      </w:r>
      <w:r w:rsidR="004C784B" w:rsidRPr="009C5F11">
        <w:rPr>
          <w:rFonts w:ascii="Times New Roman" w:hAnsi="Times New Roman" w:cs="Times New Roman"/>
          <w:sz w:val="22"/>
          <w:lang w:val="ro-RO"/>
        </w:rPr>
        <w:t xml:space="preserve"> aplicabile</w:t>
      </w:r>
      <w:r w:rsidRPr="009C5F11">
        <w:rPr>
          <w:rFonts w:ascii="Times New Roman" w:hAnsi="Times New Roman" w:cs="Times New Roman"/>
          <w:sz w:val="22"/>
          <w:lang w:val="ro-RO"/>
        </w:rPr>
        <w:t xml:space="preserve"> </w:t>
      </w:r>
      <w:r w:rsidR="006F5A04" w:rsidRPr="009C5F11">
        <w:rPr>
          <w:rFonts w:ascii="Times New Roman" w:hAnsi="Times New Roman" w:cs="Times New Roman"/>
          <w:sz w:val="22"/>
          <w:lang w:val="ro-RO"/>
        </w:rPr>
        <w:t>incluse în</w:t>
      </w:r>
      <w:r w:rsidRPr="009C5F11">
        <w:rPr>
          <w:rFonts w:ascii="Times New Roman" w:hAnsi="Times New Roman" w:cs="Times New Roman"/>
          <w:sz w:val="22"/>
          <w:lang w:val="ro-RO"/>
        </w:rPr>
        <w:t xml:space="preserve"> </w:t>
      </w:r>
      <w:r w:rsidR="004C784B" w:rsidRPr="009C5F11">
        <w:rPr>
          <w:rFonts w:ascii="Times New Roman" w:eastAsia="Calibri" w:hAnsi="Times New Roman" w:cs="Times New Roman"/>
          <w:sz w:val="22"/>
          <w:lang w:val="ro-RO"/>
        </w:rPr>
        <w:t xml:space="preserve">Planul de acţiuni pentru implementarea </w:t>
      </w:r>
      <w:r w:rsidR="001E3482" w:rsidRPr="009C5F11">
        <w:rPr>
          <w:rFonts w:ascii="Times New Roman" w:hAnsi="Times New Roman" w:cs="Times New Roman"/>
          <w:sz w:val="22"/>
          <w:lang w:val="ro-RO"/>
        </w:rPr>
        <w:t>Strategi</w:t>
      </w:r>
      <w:r w:rsidR="004C784B" w:rsidRPr="009C5F11">
        <w:rPr>
          <w:rFonts w:ascii="Times New Roman" w:hAnsi="Times New Roman" w:cs="Times New Roman"/>
          <w:sz w:val="22"/>
          <w:lang w:val="ro-RO"/>
        </w:rPr>
        <w:t>ei de mediu.</w:t>
      </w:r>
      <w:bookmarkEnd w:id="356"/>
    </w:p>
    <w:tbl>
      <w:tblPr>
        <w:tblW w:w="9611" w:type="dxa"/>
        <w:jc w:val="center"/>
        <w:tblBorders>
          <w:top w:val="single" w:sz="4" w:space="0" w:color="4F81BD"/>
          <w:left w:val="single" w:sz="4" w:space="0" w:color="4F81BD"/>
          <w:bottom w:val="single" w:sz="4" w:space="0" w:color="4F81BD"/>
          <w:right w:val="single" w:sz="4" w:space="0" w:color="4F81BD"/>
          <w:insideH w:val="single" w:sz="4" w:space="0" w:color="4F81BD"/>
        </w:tblBorders>
        <w:shd w:val="clear" w:color="auto" w:fill="DBE5F1"/>
        <w:tblLayout w:type="fixed"/>
        <w:tblLook w:val="0000" w:firstRow="0" w:lastRow="0" w:firstColumn="0" w:lastColumn="0" w:noHBand="0" w:noVBand="0"/>
      </w:tblPr>
      <w:tblGrid>
        <w:gridCol w:w="576"/>
        <w:gridCol w:w="2416"/>
        <w:gridCol w:w="1090"/>
        <w:gridCol w:w="1610"/>
        <w:gridCol w:w="1441"/>
        <w:gridCol w:w="1202"/>
        <w:gridCol w:w="1276"/>
      </w:tblGrid>
      <w:tr w:rsidR="006F5A04" w:rsidRPr="009C5F11" w14:paraId="2E5101F7" w14:textId="77777777" w:rsidTr="00B40DB5">
        <w:trPr>
          <w:trHeight w:val="245"/>
          <w:jc w:val="center"/>
        </w:trPr>
        <w:tc>
          <w:tcPr>
            <w:tcW w:w="576" w:type="dxa"/>
            <w:tcBorders>
              <w:bottom w:val="single" w:sz="4" w:space="0" w:color="4F81BD"/>
            </w:tcBorders>
            <w:shd w:val="clear" w:color="auto" w:fill="000080"/>
          </w:tcPr>
          <w:p w14:paraId="25F79CCC" w14:textId="77777777" w:rsidR="006F5A04" w:rsidRPr="009C5F11" w:rsidRDefault="008C1627" w:rsidP="00430626">
            <w:pPr>
              <w:autoSpaceDE w:val="0"/>
              <w:autoSpaceDN w:val="0"/>
              <w:adjustRightInd w:val="0"/>
              <w:spacing w:after="0" w:line="240" w:lineRule="auto"/>
              <w:jc w:val="center"/>
              <w:rPr>
                <w:rFonts w:ascii="Times New Roman" w:eastAsia="Calibri" w:hAnsi="Times New Roman" w:cs="Times New Roman"/>
                <w:b/>
                <w:color w:val="FFFFFF" w:themeColor="background1"/>
                <w:sz w:val="20"/>
                <w:szCs w:val="16"/>
                <w:lang w:val="ro-RO"/>
              </w:rPr>
            </w:pPr>
            <w:r w:rsidRPr="009C5F11">
              <w:rPr>
                <w:rFonts w:ascii="Times New Roman" w:eastAsia="Calibri" w:hAnsi="Times New Roman" w:cs="Times New Roman"/>
                <w:b/>
                <w:color w:val="FFFFFF" w:themeColor="background1"/>
                <w:sz w:val="20"/>
                <w:szCs w:val="16"/>
                <w:lang w:val="ro-RO"/>
              </w:rPr>
              <w:t>Nr.</w:t>
            </w:r>
          </w:p>
        </w:tc>
        <w:tc>
          <w:tcPr>
            <w:tcW w:w="2416" w:type="dxa"/>
            <w:tcBorders>
              <w:bottom w:val="single" w:sz="4" w:space="0" w:color="4F81BD"/>
            </w:tcBorders>
            <w:shd w:val="clear" w:color="auto" w:fill="000080"/>
          </w:tcPr>
          <w:p w14:paraId="27471481"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FFFFFF" w:themeColor="background1"/>
                <w:sz w:val="20"/>
                <w:szCs w:val="16"/>
                <w:lang w:val="ro-RO"/>
              </w:rPr>
            </w:pPr>
            <w:r w:rsidRPr="009C5F11">
              <w:rPr>
                <w:rFonts w:ascii="Times New Roman" w:eastAsia="Calibri" w:hAnsi="Times New Roman" w:cs="Times New Roman"/>
                <w:b/>
                <w:bCs/>
                <w:color w:val="FFFFFF" w:themeColor="background1"/>
                <w:sz w:val="20"/>
                <w:szCs w:val="16"/>
                <w:lang w:val="ro-RO"/>
              </w:rPr>
              <w:t>Denumirea acţiunii</w:t>
            </w:r>
          </w:p>
        </w:tc>
        <w:tc>
          <w:tcPr>
            <w:tcW w:w="1090" w:type="dxa"/>
            <w:tcBorders>
              <w:bottom w:val="single" w:sz="4" w:space="0" w:color="4F81BD"/>
            </w:tcBorders>
            <w:shd w:val="clear" w:color="auto" w:fill="000080"/>
          </w:tcPr>
          <w:p w14:paraId="6CEA5CE5"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FFFFFF" w:themeColor="background1"/>
                <w:sz w:val="20"/>
                <w:szCs w:val="16"/>
                <w:lang w:val="ro-RO"/>
              </w:rPr>
            </w:pPr>
            <w:r w:rsidRPr="009C5F11">
              <w:rPr>
                <w:rFonts w:ascii="Times New Roman" w:eastAsia="Calibri" w:hAnsi="Times New Roman" w:cs="Times New Roman"/>
                <w:b/>
                <w:bCs/>
                <w:color w:val="FFFFFF" w:themeColor="background1"/>
                <w:sz w:val="20"/>
                <w:szCs w:val="16"/>
                <w:lang w:val="ro-RO"/>
              </w:rPr>
              <w:t>Perioada</w:t>
            </w:r>
          </w:p>
        </w:tc>
        <w:tc>
          <w:tcPr>
            <w:tcW w:w="1610" w:type="dxa"/>
            <w:tcBorders>
              <w:bottom w:val="single" w:sz="4" w:space="0" w:color="4F81BD"/>
            </w:tcBorders>
            <w:shd w:val="clear" w:color="auto" w:fill="000080"/>
          </w:tcPr>
          <w:p w14:paraId="75FABAB1"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FFFFFF" w:themeColor="background1"/>
                <w:sz w:val="20"/>
                <w:szCs w:val="16"/>
                <w:lang w:val="ro-RO"/>
              </w:rPr>
            </w:pPr>
            <w:r w:rsidRPr="009C5F11">
              <w:rPr>
                <w:rFonts w:ascii="Times New Roman" w:eastAsia="Calibri" w:hAnsi="Times New Roman" w:cs="Times New Roman"/>
                <w:b/>
                <w:bCs/>
                <w:color w:val="FFFFFF" w:themeColor="background1"/>
                <w:sz w:val="20"/>
                <w:szCs w:val="16"/>
                <w:lang w:val="ro-RO"/>
              </w:rPr>
              <w:t>Instituţia responsabilă</w:t>
            </w:r>
          </w:p>
        </w:tc>
        <w:tc>
          <w:tcPr>
            <w:tcW w:w="1441" w:type="dxa"/>
            <w:tcBorders>
              <w:bottom w:val="single" w:sz="4" w:space="0" w:color="4F81BD"/>
            </w:tcBorders>
            <w:shd w:val="clear" w:color="auto" w:fill="000080"/>
          </w:tcPr>
          <w:p w14:paraId="2ED92218"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FFFFFF" w:themeColor="background1"/>
                <w:sz w:val="20"/>
                <w:szCs w:val="16"/>
                <w:lang w:val="ro-RO"/>
              </w:rPr>
            </w:pPr>
            <w:r w:rsidRPr="009C5F11">
              <w:rPr>
                <w:rFonts w:ascii="Times New Roman" w:eastAsia="Calibri" w:hAnsi="Times New Roman" w:cs="Times New Roman"/>
                <w:b/>
                <w:bCs/>
                <w:color w:val="FFFFFF" w:themeColor="background1"/>
                <w:sz w:val="20"/>
                <w:szCs w:val="16"/>
                <w:lang w:val="ro-RO"/>
              </w:rPr>
              <w:t>Indicatori de monitorizare</w:t>
            </w:r>
          </w:p>
        </w:tc>
        <w:tc>
          <w:tcPr>
            <w:tcW w:w="1202" w:type="dxa"/>
            <w:tcBorders>
              <w:bottom w:val="single" w:sz="4" w:space="0" w:color="4F81BD"/>
            </w:tcBorders>
            <w:shd w:val="clear" w:color="auto" w:fill="000080"/>
          </w:tcPr>
          <w:p w14:paraId="5AFDCE0E"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FFFFFF" w:themeColor="background1"/>
                <w:sz w:val="20"/>
                <w:szCs w:val="16"/>
                <w:lang w:val="ro-RO"/>
              </w:rPr>
            </w:pPr>
            <w:r w:rsidRPr="009C5F11">
              <w:rPr>
                <w:rFonts w:ascii="Times New Roman" w:eastAsia="Calibri" w:hAnsi="Times New Roman" w:cs="Times New Roman"/>
                <w:b/>
                <w:bCs/>
                <w:color w:val="FFFFFF" w:themeColor="background1"/>
                <w:sz w:val="20"/>
                <w:szCs w:val="16"/>
                <w:lang w:val="ro-RO"/>
              </w:rPr>
              <w:t>Costuri estimate, MDL</w:t>
            </w:r>
          </w:p>
        </w:tc>
        <w:tc>
          <w:tcPr>
            <w:tcW w:w="1276" w:type="dxa"/>
            <w:tcBorders>
              <w:bottom w:val="single" w:sz="4" w:space="0" w:color="4F81BD"/>
            </w:tcBorders>
            <w:shd w:val="clear" w:color="auto" w:fill="000080"/>
          </w:tcPr>
          <w:p w14:paraId="55D6D909"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FFFFFF" w:themeColor="background1"/>
                <w:sz w:val="20"/>
                <w:szCs w:val="16"/>
                <w:lang w:val="ro-RO"/>
              </w:rPr>
            </w:pPr>
            <w:r w:rsidRPr="009C5F11">
              <w:rPr>
                <w:rFonts w:ascii="Times New Roman" w:eastAsia="Calibri" w:hAnsi="Times New Roman" w:cs="Times New Roman"/>
                <w:b/>
                <w:bCs/>
                <w:color w:val="FFFFFF" w:themeColor="background1"/>
                <w:sz w:val="20"/>
                <w:szCs w:val="16"/>
                <w:lang w:val="ro-RO"/>
              </w:rPr>
              <w:t>Surse de finanţare</w:t>
            </w:r>
          </w:p>
        </w:tc>
      </w:tr>
      <w:tr w:rsidR="006F5A04" w:rsidRPr="009C5F11" w14:paraId="24D1C5ED" w14:textId="77777777" w:rsidTr="00B40DB5">
        <w:trPr>
          <w:trHeight w:val="1475"/>
          <w:jc w:val="center"/>
        </w:trPr>
        <w:tc>
          <w:tcPr>
            <w:tcW w:w="576" w:type="dxa"/>
            <w:shd w:val="clear" w:color="auto" w:fill="auto"/>
          </w:tcPr>
          <w:p w14:paraId="74C53672" w14:textId="77777777" w:rsidR="006F5A04" w:rsidRPr="009C5F11" w:rsidRDefault="006F5A04" w:rsidP="000C4380">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12</w:t>
            </w:r>
          </w:p>
        </w:tc>
        <w:tc>
          <w:tcPr>
            <w:tcW w:w="2416" w:type="dxa"/>
            <w:shd w:val="clear" w:color="auto" w:fill="auto"/>
          </w:tcPr>
          <w:p w14:paraId="4CC6ABD3"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Elaborarea unui proiect de lege cu privire la autorizarea integrată de mediu (armonizat cu </w:t>
            </w:r>
            <w:r w:rsidRPr="009C5F11">
              <w:rPr>
                <w:rFonts w:ascii="Times New Roman" w:eastAsia="Calibri" w:hAnsi="Times New Roman" w:cs="Times New Roman"/>
                <w:i/>
                <w:iCs/>
                <w:color w:val="000000"/>
                <w:sz w:val="20"/>
                <w:szCs w:val="16"/>
                <w:lang w:val="ro-RO"/>
              </w:rPr>
              <w:t>Directiva 2010/75/UE a Parlamentului European şi a Consiliului din 24 noiembrie 2010 privind emisiile industriale (prevenirea şi controlul integral al poluării)</w:t>
            </w:r>
            <w:r w:rsidRPr="009C5F11">
              <w:rPr>
                <w:rFonts w:ascii="Times New Roman" w:eastAsia="Calibri" w:hAnsi="Times New Roman" w:cs="Times New Roman"/>
                <w:color w:val="000000"/>
                <w:sz w:val="20"/>
                <w:szCs w:val="16"/>
                <w:lang w:val="ro-RO"/>
              </w:rPr>
              <w:t>)</w:t>
            </w:r>
          </w:p>
        </w:tc>
        <w:tc>
          <w:tcPr>
            <w:tcW w:w="1090" w:type="dxa"/>
            <w:shd w:val="clear" w:color="auto" w:fill="auto"/>
          </w:tcPr>
          <w:p w14:paraId="7CBA9397"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2018</w:t>
            </w:r>
          </w:p>
        </w:tc>
        <w:tc>
          <w:tcPr>
            <w:tcW w:w="1610" w:type="dxa"/>
            <w:shd w:val="clear" w:color="auto" w:fill="auto"/>
          </w:tcPr>
          <w:p w14:paraId="1CBD152C"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Ministerul Mediului </w:t>
            </w:r>
          </w:p>
        </w:tc>
        <w:tc>
          <w:tcPr>
            <w:tcW w:w="1441" w:type="dxa"/>
            <w:shd w:val="clear" w:color="auto" w:fill="auto"/>
          </w:tcPr>
          <w:p w14:paraId="1CE202A4" w14:textId="77777777" w:rsidR="006F5A04" w:rsidRPr="009C5F11" w:rsidRDefault="006F5A04" w:rsidP="00381551">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Proiect aprobat</w:t>
            </w:r>
          </w:p>
        </w:tc>
        <w:tc>
          <w:tcPr>
            <w:tcW w:w="1202" w:type="dxa"/>
            <w:shd w:val="clear" w:color="auto" w:fill="auto"/>
          </w:tcPr>
          <w:p w14:paraId="258C1643" w14:textId="77777777" w:rsidR="006F5A04" w:rsidRPr="009C5F11" w:rsidRDefault="006F5A04" w:rsidP="00381551">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Cu limite anuale aprobate în Legea privind </w:t>
            </w:r>
            <w:r w:rsidR="00381551" w:rsidRPr="009C5F11">
              <w:rPr>
                <w:rFonts w:ascii="Times New Roman" w:eastAsia="Calibri" w:hAnsi="Times New Roman" w:cs="Times New Roman"/>
                <w:color w:val="000000"/>
                <w:sz w:val="20"/>
                <w:szCs w:val="16"/>
                <w:lang w:val="ro-RO"/>
              </w:rPr>
              <w:t>b</w:t>
            </w:r>
            <w:r w:rsidRPr="009C5F11">
              <w:rPr>
                <w:rFonts w:ascii="Times New Roman" w:eastAsia="Calibri" w:hAnsi="Times New Roman" w:cs="Times New Roman"/>
                <w:color w:val="000000"/>
                <w:sz w:val="20"/>
                <w:szCs w:val="16"/>
                <w:lang w:val="ro-RO"/>
              </w:rPr>
              <w:t xml:space="preserve">ugetul de stat </w:t>
            </w:r>
          </w:p>
        </w:tc>
        <w:tc>
          <w:tcPr>
            <w:tcW w:w="1276" w:type="dxa"/>
            <w:shd w:val="clear" w:color="auto" w:fill="auto"/>
          </w:tcPr>
          <w:p w14:paraId="0A3EC32A"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Bugetul de stat </w:t>
            </w:r>
          </w:p>
        </w:tc>
      </w:tr>
      <w:tr w:rsidR="006F5A04" w:rsidRPr="009C5F11" w14:paraId="20236852" w14:textId="77777777" w:rsidTr="00B40DB5">
        <w:trPr>
          <w:trHeight w:val="359"/>
          <w:jc w:val="center"/>
        </w:trPr>
        <w:tc>
          <w:tcPr>
            <w:tcW w:w="576" w:type="dxa"/>
            <w:shd w:val="clear" w:color="auto" w:fill="auto"/>
          </w:tcPr>
          <w:p w14:paraId="1EA2DA42" w14:textId="77777777" w:rsidR="006F5A04" w:rsidRPr="009C5F11" w:rsidRDefault="006F5A04" w:rsidP="000C4380">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35</w:t>
            </w:r>
          </w:p>
        </w:tc>
        <w:tc>
          <w:tcPr>
            <w:tcW w:w="2416" w:type="dxa"/>
            <w:shd w:val="clear" w:color="auto" w:fill="auto"/>
          </w:tcPr>
          <w:p w14:paraId="689BE28D"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Introducerea sistemului de etichetare ecologică </w:t>
            </w:r>
          </w:p>
        </w:tc>
        <w:tc>
          <w:tcPr>
            <w:tcW w:w="1090" w:type="dxa"/>
            <w:shd w:val="clear" w:color="auto" w:fill="auto"/>
          </w:tcPr>
          <w:p w14:paraId="3F4F2D7D"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2018</w:t>
            </w:r>
          </w:p>
        </w:tc>
        <w:tc>
          <w:tcPr>
            <w:tcW w:w="1610" w:type="dxa"/>
            <w:shd w:val="clear" w:color="auto" w:fill="auto"/>
          </w:tcPr>
          <w:p w14:paraId="5B90EE53"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Ministerul Mediului; Ministerul Economiei </w:t>
            </w:r>
          </w:p>
        </w:tc>
        <w:tc>
          <w:tcPr>
            <w:tcW w:w="1441" w:type="dxa"/>
            <w:shd w:val="clear" w:color="auto" w:fill="auto"/>
          </w:tcPr>
          <w:p w14:paraId="6213BECA"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Sistemul introdus şi aplicat</w:t>
            </w:r>
          </w:p>
        </w:tc>
        <w:tc>
          <w:tcPr>
            <w:tcW w:w="1202" w:type="dxa"/>
            <w:shd w:val="clear" w:color="auto" w:fill="auto"/>
          </w:tcPr>
          <w:p w14:paraId="2A8B4704"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126 400</w:t>
            </w:r>
          </w:p>
        </w:tc>
        <w:tc>
          <w:tcPr>
            <w:tcW w:w="1276" w:type="dxa"/>
            <w:shd w:val="clear" w:color="auto" w:fill="auto"/>
          </w:tcPr>
          <w:p w14:paraId="3C30330E"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Bugetul de stat; asistenţă externă </w:t>
            </w:r>
          </w:p>
        </w:tc>
      </w:tr>
      <w:tr w:rsidR="006F5A04" w:rsidRPr="009C5F11" w14:paraId="3A9EE1E0" w14:textId="77777777" w:rsidTr="00B40DB5">
        <w:trPr>
          <w:trHeight w:val="660"/>
          <w:jc w:val="center"/>
        </w:trPr>
        <w:tc>
          <w:tcPr>
            <w:tcW w:w="576" w:type="dxa"/>
            <w:shd w:val="clear" w:color="auto" w:fill="auto"/>
          </w:tcPr>
          <w:p w14:paraId="0965C92A" w14:textId="77777777" w:rsidR="006F5A04" w:rsidRPr="009C5F11" w:rsidRDefault="006F5A04" w:rsidP="000C4380">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48</w:t>
            </w:r>
          </w:p>
        </w:tc>
        <w:tc>
          <w:tcPr>
            <w:tcW w:w="2416" w:type="dxa"/>
            <w:shd w:val="clear" w:color="auto" w:fill="auto"/>
          </w:tcPr>
          <w:p w14:paraId="20E30CA7"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Revizuirea instrumentelor economice şi fiscale pentru mediu şi promovarea noilor instrumente în conformitate cu practicile UE. </w:t>
            </w:r>
          </w:p>
        </w:tc>
        <w:tc>
          <w:tcPr>
            <w:tcW w:w="1090" w:type="dxa"/>
            <w:shd w:val="clear" w:color="auto" w:fill="auto"/>
          </w:tcPr>
          <w:p w14:paraId="41692594"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2018</w:t>
            </w:r>
          </w:p>
        </w:tc>
        <w:tc>
          <w:tcPr>
            <w:tcW w:w="1610" w:type="dxa"/>
            <w:shd w:val="clear" w:color="auto" w:fill="auto"/>
          </w:tcPr>
          <w:p w14:paraId="79D38078"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Ministerul Mediului </w:t>
            </w:r>
          </w:p>
        </w:tc>
        <w:tc>
          <w:tcPr>
            <w:tcW w:w="1441" w:type="dxa"/>
            <w:shd w:val="clear" w:color="auto" w:fill="auto"/>
          </w:tcPr>
          <w:p w14:paraId="41F47667"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Proiecte aprobate; instrumente economice noi </w:t>
            </w:r>
            <w:r w:rsidR="00381551" w:rsidRPr="009C5F11">
              <w:rPr>
                <w:rFonts w:ascii="Times New Roman" w:eastAsia="Calibri" w:hAnsi="Times New Roman" w:cs="Times New Roman"/>
                <w:color w:val="000000"/>
                <w:sz w:val="20"/>
                <w:szCs w:val="16"/>
                <w:lang w:val="ro-RO"/>
              </w:rPr>
              <w:t>–</w:t>
            </w:r>
            <w:r w:rsidRPr="009C5F11">
              <w:rPr>
                <w:rFonts w:ascii="Times New Roman" w:eastAsia="Calibri" w:hAnsi="Times New Roman" w:cs="Times New Roman"/>
                <w:color w:val="000000"/>
                <w:sz w:val="20"/>
                <w:szCs w:val="16"/>
                <w:lang w:val="ro-RO"/>
              </w:rPr>
              <w:t xml:space="preserve"> implementate</w:t>
            </w:r>
          </w:p>
        </w:tc>
        <w:tc>
          <w:tcPr>
            <w:tcW w:w="1202" w:type="dxa"/>
            <w:shd w:val="clear" w:color="auto" w:fill="auto"/>
          </w:tcPr>
          <w:p w14:paraId="5A6F1C2B"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500 000</w:t>
            </w:r>
          </w:p>
        </w:tc>
        <w:tc>
          <w:tcPr>
            <w:tcW w:w="1276" w:type="dxa"/>
            <w:shd w:val="clear" w:color="auto" w:fill="auto"/>
          </w:tcPr>
          <w:p w14:paraId="739873C9"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Bugetul de stat; Fondul Ecologic Naţional; asistenţă externă </w:t>
            </w:r>
          </w:p>
        </w:tc>
      </w:tr>
      <w:tr w:rsidR="006F5A04" w:rsidRPr="009C5F11" w14:paraId="150E4300" w14:textId="77777777" w:rsidTr="00B40DB5">
        <w:trPr>
          <w:trHeight w:val="458"/>
          <w:jc w:val="center"/>
        </w:trPr>
        <w:tc>
          <w:tcPr>
            <w:tcW w:w="576" w:type="dxa"/>
            <w:shd w:val="clear" w:color="auto" w:fill="auto"/>
          </w:tcPr>
          <w:p w14:paraId="7C4C31F4" w14:textId="77777777" w:rsidR="006F5A04" w:rsidRPr="009C5F11" w:rsidRDefault="006F5A04" w:rsidP="000C4380">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101</w:t>
            </w:r>
          </w:p>
        </w:tc>
        <w:tc>
          <w:tcPr>
            <w:tcW w:w="2416" w:type="dxa"/>
            <w:shd w:val="clear" w:color="auto" w:fill="auto"/>
          </w:tcPr>
          <w:p w14:paraId="122546D8"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Introducerea standardelor de emisie pentru diverse tipuri de vehicule şi </w:t>
            </w:r>
            <w:r w:rsidRPr="009C5F11">
              <w:rPr>
                <w:rFonts w:ascii="Times New Roman" w:eastAsia="Calibri" w:hAnsi="Times New Roman" w:cs="Times New Roman"/>
                <w:color w:val="000000"/>
                <w:sz w:val="20"/>
                <w:szCs w:val="16"/>
                <w:lang w:val="ro-RO"/>
              </w:rPr>
              <w:lastRenderedPageBreak/>
              <w:t xml:space="preserve">standarde privind calitatea combustibilului </w:t>
            </w:r>
          </w:p>
        </w:tc>
        <w:tc>
          <w:tcPr>
            <w:tcW w:w="1090" w:type="dxa"/>
            <w:shd w:val="clear" w:color="auto" w:fill="auto"/>
          </w:tcPr>
          <w:p w14:paraId="3B1B80D8"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lastRenderedPageBreak/>
              <w:t>2020</w:t>
            </w:r>
          </w:p>
        </w:tc>
        <w:tc>
          <w:tcPr>
            <w:tcW w:w="1610" w:type="dxa"/>
            <w:shd w:val="clear" w:color="auto" w:fill="auto"/>
          </w:tcPr>
          <w:p w14:paraId="292AB709"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Institutul de Standardizare; Ministerul </w:t>
            </w:r>
            <w:r w:rsidRPr="009C5F11">
              <w:rPr>
                <w:rFonts w:ascii="Times New Roman" w:eastAsia="Calibri" w:hAnsi="Times New Roman" w:cs="Times New Roman"/>
                <w:color w:val="000000"/>
                <w:sz w:val="20"/>
                <w:szCs w:val="16"/>
                <w:lang w:val="ro-RO"/>
              </w:rPr>
              <w:lastRenderedPageBreak/>
              <w:t>Mediului</w:t>
            </w:r>
          </w:p>
        </w:tc>
        <w:tc>
          <w:tcPr>
            <w:tcW w:w="1441" w:type="dxa"/>
            <w:shd w:val="clear" w:color="auto" w:fill="auto"/>
          </w:tcPr>
          <w:p w14:paraId="66BCA291" w14:textId="77777777" w:rsidR="006F5A04" w:rsidRPr="009C5F11" w:rsidRDefault="006F5A04" w:rsidP="00381551">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lastRenderedPageBreak/>
              <w:t>Standarde europene – aprobate</w:t>
            </w:r>
          </w:p>
        </w:tc>
        <w:tc>
          <w:tcPr>
            <w:tcW w:w="1202" w:type="dxa"/>
            <w:shd w:val="clear" w:color="auto" w:fill="auto"/>
          </w:tcPr>
          <w:p w14:paraId="6DB58DC2" w14:textId="77777777" w:rsidR="006F5A04" w:rsidRPr="009C5F11" w:rsidRDefault="006F5A04" w:rsidP="00E92437">
            <w:pPr>
              <w:autoSpaceDE w:val="0"/>
              <w:autoSpaceDN w:val="0"/>
              <w:adjustRightInd w:val="0"/>
              <w:spacing w:after="0" w:line="240" w:lineRule="auto"/>
              <w:jc w:val="center"/>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10 600 000</w:t>
            </w:r>
          </w:p>
        </w:tc>
        <w:tc>
          <w:tcPr>
            <w:tcW w:w="1276" w:type="dxa"/>
            <w:shd w:val="clear" w:color="auto" w:fill="auto"/>
          </w:tcPr>
          <w:p w14:paraId="690C39B2" w14:textId="77777777" w:rsidR="006F5A04" w:rsidRPr="009C5F11" w:rsidRDefault="006F5A04" w:rsidP="00E92437">
            <w:pPr>
              <w:autoSpaceDE w:val="0"/>
              <w:autoSpaceDN w:val="0"/>
              <w:adjustRightInd w:val="0"/>
              <w:spacing w:after="0" w:line="240" w:lineRule="auto"/>
              <w:rPr>
                <w:rFonts w:ascii="Times New Roman" w:eastAsia="Calibri" w:hAnsi="Times New Roman" w:cs="Times New Roman"/>
                <w:color w:val="000000"/>
                <w:sz w:val="20"/>
                <w:szCs w:val="16"/>
                <w:lang w:val="ro-RO"/>
              </w:rPr>
            </w:pPr>
            <w:r w:rsidRPr="009C5F11">
              <w:rPr>
                <w:rFonts w:ascii="Times New Roman" w:eastAsia="Calibri" w:hAnsi="Times New Roman" w:cs="Times New Roman"/>
                <w:color w:val="000000"/>
                <w:sz w:val="20"/>
                <w:szCs w:val="16"/>
                <w:lang w:val="ro-RO"/>
              </w:rPr>
              <w:t xml:space="preserve">Bugetul de stat; Fondul Ecologic </w:t>
            </w:r>
            <w:r w:rsidRPr="009C5F11">
              <w:rPr>
                <w:rFonts w:ascii="Times New Roman" w:eastAsia="Calibri" w:hAnsi="Times New Roman" w:cs="Times New Roman"/>
                <w:color w:val="000000"/>
                <w:sz w:val="20"/>
                <w:szCs w:val="16"/>
                <w:lang w:val="ro-RO"/>
              </w:rPr>
              <w:lastRenderedPageBreak/>
              <w:t xml:space="preserve">Naţional; </w:t>
            </w:r>
          </w:p>
        </w:tc>
      </w:tr>
    </w:tbl>
    <w:p w14:paraId="5F2D089A" w14:textId="34855A3B" w:rsidR="000C4380" w:rsidRPr="009C5F11" w:rsidRDefault="001B1A25" w:rsidP="00087B37">
      <w:pPr>
        <w:pStyle w:val="Listparagraf"/>
        <w:numPr>
          <w:ilvl w:val="0"/>
          <w:numId w:val="210"/>
        </w:numPr>
        <w:tabs>
          <w:tab w:val="left" w:pos="0"/>
        </w:tabs>
        <w:spacing w:before="240" w:after="0" w:line="240" w:lineRule="auto"/>
        <w:ind w:left="0" w:firstLine="142"/>
        <w:jc w:val="both"/>
        <w:rPr>
          <w:rFonts w:ascii="Times New Roman" w:eastAsia="Calibri" w:hAnsi="Times New Roman" w:cs="Times New Roman"/>
          <w:sz w:val="24"/>
          <w:lang w:val="ro-RO"/>
        </w:rPr>
      </w:pPr>
      <w:r w:rsidRPr="009C5F11">
        <w:rPr>
          <w:rFonts w:ascii="Times New Roman" w:eastAsia="Calibri" w:hAnsi="Times New Roman" w:cs="Times New Roman"/>
          <w:sz w:val="24"/>
          <w:lang w:val="ro-RO"/>
        </w:rPr>
        <w:lastRenderedPageBreak/>
        <w:t>În conformitate cu</w:t>
      </w:r>
      <w:r w:rsidR="00EF789F" w:rsidRPr="009C5F11">
        <w:rPr>
          <w:rFonts w:ascii="Times New Roman" w:eastAsia="Calibri" w:hAnsi="Times New Roman" w:cs="Times New Roman"/>
          <w:sz w:val="24"/>
          <w:lang w:val="ro-RO"/>
        </w:rPr>
        <w:t xml:space="preserve"> </w:t>
      </w:r>
      <w:r w:rsidR="001E3482" w:rsidRPr="009C5F11">
        <w:rPr>
          <w:rFonts w:ascii="Times New Roman" w:eastAsia="Calibri" w:hAnsi="Times New Roman" w:cs="Times New Roman"/>
          <w:sz w:val="24"/>
          <w:lang w:val="ro-RO"/>
        </w:rPr>
        <w:t>Strategia</w:t>
      </w:r>
      <w:r w:rsidR="00EF789F" w:rsidRPr="009C5F11">
        <w:rPr>
          <w:rFonts w:ascii="Times New Roman" w:eastAsia="Calibri" w:hAnsi="Times New Roman" w:cs="Times New Roman"/>
          <w:sz w:val="24"/>
          <w:lang w:val="ro-RO"/>
        </w:rPr>
        <w:t xml:space="preserve"> </w:t>
      </w:r>
      <w:r w:rsidR="009E70B4" w:rsidRPr="009C5F11">
        <w:rPr>
          <w:rFonts w:ascii="Times New Roman" w:eastAsia="Calibri" w:hAnsi="Times New Roman" w:cs="Times New Roman"/>
          <w:sz w:val="24"/>
          <w:lang w:val="ro-RO"/>
        </w:rPr>
        <w:t>de mediu pentru anii</w:t>
      </w:r>
      <w:r w:rsidR="00EF789F" w:rsidRPr="009C5F11">
        <w:rPr>
          <w:rFonts w:ascii="Times New Roman" w:eastAsia="Calibri" w:hAnsi="Times New Roman" w:cs="Times New Roman"/>
          <w:sz w:val="24"/>
          <w:lang w:val="ro-RO"/>
        </w:rPr>
        <w:t xml:space="preserve"> 2014-2023</w:t>
      </w:r>
      <w:r w:rsidR="00321CD5" w:rsidRPr="009C5F11">
        <w:rPr>
          <w:rFonts w:ascii="Times New Roman" w:eastAsia="Calibri" w:hAnsi="Times New Roman" w:cs="Times New Roman"/>
          <w:sz w:val="24"/>
          <w:lang w:val="ro-RO"/>
        </w:rPr>
        <w:t xml:space="preserve"> şi </w:t>
      </w:r>
      <w:r w:rsidR="009E70B4" w:rsidRPr="009C5F11">
        <w:rPr>
          <w:rFonts w:ascii="Times New Roman" w:eastAsia="Calibri" w:hAnsi="Times New Roman" w:cs="Times New Roman"/>
          <w:sz w:val="24"/>
          <w:lang w:val="ro-RO"/>
        </w:rPr>
        <w:t>cu</w:t>
      </w:r>
      <w:r w:rsidR="00EF789F" w:rsidRPr="009C5F11">
        <w:rPr>
          <w:rFonts w:ascii="Times New Roman" w:eastAsia="Calibri" w:hAnsi="Times New Roman" w:cs="Times New Roman"/>
          <w:sz w:val="24"/>
          <w:lang w:val="ro-RO"/>
        </w:rPr>
        <w:t xml:space="preserve"> </w:t>
      </w:r>
      <w:r w:rsidR="004424A0" w:rsidRPr="009C5F11">
        <w:rPr>
          <w:rFonts w:ascii="Times New Roman" w:eastAsia="Calibri" w:hAnsi="Times New Roman" w:cs="Times New Roman"/>
          <w:sz w:val="24"/>
          <w:lang w:val="ro-RO"/>
        </w:rPr>
        <w:t>Planul de acţiun</w:t>
      </w:r>
      <w:r w:rsidR="00381551" w:rsidRPr="009C5F11">
        <w:rPr>
          <w:rFonts w:ascii="Times New Roman" w:eastAsia="Calibri" w:hAnsi="Times New Roman" w:cs="Times New Roman"/>
          <w:sz w:val="24"/>
          <w:lang w:val="ro-RO"/>
        </w:rPr>
        <w:t>i</w:t>
      </w:r>
      <w:r w:rsidR="00EF789F" w:rsidRPr="009C5F11">
        <w:rPr>
          <w:rFonts w:ascii="Times New Roman" w:eastAsia="Calibri" w:hAnsi="Times New Roman" w:cs="Times New Roman"/>
          <w:sz w:val="24"/>
          <w:lang w:val="ro-RO"/>
        </w:rPr>
        <w:t xml:space="preserve"> </w:t>
      </w:r>
      <w:r w:rsidR="009E70B4" w:rsidRPr="009C5F11">
        <w:rPr>
          <w:rFonts w:ascii="Times New Roman" w:eastAsia="Calibri" w:hAnsi="Times New Roman" w:cs="Times New Roman"/>
          <w:sz w:val="24"/>
          <w:lang w:val="ro-RO"/>
        </w:rPr>
        <w:t>pentru implementarea acesteia</w:t>
      </w:r>
      <w:r w:rsidR="00EF789F" w:rsidRPr="009C5F11">
        <w:rPr>
          <w:rFonts w:ascii="Times New Roman" w:eastAsia="Calibri" w:hAnsi="Times New Roman" w:cs="Times New Roman"/>
          <w:sz w:val="24"/>
          <w:lang w:val="ro-RO"/>
        </w:rPr>
        <w:t xml:space="preserve">, </w:t>
      </w:r>
      <w:r w:rsidR="00381551" w:rsidRPr="009C5F11">
        <w:rPr>
          <w:rFonts w:ascii="Times New Roman" w:eastAsia="Calibri" w:hAnsi="Times New Roman" w:cs="Times New Roman"/>
          <w:sz w:val="24"/>
          <w:lang w:val="ro-RO"/>
        </w:rPr>
        <w:t xml:space="preserve">Republica </w:t>
      </w:r>
      <w:r w:rsidR="00EF789F" w:rsidRPr="009C5F11">
        <w:rPr>
          <w:rFonts w:ascii="Times New Roman" w:eastAsia="Calibri" w:hAnsi="Times New Roman" w:cs="Times New Roman"/>
          <w:sz w:val="24"/>
          <w:lang w:val="ro-RO"/>
        </w:rPr>
        <w:t xml:space="preserve">Moldova </w:t>
      </w:r>
      <w:r w:rsidR="009E70B4" w:rsidRPr="009C5F11">
        <w:rPr>
          <w:rFonts w:ascii="Times New Roman" w:eastAsia="Calibri" w:hAnsi="Times New Roman" w:cs="Times New Roman"/>
          <w:sz w:val="24"/>
          <w:lang w:val="ro-RO"/>
        </w:rPr>
        <w:t xml:space="preserve">îşi propune să îmbunătăţească şi să sporească </w:t>
      </w:r>
      <w:r w:rsidR="00F8444F" w:rsidRPr="009C5F11">
        <w:rPr>
          <w:rFonts w:ascii="Times New Roman" w:eastAsia="Calibri" w:hAnsi="Times New Roman" w:cs="Times New Roman"/>
          <w:sz w:val="24"/>
          <w:lang w:val="ro-RO"/>
        </w:rPr>
        <w:t>eficienţa</w:t>
      </w:r>
      <w:r w:rsidR="000C4380" w:rsidRPr="009C5F11">
        <w:rPr>
          <w:rFonts w:ascii="Times New Roman" w:eastAsia="Calibri" w:hAnsi="Times New Roman" w:cs="Times New Roman"/>
          <w:sz w:val="24"/>
          <w:lang w:val="ro-RO"/>
        </w:rPr>
        <w:t xml:space="preserve"> </w:t>
      </w:r>
      <w:r w:rsidR="009E70B4" w:rsidRPr="009C5F11">
        <w:rPr>
          <w:rFonts w:ascii="Times New Roman" w:eastAsia="Calibri" w:hAnsi="Times New Roman" w:cs="Times New Roman"/>
          <w:sz w:val="24"/>
          <w:lang w:val="ro-RO"/>
        </w:rPr>
        <w:t>instrumentelor</w:t>
      </w:r>
      <w:r w:rsidR="000C4380" w:rsidRPr="009C5F11">
        <w:rPr>
          <w:rFonts w:ascii="Times New Roman" w:eastAsia="Calibri" w:hAnsi="Times New Roman" w:cs="Times New Roman"/>
          <w:sz w:val="24"/>
          <w:lang w:val="ro-RO"/>
        </w:rPr>
        <w:t xml:space="preserve"> fiscal</w:t>
      </w:r>
      <w:r w:rsidR="009E70B4" w:rsidRPr="009C5F11">
        <w:rPr>
          <w:rFonts w:ascii="Times New Roman" w:eastAsia="Calibri" w:hAnsi="Times New Roman" w:cs="Times New Roman"/>
          <w:sz w:val="24"/>
          <w:lang w:val="ro-RO"/>
        </w:rPr>
        <w:t>e</w:t>
      </w:r>
      <w:r w:rsidR="00321CD5" w:rsidRPr="009C5F11">
        <w:rPr>
          <w:rFonts w:ascii="Times New Roman" w:eastAsia="Calibri" w:hAnsi="Times New Roman" w:cs="Times New Roman"/>
          <w:sz w:val="24"/>
          <w:lang w:val="ro-RO"/>
        </w:rPr>
        <w:t xml:space="preserve"> şi </w:t>
      </w:r>
      <w:r w:rsidR="000C4380" w:rsidRPr="009C5F11">
        <w:rPr>
          <w:rFonts w:ascii="Times New Roman" w:eastAsia="Calibri" w:hAnsi="Times New Roman" w:cs="Times New Roman"/>
          <w:sz w:val="24"/>
          <w:lang w:val="ro-RO"/>
        </w:rPr>
        <w:t>economic</w:t>
      </w:r>
      <w:r w:rsidR="009E70B4" w:rsidRPr="009C5F11">
        <w:rPr>
          <w:rFonts w:ascii="Times New Roman" w:eastAsia="Calibri" w:hAnsi="Times New Roman" w:cs="Times New Roman"/>
          <w:sz w:val="24"/>
          <w:lang w:val="ro-RO"/>
        </w:rPr>
        <w:t>e</w:t>
      </w:r>
      <w:r w:rsidR="000C4380" w:rsidRPr="009C5F11">
        <w:rPr>
          <w:rFonts w:ascii="Times New Roman" w:eastAsia="Calibri" w:hAnsi="Times New Roman" w:cs="Times New Roman"/>
          <w:sz w:val="24"/>
          <w:lang w:val="ro-RO"/>
        </w:rPr>
        <w:t xml:space="preserve"> </w:t>
      </w:r>
      <w:r w:rsidR="00321CD5" w:rsidRPr="009C5F11">
        <w:rPr>
          <w:rFonts w:ascii="Times New Roman" w:eastAsia="Calibri" w:hAnsi="Times New Roman" w:cs="Times New Roman"/>
          <w:sz w:val="24"/>
          <w:lang w:val="ro-RO"/>
        </w:rPr>
        <w:t xml:space="preserve">în </w:t>
      </w:r>
      <w:r w:rsidR="009E70B4" w:rsidRPr="009C5F11">
        <w:rPr>
          <w:rFonts w:ascii="Times New Roman" w:eastAsia="Calibri" w:hAnsi="Times New Roman" w:cs="Times New Roman"/>
          <w:sz w:val="24"/>
          <w:lang w:val="ro-RO"/>
        </w:rPr>
        <w:t>domeniul protecţiei mediului ambiant</w:t>
      </w:r>
      <w:r w:rsidR="00EF789F" w:rsidRPr="009C5F11">
        <w:rPr>
          <w:rFonts w:ascii="Times New Roman" w:eastAsia="Calibri" w:hAnsi="Times New Roman" w:cs="Times New Roman"/>
          <w:sz w:val="24"/>
          <w:lang w:val="ro-RO"/>
        </w:rPr>
        <w:t>:</w:t>
      </w:r>
    </w:p>
    <w:p w14:paraId="5DAFDF39" w14:textId="77777777" w:rsidR="00966272" w:rsidRPr="009C5F11" w:rsidRDefault="000A4CC7" w:rsidP="00966272">
      <w:pPr>
        <w:spacing w:before="120" w:after="120" w:line="240" w:lineRule="auto"/>
        <w:ind w:left="708"/>
        <w:jc w:val="both"/>
        <w:textAlignment w:val="baseline"/>
        <w:rPr>
          <w:rFonts w:ascii="Times New Roman" w:hAnsi="Times New Roman" w:cs="Times New Roman"/>
          <w:i/>
          <w:szCs w:val="18"/>
          <w:u w:val="single"/>
          <w:lang w:val="ro-RO"/>
        </w:rPr>
      </w:pPr>
      <w:r w:rsidRPr="009C5F11">
        <w:rPr>
          <w:rFonts w:ascii="Times New Roman" w:hAnsi="Times New Roman" w:cs="Times New Roman"/>
          <w:i/>
          <w:szCs w:val="18"/>
          <w:u w:val="single"/>
          <w:lang w:val="ro-RO"/>
        </w:rPr>
        <w:t>Articolul</w:t>
      </w:r>
      <w:r w:rsidR="00966272" w:rsidRPr="009C5F11">
        <w:rPr>
          <w:rFonts w:ascii="Times New Roman" w:hAnsi="Times New Roman" w:cs="Times New Roman"/>
          <w:i/>
          <w:szCs w:val="18"/>
          <w:u w:val="single"/>
          <w:lang w:val="ro-RO"/>
        </w:rPr>
        <w:t xml:space="preserve"> 45 </w:t>
      </w:r>
    </w:p>
    <w:p w14:paraId="3F138166" w14:textId="77777777" w:rsidR="000C4380" w:rsidRPr="009C5F11" w:rsidRDefault="00966272" w:rsidP="00966272">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2) </w:t>
      </w:r>
      <w:r w:rsidR="003719BD" w:rsidRPr="009C5F11">
        <w:rPr>
          <w:rFonts w:ascii="Times New Roman" w:hAnsi="Times New Roman" w:cs="Times New Roman"/>
          <w:i/>
          <w:szCs w:val="18"/>
          <w:lang w:val="ro-RO"/>
        </w:rPr>
        <w:t>Reducerea</w:t>
      </w:r>
      <w:r w:rsidR="000C4380" w:rsidRPr="009C5F11">
        <w:rPr>
          <w:rFonts w:ascii="Times New Roman" w:hAnsi="Times New Roman" w:cs="Times New Roman"/>
          <w:i/>
          <w:szCs w:val="18"/>
          <w:lang w:val="ro-RO"/>
        </w:rPr>
        <w:t xml:space="preserve"> </w:t>
      </w:r>
      <w:r w:rsidR="009E70B4" w:rsidRPr="009C5F11">
        <w:rPr>
          <w:rFonts w:ascii="Times New Roman" w:hAnsi="Times New Roman" w:cs="Times New Roman"/>
          <w:i/>
          <w:szCs w:val="18"/>
          <w:lang w:val="ro-RO"/>
        </w:rPr>
        <w:t>emisiilor de GES şi atenuarea impactului schimbărilor climatice</w:t>
      </w:r>
      <w:r w:rsidR="000C4380" w:rsidRPr="009C5F11">
        <w:rPr>
          <w:rFonts w:ascii="Times New Roman" w:hAnsi="Times New Roman" w:cs="Times New Roman"/>
          <w:i/>
          <w:szCs w:val="18"/>
          <w:lang w:val="ro-RO"/>
        </w:rPr>
        <w:t xml:space="preserve">. </w:t>
      </w:r>
    </w:p>
    <w:p w14:paraId="6A57EAE9" w14:textId="77777777" w:rsidR="000C4380" w:rsidRPr="009C5F11" w:rsidRDefault="006F5A04" w:rsidP="00966272">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eastAsia="Times New Roman" w:hAnsi="Times New Roman" w:cs="Times New Roman"/>
          <w:i/>
          <w:szCs w:val="18"/>
          <w:lang w:val="ro-RO"/>
        </w:rPr>
        <w:t>În conformitate cu prevederile Convenţiei cu privire la schimbările climatice, Republica Moldova şi-a asumat angajamentul de a realiza măsuri de atenuare a schimbărilor climatice axate pe reducerea, la nivel naţional, cu nu mai puţin de 20%, până în anul 2020, a emisiilor totale de gaze cu efect de seră faţă de nivelul anului de referinţă (1990). Pentru realizarea acestor angajamente, Republica Moldova va implementa măsuri eficiente de reducere a emisiilor de gaze cu efect de seră, utilizând potenţialul de îmbunătăţire a eficienţei energetice, în special, în următoarele sectoare: energetică, industrie, agricultură şi managementul deşeurilor. Primul lucru decisiv este elaborarea cadrului strategic şi instituţional în domeniul atenuării fenomenelor schimbărilor climatice şi adaptării la acestea, elaborarea măsurilor</w:t>
      </w:r>
      <w:r w:rsidRPr="009C5F11">
        <w:rPr>
          <w:rFonts w:ascii="Times New Roman" w:hAnsi="Times New Roman" w:cs="Times New Roman"/>
          <w:bCs/>
          <w:i/>
          <w:szCs w:val="18"/>
          <w:lang w:val="ro-RO"/>
        </w:rPr>
        <w:t xml:space="preserve"> de adaptare la schimbările climatice pentru toate ramurile economiei naţionale</w:t>
      </w:r>
      <w:r w:rsidRPr="009C5F11">
        <w:rPr>
          <w:rFonts w:ascii="Times New Roman" w:eastAsia="Times New Roman" w:hAnsi="Times New Roman" w:cs="Times New Roman"/>
          <w:i/>
          <w:szCs w:val="18"/>
          <w:lang w:val="ro-RO"/>
        </w:rPr>
        <w:t>.</w:t>
      </w:r>
    </w:p>
    <w:p w14:paraId="49DBEA13" w14:textId="77777777" w:rsidR="000C4380" w:rsidRPr="009C5F11" w:rsidRDefault="006F5A04" w:rsidP="00966272">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În acest scop, vor fi întreprinse mai multe acţiuni ce vor contribui direct la reducerea, comparativ cu scenariul de referinţă/baseline:</w:t>
      </w:r>
      <w:r w:rsidR="000C4380" w:rsidRPr="009C5F11">
        <w:rPr>
          <w:rFonts w:ascii="Times New Roman" w:hAnsi="Times New Roman" w:cs="Times New Roman"/>
          <w:i/>
          <w:szCs w:val="18"/>
          <w:lang w:val="ro-RO"/>
        </w:rPr>
        <w:t xml:space="preserve"> </w:t>
      </w:r>
    </w:p>
    <w:p w14:paraId="14AFB74B" w14:textId="77777777" w:rsidR="000C4380" w:rsidRPr="009C5F11" w:rsidRDefault="000C4380" w:rsidP="00966272">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a) </w:t>
      </w:r>
      <w:r w:rsidR="006F5A04" w:rsidRPr="009C5F11">
        <w:rPr>
          <w:rFonts w:ascii="Times New Roman" w:eastAsia="Times New Roman" w:hAnsi="Times New Roman" w:cs="Times New Roman"/>
          <w:i/>
          <w:szCs w:val="18"/>
          <w:lang w:val="ro-RO"/>
        </w:rPr>
        <w:t>cu 25% a gazelor cu efect de seră provenite din sectorul energetic (pentru sporirea eficienţei alimentării şi utilizării de energie, precum şi pentru producerea energiei electrice verzi – printr-o serie de metodologii deja aprobate prin Mecanismul Dezvoltării Nepoluante a Protocolului de la Kyoto, care facilitează finanţarea de carbon pentru investiţii în producerea energiei electrice, energiei termice şi combustibililor din surse regenerabile de energie);</w:t>
      </w:r>
    </w:p>
    <w:p w14:paraId="34176A4D" w14:textId="77777777" w:rsidR="000C4380" w:rsidRPr="009C5F11" w:rsidRDefault="000C4380" w:rsidP="00966272">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b) </w:t>
      </w:r>
      <w:r w:rsidR="006F5A04" w:rsidRPr="009C5F11">
        <w:rPr>
          <w:rFonts w:ascii="Times New Roman" w:eastAsia="Times New Roman" w:hAnsi="Times New Roman" w:cs="Times New Roman"/>
          <w:i/>
          <w:szCs w:val="18"/>
          <w:lang w:val="ro-RO"/>
        </w:rPr>
        <w:t>cu 20% a celor provenite din sectorul locativ, industrial (prin aplicarea unor tehnologii energetic eficiente în clădiri – izolarea pereţilor, instalarea contoarelor termice, utilizarea becurilor energoeficiente, precum şi aplicarea unor instalaţii producătoare de energie regenerabilă la scară mică – solare, fotovoltaice etc.) şi agricol (prin crearea unui bilanţ cât mai favorabil al carbonului în sol şi menţinerea fertilităţii solurilor pe termen lung, astfel încât producţia secundară a culturilor agricole (paiele şi alte reziduuri vegetale) să fie încorporată în sol, dar nu utilizată ca sursă de energie, managementul dejecţiilor animaliere, utilizarea îngrăşămintelor siderale şi utilizarea tehnologiilor conservative de cultivare a solului);</w:t>
      </w:r>
    </w:p>
    <w:p w14:paraId="0155CC57" w14:textId="77777777" w:rsidR="000C4380" w:rsidRPr="009C5F11" w:rsidRDefault="000C4380" w:rsidP="00966272">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c) </w:t>
      </w:r>
      <w:r w:rsidR="006F5A04" w:rsidRPr="009C5F11">
        <w:rPr>
          <w:rFonts w:ascii="Times New Roman" w:eastAsia="Times New Roman" w:hAnsi="Times New Roman" w:cs="Times New Roman"/>
          <w:i/>
          <w:szCs w:val="18"/>
          <w:lang w:val="ro-RO"/>
        </w:rPr>
        <w:t>cu 15% a celor din sectorul transportului (prin utilizarea la scară mai largă a vehiculelor cu motor pe bază de gaze naturale comprimate şi gaze de sondă lichefiate; utilizarea vehiculelor electrice hibride, prin producerea biomotorinei şi bioetanolului) şi din sectorul deşeurilor (prin recuperarea biogazului de la depozitele de deşeuri menajere solide administrate şi prin recuperarea biogazului de la staţiile de tratare a apelor uzate, utilizând tehnologia de tratare a nămolului în condiţii anaerobe).</w:t>
      </w:r>
    </w:p>
    <w:p w14:paraId="538CDA34" w14:textId="77777777" w:rsidR="00BC2ED4" w:rsidRPr="009C5F11" w:rsidRDefault="00BC2ED4" w:rsidP="00BC2ED4">
      <w:pPr>
        <w:spacing w:before="120" w:after="120" w:line="240" w:lineRule="auto"/>
        <w:jc w:val="both"/>
        <w:rPr>
          <w:rFonts w:ascii="Times New Roman" w:hAnsi="Times New Roman" w:cs="Times New Roman"/>
          <w:i/>
          <w:sz w:val="24"/>
          <w:lang w:val="ro-RO"/>
        </w:rPr>
      </w:pPr>
    </w:p>
    <w:p w14:paraId="5D9BEA5C" w14:textId="77777777" w:rsidR="00A13608" w:rsidRPr="009C5F11" w:rsidRDefault="00A13608" w:rsidP="00BC2ED4">
      <w:pPr>
        <w:spacing w:before="120" w:after="120" w:line="240" w:lineRule="auto"/>
        <w:jc w:val="both"/>
        <w:rPr>
          <w:rFonts w:ascii="Times New Roman" w:hAnsi="Times New Roman" w:cs="Times New Roman"/>
          <w:i/>
          <w:sz w:val="24"/>
          <w:lang w:val="ro-RO"/>
        </w:rPr>
        <w:sectPr w:rsidR="00A13608" w:rsidRPr="009C5F11" w:rsidSect="00430626">
          <w:pgSz w:w="11907" w:h="16840" w:code="9"/>
          <w:pgMar w:top="1440" w:right="1440" w:bottom="1440" w:left="1440" w:header="720" w:footer="720" w:gutter="0"/>
          <w:cols w:space="720"/>
          <w:docGrid w:linePitch="360"/>
        </w:sectPr>
      </w:pPr>
    </w:p>
    <w:p w14:paraId="417ABF30" w14:textId="77777777" w:rsidR="00BC2ED4" w:rsidRPr="00D9464A" w:rsidRDefault="00341E16" w:rsidP="00297ED0">
      <w:pPr>
        <w:pStyle w:val="Titlu2"/>
        <w:rPr>
          <w:rFonts w:ascii="Times New Roman" w:hAnsi="Times New Roman" w:cs="Times New Roman"/>
          <w:color w:val="000000" w:themeColor="text1"/>
          <w:sz w:val="28"/>
          <w:lang w:val="ro-RO"/>
        </w:rPr>
      </w:pPr>
      <w:bookmarkStart w:id="357" w:name="_Toc319555441"/>
      <w:bookmarkStart w:id="358" w:name="_Toc322013200"/>
      <w:r w:rsidRPr="00D9464A">
        <w:rPr>
          <w:rFonts w:ascii="Times New Roman" w:hAnsi="Times New Roman" w:cs="Times New Roman"/>
          <w:color w:val="000000" w:themeColor="text1"/>
          <w:sz w:val="28"/>
          <w:lang w:val="ro-RO"/>
        </w:rPr>
        <w:lastRenderedPageBreak/>
        <w:t>Audituri energetice</w:t>
      </w:r>
      <w:r w:rsidR="00321CD5" w:rsidRPr="00D9464A">
        <w:rPr>
          <w:rFonts w:ascii="Times New Roman" w:hAnsi="Times New Roman" w:cs="Times New Roman"/>
          <w:color w:val="000000" w:themeColor="text1"/>
          <w:sz w:val="28"/>
          <w:lang w:val="ro-RO"/>
        </w:rPr>
        <w:t xml:space="preserve"> şi </w:t>
      </w:r>
      <w:r w:rsidR="006F5A04" w:rsidRPr="00D9464A">
        <w:rPr>
          <w:rFonts w:ascii="Times New Roman" w:hAnsi="Times New Roman" w:cs="Times New Roman"/>
          <w:color w:val="000000" w:themeColor="text1"/>
          <w:sz w:val="28"/>
          <w:lang w:val="ro-RO"/>
        </w:rPr>
        <w:t xml:space="preserve">sisteme de </w:t>
      </w:r>
      <w:r w:rsidR="00BC2ED4" w:rsidRPr="00D9464A">
        <w:rPr>
          <w:rFonts w:ascii="Times New Roman" w:hAnsi="Times New Roman" w:cs="Times New Roman"/>
          <w:color w:val="000000" w:themeColor="text1"/>
          <w:sz w:val="28"/>
          <w:lang w:val="ro-RO"/>
        </w:rPr>
        <w:t xml:space="preserve">management </w:t>
      </w:r>
      <w:bookmarkEnd w:id="357"/>
      <w:r w:rsidR="006F5A04" w:rsidRPr="00D9464A">
        <w:rPr>
          <w:rFonts w:ascii="Times New Roman" w:hAnsi="Times New Roman" w:cs="Times New Roman"/>
          <w:color w:val="000000" w:themeColor="text1"/>
          <w:sz w:val="28"/>
          <w:lang w:val="ro-RO"/>
        </w:rPr>
        <w:t>energetic</w:t>
      </w:r>
      <w:bookmarkEnd w:id="358"/>
    </w:p>
    <w:p w14:paraId="1D056044" w14:textId="6436A417" w:rsidR="00BC2ED4" w:rsidRPr="009C5F11" w:rsidRDefault="006F5A04"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 xml:space="preserve">Introducerea oficială a auditului energetic în Moldova s-a produs în 2012. </w:t>
      </w:r>
      <w:r w:rsidR="00194BDD" w:rsidRPr="009C5F11">
        <w:rPr>
          <w:rFonts w:ascii="Times New Roman" w:hAnsi="Times New Roman" w:cs="Times New Roman"/>
          <w:sz w:val="24"/>
          <w:lang w:val="ro-RO"/>
        </w:rPr>
        <w:t>Totuşi</w:t>
      </w:r>
      <w:r w:rsidRPr="009C5F11">
        <w:rPr>
          <w:rFonts w:ascii="Times New Roman" w:hAnsi="Times New Roman" w:cs="Times New Roman"/>
          <w:sz w:val="24"/>
          <w:lang w:val="ro-RO"/>
        </w:rPr>
        <w:t xml:space="preserve">, Ministerul Dezvoltării Regionale şi Construcţiilor aprobase </w:t>
      </w:r>
      <w:r w:rsidR="00194BDD" w:rsidRPr="009C5F11">
        <w:rPr>
          <w:rFonts w:ascii="Times New Roman" w:hAnsi="Times New Roman" w:cs="Times New Roman"/>
          <w:sz w:val="24"/>
          <w:lang w:val="ro-RO"/>
        </w:rPr>
        <w:t>deja</w:t>
      </w:r>
      <w:r w:rsidRPr="009C5F11">
        <w:rPr>
          <w:rFonts w:ascii="Times New Roman" w:hAnsi="Times New Roman" w:cs="Times New Roman"/>
          <w:sz w:val="24"/>
          <w:lang w:val="ro-RO"/>
        </w:rPr>
        <w:t xml:space="preserve"> în </w:t>
      </w:r>
      <w:r w:rsidR="00194BDD" w:rsidRPr="009C5F11">
        <w:rPr>
          <w:rFonts w:ascii="Times New Roman" w:hAnsi="Times New Roman" w:cs="Times New Roman"/>
          <w:sz w:val="24"/>
          <w:lang w:val="ro-RO"/>
        </w:rPr>
        <w:t xml:space="preserve">anul </w:t>
      </w:r>
      <w:r w:rsidRPr="009C5F11">
        <w:rPr>
          <w:rFonts w:ascii="Times New Roman" w:hAnsi="Times New Roman" w:cs="Times New Roman"/>
          <w:sz w:val="24"/>
          <w:lang w:val="ro-RO"/>
        </w:rPr>
        <w:t>2003 un document normativ CP G.04.02-2003 “Regulamentul privind auditul energetic al clădirilor existente şi al instalaţiilor de încălzire şi preparare a apei calde menajere”, care asigur</w:t>
      </w:r>
      <w:r w:rsidR="00194BDD"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baza pentru efectuarea auditului energetic al clădirilor existente: cerinţe, conţinut, documentaţia pentru auditul energetic şi modul de aprobare (acest document este actualizat în conformitate cu Legea nr. 128 din 07.11.2014 privind performanţa energetică a clădirilor).</w:t>
      </w:r>
      <w:r w:rsidR="00BC2ED4" w:rsidRPr="009C5F11">
        <w:rPr>
          <w:rFonts w:ascii="Times New Roman" w:eastAsia="Calibri" w:hAnsi="Times New Roman" w:cs="Times New Roman"/>
          <w:sz w:val="24"/>
          <w:lang w:val="ro-RO"/>
        </w:rPr>
        <w:t xml:space="preserve"> </w:t>
      </w:r>
      <w:r w:rsidR="00334DD0" w:rsidRPr="009C5F11">
        <w:rPr>
          <w:rFonts w:ascii="Times New Roman" w:eastAsia="Calibri" w:hAnsi="Times New Roman" w:cs="Times New Roman"/>
          <w:sz w:val="24"/>
          <w:lang w:val="ro-RO"/>
        </w:rPr>
        <w:t xml:space="preserve">În </w:t>
      </w:r>
      <w:r w:rsidRPr="009C5F11">
        <w:rPr>
          <w:rFonts w:ascii="Times New Roman" w:eastAsia="Calibri" w:hAnsi="Times New Roman" w:cs="Times New Roman"/>
          <w:sz w:val="24"/>
          <w:lang w:val="ro-RO"/>
        </w:rPr>
        <w:t xml:space="preserve">privinţa </w:t>
      </w:r>
      <w:r w:rsidR="00BC2ED4" w:rsidRPr="009C5F11">
        <w:rPr>
          <w:rFonts w:ascii="Times New Roman" w:eastAsia="Calibri" w:hAnsi="Times New Roman" w:cs="Times New Roman"/>
          <w:sz w:val="24"/>
          <w:lang w:val="ro-RO"/>
        </w:rPr>
        <w:t>auditor</w:t>
      </w:r>
      <w:r w:rsidRPr="009C5F11">
        <w:rPr>
          <w:rFonts w:ascii="Times New Roman" w:eastAsia="Calibri" w:hAnsi="Times New Roman" w:cs="Times New Roman"/>
          <w:sz w:val="24"/>
          <w:lang w:val="ro-RO"/>
        </w:rPr>
        <w:t>ilor energetici</w:t>
      </w:r>
      <w:r w:rsidR="00321CD5" w:rsidRPr="009C5F11">
        <w:rPr>
          <w:rFonts w:ascii="Times New Roman" w:eastAsia="Calibri" w:hAnsi="Times New Roman" w:cs="Times New Roman"/>
          <w:sz w:val="24"/>
          <w:lang w:val="ro-RO"/>
        </w:rPr>
        <w:t xml:space="preserve"> şi </w:t>
      </w:r>
      <w:r w:rsidRPr="009C5F11">
        <w:rPr>
          <w:rFonts w:ascii="Times New Roman" w:eastAsia="Calibri" w:hAnsi="Times New Roman" w:cs="Times New Roman"/>
          <w:sz w:val="24"/>
          <w:lang w:val="ro-RO"/>
        </w:rPr>
        <w:t xml:space="preserve">a </w:t>
      </w:r>
      <w:r w:rsidR="00BC2ED4" w:rsidRPr="009C5F11">
        <w:rPr>
          <w:rFonts w:ascii="Times New Roman" w:eastAsia="Calibri" w:hAnsi="Times New Roman" w:cs="Times New Roman"/>
          <w:sz w:val="24"/>
          <w:lang w:val="ro-RO"/>
        </w:rPr>
        <w:t>audit</w:t>
      </w:r>
      <w:r w:rsidRPr="009C5F11">
        <w:rPr>
          <w:rFonts w:ascii="Times New Roman" w:eastAsia="Calibri" w:hAnsi="Times New Roman" w:cs="Times New Roman"/>
          <w:sz w:val="24"/>
          <w:lang w:val="ro-RO"/>
        </w:rPr>
        <w:t>urilor energetice</w:t>
      </w:r>
      <w:r w:rsidR="00BC2ED4" w:rsidRPr="009C5F11">
        <w:rPr>
          <w:rFonts w:ascii="Times New Roman" w:eastAsia="Calibri" w:hAnsi="Times New Roman" w:cs="Times New Roman"/>
          <w:sz w:val="24"/>
          <w:lang w:val="ro-RO"/>
        </w:rPr>
        <w:t xml:space="preserve">, </w:t>
      </w:r>
      <w:r w:rsidR="000A4CC7" w:rsidRPr="009C5F11">
        <w:rPr>
          <w:rFonts w:ascii="Times New Roman" w:eastAsia="Calibri" w:hAnsi="Times New Roman" w:cs="Times New Roman"/>
          <w:sz w:val="24"/>
          <w:lang w:val="ro-RO"/>
        </w:rPr>
        <w:t>PNEE</w:t>
      </w:r>
      <w:r w:rsidR="00BC2ED4" w:rsidRPr="009C5F11">
        <w:rPr>
          <w:rFonts w:ascii="Times New Roman" w:eastAsia="Calibri" w:hAnsi="Times New Roman" w:cs="Times New Roman"/>
          <w:sz w:val="24"/>
          <w:lang w:val="ro-RO"/>
        </w:rPr>
        <w:t xml:space="preserve"> 2011-2020 </w:t>
      </w:r>
      <w:r w:rsidRPr="009C5F11">
        <w:rPr>
          <w:rFonts w:ascii="Times New Roman" w:eastAsia="Calibri" w:hAnsi="Times New Roman" w:cs="Times New Roman"/>
          <w:sz w:val="24"/>
          <w:lang w:val="ro-RO"/>
        </w:rPr>
        <w:t>prevede următoarele</w:t>
      </w:r>
      <w:r w:rsidR="00BC2ED4" w:rsidRPr="009C5F11">
        <w:rPr>
          <w:rFonts w:ascii="Times New Roman" w:eastAsia="Calibri" w:hAnsi="Times New Roman" w:cs="Times New Roman"/>
          <w:sz w:val="24"/>
          <w:lang w:val="ro-RO"/>
        </w:rPr>
        <w:t>:</w:t>
      </w:r>
    </w:p>
    <w:p w14:paraId="724AE3A5" w14:textId="77777777" w:rsidR="00BC2ED4" w:rsidRPr="009C5F11" w:rsidRDefault="006F5A04" w:rsidP="00977D13">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“Ministerul Economiei, în comun cu Agenţia pentru Eficienţă Energetică, va asigura crearea unui sistem de audit energetic, de înaltă calitate, conceput pentru identificarea măsurilor potenţiale de îmbunătăţire a eficienţei energetice, desfăşurat în mod independent, pentru toţi consumatorii finali, inclusiv consumatorii casnici şi comerciali mici şi consumatorii industriali mari şi mici. Auditul energetic reprezintă o procedură sistematică de obţinere a unor cunoştinţe corespunzătoare despre profilul consumului energetic existent al unei clădiri sau al unui grup de clădiri, al unei operaţiuni şi/sau instalaţii industriale sau al unui serviciu privat sau public, de identificare şi de cuantificare a oportunităţilor rentabile pentru realizarea unor economii de energie şi de raportare a rezultatelor. Auditul energetic va fi efectuat în conformitate cu Regulamentul privind auditul energetic aprobat de Guvern, de către persoanele fizice sau juridice autorizate pentru efectuarea auditului energetic. Agenţia pentru Eficienţă Energetică va crea şi ţine registrul auditurilor şi a auditorilor energetici autorizaţi. Lista auditorilor energetici autorizaţi va fi publicată pe pagina Internet a Agenţiei pentru Eficienţă Energetică. Ministerul Economiei va stabili cazurile în care auditul energetic este obligatoriu, precum şi sursele de finanţare ale acestora.”</w:t>
      </w:r>
    </w:p>
    <w:p w14:paraId="188DBF84" w14:textId="77777777" w:rsidR="00DB6C2C" w:rsidRPr="009C5F11" w:rsidRDefault="006F5A04"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Activitatea s-a intensificat odată cu lansarea de către FEE a mai multor apeluri pentru propuneri de proiecte în sectorul public – reabilitarea clădirilor publice şi a sistemelor de iluminat stradal şi în sectorul privat (APP nr. 4). În cazul în care APL şi APC solicită finanţare din partea FEE, din contul mijloacelor bugetului de stat sau al bugetelor locale, fiecare proiect trebuie să fie însoţit de un audit energetic efectuat de auditori energetici autorizaţi de AEE.</w:t>
      </w:r>
    </w:p>
    <w:p w14:paraId="6A8B5647" w14:textId="77777777" w:rsidR="00DB6C2C" w:rsidRPr="009C5F11" w:rsidRDefault="006F5A04"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Legea cu privire la eficienţa energetică obligă AEE să asigure evidenţa auditorilor energetici şi a auditurilor energetice într-un registru electronic, precum şi instruirea auditorilor prin aprobarea programelor de instruire</w:t>
      </w:r>
      <w:r w:rsidR="00BC2ED4" w:rsidRPr="009C5F11">
        <w:rPr>
          <w:rFonts w:ascii="Times New Roman" w:eastAsia="Calibri" w:hAnsi="Times New Roman" w:cs="Times New Roman"/>
          <w:sz w:val="24"/>
          <w:lang w:val="ro-RO"/>
        </w:rPr>
        <w:t xml:space="preserve">. </w:t>
      </w:r>
    </w:p>
    <w:p w14:paraId="1F3CD5BB" w14:textId="77777777" w:rsidR="00DB6C2C" w:rsidRPr="009C5F11" w:rsidRDefault="006F5A04"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Listele auditorilor energetici pe pagina de Internet a AEE</w:t>
      </w:r>
      <w:r w:rsidR="006C124F" w:rsidRPr="009C5F11">
        <w:rPr>
          <w:rStyle w:val="Referinnotdesubsol"/>
          <w:rFonts w:ascii="Times New Roman" w:eastAsia="Calibri" w:hAnsi="Times New Roman" w:cs="Times New Roman"/>
          <w:sz w:val="24"/>
          <w:lang w:val="ro-RO"/>
        </w:rPr>
        <w:footnoteReference w:id="28"/>
      </w:r>
      <w:r w:rsidR="00BC2ED4" w:rsidRPr="009C5F11">
        <w:rPr>
          <w:rFonts w:ascii="Times New Roman" w:eastAsia="Calibri" w:hAnsi="Times New Roman" w:cs="Times New Roman"/>
          <w:sz w:val="24"/>
          <w:lang w:val="ro-RO"/>
        </w:rPr>
        <w:t xml:space="preserve"> </w:t>
      </w:r>
      <w:r w:rsidRPr="009C5F11">
        <w:rPr>
          <w:rFonts w:ascii="Times New Roman" w:hAnsi="Times New Roman" w:cs="Times New Roman"/>
          <w:sz w:val="24"/>
          <w:lang w:val="ro-RO"/>
        </w:rPr>
        <w:t xml:space="preserve">includ 37 persoane autorizate în domeniul electroenergetic, 62 persoane autorizate în domeniul termoenergetic. </w:t>
      </w:r>
      <w:r w:rsidR="00194BDD" w:rsidRPr="009C5F11">
        <w:rPr>
          <w:rFonts w:ascii="Times New Roman" w:hAnsi="Times New Roman" w:cs="Times New Roman"/>
          <w:sz w:val="24"/>
          <w:lang w:val="ro-RO"/>
        </w:rPr>
        <w:t xml:space="preserve">Concomitent, </w:t>
      </w:r>
      <w:r w:rsidRPr="009C5F11">
        <w:rPr>
          <w:rFonts w:ascii="Times New Roman" w:hAnsi="Times New Roman" w:cs="Times New Roman"/>
          <w:sz w:val="24"/>
          <w:lang w:val="ro-RO"/>
        </w:rPr>
        <w:t>41 persoane juridice dispun de autorizaţii eliberate în perioada 26.01.2013 – 15.07.2015 pentru un termen de 3 ani</w:t>
      </w:r>
      <w:r w:rsidR="00BC2ED4" w:rsidRPr="009C5F11">
        <w:rPr>
          <w:rFonts w:ascii="Times New Roman" w:eastAsia="Calibri" w:hAnsi="Times New Roman" w:cs="Times New Roman"/>
          <w:sz w:val="24"/>
          <w:lang w:val="ro-RO"/>
        </w:rPr>
        <w:t>.</w:t>
      </w:r>
    </w:p>
    <w:p w14:paraId="14DB3F07" w14:textId="77777777" w:rsidR="00DB6C2C" w:rsidRPr="009C5F11" w:rsidRDefault="006F5A04"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Regulamentul privind auditul energetic, HG nr. 884 din 27.11.2012</w:t>
      </w:r>
      <w:r w:rsidR="00194BDD"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stabileşte cerinţele de rigoare cu privire la criteriile minime, oferind lista indicatorilor de eficienţă energetică</w:t>
      </w:r>
      <w:r w:rsidR="00BC2ED4" w:rsidRPr="009C5F11">
        <w:rPr>
          <w:rFonts w:ascii="Times New Roman" w:eastAsia="Calibri" w:hAnsi="Times New Roman" w:cs="Times New Roman"/>
          <w:sz w:val="24"/>
          <w:lang w:val="ro-RO"/>
        </w:rPr>
        <w:t>.</w:t>
      </w:r>
    </w:p>
    <w:p w14:paraId="684D8071" w14:textId="3A0D9ED3" w:rsidR="00BC2ED4" w:rsidRPr="009C5F11" w:rsidRDefault="006F5A04"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În perioada 2013-2014 au fost realizate câteva măsuri de audit energetic, activităţile desfăşurate fiind axate</w:t>
      </w:r>
      <w:r w:rsidR="00194BDD"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preponderent</w:t>
      </w:r>
      <w:r w:rsidR="00194BDD"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pe clădirile din sectorul public</w:t>
      </w:r>
      <w:r w:rsidRPr="009C5F11">
        <w:rPr>
          <w:rStyle w:val="Referinnotdesubsol"/>
          <w:rFonts w:ascii="Times New Roman" w:eastAsia="Calibri" w:hAnsi="Times New Roman" w:cs="Times New Roman"/>
          <w:sz w:val="24"/>
          <w:lang w:val="ro-RO"/>
        </w:rPr>
        <w:t xml:space="preserve"> </w:t>
      </w:r>
      <w:r w:rsidR="006C124F" w:rsidRPr="009C5F11">
        <w:rPr>
          <w:rStyle w:val="Referinnotdesubsol"/>
          <w:rFonts w:ascii="Times New Roman" w:eastAsia="Calibri" w:hAnsi="Times New Roman" w:cs="Times New Roman"/>
          <w:sz w:val="24"/>
          <w:lang w:val="ro-RO"/>
        </w:rPr>
        <w:footnoteReference w:id="29"/>
      </w:r>
      <w:r w:rsidR="00BC2ED4" w:rsidRPr="009C5F11">
        <w:rPr>
          <w:rFonts w:ascii="Times New Roman" w:eastAsia="Calibri" w:hAnsi="Times New Roman" w:cs="Times New Roman"/>
          <w:sz w:val="24"/>
          <w:lang w:val="ro-RO"/>
        </w:rPr>
        <w:t>:</w:t>
      </w:r>
    </w:p>
    <w:p w14:paraId="00455422" w14:textId="77777777" w:rsidR="00BC2ED4" w:rsidRPr="009C5F11" w:rsidRDefault="006F5A0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Coordonarea definiţiei domeniului de aplicare al auditului energetic şi calcularea costului pentru proiectele finanţate total sau parţial de către FEE, din bugetul de stat sau din bugetele locale; </w:t>
      </w:r>
      <w:r w:rsidR="00BC2ED4" w:rsidRPr="009C5F11">
        <w:rPr>
          <w:rFonts w:ascii="Times New Roman" w:hAnsi="Times New Roman" w:cs="Times New Roman"/>
          <w:sz w:val="24"/>
          <w:lang w:val="ro-RO"/>
        </w:rPr>
        <w:t xml:space="preserve"> </w:t>
      </w:r>
    </w:p>
    <w:p w14:paraId="7EB95119" w14:textId="77777777" w:rsidR="00BC2ED4" w:rsidRPr="009C5F11" w:rsidRDefault="006F5A0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lastRenderedPageBreak/>
        <w:t xml:space="preserve">Procesarea (pe baza auditurilor efectuate) în 2013 a cererilor depuse pentru 304 proiecte şi aprobarea finanţării pentru 87 proiecte de EE şi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în 2014, precum şi aprobarea finanţării de către FEE a 85 proiecte de EE şi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în 2014.</w:t>
      </w:r>
    </w:p>
    <w:p w14:paraId="2669277E" w14:textId="2CE4EAD2" w:rsidR="00BC2ED4" w:rsidRPr="009C5F11" w:rsidRDefault="006F5A04"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Crearea cadrului normativ pentru promovarea auditului energetic este menţionată în măsura 114 din PNAEE 2013-2015. Acţiunea a fost prevăzută pentru perioada ianuarie 2013 – decembrie 2014</w:t>
      </w:r>
      <w:r w:rsidR="00E84378"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Sumarul r</w:t>
      </w:r>
      <w:r w:rsidR="00E10BE5" w:rsidRPr="009C5F11">
        <w:rPr>
          <w:rFonts w:ascii="Times New Roman" w:eastAsia="Calibri" w:hAnsi="Times New Roman" w:cs="Times New Roman"/>
          <w:sz w:val="24"/>
          <w:lang w:val="ro-RO"/>
        </w:rPr>
        <w:t>ezultate</w:t>
      </w:r>
      <w:r w:rsidRPr="009C5F11">
        <w:rPr>
          <w:rFonts w:ascii="Times New Roman" w:eastAsia="Calibri" w:hAnsi="Times New Roman" w:cs="Times New Roman"/>
          <w:sz w:val="24"/>
          <w:lang w:val="ro-RO"/>
        </w:rPr>
        <w:t>lor</w:t>
      </w:r>
      <w:r w:rsidR="00E84378" w:rsidRPr="009C5F11">
        <w:rPr>
          <w:rFonts w:ascii="Times New Roman" w:eastAsia="Calibri" w:hAnsi="Times New Roman" w:cs="Times New Roman"/>
          <w:sz w:val="24"/>
          <w:lang w:val="ro-RO"/>
        </w:rPr>
        <w:t xml:space="preserve"> </w:t>
      </w:r>
      <w:r w:rsidR="00532A33" w:rsidRPr="009C5F11">
        <w:rPr>
          <w:rFonts w:ascii="Times New Roman" w:eastAsia="Calibri" w:hAnsi="Times New Roman" w:cs="Times New Roman"/>
          <w:sz w:val="24"/>
          <w:lang w:val="ro-RO"/>
        </w:rPr>
        <w:t>implement</w:t>
      </w:r>
      <w:r w:rsidRPr="009C5F11">
        <w:rPr>
          <w:rFonts w:ascii="Times New Roman" w:eastAsia="Calibri" w:hAnsi="Times New Roman" w:cs="Times New Roman"/>
          <w:sz w:val="24"/>
          <w:lang w:val="ro-RO"/>
        </w:rPr>
        <w:t>ării</w:t>
      </w:r>
      <w:r w:rsidR="00E84378" w:rsidRPr="009C5F11">
        <w:rPr>
          <w:rFonts w:ascii="Times New Roman" w:eastAsia="Calibri" w:hAnsi="Times New Roman" w:cs="Times New Roman"/>
          <w:sz w:val="24"/>
          <w:lang w:val="ro-RO"/>
        </w:rPr>
        <w:t xml:space="preserve"> </w:t>
      </w:r>
      <w:r w:rsidR="00A07A79" w:rsidRPr="009C5F11">
        <w:rPr>
          <w:rFonts w:ascii="Times New Roman" w:eastAsia="Calibri" w:hAnsi="Times New Roman" w:cs="Times New Roman"/>
          <w:sz w:val="24"/>
          <w:lang w:val="ro-RO"/>
        </w:rPr>
        <w:t>acestei măsuri</w:t>
      </w:r>
      <w:r w:rsidR="00E84378"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este prezentat în</w:t>
      </w:r>
      <w:r w:rsidR="00E84378" w:rsidRPr="009C5F11">
        <w:rPr>
          <w:rFonts w:ascii="Times New Roman" w:eastAsia="Calibri" w:hAnsi="Times New Roman" w:cs="Times New Roman"/>
          <w:sz w:val="24"/>
          <w:lang w:val="ro-RO"/>
        </w:rPr>
        <w:t xml:space="preserve"> </w:t>
      </w:r>
      <w:r w:rsidR="003A6ADB" w:rsidRPr="009C5F11">
        <w:rPr>
          <w:rFonts w:ascii="Times New Roman" w:eastAsia="Calibri" w:hAnsi="Times New Roman" w:cs="Times New Roman"/>
          <w:sz w:val="24"/>
          <w:lang w:val="ro-RO"/>
        </w:rPr>
        <w:fldChar w:fldCharType="begin"/>
      </w:r>
      <w:r w:rsidR="00627F78" w:rsidRPr="009C5F11">
        <w:rPr>
          <w:rFonts w:ascii="Times New Roman" w:eastAsia="Calibri" w:hAnsi="Times New Roman" w:cs="Times New Roman"/>
          <w:sz w:val="24"/>
          <w:lang w:val="ro-RO"/>
        </w:rPr>
        <w:instrText xml:space="preserve"> REF _Ref319685437 \h </w:instrText>
      </w:r>
      <w:r w:rsidR="009C5F11" w:rsidRPr="009C5F11">
        <w:rPr>
          <w:rFonts w:ascii="Times New Roman" w:eastAsia="Calibri" w:hAnsi="Times New Roman" w:cs="Times New Roman"/>
          <w:sz w:val="24"/>
          <w:lang w:val="ro-RO"/>
        </w:rPr>
        <w:instrText xml:space="preserve"> \* MERGEFORMAT </w:instrText>
      </w:r>
      <w:r w:rsidR="003A6ADB" w:rsidRPr="009C5F11">
        <w:rPr>
          <w:rFonts w:ascii="Times New Roman" w:eastAsia="Calibri" w:hAnsi="Times New Roman" w:cs="Times New Roman"/>
          <w:sz w:val="24"/>
          <w:lang w:val="ro-RO"/>
        </w:rPr>
      </w:r>
      <w:r w:rsidR="003A6ADB" w:rsidRPr="009C5F11">
        <w:rPr>
          <w:rFonts w:ascii="Times New Roman" w:eastAsia="Calibri" w:hAnsi="Times New Roman" w:cs="Times New Roman"/>
          <w:sz w:val="24"/>
          <w:lang w:val="ro-RO"/>
        </w:rPr>
        <w:fldChar w:fldCharType="separate"/>
      </w:r>
      <w:r w:rsidR="0014013D" w:rsidRPr="0014013D">
        <w:rPr>
          <w:rFonts w:ascii="Times New Roman" w:hAnsi="Times New Roman" w:cs="Times New Roman"/>
          <w:sz w:val="24"/>
          <w:lang w:val="ro-RO"/>
        </w:rPr>
        <w:t>Tabelul 38</w:t>
      </w:r>
      <w:r w:rsidR="003A6ADB" w:rsidRPr="009C5F11">
        <w:rPr>
          <w:rFonts w:ascii="Times New Roman" w:eastAsia="Calibri" w:hAnsi="Times New Roman" w:cs="Times New Roman"/>
          <w:sz w:val="24"/>
          <w:lang w:val="ro-RO"/>
        </w:rPr>
        <w:fldChar w:fldCharType="end"/>
      </w:r>
      <w:r w:rsidR="00627F78" w:rsidRPr="009C5F11">
        <w:rPr>
          <w:rFonts w:ascii="Times New Roman" w:eastAsia="Calibri" w:hAnsi="Times New Roman" w:cs="Times New Roman"/>
          <w:sz w:val="24"/>
          <w:lang w:val="ro-RO"/>
        </w:rPr>
        <w:t xml:space="preserve"> </w:t>
      </w:r>
      <w:r w:rsidR="00E46DD7" w:rsidRPr="009C5F11">
        <w:rPr>
          <w:rFonts w:ascii="Times New Roman" w:eastAsia="Calibri" w:hAnsi="Times New Roman" w:cs="Times New Roman"/>
          <w:sz w:val="24"/>
          <w:lang w:val="ro-RO"/>
        </w:rPr>
        <w:t>de mai jos</w:t>
      </w:r>
      <w:r w:rsidR="00E84378" w:rsidRPr="009C5F11">
        <w:rPr>
          <w:rFonts w:ascii="Times New Roman" w:eastAsia="Calibri" w:hAnsi="Times New Roman" w:cs="Times New Roman"/>
          <w:sz w:val="24"/>
          <w:lang w:val="ro-RO"/>
        </w:rPr>
        <w:t>.</w:t>
      </w:r>
    </w:p>
    <w:p w14:paraId="2B1CD4EE" w14:textId="77777777" w:rsidR="00BC2ED4" w:rsidRPr="009C5F11" w:rsidRDefault="00BC2ED4" w:rsidP="002D55BA">
      <w:pPr>
        <w:spacing w:before="240" w:after="0" w:line="240" w:lineRule="auto"/>
        <w:rPr>
          <w:rFonts w:ascii="Times New Roman" w:eastAsia="Calibri" w:hAnsi="Times New Roman" w:cs="Times New Roman"/>
          <w:szCs w:val="18"/>
          <w:lang w:val="ro-RO"/>
        </w:rPr>
      </w:pPr>
    </w:p>
    <w:p w14:paraId="0C21853B" w14:textId="77777777" w:rsidR="00627F78" w:rsidRPr="009C5F11" w:rsidRDefault="00321CD5" w:rsidP="00627F78">
      <w:pPr>
        <w:pStyle w:val="Legend"/>
        <w:keepNext/>
        <w:jc w:val="center"/>
        <w:rPr>
          <w:rFonts w:ascii="Times New Roman" w:hAnsi="Times New Roman" w:cs="Times New Roman"/>
          <w:sz w:val="22"/>
          <w:lang w:val="ro-RO"/>
        </w:rPr>
      </w:pPr>
      <w:bookmarkStart w:id="359" w:name="_Ref319685437"/>
      <w:bookmarkStart w:id="360" w:name="_Toc322013261"/>
      <w:r w:rsidRPr="009C5F11">
        <w:rPr>
          <w:rFonts w:ascii="Times New Roman" w:hAnsi="Times New Roman" w:cs="Times New Roman"/>
          <w:sz w:val="22"/>
          <w:lang w:val="ro-RO"/>
        </w:rPr>
        <w:t>Tabelul</w:t>
      </w:r>
      <w:r w:rsidR="00627F78"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627F78"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38</w:t>
      </w:r>
      <w:r w:rsidR="003A6ADB" w:rsidRPr="009C5F11">
        <w:rPr>
          <w:rFonts w:ascii="Times New Roman" w:hAnsi="Times New Roman" w:cs="Times New Roman"/>
          <w:sz w:val="22"/>
          <w:lang w:val="ro-RO"/>
        </w:rPr>
        <w:fldChar w:fldCharType="end"/>
      </w:r>
      <w:bookmarkEnd w:id="359"/>
      <w:r w:rsidR="00627F78" w:rsidRPr="009C5F11">
        <w:rPr>
          <w:rFonts w:ascii="Times New Roman" w:hAnsi="Times New Roman" w:cs="Times New Roman"/>
          <w:sz w:val="22"/>
          <w:lang w:val="ro-RO"/>
        </w:rPr>
        <w:t xml:space="preserve"> </w:t>
      </w:r>
      <w:r w:rsidR="00194BDD" w:rsidRPr="009C5F11">
        <w:rPr>
          <w:rFonts w:ascii="Times New Roman" w:hAnsi="Times New Roman" w:cs="Times New Roman"/>
          <w:sz w:val="22"/>
          <w:lang w:val="ro-RO"/>
        </w:rPr>
        <w:t>–</w:t>
      </w:r>
      <w:r w:rsidR="00627F78" w:rsidRPr="009C5F11">
        <w:rPr>
          <w:rFonts w:ascii="Times New Roman" w:hAnsi="Times New Roman" w:cs="Times New Roman"/>
          <w:sz w:val="22"/>
          <w:lang w:val="ro-RO"/>
        </w:rPr>
        <w:t xml:space="preserve"> </w:t>
      </w:r>
      <w:r w:rsidR="00194BDD" w:rsidRPr="009C5F11">
        <w:rPr>
          <w:rFonts w:ascii="Times New Roman" w:hAnsi="Times New Roman" w:cs="Times New Roman"/>
          <w:sz w:val="22"/>
          <w:lang w:val="ro-RO"/>
        </w:rPr>
        <w:t>Privire de ansamblu asupr</w:t>
      </w:r>
      <w:r w:rsidR="006F5A04" w:rsidRPr="009C5F11">
        <w:rPr>
          <w:rFonts w:ascii="Times New Roman" w:hAnsi="Times New Roman" w:cs="Times New Roman"/>
          <w:sz w:val="22"/>
          <w:lang w:val="ro-RO"/>
        </w:rPr>
        <w:t>a</w:t>
      </w:r>
      <w:r w:rsidR="006F5A04" w:rsidRPr="009C5F11">
        <w:rPr>
          <w:rFonts w:ascii="Times New Roman" w:eastAsia="Calibri" w:hAnsi="Times New Roman" w:cs="Times New Roman"/>
          <w:sz w:val="22"/>
          <w:lang w:val="ro-RO"/>
        </w:rPr>
        <w:t xml:space="preserve"> </w:t>
      </w:r>
      <w:r w:rsidR="00194BDD" w:rsidRPr="009C5F11">
        <w:rPr>
          <w:rFonts w:ascii="Times New Roman" w:eastAsia="Calibri" w:hAnsi="Times New Roman" w:cs="Times New Roman"/>
          <w:sz w:val="22"/>
          <w:lang w:val="ro-RO"/>
        </w:rPr>
        <w:t>rezultatelor</w:t>
      </w:r>
      <w:r w:rsidR="006F5A04" w:rsidRPr="009C5F11">
        <w:rPr>
          <w:rFonts w:ascii="Times New Roman" w:eastAsia="Calibri" w:hAnsi="Times New Roman" w:cs="Times New Roman"/>
          <w:sz w:val="22"/>
          <w:lang w:val="ro-RO"/>
        </w:rPr>
        <w:t xml:space="preserve"> implementării</w:t>
      </w:r>
      <w:r w:rsidR="00194BDD" w:rsidRPr="009C5F11">
        <w:rPr>
          <w:rFonts w:ascii="Times New Roman" w:eastAsia="Calibri" w:hAnsi="Times New Roman" w:cs="Times New Roman"/>
          <w:sz w:val="22"/>
          <w:lang w:val="ro-RO"/>
        </w:rPr>
        <w:br/>
      </w:r>
      <w:r w:rsidR="006F5A04" w:rsidRPr="009C5F11">
        <w:rPr>
          <w:rFonts w:ascii="Times New Roman" w:eastAsia="Calibri" w:hAnsi="Times New Roman" w:cs="Times New Roman"/>
          <w:sz w:val="22"/>
          <w:lang w:val="ro-RO"/>
        </w:rPr>
        <w:t xml:space="preserve">Măsurii </w:t>
      </w:r>
      <w:r w:rsidR="00627F78" w:rsidRPr="009C5F11">
        <w:rPr>
          <w:rFonts w:ascii="Times New Roman" w:hAnsi="Times New Roman" w:cs="Times New Roman"/>
          <w:sz w:val="22"/>
          <w:lang w:val="ro-RO"/>
        </w:rPr>
        <w:t>114</w:t>
      </w:r>
      <w:r w:rsidRPr="009C5F11">
        <w:rPr>
          <w:rFonts w:ascii="Times New Roman" w:hAnsi="Times New Roman" w:cs="Times New Roman"/>
          <w:sz w:val="22"/>
          <w:lang w:val="ro-RO"/>
        </w:rPr>
        <w:t xml:space="preserve"> </w:t>
      </w:r>
      <w:r w:rsidR="00210C2C" w:rsidRPr="009C5F11">
        <w:rPr>
          <w:rFonts w:ascii="Times New Roman" w:hAnsi="Times New Roman" w:cs="Times New Roman"/>
          <w:sz w:val="22"/>
          <w:lang w:val="ro-RO"/>
        </w:rPr>
        <w:t>din PNAEE 2013-2015</w:t>
      </w:r>
      <w:r w:rsidR="006F5A04" w:rsidRPr="009C5F11">
        <w:rPr>
          <w:rFonts w:ascii="Times New Roman" w:hAnsi="Times New Roman" w:cs="Times New Roman"/>
          <w:sz w:val="22"/>
          <w:lang w:val="ro-RO"/>
        </w:rPr>
        <w:t>.</w:t>
      </w:r>
      <w:bookmarkEnd w:id="360"/>
    </w:p>
    <w:tbl>
      <w:tblPr>
        <w:tblW w:w="0" w:type="auto"/>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3081"/>
        <w:gridCol w:w="6162"/>
      </w:tblGrid>
      <w:tr w:rsidR="006F5A04" w:rsidRPr="009C5F11" w14:paraId="318F34CB" w14:textId="77777777" w:rsidTr="00627F78">
        <w:tc>
          <w:tcPr>
            <w:tcW w:w="3081" w:type="dxa"/>
            <w:shd w:val="clear" w:color="auto" w:fill="000080"/>
          </w:tcPr>
          <w:p w14:paraId="7D00E8F2" w14:textId="77777777" w:rsidR="006F5A04" w:rsidRPr="009C5F11" w:rsidRDefault="006F5A04" w:rsidP="00E92437">
            <w:pPr>
              <w:jc w:val="center"/>
              <w:rPr>
                <w:rFonts w:ascii="Times New Roman" w:hAnsi="Times New Roman" w:cs="Times New Roman"/>
                <w:b/>
                <w:color w:val="FFFFFF" w:themeColor="background1"/>
                <w:sz w:val="20"/>
                <w:szCs w:val="16"/>
                <w:lang w:val="ro-RO"/>
              </w:rPr>
            </w:pPr>
            <w:r w:rsidRPr="009C5F11">
              <w:rPr>
                <w:rFonts w:ascii="Times New Roman" w:hAnsi="Times New Roman" w:cs="Times New Roman"/>
                <w:b/>
                <w:color w:val="FFFFFF" w:themeColor="background1"/>
                <w:sz w:val="20"/>
                <w:szCs w:val="16"/>
                <w:lang w:val="ro-RO"/>
              </w:rPr>
              <w:t>Activităţi planificate</w:t>
            </w:r>
          </w:p>
        </w:tc>
        <w:tc>
          <w:tcPr>
            <w:tcW w:w="6162" w:type="dxa"/>
            <w:shd w:val="clear" w:color="auto" w:fill="000080"/>
          </w:tcPr>
          <w:p w14:paraId="26F574D1" w14:textId="77777777" w:rsidR="006F5A04" w:rsidRPr="009C5F11" w:rsidRDefault="006F5A04" w:rsidP="00E92437">
            <w:pPr>
              <w:jc w:val="center"/>
              <w:rPr>
                <w:rFonts w:ascii="Times New Roman" w:hAnsi="Times New Roman" w:cs="Times New Roman"/>
                <w:b/>
                <w:color w:val="FFFFFF" w:themeColor="background1"/>
                <w:sz w:val="20"/>
                <w:szCs w:val="16"/>
                <w:lang w:val="ro-RO"/>
              </w:rPr>
            </w:pPr>
            <w:r w:rsidRPr="009C5F11">
              <w:rPr>
                <w:rFonts w:ascii="Times New Roman" w:hAnsi="Times New Roman" w:cs="Times New Roman"/>
                <w:b/>
                <w:color w:val="FFFFFF" w:themeColor="background1"/>
                <w:sz w:val="20"/>
                <w:szCs w:val="16"/>
                <w:lang w:val="ro-RO"/>
              </w:rPr>
              <w:t>Activităţi realizate</w:t>
            </w:r>
          </w:p>
        </w:tc>
      </w:tr>
      <w:tr w:rsidR="006F5A04" w:rsidRPr="009C5F11" w14:paraId="0F862170" w14:textId="77777777" w:rsidTr="00430626">
        <w:tc>
          <w:tcPr>
            <w:tcW w:w="3081" w:type="dxa"/>
            <w:shd w:val="clear" w:color="auto" w:fill="auto"/>
          </w:tcPr>
          <w:p w14:paraId="5DE9126E"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lang w:val="ro-RO"/>
              </w:rPr>
              <w:t>Instruirea şi autorizarea a 100 de auditori energetici (30 în 2013, 30 – în 2014 şi 40 – în 2015)</w:t>
            </w:r>
          </w:p>
        </w:tc>
        <w:tc>
          <w:tcPr>
            <w:tcW w:w="6162" w:type="dxa"/>
            <w:shd w:val="clear" w:color="auto" w:fill="auto"/>
          </w:tcPr>
          <w:p w14:paraId="5174F920" w14:textId="77777777" w:rsidR="006F5A04" w:rsidRPr="009C5F11" w:rsidRDefault="006F5A04" w:rsidP="006F5A04">
            <w:pPr>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În 2013, din cei 133 de participanţi la instruire în domeniul auditului energetic 55 de persoane au finalizat cursul cu succes şi au fost autorizate. În 2014 au fost autorizaţi suplimentar 40 de auditori, inclusiv 15 persoane juridice şi 25 de persoane fizice. </w:t>
            </w:r>
          </w:p>
        </w:tc>
      </w:tr>
      <w:tr w:rsidR="006F5A04" w:rsidRPr="009C5F11" w14:paraId="5C44082A" w14:textId="77777777" w:rsidTr="00430626">
        <w:tc>
          <w:tcPr>
            <w:tcW w:w="3081" w:type="dxa"/>
            <w:shd w:val="clear" w:color="auto" w:fill="auto"/>
          </w:tcPr>
          <w:p w14:paraId="27BD6CE0"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lang w:val="ro-RO"/>
              </w:rPr>
              <w:t>Elaborarea unui registru electronic şi pe suport de hârtie pentru audituri energetice</w:t>
            </w:r>
          </w:p>
        </w:tc>
        <w:tc>
          <w:tcPr>
            <w:tcW w:w="6162" w:type="dxa"/>
            <w:shd w:val="clear" w:color="auto" w:fill="auto"/>
          </w:tcPr>
          <w:p w14:paraId="2906A724"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lang w:val="ro-RO"/>
              </w:rPr>
              <w:t>Registrul electronic este în curs de elaborare din 2014. Actualmente, baza de date este în proces de creare, fiind recepţionate rapoartele de audit.</w:t>
            </w:r>
          </w:p>
          <w:p w14:paraId="7F46DAC7"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lang w:val="ro-RO"/>
              </w:rPr>
              <w:t>Datele disponibile se referă, în principiu, la clădirile publice. Audituri energetice în companii: MoSEFF, NCPP</w:t>
            </w:r>
          </w:p>
        </w:tc>
      </w:tr>
      <w:tr w:rsidR="006F5A04" w:rsidRPr="009C5F11" w14:paraId="114CE405" w14:textId="77777777" w:rsidTr="00430626">
        <w:tc>
          <w:tcPr>
            <w:tcW w:w="3081" w:type="dxa"/>
            <w:shd w:val="clear" w:color="auto" w:fill="auto"/>
          </w:tcPr>
          <w:p w14:paraId="38FA2779"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lang w:val="ro-RO"/>
              </w:rPr>
              <w:t>Elaborarea unui registru electronic şi pe suport de hârtie pentru auditori energetici</w:t>
            </w:r>
          </w:p>
        </w:tc>
        <w:tc>
          <w:tcPr>
            <w:tcW w:w="6162" w:type="dxa"/>
            <w:shd w:val="clear" w:color="auto" w:fill="auto"/>
          </w:tcPr>
          <w:p w14:paraId="6FC91C3B"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lang w:val="ro-RO"/>
              </w:rPr>
              <w:t>A fost creat şi este disponibil on-line.</w:t>
            </w:r>
          </w:p>
        </w:tc>
      </w:tr>
      <w:tr w:rsidR="006F5A04" w:rsidRPr="009C5F11" w14:paraId="73C1D452" w14:textId="77777777" w:rsidTr="00430626">
        <w:tc>
          <w:tcPr>
            <w:tcW w:w="3081" w:type="dxa"/>
            <w:shd w:val="clear" w:color="auto" w:fill="auto"/>
          </w:tcPr>
          <w:p w14:paraId="4DD44C89"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lang w:val="ro-RO"/>
              </w:rPr>
              <w:t>Efectuarea de audituri energetice în sectorul public</w:t>
            </w:r>
          </w:p>
        </w:tc>
        <w:tc>
          <w:tcPr>
            <w:tcW w:w="6162" w:type="dxa"/>
            <w:shd w:val="clear" w:color="auto" w:fill="auto"/>
          </w:tcPr>
          <w:p w14:paraId="648910DD"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lang w:val="ro-RO"/>
              </w:rPr>
              <w:t>Numărul de audituri şi economiile estimate de energie în sectorul public urmează să fie asigurate de AEE</w:t>
            </w:r>
          </w:p>
          <w:p w14:paraId="7958DA1B" w14:textId="77777777" w:rsidR="006F5A04" w:rsidRPr="009C5F11" w:rsidRDefault="006F5A04" w:rsidP="00E92437">
            <w:pPr>
              <w:rPr>
                <w:rFonts w:ascii="Times New Roman" w:hAnsi="Times New Roman" w:cs="Times New Roman"/>
                <w:sz w:val="20"/>
                <w:szCs w:val="16"/>
                <w:u w:val="single"/>
                <w:lang w:val="ro-RO"/>
              </w:rPr>
            </w:pPr>
            <w:r w:rsidRPr="009C5F11">
              <w:rPr>
                <w:rFonts w:ascii="Times New Roman" w:hAnsi="Times New Roman" w:cs="Times New Roman"/>
                <w:sz w:val="20"/>
                <w:szCs w:val="16"/>
                <w:u w:val="single"/>
                <w:lang w:val="ro-RO"/>
              </w:rPr>
              <w:t>MoREEFF (sectorul non-public)</w:t>
            </w:r>
            <w:r w:rsidRPr="009C5F11">
              <w:rPr>
                <w:rFonts w:ascii="Times New Roman" w:hAnsi="Times New Roman" w:cs="Times New Roman"/>
                <w:sz w:val="20"/>
                <w:szCs w:val="16"/>
                <w:lang w:val="ro-RO"/>
              </w:rPr>
              <w:t xml:space="preserve">: deocamdată, nu au fost efectuate audituri energetice </w:t>
            </w:r>
          </w:p>
          <w:p w14:paraId="60B42642"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u w:val="single"/>
                <w:lang w:val="ro-RO"/>
              </w:rPr>
              <w:t>MoSEFF</w:t>
            </w:r>
            <w:r w:rsidRPr="009C5F11">
              <w:rPr>
                <w:rFonts w:ascii="Times New Roman" w:hAnsi="Times New Roman" w:cs="Times New Roman"/>
                <w:sz w:val="20"/>
                <w:szCs w:val="16"/>
                <w:lang w:val="ro-RO"/>
              </w:rPr>
              <w:t xml:space="preserve"> (companii, sectorul non-public ):</w:t>
            </w:r>
          </w:p>
          <w:p w14:paraId="7A2C93E8"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2013 - 46 companii </w:t>
            </w:r>
          </w:p>
          <w:p w14:paraId="1B3314A2"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2015 – 4 companii </w:t>
            </w:r>
          </w:p>
          <w:p w14:paraId="11AB4D51" w14:textId="77777777" w:rsidR="006F5A04" w:rsidRPr="009C5F11" w:rsidRDefault="006F5A04" w:rsidP="00E92437">
            <w:pPr>
              <w:rPr>
                <w:rFonts w:ascii="Times New Roman" w:hAnsi="Times New Roman" w:cs="Times New Roman"/>
                <w:sz w:val="20"/>
                <w:szCs w:val="16"/>
                <w:lang w:val="ro-RO"/>
              </w:rPr>
            </w:pPr>
            <w:r w:rsidRPr="009C5F11">
              <w:rPr>
                <w:rFonts w:ascii="Times New Roman" w:hAnsi="Times New Roman" w:cs="Times New Roman"/>
                <w:sz w:val="20"/>
                <w:szCs w:val="16"/>
                <w:u w:val="single"/>
                <w:lang w:val="ro-RO"/>
              </w:rPr>
              <w:t>NCPP</w:t>
            </w:r>
            <w:r w:rsidRPr="009C5F11">
              <w:rPr>
                <w:rFonts w:ascii="Times New Roman" w:hAnsi="Times New Roman" w:cs="Times New Roman"/>
                <w:sz w:val="20"/>
                <w:szCs w:val="16"/>
                <w:lang w:val="ro-RO"/>
              </w:rPr>
              <w:t>: 24 instituţii publice şi 20 companii (evaluare la scară completă), 113 companii – autoevaluare (replicare).</w:t>
            </w:r>
          </w:p>
        </w:tc>
      </w:tr>
      <w:tr w:rsidR="00BC2ED4" w:rsidRPr="009C5F11" w14:paraId="75611F05" w14:textId="77777777" w:rsidTr="00430626">
        <w:tc>
          <w:tcPr>
            <w:tcW w:w="3081" w:type="dxa"/>
            <w:shd w:val="clear" w:color="auto" w:fill="auto"/>
          </w:tcPr>
          <w:p w14:paraId="6DFB3AF5" w14:textId="77777777" w:rsidR="00BC2ED4" w:rsidRPr="009C5F11" w:rsidRDefault="006F5A04" w:rsidP="006F5A04">
            <w:pPr>
              <w:spacing w:after="0"/>
              <w:rPr>
                <w:rFonts w:ascii="Times New Roman" w:hAnsi="Times New Roman" w:cs="Times New Roman"/>
                <w:sz w:val="20"/>
                <w:szCs w:val="16"/>
                <w:lang w:val="ro-RO"/>
              </w:rPr>
            </w:pPr>
            <w:r w:rsidRPr="009C5F11">
              <w:rPr>
                <w:rFonts w:ascii="Times New Roman" w:hAnsi="Times New Roman" w:cs="Times New Roman"/>
                <w:sz w:val="20"/>
                <w:szCs w:val="16"/>
                <w:lang w:val="ro-RO"/>
              </w:rPr>
              <w:t>Acordarea de orientări pentru toate sectoarele din economia naţională</w:t>
            </w:r>
          </w:p>
        </w:tc>
        <w:tc>
          <w:tcPr>
            <w:tcW w:w="6162" w:type="dxa"/>
            <w:shd w:val="clear" w:color="auto" w:fill="auto"/>
          </w:tcPr>
          <w:p w14:paraId="5A11BBDE" w14:textId="77777777" w:rsidR="00BC2ED4" w:rsidRPr="009C5F11" w:rsidRDefault="00BC2ED4" w:rsidP="00430626">
            <w:pPr>
              <w:rPr>
                <w:rFonts w:ascii="Times New Roman" w:hAnsi="Times New Roman" w:cs="Times New Roman"/>
                <w:sz w:val="20"/>
                <w:szCs w:val="16"/>
                <w:lang w:val="ro-RO"/>
              </w:rPr>
            </w:pPr>
          </w:p>
        </w:tc>
      </w:tr>
    </w:tbl>
    <w:p w14:paraId="556F5D20" w14:textId="639915E2" w:rsidR="00DB6C2C" w:rsidRPr="009C5F11" w:rsidRDefault="006F5A04"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 xml:space="preserve">Managementul energetic la nivelul autorităţilor publice locale este indicat </w:t>
      </w:r>
      <w:r w:rsidR="00194BDD" w:rsidRPr="009C5F11">
        <w:rPr>
          <w:rFonts w:ascii="Times New Roman" w:hAnsi="Times New Roman" w:cs="Times New Roman"/>
          <w:sz w:val="24"/>
          <w:lang w:val="ro-RO"/>
        </w:rPr>
        <w:t>de</w:t>
      </w:r>
      <w:r w:rsidRPr="009C5F11">
        <w:rPr>
          <w:rFonts w:ascii="Times New Roman" w:hAnsi="Times New Roman" w:cs="Times New Roman"/>
          <w:sz w:val="24"/>
          <w:lang w:val="ro-RO"/>
        </w:rPr>
        <w:t xml:space="preserve"> Măsura 107 PNAEE 2013-2015. Acţiunea a fost preconizată pentru perioada ianuarie 2013 – ianuarie 2015 şi a inclus instruirea a 35 de manageri energetici desemnaţi de APL: instruirea a 29 de manageri energetici a fost finalizată în 2013, iar până la încheierea anului 2014</w:t>
      </w:r>
      <w:r w:rsidR="00194BDD"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35 de manageri energetici au fost instruiţi pe aspecte ale cadrului juridic şi regulatoriu pentru auditul energetic, utilizarea biomasei, producerea biogazului, utilizarea instrumentelor de </w:t>
      </w:r>
      <w:r w:rsidRPr="009C5F11">
        <w:rPr>
          <w:rFonts w:ascii="Times New Roman" w:hAnsi="Times New Roman" w:cs="Times New Roman"/>
          <w:sz w:val="24"/>
          <w:lang w:val="ro-RO"/>
        </w:rPr>
        <w:lastRenderedPageBreak/>
        <w:t xml:space="preserve">finanţare a măsurilor de eficienţă energetică şi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etc.</w:t>
      </w:r>
      <w:r w:rsidR="00BC2ED4"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 xml:space="preserve">Mai multe detalii sunt indicate </w:t>
      </w:r>
      <w:r w:rsidR="00321CD5" w:rsidRPr="009C5F11">
        <w:rPr>
          <w:rFonts w:ascii="Times New Roman" w:eastAsia="Calibri" w:hAnsi="Times New Roman" w:cs="Times New Roman"/>
          <w:sz w:val="24"/>
          <w:lang w:val="ro-RO"/>
        </w:rPr>
        <w:t xml:space="preserve">în </w:t>
      </w:r>
      <w:r w:rsidR="003A6ADB" w:rsidRPr="009C5F11">
        <w:rPr>
          <w:rFonts w:ascii="Times New Roman" w:eastAsia="Calibri" w:hAnsi="Times New Roman" w:cs="Times New Roman"/>
          <w:sz w:val="24"/>
          <w:lang w:val="ro-RO"/>
        </w:rPr>
        <w:fldChar w:fldCharType="begin"/>
      </w:r>
      <w:r w:rsidR="00F72CFA" w:rsidRPr="009C5F11">
        <w:rPr>
          <w:rFonts w:ascii="Times New Roman" w:eastAsia="Calibri" w:hAnsi="Times New Roman" w:cs="Times New Roman"/>
          <w:sz w:val="24"/>
          <w:lang w:val="ro-RO"/>
        </w:rPr>
        <w:instrText xml:space="preserve"> REF _Ref319628860 \h </w:instrText>
      </w:r>
      <w:r w:rsidR="009C5F11" w:rsidRPr="009C5F11">
        <w:rPr>
          <w:rFonts w:ascii="Times New Roman" w:eastAsia="Calibri" w:hAnsi="Times New Roman" w:cs="Times New Roman"/>
          <w:sz w:val="24"/>
          <w:lang w:val="ro-RO"/>
        </w:rPr>
        <w:instrText xml:space="preserve"> \* MERGEFORMAT </w:instrText>
      </w:r>
      <w:r w:rsidR="003A6ADB" w:rsidRPr="009C5F11">
        <w:rPr>
          <w:rFonts w:ascii="Times New Roman" w:eastAsia="Calibri" w:hAnsi="Times New Roman" w:cs="Times New Roman"/>
          <w:sz w:val="24"/>
          <w:lang w:val="ro-RO"/>
        </w:rPr>
      </w:r>
      <w:r w:rsidR="003A6ADB" w:rsidRPr="009C5F11">
        <w:rPr>
          <w:rFonts w:ascii="Times New Roman" w:eastAsia="Calibri" w:hAnsi="Times New Roman" w:cs="Times New Roman"/>
          <w:sz w:val="24"/>
          <w:lang w:val="ro-RO"/>
        </w:rPr>
        <w:fldChar w:fldCharType="separate"/>
      </w:r>
      <w:r w:rsidR="0014013D" w:rsidRPr="0014013D">
        <w:rPr>
          <w:rFonts w:ascii="Times New Roman" w:hAnsi="Times New Roman" w:cs="Times New Roman"/>
          <w:sz w:val="24"/>
          <w:lang w:val="ro-RO"/>
        </w:rPr>
        <w:t>Tabelul 29</w:t>
      </w:r>
      <w:r w:rsidR="003A6ADB" w:rsidRPr="009C5F11">
        <w:rPr>
          <w:rFonts w:ascii="Times New Roman" w:eastAsia="Calibri" w:hAnsi="Times New Roman" w:cs="Times New Roman"/>
          <w:sz w:val="24"/>
          <w:lang w:val="ro-RO"/>
        </w:rPr>
        <w:fldChar w:fldCharType="end"/>
      </w:r>
      <w:r w:rsidR="00321CD5" w:rsidRPr="009C5F11">
        <w:rPr>
          <w:rFonts w:ascii="Times New Roman" w:eastAsia="Calibri" w:hAnsi="Times New Roman" w:cs="Times New Roman"/>
          <w:sz w:val="24"/>
          <w:lang w:val="ro-RO"/>
        </w:rPr>
        <w:t xml:space="preserve"> şi </w:t>
      </w:r>
      <w:r w:rsidR="003A6ADB" w:rsidRPr="009C5F11">
        <w:rPr>
          <w:rFonts w:ascii="Times New Roman" w:eastAsia="Calibri" w:hAnsi="Times New Roman" w:cs="Times New Roman"/>
          <w:sz w:val="24"/>
          <w:lang w:val="ro-RO"/>
        </w:rPr>
        <w:fldChar w:fldCharType="begin"/>
      </w:r>
      <w:r w:rsidR="00F72CFA" w:rsidRPr="009C5F11">
        <w:rPr>
          <w:rFonts w:ascii="Times New Roman" w:eastAsia="Calibri" w:hAnsi="Times New Roman" w:cs="Times New Roman"/>
          <w:sz w:val="24"/>
          <w:lang w:val="ro-RO"/>
        </w:rPr>
        <w:instrText xml:space="preserve"> REF _Ref319685618 \h </w:instrText>
      </w:r>
      <w:r w:rsidR="009C5F11" w:rsidRPr="009C5F11">
        <w:rPr>
          <w:rFonts w:ascii="Times New Roman" w:eastAsia="Calibri" w:hAnsi="Times New Roman" w:cs="Times New Roman"/>
          <w:sz w:val="24"/>
          <w:lang w:val="ro-RO"/>
        </w:rPr>
        <w:instrText xml:space="preserve"> \* MERGEFORMAT </w:instrText>
      </w:r>
      <w:r w:rsidR="003A6ADB" w:rsidRPr="009C5F11">
        <w:rPr>
          <w:rFonts w:ascii="Times New Roman" w:eastAsia="Calibri" w:hAnsi="Times New Roman" w:cs="Times New Roman"/>
          <w:sz w:val="24"/>
          <w:lang w:val="ro-RO"/>
        </w:rPr>
      </w:r>
      <w:r w:rsidR="003A6ADB" w:rsidRPr="009C5F11">
        <w:rPr>
          <w:rFonts w:ascii="Times New Roman" w:eastAsia="Calibri" w:hAnsi="Times New Roman" w:cs="Times New Roman"/>
          <w:sz w:val="24"/>
          <w:lang w:val="ro-RO"/>
        </w:rPr>
        <w:fldChar w:fldCharType="separate"/>
      </w:r>
      <w:r w:rsidR="0014013D" w:rsidRPr="0014013D">
        <w:rPr>
          <w:rFonts w:ascii="Times New Roman" w:hAnsi="Times New Roman" w:cs="Times New Roman"/>
          <w:sz w:val="24"/>
          <w:lang w:val="ro-RO"/>
        </w:rPr>
        <w:t>Tabelul 31</w:t>
      </w:r>
      <w:r w:rsidR="003A6ADB" w:rsidRPr="009C5F11">
        <w:rPr>
          <w:rFonts w:ascii="Times New Roman" w:eastAsia="Calibri" w:hAnsi="Times New Roman" w:cs="Times New Roman"/>
          <w:sz w:val="24"/>
          <w:lang w:val="ro-RO"/>
        </w:rPr>
        <w:fldChar w:fldCharType="end"/>
      </w:r>
      <w:r w:rsidR="00BC2ED4" w:rsidRPr="009C5F11">
        <w:rPr>
          <w:rFonts w:ascii="Times New Roman" w:eastAsia="Calibri" w:hAnsi="Times New Roman" w:cs="Times New Roman"/>
          <w:sz w:val="24"/>
          <w:lang w:val="ro-RO"/>
        </w:rPr>
        <w:t>.</w:t>
      </w:r>
    </w:p>
    <w:p w14:paraId="739D376E" w14:textId="2C547270" w:rsidR="00BC2ED4" w:rsidRPr="009C5F11" w:rsidRDefault="006F5A04"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 xml:space="preserve">Datele înregistrate de AEE indică circa 2404 de proiecte implementate în perioada 2014-2015, doar câteva </w:t>
      </w:r>
      <w:r w:rsidR="00194BDD" w:rsidRPr="009C5F11">
        <w:rPr>
          <w:rFonts w:ascii="Times New Roman" w:hAnsi="Times New Roman" w:cs="Times New Roman"/>
          <w:sz w:val="24"/>
          <w:lang w:val="ro-RO"/>
        </w:rPr>
        <w:t xml:space="preserve">proiecte implementate </w:t>
      </w:r>
      <w:r w:rsidRPr="009C5F11">
        <w:rPr>
          <w:rFonts w:ascii="Times New Roman" w:hAnsi="Times New Roman" w:cs="Times New Roman"/>
          <w:sz w:val="24"/>
          <w:lang w:val="ro-RO"/>
        </w:rPr>
        <w:t xml:space="preserve">în 2013 cu rezultate tangibile în 2014-2015, preponderent, în 2015. În anul 2014 </w:t>
      </w:r>
      <w:r w:rsidR="00194BDD" w:rsidRPr="009C5F11">
        <w:rPr>
          <w:rFonts w:ascii="Times New Roman" w:hAnsi="Times New Roman" w:cs="Times New Roman"/>
          <w:sz w:val="24"/>
          <w:lang w:val="ro-RO"/>
        </w:rPr>
        <w:t xml:space="preserve">au fost elaborate </w:t>
      </w:r>
      <w:r w:rsidRPr="009C5F11">
        <w:rPr>
          <w:rFonts w:ascii="Times New Roman" w:hAnsi="Times New Roman" w:cs="Times New Roman"/>
          <w:sz w:val="24"/>
          <w:lang w:val="ro-RO"/>
        </w:rPr>
        <w:t xml:space="preserve">peste 200 de rapoarte de audit energetic, fapt ce a permis depunerea a 158 de dosare în cadrul APP3 lansat de Fondul pentru Eficienţă Energetică în vederea accesării </w:t>
      </w:r>
      <w:r w:rsidR="00194BDD" w:rsidRPr="009C5F11">
        <w:rPr>
          <w:rFonts w:ascii="Times New Roman" w:hAnsi="Times New Roman" w:cs="Times New Roman"/>
          <w:sz w:val="24"/>
          <w:lang w:val="ro-RO"/>
        </w:rPr>
        <w:t>mijloacel</w:t>
      </w:r>
      <w:r w:rsidRPr="009C5F11">
        <w:rPr>
          <w:rFonts w:ascii="Times New Roman" w:hAnsi="Times New Roman" w:cs="Times New Roman"/>
          <w:sz w:val="24"/>
          <w:lang w:val="ro-RO"/>
        </w:rPr>
        <w:t xml:space="preserve">or pentru diverse proiecte de eficienţă energetică şi </w:t>
      </w:r>
      <w:r w:rsidR="00194BDD" w:rsidRPr="009C5F11">
        <w:rPr>
          <w:rFonts w:ascii="Times New Roman" w:hAnsi="Times New Roman" w:cs="Times New Roman"/>
          <w:sz w:val="24"/>
          <w:lang w:val="ro-RO"/>
        </w:rPr>
        <w:t>valorificare</w:t>
      </w:r>
      <w:r w:rsidRPr="009C5F11">
        <w:rPr>
          <w:rFonts w:ascii="Times New Roman" w:hAnsi="Times New Roman" w:cs="Times New Roman"/>
          <w:sz w:val="24"/>
          <w:lang w:val="ro-RO"/>
        </w:rPr>
        <w:t xml:space="preserve"> a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De asemenea, au fost realizate audituri energetice pentru 45 de instituţii culturale, finanţate de Agenţia pentru Eficienţă Energetică în scopul identificării donatorilor pentru pachetele </w:t>
      </w:r>
      <w:r w:rsidR="00194BDD" w:rsidRPr="009C5F11">
        <w:rPr>
          <w:rFonts w:ascii="Times New Roman" w:hAnsi="Times New Roman" w:cs="Times New Roman"/>
          <w:sz w:val="24"/>
          <w:lang w:val="ro-RO"/>
        </w:rPr>
        <w:t>respective.</w:t>
      </w:r>
      <w:r w:rsidR="00BC2ED4" w:rsidRPr="009C5F11">
        <w:rPr>
          <w:rFonts w:ascii="Times New Roman" w:eastAsia="Calibri" w:hAnsi="Times New Roman" w:cs="Times New Roman"/>
          <w:sz w:val="24"/>
          <w:lang w:val="ro-RO"/>
        </w:rPr>
        <w:t xml:space="preserve"> </w:t>
      </w:r>
    </w:p>
    <w:p w14:paraId="7164767C" w14:textId="77777777" w:rsidR="00BC2ED4" w:rsidRPr="009C5F11" w:rsidRDefault="006F5A04" w:rsidP="00AC4290">
      <w:pPr>
        <w:tabs>
          <w:tab w:val="left" w:pos="0"/>
        </w:tabs>
        <w:spacing w:before="120" w:after="120" w:line="240" w:lineRule="auto"/>
        <w:jc w:val="both"/>
        <w:rPr>
          <w:rFonts w:ascii="Times New Roman" w:eastAsia="Calibri" w:hAnsi="Times New Roman" w:cs="Times New Roman"/>
          <w:sz w:val="24"/>
          <w:lang w:val="ro-RO"/>
        </w:rPr>
      </w:pPr>
      <w:r w:rsidRPr="009C5F11">
        <w:rPr>
          <w:rFonts w:ascii="Times New Roman" w:hAnsi="Times New Roman" w:cs="Times New Roman"/>
          <w:sz w:val="24"/>
          <w:lang w:val="ro-RO"/>
        </w:rPr>
        <w:t>Primăria Chișinău a elaborat audituri energetice pentru 9 clădiri în cadrul programului CIUDAD</w:t>
      </w:r>
      <w:r w:rsidR="00BC2ED4" w:rsidRPr="009C5F11">
        <w:rPr>
          <w:rFonts w:ascii="Times New Roman" w:eastAsia="Calibri" w:hAnsi="Times New Roman" w:cs="Times New Roman"/>
          <w:sz w:val="24"/>
          <w:lang w:val="ro-RO"/>
        </w:rPr>
        <w:t>.</w:t>
      </w:r>
    </w:p>
    <w:p w14:paraId="3622793F" w14:textId="77777777" w:rsidR="00717935" w:rsidRPr="009C5F11" w:rsidRDefault="00717935" w:rsidP="00AC4290">
      <w:pPr>
        <w:tabs>
          <w:tab w:val="left" w:pos="0"/>
        </w:tabs>
        <w:spacing w:before="120" w:after="120" w:line="240" w:lineRule="auto"/>
        <w:jc w:val="both"/>
        <w:rPr>
          <w:rFonts w:ascii="Times New Roman" w:eastAsia="Calibri" w:hAnsi="Times New Roman" w:cs="Times New Roman"/>
          <w:sz w:val="24"/>
          <w:lang w:val="ro-RO"/>
        </w:rPr>
      </w:pPr>
    </w:p>
    <w:p w14:paraId="639225A6" w14:textId="77777777" w:rsidR="00BC2ED4" w:rsidRPr="00D9464A" w:rsidRDefault="008C1627" w:rsidP="00011E60">
      <w:pPr>
        <w:pStyle w:val="Titlu3"/>
        <w:rPr>
          <w:rFonts w:ascii="Times New Roman" w:hAnsi="Times New Roman" w:cs="Times New Roman"/>
          <w:b/>
          <w:color w:val="000000" w:themeColor="text1"/>
          <w:sz w:val="28"/>
          <w:lang w:val="ro-RO"/>
        </w:rPr>
      </w:pPr>
      <w:bookmarkStart w:id="361" w:name="_Toc314361419"/>
      <w:bookmarkStart w:id="362" w:name="_Toc322013201"/>
      <w:bookmarkStart w:id="363" w:name="_Toc319555442"/>
      <w:r w:rsidRPr="00D9464A">
        <w:rPr>
          <w:rFonts w:ascii="Times New Roman" w:hAnsi="Times New Roman" w:cs="Times New Roman"/>
          <w:b/>
          <w:color w:val="000000" w:themeColor="text1"/>
          <w:sz w:val="28"/>
          <w:lang w:val="ro-RO"/>
        </w:rPr>
        <w:t>N</w:t>
      </w:r>
      <w:r w:rsidR="006F5A04" w:rsidRPr="00D9464A">
        <w:rPr>
          <w:rFonts w:ascii="Times New Roman" w:hAnsi="Times New Roman" w:cs="Times New Roman"/>
          <w:b/>
          <w:color w:val="000000" w:themeColor="text1"/>
          <w:sz w:val="28"/>
          <w:lang w:val="ro-RO"/>
        </w:rPr>
        <w:t xml:space="preserve">umărul total de companii mari pe teritoriul </w:t>
      </w:r>
      <w:r w:rsidRPr="00D9464A">
        <w:rPr>
          <w:rFonts w:ascii="Times New Roman" w:hAnsi="Times New Roman" w:cs="Times New Roman"/>
          <w:b/>
          <w:color w:val="000000" w:themeColor="text1"/>
          <w:sz w:val="28"/>
          <w:lang w:val="ro-RO"/>
        </w:rPr>
        <w:t>Republicii Moldova</w:t>
      </w:r>
      <w:bookmarkEnd w:id="361"/>
      <w:bookmarkEnd w:id="362"/>
      <w:r w:rsidR="006F5A04" w:rsidRPr="00D9464A">
        <w:rPr>
          <w:rFonts w:ascii="Times New Roman" w:hAnsi="Times New Roman" w:cs="Times New Roman"/>
          <w:b/>
          <w:color w:val="000000" w:themeColor="text1"/>
          <w:sz w:val="28"/>
          <w:lang w:val="ro-RO"/>
        </w:rPr>
        <w:t xml:space="preserve"> </w:t>
      </w:r>
      <w:bookmarkEnd w:id="363"/>
    </w:p>
    <w:p w14:paraId="52153C51" w14:textId="02E977D1" w:rsidR="00DB6C2C" w:rsidRPr="009C5F11" w:rsidRDefault="006F5A04"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 xml:space="preserve">Calculele din </w:t>
      </w:r>
      <w:r w:rsidR="003A6ADB" w:rsidRPr="009C5F11">
        <w:rPr>
          <w:rFonts w:ascii="Times New Roman" w:eastAsia="Calibri" w:hAnsi="Times New Roman" w:cs="Times New Roman"/>
          <w:sz w:val="24"/>
          <w:lang w:val="ro-RO"/>
        </w:rPr>
        <w:fldChar w:fldCharType="begin"/>
      </w:r>
      <w:r w:rsidRPr="009C5F11">
        <w:rPr>
          <w:rFonts w:ascii="Times New Roman" w:eastAsia="Calibri" w:hAnsi="Times New Roman" w:cs="Times New Roman"/>
          <w:sz w:val="24"/>
          <w:lang w:val="ro-RO"/>
        </w:rPr>
        <w:instrText xml:space="preserve"> REF _Ref319685787 \h </w:instrText>
      </w:r>
      <w:r w:rsidR="009C5F11" w:rsidRPr="009C5F11">
        <w:rPr>
          <w:rFonts w:ascii="Times New Roman" w:eastAsia="Calibri" w:hAnsi="Times New Roman" w:cs="Times New Roman"/>
          <w:sz w:val="24"/>
          <w:lang w:val="ro-RO"/>
        </w:rPr>
        <w:instrText xml:space="preserve"> \* MERGEFORMAT </w:instrText>
      </w:r>
      <w:r w:rsidR="003A6ADB" w:rsidRPr="009C5F11">
        <w:rPr>
          <w:rFonts w:ascii="Times New Roman" w:eastAsia="Calibri" w:hAnsi="Times New Roman" w:cs="Times New Roman"/>
          <w:sz w:val="24"/>
          <w:lang w:val="ro-RO"/>
        </w:rPr>
      </w:r>
      <w:r w:rsidR="003A6ADB" w:rsidRPr="009C5F11">
        <w:rPr>
          <w:rFonts w:ascii="Times New Roman" w:eastAsia="Calibri" w:hAnsi="Times New Roman" w:cs="Times New Roman"/>
          <w:sz w:val="24"/>
          <w:lang w:val="ro-RO"/>
        </w:rPr>
        <w:fldChar w:fldCharType="separate"/>
      </w:r>
      <w:r w:rsidR="0014013D" w:rsidRPr="0014013D">
        <w:rPr>
          <w:rFonts w:ascii="Times New Roman" w:hAnsi="Times New Roman" w:cs="Times New Roman"/>
          <w:sz w:val="24"/>
          <w:lang w:val="ro-RO"/>
        </w:rPr>
        <w:t>Tabelul 39</w:t>
      </w:r>
      <w:r w:rsidR="003A6ADB" w:rsidRPr="009C5F11">
        <w:rPr>
          <w:rFonts w:ascii="Times New Roman" w:eastAsia="Calibri" w:hAnsi="Times New Roman" w:cs="Times New Roman"/>
          <w:sz w:val="24"/>
          <w:lang w:val="ro-RO"/>
        </w:rPr>
        <w:fldChar w:fldCharType="end"/>
      </w:r>
      <w:r w:rsidRPr="009C5F11">
        <w:rPr>
          <w:rFonts w:ascii="Times New Roman" w:eastAsia="Calibri" w:hAnsi="Times New Roman" w:cs="Times New Roman"/>
          <w:sz w:val="24"/>
          <w:lang w:val="ro-RO"/>
        </w:rPr>
        <w:t xml:space="preserve"> </w:t>
      </w:r>
      <w:r w:rsidRPr="009C5F11">
        <w:rPr>
          <w:rFonts w:ascii="Times New Roman" w:hAnsi="Times New Roman" w:cs="Times New Roman"/>
          <w:sz w:val="24"/>
          <w:lang w:val="ro-RO"/>
        </w:rPr>
        <w:t>sunt efectuate pe baza datelor Studiul</w:t>
      </w:r>
      <w:r w:rsidR="00273CDE" w:rsidRPr="009C5F11">
        <w:rPr>
          <w:rFonts w:ascii="Times New Roman" w:hAnsi="Times New Roman" w:cs="Times New Roman"/>
          <w:sz w:val="24"/>
          <w:lang w:val="ro-RO"/>
        </w:rPr>
        <w:t>ui</w:t>
      </w:r>
      <w:r w:rsidRPr="009C5F11">
        <w:rPr>
          <w:rFonts w:ascii="Times New Roman" w:hAnsi="Times New Roman" w:cs="Times New Roman"/>
          <w:sz w:val="24"/>
          <w:lang w:val="ro-RO"/>
        </w:rPr>
        <w:t xml:space="preserve"> </w:t>
      </w:r>
      <w:r w:rsidRPr="009C5F11">
        <w:rPr>
          <w:rFonts w:ascii="Times New Roman" w:hAnsi="Times New Roman" w:cs="Times New Roman"/>
          <w:i/>
          <w:sz w:val="24"/>
          <w:lang w:val="ro-RO"/>
        </w:rPr>
        <w:t>“Activitate</w:t>
      </w:r>
      <w:r w:rsidR="00143C98" w:rsidRPr="009C5F11">
        <w:rPr>
          <w:rFonts w:ascii="Times New Roman" w:hAnsi="Times New Roman" w:cs="Times New Roman"/>
          <w:i/>
          <w:sz w:val="24"/>
          <w:lang w:val="ro-RO"/>
        </w:rPr>
        <w:t>a</w:t>
      </w:r>
      <w:r w:rsidRPr="009C5F11">
        <w:rPr>
          <w:rFonts w:ascii="Times New Roman" w:hAnsi="Times New Roman" w:cs="Times New Roman"/>
          <w:i/>
          <w:sz w:val="24"/>
          <w:lang w:val="ro-RO"/>
        </w:rPr>
        <w:t xml:space="preserve"> de întreprinzător </w:t>
      </w:r>
      <w:r w:rsidR="00143C98" w:rsidRPr="009C5F11">
        <w:rPr>
          <w:rFonts w:ascii="Times New Roman" w:hAnsi="Times New Roman" w:cs="Times New Roman"/>
          <w:i/>
          <w:sz w:val="24"/>
          <w:lang w:val="ro-RO"/>
        </w:rPr>
        <w:t>pe</w:t>
      </w:r>
      <w:r w:rsidRPr="009C5F11">
        <w:rPr>
          <w:rFonts w:ascii="Times New Roman" w:hAnsi="Times New Roman" w:cs="Times New Roman"/>
          <w:i/>
          <w:sz w:val="24"/>
          <w:lang w:val="ro-RO"/>
        </w:rPr>
        <w:t xml:space="preserve"> raioane”</w:t>
      </w:r>
      <w:r w:rsidRPr="009C5F11">
        <w:rPr>
          <w:rFonts w:ascii="Times New Roman" w:hAnsi="Times New Roman" w:cs="Times New Roman"/>
          <w:sz w:val="24"/>
          <w:lang w:val="ro-RO"/>
        </w:rPr>
        <w:t xml:space="preserve">, realizat pe baza datelor BNS cu sprijinul PNUD şi al Guvernului României şi distribuit în cadrul Proiectului comun ONU </w:t>
      </w:r>
      <w:r w:rsidRPr="009C5F11">
        <w:rPr>
          <w:rFonts w:ascii="Times New Roman" w:hAnsi="Times New Roman" w:cs="Times New Roman"/>
          <w:i/>
          <w:sz w:val="24"/>
          <w:lang w:val="ro-RO"/>
        </w:rPr>
        <w:t>"Fortificarea sistemului naţional de statistică”</w:t>
      </w:r>
      <w:r w:rsidRPr="009C5F11">
        <w:rPr>
          <w:rFonts w:ascii="Times New Roman" w:hAnsi="Times New Roman" w:cs="Times New Roman"/>
          <w:sz w:val="24"/>
          <w:lang w:val="ro-RO"/>
        </w:rPr>
        <w:t>.</w:t>
      </w:r>
    </w:p>
    <w:p w14:paraId="42C2F5F6" w14:textId="13B7C67F" w:rsidR="00BC2ED4" w:rsidRPr="009C5F11" w:rsidRDefault="00143C98"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D</w:t>
      </w:r>
      <w:r w:rsidR="006F5A04" w:rsidRPr="009C5F11">
        <w:rPr>
          <w:rFonts w:ascii="Times New Roman" w:hAnsi="Times New Roman" w:cs="Times New Roman"/>
          <w:sz w:val="24"/>
          <w:lang w:val="ro-RO"/>
        </w:rPr>
        <w:t>e menţionat faptul că definiţia „întreprindere mijlocie</w:t>
      </w:r>
      <w:r w:rsidR="00577F7E" w:rsidRPr="009C5F11">
        <w:rPr>
          <w:rStyle w:val="Referinnotdesubsol"/>
          <w:rFonts w:ascii="Times New Roman" w:eastAsia="Calibri" w:hAnsi="Times New Roman" w:cs="Times New Roman"/>
          <w:sz w:val="24"/>
          <w:lang w:val="ro-RO"/>
        </w:rPr>
        <w:footnoteReference w:id="30"/>
      </w:r>
      <w:r w:rsidR="00BC2ED4" w:rsidRPr="009C5F11">
        <w:rPr>
          <w:rFonts w:ascii="Times New Roman" w:eastAsia="Calibri" w:hAnsi="Times New Roman" w:cs="Times New Roman"/>
          <w:sz w:val="24"/>
          <w:lang w:val="ro-RO"/>
        </w:rPr>
        <w:t xml:space="preserve"> </w:t>
      </w:r>
      <w:r w:rsidR="006F5A04" w:rsidRPr="009C5F11">
        <w:rPr>
          <w:rFonts w:ascii="Times New Roman" w:hAnsi="Times New Roman" w:cs="Times New Roman"/>
          <w:sz w:val="24"/>
          <w:lang w:val="ro-RO"/>
        </w:rPr>
        <w:t>nu corespunde definiţiei IMM</w:t>
      </w:r>
      <w:r w:rsidRPr="009C5F11">
        <w:rPr>
          <w:rFonts w:ascii="Times New Roman" w:hAnsi="Times New Roman" w:cs="Times New Roman"/>
          <w:sz w:val="24"/>
          <w:lang w:val="ro-RO"/>
        </w:rPr>
        <w:t>-urilor</w:t>
      </w:r>
      <w:r w:rsidR="006F5A04" w:rsidRPr="009C5F11">
        <w:rPr>
          <w:rFonts w:ascii="Times New Roman" w:hAnsi="Times New Roman" w:cs="Times New Roman"/>
          <w:sz w:val="24"/>
          <w:lang w:val="ro-RO"/>
        </w:rPr>
        <w:t xml:space="preserve"> din Recomandarea Comisiei 2003/361/CE: "IMM</w:t>
      </w:r>
      <w:r w:rsidRPr="009C5F11">
        <w:rPr>
          <w:rFonts w:ascii="Times New Roman" w:hAnsi="Times New Roman" w:cs="Times New Roman"/>
          <w:sz w:val="24"/>
          <w:lang w:val="ro-RO"/>
        </w:rPr>
        <w:t>-uri</w:t>
      </w:r>
      <w:r w:rsidR="006F5A04" w:rsidRPr="009C5F11">
        <w:rPr>
          <w:rFonts w:ascii="Times New Roman" w:hAnsi="Times New Roman" w:cs="Times New Roman"/>
          <w:sz w:val="24"/>
          <w:lang w:val="ro-RO"/>
        </w:rPr>
        <w:t>" (număr</w:t>
      </w:r>
      <w:r w:rsidRPr="009C5F11">
        <w:rPr>
          <w:rFonts w:ascii="Times New Roman" w:hAnsi="Times New Roman" w:cs="Times New Roman"/>
          <w:sz w:val="24"/>
          <w:lang w:val="ro-RO"/>
        </w:rPr>
        <w:t>ul</w:t>
      </w:r>
      <w:r w:rsidR="006F5A04" w:rsidRPr="009C5F11">
        <w:rPr>
          <w:rFonts w:ascii="Times New Roman" w:hAnsi="Times New Roman" w:cs="Times New Roman"/>
          <w:sz w:val="24"/>
          <w:lang w:val="ro-RO"/>
        </w:rPr>
        <w:t xml:space="preserve"> de salariaţi mai mic de 250, cifra de afacere a cărora nu depăşeşte 50 milioane de euro, şi/sau bilanţul contabil anual al cărora nu depăşeşte 43 milioane de euro).</w:t>
      </w:r>
    </w:p>
    <w:p w14:paraId="4C62C3BF" w14:textId="77777777" w:rsidR="000514A4" w:rsidRPr="009C5F11" w:rsidRDefault="000514A4" w:rsidP="00C27918">
      <w:pPr>
        <w:tabs>
          <w:tab w:val="left" w:pos="0"/>
        </w:tabs>
        <w:spacing w:before="120" w:after="120" w:line="240" w:lineRule="auto"/>
        <w:jc w:val="both"/>
        <w:rPr>
          <w:rFonts w:ascii="Times New Roman" w:eastAsia="Calibri" w:hAnsi="Times New Roman" w:cs="Times New Roman"/>
          <w:sz w:val="24"/>
          <w:lang w:val="ro-RO"/>
        </w:rPr>
      </w:pPr>
    </w:p>
    <w:p w14:paraId="03FC4703" w14:textId="77777777" w:rsidR="006A18ED" w:rsidRPr="009C5F11" w:rsidRDefault="00321CD5" w:rsidP="006A18ED">
      <w:pPr>
        <w:pStyle w:val="Legend"/>
        <w:keepNext/>
        <w:jc w:val="center"/>
        <w:rPr>
          <w:rFonts w:ascii="Times New Roman" w:hAnsi="Times New Roman" w:cs="Times New Roman"/>
          <w:sz w:val="22"/>
          <w:lang w:val="ro-RO"/>
        </w:rPr>
      </w:pPr>
      <w:bookmarkStart w:id="364" w:name="_Ref319685787"/>
      <w:bookmarkStart w:id="365" w:name="_Toc322013262"/>
      <w:r w:rsidRPr="009C5F11">
        <w:rPr>
          <w:rFonts w:ascii="Times New Roman" w:hAnsi="Times New Roman" w:cs="Times New Roman"/>
          <w:sz w:val="22"/>
          <w:lang w:val="ro-RO"/>
        </w:rPr>
        <w:t>Tabelul</w:t>
      </w:r>
      <w:r w:rsidR="006A18ED"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6A18ED"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39</w:t>
      </w:r>
      <w:r w:rsidR="003A6ADB" w:rsidRPr="009C5F11">
        <w:rPr>
          <w:rFonts w:ascii="Times New Roman" w:hAnsi="Times New Roman" w:cs="Times New Roman"/>
          <w:sz w:val="22"/>
          <w:lang w:val="ro-RO"/>
        </w:rPr>
        <w:fldChar w:fldCharType="end"/>
      </w:r>
      <w:bookmarkEnd w:id="364"/>
      <w:r w:rsidR="006A18ED" w:rsidRPr="009C5F11">
        <w:rPr>
          <w:rFonts w:ascii="Times New Roman" w:hAnsi="Times New Roman" w:cs="Times New Roman"/>
          <w:sz w:val="22"/>
          <w:lang w:val="ro-RO"/>
        </w:rPr>
        <w:t xml:space="preserve"> </w:t>
      </w:r>
      <w:r w:rsidR="00273CDE" w:rsidRPr="009C5F11">
        <w:rPr>
          <w:rFonts w:ascii="Times New Roman" w:hAnsi="Times New Roman" w:cs="Times New Roman"/>
          <w:sz w:val="22"/>
          <w:lang w:val="ro-RO"/>
        </w:rPr>
        <w:t>–</w:t>
      </w:r>
      <w:r w:rsidR="006A18ED" w:rsidRPr="009C5F11">
        <w:rPr>
          <w:rFonts w:ascii="Times New Roman" w:hAnsi="Times New Roman" w:cs="Times New Roman"/>
          <w:sz w:val="22"/>
          <w:lang w:val="ro-RO"/>
        </w:rPr>
        <w:t xml:space="preserve"> </w:t>
      </w:r>
      <w:r w:rsidR="00273CDE" w:rsidRPr="009C5F11">
        <w:rPr>
          <w:rFonts w:ascii="Times New Roman" w:hAnsi="Times New Roman" w:cs="Times New Roman"/>
          <w:sz w:val="22"/>
          <w:lang w:val="ro-RO"/>
        </w:rPr>
        <w:t>Date s</w:t>
      </w:r>
      <w:r w:rsidR="006A18ED" w:rsidRPr="009C5F11">
        <w:rPr>
          <w:rFonts w:ascii="Times New Roman" w:hAnsi="Times New Roman" w:cs="Times New Roman"/>
          <w:sz w:val="22"/>
          <w:lang w:val="ro-RO"/>
        </w:rPr>
        <w:t>tatistic</w:t>
      </w:r>
      <w:r w:rsidR="00273CDE" w:rsidRPr="009C5F11">
        <w:rPr>
          <w:rFonts w:ascii="Times New Roman" w:hAnsi="Times New Roman" w:cs="Times New Roman"/>
          <w:sz w:val="22"/>
          <w:lang w:val="ro-RO"/>
        </w:rPr>
        <w:t>e despre</w:t>
      </w:r>
      <w:r w:rsidR="006A18ED" w:rsidRPr="009C5F11">
        <w:rPr>
          <w:rFonts w:ascii="Times New Roman" w:hAnsi="Times New Roman" w:cs="Times New Roman"/>
          <w:sz w:val="22"/>
          <w:lang w:val="ro-RO"/>
        </w:rPr>
        <w:t xml:space="preserve"> </w:t>
      </w:r>
      <w:r w:rsidR="00177E9C" w:rsidRPr="009C5F11">
        <w:rPr>
          <w:rFonts w:ascii="Times New Roman" w:hAnsi="Times New Roman" w:cs="Times New Roman"/>
          <w:sz w:val="22"/>
          <w:lang w:val="ro-RO"/>
        </w:rPr>
        <w:t>companii</w:t>
      </w:r>
      <w:r w:rsidR="00143C98" w:rsidRPr="009C5F11">
        <w:rPr>
          <w:rFonts w:ascii="Times New Roman" w:hAnsi="Times New Roman" w:cs="Times New Roman"/>
          <w:sz w:val="22"/>
          <w:lang w:val="ro-RO"/>
        </w:rPr>
        <w:t>, inclusiv despre</w:t>
      </w:r>
      <w:r w:rsidRPr="009C5F11">
        <w:rPr>
          <w:rFonts w:ascii="Times New Roman" w:hAnsi="Times New Roman" w:cs="Times New Roman"/>
          <w:sz w:val="22"/>
          <w:lang w:val="ro-RO"/>
        </w:rPr>
        <w:t xml:space="preserve"> </w:t>
      </w:r>
      <w:r w:rsidR="00177E9C" w:rsidRPr="009C5F11">
        <w:rPr>
          <w:rFonts w:ascii="Times New Roman" w:hAnsi="Times New Roman" w:cs="Times New Roman"/>
          <w:sz w:val="22"/>
          <w:lang w:val="ro-RO"/>
        </w:rPr>
        <w:t>companii</w:t>
      </w:r>
      <w:r w:rsidR="00143C98" w:rsidRPr="009C5F11">
        <w:rPr>
          <w:rFonts w:ascii="Times New Roman" w:hAnsi="Times New Roman" w:cs="Times New Roman"/>
          <w:sz w:val="22"/>
          <w:lang w:val="ro-RO"/>
        </w:rPr>
        <w:t>le</w:t>
      </w:r>
      <w:r w:rsidR="00273CDE" w:rsidRPr="009C5F11">
        <w:rPr>
          <w:rFonts w:ascii="Times New Roman" w:hAnsi="Times New Roman" w:cs="Times New Roman"/>
          <w:sz w:val="22"/>
          <w:lang w:val="ro-RO"/>
        </w:rPr>
        <w:t xml:space="preserve"> mari</w:t>
      </w:r>
      <w:r w:rsidR="006A18ED" w:rsidRPr="009C5F11">
        <w:rPr>
          <w:rStyle w:val="Referinnotdesubsol"/>
          <w:rFonts w:ascii="Times New Roman" w:hAnsi="Times New Roman" w:cs="Times New Roman"/>
          <w:sz w:val="22"/>
          <w:lang w:val="ro-RO"/>
        </w:rPr>
        <w:footnoteReference w:id="31"/>
      </w:r>
      <w:r w:rsidR="00273CDE" w:rsidRPr="009C5F11">
        <w:rPr>
          <w:rFonts w:ascii="Times New Roman" w:hAnsi="Times New Roman" w:cs="Times New Roman"/>
          <w:sz w:val="22"/>
          <w:lang w:val="ro-RO"/>
        </w:rPr>
        <w:t>.</w:t>
      </w:r>
      <w:bookmarkEnd w:id="365"/>
    </w:p>
    <w:tbl>
      <w:tblPr>
        <w:tblW w:w="9375" w:type="dxa"/>
        <w:jc w:val="center"/>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2985"/>
        <w:gridCol w:w="1170"/>
        <w:gridCol w:w="1170"/>
        <w:gridCol w:w="1170"/>
        <w:gridCol w:w="1170"/>
        <w:gridCol w:w="1710"/>
      </w:tblGrid>
      <w:tr w:rsidR="00520D5A" w:rsidRPr="009C5F11" w14:paraId="4A91B80C" w14:textId="77777777" w:rsidTr="006A18ED">
        <w:trPr>
          <w:trHeight w:val="300"/>
          <w:jc w:val="center"/>
        </w:trPr>
        <w:tc>
          <w:tcPr>
            <w:tcW w:w="2985" w:type="dxa"/>
            <w:tcBorders>
              <w:bottom w:val="single" w:sz="4" w:space="0" w:color="4F81BD"/>
            </w:tcBorders>
            <w:shd w:val="clear" w:color="auto" w:fill="000080"/>
            <w:noWrap/>
            <w:vAlign w:val="bottom"/>
            <w:hideMark/>
          </w:tcPr>
          <w:p w14:paraId="003D02A7" w14:textId="77777777" w:rsidR="00520D5A" w:rsidRPr="009C5F11" w:rsidRDefault="00520D5A" w:rsidP="00E92437">
            <w:pPr>
              <w:spacing w:after="0" w:line="240" w:lineRule="auto"/>
              <w:jc w:val="center"/>
              <w:rPr>
                <w:rFonts w:ascii="Times New Roman" w:eastAsia="Times New Roman" w:hAnsi="Times New Roman" w:cs="Times New Roman"/>
                <w:b/>
                <w:color w:val="FFFFFF" w:themeColor="background1"/>
                <w:lang w:val="ro-RO"/>
              </w:rPr>
            </w:pPr>
            <w:r w:rsidRPr="009C5F11">
              <w:rPr>
                <w:rFonts w:ascii="Times New Roman" w:eastAsia="Times New Roman" w:hAnsi="Times New Roman" w:cs="Times New Roman"/>
                <w:b/>
                <w:color w:val="FFFFFF" w:themeColor="background1"/>
                <w:lang w:val="ro-RO"/>
              </w:rPr>
              <w:t>Numărul total de companii</w:t>
            </w:r>
          </w:p>
        </w:tc>
        <w:tc>
          <w:tcPr>
            <w:tcW w:w="1170" w:type="dxa"/>
            <w:tcBorders>
              <w:bottom w:val="single" w:sz="4" w:space="0" w:color="4F81BD"/>
            </w:tcBorders>
            <w:shd w:val="clear" w:color="auto" w:fill="000080"/>
            <w:noWrap/>
            <w:vAlign w:val="bottom"/>
            <w:hideMark/>
          </w:tcPr>
          <w:p w14:paraId="3F9B7BDD" w14:textId="77777777" w:rsidR="00520D5A" w:rsidRPr="009C5F11" w:rsidRDefault="00520D5A" w:rsidP="00E92437">
            <w:pPr>
              <w:spacing w:after="0" w:line="240" w:lineRule="auto"/>
              <w:jc w:val="right"/>
              <w:rPr>
                <w:rFonts w:ascii="Times New Roman" w:eastAsia="Times New Roman" w:hAnsi="Times New Roman" w:cs="Times New Roman"/>
                <w:b/>
                <w:color w:val="FFFFFF" w:themeColor="background1"/>
                <w:lang w:val="ro-RO"/>
              </w:rPr>
            </w:pPr>
            <w:r w:rsidRPr="009C5F11">
              <w:rPr>
                <w:rFonts w:ascii="Times New Roman" w:eastAsia="Times New Roman" w:hAnsi="Times New Roman" w:cs="Times New Roman"/>
                <w:b/>
                <w:color w:val="FFFFFF" w:themeColor="background1"/>
                <w:lang w:val="ro-RO"/>
              </w:rPr>
              <w:t>163,974</w:t>
            </w:r>
          </w:p>
        </w:tc>
        <w:tc>
          <w:tcPr>
            <w:tcW w:w="5220" w:type="dxa"/>
            <w:gridSpan w:val="4"/>
            <w:tcBorders>
              <w:bottom w:val="single" w:sz="4" w:space="0" w:color="4F81BD"/>
            </w:tcBorders>
            <w:shd w:val="clear" w:color="auto" w:fill="000080"/>
            <w:noWrap/>
            <w:vAlign w:val="bottom"/>
            <w:hideMark/>
          </w:tcPr>
          <w:p w14:paraId="4AEB93CB" w14:textId="77777777" w:rsidR="00520D5A" w:rsidRPr="009C5F11" w:rsidRDefault="00520D5A" w:rsidP="00E92437">
            <w:pPr>
              <w:spacing w:after="0" w:line="240" w:lineRule="auto"/>
              <w:rPr>
                <w:rFonts w:ascii="Times New Roman" w:eastAsia="Times New Roman" w:hAnsi="Times New Roman" w:cs="Times New Roman"/>
                <w:b/>
                <w:color w:val="FFFFFF" w:themeColor="background1"/>
                <w:lang w:val="ro-RO"/>
              </w:rPr>
            </w:pPr>
            <w:r w:rsidRPr="009C5F11">
              <w:rPr>
                <w:rFonts w:ascii="Times New Roman" w:eastAsia="Times New Roman" w:hAnsi="Times New Roman" w:cs="Times New Roman"/>
                <w:b/>
                <w:color w:val="FFFFFF" w:themeColor="background1"/>
                <w:lang w:val="ro-RO"/>
              </w:rPr>
              <w:t>(Registrul de stat al unităţilor pentru fiecare regiune de dezvoltare)</w:t>
            </w:r>
          </w:p>
        </w:tc>
      </w:tr>
      <w:tr w:rsidR="00BC2ED4" w:rsidRPr="009C5F11" w14:paraId="19840473" w14:textId="77777777" w:rsidTr="006A18ED">
        <w:trPr>
          <w:trHeight w:val="300"/>
          <w:jc w:val="center"/>
        </w:trPr>
        <w:tc>
          <w:tcPr>
            <w:tcW w:w="2985" w:type="dxa"/>
            <w:shd w:val="clear" w:color="auto" w:fill="99CCFF"/>
            <w:noWrap/>
            <w:vAlign w:val="bottom"/>
            <w:hideMark/>
          </w:tcPr>
          <w:p w14:paraId="534E9460" w14:textId="77777777" w:rsidR="00BC2ED4" w:rsidRPr="009C5F11" w:rsidRDefault="00BC2ED4" w:rsidP="00430626">
            <w:pPr>
              <w:spacing w:after="0" w:line="240" w:lineRule="auto"/>
              <w:jc w:val="center"/>
              <w:rPr>
                <w:rFonts w:ascii="Times New Roman" w:hAnsi="Times New Roman" w:cs="Times New Roman"/>
                <w:color w:val="000000"/>
                <w:lang w:val="ro-RO"/>
              </w:rPr>
            </w:pPr>
            <w:r w:rsidRPr="009C5F11">
              <w:rPr>
                <w:rFonts w:ascii="Times New Roman" w:hAnsi="Times New Roman" w:cs="Times New Roman"/>
                <w:color w:val="000000"/>
                <w:lang w:val="ro-RO"/>
              </w:rPr>
              <w:t>(01.01.2014)</w:t>
            </w:r>
          </w:p>
        </w:tc>
        <w:tc>
          <w:tcPr>
            <w:tcW w:w="1170" w:type="dxa"/>
            <w:shd w:val="clear" w:color="auto" w:fill="99CCFF"/>
            <w:noWrap/>
            <w:vAlign w:val="bottom"/>
            <w:hideMark/>
          </w:tcPr>
          <w:p w14:paraId="089F15EC" w14:textId="77777777" w:rsidR="00BC2ED4" w:rsidRPr="009C5F11" w:rsidRDefault="00AA0566" w:rsidP="00430626">
            <w:pPr>
              <w:spacing w:after="0" w:line="240" w:lineRule="auto"/>
              <w:jc w:val="center"/>
              <w:rPr>
                <w:rFonts w:ascii="Times New Roman" w:hAnsi="Times New Roman" w:cs="Times New Roman"/>
                <w:color w:val="000000"/>
                <w:lang w:val="ro-RO"/>
              </w:rPr>
            </w:pPr>
            <w:r w:rsidRPr="009C5F11">
              <w:rPr>
                <w:rFonts w:ascii="Times New Roman" w:hAnsi="Times New Roman" w:cs="Times New Roman"/>
                <w:color w:val="000000"/>
                <w:lang w:val="ro-RO"/>
              </w:rPr>
              <w:t>Chişinău</w:t>
            </w:r>
          </w:p>
        </w:tc>
        <w:tc>
          <w:tcPr>
            <w:tcW w:w="1170" w:type="dxa"/>
            <w:shd w:val="clear" w:color="auto" w:fill="99CCFF"/>
            <w:noWrap/>
            <w:vAlign w:val="bottom"/>
            <w:hideMark/>
          </w:tcPr>
          <w:p w14:paraId="5A18B98D" w14:textId="77777777" w:rsidR="00BC2ED4" w:rsidRPr="009C5F11" w:rsidRDefault="00BC2ED4" w:rsidP="00520D5A">
            <w:pPr>
              <w:spacing w:after="0" w:line="240" w:lineRule="auto"/>
              <w:jc w:val="center"/>
              <w:rPr>
                <w:rFonts w:ascii="Times New Roman" w:hAnsi="Times New Roman" w:cs="Times New Roman"/>
                <w:color w:val="000000"/>
                <w:lang w:val="ro-RO"/>
              </w:rPr>
            </w:pPr>
            <w:r w:rsidRPr="009C5F11">
              <w:rPr>
                <w:rFonts w:ascii="Times New Roman" w:hAnsi="Times New Roman" w:cs="Times New Roman"/>
                <w:color w:val="000000"/>
                <w:lang w:val="ro-RO"/>
              </w:rPr>
              <w:t>NOR</w:t>
            </w:r>
            <w:r w:rsidR="00520D5A" w:rsidRPr="009C5F11">
              <w:rPr>
                <w:rFonts w:ascii="Times New Roman" w:hAnsi="Times New Roman" w:cs="Times New Roman"/>
                <w:color w:val="000000"/>
                <w:lang w:val="ro-RO"/>
              </w:rPr>
              <w:t>D</w:t>
            </w:r>
          </w:p>
        </w:tc>
        <w:tc>
          <w:tcPr>
            <w:tcW w:w="1170" w:type="dxa"/>
            <w:shd w:val="clear" w:color="auto" w:fill="99CCFF"/>
            <w:noWrap/>
            <w:vAlign w:val="bottom"/>
            <w:hideMark/>
          </w:tcPr>
          <w:p w14:paraId="0193469F" w14:textId="77777777" w:rsidR="00BC2ED4" w:rsidRPr="009C5F11" w:rsidRDefault="00BC2ED4" w:rsidP="00520D5A">
            <w:pPr>
              <w:spacing w:after="0" w:line="240" w:lineRule="auto"/>
              <w:jc w:val="center"/>
              <w:rPr>
                <w:rFonts w:ascii="Times New Roman" w:hAnsi="Times New Roman" w:cs="Times New Roman"/>
                <w:color w:val="000000"/>
                <w:lang w:val="ro-RO"/>
              </w:rPr>
            </w:pPr>
            <w:r w:rsidRPr="009C5F11">
              <w:rPr>
                <w:rFonts w:ascii="Times New Roman" w:hAnsi="Times New Roman" w:cs="Times New Roman"/>
                <w:color w:val="000000"/>
                <w:lang w:val="ro-RO"/>
              </w:rPr>
              <w:t>CENTR</w:t>
            </w:r>
            <w:r w:rsidR="00520D5A" w:rsidRPr="009C5F11">
              <w:rPr>
                <w:rFonts w:ascii="Times New Roman" w:hAnsi="Times New Roman" w:cs="Times New Roman"/>
                <w:color w:val="000000"/>
                <w:lang w:val="ro-RO"/>
              </w:rPr>
              <w:t>U</w:t>
            </w:r>
          </w:p>
        </w:tc>
        <w:tc>
          <w:tcPr>
            <w:tcW w:w="1170" w:type="dxa"/>
            <w:shd w:val="clear" w:color="auto" w:fill="99CCFF"/>
            <w:noWrap/>
            <w:vAlign w:val="bottom"/>
            <w:hideMark/>
          </w:tcPr>
          <w:p w14:paraId="0A08E090" w14:textId="77777777" w:rsidR="00BC2ED4" w:rsidRPr="009C5F11" w:rsidRDefault="00BC2ED4" w:rsidP="00520D5A">
            <w:pPr>
              <w:spacing w:after="0" w:line="240" w:lineRule="auto"/>
              <w:jc w:val="center"/>
              <w:rPr>
                <w:rFonts w:ascii="Times New Roman" w:hAnsi="Times New Roman" w:cs="Times New Roman"/>
                <w:color w:val="000000"/>
                <w:lang w:val="ro-RO"/>
              </w:rPr>
            </w:pPr>
            <w:r w:rsidRPr="009C5F11">
              <w:rPr>
                <w:rFonts w:ascii="Times New Roman" w:hAnsi="Times New Roman" w:cs="Times New Roman"/>
                <w:color w:val="000000"/>
                <w:lang w:val="ro-RO"/>
              </w:rPr>
              <w:t>SU</w:t>
            </w:r>
            <w:r w:rsidR="00520D5A" w:rsidRPr="009C5F11">
              <w:rPr>
                <w:rFonts w:ascii="Times New Roman" w:hAnsi="Times New Roman" w:cs="Times New Roman"/>
                <w:color w:val="000000"/>
                <w:lang w:val="ro-RO"/>
              </w:rPr>
              <w:t>D</w:t>
            </w:r>
          </w:p>
        </w:tc>
        <w:tc>
          <w:tcPr>
            <w:tcW w:w="1710" w:type="dxa"/>
            <w:shd w:val="clear" w:color="auto" w:fill="99CCFF"/>
            <w:noWrap/>
            <w:vAlign w:val="bottom"/>
            <w:hideMark/>
          </w:tcPr>
          <w:p w14:paraId="119B9A88" w14:textId="77777777" w:rsidR="00BC2ED4" w:rsidRPr="009C5F11" w:rsidRDefault="00520D5A" w:rsidP="00430626">
            <w:pPr>
              <w:spacing w:after="0" w:line="240" w:lineRule="auto"/>
              <w:jc w:val="center"/>
              <w:rPr>
                <w:rFonts w:ascii="Times New Roman" w:hAnsi="Times New Roman" w:cs="Times New Roman"/>
                <w:color w:val="000000"/>
                <w:lang w:val="ro-RO"/>
              </w:rPr>
            </w:pPr>
            <w:r w:rsidRPr="009C5F11">
              <w:rPr>
                <w:rFonts w:ascii="Times New Roman" w:hAnsi="Times New Roman" w:cs="Times New Roman"/>
                <w:color w:val="000000"/>
                <w:lang w:val="ro-RO"/>
              </w:rPr>
              <w:t>ATU</w:t>
            </w:r>
            <w:r w:rsidR="00006B57" w:rsidRPr="009C5F11">
              <w:rPr>
                <w:rFonts w:ascii="Times New Roman" w:hAnsi="Times New Roman" w:cs="Times New Roman"/>
                <w:color w:val="000000"/>
                <w:lang w:val="ro-RO"/>
              </w:rPr>
              <w:t xml:space="preserve"> Găgăuzia</w:t>
            </w:r>
          </w:p>
        </w:tc>
      </w:tr>
      <w:tr w:rsidR="00520D5A" w:rsidRPr="009C5F11" w14:paraId="15584B00" w14:textId="77777777" w:rsidTr="00430626">
        <w:trPr>
          <w:trHeight w:val="300"/>
          <w:jc w:val="center"/>
        </w:trPr>
        <w:tc>
          <w:tcPr>
            <w:tcW w:w="2985" w:type="dxa"/>
            <w:shd w:val="clear" w:color="auto" w:fill="auto"/>
            <w:noWrap/>
            <w:vAlign w:val="bottom"/>
            <w:hideMark/>
          </w:tcPr>
          <w:p w14:paraId="78AB71F9" w14:textId="77777777" w:rsidR="00520D5A" w:rsidRPr="009C5F11" w:rsidRDefault="00520D5A" w:rsidP="00E92437">
            <w:pPr>
              <w:spacing w:after="0" w:line="240" w:lineRule="auto"/>
              <w:rPr>
                <w:rFonts w:ascii="Times New Roman" w:eastAsia="Times New Roman" w:hAnsi="Times New Roman" w:cs="Times New Roman"/>
                <w:color w:val="000000"/>
                <w:lang w:val="ro-RO"/>
              </w:rPr>
            </w:pPr>
            <w:r w:rsidRPr="009C5F11">
              <w:rPr>
                <w:rFonts w:ascii="Times New Roman" w:eastAsia="Times New Roman" w:hAnsi="Times New Roman" w:cs="Times New Roman"/>
                <w:color w:val="000000"/>
                <w:lang w:val="ro-RO"/>
              </w:rPr>
              <w:t>Companii înregistrate</w:t>
            </w:r>
            <w:r w:rsidR="00273CDE" w:rsidRPr="009C5F11">
              <w:rPr>
                <w:rFonts w:ascii="Times New Roman" w:eastAsia="Times New Roman" w:hAnsi="Times New Roman" w:cs="Times New Roman"/>
                <w:color w:val="000000"/>
                <w:lang w:val="ro-RO"/>
              </w:rPr>
              <w:t xml:space="preserve"> </w:t>
            </w:r>
            <w:r w:rsidRPr="009C5F11">
              <w:rPr>
                <w:rFonts w:ascii="Times New Roman" w:eastAsia="Times New Roman" w:hAnsi="Times New Roman" w:cs="Times New Roman"/>
                <w:color w:val="000000"/>
                <w:lang w:val="ro-RO"/>
              </w:rPr>
              <w:t>%</w:t>
            </w:r>
          </w:p>
        </w:tc>
        <w:tc>
          <w:tcPr>
            <w:tcW w:w="1170" w:type="dxa"/>
            <w:shd w:val="clear" w:color="auto" w:fill="auto"/>
            <w:noWrap/>
            <w:vAlign w:val="bottom"/>
            <w:hideMark/>
          </w:tcPr>
          <w:p w14:paraId="64405CDF"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54.30%</w:t>
            </w:r>
          </w:p>
        </w:tc>
        <w:tc>
          <w:tcPr>
            <w:tcW w:w="1170" w:type="dxa"/>
            <w:shd w:val="clear" w:color="auto" w:fill="auto"/>
            <w:noWrap/>
            <w:vAlign w:val="bottom"/>
            <w:hideMark/>
          </w:tcPr>
          <w:p w14:paraId="1437BF8A"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17.50%</w:t>
            </w:r>
          </w:p>
        </w:tc>
        <w:tc>
          <w:tcPr>
            <w:tcW w:w="1170" w:type="dxa"/>
            <w:shd w:val="clear" w:color="auto" w:fill="auto"/>
            <w:noWrap/>
            <w:vAlign w:val="bottom"/>
            <w:hideMark/>
          </w:tcPr>
          <w:p w14:paraId="39BBD385"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16.70%</w:t>
            </w:r>
          </w:p>
        </w:tc>
        <w:tc>
          <w:tcPr>
            <w:tcW w:w="1170" w:type="dxa"/>
            <w:shd w:val="clear" w:color="auto" w:fill="auto"/>
            <w:noWrap/>
            <w:vAlign w:val="bottom"/>
            <w:hideMark/>
          </w:tcPr>
          <w:p w14:paraId="75AE6C9B"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8.00%</w:t>
            </w:r>
          </w:p>
        </w:tc>
        <w:tc>
          <w:tcPr>
            <w:tcW w:w="1710" w:type="dxa"/>
            <w:shd w:val="clear" w:color="auto" w:fill="auto"/>
            <w:noWrap/>
            <w:vAlign w:val="bottom"/>
            <w:hideMark/>
          </w:tcPr>
          <w:p w14:paraId="3F89679A"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3.20%</w:t>
            </w:r>
          </w:p>
        </w:tc>
      </w:tr>
      <w:tr w:rsidR="00520D5A" w:rsidRPr="009C5F11" w14:paraId="082B4687" w14:textId="77777777" w:rsidTr="00430626">
        <w:trPr>
          <w:trHeight w:val="300"/>
          <w:jc w:val="center"/>
        </w:trPr>
        <w:tc>
          <w:tcPr>
            <w:tcW w:w="2985" w:type="dxa"/>
            <w:shd w:val="clear" w:color="auto" w:fill="auto"/>
            <w:noWrap/>
            <w:vAlign w:val="bottom"/>
            <w:hideMark/>
          </w:tcPr>
          <w:p w14:paraId="7742007C" w14:textId="77777777" w:rsidR="00520D5A" w:rsidRPr="009C5F11" w:rsidRDefault="00520D5A" w:rsidP="00E92437">
            <w:pPr>
              <w:spacing w:after="0" w:line="240" w:lineRule="auto"/>
              <w:rPr>
                <w:rFonts w:ascii="Times New Roman" w:eastAsia="Times New Roman" w:hAnsi="Times New Roman" w:cs="Times New Roman"/>
                <w:color w:val="000000"/>
                <w:lang w:val="ro-RO"/>
              </w:rPr>
            </w:pPr>
            <w:r w:rsidRPr="009C5F11">
              <w:rPr>
                <w:rFonts w:ascii="Times New Roman" w:eastAsia="Times New Roman" w:hAnsi="Times New Roman" w:cs="Times New Roman"/>
                <w:color w:val="000000"/>
                <w:lang w:val="ro-RO"/>
              </w:rPr>
              <w:t>Companii înregistrate</w:t>
            </w:r>
          </w:p>
        </w:tc>
        <w:tc>
          <w:tcPr>
            <w:tcW w:w="1170" w:type="dxa"/>
            <w:shd w:val="clear" w:color="auto" w:fill="auto"/>
            <w:noWrap/>
            <w:vAlign w:val="bottom"/>
            <w:hideMark/>
          </w:tcPr>
          <w:p w14:paraId="3A198BCF"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89,038</w:t>
            </w:r>
          </w:p>
        </w:tc>
        <w:tc>
          <w:tcPr>
            <w:tcW w:w="1170" w:type="dxa"/>
            <w:shd w:val="clear" w:color="auto" w:fill="auto"/>
            <w:noWrap/>
            <w:vAlign w:val="bottom"/>
            <w:hideMark/>
          </w:tcPr>
          <w:p w14:paraId="01155A4C"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28,695</w:t>
            </w:r>
          </w:p>
        </w:tc>
        <w:tc>
          <w:tcPr>
            <w:tcW w:w="1170" w:type="dxa"/>
            <w:shd w:val="clear" w:color="auto" w:fill="auto"/>
            <w:noWrap/>
            <w:vAlign w:val="bottom"/>
            <w:hideMark/>
          </w:tcPr>
          <w:p w14:paraId="2B35BDC6"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27,384</w:t>
            </w:r>
          </w:p>
        </w:tc>
        <w:tc>
          <w:tcPr>
            <w:tcW w:w="1170" w:type="dxa"/>
            <w:shd w:val="clear" w:color="auto" w:fill="auto"/>
            <w:noWrap/>
            <w:vAlign w:val="bottom"/>
            <w:hideMark/>
          </w:tcPr>
          <w:p w14:paraId="47BE1631"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13,118</w:t>
            </w:r>
          </w:p>
        </w:tc>
        <w:tc>
          <w:tcPr>
            <w:tcW w:w="1710" w:type="dxa"/>
            <w:shd w:val="clear" w:color="auto" w:fill="auto"/>
            <w:noWrap/>
            <w:vAlign w:val="bottom"/>
            <w:hideMark/>
          </w:tcPr>
          <w:p w14:paraId="62664328"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5,247</w:t>
            </w:r>
          </w:p>
        </w:tc>
      </w:tr>
      <w:tr w:rsidR="00520D5A" w:rsidRPr="009C5F11" w14:paraId="6A131960" w14:textId="77777777" w:rsidTr="00430626">
        <w:trPr>
          <w:trHeight w:val="300"/>
          <w:jc w:val="center"/>
        </w:trPr>
        <w:tc>
          <w:tcPr>
            <w:tcW w:w="2985" w:type="dxa"/>
            <w:shd w:val="clear" w:color="auto" w:fill="auto"/>
            <w:noWrap/>
            <w:vAlign w:val="bottom"/>
            <w:hideMark/>
          </w:tcPr>
          <w:p w14:paraId="7F3D5938" w14:textId="77777777" w:rsidR="00520D5A" w:rsidRPr="009C5F11" w:rsidRDefault="00520D5A" w:rsidP="00E92437">
            <w:pPr>
              <w:spacing w:after="0" w:line="240" w:lineRule="auto"/>
              <w:rPr>
                <w:rFonts w:ascii="Times New Roman" w:eastAsia="Times New Roman" w:hAnsi="Times New Roman" w:cs="Times New Roman"/>
                <w:color w:val="000000"/>
                <w:lang w:val="ro-RO"/>
              </w:rPr>
            </w:pPr>
            <w:r w:rsidRPr="009C5F11">
              <w:rPr>
                <w:rFonts w:ascii="Times New Roman" w:eastAsia="Times New Roman" w:hAnsi="Times New Roman" w:cs="Times New Roman"/>
                <w:color w:val="000000"/>
                <w:lang w:val="ro-RO"/>
              </w:rPr>
              <w:t>Companii active</w:t>
            </w:r>
            <w:r w:rsidR="00273CDE" w:rsidRPr="009C5F11">
              <w:rPr>
                <w:rFonts w:ascii="Times New Roman" w:eastAsia="Times New Roman" w:hAnsi="Times New Roman" w:cs="Times New Roman"/>
                <w:color w:val="000000"/>
                <w:lang w:val="ro-RO"/>
              </w:rPr>
              <w:t xml:space="preserve"> </w:t>
            </w:r>
            <w:r w:rsidRPr="009C5F11">
              <w:rPr>
                <w:rFonts w:ascii="Times New Roman" w:eastAsia="Times New Roman" w:hAnsi="Times New Roman" w:cs="Times New Roman"/>
                <w:color w:val="000000"/>
                <w:lang w:val="ro-RO"/>
              </w:rPr>
              <w:t>%</w:t>
            </w:r>
          </w:p>
        </w:tc>
        <w:tc>
          <w:tcPr>
            <w:tcW w:w="1170" w:type="dxa"/>
            <w:shd w:val="clear" w:color="auto" w:fill="auto"/>
            <w:noWrap/>
            <w:vAlign w:val="bottom"/>
            <w:hideMark/>
          </w:tcPr>
          <w:p w14:paraId="6F94B1AD"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37.50%</w:t>
            </w:r>
          </w:p>
        </w:tc>
        <w:tc>
          <w:tcPr>
            <w:tcW w:w="1170" w:type="dxa"/>
            <w:shd w:val="clear" w:color="auto" w:fill="auto"/>
            <w:noWrap/>
            <w:vAlign w:val="bottom"/>
            <w:hideMark/>
          </w:tcPr>
          <w:p w14:paraId="36712F43"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20.90%</w:t>
            </w:r>
          </w:p>
        </w:tc>
        <w:tc>
          <w:tcPr>
            <w:tcW w:w="1170" w:type="dxa"/>
            <w:shd w:val="clear" w:color="auto" w:fill="auto"/>
            <w:noWrap/>
            <w:vAlign w:val="bottom"/>
            <w:hideMark/>
          </w:tcPr>
          <w:p w14:paraId="2F2EE918"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26.80%</w:t>
            </w:r>
          </w:p>
        </w:tc>
        <w:tc>
          <w:tcPr>
            <w:tcW w:w="1170" w:type="dxa"/>
            <w:shd w:val="clear" w:color="auto" w:fill="auto"/>
            <w:noWrap/>
            <w:vAlign w:val="bottom"/>
            <w:hideMark/>
          </w:tcPr>
          <w:p w14:paraId="35B109B2"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19.80%</w:t>
            </w:r>
          </w:p>
        </w:tc>
        <w:tc>
          <w:tcPr>
            <w:tcW w:w="1710" w:type="dxa"/>
            <w:shd w:val="clear" w:color="auto" w:fill="auto"/>
            <w:noWrap/>
            <w:vAlign w:val="bottom"/>
            <w:hideMark/>
          </w:tcPr>
          <w:p w14:paraId="63CDD28B"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26.10%</w:t>
            </w:r>
          </w:p>
        </w:tc>
      </w:tr>
      <w:tr w:rsidR="00520D5A" w:rsidRPr="009C5F11" w14:paraId="3463A84A" w14:textId="77777777" w:rsidTr="00430626">
        <w:trPr>
          <w:trHeight w:val="300"/>
          <w:jc w:val="center"/>
        </w:trPr>
        <w:tc>
          <w:tcPr>
            <w:tcW w:w="2985" w:type="dxa"/>
            <w:shd w:val="clear" w:color="auto" w:fill="auto"/>
            <w:noWrap/>
            <w:vAlign w:val="bottom"/>
            <w:hideMark/>
          </w:tcPr>
          <w:p w14:paraId="79C173E1" w14:textId="77777777" w:rsidR="00520D5A" w:rsidRPr="009C5F11" w:rsidRDefault="00520D5A" w:rsidP="00E92437">
            <w:pPr>
              <w:spacing w:after="0" w:line="240" w:lineRule="auto"/>
              <w:rPr>
                <w:rFonts w:ascii="Times New Roman" w:eastAsia="Times New Roman" w:hAnsi="Times New Roman" w:cs="Times New Roman"/>
                <w:color w:val="000000"/>
                <w:lang w:val="ro-RO"/>
              </w:rPr>
            </w:pPr>
            <w:r w:rsidRPr="009C5F11">
              <w:rPr>
                <w:rFonts w:ascii="Times New Roman" w:eastAsia="Times New Roman" w:hAnsi="Times New Roman" w:cs="Times New Roman"/>
                <w:color w:val="000000"/>
                <w:lang w:val="ro-RO"/>
              </w:rPr>
              <w:t>Companii active</w:t>
            </w:r>
          </w:p>
        </w:tc>
        <w:tc>
          <w:tcPr>
            <w:tcW w:w="1170" w:type="dxa"/>
            <w:shd w:val="clear" w:color="auto" w:fill="auto"/>
            <w:noWrap/>
            <w:vAlign w:val="bottom"/>
            <w:hideMark/>
          </w:tcPr>
          <w:p w14:paraId="0D87702F"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33,389</w:t>
            </w:r>
          </w:p>
        </w:tc>
        <w:tc>
          <w:tcPr>
            <w:tcW w:w="1170" w:type="dxa"/>
            <w:shd w:val="clear" w:color="auto" w:fill="auto"/>
            <w:noWrap/>
            <w:vAlign w:val="bottom"/>
            <w:hideMark/>
          </w:tcPr>
          <w:p w14:paraId="1FE76EDA"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5,997</w:t>
            </w:r>
          </w:p>
        </w:tc>
        <w:tc>
          <w:tcPr>
            <w:tcW w:w="1170" w:type="dxa"/>
            <w:shd w:val="clear" w:color="auto" w:fill="auto"/>
            <w:noWrap/>
            <w:vAlign w:val="bottom"/>
            <w:hideMark/>
          </w:tcPr>
          <w:p w14:paraId="0C946861"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7,339</w:t>
            </w:r>
          </w:p>
        </w:tc>
        <w:tc>
          <w:tcPr>
            <w:tcW w:w="1170" w:type="dxa"/>
            <w:shd w:val="clear" w:color="auto" w:fill="auto"/>
            <w:noWrap/>
            <w:vAlign w:val="bottom"/>
            <w:hideMark/>
          </w:tcPr>
          <w:p w14:paraId="34751A25"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2,597</w:t>
            </w:r>
          </w:p>
        </w:tc>
        <w:tc>
          <w:tcPr>
            <w:tcW w:w="1710" w:type="dxa"/>
            <w:shd w:val="clear" w:color="auto" w:fill="auto"/>
            <w:noWrap/>
            <w:vAlign w:val="bottom"/>
            <w:hideMark/>
          </w:tcPr>
          <w:p w14:paraId="0B78CD2B"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1,370</w:t>
            </w:r>
          </w:p>
        </w:tc>
      </w:tr>
      <w:tr w:rsidR="00520D5A" w:rsidRPr="009C5F11" w14:paraId="585A915E" w14:textId="77777777" w:rsidTr="00430626">
        <w:trPr>
          <w:trHeight w:val="300"/>
          <w:jc w:val="center"/>
        </w:trPr>
        <w:tc>
          <w:tcPr>
            <w:tcW w:w="2985" w:type="dxa"/>
            <w:shd w:val="clear" w:color="auto" w:fill="auto"/>
            <w:noWrap/>
            <w:vAlign w:val="bottom"/>
            <w:hideMark/>
          </w:tcPr>
          <w:p w14:paraId="6E3BE52A" w14:textId="77777777" w:rsidR="00520D5A" w:rsidRPr="009C5F11" w:rsidRDefault="00520D5A" w:rsidP="00E92437">
            <w:pPr>
              <w:spacing w:after="0" w:line="240" w:lineRule="auto"/>
              <w:rPr>
                <w:rFonts w:ascii="Times New Roman" w:eastAsia="Times New Roman" w:hAnsi="Times New Roman" w:cs="Times New Roman"/>
                <w:color w:val="000000"/>
                <w:lang w:val="ro-RO"/>
              </w:rPr>
            </w:pPr>
            <w:r w:rsidRPr="009C5F11">
              <w:rPr>
                <w:rFonts w:ascii="Times New Roman" w:eastAsia="Times New Roman" w:hAnsi="Times New Roman" w:cs="Times New Roman"/>
                <w:color w:val="000000"/>
                <w:lang w:val="ro-RO"/>
              </w:rPr>
              <w:t>Companii mari</w:t>
            </w:r>
            <w:r w:rsidR="00273CDE" w:rsidRPr="009C5F11">
              <w:rPr>
                <w:rFonts w:ascii="Times New Roman" w:eastAsia="Times New Roman" w:hAnsi="Times New Roman" w:cs="Times New Roman"/>
                <w:color w:val="000000"/>
                <w:lang w:val="ro-RO"/>
              </w:rPr>
              <w:t xml:space="preserve"> </w:t>
            </w:r>
            <w:r w:rsidRPr="009C5F11">
              <w:rPr>
                <w:rFonts w:ascii="Times New Roman" w:eastAsia="Times New Roman" w:hAnsi="Times New Roman" w:cs="Times New Roman"/>
                <w:color w:val="000000"/>
                <w:lang w:val="ro-RO"/>
              </w:rPr>
              <w:t>%</w:t>
            </w:r>
          </w:p>
        </w:tc>
        <w:tc>
          <w:tcPr>
            <w:tcW w:w="1170" w:type="dxa"/>
            <w:shd w:val="clear" w:color="auto" w:fill="auto"/>
            <w:noWrap/>
            <w:vAlign w:val="bottom"/>
            <w:hideMark/>
          </w:tcPr>
          <w:p w14:paraId="0AD364A3"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2.80%</w:t>
            </w:r>
          </w:p>
        </w:tc>
        <w:tc>
          <w:tcPr>
            <w:tcW w:w="1170" w:type="dxa"/>
            <w:shd w:val="clear" w:color="auto" w:fill="auto"/>
            <w:noWrap/>
            <w:vAlign w:val="bottom"/>
            <w:hideMark/>
          </w:tcPr>
          <w:p w14:paraId="6AC875BD"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2.40%</w:t>
            </w:r>
          </w:p>
        </w:tc>
        <w:tc>
          <w:tcPr>
            <w:tcW w:w="1170" w:type="dxa"/>
            <w:shd w:val="clear" w:color="auto" w:fill="auto"/>
            <w:noWrap/>
            <w:vAlign w:val="bottom"/>
            <w:hideMark/>
          </w:tcPr>
          <w:p w14:paraId="2759BA2A"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1.90%</w:t>
            </w:r>
          </w:p>
        </w:tc>
        <w:tc>
          <w:tcPr>
            <w:tcW w:w="1170" w:type="dxa"/>
            <w:shd w:val="clear" w:color="auto" w:fill="auto"/>
            <w:noWrap/>
            <w:vAlign w:val="bottom"/>
            <w:hideMark/>
          </w:tcPr>
          <w:p w14:paraId="3847A351"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2.30%</w:t>
            </w:r>
          </w:p>
        </w:tc>
        <w:tc>
          <w:tcPr>
            <w:tcW w:w="1710" w:type="dxa"/>
            <w:shd w:val="clear" w:color="auto" w:fill="auto"/>
            <w:noWrap/>
            <w:vAlign w:val="bottom"/>
            <w:hideMark/>
          </w:tcPr>
          <w:p w14:paraId="2F512DE6"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3.10%</w:t>
            </w:r>
          </w:p>
        </w:tc>
      </w:tr>
      <w:tr w:rsidR="00520D5A" w:rsidRPr="009C5F11" w14:paraId="0501B661" w14:textId="77777777" w:rsidTr="006A18ED">
        <w:trPr>
          <w:trHeight w:val="300"/>
          <w:jc w:val="center"/>
        </w:trPr>
        <w:tc>
          <w:tcPr>
            <w:tcW w:w="2985" w:type="dxa"/>
            <w:tcBorders>
              <w:bottom w:val="single" w:sz="4" w:space="0" w:color="4F81BD"/>
            </w:tcBorders>
            <w:shd w:val="clear" w:color="auto" w:fill="auto"/>
            <w:noWrap/>
            <w:vAlign w:val="bottom"/>
            <w:hideMark/>
          </w:tcPr>
          <w:p w14:paraId="2587A18F" w14:textId="77777777" w:rsidR="00520D5A" w:rsidRPr="009C5F11" w:rsidRDefault="00520D5A" w:rsidP="00E92437">
            <w:pPr>
              <w:spacing w:after="0" w:line="240" w:lineRule="auto"/>
              <w:rPr>
                <w:rFonts w:ascii="Times New Roman" w:eastAsia="Times New Roman" w:hAnsi="Times New Roman" w:cs="Times New Roman"/>
                <w:color w:val="000000"/>
                <w:lang w:val="ro-RO"/>
              </w:rPr>
            </w:pPr>
            <w:r w:rsidRPr="009C5F11">
              <w:rPr>
                <w:rFonts w:ascii="Times New Roman" w:eastAsia="Times New Roman" w:hAnsi="Times New Roman" w:cs="Times New Roman"/>
                <w:color w:val="000000"/>
                <w:lang w:val="ro-RO"/>
              </w:rPr>
              <w:t>Companii mari</w:t>
            </w:r>
          </w:p>
        </w:tc>
        <w:tc>
          <w:tcPr>
            <w:tcW w:w="1170" w:type="dxa"/>
            <w:tcBorders>
              <w:bottom w:val="single" w:sz="4" w:space="0" w:color="4F81BD"/>
            </w:tcBorders>
            <w:shd w:val="clear" w:color="auto" w:fill="auto"/>
            <w:noWrap/>
            <w:vAlign w:val="bottom"/>
            <w:hideMark/>
          </w:tcPr>
          <w:p w14:paraId="5F4DBFB1"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935</w:t>
            </w:r>
          </w:p>
        </w:tc>
        <w:tc>
          <w:tcPr>
            <w:tcW w:w="1170" w:type="dxa"/>
            <w:tcBorders>
              <w:bottom w:val="single" w:sz="4" w:space="0" w:color="4F81BD"/>
            </w:tcBorders>
            <w:shd w:val="clear" w:color="auto" w:fill="auto"/>
            <w:noWrap/>
            <w:vAlign w:val="bottom"/>
            <w:hideMark/>
          </w:tcPr>
          <w:p w14:paraId="44BFD3D9"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144</w:t>
            </w:r>
          </w:p>
        </w:tc>
        <w:tc>
          <w:tcPr>
            <w:tcW w:w="1170" w:type="dxa"/>
            <w:tcBorders>
              <w:bottom w:val="single" w:sz="4" w:space="0" w:color="4F81BD"/>
            </w:tcBorders>
            <w:shd w:val="clear" w:color="auto" w:fill="auto"/>
            <w:noWrap/>
            <w:vAlign w:val="bottom"/>
            <w:hideMark/>
          </w:tcPr>
          <w:p w14:paraId="0E2F10EA"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139</w:t>
            </w:r>
          </w:p>
        </w:tc>
        <w:tc>
          <w:tcPr>
            <w:tcW w:w="1170" w:type="dxa"/>
            <w:tcBorders>
              <w:bottom w:val="single" w:sz="4" w:space="0" w:color="4F81BD"/>
            </w:tcBorders>
            <w:shd w:val="clear" w:color="auto" w:fill="auto"/>
            <w:noWrap/>
            <w:vAlign w:val="bottom"/>
            <w:hideMark/>
          </w:tcPr>
          <w:p w14:paraId="3EA895C2"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60</w:t>
            </w:r>
          </w:p>
        </w:tc>
        <w:tc>
          <w:tcPr>
            <w:tcW w:w="1710" w:type="dxa"/>
            <w:tcBorders>
              <w:bottom w:val="single" w:sz="4" w:space="0" w:color="4F81BD"/>
            </w:tcBorders>
            <w:shd w:val="clear" w:color="auto" w:fill="auto"/>
            <w:noWrap/>
            <w:vAlign w:val="bottom"/>
            <w:hideMark/>
          </w:tcPr>
          <w:p w14:paraId="64860885" w14:textId="77777777" w:rsidR="00520D5A" w:rsidRPr="009C5F11" w:rsidRDefault="00520D5A" w:rsidP="00430626">
            <w:pPr>
              <w:spacing w:after="0" w:line="240" w:lineRule="auto"/>
              <w:jc w:val="right"/>
              <w:rPr>
                <w:rFonts w:ascii="Times New Roman" w:hAnsi="Times New Roman" w:cs="Times New Roman"/>
                <w:color w:val="000000"/>
                <w:lang w:val="ro-RO"/>
              </w:rPr>
            </w:pPr>
            <w:r w:rsidRPr="009C5F11">
              <w:rPr>
                <w:rFonts w:ascii="Times New Roman" w:hAnsi="Times New Roman" w:cs="Times New Roman"/>
                <w:color w:val="000000"/>
                <w:lang w:val="ro-RO"/>
              </w:rPr>
              <w:t>42</w:t>
            </w:r>
          </w:p>
        </w:tc>
      </w:tr>
      <w:tr w:rsidR="00520D5A" w:rsidRPr="009C5F11" w14:paraId="1DD15983" w14:textId="77777777" w:rsidTr="006A18ED">
        <w:trPr>
          <w:trHeight w:val="300"/>
          <w:jc w:val="center"/>
        </w:trPr>
        <w:tc>
          <w:tcPr>
            <w:tcW w:w="2985" w:type="dxa"/>
            <w:shd w:val="clear" w:color="auto" w:fill="auto"/>
            <w:noWrap/>
            <w:vAlign w:val="bottom"/>
            <w:hideMark/>
          </w:tcPr>
          <w:p w14:paraId="2DBE5578" w14:textId="77777777" w:rsidR="00520D5A" w:rsidRPr="009C5F11" w:rsidRDefault="00520D5A" w:rsidP="00143C98">
            <w:pPr>
              <w:spacing w:after="0" w:line="240" w:lineRule="auto"/>
              <w:rPr>
                <w:rFonts w:ascii="Times New Roman" w:eastAsia="Times New Roman" w:hAnsi="Times New Roman" w:cs="Times New Roman"/>
                <w:b/>
                <w:color w:val="000000"/>
                <w:lang w:val="ro-RO"/>
              </w:rPr>
            </w:pPr>
            <w:r w:rsidRPr="009C5F11">
              <w:rPr>
                <w:rFonts w:ascii="Times New Roman" w:eastAsia="Times New Roman" w:hAnsi="Times New Roman" w:cs="Times New Roman"/>
                <w:b/>
                <w:color w:val="000000"/>
                <w:lang w:val="ro-RO"/>
              </w:rPr>
              <w:t xml:space="preserve">Total </w:t>
            </w:r>
            <w:r w:rsidR="00143C98" w:rsidRPr="009C5F11">
              <w:rPr>
                <w:rFonts w:ascii="Times New Roman" w:eastAsia="Times New Roman" w:hAnsi="Times New Roman" w:cs="Times New Roman"/>
                <w:b/>
                <w:color w:val="000000"/>
                <w:lang w:val="ro-RO"/>
              </w:rPr>
              <w:t>c</w:t>
            </w:r>
            <w:r w:rsidRPr="009C5F11">
              <w:rPr>
                <w:rFonts w:ascii="Times New Roman" w:eastAsia="Times New Roman" w:hAnsi="Times New Roman" w:cs="Times New Roman"/>
                <w:b/>
                <w:color w:val="000000"/>
                <w:lang w:val="ro-RO"/>
              </w:rPr>
              <w:t>ompanii mari</w:t>
            </w:r>
          </w:p>
        </w:tc>
        <w:tc>
          <w:tcPr>
            <w:tcW w:w="1170" w:type="dxa"/>
            <w:shd w:val="clear" w:color="auto" w:fill="auto"/>
            <w:noWrap/>
            <w:vAlign w:val="bottom"/>
            <w:hideMark/>
          </w:tcPr>
          <w:p w14:paraId="79E1B934" w14:textId="77777777" w:rsidR="00520D5A" w:rsidRPr="009C5F11" w:rsidRDefault="00520D5A" w:rsidP="00430626">
            <w:pPr>
              <w:spacing w:after="0" w:line="240" w:lineRule="auto"/>
              <w:rPr>
                <w:rFonts w:ascii="Times New Roman" w:hAnsi="Times New Roman" w:cs="Times New Roman"/>
                <w:b/>
                <w:color w:val="000000"/>
                <w:lang w:val="ro-RO"/>
              </w:rPr>
            </w:pPr>
            <w:r w:rsidRPr="009C5F11">
              <w:rPr>
                <w:rFonts w:ascii="Times New Roman" w:hAnsi="Times New Roman" w:cs="Times New Roman"/>
                <w:b/>
                <w:color w:val="000000"/>
                <w:lang w:val="ro-RO"/>
              </w:rPr>
              <w:t> </w:t>
            </w:r>
          </w:p>
        </w:tc>
        <w:tc>
          <w:tcPr>
            <w:tcW w:w="1170" w:type="dxa"/>
            <w:shd w:val="clear" w:color="auto" w:fill="auto"/>
            <w:noWrap/>
            <w:vAlign w:val="bottom"/>
            <w:hideMark/>
          </w:tcPr>
          <w:p w14:paraId="638AED36" w14:textId="77777777" w:rsidR="00520D5A" w:rsidRPr="009C5F11" w:rsidRDefault="00520D5A" w:rsidP="00430626">
            <w:pPr>
              <w:spacing w:after="0" w:line="240" w:lineRule="auto"/>
              <w:rPr>
                <w:rFonts w:ascii="Times New Roman" w:hAnsi="Times New Roman" w:cs="Times New Roman"/>
                <w:b/>
                <w:color w:val="000000"/>
                <w:lang w:val="ro-RO"/>
              </w:rPr>
            </w:pPr>
            <w:r w:rsidRPr="009C5F11">
              <w:rPr>
                <w:rFonts w:ascii="Times New Roman" w:hAnsi="Times New Roman" w:cs="Times New Roman"/>
                <w:b/>
                <w:color w:val="000000"/>
                <w:lang w:val="ro-RO"/>
              </w:rPr>
              <w:t> </w:t>
            </w:r>
          </w:p>
        </w:tc>
        <w:tc>
          <w:tcPr>
            <w:tcW w:w="1170" w:type="dxa"/>
            <w:shd w:val="clear" w:color="auto" w:fill="auto"/>
            <w:noWrap/>
            <w:vAlign w:val="bottom"/>
            <w:hideMark/>
          </w:tcPr>
          <w:p w14:paraId="63BB0B0E" w14:textId="77777777" w:rsidR="00520D5A" w:rsidRPr="009C5F11" w:rsidRDefault="00520D5A" w:rsidP="00430626">
            <w:pPr>
              <w:spacing w:after="0" w:line="240" w:lineRule="auto"/>
              <w:rPr>
                <w:rFonts w:ascii="Times New Roman" w:hAnsi="Times New Roman" w:cs="Times New Roman"/>
                <w:b/>
                <w:color w:val="000000"/>
                <w:lang w:val="ro-RO"/>
              </w:rPr>
            </w:pPr>
            <w:r w:rsidRPr="009C5F11">
              <w:rPr>
                <w:rFonts w:ascii="Times New Roman" w:hAnsi="Times New Roman" w:cs="Times New Roman"/>
                <w:b/>
                <w:color w:val="000000"/>
                <w:lang w:val="ro-RO"/>
              </w:rPr>
              <w:t> </w:t>
            </w:r>
          </w:p>
        </w:tc>
        <w:tc>
          <w:tcPr>
            <w:tcW w:w="1170" w:type="dxa"/>
            <w:shd w:val="clear" w:color="auto" w:fill="auto"/>
            <w:noWrap/>
            <w:vAlign w:val="bottom"/>
            <w:hideMark/>
          </w:tcPr>
          <w:p w14:paraId="19A3FB25" w14:textId="77777777" w:rsidR="00520D5A" w:rsidRPr="009C5F11" w:rsidRDefault="00520D5A" w:rsidP="00430626">
            <w:pPr>
              <w:spacing w:after="0" w:line="240" w:lineRule="auto"/>
              <w:rPr>
                <w:rFonts w:ascii="Times New Roman" w:hAnsi="Times New Roman" w:cs="Times New Roman"/>
                <w:b/>
                <w:color w:val="000000"/>
                <w:lang w:val="ro-RO"/>
              </w:rPr>
            </w:pPr>
            <w:r w:rsidRPr="009C5F11">
              <w:rPr>
                <w:rFonts w:ascii="Times New Roman" w:hAnsi="Times New Roman" w:cs="Times New Roman"/>
                <w:b/>
                <w:color w:val="000000"/>
                <w:lang w:val="ro-RO"/>
              </w:rPr>
              <w:t> </w:t>
            </w:r>
          </w:p>
        </w:tc>
        <w:tc>
          <w:tcPr>
            <w:tcW w:w="1710" w:type="dxa"/>
            <w:shd w:val="clear" w:color="auto" w:fill="auto"/>
            <w:noWrap/>
            <w:vAlign w:val="bottom"/>
            <w:hideMark/>
          </w:tcPr>
          <w:p w14:paraId="42E672DD" w14:textId="77777777" w:rsidR="00520D5A" w:rsidRPr="009C5F11" w:rsidRDefault="00520D5A" w:rsidP="00430626">
            <w:pPr>
              <w:spacing w:after="0" w:line="240" w:lineRule="auto"/>
              <w:jc w:val="right"/>
              <w:rPr>
                <w:rFonts w:ascii="Times New Roman" w:hAnsi="Times New Roman" w:cs="Times New Roman"/>
                <w:b/>
                <w:color w:val="000000"/>
                <w:lang w:val="ro-RO"/>
              </w:rPr>
            </w:pPr>
            <w:r w:rsidRPr="009C5F11">
              <w:rPr>
                <w:rFonts w:ascii="Times New Roman" w:hAnsi="Times New Roman" w:cs="Times New Roman"/>
                <w:b/>
                <w:color w:val="000000"/>
                <w:lang w:val="ro-RO"/>
              </w:rPr>
              <w:t>1,320</w:t>
            </w:r>
          </w:p>
        </w:tc>
      </w:tr>
    </w:tbl>
    <w:p w14:paraId="0363A62C" w14:textId="77777777" w:rsidR="006D7EAD" w:rsidRPr="009C5F11" w:rsidRDefault="006D7EAD">
      <w:pPr>
        <w:rPr>
          <w:rFonts w:ascii="Times New Roman" w:hAnsi="Times New Roman" w:cs="Times New Roman"/>
          <w:i/>
          <w:sz w:val="24"/>
          <w:lang w:val="ro-RO"/>
        </w:rPr>
      </w:pPr>
      <w:r w:rsidRPr="009C5F11">
        <w:rPr>
          <w:rFonts w:ascii="Times New Roman" w:hAnsi="Times New Roman" w:cs="Times New Roman"/>
          <w:i/>
          <w:sz w:val="24"/>
          <w:lang w:val="ro-RO"/>
        </w:rPr>
        <w:br w:type="page"/>
      </w:r>
    </w:p>
    <w:p w14:paraId="20EAA693" w14:textId="77777777" w:rsidR="00BC2ED4" w:rsidRPr="00D9464A" w:rsidRDefault="00FB38BF" w:rsidP="00802640">
      <w:pPr>
        <w:pStyle w:val="Titlu2"/>
        <w:rPr>
          <w:rFonts w:ascii="Times New Roman" w:hAnsi="Times New Roman" w:cs="Times New Roman"/>
          <w:color w:val="000000" w:themeColor="text1"/>
          <w:sz w:val="28"/>
          <w:lang w:val="ro-RO"/>
        </w:rPr>
      </w:pPr>
      <w:bookmarkStart w:id="366" w:name="_Toc319555443"/>
      <w:bookmarkStart w:id="367" w:name="_Toc322013202"/>
      <w:r w:rsidRPr="00D9464A">
        <w:rPr>
          <w:rFonts w:ascii="Times New Roman" w:hAnsi="Times New Roman" w:cs="Times New Roman"/>
          <w:color w:val="000000" w:themeColor="text1"/>
          <w:sz w:val="28"/>
          <w:lang w:val="ro-RO"/>
        </w:rPr>
        <w:lastRenderedPageBreak/>
        <w:t>Contorizarea</w:t>
      </w:r>
      <w:r w:rsidR="00321CD5" w:rsidRPr="00D9464A">
        <w:rPr>
          <w:rFonts w:ascii="Times New Roman" w:hAnsi="Times New Roman" w:cs="Times New Roman"/>
          <w:color w:val="000000" w:themeColor="text1"/>
          <w:sz w:val="28"/>
          <w:lang w:val="ro-RO"/>
        </w:rPr>
        <w:t xml:space="preserve"> şi </w:t>
      </w:r>
      <w:r w:rsidRPr="00D9464A">
        <w:rPr>
          <w:rFonts w:ascii="Times New Roman" w:hAnsi="Times New Roman" w:cs="Times New Roman"/>
          <w:color w:val="000000" w:themeColor="text1"/>
          <w:sz w:val="28"/>
          <w:lang w:val="ro-RO"/>
        </w:rPr>
        <w:t>facturarea</w:t>
      </w:r>
      <w:bookmarkEnd w:id="366"/>
      <w:bookmarkEnd w:id="367"/>
    </w:p>
    <w:p w14:paraId="65051EE8" w14:textId="77777777" w:rsidR="00CC6AED" w:rsidRPr="009C5F11" w:rsidRDefault="00CC6AED" w:rsidP="003479D6">
      <w:pPr>
        <w:tabs>
          <w:tab w:val="left" w:pos="0"/>
        </w:tabs>
        <w:spacing w:before="120" w:after="120" w:line="240" w:lineRule="auto"/>
        <w:jc w:val="both"/>
        <w:rPr>
          <w:rFonts w:ascii="Times New Roman" w:eastAsia="Calibri" w:hAnsi="Times New Roman" w:cs="Times New Roman"/>
          <w:sz w:val="24"/>
          <w:lang w:val="ro-RO"/>
        </w:rPr>
      </w:pPr>
    </w:p>
    <w:p w14:paraId="2C133C0F" w14:textId="77777777" w:rsidR="00464811" w:rsidRPr="009C5F11" w:rsidRDefault="00CA12D0"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eastAsia="Calibri" w:hAnsi="Times New Roman" w:cs="Times New Roman"/>
          <w:sz w:val="24"/>
          <w:lang w:val="ro-RO"/>
        </w:rPr>
        <w:t>Scopul urmărit prin instalarea tehnologiilor de ultimă oră pentru e</w:t>
      </w:r>
      <w:r w:rsidR="00CC6AED" w:rsidRPr="009C5F11">
        <w:rPr>
          <w:rFonts w:ascii="Times New Roman" w:eastAsia="Calibri" w:hAnsi="Times New Roman" w:cs="Times New Roman"/>
          <w:sz w:val="24"/>
          <w:lang w:val="ro-RO"/>
        </w:rPr>
        <w:t>videnţ</w:t>
      </w:r>
      <w:r w:rsidRPr="009C5F11">
        <w:rPr>
          <w:rFonts w:ascii="Times New Roman" w:eastAsia="Calibri" w:hAnsi="Times New Roman" w:cs="Times New Roman"/>
          <w:sz w:val="24"/>
          <w:lang w:val="ro-RO"/>
        </w:rPr>
        <w:t>a</w:t>
      </w:r>
      <w:r w:rsidR="00CC6AED" w:rsidRPr="009C5F11">
        <w:rPr>
          <w:rFonts w:ascii="Times New Roman" w:eastAsia="Calibri" w:hAnsi="Times New Roman" w:cs="Times New Roman"/>
          <w:sz w:val="24"/>
          <w:lang w:val="ro-RO"/>
        </w:rPr>
        <w:t xml:space="preserve"> consumului final de gaze naturale</w:t>
      </w:r>
      <w:r w:rsidRPr="009C5F11">
        <w:rPr>
          <w:rFonts w:ascii="Times New Roman" w:eastAsia="Calibri" w:hAnsi="Times New Roman" w:cs="Times New Roman"/>
          <w:sz w:val="24"/>
          <w:lang w:val="ro-RO"/>
        </w:rPr>
        <w:t xml:space="preserve"> este de </w:t>
      </w:r>
      <w:r w:rsidR="00BC2ED4" w:rsidRPr="009C5F11">
        <w:rPr>
          <w:rFonts w:ascii="Times New Roman" w:eastAsia="Calibri" w:hAnsi="Times New Roman" w:cs="Times New Roman"/>
          <w:sz w:val="24"/>
          <w:lang w:val="ro-RO"/>
        </w:rPr>
        <w:t>inform</w:t>
      </w:r>
      <w:r w:rsidRPr="009C5F11">
        <w:rPr>
          <w:rFonts w:ascii="Times New Roman" w:eastAsia="Calibri" w:hAnsi="Times New Roman" w:cs="Times New Roman"/>
          <w:sz w:val="24"/>
          <w:lang w:val="ro-RO"/>
        </w:rPr>
        <w:t>a</w:t>
      </w:r>
      <w:r w:rsidR="00BC2ED4" w:rsidRPr="009C5F11">
        <w:rPr>
          <w:rFonts w:ascii="Times New Roman" w:eastAsia="Calibri" w:hAnsi="Times New Roman" w:cs="Times New Roman"/>
          <w:sz w:val="24"/>
          <w:lang w:val="ro-RO"/>
        </w:rPr>
        <w:t>, m</w:t>
      </w:r>
      <w:r w:rsidRPr="009C5F11">
        <w:rPr>
          <w:rFonts w:ascii="Times New Roman" w:eastAsia="Calibri" w:hAnsi="Times New Roman" w:cs="Times New Roman"/>
          <w:sz w:val="24"/>
          <w:lang w:val="ro-RO"/>
        </w:rPr>
        <w:t>ăsura</w:t>
      </w:r>
      <w:r w:rsidR="00321CD5" w:rsidRPr="009C5F11">
        <w:rPr>
          <w:rFonts w:ascii="Times New Roman" w:eastAsia="Calibri" w:hAnsi="Times New Roman" w:cs="Times New Roman"/>
          <w:sz w:val="24"/>
          <w:lang w:val="ro-RO"/>
        </w:rPr>
        <w:t xml:space="preserve"> şi </w:t>
      </w:r>
      <w:r w:rsidRPr="009C5F11">
        <w:rPr>
          <w:rFonts w:ascii="Times New Roman" w:eastAsia="Calibri" w:hAnsi="Times New Roman" w:cs="Times New Roman"/>
          <w:sz w:val="24"/>
          <w:lang w:val="ro-RO"/>
        </w:rPr>
        <w:t>factura consumul real pe baza datelor înregistrate</w:t>
      </w:r>
      <w:r w:rsidR="00BC2ED4"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De asemenea, în vederea informării consumatorului final despre consumul efectiv de gaze naturale se impune elaborarea şi implementarea unui plan de instalare a contoarelor performante pentru toate categoriile de utilizatori</w:t>
      </w:r>
      <w:r w:rsidR="00BC2ED4"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 xml:space="preserve">Pe parcursul </w:t>
      </w:r>
      <w:r w:rsidR="009B2D44" w:rsidRPr="009C5F11">
        <w:rPr>
          <w:rFonts w:ascii="Times New Roman" w:eastAsia="Calibri" w:hAnsi="Times New Roman" w:cs="Times New Roman"/>
          <w:sz w:val="24"/>
          <w:lang w:val="ro-RO"/>
        </w:rPr>
        <w:t xml:space="preserve">anilor </w:t>
      </w:r>
      <w:r w:rsidRPr="009C5F11">
        <w:rPr>
          <w:rFonts w:ascii="Times New Roman" w:eastAsia="Calibri" w:hAnsi="Times New Roman" w:cs="Times New Roman"/>
          <w:sz w:val="24"/>
          <w:lang w:val="ro-RO"/>
        </w:rPr>
        <w:t xml:space="preserve">2013-2015, </w:t>
      </w:r>
      <w:r w:rsidR="00BC2ED4" w:rsidRPr="009C5F11">
        <w:rPr>
          <w:rFonts w:ascii="Times New Roman" w:eastAsia="Calibri" w:hAnsi="Times New Roman" w:cs="Times New Roman"/>
          <w:sz w:val="24"/>
          <w:lang w:val="ro-RO"/>
        </w:rPr>
        <w:t>Moldovaga</w:t>
      </w:r>
      <w:r w:rsidR="00273CDE" w:rsidRPr="009C5F11">
        <w:rPr>
          <w:rFonts w:ascii="Times New Roman" w:eastAsia="Calibri" w:hAnsi="Times New Roman" w:cs="Times New Roman"/>
          <w:sz w:val="24"/>
          <w:lang w:val="ro-RO"/>
        </w:rPr>
        <w:t>z</w:t>
      </w:r>
      <w:r w:rsidR="00BC2ED4"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a instalat contoare consumatorilor de gaze naturale</w:t>
      </w:r>
      <w:r w:rsidR="00BC2ED4" w:rsidRPr="009C5F11">
        <w:rPr>
          <w:rFonts w:ascii="Times New Roman" w:eastAsia="Calibri" w:hAnsi="Times New Roman" w:cs="Times New Roman"/>
          <w:sz w:val="24"/>
          <w:lang w:val="ro-RO"/>
        </w:rPr>
        <w:t xml:space="preserve">. </w:t>
      </w:r>
      <w:r w:rsidR="00401F29" w:rsidRPr="009C5F11">
        <w:rPr>
          <w:rFonts w:ascii="Times New Roman" w:eastAsia="Calibri" w:hAnsi="Times New Roman" w:cs="Times New Roman"/>
          <w:sz w:val="24"/>
          <w:lang w:val="ro-RO"/>
        </w:rPr>
        <w:t>Cu toate acestea</w:t>
      </w:r>
      <w:r w:rsidRPr="009C5F11">
        <w:rPr>
          <w:rFonts w:ascii="Times New Roman" w:eastAsia="Calibri" w:hAnsi="Times New Roman" w:cs="Times New Roman"/>
          <w:sz w:val="24"/>
          <w:lang w:val="ro-RO"/>
        </w:rPr>
        <w:t xml:space="preserve">, în </w:t>
      </w:r>
      <w:r w:rsidR="00872DC2" w:rsidRPr="009C5F11">
        <w:rPr>
          <w:rFonts w:ascii="Times New Roman" w:eastAsia="Calibri" w:hAnsi="Times New Roman" w:cs="Times New Roman"/>
          <w:sz w:val="24"/>
          <w:lang w:val="ro-RO"/>
        </w:rPr>
        <w:t>PNAEE</w:t>
      </w:r>
      <w:r w:rsidR="00BC2ED4" w:rsidRPr="009C5F11">
        <w:rPr>
          <w:rFonts w:ascii="Times New Roman" w:eastAsia="Calibri" w:hAnsi="Times New Roman" w:cs="Times New Roman"/>
          <w:sz w:val="24"/>
          <w:lang w:val="ro-RO"/>
        </w:rPr>
        <w:t xml:space="preserve"> </w:t>
      </w:r>
      <w:r w:rsidRPr="009C5F11">
        <w:rPr>
          <w:rFonts w:ascii="Times New Roman" w:eastAsia="Calibri" w:hAnsi="Times New Roman" w:cs="Times New Roman"/>
          <w:sz w:val="24"/>
          <w:lang w:val="ro-RO"/>
        </w:rPr>
        <w:t xml:space="preserve">această măsură </w:t>
      </w:r>
      <w:r w:rsidR="009B2D44" w:rsidRPr="009C5F11">
        <w:rPr>
          <w:rFonts w:ascii="Times New Roman" w:eastAsia="Calibri" w:hAnsi="Times New Roman" w:cs="Times New Roman"/>
          <w:sz w:val="24"/>
          <w:lang w:val="ro-RO"/>
        </w:rPr>
        <w:t>nu este inclusă</w:t>
      </w:r>
      <w:r w:rsidR="00BC2ED4" w:rsidRPr="009C5F11">
        <w:rPr>
          <w:rFonts w:ascii="Times New Roman" w:eastAsia="Calibri" w:hAnsi="Times New Roman" w:cs="Times New Roman"/>
          <w:sz w:val="24"/>
          <w:lang w:val="ro-RO"/>
        </w:rPr>
        <w:t xml:space="preserve">, </w:t>
      </w:r>
      <w:r w:rsidR="009B2D44" w:rsidRPr="009C5F11">
        <w:rPr>
          <w:rFonts w:ascii="Times New Roman" w:eastAsia="Calibri" w:hAnsi="Times New Roman" w:cs="Times New Roman"/>
          <w:sz w:val="24"/>
          <w:lang w:val="ro-RO"/>
        </w:rPr>
        <w:t>la fel, lipsesc</w:t>
      </w:r>
      <w:r w:rsidR="00BC2ED4" w:rsidRPr="009C5F11">
        <w:rPr>
          <w:rFonts w:ascii="Times New Roman" w:eastAsia="Calibri" w:hAnsi="Times New Roman" w:cs="Times New Roman"/>
          <w:sz w:val="24"/>
          <w:lang w:val="ro-RO"/>
        </w:rPr>
        <w:t xml:space="preserve"> </w:t>
      </w:r>
      <w:r w:rsidR="00B40A7C" w:rsidRPr="009C5F11">
        <w:rPr>
          <w:rFonts w:ascii="Times New Roman" w:eastAsia="Calibri" w:hAnsi="Times New Roman" w:cs="Times New Roman"/>
          <w:sz w:val="24"/>
          <w:lang w:val="ro-RO"/>
        </w:rPr>
        <w:t>informaţii</w:t>
      </w:r>
      <w:r w:rsidRPr="009C5F11">
        <w:rPr>
          <w:rFonts w:ascii="Times New Roman" w:eastAsia="Calibri" w:hAnsi="Times New Roman" w:cs="Times New Roman"/>
          <w:sz w:val="24"/>
          <w:lang w:val="ro-RO"/>
        </w:rPr>
        <w:t xml:space="preserve">le sistematice privind statutul </w:t>
      </w:r>
      <w:r w:rsidR="00B466CC" w:rsidRPr="009C5F11">
        <w:rPr>
          <w:rFonts w:ascii="Times New Roman" w:eastAsia="Calibri" w:hAnsi="Times New Roman" w:cs="Times New Roman"/>
          <w:sz w:val="24"/>
          <w:lang w:val="ro-RO"/>
        </w:rPr>
        <w:t>implementării</w:t>
      </w:r>
      <w:r w:rsidR="00BC2ED4" w:rsidRPr="009C5F11">
        <w:rPr>
          <w:rFonts w:ascii="Times New Roman" w:eastAsia="Calibri" w:hAnsi="Times New Roman" w:cs="Times New Roman"/>
          <w:sz w:val="24"/>
          <w:lang w:val="ro-RO"/>
        </w:rPr>
        <w:t xml:space="preserve"> </w:t>
      </w:r>
      <w:r w:rsidR="000E55A5" w:rsidRPr="009C5F11">
        <w:rPr>
          <w:rFonts w:ascii="Times New Roman" w:eastAsia="Calibri" w:hAnsi="Times New Roman" w:cs="Times New Roman"/>
          <w:sz w:val="24"/>
          <w:lang w:val="ro-RO"/>
        </w:rPr>
        <w:t>Măsur</w:t>
      </w:r>
      <w:r w:rsidRPr="009C5F11">
        <w:rPr>
          <w:rFonts w:ascii="Times New Roman" w:eastAsia="Calibri" w:hAnsi="Times New Roman" w:cs="Times New Roman"/>
          <w:sz w:val="24"/>
          <w:lang w:val="ro-RO"/>
        </w:rPr>
        <w:t>ii</w:t>
      </w:r>
      <w:r w:rsidR="00BC2ED4" w:rsidRPr="009C5F11">
        <w:rPr>
          <w:rFonts w:ascii="Times New Roman" w:eastAsia="Calibri" w:hAnsi="Times New Roman" w:cs="Times New Roman"/>
          <w:sz w:val="24"/>
          <w:lang w:val="ro-RO"/>
        </w:rPr>
        <w:t xml:space="preserve"> 99</w:t>
      </w:r>
      <w:r w:rsidR="00321CD5" w:rsidRPr="009C5F11">
        <w:rPr>
          <w:rFonts w:ascii="Times New Roman" w:eastAsia="Calibri" w:hAnsi="Times New Roman" w:cs="Times New Roman"/>
          <w:sz w:val="24"/>
          <w:lang w:val="ro-RO"/>
        </w:rPr>
        <w:t xml:space="preserve"> </w:t>
      </w:r>
      <w:r w:rsidR="00210C2C" w:rsidRPr="009C5F11">
        <w:rPr>
          <w:rFonts w:ascii="Times New Roman" w:eastAsia="Calibri" w:hAnsi="Times New Roman" w:cs="Times New Roman"/>
          <w:sz w:val="24"/>
          <w:lang w:val="ro-RO"/>
        </w:rPr>
        <w:t>din PNAEE 2013-2015</w:t>
      </w:r>
      <w:r w:rsidR="00BC2ED4" w:rsidRPr="009C5F11">
        <w:rPr>
          <w:rFonts w:ascii="Times New Roman" w:eastAsia="Calibri" w:hAnsi="Times New Roman" w:cs="Times New Roman"/>
          <w:sz w:val="24"/>
          <w:lang w:val="ro-RO"/>
        </w:rPr>
        <w:t>.</w:t>
      </w:r>
    </w:p>
    <w:p w14:paraId="08133E65" w14:textId="78F3D028" w:rsidR="00BC2ED4" w:rsidRPr="009C5F11" w:rsidRDefault="00CC6AED" w:rsidP="00087B37">
      <w:pPr>
        <w:pStyle w:val="Listparagraf"/>
        <w:numPr>
          <w:ilvl w:val="0"/>
          <w:numId w:val="210"/>
        </w:numPr>
        <w:tabs>
          <w:tab w:val="left" w:pos="0"/>
        </w:tabs>
        <w:spacing w:before="120" w:after="120" w:line="240" w:lineRule="auto"/>
        <w:ind w:left="0" w:firstLine="142"/>
        <w:jc w:val="both"/>
        <w:rPr>
          <w:rFonts w:ascii="Times New Roman" w:eastAsia="Calibri" w:hAnsi="Times New Roman" w:cs="Times New Roman"/>
          <w:sz w:val="24"/>
          <w:lang w:val="ro-RO"/>
        </w:rPr>
      </w:pPr>
      <w:r w:rsidRPr="009C5F11">
        <w:rPr>
          <w:rFonts w:ascii="Times New Roman" w:hAnsi="Times New Roman" w:cs="Times New Roman"/>
          <w:sz w:val="24"/>
          <w:lang w:val="ro-RO"/>
        </w:rPr>
        <w:t>Contoarele inteligente şi facturarea informativă îi ajută pe consumatori să adopte decizii mai bune şi să-şi schimbe comportamentul. Foaia de parcurs a Guvernului pentru îmbunătăţirea competitivităţii Republicii Moldova include utilizarea unor contoare moderne pentru energia termică şi energia electrică. Strategia în domeniul eficienţei energetice a Termocom</w:t>
      </w:r>
      <w:r w:rsidR="009B2D44" w:rsidRPr="009C5F11">
        <w:rPr>
          <w:rFonts w:ascii="Times New Roman" w:hAnsi="Times New Roman" w:cs="Times New Roman"/>
          <w:sz w:val="24"/>
          <w:lang w:val="ro-RO"/>
        </w:rPr>
        <w:t>-ului</w:t>
      </w:r>
      <w:r w:rsidRPr="009C5F11">
        <w:rPr>
          <w:rFonts w:ascii="Times New Roman" w:hAnsi="Times New Roman" w:cs="Times New Roman"/>
          <w:sz w:val="24"/>
          <w:lang w:val="ro-RO"/>
        </w:rPr>
        <w:t xml:space="preserve"> pentru anii 2012-2020 cuprinde implementarea unor soluţii moderne pentru monitorizare, contorizare şi facturare, implementarea unor sisteme de monitorizare de tipul ‘LOVATI' şi ‘MONITOR', dar şi a GIS ‘HeatGraph'. Strategia stabileşte condiţia obligatorie de contorizare la nivel de bloc.</w:t>
      </w:r>
    </w:p>
    <w:p w14:paraId="654D4B9B" w14:textId="77777777" w:rsidR="003479D6" w:rsidRPr="009C5F11" w:rsidRDefault="003479D6">
      <w:pPr>
        <w:rPr>
          <w:rFonts w:ascii="Times New Roman" w:eastAsia="Calibri" w:hAnsi="Times New Roman" w:cs="Times New Roman"/>
          <w:sz w:val="24"/>
          <w:lang w:val="ro-RO"/>
        </w:rPr>
      </w:pPr>
      <w:r w:rsidRPr="009C5F11">
        <w:rPr>
          <w:rFonts w:ascii="Times New Roman" w:eastAsia="Calibri" w:hAnsi="Times New Roman" w:cs="Times New Roman"/>
          <w:sz w:val="24"/>
          <w:lang w:val="ro-RO"/>
        </w:rPr>
        <w:br w:type="page"/>
      </w:r>
    </w:p>
    <w:p w14:paraId="615A6BDF" w14:textId="77777777" w:rsidR="00BC2ED4" w:rsidRPr="00D9464A" w:rsidRDefault="00E92437" w:rsidP="00802640">
      <w:pPr>
        <w:pStyle w:val="Titlu2"/>
        <w:rPr>
          <w:rFonts w:ascii="Times New Roman" w:hAnsi="Times New Roman" w:cs="Times New Roman"/>
          <w:color w:val="000000" w:themeColor="text1"/>
          <w:sz w:val="28"/>
          <w:lang w:val="ro-RO"/>
        </w:rPr>
      </w:pPr>
      <w:bookmarkStart w:id="368" w:name="_Toc322013203"/>
      <w:bookmarkStart w:id="369" w:name="_Toc319555444"/>
      <w:r w:rsidRPr="00D9464A">
        <w:rPr>
          <w:rFonts w:ascii="Times New Roman" w:hAnsi="Times New Roman" w:cs="Times New Roman"/>
          <w:color w:val="000000" w:themeColor="text1"/>
          <w:sz w:val="28"/>
          <w:lang w:val="ro-RO"/>
        </w:rPr>
        <w:lastRenderedPageBreak/>
        <w:t>Programe de informare pentru consumatori şi</w:t>
      </w:r>
      <w:r w:rsidR="00BC2ED4" w:rsidRPr="00D9464A">
        <w:rPr>
          <w:rFonts w:ascii="Times New Roman" w:hAnsi="Times New Roman" w:cs="Times New Roman"/>
          <w:color w:val="000000" w:themeColor="text1"/>
          <w:sz w:val="28"/>
          <w:lang w:val="ro-RO"/>
        </w:rPr>
        <w:t xml:space="preserve"> </w:t>
      </w:r>
      <w:r w:rsidR="00421FA7" w:rsidRPr="00D9464A">
        <w:rPr>
          <w:rFonts w:ascii="Times New Roman" w:hAnsi="Times New Roman" w:cs="Times New Roman"/>
          <w:color w:val="000000" w:themeColor="text1"/>
          <w:sz w:val="28"/>
          <w:lang w:val="ro-RO"/>
        </w:rPr>
        <w:t>programe</w:t>
      </w:r>
      <w:r w:rsidR="00321CD5" w:rsidRPr="00D9464A">
        <w:rPr>
          <w:rFonts w:ascii="Times New Roman" w:hAnsi="Times New Roman" w:cs="Times New Roman"/>
          <w:color w:val="000000" w:themeColor="text1"/>
          <w:sz w:val="28"/>
          <w:lang w:val="ro-RO"/>
        </w:rPr>
        <w:t xml:space="preserve"> </w:t>
      </w:r>
      <w:r w:rsidRPr="00D9464A">
        <w:rPr>
          <w:rFonts w:ascii="Times New Roman" w:hAnsi="Times New Roman" w:cs="Times New Roman"/>
          <w:color w:val="000000" w:themeColor="text1"/>
          <w:sz w:val="28"/>
          <w:lang w:val="ro-RO"/>
        </w:rPr>
        <w:t>de</w:t>
      </w:r>
      <w:r w:rsidR="00321CD5" w:rsidRPr="00D9464A">
        <w:rPr>
          <w:rFonts w:ascii="Times New Roman" w:hAnsi="Times New Roman" w:cs="Times New Roman"/>
          <w:color w:val="000000" w:themeColor="text1"/>
          <w:sz w:val="28"/>
          <w:lang w:val="ro-RO"/>
        </w:rPr>
        <w:t xml:space="preserve"> </w:t>
      </w:r>
      <w:r w:rsidR="001221B7" w:rsidRPr="00D9464A">
        <w:rPr>
          <w:rFonts w:ascii="Times New Roman" w:hAnsi="Times New Roman" w:cs="Times New Roman"/>
          <w:color w:val="000000" w:themeColor="text1"/>
          <w:sz w:val="28"/>
          <w:lang w:val="ro-RO"/>
        </w:rPr>
        <w:t>instruire</w:t>
      </w:r>
      <w:bookmarkEnd w:id="368"/>
      <w:r w:rsidR="00BC2ED4" w:rsidRPr="00D9464A">
        <w:rPr>
          <w:rFonts w:ascii="Times New Roman" w:hAnsi="Times New Roman" w:cs="Times New Roman"/>
          <w:color w:val="000000" w:themeColor="text1"/>
          <w:sz w:val="28"/>
          <w:lang w:val="ro-RO"/>
        </w:rPr>
        <w:t xml:space="preserve"> </w:t>
      </w:r>
      <w:bookmarkEnd w:id="369"/>
    </w:p>
    <w:p w14:paraId="64E93FCC" w14:textId="51A631F1" w:rsidR="00BC2ED4" w:rsidRPr="009C5F11" w:rsidRDefault="00E92437"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Informaţiile de r</w:t>
      </w:r>
      <w:r w:rsidR="003B6544" w:rsidRPr="009C5F11">
        <w:rPr>
          <w:rFonts w:ascii="Times New Roman" w:hAnsi="Times New Roman" w:cs="Times New Roman"/>
          <w:sz w:val="24"/>
          <w:lang w:val="ro-RO"/>
        </w:rPr>
        <w:t>aportare</w:t>
      </w:r>
      <w:r w:rsidRPr="009C5F11">
        <w:rPr>
          <w:rFonts w:ascii="Times New Roman" w:hAnsi="Times New Roman" w:cs="Times New Roman"/>
          <w:sz w:val="24"/>
          <w:lang w:val="ro-RO"/>
        </w:rPr>
        <w:t xml:space="preserve"> sunt incluse în </w:t>
      </w:r>
      <w:r w:rsidR="005619E4" w:rsidRPr="009C5F11">
        <w:rPr>
          <w:rFonts w:ascii="Times New Roman" w:hAnsi="Times New Roman" w:cs="Times New Roman"/>
          <w:sz w:val="24"/>
          <w:lang w:val="ro-RO"/>
        </w:rPr>
        <w:t>Secţiunea</w:t>
      </w:r>
      <w:r w:rsidR="00CE61D1"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CE61D1" w:rsidRPr="009C5F11">
        <w:rPr>
          <w:rFonts w:ascii="Times New Roman" w:hAnsi="Times New Roman" w:cs="Times New Roman"/>
          <w:sz w:val="24"/>
          <w:lang w:val="ro-RO"/>
        </w:rPr>
        <w:instrText xml:space="preserve"> REF _Ref319685907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3.5</w:t>
      </w:r>
      <w:r w:rsidR="003A6ADB" w:rsidRPr="009C5F11">
        <w:rPr>
          <w:rFonts w:ascii="Times New Roman" w:hAnsi="Times New Roman" w:cs="Times New Roman"/>
          <w:sz w:val="24"/>
          <w:lang w:val="ro-RO"/>
        </w:rPr>
        <w:fldChar w:fldCharType="end"/>
      </w:r>
      <w:r w:rsidR="00CE61D1" w:rsidRPr="009C5F11">
        <w:rPr>
          <w:rFonts w:ascii="Times New Roman" w:hAnsi="Times New Roman" w:cs="Times New Roman"/>
          <w:sz w:val="24"/>
          <w:lang w:val="ro-RO"/>
        </w:rPr>
        <w:t>.</w:t>
      </w:r>
    </w:p>
    <w:p w14:paraId="634163A0" w14:textId="77777777" w:rsidR="000A0DC3" w:rsidRPr="009C5F11" w:rsidRDefault="000A0DC3" w:rsidP="00BC2ED4">
      <w:pPr>
        <w:spacing w:before="120" w:after="120" w:line="240" w:lineRule="auto"/>
        <w:jc w:val="both"/>
        <w:rPr>
          <w:rFonts w:ascii="Times New Roman" w:hAnsi="Times New Roman" w:cs="Times New Roman"/>
          <w:sz w:val="24"/>
          <w:lang w:val="ro-RO"/>
        </w:rPr>
      </w:pPr>
    </w:p>
    <w:p w14:paraId="5E97EE41" w14:textId="77777777" w:rsidR="000A0DC3" w:rsidRPr="00D9464A" w:rsidRDefault="00FD5F1C" w:rsidP="000A0DC3">
      <w:pPr>
        <w:pStyle w:val="Titlu2"/>
        <w:rPr>
          <w:rFonts w:ascii="Times New Roman" w:hAnsi="Times New Roman" w:cs="Times New Roman"/>
          <w:color w:val="000000" w:themeColor="text1"/>
          <w:sz w:val="28"/>
          <w:lang w:val="ro-RO"/>
        </w:rPr>
      </w:pPr>
      <w:bookmarkStart w:id="370" w:name="_Toc322013204"/>
      <w:r w:rsidRPr="00D9464A">
        <w:rPr>
          <w:rFonts w:ascii="Times New Roman" w:hAnsi="Times New Roman" w:cs="Times New Roman"/>
          <w:color w:val="000000" w:themeColor="text1"/>
          <w:sz w:val="28"/>
          <w:lang w:val="ro-RO"/>
        </w:rPr>
        <w:t>Promovarea</w:t>
      </w:r>
      <w:r w:rsidR="000A0DC3" w:rsidRPr="00D9464A">
        <w:rPr>
          <w:rFonts w:ascii="Times New Roman" w:hAnsi="Times New Roman" w:cs="Times New Roman"/>
          <w:color w:val="000000" w:themeColor="text1"/>
          <w:sz w:val="28"/>
          <w:lang w:val="ro-RO"/>
        </w:rPr>
        <w:t xml:space="preserve"> </w:t>
      </w:r>
      <w:r w:rsidR="00E92437" w:rsidRPr="00D9464A">
        <w:rPr>
          <w:rFonts w:ascii="Times New Roman" w:hAnsi="Times New Roman" w:cs="Times New Roman"/>
          <w:color w:val="000000" w:themeColor="text1"/>
          <w:sz w:val="28"/>
          <w:lang w:val="ro-RO"/>
        </w:rPr>
        <w:t>încălzirii şi răcirii/climatizării eficiente</w:t>
      </w:r>
      <w:bookmarkEnd w:id="370"/>
    </w:p>
    <w:p w14:paraId="059C1A7E" w14:textId="77777777" w:rsidR="001D323B" w:rsidRPr="00D9464A" w:rsidRDefault="001D323B" w:rsidP="001D323B">
      <w:pPr>
        <w:rPr>
          <w:rFonts w:ascii="Times New Roman" w:hAnsi="Times New Roman" w:cs="Times New Roman"/>
          <w:b/>
          <w:color w:val="000000" w:themeColor="text1"/>
          <w:lang w:val="ro-RO"/>
        </w:rPr>
      </w:pPr>
    </w:p>
    <w:p w14:paraId="50B1164F" w14:textId="77777777" w:rsidR="00BC2ED4" w:rsidRPr="00D9464A" w:rsidRDefault="00E92437" w:rsidP="00802640">
      <w:pPr>
        <w:pStyle w:val="Titlu3"/>
        <w:rPr>
          <w:rFonts w:ascii="Times New Roman" w:hAnsi="Times New Roman" w:cs="Times New Roman"/>
          <w:b/>
          <w:color w:val="000000" w:themeColor="text1"/>
          <w:sz w:val="28"/>
          <w:lang w:val="ro-RO"/>
        </w:rPr>
      </w:pPr>
      <w:bookmarkStart w:id="371" w:name="_Toc322013205"/>
      <w:bookmarkStart w:id="372" w:name="_Toc441419238"/>
      <w:bookmarkStart w:id="373" w:name="_Toc319555445"/>
      <w:r w:rsidRPr="00D9464A">
        <w:rPr>
          <w:rFonts w:ascii="Times New Roman" w:hAnsi="Times New Roman" w:cs="Times New Roman"/>
          <w:b/>
          <w:color w:val="000000" w:themeColor="text1"/>
          <w:sz w:val="28"/>
          <w:lang w:val="ro-RO"/>
        </w:rPr>
        <w:t>Evaluare cuprinzătoare</w:t>
      </w:r>
      <w:bookmarkEnd w:id="371"/>
      <w:r w:rsidRPr="00D9464A">
        <w:rPr>
          <w:rFonts w:ascii="Times New Roman" w:hAnsi="Times New Roman" w:cs="Times New Roman"/>
          <w:b/>
          <w:color w:val="000000" w:themeColor="text1"/>
          <w:sz w:val="28"/>
          <w:lang w:val="ro-RO"/>
        </w:rPr>
        <w:t xml:space="preserve"> </w:t>
      </w:r>
      <w:bookmarkEnd w:id="372"/>
      <w:bookmarkEnd w:id="373"/>
    </w:p>
    <w:p w14:paraId="0CE2DCF1" w14:textId="77777777" w:rsidR="00464811" w:rsidRPr="009C5F11" w:rsidRDefault="00E92437"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În vederea efectuării unei evaluări cuprinzătoare a potențialului de punere în aplicare a cogenerării de </w:t>
      </w:r>
      <w:r w:rsidR="009B2D44" w:rsidRPr="009C5F11">
        <w:rPr>
          <w:rFonts w:ascii="Times New Roman" w:hAnsi="Times New Roman" w:cs="Times New Roman"/>
          <w:sz w:val="24"/>
          <w:lang w:val="ro-RO"/>
        </w:rPr>
        <w:t>randament sporit</w:t>
      </w:r>
      <w:r w:rsidRPr="009C5F11">
        <w:rPr>
          <w:rFonts w:ascii="Times New Roman" w:hAnsi="Times New Roman" w:cs="Times New Roman"/>
          <w:sz w:val="24"/>
          <w:lang w:val="ro-RO"/>
        </w:rPr>
        <w:t xml:space="preserve"> și a termoficării și răcirii centralizate eficiente menţionate la Articolul 14 alineatul (1), Ministerul Economiei este asistat de Echipa Economică Germană în Moldova (GET Moldova). Primul pas a fost publicarea în septembrie 2015 a studiului “</w:t>
      </w:r>
      <w:r w:rsidRPr="009C5F11">
        <w:rPr>
          <w:rFonts w:ascii="Times New Roman" w:hAnsi="Times New Roman" w:cs="Times New Roman"/>
          <w:i/>
          <w:sz w:val="24"/>
          <w:lang w:val="ro-RO"/>
        </w:rPr>
        <w:t>Creşterea eficienţei energetice prin intermediul investiţiilor în CET-uri.</w:t>
      </w:r>
      <w:r w:rsidR="00BC2ED4" w:rsidRPr="009C5F11">
        <w:rPr>
          <w:rFonts w:ascii="Times New Roman" w:hAnsi="Times New Roman" w:cs="Times New Roman"/>
          <w:sz w:val="24"/>
          <w:lang w:val="ro-RO"/>
        </w:rPr>
        <w:t>”</w:t>
      </w:r>
      <w:r w:rsidR="001D3B30" w:rsidRPr="009C5F11">
        <w:rPr>
          <w:rStyle w:val="Referinnotdesubsol"/>
          <w:rFonts w:ascii="Times New Roman" w:hAnsi="Times New Roman" w:cs="Times New Roman"/>
          <w:sz w:val="24"/>
          <w:lang w:val="ro-RO"/>
        </w:rPr>
        <w:footnoteReference w:id="32"/>
      </w:r>
      <w:r w:rsidR="001D3B30" w:rsidRPr="009C5F11">
        <w:rPr>
          <w:rFonts w:ascii="Times New Roman" w:hAnsi="Times New Roman" w:cs="Times New Roman"/>
          <w:sz w:val="24"/>
          <w:lang w:val="ro-RO"/>
        </w:rPr>
        <w:t xml:space="preserve"> </w:t>
      </w:r>
    </w:p>
    <w:p w14:paraId="2136A226" w14:textId="7642AEDD" w:rsidR="00E92437" w:rsidRPr="009C5F11" w:rsidRDefault="00E92437"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eastAsia="Times New Roman" w:hAnsi="Times New Roman" w:cs="Times New Roman"/>
          <w:sz w:val="24"/>
          <w:lang w:val="ro-RO"/>
        </w:rPr>
        <w:t>Studiul analizează:</w:t>
      </w:r>
    </w:p>
    <w:p w14:paraId="47F7589B" w14:textId="77777777" w:rsidR="00E92437" w:rsidRPr="009C5F11" w:rsidRDefault="00E92437" w:rsidP="00334F3B">
      <w:pPr>
        <w:numPr>
          <w:ilvl w:val="0"/>
          <w:numId w:val="185"/>
        </w:numPr>
        <w:spacing w:before="240"/>
        <w:contextualSpacing/>
        <w:jc w:val="both"/>
        <w:textAlignment w:val="baseline"/>
        <w:rPr>
          <w:rFonts w:ascii="Times New Roman" w:eastAsia="Times New Roman" w:hAnsi="Times New Roman" w:cs="Times New Roman"/>
          <w:sz w:val="24"/>
          <w:lang w:val="ro-RO"/>
        </w:rPr>
      </w:pPr>
      <w:r w:rsidRPr="009C5F11">
        <w:rPr>
          <w:rFonts w:ascii="Times New Roman" w:eastAsia="Times New Roman" w:hAnsi="Times New Roman" w:cs="Times New Roman"/>
          <w:sz w:val="24"/>
          <w:lang w:val="ro-RO"/>
        </w:rPr>
        <w:t xml:space="preserve">Capacitatea centralelor CET existente şi a celor recent instalate; </w:t>
      </w:r>
    </w:p>
    <w:p w14:paraId="770F131D" w14:textId="77777777" w:rsidR="00E92437" w:rsidRPr="009C5F11" w:rsidRDefault="00E92437" w:rsidP="00334F3B">
      <w:pPr>
        <w:numPr>
          <w:ilvl w:val="0"/>
          <w:numId w:val="185"/>
        </w:numPr>
        <w:spacing w:before="240"/>
        <w:contextualSpacing/>
        <w:jc w:val="both"/>
        <w:textAlignment w:val="baseline"/>
        <w:rPr>
          <w:rFonts w:ascii="Times New Roman" w:eastAsia="Times New Roman" w:hAnsi="Times New Roman" w:cs="Times New Roman"/>
          <w:sz w:val="24"/>
          <w:lang w:val="ro-RO"/>
        </w:rPr>
      </w:pPr>
      <w:r w:rsidRPr="009C5F11">
        <w:rPr>
          <w:rFonts w:ascii="Times New Roman" w:eastAsia="Times New Roman" w:hAnsi="Times New Roman" w:cs="Times New Roman"/>
          <w:sz w:val="24"/>
          <w:lang w:val="ro-RO"/>
        </w:rPr>
        <w:t xml:space="preserve">Eficienţa energetică a capacităţii actuale a CET; </w:t>
      </w:r>
    </w:p>
    <w:p w14:paraId="185D3374" w14:textId="77777777" w:rsidR="00E92437" w:rsidRPr="009C5F11" w:rsidRDefault="00E92437" w:rsidP="00334F3B">
      <w:pPr>
        <w:numPr>
          <w:ilvl w:val="0"/>
          <w:numId w:val="185"/>
        </w:numPr>
        <w:spacing w:before="240"/>
        <w:contextualSpacing/>
        <w:jc w:val="both"/>
        <w:textAlignment w:val="baseline"/>
        <w:rPr>
          <w:rFonts w:ascii="Times New Roman" w:eastAsia="Times New Roman" w:hAnsi="Times New Roman" w:cs="Times New Roman"/>
          <w:sz w:val="24"/>
          <w:lang w:val="ro-RO"/>
        </w:rPr>
      </w:pPr>
      <w:r w:rsidRPr="009C5F11">
        <w:rPr>
          <w:rFonts w:ascii="Times New Roman" w:eastAsia="Times New Roman" w:hAnsi="Times New Roman" w:cs="Times New Roman"/>
          <w:sz w:val="24"/>
          <w:lang w:val="ro-RO"/>
        </w:rPr>
        <w:t>Legislaţia şi cadrul regulatoriu existent.</w:t>
      </w:r>
    </w:p>
    <w:p w14:paraId="4A8B9C9E" w14:textId="77777777" w:rsidR="00E92437" w:rsidRPr="009C5F11" w:rsidRDefault="00E92437" w:rsidP="005A7CC1">
      <w:pPr>
        <w:spacing w:before="120" w:after="120" w:line="240" w:lineRule="auto"/>
        <w:jc w:val="both"/>
        <w:rPr>
          <w:rFonts w:ascii="Times New Roman" w:hAnsi="Times New Roman" w:cs="Times New Roman"/>
          <w:sz w:val="24"/>
          <w:lang w:val="ro-RO"/>
        </w:rPr>
      </w:pPr>
    </w:p>
    <w:p w14:paraId="69042B11" w14:textId="7A990E5B" w:rsidR="005A7CC1" w:rsidRPr="009C5F11" w:rsidRDefault="00FD4E64" w:rsidP="00087B37">
      <w:pPr>
        <w:pStyle w:val="Listparagraf"/>
        <w:numPr>
          <w:ilvl w:val="0"/>
          <w:numId w:val="210"/>
        </w:numPr>
        <w:spacing w:before="240"/>
        <w:ind w:left="0" w:firstLine="142"/>
        <w:jc w:val="both"/>
        <w:textAlignment w:val="baseline"/>
        <w:rPr>
          <w:rFonts w:ascii="Times New Roman" w:hAnsi="Times New Roman" w:cs="Times New Roman"/>
          <w:sz w:val="24"/>
          <w:lang w:val="ro-RO"/>
        </w:rPr>
      </w:pPr>
      <w:r w:rsidRPr="009C5F11">
        <w:rPr>
          <w:rFonts w:ascii="Times New Roman" w:eastAsia="Times New Roman" w:hAnsi="Times New Roman" w:cs="Times New Roman"/>
          <w:sz w:val="24"/>
          <w:lang w:val="ro-RO"/>
        </w:rPr>
        <w:t xml:space="preserve">Investiţiile în ambele tipuri de centrale se consideră necesare în Moldova, iar un cadru perfecţionat pentru investitori este </w:t>
      </w:r>
      <w:r w:rsidR="009B2D44" w:rsidRPr="009C5F11">
        <w:rPr>
          <w:rFonts w:ascii="Times New Roman" w:eastAsia="Times New Roman" w:hAnsi="Times New Roman" w:cs="Times New Roman"/>
          <w:sz w:val="24"/>
          <w:lang w:val="ro-RO"/>
        </w:rPr>
        <w:t>esenţial</w:t>
      </w:r>
      <w:r w:rsidRPr="009C5F11">
        <w:rPr>
          <w:rFonts w:ascii="Times New Roman" w:eastAsia="Times New Roman" w:hAnsi="Times New Roman" w:cs="Times New Roman"/>
          <w:sz w:val="24"/>
          <w:lang w:val="ro-RO"/>
        </w:rPr>
        <w:t xml:space="preserve"> în scopul atragerii acestor investiţii. Pentru îndeplinirea obiectivelor de eficienţă energetică sunt necesare 2 tipuri de politici:</w:t>
      </w:r>
      <w:r w:rsidR="005A7CC1" w:rsidRPr="009C5F11">
        <w:rPr>
          <w:rFonts w:ascii="Times New Roman" w:hAnsi="Times New Roman" w:cs="Times New Roman"/>
          <w:sz w:val="24"/>
          <w:lang w:val="ro-RO"/>
        </w:rPr>
        <w:t xml:space="preserve"> </w:t>
      </w:r>
    </w:p>
    <w:p w14:paraId="5FF52AED" w14:textId="77777777" w:rsidR="005A7CC1" w:rsidRPr="009C5F11" w:rsidRDefault="00FD4E6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sz w:val="24"/>
          <w:lang w:val="ro-RO"/>
        </w:rPr>
        <w:t>Politici de îmbunătăţire a eficienţei energetice la CET existente</w:t>
      </w:r>
      <w:r w:rsidR="005A7CC1" w:rsidRPr="009C5F11">
        <w:rPr>
          <w:rFonts w:ascii="Times New Roman" w:hAnsi="Times New Roman" w:cs="Times New Roman"/>
          <w:sz w:val="24"/>
          <w:lang w:val="ro-RO"/>
        </w:rPr>
        <w:t>;</w:t>
      </w:r>
    </w:p>
    <w:p w14:paraId="5B7CBAAF" w14:textId="77777777" w:rsidR="005A7CC1" w:rsidRPr="009C5F11" w:rsidRDefault="00FD4E6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sz w:val="24"/>
          <w:lang w:val="ro-RO"/>
        </w:rPr>
        <w:t>Politici de asigurare a îndeplinirii standardelor înalte de eficienţă energetică de către CET-urile nou construite</w:t>
      </w:r>
      <w:r w:rsidR="005A7CC1" w:rsidRPr="009C5F11">
        <w:rPr>
          <w:rFonts w:ascii="Times New Roman" w:hAnsi="Times New Roman" w:cs="Times New Roman"/>
          <w:sz w:val="24"/>
          <w:lang w:val="ro-RO"/>
        </w:rPr>
        <w:t>.</w:t>
      </w:r>
    </w:p>
    <w:p w14:paraId="5B12BDB0" w14:textId="450C6089" w:rsidR="005A7CC1" w:rsidRPr="009C5F11" w:rsidRDefault="00273CDE"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Recomandările generale ale studiului realizat de GET sunt după cum urmează</w:t>
      </w:r>
      <w:r w:rsidR="005A7CC1" w:rsidRPr="009C5F11">
        <w:rPr>
          <w:rFonts w:ascii="Times New Roman" w:hAnsi="Times New Roman" w:cs="Times New Roman"/>
          <w:sz w:val="24"/>
          <w:lang w:val="ro-RO"/>
        </w:rPr>
        <w:t>:</w:t>
      </w:r>
    </w:p>
    <w:p w14:paraId="7903FB46" w14:textId="77777777" w:rsidR="00FD4E64" w:rsidRPr="009C5F11" w:rsidRDefault="00FD4E64" w:rsidP="00334F3B">
      <w:pPr>
        <w:numPr>
          <w:ilvl w:val="0"/>
          <w:numId w:val="186"/>
        </w:numPr>
        <w:spacing w:before="240"/>
        <w:contextualSpacing/>
        <w:jc w:val="both"/>
        <w:textAlignment w:val="baseline"/>
        <w:rPr>
          <w:rFonts w:ascii="Times New Roman" w:hAnsi="Times New Roman" w:cs="Times New Roman"/>
          <w:szCs w:val="18"/>
          <w:lang w:val="ro-RO"/>
        </w:rPr>
      </w:pPr>
      <w:r w:rsidRPr="009C5F11">
        <w:rPr>
          <w:rFonts w:ascii="Times New Roman" w:hAnsi="Times New Roman" w:cs="Times New Roman"/>
          <w:i/>
          <w:szCs w:val="18"/>
          <w:lang w:val="ro-RO"/>
        </w:rPr>
        <w:t>“Ca o precondiţie pentru orice investiţie în sectorul CET, se recomandă în mod special Guvernului să urmeze propunerile Băncii Mondiale şi să consolideze rolul reglementatorului, precum şi să implementeze politici independente de stabilire a tarifelor”.</w:t>
      </w:r>
      <w:r w:rsidRPr="009C5F11">
        <w:rPr>
          <w:rFonts w:ascii="Times New Roman" w:hAnsi="Times New Roman" w:cs="Times New Roman"/>
          <w:szCs w:val="18"/>
          <w:lang w:val="ro-RO"/>
        </w:rPr>
        <w:t xml:space="preserve"> (Proiectul de îmbunătăţire a eficienţei sectorului de alimentare centralizată cu energie termică”, Banca Mondială, 2014 p.23);</w:t>
      </w:r>
    </w:p>
    <w:p w14:paraId="28CBB3AD" w14:textId="77777777" w:rsidR="00FD4E64" w:rsidRPr="009C5F11" w:rsidRDefault="00FD4E64" w:rsidP="00334F3B">
      <w:pPr>
        <w:numPr>
          <w:ilvl w:val="0"/>
          <w:numId w:val="186"/>
        </w:numPr>
        <w:autoSpaceDE w:val="0"/>
        <w:autoSpaceDN w:val="0"/>
        <w:adjustRightInd w:val="0"/>
        <w:contextualSpacing/>
        <w:jc w:val="both"/>
        <w:rPr>
          <w:rFonts w:ascii="Times New Roman" w:hAnsi="Times New Roman" w:cs="Times New Roman"/>
          <w:bCs/>
          <w:szCs w:val="18"/>
          <w:lang w:val="ro-RO"/>
        </w:rPr>
      </w:pPr>
      <w:r w:rsidRPr="009C5F11">
        <w:rPr>
          <w:rFonts w:ascii="Times New Roman" w:hAnsi="Times New Roman" w:cs="Times New Roman"/>
          <w:i/>
          <w:iCs/>
          <w:szCs w:val="18"/>
          <w:lang w:val="ro-RO"/>
        </w:rPr>
        <w:t>“Guvernul ar trebui să considere asigurarea unui tarif fix simplu, transparent, reglementat pentru energia electrică produsă de centralele CET mici şi mijlocii. Un astfel de tarif ar trebui să fie stabilit la un nivel ce reflectă valoarea medie a tarifelor reglementate cost plus</w:t>
      </w:r>
      <w:r w:rsidRPr="009C5F11">
        <w:rPr>
          <w:rFonts w:ascii="Times New Roman" w:hAnsi="Times New Roman" w:cs="Times New Roman"/>
          <w:bCs/>
          <w:szCs w:val="18"/>
          <w:lang w:val="ro-RO"/>
        </w:rPr>
        <w:t>.”</w:t>
      </w:r>
    </w:p>
    <w:p w14:paraId="29B8C872" w14:textId="77777777" w:rsidR="00FD4E64" w:rsidRPr="009C5F11" w:rsidRDefault="00FD4E64" w:rsidP="00334F3B">
      <w:pPr>
        <w:numPr>
          <w:ilvl w:val="0"/>
          <w:numId w:val="186"/>
        </w:numPr>
        <w:autoSpaceDE w:val="0"/>
        <w:autoSpaceDN w:val="0"/>
        <w:adjustRightInd w:val="0"/>
        <w:contextualSpacing/>
        <w:jc w:val="both"/>
        <w:rPr>
          <w:rFonts w:ascii="Times New Roman" w:hAnsi="Times New Roman" w:cs="Times New Roman"/>
          <w:i/>
          <w:iCs/>
          <w:szCs w:val="18"/>
          <w:lang w:val="ro-RO"/>
        </w:rPr>
      </w:pPr>
      <w:r w:rsidRPr="009C5F11">
        <w:rPr>
          <w:rFonts w:ascii="Times New Roman" w:hAnsi="Times New Roman" w:cs="Times New Roman"/>
          <w:i/>
          <w:iCs/>
          <w:szCs w:val="18"/>
          <w:lang w:val="ro-RO"/>
        </w:rPr>
        <w:t>“În vederea asigurării unei cereri predictibile, în special, pentru investitori, luând în considerare crearea unor CET mici şi medii, Guvernul ar trebui să considere o obligaţie fixă, care să garanteze achiziţionarea de energie electrică produsă prin cogenerarea de o eficienţă energetică ridicată. Suplimentar, o astfel de obligaţie pentru energia electrică produsă de CET-uri este necesară în cazul în care Guvernul decide să reglementeze tarifele pentru CET-urile mici şi mijlocii.”</w:t>
      </w:r>
    </w:p>
    <w:p w14:paraId="30EE73AA" w14:textId="77777777" w:rsidR="00FD4E64" w:rsidRPr="009C5F11" w:rsidRDefault="00FD4E64" w:rsidP="00334F3B">
      <w:pPr>
        <w:numPr>
          <w:ilvl w:val="0"/>
          <w:numId w:val="186"/>
        </w:numPr>
        <w:autoSpaceDE w:val="0"/>
        <w:autoSpaceDN w:val="0"/>
        <w:adjustRightInd w:val="0"/>
        <w:contextualSpacing/>
        <w:jc w:val="both"/>
        <w:rPr>
          <w:rFonts w:ascii="Times New Roman" w:hAnsi="Times New Roman" w:cs="Times New Roman"/>
          <w:i/>
          <w:iCs/>
          <w:szCs w:val="18"/>
          <w:lang w:val="ro-RO"/>
        </w:rPr>
      </w:pPr>
      <w:r w:rsidRPr="009C5F11">
        <w:rPr>
          <w:rFonts w:ascii="Times New Roman" w:hAnsi="Times New Roman" w:cs="Times New Roman"/>
          <w:i/>
          <w:iCs/>
          <w:szCs w:val="18"/>
          <w:lang w:val="ro-RO"/>
        </w:rPr>
        <w:lastRenderedPageBreak/>
        <w:t>“Proiectul de îmbunătăţire a eficienţei sectorului de alimentare centralizată cu energie termică al Băncii Mondiale şi alte proiecte finanţate de donatori oferă o cale viabilă de sporire a calităţii serviciului şi reduce costul, fiind rupt cercul vicios de reducere a numărului de utilizatori ce rezultă în costuri şi mai mari.”</w:t>
      </w:r>
    </w:p>
    <w:p w14:paraId="46D807B7" w14:textId="77777777" w:rsidR="00FD4E64" w:rsidRPr="009C5F11" w:rsidRDefault="00FD4E64" w:rsidP="00334F3B">
      <w:pPr>
        <w:numPr>
          <w:ilvl w:val="0"/>
          <w:numId w:val="186"/>
        </w:numPr>
        <w:autoSpaceDE w:val="0"/>
        <w:autoSpaceDN w:val="0"/>
        <w:adjustRightInd w:val="0"/>
        <w:contextualSpacing/>
        <w:jc w:val="both"/>
        <w:rPr>
          <w:rFonts w:ascii="Times New Roman" w:hAnsi="Times New Roman" w:cs="Times New Roman"/>
          <w:i/>
          <w:iCs/>
          <w:szCs w:val="18"/>
          <w:lang w:val="ro-RO"/>
        </w:rPr>
      </w:pPr>
      <w:r w:rsidRPr="009C5F11">
        <w:rPr>
          <w:rFonts w:ascii="Times New Roman" w:hAnsi="Times New Roman" w:cs="Times New Roman"/>
          <w:bCs/>
          <w:szCs w:val="18"/>
          <w:lang w:val="ro-RO"/>
        </w:rPr>
        <w:t>“</w:t>
      </w:r>
      <w:r w:rsidRPr="009C5F11">
        <w:rPr>
          <w:rFonts w:ascii="Times New Roman" w:hAnsi="Times New Roman" w:cs="Times New Roman"/>
          <w:i/>
          <w:iCs/>
          <w:szCs w:val="18"/>
          <w:lang w:val="ro-RO"/>
        </w:rPr>
        <w:t>Suplimentar, Guvernul ar trebui să examineze dacă drepturile consumatorilor sistemului centralizat de termoficare sunt suficiente. Consumatorii au nevoie să poată apela la un observator neutru în cazul în care calitatea agentului termic şi a apei calde nu întruneşte anumite standarde minime.”</w:t>
      </w:r>
    </w:p>
    <w:p w14:paraId="68ACD1D8" w14:textId="77777777" w:rsidR="00FD4E64" w:rsidRPr="009C5F11" w:rsidRDefault="00FD4E64" w:rsidP="00334F3B">
      <w:pPr>
        <w:numPr>
          <w:ilvl w:val="0"/>
          <w:numId w:val="186"/>
        </w:numPr>
        <w:autoSpaceDE w:val="0"/>
        <w:autoSpaceDN w:val="0"/>
        <w:adjustRightInd w:val="0"/>
        <w:contextualSpacing/>
        <w:jc w:val="both"/>
        <w:rPr>
          <w:rFonts w:ascii="Times New Roman" w:hAnsi="Times New Roman" w:cs="Times New Roman"/>
          <w:i/>
          <w:iCs/>
          <w:szCs w:val="18"/>
          <w:lang w:val="ro-RO"/>
        </w:rPr>
      </w:pPr>
      <w:r w:rsidRPr="009C5F11">
        <w:rPr>
          <w:rFonts w:ascii="Times New Roman" w:hAnsi="Times New Roman" w:cs="Times New Roman"/>
          <w:bCs/>
          <w:i/>
          <w:szCs w:val="18"/>
          <w:lang w:val="ro-RO"/>
        </w:rPr>
        <w:t>“În cazul în care se bazează pe reţeaua sistemului centralizat de termoficare</w:t>
      </w:r>
      <w:r w:rsidRPr="009C5F11">
        <w:rPr>
          <w:rFonts w:ascii="Times New Roman" w:hAnsi="Times New Roman" w:cs="Times New Roman"/>
          <w:i/>
          <w:iCs/>
          <w:szCs w:val="18"/>
          <w:lang w:val="ro-RO"/>
        </w:rPr>
        <w:t>, clădirile din sectorul public ar trebui reconectate la această reţea în scopul sporirii cererii pentru energia termică.”</w:t>
      </w:r>
    </w:p>
    <w:p w14:paraId="48FB278E" w14:textId="77777777" w:rsidR="00FD4E64" w:rsidRPr="009C5F11" w:rsidRDefault="00FD4E64" w:rsidP="00334F3B">
      <w:pPr>
        <w:numPr>
          <w:ilvl w:val="0"/>
          <w:numId w:val="186"/>
        </w:numPr>
        <w:autoSpaceDE w:val="0"/>
        <w:autoSpaceDN w:val="0"/>
        <w:adjustRightInd w:val="0"/>
        <w:spacing w:before="240"/>
        <w:contextualSpacing/>
        <w:jc w:val="both"/>
        <w:textAlignment w:val="baseline"/>
        <w:rPr>
          <w:rFonts w:ascii="Times New Roman" w:eastAsia="Times New Roman" w:hAnsi="Times New Roman" w:cs="Times New Roman"/>
          <w:szCs w:val="18"/>
          <w:lang w:val="ro-RO"/>
        </w:rPr>
      </w:pPr>
      <w:r w:rsidRPr="009C5F11">
        <w:rPr>
          <w:rFonts w:ascii="Times New Roman" w:hAnsi="Times New Roman" w:cs="Times New Roman"/>
          <w:bCs/>
          <w:i/>
          <w:szCs w:val="18"/>
          <w:lang w:val="ro-RO"/>
        </w:rPr>
        <w:t>“Odată ce calitatea serviciului şi drepturile consumatorilor sunt asigurate, doar atunci pot fi garantate măsuri administrative care fac conectarea la reţeaua de termoficare centralizată obligatorie. Obligaţia de conectare la reţeaua de termoficare centralizată pare să nu fie suficient de obligatorie.</w:t>
      </w:r>
      <w:r w:rsidRPr="009C5F11">
        <w:rPr>
          <w:rFonts w:ascii="Times New Roman" w:eastAsia="Times New Roman" w:hAnsi="Times New Roman" w:cs="Times New Roman"/>
          <w:szCs w:val="18"/>
          <w:lang w:val="ro-RO"/>
        </w:rPr>
        <w:t>“</w:t>
      </w:r>
    </w:p>
    <w:p w14:paraId="6629557D" w14:textId="77777777" w:rsidR="005A7CC1" w:rsidRPr="009C5F11" w:rsidRDefault="005A7CC1" w:rsidP="005A7CC1">
      <w:pPr>
        <w:spacing w:before="120" w:after="120" w:line="240" w:lineRule="auto"/>
        <w:jc w:val="both"/>
        <w:rPr>
          <w:rFonts w:ascii="Times New Roman" w:hAnsi="Times New Roman" w:cs="Times New Roman"/>
          <w:sz w:val="24"/>
          <w:lang w:val="ro-RO"/>
        </w:rPr>
      </w:pPr>
    </w:p>
    <w:p w14:paraId="5AC1939F" w14:textId="152BD8DE" w:rsidR="008C1627" w:rsidRPr="009C5F11" w:rsidRDefault="008C1627"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NEEAP 2016-2018 include măsura specifica </w:t>
      </w:r>
      <w:r w:rsidRPr="009C5F11">
        <w:rPr>
          <w:rFonts w:ascii="Times New Roman" w:hAnsi="Times New Roman" w:cs="Times New Roman"/>
          <w:i/>
          <w:sz w:val="24"/>
          <w:lang w:val="ro-RO"/>
        </w:rPr>
        <w:t xml:space="preserve">E 6 - </w:t>
      </w:r>
      <w:r w:rsidR="005F4F17" w:rsidRPr="009C5F11">
        <w:rPr>
          <w:rFonts w:ascii="Times New Roman" w:hAnsi="Times New Roman" w:cs="Times New Roman"/>
          <w:i/>
          <w:sz w:val="24"/>
          <w:lang w:val="ro-RO"/>
        </w:rPr>
        <w:t>Evaluarea cuprinzătoare a potenţialului pentru aplicarea cogenerării de înaltă eficiență și a termoficării și răcirii centralizate eficiente</w:t>
      </w:r>
      <w:r w:rsidRPr="009C5F11">
        <w:rPr>
          <w:rFonts w:ascii="Times New Roman" w:hAnsi="Times New Roman" w:cs="Times New Roman"/>
          <w:i/>
          <w:sz w:val="24"/>
          <w:lang w:val="ro-RO"/>
        </w:rPr>
        <w:t>,</w:t>
      </w:r>
      <w:r w:rsidRPr="009C5F11">
        <w:rPr>
          <w:rFonts w:ascii="Times New Roman" w:hAnsi="Times New Roman" w:cs="Times New Roman"/>
          <w:sz w:val="24"/>
          <w:lang w:val="ro-RO"/>
        </w:rPr>
        <w:t xml:space="preserve"> dedicat</w:t>
      </w:r>
      <w:r w:rsidR="00024816"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îndeplinirii cerințelor EED în ceea ce privește cogenerare :</w:t>
      </w:r>
    </w:p>
    <w:p w14:paraId="4F49143A" w14:textId="77777777" w:rsidR="008C1627" w:rsidRPr="009C5F11" w:rsidRDefault="008C1627" w:rsidP="005A7CC1">
      <w:pPr>
        <w:spacing w:before="120" w:after="120" w:line="240" w:lineRule="auto"/>
        <w:jc w:val="both"/>
        <w:rPr>
          <w:rFonts w:ascii="Times New Roman" w:hAnsi="Times New Roman" w:cs="Times New Roman"/>
          <w:sz w:val="24"/>
          <w:lang w:val="ro-RO"/>
        </w:rPr>
      </w:pPr>
    </w:p>
    <w:p w14:paraId="4199CA44" w14:textId="77777777" w:rsidR="00BC2ED4" w:rsidRPr="00921CF1" w:rsidRDefault="00FD4E64" w:rsidP="00802640">
      <w:pPr>
        <w:pStyle w:val="Titlu3"/>
        <w:rPr>
          <w:rFonts w:ascii="Times New Roman" w:hAnsi="Times New Roman" w:cs="Times New Roman"/>
          <w:b/>
          <w:color w:val="000000" w:themeColor="text1"/>
          <w:sz w:val="28"/>
          <w:lang w:val="ro-RO"/>
        </w:rPr>
      </w:pPr>
      <w:bookmarkStart w:id="374" w:name="_Toc441419239"/>
      <w:bookmarkStart w:id="375" w:name="_Toc319555446"/>
      <w:bookmarkStart w:id="376" w:name="_Toc322013206"/>
      <w:r w:rsidRPr="00921CF1">
        <w:rPr>
          <w:rFonts w:ascii="Times New Roman" w:hAnsi="Times New Roman" w:cs="Times New Roman"/>
          <w:b/>
          <w:color w:val="000000" w:themeColor="text1"/>
          <w:sz w:val="28"/>
          <w:lang w:val="ro-RO"/>
        </w:rPr>
        <w:t xml:space="preserve">Alte măsuri de abordare a încălzirii şi răcirii eficiente </w:t>
      </w:r>
      <w:r w:rsidR="00BC2ED4" w:rsidRPr="00921CF1">
        <w:rPr>
          <w:rFonts w:ascii="Times New Roman" w:hAnsi="Times New Roman" w:cs="Times New Roman"/>
          <w:b/>
          <w:color w:val="000000" w:themeColor="text1"/>
          <w:sz w:val="28"/>
          <w:lang w:val="ro-RO"/>
        </w:rPr>
        <w:t>(</w:t>
      </w:r>
      <w:r w:rsidR="00CB011F" w:rsidRPr="00921CF1">
        <w:rPr>
          <w:rFonts w:ascii="Times New Roman" w:hAnsi="Times New Roman" w:cs="Times New Roman"/>
          <w:b/>
          <w:color w:val="000000" w:themeColor="text1"/>
          <w:sz w:val="28"/>
          <w:lang w:val="ro-RO"/>
        </w:rPr>
        <w:t>DEE</w:t>
      </w:r>
      <w:r w:rsidRPr="00921CF1">
        <w:rPr>
          <w:rFonts w:ascii="Times New Roman" w:hAnsi="Times New Roman" w:cs="Times New Roman"/>
          <w:b/>
          <w:color w:val="000000" w:themeColor="text1"/>
          <w:sz w:val="28"/>
          <w:lang w:val="ro-RO"/>
        </w:rPr>
        <w:t>,</w:t>
      </w:r>
      <w:r w:rsidR="00BC2ED4" w:rsidRPr="00921CF1">
        <w:rPr>
          <w:rFonts w:ascii="Times New Roman" w:hAnsi="Times New Roman" w:cs="Times New Roman"/>
          <w:b/>
          <w:color w:val="000000" w:themeColor="text1"/>
          <w:sz w:val="28"/>
          <w:lang w:val="ro-RO"/>
        </w:rPr>
        <w:t xml:space="preserve"> </w:t>
      </w:r>
      <w:r w:rsidR="000A4CC7" w:rsidRPr="00921CF1">
        <w:rPr>
          <w:rFonts w:ascii="Times New Roman" w:hAnsi="Times New Roman" w:cs="Times New Roman"/>
          <w:b/>
          <w:color w:val="000000" w:themeColor="text1"/>
          <w:sz w:val="28"/>
          <w:lang w:val="ro-RO"/>
        </w:rPr>
        <w:t>Articolul</w:t>
      </w:r>
      <w:r w:rsidR="00BC2ED4" w:rsidRPr="00921CF1">
        <w:rPr>
          <w:rFonts w:ascii="Times New Roman" w:hAnsi="Times New Roman" w:cs="Times New Roman"/>
          <w:b/>
          <w:color w:val="000000" w:themeColor="text1"/>
          <w:sz w:val="28"/>
          <w:lang w:val="ro-RO"/>
        </w:rPr>
        <w:t xml:space="preserve"> 14)</w:t>
      </w:r>
      <w:bookmarkEnd w:id="374"/>
      <w:bookmarkEnd w:id="375"/>
      <w:r w:rsidRPr="00921CF1">
        <w:rPr>
          <w:rFonts w:ascii="Times New Roman" w:hAnsi="Times New Roman" w:cs="Times New Roman"/>
          <w:b/>
          <w:color w:val="000000" w:themeColor="text1"/>
          <w:sz w:val="28"/>
          <w:lang w:val="ro-RO"/>
        </w:rPr>
        <w:t>.</w:t>
      </w:r>
      <w:bookmarkEnd w:id="376"/>
    </w:p>
    <w:p w14:paraId="43F15A56" w14:textId="1240142C" w:rsidR="00BC2ED4" w:rsidRPr="009C5F11" w:rsidRDefault="00FD4E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cadrul</w:t>
      </w:r>
      <w:r w:rsidR="00BC2ED4" w:rsidRPr="009C5F11">
        <w:rPr>
          <w:rFonts w:ascii="Times New Roman" w:hAnsi="Times New Roman" w:cs="Times New Roman"/>
          <w:sz w:val="24"/>
          <w:lang w:val="ro-RO"/>
        </w:rPr>
        <w:t xml:space="preserve"> </w:t>
      </w:r>
      <w:r w:rsidR="00D4035F" w:rsidRPr="009C5F11">
        <w:rPr>
          <w:rFonts w:ascii="Times New Roman" w:hAnsi="Times New Roman" w:cs="Times New Roman"/>
          <w:sz w:val="24"/>
          <w:lang w:val="ro-RO"/>
        </w:rPr>
        <w:t>PNAEE</w:t>
      </w:r>
      <w:r w:rsidR="00BC2ED4" w:rsidRPr="009C5F11">
        <w:rPr>
          <w:rFonts w:ascii="Times New Roman" w:hAnsi="Times New Roman" w:cs="Times New Roman"/>
          <w:sz w:val="24"/>
          <w:lang w:val="ro-RO"/>
        </w:rPr>
        <w:t xml:space="preserve"> 2013-2015 </w:t>
      </w:r>
      <w:r w:rsidRPr="009C5F11">
        <w:rPr>
          <w:rFonts w:ascii="Times New Roman" w:hAnsi="Times New Roman" w:cs="Times New Roman"/>
          <w:sz w:val="24"/>
          <w:lang w:val="ro-RO"/>
        </w:rPr>
        <w:t xml:space="preserve">sunt incluse 2 măsuri </w:t>
      </w:r>
      <w:r w:rsidR="00BC2ED4" w:rsidRPr="009C5F11">
        <w:rPr>
          <w:rFonts w:ascii="Times New Roman" w:hAnsi="Times New Roman" w:cs="Times New Roman"/>
          <w:sz w:val="24"/>
          <w:lang w:val="ro-RO"/>
        </w:rPr>
        <w:t>specific</w:t>
      </w:r>
      <w:r w:rsidRPr="009C5F11">
        <w:rPr>
          <w:rFonts w:ascii="Times New Roman" w:hAnsi="Times New Roman" w:cs="Times New Roman"/>
          <w:sz w:val="24"/>
          <w:lang w:val="ro-RO"/>
        </w:rPr>
        <w:t>e la acest capitol</w:t>
      </w:r>
      <w:r w:rsidR="00BC2ED4" w:rsidRPr="009C5F11">
        <w:rPr>
          <w:rFonts w:ascii="Times New Roman" w:hAnsi="Times New Roman" w:cs="Times New Roman"/>
          <w:sz w:val="24"/>
          <w:lang w:val="ro-RO"/>
        </w:rPr>
        <w:t>:</w:t>
      </w:r>
    </w:p>
    <w:p w14:paraId="1D236199" w14:textId="77777777" w:rsidR="00BC2ED4" w:rsidRPr="009C5F11" w:rsidRDefault="00FD4E6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Măsura</w:t>
      </w:r>
      <w:r w:rsidR="00BC2ED4" w:rsidRPr="009C5F11">
        <w:rPr>
          <w:rFonts w:ascii="Times New Roman" w:hAnsi="Times New Roman" w:cs="Times New Roman"/>
          <w:sz w:val="24"/>
          <w:lang w:val="ro-RO"/>
        </w:rPr>
        <w:t xml:space="preserve"> 114: </w:t>
      </w:r>
      <w:r w:rsidR="003D35EE" w:rsidRPr="009C5F11">
        <w:rPr>
          <w:rFonts w:ascii="Times New Roman" w:hAnsi="Times New Roman" w:cs="Times New Roman"/>
          <w:sz w:val="24"/>
          <w:lang w:val="ro-RO"/>
        </w:rPr>
        <w:t xml:space="preserve">Elaborarea cadrului normativ şi </w:t>
      </w:r>
      <w:r w:rsidRPr="009C5F11">
        <w:rPr>
          <w:rFonts w:ascii="Times New Roman" w:hAnsi="Times New Roman" w:cs="Times New Roman"/>
          <w:sz w:val="24"/>
          <w:lang w:val="ro-RO"/>
        </w:rPr>
        <w:t>elaborarea</w:t>
      </w:r>
      <w:r w:rsidR="003D35EE" w:rsidRPr="009C5F11">
        <w:rPr>
          <w:rFonts w:ascii="Times New Roman" w:hAnsi="Times New Roman" w:cs="Times New Roman"/>
          <w:sz w:val="24"/>
          <w:lang w:val="ro-RO"/>
        </w:rPr>
        <w:t xml:space="preserve"> sistemului de monitorizare pentru sectorul termoenergetic</w:t>
      </w:r>
      <w:r w:rsidR="009B2D44" w:rsidRPr="009C5F11">
        <w:rPr>
          <w:rFonts w:ascii="Times New Roman" w:hAnsi="Times New Roman" w:cs="Times New Roman"/>
          <w:sz w:val="24"/>
          <w:lang w:val="ro-RO"/>
        </w:rPr>
        <w:t>;</w:t>
      </w:r>
      <w:r w:rsidR="00BC2ED4" w:rsidRPr="009C5F11">
        <w:rPr>
          <w:rFonts w:ascii="Times New Roman" w:hAnsi="Times New Roman" w:cs="Times New Roman"/>
          <w:sz w:val="24"/>
          <w:lang w:val="ro-RO"/>
        </w:rPr>
        <w:t xml:space="preserve"> </w:t>
      </w:r>
    </w:p>
    <w:p w14:paraId="7163E194" w14:textId="77777777" w:rsidR="00BC2ED4" w:rsidRPr="009C5F11" w:rsidRDefault="00FD4E6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Măsura</w:t>
      </w:r>
      <w:r w:rsidR="00BC2ED4" w:rsidRPr="009C5F11">
        <w:rPr>
          <w:rFonts w:ascii="Times New Roman" w:hAnsi="Times New Roman" w:cs="Times New Roman"/>
          <w:sz w:val="24"/>
          <w:lang w:val="ro-RO"/>
        </w:rPr>
        <w:t xml:space="preserve"> 101: </w:t>
      </w:r>
      <w:r w:rsidR="003D35EE" w:rsidRPr="009C5F11">
        <w:rPr>
          <w:rFonts w:ascii="Times New Roman" w:hAnsi="Times New Roman" w:cs="Times New Roman"/>
          <w:sz w:val="24"/>
          <w:lang w:val="ro-RO"/>
        </w:rPr>
        <w:t>Programe proprii de eficienţă energetică ale sectorului termoenergetic</w:t>
      </w:r>
      <w:r w:rsidRPr="009C5F11">
        <w:rPr>
          <w:rFonts w:ascii="Times New Roman" w:hAnsi="Times New Roman" w:cs="Times New Roman"/>
          <w:sz w:val="24"/>
          <w:lang w:val="ro-RO"/>
        </w:rPr>
        <w:t>.</w:t>
      </w:r>
    </w:p>
    <w:p w14:paraId="1FD1D10C" w14:textId="6FD6BA0D" w:rsidR="00BC2ED4" w:rsidRPr="009C5F11" w:rsidRDefault="00FD4E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Ca şi multe </w:t>
      </w:r>
      <w:r w:rsidR="009B2D44" w:rsidRPr="009C5F11">
        <w:rPr>
          <w:rFonts w:ascii="Times New Roman" w:hAnsi="Times New Roman" w:cs="Times New Roman"/>
          <w:sz w:val="24"/>
          <w:lang w:val="ro-RO"/>
        </w:rPr>
        <w:t xml:space="preserve">alte </w:t>
      </w:r>
      <w:r w:rsidRPr="009C5F11">
        <w:rPr>
          <w:rFonts w:ascii="Times New Roman" w:hAnsi="Times New Roman" w:cs="Times New Roman"/>
          <w:sz w:val="24"/>
          <w:lang w:val="ro-RO"/>
        </w:rPr>
        <w:t xml:space="preserve">ţări cu active de cogenerare/ termoficare învechite, </w:t>
      </w:r>
      <w:r w:rsidR="009B2D44" w:rsidRPr="009C5F11">
        <w:rPr>
          <w:rFonts w:ascii="Times New Roman" w:hAnsi="Times New Roman" w:cs="Times New Roman"/>
          <w:sz w:val="24"/>
          <w:lang w:val="ro-RO"/>
        </w:rPr>
        <w:t xml:space="preserve">Republica </w:t>
      </w:r>
      <w:r w:rsidRPr="009C5F11">
        <w:rPr>
          <w:rFonts w:ascii="Times New Roman" w:hAnsi="Times New Roman" w:cs="Times New Roman"/>
          <w:sz w:val="24"/>
          <w:lang w:val="ro-RO"/>
        </w:rPr>
        <w:t xml:space="preserve">Moldova se confruntă în ultimii ani cu probleme tehnice, financiare şi instituţionale în ceea ce priveşte furnizarea de energie termică centralizată atât </w:t>
      </w:r>
      <w:r w:rsidR="009B2D44" w:rsidRPr="009C5F11">
        <w:rPr>
          <w:rFonts w:ascii="Times New Roman" w:hAnsi="Times New Roman" w:cs="Times New Roman"/>
          <w:sz w:val="24"/>
          <w:lang w:val="ro-RO"/>
        </w:rPr>
        <w:t>î</w:t>
      </w:r>
      <w:r w:rsidRPr="009C5F11">
        <w:rPr>
          <w:rFonts w:ascii="Times New Roman" w:hAnsi="Times New Roman" w:cs="Times New Roman"/>
          <w:sz w:val="24"/>
          <w:lang w:val="ro-RO"/>
        </w:rPr>
        <w:t xml:space="preserve">n Chișinău, cât şi </w:t>
      </w:r>
      <w:r w:rsidR="009B2D44" w:rsidRPr="009C5F11">
        <w:rPr>
          <w:rFonts w:ascii="Times New Roman" w:hAnsi="Times New Roman" w:cs="Times New Roman"/>
          <w:sz w:val="24"/>
          <w:lang w:val="ro-RO"/>
        </w:rPr>
        <w:t>î</w:t>
      </w:r>
      <w:r w:rsidRPr="009C5F11">
        <w:rPr>
          <w:rFonts w:ascii="Times New Roman" w:hAnsi="Times New Roman" w:cs="Times New Roman"/>
          <w:sz w:val="24"/>
          <w:lang w:val="ro-RO"/>
        </w:rPr>
        <w:t>n Bălţi. Datele statistice privind de</w:t>
      </w:r>
      <w:r w:rsidR="009B2D44" w:rsidRPr="009C5F11">
        <w:rPr>
          <w:rFonts w:ascii="Times New Roman" w:hAnsi="Times New Roman" w:cs="Times New Roman"/>
          <w:sz w:val="24"/>
          <w:lang w:val="ro-RO"/>
        </w:rPr>
        <w:t>branşările</w:t>
      </w:r>
      <w:r w:rsidRPr="009C5F11">
        <w:rPr>
          <w:rFonts w:ascii="Times New Roman" w:hAnsi="Times New Roman" w:cs="Times New Roman"/>
          <w:sz w:val="24"/>
          <w:lang w:val="ro-RO"/>
        </w:rPr>
        <w:t xml:space="preserve"> </w:t>
      </w:r>
      <w:r w:rsidR="009B2D44" w:rsidRPr="009C5F11">
        <w:rPr>
          <w:rFonts w:ascii="Times New Roman" w:hAnsi="Times New Roman" w:cs="Times New Roman"/>
          <w:sz w:val="24"/>
          <w:lang w:val="ro-RO"/>
        </w:rPr>
        <w:t>î</w:t>
      </w:r>
      <w:r w:rsidRPr="009C5F11">
        <w:rPr>
          <w:rFonts w:ascii="Times New Roman" w:hAnsi="Times New Roman" w:cs="Times New Roman"/>
          <w:sz w:val="24"/>
          <w:lang w:val="ro-RO"/>
        </w:rPr>
        <w:t>n Chișinău sunt incluse în</w:t>
      </w:r>
      <w:r w:rsidR="001924AE"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1924AE" w:rsidRPr="009C5F11">
        <w:rPr>
          <w:rFonts w:ascii="Times New Roman" w:hAnsi="Times New Roman" w:cs="Times New Roman"/>
          <w:sz w:val="24"/>
          <w:lang w:val="ro-RO"/>
        </w:rPr>
        <w:instrText xml:space="preserve"> REF _Ref319686268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40</w:t>
      </w:r>
      <w:r w:rsidR="003A6ADB" w:rsidRPr="009C5F11">
        <w:rPr>
          <w:rFonts w:ascii="Times New Roman" w:hAnsi="Times New Roman" w:cs="Times New Roman"/>
          <w:sz w:val="24"/>
          <w:lang w:val="ro-RO"/>
        </w:rPr>
        <w:fldChar w:fldCharType="end"/>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Debranşările se datorează introducerii în funcţiune a unor cazane individuale care asigură </w:t>
      </w:r>
      <w:r w:rsidR="009B2D44" w:rsidRPr="009C5F11">
        <w:rPr>
          <w:rFonts w:ascii="Times New Roman" w:hAnsi="Times New Roman" w:cs="Times New Roman"/>
          <w:sz w:val="24"/>
          <w:lang w:val="ro-RO"/>
        </w:rPr>
        <w:t>confort/</w:t>
      </w:r>
      <w:r w:rsidRPr="009C5F11">
        <w:rPr>
          <w:rFonts w:ascii="Times New Roman" w:hAnsi="Times New Roman" w:cs="Times New Roman"/>
          <w:sz w:val="24"/>
          <w:lang w:val="ro-RO"/>
        </w:rPr>
        <w:t>calitate sporit</w:t>
      </w:r>
      <w:r w:rsidR="009B2D44" w:rsidRPr="009C5F11">
        <w:rPr>
          <w:rFonts w:ascii="Times New Roman" w:hAnsi="Times New Roman" w:cs="Times New Roman"/>
          <w:sz w:val="24"/>
          <w:lang w:val="ro-RO"/>
        </w:rPr>
        <w:t>/</w:t>
      </w:r>
      <w:r w:rsidRPr="009C5F11">
        <w:rPr>
          <w:rFonts w:ascii="Times New Roman" w:hAnsi="Times New Roman" w:cs="Times New Roman"/>
          <w:sz w:val="24"/>
          <w:lang w:val="ro-RO"/>
        </w:rPr>
        <w:t>ă cetăţenilor mai înstăriţi din Chișinău, dar care afectează în mod progresiv calitatea şi costurile sistemului de furnizare centralizat</w:t>
      </w:r>
      <w:r w:rsidR="009B2D44" w:rsidRPr="009C5F11">
        <w:rPr>
          <w:rFonts w:ascii="Times New Roman" w:hAnsi="Times New Roman" w:cs="Times New Roman"/>
          <w:sz w:val="24"/>
          <w:lang w:val="ro-RO"/>
        </w:rPr>
        <w:t>ă a energiei termice</w:t>
      </w:r>
      <w:r w:rsidRPr="009C5F11">
        <w:rPr>
          <w:rFonts w:ascii="Times New Roman" w:hAnsi="Times New Roman" w:cs="Times New Roman"/>
          <w:sz w:val="24"/>
          <w:lang w:val="ro-RO"/>
        </w:rPr>
        <w:t xml:space="preserve"> şi, în cele din urmă, afectează bunăstarea consumatorilor nevoiaşi. Îmbunătăţirea condiţiilor sistemului de furnizare a energiei termice ar trebui abordat din perspectiva sărăciei energetice care afectează</w:t>
      </w:r>
      <w:r w:rsidR="009B2D44"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preponderent</w:t>
      </w:r>
      <w:r w:rsidR="009B2D44"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populaţia vulnerabilă</w:t>
      </w:r>
      <w:r w:rsidR="009B2D44" w:rsidRPr="009C5F11">
        <w:rPr>
          <w:rFonts w:ascii="Times New Roman" w:hAnsi="Times New Roman" w:cs="Times New Roman"/>
          <w:sz w:val="24"/>
          <w:lang w:val="ro-RO"/>
        </w:rPr>
        <w:t>.</w:t>
      </w:r>
    </w:p>
    <w:p w14:paraId="4F4D6A96" w14:textId="77777777" w:rsidR="00CB6A7F" w:rsidRPr="009C5F11" w:rsidRDefault="00CB6A7F" w:rsidP="001D323B">
      <w:pPr>
        <w:spacing w:before="120" w:after="120" w:line="240" w:lineRule="auto"/>
        <w:jc w:val="both"/>
        <w:rPr>
          <w:rFonts w:ascii="Times New Roman" w:hAnsi="Times New Roman" w:cs="Times New Roman"/>
          <w:sz w:val="24"/>
          <w:lang w:val="ro-RO"/>
        </w:rPr>
      </w:pPr>
    </w:p>
    <w:p w14:paraId="67FEE34B" w14:textId="77777777" w:rsidR="001924AE" w:rsidRPr="009C5F11" w:rsidRDefault="00321CD5" w:rsidP="001924AE">
      <w:pPr>
        <w:pStyle w:val="Legend"/>
        <w:keepNext/>
        <w:jc w:val="center"/>
        <w:rPr>
          <w:rFonts w:ascii="Times New Roman" w:hAnsi="Times New Roman" w:cs="Times New Roman"/>
          <w:sz w:val="22"/>
          <w:lang w:val="ro-RO"/>
        </w:rPr>
      </w:pPr>
      <w:bookmarkStart w:id="377" w:name="_Ref319686268"/>
      <w:bookmarkStart w:id="378" w:name="_Toc322013263"/>
      <w:r w:rsidRPr="009C5F11">
        <w:rPr>
          <w:rFonts w:ascii="Times New Roman" w:hAnsi="Times New Roman" w:cs="Times New Roman"/>
          <w:sz w:val="22"/>
          <w:lang w:val="ro-RO"/>
        </w:rPr>
        <w:t>Tabelul</w:t>
      </w:r>
      <w:r w:rsidR="001924AE"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1924AE"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40</w:t>
      </w:r>
      <w:r w:rsidR="003A6ADB" w:rsidRPr="009C5F11">
        <w:rPr>
          <w:rFonts w:ascii="Times New Roman" w:hAnsi="Times New Roman" w:cs="Times New Roman"/>
          <w:sz w:val="22"/>
          <w:lang w:val="ro-RO"/>
        </w:rPr>
        <w:fldChar w:fldCharType="end"/>
      </w:r>
      <w:bookmarkEnd w:id="377"/>
      <w:r w:rsidR="001924AE" w:rsidRPr="009C5F11">
        <w:rPr>
          <w:rFonts w:ascii="Times New Roman" w:hAnsi="Times New Roman" w:cs="Times New Roman"/>
          <w:sz w:val="22"/>
          <w:lang w:val="ro-RO"/>
        </w:rPr>
        <w:t xml:space="preserve"> - </w:t>
      </w:r>
      <w:r w:rsidR="00FD4E64" w:rsidRPr="009C5F11">
        <w:rPr>
          <w:rFonts w:ascii="Times New Roman" w:hAnsi="Times New Roman" w:cs="Times New Roman"/>
          <w:sz w:val="22"/>
          <w:lang w:val="ro-RO"/>
        </w:rPr>
        <w:t>Debranşări de la sistemul de încălzire centralizată din Chișinău.</w:t>
      </w:r>
      <w:bookmarkEnd w:id="378"/>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2695"/>
        <w:gridCol w:w="1652"/>
        <w:gridCol w:w="1565"/>
        <w:gridCol w:w="1576"/>
        <w:gridCol w:w="1755"/>
      </w:tblGrid>
      <w:tr w:rsidR="00BC2ED4" w:rsidRPr="009C5F11" w14:paraId="2509E158" w14:textId="77777777" w:rsidTr="001924AE">
        <w:trPr>
          <w:jc w:val="center"/>
        </w:trPr>
        <w:tc>
          <w:tcPr>
            <w:tcW w:w="2695" w:type="dxa"/>
            <w:shd w:val="clear" w:color="auto" w:fill="000080"/>
          </w:tcPr>
          <w:p w14:paraId="3862962E" w14:textId="77777777" w:rsidR="00BC2ED4" w:rsidRPr="009C5F11" w:rsidRDefault="00BC2ED4" w:rsidP="00430626">
            <w:pPr>
              <w:textAlignment w:val="baseline"/>
              <w:rPr>
                <w:rFonts w:ascii="Times New Roman" w:eastAsia="Calibri" w:hAnsi="Times New Roman" w:cs="Times New Roman"/>
                <w:b/>
                <w:sz w:val="20"/>
                <w:szCs w:val="16"/>
                <w:lang w:val="ro-RO"/>
              </w:rPr>
            </w:pPr>
            <w:r w:rsidRPr="009C5F11">
              <w:rPr>
                <w:rFonts w:ascii="Times New Roman" w:eastAsia="Calibri" w:hAnsi="Times New Roman" w:cs="Times New Roman"/>
                <w:b/>
                <w:sz w:val="20"/>
                <w:szCs w:val="16"/>
                <w:lang w:val="ro-RO"/>
              </w:rPr>
              <w:t>Time period</w:t>
            </w:r>
          </w:p>
        </w:tc>
        <w:tc>
          <w:tcPr>
            <w:tcW w:w="1652" w:type="dxa"/>
            <w:shd w:val="clear" w:color="auto" w:fill="000080"/>
          </w:tcPr>
          <w:p w14:paraId="392825B3" w14:textId="77777777" w:rsidR="00BC2ED4" w:rsidRPr="009C5F11" w:rsidRDefault="00BC2ED4" w:rsidP="00430626">
            <w:pPr>
              <w:textAlignment w:val="baseline"/>
              <w:rPr>
                <w:rFonts w:ascii="Times New Roman" w:eastAsia="Calibri" w:hAnsi="Times New Roman" w:cs="Times New Roman"/>
                <w:b/>
                <w:sz w:val="20"/>
                <w:szCs w:val="16"/>
                <w:lang w:val="ro-RO"/>
              </w:rPr>
            </w:pPr>
            <w:r w:rsidRPr="009C5F11">
              <w:rPr>
                <w:rFonts w:ascii="Times New Roman" w:eastAsia="Calibri" w:hAnsi="Times New Roman" w:cs="Times New Roman"/>
                <w:b/>
                <w:sz w:val="20"/>
                <w:szCs w:val="16"/>
                <w:lang w:val="ro-RO"/>
              </w:rPr>
              <w:t xml:space="preserve"> 2000-2002</w:t>
            </w:r>
          </w:p>
        </w:tc>
        <w:tc>
          <w:tcPr>
            <w:tcW w:w="1565" w:type="dxa"/>
            <w:shd w:val="clear" w:color="auto" w:fill="000080"/>
          </w:tcPr>
          <w:p w14:paraId="543B0657" w14:textId="77777777" w:rsidR="00BC2ED4" w:rsidRPr="009C5F11" w:rsidRDefault="00BC2ED4" w:rsidP="00430626">
            <w:pPr>
              <w:textAlignment w:val="baseline"/>
              <w:rPr>
                <w:rFonts w:ascii="Times New Roman" w:eastAsia="Calibri" w:hAnsi="Times New Roman" w:cs="Times New Roman"/>
                <w:b/>
                <w:sz w:val="20"/>
                <w:szCs w:val="16"/>
                <w:lang w:val="ro-RO"/>
              </w:rPr>
            </w:pPr>
            <w:r w:rsidRPr="009C5F11">
              <w:rPr>
                <w:rFonts w:ascii="Times New Roman" w:eastAsia="Calibri" w:hAnsi="Times New Roman" w:cs="Times New Roman"/>
                <w:b/>
                <w:sz w:val="20"/>
                <w:szCs w:val="16"/>
                <w:lang w:val="ro-RO"/>
              </w:rPr>
              <w:t xml:space="preserve"> 2003-2005</w:t>
            </w:r>
          </w:p>
        </w:tc>
        <w:tc>
          <w:tcPr>
            <w:tcW w:w="1576" w:type="dxa"/>
            <w:shd w:val="clear" w:color="auto" w:fill="000080"/>
          </w:tcPr>
          <w:p w14:paraId="776F07ED" w14:textId="77777777" w:rsidR="00BC2ED4" w:rsidRPr="009C5F11" w:rsidRDefault="00BC2ED4" w:rsidP="00430626">
            <w:pPr>
              <w:textAlignment w:val="baseline"/>
              <w:rPr>
                <w:rFonts w:ascii="Times New Roman" w:eastAsia="Calibri" w:hAnsi="Times New Roman" w:cs="Times New Roman"/>
                <w:b/>
                <w:sz w:val="20"/>
                <w:szCs w:val="16"/>
                <w:lang w:val="ro-RO"/>
              </w:rPr>
            </w:pPr>
            <w:r w:rsidRPr="009C5F11">
              <w:rPr>
                <w:rFonts w:ascii="Times New Roman" w:eastAsia="Calibri" w:hAnsi="Times New Roman" w:cs="Times New Roman"/>
                <w:b/>
                <w:sz w:val="20"/>
                <w:szCs w:val="16"/>
                <w:lang w:val="ro-RO"/>
              </w:rPr>
              <w:t xml:space="preserve"> 2006-2008</w:t>
            </w:r>
          </w:p>
        </w:tc>
        <w:tc>
          <w:tcPr>
            <w:tcW w:w="1755" w:type="dxa"/>
            <w:shd w:val="clear" w:color="auto" w:fill="000080"/>
          </w:tcPr>
          <w:p w14:paraId="79900482" w14:textId="77777777" w:rsidR="00BC2ED4" w:rsidRPr="009C5F11" w:rsidRDefault="00BC2ED4" w:rsidP="00430626">
            <w:pPr>
              <w:textAlignment w:val="baseline"/>
              <w:rPr>
                <w:rFonts w:ascii="Times New Roman" w:eastAsia="Calibri" w:hAnsi="Times New Roman" w:cs="Times New Roman"/>
                <w:b/>
                <w:sz w:val="20"/>
                <w:szCs w:val="16"/>
                <w:lang w:val="ro-RO"/>
              </w:rPr>
            </w:pPr>
            <w:r w:rsidRPr="009C5F11">
              <w:rPr>
                <w:rFonts w:ascii="Times New Roman" w:eastAsia="Calibri" w:hAnsi="Times New Roman" w:cs="Times New Roman"/>
                <w:b/>
                <w:sz w:val="20"/>
                <w:szCs w:val="16"/>
                <w:lang w:val="ro-RO"/>
              </w:rPr>
              <w:t xml:space="preserve"> 2009-2011</w:t>
            </w:r>
          </w:p>
        </w:tc>
      </w:tr>
      <w:tr w:rsidR="00FD4E64" w:rsidRPr="009C5F11" w14:paraId="4DA3EFEE" w14:textId="77777777" w:rsidTr="00430626">
        <w:trPr>
          <w:jc w:val="center"/>
        </w:trPr>
        <w:tc>
          <w:tcPr>
            <w:tcW w:w="2695" w:type="dxa"/>
            <w:shd w:val="clear" w:color="auto" w:fill="auto"/>
          </w:tcPr>
          <w:p w14:paraId="0716B906" w14:textId="77777777" w:rsidR="00FD4E64" w:rsidRPr="009C5F11" w:rsidRDefault="00FD4E64" w:rsidP="00AF3F8A">
            <w:pPr>
              <w:textAlignment w:val="baseline"/>
              <w:rPr>
                <w:rFonts w:ascii="Times New Roman" w:eastAsia="Calibri" w:hAnsi="Times New Roman" w:cs="Times New Roman"/>
                <w:lang w:val="ro-RO"/>
              </w:rPr>
            </w:pPr>
            <w:r w:rsidRPr="009C5F11">
              <w:rPr>
                <w:rFonts w:ascii="Times New Roman" w:eastAsia="Calibri" w:hAnsi="Times New Roman" w:cs="Times New Roman"/>
                <w:lang w:val="ro-RO"/>
              </w:rPr>
              <w:t>Apartamentele debranşate</w:t>
            </w:r>
          </w:p>
        </w:tc>
        <w:tc>
          <w:tcPr>
            <w:tcW w:w="1652" w:type="dxa"/>
            <w:shd w:val="clear" w:color="auto" w:fill="auto"/>
          </w:tcPr>
          <w:p w14:paraId="0DC4DCAC" w14:textId="77777777" w:rsidR="00FD4E64" w:rsidRPr="009C5F11" w:rsidRDefault="00FD4E64" w:rsidP="00430626">
            <w:pPr>
              <w:textAlignment w:val="baseline"/>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2,906</w:t>
            </w:r>
          </w:p>
        </w:tc>
        <w:tc>
          <w:tcPr>
            <w:tcW w:w="1565" w:type="dxa"/>
            <w:shd w:val="clear" w:color="auto" w:fill="auto"/>
          </w:tcPr>
          <w:p w14:paraId="54525C85" w14:textId="77777777" w:rsidR="00FD4E64" w:rsidRPr="009C5F11" w:rsidRDefault="00FD4E64" w:rsidP="00430626">
            <w:pPr>
              <w:textAlignment w:val="baseline"/>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13,683</w:t>
            </w:r>
          </w:p>
        </w:tc>
        <w:tc>
          <w:tcPr>
            <w:tcW w:w="1576" w:type="dxa"/>
            <w:shd w:val="clear" w:color="auto" w:fill="auto"/>
          </w:tcPr>
          <w:p w14:paraId="76B43055" w14:textId="77777777" w:rsidR="00FD4E64" w:rsidRPr="009C5F11" w:rsidRDefault="00FD4E64" w:rsidP="00430626">
            <w:pPr>
              <w:textAlignment w:val="baseline"/>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2,841</w:t>
            </w:r>
          </w:p>
        </w:tc>
        <w:tc>
          <w:tcPr>
            <w:tcW w:w="1755" w:type="dxa"/>
            <w:shd w:val="clear" w:color="auto" w:fill="auto"/>
          </w:tcPr>
          <w:p w14:paraId="79AF1ACC" w14:textId="77777777" w:rsidR="00FD4E64" w:rsidRPr="009C5F11" w:rsidRDefault="00FD4E64" w:rsidP="00430626">
            <w:pPr>
              <w:jc w:val="center"/>
              <w:textAlignment w:val="baseline"/>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1,036</w:t>
            </w:r>
          </w:p>
        </w:tc>
      </w:tr>
      <w:tr w:rsidR="00FD4E64" w:rsidRPr="009C5F11" w14:paraId="7288F6D7" w14:textId="77777777" w:rsidTr="00430626">
        <w:trPr>
          <w:jc w:val="center"/>
        </w:trPr>
        <w:tc>
          <w:tcPr>
            <w:tcW w:w="2695" w:type="dxa"/>
            <w:shd w:val="clear" w:color="auto" w:fill="auto"/>
          </w:tcPr>
          <w:p w14:paraId="253865FD" w14:textId="77777777" w:rsidR="00FD4E64" w:rsidRPr="009C5F11" w:rsidRDefault="00FD4E64" w:rsidP="00AF3F8A">
            <w:pPr>
              <w:textAlignment w:val="baseline"/>
              <w:rPr>
                <w:rFonts w:ascii="Times New Roman" w:eastAsia="Calibri" w:hAnsi="Times New Roman" w:cs="Times New Roman"/>
                <w:lang w:val="ro-RO"/>
              </w:rPr>
            </w:pPr>
            <w:r w:rsidRPr="009C5F11">
              <w:rPr>
                <w:rFonts w:ascii="Times New Roman" w:eastAsia="Calibri" w:hAnsi="Times New Roman" w:cs="Times New Roman"/>
                <w:lang w:val="ro-RO"/>
              </w:rPr>
              <w:t xml:space="preserve">Sarcina de căldură </w:t>
            </w:r>
            <w:r w:rsidRPr="009C5F11">
              <w:rPr>
                <w:rFonts w:ascii="Times New Roman" w:eastAsia="Calibri" w:hAnsi="Times New Roman" w:cs="Times New Roman"/>
                <w:lang w:val="ro-RO"/>
              </w:rPr>
              <w:lastRenderedPageBreak/>
              <w:t>deconectată (Gcal)</w:t>
            </w:r>
          </w:p>
        </w:tc>
        <w:tc>
          <w:tcPr>
            <w:tcW w:w="1652" w:type="dxa"/>
            <w:shd w:val="clear" w:color="auto" w:fill="auto"/>
          </w:tcPr>
          <w:p w14:paraId="7FAD5D4B" w14:textId="77777777" w:rsidR="00FD4E64" w:rsidRPr="009C5F11" w:rsidRDefault="00FD4E64" w:rsidP="00430626">
            <w:pPr>
              <w:textAlignment w:val="baseline"/>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lastRenderedPageBreak/>
              <w:t>11,947</w:t>
            </w:r>
          </w:p>
        </w:tc>
        <w:tc>
          <w:tcPr>
            <w:tcW w:w="1565" w:type="dxa"/>
            <w:shd w:val="clear" w:color="auto" w:fill="auto"/>
          </w:tcPr>
          <w:p w14:paraId="38E103E7" w14:textId="77777777" w:rsidR="00FD4E64" w:rsidRPr="009C5F11" w:rsidRDefault="00FD4E64" w:rsidP="00430626">
            <w:pPr>
              <w:textAlignment w:val="baseline"/>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3,857</w:t>
            </w:r>
          </w:p>
        </w:tc>
        <w:tc>
          <w:tcPr>
            <w:tcW w:w="1576" w:type="dxa"/>
            <w:shd w:val="clear" w:color="auto" w:fill="auto"/>
          </w:tcPr>
          <w:p w14:paraId="2B5F7FEC" w14:textId="77777777" w:rsidR="00FD4E64" w:rsidRPr="009C5F11" w:rsidRDefault="00FD4E64" w:rsidP="00430626">
            <w:pPr>
              <w:textAlignment w:val="baseline"/>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7,649</w:t>
            </w:r>
          </w:p>
        </w:tc>
        <w:tc>
          <w:tcPr>
            <w:tcW w:w="1755" w:type="dxa"/>
            <w:shd w:val="clear" w:color="auto" w:fill="auto"/>
          </w:tcPr>
          <w:p w14:paraId="09BB53C2" w14:textId="77777777" w:rsidR="00FD4E64" w:rsidRPr="009C5F11" w:rsidRDefault="00FD4E64" w:rsidP="00430626">
            <w:pPr>
              <w:jc w:val="center"/>
              <w:textAlignment w:val="baseline"/>
              <w:rPr>
                <w:rFonts w:ascii="Times New Roman" w:eastAsia="Calibri" w:hAnsi="Times New Roman" w:cs="Times New Roman"/>
                <w:sz w:val="20"/>
                <w:szCs w:val="16"/>
                <w:lang w:val="ro-RO"/>
              </w:rPr>
            </w:pPr>
            <w:r w:rsidRPr="009C5F11">
              <w:rPr>
                <w:rFonts w:ascii="Times New Roman" w:eastAsia="Calibri" w:hAnsi="Times New Roman" w:cs="Times New Roman"/>
                <w:sz w:val="20"/>
                <w:szCs w:val="16"/>
                <w:lang w:val="ro-RO"/>
              </w:rPr>
              <w:t>1,733</w:t>
            </w:r>
          </w:p>
        </w:tc>
      </w:tr>
    </w:tbl>
    <w:p w14:paraId="0B728D3F" w14:textId="1BBBBC20" w:rsidR="00BC2ED4" w:rsidRPr="009C5F11" w:rsidRDefault="00FD4E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lastRenderedPageBreak/>
        <w:t xml:space="preserve">Înrăutăţirea situaţiei financiare a Termocom care a determinat Moldovagaz să refuze în anul 2008 </w:t>
      </w:r>
      <w:r w:rsidR="009B2D44" w:rsidRPr="009C5F11">
        <w:rPr>
          <w:rFonts w:ascii="Times New Roman" w:hAnsi="Times New Roman" w:cs="Times New Roman"/>
          <w:sz w:val="24"/>
          <w:lang w:val="ro-RO"/>
        </w:rPr>
        <w:t xml:space="preserve">să mai </w:t>
      </w:r>
      <w:r w:rsidRPr="009C5F11">
        <w:rPr>
          <w:rFonts w:ascii="Times New Roman" w:hAnsi="Times New Roman" w:cs="Times New Roman"/>
          <w:sz w:val="24"/>
          <w:lang w:val="ro-RO"/>
        </w:rPr>
        <w:t>furniz</w:t>
      </w:r>
      <w:r w:rsidR="009B2D44" w:rsidRPr="009C5F11">
        <w:rPr>
          <w:rFonts w:ascii="Times New Roman" w:hAnsi="Times New Roman" w:cs="Times New Roman"/>
          <w:sz w:val="24"/>
          <w:lang w:val="ro-RO"/>
        </w:rPr>
        <w:t>e</w:t>
      </w:r>
      <w:r w:rsidR="00B56315" w:rsidRPr="009C5F11">
        <w:rPr>
          <w:rFonts w:ascii="Times New Roman" w:hAnsi="Times New Roman" w:cs="Times New Roman"/>
          <w:sz w:val="24"/>
          <w:lang w:val="ro-RO"/>
        </w:rPr>
        <w:t>z</w:t>
      </w:r>
      <w:r w:rsidR="009B2D44"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gaze naturale din cauza neachitării, a impus Guvernul să-şi asume responsabilitatea de a întreprinde măsuri ferme menite să stopeze acumularea datoriilor/plăţilor restante (HG nr.707 din 20.09.2011 cu privire la unele măsuri de eficientizare a funcţionării sistemelor de alimentare centralizată cu energie termică):</w:t>
      </w:r>
    </w:p>
    <w:p w14:paraId="44A1562B" w14:textId="77777777" w:rsidR="00BC2ED4" w:rsidRPr="009C5F11" w:rsidRDefault="00FD4E6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Tarifele au atins nivelul de recuperare a costurilor</w:t>
      </w:r>
      <w:r w:rsidR="00BC2ED4" w:rsidRPr="009C5F11">
        <w:rPr>
          <w:rFonts w:ascii="Times New Roman" w:hAnsi="Times New Roman" w:cs="Times New Roman"/>
          <w:sz w:val="24"/>
          <w:lang w:val="ro-RO"/>
        </w:rPr>
        <w:t>,</w:t>
      </w:r>
    </w:p>
    <w:p w14:paraId="7C7396DE" w14:textId="77777777" w:rsidR="00BC2ED4" w:rsidRPr="009C5F11" w:rsidRDefault="00FD4E6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 fost semnat un Memorandum de înţelegere între Termocom, CET-uri, Moldovagaz, Primăria Chișinău şi Guvern</w:t>
      </w:r>
      <w:r w:rsidR="00BC2ED4" w:rsidRPr="009C5F11">
        <w:rPr>
          <w:rFonts w:ascii="Times New Roman" w:hAnsi="Times New Roman" w:cs="Times New Roman"/>
          <w:sz w:val="24"/>
          <w:lang w:val="ro-RO"/>
        </w:rPr>
        <w:t>,</w:t>
      </w:r>
    </w:p>
    <w:p w14:paraId="796FCE63" w14:textId="77777777" w:rsidR="00BC2ED4" w:rsidRPr="009C5F11" w:rsidRDefault="00FD4E6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Noile debranşări de la sistemul de alimentare centralizată cu energie termică au fost descurajate prin modificarea taxei pentru consumatorii deconectaţi şi pentru acei care intenţionează să se deconecteze (20% din costul calculat per m2). De asemenea, deconectările anterioare au fost penalizate prin plăţi retroactive în sumă de 10% din 1 octombrie 2011, 15% - din 1 octombrie 2012, şi 20% din 1 octombrie 2013</w:t>
      </w:r>
      <w:r w:rsidR="005657D6" w:rsidRPr="009C5F11">
        <w:rPr>
          <w:rStyle w:val="Referinnotdesubsol"/>
          <w:rFonts w:ascii="Times New Roman" w:hAnsi="Times New Roman" w:cs="Times New Roman"/>
          <w:sz w:val="24"/>
          <w:lang w:val="ro-RO"/>
        </w:rPr>
        <w:footnoteReference w:id="33"/>
      </w:r>
      <w:r w:rsidR="00BC2ED4" w:rsidRPr="009C5F11">
        <w:rPr>
          <w:rFonts w:ascii="Times New Roman" w:hAnsi="Times New Roman" w:cs="Times New Roman"/>
          <w:sz w:val="24"/>
          <w:lang w:val="ro-RO"/>
        </w:rPr>
        <w:t>.</w:t>
      </w:r>
    </w:p>
    <w:p w14:paraId="20058BFD" w14:textId="77777777" w:rsidR="003373FE" w:rsidRPr="009C5F11" w:rsidRDefault="00FD4E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Termocom a fost lichidat în 2014, iar activele se află în posesia creditorilor</w:t>
      </w:r>
      <w:r w:rsidR="009B2D44" w:rsidRPr="009C5F11">
        <w:rPr>
          <w:rFonts w:ascii="Times New Roman" w:hAnsi="Times New Roman" w:cs="Times New Roman"/>
          <w:sz w:val="24"/>
          <w:lang w:val="ro-RO"/>
        </w:rPr>
        <w:t>, în care</w:t>
      </w:r>
      <w:r w:rsidRPr="009C5F11">
        <w:rPr>
          <w:rFonts w:ascii="Times New Roman" w:hAnsi="Times New Roman" w:cs="Times New Roman"/>
          <w:sz w:val="24"/>
          <w:lang w:val="ro-RO"/>
        </w:rPr>
        <w:t xml:space="preserve"> CET-urile deţin majoritatea. Proiectul de lege cu privire la aprobarea vânzării activelor Termocom către CET-2 a fost aprobat la 25 septembrie 2014</w:t>
      </w:r>
      <w:r w:rsidR="00BC2ED4" w:rsidRPr="009C5F11">
        <w:rPr>
          <w:rFonts w:ascii="Times New Roman" w:hAnsi="Times New Roman" w:cs="Times New Roman"/>
          <w:sz w:val="24"/>
          <w:lang w:val="ro-RO"/>
        </w:rPr>
        <w:t>.</w:t>
      </w:r>
    </w:p>
    <w:p w14:paraId="4175E2D8" w14:textId="0FD834E4" w:rsidR="00BC2ED4" w:rsidRPr="009C5F11" w:rsidRDefault="00FD4E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Programul naţional pentru eficienţă energetică 2011-2020 aprobat prin Hotărârea Guvernului nr. 833 din 10 noiembrie 2011 stabileşte obiective naţionale, inclusiv eficientizarea consumului global de energie primară cu 20% până în anul 2020 şi reducerea </w:t>
      </w:r>
      <w:r w:rsidR="00427168" w:rsidRPr="009C5F11">
        <w:rPr>
          <w:rFonts w:ascii="Times New Roman" w:hAnsi="Times New Roman" w:cs="Times New Roman"/>
          <w:sz w:val="24"/>
          <w:lang w:val="ro-RO"/>
        </w:rPr>
        <w:t>până în</w:t>
      </w:r>
      <w:r w:rsidRPr="009C5F11">
        <w:rPr>
          <w:rFonts w:ascii="Times New Roman" w:hAnsi="Times New Roman" w:cs="Times New Roman"/>
          <w:sz w:val="24"/>
          <w:lang w:val="ro-RO"/>
        </w:rPr>
        <w:t xml:space="preserve"> anul 2020, cu cel puţin 25%, a emisiilor de gaze cu efect de seră</w:t>
      </w:r>
      <w:r w:rsidR="00427168" w:rsidRPr="009C5F11">
        <w:rPr>
          <w:rFonts w:ascii="Times New Roman" w:hAnsi="Times New Roman" w:cs="Times New Roman"/>
          <w:sz w:val="24"/>
          <w:lang w:val="ro-RO"/>
        </w:rPr>
        <w:t xml:space="preserve"> (GES)</w:t>
      </w:r>
      <w:r w:rsidRPr="009C5F11">
        <w:rPr>
          <w:rFonts w:ascii="Times New Roman" w:hAnsi="Times New Roman" w:cs="Times New Roman"/>
          <w:sz w:val="24"/>
          <w:lang w:val="ro-RO"/>
        </w:rPr>
        <w:t>, comparativ cu anul de referinţă 1990. O atenţie mai mare urmează să fie acordată sectorului de transformare energetică, pentru care sunt stabilite următoarele obiective specifice</w:t>
      </w:r>
      <w:r w:rsidR="00BC2ED4" w:rsidRPr="009C5F11">
        <w:rPr>
          <w:rFonts w:ascii="Times New Roman" w:hAnsi="Times New Roman" w:cs="Times New Roman"/>
          <w:sz w:val="24"/>
          <w:lang w:val="ro-RO"/>
        </w:rPr>
        <w:t>:</w:t>
      </w:r>
    </w:p>
    <w:p w14:paraId="628C6197" w14:textId="77777777" w:rsidR="00FD4E64" w:rsidRPr="009C5F11" w:rsidRDefault="00FD4E64"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promovarea producerii energiei electrice în cogenerare, </w:t>
      </w:r>
    </w:p>
    <w:p w14:paraId="3E88D7FD" w14:textId="77777777" w:rsidR="00FD4E64" w:rsidRPr="009C5F11" w:rsidRDefault="00FD4E64"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dezvoltarea reţelelor de distribuţie a energiei termice în conformitate cu un plan elaborat de Guvern,</w:t>
      </w:r>
    </w:p>
    <w:p w14:paraId="22D2E199" w14:textId="77777777" w:rsidR="00FD4E64" w:rsidRPr="009C5F11" w:rsidRDefault="00FD4E64"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finalizarea, până în 2016, a instalării echipamentelor de măsurare a energiei termice pentru 100% de clădiri din Republica Moldova,</w:t>
      </w:r>
    </w:p>
    <w:p w14:paraId="0F257883" w14:textId="77777777" w:rsidR="00FD4E64" w:rsidRPr="009C5F11" w:rsidRDefault="00FD4E64"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introducerea mecanismelor de finanţare a instalaţiilor de încălzire, răcire şi preparare a apei calde menajere pe baza energiei regenerabile. </w:t>
      </w:r>
    </w:p>
    <w:p w14:paraId="050EA9CE" w14:textId="77777777" w:rsidR="003373FE" w:rsidRPr="009C5F11" w:rsidRDefault="00FD4E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Fără modernizarea şi reabilitarea reală a activelor, există riscul că situaţia se va înrăutăţi în continuare. La 21 noiembrie 2014, Consiliul Băncii Mondiale a aprobat un proiect important </w:t>
      </w:r>
      <w:r w:rsidRPr="009C5F11">
        <w:rPr>
          <w:rFonts w:ascii="Times New Roman" w:hAnsi="Times New Roman" w:cs="Times New Roman"/>
          <w:i/>
          <w:sz w:val="24"/>
          <w:lang w:val="ro-RO"/>
        </w:rPr>
        <w:t>“de a contribui la îmbunătăţirea eficienţei şi a viabilităţii financiare a companiei de alimentare centralizată cu energie termică, de a îmbunătăţi calitatea şi fezabilitatea serviciilor de încălzire oferite populaţiei din Chișinău</w:t>
      </w:r>
      <w:r w:rsidR="00BC2ED4" w:rsidRPr="009C5F11">
        <w:rPr>
          <w:rFonts w:ascii="Times New Roman" w:hAnsi="Times New Roman" w:cs="Times New Roman"/>
          <w:i/>
          <w:sz w:val="24"/>
          <w:lang w:val="ro-RO"/>
        </w:rPr>
        <w:t>”</w:t>
      </w:r>
      <w:r w:rsidR="00214A13" w:rsidRPr="009C5F11">
        <w:rPr>
          <w:rStyle w:val="Referinnotdesubsol"/>
          <w:rFonts w:ascii="Times New Roman" w:hAnsi="Times New Roman" w:cs="Times New Roman"/>
          <w:i/>
          <w:sz w:val="24"/>
          <w:lang w:val="ro-RO"/>
        </w:rPr>
        <w:footnoteReference w:id="34"/>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Banca Mondială a convenit să acorde Republicii Moldova un împrumut în sumă de 40,500,000 dolari SUA conform termenilor şi condiţiilor stipulate în acord, în vederea susţinerii finanţării Proiectului “Moldova </w:t>
      </w:r>
      <w:r w:rsidR="00427168"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îmbunătăţirea eficienţei sectorului de alimentare centralizată cu energie termică”: P132443. La 30.07.2015, prin Legea nr.148, Parlamentul Republicii Moldova a ratificat acordul de finanţare.</w:t>
      </w:r>
    </w:p>
    <w:p w14:paraId="57E57D0E" w14:textId="1E94EAE0" w:rsidR="00BC2ED4" w:rsidRPr="009C5F11" w:rsidRDefault="00FD4E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Proiectul include 3 componente</w:t>
      </w:r>
      <w:r w:rsidR="00BC2ED4" w:rsidRPr="009C5F11">
        <w:rPr>
          <w:rFonts w:ascii="Times New Roman" w:hAnsi="Times New Roman" w:cs="Times New Roman"/>
          <w:sz w:val="24"/>
          <w:lang w:val="ro-RO"/>
        </w:rPr>
        <w:t>:</w:t>
      </w:r>
    </w:p>
    <w:p w14:paraId="19FB6179" w14:textId="77777777" w:rsidR="00FD4E64" w:rsidRPr="009C5F11" w:rsidRDefault="00FD4E64"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lastRenderedPageBreak/>
        <w:t>Componenta 1: Investiţii în sistemul de încălzire centralizată; costuri: 33.3 milioane dolari SUA;</w:t>
      </w:r>
    </w:p>
    <w:p w14:paraId="5BD71B33" w14:textId="77777777" w:rsidR="00FD4E64" w:rsidRPr="009C5F11" w:rsidRDefault="00FD4E64"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Componenta 2: Suport pentru simplificarea/raţionalizarea operaţiilor; costuri: 5.6 milioane dolari SUA;</w:t>
      </w:r>
    </w:p>
    <w:p w14:paraId="663B4EDD" w14:textId="77777777" w:rsidR="00FD4E64" w:rsidRPr="009C5F11" w:rsidRDefault="00FD4E64"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Componenta 3: Managementul proiectelor; costuri: 1.5 milioane dolari SUA.</w:t>
      </w:r>
    </w:p>
    <w:p w14:paraId="0C4D5E3D" w14:textId="7F00D238" w:rsidR="00FD4E64" w:rsidRPr="009C5F11" w:rsidRDefault="00FD4E64"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Termenul-limită al Proiectului este 30 iunie 2020, iar obiectivele acestuia sunt după cum urmează:</w:t>
      </w:r>
    </w:p>
    <w:p w14:paraId="0F24F77F" w14:textId="77777777" w:rsidR="00FD4E64" w:rsidRPr="009C5F11" w:rsidRDefault="00FD4E64"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reducerea pierderilor de căldură în reţea de la 360,000.00 Gcal (februarie 2015) până la 330,000 Gcal (iunie 2020);</w:t>
      </w:r>
    </w:p>
    <w:p w14:paraId="1837727F" w14:textId="77777777" w:rsidR="00FD4E64" w:rsidRPr="009C5F11" w:rsidRDefault="00FD4E64"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economii cumulative de energie (din 2015 până în 2020): 2,849,208.00 MWh (245 ktep). </w:t>
      </w:r>
    </w:p>
    <w:p w14:paraId="12CCD539" w14:textId="77777777" w:rsidR="009036E4" w:rsidRPr="009C5F11" w:rsidRDefault="00E145D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Proiectul prevede îmbunătăţirea eficienţei operaţionale şi a viabilităţii financiare a sectorului. Scopul va fi realizat prin investiţii menite să îmbunătăţească fiabilitatea şi eficienţa, precum şi să susţină simplificarea/raţionalizarea</w:t>
      </w:r>
      <w:r w:rsidR="00427168" w:rsidRPr="009C5F11">
        <w:rPr>
          <w:rFonts w:ascii="Times New Roman" w:hAnsi="Times New Roman" w:cs="Times New Roman"/>
          <w:sz w:val="24"/>
          <w:lang w:val="ro-RO"/>
        </w:rPr>
        <w:t>/optimizarea</w:t>
      </w:r>
      <w:r w:rsidRPr="009C5F11">
        <w:rPr>
          <w:rFonts w:ascii="Times New Roman" w:hAnsi="Times New Roman" w:cs="Times New Roman"/>
          <w:sz w:val="24"/>
          <w:lang w:val="ro-RO"/>
        </w:rPr>
        <w:t xml:space="preserve"> operaţiilor şi a structurii corporative a companiei. Investiţiile vor asigura prestarea continuă şi sporirea eficienţei serviciilor de livrare a energiei termice în Chișinău. Simplificarea operaţiilor va include încetarea exploatării CET-1, raţionalizarea numărului de personal şi realizarea unui audit de mediu la CET-1 pentru a iniţia procesul de lichidare sau de reutilizare a activelor</w:t>
      </w:r>
      <w:r w:rsidR="00BC2ED4" w:rsidRPr="009C5F11">
        <w:rPr>
          <w:rFonts w:ascii="Times New Roman" w:hAnsi="Times New Roman" w:cs="Times New Roman"/>
          <w:sz w:val="24"/>
          <w:lang w:val="ro-RO"/>
        </w:rPr>
        <w:t>.</w:t>
      </w:r>
    </w:p>
    <w:p w14:paraId="2AF4D729" w14:textId="571CB057" w:rsidR="00BC2ED4" w:rsidRPr="009C5F11" w:rsidRDefault="00273CDE"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Rezultatele s</w:t>
      </w:r>
      <w:r w:rsidR="00BC2ED4" w:rsidRPr="009C5F11">
        <w:rPr>
          <w:rFonts w:ascii="Times New Roman" w:hAnsi="Times New Roman" w:cs="Times New Roman"/>
          <w:sz w:val="24"/>
          <w:lang w:val="ro-RO"/>
        </w:rPr>
        <w:t>pecific</w:t>
      </w:r>
      <w:r w:rsidRPr="009C5F11">
        <w:rPr>
          <w:rFonts w:ascii="Times New Roman" w:hAnsi="Times New Roman" w:cs="Times New Roman"/>
          <w:sz w:val="24"/>
          <w:lang w:val="ro-RO"/>
        </w:rPr>
        <w:t xml:space="preserve">e care generează </w:t>
      </w:r>
      <w:r w:rsidR="004424A0" w:rsidRPr="009C5F11">
        <w:rPr>
          <w:rFonts w:ascii="Times New Roman" w:hAnsi="Times New Roman" w:cs="Times New Roman"/>
          <w:sz w:val="24"/>
          <w:lang w:val="ro-RO"/>
        </w:rPr>
        <w:t xml:space="preserve">economii </w:t>
      </w:r>
      <w:r w:rsidRPr="009C5F11">
        <w:rPr>
          <w:rFonts w:ascii="Times New Roman" w:hAnsi="Times New Roman" w:cs="Times New Roman"/>
          <w:sz w:val="24"/>
          <w:lang w:val="ro-RO"/>
        </w:rPr>
        <w:t xml:space="preserve">eventuale </w:t>
      </w:r>
      <w:r w:rsidR="004424A0" w:rsidRPr="009C5F11">
        <w:rPr>
          <w:rFonts w:ascii="Times New Roman" w:hAnsi="Times New Roman" w:cs="Times New Roman"/>
          <w:sz w:val="24"/>
          <w:lang w:val="ro-RO"/>
        </w:rPr>
        <w:t>de energie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sunt următoarele</w:t>
      </w:r>
      <w:r w:rsidR="00BC2ED4" w:rsidRPr="009C5F11">
        <w:rPr>
          <w:rFonts w:ascii="Times New Roman" w:hAnsi="Times New Roman" w:cs="Times New Roman"/>
          <w:sz w:val="24"/>
          <w:lang w:val="ro-RO"/>
        </w:rPr>
        <w:t xml:space="preserve">: </w:t>
      </w:r>
    </w:p>
    <w:p w14:paraId="0DEEF985" w14:textId="77777777" w:rsidR="00E145D8" w:rsidRPr="009C5F11" w:rsidRDefault="00E145D8" w:rsidP="00334F3B">
      <w:pPr>
        <w:pStyle w:val="Listparagraf"/>
        <w:numPr>
          <w:ilvl w:val="0"/>
          <w:numId w:val="188"/>
        </w:numPr>
        <w:autoSpaceDE w:val="0"/>
        <w:autoSpaceDN w:val="0"/>
        <w:adjustRightInd w:val="0"/>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modernizarea staţiilor de pompare selectate pentru a </w:t>
      </w:r>
      <w:r w:rsidRPr="009C5F11">
        <w:rPr>
          <w:rFonts w:ascii="Times New Roman" w:hAnsi="Times New Roman" w:cs="Times New Roman"/>
          <w:sz w:val="24"/>
          <w:u w:val="single"/>
          <w:lang w:val="ro-RO"/>
        </w:rPr>
        <w:t xml:space="preserve">reduce consumul de energie electrică </w:t>
      </w:r>
      <w:r w:rsidRPr="009C5F11">
        <w:rPr>
          <w:rFonts w:ascii="Times New Roman" w:hAnsi="Times New Roman" w:cs="Times New Roman"/>
          <w:sz w:val="24"/>
          <w:lang w:val="ro-RO"/>
        </w:rPr>
        <w:t>şi asigura exploatarea eficientă în mod variabil a sistemului centralizat de livrare a energiei termice;</w:t>
      </w:r>
    </w:p>
    <w:p w14:paraId="23E70A95" w14:textId="77777777" w:rsidR="00E145D8" w:rsidRPr="009C5F11" w:rsidRDefault="00E145D8" w:rsidP="00334F3B">
      <w:pPr>
        <w:pStyle w:val="Listparagraf"/>
        <w:numPr>
          <w:ilvl w:val="0"/>
          <w:numId w:val="188"/>
        </w:numPr>
        <w:autoSpaceDE w:val="0"/>
        <w:autoSpaceDN w:val="0"/>
        <w:adjustRightInd w:val="0"/>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reabilitarea segmentelor selectate din reţeaua de distribuţie pentru a asigura continuitatea furnizării serviciilor de termoficare şi </w:t>
      </w:r>
      <w:r w:rsidRPr="009C5F11">
        <w:rPr>
          <w:rFonts w:ascii="Times New Roman" w:hAnsi="Times New Roman" w:cs="Times New Roman"/>
          <w:sz w:val="24"/>
          <w:u w:val="single"/>
          <w:lang w:val="ro-RO"/>
        </w:rPr>
        <w:t>reducerea pierderilor de energie termică şi apă calcă</w:t>
      </w:r>
      <w:r w:rsidRPr="009C5F11">
        <w:rPr>
          <w:rFonts w:ascii="Times New Roman" w:hAnsi="Times New Roman" w:cs="Times New Roman"/>
          <w:sz w:val="24"/>
          <w:lang w:val="ro-RO"/>
        </w:rPr>
        <w:t xml:space="preserve">; </w:t>
      </w:r>
    </w:p>
    <w:p w14:paraId="718DB07F" w14:textId="77777777" w:rsidR="00E145D8" w:rsidRPr="009C5F11" w:rsidRDefault="00E145D8" w:rsidP="00334F3B">
      <w:pPr>
        <w:pStyle w:val="Listparagraf"/>
        <w:numPr>
          <w:ilvl w:val="0"/>
          <w:numId w:val="188"/>
        </w:numPr>
        <w:autoSpaceDE w:val="0"/>
        <w:autoSpaceDN w:val="0"/>
        <w:adjustRightInd w:val="0"/>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înlocuirea substaţiilor vechi şi ineficiente de încălzire centralizată (CHS) cu substaţii moderne deplin automatizate individuale la nivel de bloc (IHS) în scopul </w:t>
      </w:r>
      <w:r w:rsidRPr="009C5F11">
        <w:rPr>
          <w:rFonts w:ascii="Times New Roman" w:hAnsi="Times New Roman" w:cs="Times New Roman"/>
          <w:sz w:val="24"/>
          <w:u w:val="single"/>
          <w:lang w:val="ro-RO"/>
        </w:rPr>
        <w:t>furnizării mai eficiente şi sigure a energiei termice consumatorilor finali</w:t>
      </w:r>
      <w:r w:rsidRPr="009C5F11">
        <w:rPr>
          <w:rFonts w:ascii="Times New Roman" w:hAnsi="Times New Roman" w:cs="Times New Roman"/>
          <w:sz w:val="24"/>
          <w:lang w:val="ro-RO"/>
        </w:rPr>
        <w:t xml:space="preserve">; </w:t>
      </w:r>
    </w:p>
    <w:p w14:paraId="63B8E515" w14:textId="77777777" w:rsidR="00E145D8" w:rsidRPr="009C5F11" w:rsidRDefault="00E145D8" w:rsidP="00334F3B">
      <w:pPr>
        <w:pStyle w:val="Listparagraf"/>
        <w:numPr>
          <w:ilvl w:val="0"/>
          <w:numId w:val="188"/>
        </w:numPr>
        <w:autoSpaceDE w:val="0"/>
        <w:autoSpaceDN w:val="0"/>
        <w:adjustRightInd w:val="0"/>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reconectarea la sistemul de încălzire centralizată a circa 40 de instituţii publice, care au fost debranşate anterior, astfel încât să fie </w:t>
      </w:r>
      <w:r w:rsidRPr="009C5F11">
        <w:rPr>
          <w:rFonts w:ascii="Times New Roman" w:hAnsi="Times New Roman" w:cs="Times New Roman"/>
          <w:sz w:val="24"/>
          <w:u w:val="single"/>
          <w:lang w:val="ro-RO"/>
        </w:rPr>
        <w:t>îmbunătăţită utilizarea sistemului</w:t>
      </w:r>
      <w:r w:rsidRPr="009C5F11">
        <w:rPr>
          <w:rFonts w:ascii="Times New Roman" w:hAnsi="Times New Roman" w:cs="Times New Roman"/>
          <w:sz w:val="24"/>
          <w:lang w:val="ro-RO"/>
        </w:rPr>
        <w:t>.</w:t>
      </w:r>
    </w:p>
    <w:p w14:paraId="473934AA" w14:textId="49410580" w:rsidR="004054BB" w:rsidRPr="009C5F11" w:rsidRDefault="004054BB"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Economiile preconizate de Proiect sunt indicate în Rezumatul evalu</w:t>
      </w:r>
      <w:r w:rsidR="00427168" w:rsidRPr="009C5F11">
        <w:rPr>
          <w:rFonts w:ascii="Times New Roman" w:hAnsi="Times New Roman" w:cs="Times New Roman"/>
          <w:sz w:val="24"/>
          <w:lang w:val="ro-RO"/>
        </w:rPr>
        <w:t>ă</w:t>
      </w:r>
      <w:r w:rsidRPr="009C5F11">
        <w:rPr>
          <w:rFonts w:ascii="Times New Roman" w:hAnsi="Times New Roman" w:cs="Times New Roman"/>
          <w:sz w:val="24"/>
          <w:lang w:val="ro-RO"/>
        </w:rPr>
        <w:t xml:space="preserve">rii: </w:t>
      </w:r>
    </w:p>
    <w:p w14:paraId="78A63605" w14:textId="77777777" w:rsidR="004054BB" w:rsidRPr="009C5F11" w:rsidRDefault="004054BB" w:rsidP="00E37F02">
      <w:pPr>
        <w:spacing w:before="120" w:after="120" w:line="240" w:lineRule="auto"/>
        <w:jc w:val="both"/>
        <w:rPr>
          <w:rFonts w:ascii="Times New Roman" w:hAnsi="Times New Roman" w:cs="Times New Roman"/>
          <w:i/>
          <w:szCs w:val="18"/>
          <w:u w:val="single"/>
          <w:lang w:val="ro-RO"/>
        </w:rPr>
      </w:pPr>
      <w:r w:rsidRPr="009C5F11">
        <w:rPr>
          <w:rFonts w:ascii="Times New Roman" w:hAnsi="Times New Roman" w:cs="Times New Roman"/>
          <w:i/>
          <w:szCs w:val="18"/>
          <w:u w:val="single"/>
          <w:lang w:val="ro-RO"/>
        </w:rPr>
        <w:t>Articolul 33</w:t>
      </w:r>
      <w:r w:rsidR="00427168" w:rsidRPr="009C5F11">
        <w:rPr>
          <w:rFonts w:ascii="Times New Roman" w:hAnsi="Times New Roman" w:cs="Times New Roman"/>
          <w:i/>
          <w:szCs w:val="18"/>
          <w:u w:val="single"/>
          <w:lang w:val="ro-RO"/>
        </w:rPr>
        <w:t>:</w:t>
      </w:r>
    </w:p>
    <w:p w14:paraId="1B735CF9" w14:textId="77777777" w:rsidR="004054BB" w:rsidRPr="009C5F11" w:rsidRDefault="004054BB" w:rsidP="00B40DB5">
      <w:pPr>
        <w:spacing w:before="120" w:after="120" w:line="240" w:lineRule="auto"/>
        <w:jc w:val="both"/>
        <w:rPr>
          <w:rFonts w:ascii="Times New Roman" w:hAnsi="Times New Roman" w:cs="Times New Roman"/>
          <w:i/>
          <w:szCs w:val="18"/>
          <w:lang w:val="ro-RO"/>
        </w:rPr>
      </w:pPr>
      <w:r w:rsidRPr="009C5F11">
        <w:rPr>
          <w:rFonts w:ascii="Times New Roman" w:hAnsi="Times New Roman" w:cs="Times New Roman"/>
          <w:i/>
          <w:szCs w:val="18"/>
          <w:lang w:val="ro-RO"/>
        </w:rPr>
        <w:t>“Economiile totale ce rezultă din investiţiile propuse în cadrul Proiectului însumează circa 6.5 milioane dolari SUA pe an, începând din Anul 3 de implementare a Proiectului. Economiile estimate vizează gazele naturale, energia electrică, apă, costurile de exploatare şi întreţinere şi altele, inclusiv economii în valoare de 619,000 dolari SUA pe an, începând din sezonul de încălzire 2015/2016 datorită achiziţionării de agent termic mai ieftin ca urmare a închiderii CET-1 în 2015. Economiile de energie constitute circa 40% din beneficiile Proiectului. Înlocuirea CHS cu IHS va rezulta în economii energetice de circa 20% din consumul energetic la nivel de apartament, după cum a fost demonstrat de Termocom în condiţii investiţionale similare.”</w:t>
      </w:r>
    </w:p>
    <w:p w14:paraId="33C27960" w14:textId="77777777" w:rsidR="00381A1A" w:rsidRPr="009C5F11" w:rsidRDefault="00381A1A">
      <w:pPr>
        <w:rPr>
          <w:rFonts w:ascii="Times New Roman" w:hAnsi="Times New Roman" w:cs="Times New Roman"/>
          <w:i/>
          <w:szCs w:val="18"/>
          <w:lang w:val="ro-RO"/>
        </w:rPr>
      </w:pPr>
      <w:r w:rsidRPr="009C5F11">
        <w:rPr>
          <w:rFonts w:ascii="Times New Roman" w:hAnsi="Times New Roman" w:cs="Times New Roman"/>
          <w:i/>
          <w:szCs w:val="18"/>
          <w:lang w:val="ro-RO"/>
        </w:rPr>
        <w:br w:type="page"/>
      </w:r>
    </w:p>
    <w:p w14:paraId="46B72533" w14:textId="77777777" w:rsidR="00BC2ED4" w:rsidRPr="00921CF1" w:rsidRDefault="00E37F02" w:rsidP="00802640">
      <w:pPr>
        <w:pStyle w:val="Titlu2"/>
        <w:rPr>
          <w:rFonts w:ascii="Times New Roman" w:hAnsi="Times New Roman" w:cs="Times New Roman"/>
          <w:color w:val="000000" w:themeColor="text1"/>
          <w:sz w:val="28"/>
          <w:lang w:val="ro-RO"/>
        </w:rPr>
      </w:pPr>
      <w:bookmarkStart w:id="379" w:name="_Toc314361448"/>
      <w:bookmarkStart w:id="380" w:name="_Toc322013207"/>
      <w:r w:rsidRPr="00921CF1">
        <w:rPr>
          <w:rFonts w:ascii="Times New Roman" w:eastAsia="Times New Roman" w:hAnsi="Times New Roman" w:cs="Times New Roman"/>
          <w:color w:val="000000" w:themeColor="text1"/>
          <w:sz w:val="28"/>
          <w:bdr w:val="none" w:sz="0" w:space="0" w:color="auto" w:frame="1"/>
          <w:lang w:val="ro-RO"/>
        </w:rPr>
        <w:lastRenderedPageBreak/>
        <w:t>T</w:t>
      </w:r>
      <w:r w:rsidR="00115635" w:rsidRPr="00921CF1">
        <w:rPr>
          <w:rFonts w:ascii="Times New Roman" w:eastAsia="Times New Roman" w:hAnsi="Times New Roman" w:cs="Times New Roman"/>
          <w:color w:val="000000" w:themeColor="text1"/>
          <w:sz w:val="28"/>
          <w:bdr w:val="none" w:sz="0" w:space="0" w:color="auto" w:frame="1"/>
          <w:lang w:val="ro-RO"/>
        </w:rPr>
        <w:t>ransformare</w:t>
      </w:r>
      <w:r w:rsidRPr="00921CF1">
        <w:rPr>
          <w:rFonts w:ascii="Times New Roman" w:eastAsia="Times New Roman" w:hAnsi="Times New Roman" w:cs="Times New Roman"/>
          <w:color w:val="000000" w:themeColor="text1"/>
          <w:sz w:val="28"/>
          <w:bdr w:val="none" w:sz="0" w:space="0" w:color="auto" w:frame="1"/>
          <w:lang w:val="ro-RO"/>
        </w:rPr>
        <w:t>a</w:t>
      </w:r>
      <w:r w:rsidR="00115635" w:rsidRPr="00921CF1">
        <w:rPr>
          <w:rFonts w:ascii="Times New Roman" w:eastAsia="Times New Roman" w:hAnsi="Times New Roman" w:cs="Times New Roman"/>
          <w:color w:val="000000" w:themeColor="text1"/>
          <w:sz w:val="28"/>
          <w:bdr w:val="none" w:sz="0" w:space="0" w:color="auto" w:frame="1"/>
          <w:lang w:val="ro-RO"/>
        </w:rPr>
        <w:t>, transport</w:t>
      </w:r>
      <w:r w:rsidRPr="00921CF1">
        <w:rPr>
          <w:rFonts w:ascii="Times New Roman" w:eastAsia="Times New Roman" w:hAnsi="Times New Roman" w:cs="Times New Roman"/>
          <w:color w:val="000000" w:themeColor="text1"/>
          <w:sz w:val="28"/>
          <w:bdr w:val="none" w:sz="0" w:space="0" w:color="auto" w:frame="1"/>
          <w:lang w:val="ro-RO"/>
        </w:rPr>
        <w:t>ul</w:t>
      </w:r>
      <w:r w:rsidR="00115635" w:rsidRPr="00921CF1">
        <w:rPr>
          <w:rFonts w:ascii="Times New Roman" w:eastAsia="Times New Roman" w:hAnsi="Times New Roman" w:cs="Times New Roman"/>
          <w:color w:val="000000" w:themeColor="text1"/>
          <w:sz w:val="28"/>
          <w:bdr w:val="none" w:sz="0" w:space="0" w:color="auto" w:frame="1"/>
          <w:lang w:val="ro-RO"/>
        </w:rPr>
        <w:t>, distribuţi</w:t>
      </w:r>
      <w:r w:rsidRPr="00921CF1">
        <w:rPr>
          <w:rFonts w:ascii="Times New Roman" w:eastAsia="Times New Roman" w:hAnsi="Times New Roman" w:cs="Times New Roman"/>
          <w:color w:val="000000" w:themeColor="text1"/>
          <w:sz w:val="28"/>
          <w:bdr w:val="none" w:sz="0" w:space="0" w:color="auto" w:frame="1"/>
          <w:lang w:val="ro-RO"/>
        </w:rPr>
        <w:t>a</w:t>
      </w:r>
      <w:r w:rsidR="00115635" w:rsidRPr="00921CF1">
        <w:rPr>
          <w:rFonts w:ascii="Times New Roman" w:eastAsia="Times New Roman" w:hAnsi="Times New Roman" w:cs="Times New Roman"/>
          <w:color w:val="000000" w:themeColor="text1"/>
          <w:sz w:val="28"/>
          <w:bdr w:val="none" w:sz="0" w:space="0" w:color="auto" w:frame="1"/>
          <w:lang w:val="ro-RO"/>
        </w:rPr>
        <w:t xml:space="preserve"> </w:t>
      </w:r>
      <w:r w:rsidRPr="00921CF1">
        <w:rPr>
          <w:rFonts w:ascii="Times New Roman" w:eastAsia="Times New Roman" w:hAnsi="Times New Roman" w:cs="Times New Roman"/>
          <w:color w:val="000000" w:themeColor="text1"/>
          <w:sz w:val="28"/>
          <w:bdr w:val="none" w:sz="0" w:space="0" w:color="auto" w:frame="1"/>
          <w:lang w:val="ro-RO"/>
        </w:rPr>
        <w:t xml:space="preserve">energiei </w:t>
      </w:r>
      <w:r w:rsidR="00115635" w:rsidRPr="00921CF1">
        <w:rPr>
          <w:rFonts w:ascii="Times New Roman" w:eastAsia="Times New Roman" w:hAnsi="Times New Roman" w:cs="Times New Roman"/>
          <w:color w:val="000000" w:themeColor="text1"/>
          <w:sz w:val="28"/>
          <w:bdr w:val="none" w:sz="0" w:space="0" w:color="auto" w:frame="1"/>
          <w:lang w:val="ro-RO"/>
        </w:rPr>
        <w:t xml:space="preserve">şi </w:t>
      </w:r>
      <w:r w:rsidRPr="00921CF1">
        <w:rPr>
          <w:rFonts w:ascii="Times New Roman" w:eastAsia="Times New Roman" w:hAnsi="Times New Roman" w:cs="Times New Roman"/>
          <w:color w:val="000000" w:themeColor="text1"/>
          <w:sz w:val="28"/>
          <w:bdr w:val="none" w:sz="0" w:space="0" w:color="auto" w:frame="1"/>
          <w:lang w:val="ro-RO"/>
        </w:rPr>
        <w:t>raspunsul la</w:t>
      </w:r>
      <w:r w:rsidR="00115635" w:rsidRPr="00921CF1">
        <w:rPr>
          <w:rFonts w:ascii="Times New Roman" w:eastAsia="Times New Roman" w:hAnsi="Times New Roman" w:cs="Times New Roman"/>
          <w:color w:val="000000" w:themeColor="text1"/>
          <w:sz w:val="28"/>
          <w:bdr w:val="none" w:sz="0" w:space="0" w:color="auto" w:frame="1"/>
          <w:lang w:val="ro-RO"/>
        </w:rPr>
        <w:t xml:space="preserve"> cerer</w:t>
      </w:r>
      <w:r w:rsidRPr="00921CF1">
        <w:rPr>
          <w:rFonts w:ascii="Times New Roman" w:eastAsia="Times New Roman" w:hAnsi="Times New Roman" w:cs="Times New Roman"/>
          <w:color w:val="000000" w:themeColor="text1"/>
          <w:sz w:val="28"/>
          <w:bdr w:val="none" w:sz="0" w:space="0" w:color="auto" w:frame="1"/>
          <w:lang w:val="ro-RO"/>
        </w:rPr>
        <w:t>e</w:t>
      </w:r>
      <w:bookmarkEnd w:id="379"/>
      <w:bookmarkEnd w:id="380"/>
    </w:p>
    <w:p w14:paraId="7B1B00BF" w14:textId="5F80493C" w:rsidR="00BC2ED4" w:rsidRPr="009C5F11" w:rsidRDefault="00115635"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O trecere succintă în revistă a situaţiei privind transformarea energ</w:t>
      </w:r>
      <w:r w:rsidR="00427168" w:rsidRPr="009C5F11">
        <w:rPr>
          <w:rFonts w:ascii="Times New Roman" w:hAnsi="Times New Roman" w:cs="Times New Roman"/>
          <w:sz w:val="24"/>
          <w:lang w:val="ro-RO"/>
        </w:rPr>
        <w:t>iei</w:t>
      </w:r>
      <w:r w:rsidRPr="009C5F11">
        <w:rPr>
          <w:rFonts w:ascii="Times New Roman" w:hAnsi="Times New Roman" w:cs="Times New Roman"/>
          <w:sz w:val="24"/>
          <w:lang w:val="ro-RO"/>
        </w:rPr>
        <w:t xml:space="preserve">, </w:t>
      </w:r>
      <w:r w:rsidR="00427168" w:rsidRPr="009C5F11">
        <w:rPr>
          <w:rFonts w:ascii="Times New Roman" w:hAnsi="Times New Roman" w:cs="Times New Roman"/>
          <w:sz w:val="24"/>
          <w:lang w:val="ro-RO"/>
        </w:rPr>
        <w:t xml:space="preserve">precum şi </w:t>
      </w:r>
      <w:r w:rsidRPr="009C5F11">
        <w:rPr>
          <w:rFonts w:ascii="Times New Roman" w:hAnsi="Times New Roman" w:cs="Times New Roman"/>
          <w:sz w:val="24"/>
          <w:lang w:val="ro-RO"/>
        </w:rPr>
        <w:t xml:space="preserve">transportul şi distribuţia </w:t>
      </w:r>
      <w:r w:rsidR="00427168" w:rsidRPr="009C5F11">
        <w:rPr>
          <w:rFonts w:ascii="Times New Roman" w:hAnsi="Times New Roman" w:cs="Times New Roman"/>
          <w:sz w:val="24"/>
          <w:lang w:val="ro-RO"/>
        </w:rPr>
        <w:t xml:space="preserve">de energie </w:t>
      </w:r>
      <w:r w:rsidRPr="009C5F11">
        <w:rPr>
          <w:rFonts w:ascii="Times New Roman" w:hAnsi="Times New Roman" w:cs="Times New Roman"/>
          <w:sz w:val="24"/>
          <w:lang w:val="ro-RO"/>
        </w:rPr>
        <w:t xml:space="preserve">este </w:t>
      </w:r>
      <w:r w:rsidR="00427168" w:rsidRPr="009C5F11">
        <w:rPr>
          <w:rFonts w:ascii="Times New Roman" w:hAnsi="Times New Roman" w:cs="Times New Roman"/>
          <w:sz w:val="24"/>
          <w:lang w:val="ro-RO"/>
        </w:rPr>
        <w:t xml:space="preserve">inclusă </w:t>
      </w:r>
      <w:r w:rsidR="00E37F02" w:rsidRPr="009C5F11">
        <w:rPr>
          <w:rFonts w:ascii="Times New Roman" w:hAnsi="Times New Roman" w:cs="Times New Roman"/>
          <w:sz w:val="24"/>
          <w:lang w:val="ro-RO"/>
        </w:rPr>
        <w:t>în</w:t>
      </w:r>
      <w:r w:rsidRPr="009C5F11">
        <w:rPr>
          <w:rFonts w:ascii="Times New Roman" w:hAnsi="Times New Roman" w:cs="Times New Roman"/>
          <w:sz w:val="24"/>
          <w:lang w:val="ro-RO"/>
        </w:rPr>
        <w:t xml:space="preserve"> Articolul 42 din “Strategia energetică a Republicii Moldova până în anul 2030”:</w:t>
      </w:r>
    </w:p>
    <w:p w14:paraId="55F89CD1" w14:textId="77777777" w:rsidR="00115635" w:rsidRPr="009C5F11" w:rsidRDefault="0011563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i/>
          <w:szCs w:val="18"/>
          <w:lang w:val="ro-RO"/>
        </w:rPr>
      </w:pPr>
      <w:r w:rsidRPr="009C5F11">
        <w:rPr>
          <w:rFonts w:ascii="Times New Roman" w:hAnsi="Times New Roman" w:cs="Times New Roman"/>
          <w:i/>
          <w:szCs w:val="18"/>
          <w:lang w:val="ro-RO"/>
        </w:rPr>
        <w:t xml:space="preserve">pe lanţul de producere, transport, distribuţie şi furnizare, creşterea eficienţei s-a manifestat prin reducerea nivelului pierderilor în reţelele de distribuţie şi de transport, însă eficienţa generării energiei electrice şi termice a rămas scăzută; </w:t>
      </w:r>
    </w:p>
    <w:p w14:paraId="3DA4DA76" w14:textId="77777777" w:rsidR="00115635" w:rsidRPr="009C5F11" w:rsidRDefault="0011563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i/>
          <w:szCs w:val="18"/>
          <w:lang w:val="ro-RO"/>
        </w:rPr>
      </w:pPr>
      <w:r w:rsidRPr="009C5F11">
        <w:rPr>
          <w:rFonts w:ascii="Times New Roman" w:hAnsi="Times New Roman" w:cs="Times New Roman"/>
          <w:i/>
          <w:szCs w:val="18"/>
          <w:lang w:val="ro-RO"/>
        </w:rPr>
        <w:t>au fost lansate şi realizate investiţii în proiectele de eficienţă energetică în sectorul industrial şi în cel public, inclusiv cu suportul instituţiilor financiare internaţionale;</w:t>
      </w:r>
    </w:p>
    <w:p w14:paraId="785DC737" w14:textId="77777777" w:rsidR="00115635" w:rsidRPr="009C5F11" w:rsidRDefault="0011563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i/>
          <w:szCs w:val="18"/>
          <w:lang w:val="ro-RO"/>
        </w:rPr>
      </w:pPr>
      <w:r w:rsidRPr="009C5F11">
        <w:rPr>
          <w:rFonts w:ascii="Times New Roman" w:hAnsi="Times New Roman" w:cs="Times New Roman"/>
          <w:i/>
          <w:szCs w:val="18"/>
          <w:lang w:val="ro-RO"/>
        </w:rPr>
        <w:t xml:space="preserve">potenţialul existent de surse de energie regenerabilă în mixul energetic este încă insuficient valorificat; </w:t>
      </w:r>
    </w:p>
    <w:p w14:paraId="40B08DD4" w14:textId="77777777" w:rsidR="00115635" w:rsidRPr="009C5F11" w:rsidRDefault="0011563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i/>
          <w:szCs w:val="18"/>
          <w:lang w:val="ro-RO"/>
        </w:rPr>
      </w:pPr>
      <w:r w:rsidRPr="009C5F11">
        <w:rPr>
          <w:rFonts w:ascii="Times New Roman" w:hAnsi="Times New Roman" w:cs="Times New Roman"/>
          <w:i/>
          <w:szCs w:val="18"/>
          <w:lang w:val="ro-RO"/>
        </w:rPr>
        <w:t xml:space="preserve">a fost depolitizată activitatea de stabilire a tarifelor în sectorul sistemului centralizat de alimentare cu energie termică şi, ca rezultat imediat, au fost introduse tarife care reflectă integral costurile, astfel fiind stopată acumularea datoriilor, singurele datorii care rămân de recuperat fiind cele istorice; </w:t>
      </w:r>
    </w:p>
    <w:p w14:paraId="503DD9CD" w14:textId="77777777" w:rsidR="00115635" w:rsidRPr="009C5F11" w:rsidRDefault="0011563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i/>
          <w:szCs w:val="18"/>
          <w:lang w:val="ro-RO"/>
        </w:rPr>
      </w:pPr>
      <w:r w:rsidRPr="009C5F11">
        <w:rPr>
          <w:rFonts w:ascii="Times New Roman" w:hAnsi="Times New Roman" w:cs="Times New Roman"/>
          <w:i/>
          <w:szCs w:val="18"/>
          <w:lang w:val="ro-RO"/>
        </w:rPr>
        <w:t>în condiţiile cogenerării ineficiente şi a sistemului de încălzire centralizat învechit, noile tarife nu au putut îmbunătăţi abilitatea agenţilor economici de a investi ca singură posibilitate de a reduce costurile variabile, ci numai au redus accesibilitatea tarifelor pentru populaţie.</w:t>
      </w:r>
    </w:p>
    <w:p w14:paraId="6FD97ADE" w14:textId="348C4B0C" w:rsidR="00BC2ED4" w:rsidRPr="009C5F11" w:rsidRDefault="0027068E"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ceea ce priveşte domeniul specific al eficienţei energetice pe lanţul de producere/transformare, transport şi distribuţie, Strategia energetică prevede următoarele</w:t>
      </w:r>
      <w:r w:rsidR="00BC2ED4" w:rsidRPr="009C5F11">
        <w:rPr>
          <w:rFonts w:ascii="Times New Roman" w:hAnsi="Times New Roman" w:cs="Times New Roman"/>
          <w:sz w:val="24"/>
          <w:lang w:val="ro-RO"/>
        </w:rPr>
        <w:t>:</w:t>
      </w:r>
    </w:p>
    <w:p w14:paraId="054B77FC" w14:textId="77777777" w:rsidR="00BC2ED4" w:rsidRPr="009C5F11" w:rsidRDefault="0027068E"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reducerea pierderilor în reţelele de transport şi de distribuţie</w:t>
      </w:r>
      <w:r w:rsidR="00BC2ED4" w:rsidRPr="009C5F11">
        <w:rPr>
          <w:rFonts w:ascii="Times New Roman" w:hAnsi="Times New Roman" w:cs="Times New Roman"/>
          <w:sz w:val="24"/>
          <w:lang w:val="ro-RO"/>
        </w:rPr>
        <w:t>:</w:t>
      </w:r>
    </w:p>
    <w:p w14:paraId="3B46B03A" w14:textId="77777777" w:rsidR="00BC2ED4" w:rsidRPr="009C5F11" w:rsidRDefault="0027068E" w:rsidP="00334F3B">
      <w:pPr>
        <w:pStyle w:val="Listparagraf"/>
        <w:numPr>
          <w:ilvl w:val="1"/>
          <w:numId w:val="171"/>
        </w:numPr>
        <w:spacing w:before="120" w:after="120" w:line="240" w:lineRule="auto"/>
        <w:contextualSpacing w:val="0"/>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cu până la 11% în 2020 (până la 13% în 2015) pentru energie electrică</w:t>
      </w:r>
      <w:r w:rsidR="00BC2ED4" w:rsidRPr="009C5F11">
        <w:rPr>
          <w:rFonts w:ascii="Times New Roman" w:hAnsi="Times New Roman" w:cs="Times New Roman"/>
          <w:i/>
          <w:szCs w:val="18"/>
          <w:lang w:val="ro-RO"/>
        </w:rPr>
        <w:t xml:space="preserve">, </w:t>
      </w:r>
    </w:p>
    <w:p w14:paraId="21E364F5" w14:textId="77777777" w:rsidR="00BC2ED4" w:rsidRPr="009C5F11" w:rsidRDefault="0027068E" w:rsidP="00334F3B">
      <w:pPr>
        <w:pStyle w:val="Listparagraf"/>
        <w:numPr>
          <w:ilvl w:val="1"/>
          <w:numId w:val="171"/>
        </w:numPr>
        <w:spacing w:before="120" w:after="120" w:line="240" w:lineRule="auto"/>
        <w:contextualSpacing w:val="0"/>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cu 39% în 2020 (cu 20% în 2015) pentru gaze naturale, </w:t>
      </w:r>
      <w:r w:rsidR="00321CD5" w:rsidRPr="009C5F11">
        <w:rPr>
          <w:rFonts w:ascii="Times New Roman" w:hAnsi="Times New Roman" w:cs="Times New Roman"/>
          <w:i/>
          <w:szCs w:val="18"/>
          <w:lang w:val="ro-RO"/>
        </w:rPr>
        <w:t xml:space="preserve">şi </w:t>
      </w:r>
    </w:p>
    <w:p w14:paraId="2BA4D436" w14:textId="77777777" w:rsidR="00BC2ED4" w:rsidRPr="009C5F11" w:rsidRDefault="0027068E" w:rsidP="00334F3B">
      <w:pPr>
        <w:pStyle w:val="Listparagraf"/>
        <w:numPr>
          <w:ilvl w:val="1"/>
          <w:numId w:val="171"/>
        </w:numPr>
        <w:spacing w:before="120" w:after="120" w:line="240" w:lineRule="auto"/>
        <w:contextualSpacing w:val="0"/>
        <w:jc w:val="both"/>
        <w:textAlignment w:val="baseline"/>
        <w:rPr>
          <w:rFonts w:ascii="Times New Roman" w:hAnsi="Times New Roman" w:cs="Times New Roman"/>
          <w:szCs w:val="18"/>
          <w:lang w:val="ro-RO"/>
        </w:rPr>
      </w:pPr>
      <w:r w:rsidRPr="009C5F11">
        <w:rPr>
          <w:rFonts w:ascii="Times New Roman" w:hAnsi="Times New Roman" w:cs="Times New Roman"/>
          <w:i/>
          <w:szCs w:val="18"/>
          <w:lang w:val="ro-RO"/>
        </w:rPr>
        <w:t>cu 5% în 2020 (cu 2 % în 2015) pentru energie termică</w:t>
      </w:r>
      <w:r w:rsidR="00BC2ED4" w:rsidRPr="009C5F11">
        <w:rPr>
          <w:rFonts w:ascii="Times New Roman" w:hAnsi="Times New Roman" w:cs="Times New Roman"/>
          <w:i/>
          <w:szCs w:val="18"/>
          <w:lang w:val="ro-RO"/>
        </w:rPr>
        <w:t>;</w:t>
      </w:r>
    </w:p>
    <w:p w14:paraId="6D6DE0D9" w14:textId="77777777" w:rsidR="00BC2ED4" w:rsidRPr="009C5F11" w:rsidRDefault="0027068E"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crearea unei noi capacităţi în mun</w:t>
      </w:r>
      <w:r w:rsidR="00E37F02" w:rsidRPr="009C5F11">
        <w:rPr>
          <w:rFonts w:ascii="Times New Roman" w:hAnsi="Times New Roman" w:cs="Times New Roman"/>
          <w:sz w:val="24"/>
          <w:lang w:val="ro-RO"/>
        </w:rPr>
        <w:t>icipiul</w:t>
      </w:r>
      <w:r w:rsidRPr="009C5F11">
        <w:rPr>
          <w:rFonts w:ascii="Times New Roman" w:hAnsi="Times New Roman" w:cs="Times New Roman"/>
          <w:sz w:val="24"/>
          <w:lang w:val="ro-RO"/>
        </w:rPr>
        <w:t xml:space="preserve"> Chişinău, în baza tehnologiilor eficiente de generare a energiei electrice şi termice, inclusiv de tip „turbină cu gaz cu ciclu combinat</w:t>
      </w:r>
      <w:r w:rsidR="00BC2ED4" w:rsidRPr="009C5F11">
        <w:rPr>
          <w:rFonts w:ascii="Times New Roman" w:hAnsi="Times New Roman" w:cs="Times New Roman"/>
          <w:sz w:val="24"/>
          <w:lang w:val="ro-RO"/>
        </w:rPr>
        <w:t xml:space="preserve">” </w:t>
      </w:r>
    </w:p>
    <w:p w14:paraId="2B57DEBE" w14:textId="77777777" w:rsidR="00BC2ED4" w:rsidRPr="009C5F11" w:rsidRDefault="0027068E"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reevaluarea, reconstruirea şi reabilitarea, acolo unde este fezabil, a sistemului de încălzire centralizată existent.</w:t>
      </w:r>
    </w:p>
    <w:p w14:paraId="6508E6E1" w14:textId="528BB1AC" w:rsidR="00BC2ED4" w:rsidRPr="009C5F11" w:rsidRDefault="00872DC2"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PNAEE</w:t>
      </w:r>
      <w:r w:rsidR="00BC2ED4" w:rsidRPr="009C5F11">
        <w:rPr>
          <w:rFonts w:ascii="Times New Roman" w:hAnsi="Times New Roman" w:cs="Times New Roman"/>
          <w:sz w:val="24"/>
          <w:lang w:val="ro-RO"/>
        </w:rPr>
        <w:t xml:space="preserve"> 2013-2015 include </w:t>
      </w:r>
      <w:r w:rsidR="00E10BE5" w:rsidRPr="009C5F11">
        <w:rPr>
          <w:rFonts w:ascii="Times New Roman" w:hAnsi="Times New Roman" w:cs="Times New Roman"/>
          <w:sz w:val="24"/>
          <w:lang w:val="ro-RO"/>
        </w:rPr>
        <w:t>măsuri</w:t>
      </w:r>
      <w:r w:rsidR="00BC2ED4" w:rsidRPr="009C5F11">
        <w:rPr>
          <w:rFonts w:ascii="Times New Roman" w:hAnsi="Times New Roman" w:cs="Times New Roman"/>
          <w:sz w:val="24"/>
          <w:lang w:val="ro-RO"/>
        </w:rPr>
        <w:t xml:space="preserve"> </w:t>
      </w:r>
      <w:r w:rsidR="00273CDE" w:rsidRPr="009C5F11">
        <w:rPr>
          <w:rFonts w:ascii="Times New Roman" w:hAnsi="Times New Roman" w:cs="Times New Roman"/>
          <w:sz w:val="24"/>
          <w:lang w:val="ro-RO"/>
        </w:rPr>
        <w:t>specifice în materie de</w:t>
      </w:r>
      <w:r w:rsidR="00BC2ED4"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eficienţă energetică</w:t>
      </w:r>
      <w:r w:rsidR="00321CD5" w:rsidRPr="009C5F11">
        <w:rPr>
          <w:rFonts w:ascii="Times New Roman" w:hAnsi="Times New Roman" w:cs="Times New Roman"/>
          <w:sz w:val="24"/>
          <w:lang w:val="ro-RO"/>
        </w:rPr>
        <w:t xml:space="preserve"> în </w:t>
      </w:r>
      <w:r w:rsidR="00273CDE" w:rsidRPr="009C5F11">
        <w:rPr>
          <w:rFonts w:ascii="Times New Roman" w:hAnsi="Times New Roman" w:cs="Times New Roman"/>
          <w:sz w:val="24"/>
          <w:lang w:val="ro-RO"/>
        </w:rPr>
        <w:t xml:space="preserve">faza de </w:t>
      </w:r>
      <w:r w:rsidR="00BC2ED4" w:rsidRPr="009C5F11">
        <w:rPr>
          <w:rFonts w:ascii="Times New Roman" w:hAnsi="Times New Roman" w:cs="Times New Roman"/>
          <w:sz w:val="24"/>
          <w:lang w:val="ro-RO"/>
        </w:rPr>
        <w:t>transforma</w:t>
      </w:r>
      <w:r w:rsidR="00273CDE" w:rsidRPr="009C5F11">
        <w:rPr>
          <w:rFonts w:ascii="Times New Roman" w:hAnsi="Times New Roman" w:cs="Times New Roman"/>
          <w:sz w:val="24"/>
          <w:lang w:val="ro-RO"/>
        </w:rPr>
        <w:t>re</w:t>
      </w:r>
      <w:r w:rsidR="00BC2ED4" w:rsidRPr="009C5F11">
        <w:rPr>
          <w:rFonts w:ascii="Times New Roman" w:hAnsi="Times New Roman" w:cs="Times New Roman"/>
          <w:sz w:val="24"/>
          <w:lang w:val="ro-RO"/>
        </w:rPr>
        <w:t xml:space="preserve">, </w:t>
      </w:r>
      <w:r w:rsidR="008F7BD5" w:rsidRPr="009C5F11">
        <w:rPr>
          <w:rFonts w:ascii="Times New Roman" w:hAnsi="Times New Roman" w:cs="Times New Roman"/>
          <w:sz w:val="24"/>
          <w:lang w:val="ro-RO"/>
        </w:rPr>
        <w:t>transport</w:t>
      </w:r>
      <w:r w:rsidR="00321CD5" w:rsidRPr="009C5F11">
        <w:rPr>
          <w:rFonts w:ascii="Times New Roman" w:hAnsi="Times New Roman" w:cs="Times New Roman"/>
          <w:sz w:val="24"/>
          <w:lang w:val="ro-RO"/>
        </w:rPr>
        <w:t xml:space="preserve"> şi </w:t>
      </w:r>
      <w:r w:rsidR="008F7BD5" w:rsidRPr="009C5F11">
        <w:rPr>
          <w:rFonts w:ascii="Times New Roman" w:hAnsi="Times New Roman" w:cs="Times New Roman"/>
          <w:sz w:val="24"/>
          <w:lang w:val="ro-RO"/>
        </w:rPr>
        <w:t>distribuţie</w:t>
      </w:r>
      <w:r w:rsidR="00BC2ED4" w:rsidRPr="009C5F11">
        <w:rPr>
          <w:rFonts w:ascii="Times New Roman" w:hAnsi="Times New Roman" w:cs="Times New Roman"/>
          <w:sz w:val="24"/>
          <w:lang w:val="ro-RO"/>
        </w:rPr>
        <w:t xml:space="preserve">, </w:t>
      </w:r>
      <w:r w:rsidR="003826B8" w:rsidRPr="009C5F11">
        <w:rPr>
          <w:rFonts w:ascii="Times New Roman" w:hAnsi="Times New Roman" w:cs="Times New Roman"/>
          <w:sz w:val="24"/>
          <w:lang w:val="ro-RO"/>
        </w:rPr>
        <w:t>cum ar fi</w:t>
      </w:r>
      <w:r w:rsidR="00BC2ED4" w:rsidRPr="009C5F11">
        <w:rPr>
          <w:rFonts w:ascii="Times New Roman" w:hAnsi="Times New Roman" w:cs="Times New Roman"/>
          <w:sz w:val="24"/>
          <w:lang w:val="ro-RO"/>
        </w:rPr>
        <w:t xml:space="preserve"> </w:t>
      </w:r>
      <w:r w:rsidR="00273CDE" w:rsidRPr="009C5F11">
        <w:rPr>
          <w:rFonts w:ascii="Times New Roman" w:hAnsi="Times New Roman" w:cs="Times New Roman"/>
          <w:sz w:val="24"/>
          <w:lang w:val="ro-RO"/>
        </w:rPr>
        <w:t xml:space="preserve">programele proprii de eficienţă energetică pentru </w:t>
      </w:r>
      <w:r w:rsidR="008F7BD5" w:rsidRPr="009C5F11">
        <w:rPr>
          <w:rFonts w:ascii="Times New Roman" w:hAnsi="Times New Roman" w:cs="Times New Roman"/>
          <w:sz w:val="24"/>
          <w:lang w:val="ro-RO"/>
        </w:rPr>
        <w:t>transport</w:t>
      </w:r>
      <w:r w:rsidR="00273CDE" w:rsidRPr="009C5F11">
        <w:rPr>
          <w:rFonts w:ascii="Times New Roman" w:hAnsi="Times New Roman" w:cs="Times New Roman"/>
          <w:sz w:val="24"/>
          <w:lang w:val="ro-RO"/>
        </w:rPr>
        <w:t>ul</w:t>
      </w:r>
      <w:r w:rsidR="00321CD5" w:rsidRPr="009C5F11">
        <w:rPr>
          <w:rFonts w:ascii="Times New Roman" w:hAnsi="Times New Roman" w:cs="Times New Roman"/>
          <w:sz w:val="24"/>
          <w:lang w:val="ro-RO"/>
        </w:rPr>
        <w:t xml:space="preserve"> şi </w:t>
      </w:r>
      <w:r w:rsidR="008F7BD5" w:rsidRPr="009C5F11">
        <w:rPr>
          <w:rFonts w:ascii="Times New Roman" w:hAnsi="Times New Roman" w:cs="Times New Roman"/>
          <w:sz w:val="24"/>
          <w:lang w:val="ro-RO"/>
        </w:rPr>
        <w:t>distribuţi</w:t>
      </w:r>
      <w:r w:rsidR="00273CDE" w:rsidRPr="009C5F11">
        <w:rPr>
          <w:rFonts w:ascii="Times New Roman" w:hAnsi="Times New Roman" w:cs="Times New Roman"/>
          <w:sz w:val="24"/>
          <w:lang w:val="ro-RO"/>
        </w:rPr>
        <w:t>a energiei electrice din</w:t>
      </w:r>
      <w:r w:rsidR="00BC2ED4" w:rsidRPr="009C5F11">
        <w:rPr>
          <w:rFonts w:ascii="Times New Roman" w:hAnsi="Times New Roman" w:cs="Times New Roman"/>
          <w:sz w:val="24"/>
          <w:lang w:val="ro-RO"/>
        </w:rPr>
        <w:t xml:space="preserve"> </w:t>
      </w:r>
      <w:r w:rsidR="000E55A5" w:rsidRPr="009C5F11">
        <w:rPr>
          <w:rFonts w:ascii="Times New Roman" w:hAnsi="Times New Roman" w:cs="Times New Roman"/>
          <w:sz w:val="24"/>
          <w:lang w:val="ro-RO"/>
        </w:rPr>
        <w:t>Măsura</w:t>
      </w:r>
      <w:r w:rsidR="00BC2ED4" w:rsidRPr="009C5F11">
        <w:rPr>
          <w:rFonts w:ascii="Times New Roman" w:hAnsi="Times New Roman" w:cs="Times New Roman"/>
          <w:sz w:val="24"/>
          <w:lang w:val="ro-RO"/>
        </w:rPr>
        <w:t xml:space="preserve"> 98</w:t>
      </w:r>
      <w:r w:rsidR="00321CD5" w:rsidRPr="009C5F11">
        <w:rPr>
          <w:rFonts w:ascii="Times New Roman" w:hAnsi="Times New Roman" w:cs="Times New Roman"/>
          <w:sz w:val="24"/>
          <w:lang w:val="ro-RO"/>
        </w:rPr>
        <w:t xml:space="preserve"> </w:t>
      </w:r>
      <w:r w:rsidR="00210C2C" w:rsidRPr="009C5F11">
        <w:rPr>
          <w:rFonts w:ascii="Times New Roman" w:hAnsi="Times New Roman" w:cs="Times New Roman"/>
          <w:sz w:val="24"/>
          <w:lang w:val="ro-RO"/>
        </w:rPr>
        <w:t>PNAEE 2013-2015</w:t>
      </w:r>
      <w:r w:rsidR="00BC2ED4" w:rsidRPr="009C5F11">
        <w:rPr>
          <w:rFonts w:ascii="Times New Roman" w:hAnsi="Times New Roman" w:cs="Times New Roman"/>
          <w:sz w:val="24"/>
          <w:lang w:val="ro-RO"/>
        </w:rPr>
        <w:t xml:space="preserve">. </w:t>
      </w:r>
      <w:r w:rsidR="00273CDE" w:rsidRPr="009C5F11">
        <w:rPr>
          <w:rFonts w:ascii="Times New Roman" w:hAnsi="Times New Roman" w:cs="Times New Roman"/>
          <w:sz w:val="24"/>
          <w:lang w:val="ro-RO"/>
        </w:rPr>
        <w:t xml:space="preserve">Până în prezent, nu am primit informaţii de confirmare potrivit cărora operatorii de </w:t>
      </w:r>
      <w:r w:rsidR="008F7BD5" w:rsidRPr="009C5F11">
        <w:rPr>
          <w:rFonts w:ascii="Times New Roman" w:hAnsi="Times New Roman" w:cs="Times New Roman"/>
          <w:sz w:val="24"/>
          <w:lang w:val="ro-RO"/>
        </w:rPr>
        <w:t>distribuţie</w:t>
      </w:r>
      <w:r w:rsidR="00273CDE" w:rsidRPr="009C5F11">
        <w:rPr>
          <w:rFonts w:ascii="Times New Roman" w:hAnsi="Times New Roman" w:cs="Times New Roman"/>
          <w:sz w:val="24"/>
          <w:lang w:val="ro-RO"/>
        </w:rPr>
        <w:t xml:space="preserve"> şi de sistem au elaborat astfel de programe</w:t>
      </w:r>
      <w:r w:rsidR="00321CD5" w:rsidRPr="009C5F11">
        <w:rPr>
          <w:rFonts w:ascii="Times New Roman" w:hAnsi="Times New Roman" w:cs="Times New Roman"/>
          <w:sz w:val="24"/>
          <w:lang w:val="ro-RO"/>
        </w:rPr>
        <w:t xml:space="preserve"> sau </w:t>
      </w:r>
      <w:r w:rsidR="00BC2ED4" w:rsidRPr="009C5F11">
        <w:rPr>
          <w:rFonts w:ascii="Times New Roman" w:hAnsi="Times New Roman" w:cs="Times New Roman"/>
          <w:sz w:val="24"/>
          <w:lang w:val="ro-RO"/>
        </w:rPr>
        <w:t>n</w:t>
      </w:r>
      <w:r w:rsidR="00273CDE" w:rsidRPr="009C5F11">
        <w:rPr>
          <w:rFonts w:ascii="Times New Roman" w:hAnsi="Times New Roman" w:cs="Times New Roman"/>
          <w:sz w:val="24"/>
          <w:lang w:val="ro-RO"/>
        </w:rPr>
        <w:t>u</w:t>
      </w:r>
      <w:r w:rsidR="00BC2ED4" w:rsidRPr="009C5F11">
        <w:rPr>
          <w:rFonts w:ascii="Times New Roman" w:hAnsi="Times New Roman" w:cs="Times New Roman"/>
          <w:sz w:val="24"/>
          <w:lang w:val="ro-RO"/>
        </w:rPr>
        <w:t>:</w:t>
      </w:r>
    </w:p>
    <w:p w14:paraId="218E26FF" w14:textId="77777777" w:rsidR="00BC2ED4" w:rsidRPr="009C5F11" w:rsidRDefault="00BC2ED4"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RED </w:t>
      </w:r>
      <w:r w:rsidR="00800247" w:rsidRPr="009C5F11">
        <w:rPr>
          <w:rFonts w:ascii="Times New Roman" w:hAnsi="Times New Roman" w:cs="Times New Roman"/>
          <w:sz w:val="24"/>
          <w:lang w:val="ro-RO"/>
        </w:rPr>
        <w:t>Nord</w:t>
      </w:r>
      <w:r w:rsidRPr="009C5F11">
        <w:rPr>
          <w:rFonts w:ascii="Times New Roman" w:hAnsi="Times New Roman" w:cs="Times New Roman"/>
          <w:sz w:val="24"/>
          <w:lang w:val="ro-RO"/>
        </w:rPr>
        <w:t xml:space="preserve"> Vest </w:t>
      </w:r>
      <w:r w:rsidR="00273CDE" w:rsidRPr="009C5F11">
        <w:rPr>
          <w:rFonts w:ascii="Times New Roman" w:hAnsi="Times New Roman" w:cs="Times New Roman"/>
          <w:sz w:val="24"/>
          <w:lang w:val="ro-RO"/>
        </w:rPr>
        <w:t>a</w:t>
      </w:r>
      <w:r w:rsidRPr="009C5F11">
        <w:rPr>
          <w:rFonts w:ascii="Times New Roman" w:hAnsi="Times New Roman" w:cs="Times New Roman"/>
          <w:sz w:val="24"/>
          <w:lang w:val="ro-RO"/>
        </w:rPr>
        <w:t xml:space="preserve"> inform</w:t>
      </w:r>
      <w:r w:rsidR="00273CDE" w:rsidRPr="009C5F11">
        <w:rPr>
          <w:rFonts w:ascii="Times New Roman" w:hAnsi="Times New Roman" w:cs="Times New Roman"/>
          <w:sz w:val="24"/>
          <w:lang w:val="ro-RO"/>
        </w:rPr>
        <w:t>at</w:t>
      </w:r>
      <w:r w:rsidRPr="009C5F11">
        <w:rPr>
          <w:rFonts w:ascii="Times New Roman" w:hAnsi="Times New Roman" w:cs="Times New Roman"/>
          <w:sz w:val="24"/>
          <w:lang w:val="ro-RO"/>
        </w:rPr>
        <w:t xml:space="preserve"> </w:t>
      </w:r>
      <w:r w:rsidR="00273CDE" w:rsidRPr="009C5F11">
        <w:rPr>
          <w:rFonts w:ascii="Times New Roman" w:hAnsi="Times New Roman" w:cs="Times New Roman"/>
          <w:sz w:val="24"/>
          <w:lang w:val="ro-RO"/>
        </w:rPr>
        <w:t>despre planificarea</w:t>
      </w:r>
      <w:r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măsuri</w:t>
      </w:r>
      <w:r w:rsidR="00273CDE" w:rsidRPr="009C5F11">
        <w:rPr>
          <w:rFonts w:ascii="Times New Roman" w:hAnsi="Times New Roman" w:cs="Times New Roman"/>
          <w:sz w:val="24"/>
          <w:lang w:val="ro-RO"/>
        </w:rPr>
        <w:t>lor necesare</w:t>
      </w:r>
      <w:r w:rsidRPr="009C5F11">
        <w:rPr>
          <w:rFonts w:ascii="Times New Roman" w:hAnsi="Times New Roman" w:cs="Times New Roman"/>
          <w:sz w:val="24"/>
          <w:lang w:val="ro-RO"/>
        </w:rPr>
        <w:t xml:space="preserve"> (</w:t>
      </w:r>
      <w:r w:rsidR="00D77687" w:rsidRPr="009C5F11">
        <w:rPr>
          <w:rFonts w:ascii="Times New Roman" w:hAnsi="Times New Roman" w:cs="Times New Roman"/>
          <w:sz w:val="24"/>
          <w:lang w:val="ro-RO"/>
        </w:rPr>
        <w:t>modernizarea</w:t>
      </w:r>
      <w:r w:rsidR="00321CD5" w:rsidRPr="009C5F11">
        <w:rPr>
          <w:rFonts w:ascii="Times New Roman" w:hAnsi="Times New Roman" w:cs="Times New Roman"/>
          <w:sz w:val="24"/>
          <w:lang w:val="ro-RO"/>
        </w:rPr>
        <w:t xml:space="preserve"> şi </w:t>
      </w:r>
      <w:r w:rsidR="00C2356A" w:rsidRPr="009C5F11">
        <w:rPr>
          <w:rFonts w:ascii="Times New Roman" w:hAnsi="Times New Roman" w:cs="Times New Roman"/>
          <w:sz w:val="24"/>
          <w:lang w:val="ro-RO"/>
        </w:rPr>
        <w:t>reabilitarea</w:t>
      </w:r>
      <w:r w:rsidRPr="009C5F11">
        <w:rPr>
          <w:rFonts w:ascii="Times New Roman" w:hAnsi="Times New Roman" w:cs="Times New Roman"/>
          <w:sz w:val="24"/>
          <w:lang w:val="ro-RO"/>
        </w:rPr>
        <w:t xml:space="preserve">) </w:t>
      </w:r>
      <w:r w:rsidR="00273CDE" w:rsidRPr="009C5F11">
        <w:rPr>
          <w:rFonts w:ascii="Times New Roman" w:hAnsi="Times New Roman" w:cs="Times New Roman"/>
          <w:sz w:val="24"/>
          <w:lang w:val="ro-RO"/>
        </w:rPr>
        <w:t xml:space="preserve">cu scopul de a reduce </w:t>
      </w:r>
      <w:r w:rsidR="00BA5A89" w:rsidRPr="009C5F11">
        <w:rPr>
          <w:rFonts w:ascii="Times New Roman" w:hAnsi="Times New Roman" w:cs="Times New Roman"/>
          <w:sz w:val="24"/>
          <w:lang w:val="ro-RO"/>
        </w:rPr>
        <w:t>pierderile</w:t>
      </w:r>
      <w:r w:rsidRPr="009C5F11">
        <w:rPr>
          <w:rFonts w:ascii="Times New Roman" w:hAnsi="Times New Roman" w:cs="Times New Roman"/>
          <w:sz w:val="24"/>
          <w:lang w:val="ro-RO"/>
        </w:rPr>
        <w:t xml:space="preserve"> </w:t>
      </w:r>
      <w:r w:rsidR="003A5D89" w:rsidRPr="009C5F11">
        <w:rPr>
          <w:rFonts w:ascii="Times New Roman" w:hAnsi="Times New Roman" w:cs="Times New Roman"/>
          <w:sz w:val="24"/>
          <w:lang w:val="ro-RO"/>
        </w:rPr>
        <w:t>până la</w:t>
      </w:r>
      <w:r w:rsidRPr="009C5F11">
        <w:rPr>
          <w:rFonts w:ascii="Times New Roman" w:hAnsi="Times New Roman" w:cs="Times New Roman"/>
          <w:sz w:val="24"/>
          <w:lang w:val="ro-RO"/>
        </w:rPr>
        <w:t xml:space="preserve"> 10.82%</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 xml:space="preserve">2016, </w:t>
      </w:r>
      <w:r w:rsidR="003A5D89" w:rsidRPr="009C5F11">
        <w:rPr>
          <w:rFonts w:ascii="Times New Roman" w:hAnsi="Times New Roman" w:cs="Times New Roman"/>
          <w:sz w:val="24"/>
          <w:lang w:val="ro-RO"/>
        </w:rPr>
        <w:t>până la</w:t>
      </w:r>
      <w:r w:rsidRPr="009C5F11">
        <w:rPr>
          <w:rFonts w:ascii="Times New Roman" w:hAnsi="Times New Roman" w:cs="Times New Roman"/>
          <w:sz w:val="24"/>
          <w:lang w:val="ro-RO"/>
        </w:rPr>
        <w:t xml:space="preserve"> 10.44%</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2017</w:t>
      </w:r>
      <w:r w:rsidR="00321CD5" w:rsidRPr="009C5F11">
        <w:rPr>
          <w:rFonts w:ascii="Times New Roman" w:hAnsi="Times New Roman" w:cs="Times New Roman"/>
          <w:sz w:val="24"/>
          <w:lang w:val="ro-RO"/>
        </w:rPr>
        <w:t xml:space="preserve"> şi </w:t>
      </w:r>
      <w:r w:rsidR="003A5D89" w:rsidRPr="009C5F11">
        <w:rPr>
          <w:rFonts w:ascii="Times New Roman" w:hAnsi="Times New Roman" w:cs="Times New Roman"/>
          <w:sz w:val="24"/>
          <w:lang w:val="ro-RO"/>
        </w:rPr>
        <w:t>până la</w:t>
      </w:r>
      <w:r w:rsidRPr="009C5F11">
        <w:rPr>
          <w:rFonts w:ascii="Times New Roman" w:hAnsi="Times New Roman" w:cs="Times New Roman"/>
          <w:sz w:val="24"/>
          <w:lang w:val="ro-RO"/>
        </w:rPr>
        <w:t xml:space="preserve"> 10.35%</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 xml:space="preserve">2018. </w:t>
      </w:r>
    </w:p>
    <w:p w14:paraId="657AD5A2" w14:textId="77777777" w:rsidR="00BC2ED4" w:rsidRPr="009C5F11" w:rsidRDefault="00E10BE5"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măsuri</w:t>
      </w:r>
      <w:r w:rsidR="00BC2ED4" w:rsidRPr="009C5F11">
        <w:rPr>
          <w:rFonts w:ascii="Times New Roman" w:hAnsi="Times New Roman" w:cs="Times New Roman"/>
          <w:sz w:val="24"/>
          <w:lang w:val="ro-RO"/>
        </w:rPr>
        <w:t xml:space="preserve"> </w:t>
      </w:r>
      <w:r w:rsidR="00273CDE" w:rsidRPr="009C5F11">
        <w:rPr>
          <w:rFonts w:ascii="Times New Roman" w:hAnsi="Times New Roman" w:cs="Times New Roman"/>
          <w:sz w:val="24"/>
          <w:lang w:val="ro-RO"/>
        </w:rPr>
        <w:t xml:space="preserve">similare </w:t>
      </w:r>
      <w:r w:rsidR="00B7502D" w:rsidRPr="009C5F11">
        <w:rPr>
          <w:rFonts w:ascii="Times New Roman" w:hAnsi="Times New Roman" w:cs="Times New Roman"/>
          <w:sz w:val="24"/>
          <w:lang w:val="ro-RO"/>
        </w:rPr>
        <w:t>au raportat</w:t>
      </w:r>
      <w:r w:rsidR="00BC2ED4" w:rsidRPr="009C5F11">
        <w:rPr>
          <w:rFonts w:ascii="Times New Roman" w:hAnsi="Times New Roman" w:cs="Times New Roman"/>
          <w:sz w:val="24"/>
          <w:lang w:val="ro-RO"/>
        </w:rPr>
        <w:t xml:space="preserve"> RED </w:t>
      </w:r>
      <w:r w:rsidR="00800247" w:rsidRPr="009C5F11">
        <w:rPr>
          <w:rFonts w:ascii="Times New Roman" w:hAnsi="Times New Roman" w:cs="Times New Roman"/>
          <w:sz w:val="24"/>
          <w:lang w:val="ro-RO"/>
        </w:rPr>
        <w:t>Nord</w:t>
      </w:r>
      <w:r w:rsidR="00273CDE" w:rsidRPr="009C5F11">
        <w:rPr>
          <w:rFonts w:ascii="Times New Roman" w:hAnsi="Times New Roman" w:cs="Times New Roman"/>
          <w:sz w:val="24"/>
          <w:lang w:val="ro-RO"/>
        </w:rPr>
        <w:t xml:space="preserve"> fără cuantificarea</w:t>
      </w:r>
      <w:r w:rsidR="00BC2ED4" w:rsidRPr="009C5F11">
        <w:rPr>
          <w:rFonts w:ascii="Times New Roman" w:hAnsi="Times New Roman" w:cs="Times New Roman"/>
          <w:sz w:val="24"/>
          <w:lang w:val="ro-RO"/>
        </w:rPr>
        <w:t xml:space="preserve"> </w:t>
      </w:r>
      <w:r w:rsidR="00C639BC" w:rsidRPr="009C5F11">
        <w:rPr>
          <w:rFonts w:ascii="Times New Roman" w:hAnsi="Times New Roman" w:cs="Times New Roman"/>
          <w:sz w:val="24"/>
          <w:lang w:val="ro-RO"/>
        </w:rPr>
        <w:t>economii</w:t>
      </w:r>
      <w:r w:rsidR="00273CDE" w:rsidRPr="009C5F11">
        <w:rPr>
          <w:rFonts w:ascii="Times New Roman" w:hAnsi="Times New Roman" w:cs="Times New Roman"/>
          <w:sz w:val="24"/>
          <w:lang w:val="ro-RO"/>
        </w:rPr>
        <w:t>lor</w:t>
      </w:r>
      <w:r w:rsidR="00BC2ED4" w:rsidRPr="009C5F11">
        <w:rPr>
          <w:rFonts w:ascii="Times New Roman" w:hAnsi="Times New Roman" w:cs="Times New Roman"/>
          <w:sz w:val="24"/>
          <w:lang w:val="ro-RO"/>
        </w:rPr>
        <w:t>.</w:t>
      </w:r>
    </w:p>
    <w:p w14:paraId="0AD1410A" w14:textId="77777777" w:rsidR="009036E4" w:rsidRPr="009C5F11" w:rsidRDefault="0027068E"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Referitor la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formularele de </w:t>
      </w:r>
      <w:r w:rsidR="007F6775" w:rsidRPr="009C5F11">
        <w:rPr>
          <w:rFonts w:ascii="Times New Roman" w:hAnsi="Times New Roman" w:cs="Times New Roman"/>
          <w:sz w:val="24"/>
          <w:lang w:val="ro-RO"/>
        </w:rPr>
        <w:t>raportare</w:t>
      </w:r>
      <w:r w:rsidRPr="009C5F11">
        <w:rPr>
          <w:rFonts w:ascii="Times New Roman" w:hAnsi="Times New Roman" w:cs="Times New Roman"/>
          <w:sz w:val="24"/>
          <w:lang w:val="ro-RO"/>
        </w:rPr>
        <w:t xml:space="preserve"> elaborate de </w:t>
      </w:r>
      <w:r w:rsidR="00BC2ED4" w:rsidRPr="009C5F11">
        <w:rPr>
          <w:rFonts w:ascii="Times New Roman" w:hAnsi="Times New Roman" w:cs="Times New Roman"/>
          <w:sz w:val="24"/>
          <w:lang w:val="ro-RO"/>
        </w:rPr>
        <w:t>Moldelectrica</w:t>
      </w:r>
      <w:r w:rsidR="00321CD5" w:rsidRPr="009C5F11">
        <w:rPr>
          <w:rFonts w:ascii="Times New Roman" w:hAnsi="Times New Roman" w:cs="Times New Roman"/>
          <w:sz w:val="24"/>
          <w:lang w:val="ro-RO"/>
        </w:rPr>
        <w:t xml:space="preserve"> în </w:t>
      </w:r>
      <w:r w:rsidR="00BC2ED4" w:rsidRPr="009C5F11">
        <w:rPr>
          <w:rFonts w:ascii="Times New Roman" w:hAnsi="Times New Roman" w:cs="Times New Roman"/>
          <w:sz w:val="24"/>
          <w:lang w:val="ro-RO"/>
        </w:rPr>
        <w:t>2014</w:t>
      </w:r>
      <w:r w:rsidRPr="009C5F11">
        <w:rPr>
          <w:rFonts w:ascii="Times New Roman" w:hAnsi="Times New Roman" w:cs="Times New Roman"/>
          <w:sz w:val="24"/>
          <w:lang w:val="ro-RO"/>
        </w:rPr>
        <w:t xml:space="preserve"> şi prezentate AEE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nu au fost furnizate </w:t>
      </w:r>
      <w:r w:rsidR="00B40A7C" w:rsidRPr="009C5F11">
        <w:rPr>
          <w:rFonts w:ascii="Times New Roman" w:hAnsi="Times New Roman" w:cs="Times New Roman"/>
          <w:sz w:val="24"/>
          <w:lang w:val="ro-RO"/>
        </w:rPr>
        <w:t>informaţii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despre întocmirea </w:t>
      </w:r>
      <w:r w:rsidR="00421FA7" w:rsidRPr="009C5F11">
        <w:rPr>
          <w:rFonts w:ascii="Times New Roman" w:hAnsi="Times New Roman" w:cs="Times New Roman"/>
          <w:sz w:val="24"/>
          <w:lang w:val="ro-RO"/>
        </w:rPr>
        <w:t>Programul</w:t>
      </w:r>
      <w:r w:rsidRPr="009C5F11">
        <w:rPr>
          <w:rFonts w:ascii="Times New Roman" w:hAnsi="Times New Roman" w:cs="Times New Roman"/>
          <w:sz w:val="24"/>
          <w:lang w:val="ro-RO"/>
        </w:rPr>
        <w:t>ui de</w:t>
      </w:r>
      <w:r w:rsidR="001221B7" w:rsidRPr="009C5F11">
        <w:rPr>
          <w:rFonts w:ascii="Times New Roman" w:hAnsi="Times New Roman" w:cs="Times New Roman"/>
          <w:sz w:val="24"/>
          <w:lang w:val="ro-RO"/>
        </w:rPr>
        <w:t xml:space="preserve"> promova</w:t>
      </w:r>
      <w:r w:rsidRPr="009C5F11">
        <w:rPr>
          <w:rFonts w:ascii="Times New Roman" w:hAnsi="Times New Roman" w:cs="Times New Roman"/>
          <w:sz w:val="24"/>
          <w:lang w:val="ro-RO"/>
        </w:rPr>
        <w:t>re a</w:t>
      </w:r>
      <w:r w:rsidR="00BC2ED4" w:rsidRPr="009C5F11">
        <w:rPr>
          <w:rFonts w:ascii="Times New Roman" w:hAnsi="Times New Roman" w:cs="Times New Roman"/>
          <w:sz w:val="24"/>
          <w:lang w:val="ro-RO"/>
        </w:rPr>
        <w:t xml:space="preserve"> </w:t>
      </w:r>
      <w:r w:rsidR="000C7BEC" w:rsidRPr="009C5F11">
        <w:rPr>
          <w:rFonts w:ascii="Times New Roman" w:hAnsi="Times New Roman" w:cs="Times New Roman"/>
          <w:sz w:val="24"/>
          <w:lang w:val="ro-RO"/>
        </w:rPr>
        <w:t>eficienţ</w:t>
      </w:r>
      <w:r w:rsidRPr="009C5F11">
        <w:rPr>
          <w:rFonts w:ascii="Times New Roman" w:hAnsi="Times New Roman" w:cs="Times New Roman"/>
          <w:sz w:val="24"/>
          <w:lang w:val="ro-RO"/>
        </w:rPr>
        <w:t>ei</w:t>
      </w:r>
      <w:r w:rsidR="000C7BEC" w:rsidRPr="009C5F11">
        <w:rPr>
          <w:rFonts w:ascii="Times New Roman" w:hAnsi="Times New Roman" w:cs="Times New Roman"/>
          <w:sz w:val="24"/>
          <w:lang w:val="ro-RO"/>
        </w:rPr>
        <w:t xml:space="preserve"> energetic</w:t>
      </w:r>
      <w:r w:rsidRPr="009C5F11">
        <w:rPr>
          <w:rFonts w:ascii="Times New Roman" w:hAnsi="Times New Roman" w:cs="Times New Roman"/>
          <w:sz w:val="24"/>
          <w:lang w:val="ro-RO"/>
        </w:rPr>
        <w:t>e</w:t>
      </w:r>
      <w:r w:rsidR="00321CD5" w:rsidRPr="009C5F11">
        <w:rPr>
          <w:rFonts w:ascii="Times New Roman" w:hAnsi="Times New Roman" w:cs="Times New Roman"/>
          <w:sz w:val="24"/>
          <w:lang w:val="ro-RO"/>
        </w:rPr>
        <w:t xml:space="preserve"> şi </w:t>
      </w:r>
      <w:r w:rsidR="00FA7B8A" w:rsidRPr="009C5F11">
        <w:rPr>
          <w:rFonts w:ascii="Times New Roman" w:hAnsi="Times New Roman" w:cs="Times New Roman"/>
          <w:sz w:val="24"/>
          <w:lang w:val="ro-RO"/>
        </w:rPr>
        <w:t>energiei regenerabile</w:t>
      </w:r>
      <w:r w:rsidR="00BC2ED4" w:rsidRPr="009C5F11">
        <w:rPr>
          <w:rFonts w:ascii="Times New Roman" w:hAnsi="Times New Roman" w:cs="Times New Roman"/>
          <w:sz w:val="24"/>
          <w:lang w:val="ro-RO"/>
        </w:rPr>
        <w:t xml:space="preserve">. </w:t>
      </w:r>
      <w:r w:rsidR="00427168" w:rsidRPr="009C5F11">
        <w:rPr>
          <w:rFonts w:ascii="Times New Roman" w:hAnsi="Times New Roman" w:cs="Times New Roman"/>
          <w:sz w:val="24"/>
          <w:lang w:val="ro-RO"/>
        </w:rPr>
        <w:t xml:space="preserve">Nici </w:t>
      </w:r>
      <w:r w:rsidR="00BC2ED4" w:rsidRPr="009C5F11">
        <w:rPr>
          <w:rFonts w:ascii="Times New Roman" w:hAnsi="Times New Roman" w:cs="Times New Roman"/>
          <w:sz w:val="24"/>
          <w:lang w:val="ro-RO"/>
        </w:rPr>
        <w:t>Moldovaga</w:t>
      </w:r>
      <w:r w:rsidRPr="009C5F11">
        <w:rPr>
          <w:rFonts w:ascii="Times New Roman" w:hAnsi="Times New Roman" w:cs="Times New Roman"/>
          <w:sz w:val="24"/>
          <w:lang w:val="ro-RO"/>
        </w:rPr>
        <w:t>z nu a prezentat informaţii Agenţiei pentru Eficienţă Energetică</w:t>
      </w:r>
      <w:r w:rsidR="00427168" w:rsidRPr="009C5F11">
        <w:rPr>
          <w:rFonts w:ascii="Times New Roman" w:hAnsi="Times New Roman" w:cs="Times New Roman"/>
          <w:sz w:val="24"/>
          <w:lang w:val="ro-RO"/>
        </w:rPr>
        <w:t xml:space="preserve"> la acest capitol</w:t>
      </w:r>
      <w:r w:rsidR="00BC2ED4" w:rsidRPr="009C5F11">
        <w:rPr>
          <w:rFonts w:ascii="Times New Roman" w:hAnsi="Times New Roman" w:cs="Times New Roman"/>
          <w:sz w:val="24"/>
          <w:lang w:val="ro-RO"/>
        </w:rPr>
        <w:t xml:space="preserve">. </w:t>
      </w:r>
    </w:p>
    <w:p w14:paraId="441E7D91" w14:textId="18B8D941" w:rsidR="00BC2ED4" w:rsidRPr="009C5F11" w:rsidRDefault="0027068E"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lastRenderedPageBreak/>
        <w:t>Descrierea</w:t>
      </w:r>
      <w:r w:rsidR="00BC2ED4" w:rsidRPr="009C5F11">
        <w:rPr>
          <w:rFonts w:ascii="Times New Roman" w:hAnsi="Times New Roman" w:cs="Times New Roman"/>
          <w:sz w:val="24"/>
          <w:lang w:val="ro-RO"/>
        </w:rPr>
        <w:t xml:space="preserve"> </w:t>
      </w:r>
      <w:r w:rsidR="00C42434" w:rsidRPr="009C5F11">
        <w:rPr>
          <w:rFonts w:ascii="Times New Roman" w:hAnsi="Times New Roman" w:cs="Times New Roman"/>
          <w:sz w:val="24"/>
          <w:lang w:val="ro-RO"/>
        </w:rPr>
        <w:t>măsurilor</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care-şi propun să îmbunătăţească eficienţa energetică pe lanţul de</w:t>
      </w:r>
      <w:r w:rsidR="00321CD5" w:rsidRPr="009C5F11">
        <w:rPr>
          <w:rFonts w:ascii="Times New Roman" w:hAnsi="Times New Roman" w:cs="Times New Roman"/>
          <w:sz w:val="24"/>
          <w:lang w:val="ro-RO"/>
        </w:rPr>
        <w:t xml:space="preserve"> </w:t>
      </w:r>
      <w:r w:rsidR="00BC2ED4" w:rsidRPr="009C5F11">
        <w:rPr>
          <w:rFonts w:ascii="Times New Roman" w:hAnsi="Times New Roman" w:cs="Times New Roman"/>
          <w:sz w:val="24"/>
          <w:lang w:val="ro-RO"/>
        </w:rPr>
        <w:t>transforma</w:t>
      </w:r>
      <w:r w:rsidRPr="009C5F11">
        <w:rPr>
          <w:rFonts w:ascii="Times New Roman" w:hAnsi="Times New Roman" w:cs="Times New Roman"/>
          <w:sz w:val="24"/>
          <w:lang w:val="ro-RO"/>
        </w:rPr>
        <w:t>re</w:t>
      </w:r>
      <w:r w:rsidR="00BC2ED4" w:rsidRPr="009C5F11">
        <w:rPr>
          <w:rFonts w:ascii="Times New Roman" w:hAnsi="Times New Roman" w:cs="Times New Roman"/>
          <w:sz w:val="24"/>
          <w:lang w:val="ro-RO"/>
        </w:rPr>
        <w:t xml:space="preserve">, </w:t>
      </w:r>
      <w:r w:rsidR="008F7BD5" w:rsidRPr="009C5F11">
        <w:rPr>
          <w:rFonts w:ascii="Times New Roman" w:hAnsi="Times New Roman" w:cs="Times New Roman"/>
          <w:sz w:val="24"/>
          <w:lang w:val="ro-RO"/>
        </w:rPr>
        <w:t>transport</w:t>
      </w:r>
      <w:r w:rsidR="00321CD5" w:rsidRPr="009C5F11">
        <w:rPr>
          <w:rFonts w:ascii="Times New Roman" w:hAnsi="Times New Roman" w:cs="Times New Roman"/>
          <w:sz w:val="24"/>
          <w:lang w:val="ro-RO"/>
        </w:rPr>
        <w:t xml:space="preserve"> şi </w:t>
      </w:r>
      <w:r w:rsidR="008F7BD5" w:rsidRPr="009C5F11">
        <w:rPr>
          <w:rFonts w:ascii="Times New Roman" w:hAnsi="Times New Roman" w:cs="Times New Roman"/>
          <w:sz w:val="24"/>
          <w:lang w:val="ro-RO"/>
        </w:rPr>
        <w:t>distribuţie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este inclusă în continuare</w:t>
      </w:r>
      <w:r w:rsidR="00BC2ED4" w:rsidRPr="009C5F11">
        <w:rPr>
          <w:rFonts w:ascii="Times New Roman" w:hAnsi="Times New Roman" w:cs="Times New Roman"/>
          <w:sz w:val="24"/>
          <w:lang w:val="ro-RO"/>
        </w:rPr>
        <w:t>.</w:t>
      </w:r>
    </w:p>
    <w:p w14:paraId="60C3EC0E" w14:textId="77777777" w:rsidR="00F21A7B" w:rsidRPr="009C5F11" w:rsidRDefault="00F21A7B" w:rsidP="00F21A7B">
      <w:pPr>
        <w:spacing w:before="120" w:after="120" w:line="240" w:lineRule="auto"/>
        <w:jc w:val="both"/>
        <w:rPr>
          <w:rFonts w:ascii="Times New Roman" w:hAnsi="Times New Roman" w:cs="Times New Roman"/>
          <w:sz w:val="24"/>
          <w:lang w:val="ro-RO"/>
        </w:rPr>
      </w:pPr>
    </w:p>
    <w:p w14:paraId="5743C0C2" w14:textId="77777777" w:rsidR="00BC2ED4" w:rsidRPr="00921CF1" w:rsidRDefault="00273CDE" w:rsidP="000A19BC">
      <w:pPr>
        <w:pStyle w:val="Titlu3"/>
        <w:rPr>
          <w:rFonts w:ascii="Times New Roman" w:hAnsi="Times New Roman" w:cs="Times New Roman"/>
          <w:b/>
          <w:color w:val="000000" w:themeColor="text1"/>
          <w:sz w:val="28"/>
          <w:lang w:val="ro-RO"/>
        </w:rPr>
      </w:pPr>
      <w:bookmarkStart w:id="381" w:name="_Toc322013208"/>
      <w:bookmarkStart w:id="382" w:name="_Toc319555448"/>
      <w:bookmarkStart w:id="383" w:name="_Ref319619027"/>
      <w:r w:rsidRPr="00921CF1">
        <w:rPr>
          <w:rFonts w:ascii="Times New Roman" w:hAnsi="Times New Roman" w:cs="Times New Roman"/>
          <w:b/>
          <w:color w:val="000000" w:themeColor="text1"/>
          <w:sz w:val="28"/>
          <w:lang w:val="ro-RO"/>
        </w:rPr>
        <w:t>Criterii de e</w:t>
      </w:r>
      <w:r w:rsidR="00FD5F1C" w:rsidRPr="00921CF1">
        <w:rPr>
          <w:rFonts w:ascii="Times New Roman" w:hAnsi="Times New Roman" w:cs="Times New Roman"/>
          <w:b/>
          <w:color w:val="000000" w:themeColor="text1"/>
          <w:sz w:val="28"/>
          <w:lang w:val="ro-RO"/>
        </w:rPr>
        <w:t>ficienţ</w:t>
      </w:r>
      <w:r w:rsidRPr="00921CF1">
        <w:rPr>
          <w:rFonts w:ascii="Times New Roman" w:hAnsi="Times New Roman" w:cs="Times New Roman"/>
          <w:b/>
          <w:color w:val="000000" w:themeColor="text1"/>
          <w:sz w:val="28"/>
          <w:lang w:val="ro-RO"/>
        </w:rPr>
        <w:t>ă</w:t>
      </w:r>
      <w:r w:rsidR="00FD5F1C" w:rsidRPr="00921CF1">
        <w:rPr>
          <w:rFonts w:ascii="Times New Roman" w:hAnsi="Times New Roman" w:cs="Times New Roman"/>
          <w:b/>
          <w:color w:val="000000" w:themeColor="text1"/>
          <w:sz w:val="28"/>
          <w:lang w:val="ro-RO"/>
        </w:rPr>
        <w:t xml:space="preserve"> energetică</w:t>
      </w:r>
      <w:r w:rsidR="00BC2ED4" w:rsidRPr="00921CF1">
        <w:rPr>
          <w:rFonts w:ascii="Times New Roman" w:hAnsi="Times New Roman" w:cs="Times New Roman"/>
          <w:b/>
          <w:color w:val="000000" w:themeColor="text1"/>
          <w:sz w:val="28"/>
          <w:lang w:val="ro-RO"/>
        </w:rPr>
        <w:t xml:space="preserve"> </w:t>
      </w:r>
      <w:r w:rsidRPr="00921CF1">
        <w:rPr>
          <w:rFonts w:ascii="Times New Roman" w:hAnsi="Times New Roman" w:cs="Times New Roman"/>
          <w:b/>
          <w:color w:val="000000" w:themeColor="text1"/>
          <w:sz w:val="28"/>
          <w:lang w:val="ro-RO"/>
        </w:rPr>
        <w:t>în tarifele şi reglementările de reţea</w:t>
      </w:r>
      <w:bookmarkEnd w:id="381"/>
      <w:r w:rsidRPr="00921CF1">
        <w:rPr>
          <w:rFonts w:ascii="Times New Roman" w:hAnsi="Times New Roman" w:cs="Times New Roman"/>
          <w:b/>
          <w:color w:val="000000" w:themeColor="text1"/>
          <w:sz w:val="28"/>
          <w:lang w:val="ro-RO"/>
        </w:rPr>
        <w:t xml:space="preserve"> </w:t>
      </w:r>
      <w:bookmarkEnd w:id="382"/>
      <w:bookmarkEnd w:id="383"/>
    </w:p>
    <w:p w14:paraId="5D46ACFD" w14:textId="77777777" w:rsidR="00BC2ED4" w:rsidRPr="009C5F11" w:rsidRDefault="00BC2ED4" w:rsidP="00334F3B">
      <w:pPr>
        <w:pStyle w:val="Listparagraf"/>
        <w:numPr>
          <w:ilvl w:val="0"/>
          <w:numId w:val="178"/>
        </w:numPr>
        <w:rPr>
          <w:rFonts w:ascii="Times New Roman" w:hAnsi="Times New Roman" w:cs="Times New Roman"/>
          <w:sz w:val="24"/>
          <w:u w:val="single"/>
          <w:lang w:val="ro-RO"/>
        </w:rPr>
      </w:pPr>
      <w:bookmarkStart w:id="384" w:name="_Toc319555449"/>
      <w:r w:rsidRPr="009C5F11">
        <w:rPr>
          <w:rFonts w:ascii="Times New Roman" w:hAnsi="Times New Roman" w:cs="Times New Roman"/>
          <w:sz w:val="24"/>
          <w:u w:val="single"/>
          <w:lang w:val="ro-RO"/>
        </w:rPr>
        <w:t>E</w:t>
      </w:r>
      <w:r w:rsidR="00BD79C0" w:rsidRPr="009C5F11">
        <w:rPr>
          <w:rFonts w:ascii="Times New Roman" w:hAnsi="Times New Roman" w:cs="Times New Roman"/>
          <w:sz w:val="24"/>
          <w:u w:val="single"/>
          <w:lang w:val="ro-RO"/>
        </w:rPr>
        <w:t>nergia ele</w:t>
      </w:r>
      <w:r w:rsidRPr="009C5F11">
        <w:rPr>
          <w:rFonts w:ascii="Times New Roman" w:hAnsi="Times New Roman" w:cs="Times New Roman"/>
          <w:sz w:val="24"/>
          <w:u w:val="single"/>
          <w:lang w:val="ro-RO"/>
        </w:rPr>
        <w:t>ctric</w:t>
      </w:r>
      <w:r w:rsidR="00BD79C0" w:rsidRPr="009C5F11">
        <w:rPr>
          <w:rFonts w:ascii="Times New Roman" w:hAnsi="Times New Roman" w:cs="Times New Roman"/>
          <w:sz w:val="24"/>
          <w:u w:val="single"/>
          <w:lang w:val="ro-RO"/>
        </w:rPr>
        <w:t>ă</w:t>
      </w:r>
      <w:bookmarkEnd w:id="384"/>
    </w:p>
    <w:p w14:paraId="15055046" w14:textId="77777777" w:rsidR="00CD0BF6" w:rsidRPr="009C5F11" w:rsidRDefault="00E6036B"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Legea cu privire la energia electrică din 2009 a fost adoptată în vederea asigurării conformităţii cadrului legislativ cu Acquis-ul comunitar, condiţionat de aderarea ţării la Comunitatea Energetică în anul 2010. Legea a fost ulterior modificată şi completată în 2011 şi 2014 (a se vedea Legea nr. 27 din 13.03.2014) în vederea punerii în aplicare integrală a pachetului legislativ secund privind energia.</w:t>
      </w:r>
      <w:r w:rsidR="00BC2ED4" w:rsidRPr="009C5F11">
        <w:rPr>
          <w:rFonts w:ascii="Times New Roman" w:hAnsi="Times New Roman" w:cs="Times New Roman"/>
          <w:sz w:val="24"/>
          <w:lang w:val="ro-RO"/>
        </w:rPr>
        <w:t xml:space="preserve"> </w:t>
      </w:r>
    </w:p>
    <w:p w14:paraId="3D96F648" w14:textId="77777777" w:rsidR="00CD0BF6" w:rsidRPr="009C5F11" w:rsidRDefault="00E6036B"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Pornind de la angajamentele asumate faţă de EnC, a fost realizat un progres semnificativ în transpunerea </w:t>
      </w:r>
      <w:r w:rsidR="00427168" w:rsidRPr="009C5F11">
        <w:rPr>
          <w:rFonts w:ascii="Times New Roman" w:hAnsi="Times New Roman" w:cs="Times New Roman"/>
          <w:sz w:val="24"/>
          <w:lang w:val="ro-RO"/>
        </w:rPr>
        <w:t xml:space="preserve">în legislaţia naţională a </w:t>
      </w:r>
      <w:r w:rsidRPr="009C5F11">
        <w:rPr>
          <w:rFonts w:ascii="Times New Roman" w:hAnsi="Times New Roman" w:cs="Times New Roman"/>
          <w:sz w:val="24"/>
          <w:lang w:val="ro-RO"/>
        </w:rPr>
        <w:t>Acquis-ului EnC privind energia electrică. Legea cu privire la energia electrică din 2009 a fost modificată ultima dată în 2014. Cerinţele referitoare la eligibilitate au fost transpuse în textul legii, consumatorii non-casnicii fiind eligibili din 1 ianuarie 2013, iar cei casnici – din 1 ianuarie 2015. Tarifele de acces la reţelele de distribuţie adoptate în luna iulie 2015 asigură dreptul de eligibilitate pentru consumatorii conectaţi la reţelele de distribuţie.</w:t>
      </w:r>
      <w:r w:rsidR="00BC2ED4" w:rsidRPr="009C5F11">
        <w:rPr>
          <w:rFonts w:ascii="Times New Roman" w:hAnsi="Times New Roman" w:cs="Times New Roman"/>
          <w:sz w:val="24"/>
          <w:lang w:val="ro-RO"/>
        </w:rPr>
        <w:t xml:space="preserve"> </w:t>
      </w:r>
    </w:p>
    <w:p w14:paraId="45E06053" w14:textId="77777777" w:rsidR="00CD0BF6" w:rsidRPr="009C5F11" w:rsidRDefault="00E6036B"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Modificări adiţionale au fost operate în textul legii pe baza dispoziţiilor Directivei 2009/72/CE, elaborate de Ministerul Economiei cu suportul TA-SPSP şi al Secretariatului Comunității Energetice şi USAID (elaborarea unui proiect de lege cu privire la energia electrică în redacţie nouă conform cu dispoziţiile pachetului legislativ privind energia al UE). Proiectul legii urma să fie coordonat şi aprobat de Guvern şi Parlament în trimestrele </w:t>
      </w:r>
      <w:r w:rsidR="00427168" w:rsidRPr="009C5F11">
        <w:rPr>
          <w:rFonts w:ascii="Times New Roman" w:hAnsi="Times New Roman" w:cs="Times New Roman"/>
          <w:sz w:val="24"/>
          <w:lang w:val="ro-RO"/>
        </w:rPr>
        <w:t>III</w:t>
      </w:r>
      <w:r w:rsidRPr="009C5F11">
        <w:rPr>
          <w:rFonts w:ascii="Times New Roman" w:hAnsi="Times New Roman" w:cs="Times New Roman"/>
          <w:sz w:val="24"/>
          <w:lang w:val="ro-RO"/>
        </w:rPr>
        <w:t>-</w:t>
      </w:r>
      <w:r w:rsidR="00427168" w:rsidRPr="009C5F11">
        <w:rPr>
          <w:rFonts w:ascii="Times New Roman" w:hAnsi="Times New Roman" w:cs="Times New Roman"/>
          <w:sz w:val="24"/>
          <w:lang w:val="ro-RO"/>
        </w:rPr>
        <w:t>IV</w:t>
      </w:r>
      <w:r w:rsidRPr="009C5F11">
        <w:rPr>
          <w:rFonts w:ascii="Times New Roman" w:hAnsi="Times New Roman" w:cs="Times New Roman"/>
          <w:sz w:val="24"/>
          <w:lang w:val="ro-RO"/>
        </w:rPr>
        <w:t xml:space="preserve"> 2015.</w:t>
      </w:r>
    </w:p>
    <w:p w14:paraId="5ACB5E2A" w14:textId="77777777" w:rsidR="00CD0BF6" w:rsidRPr="009C5F11" w:rsidRDefault="0042716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În anul 2014 au fost introduse </w:t>
      </w:r>
      <w:r w:rsidR="00E6036B" w:rsidRPr="009C5F11">
        <w:rPr>
          <w:rFonts w:ascii="Times New Roman" w:hAnsi="Times New Roman" w:cs="Times New Roman"/>
          <w:sz w:val="24"/>
          <w:lang w:val="ro-RO"/>
        </w:rPr>
        <w:t>amendamente majore în Legea cu privire la energia electrică. Acestea includ, inter alia, obligaţia de deschidere completă a pieţei de energie electrică începând din 01.01.2015 şi obligaţia pentru companiile de distribuţie să finalizeze până la 01.06.2014 separarea operaţională (şi decizională) a activităţii de distribuţie şi activitatea de furnizare la preţuri reglementate, precum şi separarea juridică a acestor activităţi până la 01.01.2015. Implementarea dispoziţiilor juridice privind deschiderea pieţei de energie electrică continuă până în prezent</w:t>
      </w:r>
      <w:r w:rsidR="00BC2ED4" w:rsidRPr="009C5F11">
        <w:rPr>
          <w:rFonts w:ascii="Times New Roman" w:hAnsi="Times New Roman" w:cs="Times New Roman"/>
          <w:sz w:val="24"/>
          <w:lang w:val="ro-RO"/>
        </w:rPr>
        <w:t>.</w:t>
      </w:r>
    </w:p>
    <w:p w14:paraId="368825EF" w14:textId="46E86732" w:rsidR="00E6036B" w:rsidRPr="009C5F11" w:rsidRDefault="00E6036B"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octombrie 2015, ANRE a aprobat o nouă versiune a regulilor de piaţă pentru energia electrică. Principalele caracteristici ale acestor reguli sunt după cum urmează:</w:t>
      </w:r>
    </w:p>
    <w:p w14:paraId="20240DF4" w14:textId="77777777" w:rsidR="00E6036B" w:rsidRPr="009C5F11" w:rsidRDefault="00E6036B"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încheierea de acorduri bilaterale pentru achiziţionarea şi furnizarea de energie electrică, </w:t>
      </w:r>
    </w:p>
    <w:p w14:paraId="22381219" w14:textId="77777777" w:rsidR="00E6036B" w:rsidRPr="009C5F11" w:rsidRDefault="00E6036B"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distribuţia energiei electrice produse prin cogenerare şi de centralele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w:t>
      </w:r>
    </w:p>
    <w:p w14:paraId="5C1B155C" w14:textId="77777777" w:rsidR="00E6036B" w:rsidRPr="009C5F11" w:rsidRDefault="00E6036B"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procedura de achiziţie şi furnizare a energiei electrice de echilibrare la preţuri minime, </w:t>
      </w:r>
    </w:p>
    <w:p w14:paraId="160F40D1" w14:textId="77777777" w:rsidR="00E6036B" w:rsidRPr="009C5F11" w:rsidRDefault="00E6036B"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achiziţia energiei electrice pentru a acoperi consumul tehnologic în reţeaua de transport a energiei electrice de către operatorii sistemului de transport şi a energiei electrice necesare pentru a acoperi consumul tehnologic în reţeaua de distribuţie.</w:t>
      </w:r>
    </w:p>
    <w:p w14:paraId="627E04AF" w14:textId="77777777" w:rsidR="00CD0BF6" w:rsidRPr="009C5F11" w:rsidRDefault="00BD79C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Metodologiile de calcul al tarifelor stabilite de ANRE sunt cost-reflective. Tarifele calculate de companiile de transport, distribuţie şi furnizare au fost supuse auditului de companii internaţionale </w:t>
      </w:r>
      <w:r w:rsidR="00427168" w:rsidRPr="009C5F11">
        <w:rPr>
          <w:rFonts w:ascii="Times New Roman" w:hAnsi="Times New Roman" w:cs="Times New Roman"/>
          <w:sz w:val="24"/>
          <w:lang w:val="ro-RO"/>
        </w:rPr>
        <w:t>notorii</w:t>
      </w:r>
      <w:r w:rsidRPr="009C5F11">
        <w:rPr>
          <w:rFonts w:ascii="Times New Roman" w:hAnsi="Times New Roman" w:cs="Times New Roman"/>
          <w:sz w:val="24"/>
          <w:lang w:val="ro-RO"/>
        </w:rPr>
        <w:t xml:space="preserve"> de audit în toamna anului 2015, corectitudinea acestora fiind confirmată. Tarifele au fost majorate în 2015 din cauza creşterii costului de achiziţie a energiei electrice şi deprecierii monedei naţionale</w:t>
      </w:r>
      <w:r w:rsidR="00BC2ED4" w:rsidRPr="009C5F11">
        <w:rPr>
          <w:rFonts w:ascii="Times New Roman" w:hAnsi="Times New Roman" w:cs="Times New Roman"/>
          <w:sz w:val="24"/>
          <w:lang w:val="ro-RO"/>
        </w:rPr>
        <w:t>.</w:t>
      </w:r>
    </w:p>
    <w:p w14:paraId="598C9582" w14:textId="17869DAB" w:rsidR="00BD79C0" w:rsidRPr="009C5F11" w:rsidRDefault="00BD79C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lastRenderedPageBreak/>
        <w:t>Legea cu privire la energia electrică stipulează posibilitatea de a calcula tarifele de reglementare pentru a determina şi aplica:</w:t>
      </w:r>
    </w:p>
    <w:p w14:paraId="01507F96" w14:textId="77777777" w:rsidR="00BD79C0" w:rsidRPr="009C5F11" w:rsidRDefault="00BD79C0"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tarife binom, tarife diferenţiate în funcţie de nivelul de tensiune în reţelele electrice şi de perioada/orele de consum. </w:t>
      </w:r>
    </w:p>
    <w:p w14:paraId="083B4B6D" w14:textId="77777777" w:rsidR="00BD79C0" w:rsidRPr="009C5F11" w:rsidRDefault="00BD79C0"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pentru a susţine, intre altele, îmbunătăţirea eficienţei energetice, ambele decizii adoptate de ANRE</w:t>
      </w:r>
      <w:r w:rsidR="00E37F02" w:rsidRPr="009C5F11">
        <w:rPr>
          <w:rFonts w:ascii="Times New Roman" w:hAnsi="Times New Roman" w:cs="Times New Roman"/>
          <w:sz w:val="24"/>
          <w:lang w:val="ro-RO"/>
        </w:rPr>
        <w:t>:</w:t>
      </w:r>
      <w:r w:rsidRPr="009C5F11">
        <w:rPr>
          <w:rFonts w:ascii="Times New Roman" w:hAnsi="Times New Roman" w:cs="Times New Roman"/>
          <w:sz w:val="24"/>
          <w:lang w:val="ro-RO"/>
        </w:rPr>
        <w:t xml:space="preserve"> nr. 153 din 18.07.2015 (suspendată pentru perioada desfăşurării auditului care a confirmat valorile) şi nr. 470 din 11.05.2012 asigură posibilitatea pentru consumatorii non-casnici dotaţi cu dispozitive adecvate de contorizare şi în conformitate cu dispoziţiile contractuale, în cazul în care acestea există, să achite 1.6 din tariful reglementar în orele de vârf definit diferenţiat pe trimestre şi 0.6 din tariful reglementar în afara orelor de vârf definite în mod egal pe perioada anului întreg. </w:t>
      </w:r>
    </w:p>
    <w:p w14:paraId="3C18FB98" w14:textId="77777777" w:rsidR="00CD0BF6" w:rsidRPr="009C5F11" w:rsidRDefault="00BD79C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De menţionat faptul că tarifele nu cresc în mod progresiv odată cu creşterea consumului; prin urmare, tarifele nu sunt în detrimentul sporirii consumului de energie electrică, în cazul utilizării pompelor de căldură.</w:t>
      </w:r>
    </w:p>
    <w:p w14:paraId="685723E3" w14:textId="77777777" w:rsidR="00CD0BF6" w:rsidRPr="009C5F11" w:rsidRDefault="00BD79C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pofida existenţei unor reguli de echilibrare stabilite de operatorul sistemului de transport şi a părţilor responsabile prevăzute de lege, suntem nevoiţi să menţionăm că piaţa de echilibrare nu este operaţională. În acest mod, este exclusă orice participare a cererii pe piaţa de echilibrare şi servicii auxiliare.</w:t>
      </w:r>
    </w:p>
    <w:p w14:paraId="40A99DA0" w14:textId="72089F91" w:rsidR="00BD79C0" w:rsidRPr="009C5F11" w:rsidRDefault="00BD79C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Strategia energetică a Republicii Moldova până în anul 2030 menţionează crearea platformei de adaptare a cererii, însă, deocamdată, nimic nu s-a realizat în acest sens. </w:t>
      </w:r>
    </w:p>
    <w:p w14:paraId="4610DE2A" w14:textId="77777777" w:rsidR="00814B8E" w:rsidRPr="009C5F11" w:rsidRDefault="00814B8E" w:rsidP="005F63A4">
      <w:pPr>
        <w:spacing w:before="120" w:after="120" w:line="240" w:lineRule="auto"/>
        <w:jc w:val="both"/>
        <w:rPr>
          <w:rFonts w:ascii="Times New Roman" w:hAnsi="Times New Roman" w:cs="Times New Roman"/>
          <w:sz w:val="24"/>
          <w:lang w:val="ro-RO"/>
        </w:rPr>
      </w:pPr>
    </w:p>
    <w:p w14:paraId="1027BF56" w14:textId="77777777" w:rsidR="00BC2ED4" w:rsidRPr="009C5F11" w:rsidRDefault="00BD79C0" w:rsidP="00334F3B">
      <w:pPr>
        <w:pStyle w:val="Listparagraf"/>
        <w:numPr>
          <w:ilvl w:val="0"/>
          <w:numId w:val="178"/>
        </w:numPr>
        <w:rPr>
          <w:rFonts w:ascii="Times New Roman" w:hAnsi="Times New Roman" w:cs="Times New Roman"/>
          <w:sz w:val="24"/>
          <w:u w:val="single"/>
          <w:lang w:val="ro-RO"/>
        </w:rPr>
      </w:pPr>
      <w:bookmarkStart w:id="385" w:name="_Toc319555450"/>
      <w:r w:rsidRPr="009C5F11">
        <w:rPr>
          <w:rFonts w:ascii="Times New Roman" w:hAnsi="Times New Roman" w:cs="Times New Roman"/>
          <w:sz w:val="24"/>
          <w:u w:val="single"/>
          <w:lang w:val="ro-RO"/>
        </w:rPr>
        <w:t>Gazele n</w:t>
      </w:r>
      <w:r w:rsidR="00BC2ED4" w:rsidRPr="009C5F11">
        <w:rPr>
          <w:rFonts w:ascii="Times New Roman" w:hAnsi="Times New Roman" w:cs="Times New Roman"/>
          <w:sz w:val="24"/>
          <w:u w:val="single"/>
          <w:lang w:val="ro-RO"/>
        </w:rPr>
        <w:t>atural</w:t>
      </w:r>
      <w:r w:rsidRPr="009C5F11">
        <w:rPr>
          <w:rFonts w:ascii="Times New Roman" w:hAnsi="Times New Roman" w:cs="Times New Roman"/>
          <w:sz w:val="24"/>
          <w:u w:val="single"/>
          <w:lang w:val="ro-RO"/>
        </w:rPr>
        <w:t>e</w:t>
      </w:r>
      <w:bookmarkEnd w:id="385"/>
    </w:p>
    <w:p w14:paraId="27696B82" w14:textId="77777777" w:rsidR="00A36467" w:rsidRPr="009C5F11" w:rsidRDefault="009250B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Toate activităţile, inclusiv cele de import, furnizare, transport transfrontalier şi intern, distribuţie şi vânzare cu amănuntul pe piaţa de gaze naturale sunt realizate de Moldovagaz – companie integrată vertical. Astfel, compania acţionează în calitate de importator, vânzător angro şi cu amănuntul (în Chișinău). Cadrul legislativ este stabilit de Legea privind gazele naturale adoptată în 2009 şi modificată în 2014. Legea transpune dispoziţiile Directivei 2003/55/CE şi ale Directivei 2004/67/CE. Legislaţia secundară include standarde tehnice pentru serviciile de transport şi distribuţie a gazelor naturale şi un regulament privind furnizarea şi utilizarea gazelor naturale. În 2014, Moldova a iniţiat elaborarea Legii privind gazele naturale în redacţie nouă cu scopul de a transpune Pachetul legislativ 3 şi de a rectifica discordanţele cu Acquis-ul Comunităţii Energetice identificate în legislaţia internă.</w:t>
      </w:r>
      <w:r w:rsidR="00BC2ED4" w:rsidRPr="009C5F11">
        <w:rPr>
          <w:rFonts w:ascii="Times New Roman" w:hAnsi="Times New Roman" w:cs="Times New Roman"/>
          <w:sz w:val="24"/>
          <w:lang w:val="ro-RO"/>
        </w:rPr>
        <w:t xml:space="preserve"> </w:t>
      </w:r>
    </w:p>
    <w:p w14:paraId="497C87AB" w14:textId="124E2096" w:rsidR="00BC2ED4" w:rsidRPr="009C5F11" w:rsidRDefault="009250B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Legea examinează utilizarea eficientă a activelor şi diferenţierea tarifelor în funcţie de nivelul de presiune. Deocamdată, legislaţia nu prevede stimulente pentru consumatori legate de economia de gaze naturale. Tarifele stabilite la gaze stimulează economiile, fiind aplicat un prag de 30 m3, preţul pentru depăşirea acestui prag fiind mai mare.</w:t>
      </w:r>
    </w:p>
    <w:p w14:paraId="496D8B41" w14:textId="77777777" w:rsidR="004021BF" w:rsidRPr="009C5F11" w:rsidRDefault="004021BF" w:rsidP="004021BF">
      <w:pPr>
        <w:spacing w:before="120" w:after="120" w:line="240" w:lineRule="auto"/>
        <w:jc w:val="both"/>
        <w:rPr>
          <w:rFonts w:ascii="Times New Roman" w:hAnsi="Times New Roman" w:cs="Times New Roman"/>
          <w:sz w:val="24"/>
          <w:lang w:val="ro-RO"/>
        </w:rPr>
      </w:pPr>
    </w:p>
    <w:p w14:paraId="0A84182E" w14:textId="77777777" w:rsidR="00BC2ED4" w:rsidRPr="00921CF1" w:rsidRDefault="00D518F0" w:rsidP="000A19BC">
      <w:pPr>
        <w:pStyle w:val="Titlu3"/>
        <w:rPr>
          <w:rFonts w:ascii="Times New Roman" w:hAnsi="Times New Roman" w:cs="Times New Roman"/>
          <w:b/>
          <w:color w:val="000000" w:themeColor="text1"/>
          <w:sz w:val="28"/>
          <w:lang w:val="ro-RO"/>
        </w:rPr>
      </w:pPr>
      <w:bookmarkStart w:id="386" w:name="_Toc319555451"/>
      <w:bookmarkStart w:id="387" w:name="_Toc322013209"/>
      <w:r w:rsidRPr="00921CF1">
        <w:rPr>
          <w:rFonts w:ascii="Times New Roman" w:hAnsi="Times New Roman" w:cs="Times New Roman"/>
          <w:b/>
          <w:color w:val="000000" w:themeColor="text1"/>
          <w:sz w:val="28"/>
          <w:lang w:val="ro-RO"/>
        </w:rPr>
        <w:t>Măsuri</w:t>
      </w:r>
      <w:r w:rsidR="00BC2ED4" w:rsidRPr="00921CF1">
        <w:rPr>
          <w:rFonts w:ascii="Times New Roman" w:hAnsi="Times New Roman" w:cs="Times New Roman"/>
          <w:b/>
          <w:color w:val="000000" w:themeColor="text1"/>
          <w:sz w:val="28"/>
          <w:lang w:val="ro-RO"/>
        </w:rPr>
        <w:t xml:space="preserve"> </w:t>
      </w:r>
      <w:r w:rsidR="009250BC" w:rsidRPr="00921CF1">
        <w:rPr>
          <w:rFonts w:ascii="Times New Roman" w:hAnsi="Times New Roman" w:cs="Times New Roman"/>
          <w:b/>
          <w:color w:val="000000" w:themeColor="text1"/>
          <w:sz w:val="28"/>
          <w:lang w:val="ro-RO"/>
        </w:rPr>
        <w:t>pentru</w:t>
      </w:r>
      <w:r w:rsidR="00BC2ED4" w:rsidRPr="00921CF1">
        <w:rPr>
          <w:rFonts w:ascii="Times New Roman" w:hAnsi="Times New Roman" w:cs="Times New Roman"/>
          <w:b/>
          <w:color w:val="000000" w:themeColor="text1"/>
          <w:sz w:val="28"/>
          <w:lang w:val="ro-RO"/>
        </w:rPr>
        <w:t xml:space="preserve"> facilita</w:t>
      </w:r>
      <w:r w:rsidR="009250BC" w:rsidRPr="00921CF1">
        <w:rPr>
          <w:rFonts w:ascii="Times New Roman" w:hAnsi="Times New Roman" w:cs="Times New Roman"/>
          <w:b/>
          <w:color w:val="000000" w:themeColor="text1"/>
          <w:sz w:val="28"/>
          <w:lang w:val="ro-RO"/>
        </w:rPr>
        <w:t>r</w:t>
      </w:r>
      <w:r w:rsidR="00BC2ED4" w:rsidRPr="00921CF1">
        <w:rPr>
          <w:rFonts w:ascii="Times New Roman" w:hAnsi="Times New Roman" w:cs="Times New Roman"/>
          <w:b/>
          <w:color w:val="000000" w:themeColor="text1"/>
          <w:sz w:val="28"/>
          <w:lang w:val="ro-RO"/>
        </w:rPr>
        <w:t>e</w:t>
      </w:r>
      <w:r w:rsidR="009250BC" w:rsidRPr="00921CF1">
        <w:rPr>
          <w:rFonts w:ascii="Times New Roman" w:hAnsi="Times New Roman" w:cs="Times New Roman"/>
          <w:b/>
          <w:color w:val="000000" w:themeColor="text1"/>
          <w:sz w:val="28"/>
          <w:lang w:val="ro-RO"/>
        </w:rPr>
        <w:t>a</w:t>
      </w:r>
      <w:r w:rsidR="00321CD5" w:rsidRPr="00921CF1">
        <w:rPr>
          <w:rFonts w:ascii="Times New Roman" w:hAnsi="Times New Roman" w:cs="Times New Roman"/>
          <w:b/>
          <w:color w:val="000000" w:themeColor="text1"/>
          <w:sz w:val="28"/>
          <w:lang w:val="ro-RO"/>
        </w:rPr>
        <w:t xml:space="preserve"> şi </w:t>
      </w:r>
      <w:r w:rsidR="009250BC" w:rsidRPr="00921CF1">
        <w:rPr>
          <w:rFonts w:ascii="Times New Roman" w:hAnsi="Times New Roman" w:cs="Times New Roman"/>
          <w:b/>
          <w:color w:val="000000" w:themeColor="text1"/>
          <w:sz w:val="28"/>
          <w:lang w:val="ro-RO"/>
        </w:rPr>
        <w:t>p</w:t>
      </w:r>
      <w:r w:rsidR="00341E16" w:rsidRPr="00921CF1">
        <w:rPr>
          <w:rFonts w:ascii="Times New Roman" w:hAnsi="Times New Roman" w:cs="Times New Roman"/>
          <w:b/>
          <w:color w:val="000000" w:themeColor="text1"/>
          <w:sz w:val="28"/>
          <w:lang w:val="ro-RO"/>
        </w:rPr>
        <w:t>romovarea</w:t>
      </w:r>
      <w:r w:rsidR="00BC2ED4" w:rsidRPr="00921CF1">
        <w:rPr>
          <w:rFonts w:ascii="Times New Roman" w:hAnsi="Times New Roman" w:cs="Times New Roman"/>
          <w:b/>
          <w:color w:val="000000" w:themeColor="text1"/>
          <w:sz w:val="28"/>
          <w:lang w:val="ro-RO"/>
        </w:rPr>
        <w:t xml:space="preserve"> </w:t>
      </w:r>
      <w:bookmarkEnd w:id="386"/>
      <w:r w:rsidR="00E37F02" w:rsidRPr="00921CF1">
        <w:rPr>
          <w:rFonts w:ascii="Times New Roman" w:hAnsi="Times New Roman" w:cs="Times New Roman"/>
          <w:b/>
          <w:color w:val="000000" w:themeColor="text1"/>
          <w:sz w:val="28"/>
          <w:lang w:val="ro-RO"/>
        </w:rPr>
        <w:t>r</w:t>
      </w:r>
      <w:r w:rsidR="009250BC" w:rsidRPr="00921CF1">
        <w:rPr>
          <w:rFonts w:ascii="Times New Roman" w:hAnsi="Times New Roman" w:cs="Times New Roman"/>
          <w:b/>
          <w:color w:val="000000" w:themeColor="text1"/>
          <w:sz w:val="28"/>
          <w:lang w:val="ro-RO"/>
        </w:rPr>
        <w:t>ă</w:t>
      </w:r>
      <w:r w:rsidR="00E37F02" w:rsidRPr="00921CF1">
        <w:rPr>
          <w:rFonts w:ascii="Times New Roman" w:hAnsi="Times New Roman" w:cs="Times New Roman"/>
          <w:b/>
          <w:color w:val="000000" w:themeColor="text1"/>
          <w:sz w:val="28"/>
          <w:lang w:val="ro-RO"/>
        </w:rPr>
        <w:t>spunsului la</w:t>
      </w:r>
      <w:r w:rsidR="009250BC" w:rsidRPr="00921CF1">
        <w:rPr>
          <w:rFonts w:ascii="Times New Roman" w:hAnsi="Times New Roman" w:cs="Times New Roman"/>
          <w:b/>
          <w:color w:val="000000" w:themeColor="text1"/>
          <w:sz w:val="28"/>
          <w:lang w:val="ro-RO"/>
        </w:rPr>
        <w:t xml:space="preserve"> cerer</w:t>
      </w:r>
      <w:r w:rsidR="00E37F02" w:rsidRPr="00921CF1">
        <w:rPr>
          <w:rFonts w:ascii="Times New Roman" w:hAnsi="Times New Roman" w:cs="Times New Roman"/>
          <w:b/>
          <w:color w:val="000000" w:themeColor="text1"/>
          <w:sz w:val="28"/>
          <w:lang w:val="ro-RO"/>
        </w:rPr>
        <w:t>e</w:t>
      </w:r>
      <w:bookmarkEnd w:id="387"/>
      <w:r w:rsidR="00BC2ED4" w:rsidRPr="00921CF1">
        <w:rPr>
          <w:rFonts w:ascii="Times New Roman" w:hAnsi="Times New Roman" w:cs="Times New Roman"/>
          <w:b/>
          <w:color w:val="000000" w:themeColor="text1"/>
          <w:sz w:val="28"/>
          <w:lang w:val="ro-RO"/>
        </w:rPr>
        <w:t xml:space="preserve"> </w:t>
      </w:r>
    </w:p>
    <w:p w14:paraId="08A04ED7" w14:textId="1FD76FA7" w:rsidR="00BC2ED4" w:rsidRPr="009C5F11" w:rsidRDefault="009250B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Până în prezent, în Republica Moldova nu au fost introduse </w:t>
      </w:r>
      <w:r w:rsidR="00E10BE5" w:rsidRPr="009C5F11">
        <w:rPr>
          <w:rFonts w:ascii="Times New Roman" w:hAnsi="Times New Roman" w:cs="Times New Roman"/>
          <w:sz w:val="24"/>
          <w:lang w:val="ro-RO"/>
        </w:rPr>
        <w:t>măsuri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specifice </w:t>
      </w:r>
      <w:r w:rsidR="001221B7" w:rsidRPr="009C5F11">
        <w:rPr>
          <w:rFonts w:ascii="Times New Roman" w:hAnsi="Times New Roman" w:cs="Times New Roman"/>
          <w:sz w:val="24"/>
          <w:lang w:val="ro-RO"/>
        </w:rPr>
        <w:t>pentru a promova</w:t>
      </w:r>
      <w:r w:rsidR="00BC2ED4" w:rsidRPr="009C5F11">
        <w:rPr>
          <w:rFonts w:ascii="Times New Roman" w:hAnsi="Times New Roman" w:cs="Times New Roman"/>
          <w:sz w:val="24"/>
          <w:lang w:val="ro-RO"/>
        </w:rPr>
        <w:t xml:space="preserve"> </w:t>
      </w:r>
      <w:r w:rsidR="00E37F02" w:rsidRPr="009C5F11">
        <w:rPr>
          <w:rFonts w:ascii="Times New Roman" w:hAnsi="Times New Roman" w:cs="Times New Roman"/>
          <w:sz w:val="24"/>
          <w:lang w:val="ro-RO"/>
        </w:rPr>
        <w:t>r</w:t>
      </w:r>
      <w:r w:rsidR="002306B8" w:rsidRPr="009C5F11">
        <w:rPr>
          <w:rFonts w:ascii="Times New Roman" w:hAnsi="Times New Roman" w:cs="Times New Roman"/>
          <w:sz w:val="24"/>
          <w:lang w:val="ro-RO"/>
        </w:rPr>
        <w:t>ă</w:t>
      </w:r>
      <w:r w:rsidR="00E37F02" w:rsidRPr="009C5F11">
        <w:rPr>
          <w:rFonts w:ascii="Times New Roman" w:hAnsi="Times New Roman" w:cs="Times New Roman"/>
          <w:sz w:val="24"/>
          <w:lang w:val="ro-RO"/>
        </w:rPr>
        <w:t>spunsul la</w:t>
      </w:r>
      <w:r w:rsidRPr="009C5F11">
        <w:rPr>
          <w:rFonts w:ascii="Times New Roman" w:hAnsi="Times New Roman" w:cs="Times New Roman"/>
          <w:sz w:val="24"/>
          <w:lang w:val="ro-RO"/>
        </w:rPr>
        <w:t xml:space="preserve"> cerer</w:t>
      </w:r>
      <w:r w:rsidR="00E37F02"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Unica diferenţiere în tarifele la energia electrică se referă la orele de vârf în comparație cu celelalte ore, fapt ce contribuie la nivelarea profilului sarcinii, fără adaptarea reală a cererii, odat</w:t>
      </w:r>
      <w:r w:rsidR="00273CDE" w:rsidRPr="009C5F11">
        <w:rPr>
          <w:rFonts w:ascii="Times New Roman" w:hAnsi="Times New Roman" w:cs="Times New Roman"/>
          <w:sz w:val="24"/>
          <w:lang w:val="ro-RO"/>
        </w:rPr>
        <w:t>ă</w:t>
      </w:r>
      <w:r w:rsidRPr="009C5F11">
        <w:rPr>
          <w:rFonts w:ascii="Times New Roman" w:hAnsi="Times New Roman" w:cs="Times New Roman"/>
          <w:sz w:val="24"/>
          <w:lang w:val="ro-RO"/>
        </w:rPr>
        <w:t xml:space="preserve"> ce preţul nu variază de la o oră la alta sau de la o zi la alta. Nu sunt puse în aplicare preţuri dinamice la energia electrică sau gazele naturale, situaţia urmând să fie neschimbată în anii 2016-2018</w:t>
      </w:r>
      <w:r w:rsidR="00BC2ED4" w:rsidRPr="009C5F11">
        <w:rPr>
          <w:rFonts w:ascii="Times New Roman" w:hAnsi="Times New Roman" w:cs="Times New Roman"/>
          <w:sz w:val="24"/>
          <w:lang w:val="ro-RO"/>
        </w:rPr>
        <w:t>.</w:t>
      </w:r>
    </w:p>
    <w:p w14:paraId="08FD5571" w14:textId="77777777" w:rsidR="00216C86" w:rsidRPr="009C5F11" w:rsidRDefault="00216C86" w:rsidP="005B6B26">
      <w:pPr>
        <w:spacing w:before="120" w:after="120" w:line="240" w:lineRule="auto"/>
        <w:jc w:val="both"/>
        <w:rPr>
          <w:rFonts w:ascii="Times New Roman" w:hAnsi="Times New Roman" w:cs="Times New Roman"/>
          <w:sz w:val="24"/>
          <w:lang w:val="ro-RO"/>
        </w:rPr>
      </w:pPr>
    </w:p>
    <w:p w14:paraId="79C38087" w14:textId="77777777" w:rsidR="00C05708" w:rsidRPr="009C5F11" w:rsidRDefault="00C05708" w:rsidP="005B6B26">
      <w:pPr>
        <w:spacing w:before="120" w:after="120" w:line="240" w:lineRule="auto"/>
        <w:jc w:val="both"/>
        <w:rPr>
          <w:rFonts w:ascii="Times New Roman" w:hAnsi="Times New Roman" w:cs="Times New Roman"/>
          <w:sz w:val="24"/>
          <w:lang w:val="ro-RO"/>
        </w:rPr>
        <w:sectPr w:rsidR="00C05708" w:rsidRPr="009C5F11" w:rsidSect="00430626">
          <w:pgSz w:w="11907" w:h="16840" w:code="9"/>
          <w:pgMar w:top="1440" w:right="1440" w:bottom="1440" w:left="1440" w:header="720" w:footer="720" w:gutter="0"/>
          <w:cols w:space="720"/>
          <w:docGrid w:linePitch="360"/>
        </w:sectPr>
      </w:pPr>
    </w:p>
    <w:p w14:paraId="5C26A8E3" w14:textId="77777777" w:rsidR="00BC2ED4" w:rsidRPr="00921CF1" w:rsidRDefault="009250BC" w:rsidP="000A19BC">
      <w:pPr>
        <w:pStyle w:val="Titlu3"/>
        <w:rPr>
          <w:rFonts w:ascii="Times New Roman" w:hAnsi="Times New Roman" w:cs="Times New Roman"/>
          <w:b/>
          <w:color w:val="000000" w:themeColor="text1"/>
          <w:sz w:val="28"/>
          <w:lang w:val="ro-RO"/>
        </w:rPr>
      </w:pPr>
      <w:bookmarkStart w:id="388" w:name="_Toc322013210"/>
      <w:r w:rsidRPr="00921CF1">
        <w:rPr>
          <w:rFonts w:ascii="Times New Roman" w:hAnsi="Times New Roman" w:cs="Times New Roman"/>
          <w:b/>
          <w:color w:val="000000" w:themeColor="text1"/>
          <w:sz w:val="28"/>
          <w:lang w:val="ro-RO"/>
        </w:rPr>
        <w:lastRenderedPageBreak/>
        <w:t>Eficienţa energetică în proiectarea şi reglementarea de reţea</w:t>
      </w:r>
      <w:bookmarkEnd w:id="388"/>
      <w:r w:rsidR="00BC2ED4" w:rsidRPr="00921CF1">
        <w:rPr>
          <w:rFonts w:ascii="Times New Roman" w:hAnsi="Times New Roman" w:cs="Times New Roman"/>
          <w:b/>
          <w:color w:val="000000" w:themeColor="text1"/>
          <w:sz w:val="28"/>
          <w:lang w:val="ro-RO"/>
        </w:rPr>
        <w:t xml:space="preserve"> </w:t>
      </w:r>
    </w:p>
    <w:p w14:paraId="5229F164" w14:textId="16D4E4FB" w:rsidR="00BC2ED4" w:rsidRPr="009C5F11" w:rsidRDefault="009250BC"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Programul naţional pentru eficienţă energetică 2011-2020 aprobat prin Hotărârea Guvernului nr. 833 din 10 noiembrie 2011 stabileşte obiective naţionale de eficientizare a consumului global de energie primară cu 20% până în anul 2020 şi reducerea către anul 2020, cu cel puţin 25% a emisiilor de GES comparativ cu 1990</w:t>
      </w:r>
      <w:r w:rsidR="00BC2ED4" w:rsidRPr="009C5F11">
        <w:rPr>
          <w:rFonts w:ascii="Times New Roman" w:hAnsi="Times New Roman" w:cs="Times New Roman"/>
          <w:sz w:val="24"/>
          <w:lang w:val="ro-RO"/>
        </w:rPr>
        <w:t xml:space="preserve">. </w:t>
      </w:r>
    </w:p>
    <w:p w14:paraId="2E1E7CDE" w14:textId="77777777" w:rsidR="00BC2ED4" w:rsidRPr="009C5F11" w:rsidRDefault="009250BC" w:rsidP="005B6B26">
      <w:pPr>
        <w:spacing w:before="120" w:after="120" w:line="240" w:lineRule="auto"/>
        <w:jc w:val="both"/>
        <w:rPr>
          <w:rFonts w:ascii="Times New Roman" w:hAnsi="Times New Roman" w:cs="Times New Roman"/>
          <w:sz w:val="24"/>
          <w:u w:val="single"/>
          <w:lang w:val="ro-RO"/>
        </w:rPr>
      </w:pPr>
      <w:r w:rsidRPr="009C5F11">
        <w:rPr>
          <w:rFonts w:ascii="Times New Roman" w:hAnsi="Times New Roman" w:cs="Times New Roman"/>
          <w:sz w:val="24"/>
          <w:u w:val="single"/>
          <w:lang w:val="ro-RO"/>
        </w:rPr>
        <w:t>Pentru reducerea pierderilor au fost stabilite obiective concrete</w:t>
      </w:r>
      <w:r w:rsidR="00BC2ED4" w:rsidRPr="009C5F11">
        <w:rPr>
          <w:rFonts w:ascii="Times New Roman" w:hAnsi="Times New Roman" w:cs="Times New Roman"/>
          <w:sz w:val="24"/>
          <w:u w:val="single"/>
          <w:lang w:val="ro-RO"/>
        </w:rPr>
        <w:t>:</w:t>
      </w:r>
    </w:p>
    <w:p w14:paraId="62A92DEF" w14:textId="77777777" w:rsidR="00BC2ED4" w:rsidRPr="009C5F11" w:rsidRDefault="00D4035F" w:rsidP="00334F3B">
      <w:pPr>
        <w:pStyle w:val="Listparagraf"/>
        <w:numPr>
          <w:ilvl w:val="0"/>
          <w:numId w:val="179"/>
        </w:numPr>
        <w:rPr>
          <w:rFonts w:ascii="Times New Roman" w:hAnsi="Times New Roman" w:cs="Times New Roman"/>
          <w:i/>
          <w:sz w:val="24"/>
          <w:lang w:val="ro-RO"/>
        </w:rPr>
      </w:pPr>
      <w:bookmarkStart w:id="389" w:name="_Toc319555453"/>
      <w:r w:rsidRPr="009C5F11">
        <w:rPr>
          <w:rFonts w:ascii="Times New Roman" w:hAnsi="Times New Roman" w:cs="Times New Roman"/>
          <w:i/>
          <w:sz w:val="24"/>
          <w:lang w:val="ro-RO"/>
        </w:rPr>
        <w:t>Pierderi</w:t>
      </w:r>
      <w:r w:rsidR="00321CD5" w:rsidRPr="009C5F11">
        <w:rPr>
          <w:rFonts w:ascii="Times New Roman" w:hAnsi="Times New Roman" w:cs="Times New Roman"/>
          <w:i/>
          <w:sz w:val="24"/>
          <w:lang w:val="ro-RO"/>
        </w:rPr>
        <w:t xml:space="preserve"> </w:t>
      </w:r>
      <w:r w:rsidR="009250BC" w:rsidRPr="009C5F11">
        <w:rPr>
          <w:rFonts w:ascii="Times New Roman" w:hAnsi="Times New Roman" w:cs="Times New Roman"/>
          <w:i/>
          <w:sz w:val="24"/>
          <w:lang w:val="ro-RO"/>
        </w:rPr>
        <w:t xml:space="preserve">în reţele de distribuţie a energiei electrice. </w:t>
      </w:r>
      <w:bookmarkEnd w:id="389"/>
    </w:p>
    <w:p w14:paraId="0F540923" w14:textId="77777777" w:rsidR="002652E9" w:rsidRPr="009C5F11" w:rsidRDefault="009250BC" w:rsidP="005B6B26">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Conform PNEE 2011-2020, operatorii re</w:t>
      </w:r>
      <w:r w:rsidR="00273CDE" w:rsidRPr="009C5F11">
        <w:rPr>
          <w:rFonts w:ascii="Times New Roman" w:hAnsi="Times New Roman" w:cs="Times New Roman"/>
          <w:sz w:val="24"/>
          <w:lang w:val="ro-RO"/>
        </w:rPr>
        <w:t>ţ</w:t>
      </w:r>
      <w:r w:rsidRPr="009C5F11">
        <w:rPr>
          <w:rFonts w:ascii="Times New Roman" w:hAnsi="Times New Roman" w:cs="Times New Roman"/>
          <w:sz w:val="24"/>
          <w:lang w:val="ro-RO"/>
        </w:rPr>
        <w:t>elei de distribu</w:t>
      </w:r>
      <w:r w:rsidR="00273CDE" w:rsidRPr="009C5F11">
        <w:rPr>
          <w:rFonts w:ascii="Times New Roman" w:hAnsi="Times New Roman" w:cs="Times New Roman"/>
          <w:sz w:val="24"/>
          <w:lang w:val="ro-RO"/>
        </w:rPr>
        <w:t>ţ</w:t>
      </w:r>
      <w:r w:rsidRPr="009C5F11">
        <w:rPr>
          <w:rFonts w:ascii="Times New Roman" w:hAnsi="Times New Roman" w:cs="Times New Roman"/>
          <w:sz w:val="24"/>
          <w:lang w:val="ro-RO"/>
        </w:rPr>
        <w:t>ie ar trebui să reducă pierderile de la 13% în 2011 până la 7-10% în 2020. Cele mai recente date furnizate de ANRE, la situaţia din aprilie 2015, indică un progres semnificativ înregistrat de toţi operatorii re</w:t>
      </w:r>
      <w:r w:rsidR="00273CDE" w:rsidRPr="009C5F11">
        <w:rPr>
          <w:rFonts w:ascii="Times New Roman" w:hAnsi="Times New Roman" w:cs="Times New Roman"/>
          <w:sz w:val="24"/>
          <w:lang w:val="ro-RO"/>
        </w:rPr>
        <w:t>ţ</w:t>
      </w:r>
      <w:r w:rsidRPr="009C5F11">
        <w:rPr>
          <w:rFonts w:ascii="Times New Roman" w:hAnsi="Times New Roman" w:cs="Times New Roman"/>
          <w:sz w:val="24"/>
          <w:lang w:val="ro-RO"/>
        </w:rPr>
        <w:t>elei de distribu</w:t>
      </w:r>
      <w:r w:rsidR="00273CDE" w:rsidRPr="009C5F11">
        <w:rPr>
          <w:rFonts w:ascii="Times New Roman" w:hAnsi="Times New Roman" w:cs="Times New Roman"/>
          <w:sz w:val="24"/>
          <w:lang w:val="ro-RO"/>
        </w:rPr>
        <w:t>ţ</w:t>
      </w:r>
      <w:r w:rsidRPr="009C5F11">
        <w:rPr>
          <w:rFonts w:ascii="Times New Roman" w:hAnsi="Times New Roman" w:cs="Times New Roman"/>
          <w:sz w:val="24"/>
          <w:lang w:val="ro-RO"/>
        </w:rPr>
        <w:t>ie din 2011 în direcţia realizării acestui obiectiv. Pierderile in re</w:t>
      </w:r>
      <w:r w:rsidR="00273CDE" w:rsidRPr="009C5F11">
        <w:rPr>
          <w:rFonts w:ascii="Times New Roman" w:hAnsi="Times New Roman" w:cs="Times New Roman"/>
          <w:sz w:val="24"/>
          <w:lang w:val="ro-RO"/>
        </w:rPr>
        <w:t>ţ</w:t>
      </w:r>
      <w:r w:rsidRPr="009C5F11">
        <w:rPr>
          <w:rFonts w:ascii="Times New Roman" w:hAnsi="Times New Roman" w:cs="Times New Roman"/>
          <w:sz w:val="24"/>
          <w:lang w:val="ro-RO"/>
        </w:rPr>
        <w:t>eaua de distribu</w:t>
      </w:r>
      <w:r w:rsidR="00273CDE" w:rsidRPr="009C5F11">
        <w:rPr>
          <w:rFonts w:ascii="Times New Roman" w:hAnsi="Times New Roman" w:cs="Times New Roman"/>
          <w:sz w:val="24"/>
          <w:lang w:val="ro-RO"/>
        </w:rPr>
        <w:t>ţ</w:t>
      </w:r>
      <w:r w:rsidRPr="009C5F11">
        <w:rPr>
          <w:rFonts w:ascii="Times New Roman" w:hAnsi="Times New Roman" w:cs="Times New Roman"/>
          <w:sz w:val="24"/>
          <w:lang w:val="ro-RO"/>
        </w:rPr>
        <w:t>ie se reduc treptat şi în 2014 nivelul acestora a atins 9.2% - 11.58% din energia electrică furnizată reţelelor de distribuţie</w:t>
      </w:r>
      <w:r w:rsidR="00BC2ED4" w:rsidRPr="009C5F11">
        <w:rPr>
          <w:rFonts w:ascii="Times New Roman" w:hAnsi="Times New Roman" w:cs="Times New Roman"/>
          <w:sz w:val="24"/>
          <w:lang w:val="ro-RO"/>
        </w:rPr>
        <w:t xml:space="preserve">. </w:t>
      </w:r>
    </w:p>
    <w:p w14:paraId="25EF38FE" w14:textId="77777777" w:rsidR="00CD38F0" w:rsidRPr="009C5F11" w:rsidRDefault="00321CD5" w:rsidP="00CD38F0">
      <w:pPr>
        <w:pStyle w:val="Legend"/>
        <w:keepNext/>
        <w:jc w:val="center"/>
        <w:rPr>
          <w:rFonts w:ascii="Times New Roman" w:hAnsi="Times New Roman" w:cs="Times New Roman"/>
          <w:sz w:val="22"/>
          <w:lang w:val="ro-RO"/>
        </w:rPr>
      </w:pPr>
      <w:bookmarkStart w:id="390" w:name="_Toc322013264"/>
      <w:r w:rsidRPr="009C5F11">
        <w:rPr>
          <w:rFonts w:ascii="Times New Roman" w:hAnsi="Times New Roman" w:cs="Times New Roman"/>
          <w:sz w:val="22"/>
          <w:lang w:val="ro-RO"/>
        </w:rPr>
        <w:t>Tabelul</w:t>
      </w:r>
      <w:r w:rsidR="00CD38F0"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CD38F0"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41</w:t>
      </w:r>
      <w:r w:rsidR="003A6ADB" w:rsidRPr="009C5F11">
        <w:rPr>
          <w:rFonts w:ascii="Times New Roman" w:hAnsi="Times New Roman" w:cs="Times New Roman"/>
          <w:sz w:val="22"/>
          <w:lang w:val="ro-RO"/>
        </w:rPr>
        <w:fldChar w:fldCharType="end"/>
      </w:r>
      <w:r w:rsidR="00CD38F0" w:rsidRPr="009C5F11">
        <w:rPr>
          <w:rFonts w:ascii="Times New Roman" w:hAnsi="Times New Roman" w:cs="Times New Roman"/>
          <w:sz w:val="22"/>
          <w:lang w:val="ro-RO"/>
        </w:rPr>
        <w:t xml:space="preserve"> - </w:t>
      </w:r>
      <w:r w:rsidR="00480806" w:rsidRPr="009C5F11">
        <w:rPr>
          <w:rFonts w:ascii="Times New Roman" w:hAnsi="Times New Roman" w:cs="Times New Roman"/>
          <w:sz w:val="22"/>
          <w:lang w:val="ro-RO"/>
        </w:rPr>
        <w:t>Consumul de energie electrică</w:t>
      </w:r>
      <w:r w:rsidR="009250BC" w:rsidRPr="009C5F11">
        <w:rPr>
          <w:rFonts w:ascii="Times New Roman" w:hAnsi="Times New Roman" w:cs="Times New Roman"/>
          <w:sz w:val="22"/>
          <w:lang w:val="ro-RO"/>
        </w:rPr>
        <w:t xml:space="preserve"> </w:t>
      </w:r>
      <w:r w:rsidRPr="009C5F11">
        <w:rPr>
          <w:rFonts w:ascii="Times New Roman" w:hAnsi="Times New Roman" w:cs="Times New Roman"/>
          <w:sz w:val="22"/>
          <w:lang w:val="ro-RO"/>
        </w:rPr>
        <w:t xml:space="preserve">şi </w:t>
      </w:r>
      <w:r w:rsidR="00BA5A89" w:rsidRPr="009C5F11">
        <w:rPr>
          <w:rFonts w:ascii="Times New Roman" w:hAnsi="Times New Roman" w:cs="Times New Roman"/>
          <w:sz w:val="22"/>
          <w:lang w:val="ro-RO"/>
        </w:rPr>
        <w:t>pierderile</w:t>
      </w:r>
      <w:r w:rsidR="009250BC" w:rsidRPr="009C5F11">
        <w:rPr>
          <w:rFonts w:ascii="Times New Roman" w:hAnsi="Times New Roman" w:cs="Times New Roman"/>
          <w:sz w:val="22"/>
          <w:lang w:val="ro-RO"/>
        </w:rPr>
        <w:t xml:space="preserve"> de-facto.</w:t>
      </w:r>
      <w:bookmarkEnd w:id="390"/>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1665"/>
        <w:gridCol w:w="732"/>
        <w:gridCol w:w="846"/>
        <w:gridCol w:w="843"/>
        <w:gridCol w:w="843"/>
        <w:gridCol w:w="843"/>
        <w:gridCol w:w="843"/>
        <w:gridCol w:w="919"/>
        <w:gridCol w:w="733"/>
        <w:gridCol w:w="923"/>
        <w:gridCol w:w="1316"/>
        <w:gridCol w:w="1136"/>
        <w:gridCol w:w="733"/>
        <w:gridCol w:w="1071"/>
        <w:gridCol w:w="730"/>
      </w:tblGrid>
      <w:tr w:rsidR="00BC2ED4" w:rsidRPr="009C5F11" w14:paraId="07CC5D64" w14:textId="77777777" w:rsidTr="001400EE">
        <w:trPr>
          <w:trHeight w:val="805"/>
          <w:jc w:val="center"/>
        </w:trPr>
        <w:tc>
          <w:tcPr>
            <w:tcW w:w="3258" w:type="pct"/>
            <w:gridSpan w:val="10"/>
            <w:shd w:val="clear" w:color="auto" w:fill="000080"/>
            <w:vAlign w:val="center"/>
          </w:tcPr>
          <w:p w14:paraId="656A215E" w14:textId="77777777" w:rsidR="00BC2ED4" w:rsidRPr="009C5F11" w:rsidRDefault="009250BC" w:rsidP="00430626">
            <w:pPr>
              <w:spacing w:after="0" w:line="240" w:lineRule="auto"/>
              <w:jc w:val="center"/>
              <w:rPr>
                <w:rFonts w:ascii="Times New Roman" w:hAnsi="Times New Roman" w:cs="Times New Roman"/>
                <w:b/>
                <w:color w:val="FFFFFF"/>
                <w:sz w:val="20"/>
                <w:szCs w:val="16"/>
                <w:lang w:val="ro-RO"/>
              </w:rPr>
            </w:pPr>
            <w:r w:rsidRPr="009C5F11">
              <w:rPr>
                <w:rFonts w:ascii="Times New Roman" w:eastAsia="Times New Roman" w:hAnsi="Times New Roman" w:cs="Times New Roman"/>
                <w:b/>
                <w:bCs/>
                <w:color w:val="FFFFFF" w:themeColor="background1"/>
                <w:sz w:val="20"/>
                <w:szCs w:val="16"/>
                <w:lang w:val="ro-RO"/>
              </w:rPr>
              <w:t>Consumul tehnologic şi pierderile de-facto</w:t>
            </w:r>
          </w:p>
        </w:tc>
        <w:tc>
          <w:tcPr>
            <w:tcW w:w="442" w:type="pct"/>
            <w:vMerge w:val="restart"/>
            <w:shd w:val="clear" w:color="auto" w:fill="000080"/>
            <w:vAlign w:val="center"/>
          </w:tcPr>
          <w:p w14:paraId="338EFCB9" w14:textId="77777777" w:rsidR="00BC2ED4" w:rsidRPr="009C5F11" w:rsidRDefault="009250BC" w:rsidP="00430626">
            <w:pPr>
              <w:jc w:val="center"/>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themeColor="background1"/>
                <w:sz w:val="20"/>
                <w:szCs w:val="16"/>
                <w:lang w:val="ro-RO"/>
              </w:rPr>
              <w:t xml:space="preserve">Energia electrică achiziţionată de DSO </w:t>
            </w:r>
            <w:r w:rsidR="00321CD5" w:rsidRPr="009C5F11">
              <w:rPr>
                <w:rFonts w:ascii="Times New Roman" w:eastAsia="Verdana" w:hAnsi="Times New Roman" w:cs="Times New Roman"/>
                <w:b/>
                <w:color w:val="FFFFFF"/>
                <w:sz w:val="20"/>
                <w:szCs w:val="16"/>
                <w:lang w:val="ro-RO"/>
              </w:rPr>
              <w:t xml:space="preserve">în </w:t>
            </w:r>
            <w:r w:rsidR="00BC2ED4" w:rsidRPr="009C5F11">
              <w:rPr>
                <w:rFonts w:ascii="Times New Roman" w:eastAsia="Verdana" w:hAnsi="Times New Roman" w:cs="Times New Roman"/>
                <w:b/>
                <w:color w:val="FFFFFF"/>
                <w:sz w:val="20"/>
                <w:szCs w:val="16"/>
                <w:lang w:val="ro-RO"/>
              </w:rPr>
              <w:t>2014, GWh</w:t>
            </w:r>
          </w:p>
          <w:p w14:paraId="0F821C6D" w14:textId="77777777" w:rsidR="00BC2ED4" w:rsidRPr="009C5F11" w:rsidRDefault="00BC2ED4" w:rsidP="00430626">
            <w:pPr>
              <w:jc w:val="center"/>
              <w:rPr>
                <w:rFonts w:ascii="Times New Roman" w:hAnsi="Times New Roman" w:cs="Times New Roman"/>
                <w:b/>
                <w:color w:val="FFFFFF"/>
                <w:sz w:val="20"/>
                <w:szCs w:val="16"/>
                <w:lang w:val="ro-RO"/>
              </w:rPr>
            </w:pPr>
          </w:p>
        </w:tc>
        <w:tc>
          <w:tcPr>
            <w:tcW w:w="662" w:type="pct"/>
            <w:gridSpan w:val="2"/>
            <w:vMerge w:val="restart"/>
            <w:shd w:val="clear" w:color="auto" w:fill="000080"/>
            <w:vAlign w:val="center"/>
          </w:tcPr>
          <w:p w14:paraId="0D894590" w14:textId="77777777" w:rsidR="00BC2ED4" w:rsidRPr="009C5F11" w:rsidRDefault="009250BC" w:rsidP="00430626">
            <w:pPr>
              <w:jc w:val="center"/>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themeColor="background1"/>
                <w:sz w:val="20"/>
                <w:szCs w:val="16"/>
                <w:lang w:val="ro-RO"/>
              </w:rPr>
              <w:t>Energia electrică furnizată consumatorilor</w:t>
            </w:r>
            <w:r w:rsidR="00BC2ED4" w:rsidRPr="009C5F11">
              <w:rPr>
                <w:rFonts w:ascii="Times New Roman" w:eastAsia="Verdana" w:hAnsi="Times New Roman" w:cs="Times New Roman"/>
                <w:b/>
                <w:color w:val="FFFFFF"/>
                <w:sz w:val="20"/>
                <w:szCs w:val="16"/>
                <w:lang w:val="ro-RO"/>
              </w:rPr>
              <w:t>, 2014</w:t>
            </w:r>
          </w:p>
          <w:p w14:paraId="663E4F1F" w14:textId="77777777" w:rsidR="00BC2ED4" w:rsidRPr="009C5F11" w:rsidRDefault="00BC2ED4" w:rsidP="00430626">
            <w:pPr>
              <w:rPr>
                <w:rFonts w:ascii="Times New Roman" w:eastAsia="Verdana" w:hAnsi="Times New Roman" w:cs="Times New Roman"/>
                <w:b/>
                <w:color w:val="FFFFFF"/>
                <w:sz w:val="20"/>
                <w:szCs w:val="16"/>
                <w:lang w:val="ro-RO"/>
              </w:rPr>
            </w:pPr>
          </w:p>
          <w:p w14:paraId="7F6E3FBC" w14:textId="77777777" w:rsidR="00BC2ED4" w:rsidRPr="009C5F11" w:rsidRDefault="00BC2ED4" w:rsidP="00430626">
            <w:pPr>
              <w:jc w:val="center"/>
              <w:rPr>
                <w:rFonts w:ascii="Times New Roman" w:hAnsi="Times New Roman" w:cs="Times New Roman"/>
                <w:b/>
                <w:color w:val="FFFFFF"/>
                <w:sz w:val="20"/>
                <w:szCs w:val="16"/>
                <w:lang w:val="ro-RO"/>
              </w:rPr>
            </w:pPr>
          </w:p>
        </w:tc>
        <w:tc>
          <w:tcPr>
            <w:tcW w:w="638" w:type="pct"/>
            <w:gridSpan w:val="2"/>
            <w:vMerge w:val="restart"/>
            <w:shd w:val="clear" w:color="auto" w:fill="000080"/>
            <w:vAlign w:val="center"/>
          </w:tcPr>
          <w:p w14:paraId="43900994" w14:textId="77777777" w:rsidR="00BC2ED4" w:rsidRPr="009C5F11" w:rsidRDefault="009250BC" w:rsidP="00430626">
            <w:pPr>
              <w:spacing w:after="0" w:line="240" w:lineRule="auto"/>
              <w:jc w:val="center"/>
              <w:rPr>
                <w:rFonts w:ascii="Times New Roman" w:hAnsi="Times New Roman" w:cs="Times New Roman"/>
                <w:b/>
                <w:color w:val="FFFFFF"/>
                <w:sz w:val="20"/>
                <w:szCs w:val="16"/>
                <w:lang w:val="ro-RO"/>
              </w:rPr>
            </w:pPr>
            <w:r w:rsidRPr="009C5F11">
              <w:rPr>
                <w:rFonts w:ascii="Times New Roman" w:eastAsia="Times New Roman" w:hAnsi="Times New Roman" w:cs="Times New Roman"/>
                <w:b/>
                <w:color w:val="FFFFFF" w:themeColor="background1"/>
                <w:sz w:val="20"/>
                <w:szCs w:val="16"/>
                <w:lang w:val="ro-RO"/>
              </w:rPr>
              <w:t>Nr. de consumatori</w:t>
            </w:r>
            <w:r w:rsidR="00BC2ED4" w:rsidRPr="009C5F11">
              <w:rPr>
                <w:rFonts w:ascii="Times New Roman" w:hAnsi="Times New Roman" w:cs="Times New Roman"/>
                <w:b/>
                <w:color w:val="FFFFFF"/>
                <w:sz w:val="20"/>
                <w:szCs w:val="16"/>
                <w:lang w:val="ro-RO"/>
              </w:rPr>
              <w:t>, 2014</w:t>
            </w:r>
          </w:p>
        </w:tc>
      </w:tr>
      <w:tr w:rsidR="00BC2ED4" w:rsidRPr="009C5F11" w14:paraId="6FB395FA" w14:textId="77777777" w:rsidTr="001400EE">
        <w:trPr>
          <w:trHeight w:val="206"/>
          <w:jc w:val="center"/>
        </w:trPr>
        <w:tc>
          <w:tcPr>
            <w:tcW w:w="589" w:type="pct"/>
            <w:vMerge w:val="restart"/>
            <w:shd w:val="clear" w:color="auto" w:fill="000080"/>
            <w:vAlign w:val="center"/>
            <w:hideMark/>
          </w:tcPr>
          <w:p w14:paraId="46278B03" w14:textId="77777777" w:rsidR="00BC2ED4" w:rsidRPr="009C5F11" w:rsidRDefault="008E0271" w:rsidP="009250BC">
            <w:pPr>
              <w:jc w:val="center"/>
              <w:rPr>
                <w:rFonts w:ascii="Times New Roman" w:eastAsia="Verdana" w:hAnsi="Times New Roman" w:cs="Times New Roman"/>
                <w:b/>
                <w:color w:val="FFFFFF"/>
                <w:sz w:val="20"/>
                <w:szCs w:val="16"/>
                <w:lang w:val="ro-RO"/>
              </w:rPr>
            </w:pPr>
            <w:r w:rsidRPr="009C5F11">
              <w:rPr>
                <w:rFonts w:ascii="Times New Roman" w:hAnsi="Times New Roman" w:cs="Times New Roman"/>
                <w:b/>
                <w:color w:val="FFFFFF"/>
                <w:sz w:val="20"/>
                <w:szCs w:val="16"/>
                <w:lang w:val="ro-RO"/>
              </w:rPr>
              <w:t>Operatorul de distribuţie şi de sistem</w:t>
            </w:r>
            <w:r w:rsidR="009250BC" w:rsidRPr="009C5F11">
              <w:rPr>
                <w:rFonts w:ascii="Times New Roman" w:hAnsi="Times New Roman" w:cs="Times New Roman"/>
                <w:b/>
                <w:color w:val="FFFFFF"/>
                <w:sz w:val="20"/>
                <w:szCs w:val="16"/>
                <w:lang w:val="ro-RO"/>
              </w:rPr>
              <w:t xml:space="preserve"> (DSO)</w:t>
            </w:r>
          </w:p>
        </w:tc>
        <w:tc>
          <w:tcPr>
            <w:tcW w:w="2669" w:type="pct"/>
            <w:gridSpan w:val="9"/>
            <w:shd w:val="clear" w:color="auto" w:fill="000080"/>
            <w:vAlign w:val="center"/>
          </w:tcPr>
          <w:p w14:paraId="760CC914" w14:textId="77777777" w:rsidR="00BC2ED4" w:rsidRPr="009C5F11" w:rsidRDefault="00BC2ED4" w:rsidP="00430626">
            <w:pPr>
              <w:spacing w:line="240" w:lineRule="auto"/>
              <w:jc w:val="center"/>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sz w:val="20"/>
                <w:szCs w:val="16"/>
                <w:lang w:val="ro-RO"/>
              </w:rPr>
              <w:t>(</w:t>
            </w:r>
            <w:r w:rsidR="009250BC" w:rsidRPr="009C5F11">
              <w:rPr>
                <w:rFonts w:ascii="Times New Roman" w:eastAsia="Verdana" w:hAnsi="Times New Roman" w:cs="Times New Roman"/>
                <w:b/>
                <w:color w:val="FFFFFF" w:themeColor="background1"/>
                <w:sz w:val="20"/>
                <w:szCs w:val="16"/>
                <w:lang w:val="ro-RO"/>
              </w:rPr>
              <w:t>în % faţă de energia electrică contorizată la punctele de ieșire din reţeaua de transport</w:t>
            </w:r>
            <w:r w:rsidRPr="009C5F11">
              <w:rPr>
                <w:rFonts w:ascii="Times New Roman" w:eastAsia="Verdana" w:hAnsi="Times New Roman" w:cs="Times New Roman"/>
                <w:b/>
                <w:color w:val="FFFFFF"/>
                <w:sz w:val="20"/>
                <w:szCs w:val="16"/>
                <w:lang w:val="ro-RO"/>
              </w:rPr>
              <w:t>)</w:t>
            </w:r>
          </w:p>
        </w:tc>
        <w:tc>
          <w:tcPr>
            <w:tcW w:w="442" w:type="pct"/>
            <w:vMerge/>
            <w:shd w:val="clear" w:color="auto" w:fill="000080"/>
            <w:vAlign w:val="center"/>
          </w:tcPr>
          <w:p w14:paraId="638B000C" w14:textId="77777777" w:rsidR="00BC2ED4" w:rsidRPr="009C5F11" w:rsidRDefault="00BC2ED4" w:rsidP="00430626">
            <w:pPr>
              <w:jc w:val="center"/>
              <w:rPr>
                <w:rFonts w:ascii="Times New Roman" w:eastAsia="Verdana" w:hAnsi="Times New Roman" w:cs="Times New Roman"/>
                <w:b/>
                <w:color w:val="FFFFFF"/>
                <w:sz w:val="20"/>
                <w:szCs w:val="16"/>
                <w:lang w:val="ro-RO"/>
              </w:rPr>
            </w:pPr>
          </w:p>
        </w:tc>
        <w:tc>
          <w:tcPr>
            <w:tcW w:w="662" w:type="pct"/>
            <w:gridSpan w:val="2"/>
            <w:vMerge/>
            <w:shd w:val="clear" w:color="auto" w:fill="000080"/>
            <w:vAlign w:val="center"/>
          </w:tcPr>
          <w:p w14:paraId="668DA8E5" w14:textId="77777777" w:rsidR="00BC2ED4" w:rsidRPr="009C5F11" w:rsidRDefault="00BC2ED4" w:rsidP="00430626">
            <w:pPr>
              <w:jc w:val="center"/>
              <w:rPr>
                <w:rFonts w:ascii="Times New Roman" w:eastAsia="Verdana" w:hAnsi="Times New Roman" w:cs="Times New Roman"/>
                <w:b/>
                <w:color w:val="FFFFFF"/>
                <w:sz w:val="20"/>
                <w:szCs w:val="16"/>
                <w:lang w:val="ro-RO"/>
              </w:rPr>
            </w:pPr>
          </w:p>
        </w:tc>
        <w:tc>
          <w:tcPr>
            <w:tcW w:w="638" w:type="pct"/>
            <w:gridSpan w:val="2"/>
            <w:vMerge/>
            <w:shd w:val="clear" w:color="auto" w:fill="000080"/>
            <w:vAlign w:val="center"/>
            <w:hideMark/>
          </w:tcPr>
          <w:p w14:paraId="63953F8B" w14:textId="77777777" w:rsidR="00BC2ED4" w:rsidRPr="009C5F11" w:rsidRDefault="00BC2ED4" w:rsidP="00430626">
            <w:pPr>
              <w:spacing w:after="0" w:line="240" w:lineRule="auto"/>
              <w:rPr>
                <w:rFonts w:ascii="Times New Roman" w:hAnsi="Times New Roman" w:cs="Times New Roman"/>
                <w:b/>
                <w:color w:val="FFFFFF"/>
                <w:sz w:val="20"/>
                <w:szCs w:val="16"/>
                <w:lang w:val="ro-RO"/>
              </w:rPr>
            </w:pPr>
          </w:p>
        </w:tc>
      </w:tr>
      <w:tr w:rsidR="00C05708" w:rsidRPr="009C5F11" w14:paraId="2B04BC68" w14:textId="77777777" w:rsidTr="001400EE">
        <w:trPr>
          <w:trHeight w:val="103"/>
          <w:jc w:val="center"/>
        </w:trPr>
        <w:tc>
          <w:tcPr>
            <w:tcW w:w="589" w:type="pct"/>
            <w:vMerge/>
            <w:shd w:val="clear" w:color="auto" w:fill="000080"/>
            <w:vAlign w:val="center"/>
          </w:tcPr>
          <w:p w14:paraId="578D99E5" w14:textId="77777777" w:rsidR="00BC2ED4" w:rsidRPr="009C5F11" w:rsidRDefault="00BC2ED4" w:rsidP="00430626">
            <w:pPr>
              <w:spacing w:after="0" w:line="240" w:lineRule="auto"/>
              <w:rPr>
                <w:rFonts w:ascii="Times New Roman" w:eastAsia="Verdana" w:hAnsi="Times New Roman" w:cs="Times New Roman"/>
                <w:b/>
                <w:color w:val="FFFFFF"/>
                <w:sz w:val="20"/>
                <w:szCs w:val="16"/>
                <w:lang w:val="ro-RO"/>
              </w:rPr>
            </w:pPr>
          </w:p>
        </w:tc>
        <w:tc>
          <w:tcPr>
            <w:tcW w:w="260" w:type="pct"/>
            <w:shd w:val="clear" w:color="auto" w:fill="000080"/>
            <w:vAlign w:val="center"/>
          </w:tcPr>
          <w:p w14:paraId="6E55CC9E" w14:textId="77777777" w:rsidR="00BC2ED4" w:rsidRPr="009C5F11" w:rsidRDefault="00BC2ED4" w:rsidP="00430626">
            <w:pPr>
              <w:spacing w:after="0" w:line="240" w:lineRule="auto"/>
              <w:ind w:left="-342"/>
              <w:jc w:val="right"/>
              <w:rPr>
                <w:rFonts w:ascii="Times New Roman" w:eastAsia="Verdana" w:hAnsi="Times New Roman" w:cs="Times New Roman"/>
                <w:b/>
                <w:color w:val="FFFFFF"/>
                <w:sz w:val="20"/>
                <w:szCs w:val="16"/>
                <w:vertAlign w:val="superscript"/>
                <w:lang w:val="ro-RO"/>
              </w:rPr>
            </w:pPr>
            <w:r w:rsidRPr="009C5F11">
              <w:rPr>
                <w:rFonts w:ascii="Times New Roman" w:eastAsia="Verdana" w:hAnsi="Times New Roman" w:cs="Times New Roman"/>
                <w:b/>
                <w:color w:val="FFFFFF"/>
                <w:sz w:val="20"/>
                <w:szCs w:val="16"/>
                <w:lang w:val="ro-RO"/>
              </w:rPr>
              <w:t xml:space="preserve"> 2001</w:t>
            </w:r>
            <w:r w:rsidRPr="009C5F11">
              <w:rPr>
                <w:rFonts w:ascii="Times New Roman" w:eastAsia="Verdana" w:hAnsi="Times New Roman" w:cs="Times New Roman"/>
                <w:b/>
                <w:color w:val="FFFFFF"/>
                <w:sz w:val="20"/>
                <w:szCs w:val="16"/>
                <w:vertAlign w:val="superscript"/>
                <w:lang w:val="ro-RO"/>
              </w:rPr>
              <w:t>**</w:t>
            </w:r>
          </w:p>
        </w:tc>
        <w:tc>
          <w:tcPr>
            <w:tcW w:w="300" w:type="pct"/>
            <w:shd w:val="clear" w:color="auto" w:fill="000080"/>
            <w:vAlign w:val="center"/>
          </w:tcPr>
          <w:p w14:paraId="6C97AED9" w14:textId="77777777" w:rsidR="00BC2ED4" w:rsidRPr="009C5F11" w:rsidRDefault="00BC2ED4" w:rsidP="00430626">
            <w:pPr>
              <w:spacing w:after="0" w:line="240" w:lineRule="auto"/>
              <w:ind w:left="-108"/>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sz w:val="20"/>
                <w:szCs w:val="16"/>
                <w:lang w:val="ro-RO"/>
              </w:rPr>
              <w:t>2005</w:t>
            </w:r>
          </w:p>
        </w:tc>
        <w:tc>
          <w:tcPr>
            <w:tcW w:w="299" w:type="pct"/>
            <w:shd w:val="clear" w:color="auto" w:fill="000080"/>
            <w:vAlign w:val="center"/>
          </w:tcPr>
          <w:p w14:paraId="121BB8F1" w14:textId="77777777" w:rsidR="00BC2ED4" w:rsidRPr="009C5F11" w:rsidRDefault="00BC2ED4" w:rsidP="00430626">
            <w:pPr>
              <w:spacing w:after="0" w:line="240" w:lineRule="auto"/>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sz w:val="20"/>
                <w:szCs w:val="16"/>
                <w:lang w:val="ro-RO"/>
              </w:rPr>
              <w:t>2010</w:t>
            </w:r>
          </w:p>
        </w:tc>
        <w:tc>
          <w:tcPr>
            <w:tcW w:w="299" w:type="pct"/>
            <w:shd w:val="clear" w:color="auto" w:fill="000080"/>
            <w:vAlign w:val="center"/>
          </w:tcPr>
          <w:p w14:paraId="4C929DA3" w14:textId="77777777" w:rsidR="00BC2ED4" w:rsidRPr="009C5F11" w:rsidRDefault="00BC2ED4" w:rsidP="00430626">
            <w:pPr>
              <w:spacing w:after="0" w:line="240" w:lineRule="auto"/>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sz w:val="20"/>
                <w:szCs w:val="16"/>
                <w:lang w:val="ro-RO"/>
              </w:rPr>
              <w:t>2011</w:t>
            </w:r>
          </w:p>
        </w:tc>
        <w:tc>
          <w:tcPr>
            <w:tcW w:w="299" w:type="pct"/>
            <w:shd w:val="clear" w:color="auto" w:fill="000080"/>
            <w:vAlign w:val="center"/>
          </w:tcPr>
          <w:p w14:paraId="2FB656E0" w14:textId="77777777" w:rsidR="00BC2ED4" w:rsidRPr="009C5F11" w:rsidRDefault="00BC2ED4" w:rsidP="00430626">
            <w:pPr>
              <w:spacing w:after="0" w:line="240" w:lineRule="auto"/>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sz w:val="20"/>
                <w:szCs w:val="16"/>
                <w:lang w:val="ro-RO"/>
              </w:rPr>
              <w:t>2012</w:t>
            </w:r>
          </w:p>
        </w:tc>
        <w:tc>
          <w:tcPr>
            <w:tcW w:w="625" w:type="pct"/>
            <w:gridSpan w:val="2"/>
            <w:shd w:val="clear" w:color="auto" w:fill="000080"/>
            <w:vAlign w:val="center"/>
          </w:tcPr>
          <w:p w14:paraId="012F8EFE" w14:textId="77777777" w:rsidR="00BC2ED4" w:rsidRPr="009C5F11" w:rsidRDefault="00BC2ED4" w:rsidP="00430626">
            <w:pPr>
              <w:spacing w:after="0" w:line="240" w:lineRule="auto"/>
              <w:jc w:val="center"/>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sz w:val="20"/>
                <w:szCs w:val="16"/>
                <w:lang w:val="ro-RO"/>
              </w:rPr>
              <w:t>2013</w:t>
            </w:r>
          </w:p>
        </w:tc>
        <w:tc>
          <w:tcPr>
            <w:tcW w:w="587" w:type="pct"/>
            <w:gridSpan w:val="2"/>
            <w:shd w:val="clear" w:color="auto" w:fill="000080"/>
            <w:vAlign w:val="center"/>
          </w:tcPr>
          <w:p w14:paraId="188D61EB" w14:textId="77777777" w:rsidR="00BC2ED4" w:rsidRPr="009C5F11" w:rsidRDefault="00BC2ED4" w:rsidP="00430626">
            <w:pPr>
              <w:spacing w:after="0" w:line="240" w:lineRule="auto"/>
              <w:jc w:val="center"/>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sz w:val="20"/>
                <w:szCs w:val="16"/>
                <w:lang w:val="ro-RO"/>
              </w:rPr>
              <w:t>2014</w:t>
            </w:r>
          </w:p>
        </w:tc>
        <w:tc>
          <w:tcPr>
            <w:tcW w:w="442" w:type="pct"/>
            <w:vMerge/>
            <w:shd w:val="clear" w:color="auto" w:fill="000080"/>
            <w:vAlign w:val="center"/>
          </w:tcPr>
          <w:p w14:paraId="02F23E55" w14:textId="77777777" w:rsidR="00BC2ED4" w:rsidRPr="009C5F11" w:rsidRDefault="00BC2ED4" w:rsidP="00430626">
            <w:pPr>
              <w:spacing w:after="0" w:line="240" w:lineRule="auto"/>
              <w:jc w:val="center"/>
              <w:rPr>
                <w:rFonts w:ascii="Times New Roman" w:eastAsia="Verdana" w:hAnsi="Times New Roman" w:cs="Times New Roman"/>
                <w:b/>
                <w:color w:val="FFFFFF"/>
                <w:sz w:val="20"/>
                <w:szCs w:val="16"/>
                <w:lang w:val="ro-RO"/>
              </w:rPr>
            </w:pPr>
          </w:p>
        </w:tc>
        <w:tc>
          <w:tcPr>
            <w:tcW w:w="402" w:type="pct"/>
            <w:shd w:val="clear" w:color="auto" w:fill="000080"/>
            <w:vAlign w:val="center"/>
          </w:tcPr>
          <w:p w14:paraId="224DE636" w14:textId="77777777" w:rsidR="00BC2ED4" w:rsidRPr="009C5F11" w:rsidRDefault="00BC2ED4" w:rsidP="00430626">
            <w:pPr>
              <w:spacing w:after="0" w:line="240" w:lineRule="auto"/>
              <w:jc w:val="center"/>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sz w:val="20"/>
                <w:szCs w:val="16"/>
                <w:lang w:val="ro-RO"/>
              </w:rPr>
              <w:t>GWh</w:t>
            </w:r>
          </w:p>
        </w:tc>
        <w:tc>
          <w:tcPr>
            <w:tcW w:w="260" w:type="pct"/>
            <w:shd w:val="clear" w:color="auto" w:fill="000080"/>
            <w:vAlign w:val="center"/>
          </w:tcPr>
          <w:p w14:paraId="21855E9B" w14:textId="77777777" w:rsidR="00BC2ED4" w:rsidRPr="009C5F11" w:rsidRDefault="00BC2ED4" w:rsidP="00430626">
            <w:pPr>
              <w:spacing w:after="0" w:line="240" w:lineRule="auto"/>
              <w:jc w:val="center"/>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sz w:val="20"/>
                <w:szCs w:val="16"/>
                <w:lang w:val="ro-RO"/>
              </w:rPr>
              <w:t>%</w:t>
            </w:r>
          </w:p>
        </w:tc>
        <w:tc>
          <w:tcPr>
            <w:tcW w:w="379" w:type="pct"/>
            <w:shd w:val="clear" w:color="auto" w:fill="000080"/>
            <w:vAlign w:val="center"/>
          </w:tcPr>
          <w:p w14:paraId="148B1CE4" w14:textId="77777777" w:rsidR="00BC2ED4" w:rsidRPr="009C5F11" w:rsidRDefault="00BC2ED4" w:rsidP="00430626">
            <w:pPr>
              <w:spacing w:after="0" w:line="240" w:lineRule="auto"/>
              <w:jc w:val="center"/>
              <w:rPr>
                <w:rFonts w:ascii="Times New Roman" w:eastAsia="Verdana" w:hAnsi="Times New Roman" w:cs="Times New Roman"/>
                <w:b/>
                <w:color w:val="FFFFFF"/>
                <w:sz w:val="20"/>
                <w:szCs w:val="16"/>
                <w:lang w:val="ro-RO"/>
              </w:rPr>
            </w:pPr>
          </w:p>
        </w:tc>
        <w:tc>
          <w:tcPr>
            <w:tcW w:w="259" w:type="pct"/>
            <w:shd w:val="clear" w:color="auto" w:fill="000080"/>
            <w:vAlign w:val="center"/>
          </w:tcPr>
          <w:p w14:paraId="37E017FB" w14:textId="77777777" w:rsidR="00BC2ED4" w:rsidRPr="009C5F11" w:rsidRDefault="00BC2ED4" w:rsidP="00430626">
            <w:pPr>
              <w:spacing w:after="0" w:line="240" w:lineRule="auto"/>
              <w:jc w:val="center"/>
              <w:rPr>
                <w:rFonts w:ascii="Times New Roman" w:eastAsia="Verdana" w:hAnsi="Times New Roman" w:cs="Times New Roman"/>
                <w:b/>
                <w:color w:val="FFFFFF"/>
                <w:sz w:val="20"/>
                <w:szCs w:val="16"/>
                <w:lang w:val="ro-RO"/>
              </w:rPr>
            </w:pPr>
            <w:r w:rsidRPr="009C5F11">
              <w:rPr>
                <w:rFonts w:ascii="Times New Roman" w:eastAsia="Verdana" w:hAnsi="Times New Roman" w:cs="Times New Roman"/>
                <w:b/>
                <w:color w:val="FFFFFF"/>
                <w:sz w:val="20"/>
                <w:szCs w:val="16"/>
                <w:lang w:val="ro-RO"/>
              </w:rPr>
              <w:t>%</w:t>
            </w:r>
          </w:p>
        </w:tc>
      </w:tr>
      <w:tr w:rsidR="00C05708" w:rsidRPr="009C5F11" w14:paraId="059DDBAA" w14:textId="77777777" w:rsidTr="001400EE">
        <w:trPr>
          <w:trHeight w:val="103"/>
          <w:jc w:val="center"/>
        </w:trPr>
        <w:tc>
          <w:tcPr>
            <w:tcW w:w="589" w:type="pct"/>
            <w:shd w:val="clear" w:color="auto" w:fill="auto"/>
            <w:noWrap/>
            <w:hideMark/>
          </w:tcPr>
          <w:p w14:paraId="6FBCB732"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RED UF</w:t>
            </w:r>
          </w:p>
        </w:tc>
        <w:tc>
          <w:tcPr>
            <w:tcW w:w="260" w:type="pct"/>
            <w:shd w:val="clear" w:color="auto" w:fill="auto"/>
            <w:noWrap/>
            <w:hideMark/>
          </w:tcPr>
          <w:p w14:paraId="35CCFC11"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28</w:t>
            </w:r>
          </w:p>
        </w:tc>
        <w:tc>
          <w:tcPr>
            <w:tcW w:w="300" w:type="pct"/>
            <w:shd w:val="clear" w:color="auto" w:fill="auto"/>
            <w:noWrap/>
            <w:hideMark/>
          </w:tcPr>
          <w:p w14:paraId="13EED83E"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21.44</w:t>
            </w:r>
          </w:p>
        </w:tc>
        <w:tc>
          <w:tcPr>
            <w:tcW w:w="299" w:type="pct"/>
            <w:shd w:val="clear" w:color="auto" w:fill="auto"/>
            <w:noWrap/>
            <w:hideMark/>
          </w:tcPr>
          <w:p w14:paraId="4CEA819D"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13.68</w:t>
            </w:r>
          </w:p>
        </w:tc>
        <w:tc>
          <w:tcPr>
            <w:tcW w:w="299" w:type="pct"/>
            <w:shd w:val="clear" w:color="auto" w:fill="auto"/>
            <w:noWrap/>
            <w:hideMark/>
          </w:tcPr>
          <w:p w14:paraId="5B7B3BA0"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13.11</w:t>
            </w:r>
          </w:p>
        </w:tc>
        <w:tc>
          <w:tcPr>
            <w:tcW w:w="299" w:type="pct"/>
            <w:shd w:val="clear" w:color="auto" w:fill="auto"/>
            <w:noWrap/>
            <w:hideMark/>
          </w:tcPr>
          <w:p w14:paraId="21AB4FEE"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12.39</w:t>
            </w:r>
          </w:p>
        </w:tc>
        <w:tc>
          <w:tcPr>
            <w:tcW w:w="299" w:type="pct"/>
            <w:shd w:val="clear" w:color="auto" w:fill="auto"/>
            <w:noWrap/>
            <w:hideMark/>
          </w:tcPr>
          <w:p w14:paraId="44261907"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10.75</w:t>
            </w:r>
          </w:p>
        </w:tc>
        <w:tc>
          <w:tcPr>
            <w:tcW w:w="326" w:type="pct"/>
            <w:shd w:val="clear" w:color="auto" w:fill="auto"/>
          </w:tcPr>
          <w:p w14:paraId="049B0AE5" w14:textId="77777777" w:rsidR="00BC2ED4" w:rsidRPr="009C5F11" w:rsidRDefault="00BC2ED4" w:rsidP="00430626">
            <w:pPr>
              <w:spacing w:after="0" w:line="240" w:lineRule="auto"/>
              <w:rPr>
                <w:rFonts w:ascii="Times New Roman" w:eastAsia="Verdana" w:hAnsi="Times New Roman" w:cs="Times New Roman"/>
                <w:sz w:val="20"/>
                <w:szCs w:val="16"/>
                <w:vertAlign w:val="superscript"/>
                <w:lang w:val="ro-RO"/>
              </w:rPr>
            </w:pPr>
            <w:r w:rsidRPr="009C5F11">
              <w:rPr>
                <w:rFonts w:ascii="Times New Roman" w:eastAsia="Verdana" w:hAnsi="Times New Roman" w:cs="Times New Roman"/>
                <w:sz w:val="20"/>
                <w:szCs w:val="16"/>
                <w:lang w:val="ro-RO"/>
              </w:rPr>
              <w:t>10.86</w:t>
            </w:r>
            <w:r w:rsidRPr="009C5F11">
              <w:rPr>
                <w:rFonts w:ascii="Times New Roman" w:eastAsia="Verdana" w:hAnsi="Times New Roman" w:cs="Times New Roman"/>
                <w:sz w:val="20"/>
                <w:szCs w:val="16"/>
                <w:vertAlign w:val="superscript"/>
                <w:lang w:val="ro-RO"/>
              </w:rPr>
              <w:t>*</w:t>
            </w:r>
          </w:p>
        </w:tc>
        <w:tc>
          <w:tcPr>
            <w:tcW w:w="260" w:type="pct"/>
            <w:shd w:val="clear" w:color="auto" w:fill="auto"/>
            <w:noWrap/>
            <w:hideMark/>
          </w:tcPr>
          <w:p w14:paraId="4AFDB581"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9.45</w:t>
            </w:r>
          </w:p>
        </w:tc>
        <w:tc>
          <w:tcPr>
            <w:tcW w:w="327" w:type="pct"/>
            <w:shd w:val="clear" w:color="auto" w:fill="auto"/>
          </w:tcPr>
          <w:p w14:paraId="0228E631" w14:textId="77777777" w:rsidR="00BC2ED4" w:rsidRPr="009C5F11" w:rsidRDefault="00BC2ED4" w:rsidP="00430626">
            <w:pPr>
              <w:spacing w:after="0" w:line="240" w:lineRule="auto"/>
              <w:rPr>
                <w:rFonts w:ascii="Times New Roman" w:eastAsia="Verdana" w:hAnsi="Times New Roman" w:cs="Times New Roman"/>
                <w:sz w:val="20"/>
                <w:szCs w:val="16"/>
                <w:vertAlign w:val="superscript"/>
                <w:lang w:val="ro-RO"/>
              </w:rPr>
            </w:pPr>
            <w:r w:rsidRPr="009C5F11">
              <w:rPr>
                <w:rFonts w:ascii="Times New Roman" w:eastAsia="Verdana" w:hAnsi="Times New Roman" w:cs="Times New Roman"/>
                <w:sz w:val="20"/>
                <w:szCs w:val="16"/>
                <w:lang w:val="ro-RO"/>
              </w:rPr>
              <w:t>9.54</w:t>
            </w:r>
            <w:r w:rsidRPr="009C5F11">
              <w:rPr>
                <w:rFonts w:ascii="Times New Roman" w:eastAsia="Verdana" w:hAnsi="Times New Roman" w:cs="Times New Roman"/>
                <w:sz w:val="20"/>
                <w:szCs w:val="16"/>
                <w:vertAlign w:val="superscript"/>
                <w:lang w:val="ro-RO"/>
              </w:rPr>
              <w:t>*</w:t>
            </w:r>
          </w:p>
        </w:tc>
        <w:tc>
          <w:tcPr>
            <w:tcW w:w="442" w:type="pct"/>
            <w:shd w:val="clear" w:color="auto" w:fill="auto"/>
            <w:noWrap/>
            <w:hideMark/>
          </w:tcPr>
          <w:p w14:paraId="76138E7C"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2,981.70</w:t>
            </w:r>
          </w:p>
        </w:tc>
        <w:tc>
          <w:tcPr>
            <w:tcW w:w="402" w:type="pct"/>
            <w:shd w:val="clear" w:color="auto" w:fill="auto"/>
            <w:noWrap/>
            <w:hideMark/>
          </w:tcPr>
          <w:p w14:paraId="674E1D17"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2,626.10</w:t>
            </w:r>
          </w:p>
        </w:tc>
        <w:tc>
          <w:tcPr>
            <w:tcW w:w="260" w:type="pct"/>
            <w:shd w:val="clear" w:color="auto" w:fill="auto"/>
          </w:tcPr>
          <w:p w14:paraId="3ABED771"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72.0</w:t>
            </w:r>
          </w:p>
        </w:tc>
        <w:tc>
          <w:tcPr>
            <w:tcW w:w="379" w:type="pct"/>
            <w:shd w:val="clear" w:color="auto" w:fill="auto"/>
            <w:noWrap/>
            <w:hideMark/>
          </w:tcPr>
          <w:p w14:paraId="465BECF5"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856,489</w:t>
            </w:r>
          </w:p>
        </w:tc>
        <w:tc>
          <w:tcPr>
            <w:tcW w:w="259" w:type="pct"/>
            <w:shd w:val="clear" w:color="auto" w:fill="auto"/>
            <w:noWrap/>
            <w:hideMark/>
          </w:tcPr>
          <w:p w14:paraId="4F9E43DA"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64.2</w:t>
            </w:r>
          </w:p>
        </w:tc>
      </w:tr>
      <w:tr w:rsidR="00C05708" w:rsidRPr="009C5F11" w14:paraId="6C762A03" w14:textId="77777777" w:rsidTr="001400EE">
        <w:trPr>
          <w:trHeight w:val="103"/>
          <w:jc w:val="center"/>
        </w:trPr>
        <w:tc>
          <w:tcPr>
            <w:tcW w:w="589" w:type="pct"/>
            <w:shd w:val="clear" w:color="auto" w:fill="auto"/>
            <w:noWrap/>
            <w:hideMark/>
          </w:tcPr>
          <w:p w14:paraId="1400B797" w14:textId="77777777" w:rsidR="00BC2ED4" w:rsidRPr="009C5F11" w:rsidRDefault="00BC2ED4"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 xml:space="preserve">RED </w:t>
            </w:r>
            <w:r w:rsidR="00800247" w:rsidRPr="009C5F11">
              <w:rPr>
                <w:rFonts w:ascii="Times New Roman" w:hAnsi="Times New Roman" w:cs="Times New Roman"/>
                <w:color w:val="000000"/>
                <w:sz w:val="20"/>
                <w:szCs w:val="16"/>
                <w:lang w:val="ro-RO"/>
              </w:rPr>
              <w:t>Nord</w:t>
            </w:r>
          </w:p>
        </w:tc>
        <w:tc>
          <w:tcPr>
            <w:tcW w:w="260" w:type="pct"/>
            <w:shd w:val="clear" w:color="auto" w:fill="auto"/>
            <w:noWrap/>
            <w:hideMark/>
          </w:tcPr>
          <w:p w14:paraId="7A8FE37C"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28.4</w:t>
            </w:r>
          </w:p>
        </w:tc>
        <w:tc>
          <w:tcPr>
            <w:tcW w:w="300" w:type="pct"/>
            <w:shd w:val="clear" w:color="auto" w:fill="auto"/>
            <w:noWrap/>
            <w:hideMark/>
          </w:tcPr>
          <w:p w14:paraId="7D16FEC2"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14.39</w:t>
            </w:r>
          </w:p>
        </w:tc>
        <w:tc>
          <w:tcPr>
            <w:tcW w:w="299" w:type="pct"/>
            <w:shd w:val="clear" w:color="auto" w:fill="auto"/>
            <w:noWrap/>
            <w:hideMark/>
          </w:tcPr>
          <w:p w14:paraId="76385C46"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10.43</w:t>
            </w:r>
          </w:p>
        </w:tc>
        <w:tc>
          <w:tcPr>
            <w:tcW w:w="299" w:type="pct"/>
            <w:shd w:val="clear" w:color="auto" w:fill="auto"/>
            <w:noWrap/>
            <w:hideMark/>
          </w:tcPr>
          <w:p w14:paraId="6B38D6BF"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9.89</w:t>
            </w:r>
          </w:p>
        </w:tc>
        <w:tc>
          <w:tcPr>
            <w:tcW w:w="299" w:type="pct"/>
            <w:shd w:val="clear" w:color="auto" w:fill="auto"/>
            <w:noWrap/>
            <w:hideMark/>
          </w:tcPr>
          <w:p w14:paraId="7E935E2F"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9.89</w:t>
            </w:r>
          </w:p>
        </w:tc>
        <w:tc>
          <w:tcPr>
            <w:tcW w:w="299" w:type="pct"/>
            <w:shd w:val="clear" w:color="auto" w:fill="auto"/>
            <w:noWrap/>
            <w:hideMark/>
          </w:tcPr>
          <w:p w14:paraId="76913A91"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9.83</w:t>
            </w:r>
          </w:p>
        </w:tc>
        <w:tc>
          <w:tcPr>
            <w:tcW w:w="326" w:type="pct"/>
            <w:shd w:val="clear" w:color="auto" w:fill="auto"/>
          </w:tcPr>
          <w:p w14:paraId="3C80B281"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10.5*</w:t>
            </w:r>
          </w:p>
        </w:tc>
        <w:tc>
          <w:tcPr>
            <w:tcW w:w="260" w:type="pct"/>
            <w:shd w:val="clear" w:color="auto" w:fill="auto"/>
            <w:noWrap/>
            <w:hideMark/>
          </w:tcPr>
          <w:p w14:paraId="304CD302"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8.53</w:t>
            </w:r>
          </w:p>
        </w:tc>
        <w:tc>
          <w:tcPr>
            <w:tcW w:w="327" w:type="pct"/>
            <w:shd w:val="clear" w:color="auto" w:fill="auto"/>
          </w:tcPr>
          <w:p w14:paraId="0E47CCE5" w14:textId="77777777" w:rsidR="00BC2ED4" w:rsidRPr="009C5F11" w:rsidRDefault="00BC2ED4" w:rsidP="00430626">
            <w:pPr>
              <w:spacing w:after="0" w:line="240" w:lineRule="auto"/>
              <w:rPr>
                <w:rFonts w:ascii="Times New Roman" w:eastAsia="Verdana" w:hAnsi="Times New Roman" w:cs="Times New Roman"/>
                <w:sz w:val="20"/>
                <w:szCs w:val="16"/>
                <w:vertAlign w:val="superscript"/>
                <w:lang w:val="ro-RO"/>
              </w:rPr>
            </w:pPr>
            <w:r w:rsidRPr="009C5F11">
              <w:rPr>
                <w:rFonts w:ascii="Times New Roman" w:eastAsia="Verdana" w:hAnsi="Times New Roman" w:cs="Times New Roman"/>
                <w:sz w:val="20"/>
                <w:szCs w:val="16"/>
                <w:lang w:val="ro-RO"/>
              </w:rPr>
              <w:t>9.2</w:t>
            </w:r>
            <w:r w:rsidRPr="009C5F11">
              <w:rPr>
                <w:rFonts w:ascii="Times New Roman" w:eastAsia="Verdana" w:hAnsi="Times New Roman" w:cs="Times New Roman"/>
                <w:sz w:val="20"/>
                <w:szCs w:val="16"/>
                <w:vertAlign w:val="superscript"/>
                <w:lang w:val="ro-RO"/>
              </w:rPr>
              <w:t>*</w:t>
            </w:r>
          </w:p>
        </w:tc>
        <w:tc>
          <w:tcPr>
            <w:tcW w:w="442" w:type="pct"/>
            <w:shd w:val="clear" w:color="auto" w:fill="auto"/>
            <w:noWrap/>
            <w:hideMark/>
          </w:tcPr>
          <w:p w14:paraId="738C2682"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689.7</w:t>
            </w:r>
          </w:p>
        </w:tc>
        <w:tc>
          <w:tcPr>
            <w:tcW w:w="402" w:type="pct"/>
            <w:shd w:val="clear" w:color="auto" w:fill="auto"/>
            <w:noWrap/>
            <w:hideMark/>
          </w:tcPr>
          <w:p w14:paraId="62AE47B4"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613.7</w:t>
            </w:r>
          </w:p>
        </w:tc>
        <w:tc>
          <w:tcPr>
            <w:tcW w:w="260" w:type="pct"/>
            <w:shd w:val="clear" w:color="auto" w:fill="auto"/>
          </w:tcPr>
          <w:p w14:paraId="5301B59B"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16.8</w:t>
            </w:r>
          </w:p>
        </w:tc>
        <w:tc>
          <w:tcPr>
            <w:tcW w:w="379" w:type="pct"/>
            <w:shd w:val="clear" w:color="auto" w:fill="auto"/>
            <w:noWrap/>
            <w:hideMark/>
          </w:tcPr>
          <w:p w14:paraId="03A0E6C3"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294,645</w:t>
            </w:r>
          </w:p>
        </w:tc>
        <w:tc>
          <w:tcPr>
            <w:tcW w:w="259" w:type="pct"/>
            <w:shd w:val="clear" w:color="auto" w:fill="auto"/>
            <w:noWrap/>
            <w:hideMark/>
          </w:tcPr>
          <w:p w14:paraId="4EC16616"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22.1</w:t>
            </w:r>
          </w:p>
        </w:tc>
      </w:tr>
      <w:tr w:rsidR="00C05708" w:rsidRPr="009C5F11" w14:paraId="0A4A85A2" w14:textId="77777777" w:rsidTr="001400EE">
        <w:trPr>
          <w:trHeight w:val="103"/>
          <w:jc w:val="center"/>
        </w:trPr>
        <w:tc>
          <w:tcPr>
            <w:tcW w:w="589" w:type="pct"/>
            <w:shd w:val="clear" w:color="auto" w:fill="auto"/>
            <w:noWrap/>
            <w:hideMark/>
          </w:tcPr>
          <w:p w14:paraId="0C36B4FF" w14:textId="77777777" w:rsidR="00BC2ED4" w:rsidRPr="009C5F11" w:rsidRDefault="00BC2ED4"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 xml:space="preserve">RED </w:t>
            </w:r>
            <w:r w:rsidR="00800247" w:rsidRPr="009C5F11">
              <w:rPr>
                <w:rFonts w:ascii="Times New Roman" w:hAnsi="Times New Roman" w:cs="Times New Roman"/>
                <w:color w:val="000000"/>
                <w:sz w:val="20"/>
                <w:szCs w:val="16"/>
                <w:lang w:val="ro-RO"/>
              </w:rPr>
              <w:t>Nord</w:t>
            </w:r>
            <w:r w:rsidRPr="009C5F11">
              <w:rPr>
                <w:rFonts w:ascii="Times New Roman" w:hAnsi="Times New Roman" w:cs="Times New Roman"/>
                <w:color w:val="000000"/>
                <w:sz w:val="20"/>
                <w:szCs w:val="16"/>
                <w:lang w:val="ro-RO"/>
              </w:rPr>
              <w:t>-Vest</w:t>
            </w:r>
          </w:p>
        </w:tc>
        <w:tc>
          <w:tcPr>
            <w:tcW w:w="260" w:type="pct"/>
            <w:shd w:val="clear" w:color="auto" w:fill="auto"/>
            <w:noWrap/>
            <w:hideMark/>
          </w:tcPr>
          <w:p w14:paraId="29CA5083"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39.9</w:t>
            </w:r>
          </w:p>
        </w:tc>
        <w:tc>
          <w:tcPr>
            <w:tcW w:w="300" w:type="pct"/>
            <w:shd w:val="clear" w:color="auto" w:fill="auto"/>
            <w:noWrap/>
            <w:hideMark/>
          </w:tcPr>
          <w:p w14:paraId="517F7C11"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20.07</w:t>
            </w:r>
          </w:p>
        </w:tc>
        <w:tc>
          <w:tcPr>
            <w:tcW w:w="299" w:type="pct"/>
            <w:shd w:val="clear" w:color="auto" w:fill="auto"/>
            <w:noWrap/>
            <w:hideMark/>
          </w:tcPr>
          <w:p w14:paraId="22C78726"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12.98</w:t>
            </w:r>
          </w:p>
        </w:tc>
        <w:tc>
          <w:tcPr>
            <w:tcW w:w="299" w:type="pct"/>
            <w:shd w:val="clear" w:color="auto" w:fill="auto"/>
            <w:noWrap/>
            <w:hideMark/>
          </w:tcPr>
          <w:p w14:paraId="5B9870A7"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11.9</w:t>
            </w:r>
          </w:p>
        </w:tc>
        <w:tc>
          <w:tcPr>
            <w:tcW w:w="299" w:type="pct"/>
            <w:shd w:val="clear" w:color="auto" w:fill="auto"/>
            <w:noWrap/>
            <w:hideMark/>
          </w:tcPr>
          <w:p w14:paraId="0226AB30"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11.9</w:t>
            </w:r>
          </w:p>
        </w:tc>
        <w:tc>
          <w:tcPr>
            <w:tcW w:w="299" w:type="pct"/>
            <w:shd w:val="clear" w:color="auto" w:fill="auto"/>
            <w:noWrap/>
            <w:hideMark/>
          </w:tcPr>
          <w:p w14:paraId="2081EEDC"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11.7</w:t>
            </w:r>
          </w:p>
        </w:tc>
        <w:tc>
          <w:tcPr>
            <w:tcW w:w="326" w:type="pct"/>
            <w:shd w:val="clear" w:color="auto" w:fill="auto"/>
          </w:tcPr>
          <w:p w14:paraId="33B53E06" w14:textId="77777777" w:rsidR="00BC2ED4" w:rsidRPr="009C5F11" w:rsidRDefault="00BC2ED4" w:rsidP="00430626">
            <w:pPr>
              <w:spacing w:after="0" w:line="240" w:lineRule="auto"/>
              <w:rPr>
                <w:rFonts w:ascii="Times New Roman" w:eastAsia="Verdana" w:hAnsi="Times New Roman" w:cs="Times New Roman"/>
                <w:sz w:val="20"/>
                <w:szCs w:val="16"/>
                <w:vertAlign w:val="superscript"/>
                <w:lang w:val="ro-RO"/>
              </w:rPr>
            </w:pPr>
            <w:r w:rsidRPr="009C5F11">
              <w:rPr>
                <w:rFonts w:ascii="Times New Roman" w:eastAsia="Verdana" w:hAnsi="Times New Roman" w:cs="Times New Roman"/>
                <w:sz w:val="20"/>
                <w:szCs w:val="16"/>
                <w:lang w:val="ro-RO"/>
              </w:rPr>
              <w:t>12.01</w:t>
            </w:r>
            <w:r w:rsidRPr="009C5F11">
              <w:rPr>
                <w:rFonts w:ascii="Times New Roman" w:eastAsia="Verdana" w:hAnsi="Times New Roman" w:cs="Times New Roman"/>
                <w:sz w:val="20"/>
                <w:szCs w:val="16"/>
                <w:vertAlign w:val="superscript"/>
                <w:lang w:val="ro-RO"/>
              </w:rPr>
              <w:t>*</w:t>
            </w:r>
          </w:p>
        </w:tc>
        <w:tc>
          <w:tcPr>
            <w:tcW w:w="260" w:type="pct"/>
            <w:shd w:val="clear" w:color="auto" w:fill="auto"/>
            <w:noWrap/>
            <w:hideMark/>
          </w:tcPr>
          <w:p w14:paraId="4B193D54"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11.3</w:t>
            </w:r>
          </w:p>
        </w:tc>
        <w:tc>
          <w:tcPr>
            <w:tcW w:w="327" w:type="pct"/>
            <w:shd w:val="clear" w:color="auto" w:fill="auto"/>
          </w:tcPr>
          <w:p w14:paraId="22528E7E" w14:textId="77777777" w:rsidR="00BC2ED4" w:rsidRPr="009C5F11" w:rsidRDefault="00BC2ED4" w:rsidP="00430626">
            <w:pPr>
              <w:spacing w:after="0" w:line="240" w:lineRule="auto"/>
              <w:rPr>
                <w:rFonts w:ascii="Times New Roman" w:eastAsia="Verdana" w:hAnsi="Times New Roman" w:cs="Times New Roman"/>
                <w:sz w:val="20"/>
                <w:szCs w:val="16"/>
                <w:vertAlign w:val="superscript"/>
                <w:lang w:val="ro-RO"/>
              </w:rPr>
            </w:pPr>
            <w:r w:rsidRPr="009C5F11">
              <w:rPr>
                <w:rFonts w:ascii="Times New Roman" w:eastAsia="Verdana" w:hAnsi="Times New Roman" w:cs="Times New Roman"/>
                <w:sz w:val="20"/>
                <w:szCs w:val="16"/>
                <w:lang w:val="ro-RO"/>
              </w:rPr>
              <w:t>11.58</w:t>
            </w:r>
            <w:r w:rsidRPr="009C5F11">
              <w:rPr>
                <w:rFonts w:ascii="Times New Roman" w:eastAsia="Verdana" w:hAnsi="Times New Roman" w:cs="Times New Roman"/>
                <w:sz w:val="20"/>
                <w:szCs w:val="16"/>
                <w:vertAlign w:val="superscript"/>
                <w:lang w:val="ro-RO"/>
              </w:rPr>
              <w:t>*</w:t>
            </w:r>
          </w:p>
        </w:tc>
        <w:tc>
          <w:tcPr>
            <w:tcW w:w="442" w:type="pct"/>
            <w:shd w:val="clear" w:color="auto" w:fill="auto"/>
            <w:noWrap/>
            <w:hideMark/>
          </w:tcPr>
          <w:p w14:paraId="54313C7B"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363.3</w:t>
            </w:r>
          </w:p>
        </w:tc>
        <w:tc>
          <w:tcPr>
            <w:tcW w:w="402" w:type="pct"/>
            <w:shd w:val="clear" w:color="auto" w:fill="auto"/>
            <w:noWrap/>
            <w:hideMark/>
          </w:tcPr>
          <w:p w14:paraId="7FEA2A2C"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313.5</w:t>
            </w:r>
          </w:p>
        </w:tc>
        <w:tc>
          <w:tcPr>
            <w:tcW w:w="260" w:type="pct"/>
            <w:shd w:val="clear" w:color="auto" w:fill="auto"/>
          </w:tcPr>
          <w:p w14:paraId="5560E4FA"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8.6</w:t>
            </w:r>
          </w:p>
        </w:tc>
        <w:tc>
          <w:tcPr>
            <w:tcW w:w="379" w:type="pct"/>
            <w:shd w:val="clear" w:color="auto" w:fill="auto"/>
            <w:noWrap/>
            <w:hideMark/>
          </w:tcPr>
          <w:p w14:paraId="013D2291"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183,963</w:t>
            </w:r>
          </w:p>
        </w:tc>
        <w:tc>
          <w:tcPr>
            <w:tcW w:w="259" w:type="pct"/>
            <w:shd w:val="clear" w:color="auto" w:fill="auto"/>
            <w:noWrap/>
            <w:hideMark/>
          </w:tcPr>
          <w:p w14:paraId="2163BCB1" w14:textId="77777777" w:rsidR="00BC2ED4" w:rsidRPr="009C5F11" w:rsidRDefault="00BC2ED4" w:rsidP="00430626">
            <w:pPr>
              <w:spacing w:after="0" w:line="240" w:lineRule="auto"/>
              <w:rPr>
                <w:rFonts w:ascii="Times New Roman" w:eastAsia="Verdana" w:hAnsi="Times New Roman" w:cs="Times New Roman"/>
                <w:sz w:val="20"/>
                <w:szCs w:val="16"/>
                <w:lang w:val="ro-RO"/>
              </w:rPr>
            </w:pPr>
            <w:r w:rsidRPr="009C5F11">
              <w:rPr>
                <w:rFonts w:ascii="Times New Roman" w:eastAsia="Verdana" w:hAnsi="Times New Roman" w:cs="Times New Roman"/>
                <w:sz w:val="20"/>
                <w:szCs w:val="16"/>
                <w:lang w:val="ro-RO"/>
              </w:rPr>
              <w:t>13.8</w:t>
            </w:r>
          </w:p>
        </w:tc>
      </w:tr>
      <w:tr w:rsidR="00BC2ED4" w:rsidRPr="009C5F11" w14:paraId="71CA2E55" w14:textId="77777777" w:rsidTr="001400EE">
        <w:trPr>
          <w:trHeight w:val="336"/>
          <w:jc w:val="center"/>
        </w:trPr>
        <w:tc>
          <w:tcPr>
            <w:tcW w:w="5000" w:type="pct"/>
            <w:gridSpan w:val="15"/>
            <w:shd w:val="clear" w:color="auto" w:fill="auto"/>
            <w:noWrap/>
            <w:hideMark/>
          </w:tcPr>
          <w:p w14:paraId="67F540B9" w14:textId="77777777" w:rsidR="009250BC" w:rsidRPr="009C5F11" w:rsidRDefault="00BC2ED4" w:rsidP="009250BC">
            <w:pPr>
              <w:pStyle w:val="Listparagraf"/>
              <w:spacing w:after="0" w:line="240" w:lineRule="auto"/>
              <w:ind w:left="40"/>
              <w:rPr>
                <w:rFonts w:ascii="Times New Roman" w:eastAsia="Verdana" w:hAnsi="Times New Roman" w:cs="Times New Roman"/>
                <w:sz w:val="20"/>
                <w:szCs w:val="16"/>
                <w:lang w:val="ro-RO"/>
              </w:rPr>
            </w:pPr>
            <w:r w:rsidRPr="009C5F11">
              <w:rPr>
                <w:rFonts w:ascii="Times New Roman" w:hAnsi="Times New Roman" w:cs="Times New Roman"/>
                <w:sz w:val="20"/>
                <w:szCs w:val="16"/>
                <w:vertAlign w:val="superscript"/>
                <w:lang w:val="ro-RO"/>
              </w:rPr>
              <w:t>*</w:t>
            </w:r>
            <w:r w:rsidR="009250BC" w:rsidRPr="009C5F11">
              <w:rPr>
                <w:rFonts w:ascii="Times New Roman" w:eastAsia="Verdana" w:hAnsi="Times New Roman" w:cs="Times New Roman"/>
                <w:sz w:val="20"/>
                <w:szCs w:val="16"/>
                <w:vertAlign w:val="superscript"/>
                <w:lang w:val="ro-RO"/>
              </w:rPr>
              <w:t>*</w:t>
            </w:r>
            <w:r w:rsidR="009250BC" w:rsidRPr="009C5F11">
              <w:rPr>
                <w:rFonts w:ascii="Times New Roman" w:eastAsia="Verdana" w:hAnsi="Times New Roman" w:cs="Times New Roman"/>
                <w:sz w:val="20"/>
                <w:szCs w:val="16"/>
                <w:lang w:val="ro-RO"/>
              </w:rPr>
              <w:t>în % faţă de energia electrică furnizată reţelelor de distribuţie;</w:t>
            </w:r>
          </w:p>
          <w:p w14:paraId="46C0E97D" w14:textId="77777777" w:rsidR="00BC2ED4" w:rsidRPr="009C5F11" w:rsidRDefault="009250BC" w:rsidP="009250BC">
            <w:pPr>
              <w:pStyle w:val="Listparagraf"/>
              <w:spacing w:after="0" w:line="240" w:lineRule="auto"/>
              <w:ind w:left="40"/>
              <w:rPr>
                <w:rFonts w:ascii="Times New Roman" w:hAnsi="Times New Roman" w:cs="Times New Roman"/>
                <w:sz w:val="20"/>
                <w:szCs w:val="16"/>
                <w:lang w:val="ro-RO"/>
              </w:rPr>
            </w:pPr>
            <w:r w:rsidRPr="009C5F11">
              <w:rPr>
                <w:rFonts w:ascii="Times New Roman" w:eastAsia="Verdana" w:hAnsi="Times New Roman" w:cs="Times New Roman"/>
                <w:sz w:val="20"/>
                <w:szCs w:val="16"/>
                <w:vertAlign w:val="superscript"/>
                <w:lang w:val="ro-RO"/>
              </w:rPr>
              <w:t>**</w:t>
            </w:r>
            <w:r w:rsidRPr="009C5F11">
              <w:rPr>
                <w:rFonts w:ascii="Times New Roman" w:eastAsia="Verdana" w:hAnsi="Times New Roman" w:cs="Times New Roman"/>
                <w:sz w:val="20"/>
                <w:szCs w:val="16"/>
                <w:lang w:val="ro-RO"/>
              </w:rPr>
              <w:t>aici sunt incluse şi pierderile comerciale (definite ca furturi, consum de energie electrică nefacturat şi neachitat).</w:t>
            </w:r>
          </w:p>
        </w:tc>
      </w:tr>
    </w:tbl>
    <w:p w14:paraId="74606F7B" w14:textId="77777777" w:rsidR="005B6B26" w:rsidRPr="009C5F11" w:rsidRDefault="005B6B26" w:rsidP="005B6B26">
      <w:pPr>
        <w:pStyle w:val="Listparagraf"/>
        <w:ind w:left="720"/>
        <w:rPr>
          <w:rFonts w:ascii="Times New Roman" w:hAnsi="Times New Roman" w:cs="Times New Roman"/>
          <w:i/>
          <w:sz w:val="24"/>
          <w:lang w:val="ro-RO"/>
        </w:rPr>
      </w:pPr>
      <w:bookmarkStart w:id="391" w:name="_Toc319555454"/>
    </w:p>
    <w:p w14:paraId="32A1C496" w14:textId="77777777" w:rsidR="00BC2ED4" w:rsidRPr="009C5F11" w:rsidRDefault="00D4035F" w:rsidP="00334F3B">
      <w:pPr>
        <w:pStyle w:val="Listparagraf"/>
        <w:numPr>
          <w:ilvl w:val="0"/>
          <w:numId w:val="179"/>
        </w:numPr>
        <w:rPr>
          <w:rFonts w:ascii="Times New Roman" w:hAnsi="Times New Roman" w:cs="Times New Roman"/>
          <w:i/>
          <w:sz w:val="24"/>
          <w:lang w:val="ro-RO"/>
        </w:rPr>
      </w:pPr>
      <w:r w:rsidRPr="009C5F11">
        <w:rPr>
          <w:rFonts w:ascii="Times New Roman" w:hAnsi="Times New Roman" w:cs="Times New Roman"/>
          <w:i/>
          <w:sz w:val="24"/>
          <w:lang w:val="ro-RO"/>
        </w:rPr>
        <w:t>Pierderi</w:t>
      </w:r>
      <w:r w:rsidR="00BC2ED4" w:rsidRPr="009C5F11">
        <w:rPr>
          <w:rFonts w:ascii="Times New Roman" w:hAnsi="Times New Roman" w:cs="Times New Roman"/>
          <w:i/>
          <w:sz w:val="24"/>
          <w:lang w:val="ro-RO"/>
        </w:rPr>
        <w:t xml:space="preserve"> </w:t>
      </w:r>
      <w:bookmarkEnd w:id="391"/>
      <w:r w:rsidR="009250BC" w:rsidRPr="009C5F11">
        <w:rPr>
          <w:rFonts w:ascii="Times New Roman" w:hAnsi="Times New Roman" w:cs="Times New Roman"/>
          <w:i/>
          <w:sz w:val="24"/>
          <w:lang w:val="ro-RO"/>
        </w:rPr>
        <w:t>în reţeaua de transport a energiei electrice</w:t>
      </w:r>
    </w:p>
    <w:p w14:paraId="02FF6E8F" w14:textId="77777777" w:rsidR="00BC2ED4" w:rsidRPr="009C5F11" w:rsidRDefault="00957A0B" w:rsidP="005B6B26">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lastRenderedPageBreak/>
        <w:t xml:space="preserve">Programul de reabilitare a rețelelor de transport a energiei electrice (BERD, BEI, CE) (Strategia Naţională de Dezvoltare "Moldova 2020", adoptată </w:t>
      </w:r>
      <w:r w:rsidR="00EB71A0" w:rsidRPr="009C5F11">
        <w:rPr>
          <w:rFonts w:ascii="Times New Roman" w:hAnsi="Times New Roman" w:cs="Times New Roman"/>
          <w:sz w:val="24"/>
          <w:lang w:val="ro-RO"/>
        </w:rPr>
        <w:t>prin</w:t>
      </w:r>
      <w:r w:rsidRPr="009C5F11">
        <w:rPr>
          <w:rFonts w:ascii="Times New Roman" w:hAnsi="Times New Roman" w:cs="Times New Roman"/>
          <w:sz w:val="24"/>
          <w:lang w:val="ro-RO"/>
        </w:rPr>
        <w:t xml:space="preserve"> Legea nr. 166 din 11.07.2012, având drept prioritate "Energie furnizată sigur, utilizată eficient") a fost lansat în 2012. Proiectul include proiectarea şi modernizarea unui număr de substaţii şi linii de transport a energiei. Reabilitarea va îmbunătăţi eficienţa energetică a reţelei Moldelectrica, va consolida stabilitatea furnizării de energie electrică şi îmbunătăţi exploatarea generală a TSO “Moldelectrica” – o precondiţie pentru integrarea Republicii Moldova în reţeaua europeană de transport ENTSO-E. Proiectul este finanţat prin intermediul unor împrumuturi preferenţiale oferite de BERD (15.5 milioane de euro) şi BEI (17 milioane de euro) în perioada 26.06.2012-26.06.2019 şi a unui grant oferit de NIF (8 milioane de euro) pentru perioada 01.04.2013 - 01.11.2019.</w:t>
      </w:r>
    </w:p>
    <w:p w14:paraId="1C41230B" w14:textId="77777777" w:rsidR="00BC2ED4" w:rsidRPr="009C5F11" w:rsidRDefault="00957A0B" w:rsidP="00334F3B">
      <w:pPr>
        <w:pStyle w:val="Listparagraf"/>
        <w:numPr>
          <w:ilvl w:val="0"/>
          <w:numId w:val="179"/>
        </w:numPr>
        <w:rPr>
          <w:rFonts w:ascii="Times New Roman" w:hAnsi="Times New Roman" w:cs="Times New Roman"/>
          <w:i/>
          <w:sz w:val="24"/>
          <w:lang w:val="ro-RO"/>
        </w:rPr>
      </w:pPr>
      <w:bookmarkStart w:id="392" w:name="_Toc319555455"/>
      <w:r w:rsidRPr="009C5F11">
        <w:rPr>
          <w:rFonts w:ascii="Times New Roman" w:hAnsi="Times New Roman" w:cs="Times New Roman"/>
          <w:i/>
          <w:sz w:val="24"/>
          <w:lang w:val="ro-RO"/>
        </w:rPr>
        <w:t>P</w:t>
      </w:r>
      <w:r w:rsidR="00BA5A89" w:rsidRPr="009C5F11">
        <w:rPr>
          <w:rFonts w:ascii="Times New Roman" w:hAnsi="Times New Roman" w:cs="Times New Roman"/>
          <w:i/>
          <w:sz w:val="24"/>
          <w:lang w:val="ro-RO"/>
        </w:rPr>
        <w:t>ierderi</w:t>
      </w:r>
      <w:r w:rsidRPr="009C5F11">
        <w:rPr>
          <w:rFonts w:ascii="Times New Roman" w:hAnsi="Times New Roman" w:cs="Times New Roman"/>
          <w:i/>
          <w:sz w:val="24"/>
          <w:lang w:val="ro-RO"/>
        </w:rPr>
        <w:t xml:space="preserve"> de energie termică</w:t>
      </w:r>
      <w:bookmarkEnd w:id="392"/>
    </w:p>
    <w:p w14:paraId="09EA0E3B" w14:textId="77777777" w:rsidR="00BC2ED4" w:rsidRPr="009C5F11" w:rsidRDefault="00957A0B" w:rsidP="005B6B26">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În 2014, potrivit datelor ANRE, pierderile de căldură din sistemul de distribuţie şi de furnizare au constituit 21.8% din volumul total de energie termică livrat în reţea, sau cu 2.2% mai mult decât în 2011. Pe parcursul anilor 2005-2011 producerea şi consumul de energie termică s-a redus cu circa 33%, fiind în descreştere continuă până în prezent. În 2014, 1422 mii de Gcal de energie termică a fost furnizată consumatorilor în mod centralizat sau cu 250 mii de Gcal (15%) mai puţin comparativ cu 2011. În decursul 2011-2014 cantitatea de căldură livrată în reţea s-a redus cu 12.5%. Nivelul de producere a energiei termice este condiţionată şi de condiţiile climaterice, precum şi de cererea din partea consumatorilor în perioada sezonului de încălzire.</w:t>
      </w:r>
      <w:r w:rsidR="00BC2ED4" w:rsidRPr="009C5F11">
        <w:rPr>
          <w:rFonts w:ascii="Times New Roman" w:hAnsi="Times New Roman" w:cs="Times New Roman"/>
          <w:sz w:val="24"/>
          <w:lang w:val="ro-RO"/>
        </w:rPr>
        <w:t xml:space="preserve"> </w:t>
      </w:r>
    </w:p>
    <w:p w14:paraId="73309E82" w14:textId="77777777" w:rsidR="00DA2141" w:rsidRPr="009C5F11" w:rsidRDefault="00321CD5" w:rsidP="00DA2141">
      <w:pPr>
        <w:pStyle w:val="Legend"/>
        <w:keepNext/>
        <w:jc w:val="center"/>
        <w:rPr>
          <w:rFonts w:ascii="Times New Roman" w:hAnsi="Times New Roman" w:cs="Times New Roman"/>
          <w:sz w:val="22"/>
          <w:lang w:val="ro-RO"/>
        </w:rPr>
      </w:pPr>
      <w:bookmarkStart w:id="393" w:name="_Toc322013265"/>
      <w:r w:rsidRPr="009C5F11">
        <w:rPr>
          <w:rFonts w:ascii="Times New Roman" w:hAnsi="Times New Roman" w:cs="Times New Roman"/>
          <w:sz w:val="22"/>
          <w:lang w:val="ro-RO"/>
        </w:rPr>
        <w:t>Tabelul</w:t>
      </w:r>
      <w:r w:rsidR="00DA2141"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DA2141"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42</w:t>
      </w:r>
      <w:r w:rsidR="003A6ADB" w:rsidRPr="009C5F11">
        <w:rPr>
          <w:rFonts w:ascii="Times New Roman" w:hAnsi="Times New Roman" w:cs="Times New Roman"/>
          <w:sz w:val="22"/>
          <w:lang w:val="ro-RO"/>
        </w:rPr>
        <w:fldChar w:fldCharType="end"/>
      </w:r>
      <w:r w:rsidR="00DA2141" w:rsidRPr="009C5F11">
        <w:rPr>
          <w:rFonts w:ascii="Times New Roman" w:hAnsi="Times New Roman" w:cs="Times New Roman"/>
          <w:sz w:val="22"/>
          <w:lang w:val="ro-RO"/>
        </w:rPr>
        <w:t xml:space="preserve"> - </w:t>
      </w:r>
      <w:r w:rsidR="00957A0B" w:rsidRPr="009C5F11">
        <w:rPr>
          <w:rFonts w:ascii="Times New Roman" w:hAnsi="Times New Roman" w:cs="Times New Roman"/>
          <w:sz w:val="22"/>
          <w:lang w:val="ro-RO"/>
        </w:rPr>
        <w:t>Furnizarea centralizată a energiei termice</w:t>
      </w:r>
      <w:r w:rsidR="00957A0B" w:rsidRPr="009C5F11">
        <w:rPr>
          <w:rFonts w:ascii="Times New Roman" w:eastAsia="Calibri" w:hAnsi="Times New Roman" w:cs="Times New Roman"/>
          <w:sz w:val="22"/>
          <w:lang w:val="ro-RO"/>
        </w:rPr>
        <w:t xml:space="preserve"> şi pierderile de căldură în Republica Moldova, 2011-2014.</w:t>
      </w:r>
      <w:bookmarkEnd w:id="393"/>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tblBorders>
        <w:shd w:val="clear" w:color="auto" w:fill="FFFFFF"/>
        <w:tblLook w:val="04A0" w:firstRow="1" w:lastRow="0" w:firstColumn="1" w:lastColumn="0" w:noHBand="0" w:noVBand="1"/>
      </w:tblPr>
      <w:tblGrid>
        <w:gridCol w:w="4437"/>
        <w:gridCol w:w="938"/>
        <w:gridCol w:w="950"/>
        <w:gridCol w:w="945"/>
        <w:gridCol w:w="928"/>
        <w:gridCol w:w="17"/>
        <w:gridCol w:w="795"/>
        <w:gridCol w:w="945"/>
        <w:gridCol w:w="945"/>
        <w:gridCol w:w="947"/>
        <w:gridCol w:w="1166"/>
        <w:gridCol w:w="1163"/>
      </w:tblGrid>
      <w:tr w:rsidR="00957A0B" w:rsidRPr="009C5F11" w14:paraId="3A938C94" w14:textId="77777777" w:rsidTr="00957A0B">
        <w:trPr>
          <w:trHeight w:val="296"/>
          <w:jc w:val="center"/>
        </w:trPr>
        <w:tc>
          <w:tcPr>
            <w:tcW w:w="1193" w:type="pct"/>
            <w:vMerge w:val="restart"/>
            <w:shd w:val="clear" w:color="auto" w:fill="000080"/>
            <w:vAlign w:val="center"/>
          </w:tcPr>
          <w:p w14:paraId="2B3DE075" w14:textId="77777777" w:rsidR="00957A0B" w:rsidRPr="009C5F11" w:rsidRDefault="00957A0B" w:rsidP="00AF3F8A">
            <w:pPr>
              <w:spacing w:after="0" w:line="240" w:lineRule="auto"/>
              <w:jc w:val="center"/>
              <w:rPr>
                <w:rFonts w:ascii="Times New Roman" w:eastAsia="Times New Roman" w:hAnsi="Times New Roman" w:cs="Times New Roman"/>
                <w:color w:val="FFFFFF" w:themeColor="background1"/>
                <w:sz w:val="20"/>
                <w:szCs w:val="16"/>
                <w:lang w:val="ro-RO"/>
              </w:rPr>
            </w:pPr>
            <w:r w:rsidRPr="009C5F11">
              <w:rPr>
                <w:rFonts w:ascii="Times New Roman" w:eastAsia="Times New Roman" w:hAnsi="Times New Roman" w:cs="Times New Roman"/>
                <w:color w:val="FFFFFF" w:themeColor="background1"/>
                <w:sz w:val="20"/>
                <w:szCs w:val="16"/>
                <w:lang w:val="ro-RO"/>
              </w:rPr>
              <w:t>Compania de furnizare a energiei termice</w:t>
            </w:r>
          </w:p>
        </w:tc>
        <w:tc>
          <w:tcPr>
            <w:tcW w:w="1470" w:type="pct"/>
            <w:gridSpan w:val="5"/>
            <w:shd w:val="clear" w:color="auto" w:fill="000080"/>
            <w:vAlign w:val="center"/>
          </w:tcPr>
          <w:p w14:paraId="7FD8AC76" w14:textId="77777777" w:rsidR="00957A0B" w:rsidRPr="009C5F11" w:rsidRDefault="00957A0B" w:rsidP="00957A0B">
            <w:pPr>
              <w:spacing w:after="0" w:line="240" w:lineRule="auto"/>
              <w:jc w:val="center"/>
              <w:rPr>
                <w:rFonts w:ascii="Times New Roman" w:hAnsi="Times New Roman" w:cs="Times New Roman"/>
                <w:color w:val="FFFFFF"/>
                <w:sz w:val="20"/>
                <w:szCs w:val="16"/>
                <w:lang w:val="ro-RO"/>
              </w:rPr>
            </w:pPr>
            <w:r w:rsidRPr="009C5F11">
              <w:rPr>
                <w:rFonts w:ascii="Times New Roman" w:eastAsia="Times New Roman" w:hAnsi="Times New Roman" w:cs="Times New Roman"/>
                <w:bCs/>
                <w:color w:val="FFFFFF" w:themeColor="background1"/>
                <w:sz w:val="20"/>
                <w:szCs w:val="16"/>
                <w:lang w:val="ro-RO"/>
              </w:rPr>
              <w:t>Energie termică furnizată în reţea</w:t>
            </w:r>
            <w:r w:rsidRPr="009C5F11">
              <w:rPr>
                <w:rFonts w:ascii="Times New Roman" w:hAnsi="Times New Roman" w:cs="Times New Roman"/>
                <w:bCs/>
                <w:color w:val="FFFFFF"/>
                <w:sz w:val="20"/>
                <w:szCs w:val="16"/>
                <w:lang w:val="ro-RO"/>
              </w:rPr>
              <w:t xml:space="preserve"> </w:t>
            </w:r>
          </w:p>
        </w:tc>
        <w:tc>
          <w:tcPr>
            <w:tcW w:w="1448" w:type="pct"/>
            <w:gridSpan w:val="4"/>
            <w:vMerge w:val="restart"/>
            <w:shd w:val="clear" w:color="auto" w:fill="000080"/>
            <w:vAlign w:val="center"/>
          </w:tcPr>
          <w:p w14:paraId="365D2168"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eastAsia="Times New Roman" w:hAnsi="Times New Roman" w:cs="Times New Roman"/>
                <w:color w:val="FFFFFF" w:themeColor="background1"/>
                <w:sz w:val="20"/>
                <w:szCs w:val="16"/>
                <w:lang w:val="ro-RO"/>
              </w:rPr>
              <w:t>Pierderi de căldură</w:t>
            </w:r>
          </w:p>
        </w:tc>
        <w:tc>
          <w:tcPr>
            <w:tcW w:w="445" w:type="pct"/>
            <w:shd w:val="clear" w:color="auto" w:fill="000080"/>
            <w:vAlign w:val="center"/>
          </w:tcPr>
          <w:p w14:paraId="2DD7540C"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p>
        </w:tc>
        <w:tc>
          <w:tcPr>
            <w:tcW w:w="444" w:type="pct"/>
            <w:shd w:val="clear" w:color="auto" w:fill="000080"/>
            <w:vAlign w:val="center"/>
          </w:tcPr>
          <w:p w14:paraId="38C00BDA"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p>
        </w:tc>
      </w:tr>
      <w:tr w:rsidR="00957A0B" w:rsidRPr="009C5F11" w14:paraId="536FAE9A" w14:textId="77777777" w:rsidTr="00957A0B">
        <w:trPr>
          <w:trHeight w:val="215"/>
          <w:jc w:val="center"/>
        </w:trPr>
        <w:tc>
          <w:tcPr>
            <w:tcW w:w="1193" w:type="pct"/>
            <w:vMerge/>
            <w:shd w:val="clear" w:color="auto" w:fill="000080"/>
            <w:vAlign w:val="center"/>
            <w:hideMark/>
          </w:tcPr>
          <w:p w14:paraId="4984D033" w14:textId="77777777" w:rsidR="00957A0B" w:rsidRPr="009C5F11" w:rsidRDefault="00957A0B" w:rsidP="00430626">
            <w:pPr>
              <w:jc w:val="center"/>
              <w:rPr>
                <w:rFonts w:ascii="Times New Roman" w:hAnsi="Times New Roman" w:cs="Times New Roman"/>
                <w:color w:val="FFFFFF"/>
                <w:sz w:val="20"/>
                <w:szCs w:val="16"/>
                <w:lang w:val="ro-RO"/>
              </w:rPr>
            </w:pPr>
          </w:p>
        </w:tc>
        <w:tc>
          <w:tcPr>
            <w:tcW w:w="1470" w:type="pct"/>
            <w:gridSpan w:val="5"/>
            <w:shd w:val="clear" w:color="auto" w:fill="000080"/>
            <w:vAlign w:val="center"/>
          </w:tcPr>
          <w:p w14:paraId="0734047B" w14:textId="77777777" w:rsidR="00957A0B" w:rsidRPr="009C5F11" w:rsidRDefault="00957A0B" w:rsidP="00430626">
            <w:pPr>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1,000 Gcal</w:t>
            </w:r>
          </w:p>
        </w:tc>
        <w:tc>
          <w:tcPr>
            <w:tcW w:w="1448" w:type="pct"/>
            <w:gridSpan w:val="4"/>
            <w:vMerge/>
            <w:shd w:val="clear" w:color="auto" w:fill="000080"/>
            <w:vAlign w:val="center"/>
          </w:tcPr>
          <w:p w14:paraId="719C8EE3" w14:textId="77777777" w:rsidR="00957A0B" w:rsidRPr="009C5F11" w:rsidRDefault="00957A0B" w:rsidP="00430626">
            <w:pPr>
              <w:rPr>
                <w:rFonts w:ascii="Times New Roman" w:hAnsi="Times New Roman" w:cs="Times New Roman"/>
                <w:color w:val="FFFFFF"/>
                <w:sz w:val="20"/>
                <w:szCs w:val="16"/>
                <w:lang w:val="ro-RO"/>
              </w:rPr>
            </w:pPr>
          </w:p>
        </w:tc>
        <w:tc>
          <w:tcPr>
            <w:tcW w:w="445" w:type="pct"/>
            <w:vMerge w:val="restart"/>
            <w:shd w:val="clear" w:color="auto" w:fill="000080"/>
            <w:vAlign w:val="center"/>
            <w:hideMark/>
          </w:tcPr>
          <w:p w14:paraId="1E22A11D" w14:textId="77777777" w:rsidR="00957A0B" w:rsidRPr="009C5F11" w:rsidRDefault="00957A0B" w:rsidP="00957A0B">
            <w:pPr>
              <w:spacing w:after="0" w:line="240" w:lineRule="auto"/>
              <w:rPr>
                <w:rFonts w:ascii="Times New Roman" w:hAnsi="Times New Roman" w:cs="Times New Roman"/>
                <w:color w:val="FFFFFF"/>
                <w:sz w:val="20"/>
                <w:szCs w:val="16"/>
                <w:lang w:val="ro-RO"/>
              </w:rPr>
            </w:pPr>
            <w:r w:rsidRPr="009C5F11">
              <w:rPr>
                <w:rFonts w:ascii="Times New Roman" w:eastAsia="Times New Roman" w:hAnsi="Times New Roman" w:cs="Times New Roman"/>
                <w:color w:val="FFFFFF" w:themeColor="background1"/>
                <w:sz w:val="20"/>
                <w:szCs w:val="16"/>
                <w:lang w:val="ro-RO"/>
              </w:rPr>
              <w:t>Ponderea companiei în livrarea totală de energie termică,</w:t>
            </w:r>
            <w:r w:rsidRPr="009C5F11">
              <w:rPr>
                <w:rFonts w:ascii="Times New Roman" w:hAnsi="Times New Roman" w:cs="Times New Roman"/>
                <w:color w:val="FFFFFF"/>
                <w:sz w:val="20"/>
                <w:szCs w:val="16"/>
                <w:lang w:val="ro-RO"/>
              </w:rPr>
              <w:t xml:space="preserve"> 2014</w:t>
            </w:r>
          </w:p>
        </w:tc>
        <w:tc>
          <w:tcPr>
            <w:tcW w:w="444" w:type="pct"/>
            <w:vMerge w:val="restart"/>
            <w:shd w:val="clear" w:color="auto" w:fill="000080"/>
            <w:vAlign w:val="center"/>
            <w:hideMark/>
          </w:tcPr>
          <w:p w14:paraId="318B98BF" w14:textId="77777777" w:rsidR="00957A0B" w:rsidRPr="009C5F11" w:rsidRDefault="00957A0B" w:rsidP="00957A0B">
            <w:pPr>
              <w:spacing w:after="0" w:line="240" w:lineRule="auto"/>
              <w:rPr>
                <w:rFonts w:ascii="Times New Roman" w:hAnsi="Times New Roman" w:cs="Times New Roman"/>
                <w:color w:val="FFFFFF"/>
                <w:sz w:val="20"/>
                <w:szCs w:val="16"/>
                <w:lang w:val="ro-RO"/>
              </w:rPr>
            </w:pPr>
            <w:r w:rsidRPr="009C5F11">
              <w:rPr>
                <w:rFonts w:ascii="Times New Roman" w:eastAsia="Times New Roman" w:hAnsi="Times New Roman" w:cs="Times New Roman"/>
                <w:color w:val="FFFFFF" w:themeColor="background1"/>
                <w:sz w:val="20"/>
                <w:szCs w:val="16"/>
                <w:lang w:val="ro-RO"/>
              </w:rPr>
              <w:t>Ponderea companiei în pierderile totale de energie termică,</w:t>
            </w:r>
            <w:r w:rsidRPr="009C5F11">
              <w:rPr>
                <w:rFonts w:ascii="Times New Roman" w:hAnsi="Times New Roman" w:cs="Times New Roman"/>
                <w:color w:val="FFFFFF"/>
                <w:sz w:val="20"/>
                <w:szCs w:val="16"/>
                <w:lang w:val="ro-RO"/>
              </w:rPr>
              <w:t xml:space="preserve"> 2014</w:t>
            </w:r>
          </w:p>
        </w:tc>
      </w:tr>
      <w:tr w:rsidR="00957A0B" w:rsidRPr="009C5F11" w14:paraId="4D616916" w14:textId="77777777" w:rsidTr="00957A0B">
        <w:trPr>
          <w:trHeight w:val="451"/>
          <w:jc w:val="center"/>
        </w:trPr>
        <w:tc>
          <w:tcPr>
            <w:tcW w:w="1193" w:type="pct"/>
            <w:vMerge w:val="restart"/>
            <w:shd w:val="clear" w:color="auto" w:fill="000080"/>
            <w:vAlign w:val="center"/>
          </w:tcPr>
          <w:p w14:paraId="7E8A3444" w14:textId="77777777" w:rsidR="00957A0B" w:rsidRPr="009C5F11" w:rsidRDefault="00957A0B" w:rsidP="00AF3F8A">
            <w:pPr>
              <w:spacing w:after="0" w:line="240" w:lineRule="auto"/>
              <w:rPr>
                <w:rFonts w:ascii="Times New Roman" w:hAnsi="Times New Roman" w:cs="Times New Roman"/>
                <w:color w:val="FFFFFF" w:themeColor="background1"/>
                <w:sz w:val="20"/>
                <w:szCs w:val="16"/>
                <w:lang w:val="ro-RO"/>
              </w:rPr>
            </w:pPr>
            <w:r w:rsidRPr="009C5F11">
              <w:rPr>
                <w:rFonts w:ascii="Times New Roman" w:eastAsia="Times New Roman" w:hAnsi="Times New Roman" w:cs="Times New Roman"/>
                <w:bCs/>
                <w:color w:val="FFFFFF" w:themeColor="background1"/>
                <w:sz w:val="20"/>
                <w:szCs w:val="16"/>
                <w:lang w:val="ro-RO"/>
              </w:rPr>
              <w:t>Energie termică furnizată în reţea</w:t>
            </w:r>
            <w:r w:rsidRPr="009C5F11">
              <w:rPr>
                <w:rFonts w:ascii="Times New Roman" w:hAnsi="Times New Roman" w:cs="Times New Roman"/>
                <w:color w:val="FFFFFF" w:themeColor="background1"/>
                <w:sz w:val="20"/>
                <w:szCs w:val="16"/>
                <w:lang w:val="ro-RO"/>
              </w:rPr>
              <w:t xml:space="preserve"> - TOTAL</w:t>
            </w:r>
          </w:p>
        </w:tc>
        <w:tc>
          <w:tcPr>
            <w:tcW w:w="365" w:type="pct"/>
            <w:shd w:val="clear" w:color="auto" w:fill="000080"/>
            <w:vAlign w:val="center"/>
          </w:tcPr>
          <w:p w14:paraId="17040B3E"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2011</w:t>
            </w:r>
          </w:p>
        </w:tc>
        <w:tc>
          <w:tcPr>
            <w:tcW w:w="369" w:type="pct"/>
            <w:shd w:val="clear" w:color="auto" w:fill="000080"/>
            <w:vAlign w:val="center"/>
          </w:tcPr>
          <w:p w14:paraId="11300ACA"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2012</w:t>
            </w:r>
          </w:p>
        </w:tc>
        <w:tc>
          <w:tcPr>
            <w:tcW w:w="367" w:type="pct"/>
            <w:shd w:val="clear" w:color="auto" w:fill="000080"/>
            <w:vAlign w:val="center"/>
          </w:tcPr>
          <w:p w14:paraId="7B1AA2DF"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2013</w:t>
            </w:r>
          </w:p>
        </w:tc>
        <w:tc>
          <w:tcPr>
            <w:tcW w:w="369" w:type="pct"/>
            <w:gridSpan w:val="2"/>
            <w:shd w:val="clear" w:color="auto" w:fill="000080"/>
            <w:vAlign w:val="center"/>
          </w:tcPr>
          <w:p w14:paraId="47E74DC1"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2014</w:t>
            </w:r>
          </w:p>
        </w:tc>
        <w:tc>
          <w:tcPr>
            <w:tcW w:w="346" w:type="pct"/>
            <w:shd w:val="clear" w:color="auto" w:fill="000080"/>
            <w:vAlign w:val="center"/>
          </w:tcPr>
          <w:p w14:paraId="0F9ED1FD"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2011</w:t>
            </w:r>
          </w:p>
        </w:tc>
        <w:tc>
          <w:tcPr>
            <w:tcW w:w="367" w:type="pct"/>
            <w:shd w:val="clear" w:color="auto" w:fill="000080"/>
            <w:vAlign w:val="center"/>
          </w:tcPr>
          <w:p w14:paraId="5AEA8776"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2012</w:t>
            </w:r>
          </w:p>
        </w:tc>
        <w:tc>
          <w:tcPr>
            <w:tcW w:w="367" w:type="pct"/>
            <w:shd w:val="clear" w:color="auto" w:fill="000080"/>
            <w:vAlign w:val="center"/>
          </w:tcPr>
          <w:p w14:paraId="725BAEAD"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2013</w:t>
            </w:r>
          </w:p>
        </w:tc>
        <w:tc>
          <w:tcPr>
            <w:tcW w:w="368" w:type="pct"/>
            <w:shd w:val="clear" w:color="auto" w:fill="000080"/>
            <w:vAlign w:val="center"/>
          </w:tcPr>
          <w:p w14:paraId="424929DE"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2014</w:t>
            </w:r>
          </w:p>
        </w:tc>
        <w:tc>
          <w:tcPr>
            <w:tcW w:w="445" w:type="pct"/>
            <w:vMerge/>
            <w:shd w:val="clear" w:color="auto" w:fill="000080"/>
            <w:vAlign w:val="center"/>
          </w:tcPr>
          <w:p w14:paraId="0BD80FC7" w14:textId="77777777" w:rsidR="00957A0B" w:rsidRPr="009C5F11" w:rsidRDefault="00957A0B" w:rsidP="00430626">
            <w:pPr>
              <w:spacing w:after="0" w:line="240" w:lineRule="auto"/>
              <w:rPr>
                <w:rFonts w:ascii="Times New Roman" w:hAnsi="Times New Roman" w:cs="Times New Roman"/>
                <w:color w:val="FFFFFF"/>
                <w:sz w:val="20"/>
                <w:szCs w:val="16"/>
                <w:lang w:val="ro-RO"/>
              </w:rPr>
            </w:pPr>
          </w:p>
        </w:tc>
        <w:tc>
          <w:tcPr>
            <w:tcW w:w="444" w:type="pct"/>
            <w:vMerge/>
            <w:shd w:val="clear" w:color="auto" w:fill="000080"/>
            <w:vAlign w:val="center"/>
          </w:tcPr>
          <w:p w14:paraId="7AE20EDF" w14:textId="77777777" w:rsidR="00957A0B" w:rsidRPr="009C5F11" w:rsidRDefault="00957A0B" w:rsidP="00430626">
            <w:pPr>
              <w:spacing w:after="0" w:line="240" w:lineRule="auto"/>
              <w:rPr>
                <w:rFonts w:ascii="Times New Roman" w:hAnsi="Times New Roman" w:cs="Times New Roman"/>
                <w:color w:val="FFFFFF"/>
                <w:sz w:val="20"/>
                <w:szCs w:val="16"/>
                <w:lang w:val="ro-RO"/>
              </w:rPr>
            </w:pPr>
          </w:p>
        </w:tc>
      </w:tr>
      <w:tr w:rsidR="00957A0B" w:rsidRPr="009C5F11" w14:paraId="61168DFE" w14:textId="77777777" w:rsidTr="00957A0B">
        <w:trPr>
          <w:trHeight w:val="171"/>
          <w:jc w:val="center"/>
        </w:trPr>
        <w:tc>
          <w:tcPr>
            <w:tcW w:w="1193" w:type="pct"/>
            <w:vMerge/>
            <w:shd w:val="clear" w:color="auto" w:fill="000080"/>
            <w:vAlign w:val="center"/>
          </w:tcPr>
          <w:p w14:paraId="2D09565F"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p>
        </w:tc>
        <w:tc>
          <w:tcPr>
            <w:tcW w:w="365" w:type="pct"/>
            <w:shd w:val="clear" w:color="auto" w:fill="000080"/>
            <w:vAlign w:val="center"/>
          </w:tcPr>
          <w:p w14:paraId="5A434B22" w14:textId="77777777" w:rsidR="00957A0B" w:rsidRPr="009C5F11" w:rsidRDefault="00957A0B" w:rsidP="00430626">
            <w:pPr>
              <w:spacing w:after="0" w:line="240" w:lineRule="auto"/>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2,079.9</w:t>
            </w:r>
          </w:p>
        </w:tc>
        <w:tc>
          <w:tcPr>
            <w:tcW w:w="369" w:type="pct"/>
            <w:shd w:val="clear" w:color="auto" w:fill="000080"/>
            <w:vAlign w:val="center"/>
          </w:tcPr>
          <w:p w14:paraId="62A64246" w14:textId="77777777" w:rsidR="00957A0B" w:rsidRPr="009C5F11" w:rsidRDefault="00957A0B" w:rsidP="00430626">
            <w:pPr>
              <w:spacing w:after="0" w:line="240" w:lineRule="auto"/>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2,009.3</w:t>
            </w:r>
          </w:p>
        </w:tc>
        <w:tc>
          <w:tcPr>
            <w:tcW w:w="367" w:type="pct"/>
            <w:shd w:val="clear" w:color="auto" w:fill="000080"/>
            <w:vAlign w:val="center"/>
          </w:tcPr>
          <w:p w14:paraId="1F4958FD" w14:textId="77777777" w:rsidR="00957A0B" w:rsidRPr="009C5F11" w:rsidRDefault="00957A0B" w:rsidP="00430626">
            <w:pPr>
              <w:spacing w:after="0" w:line="240" w:lineRule="auto"/>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1,821.3</w:t>
            </w:r>
          </w:p>
        </w:tc>
        <w:tc>
          <w:tcPr>
            <w:tcW w:w="369" w:type="pct"/>
            <w:gridSpan w:val="2"/>
            <w:shd w:val="clear" w:color="auto" w:fill="000080"/>
            <w:vAlign w:val="center"/>
          </w:tcPr>
          <w:p w14:paraId="5BE7A86B" w14:textId="77777777" w:rsidR="00957A0B" w:rsidRPr="009C5F11" w:rsidRDefault="00957A0B" w:rsidP="00430626">
            <w:pPr>
              <w:spacing w:after="0" w:line="240" w:lineRule="auto"/>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1,819.6</w:t>
            </w:r>
          </w:p>
        </w:tc>
        <w:tc>
          <w:tcPr>
            <w:tcW w:w="346" w:type="pct"/>
            <w:vMerge w:val="restart"/>
            <w:shd w:val="clear" w:color="auto" w:fill="000080"/>
            <w:vAlign w:val="center"/>
          </w:tcPr>
          <w:p w14:paraId="6134E7C9"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407.1</w:t>
            </w:r>
          </w:p>
        </w:tc>
        <w:tc>
          <w:tcPr>
            <w:tcW w:w="367" w:type="pct"/>
            <w:vMerge w:val="restart"/>
            <w:shd w:val="clear" w:color="auto" w:fill="000080"/>
            <w:vAlign w:val="center"/>
          </w:tcPr>
          <w:p w14:paraId="45ACFED5"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418.6</w:t>
            </w:r>
          </w:p>
        </w:tc>
        <w:tc>
          <w:tcPr>
            <w:tcW w:w="367" w:type="pct"/>
            <w:vMerge w:val="restart"/>
            <w:shd w:val="clear" w:color="auto" w:fill="000080"/>
            <w:vAlign w:val="center"/>
          </w:tcPr>
          <w:p w14:paraId="18B9120A"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400.9</w:t>
            </w:r>
          </w:p>
        </w:tc>
        <w:tc>
          <w:tcPr>
            <w:tcW w:w="368" w:type="pct"/>
            <w:vMerge w:val="restart"/>
            <w:shd w:val="clear" w:color="auto" w:fill="000080"/>
            <w:vAlign w:val="center"/>
          </w:tcPr>
          <w:p w14:paraId="0EF5C940"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397.2</w:t>
            </w:r>
          </w:p>
        </w:tc>
        <w:tc>
          <w:tcPr>
            <w:tcW w:w="445" w:type="pct"/>
            <w:vMerge/>
            <w:shd w:val="clear" w:color="auto" w:fill="000080"/>
            <w:vAlign w:val="center"/>
          </w:tcPr>
          <w:p w14:paraId="063657E6" w14:textId="77777777" w:rsidR="00957A0B" w:rsidRPr="009C5F11" w:rsidRDefault="00957A0B" w:rsidP="00430626">
            <w:pPr>
              <w:spacing w:after="0" w:line="240" w:lineRule="auto"/>
              <w:rPr>
                <w:rFonts w:ascii="Times New Roman" w:hAnsi="Times New Roman" w:cs="Times New Roman"/>
                <w:color w:val="FFFFFF"/>
                <w:sz w:val="20"/>
                <w:szCs w:val="16"/>
                <w:lang w:val="ro-RO"/>
              </w:rPr>
            </w:pPr>
          </w:p>
        </w:tc>
        <w:tc>
          <w:tcPr>
            <w:tcW w:w="444" w:type="pct"/>
            <w:vMerge/>
            <w:shd w:val="clear" w:color="auto" w:fill="000080"/>
            <w:vAlign w:val="center"/>
          </w:tcPr>
          <w:p w14:paraId="6DD6B625" w14:textId="77777777" w:rsidR="00957A0B" w:rsidRPr="009C5F11" w:rsidRDefault="00957A0B" w:rsidP="00430626">
            <w:pPr>
              <w:spacing w:after="0" w:line="240" w:lineRule="auto"/>
              <w:rPr>
                <w:rFonts w:ascii="Times New Roman" w:hAnsi="Times New Roman" w:cs="Times New Roman"/>
                <w:color w:val="FFFFFF"/>
                <w:sz w:val="20"/>
                <w:szCs w:val="16"/>
                <w:lang w:val="ro-RO"/>
              </w:rPr>
            </w:pPr>
          </w:p>
        </w:tc>
      </w:tr>
      <w:tr w:rsidR="00957A0B" w:rsidRPr="009C5F11" w14:paraId="51F4829D" w14:textId="77777777" w:rsidTr="00957A0B">
        <w:trPr>
          <w:trHeight w:val="212"/>
          <w:jc w:val="center"/>
        </w:trPr>
        <w:tc>
          <w:tcPr>
            <w:tcW w:w="1193" w:type="pct"/>
            <w:shd w:val="clear" w:color="auto" w:fill="000080"/>
            <w:vAlign w:val="center"/>
          </w:tcPr>
          <w:p w14:paraId="3952407C" w14:textId="77777777" w:rsidR="00957A0B" w:rsidRPr="009C5F11" w:rsidRDefault="00957A0B" w:rsidP="00AF3F8A">
            <w:pPr>
              <w:spacing w:after="0" w:line="240" w:lineRule="auto"/>
              <w:rPr>
                <w:rFonts w:ascii="Times New Roman" w:hAnsi="Times New Roman" w:cs="Times New Roman"/>
                <w:color w:val="FFFFFF" w:themeColor="background1"/>
                <w:sz w:val="20"/>
                <w:szCs w:val="16"/>
                <w:lang w:val="ro-RO"/>
              </w:rPr>
            </w:pPr>
            <w:r w:rsidRPr="009C5F11">
              <w:rPr>
                <w:rFonts w:ascii="Times New Roman" w:hAnsi="Times New Roman" w:cs="Times New Roman"/>
                <w:color w:val="FFFFFF" w:themeColor="background1"/>
                <w:sz w:val="20"/>
                <w:szCs w:val="16"/>
                <w:lang w:val="ro-RO"/>
              </w:rPr>
              <w:t>Pierderi de căldură TOTAL, 1000 Gcal</w:t>
            </w:r>
          </w:p>
        </w:tc>
        <w:tc>
          <w:tcPr>
            <w:tcW w:w="1470" w:type="pct"/>
            <w:gridSpan w:val="5"/>
            <w:shd w:val="clear" w:color="auto" w:fill="000080"/>
            <w:vAlign w:val="center"/>
          </w:tcPr>
          <w:p w14:paraId="2380AE83"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p>
        </w:tc>
        <w:tc>
          <w:tcPr>
            <w:tcW w:w="346" w:type="pct"/>
            <w:vMerge/>
            <w:shd w:val="clear" w:color="auto" w:fill="000080"/>
            <w:vAlign w:val="center"/>
          </w:tcPr>
          <w:p w14:paraId="1AB3ACC9"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p>
        </w:tc>
        <w:tc>
          <w:tcPr>
            <w:tcW w:w="367" w:type="pct"/>
            <w:vMerge/>
            <w:shd w:val="clear" w:color="auto" w:fill="000080"/>
            <w:vAlign w:val="center"/>
          </w:tcPr>
          <w:p w14:paraId="79F862A6"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p>
        </w:tc>
        <w:tc>
          <w:tcPr>
            <w:tcW w:w="367" w:type="pct"/>
            <w:vMerge/>
            <w:shd w:val="clear" w:color="auto" w:fill="000080"/>
            <w:vAlign w:val="center"/>
          </w:tcPr>
          <w:p w14:paraId="48ED6D05"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p>
        </w:tc>
        <w:tc>
          <w:tcPr>
            <w:tcW w:w="368" w:type="pct"/>
            <w:vMerge/>
            <w:shd w:val="clear" w:color="auto" w:fill="000080"/>
            <w:vAlign w:val="center"/>
          </w:tcPr>
          <w:p w14:paraId="577C3640"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p>
        </w:tc>
        <w:tc>
          <w:tcPr>
            <w:tcW w:w="445" w:type="pct"/>
            <w:vMerge/>
            <w:shd w:val="clear" w:color="auto" w:fill="000080"/>
            <w:vAlign w:val="center"/>
          </w:tcPr>
          <w:p w14:paraId="533A227F" w14:textId="77777777" w:rsidR="00957A0B" w:rsidRPr="009C5F11" w:rsidRDefault="00957A0B" w:rsidP="00430626">
            <w:pPr>
              <w:spacing w:after="0" w:line="240" w:lineRule="auto"/>
              <w:rPr>
                <w:rFonts w:ascii="Times New Roman" w:hAnsi="Times New Roman" w:cs="Times New Roman"/>
                <w:color w:val="FFFFFF"/>
                <w:sz w:val="20"/>
                <w:szCs w:val="16"/>
                <w:lang w:val="ro-RO"/>
              </w:rPr>
            </w:pPr>
          </w:p>
        </w:tc>
        <w:tc>
          <w:tcPr>
            <w:tcW w:w="444" w:type="pct"/>
            <w:vMerge/>
            <w:shd w:val="clear" w:color="auto" w:fill="000080"/>
            <w:vAlign w:val="center"/>
          </w:tcPr>
          <w:p w14:paraId="784A3587" w14:textId="77777777" w:rsidR="00957A0B" w:rsidRPr="009C5F11" w:rsidRDefault="00957A0B" w:rsidP="00430626">
            <w:pPr>
              <w:spacing w:after="0" w:line="240" w:lineRule="auto"/>
              <w:rPr>
                <w:rFonts w:ascii="Times New Roman" w:hAnsi="Times New Roman" w:cs="Times New Roman"/>
                <w:color w:val="FFFFFF"/>
                <w:sz w:val="20"/>
                <w:szCs w:val="16"/>
                <w:lang w:val="ro-RO"/>
              </w:rPr>
            </w:pPr>
          </w:p>
        </w:tc>
      </w:tr>
      <w:tr w:rsidR="00957A0B" w:rsidRPr="009C5F11" w14:paraId="51372BB8" w14:textId="77777777" w:rsidTr="00957A0B">
        <w:trPr>
          <w:trHeight w:val="107"/>
          <w:jc w:val="center"/>
        </w:trPr>
        <w:tc>
          <w:tcPr>
            <w:tcW w:w="1193" w:type="pct"/>
            <w:shd w:val="clear" w:color="auto" w:fill="000080"/>
            <w:noWrap/>
            <w:hideMark/>
          </w:tcPr>
          <w:p w14:paraId="2C43A391" w14:textId="77777777" w:rsidR="00957A0B" w:rsidRPr="009C5F11" w:rsidRDefault="00957A0B" w:rsidP="00AF3F8A">
            <w:pPr>
              <w:spacing w:after="0" w:line="240" w:lineRule="auto"/>
              <w:rPr>
                <w:rFonts w:ascii="Times New Roman" w:eastAsia="Times New Roman" w:hAnsi="Times New Roman" w:cs="Times New Roman"/>
                <w:color w:val="FFFFFF" w:themeColor="background1"/>
                <w:sz w:val="20"/>
                <w:szCs w:val="16"/>
                <w:lang w:val="ro-RO"/>
              </w:rPr>
            </w:pPr>
            <w:r w:rsidRPr="009C5F11">
              <w:rPr>
                <w:rFonts w:ascii="Times New Roman" w:eastAsia="Times New Roman" w:hAnsi="Times New Roman" w:cs="Times New Roman"/>
                <w:color w:val="FFFFFF" w:themeColor="background1"/>
                <w:sz w:val="20"/>
                <w:szCs w:val="16"/>
                <w:lang w:val="ro-RO"/>
              </w:rPr>
              <w:t>Pierderi de căldură – TOTAL, %</w:t>
            </w:r>
          </w:p>
        </w:tc>
        <w:tc>
          <w:tcPr>
            <w:tcW w:w="1462" w:type="pct"/>
            <w:gridSpan w:val="4"/>
            <w:shd w:val="clear" w:color="auto" w:fill="000080"/>
            <w:noWrap/>
            <w:hideMark/>
          </w:tcPr>
          <w:p w14:paraId="39E6C60C" w14:textId="77777777" w:rsidR="00957A0B" w:rsidRPr="009C5F11" w:rsidRDefault="00957A0B" w:rsidP="00430626">
            <w:pPr>
              <w:spacing w:after="0" w:line="240" w:lineRule="auto"/>
              <w:rPr>
                <w:rFonts w:ascii="Times New Roman" w:hAnsi="Times New Roman" w:cs="Times New Roman"/>
                <w:color w:val="FFFFFF"/>
                <w:sz w:val="20"/>
                <w:szCs w:val="16"/>
                <w:lang w:val="ro-RO"/>
              </w:rPr>
            </w:pPr>
          </w:p>
        </w:tc>
        <w:tc>
          <w:tcPr>
            <w:tcW w:w="354" w:type="pct"/>
            <w:gridSpan w:val="2"/>
            <w:shd w:val="clear" w:color="auto" w:fill="000080"/>
          </w:tcPr>
          <w:p w14:paraId="65488210"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19.6</w:t>
            </w:r>
          </w:p>
        </w:tc>
        <w:tc>
          <w:tcPr>
            <w:tcW w:w="367" w:type="pct"/>
            <w:shd w:val="clear" w:color="auto" w:fill="000080"/>
            <w:noWrap/>
            <w:hideMark/>
          </w:tcPr>
          <w:p w14:paraId="29B2997F"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20.8</w:t>
            </w:r>
          </w:p>
        </w:tc>
        <w:tc>
          <w:tcPr>
            <w:tcW w:w="367" w:type="pct"/>
            <w:shd w:val="clear" w:color="auto" w:fill="000080"/>
            <w:noWrap/>
            <w:hideMark/>
          </w:tcPr>
          <w:p w14:paraId="43B77660"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22.0</w:t>
            </w:r>
          </w:p>
        </w:tc>
        <w:tc>
          <w:tcPr>
            <w:tcW w:w="368" w:type="pct"/>
            <w:shd w:val="clear" w:color="auto" w:fill="000080"/>
            <w:noWrap/>
            <w:hideMark/>
          </w:tcPr>
          <w:p w14:paraId="70452786" w14:textId="77777777" w:rsidR="00957A0B" w:rsidRPr="009C5F11" w:rsidRDefault="00957A0B"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21.8</w:t>
            </w:r>
          </w:p>
        </w:tc>
        <w:tc>
          <w:tcPr>
            <w:tcW w:w="445" w:type="pct"/>
            <w:vMerge/>
            <w:shd w:val="clear" w:color="auto" w:fill="000080"/>
            <w:noWrap/>
            <w:hideMark/>
          </w:tcPr>
          <w:p w14:paraId="280A3A0A" w14:textId="77777777" w:rsidR="00957A0B" w:rsidRPr="009C5F11" w:rsidRDefault="00957A0B" w:rsidP="00430626">
            <w:pPr>
              <w:spacing w:after="0" w:line="240" w:lineRule="auto"/>
              <w:rPr>
                <w:rFonts w:ascii="Times New Roman" w:hAnsi="Times New Roman" w:cs="Times New Roman"/>
                <w:color w:val="FFFFFF"/>
                <w:sz w:val="20"/>
                <w:szCs w:val="16"/>
                <w:lang w:val="ro-RO"/>
              </w:rPr>
            </w:pPr>
          </w:p>
        </w:tc>
        <w:tc>
          <w:tcPr>
            <w:tcW w:w="444" w:type="pct"/>
            <w:vMerge/>
            <w:shd w:val="clear" w:color="auto" w:fill="000080"/>
            <w:noWrap/>
            <w:hideMark/>
          </w:tcPr>
          <w:p w14:paraId="2B615CF0" w14:textId="77777777" w:rsidR="00957A0B" w:rsidRPr="009C5F11" w:rsidRDefault="00957A0B" w:rsidP="00430626">
            <w:pPr>
              <w:spacing w:after="0" w:line="240" w:lineRule="auto"/>
              <w:rPr>
                <w:rFonts w:ascii="Times New Roman" w:hAnsi="Times New Roman" w:cs="Times New Roman"/>
                <w:color w:val="FFFFFF"/>
                <w:sz w:val="20"/>
                <w:szCs w:val="16"/>
                <w:lang w:val="ro-RO"/>
              </w:rPr>
            </w:pPr>
          </w:p>
        </w:tc>
      </w:tr>
      <w:tr w:rsidR="00BC2ED4" w:rsidRPr="009C5F11" w14:paraId="3AD785E6" w14:textId="77777777" w:rsidTr="00957A0B">
        <w:trPr>
          <w:trHeight w:val="107"/>
          <w:jc w:val="center"/>
        </w:trPr>
        <w:tc>
          <w:tcPr>
            <w:tcW w:w="4111" w:type="pct"/>
            <w:gridSpan w:val="10"/>
            <w:shd w:val="clear" w:color="auto" w:fill="000080"/>
            <w:noWrap/>
            <w:hideMark/>
          </w:tcPr>
          <w:p w14:paraId="4C950517" w14:textId="77777777" w:rsidR="00BC2ED4" w:rsidRPr="009C5F11" w:rsidRDefault="00BC2ED4" w:rsidP="00430626">
            <w:pPr>
              <w:spacing w:after="0" w:line="240" w:lineRule="auto"/>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 xml:space="preserve"> </w:t>
            </w:r>
            <w:r w:rsidR="00AB1710" w:rsidRPr="009C5F11">
              <w:rPr>
                <w:rFonts w:ascii="Times New Roman" w:hAnsi="Times New Roman" w:cs="Times New Roman"/>
                <w:color w:val="FFFFFF"/>
                <w:sz w:val="20"/>
                <w:szCs w:val="16"/>
                <w:lang w:val="ro-RO"/>
              </w:rPr>
              <w:t>inclusiv</w:t>
            </w:r>
            <w:r w:rsidRPr="009C5F11">
              <w:rPr>
                <w:rFonts w:ascii="Times New Roman" w:hAnsi="Times New Roman" w:cs="Times New Roman"/>
                <w:color w:val="FFFFFF"/>
                <w:sz w:val="20"/>
                <w:szCs w:val="16"/>
                <w:lang w:val="ro-RO"/>
              </w:rPr>
              <w:t xml:space="preserve"> </w:t>
            </w:r>
          </w:p>
        </w:tc>
        <w:tc>
          <w:tcPr>
            <w:tcW w:w="889" w:type="pct"/>
            <w:gridSpan w:val="2"/>
            <w:shd w:val="clear" w:color="auto" w:fill="000080"/>
            <w:noWrap/>
            <w:hideMark/>
          </w:tcPr>
          <w:p w14:paraId="0BF115A1" w14:textId="77777777" w:rsidR="00BC2ED4" w:rsidRPr="009C5F11" w:rsidRDefault="00BC2ED4" w:rsidP="00430626">
            <w:pPr>
              <w:spacing w:after="0" w:line="240" w:lineRule="auto"/>
              <w:jc w:val="center"/>
              <w:rPr>
                <w:rFonts w:ascii="Times New Roman" w:hAnsi="Times New Roman" w:cs="Times New Roman"/>
                <w:color w:val="FFFFFF"/>
                <w:sz w:val="20"/>
                <w:szCs w:val="16"/>
                <w:lang w:val="ro-RO"/>
              </w:rPr>
            </w:pPr>
            <w:r w:rsidRPr="009C5F11">
              <w:rPr>
                <w:rFonts w:ascii="Times New Roman" w:hAnsi="Times New Roman" w:cs="Times New Roman"/>
                <w:color w:val="FFFFFF"/>
                <w:sz w:val="20"/>
                <w:szCs w:val="16"/>
                <w:lang w:val="ro-RO"/>
              </w:rPr>
              <w:t>%</w:t>
            </w:r>
          </w:p>
        </w:tc>
      </w:tr>
      <w:tr w:rsidR="00957A0B" w:rsidRPr="009C5F11" w14:paraId="5D323A85" w14:textId="77777777" w:rsidTr="00957A0B">
        <w:trPr>
          <w:trHeight w:val="107"/>
          <w:jc w:val="center"/>
        </w:trPr>
        <w:tc>
          <w:tcPr>
            <w:tcW w:w="1193" w:type="pct"/>
            <w:shd w:val="clear" w:color="auto" w:fill="DBE5F1"/>
            <w:noWrap/>
            <w:hideMark/>
          </w:tcPr>
          <w:p w14:paraId="79389C2C" w14:textId="77777777" w:rsidR="00BC2ED4" w:rsidRPr="009C5F11" w:rsidRDefault="00BC2ED4" w:rsidP="00430626">
            <w:pPr>
              <w:spacing w:after="0" w:line="240" w:lineRule="auto"/>
              <w:rPr>
                <w:rFonts w:ascii="Times New Roman" w:hAnsi="Times New Roman" w:cs="Times New Roman"/>
                <w:color w:val="000000"/>
                <w:sz w:val="20"/>
                <w:szCs w:val="16"/>
                <w:lang w:val="ro-RO"/>
              </w:rPr>
            </w:pPr>
            <w:r w:rsidRPr="009C5F11">
              <w:rPr>
                <w:rFonts w:ascii="Times New Roman" w:hAnsi="Times New Roman" w:cs="Times New Roman"/>
                <w:color w:val="000000"/>
                <w:sz w:val="20"/>
                <w:szCs w:val="16"/>
                <w:lang w:val="ro-RO"/>
              </w:rPr>
              <w:t xml:space="preserve">Termocom, </w:t>
            </w:r>
            <w:r w:rsidR="00AA0566" w:rsidRPr="009C5F11">
              <w:rPr>
                <w:rFonts w:ascii="Times New Roman" w:hAnsi="Times New Roman" w:cs="Times New Roman"/>
                <w:color w:val="000000"/>
                <w:sz w:val="20"/>
                <w:szCs w:val="16"/>
                <w:lang w:val="ro-RO"/>
              </w:rPr>
              <w:t>Chişinău</w:t>
            </w:r>
          </w:p>
        </w:tc>
        <w:tc>
          <w:tcPr>
            <w:tcW w:w="365" w:type="pct"/>
            <w:shd w:val="clear" w:color="auto" w:fill="DBE5F1"/>
            <w:noWrap/>
            <w:hideMark/>
          </w:tcPr>
          <w:p w14:paraId="0BCC391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w:t>
            </w:r>
            <w:r w:rsidR="00C016DE"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770.9</w:t>
            </w:r>
          </w:p>
        </w:tc>
        <w:tc>
          <w:tcPr>
            <w:tcW w:w="369" w:type="pct"/>
            <w:shd w:val="clear" w:color="auto" w:fill="DBE5F1"/>
            <w:noWrap/>
            <w:hideMark/>
          </w:tcPr>
          <w:p w14:paraId="34B74A53"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w:t>
            </w:r>
            <w:r w:rsidR="00C016DE"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717.7</w:t>
            </w:r>
          </w:p>
        </w:tc>
        <w:tc>
          <w:tcPr>
            <w:tcW w:w="367" w:type="pct"/>
            <w:shd w:val="clear" w:color="auto" w:fill="DBE5F1"/>
            <w:noWrap/>
            <w:hideMark/>
          </w:tcPr>
          <w:p w14:paraId="76AB2E9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w:t>
            </w:r>
            <w:r w:rsidR="00C016DE"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577.2</w:t>
            </w:r>
          </w:p>
        </w:tc>
        <w:tc>
          <w:tcPr>
            <w:tcW w:w="369" w:type="pct"/>
            <w:gridSpan w:val="2"/>
            <w:shd w:val="clear" w:color="auto" w:fill="DBE5F1"/>
            <w:noWrap/>
            <w:hideMark/>
          </w:tcPr>
          <w:p w14:paraId="20281C6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w:t>
            </w:r>
            <w:r w:rsidR="00C016DE"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573.1</w:t>
            </w:r>
          </w:p>
        </w:tc>
        <w:tc>
          <w:tcPr>
            <w:tcW w:w="346" w:type="pct"/>
            <w:shd w:val="clear" w:color="auto" w:fill="DBE5F1"/>
            <w:noWrap/>
            <w:hideMark/>
          </w:tcPr>
          <w:p w14:paraId="3DD7178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20.1</w:t>
            </w:r>
          </w:p>
        </w:tc>
        <w:tc>
          <w:tcPr>
            <w:tcW w:w="367" w:type="pct"/>
            <w:shd w:val="clear" w:color="auto" w:fill="DBE5F1"/>
            <w:noWrap/>
            <w:hideMark/>
          </w:tcPr>
          <w:p w14:paraId="7FAF5E8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20.9</w:t>
            </w:r>
          </w:p>
        </w:tc>
        <w:tc>
          <w:tcPr>
            <w:tcW w:w="367" w:type="pct"/>
            <w:shd w:val="clear" w:color="auto" w:fill="DBE5F1"/>
            <w:noWrap/>
            <w:hideMark/>
          </w:tcPr>
          <w:p w14:paraId="05CA46E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22.8</w:t>
            </w:r>
          </w:p>
        </w:tc>
        <w:tc>
          <w:tcPr>
            <w:tcW w:w="368" w:type="pct"/>
            <w:shd w:val="clear" w:color="auto" w:fill="DBE5F1"/>
            <w:noWrap/>
            <w:hideMark/>
          </w:tcPr>
          <w:p w14:paraId="3C0DAD28"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22.3</w:t>
            </w:r>
          </w:p>
        </w:tc>
        <w:tc>
          <w:tcPr>
            <w:tcW w:w="445" w:type="pct"/>
            <w:shd w:val="clear" w:color="auto" w:fill="DBE5F1"/>
            <w:noWrap/>
            <w:hideMark/>
          </w:tcPr>
          <w:p w14:paraId="73B8B0B1"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85.9</w:t>
            </w:r>
          </w:p>
        </w:tc>
        <w:tc>
          <w:tcPr>
            <w:tcW w:w="444" w:type="pct"/>
            <w:shd w:val="clear" w:color="auto" w:fill="DBE5F1"/>
            <w:noWrap/>
            <w:hideMark/>
          </w:tcPr>
          <w:p w14:paraId="0F5F7C5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88.3</w:t>
            </w:r>
          </w:p>
        </w:tc>
      </w:tr>
      <w:tr w:rsidR="00957A0B" w:rsidRPr="009C5F11" w14:paraId="17A2851B" w14:textId="77777777" w:rsidTr="00957A0B">
        <w:trPr>
          <w:trHeight w:val="107"/>
          <w:jc w:val="center"/>
        </w:trPr>
        <w:tc>
          <w:tcPr>
            <w:tcW w:w="1193" w:type="pct"/>
            <w:shd w:val="clear" w:color="auto" w:fill="FFFFFF"/>
            <w:noWrap/>
            <w:hideMark/>
          </w:tcPr>
          <w:p w14:paraId="6AFBF88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Apa-Canal, </w:t>
            </w:r>
            <w:r w:rsidR="00AA0566" w:rsidRPr="009C5F11">
              <w:rPr>
                <w:rFonts w:ascii="Times New Roman" w:hAnsi="Times New Roman" w:cs="Times New Roman"/>
                <w:sz w:val="20"/>
                <w:szCs w:val="16"/>
                <w:lang w:val="ro-RO"/>
              </w:rPr>
              <w:t>Chişinău</w:t>
            </w:r>
          </w:p>
        </w:tc>
        <w:tc>
          <w:tcPr>
            <w:tcW w:w="365" w:type="pct"/>
            <w:shd w:val="clear" w:color="auto" w:fill="FFFFFF"/>
            <w:noWrap/>
            <w:hideMark/>
          </w:tcPr>
          <w:p w14:paraId="5F792DD3"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27.3</w:t>
            </w:r>
          </w:p>
        </w:tc>
        <w:tc>
          <w:tcPr>
            <w:tcW w:w="369" w:type="pct"/>
            <w:shd w:val="clear" w:color="auto" w:fill="FFFFFF"/>
            <w:noWrap/>
            <w:hideMark/>
          </w:tcPr>
          <w:p w14:paraId="46DFE413"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26.8</w:t>
            </w:r>
          </w:p>
        </w:tc>
        <w:tc>
          <w:tcPr>
            <w:tcW w:w="367" w:type="pct"/>
            <w:shd w:val="clear" w:color="auto" w:fill="FFFFFF"/>
            <w:noWrap/>
            <w:hideMark/>
          </w:tcPr>
          <w:p w14:paraId="163D806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23.7</w:t>
            </w:r>
          </w:p>
        </w:tc>
        <w:tc>
          <w:tcPr>
            <w:tcW w:w="369" w:type="pct"/>
            <w:gridSpan w:val="2"/>
            <w:shd w:val="clear" w:color="auto" w:fill="FFFFFF"/>
            <w:noWrap/>
            <w:hideMark/>
          </w:tcPr>
          <w:p w14:paraId="5072A3B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23.7</w:t>
            </w:r>
          </w:p>
        </w:tc>
        <w:tc>
          <w:tcPr>
            <w:tcW w:w="346" w:type="pct"/>
            <w:shd w:val="clear" w:color="auto" w:fill="FFFFFF"/>
            <w:noWrap/>
            <w:hideMark/>
          </w:tcPr>
          <w:p w14:paraId="58FE7559"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9.5</w:t>
            </w:r>
          </w:p>
        </w:tc>
        <w:tc>
          <w:tcPr>
            <w:tcW w:w="367" w:type="pct"/>
            <w:shd w:val="clear" w:color="auto" w:fill="FFFFFF"/>
            <w:noWrap/>
            <w:hideMark/>
          </w:tcPr>
          <w:p w14:paraId="34E8AC1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11.6</w:t>
            </w:r>
          </w:p>
        </w:tc>
        <w:tc>
          <w:tcPr>
            <w:tcW w:w="367" w:type="pct"/>
            <w:shd w:val="clear" w:color="auto" w:fill="FFFFFF"/>
            <w:noWrap/>
            <w:hideMark/>
          </w:tcPr>
          <w:p w14:paraId="5D1E3F73"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10.5</w:t>
            </w:r>
          </w:p>
        </w:tc>
        <w:tc>
          <w:tcPr>
            <w:tcW w:w="368" w:type="pct"/>
            <w:shd w:val="clear" w:color="auto" w:fill="FFFFFF"/>
            <w:noWrap/>
            <w:hideMark/>
          </w:tcPr>
          <w:p w14:paraId="6C7503D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9.7</w:t>
            </w:r>
          </w:p>
        </w:tc>
        <w:tc>
          <w:tcPr>
            <w:tcW w:w="445" w:type="pct"/>
            <w:shd w:val="clear" w:color="auto" w:fill="FFFFFF"/>
            <w:noWrap/>
            <w:hideMark/>
          </w:tcPr>
          <w:p w14:paraId="6021C3AB"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1.5</w:t>
            </w:r>
          </w:p>
        </w:tc>
        <w:tc>
          <w:tcPr>
            <w:tcW w:w="444" w:type="pct"/>
            <w:shd w:val="clear" w:color="auto" w:fill="FFFFFF"/>
            <w:noWrap/>
            <w:hideMark/>
          </w:tcPr>
          <w:p w14:paraId="0A5C7288"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0.6</w:t>
            </w:r>
          </w:p>
        </w:tc>
      </w:tr>
      <w:tr w:rsidR="00957A0B" w:rsidRPr="009C5F11" w14:paraId="5CAD156E" w14:textId="77777777" w:rsidTr="00957A0B">
        <w:trPr>
          <w:trHeight w:val="107"/>
          <w:jc w:val="center"/>
        </w:trPr>
        <w:tc>
          <w:tcPr>
            <w:tcW w:w="1193" w:type="pct"/>
            <w:shd w:val="clear" w:color="auto" w:fill="DBE5F1"/>
            <w:noWrap/>
            <w:hideMark/>
          </w:tcPr>
          <w:p w14:paraId="50D90B0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CET-</w:t>
            </w:r>
            <w:r w:rsidR="00800247" w:rsidRPr="009C5F11">
              <w:rPr>
                <w:rFonts w:ascii="Times New Roman" w:hAnsi="Times New Roman" w:cs="Times New Roman"/>
                <w:sz w:val="20"/>
                <w:szCs w:val="16"/>
                <w:lang w:val="ro-RO"/>
              </w:rPr>
              <w:t>Nord</w:t>
            </w:r>
            <w:r w:rsidRPr="009C5F11">
              <w:rPr>
                <w:rFonts w:ascii="Times New Roman" w:hAnsi="Times New Roman" w:cs="Times New Roman"/>
                <w:sz w:val="20"/>
                <w:szCs w:val="16"/>
                <w:lang w:val="ro-RO"/>
              </w:rPr>
              <w:t xml:space="preserve">, </w:t>
            </w:r>
            <w:r w:rsidR="00210C2C" w:rsidRPr="009C5F11">
              <w:rPr>
                <w:rFonts w:ascii="Times New Roman" w:hAnsi="Times New Roman" w:cs="Times New Roman"/>
                <w:sz w:val="20"/>
                <w:szCs w:val="16"/>
                <w:lang w:val="ro-RO"/>
              </w:rPr>
              <w:t>Bălţi</w:t>
            </w:r>
          </w:p>
        </w:tc>
        <w:tc>
          <w:tcPr>
            <w:tcW w:w="365" w:type="pct"/>
            <w:shd w:val="clear" w:color="auto" w:fill="DBE5F1"/>
            <w:noWrap/>
            <w:hideMark/>
          </w:tcPr>
          <w:p w14:paraId="31895B3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214.9</w:t>
            </w:r>
          </w:p>
        </w:tc>
        <w:tc>
          <w:tcPr>
            <w:tcW w:w="369" w:type="pct"/>
            <w:shd w:val="clear" w:color="auto" w:fill="DBE5F1"/>
            <w:noWrap/>
            <w:hideMark/>
          </w:tcPr>
          <w:p w14:paraId="7D7E46D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213.3</w:t>
            </w:r>
          </w:p>
        </w:tc>
        <w:tc>
          <w:tcPr>
            <w:tcW w:w="367" w:type="pct"/>
            <w:shd w:val="clear" w:color="auto" w:fill="DBE5F1"/>
            <w:noWrap/>
            <w:hideMark/>
          </w:tcPr>
          <w:p w14:paraId="7070A6D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183.1</w:t>
            </w:r>
          </w:p>
        </w:tc>
        <w:tc>
          <w:tcPr>
            <w:tcW w:w="369" w:type="pct"/>
            <w:gridSpan w:val="2"/>
            <w:shd w:val="clear" w:color="auto" w:fill="DBE5F1"/>
            <w:noWrap/>
            <w:hideMark/>
          </w:tcPr>
          <w:p w14:paraId="2CBD159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189.9</w:t>
            </w:r>
          </w:p>
        </w:tc>
        <w:tc>
          <w:tcPr>
            <w:tcW w:w="346" w:type="pct"/>
            <w:shd w:val="clear" w:color="auto" w:fill="DBE5F1"/>
            <w:noWrap/>
            <w:hideMark/>
          </w:tcPr>
          <w:p w14:paraId="6CF318F3"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19.1</w:t>
            </w:r>
          </w:p>
        </w:tc>
        <w:tc>
          <w:tcPr>
            <w:tcW w:w="367" w:type="pct"/>
            <w:shd w:val="clear" w:color="auto" w:fill="DBE5F1"/>
            <w:noWrap/>
            <w:hideMark/>
          </w:tcPr>
          <w:p w14:paraId="4511183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23.0</w:t>
            </w:r>
          </w:p>
        </w:tc>
        <w:tc>
          <w:tcPr>
            <w:tcW w:w="367" w:type="pct"/>
            <w:shd w:val="clear" w:color="auto" w:fill="DBE5F1"/>
            <w:noWrap/>
            <w:hideMark/>
          </w:tcPr>
          <w:p w14:paraId="3BDACC39"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19.2</w:t>
            </w:r>
          </w:p>
        </w:tc>
        <w:tc>
          <w:tcPr>
            <w:tcW w:w="368" w:type="pct"/>
            <w:shd w:val="clear" w:color="auto" w:fill="DBE5F1"/>
            <w:noWrap/>
            <w:hideMark/>
          </w:tcPr>
          <w:p w14:paraId="53D9832B"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21.5</w:t>
            </w:r>
          </w:p>
        </w:tc>
        <w:tc>
          <w:tcPr>
            <w:tcW w:w="445" w:type="pct"/>
            <w:shd w:val="clear" w:color="auto" w:fill="DBE5F1"/>
            <w:noWrap/>
            <w:hideMark/>
          </w:tcPr>
          <w:p w14:paraId="5A89E801"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10.5</w:t>
            </w:r>
          </w:p>
        </w:tc>
        <w:tc>
          <w:tcPr>
            <w:tcW w:w="444" w:type="pct"/>
            <w:shd w:val="clear" w:color="auto" w:fill="DBE5F1"/>
            <w:noWrap/>
            <w:hideMark/>
          </w:tcPr>
          <w:p w14:paraId="779650F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10.3</w:t>
            </w:r>
          </w:p>
        </w:tc>
      </w:tr>
      <w:tr w:rsidR="00957A0B" w:rsidRPr="009C5F11" w14:paraId="5DB364BB" w14:textId="77777777" w:rsidTr="00957A0B">
        <w:trPr>
          <w:trHeight w:val="107"/>
          <w:jc w:val="center"/>
        </w:trPr>
        <w:tc>
          <w:tcPr>
            <w:tcW w:w="1193" w:type="pct"/>
            <w:shd w:val="clear" w:color="auto" w:fill="FFFFFF"/>
            <w:noWrap/>
            <w:hideMark/>
          </w:tcPr>
          <w:p w14:paraId="771C06FB"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Termogaz, mun. </w:t>
            </w:r>
            <w:r w:rsidR="00210C2C" w:rsidRPr="009C5F11">
              <w:rPr>
                <w:rFonts w:ascii="Times New Roman" w:hAnsi="Times New Roman" w:cs="Times New Roman"/>
                <w:sz w:val="20"/>
                <w:szCs w:val="16"/>
                <w:lang w:val="ro-RO"/>
              </w:rPr>
              <w:t>Bălţi</w:t>
            </w:r>
          </w:p>
        </w:tc>
        <w:tc>
          <w:tcPr>
            <w:tcW w:w="365" w:type="pct"/>
            <w:shd w:val="clear" w:color="auto" w:fill="FFFFFF"/>
            <w:noWrap/>
            <w:hideMark/>
          </w:tcPr>
          <w:p w14:paraId="0944CC3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12.7</w:t>
            </w:r>
          </w:p>
        </w:tc>
        <w:tc>
          <w:tcPr>
            <w:tcW w:w="369" w:type="pct"/>
            <w:shd w:val="clear" w:color="auto" w:fill="FFFFFF"/>
            <w:noWrap/>
            <w:hideMark/>
          </w:tcPr>
          <w:p w14:paraId="2F5B055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12.8</w:t>
            </w:r>
          </w:p>
        </w:tc>
        <w:tc>
          <w:tcPr>
            <w:tcW w:w="367" w:type="pct"/>
            <w:shd w:val="clear" w:color="auto" w:fill="FFFFFF"/>
            <w:noWrap/>
            <w:hideMark/>
          </w:tcPr>
          <w:p w14:paraId="51E9A12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10.9</w:t>
            </w:r>
          </w:p>
        </w:tc>
        <w:tc>
          <w:tcPr>
            <w:tcW w:w="369" w:type="pct"/>
            <w:gridSpan w:val="2"/>
            <w:shd w:val="clear" w:color="auto" w:fill="FFFFFF"/>
            <w:noWrap/>
            <w:hideMark/>
          </w:tcPr>
          <w:p w14:paraId="0AD7D28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11.0</w:t>
            </w:r>
          </w:p>
        </w:tc>
        <w:tc>
          <w:tcPr>
            <w:tcW w:w="346" w:type="pct"/>
            <w:shd w:val="clear" w:color="auto" w:fill="FFFFFF"/>
            <w:noWrap/>
            <w:hideMark/>
          </w:tcPr>
          <w:p w14:paraId="14B510F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9.4</w:t>
            </w:r>
          </w:p>
        </w:tc>
        <w:tc>
          <w:tcPr>
            <w:tcW w:w="367" w:type="pct"/>
            <w:shd w:val="clear" w:color="auto" w:fill="FFFFFF"/>
            <w:noWrap/>
            <w:hideMark/>
          </w:tcPr>
          <w:p w14:paraId="0159825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10.2</w:t>
            </w:r>
          </w:p>
        </w:tc>
        <w:tc>
          <w:tcPr>
            <w:tcW w:w="367" w:type="pct"/>
            <w:shd w:val="clear" w:color="auto" w:fill="FFFFFF"/>
            <w:noWrap/>
            <w:hideMark/>
          </w:tcPr>
          <w:p w14:paraId="61EB1C6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10.1</w:t>
            </w:r>
          </w:p>
        </w:tc>
        <w:tc>
          <w:tcPr>
            <w:tcW w:w="368" w:type="pct"/>
            <w:shd w:val="clear" w:color="auto" w:fill="FFFFFF"/>
            <w:noWrap/>
            <w:hideMark/>
          </w:tcPr>
          <w:p w14:paraId="13AE57F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10.0</w:t>
            </w:r>
          </w:p>
        </w:tc>
        <w:tc>
          <w:tcPr>
            <w:tcW w:w="445" w:type="pct"/>
            <w:shd w:val="clear" w:color="auto" w:fill="FFFFFF"/>
            <w:noWrap/>
            <w:hideMark/>
          </w:tcPr>
          <w:p w14:paraId="22727AC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0.7</w:t>
            </w:r>
          </w:p>
        </w:tc>
        <w:tc>
          <w:tcPr>
            <w:tcW w:w="444" w:type="pct"/>
            <w:shd w:val="clear" w:color="auto" w:fill="FFFFFF"/>
            <w:noWrap/>
            <w:hideMark/>
          </w:tcPr>
          <w:p w14:paraId="1CDCCD0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0.3</w:t>
            </w:r>
          </w:p>
        </w:tc>
      </w:tr>
      <w:tr w:rsidR="00957A0B" w:rsidRPr="009C5F11" w14:paraId="73C5CDBA" w14:textId="77777777" w:rsidTr="00957A0B">
        <w:trPr>
          <w:trHeight w:val="107"/>
          <w:jc w:val="center"/>
        </w:trPr>
        <w:tc>
          <w:tcPr>
            <w:tcW w:w="1193" w:type="pct"/>
            <w:shd w:val="clear" w:color="auto" w:fill="FFFFFF"/>
            <w:noWrap/>
            <w:hideMark/>
          </w:tcPr>
          <w:p w14:paraId="462C412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Comgaz Plus, Ungheni</w:t>
            </w:r>
          </w:p>
        </w:tc>
        <w:tc>
          <w:tcPr>
            <w:tcW w:w="365" w:type="pct"/>
            <w:shd w:val="clear" w:color="auto" w:fill="FFFFFF"/>
            <w:noWrap/>
            <w:hideMark/>
          </w:tcPr>
          <w:p w14:paraId="2ACD8D7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14.9</w:t>
            </w:r>
          </w:p>
        </w:tc>
        <w:tc>
          <w:tcPr>
            <w:tcW w:w="369" w:type="pct"/>
            <w:shd w:val="clear" w:color="auto" w:fill="FFFFFF"/>
            <w:noWrap/>
            <w:hideMark/>
          </w:tcPr>
          <w:p w14:paraId="2AB86BC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10.9</w:t>
            </w:r>
          </w:p>
        </w:tc>
        <w:tc>
          <w:tcPr>
            <w:tcW w:w="367" w:type="pct"/>
            <w:shd w:val="clear" w:color="auto" w:fill="FFFFFF"/>
            <w:noWrap/>
            <w:hideMark/>
          </w:tcPr>
          <w:p w14:paraId="000B02C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8.0</w:t>
            </w:r>
          </w:p>
        </w:tc>
        <w:tc>
          <w:tcPr>
            <w:tcW w:w="369" w:type="pct"/>
            <w:gridSpan w:val="2"/>
            <w:shd w:val="clear" w:color="auto" w:fill="FFFFFF"/>
            <w:noWrap/>
            <w:hideMark/>
          </w:tcPr>
          <w:p w14:paraId="4175D46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8.0</w:t>
            </w:r>
          </w:p>
        </w:tc>
        <w:tc>
          <w:tcPr>
            <w:tcW w:w="346" w:type="pct"/>
            <w:shd w:val="clear" w:color="auto" w:fill="FFFFFF"/>
            <w:noWrap/>
            <w:hideMark/>
          </w:tcPr>
          <w:p w14:paraId="6062139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18.8</w:t>
            </w:r>
          </w:p>
        </w:tc>
        <w:tc>
          <w:tcPr>
            <w:tcW w:w="367" w:type="pct"/>
            <w:shd w:val="clear" w:color="auto" w:fill="FFFFFF"/>
            <w:noWrap/>
            <w:hideMark/>
          </w:tcPr>
          <w:p w14:paraId="2D955FD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21.1</w:t>
            </w:r>
          </w:p>
        </w:tc>
        <w:tc>
          <w:tcPr>
            <w:tcW w:w="367" w:type="pct"/>
            <w:shd w:val="clear" w:color="auto" w:fill="FFFFFF"/>
            <w:noWrap/>
            <w:hideMark/>
          </w:tcPr>
          <w:p w14:paraId="568B9858"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13.8</w:t>
            </w:r>
          </w:p>
        </w:tc>
        <w:tc>
          <w:tcPr>
            <w:tcW w:w="368" w:type="pct"/>
            <w:shd w:val="clear" w:color="auto" w:fill="FFFFFF"/>
            <w:noWrap/>
            <w:hideMark/>
          </w:tcPr>
          <w:p w14:paraId="446059D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15.0</w:t>
            </w:r>
          </w:p>
        </w:tc>
        <w:tc>
          <w:tcPr>
            <w:tcW w:w="445" w:type="pct"/>
            <w:shd w:val="clear" w:color="auto" w:fill="FFFFFF"/>
            <w:noWrap/>
            <w:hideMark/>
          </w:tcPr>
          <w:p w14:paraId="3F642A5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0.5</w:t>
            </w:r>
          </w:p>
        </w:tc>
        <w:tc>
          <w:tcPr>
            <w:tcW w:w="444" w:type="pct"/>
            <w:shd w:val="clear" w:color="auto" w:fill="FFFFFF"/>
            <w:noWrap/>
            <w:hideMark/>
          </w:tcPr>
          <w:p w14:paraId="00B9D24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0.3</w:t>
            </w:r>
          </w:p>
        </w:tc>
      </w:tr>
      <w:tr w:rsidR="00957A0B" w:rsidRPr="009C5F11" w14:paraId="4D2CC4E2" w14:textId="77777777" w:rsidTr="00957A0B">
        <w:trPr>
          <w:trHeight w:val="107"/>
          <w:jc w:val="center"/>
        </w:trPr>
        <w:tc>
          <w:tcPr>
            <w:tcW w:w="1193" w:type="pct"/>
            <w:shd w:val="clear" w:color="auto" w:fill="FFFFFF"/>
            <w:noWrap/>
            <w:hideMark/>
          </w:tcPr>
          <w:p w14:paraId="06725F26" w14:textId="77777777" w:rsidR="00BC2ED4" w:rsidRPr="009C5F11" w:rsidRDefault="00957A0B"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Reţelele</w:t>
            </w:r>
            <w:r w:rsidR="00BC2ED4" w:rsidRPr="009C5F11">
              <w:rPr>
                <w:rFonts w:ascii="Times New Roman" w:hAnsi="Times New Roman" w:cs="Times New Roman"/>
                <w:sz w:val="20"/>
                <w:szCs w:val="16"/>
                <w:lang w:val="ro-RO"/>
              </w:rPr>
              <w:t xml:space="preserve"> Termice </w:t>
            </w:r>
            <w:r w:rsidR="005D06FD" w:rsidRPr="009C5F11">
              <w:rPr>
                <w:rFonts w:ascii="Times New Roman" w:hAnsi="Times New Roman" w:cs="Times New Roman"/>
                <w:sz w:val="20"/>
                <w:szCs w:val="16"/>
                <w:lang w:val="ro-RO"/>
              </w:rPr>
              <w:t>Călăraşi</w:t>
            </w:r>
          </w:p>
        </w:tc>
        <w:tc>
          <w:tcPr>
            <w:tcW w:w="365" w:type="pct"/>
            <w:shd w:val="clear" w:color="auto" w:fill="FFFFFF"/>
            <w:noWrap/>
            <w:hideMark/>
          </w:tcPr>
          <w:p w14:paraId="6CB8D625"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8.0</w:t>
            </w:r>
          </w:p>
        </w:tc>
        <w:tc>
          <w:tcPr>
            <w:tcW w:w="369" w:type="pct"/>
            <w:shd w:val="clear" w:color="auto" w:fill="FFFFFF"/>
            <w:noWrap/>
            <w:hideMark/>
          </w:tcPr>
          <w:p w14:paraId="09FC4321"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6.2</w:t>
            </w:r>
          </w:p>
        </w:tc>
        <w:tc>
          <w:tcPr>
            <w:tcW w:w="367" w:type="pct"/>
            <w:shd w:val="clear" w:color="auto" w:fill="FFFFFF"/>
            <w:noWrap/>
            <w:hideMark/>
          </w:tcPr>
          <w:p w14:paraId="2DA7FBD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4.1</w:t>
            </w:r>
          </w:p>
        </w:tc>
        <w:tc>
          <w:tcPr>
            <w:tcW w:w="369" w:type="pct"/>
            <w:gridSpan w:val="2"/>
            <w:shd w:val="clear" w:color="auto" w:fill="FFFFFF"/>
            <w:noWrap/>
            <w:hideMark/>
          </w:tcPr>
          <w:p w14:paraId="207633F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1.3</w:t>
            </w:r>
          </w:p>
        </w:tc>
        <w:tc>
          <w:tcPr>
            <w:tcW w:w="346" w:type="pct"/>
            <w:shd w:val="clear" w:color="auto" w:fill="FFFFFF"/>
            <w:noWrap/>
            <w:hideMark/>
          </w:tcPr>
          <w:p w14:paraId="71B3522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32.5</w:t>
            </w:r>
          </w:p>
        </w:tc>
        <w:tc>
          <w:tcPr>
            <w:tcW w:w="367" w:type="pct"/>
            <w:shd w:val="clear" w:color="auto" w:fill="FFFFFF"/>
            <w:noWrap/>
            <w:hideMark/>
          </w:tcPr>
          <w:p w14:paraId="0764A04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32.3</w:t>
            </w:r>
          </w:p>
        </w:tc>
        <w:tc>
          <w:tcPr>
            <w:tcW w:w="367" w:type="pct"/>
            <w:shd w:val="clear" w:color="auto" w:fill="FFFFFF"/>
            <w:noWrap/>
            <w:hideMark/>
          </w:tcPr>
          <w:p w14:paraId="3A6691E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31.7</w:t>
            </w:r>
          </w:p>
        </w:tc>
        <w:tc>
          <w:tcPr>
            <w:tcW w:w="368" w:type="pct"/>
            <w:shd w:val="clear" w:color="auto" w:fill="FFFFFF"/>
            <w:noWrap/>
            <w:hideMark/>
          </w:tcPr>
          <w:p w14:paraId="0BF7FBE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23.1</w:t>
            </w:r>
          </w:p>
        </w:tc>
        <w:tc>
          <w:tcPr>
            <w:tcW w:w="445" w:type="pct"/>
            <w:shd w:val="clear" w:color="auto" w:fill="FFFFFF"/>
            <w:noWrap/>
            <w:hideMark/>
          </w:tcPr>
          <w:p w14:paraId="43885EA2"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0.1</w:t>
            </w:r>
          </w:p>
        </w:tc>
        <w:tc>
          <w:tcPr>
            <w:tcW w:w="444" w:type="pct"/>
            <w:shd w:val="clear" w:color="auto" w:fill="FFFFFF"/>
            <w:noWrap/>
            <w:hideMark/>
          </w:tcPr>
          <w:p w14:paraId="61A334C8"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0.1</w:t>
            </w:r>
          </w:p>
        </w:tc>
      </w:tr>
      <w:tr w:rsidR="00957A0B" w:rsidRPr="009C5F11" w14:paraId="10048C4D" w14:textId="77777777" w:rsidTr="00957A0B">
        <w:trPr>
          <w:trHeight w:val="107"/>
          <w:jc w:val="center"/>
        </w:trPr>
        <w:tc>
          <w:tcPr>
            <w:tcW w:w="1193" w:type="pct"/>
            <w:shd w:val="clear" w:color="auto" w:fill="FFFFFF"/>
            <w:noWrap/>
            <w:hideMark/>
          </w:tcPr>
          <w:p w14:paraId="4989DEF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lastRenderedPageBreak/>
              <w:t xml:space="preserve">Servicii Publice </w:t>
            </w:r>
            <w:r w:rsidR="00957A0B" w:rsidRPr="009C5F11">
              <w:rPr>
                <w:rFonts w:ascii="Times New Roman" w:hAnsi="Times New Roman" w:cs="Times New Roman"/>
                <w:sz w:val="20"/>
                <w:szCs w:val="16"/>
                <w:lang w:val="ro-RO"/>
              </w:rPr>
              <w:t>Cimişlia</w:t>
            </w:r>
          </w:p>
        </w:tc>
        <w:tc>
          <w:tcPr>
            <w:tcW w:w="365" w:type="pct"/>
            <w:shd w:val="clear" w:color="auto" w:fill="FFFFFF"/>
            <w:noWrap/>
            <w:hideMark/>
          </w:tcPr>
          <w:p w14:paraId="493C0499"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1.2</w:t>
            </w:r>
          </w:p>
        </w:tc>
        <w:tc>
          <w:tcPr>
            <w:tcW w:w="369" w:type="pct"/>
            <w:shd w:val="clear" w:color="auto" w:fill="FFFFFF"/>
            <w:noWrap/>
            <w:hideMark/>
          </w:tcPr>
          <w:p w14:paraId="1E892B0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0.9</w:t>
            </w:r>
          </w:p>
        </w:tc>
        <w:tc>
          <w:tcPr>
            <w:tcW w:w="367" w:type="pct"/>
            <w:shd w:val="clear" w:color="auto" w:fill="FFFFFF"/>
            <w:noWrap/>
            <w:hideMark/>
          </w:tcPr>
          <w:p w14:paraId="0F43EC3B"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0.7</w:t>
            </w:r>
          </w:p>
        </w:tc>
        <w:tc>
          <w:tcPr>
            <w:tcW w:w="369" w:type="pct"/>
            <w:gridSpan w:val="2"/>
            <w:shd w:val="clear" w:color="auto" w:fill="FFFFFF"/>
            <w:noWrap/>
            <w:hideMark/>
          </w:tcPr>
          <w:p w14:paraId="3BCA5A9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0.9</w:t>
            </w:r>
          </w:p>
        </w:tc>
        <w:tc>
          <w:tcPr>
            <w:tcW w:w="346" w:type="pct"/>
            <w:shd w:val="clear" w:color="auto" w:fill="FFFFFF"/>
            <w:noWrap/>
            <w:hideMark/>
          </w:tcPr>
          <w:p w14:paraId="5D03284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8.3</w:t>
            </w:r>
          </w:p>
        </w:tc>
        <w:tc>
          <w:tcPr>
            <w:tcW w:w="367" w:type="pct"/>
            <w:shd w:val="clear" w:color="auto" w:fill="FFFFFF"/>
            <w:noWrap/>
            <w:hideMark/>
          </w:tcPr>
          <w:p w14:paraId="5D2E080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11.1</w:t>
            </w:r>
          </w:p>
        </w:tc>
        <w:tc>
          <w:tcPr>
            <w:tcW w:w="367" w:type="pct"/>
            <w:shd w:val="clear" w:color="auto" w:fill="FFFFFF"/>
            <w:noWrap/>
            <w:hideMark/>
          </w:tcPr>
          <w:p w14:paraId="49F80B7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368" w:type="pct"/>
            <w:shd w:val="clear" w:color="auto" w:fill="FFFFFF"/>
            <w:noWrap/>
            <w:hideMark/>
          </w:tcPr>
          <w:p w14:paraId="4BDD33F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445" w:type="pct"/>
            <w:shd w:val="clear" w:color="auto" w:fill="FFFFFF"/>
            <w:noWrap/>
            <w:hideMark/>
          </w:tcPr>
          <w:p w14:paraId="001F731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0.1</w:t>
            </w:r>
          </w:p>
        </w:tc>
        <w:tc>
          <w:tcPr>
            <w:tcW w:w="444" w:type="pct"/>
            <w:shd w:val="clear" w:color="auto" w:fill="FFFFFF"/>
            <w:noWrap/>
            <w:hideMark/>
          </w:tcPr>
          <w:p w14:paraId="518FAD9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r>
      <w:tr w:rsidR="00957A0B" w:rsidRPr="009C5F11" w14:paraId="1E8D3395" w14:textId="77777777" w:rsidTr="00957A0B">
        <w:trPr>
          <w:trHeight w:val="107"/>
          <w:jc w:val="center"/>
        </w:trPr>
        <w:tc>
          <w:tcPr>
            <w:tcW w:w="1193" w:type="pct"/>
            <w:shd w:val="clear" w:color="auto" w:fill="FFFFFF"/>
            <w:noWrap/>
          </w:tcPr>
          <w:p w14:paraId="1987182D" w14:textId="77777777" w:rsidR="00BC2ED4" w:rsidRPr="009C5F11" w:rsidRDefault="00957A0B"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Reţelele</w:t>
            </w:r>
            <w:r w:rsidR="00BC2ED4" w:rsidRPr="009C5F11">
              <w:rPr>
                <w:rFonts w:ascii="Times New Roman" w:hAnsi="Times New Roman" w:cs="Times New Roman"/>
                <w:sz w:val="20"/>
                <w:szCs w:val="16"/>
                <w:lang w:val="ro-RO"/>
              </w:rPr>
              <w:t xml:space="preserve"> termice mun. Comrat</w:t>
            </w:r>
          </w:p>
        </w:tc>
        <w:tc>
          <w:tcPr>
            <w:tcW w:w="365" w:type="pct"/>
            <w:shd w:val="clear" w:color="auto" w:fill="FFFFFF"/>
            <w:noWrap/>
          </w:tcPr>
          <w:p w14:paraId="6EB744A5"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7.1</w:t>
            </w:r>
          </w:p>
        </w:tc>
        <w:tc>
          <w:tcPr>
            <w:tcW w:w="369" w:type="pct"/>
            <w:shd w:val="clear" w:color="auto" w:fill="FFFFFF"/>
            <w:noWrap/>
          </w:tcPr>
          <w:p w14:paraId="07D1670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6.6</w:t>
            </w:r>
          </w:p>
        </w:tc>
        <w:tc>
          <w:tcPr>
            <w:tcW w:w="367" w:type="pct"/>
            <w:shd w:val="clear" w:color="auto" w:fill="FFFFFF"/>
            <w:noWrap/>
          </w:tcPr>
          <w:p w14:paraId="076A3F6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6.0</w:t>
            </w:r>
          </w:p>
        </w:tc>
        <w:tc>
          <w:tcPr>
            <w:tcW w:w="369" w:type="pct"/>
            <w:gridSpan w:val="2"/>
            <w:shd w:val="clear" w:color="auto" w:fill="FFFFFF"/>
            <w:noWrap/>
          </w:tcPr>
          <w:p w14:paraId="120F0D51"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5.8</w:t>
            </w:r>
          </w:p>
        </w:tc>
        <w:tc>
          <w:tcPr>
            <w:tcW w:w="346" w:type="pct"/>
            <w:shd w:val="clear" w:color="auto" w:fill="FFFFFF"/>
            <w:noWrap/>
          </w:tcPr>
          <w:p w14:paraId="667E870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2.8</w:t>
            </w:r>
          </w:p>
        </w:tc>
        <w:tc>
          <w:tcPr>
            <w:tcW w:w="367" w:type="pct"/>
            <w:shd w:val="clear" w:color="auto" w:fill="FFFFFF"/>
            <w:noWrap/>
          </w:tcPr>
          <w:p w14:paraId="1F1031D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3.0</w:t>
            </w:r>
          </w:p>
        </w:tc>
        <w:tc>
          <w:tcPr>
            <w:tcW w:w="367" w:type="pct"/>
            <w:shd w:val="clear" w:color="auto" w:fill="FFFFFF"/>
            <w:noWrap/>
          </w:tcPr>
          <w:p w14:paraId="4B554525"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3.3</w:t>
            </w:r>
          </w:p>
        </w:tc>
        <w:tc>
          <w:tcPr>
            <w:tcW w:w="368" w:type="pct"/>
            <w:shd w:val="clear" w:color="auto" w:fill="FFFFFF"/>
            <w:noWrap/>
          </w:tcPr>
          <w:p w14:paraId="214A8B3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3.4</w:t>
            </w:r>
          </w:p>
        </w:tc>
        <w:tc>
          <w:tcPr>
            <w:tcW w:w="445" w:type="pct"/>
            <w:shd w:val="clear" w:color="auto" w:fill="FFFFFF"/>
            <w:noWrap/>
          </w:tcPr>
          <w:p w14:paraId="43CA75B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0.4</w:t>
            </w:r>
          </w:p>
        </w:tc>
        <w:tc>
          <w:tcPr>
            <w:tcW w:w="444" w:type="pct"/>
            <w:shd w:val="clear" w:color="auto" w:fill="FFFFFF"/>
            <w:noWrap/>
          </w:tcPr>
          <w:p w14:paraId="4913FAE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0.1</w:t>
            </w:r>
          </w:p>
        </w:tc>
      </w:tr>
      <w:tr w:rsidR="00957A0B" w:rsidRPr="009C5F11" w14:paraId="7A867F3D" w14:textId="77777777" w:rsidTr="00957A0B">
        <w:trPr>
          <w:trHeight w:val="107"/>
          <w:jc w:val="center"/>
        </w:trPr>
        <w:tc>
          <w:tcPr>
            <w:tcW w:w="1193" w:type="pct"/>
            <w:shd w:val="clear" w:color="auto" w:fill="FFFFFF"/>
            <w:noWrap/>
          </w:tcPr>
          <w:p w14:paraId="2A008F6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 xml:space="preserve">Antermo, </w:t>
            </w:r>
            <w:r w:rsidR="005D06FD" w:rsidRPr="009C5F11">
              <w:rPr>
                <w:rFonts w:ascii="Times New Roman" w:hAnsi="Times New Roman" w:cs="Times New Roman"/>
                <w:sz w:val="20"/>
                <w:szCs w:val="16"/>
                <w:lang w:val="ro-RO"/>
              </w:rPr>
              <w:t>Anenii Noi</w:t>
            </w:r>
          </w:p>
        </w:tc>
        <w:tc>
          <w:tcPr>
            <w:tcW w:w="365" w:type="pct"/>
            <w:shd w:val="clear" w:color="auto" w:fill="FFFFFF"/>
            <w:noWrap/>
          </w:tcPr>
          <w:p w14:paraId="728B408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2.3</w:t>
            </w:r>
          </w:p>
        </w:tc>
        <w:tc>
          <w:tcPr>
            <w:tcW w:w="369" w:type="pct"/>
            <w:shd w:val="clear" w:color="auto" w:fill="FFFFFF"/>
            <w:noWrap/>
          </w:tcPr>
          <w:p w14:paraId="6338805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2.0</w:t>
            </w:r>
          </w:p>
        </w:tc>
        <w:tc>
          <w:tcPr>
            <w:tcW w:w="367" w:type="pct"/>
            <w:shd w:val="clear" w:color="auto" w:fill="FFFFFF"/>
            <w:noWrap/>
          </w:tcPr>
          <w:p w14:paraId="09A18ED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1.5</w:t>
            </w:r>
          </w:p>
        </w:tc>
        <w:tc>
          <w:tcPr>
            <w:tcW w:w="369" w:type="pct"/>
            <w:gridSpan w:val="2"/>
            <w:shd w:val="clear" w:color="auto" w:fill="FFFFFF"/>
            <w:noWrap/>
          </w:tcPr>
          <w:p w14:paraId="15F2594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w:t>
            </w:r>
          </w:p>
        </w:tc>
        <w:tc>
          <w:tcPr>
            <w:tcW w:w="346" w:type="pct"/>
            <w:shd w:val="clear" w:color="auto" w:fill="FFFFFF"/>
            <w:noWrap/>
          </w:tcPr>
          <w:p w14:paraId="0D58AE7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8.7</w:t>
            </w:r>
          </w:p>
        </w:tc>
        <w:tc>
          <w:tcPr>
            <w:tcW w:w="367" w:type="pct"/>
            <w:shd w:val="clear" w:color="auto" w:fill="FFFFFF"/>
            <w:noWrap/>
          </w:tcPr>
          <w:p w14:paraId="1E2A2715"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10.0</w:t>
            </w:r>
          </w:p>
        </w:tc>
        <w:tc>
          <w:tcPr>
            <w:tcW w:w="367" w:type="pct"/>
            <w:shd w:val="clear" w:color="auto" w:fill="FFFFFF"/>
            <w:noWrap/>
          </w:tcPr>
          <w:p w14:paraId="522A234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6.7</w:t>
            </w:r>
          </w:p>
        </w:tc>
        <w:tc>
          <w:tcPr>
            <w:tcW w:w="368" w:type="pct"/>
            <w:shd w:val="clear" w:color="auto" w:fill="FFFFFF"/>
            <w:noWrap/>
          </w:tcPr>
          <w:p w14:paraId="35981BA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10.0</w:t>
            </w:r>
          </w:p>
        </w:tc>
        <w:tc>
          <w:tcPr>
            <w:tcW w:w="445" w:type="pct"/>
            <w:shd w:val="clear" w:color="auto" w:fill="FFFFFF"/>
            <w:noWrap/>
          </w:tcPr>
          <w:p w14:paraId="276AC79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0.1</w:t>
            </w:r>
          </w:p>
        </w:tc>
        <w:tc>
          <w:tcPr>
            <w:tcW w:w="444" w:type="pct"/>
            <w:shd w:val="clear" w:color="auto" w:fill="FFFFFF"/>
            <w:noWrap/>
          </w:tcPr>
          <w:p w14:paraId="4677BC7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r>
      <w:tr w:rsidR="00957A0B" w:rsidRPr="009C5F11" w14:paraId="72138048" w14:textId="77777777" w:rsidTr="00957A0B">
        <w:trPr>
          <w:trHeight w:val="107"/>
          <w:jc w:val="center"/>
        </w:trPr>
        <w:tc>
          <w:tcPr>
            <w:tcW w:w="1193" w:type="pct"/>
            <w:shd w:val="clear" w:color="auto" w:fill="FFFFFF"/>
            <w:noWrap/>
          </w:tcPr>
          <w:p w14:paraId="14CC4F15" w14:textId="77777777" w:rsidR="00BC2ED4" w:rsidRPr="009C5F11" w:rsidRDefault="00957A0B"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Reţelele</w:t>
            </w:r>
            <w:r w:rsidR="00BC2ED4" w:rsidRPr="009C5F11">
              <w:rPr>
                <w:rFonts w:ascii="Times New Roman" w:hAnsi="Times New Roman" w:cs="Times New Roman"/>
                <w:sz w:val="20"/>
                <w:szCs w:val="16"/>
                <w:lang w:val="ro-RO"/>
              </w:rPr>
              <w:t xml:space="preserve"> Termice </w:t>
            </w:r>
            <w:r w:rsidR="005D06FD" w:rsidRPr="009C5F11">
              <w:rPr>
                <w:rFonts w:ascii="Times New Roman" w:hAnsi="Times New Roman" w:cs="Times New Roman"/>
                <w:sz w:val="20"/>
                <w:szCs w:val="16"/>
                <w:lang w:val="ro-RO"/>
              </w:rPr>
              <w:t>Ştefan-Vodă</w:t>
            </w:r>
          </w:p>
        </w:tc>
        <w:tc>
          <w:tcPr>
            <w:tcW w:w="365" w:type="pct"/>
            <w:shd w:val="clear" w:color="auto" w:fill="FFFFFF"/>
            <w:noWrap/>
          </w:tcPr>
          <w:p w14:paraId="7D029F48"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1.3</w:t>
            </w:r>
          </w:p>
        </w:tc>
        <w:tc>
          <w:tcPr>
            <w:tcW w:w="369" w:type="pct"/>
            <w:shd w:val="clear" w:color="auto" w:fill="FFFFFF"/>
            <w:noWrap/>
          </w:tcPr>
          <w:p w14:paraId="68A5985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1.2</w:t>
            </w:r>
          </w:p>
        </w:tc>
        <w:tc>
          <w:tcPr>
            <w:tcW w:w="367" w:type="pct"/>
            <w:shd w:val="clear" w:color="auto" w:fill="FFFFFF"/>
            <w:noWrap/>
          </w:tcPr>
          <w:p w14:paraId="33D3613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w:t>
            </w:r>
          </w:p>
        </w:tc>
        <w:tc>
          <w:tcPr>
            <w:tcW w:w="369" w:type="pct"/>
            <w:gridSpan w:val="2"/>
            <w:shd w:val="clear" w:color="auto" w:fill="FFFFFF"/>
            <w:noWrap/>
          </w:tcPr>
          <w:p w14:paraId="4F4603C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0.7</w:t>
            </w:r>
          </w:p>
        </w:tc>
        <w:tc>
          <w:tcPr>
            <w:tcW w:w="346" w:type="pct"/>
            <w:shd w:val="clear" w:color="auto" w:fill="FFFFFF"/>
            <w:noWrap/>
          </w:tcPr>
          <w:p w14:paraId="4C0BBFF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7.7</w:t>
            </w:r>
          </w:p>
        </w:tc>
        <w:tc>
          <w:tcPr>
            <w:tcW w:w="367" w:type="pct"/>
            <w:shd w:val="clear" w:color="auto" w:fill="FFFFFF"/>
            <w:noWrap/>
          </w:tcPr>
          <w:p w14:paraId="79D1067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8.3</w:t>
            </w:r>
          </w:p>
        </w:tc>
        <w:tc>
          <w:tcPr>
            <w:tcW w:w="367" w:type="pct"/>
            <w:shd w:val="clear" w:color="auto" w:fill="FFFFFF"/>
            <w:noWrap/>
          </w:tcPr>
          <w:p w14:paraId="62F17D29"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10.0</w:t>
            </w:r>
          </w:p>
        </w:tc>
        <w:tc>
          <w:tcPr>
            <w:tcW w:w="368" w:type="pct"/>
            <w:shd w:val="clear" w:color="auto" w:fill="FFFFFF"/>
            <w:noWrap/>
          </w:tcPr>
          <w:p w14:paraId="655B72D2"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14.3</w:t>
            </w:r>
          </w:p>
        </w:tc>
        <w:tc>
          <w:tcPr>
            <w:tcW w:w="445" w:type="pct"/>
            <w:shd w:val="clear" w:color="auto" w:fill="FFFFFF"/>
            <w:noWrap/>
          </w:tcPr>
          <w:p w14:paraId="0050D5D5"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c>
          <w:tcPr>
            <w:tcW w:w="444" w:type="pct"/>
            <w:shd w:val="clear" w:color="auto" w:fill="FFFFFF"/>
            <w:noWrap/>
          </w:tcPr>
          <w:p w14:paraId="3828034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r>
      <w:tr w:rsidR="00957A0B" w:rsidRPr="009C5F11" w14:paraId="4565FC38" w14:textId="77777777" w:rsidTr="00957A0B">
        <w:trPr>
          <w:trHeight w:val="107"/>
          <w:jc w:val="center"/>
        </w:trPr>
        <w:tc>
          <w:tcPr>
            <w:tcW w:w="1193" w:type="pct"/>
            <w:shd w:val="clear" w:color="auto" w:fill="FFFFFF"/>
            <w:noWrap/>
          </w:tcPr>
          <w:p w14:paraId="712D342D" w14:textId="77777777" w:rsidR="00BC2ED4" w:rsidRPr="009C5F11" w:rsidRDefault="00957A0B"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Reţelele</w:t>
            </w:r>
            <w:r w:rsidR="00BC2ED4" w:rsidRPr="009C5F11">
              <w:rPr>
                <w:rFonts w:ascii="Times New Roman" w:hAnsi="Times New Roman" w:cs="Times New Roman"/>
                <w:sz w:val="20"/>
                <w:szCs w:val="16"/>
                <w:lang w:val="ro-RO"/>
              </w:rPr>
              <w:t xml:space="preserve"> Termice Cahul</w:t>
            </w:r>
          </w:p>
        </w:tc>
        <w:tc>
          <w:tcPr>
            <w:tcW w:w="365" w:type="pct"/>
            <w:shd w:val="clear" w:color="auto" w:fill="FFFFFF"/>
            <w:noWrap/>
          </w:tcPr>
          <w:p w14:paraId="6E37A372"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7.4</w:t>
            </w:r>
          </w:p>
        </w:tc>
        <w:tc>
          <w:tcPr>
            <w:tcW w:w="369" w:type="pct"/>
            <w:shd w:val="clear" w:color="auto" w:fill="FFFFFF"/>
            <w:noWrap/>
          </w:tcPr>
          <w:p w14:paraId="67864B6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5.1</w:t>
            </w:r>
          </w:p>
        </w:tc>
        <w:tc>
          <w:tcPr>
            <w:tcW w:w="367" w:type="pct"/>
            <w:shd w:val="clear" w:color="auto" w:fill="FFFFFF"/>
            <w:noWrap/>
          </w:tcPr>
          <w:p w14:paraId="26081D3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0.7</w:t>
            </w:r>
          </w:p>
        </w:tc>
        <w:tc>
          <w:tcPr>
            <w:tcW w:w="369" w:type="pct"/>
            <w:gridSpan w:val="2"/>
            <w:shd w:val="clear" w:color="auto" w:fill="FFFFFF"/>
            <w:noWrap/>
          </w:tcPr>
          <w:p w14:paraId="20559C8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0.7</w:t>
            </w:r>
          </w:p>
        </w:tc>
        <w:tc>
          <w:tcPr>
            <w:tcW w:w="346" w:type="pct"/>
            <w:shd w:val="clear" w:color="auto" w:fill="FFFFFF"/>
            <w:noWrap/>
          </w:tcPr>
          <w:p w14:paraId="0F63915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2.7</w:t>
            </w:r>
          </w:p>
        </w:tc>
        <w:tc>
          <w:tcPr>
            <w:tcW w:w="367" w:type="pct"/>
            <w:shd w:val="clear" w:color="auto" w:fill="FFFFFF"/>
            <w:noWrap/>
          </w:tcPr>
          <w:p w14:paraId="79CB47F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3.9</w:t>
            </w:r>
          </w:p>
        </w:tc>
        <w:tc>
          <w:tcPr>
            <w:tcW w:w="367" w:type="pct"/>
            <w:shd w:val="clear" w:color="auto" w:fill="FFFFFF"/>
            <w:noWrap/>
          </w:tcPr>
          <w:p w14:paraId="0695942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368" w:type="pct"/>
            <w:shd w:val="clear" w:color="auto" w:fill="FFFFFF"/>
            <w:noWrap/>
          </w:tcPr>
          <w:p w14:paraId="3361243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445" w:type="pct"/>
            <w:shd w:val="clear" w:color="auto" w:fill="FFFFFF"/>
            <w:noWrap/>
          </w:tcPr>
          <w:p w14:paraId="30B609A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c>
          <w:tcPr>
            <w:tcW w:w="444" w:type="pct"/>
            <w:shd w:val="clear" w:color="auto" w:fill="FFFFFF"/>
            <w:noWrap/>
          </w:tcPr>
          <w:p w14:paraId="529BFDD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r>
      <w:tr w:rsidR="00957A0B" w:rsidRPr="009C5F11" w14:paraId="53C4DDCA" w14:textId="77777777" w:rsidTr="00957A0B">
        <w:trPr>
          <w:trHeight w:val="107"/>
          <w:jc w:val="center"/>
        </w:trPr>
        <w:tc>
          <w:tcPr>
            <w:tcW w:w="1193" w:type="pct"/>
            <w:shd w:val="clear" w:color="auto" w:fill="FFFFFF"/>
            <w:noWrap/>
          </w:tcPr>
          <w:p w14:paraId="7489C562" w14:textId="77777777" w:rsidR="00BC2ED4" w:rsidRPr="009C5F11" w:rsidRDefault="00957A0B"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Reţelele</w:t>
            </w:r>
            <w:r w:rsidR="00BC2ED4" w:rsidRPr="009C5F11">
              <w:rPr>
                <w:rFonts w:ascii="Times New Roman" w:hAnsi="Times New Roman" w:cs="Times New Roman"/>
                <w:sz w:val="20"/>
                <w:szCs w:val="16"/>
                <w:lang w:val="ro-RO"/>
              </w:rPr>
              <w:t xml:space="preserve"> Termice Glodeni</w:t>
            </w:r>
          </w:p>
        </w:tc>
        <w:tc>
          <w:tcPr>
            <w:tcW w:w="365" w:type="pct"/>
            <w:shd w:val="clear" w:color="auto" w:fill="FFFFFF"/>
            <w:noWrap/>
          </w:tcPr>
          <w:p w14:paraId="64664705"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3.3</w:t>
            </w:r>
          </w:p>
        </w:tc>
        <w:tc>
          <w:tcPr>
            <w:tcW w:w="369" w:type="pct"/>
            <w:shd w:val="clear" w:color="auto" w:fill="FFFFFF"/>
            <w:noWrap/>
          </w:tcPr>
          <w:p w14:paraId="42BF85E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2.1</w:t>
            </w:r>
          </w:p>
        </w:tc>
        <w:tc>
          <w:tcPr>
            <w:tcW w:w="367" w:type="pct"/>
            <w:shd w:val="clear" w:color="auto" w:fill="FFFFFF"/>
            <w:noWrap/>
          </w:tcPr>
          <w:p w14:paraId="48819948"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c>
          <w:tcPr>
            <w:tcW w:w="369" w:type="pct"/>
            <w:gridSpan w:val="2"/>
            <w:shd w:val="clear" w:color="auto" w:fill="FFFFFF"/>
            <w:noWrap/>
          </w:tcPr>
          <w:p w14:paraId="2EE2443C"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c>
          <w:tcPr>
            <w:tcW w:w="346" w:type="pct"/>
            <w:shd w:val="clear" w:color="auto" w:fill="FFFFFF"/>
            <w:noWrap/>
          </w:tcPr>
          <w:p w14:paraId="39608CE9"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6.1</w:t>
            </w:r>
          </w:p>
        </w:tc>
        <w:tc>
          <w:tcPr>
            <w:tcW w:w="367" w:type="pct"/>
            <w:shd w:val="clear" w:color="auto" w:fill="FFFFFF"/>
            <w:noWrap/>
          </w:tcPr>
          <w:p w14:paraId="480A9BB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9.5</w:t>
            </w:r>
          </w:p>
        </w:tc>
        <w:tc>
          <w:tcPr>
            <w:tcW w:w="367" w:type="pct"/>
            <w:shd w:val="clear" w:color="auto" w:fill="FFFFFF"/>
            <w:noWrap/>
          </w:tcPr>
          <w:p w14:paraId="5A038EFF"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368" w:type="pct"/>
            <w:shd w:val="clear" w:color="auto" w:fill="FFFFFF"/>
            <w:noWrap/>
          </w:tcPr>
          <w:p w14:paraId="5591A13B"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445" w:type="pct"/>
            <w:shd w:val="clear" w:color="auto" w:fill="FFFFFF"/>
            <w:noWrap/>
          </w:tcPr>
          <w:p w14:paraId="4EE3310B"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c>
          <w:tcPr>
            <w:tcW w:w="444" w:type="pct"/>
            <w:shd w:val="clear" w:color="auto" w:fill="FFFFFF"/>
            <w:noWrap/>
          </w:tcPr>
          <w:p w14:paraId="7CDD605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r>
      <w:tr w:rsidR="00957A0B" w:rsidRPr="009C5F11" w14:paraId="1B98B52D" w14:textId="77777777" w:rsidTr="00957A0B">
        <w:trPr>
          <w:trHeight w:val="107"/>
          <w:jc w:val="center"/>
        </w:trPr>
        <w:tc>
          <w:tcPr>
            <w:tcW w:w="1193" w:type="pct"/>
            <w:shd w:val="clear" w:color="auto" w:fill="FFFFFF"/>
            <w:noWrap/>
          </w:tcPr>
          <w:p w14:paraId="427D6A9F" w14:textId="77777777" w:rsidR="00BC2ED4" w:rsidRPr="009C5F11" w:rsidRDefault="00957A0B"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Reţelele</w:t>
            </w:r>
            <w:r w:rsidR="00BC2ED4" w:rsidRPr="009C5F11">
              <w:rPr>
                <w:rFonts w:ascii="Times New Roman" w:hAnsi="Times New Roman" w:cs="Times New Roman"/>
                <w:sz w:val="20"/>
                <w:szCs w:val="16"/>
                <w:lang w:val="ro-RO"/>
              </w:rPr>
              <w:t xml:space="preserve"> Termice Criuleni</w:t>
            </w:r>
          </w:p>
        </w:tc>
        <w:tc>
          <w:tcPr>
            <w:tcW w:w="365" w:type="pct"/>
            <w:shd w:val="clear" w:color="auto" w:fill="FFFFFF"/>
            <w:noWrap/>
          </w:tcPr>
          <w:p w14:paraId="6070203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1.9</w:t>
            </w:r>
          </w:p>
        </w:tc>
        <w:tc>
          <w:tcPr>
            <w:tcW w:w="369" w:type="pct"/>
            <w:shd w:val="clear" w:color="auto" w:fill="FFFFFF"/>
            <w:noWrap/>
          </w:tcPr>
          <w:p w14:paraId="4891B321"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1.3</w:t>
            </w:r>
          </w:p>
        </w:tc>
        <w:tc>
          <w:tcPr>
            <w:tcW w:w="367" w:type="pct"/>
            <w:shd w:val="clear" w:color="auto" w:fill="FFFFFF"/>
            <w:noWrap/>
          </w:tcPr>
          <w:p w14:paraId="1891D33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0.4</w:t>
            </w:r>
          </w:p>
        </w:tc>
        <w:tc>
          <w:tcPr>
            <w:tcW w:w="369" w:type="pct"/>
            <w:gridSpan w:val="2"/>
            <w:shd w:val="clear" w:color="auto" w:fill="FFFFFF"/>
            <w:noWrap/>
          </w:tcPr>
          <w:p w14:paraId="2D60400B"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c>
          <w:tcPr>
            <w:tcW w:w="346" w:type="pct"/>
            <w:shd w:val="clear" w:color="auto" w:fill="FFFFFF"/>
            <w:noWrap/>
          </w:tcPr>
          <w:p w14:paraId="6085AAC7"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15.8</w:t>
            </w:r>
          </w:p>
        </w:tc>
        <w:tc>
          <w:tcPr>
            <w:tcW w:w="367" w:type="pct"/>
            <w:shd w:val="clear" w:color="auto" w:fill="FFFFFF"/>
            <w:noWrap/>
          </w:tcPr>
          <w:p w14:paraId="02F58AC2"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30.8</w:t>
            </w:r>
          </w:p>
        </w:tc>
        <w:tc>
          <w:tcPr>
            <w:tcW w:w="367" w:type="pct"/>
            <w:shd w:val="clear" w:color="auto" w:fill="FFFFFF"/>
            <w:noWrap/>
          </w:tcPr>
          <w:p w14:paraId="20D8EEA0"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50.0</w:t>
            </w:r>
          </w:p>
        </w:tc>
        <w:tc>
          <w:tcPr>
            <w:tcW w:w="368" w:type="pct"/>
            <w:shd w:val="clear" w:color="auto" w:fill="FFFFFF"/>
            <w:noWrap/>
          </w:tcPr>
          <w:p w14:paraId="3D4721C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w:t>
            </w:r>
          </w:p>
        </w:tc>
        <w:tc>
          <w:tcPr>
            <w:tcW w:w="445" w:type="pct"/>
            <w:shd w:val="clear" w:color="auto" w:fill="FFFFFF"/>
            <w:noWrap/>
          </w:tcPr>
          <w:p w14:paraId="6CE8B6B9"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c>
          <w:tcPr>
            <w:tcW w:w="444" w:type="pct"/>
            <w:shd w:val="clear" w:color="auto" w:fill="FFFFFF"/>
            <w:noWrap/>
          </w:tcPr>
          <w:p w14:paraId="36B6BDB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0.0</w:t>
            </w:r>
          </w:p>
        </w:tc>
      </w:tr>
      <w:tr w:rsidR="00957A0B" w:rsidRPr="009C5F11" w14:paraId="051FC287" w14:textId="77777777" w:rsidTr="00957A0B">
        <w:trPr>
          <w:trHeight w:val="107"/>
          <w:jc w:val="center"/>
        </w:trPr>
        <w:tc>
          <w:tcPr>
            <w:tcW w:w="1193" w:type="pct"/>
            <w:shd w:val="clear" w:color="auto" w:fill="FFFFFF"/>
            <w:noWrap/>
          </w:tcPr>
          <w:p w14:paraId="4C6B52D1"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Centrale</w:t>
            </w:r>
            <w:r w:rsidR="00957A0B" w:rsidRPr="009C5F11">
              <w:rPr>
                <w:rFonts w:ascii="Times New Roman" w:hAnsi="Times New Roman" w:cs="Times New Roman"/>
                <w:sz w:val="20"/>
                <w:szCs w:val="16"/>
                <w:lang w:val="ro-RO"/>
              </w:rPr>
              <w:t xml:space="preserve"> şi Reţele</w:t>
            </w:r>
            <w:r w:rsidRPr="009C5F11">
              <w:rPr>
                <w:rFonts w:ascii="Times New Roman" w:hAnsi="Times New Roman" w:cs="Times New Roman"/>
                <w:sz w:val="20"/>
                <w:szCs w:val="16"/>
                <w:lang w:val="ro-RO"/>
              </w:rPr>
              <w:t xml:space="preserve"> Termice, Orhei</w:t>
            </w:r>
          </w:p>
        </w:tc>
        <w:tc>
          <w:tcPr>
            <w:tcW w:w="365" w:type="pct"/>
            <w:shd w:val="clear" w:color="auto" w:fill="FFFFFF"/>
            <w:noWrap/>
          </w:tcPr>
          <w:p w14:paraId="4C55031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6.6</w:t>
            </w:r>
          </w:p>
        </w:tc>
        <w:tc>
          <w:tcPr>
            <w:tcW w:w="369" w:type="pct"/>
            <w:shd w:val="clear" w:color="auto" w:fill="FFFFFF"/>
            <w:noWrap/>
          </w:tcPr>
          <w:p w14:paraId="7464DAD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2.2</w:t>
            </w:r>
          </w:p>
        </w:tc>
        <w:tc>
          <w:tcPr>
            <w:tcW w:w="367" w:type="pct"/>
            <w:shd w:val="clear" w:color="auto" w:fill="FFFFFF"/>
            <w:noWrap/>
          </w:tcPr>
          <w:p w14:paraId="5C2CD84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3.9</w:t>
            </w:r>
          </w:p>
        </w:tc>
        <w:tc>
          <w:tcPr>
            <w:tcW w:w="369" w:type="pct"/>
            <w:gridSpan w:val="2"/>
            <w:shd w:val="clear" w:color="auto" w:fill="FFFFFF"/>
            <w:noWrap/>
          </w:tcPr>
          <w:p w14:paraId="3F72EC99"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3.4</w:t>
            </w:r>
          </w:p>
        </w:tc>
        <w:tc>
          <w:tcPr>
            <w:tcW w:w="346" w:type="pct"/>
            <w:shd w:val="clear" w:color="auto" w:fill="FFFFFF"/>
            <w:noWrap/>
          </w:tcPr>
          <w:p w14:paraId="36EB6F4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4.5</w:t>
            </w:r>
          </w:p>
        </w:tc>
        <w:tc>
          <w:tcPr>
            <w:tcW w:w="367" w:type="pct"/>
            <w:shd w:val="clear" w:color="auto" w:fill="FFFFFF"/>
            <w:noWrap/>
          </w:tcPr>
          <w:p w14:paraId="01185AB3"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4.5</w:t>
            </w:r>
          </w:p>
        </w:tc>
        <w:tc>
          <w:tcPr>
            <w:tcW w:w="367" w:type="pct"/>
            <w:shd w:val="clear" w:color="auto" w:fill="FFFFFF"/>
            <w:noWrap/>
          </w:tcPr>
          <w:p w14:paraId="1E5C341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5.1</w:t>
            </w:r>
          </w:p>
        </w:tc>
        <w:tc>
          <w:tcPr>
            <w:tcW w:w="368" w:type="pct"/>
            <w:shd w:val="clear" w:color="auto" w:fill="FFFFFF"/>
            <w:noWrap/>
          </w:tcPr>
          <w:p w14:paraId="5246E62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5.9</w:t>
            </w:r>
          </w:p>
        </w:tc>
        <w:tc>
          <w:tcPr>
            <w:tcW w:w="445" w:type="pct"/>
            <w:shd w:val="clear" w:color="auto" w:fill="FFFFFF"/>
            <w:noWrap/>
          </w:tcPr>
          <w:p w14:paraId="04F8CB1E"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0.2</w:t>
            </w:r>
          </w:p>
        </w:tc>
        <w:tc>
          <w:tcPr>
            <w:tcW w:w="444" w:type="pct"/>
            <w:shd w:val="clear" w:color="auto" w:fill="FFFFFF"/>
            <w:noWrap/>
          </w:tcPr>
          <w:p w14:paraId="5794DE4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0.1</w:t>
            </w:r>
          </w:p>
        </w:tc>
      </w:tr>
      <w:tr w:rsidR="00957A0B" w:rsidRPr="009C5F11" w14:paraId="72A3E8AE" w14:textId="77777777" w:rsidTr="00957A0B">
        <w:trPr>
          <w:trHeight w:val="107"/>
          <w:jc w:val="center"/>
        </w:trPr>
        <w:tc>
          <w:tcPr>
            <w:tcW w:w="1193" w:type="pct"/>
            <w:shd w:val="clear" w:color="auto" w:fill="DBE5F1"/>
            <w:noWrap/>
          </w:tcPr>
          <w:p w14:paraId="2E767722" w14:textId="77777777" w:rsidR="00BC2ED4" w:rsidRPr="009C5F11" w:rsidRDefault="00957A0B" w:rsidP="00957A0B">
            <w:pPr>
              <w:spacing w:after="0" w:line="240" w:lineRule="auto"/>
              <w:rPr>
                <w:rFonts w:ascii="Times New Roman" w:hAnsi="Times New Roman" w:cs="Times New Roman"/>
                <w:sz w:val="20"/>
                <w:szCs w:val="16"/>
                <w:lang w:val="ro-RO"/>
              </w:rPr>
            </w:pPr>
            <w:r w:rsidRPr="009C5F11">
              <w:rPr>
                <w:rFonts w:ascii="Times New Roman" w:eastAsia="Times New Roman" w:hAnsi="Times New Roman" w:cs="Times New Roman"/>
                <w:bCs/>
                <w:sz w:val="20"/>
                <w:szCs w:val="16"/>
                <w:lang w:val="ro-RO"/>
              </w:rPr>
              <w:t xml:space="preserve">Energie termică furnizată </w:t>
            </w:r>
            <w:r w:rsidRPr="009C5F11">
              <w:rPr>
                <w:rFonts w:ascii="Times New Roman" w:hAnsi="Times New Roman" w:cs="Times New Roman"/>
                <w:sz w:val="20"/>
                <w:szCs w:val="16"/>
                <w:lang w:val="ro-RO"/>
              </w:rPr>
              <w:t>consumatorilor</w:t>
            </w:r>
            <w:r w:rsidR="00BC2ED4" w:rsidRPr="009C5F11">
              <w:rPr>
                <w:rFonts w:ascii="Times New Roman" w:hAnsi="Times New Roman" w:cs="Times New Roman"/>
                <w:sz w:val="20"/>
                <w:szCs w:val="16"/>
                <w:lang w:val="ro-RO"/>
              </w:rPr>
              <w:t>, 1000 Gcal</w:t>
            </w:r>
          </w:p>
        </w:tc>
        <w:tc>
          <w:tcPr>
            <w:tcW w:w="365" w:type="pct"/>
            <w:shd w:val="clear" w:color="auto" w:fill="DBE5F1"/>
            <w:noWrap/>
          </w:tcPr>
          <w:p w14:paraId="11C50EC6"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w:t>
            </w:r>
            <w:r w:rsidR="00C016DE"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672.9</w:t>
            </w:r>
          </w:p>
        </w:tc>
        <w:tc>
          <w:tcPr>
            <w:tcW w:w="369" w:type="pct"/>
            <w:shd w:val="clear" w:color="auto" w:fill="DBE5F1"/>
            <w:noWrap/>
          </w:tcPr>
          <w:p w14:paraId="4FD476FA"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w:t>
            </w:r>
            <w:r w:rsidR="00C016DE"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590.7</w:t>
            </w:r>
          </w:p>
        </w:tc>
        <w:tc>
          <w:tcPr>
            <w:tcW w:w="367" w:type="pct"/>
            <w:shd w:val="clear" w:color="auto" w:fill="DBE5F1"/>
            <w:noWrap/>
          </w:tcPr>
          <w:p w14:paraId="24E545B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w:t>
            </w:r>
            <w:r w:rsidR="00C016DE"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420.4</w:t>
            </w:r>
          </w:p>
        </w:tc>
        <w:tc>
          <w:tcPr>
            <w:tcW w:w="369" w:type="pct"/>
            <w:gridSpan w:val="2"/>
            <w:shd w:val="clear" w:color="auto" w:fill="DBE5F1"/>
            <w:noWrap/>
          </w:tcPr>
          <w:p w14:paraId="0AB1333D"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w:t>
            </w:r>
            <w:r w:rsidR="00C016DE" w:rsidRPr="009C5F11">
              <w:rPr>
                <w:rFonts w:ascii="Times New Roman" w:hAnsi="Times New Roman" w:cs="Times New Roman"/>
                <w:sz w:val="20"/>
                <w:szCs w:val="16"/>
                <w:lang w:val="ro-RO"/>
              </w:rPr>
              <w:t>,</w:t>
            </w:r>
            <w:r w:rsidRPr="009C5F11">
              <w:rPr>
                <w:rFonts w:ascii="Times New Roman" w:hAnsi="Times New Roman" w:cs="Times New Roman"/>
                <w:sz w:val="20"/>
                <w:szCs w:val="16"/>
                <w:lang w:val="ro-RO"/>
              </w:rPr>
              <w:t>422.4</w:t>
            </w:r>
          </w:p>
        </w:tc>
        <w:tc>
          <w:tcPr>
            <w:tcW w:w="346" w:type="pct"/>
            <w:shd w:val="clear" w:color="auto" w:fill="DBE5F1"/>
            <w:noWrap/>
          </w:tcPr>
          <w:p w14:paraId="4B075AE4" w14:textId="77777777" w:rsidR="00BC2ED4" w:rsidRPr="009C5F11" w:rsidRDefault="00BC2ED4" w:rsidP="00430626">
            <w:pPr>
              <w:spacing w:after="0" w:line="240" w:lineRule="auto"/>
              <w:rPr>
                <w:rFonts w:ascii="Times New Roman" w:hAnsi="Times New Roman" w:cs="Times New Roman"/>
                <w:sz w:val="20"/>
                <w:szCs w:val="16"/>
                <w:lang w:val="ro-RO"/>
              </w:rPr>
            </w:pPr>
          </w:p>
        </w:tc>
        <w:tc>
          <w:tcPr>
            <w:tcW w:w="367" w:type="pct"/>
            <w:shd w:val="clear" w:color="auto" w:fill="DBE5F1"/>
            <w:noWrap/>
          </w:tcPr>
          <w:p w14:paraId="7436AB5A" w14:textId="77777777" w:rsidR="00BC2ED4" w:rsidRPr="009C5F11" w:rsidRDefault="00BC2ED4" w:rsidP="00430626">
            <w:pPr>
              <w:spacing w:after="0" w:line="240" w:lineRule="auto"/>
              <w:rPr>
                <w:rFonts w:ascii="Times New Roman" w:hAnsi="Times New Roman" w:cs="Times New Roman"/>
                <w:sz w:val="20"/>
                <w:szCs w:val="16"/>
                <w:lang w:val="ro-RO"/>
              </w:rPr>
            </w:pPr>
          </w:p>
        </w:tc>
        <w:tc>
          <w:tcPr>
            <w:tcW w:w="367" w:type="pct"/>
            <w:shd w:val="clear" w:color="auto" w:fill="DBE5F1"/>
            <w:noWrap/>
          </w:tcPr>
          <w:p w14:paraId="70588352" w14:textId="77777777" w:rsidR="00BC2ED4" w:rsidRPr="009C5F11" w:rsidRDefault="00BC2ED4" w:rsidP="00430626">
            <w:pPr>
              <w:spacing w:after="0" w:line="240" w:lineRule="auto"/>
              <w:rPr>
                <w:rFonts w:ascii="Times New Roman" w:hAnsi="Times New Roman" w:cs="Times New Roman"/>
                <w:sz w:val="20"/>
                <w:szCs w:val="16"/>
                <w:lang w:val="ro-RO"/>
              </w:rPr>
            </w:pPr>
          </w:p>
        </w:tc>
        <w:tc>
          <w:tcPr>
            <w:tcW w:w="368" w:type="pct"/>
            <w:shd w:val="clear" w:color="auto" w:fill="DBE5F1"/>
            <w:noWrap/>
          </w:tcPr>
          <w:p w14:paraId="0EB2C2B9" w14:textId="77777777" w:rsidR="00BC2ED4" w:rsidRPr="009C5F11" w:rsidRDefault="00BC2ED4" w:rsidP="00430626">
            <w:pPr>
              <w:spacing w:after="0" w:line="240" w:lineRule="auto"/>
              <w:rPr>
                <w:rFonts w:ascii="Times New Roman" w:hAnsi="Times New Roman" w:cs="Times New Roman"/>
                <w:sz w:val="20"/>
                <w:szCs w:val="16"/>
                <w:lang w:val="ro-RO"/>
              </w:rPr>
            </w:pPr>
          </w:p>
        </w:tc>
        <w:tc>
          <w:tcPr>
            <w:tcW w:w="445" w:type="pct"/>
            <w:shd w:val="clear" w:color="auto" w:fill="DBE5F1"/>
            <w:noWrap/>
          </w:tcPr>
          <w:p w14:paraId="7AE4F644"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100.0</w:t>
            </w:r>
          </w:p>
        </w:tc>
        <w:tc>
          <w:tcPr>
            <w:tcW w:w="444" w:type="pct"/>
            <w:shd w:val="clear" w:color="auto" w:fill="DBE5F1"/>
            <w:noWrap/>
          </w:tcPr>
          <w:p w14:paraId="3CC87E59" w14:textId="77777777" w:rsidR="00BC2ED4" w:rsidRPr="009C5F11" w:rsidRDefault="00BC2ED4" w:rsidP="00430626">
            <w:pPr>
              <w:spacing w:after="0" w:line="240" w:lineRule="auto"/>
              <w:rPr>
                <w:rFonts w:ascii="Times New Roman" w:hAnsi="Times New Roman" w:cs="Times New Roman"/>
                <w:sz w:val="20"/>
                <w:szCs w:val="16"/>
                <w:lang w:val="ro-RO"/>
              </w:rPr>
            </w:pPr>
            <w:r w:rsidRPr="009C5F11">
              <w:rPr>
                <w:rFonts w:ascii="Times New Roman" w:hAnsi="Times New Roman" w:cs="Times New Roman"/>
                <w:sz w:val="20"/>
                <w:szCs w:val="16"/>
                <w:lang w:val="ro-RO"/>
              </w:rPr>
              <w:t>100.0</w:t>
            </w:r>
          </w:p>
        </w:tc>
      </w:tr>
    </w:tbl>
    <w:p w14:paraId="15225EF0" w14:textId="77777777" w:rsidR="00BC2ED4" w:rsidRPr="009C5F11" w:rsidRDefault="00BC2ED4" w:rsidP="00BC2ED4">
      <w:pPr>
        <w:spacing w:after="0" w:line="240" w:lineRule="auto"/>
        <w:ind w:left="720"/>
        <w:jc w:val="both"/>
        <w:rPr>
          <w:rFonts w:ascii="Times New Roman" w:hAnsi="Times New Roman" w:cs="Times New Roman"/>
          <w:sz w:val="24"/>
          <w:lang w:val="ro-RO"/>
        </w:rPr>
      </w:pPr>
    </w:p>
    <w:p w14:paraId="0F4428BE" w14:textId="77777777" w:rsidR="00A36467" w:rsidRPr="009C5F11" w:rsidRDefault="00957A0B"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2014, a fost adoptată Metodologia de calcul al valorilor normative pentru pierderile de căldură (18.12.2014). Metodologia este obligatorie pentru toate companiile din reţeaua de furnizare a energiei termice reglementat</w:t>
      </w:r>
      <w:r w:rsidR="00EB71A0" w:rsidRPr="009C5F11">
        <w:rPr>
          <w:rFonts w:ascii="Times New Roman" w:hAnsi="Times New Roman" w:cs="Times New Roman"/>
          <w:sz w:val="24"/>
          <w:lang w:val="ro-RO"/>
        </w:rPr>
        <w:t>ă</w:t>
      </w:r>
      <w:r w:rsidRPr="009C5F11">
        <w:rPr>
          <w:rFonts w:ascii="Times New Roman" w:hAnsi="Times New Roman" w:cs="Times New Roman"/>
          <w:sz w:val="24"/>
          <w:lang w:val="ro-RO"/>
        </w:rPr>
        <w:t xml:space="preserve"> de ANRE şi urmăreşte scopul de a îmbunătăţi activitatea de furnizare a energiei termice.</w:t>
      </w:r>
    </w:p>
    <w:p w14:paraId="5CFEBD3C" w14:textId="77777777" w:rsidR="00A36467" w:rsidRPr="009C5F11" w:rsidRDefault="00957A0B"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Proiectul BIRD de îmbunătăţire a eficienţei sectorului de alimentare centralizată cu energie termică va contribui cu 3 ktep la reducerea pierderilor de căldură, pe lângă economiile mai mari ce provin din reducerea consumului de energie electrică şi gaze naturale</w:t>
      </w:r>
      <w:r w:rsidR="00BC2ED4" w:rsidRPr="009C5F11">
        <w:rPr>
          <w:rFonts w:ascii="Times New Roman" w:hAnsi="Times New Roman" w:cs="Times New Roman"/>
          <w:sz w:val="24"/>
          <w:lang w:val="ro-RO"/>
        </w:rPr>
        <w:t xml:space="preserve">. </w:t>
      </w:r>
    </w:p>
    <w:p w14:paraId="2256CEC0" w14:textId="77777777" w:rsidR="00A36467" w:rsidRPr="009C5F11" w:rsidRDefault="002306B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PNAEE 2016-2018 include, ca măsură orizontală H1 - </w:t>
      </w:r>
      <w:r w:rsidRPr="009C5F11">
        <w:rPr>
          <w:rFonts w:ascii="Times New Roman" w:hAnsi="Times New Roman" w:cs="Times New Roman"/>
          <w:i/>
          <w:sz w:val="24"/>
          <w:lang w:val="ro-RO"/>
        </w:rPr>
        <w:t>Evaluarea potențialului de economisire a energiei pentru Moldova.</w:t>
      </w:r>
    </w:p>
    <w:p w14:paraId="0D60657B" w14:textId="774664F4" w:rsidR="002306B8" w:rsidRPr="009C5F11" w:rsidRDefault="002306B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mod specific evaluarea pe care măsura o va facilita va aborda infrastructura de gaze și de energie electrică , în special în ceea ce privește transportul, distribuția, gestionarea sarcinii și interoperabilitatea, conectarea la instalațiile de generare a energiei , inclusiv posibilitățile pentru micro generarea energiei.</w:t>
      </w:r>
    </w:p>
    <w:p w14:paraId="4621E2AB" w14:textId="77777777" w:rsidR="002306B8" w:rsidRPr="009C5F11" w:rsidRDefault="002306B8" w:rsidP="002306B8">
      <w:pPr>
        <w:spacing w:before="120" w:after="120" w:line="240" w:lineRule="auto"/>
        <w:jc w:val="both"/>
        <w:rPr>
          <w:rFonts w:ascii="Times New Roman" w:hAnsi="Times New Roman" w:cs="Times New Roman"/>
          <w:sz w:val="24"/>
          <w:lang w:val="ro-RO"/>
        </w:rPr>
        <w:sectPr w:rsidR="002306B8" w:rsidRPr="009C5F11" w:rsidSect="00C05708">
          <w:headerReference w:type="default" r:id="rId22"/>
          <w:pgSz w:w="16840" w:h="11900" w:orient="landscape" w:code="9"/>
          <w:pgMar w:top="1440" w:right="1440" w:bottom="1440" w:left="1440" w:header="720" w:footer="720" w:gutter="0"/>
          <w:cols w:space="720"/>
          <w:docGrid w:linePitch="360"/>
        </w:sectPr>
      </w:pPr>
    </w:p>
    <w:p w14:paraId="1D01A2CC" w14:textId="77777777" w:rsidR="00BC2ED4" w:rsidRPr="00921CF1" w:rsidRDefault="00D15C6C" w:rsidP="000A19BC">
      <w:pPr>
        <w:pStyle w:val="Titlu2"/>
        <w:rPr>
          <w:rFonts w:ascii="Times New Roman" w:hAnsi="Times New Roman" w:cs="Times New Roman"/>
          <w:color w:val="000000" w:themeColor="text1"/>
          <w:sz w:val="28"/>
          <w:lang w:val="ro-RO"/>
        </w:rPr>
      </w:pPr>
      <w:bookmarkStart w:id="394" w:name="_Toc322013211"/>
      <w:r w:rsidRPr="00921CF1">
        <w:rPr>
          <w:rFonts w:ascii="Times New Roman" w:hAnsi="Times New Roman" w:cs="Times New Roman"/>
          <w:color w:val="000000" w:themeColor="text1"/>
          <w:sz w:val="28"/>
          <w:lang w:val="ro-RO"/>
        </w:rPr>
        <w:lastRenderedPageBreak/>
        <w:t>Disponibilitatea schemelor de calificare, acreditare şi certificare</w:t>
      </w:r>
      <w:bookmarkEnd w:id="394"/>
    </w:p>
    <w:p w14:paraId="62CF3C6E" w14:textId="5DEC0E2D" w:rsidR="00BC2ED4" w:rsidRPr="009C5F11" w:rsidRDefault="008E0271"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ceea ce priveşte</w:t>
      </w:r>
      <w:r w:rsidR="00BC2ED4" w:rsidRPr="009C5F11">
        <w:rPr>
          <w:rFonts w:ascii="Times New Roman" w:hAnsi="Times New Roman" w:cs="Times New Roman"/>
          <w:sz w:val="24"/>
          <w:lang w:val="ro-RO"/>
        </w:rPr>
        <w:t xml:space="preserve"> </w:t>
      </w:r>
      <w:r w:rsidR="00AF3F8A" w:rsidRPr="009C5F11">
        <w:rPr>
          <w:rFonts w:ascii="Times New Roman" w:hAnsi="Times New Roman" w:cs="Times New Roman"/>
          <w:sz w:val="24"/>
          <w:lang w:val="ro-RO"/>
        </w:rPr>
        <w:t xml:space="preserve">autorizarea </w:t>
      </w:r>
      <w:r w:rsidR="00FB38BF" w:rsidRPr="009C5F11">
        <w:rPr>
          <w:rFonts w:ascii="Times New Roman" w:hAnsi="Times New Roman" w:cs="Times New Roman"/>
          <w:sz w:val="24"/>
          <w:lang w:val="ro-RO"/>
        </w:rPr>
        <w:t>audit</w:t>
      </w:r>
      <w:r w:rsidR="00AF3F8A" w:rsidRPr="009C5F11">
        <w:rPr>
          <w:rFonts w:ascii="Times New Roman" w:hAnsi="Times New Roman" w:cs="Times New Roman"/>
          <w:sz w:val="24"/>
          <w:lang w:val="ro-RO"/>
        </w:rPr>
        <w:t>orilor</w:t>
      </w:r>
      <w:r w:rsidR="00FB38BF" w:rsidRPr="009C5F11">
        <w:rPr>
          <w:rFonts w:ascii="Times New Roman" w:hAnsi="Times New Roman" w:cs="Times New Roman"/>
          <w:sz w:val="24"/>
          <w:lang w:val="ro-RO"/>
        </w:rPr>
        <w:t xml:space="preserve"> energetic</w:t>
      </w:r>
      <w:r w:rsidR="00AF3F8A" w:rsidRPr="009C5F11">
        <w:rPr>
          <w:rFonts w:ascii="Times New Roman" w:hAnsi="Times New Roman" w:cs="Times New Roman"/>
          <w:sz w:val="24"/>
          <w:lang w:val="ro-RO"/>
        </w:rPr>
        <w:t>i,</w:t>
      </w:r>
      <w:r w:rsidR="00BC2ED4" w:rsidRPr="009C5F11">
        <w:rPr>
          <w:rFonts w:ascii="Times New Roman" w:hAnsi="Times New Roman" w:cs="Times New Roman"/>
          <w:sz w:val="24"/>
          <w:lang w:val="ro-RO"/>
        </w:rPr>
        <w:t xml:space="preserve"> </w:t>
      </w:r>
      <w:r w:rsidR="00EA007D" w:rsidRPr="009C5F11">
        <w:rPr>
          <w:rFonts w:ascii="Times New Roman" w:hAnsi="Times New Roman" w:cs="Times New Roman"/>
          <w:sz w:val="24"/>
          <w:lang w:val="ro-RO"/>
        </w:rPr>
        <w:t>Legea</w:t>
      </w:r>
      <w:r w:rsidR="00055095" w:rsidRPr="009C5F11">
        <w:rPr>
          <w:rFonts w:ascii="Times New Roman" w:hAnsi="Times New Roman" w:cs="Times New Roman"/>
          <w:sz w:val="24"/>
          <w:lang w:val="ro-RO"/>
        </w:rPr>
        <w:t xml:space="preserve"> </w:t>
      </w:r>
      <w:r w:rsidR="00D55D28" w:rsidRPr="009C5F11">
        <w:rPr>
          <w:rFonts w:ascii="Times New Roman" w:hAnsi="Times New Roman" w:cs="Times New Roman"/>
          <w:sz w:val="24"/>
          <w:lang w:val="ro-RO"/>
        </w:rPr>
        <w:t>nr.</w:t>
      </w:r>
      <w:r w:rsidR="00BC2ED4" w:rsidRPr="009C5F11">
        <w:rPr>
          <w:rFonts w:ascii="Times New Roman" w:hAnsi="Times New Roman" w:cs="Times New Roman"/>
          <w:sz w:val="24"/>
          <w:lang w:val="ro-RO"/>
        </w:rPr>
        <w:t xml:space="preserve">142 </w:t>
      </w:r>
      <w:r w:rsidR="00AF3F8A"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02.07.2010 </w:t>
      </w:r>
      <w:r w:rsidR="00AF3F8A" w:rsidRPr="009C5F11">
        <w:rPr>
          <w:rFonts w:ascii="Times New Roman" w:hAnsi="Times New Roman" w:cs="Times New Roman"/>
          <w:sz w:val="24"/>
          <w:lang w:val="ro-RO"/>
        </w:rPr>
        <w:t>cu privire la</w:t>
      </w:r>
      <w:r w:rsidR="00BC2ED4" w:rsidRPr="009C5F11">
        <w:rPr>
          <w:rFonts w:ascii="Times New Roman" w:hAnsi="Times New Roman" w:cs="Times New Roman"/>
          <w:sz w:val="24"/>
          <w:lang w:val="ro-RO"/>
        </w:rPr>
        <w:t xml:space="preserve"> </w:t>
      </w:r>
      <w:r w:rsidR="00AF3F8A" w:rsidRPr="009C5F11">
        <w:rPr>
          <w:rFonts w:ascii="Times New Roman" w:hAnsi="Times New Roman" w:cs="Times New Roman"/>
          <w:sz w:val="24"/>
          <w:lang w:val="ro-RO"/>
        </w:rPr>
        <w:t>e</w:t>
      </w:r>
      <w:r w:rsidR="00FD5F1C" w:rsidRPr="009C5F11">
        <w:rPr>
          <w:rFonts w:ascii="Times New Roman" w:hAnsi="Times New Roman" w:cs="Times New Roman"/>
          <w:sz w:val="24"/>
          <w:lang w:val="ro-RO"/>
        </w:rPr>
        <w:t>ficienţa energetică</w:t>
      </w:r>
      <w:r w:rsidR="00BC2ED4" w:rsidRPr="009C5F11">
        <w:rPr>
          <w:rFonts w:ascii="Times New Roman" w:hAnsi="Times New Roman" w:cs="Times New Roman"/>
          <w:sz w:val="24"/>
          <w:lang w:val="ro-RO"/>
        </w:rPr>
        <w:t xml:space="preserve"> </w:t>
      </w:r>
      <w:r w:rsidR="00AF3F8A" w:rsidRPr="009C5F11">
        <w:rPr>
          <w:rFonts w:ascii="Times New Roman" w:hAnsi="Times New Roman" w:cs="Times New Roman"/>
          <w:sz w:val="24"/>
          <w:lang w:val="ro-RO"/>
        </w:rPr>
        <w:t>stipulează</w:t>
      </w:r>
      <w:r w:rsidR="00321CD5" w:rsidRPr="009C5F11">
        <w:rPr>
          <w:rFonts w:ascii="Times New Roman" w:hAnsi="Times New Roman" w:cs="Times New Roman"/>
          <w:sz w:val="24"/>
          <w:lang w:val="ro-RO"/>
        </w:rPr>
        <w:t xml:space="preserve"> </w:t>
      </w:r>
      <w:r w:rsidR="007E1D16" w:rsidRPr="009C5F11">
        <w:rPr>
          <w:rFonts w:ascii="Times New Roman" w:hAnsi="Times New Roman" w:cs="Times New Roman"/>
          <w:sz w:val="24"/>
          <w:lang w:val="ro-RO"/>
        </w:rPr>
        <w:t>la</w:t>
      </w:r>
      <w:r w:rsidR="00321CD5"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Articolul</w:t>
      </w:r>
      <w:r w:rsidR="00BC2ED4" w:rsidRPr="009C5F11">
        <w:rPr>
          <w:rFonts w:ascii="Times New Roman" w:hAnsi="Times New Roman" w:cs="Times New Roman"/>
          <w:sz w:val="24"/>
          <w:lang w:val="ro-RO"/>
        </w:rPr>
        <w:t xml:space="preserve"> 12 </w:t>
      </w:r>
      <w:r w:rsidR="007E1D16" w:rsidRPr="009C5F11">
        <w:rPr>
          <w:rFonts w:ascii="Times New Roman" w:hAnsi="Times New Roman" w:cs="Times New Roman"/>
          <w:sz w:val="24"/>
          <w:lang w:val="ro-RO"/>
        </w:rPr>
        <w:t>cui poate fi atribuită calitatea de auditor energetic şi în ce condiţii</w:t>
      </w:r>
      <w:r w:rsidR="00BC2ED4" w:rsidRPr="009C5F11">
        <w:rPr>
          <w:rFonts w:ascii="Times New Roman" w:hAnsi="Times New Roman" w:cs="Times New Roman"/>
          <w:sz w:val="24"/>
          <w:lang w:val="ro-RO"/>
        </w:rPr>
        <w:t>:</w:t>
      </w:r>
    </w:p>
    <w:p w14:paraId="434E3D60" w14:textId="77777777" w:rsidR="00BC2ED4" w:rsidRPr="009C5F11" w:rsidRDefault="007E1D16"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Autorizaţia este oferită pe un termen de 3 ani;</w:t>
      </w:r>
      <w:r w:rsidR="00BC2ED4" w:rsidRPr="009C5F11">
        <w:rPr>
          <w:rFonts w:ascii="Times New Roman" w:hAnsi="Times New Roman" w:cs="Times New Roman"/>
          <w:sz w:val="24"/>
          <w:lang w:val="ro-RO"/>
        </w:rPr>
        <w:t xml:space="preserve"> </w:t>
      </w:r>
    </w:p>
    <w:p w14:paraId="2B95578E" w14:textId="77777777" w:rsidR="00BC2ED4" w:rsidRPr="009C5F11" w:rsidRDefault="007E1D16"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Persoanele fizice şi juridice autorizate urmează să se înregistreze în Registrul auditorilor energetici administrat de AEE, care publică lista auditorilor energetici pe pagina sa de Internet.</w:t>
      </w:r>
    </w:p>
    <w:p w14:paraId="1B4CA799" w14:textId="408BF6DA" w:rsidR="00BC2ED4" w:rsidRPr="009C5F11" w:rsidRDefault="007E1D16"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Cu referinţă la dezvoltarea capacităţii managerilor energetici, AEE oferă asistenţă consultativă şi informațională, inter alia, managerilor energetici şi aprobă programe de instruire </w:t>
      </w:r>
      <w:r w:rsidR="00AF77EE" w:rsidRPr="009C5F11">
        <w:rPr>
          <w:rFonts w:ascii="Times New Roman" w:hAnsi="Times New Roman" w:cs="Times New Roman"/>
          <w:sz w:val="24"/>
          <w:lang w:val="ro-RO"/>
        </w:rPr>
        <w:t>(a se vedea</w:t>
      </w:r>
      <w:r w:rsidR="00BC2ED4"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587216" w:rsidRPr="009C5F11">
        <w:rPr>
          <w:rFonts w:ascii="Times New Roman" w:hAnsi="Times New Roman" w:cs="Times New Roman"/>
          <w:sz w:val="24"/>
          <w:lang w:val="ro-RO"/>
        </w:rPr>
        <w:instrText xml:space="preserve"> REF _Ref319628860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29</w:t>
      </w:r>
      <w:r w:rsidR="003A6ADB" w:rsidRPr="009C5F11">
        <w:rPr>
          <w:rFonts w:ascii="Times New Roman" w:hAnsi="Times New Roman" w:cs="Times New Roman"/>
          <w:sz w:val="24"/>
          <w:lang w:val="ro-RO"/>
        </w:rPr>
        <w:fldChar w:fldCharType="end"/>
      </w:r>
      <w:r w:rsidR="00587216" w:rsidRPr="009C5F11">
        <w:rPr>
          <w:rFonts w:ascii="Times New Roman" w:hAnsi="Times New Roman" w:cs="Times New Roman"/>
          <w:sz w:val="24"/>
          <w:lang w:val="ro-RO"/>
        </w:rPr>
        <w:t xml:space="preserve"> </w:t>
      </w:r>
      <w:r w:rsidR="005619E4" w:rsidRPr="009C5F11">
        <w:rPr>
          <w:rFonts w:ascii="Times New Roman" w:hAnsi="Times New Roman" w:cs="Times New Roman"/>
          <w:sz w:val="24"/>
          <w:lang w:val="ro-RO"/>
        </w:rPr>
        <w:t>Secţiunea</w:t>
      </w:r>
      <w:r w:rsidR="00756582" w:rsidRPr="009C5F11">
        <w:rPr>
          <w:rFonts w:ascii="Times New Roman" w:hAnsi="Times New Roman" w:cs="Times New Roman"/>
          <w:sz w:val="24"/>
          <w:lang w:val="ro-RO"/>
        </w:rPr>
        <w:t xml:space="preserve"> </w:t>
      </w:r>
      <w:r w:rsidR="003A6ADB" w:rsidRPr="009C5F11">
        <w:rPr>
          <w:rFonts w:ascii="Times New Roman" w:hAnsi="Times New Roman" w:cs="Times New Roman"/>
          <w:sz w:val="24"/>
          <w:lang w:val="ro-RO"/>
        </w:rPr>
        <w:fldChar w:fldCharType="begin"/>
      </w:r>
      <w:r w:rsidR="00756582" w:rsidRPr="009C5F11">
        <w:rPr>
          <w:rFonts w:ascii="Times New Roman" w:hAnsi="Times New Roman" w:cs="Times New Roman"/>
          <w:sz w:val="24"/>
          <w:lang w:val="ro-RO"/>
        </w:rPr>
        <w:instrText xml:space="preserve"> REF _Ref319687844 \r \h </w:instrText>
      </w:r>
      <w:r w:rsidR="009C5F11" w:rsidRPr="009C5F11">
        <w:rPr>
          <w:rFonts w:ascii="Times New Roman" w:hAnsi="Times New Roman" w:cs="Times New Roman"/>
          <w:sz w:val="24"/>
          <w:lang w:val="ro-RO"/>
        </w:rPr>
        <w:instrText xml:space="preserve"> \* MERGEFORMAT </w:instrText>
      </w:r>
      <w:r w:rsidR="003A6ADB" w:rsidRPr="009C5F11">
        <w:rPr>
          <w:rFonts w:ascii="Times New Roman" w:hAnsi="Times New Roman" w:cs="Times New Roman"/>
          <w:sz w:val="24"/>
          <w:lang w:val="ro-RO"/>
        </w:rPr>
      </w:r>
      <w:r w:rsidR="003A6ADB"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4.3.4</w:t>
      </w:r>
      <w:r w:rsidR="003A6ADB" w:rsidRPr="009C5F11">
        <w:rPr>
          <w:rFonts w:ascii="Times New Roman" w:hAnsi="Times New Roman" w:cs="Times New Roman"/>
          <w:sz w:val="24"/>
          <w:lang w:val="ro-RO"/>
        </w:rPr>
        <w:fldChar w:fldCharType="end"/>
      </w:r>
      <w:r w:rsidR="00756582" w:rsidRPr="009C5F11">
        <w:rPr>
          <w:rFonts w:ascii="Times New Roman" w:hAnsi="Times New Roman" w:cs="Times New Roman"/>
          <w:sz w:val="24"/>
          <w:lang w:val="ro-RO"/>
        </w:rPr>
        <w:t>).</w:t>
      </w:r>
    </w:p>
    <w:p w14:paraId="66C65738" w14:textId="77777777" w:rsidR="00756582" w:rsidRPr="009C5F11" w:rsidRDefault="00756582" w:rsidP="00756582">
      <w:pPr>
        <w:spacing w:before="120" w:after="120" w:line="240" w:lineRule="auto"/>
        <w:jc w:val="both"/>
        <w:rPr>
          <w:rFonts w:ascii="Times New Roman" w:hAnsi="Times New Roman" w:cs="Times New Roman"/>
          <w:sz w:val="24"/>
          <w:lang w:val="ro-RO"/>
        </w:rPr>
      </w:pPr>
    </w:p>
    <w:p w14:paraId="620CF9DA" w14:textId="77777777" w:rsidR="00BC2ED4" w:rsidRPr="00921CF1" w:rsidRDefault="00D15C6C" w:rsidP="00DA72FC">
      <w:pPr>
        <w:pStyle w:val="Titlu2"/>
        <w:rPr>
          <w:rFonts w:ascii="Times New Roman" w:hAnsi="Times New Roman" w:cs="Times New Roman"/>
          <w:color w:val="000000" w:themeColor="text1"/>
          <w:sz w:val="28"/>
          <w:lang w:val="ro-RO"/>
        </w:rPr>
      </w:pPr>
      <w:bookmarkStart w:id="395" w:name="_Toc322013212"/>
      <w:r w:rsidRPr="00921CF1">
        <w:rPr>
          <w:rFonts w:ascii="Times New Roman" w:hAnsi="Times New Roman" w:cs="Times New Roman"/>
          <w:color w:val="000000" w:themeColor="text1"/>
          <w:sz w:val="28"/>
          <w:lang w:val="ro-RO"/>
        </w:rPr>
        <w:t>Servicii energetice</w:t>
      </w:r>
      <w:bookmarkEnd w:id="395"/>
    </w:p>
    <w:p w14:paraId="26D9F95D" w14:textId="5489D1E0" w:rsidR="00BC2ED4" w:rsidRPr="009C5F11" w:rsidRDefault="00EA007D"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Obligaţiile de raportare</w:t>
      </w:r>
      <w:r w:rsidR="00BC2ED4" w:rsidRPr="009C5F11">
        <w:rPr>
          <w:rFonts w:ascii="Times New Roman" w:hAnsi="Times New Roman" w:cs="Times New Roman"/>
          <w:sz w:val="24"/>
          <w:lang w:val="ro-RO"/>
        </w:rPr>
        <w:t xml:space="preserve"> </w:t>
      </w:r>
      <w:r w:rsidR="007E1D16" w:rsidRPr="009C5F11">
        <w:rPr>
          <w:rFonts w:ascii="Times New Roman" w:hAnsi="Times New Roman" w:cs="Times New Roman"/>
          <w:sz w:val="24"/>
          <w:lang w:val="ro-RO"/>
        </w:rPr>
        <w:t>sunt</w:t>
      </w:r>
      <w:r w:rsidR="00BC2ED4" w:rsidRPr="009C5F11">
        <w:rPr>
          <w:rFonts w:ascii="Times New Roman" w:hAnsi="Times New Roman" w:cs="Times New Roman"/>
          <w:sz w:val="24"/>
          <w:lang w:val="ro-RO"/>
        </w:rPr>
        <w:t xml:space="preserve"> incorporate </w:t>
      </w:r>
      <w:r w:rsidR="007E1D16" w:rsidRPr="009C5F11">
        <w:rPr>
          <w:rFonts w:ascii="Times New Roman" w:hAnsi="Times New Roman" w:cs="Times New Roman"/>
          <w:sz w:val="24"/>
          <w:lang w:val="ro-RO"/>
        </w:rPr>
        <w:t>în</w:t>
      </w:r>
      <w:r w:rsidR="00BC2ED4" w:rsidRPr="009C5F11">
        <w:rPr>
          <w:rFonts w:ascii="Times New Roman" w:hAnsi="Times New Roman" w:cs="Times New Roman"/>
          <w:sz w:val="24"/>
          <w:lang w:val="ro-RO"/>
        </w:rPr>
        <w:t xml:space="preserve"> </w:t>
      </w:r>
      <w:r w:rsidR="005619E4" w:rsidRPr="009C5F11">
        <w:rPr>
          <w:rFonts w:ascii="Times New Roman" w:hAnsi="Times New Roman" w:cs="Times New Roman"/>
          <w:sz w:val="24"/>
          <w:lang w:val="ro-RO"/>
        </w:rPr>
        <w:t>Secţiunea</w:t>
      </w:r>
      <w:r w:rsidR="00756582" w:rsidRPr="009C5F11">
        <w:rPr>
          <w:rFonts w:ascii="Times New Roman" w:hAnsi="Times New Roman" w:cs="Times New Roman"/>
          <w:sz w:val="24"/>
          <w:lang w:val="ro-RO"/>
        </w:rPr>
        <w:t xml:space="preserve"> </w:t>
      </w:r>
      <w:r w:rsidR="000A3314" w:rsidRPr="009C5F11">
        <w:rPr>
          <w:rFonts w:ascii="Times New Roman" w:hAnsi="Times New Roman" w:cs="Times New Roman"/>
          <w:sz w:val="24"/>
          <w:lang w:val="ro-RO"/>
        </w:rPr>
        <w:fldChar w:fldCharType="begin"/>
      </w:r>
      <w:r w:rsidR="000A3314" w:rsidRPr="009C5F11">
        <w:rPr>
          <w:rFonts w:ascii="Times New Roman" w:hAnsi="Times New Roman" w:cs="Times New Roman"/>
          <w:sz w:val="24"/>
          <w:lang w:val="ro-RO"/>
        </w:rPr>
        <w:instrText xml:space="preserve"> REF _Ref322012503 \r \h </w:instrText>
      </w:r>
      <w:r w:rsidR="009C5F11" w:rsidRPr="009C5F11">
        <w:rPr>
          <w:rFonts w:ascii="Times New Roman" w:hAnsi="Times New Roman" w:cs="Times New Roman"/>
          <w:sz w:val="24"/>
          <w:lang w:val="ro-RO"/>
        </w:rPr>
        <w:instrText xml:space="preserve"> \* MERGEFORMAT </w:instrText>
      </w:r>
      <w:r w:rsidR="000A3314" w:rsidRPr="009C5F11">
        <w:rPr>
          <w:rFonts w:ascii="Times New Roman" w:hAnsi="Times New Roman" w:cs="Times New Roman"/>
          <w:sz w:val="24"/>
          <w:lang w:val="ro-RO"/>
        </w:rPr>
      </w:r>
      <w:r w:rsidR="000A3314" w:rsidRPr="009C5F11">
        <w:rPr>
          <w:rFonts w:ascii="Times New Roman" w:hAnsi="Times New Roman" w:cs="Times New Roman"/>
          <w:sz w:val="24"/>
          <w:lang w:val="ro-RO"/>
        </w:rPr>
        <w:fldChar w:fldCharType="separate"/>
      </w:r>
      <w:r w:rsidR="0014013D">
        <w:rPr>
          <w:rFonts w:ascii="Times New Roman" w:hAnsi="Times New Roman" w:cs="Times New Roman"/>
          <w:sz w:val="24"/>
          <w:lang w:val="ro-RO"/>
        </w:rPr>
        <w:t>3.7</w:t>
      </w:r>
      <w:r w:rsidR="000A3314" w:rsidRPr="009C5F11">
        <w:rPr>
          <w:rFonts w:ascii="Times New Roman" w:hAnsi="Times New Roman" w:cs="Times New Roman"/>
          <w:sz w:val="24"/>
          <w:lang w:val="ro-RO"/>
        </w:rPr>
        <w:fldChar w:fldCharType="end"/>
      </w:r>
      <w:r w:rsidR="00BC2ED4" w:rsidRPr="009C5F11">
        <w:rPr>
          <w:rFonts w:ascii="Times New Roman" w:hAnsi="Times New Roman" w:cs="Times New Roman"/>
          <w:sz w:val="24"/>
          <w:lang w:val="ro-RO"/>
        </w:rPr>
        <w:t xml:space="preserve">. </w:t>
      </w:r>
    </w:p>
    <w:p w14:paraId="13401E1C" w14:textId="0EF6AD7C" w:rsidR="00BC2ED4" w:rsidRPr="00921CF1" w:rsidRDefault="00BC2ED4" w:rsidP="00952077">
      <w:pPr>
        <w:pStyle w:val="Titlu1"/>
        <w:rPr>
          <w:rFonts w:ascii="Times New Roman" w:hAnsi="Times New Roman" w:cs="Times New Roman"/>
          <w:noProof w:val="0"/>
          <w:color w:val="000000" w:themeColor="text1"/>
          <w:lang w:val="ro-RO"/>
        </w:rPr>
      </w:pPr>
      <w:r w:rsidRPr="009C5F11">
        <w:rPr>
          <w:rFonts w:ascii="Times New Roman" w:hAnsi="Times New Roman" w:cs="Times New Roman"/>
          <w:noProof w:val="0"/>
          <w:sz w:val="36"/>
          <w:szCs w:val="20"/>
          <w:lang w:val="ro-RO"/>
        </w:rPr>
        <w:br w:type="page"/>
      </w:r>
      <w:bookmarkStart w:id="396" w:name="_Toc322013213"/>
      <w:bookmarkStart w:id="397" w:name="_Toc319555458"/>
      <w:r w:rsidR="00E14BD1" w:rsidRPr="00921CF1">
        <w:rPr>
          <w:rFonts w:ascii="Times New Roman" w:hAnsi="Times New Roman" w:cs="Times New Roman"/>
          <w:noProof w:val="0"/>
          <w:color w:val="000000" w:themeColor="text1"/>
          <w:lang w:val="ro-RO"/>
        </w:rPr>
        <w:lastRenderedPageBreak/>
        <w:t>INSTITUIREA ŞI DESEMNAREA ORGANISMELOR ŞI ORGANIZAŢIILOR COMPETENTE, FINANŢAREA</w:t>
      </w:r>
      <w:bookmarkEnd w:id="396"/>
      <w:r w:rsidR="00E14BD1" w:rsidRPr="00921CF1">
        <w:rPr>
          <w:rFonts w:ascii="Times New Roman" w:hAnsi="Times New Roman" w:cs="Times New Roman"/>
          <w:noProof w:val="0"/>
          <w:color w:val="000000" w:themeColor="text1"/>
          <w:lang w:val="ro-RO"/>
        </w:rPr>
        <w:t xml:space="preserve"> </w:t>
      </w:r>
      <w:bookmarkEnd w:id="217"/>
      <w:bookmarkEnd w:id="218"/>
      <w:bookmarkEnd w:id="397"/>
    </w:p>
    <w:p w14:paraId="1DCFC9ED" w14:textId="77777777" w:rsidR="00BC2ED4" w:rsidRPr="00921CF1" w:rsidRDefault="00E766A6" w:rsidP="00DA72FC">
      <w:pPr>
        <w:pStyle w:val="Titlu2"/>
        <w:rPr>
          <w:rFonts w:ascii="Times New Roman" w:hAnsi="Times New Roman" w:cs="Times New Roman"/>
          <w:color w:val="000000" w:themeColor="text1"/>
          <w:sz w:val="28"/>
          <w:szCs w:val="28"/>
          <w:lang w:val="ro-RO"/>
        </w:rPr>
      </w:pPr>
      <w:bookmarkStart w:id="398" w:name="_Toc319555459"/>
      <w:bookmarkStart w:id="399" w:name="_Toc322013214"/>
      <w:r w:rsidRPr="00921CF1">
        <w:rPr>
          <w:rFonts w:ascii="Times New Roman" w:hAnsi="Times New Roman" w:cs="Times New Roman"/>
          <w:color w:val="000000" w:themeColor="text1"/>
          <w:sz w:val="28"/>
          <w:szCs w:val="28"/>
          <w:lang w:val="ro-RO"/>
        </w:rPr>
        <w:t>Cadrul</w:t>
      </w:r>
      <w:r w:rsidR="00E14BD1" w:rsidRPr="00921CF1">
        <w:rPr>
          <w:rFonts w:ascii="Times New Roman" w:hAnsi="Times New Roman" w:cs="Times New Roman"/>
          <w:color w:val="000000" w:themeColor="text1"/>
          <w:sz w:val="28"/>
          <w:szCs w:val="28"/>
          <w:lang w:val="ro-RO"/>
        </w:rPr>
        <w:t xml:space="preserve"> instituţ</w:t>
      </w:r>
      <w:r w:rsidR="00BC2ED4" w:rsidRPr="00921CF1">
        <w:rPr>
          <w:rFonts w:ascii="Times New Roman" w:hAnsi="Times New Roman" w:cs="Times New Roman"/>
          <w:color w:val="000000" w:themeColor="text1"/>
          <w:sz w:val="28"/>
          <w:szCs w:val="28"/>
          <w:lang w:val="ro-RO"/>
        </w:rPr>
        <w:t>ional</w:t>
      </w:r>
      <w:bookmarkEnd w:id="398"/>
      <w:bookmarkEnd w:id="399"/>
    </w:p>
    <w:p w14:paraId="478253F3" w14:textId="306DD3E5" w:rsidR="005B4800" w:rsidRPr="009C5F11" w:rsidRDefault="00E766A6"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C</w:t>
      </w:r>
      <w:r w:rsidR="007E288F" w:rsidRPr="009C5F11">
        <w:rPr>
          <w:rFonts w:ascii="Times New Roman" w:hAnsi="Times New Roman" w:cs="Times New Roman"/>
          <w:sz w:val="24"/>
          <w:lang w:val="ro-RO"/>
        </w:rPr>
        <w:t>adrul</w:t>
      </w:r>
      <w:r w:rsidRPr="009C5F11">
        <w:rPr>
          <w:rFonts w:ascii="Times New Roman" w:hAnsi="Times New Roman" w:cs="Times New Roman"/>
          <w:sz w:val="24"/>
          <w:lang w:val="ro-RO"/>
        </w:rPr>
        <w:t xml:space="preserve"> </w:t>
      </w:r>
      <w:r w:rsidR="007E288F" w:rsidRPr="009C5F11">
        <w:rPr>
          <w:rFonts w:ascii="Times New Roman" w:hAnsi="Times New Roman" w:cs="Times New Roman"/>
          <w:sz w:val="24"/>
          <w:lang w:val="ro-RO"/>
        </w:rPr>
        <w:t>i</w:t>
      </w:r>
      <w:r w:rsidRPr="009C5F11">
        <w:rPr>
          <w:rFonts w:ascii="Times New Roman" w:hAnsi="Times New Roman" w:cs="Times New Roman"/>
          <w:sz w:val="24"/>
          <w:lang w:val="ro-RO"/>
        </w:rPr>
        <w:t>nstituit</w:t>
      </w:r>
      <w:r w:rsidR="007E288F" w:rsidRPr="009C5F11">
        <w:rPr>
          <w:rFonts w:ascii="Times New Roman" w:hAnsi="Times New Roman" w:cs="Times New Roman"/>
          <w:sz w:val="24"/>
          <w:lang w:val="ro-RO"/>
        </w:rPr>
        <w:t xml:space="preserve"> </w:t>
      </w:r>
      <w:r w:rsidR="00FB38BF" w:rsidRPr="009C5F11">
        <w:rPr>
          <w:rFonts w:ascii="Times New Roman" w:hAnsi="Times New Roman" w:cs="Times New Roman"/>
          <w:sz w:val="24"/>
          <w:lang w:val="ro-RO"/>
        </w:rPr>
        <w:t>în raport cu</w:t>
      </w:r>
      <w:r w:rsidR="00BC2ED4" w:rsidRPr="009C5F11">
        <w:rPr>
          <w:rFonts w:ascii="Times New Roman" w:hAnsi="Times New Roman" w:cs="Times New Roman"/>
          <w:sz w:val="24"/>
          <w:lang w:val="ro-RO"/>
        </w:rPr>
        <w:t xml:space="preserve"> </w:t>
      </w:r>
      <w:r w:rsidR="007E288F" w:rsidRPr="009C5F11">
        <w:rPr>
          <w:rFonts w:ascii="Times New Roman" w:hAnsi="Times New Roman" w:cs="Times New Roman"/>
          <w:sz w:val="24"/>
          <w:lang w:val="ro-RO"/>
        </w:rPr>
        <w:t>obiectivele</w:t>
      </w:r>
      <w:r w:rsidR="00BC2ED4" w:rsidRPr="009C5F11">
        <w:rPr>
          <w:rFonts w:ascii="Times New Roman" w:hAnsi="Times New Roman" w:cs="Times New Roman"/>
          <w:sz w:val="24"/>
          <w:lang w:val="ro-RO"/>
        </w:rPr>
        <w:t xml:space="preserve"> </w:t>
      </w:r>
      <w:r w:rsidR="00871B4E" w:rsidRPr="009C5F11">
        <w:rPr>
          <w:rFonts w:ascii="Times New Roman" w:hAnsi="Times New Roman" w:cs="Times New Roman"/>
          <w:sz w:val="24"/>
          <w:lang w:val="ro-RO"/>
        </w:rPr>
        <w:t>DSE</w:t>
      </w:r>
      <w:r w:rsidR="00BC2ED4" w:rsidRPr="009C5F11">
        <w:rPr>
          <w:rFonts w:ascii="Times New Roman" w:hAnsi="Times New Roman" w:cs="Times New Roman"/>
          <w:sz w:val="24"/>
          <w:lang w:val="ro-RO"/>
        </w:rPr>
        <w:t xml:space="preserve"> include </w:t>
      </w:r>
      <w:r w:rsidR="000A4CC7" w:rsidRPr="009C5F11">
        <w:rPr>
          <w:rFonts w:ascii="Times New Roman" w:hAnsi="Times New Roman" w:cs="Times New Roman"/>
          <w:sz w:val="24"/>
          <w:lang w:val="ro-RO"/>
        </w:rPr>
        <w:t>PNEE</w:t>
      </w:r>
      <w:r w:rsidR="00BC2ED4" w:rsidRPr="009C5F11">
        <w:rPr>
          <w:rFonts w:ascii="Times New Roman" w:hAnsi="Times New Roman" w:cs="Times New Roman"/>
          <w:sz w:val="24"/>
          <w:lang w:val="ro-RO"/>
        </w:rPr>
        <w:t xml:space="preserve"> 2011-2020</w:t>
      </w:r>
      <w:r w:rsidR="007E288F" w:rsidRPr="009C5F11">
        <w:rPr>
          <w:rFonts w:ascii="Times New Roman" w:hAnsi="Times New Roman" w:cs="Times New Roman"/>
          <w:sz w:val="24"/>
          <w:lang w:val="ro-RO"/>
        </w:rPr>
        <w:t>,</w:t>
      </w:r>
      <w:r w:rsidR="00BC2ED4"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precum şi</w:t>
      </w:r>
      <w:r w:rsidR="00BC2ED4" w:rsidRPr="009C5F11">
        <w:rPr>
          <w:rFonts w:ascii="Times New Roman" w:hAnsi="Times New Roman" w:cs="Times New Roman"/>
          <w:sz w:val="24"/>
          <w:lang w:val="ro-RO"/>
        </w:rPr>
        <w:t xml:space="preserve"> </w:t>
      </w:r>
      <w:r w:rsidR="00872DC2" w:rsidRPr="009C5F11">
        <w:rPr>
          <w:rFonts w:ascii="Times New Roman" w:hAnsi="Times New Roman" w:cs="Times New Roman"/>
          <w:sz w:val="24"/>
          <w:lang w:val="ro-RO"/>
        </w:rPr>
        <w:t>PNAEE</w:t>
      </w:r>
      <w:r w:rsidR="00BC2ED4" w:rsidRPr="009C5F11">
        <w:rPr>
          <w:rFonts w:ascii="Times New Roman" w:hAnsi="Times New Roman" w:cs="Times New Roman"/>
          <w:sz w:val="24"/>
          <w:lang w:val="ro-RO"/>
        </w:rPr>
        <w:t xml:space="preserve"> 2013-2015</w:t>
      </w:r>
      <w:r w:rsidR="00321CD5" w:rsidRPr="009C5F11">
        <w:rPr>
          <w:rFonts w:ascii="Times New Roman" w:hAnsi="Times New Roman" w:cs="Times New Roman"/>
          <w:sz w:val="24"/>
          <w:lang w:val="ro-RO"/>
        </w:rPr>
        <w:t xml:space="preserve"> şi </w:t>
      </w:r>
      <w:r w:rsidR="00F30B3C" w:rsidRPr="009C5F11">
        <w:rPr>
          <w:rFonts w:ascii="Times New Roman" w:hAnsi="Times New Roman" w:cs="Times New Roman"/>
          <w:sz w:val="24"/>
          <w:lang w:val="ro-RO"/>
        </w:rPr>
        <w:t>PNAEE</w:t>
      </w:r>
      <w:r w:rsidR="007E288F" w:rsidRPr="009C5F11">
        <w:rPr>
          <w:rFonts w:ascii="Times New Roman" w:hAnsi="Times New Roman" w:cs="Times New Roman"/>
          <w:sz w:val="24"/>
          <w:lang w:val="ro-RO"/>
        </w:rPr>
        <w:t xml:space="preserve"> ulterioare</w:t>
      </w:r>
      <w:r w:rsidR="00BC2ED4" w:rsidRPr="009C5F11">
        <w:rPr>
          <w:rFonts w:ascii="Times New Roman" w:hAnsi="Times New Roman" w:cs="Times New Roman"/>
          <w:sz w:val="24"/>
          <w:lang w:val="ro-RO"/>
        </w:rPr>
        <w:t xml:space="preserve">. </w:t>
      </w:r>
      <w:r w:rsidR="00856818" w:rsidRPr="009C5F11">
        <w:rPr>
          <w:rFonts w:ascii="Times New Roman" w:hAnsi="Times New Roman" w:cs="Times New Roman"/>
          <w:sz w:val="24"/>
          <w:lang w:val="ro-RO"/>
        </w:rPr>
        <w:t>De asemenea</w:t>
      </w:r>
      <w:r w:rsidR="007E288F" w:rsidRPr="009C5F11">
        <w:rPr>
          <w:rFonts w:ascii="Times New Roman" w:hAnsi="Times New Roman" w:cs="Times New Roman"/>
          <w:sz w:val="24"/>
          <w:lang w:val="ro-RO"/>
        </w:rPr>
        <w:t xml:space="preserve">, din acest cadru </w:t>
      </w:r>
      <w:r w:rsidR="00F30B3C" w:rsidRPr="009C5F11">
        <w:rPr>
          <w:rFonts w:ascii="Times New Roman" w:hAnsi="Times New Roman" w:cs="Times New Roman"/>
          <w:sz w:val="24"/>
          <w:lang w:val="ro-RO"/>
        </w:rPr>
        <w:t xml:space="preserve">fac parte </w:t>
      </w:r>
      <w:r w:rsidR="007E288F" w:rsidRPr="009C5F11">
        <w:rPr>
          <w:rFonts w:ascii="Times New Roman" w:hAnsi="Times New Roman" w:cs="Times New Roman"/>
          <w:sz w:val="24"/>
          <w:lang w:val="ro-RO"/>
        </w:rPr>
        <w:t>PLAEE-urile şi PLEE-urile</w:t>
      </w:r>
      <w:r w:rsidR="00BC2ED4" w:rsidRPr="009C5F11">
        <w:rPr>
          <w:rFonts w:ascii="Times New Roman" w:hAnsi="Times New Roman" w:cs="Times New Roman"/>
          <w:sz w:val="24"/>
          <w:lang w:val="ro-RO"/>
        </w:rPr>
        <w:t xml:space="preserve">. </w:t>
      </w:r>
    </w:p>
    <w:p w14:paraId="6B114EE5" w14:textId="77777777" w:rsidR="00E02A32" w:rsidRPr="009C5F11" w:rsidRDefault="00E02A32" w:rsidP="00A26BCB">
      <w:pPr>
        <w:spacing w:before="120" w:after="120" w:line="240" w:lineRule="auto"/>
        <w:jc w:val="both"/>
        <w:rPr>
          <w:rFonts w:ascii="Times New Roman" w:eastAsia="Times New Roman" w:hAnsi="Times New Roman" w:cs="Times New Roman"/>
          <w:b/>
          <w:color w:val="212121"/>
          <w:sz w:val="24"/>
          <w:lang w:val="ro-RO"/>
        </w:rPr>
      </w:pPr>
    </w:p>
    <w:p w14:paraId="6DDB7CB9" w14:textId="77777777" w:rsidR="005B4800" w:rsidRPr="009C5F11" w:rsidRDefault="005B4800" w:rsidP="00A26BCB">
      <w:pPr>
        <w:spacing w:before="120" w:after="120" w:line="240" w:lineRule="auto"/>
        <w:jc w:val="both"/>
        <w:rPr>
          <w:rFonts w:ascii="Times New Roman" w:hAnsi="Times New Roman" w:cs="Times New Roman"/>
          <w:b/>
          <w:color w:val="212121"/>
          <w:sz w:val="24"/>
          <w:lang w:val="ro-RO"/>
        </w:rPr>
      </w:pPr>
      <w:r w:rsidRPr="009C5F11">
        <w:rPr>
          <w:rFonts w:ascii="Times New Roman" w:eastAsia="Times New Roman" w:hAnsi="Times New Roman" w:cs="Times New Roman"/>
          <w:b/>
          <w:color w:val="212121"/>
          <w:sz w:val="24"/>
          <w:lang w:val="ro-RO"/>
        </w:rPr>
        <w:t>M</w:t>
      </w:r>
      <w:r w:rsidR="00EC0D1E" w:rsidRPr="009C5F11">
        <w:rPr>
          <w:rFonts w:ascii="Times New Roman" w:hAnsi="Times New Roman" w:cs="Times New Roman"/>
          <w:b/>
          <w:color w:val="212121"/>
          <w:sz w:val="24"/>
          <w:lang w:val="ro-RO"/>
        </w:rPr>
        <w:t xml:space="preserve">inisterul </w:t>
      </w:r>
      <w:r w:rsidRPr="009C5F11">
        <w:rPr>
          <w:rFonts w:ascii="Times New Roman" w:eastAsia="Times New Roman" w:hAnsi="Times New Roman" w:cs="Times New Roman"/>
          <w:b/>
          <w:color w:val="212121"/>
          <w:sz w:val="24"/>
          <w:lang w:val="ro-RO"/>
        </w:rPr>
        <w:t>E</w:t>
      </w:r>
      <w:r w:rsidR="00EC0D1E" w:rsidRPr="009C5F11">
        <w:rPr>
          <w:rFonts w:ascii="Times New Roman" w:hAnsi="Times New Roman" w:cs="Times New Roman"/>
          <w:b/>
          <w:color w:val="212121"/>
          <w:sz w:val="24"/>
          <w:lang w:val="ro-RO"/>
        </w:rPr>
        <w:t>conomiei</w:t>
      </w:r>
    </w:p>
    <w:p w14:paraId="513601CF" w14:textId="2E000224" w:rsidR="005B4800" w:rsidRPr="009C5F11" w:rsidRDefault="005B4800" w:rsidP="00087B37">
      <w:pPr>
        <w:pStyle w:val="Listparagraf"/>
        <w:numPr>
          <w:ilvl w:val="0"/>
          <w:numId w:val="210"/>
        </w:numPr>
        <w:spacing w:before="120" w:after="120" w:line="240" w:lineRule="auto"/>
        <w:ind w:left="0" w:firstLine="142"/>
        <w:jc w:val="both"/>
        <w:rPr>
          <w:rFonts w:ascii="Times New Roman" w:hAnsi="Times New Roman" w:cs="Times New Roman"/>
          <w:color w:val="212121"/>
          <w:sz w:val="24"/>
          <w:lang w:val="ro-RO"/>
        </w:rPr>
      </w:pPr>
      <w:r w:rsidRPr="009C5F11">
        <w:rPr>
          <w:rFonts w:ascii="Times New Roman" w:hAnsi="Times New Roman" w:cs="Times New Roman"/>
          <w:color w:val="212121"/>
          <w:sz w:val="24"/>
          <w:lang w:val="ro-RO"/>
        </w:rPr>
        <w:t>Potrivit prevederilor NEEP Ministerul Economiei va efectua o dată la trei ani examinarea intermediară , pe baza rezultatelor punerii în aplicare a Planului național de acțiune pentru eficiență energetică și la finalul implementării programului - evaluarea finală. În evaluarea intermediară vor fi analizate progresele înregistrate în obținerea rezultatelor scontate .</w:t>
      </w:r>
    </w:p>
    <w:p w14:paraId="120C8B60" w14:textId="77777777" w:rsidR="00E02A32" w:rsidRPr="009C5F11" w:rsidRDefault="00E02A32" w:rsidP="00A26BCB">
      <w:pPr>
        <w:spacing w:before="120" w:after="120" w:line="240" w:lineRule="auto"/>
        <w:jc w:val="both"/>
        <w:rPr>
          <w:rFonts w:ascii="Times New Roman" w:hAnsi="Times New Roman" w:cs="Times New Roman"/>
          <w:b/>
          <w:color w:val="212121"/>
          <w:sz w:val="24"/>
          <w:lang w:val="ro-RO"/>
        </w:rPr>
      </w:pPr>
    </w:p>
    <w:p w14:paraId="5F3BF1CB" w14:textId="77777777" w:rsidR="005B4800" w:rsidRPr="009C5F11" w:rsidRDefault="005B4800" w:rsidP="00A26BCB">
      <w:pPr>
        <w:spacing w:before="120" w:after="120" w:line="240" w:lineRule="auto"/>
        <w:jc w:val="both"/>
        <w:rPr>
          <w:rFonts w:ascii="Times New Roman" w:hAnsi="Times New Roman" w:cs="Times New Roman"/>
          <w:b/>
          <w:color w:val="212121"/>
          <w:sz w:val="24"/>
          <w:lang w:val="ro-RO"/>
        </w:rPr>
      </w:pPr>
      <w:r w:rsidRPr="009C5F11">
        <w:rPr>
          <w:rFonts w:ascii="Times New Roman" w:hAnsi="Times New Roman" w:cs="Times New Roman"/>
          <w:b/>
          <w:color w:val="212121"/>
          <w:sz w:val="24"/>
          <w:lang w:val="ro-RO"/>
        </w:rPr>
        <w:t>M</w:t>
      </w:r>
      <w:r w:rsidR="00EC0D1E" w:rsidRPr="009C5F11">
        <w:rPr>
          <w:rFonts w:ascii="Times New Roman" w:hAnsi="Times New Roman" w:cs="Times New Roman"/>
          <w:b/>
          <w:color w:val="212121"/>
          <w:sz w:val="24"/>
          <w:lang w:val="ro-RO"/>
        </w:rPr>
        <w:t xml:space="preserve">inisterul </w:t>
      </w:r>
      <w:r w:rsidRPr="009C5F11">
        <w:rPr>
          <w:rFonts w:ascii="Times New Roman" w:hAnsi="Times New Roman" w:cs="Times New Roman"/>
          <w:b/>
          <w:color w:val="212121"/>
          <w:sz w:val="24"/>
          <w:lang w:val="ro-RO"/>
        </w:rPr>
        <w:t>E</w:t>
      </w:r>
      <w:r w:rsidR="00EC0D1E" w:rsidRPr="009C5F11">
        <w:rPr>
          <w:rFonts w:ascii="Times New Roman" w:hAnsi="Times New Roman" w:cs="Times New Roman"/>
          <w:b/>
          <w:color w:val="212121"/>
          <w:sz w:val="24"/>
          <w:lang w:val="ro-RO"/>
        </w:rPr>
        <w:t>conomiei</w:t>
      </w:r>
      <w:r w:rsidRPr="009C5F11">
        <w:rPr>
          <w:rFonts w:ascii="Times New Roman" w:hAnsi="Times New Roman" w:cs="Times New Roman"/>
          <w:b/>
          <w:color w:val="212121"/>
          <w:sz w:val="24"/>
          <w:lang w:val="ro-RO"/>
        </w:rPr>
        <w:t xml:space="preserve"> &amp; A</w:t>
      </w:r>
      <w:r w:rsidR="00EC0D1E" w:rsidRPr="009C5F11">
        <w:rPr>
          <w:rFonts w:ascii="Times New Roman" w:hAnsi="Times New Roman" w:cs="Times New Roman"/>
          <w:b/>
          <w:color w:val="212121"/>
          <w:sz w:val="24"/>
          <w:lang w:val="ro-RO"/>
        </w:rPr>
        <w:t xml:space="preserve">genţia pentru </w:t>
      </w:r>
      <w:r w:rsidRPr="009C5F11">
        <w:rPr>
          <w:rFonts w:ascii="Times New Roman" w:hAnsi="Times New Roman" w:cs="Times New Roman"/>
          <w:b/>
          <w:color w:val="212121"/>
          <w:sz w:val="24"/>
          <w:lang w:val="ro-RO"/>
        </w:rPr>
        <w:t>E</w:t>
      </w:r>
      <w:r w:rsidR="00EC0D1E" w:rsidRPr="009C5F11">
        <w:rPr>
          <w:rFonts w:ascii="Times New Roman" w:hAnsi="Times New Roman" w:cs="Times New Roman"/>
          <w:b/>
          <w:color w:val="212121"/>
          <w:sz w:val="24"/>
          <w:lang w:val="ro-RO"/>
        </w:rPr>
        <w:t xml:space="preserve">fcienţă </w:t>
      </w:r>
      <w:r w:rsidRPr="009C5F11">
        <w:rPr>
          <w:rFonts w:ascii="Times New Roman" w:hAnsi="Times New Roman" w:cs="Times New Roman"/>
          <w:b/>
          <w:color w:val="212121"/>
          <w:sz w:val="24"/>
          <w:lang w:val="ro-RO"/>
        </w:rPr>
        <w:t>E</w:t>
      </w:r>
      <w:r w:rsidR="00EC0D1E" w:rsidRPr="009C5F11">
        <w:rPr>
          <w:rFonts w:ascii="Times New Roman" w:hAnsi="Times New Roman" w:cs="Times New Roman"/>
          <w:b/>
          <w:color w:val="212121"/>
          <w:sz w:val="24"/>
          <w:lang w:val="ro-RO"/>
        </w:rPr>
        <w:t>nergetică</w:t>
      </w:r>
    </w:p>
    <w:p w14:paraId="3E8C19D8" w14:textId="38EEE08A" w:rsidR="005B4800" w:rsidRPr="009C5F11" w:rsidRDefault="005B4800" w:rsidP="00087B37">
      <w:pPr>
        <w:pStyle w:val="Listparagraf"/>
        <w:numPr>
          <w:ilvl w:val="0"/>
          <w:numId w:val="210"/>
        </w:numPr>
        <w:spacing w:before="120" w:after="120" w:line="240" w:lineRule="auto"/>
        <w:ind w:left="0" w:firstLine="142"/>
        <w:jc w:val="both"/>
        <w:rPr>
          <w:rFonts w:ascii="Times New Roman" w:hAnsi="Times New Roman" w:cs="Times New Roman"/>
          <w:color w:val="212121"/>
          <w:sz w:val="24"/>
          <w:lang w:val="ro-RO"/>
        </w:rPr>
      </w:pPr>
      <w:r w:rsidRPr="009C5F11">
        <w:rPr>
          <w:rFonts w:ascii="Times New Roman" w:hAnsi="Times New Roman" w:cs="Times New Roman"/>
          <w:color w:val="212121"/>
          <w:sz w:val="24"/>
          <w:lang w:val="ro-RO"/>
        </w:rPr>
        <w:t>Potrivit prevederilor NEEP , Ministerul Economiei joacă rolul de coordonator în sectorul public , împreună cu Agenția pentru Eficiență Energetică și alte autorități publice centrale de resort Ministerul Economiei acordă asistență autorităților publice locale în promovarea eficienței energetice și a energiei din surse regenerabile .</w:t>
      </w:r>
    </w:p>
    <w:p w14:paraId="1FC838B4" w14:textId="77777777" w:rsidR="005B4800" w:rsidRPr="009C5F11" w:rsidRDefault="005B4800" w:rsidP="00A26BCB">
      <w:pPr>
        <w:spacing w:before="120" w:after="120" w:line="240" w:lineRule="auto"/>
        <w:jc w:val="both"/>
        <w:rPr>
          <w:rFonts w:ascii="Times New Roman" w:hAnsi="Times New Roman" w:cs="Times New Roman"/>
          <w:color w:val="212121"/>
          <w:sz w:val="24"/>
          <w:lang w:val="ro-RO"/>
        </w:rPr>
      </w:pPr>
      <w:r w:rsidRPr="009C5F11">
        <w:rPr>
          <w:rFonts w:ascii="Times New Roman" w:hAnsi="Times New Roman" w:cs="Times New Roman"/>
          <w:color w:val="212121"/>
          <w:sz w:val="24"/>
          <w:lang w:val="ro-RO"/>
        </w:rPr>
        <w:t>Prin urmare, ei pun în aplicare în comun responsabilitatea pentru integrarea cerințelor de îmbunătățire a eficienței energetice în sectorul public</w:t>
      </w:r>
    </w:p>
    <w:p w14:paraId="064B8FCF" w14:textId="77777777" w:rsidR="00E02A32" w:rsidRPr="009C5F11" w:rsidRDefault="00E02A32" w:rsidP="00A26BCB">
      <w:pPr>
        <w:spacing w:before="120" w:after="120" w:line="240" w:lineRule="auto"/>
        <w:jc w:val="both"/>
        <w:rPr>
          <w:rFonts w:ascii="Times New Roman" w:hAnsi="Times New Roman" w:cs="Times New Roman"/>
          <w:b/>
          <w:color w:val="212121"/>
          <w:sz w:val="24"/>
          <w:lang w:val="ro-RO"/>
        </w:rPr>
      </w:pPr>
    </w:p>
    <w:p w14:paraId="6E79D2F7" w14:textId="77777777" w:rsidR="005B4800" w:rsidRPr="009C5F11" w:rsidRDefault="005B4800" w:rsidP="00A26BCB">
      <w:pPr>
        <w:spacing w:before="120" w:after="120" w:line="240" w:lineRule="auto"/>
        <w:jc w:val="both"/>
        <w:rPr>
          <w:rFonts w:ascii="Times New Roman" w:hAnsi="Times New Roman" w:cs="Times New Roman"/>
          <w:b/>
          <w:color w:val="212121"/>
          <w:sz w:val="24"/>
          <w:lang w:val="ro-RO"/>
        </w:rPr>
      </w:pPr>
      <w:r w:rsidRPr="009C5F11">
        <w:rPr>
          <w:rFonts w:ascii="Times New Roman" w:hAnsi="Times New Roman" w:cs="Times New Roman"/>
          <w:b/>
          <w:color w:val="212121"/>
          <w:sz w:val="24"/>
          <w:lang w:val="ro-RO"/>
        </w:rPr>
        <w:t>A</w:t>
      </w:r>
      <w:r w:rsidR="00EC0D1E" w:rsidRPr="009C5F11">
        <w:rPr>
          <w:rFonts w:ascii="Times New Roman" w:hAnsi="Times New Roman" w:cs="Times New Roman"/>
          <w:b/>
          <w:color w:val="212121"/>
          <w:sz w:val="24"/>
          <w:lang w:val="ro-RO"/>
        </w:rPr>
        <w:t xml:space="preserve">genţia pentru </w:t>
      </w:r>
      <w:r w:rsidRPr="009C5F11">
        <w:rPr>
          <w:rFonts w:ascii="Times New Roman" w:hAnsi="Times New Roman" w:cs="Times New Roman"/>
          <w:b/>
          <w:color w:val="212121"/>
          <w:sz w:val="24"/>
          <w:lang w:val="ro-RO"/>
        </w:rPr>
        <w:t>E</w:t>
      </w:r>
      <w:r w:rsidR="00EC0D1E" w:rsidRPr="009C5F11">
        <w:rPr>
          <w:rFonts w:ascii="Times New Roman" w:hAnsi="Times New Roman" w:cs="Times New Roman"/>
          <w:b/>
          <w:color w:val="212121"/>
          <w:sz w:val="24"/>
          <w:lang w:val="ro-RO"/>
        </w:rPr>
        <w:t xml:space="preserve">ficientă </w:t>
      </w:r>
      <w:r w:rsidRPr="009C5F11">
        <w:rPr>
          <w:rFonts w:ascii="Times New Roman" w:hAnsi="Times New Roman" w:cs="Times New Roman"/>
          <w:b/>
          <w:color w:val="212121"/>
          <w:sz w:val="24"/>
          <w:lang w:val="ro-RO"/>
        </w:rPr>
        <w:t>E</w:t>
      </w:r>
      <w:r w:rsidR="00EC0D1E" w:rsidRPr="009C5F11">
        <w:rPr>
          <w:rFonts w:ascii="Times New Roman" w:hAnsi="Times New Roman" w:cs="Times New Roman"/>
          <w:b/>
          <w:color w:val="212121"/>
          <w:sz w:val="24"/>
          <w:lang w:val="ro-RO"/>
        </w:rPr>
        <w:t>nergetică</w:t>
      </w:r>
    </w:p>
    <w:p w14:paraId="448EDACC" w14:textId="6B9B38E1" w:rsidR="00BC2ED4" w:rsidRPr="009C5F11" w:rsidRDefault="005B480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color w:val="212121"/>
          <w:sz w:val="24"/>
          <w:lang w:val="ro-RO"/>
        </w:rPr>
        <w:t>Potrivit legii privind eficiența energetică , s</w:t>
      </w:r>
      <w:r w:rsidR="007E288F" w:rsidRPr="009C5F11">
        <w:rPr>
          <w:rFonts w:ascii="Times New Roman" w:hAnsi="Times New Roman" w:cs="Times New Roman"/>
          <w:sz w:val="24"/>
          <w:lang w:val="ro-RO"/>
        </w:rPr>
        <w:t>arcina supravegher</w:t>
      </w:r>
      <w:r w:rsidR="00E766A6" w:rsidRPr="009C5F11">
        <w:rPr>
          <w:rFonts w:ascii="Times New Roman" w:hAnsi="Times New Roman" w:cs="Times New Roman"/>
          <w:sz w:val="24"/>
          <w:lang w:val="ro-RO"/>
        </w:rPr>
        <w:t>ii</w:t>
      </w:r>
      <w:r w:rsidR="007E288F" w:rsidRPr="009C5F11">
        <w:rPr>
          <w:rFonts w:ascii="Times New Roman" w:hAnsi="Times New Roman" w:cs="Times New Roman"/>
          <w:sz w:val="24"/>
          <w:lang w:val="ro-RO"/>
        </w:rPr>
        <w:t xml:space="preserve"> realizării PLAEE-urilor şi a PLEE-urilor</w:t>
      </w:r>
      <w:r w:rsidR="00BC2ED4" w:rsidRPr="009C5F11">
        <w:rPr>
          <w:rFonts w:ascii="Times New Roman" w:hAnsi="Times New Roman" w:cs="Times New Roman"/>
          <w:sz w:val="24"/>
          <w:lang w:val="ro-RO"/>
        </w:rPr>
        <w:t xml:space="preserve"> </w:t>
      </w:r>
      <w:r w:rsidR="00E766A6" w:rsidRPr="009C5F11">
        <w:rPr>
          <w:rFonts w:ascii="Times New Roman" w:hAnsi="Times New Roman" w:cs="Times New Roman"/>
          <w:sz w:val="24"/>
          <w:lang w:val="ro-RO"/>
        </w:rPr>
        <w:t xml:space="preserve">este atribuită AEE </w:t>
      </w:r>
      <w:r w:rsidR="00BC2ED4" w:rsidRPr="009C5F11">
        <w:rPr>
          <w:rFonts w:ascii="Times New Roman" w:hAnsi="Times New Roman" w:cs="Times New Roman"/>
          <w:sz w:val="24"/>
          <w:lang w:val="ro-RO"/>
        </w:rPr>
        <w:t xml:space="preserve">(art. 26 </w:t>
      </w:r>
      <w:r w:rsidR="007E288F"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w:t>
      </w:r>
      <w:r w:rsidR="00055095" w:rsidRPr="009C5F11">
        <w:rPr>
          <w:rFonts w:ascii="Times New Roman" w:hAnsi="Times New Roman" w:cs="Times New Roman"/>
          <w:sz w:val="24"/>
          <w:lang w:val="ro-RO"/>
        </w:rPr>
        <w:t xml:space="preserve">Legea </w:t>
      </w:r>
      <w:r w:rsidR="00BC2ED4" w:rsidRPr="009C5F11">
        <w:rPr>
          <w:rFonts w:ascii="Times New Roman" w:hAnsi="Times New Roman" w:cs="Times New Roman"/>
          <w:sz w:val="24"/>
          <w:lang w:val="ro-RO"/>
        </w:rPr>
        <w:t>n</w:t>
      </w:r>
      <w:r w:rsidR="007E288F" w:rsidRPr="009C5F11">
        <w:rPr>
          <w:rFonts w:ascii="Times New Roman" w:hAnsi="Times New Roman" w:cs="Times New Roman"/>
          <w:sz w:val="24"/>
          <w:lang w:val="ro-RO"/>
        </w:rPr>
        <w:t>r</w:t>
      </w:r>
      <w:r w:rsidR="00BC2ED4" w:rsidRPr="009C5F11">
        <w:rPr>
          <w:rFonts w:ascii="Times New Roman" w:hAnsi="Times New Roman" w:cs="Times New Roman"/>
          <w:sz w:val="24"/>
          <w:lang w:val="ro-RO"/>
        </w:rPr>
        <w:t>.142/2010).</w:t>
      </w:r>
    </w:p>
    <w:p w14:paraId="28E0D1C2" w14:textId="77777777" w:rsidR="005F31B4" w:rsidRPr="009C5F11" w:rsidRDefault="00321CD5"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u w:val="single"/>
          <w:lang w:val="ro-RO"/>
        </w:rPr>
        <w:t>Agenţia pentru Eficienţă Energetică</w:t>
      </w:r>
      <w:r w:rsidR="00BC2ED4" w:rsidRPr="009C5F11">
        <w:rPr>
          <w:rFonts w:ascii="Times New Roman" w:hAnsi="Times New Roman" w:cs="Times New Roman"/>
          <w:sz w:val="24"/>
          <w:lang w:val="ro-RO"/>
        </w:rPr>
        <w:t xml:space="preserve"> </w:t>
      </w:r>
      <w:r w:rsidR="00840F87" w:rsidRPr="009C5F11">
        <w:rPr>
          <w:rFonts w:ascii="Times New Roman" w:hAnsi="Times New Roman" w:cs="Times New Roman"/>
          <w:sz w:val="24"/>
          <w:lang w:val="ro-RO"/>
        </w:rPr>
        <w:t xml:space="preserve">este o autoritate de stat care activează </w:t>
      </w:r>
      <w:r w:rsidRPr="009C5F11">
        <w:rPr>
          <w:rFonts w:ascii="Times New Roman" w:hAnsi="Times New Roman" w:cs="Times New Roman"/>
          <w:sz w:val="24"/>
          <w:lang w:val="ro-RO"/>
        </w:rPr>
        <w:t xml:space="preserve">în </w:t>
      </w:r>
      <w:r w:rsidR="00840F87" w:rsidRPr="009C5F11">
        <w:rPr>
          <w:rFonts w:ascii="Times New Roman" w:hAnsi="Times New Roman" w:cs="Times New Roman"/>
          <w:sz w:val="24"/>
          <w:lang w:val="ro-RO"/>
        </w:rPr>
        <w:t xml:space="preserve">domeniul </w:t>
      </w:r>
      <w:r w:rsidR="00FA7B8A" w:rsidRPr="009C5F11">
        <w:rPr>
          <w:rFonts w:ascii="Times New Roman" w:hAnsi="Times New Roman" w:cs="Times New Roman"/>
          <w:sz w:val="24"/>
          <w:lang w:val="ro-RO"/>
        </w:rPr>
        <w:t>energiei regenerabile</w:t>
      </w:r>
      <w:r w:rsidRPr="009C5F11">
        <w:rPr>
          <w:rFonts w:ascii="Times New Roman" w:hAnsi="Times New Roman" w:cs="Times New Roman"/>
          <w:sz w:val="24"/>
          <w:lang w:val="ro-RO"/>
        </w:rPr>
        <w:t xml:space="preserve"> şi </w:t>
      </w:r>
      <w:r w:rsidR="000C7BEC" w:rsidRPr="009C5F11">
        <w:rPr>
          <w:rFonts w:ascii="Times New Roman" w:hAnsi="Times New Roman" w:cs="Times New Roman"/>
          <w:sz w:val="24"/>
          <w:lang w:val="ro-RO"/>
        </w:rPr>
        <w:t>eficienţ</w:t>
      </w:r>
      <w:r w:rsidR="00840F87" w:rsidRPr="009C5F11">
        <w:rPr>
          <w:rFonts w:ascii="Times New Roman" w:hAnsi="Times New Roman" w:cs="Times New Roman"/>
          <w:sz w:val="24"/>
          <w:lang w:val="ro-RO"/>
        </w:rPr>
        <w:t>ei</w:t>
      </w:r>
      <w:r w:rsidR="000C7BEC" w:rsidRPr="009C5F11">
        <w:rPr>
          <w:rFonts w:ascii="Times New Roman" w:hAnsi="Times New Roman" w:cs="Times New Roman"/>
          <w:sz w:val="24"/>
          <w:lang w:val="ro-RO"/>
        </w:rPr>
        <w:t xml:space="preserve"> energetic</w:t>
      </w:r>
      <w:r w:rsidR="00840F87"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w:t>
      </w:r>
      <w:r w:rsidR="00840F87" w:rsidRPr="009C5F11">
        <w:rPr>
          <w:rFonts w:ascii="Times New Roman" w:hAnsi="Times New Roman" w:cs="Times New Roman"/>
          <w:sz w:val="24"/>
          <w:lang w:val="ro-RO"/>
        </w:rPr>
        <w:t xml:space="preserve">Entitatea se axează pe </w:t>
      </w:r>
      <w:r w:rsidR="00BC2ED4" w:rsidRPr="009C5F11">
        <w:rPr>
          <w:rFonts w:ascii="Times New Roman" w:hAnsi="Times New Roman" w:cs="Times New Roman"/>
          <w:sz w:val="24"/>
          <w:lang w:val="ro-RO"/>
        </w:rPr>
        <w:t>implement</w:t>
      </w:r>
      <w:r w:rsidR="00840F87" w:rsidRPr="009C5F11">
        <w:rPr>
          <w:rFonts w:ascii="Times New Roman" w:hAnsi="Times New Roman" w:cs="Times New Roman"/>
          <w:sz w:val="24"/>
          <w:lang w:val="ro-RO"/>
        </w:rPr>
        <w:t xml:space="preserve">area politicii de stat </w:t>
      </w:r>
      <w:r w:rsidRPr="009C5F11">
        <w:rPr>
          <w:rFonts w:ascii="Times New Roman" w:hAnsi="Times New Roman" w:cs="Times New Roman"/>
          <w:sz w:val="24"/>
          <w:lang w:val="ro-RO"/>
        </w:rPr>
        <w:t xml:space="preserve">şi </w:t>
      </w:r>
      <w:r w:rsidR="00840F87" w:rsidRPr="009C5F11">
        <w:rPr>
          <w:rFonts w:ascii="Times New Roman" w:hAnsi="Times New Roman" w:cs="Times New Roman"/>
          <w:sz w:val="24"/>
          <w:lang w:val="ro-RO"/>
        </w:rPr>
        <w:t xml:space="preserve">avizează </w:t>
      </w:r>
      <w:r w:rsidR="00E10BE5" w:rsidRPr="009C5F11">
        <w:rPr>
          <w:rFonts w:ascii="Times New Roman" w:hAnsi="Times New Roman" w:cs="Times New Roman"/>
          <w:sz w:val="24"/>
          <w:lang w:val="ro-RO"/>
        </w:rPr>
        <w:t>proiecte</w:t>
      </w:r>
      <w:r w:rsidRPr="009C5F11">
        <w:rPr>
          <w:rFonts w:ascii="Times New Roman" w:hAnsi="Times New Roman" w:cs="Times New Roman"/>
          <w:sz w:val="24"/>
          <w:lang w:val="ro-RO"/>
        </w:rPr>
        <w:t xml:space="preserve"> în </w:t>
      </w:r>
      <w:r w:rsidR="00840F87" w:rsidRPr="009C5F11">
        <w:rPr>
          <w:rFonts w:ascii="Times New Roman" w:hAnsi="Times New Roman" w:cs="Times New Roman"/>
          <w:sz w:val="24"/>
          <w:lang w:val="ro-RO"/>
        </w:rPr>
        <w:t>domeniul</w:t>
      </w:r>
      <w:r w:rsidR="00BC2ED4" w:rsidRPr="009C5F11">
        <w:rPr>
          <w:rFonts w:ascii="Times New Roman" w:hAnsi="Times New Roman" w:cs="Times New Roman"/>
          <w:sz w:val="24"/>
          <w:lang w:val="ro-RO"/>
        </w:rPr>
        <w:t xml:space="preserve"> </w:t>
      </w:r>
      <w:r w:rsidR="001F5C51" w:rsidRPr="009C5F11">
        <w:rPr>
          <w:rFonts w:ascii="Times New Roman" w:hAnsi="Times New Roman" w:cs="Times New Roman"/>
          <w:sz w:val="24"/>
          <w:lang w:val="ro-RO"/>
        </w:rPr>
        <w:t>eficienţei energetice</w:t>
      </w:r>
      <w:r w:rsidRPr="009C5F11">
        <w:rPr>
          <w:rFonts w:ascii="Times New Roman" w:hAnsi="Times New Roman" w:cs="Times New Roman"/>
          <w:sz w:val="24"/>
          <w:lang w:val="ro-RO"/>
        </w:rPr>
        <w:t xml:space="preserve"> şi </w:t>
      </w:r>
      <w:r w:rsidR="00840F87" w:rsidRPr="009C5F11">
        <w:rPr>
          <w:rFonts w:ascii="Times New Roman" w:hAnsi="Times New Roman" w:cs="Times New Roman"/>
          <w:sz w:val="24"/>
          <w:lang w:val="ro-RO"/>
        </w:rPr>
        <w:t xml:space="preserve">al </w:t>
      </w:r>
      <w:r w:rsidR="00FF7936" w:rsidRPr="009C5F11">
        <w:rPr>
          <w:rFonts w:ascii="Times New Roman" w:hAnsi="Times New Roman" w:cs="Times New Roman"/>
          <w:sz w:val="24"/>
          <w:lang w:val="ro-RO"/>
        </w:rPr>
        <w:t>surse</w:t>
      </w:r>
      <w:r w:rsidR="00840F87" w:rsidRPr="009C5F11">
        <w:rPr>
          <w:rFonts w:ascii="Times New Roman" w:hAnsi="Times New Roman" w:cs="Times New Roman"/>
          <w:sz w:val="24"/>
          <w:lang w:val="ro-RO"/>
        </w:rPr>
        <w:t>lor</w:t>
      </w:r>
      <w:r w:rsidR="00FF7936" w:rsidRPr="009C5F11">
        <w:rPr>
          <w:rFonts w:ascii="Times New Roman" w:hAnsi="Times New Roman" w:cs="Times New Roman"/>
          <w:sz w:val="24"/>
          <w:lang w:val="ro-RO"/>
        </w:rPr>
        <w:t xml:space="preserve"> regenerabile de energie</w:t>
      </w:r>
      <w:r w:rsidR="00BC2ED4" w:rsidRPr="009C5F11">
        <w:rPr>
          <w:rFonts w:ascii="Times New Roman" w:hAnsi="Times New Roman" w:cs="Times New Roman"/>
          <w:sz w:val="24"/>
          <w:lang w:val="ro-RO"/>
        </w:rPr>
        <w:t xml:space="preserve">. </w:t>
      </w:r>
      <w:r w:rsidR="00334DD0" w:rsidRPr="009C5F11">
        <w:rPr>
          <w:rFonts w:ascii="Times New Roman" w:hAnsi="Times New Roman" w:cs="Times New Roman"/>
          <w:sz w:val="24"/>
          <w:lang w:val="ro-RO"/>
        </w:rPr>
        <w:t xml:space="preserve">În </w:t>
      </w:r>
      <w:r w:rsidR="00840F87" w:rsidRPr="009C5F11">
        <w:rPr>
          <w:rFonts w:ascii="Times New Roman" w:hAnsi="Times New Roman" w:cs="Times New Roman"/>
          <w:sz w:val="24"/>
          <w:lang w:val="ro-RO"/>
        </w:rPr>
        <w:t>această ordine de idei</w:t>
      </w:r>
      <w:r w:rsidR="00BC2ED4" w:rsidRPr="009C5F11">
        <w:rPr>
          <w:rFonts w:ascii="Times New Roman" w:hAnsi="Times New Roman" w:cs="Times New Roman"/>
          <w:sz w:val="24"/>
          <w:lang w:val="ro-RO"/>
        </w:rPr>
        <w:t>, Agen</w:t>
      </w:r>
      <w:r w:rsidR="00840F87" w:rsidRPr="009C5F11">
        <w:rPr>
          <w:rFonts w:ascii="Times New Roman" w:hAnsi="Times New Roman" w:cs="Times New Roman"/>
          <w:sz w:val="24"/>
          <w:lang w:val="ro-RO"/>
        </w:rPr>
        <w:t>ţia</w:t>
      </w:r>
      <w:r w:rsidR="00BC2ED4" w:rsidRPr="009C5F11">
        <w:rPr>
          <w:rFonts w:ascii="Times New Roman" w:hAnsi="Times New Roman" w:cs="Times New Roman"/>
          <w:sz w:val="24"/>
          <w:lang w:val="ro-RO"/>
        </w:rPr>
        <w:t xml:space="preserve"> </w:t>
      </w:r>
      <w:r w:rsidR="00043064" w:rsidRPr="009C5F11">
        <w:rPr>
          <w:rFonts w:ascii="Times New Roman" w:hAnsi="Times New Roman" w:cs="Times New Roman"/>
          <w:sz w:val="24"/>
          <w:lang w:val="ro-RO"/>
        </w:rPr>
        <w:t>coordonează</w:t>
      </w:r>
      <w:r w:rsidR="00840F87" w:rsidRPr="009C5F11">
        <w:rPr>
          <w:rFonts w:ascii="Times New Roman" w:hAnsi="Times New Roman" w:cs="Times New Roman"/>
          <w:sz w:val="24"/>
          <w:lang w:val="ro-RO"/>
        </w:rPr>
        <w:t xml:space="preserve"> programele locale pentru eficienţă energetică şi</w:t>
      </w:r>
      <w:r w:rsidR="00BC2ED4" w:rsidRPr="009C5F11">
        <w:rPr>
          <w:rFonts w:ascii="Times New Roman" w:hAnsi="Times New Roman" w:cs="Times New Roman"/>
          <w:sz w:val="24"/>
          <w:lang w:val="ro-RO"/>
        </w:rPr>
        <w:t xml:space="preserve"> </w:t>
      </w:r>
      <w:r w:rsidR="00E10BE5" w:rsidRPr="009C5F11">
        <w:rPr>
          <w:rFonts w:ascii="Times New Roman" w:hAnsi="Times New Roman" w:cs="Times New Roman"/>
          <w:sz w:val="24"/>
          <w:lang w:val="ro-RO"/>
        </w:rPr>
        <w:t>planuri</w:t>
      </w:r>
      <w:r w:rsidR="00840F87" w:rsidRPr="009C5F11">
        <w:rPr>
          <w:rFonts w:ascii="Times New Roman" w:hAnsi="Times New Roman" w:cs="Times New Roman"/>
          <w:sz w:val="24"/>
          <w:lang w:val="ro-RO"/>
        </w:rPr>
        <w:t>le</w:t>
      </w:r>
      <w:r w:rsidR="00E10BE5" w:rsidRPr="009C5F11">
        <w:rPr>
          <w:rFonts w:ascii="Times New Roman" w:hAnsi="Times New Roman" w:cs="Times New Roman"/>
          <w:sz w:val="24"/>
          <w:lang w:val="ro-RO"/>
        </w:rPr>
        <w:t xml:space="preserve"> de acţiune</w:t>
      </w:r>
      <w:r w:rsidR="00BC2ED4" w:rsidRPr="009C5F11">
        <w:rPr>
          <w:rFonts w:ascii="Times New Roman" w:hAnsi="Times New Roman" w:cs="Times New Roman"/>
          <w:sz w:val="24"/>
          <w:lang w:val="ro-RO"/>
        </w:rPr>
        <w:t xml:space="preserve"> </w:t>
      </w:r>
      <w:r w:rsidR="00840F87" w:rsidRPr="009C5F11">
        <w:rPr>
          <w:rFonts w:ascii="Times New Roman" w:hAnsi="Times New Roman" w:cs="Times New Roman"/>
          <w:sz w:val="24"/>
          <w:lang w:val="ro-RO"/>
        </w:rPr>
        <w:t xml:space="preserve">locale în domeniul </w:t>
      </w:r>
      <w:r w:rsidR="00960928" w:rsidRPr="009C5F11">
        <w:rPr>
          <w:rFonts w:ascii="Times New Roman" w:hAnsi="Times New Roman" w:cs="Times New Roman"/>
          <w:sz w:val="24"/>
          <w:lang w:val="ro-RO"/>
        </w:rPr>
        <w:t>eficienţ</w:t>
      </w:r>
      <w:r w:rsidR="00840F87" w:rsidRPr="009C5F11">
        <w:rPr>
          <w:rFonts w:ascii="Times New Roman" w:hAnsi="Times New Roman" w:cs="Times New Roman"/>
          <w:sz w:val="24"/>
          <w:lang w:val="ro-RO"/>
        </w:rPr>
        <w:t>ei</w:t>
      </w:r>
      <w:r w:rsidR="00960928" w:rsidRPr="009C5F11">
        <w:rPr>
          <w:rFonts w:ascii="Times New Roman" w:hAnsi="Times New Roman" w:cs="Times New Roman"/>
          <w:sz w:val="24"/>
          <w:lang w:val="ro-RO"/>
        </w:rPr>
        <w:t xml:space="preserve"> energetic</w:t>
      </w:r>
      <w:r w:rsidR="00840F87"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finan</w:t>
      </w:r>
      <w:r w:rsidR="00840F87" w:rsidRPr="009C5F11">
        <w:rPr>
          <w:rFonts w:ascii="Times New Roman" w:hAnsi="Times New Roman" w:cs="Times New Roman"/>
          <w:sz w:val="24"/>
          <w:lang w:val="ro-RO"/>
        </w:rPr>
        <w:t xml:space="preserve">ţate </w:t>
      </w:r>
      <w:r w:rsidR="00B7502D" w:rsidRPr="009C5F11">
        <w:rPr>
          <w:rFonts w:ascii="Times New Roman" w:hAnsi="Times New Roman" w:cs="Times New Roman"/>
          <w:sz w:val="24"/>
          <w:lang w:val="ro-RO"/>
        </w:rPr>
        <w:t>din bugetul</w:t>
      </w:r>
      <w:r w:rsidR="00043064" w:rsidRPr="009C5F11">
        <w:rPr>
          <w:rFonts w:ascii="Times New Roman" w:hAnsi="Times New Roman" w:cs="Times New Roman"/>
          <w:sz w:val="24"/>
          <w:lang w:val="ro-RO"/>
        </w:rPr>
        <w:t xml:space="preserve"> de stat</w:t>
      </w:r>
      <w:r w:rsidR="00BC2ED4" w:rsidRPr="009C5F11">
        <w:rPr>
          <w:rFonts w:ascii="Times New Roman" w:hAnsi="Times New Roman" w:cs="Times New Roman"/>
          <w:sz w:val="24"/>
          <w:lang w:val="ro-RO"/>
        </w:rPr>
        <w:t xml:space="preserve">, </w:t>
      </w:r>
      <w:r w:rsidR="00840F87" w:rsidRPr="009C5F11">
        <w:rPr>
          <w:rFonts w:ascii="Times New Roman" w:hAnsi="Times New Roman" w:cs="Times New Roman"/>
          <w:sz w:val="24"/>
          <w:lang w:val="ro-RO"/>
        </w:rPr>
        <w:t xml:space="preserve">din bugetele instituţiilor şi organizaţiilor pe baza unor acorduri </w:t>
      </w:r>
      <w:r w:rsidR="00B45C21" w:rsidRPr="009C5F11">
        <w:rPr>
          <w:rFonts w:ascii="Times New Roman" w:hAnsi="Times New Roman" w:cs="Times New Roman"/>
          <w:sz w:val="24"/>
          <w:lang w:val="ro-RO"/>
        </w:rPr>
        <w:t>guvernamentale</w:t>
      </w:r>
      <w:r w:rsidR="00BC2ED4" w:rsidRPr="009C5F11">
        <w:rPr>
          <w:rFonts w:ascii="Times New Roman" w:hAnsi="Times New Roman" w:cs="Times New Roman"/>
          <w:sz w:val="24"/>
          <w:lang w:val="ro-RO"/>
        </w:rPr>
        <w:t>, autoriz</w:t>
      </w:r>
      <w:r w:rsidR="00840F87" w:rsidRPr="009C5F11">
        <w:rPr>
          <w:rFonts w:ascii="Times New Roman" w:hAnsi="Times New Roman" w:cs="Times New Roman"/>
          <w:sz w:val="24"/>
          <w:lang w:val="ro-RO"/>
        </w:rPr>
        <w:t xml:space="preserve">area persoanelor fizice şi juridice să efectueze </w:t>
      </w:r>
      <w:r w:rsidR="00A07A79" w:rsidRPr="009C5F11">
        <w:rPr>
          <w:rFonts w:ascii="Times New Roman" w:hAnsi="Times New Roman" w:cs="Times New Roman"/>
          <w:sz w:val="24"/>
          <w:lang w:val="ro-RO"/>
        </w:rPr>
        <w:t>auditu</w:t>
      </w:r>
      <w:r w:rsidR="00840F87" w:rsidRPr="009C5F11">
        <w:rPr>
          <w:rFonts w:ascii="Times New Roman" w:hAnsi="Times New Roman" w:cs="Times New Roman"/>
          <w:sz w:val="24"/>
          <w:lang w:val="ro-RO"/>
        </w:rPr>
        <w:t>ri</w:t>
      </w:r>
      <w:r w:rsidR="00A07A79" w:rsidRPr="009C5F11">
        <w:rPr>
          <w:rFonts w:ascii="Times New Roman" w:hAnsi="Times New Roman" w:cs="Times New Roman"/>
          <w:sz w:val="24"/>
          <w:lang w:val="ro-RO"/>
        </w:rPr>
        <w:t xml:space="preserve"> energetic</w:t>
      </w:r>
      <w:r w:rsidR="00273CDE" w:rsidRPr="009C5F11">
        <w:rPr>
          <w:rFonts w:ascii="Times New Roman" w:hAnsi="Times New Roman" w:cs="Times New Roman"/>
          <w:sz w:val="24"/>
          <w:lang w:val="ro-RO"/>
        </w:rPr>
        <w:t>e</w:t>
      </w:r>
      <w:r w:rsidRPr="009C5F11">
        <w:rPr>
          <w:rFonts w:ascii="Times New Roman" w:hAnsi="Times New Roman" w:cs="Times New Roman"/>
          <w:sz w:val="24"/>
          <w:lang w:val="ro-RO"/>
        </w:rPr>
        <w:t xml:space="preserve"> şi </w:t>
      </w:r>
      <w:r w:rsidR="001F414E" w:rsidRPr="009C5F11">
        <w:rPr>
          <w:rFonts w:ascii="Times New Roman" w:hAnsi="Times New Roman" w:cs="Times New Roman"/>
          <w:sz w:val="24"/>
          <w:lang w:val="ro-RO"/>
        </w:rPr>
        <w:t>acord</w:t>
      </w:r>
      <w:r w:rsidR="00840F87" w:rsidRPr="009C5F11">
        <w:rPr>
          <w:rFonts w:ascii="Times New Roman" w:hAnsi="Times New Roman" w:cs="Times New Roman"/>
          <w:sz w:val="24"/>
          <w:lang w:val="ro-RO"/>
        </w:rPr>
        <w:t>area</w:t>
      </w:r>
      <w:r w:rsidR="00BC2ED4" w:rsidRPr="009C5F11">
        <w:rPr>
          <w:rFonts w:ascii="Times New Roman" w:hAnsi="Times New Roman" w:cs="Times New Roman"/>
          <w:sz w:val="24"/>
          <w:lang w:val="ro-RO"/>
        </w:rPr>
        <w:t xml:space="preserve"> </w:t>
      </w:r>
      <w:r w:rsidR="00840F87" w:rsidRPr="009C5F11">
        <w:rPr>
          <w:rFonts w:ascii="Times New Roman" w:hAnsi="Times New Roman" w:cs="Times New Roman"/>
          <w:sz w:val="24"/>
          <w:lang w:val="ro-RO"/>
        </w:rPr>
        <w:t xml:space="preserve">dovezilor pe baza evidenţei datelor despre auditorii energetici , cât şi despre auditurile energetice efectuate. </w:t>
      </w:r>
    </w:p>
    <w:p w14:paraId="6FF490F1" w14:textId="77777777" w:rsidR="005F31B4" w:rsidRPr="009C5F11" w:rsidRDefault="005D1AD1"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Atribuţiile/</w:t>
      </w:r>
      <w:r w:rsidR="00840F87" w:rsidRPr="009C5F11">
        <w:rPr>
          <w:rFonts w:ascii="Times New Roman" w:hAnsi="Times New Roman" w:cs="Times New Roman"/>
          <w:sz w:val="24"/>
          <w:lang w:val="ro-RO"/>
        </w:rPr>
        <w:t>Sarcinile</w:t>
      </w:r>
      <w:r w:rsidR="00BC2ED4" w:rsidRPr="009C5F11">
        <w:rPr>
          <w:rFonts w:ascii="Times New Roman" w:hAnsi="Times New Roman" w:cs="Times New Roman"/>
          <w:sz w:val="24"/>
          <w:lang w:val="ro-RO"/>
        </w:rPr>
        <w:t xml:space="preserve"> Agen</w:t>
      </w:r>
      <w:r w:rsidR="00840F87" w:rsidRPr="009C5F11">
        <w:rPr>
          <w:rFonts w:ascii="Times New Roman" w:hAnsi="Times New Roman" w:cs="Times New Roman"/>
          <w:sz w:val="24"/>
          <w:lang w:val="ro-RO"/>
        </w:rPr>
        <w:t xml:space="preserve">ţiei sunt </w:t>
      </w:r>
      <w:r w:rsidR="00BC2ED4" w:rsidRPr="009C5F11">
        <w:rPr>
          <w:rFonts w:ascii="Times New Roman" w:hAnsi="Times New Roman" w:cs="Times New Roman"/>
          <w:sz w:val="24"/>
          <w:lang w:val="ro-RO"/>
        </w:rPr>
        <w:t>stipulate</w:t>
      </w:r>
      <w:r w:rsidR="00840F87" w:rsidRPr="009C5F11">
        <w:rPr>
          <w:rFonts w:ascii="Times New Roman" w:hAnsi="Times New Roman" w:cs="Times New Roman"/>
          <w:sz w:val="24"/>
          <w:lang w:val="ro-RO"/>
        </w:rPr>
        <w:t xml:space="preserve"> de</w:t>
      </w:r>
      <w:r w:rsidR="00BC2ED4" w:rsidRPr="009C5F11">
        <w:rPr>
          <w:rFonts w:ascii="Times New Roman" w:hAnsi="Times New Roman" w:cs="Times New Roman"/>
          <w:sz w:val="24"/>
          <w:lang w:val="ro-RO"/>
        </w:rPr>
        <w:t xml:space="preserve"> </w:t>
      </w:r>
      <w:r w:rsidR="00EA007D" w:rsidRPr="009C5F11">
        <w:rPr>
          <w:rFonts w:ascii="Times New Roman" w:hAnsi="Times New Roman" w:cs="Times New Roman"/>
          <w:sz w:val="24"/>
          <w:lang w:val="ro-RO"/>
        </w:rPr>
        <w:t>Legea</w:t>
      </w:r>
      <w:r w:rsidR="00055095" w:rsidRPr="009C5F11">
        <w:rPr>
          <w:rFonts w:ascii="Times New Roman" w:hAnsi="Times New Roman" w:cs="Times New Roman"/>
          <w:sz w:val="24"/>
          <w:lang w:val="ro-RO"/>
        </w:rPr>
        <w:t xml:space="preserve"> </w:t>
      </w:r>
      <w:r w:rsidR="00BC2ED4" w:rsidRPr="009C5F11">
        <w:rPr>
          <w:rFonts w:ascii="Times New Roman" w:hAnsi="Times New Roman" w:cs="Times New Roman"/>
          <w:sz w:val="24"/>
          <w:lang w:val="ro-RO"/>
        </w:rPr>
        <w:t>n</w:t>
      </w:r>
      <w:r w:rsidR="00840F87" w:rsidRPr="009C5F11">
        <w:rPr>
          <w:rFonts w:ascii="Times New Roman" w:hAnsi="Times New Roman" w:cs="Times New Roman"/>
          <w:sz w:val="24"/>
          <w:lang w:val="ro-RO"/>
        </w:rPr>
        <w:t>r</w:t>
      </w:r>
      <w:r w:rsidR="00BC2ED4" w:rsidRPr="009C5F11">
        <w:rPr>
          <w:rFonts w:ascii="Times New Roman" w:hAnsi="Times New Roman" w:cs="Times New Roman"/>
          <w:sz w:val="24"/>
          <w:lang w:val="ro-RO"/>
        </w:rPr>
        <w:t xml:space="preserve">. 142 </w:t>
      </w:r>
      <w:r w:rsidR="00840F87" w:rsidRPr="009C5F11">
        <w:rPr>
          <w:rFonts w:ascii="Times New Roman" w:hAnsi="Times New Roman" w:cs="Times New Roman"/>
          <w:sz w:val="24"/>
          <w:lang w:val="ro-RO"/>
        </w:rPr>
        <w:t xml:space="preserve">cu privire la </w:t>
      </w:r>
      <w:r w:rsidR="00812E1D" w:rsidRPr="009C5F11">
        <w:rPr>
          <w:rFonts w:ascii="Times New Roman" w:hAnsi="Times New Roman" w:cs="Times New Roman"/>
          <w:sz w:val="24"/>
          <w:lang w:val="ro-RO"/>
        </w:rPr>
        <w:t>eficienţa energetică</w:t>
      </w:r>
      <w:r w:rsidR="00BC2ED4" w:rsidRPr="009C5F11">
        <w:rPr>
          <w:rFonts w:ascii="Times New Roman" w:hAnsi="Times New Roman" w:cs="Times New Roman"/>
          <w:sz w:val="24"/>
          <w:lang w:val="ro-RO"/>
        </w:rPr>
        <w:t xml:space="preserve"> (art.9), </w:t>
      </w:r>
      <w:r w:rsidR="00927CD9" w:rsidRPr="009C5F11">
        <w:rPr>
          <w:rFonts w:ascii="Times New Roman" w:hAnsi="Times New Roman" w:cs="Times New Roman"/>
          <w:sz w:val="24"/>
          <w:lang w:val="ro-RO"/>
        </w:rPr>
        <w:t xml:space="preserve">Hotărârea Guvernului </w:t>
      </w:r>
      <w:r w:rsidR="00BC2ED4" w:rsidRPr="009C5F11">
        <w:rPr>
          <w:rFonts w:ascii="Times New Roman" w:hAnsi="Times New Roman" w:cs="Times New Roman"/>
          <w:sz w:val="24"/>
          <w:lang w:val="ro-RO"/>
        </w:rPr>
        <w:t>n</w:t>
      </w:r>
      <w:r w:rsidR="00840F87" w:rsidRPr="009C5F11">
        <w:rPr>
          <w:rFonts w:ascii="Times New Roman" w:hAnsi="Times New Roman" w:cs="Times New Roman"/>
          <w:sz w:val="24"/>
          <w:lang w:val="ro-RO"/>
        </w:rPr>
        <w:t>r</w:t>
      </w:r>
      <w:r w:rsidR="00BC2ED4" w:rsidRPr="009C5F11">
        <w:rPr>
          <w:rFonts w:ascii="Times New Roman" w:hAnsi="Times New Roman" w:cs="Times New Roman"/>
          <w:sz w:val="24"/>
          <w:lang w:val="ro-RO"/>
        </w:rPr>
        <w:t xml:space="preserve">. 833 </w:t>
      </w:r>
      <w:r w:rsidR="00840F87"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10.11.2011 </w:t>
      </w:r>
      <w:r w:rsidR="00840F87" w:rsidRPr="009C5F11">
        <w:rPr>
          <w:rFonts w:ascii="Times New Roman" w:hAnsi="Times New Roman" w:cs="Times New Roman"/>
          <w:sz w:val="24"/>
          <w:lang w:val="ro-RO"/>
        </w:rPr>
        <w:t xml:space="preserve">cu privire la aprobarea </w:t>
      </w:r>
      <w:r w:rsidR="00204033" w:rsidRPr="009C5F11">
        <w:rPr>
          <w:rFonts w:ascii="Times New Roman" w:hAnsi="Times New Roman" w:cs="Times New Roman"/>
          <w:sz w:val="24"/>
          <w:lang w:val="ro-RO"/>
        </w:rPr>
        <w:t>Programul</w:t>
      </w:r>
      <w:r w:rsidR="00840F87" w:rsidRPr="009C5F11">
        <w:rPr>
          <w:rFonts w:ascii="Times New Roman" w:hAnsi="Times New Roman" w:cs="Times New Roman"/>
          <w:sz w:val="24"/>
          <w:lang w:val="ro-RO"/>
        </w:rPr>
        <w:t>ui</w:t>
      </w:r>
      <w:r w:rsidR="00204033" w:rsidRPr="009C5F11">
        <w:rPr>
          <w:rFonts w:ascii="Times New Roman" w:hAnsi="Times New Roman" w:cs="Times New Roman"/>
          <w:sz w:val="24"/>
          <w:lang w:val="ro-RO"/>
        </w:rPr>
        <w:t xml:space="preserve"> naţional pentru eficienţă energetică</w:t>
      </w:r>
      <w:r w:rsidR="00BC2ED4" w:rsidRPr="009C5F11">
        <w:rPr>
          <w:rFonts w:ascii="Times New Roman" w:hAnsi="Times New Roman" w:cs="Times New Roman"/>
          <w:sz w:val="24"/>
          <w:lang w:val="ro-RO"/>
        </w:rPr>
        <w:t xml:space="preserve"> 2011-2020</w:t>
      </w:r>
      <w:r w:rsidR="00321CD5" w:rsidRPr="009C5F11">
        <w:rPr>
          <w:rFonts w:ascii="Times New Roman" w:hAnsi="Times New Roman" w:cs="Times New Roman"/>
          <w:sz w:val="24"/>
          <w:lang w:val="ro-RO"/>
        </w:rPr>
        <w:t xml:space="preserve"> şi </w:t>
      </w:r>
      <w:r w:rsidR="00840F87" w:rsidRPr="009C5F11">
        <w:rPr>
          <w:rFonts w:ascii="Times New Roman" w:hAnsi="Times New Roman" w:cs="Times New Roman"/>
          <w:sz w:val="24"/>
          <w:lang w:val="ro-RO"/>
        </w:rPr>
        <w:t>de</w:t>
      </w:r>
      <w:r w:rsidR="00BC2ED4" w:rsidRPr="009C5F11">
        <w:rPr>
          <w:rFonts w:ascii="Times New Roman" w:hAnsi="Times New Roman" w:cs="Times New Roman"/>
          <w:sz w:val="24"/>
          <w:lang w:val="ro-RO"/>
        </w:rPr>
        <w:t xml:space="preserve"> </w:t>
      </w:r>
      <w:r w:rsidR="00927CD9" w:rsidRPr="009C5F11">
        <w:rPr>
          <w:rFonts w:ascii="Times New Roman" w:hAnsi="Times New Roman" w:cs="Times New Roman"/>
          <w:sz w:val="24"/>
          <w:lang w:val="ro-RO"/>
        </w:rPr>
        <w:t xml:space="preserve">Hotărârea Guvernului </w:t>
      </w:r>
      <w:r w:rsidR="00BC2ED4" w:rsidRPr="009C5F11">
        <w:rPr>
          <w:rFonts w:ascii="Times New Roman" w:hAnsi="Times New Roman" w:cs="Times New Roman"/>
          <w:sz w:val="24"/>
          <w:lang w:val="ro-RO"/>
        </w:rPr>
        <w:t>n</w:t>
      </w:r>
      <w:r w:rsidR="00840F87" w:rsidRPr="009C5F11">
        <w:rPr>
          <w:rFonts w:ascii="Times New Roman" w:hAnsi="Times New Roman" w:cs="Times New Roman"/>
          <w:sz w:val="24"/>
          <w:lang w:val="ro-RO"/>
        </w:rPr>
        <w:t>r</w:t>
      </w:r>
      <w:r w:rsidR="00BC2ED4" w:rsidRPr="009C5F11">
        <w:rPr>
          <w:rFonts w:ascii="Times New Roman" w:hAnsi="Times New Roman" w:cs="Times New Roman"/>
          <w:sz w:val="24"/>
          <w:lang w:val="ro-RO"/>
        </w:rPr>
        <w:t xml:space="preserve">. 1173 </w:t>
      </w:r>
      <w:r w:rsidR="00840F87"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21.12.2010 </w:t>
      </w:r>
      <w:r w:rsidR="00840F87" w:rsidRPr="009C5F11">
        <w:rPr>
          <w:rFonts w:ascii="Times New Roman" w:hAnsi="Times New Roman" w:cs="Times New Roman"/>
          <w:sz w:val="24"/>
          <w:lang w:val="ro-RO"/>
        </w:rPr>
        <w:t>privind</w:t>
      </w:r>
      <w:r w:rsidR="00BC2ED4"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Agenţia pentru Eficienţă Energetică</w:t>
      </w:r>
      <w:r w:rsidRPr="009C5F11">
        <w:rPr>
          <w:rFonts w:ascii="Times New Roman" w:hAnsi="Times New Roman" w:cs="Times New Roman"/>
          <w:sz w:val="24"/>
          <w:lang w:val="ro-RO"/>
        </w:rPr>
        <w:t xml:space="preserve"> după cum urmează</w:t>
      </w:r>
      <w:r w:rsidR="00BC2ED4" w:rsidRPr="009C5F11">
        <w:rPr>
          <w:rFonts w:ascii="Times New Roman" w:hAnsi="Times New Roman" w:cs="Times New Roman"/>
          <w:sz w:val="24"/>
          <w:lang w:val="ro-RO"/>
        </w:rPr>
        <w:t>:</w:t>
      </w:r>
    </w:p>
    <w:p w14:paraId="752F743C" w14:textId="14694F1C" w:rsidR="005D1AD1" w:rsidRPr="009C5F11" w:rsidRDefault="005D1AD1"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Agenţia exercită următoarele atribuţii de bază:</w:t>
      </w:r>
    </w:p>
    <w:p w14:paraId="388B0813" w14:textId="77777777" w:rsidR="00BC2ED4" w:rsidRPr="009C5F11" w:rsidRDefault="005D1AD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implementează politica statului în domeniul eficienţei energetice şi al surselor regenerabile de energie</w:t>
      </w:r>
      <w:r w:rsidR="00BC2ED4" w:rsidRPr="009C5F11">
        <w:rPr>
          <w:rFonts w:ascii="Times New Roman" w:hAnsi="Times New Roman" w:cs="Times New Roman"/>
          <w:sz w:val="24"/>
          <w:lang w:val="ro-RO"/>
        </w:rPr>
        <w:t>;</w:t>
      </w:r>
    </w:p>
    <w:p w14:paraId="48C1987E" w14:textId="77777777" w:rsidR="00BC2ED4" w:rsidRPr="009C5F11" w:rsidRDefault="005D1AD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lastRenderedPageBreak/>
        <w:t>elaborează şi prezintă organului central de specialitate în domeniul energetic spre aprobare cerinţe minime de performanţă energetică pentru utilajele şi echipamentele produse sau importate în Republica Moldova</w:t>
      </w:r>
      <w:r w:rsidR="00BC2ED4" w:rsidRPr="009C5F11">
        <w:rPr>
          <w:rFonts w:ascii="Times New Roman" w:hAnsi="Times New Roman" w:cs="Times New Roman"/>
          <w:sz w:val="24"/>
          <w:lang w:val="ro-RO"/>
        </w:rPr>
        <w:t>;</w:t>
      </w:r>
    </w:p>
    <w:p w14:paraId="46040093" w14:textId="77777777" w:rsidR="00BC2ED4" w:rsidRPr="009C5F11" w:rsidRDefault="005D1AD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participă la elaborarea proiectelor de acte normative, inclusiv a proiectelor reglementărilor tehnice şi a standardelor în domeniul eficienţei energetice şi al surselor regenerabile de energie;</w:t>
      </w:r>
    </w:p>
    <w:p w14:paraId="2296E956" w14:textId="77777777" w:rsidR="00BC2ED4" w:rsidRPr="009C5F11" w:rsidRDefault="005D1AD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participă la elaborarea proiectelor de programe şi de planuri naţionale de acţiune în domeniul eficienţei energetice şi al surselor regenerabile de energie</w:t>
      </w:r>
      <w:r w:rsidR="00BC2ED4" w:rsidRPr="009C5F11">
        <w:rPr>
          <w:rFonts w:ascii="Times New Roman" w:hAnsi="Times New Roman" w:cs="Times New Roman"/>
          <w:sz w:val="24"/>
          <w:lang w:val="ro-RO"/>
        </w:rPr>
        <w:t>;</w:t>
      </w:r>
    </w:p>
    <w:p w14:paraId="12824B3B" w14:textId="77777777" w:rsidR="00BC2ED4" w:rsidRPr="009C5F11" w:rsidRDefault="005D1AD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elaborează proiecte-pilot în domeniul eficienţei energetice şi al surselor regenerabile de energie</w:t>
      </w:r>
      <w:r w:rsidR="00BC2ED4" w:rsidRPr="009C5F11">
        <w:rPr>
          <w:rFonts w:ascii="Times New Roman" w:hAnsi="Times New Roman" w:cs="Times New Roman"/>
          <w:sz w:val="24"/>
          <w:lang w:val="ro-RO"/>
        </w:rPr>
        <w:t>;</w:t>
      </w:r>
    </w:p>
    <w:p w14:paraId="2B8CD8BF" w14:textId="77777777" w:rsidR="00BC2ED4" w:rsidRPr="009C5F11" w:rsidRDefault="005D1AD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acordă asistenţă autorităţilor administraţiei publice centrale şi locale la elaborarea programelor de îmbunătăţire a eficienţei energetice şi valorificarea surselor regenerabile de energie</w:t>
      </w:r>
      <w:r w:rsidR="00BC2ED4" w:rsidRPr="009C5F11">
        <w:rPr>
          <w:rFonts w:ascii="Times New Roman" w:hAnsi="Times New Roman" w:cs="Times New Roman"/>
          <w:sz w:val="24"/>
          <w:lang w:val="ro-RO"/>
        </w:rPr>
        <w:t>;</w:t>
      </w:r>
    </w:p>
    <w:p w14:paraId="5563E7B5" w14:textId="77777777" w:rsidR="00BC2ED4" w:rsidRPr="009C5F11" w:rsidRDefault="00051BBA"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coordonează programele şi planurile de acţiune elaborate de autorităţile administraţiei publice locale, precum şi programele de eficienţă energetică finanţate de instituţii sau de organizaţii internaţionale, în baza unor acorduri guvernamentale</w:t>
      </w:r>
      <w:r w:rsidR="00BC2ED4" w:rsidRPr="009C5F11">
        <w:rPr>
          <w:rFonts w:ascii="Times New Roman" w:hAnsi="Times New Roman" w:cs="Times New Roman"/>
          <w:sz w:val="24"/>
          <w:lang w:val="ro-RO"/>
        </w:rPr>
        <w:t>;</w:t>
      </w:r>
    </w:p>
    <w:p w14:paraId="74BD002A" w14:textId="77777777" w:rsidR="00BC2ED4" w:rsidRPr="009C5F11" w:rsidRDefault="00051BBA"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asigură diseminarea informaţiei referitoare la eficienţa energetică, inclusiv la mecanismele de eficienţă energetică, la cadrul financiar şi legal adoptat în scopul îndeplinirii obiectivului indicativ naţional, precum şi diseminarea informaţiei referitoare la utilizarea surselor regenerabile de energie</w:t>
      </w:r>
      <w:r w:rsidR="00BC2ED4" w:rsidRPr="009C5F11">
        <w:rPr>
          <w:rFonts w:ascii="Times New Roman" w:hAnsi="Times New Roman" w:cs="Times New Roman"/>
          <w:sz w:val="24"/>
          <w:lang w:val="ro-RO"/>
        </w:rPr>
        <w:t>;</w:t>
      </w:r>
    </w:p>
    <w:p w14:paraId="11BC3D4D" w14:textId="77777777" w:rsidR="00BC2ED4" w:rsidRPr="009C5F11" w:rsidRDefault="005D1AD1"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acordă asistenţă consultativă şi informaţională societăţilor de servicii energetice, managerilor energetici, agenţilor economici, precum şi persoanelor fizice care activează în domeniul eficienţei energetice şi al surselor regenerabile de energie</w:t>
      </w:r>
      <w:r w:rsidR="00BC2ED4" w:rsidRPr="009C5F11">
        <w:rPr>
          <w:rFonts w:ascii="Times New Roman" w:hAnsi="Times New Roman" w:cs="Times New Roman"/>
          <w:sz w:val="24"/>
          <w:lang w:val="ro-RO"/>
        </w:rPr>
        <w:t>;</w:t>
      </w:r>
    </w:p>
    <w:p w14:paraId="7D887821" w14:textId="77777777" w:rsidR="00BC2ED4" w:rsidRPr="009C5F11" w:rsidRDefault="00051BBA"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autorizează persoanele fizice şi juridice să efectueze audite energetice</w:t>
      </w:r>
      <w:r w:rsidR="00BC2ED4" w:rsidRPr="009C5F11">
        <w:rPr>
          <w:rFonts w:ascii="Times New Roman" w:hAnsi="Times New Roman" w:cs="Times New Roman"/>
          <w:sz w:val="24"/>
          <w:lang w:val="ro-RO"/>
        </w:rPr>
        <w:t>;</w:t>
      </w:r>
    </w:p>
    <w:p w14:paraId="77757CED" w14:textId="77777777" w:rsidR="00BC2ED4" w:rsidRPr="009C5F11" w:rsidRDefault="00051BBA"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asigură evidenţa, prin ţinerea de registre, a auditorilor energetici şi a auditelor energetice efectuate, a proiectelor naţionale coordonate şi a proiectelor implementate de autorităţile administraţiei publice locale</w:t>
      </w:r>
      <w:r w:rsidR="00BC2ED4" w:rsidRPr="009C5F11">
        <w:rPr>
          <w:rFonts w:ascii="Times New Roman" w:hAnsi="Times New Roman" w:cs="Times New Roman"/>
          <w:sz w:val="24"/>
          <w:lang w:val="ro-RO"/>
        </w:rPr>
        <w:t>;</w:t>
      </w:r>
    </w:p>
    <w:p w14:paraId="71468283" w14:textId="77777777" w:rsidR="00BC2ED4" w:rsidRPr="009C5F11" w:rsidRDefault="00051BBA"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 xml:space="preserve">avizează proiecte în domeniul eficienţei energetice şi al valorificării surselor regenerabile de energie, finanţate parţial sau integral de la bugetul de stat, bugetele unităţilor administrativ-teritoriale şi finanţate prin intermediul </w:t>
      </w:r>
      <w:r w:rsidR="00321CD5" w:rsidRPr="009C5F11">
        <w:rPr>
          <w:rFonts w:ascii="Times New Roman" w:hAnsi="Times New Roman" w:cs="Times New Roman"/>
          <w:sz w:val="24"/>
          <w:lang w:val="ro-RO"/>
        </w:rPr>
        <w:t>Fondul</w:t>
      </w:r>
      <w:r w:rsidRPr="009C5F11">
        <w:rPr>
          <w:rFonts w:ascii="Times New Roman" w:hAnsi="Times New Roman" w:cs="Times New Roman"/>
          <w:sz w:val="24"/>
          <w:lang w:val="ro-RO"/>
        </w:rPr>
        <w:t>ui</w:t>
      </w:r>
      <w:r w:rsidR="00321CD5" w:rsidRPr="009C5F11">
        <w:rPr>
          <w:rFonts w:ascii="Times New Roman" w:hAnsi="Times New Roman" w:cs="Times New Roman"/>
          <w:sz w:val="24"/>
          <w:lang w:val="ro-RO"/>
        </w:rPr>
        <w:t xml:space="preserve"> pentru Eficienţă Energetică</w:t>
      </w:r>
      <w:r w:rsidR="00BC2ED4" w:rsidRPr="009C5F11">
        <w:rPr>
          <w:rFonts w:ascii="Times New Roman" w:hAnsi="Times New Roman" w:cs="Times New Roman"/>
          <w:sz w:val="24"/>
          <w:lang w:val="ro-RO"/>
        </w:rPr>
        <w:t>;</w:t>
      </w:r>
    </w:p>
    <w:p w14:paraId="3909C384" w14:textId="77777777" w:rsidR="00BC2ED4" w:rsidRPr="009C5F11" w:rsidRDefault="00051BBA"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evaluează potenţialul de sporire a eficienţei energetice în ansamblu pe economie</w:t>
      </w:r>
      <w:r w:rsidR="00BC2ED4" w:rsidRPr="009C5F11">
        <w:rPr>
          <w:rFonts w:ascii="Times New Roman" w:hAnsi="Times New Roman" w:cs="Times New Roman"/>
          <w:sz w:val="24"/>
          <w:lang w:val="ro-RO"/>
        </w:rPr>
        <w:t>;</w:t>
      </w:r>
    </w:p>
    <w:p w14:paraId="469E7665" w14:textId="77777777" w:rsidR="00BC2ED4" w:rsidRPr="009C5F11" w:rsidRDefault="00051BBA"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eastAsia="Times New Roman" w:hAnsi="Times New Roman" w:cs="Times New Roman"/>
          <w:color w:val="000000"/>
          <w:sz w:val="24"/>
          <w:lang w:val="ro-RO"/>
        </w:rPr>
        <w:t>creează o bază informaţională în domeniul eficienţei energetice şi al surselor regenerabile de energie, prezintă solicitanţilor informaţii.</w:t>
      </w:r>
    </w:p>
    <w:p w14:paraId="1BD8B8F1" w14:textId="77777777" w:rsidR="00E02A32" w:rsidRPr="009C5F11" w:rsidRDefault="00E02A32" w:rsidP="00F24F92">
      <w:pPr>
        <w:spacing w:before="120" w:after="120" w:line="240" w:lineRule="auto"/>
        <w:jc w:val="both"/>
        <w:rPr>
          <w:rFonts w:ascii="Times New Roman" w:hAnsi="Times New Roman" w:cs="Times New Roman"/>
          <w:b/>
          <w:sz w:val="24"/>
          <w:lang w:val="ro-RO"/>
        </w:rPr>
      </w:pPr>
    </w:p>
    <w:p w14:paraId="4830D98E" w14:textId="77777777" w:rsidR="00EC0D1E" w:rsidRPr="009C5F11" w:rsidRDefault="00EC0D1E" w:rsidP="00F24F92">
      <w:pPr>
        <w:spacing w:before="120" w:after="120" w:line="240" w:lineRule="auto"/>
        <w:jc w:val="both"/>
        <w:rPr>
          <w:rFonts w:ascii="Times New Roman" w:hAnsi="Times New Roman" w:cs="Times New Roman"/>
          <w:b/>
          <w:sz w:val="24"/>
          <w:lang w:val="ro-RO"/>
        </w:rPr>
      </w:pPr>
      <w:r w:rsidRPr="009C5F11">
        <w:rPr>
          <w:rFonts w:ascii="Times New Roman" w:hAnsi="Times New Roman" w:cs="Times New Roman"/>
          <w:b/>
          <w:sz w:val="24"/>
          <w:lang w:val="ro-RO"/>
        </w:rPr>
        <w:t>Agenţia pentru Protecţia Consumatorului</w:t>
      </w:r>
    </w:p>
    <w:p w14:paraId="151706C3" w14:textId="2C28C8DF" w:rsidR="00F24F92" w:rsidRPr="009C5F11" w:rsidRDefault="000A4CC7"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Legea</w:t>
      </w:r>
      <w:r w:rsidR="00F24F92" w:rsidRPr="009C5F11">
        <w:rPr>
          <w:rFonts w:ascii="Times New Roman" w:hAnsi="Times New Roman" w:cs="Times New Roman"/>
          <w:sz w:val="24"/>
          <w:lang w:val="ro-RO"/>
        </w:rPr>
        <w:t xml:space="preserve"> n</w:t>
      </w:r>
      <w:r w:rsidR="00051BBA" w:rsidRPr="009C5F11">
        <w:rPr>
          <w:rFonts w:ascii="Times New Roman" w:hAnsi="Times New Roman" w:cs="Times New Roman"/>
          <w:sz w:val="24"/>
          <w:lang w:val="ro-RO"/>
        </w:rPr>
        <w:t>r</w:t>
      </w:r>
      <w:r w:rsidR="00F24F92" w:rsidRPr="009C5F11">
        <w:rPr>
          <w:rFonts w:ascii="Times New Roman" w:hAnsi="Times New Roman" w:cs="Times New Roman"/>
          <w:sz w:val="24"/>
          <w:lang w:val="ro-RO"/>
        </w:rPr>
        <w:t>.44</w:t>
      </w:r>
      <w:r w:rsidR="00051BBA" w:rsidRPr="009C5F11">
        <w:rPr>
          <w:rFonts w:ascii="Times New Roman" w:hAnsi="Times New Roman" w:cs="Times New Roman"/>
          <w:sz w:val="24"/>
          <w:lang w:val="ro-RO"/>
        </w:rPr>
        <w:t xml:space="preserve"> din 27.03.2014</w:t>
      </w:r>
      <w:r w:rsidR="00F24F92" w:rsidRPr="009C5F11">
        <w:rPr>
          <w:rFonts w:ascii="Times New Roman" w:hAnsi="Times New Roman" w:cs="Times New Roman"/>
          <w:sz w:val="24"/>
          <w:lang w:val="ro-RO"/>
        </w:rPr>
        <w:t xml:space="preserve"> </w:t>
      </w:r>
      <w:r w:rsidR="00051BBA" w:rsidRPr="009C5F11">
        <w:rPr>
          <w:rFonts w:ascii="Times New Roman" w:hAnsi="Times New Roman" w:cs="Times New Roman"/>
          <w:sz w:val="24"/>
          <w:lang w:val="ro-RO"/>
        </w:rPr>
        <w:t xml:space="preserve">privind etichetarea produselor cu impact energetic </w:t>
      </w:r>
      <w:r w:rsidR="004000CC" w:rsidRPr="009C5F11">
        <w:rPr>
          <w:rFonts w:ascii="Times New Roman" w:hAnsi="Times New Roman" w:cs="Times New Roman"/>
          <w:sz w:val="24"/>
          <w:lang w:val="ro-RO"/>
        </w:rPr>
        <w:t>defineşte</w:t>
      </w:r>
      <w:r w:rsidR="00F24F92" w:rsidRPr="009C5F11">
        <w:rPr>
          <w:rFonts w:ascii="Times New Roman" w:hAnsi="Times New Roman" w:cs="Times New Roman"/>
          <w:sz w:val="24"/>
          <w:lang w:val="ro-RO"/>
        </w:rPr>
        <w:t xml:space="preserve"> </w:t>
      </w:r>
      <w:r w:rsidR="004000CC" w:rsidRPr="009C5F11">
        <w:rPr>
          <w:rFonts w:ascii="Times New Roman" w:hAnsi="Times New Roman" w:cs="Times New Roman"/>
          <w:sz w:val="24"/>
          <w:lang w:val="ro-RO"/>
        </w:rPr>
        <w:t>responsabilităţile</w:t>
      </w:r>
      <w:r w:rsidR="00F24F92" w:rsidRPr="009C5F11">
        <w:rPr>
          <w:rFonts w:ascii="Times New Roman" w:hAnsi="Times New Roman" w:cs="Times New Roman"/>
          <w:sz w:val="24"/>
          <w:lang w:val="ro-RO"/>
        </w:rPr>
        <w:t xml:space="preserve"> </w:t>
      </w:r>
      <w:r w:rsidR="004000CC" w:rsidRPr="009C5F11">
        <w:rPr>
          <w:rFonts w:ascii="Times New Roman" w:hAnsi="Times New Roman" w:cs="Times New Roman"/>
          <w:sz w:val="24"/>
          <w:lang w:val="ro-RO"/>
        </w:rPr>
        <w:t>Agenţiei pentru Protecţia Consumatorului</w:t>
      </w:r>
      <w:r w:rsidR="00F24F92" w:rsidRPr="009C5F11">
        <w:rPr>
          <w:rFonts w:ascii="Times New Roman" w:hAnsi="Times New Roman" w:cs="Times New Roman"/>
          <w:sz w:val="24"/>
          <w:lang w:val="ro-RO"/>
        </w:rPr>
        <w:t xml:space="preserve"> </w:t>
      </w:r>
      <w:r w:rsidR="00051BBA" w:rsidRPr="009C5F11">
        <w:rPr>
          <w:rFonts w:ascii="Times New Roman" w:hAnsi="Times New Roman" w:cs="Times New Roman"/>
          <w:sz w:val="24"/>
          <w:lang w:val="ro-RO"/>
        </w:rPr>
        <w:t>în ceea ce priveşte exercitarea controlului asupra punerii în aplicare a legii</w:t>
      </w:r>
      <w:r w:rsidR="00A8154B" w:rsidRPr="009C5F11">
        <w:rPr>
          <w:rFonts w:ascii="Times New Roman" w:hAnsi="Times New Roman" w:cs="Times New Roman"/>
          <w:sz w:val="24"/>
          <w:lang w:val="ro-RO"/>
        </w:rPr>
        <w:t xml:space="preserve"> respective</w:t>
      </w:r>
      <w:r w:rsidR="00F24F92" w:rsidRPr="009C5F11">
        <w:rPr>
          <w:rFonts w:ascii="Times New Roman" w:hAnsi="Times New Roman" w:cs="Times New Roman"/>
          <w:sz w:val="24"/>
          <w:lang w:val="ro-RO"/>
        </w:rPr>
        <w:t>.</w:t>
      </w:r>
      <w:r w:rsidR="00055095" w:rsidRPr="009C5F11">
        <w:rPr>
          <w:rFonts w:ascii="Times New Roman" w:hAnsi="Times New Roman" w:cs="Times New Roman"/>
          <w:sz w:val="24"/>
          <w:lang w:val="ro-RO"/>
        </w:rPr>
        <w:t xml:space="preserve"> </w:t>
      </w:r>
    </w:p>
    <w:p w14:paraId="71073522" w14:textId="77777777" w:rsidR="00E02A32" w:rsidRPr="009C5F11" w:rsidRDefault="00E02A32" w:rsidP="00CC5A1C">
      <w:pPr>
        <w:spacing w:before="120" w:after="120" w:line="240" w:lineRule="auto"/>
        <w:jc w:val="both"/>
        <w:rPr>
          <w:rFonts w:ascii="Times New Roman" w:hAnsi="Times New Roman" w:cs="Times New Roman"/>
          <w:b/>
          <w:sz w:val="24"/>
          <w:lang w:val="ro-RO"/>
        </w:rPr>
      </w:pPr>
    </w:p>
    <w:p w14:paraId="2F6B2914" w14:textId="77777777" w:rsidR="00451A72" w:rsidRPr="009C5F11" w:rsidRDefault="00451A72" w:rsidP="00CC5A1C">
      <w:pPr>
        <w:spacing w:before="120" w:after="120" w:line="240" w:lineRule="auto"/>
        <w:jc w:val="both"/>
        <w:rPr>
          <w:rFonts w:ascii="Times New Roman" w:hAnsi="Times New Roman" w:cs="Times New Roman"/>
          <w:b/>
          <w:sz w:val="24"/>
          <w:lang w:val="ro-RO"/>
        </w:rPr>
      </w:pPr>
      <w:r w:rsidRPr="009C5F11">
        <w:rPr>
          <w:rFonts w:ascii="Times New Roman" w:hAnsi="Times New Roman" w:cs="Times New Roman"/>
          <w:b/>
          <w:sz w:val="24"/>
          <w:lang w:val="ro-RO"/>
        </w:rPr>
        <w:t>Agen</w:t>
      </w:r>
      <w:r w:rsidR="0097202A" w:rsidRPr="009C5F11">
        <w:rPr>
          <w:rFonts w:ascii="Times New Roman" w:hAnsi="Times New Roman" w:cs="Times New Roman"/>
          <w:b/>
          <w:sz w:val="24"/>
          <w:lang w:val="ro-RO"/>
        </w:rPr>
        <w:t>t</w:t>
      </w:r>
      <w:r w:rsidRPr="009C5F11">
        <w:rPr>
          <w:rFonts w:ascii="Times New Roman" w:hAnsi="Times New Roman" w:cs="Times New Roman"/>
          <w:b/>
          <w:sz w:val="24"/>
          <w:lang w:val="ro-RO"/>
        </w:rPr>
        <w:t>ia pentru Eficienta Energetica si Ministerul Dezvoltarii Regionale si al Constructiilor</w:t>
      </w:r>
    </w:p>
    <w:p w14:paraId="3D13AD9F" w14:textId="7323D97D" w:rsidR="00CC5A1C" w:rsidRPr="009C5F11" w:rsidRDefault="001B1A25"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lastRenderedPageBreak/>
        <w:t>În conformitate cu</w:t>
      </w:r>
      <w:r w:rsidR="00BC2ED4" w:rsidRPr="009C5F11">
        <w:rPr>
          <w:rFonts w:ascii="Times New Roman" w:hAnsi="Times New Roman" w:cs="Times New Roman"/>
          <w:sz w:val="24"/>
          <w:lang w:val="ro-RO"/>
        </w:rPr>
        <w:t xml:space="preserve"> </w:t>
      </w:r>
      <w:r w:rsidR="00051BBA" w:rsidRPr="009C5F11">
        <w:rPr>
          <w:rFonts w:ascii="Times New Roman" w:hAnsi="Times New Roman" w:cs="Times New Roman"/>
          <w:sz w:val="24"/>
          <w:lang w:val="ro-RO"/>
        </w:rPr>
        <w:t xml:space="preserve">Legea cu privire la </w:t>
      </w:r>
      <w:r w:rsidR="00812E1D" w:rsidRPr="009C5F11">
        <w:rPr>
          <w:rFonts w:ascii="Times New Roman" w:hAnsi="Times New Roman" w:cs="Times New Roman"/>
          <w:sz w:val="24"/>
          <w:lang w:val="ro-RO"/>
        </w:rPr>
        <w:t>eficienţa energetică</w:t>
      </w:r>
      <w:r w:rsidR="00051BBA" w:rsidRPr="009C5F11">
        <w:rPr>
          <w:rFonts w:ascii="Times New Roman" w:hAnsi="Times New Roman" w:cs="Times New Roman"/>
          <w:sz w:val="24"/>
          <w:lang w:val="ro-RO"/>
        </w:rPr>
        <w:t>, nr</w:t>
      </w:r>
      <w:r w:rsidR="00BC2ED4" w:rsidRPr="009C5F11">
        <w:rPr>
          <w:rFonts w:ascii="Times New Roman" w:hAnsi="Times New Roman" w:cs="Times New Roman"/>
          <w:sz w:val="24"/>
          <w:lang w:val="ro-RO"/>
        </w:rPr>
        <w:t xml:space="preserve">.128 </w:t>
      </w:r>
      <w:r w:rsidR="00051BBA" w:rsidRPr="009C5F11">
        <w:rPr>
          <w:rFonts w:ascii="Times New Roman" w:hAnsi="Times New Roman" w:cs="Times New Roman"/>
          <w:sz w:val="24"/>
          <w:lang w:val="ro-RO"/>
        </w:rPr>
        <w:t>din</w:t>
      </w:r>
      <w:r w:rsidR="00BC2ED4" w:rsidRPr="009C5F11">
        <w:rPr>
          <w:rFonts w:ascii="Times New Roman" w:hAnsi="Times New Roman" w:cs="Times New Roman"/>
          <w:sz w:val="24"/>
          <w:lang w:val="ro-RO"/>
        </w:rPr>
        <w:t xml:space="preserve"> 07.11.</w:t>
      </w:r>
      <w:r w:rsidR="00CC5A1C" w:rsidRPr="009C5F11">
        <w:rPr>
          <w:rFonts w:ascii="Times New Roman" w:hAnsi="Times New Roman" w:cs="Times New Roman"/>
          <w:sz w:val="24"/>
          <w:lang w:val="ro-RO"/>
        </w:rPr>
        <w:t>2014:</w:t>
      </w:r>
    </w:p>
    <w:p w14:paraId="36F87FEF" w14:textId="77777777" w:rsidR="00CC5A1C" w:rsidRPr="009C5F11" w:rsidRDefault="000A4CC7" w:rsidP="00CC5A1C">
      <w:pPr>
        <w:spacing w:before="120" w:after="120" w:line="240" w:lineRule="auto"/>
        <w:ind w:left="708"/>
        <w:jc w:val="both"/>
        <w:textAlignment w:val="baseline"/>
        <w:rPr>
          <w:rFonts w:ascii="Times New Roman" w:hAnsi="Times New Roman" w:cs="Times New Roman"/>
          <w:i/>
          <w:szCs w:val="18"/>
          <w:u w:val="single"/>
          <w:lang w:val="ro-RO"/>
        </w:rPr>
      </w:pPr>
      <w:r w:rsidRPr="009C5F11">
        <w:rPr>
          <w:rFonts w:ascii="Times New Roman" w:hAnsi="Times New Roman" w:cs="Times New Roman"/>
          <w:i/>
          <w:szCs w:val="18"/>
          <w:u w:val="single"/>
          <w:lang w:val="ro-RO"/>
        </w:rPr>
        <w:t>Articolul</w:t>
      </w:r>
      <w:r w:rsidR="00CC5A1C" w:rsidRPr="009C5F11">
        <w:rPr>
          <w:rFonts w:ascii="Times New Roman" w:hAnsi="Times New Roman" w:cs="Times New Roman"/>
          <w:i/>
          <w:szCs w:val="18"/>
          <w:u w:val="single"/>
          <w:lang w:val="ro-RO"/>
        </w:rPr>
        <w:t xml:space="preserve"> 7 </w:t>
      </w:r>
      <w:r w:rsidR="00051BBA" w:rsidRPr="009C5F11">
        <w:rPr>
          <w:rFonts w:ascii="Times New Roman" w:eastAsia="Times New Roman" w:hAnsi="Times New Roman" w:cs="Times New Roman"/>
          <w:i/>
          <w:color w:val="000000"/>
          <w:szCs w:val="18"/>
          <w:u w:val="single"/>
          <w:lang w:val="ro-RO"/>
        </w:rPr>
        <w:t>Atribuţiile autorităţii publice în domeniul eficienţei energetice</w:t>
      </w:r>
    </w:p>
    <w:p w14:paraId="7650BF20" w14:textId="77777777" w:rsidR="00BC2ED4" w:rsidRPr="009C5F11" w:rsidRDefault="00BC2ED4" w:rsidP="00CC5A1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hAnsi="Times New Roman" w:cs="Times New Roman"/>
          <w:i/>
          <w:szCs w:val="18"/>
          <w:lang w:val="ro-RO"/>
        </w:rPr>
        <w:t xml:space="preserve">h) </w:t>
      </w:r>
      <w:r w:rsidR="00862BC1" w:rsidRPr="009C5F11">
        <w:rPr>
          <w:rFonts w:ascii="Times New Roman" w:hAnsi="Times New Roman" w:cs="Times New Roman"/>
          <w:i/>
          <w:szCs w:val="18"/>
          <w:lang w:val="ro-RO"/>
        </w:rPr>
        <w:t xml:space="preserve">Agenţia pentru Eficienţă Energetică </w:t>
      </w:r>
      <w:r w:rsidR="00051BBA" w:rsidRPr="009C5F11">
        <w:rPr>
          <w:rFonts w:ascii="Times New Roman" w:eastAsia="Times New Roman" w:hAnsi="Times New Roman" w:cs="Times New Roman"/>
          <w:i/>
          <w:color w:val="000000"/>
          <w:szCs w:val="18"/>
          <w:lang w:val="ro-RO"/>
        </w:rPr>
        <w:t>creează şi implementează, în comun cu organul central de specialitate al administraţiei publice în domeniul construcţiilor, sistemele de control independent al certificatelor de performanţă energetică şi al rapoartelor de inspecţie periodică a sistemelor de încălzire şi de inspecţie periodică a sistemelor de climatizare</w:t>
      </w:r>
      <w:r w:rsidRPr="009C5F11">
        <w:rPr>
          <w:rFonts w:ascii="Times New Roman" w:hAnsi="Times New Roman" w:cs="Times New Roman"/>
          <w:i/>
          <w:szCs w:val="18"/>
          <w:lang w:val="ro-RO"/>
        </w:rPr>
        <w:t>.</w:t>
      </w:r>
    </w:p>
    <w:p w14:paraId="3C8E562F" w14:textId="77777777" w:rsidR="00E02A32" w:rsidRPr="009C5F11" w:rsidRDefault="00E02A32" w:rsidP="00CC5A1C">
      <w:pPr>
        <w:spacing w:before="120" w:after="120" w:line="240" w:lineRule="auto"/>
        <w:jc w:val="both"/>
        <w:rPr>
          <w:rFonts w:ascii="Times New Roman" w:hAnsi="Times New Roman" w:cs="Times New Roman"/>
          <w:b/>
          <w:sz w:val="24"/>
          <w:lang w:val="ro-RO"/>
        </w:rPr>
      </w:pPr>
    </w:p>
    <w:p w14:paraId="12C11D86" w14:textId="77777777" w:rsidR="00EC0D1E" w:rsidRPr="009C5F11" w:rsidRDefault="00EC0D1E" w:rsidP="00CC5A1C">
      <w:pPr>
        <w:spacing w:before="120" w:after="120" w:line="240" w:lineRule="auto"/>
        <w:jc w:val="both"/>
        <w:rPr>
          <w:rFonts w:ascii="Times New Roman" w:hAnsi="Times New Roman" w:cs="Times New Roman"/>
          <w:b/>
          <w:sz w:val="24"/>
          <w:lang w:val="ro-RO"/>
        </w:rPr>
      </w:pPr>
      <w:r w:rsidRPr="009C5F11">
        <w:rPr>
          <w:rFonts w:ascii="Times New Roman" w:hAnsi="Times New Roman" w:cs="Times New Roman"/>
          <w:b/>
          <w:sz w:val="24"/>
          <w:lang w:val="ro-RO"/>
        </w:rPr>
        <w:t>ANRE</w:t>
      </w:r>
    </w:p>
    <w:p w14:paraId="15964A91" w14:textId="11A77C17" w:rsidR="00BC2ED4" w:rsidRPr="009C5F11" w:rsidRDefault="00862BC1"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În procesul de exercitare a atribuţiilor de </w:t>
      </w:r>
      <w:r w:rsidR="00AB25A9" w:rsidRPr="009C5F11">
        <w:rPr>
          <w:rFonts w:ascii="Times New Roman" w:hAnsi="Times New Roman" w:cs="Times New Roman"/>
          <w:sz w:val="24"/>
          <w:lang w:val="ro-RO"/>
        </w:rPr>
        <w:t>reglementare</w:t>
      </w:r>
      <w:r w:rsidRPr="009C5F11">
        <w:rPr>
          <w:rFonts w:ascii="Times New Roman" w:hAnsi="Times New Roman" w:cs="Times New Roman"/>
          <w:sz w:val="24"/>
          <w:lang w:val="ro-RO"/>
        </w:rPr>
        <w:t xml:space="preserve">, autorităţile naţionale ţin cont de </w:t>
      </w:r>
      <w:r w:rsidR="00122751" w:rsidRPr="009C5F11">
        <w:rPr>
          <w:rFonts w:ascii="Times New Roman" w:hAnsi="Times New Roman" w:cs="Times New Roman"/>
          <w:sz w:val="24"/>
          <w:lang w:val="ro-RO"/>
        </w:rPr>
        <w:t>dispoziţii</w:t>
      </w:r>
      <w:r w:rsidRPr="009C5F11">
        <w:rPr>
          <w:rFonts w:ascii="Times New Roman" w:hAnsi="Times New Roman" w:cs="Times New Roman"/>
          <w:sz w:val="24"/>
          <w:lang w:val="ro-RO"/>
        </w:rPr>
        <w:t>le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Legii cu privire la energia electrică, cât şi ale Legii cu privire la gazele naturale. Ambele legi conţin următoarele </w:t>
      </w:r>
      <w:r w:rsidR="001023D5" w:rsidRPr="009C5F11">
        <w:rPr>
          <w:rFonts w:ascii="Times New Roman" w:hAnsi="Times New Roman" w:cs="Times New Roman"/>
          <w:sz w:val="24"/>
          <w:lang w:val="ro-RO"/>
        </w:rPr>
        <w:t>noţiuni</w:t>
      </w:r>
      <w:r w:rsidR="00BC2ED4" w:rsidRPr="009C5F11">
        <w:rPr>
          <w:rFonts w:ascii="Times New Roman" w:hAnsi="Times New Roman" w:cs="Times New Roman"/>
          <w:sz w:val="24"/>
          <w:lang w:val="ro-RO"/>
        </w:rPr>
        <w:t>:</w:t>
      </w:r>
    </w:p>
    <w:p w14:paraId="41B74896" w14:textId="77777777" w:rsidR="00BC2ED4" w:rsidRPr="009C5F11" w:rsidRDefault="001023D5" w:rsidP="00CC5A1C">
      <w:pPr>
        <w:spacing w:before="120" w:after="120" w:line="240" w:lineRule="auto"/>
        <w:ind w:left="708"/>
        <w:jc w:val="both"/>
        <w:textAlignment w:val="baseline"/>
        <w:rPr>
          <w:rFonts w:ascii="Times New Roman" w:hAnsi="Times New Roman" w:cs="Times New Roman"/>
          <w:i/>
          <w:szCs w:val="18"/>
          <w:lang w:val="ro-RO"/>
        </w:rPr>
      </w:pPr>
      <w:r w:rsidRPr="009C5F11">
        <w:rPr>
          <w:rFonts w:ascii="Times New Roman" w:eastAsia="Times New Roman" w:hAnsi="Times New Roman" w:cs="Times New Roman"/>
          <w:i/>
          <w:iCs/>
          <w:color w:val="000000"/>
          <w:szCs w:val="18"/>
          <w:u w:val="single"/>
          <w:lang w:val="ro-RO"/>
        </w:rPr>
        <w:t>management al eficienţei energetice/gestionare a cererii</w:t>
      </w:r>
      <w:r w:rsidRPr="009C5F11">
        <w:rPr>
          <w:rFonts w:ascii="Times New Roman" w:eastAsia="Times New Roman" w:hAnsi="Times New Roman" w:cs="Times New Roman"/>
          <w:i/>
          <w:color w:val="000000"/>
          <w:szCs w:val="18"/>
          <w:lang w:val="ro-RO"/>
        </w:rPr>
        <w:t xml:space="preserve"> – abordare globală sau integrală în scopul influenţării volumului şi al programării consumului de energie electrică pentru reducerea consumului energiei primare şi a energiei produse de sursele de vîrf </w:t>
      </w:r>
      <w:r w:rsidRPr="009C5F11">
        <w:rPr>
          <w:rFonts w:ascii="Times New Roman" w:eastAsia="Times New Roman" w:hAnsi="Times New Roman" w:cs="Times New Roman"/>
          <w:i/>
          <w:color w:val="000000"/>
          <w:szCs w:val="18"/>
          <w:u w:val="single"/>
          <w:lang w:val="ro-RO"/>
        </w:rPr>
        <w:t>prin acordare de prioritate investiţiilor în măsurile de eficienţă energetică</w:t>
      </w:r>
      <w:r w:rsidRPr="009C5F11">
        <w:rPr>
          <w:rFonts w:ascii="Times New Roman" w:eastAsia="Times New Roman" w:hAnsi="Times New Roman" w:cs="Times New Roman"/>
          <w:i/>
          <w:color w:val="000000"/>
          <w:szCs w:val="18"/>
          <w:lang w:val="ro-RO"/>
        </w:rPr>
        <w:t xml:space="preserve"> sau în alte măsuri, precum ar fi contractele de alimentare întreruptibilă cu energie electrică, investiţiile pentru creşterea capacităţii de producere, dacă acestea se dovedesc a fi cele mai eficiente şi economice opţiuni, av</w:t>
      </w:r>
      <w:r w:rsidR="00273CDE" w:rsidRPr="009C5F11">
        <w:rPr>
          <w:rFonts w:ascii="Times New Roman" w:eastAsia="Times New Roman" w:hAnsi="Times New Roman" w:cs="Times New Roman"/>
          <w:i/>
          <w:color w:val="000000"/>
          <w:szCs w:val="18"/>
          <w:lang w:val="ro-RO"/>
        </w:rPr>
        <w:t>â</w:t>
      </w:r>
      <w:r w:rsidRPr="009C5F11">
        <w:rPr>
          <w:rFonts w:ascii="Times New Roman" w:eastAsia="Times New Roman" w:hAnsi="Times New Roman" w:cs="Times New Roman"/>
          <w:i/>
          <w:color w:val="000000"/>
          <w:szCs w:val="18"/>
          <w:lang w:val="ro-RO"/>
        </w:rPr>
        <w:t>ndu-se în vedere impactul pozitiv pe care îl are economia consumului de energie electrică asupra mediului, asupra securităţii alimentării cu energie electrică, precum şi asupra costurilor de distribuţie a energiei electrice aferente acestor măsuri.</w:t>
      </w:r>
    </w:p>
    <w:p w14:paraId="2F6866E7" w14:textId="46455F8F" w:rsidR="00F24F92" w:rsidRPr="009C5F11" w:rsidRDefault="003A6ADB" w:rsidP="0050553D">
      <w:pPr>
        <w:spacing w:before="120" w:after="120" w:line="240" w:lineRule="auto"/>
        <w:jc w:val="both"/>
        <w:textAlignment w:val="baseline"/>
        <w:rPr>
          <w:rFonts w:ascii="Times New Roman" w:hAnsi="Times New Roman" w:cs="Times New Roman"/>
          <w:sz w:val="24"/>
          <w:lang w:val="ro-RO"/>
        </w:rPr>
      </w:pPr>
      <w:r w:rsidRPr="009C5F11">
        <w:rPr>
          <w:rFonts w:ascii="Times New Roman" w:hAnsi="Times New Roman" w:cs="Times New Roman"/>
          <w:szCs w:val="18"/>
          <w:lang w:val="ro-RO"/>
        </w:rPr>
        <w:fldChar w:fldCharType="begin"/>
      </w:r>
      <w:r w:rsidR="0050553D" w:rsidRPr="009C5F11">
        <w:rPr>
          <w:rFonts w:ascii="Times New Roman" w:hAnsi="Times New Roman" w:cs="Times New Roman"/>
          <w:szCs w:val="18"/>
          <w:lang w:val="ro-RO"/>
        </w:rPr>
        <w:instrText xml:space="preserve"> REF _Ref319807426 \h </w:instrText>
      </w:r>
      <w:r w:rsidR="009C5F11" w:rsidRPr="009C5F11">
        <w:rPr>
          <w:rFonts w:ascii="Times New Roman" w:hAnsi="Times New Roman" w:cs="Times New Roman"/>
          <w:szCs w:val="18"/>
          <w:lang w:val="ro-RO"/>
        </w:rPr>
        <w:instrText xml:space="preserve"> \* MERGEFORMAT </w:instrText>
      </w:r>
      <w:r w:rsidRPr="009C5F11">
        <w:rPr>
          <w:rFonts w:ascii="Times New Roman" w:hAnsi="Times New Roman" w:cs="Times New Roman"/>
          <w:szCs w:val="18"/>
          <w:lang w:val="ro-RO"/>
        </w:rPr>
      </w:r>
      <w:r w:rsidRPr="009C5F11">
        <w:rPr>
          <w:rFonts w:ascii="Times New Roman" w:hAnsi="Times New Roman" w:cs="Times New Roman"/>
          <w:szCs w:val="18"/>
          <w:lang w:val="ro-RO"/>
        </w:rPr>
        <w:fldChar w:fldCharType="separate"/>
      </w:r>
      <w:r w:rsidR="0014013D" w:rsidRPr="0014013D">
        <w:rPr>
          <w:rFonts w:ascii="Times New Roman" w:hAnsi="Times New Roman" w:cs="Times New Roman"/>
          <w:sz w:val="24"/>
          <w:lang w:val="ro-RO"/>
        </w:rPr>
        <w:t>Tabelul 43</w:t>
      </w:r>
      <w:r w:rsidRPr="009C5F11">
        <w:rPr>
          <w:rFonts w:ascii="Times New Roman" w:hAnsi="Times New Roman" w:cs="Times New Roman"/>
          <w:szCs w:val="18"/>
          <w:lang w:val="ro-RO"/>
        </w:rPr>
        <w:fldChar w:fldCharType="end"/>
      </w:r>
      <w:r w:rsidR="0050553D" w:rsidRPr="009C5F11">
        <w:rPr>
          <w:rFonts w:ascii="Times New Roman" w:hAnsi="Times New Roman" w:cs="Times New Roman"/>
          <w:sz w:val="24"/>
          <w:lang w:val="ro-RO"/>
        </w:rPr>
        <w:t xml:space="preserve"> </w:t>
      </w:r>
      <w:r w:rsidR="00F43616" w:rsidRPr="009C5F11">
        <w:rPr>
          <w:rFonts w:ascii="Times New Roman" w:hAnsi="Times New Roman" w:cs="Times New Roman"/>
          <w:sz w:val="24"/>
          <w:lang w:val="ro-RO"/>
        </w:rPr>
        <w:t>prezintă</w:t>
      </w:r>
      <w:r w:rsidR="0050553D" w:rsidRPr="009C5F11">
        <w:rPr>
          <w:rFonts w:ascii="Times New Roman" w:hAnsi="Times New Roman" w:cs="Times New Roman"/>
          <w:sz w:val="24"/>
          <w:lang w:val="ro-RO"/>
        </w:rPr>
        <w:t xml:space="preserve"> </w:t>
      </w:r>
      <w:r w:rsidR="008F7BD5" w:rsidRPr="009C5F11">
        <w:rPr>
          <w:rFonts w:ascii="Times New Roman" w:hAnsi="Times New Roman" w:cs="Times New Roman"/>
          <w:sz w:val="24"/>
          <w:lang w:val="ro-RO"/>
        </w:rPr>
        <w:t>distribu</w:t>
      </w:r>
      <w:r w:rsidR="00862BC1" w:rsidRPr="009C5F11">
        <w:rPr>
          <w:rFonts w:ascii="Times New Roman" w:hAnsi="Times New Roman" w:cs="Times New Roman"/>
          <w:sz w:val="24"/>
          <w:lang w:val="ro-RO"/>
        </w:rPr>
        <w:t>irea</w:t>
      </w:r>
      <w:r w:rsidR="0050553D" w:rsidRPr="009C5F11">
        <w:rPr>
          <w:rFonts w:ascii="Times New Roman" w:hAnsi="Times New Roman" w:cs="Times New Roman"/>
          <w:sz w:val="24"/>
          <w:lang w:val="ro-RO"/>
        </w:rPr>
        <w:t xml:space="preserve"> rol</w:t>
      </w:r>
      <w:r w:rsidR="00862BC1" w:rsidRPr="009C5F11">
        <w:rPr>
          <w:rFonts w:ascii="Times New Roman" w:hAnsi="Times New Roman" w:cs="Times New Roman"/>
          <w:sz w:val="24"/>
          <w:lang w:val="ro-RO"/>
        </w:rPr>
        <w:t xml:space="preserve">urilor între instituţiile </w:t>
      </w:r>
      <w:r w:rsidR="0050553D" w:rsidRPr="009C5F11">
        <w:rPr>
          <w:rFonts w:ascii="Times New Roman" w:hAnsi="Times New Roman" w:cs="Times New Roman"/>
          <w:sz w:val="24"/>
          <w:lang w:val="ro-RO"/>
        </w:rPr>
        <w:t>sector</w:t>
      </w:r>
      <w:r w:rsidR="00862BC1" w:rsidRPr="009C5F11">
        <w:rPr>
          <w:rFonts w:ascii="Times New Roman" w:hAnsi="Times New Roman" w:cs="Times New Roman"/>
          <w:sz w:val="24"/>
          <w:lang w:val="ro-RO"/>
        </w:rPr>
        <w:t>i</w:t>
      </w:r>
      <w:r w:rsidR="0050553D" w:rsidRPr="009C5F11">
        <w:rPr>
          <w:rFonts w:ascii="Times New Roman" w:hAnsi="Times New Roman" w:cs="Times New Roman"/>
          <w:sz w:val="24"/>
          <w:lang w:val="ro-RO"/>
        </w:rPr>
        <w:t>al</w:t>
      </w:r>
      <w:r w:rsidR="00862BC1" w:rsidRPr="009C5F11">
        <w:rPr>
          <w:rFonts w:ascii="Times New Roman" w:hAnsi="Times New Roman" w:cs="Times New Roman"/>
          <w:sz w:val="24"/>
          <w:lang w:val="ro-RO"/>
        </w:rPr>
        <w:t>e</w:t>
      </w:r>
      <w:r w:rsidR="0050553D" w:rsidRPr="009C5F11">
        <w:rPr>
          <w:rFonts w:ascii="Times New Roman" w:hAnsi="Times New Roman" w:cs="Times New Roman"/>
          <w:sz w:val="24"/>
          <w:lang w:val="ro-RO"/>
        </w:rPr>
        <w:t>.</w:t>
      </w:r>
    </w:p>
    <w:p w14:paraId="7CC3FADA" w14:textId="77777777" w:rsidR="00E02A32" w:rsidRPr="009C5F11" w:rsidRDefault="00E02A32" w:rsidP="0050553D">
      <w:pPr>
        <w:spacing w:before="120" w:after="120" w:line="240" w:lineRule="auto"/>
        <w:jc w:val="both"/>
        <w:textAlignment w:val="baseline"/>
        <w:rPr>
          <w:rFonts w:ascii="Times New Roman" w:hAnsi="Times New Roman" w:cs="Times New Roman"/>
          <w:szCs w:val="18"/>
          <w:lang w:val="ro-RO"/>
        </w:rPr>
      </w:pPr>
    </w:p>
    <w:p w14:paraId="53407F89" w14:textId="77777777" w:rsidR="00F24F92" w:rsidRPr="009C5F11" w:rsidRDefault="00321CD5" w:rsidP="00F24F92">
      <w:pPr>
        <w:pStyle w:val="Legend"/>
        <w:keepNext/>
        <w:jc w:val="center"/>
        <w:rPr>
          <w:rFonts w:ascii="Times New Roman" w:hAnsi="Times New Roman" w:cs="Times New Roman"/>
          <w:sz w:val="22"/>
          <w:lang w:val="ro-RO"/>
        </w:rPr>
      </w:pPr>
      <w:bookmarkStart w:id="400" w:name="_Ref319807426"/>
      <w:bookmarkStart w:id="401" w:name="_Toc322013266"/>
      <w:r w:rsidRPr="009C5F11">
        <w:rPr>
          <w:rFonts w:ascii="Times New Roman" w:hAnsi="Times New Roman" w:cs="Times New Roman"/>
          <w:sz w:val="22"/>
          <w:lang w:val="ro-RO"/>
        </w:rPr>
        <w:t>Tabelul</w:t>
      </w:r>
      <w:r w:rsidR="00F24F92"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F24F92"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43</w:t>
      </w:r>
      <w:r w:rsidR="003A6ADB" w:rsidRPr="009C5F11">
        <w:rPr>
          <w:rFonts w:ascii="Times New Roman" w:hAnsi="Times New Roman" w:cs="Times New Roman"/>
          <w:sz w:val="22"/>
          <w:lang w:val="ro-RO"/>
        </w:rPr>
        <w:fldChar w:fldCharType="end"/>
      </w:r>
      <w:bookmarkEnd w:id="400"/>
      <w:r w:rsidR="00F24F92" w:rsidRPr="009C5F11">
        <w:rPr>
          <w:rFonts w:ascii="Times New Roman" w:hAnsi="Times New Roman" w:cs="Times New Roman"/>
          <w:sz w:val="22"/>
          <w:lang w:val="ro-RO"/>
        </w:rPr>
        <w:t xml:space="preserve"> - Autorit</w:t>
      </w:r>
      <w:r w:rsidR="00862BC1" w:rsidRPr="009C5F11">
        <w:rPr>
          <w:rFonts w:ascii="Times New Roman" w:hAnsi="Times New Roman" w:cs="Times New Roman"/>
          <w:sz w:val="22"/>
          <w:lang w:val="ro-RO"/>
        </w:rPr>
        <w:t>ăţile</w:t>
      </w:r>
      <w:r w:rsidRPr="009C5F11">
        <w:rPr>
          <w:rFonts w:ascii="Times New Roman" w:hAnsi="Times New Roman" w:cs="Times New Roman"/>
          <w:sz w:val="22"/>
          <w:lang w:val="ro-RO"/>
        </w:rPr>
        <w:t xml:space="preserve"> şi </w:t>
      </w:r>
      <w:r w:rsidR="00862BC1" w:rsidRPr="009C5F11">
        <w:rPr>
          <w:rFonts w:ascii="Times New Roman" w:hAnsi="Times New Roman" w:cs="Times New Roman"/>
          <w:sz w:val="22"/>
          <w:lang w:val="ro-RO"/>
        </w:rPr>
        <w:t xml:space="preserve">organismele </w:t>
      </w:r>
      <w:r w:rsidR="00F24F92" w:rsidRPr="009C5F11">
        <w:rPr>
          <w:rFonts w:ascii="Times New Roman" w:hAnsi="Times New Roman" w:cs="Times New Roman"/>
          <w:sz w:val="22"/>
          <w:lang w:val="ro-RO"/>
        </w:rPr>
        <w:t>competent</w:t>
      </w:r>
      <w:r w:rsidR="00862BC1" w:rsidRPr="009C5F11">
        <w:rPr>
          <w:rFonts w:ascii="Times New Roman" w:hAnsi="Times New Roman" w:cs="Times New Roman"/>
          <w:sz w:val="22"/>
          <w:lang w:val="ro-RO"/>
        </w:rPr>
        <w:t>e.</w:t>
      </w:r>
      <w:bookmarkEnd w:id="401"/>
    </w:p>
    <w:tbl>
      <w:tblPr>
        <w:tblW w:w="5000" w:type="pct"/>
        <w:tblBorders>
          <w:top w:val="single" w:sz="8" w:space="0" w:color="001C53" w:themeColor="accent2" w:themeShade="80"/>
          <w:left w:val="single" w:sz="8" w:space="0" w:color="001C53" w:themeColor="accent2" w:themeShade="80"/>
          <w:bottom w:val="single" w:sz="8" w:space="0" w:color="001C53" w:themeColor="accent2" w:themeShade="80"/>
          <w:right w:val="single" w:sz="8" w:space="0" w:color="001C53" w:themeColor="accent2" w:themeShade="80"/>
          <w:insideH w:val="single" w:sz="8" w:space="0" w:color="001C53" w:themeColor="accent2" w:themeShade="80"/>
        </w:tblBorders>
        <w:tblLook w:val="01E0" w:firstRow="1" w:lastRow="1" w:firstColumn="1" w:lastColumn="1" w:noHBand="0" w:noVBand="0"/>
      </w:tblPr>
      <w:tblGrid>
        <w:gridCol w:w="3151"/>
        <w:gridCol w:w="893"/>
        <w:gridCol w:w="895"/>
        <w:gridCol w:w="895"/>
        <w:gridCol w:w="983"/>
        <w:gridCol w:w="1642"/>
        <w:gridCol w:w="784"/>
      </w:tblGrid>
      <w:tr w:rsidR="0097202A" w:rsidRPr="009C5F11" w14:paraId="639A9819" w14:textId="77777777" w:rsidTr="00AB082D">
        <w:tc>
          <w:tcPr>
            <w:tcW w:w="1705" w:type="pct"/>
            <w:shd w:val="clear" w:color="auto" w:fill="000080"/>
            <w:vAlign w:val="center"/>
          </w:tcPr>
          <w:p w14:paraId="6C699FE1" w14:textId="77777777" w:rsidR="0097202A" w:rsidRPr="009C5F11" w:rsidRDefault="0097202A" w:rsidP="00E834E4">
            <w:pPr>
              <w:spacing w:after="0"/>
              <w:jc w:val="center"/>
              <w:rPr>
                <w:rFonts w:ascii="Times New Roman" w:hAnsi="Times New Roman" w:cs="Times New Roman"/>
                <w:b/>
                <w:sz w:val="20"/>
                <w:szCs w:val="16"/>
                <w:lang w:val="ro-RO"/>
              </w:rPr>
            </w:pPr>
            <w:r w:rsidRPr="009C5F11">
              <w:rPr>
                <w:rFonts w:ascii="Times New Roman" w:hAnsi="Times New Roman" w:cs="Times New Roman"/>
                <w:b/>
                <w:sz w:val="20"/>
                <w:szCs w:val="16"/>
                <w:lang w:val="ro-RO"/>
              </w:rPr>
              <w:t>Sarcina</w:t>
            </w:r>
          </w:p>
        </w:tc>
        <w:tc>
          <w:tcPr>
            <w:tcW w:w="483" w:type="pct"/>
            <w:shd w:val="clear" w:color="auto" w:fill="000080"/>
          </w:tcPr>
          <w:p w14:paraId="2B277745" w14:textId="77777777" w:rsidR="0097202A" w:rsidRPr="009C5F11" w:rsidRDefault="0097202A" w:rsidP="00B73632">
            <w:pPr>
              <w:spacing w:after="0"/>
              <w:rPr>
                <w:rFonts w:ascii="Times New Roman" w:hAnsi="Times New Roman" w:cs="Times New Roman"/>
                <w:b/>
                <w:sz w:val="20"/>
                <w:szCs w:val="16"/>
                <w:lang w:val="ro-RO"/>
              </w:rPr>
            </w:pPr>
            <w:r w:rsidRPr="009C5F11">
              <w:rPr>
                <w:rFonts w:ascii="Times New Roman" w:hAnsi="Times New Roman" w:cs="Times New Roman"/>
                <w:b/>
                <w:sz w:val="20"/>
                <w:szCs w:val="16"/>
                <w:lang w:val="ro-RO"/>
              </w:rPr>
              <w:t>ME</w:t>
            </w:r>
          </w:p>
        </w:tc>
        <w:tc>
          <w:tcPr>
            <w:tcW w:w="484" w:type="pct"/>
            <w:shd w:val="clear" w:color="auto" w:fill="000080"/>
          </w:tcPr>
          <w:p w14:paraId="241767B6" w14:textId="77777777" w:rsidR="0097202A" w:rsidRPr="009C5F11" w:rsidRDefault="0097202A" w:rsidP="00B73632">
            <w:pPr>
              <w:spacing w:after="0"/>
              <w:rPr>
                <w:rFonts w:ascii="Times New Roman" w:hAnsi="Times New Roman" w:cs="Times New Roman"/>
                <w:b/>
                <w:sz w:val="20"/>
                <w:szCs w:val="16"/>
                <w:lang w:val="ro-RO"/>
              </w:rPr>
            </w:pPr>
            <w:r w:rsidRPr="009C5F11">
              <w:rPr>
                <w:rFonts w:ascii="Times New Roman" w:hAnsi="Times New Roman" w:cs="Times New Roman"/>
                <w:b/>
                <w:sz w:val="20"/>
                <w:szCs w:val="16"/>
                <w:lang w:val="ro-RO"/>
              </w:rPr>
              <w:t>ME &amp; AEE</w:t>
            </w:r>
          </w:p>
        </w:tc>
        <w:tc>
          <w:tcPr>
            <w:tcW w:w="484" w:type="pct"/>
            <w:shd w:val="clear" w:color="auto" w:fill="000080"/>
            <w:vAlign w:val="center"/>
          </w:tcPr>
          <w:p w14:paraId="30F27C32" w14:textId="77777777" w:rsidR="0097202A" w:rsidRPr="009C5F11" w:rsidRDefault="0097202A" w:rsidP="00B73632">
            <w:pPr>
              <w:spacing w:after="0"/>
              <w:rPr>
                <w:rFonts w:ascii="Times New Roman" w:hAnsi="Times New Roman" w:cs="Times New Roman"/>
                <w:b/>
                <w:sz w:val="20"/>
                <w:szCs w:val="16"/>
                <w:lang w:val="ro-RO"/>
              </w:rPr>
            </w:pPr>
            <w:r w:rsidRPr="009C5F11">
              <w:rPr>
                <w:rFonts w:ascii="Times New Roman" w:hAnsi="Times New Roman" w:cs="Times New Roman"/>
                <w:b/>
                <w:sz w:val="20"/>
                <w:szCs w:val="16"/>
                <w:lang w:val="ro-RO"/>
              </w:rPr>
              <w:t>AEE</w:t>
            </w:r>
          </w:p>
        </w:tc>
        <w:tc>
          <w:tcPr>
            <w:tcW w:w="532" w:type="pct"/>
            <w:shd w:val="clear" w:color="auto" w:fill="000080"/>
            <w:vAlign w:val="center"/>
          </w:tcPr>
          <w:p w14:paraId="61936427" w14:textId="77777777" w:rsidR="0097202A" w:rsidRPr="009C5F11" w:rsidRDefault="0097202A" w:rsidP="00B73632">
            <w:pPr>
              <w:spacing w:after="0"/>
              <w:rPr>
                <w:rFonts w:ascii="Times New Roman" w:hAnsi="Times New Roman" w:cs="Times New Roman"/>
                <w:b/>
                <w:sz w:val="20"/>
                <w:szCs w:val="16"/>
                <w:lang w:val="ro-RO"/>
              </w:rPr>
            </w:pPr>
            <w:r w:rsidRPr="009C5F11">
              <w:rPr>
                <w:rFonts w:ascii="Times New Roman" w:hAnsi="Times New Roman" w:cs="Times New Roman"/>
                <w:b/>
                <w:sz w:val="20"/>
                <w:szCs w:val="16"/>
                <w:lang w:val="ro-RO"/>
              </w:rPr>
              <w:t>MDRC</w:t>
            </w:r>
          </w:p>
        </w:tc>
        <w:tc>
          <w:tcPr>
            <w:tcW w:w="888" w:type="pct"/>
            <w:shd w:val="clear" w:color="auto" w:fill="000080"/>
            <w:vAlign w:val="center"/>
          </w:tcPr>
          <w:p w14:paraId="6E760BC6" w14:textId="77777777" w:rsidR="0097202A" w:rsidRPr="009C5F11" w:rsidRDefault="0097202A" w:rsidP="00B73632">
            <w:pPr>
              <w:spacing w:after="0"/>
              <w:rPr>
                <w:rFonts w:ascii="Times New Roman" w:hAnsi="Times New Roman" w:cs="Times New Roman"/>
                <w:b/>
                <w:sz w:val="20"/>
                <w:szCs w:val="16"/>
                <w:lang w:val="ro-RO"/>
              </w:rPr>
            </w:pPr>
            <w:r w:rsidRPr="009C5F11">
              <w:rPr>
                <w:rFonts w:ascii="Times New Roman" w:hAnsi="Times New Roman" w:cs="Times New Roman"/>
                <w:b/>
                <w:sz w:val="20"/>
                <w:szCs w:val="16"/>
                <w:lang w:val="ro-RO"/>
              </w:rPr>
              <w:t>Agenţia de Protecţie a Consumatorului</w:t>
            </w:r>
          </w:p>
        </w:tc>
        <w:tc>
          <w:tcPr>
            <w:tcW w:w="424" w:type="pct"/>
            <w:shd w:val="clear" w:color="auto" w:fill="000080"/>
            <w:vAlign w:val="center"/>
          </w:tcPr>
          <w:p w14:paraId="41AEA271" w14:textId="77777777" w:rsidR="0097202A" w:rsidRPr="009C5F11" w:rsidRDefault="0097202A" w:rsidP="00B73632">
            <w:pPr>
              <w:spacing w:after="0"/>
              <w:rPr>
                <w:rFonts w:ascii="Times New Roman" w:hAnsi="Times New Roman" w:cs="Times New Roman"/>
                <w:b/>
                <w:sz w:val="20"/>
                <w:szCs w:val="16"/>
                <w:lang w:val="ro-RO"/>
              </w:rPr>
            </w:pPr>
            <w:r w:rsidRPr="009C5F11">
              <w:rPr>
                <w:rFonts w:ascii="Times New Roman" w:hAnsi="Times New Roman" w:cs="Times New Roman"/>
                <w:b/>
                <w:sz w:val="20"/>
                <w:szCs w:val="16"/>
                <w:lang w:val="ro-RO"/>
              </w:rPr>
              <w:t>ANRE</w:t>
            </w:r>
          </w:p>
        </w:tc>
      </w:tr>
      <w:tr w:rsidR="0097202A" w:rsidRPr="009C5F11" w14:paraId="14BE52EE" w14:textId="77777777" w:rsidTr="00AB082D">
        <w:tc>
          <w:tcPr>
            <w:tcW w:w="1705" w:type="pct"/>
            <w:shd w:val="clear" w:color="auto" w:fill="auto"/>
          </w:tcPr>
          <w:p w14:paraId="3CC9E920" w14:textId="77777777" w:rsidR="0097202A" w:rsidRPr="009C5F11" w:rsidRDefault="0097202A" w:rsidP="001023D5">
            <w:pPr>
              <w:spacing w:after="0"/>
              <w:rPr>
                <w:rFonts w:ascii="Times New Roman" w:hAnsi="Times New Roman" w:cs="Times New Roman"/>
                <w:szCs w:val="18"/>
                <w:lang w:val="ro-RO"/>
              </w:rPr>
            </w:pPr>
            <w:r w:rsidRPr="009C5F11">
              <w:rPr>
                <w:rFonts w:ascii="Times New Roman" w:hAnsi="Times New Roman" w:cs="Times New Roman"/>
                <w:szCs w:val="18"/>
                <w:lang w:val="ro-RO"/>
              </w:rPr>
              <w:t xml:space="preserve">Supraveghează îndeplinirea obiectivelor DSE/DEE </w:t>
            </w:r>
          </w:p>
        </w:tc>
        <w:tc>
          <w:tcPr>
            <w:tcW w:w="483" w:type="pct"/>
          </w:tcPr>
          <w:p w14:paraId="290135A3" w14:textId="77777777" w:rsidR="0097202A" w:rsidRPr="009C5F11" w:rsidRDefault="0097202A" w:rsidP="00621178">
            <w:pPr>
              <w:spacing w:after="0"/>
              <w:jc w:val="both"/>
              <w:rPr>
                <w:rFonts w:ascii="Times New Roman" w:hAnsi="Times New Roman" w:cs="Times New Roman"/>
                <w:szCs w:val="18"/>
                <w:lang w:val="ro-RO"/>
              </w:rPr>
            </w:pPr>
          </w:p>
        </w:tc>
        <w:tc>
          <w:tcPr>
            <w:tcW w:w="484" w:type="pct"/>
          </w:tcPr>
          <w:p w14:paraId="2E736CDB" w14:textId="77777777" w:rsidR="0097202A" w:rsidRPr="009C5F11" w:rsidRDefault="0097202A" w:rsidP="00621178">
            <w:pPr>
              <w:spacing w:after="0"/>
              <w:jc w:val="both"/>
              <w:rPr>
                <w:rFonts w:ascii="Times New Roman" w:hAnsi="Times New Roman" w:cs="Times New Roman"/>
                <w:szCs w:val="18"/>
                <w:lang w:val="ro-RO"/>
              </w:rPr>
            </w:pPr>
          </w:p>
        </w:tc>
        <w:tc>
          <w:tcPr>
            <w:tcW w:w="484" w:type="pct"/>
            <w:shd w:val="clear" w:color="auto" w:fill="auto"/>
          </w:tcPr>
          <w:p w14:paraId="1D23E1B5" w14:textId="1D1A220D" w:rsidR="0097202A" w:rsidRPr="009C5F11" w:rsidRDefault="0097202A" w:rsidP="00621178">
            <w:pPr>
              <w:spacing w:after="0"/>
              <w:jc w:val="both"/>
              <w:rPr>
                <w:rFonts w:ascii="Times New Roman" w:hAnsi="Times New Roman" w:cs="Times New Roman"/>
                <w:szCs w:val="18"/>
                <w:lang w:val="ro-RO"/>
              </w:rPr>
            </w:pPr>
            <w:r w:rsidRPr="009C5F11">
              <w:rPr>
                <w:rFonts w:ascii="Times New Roman" w:hAnsi="Times New Roman" w:cs="Times New Roman"/>
                <w:szCs w:val="18"/>
                <w:lang w:val="ro-RO"/>
              </w:rPr>
              <w:t>X</w:t>
            </w:r>
          </w:p>
        </w:tc>
        <w:tc>
          <w:tcPr>
            <w:tcW w:w="532" w:type="pct"/>
            <w:shd w:val="clear" w:color="auto" w:fill="auto"/>
          </w:tcPr>
          <w:p w14:paraId="04968F8F" w14:textId="77777777" w:rsidR="0097202A" w:rsidRPr="009C5F11" w:rsidRDefault="0097202A" w:rsidP="00621178">
            <w:pPr>
              <w:spacing w:after="0"/>
              <w:jc w:val="both"/>
              <w:rPr>
                <w:rFonts w:ascii="Times New Roman" w:hAnsi="Times New Roman" w:cs="Times New Roman"/>
                <w:szCs w:val="18"/>
                <w:lang w:val="ro-RO"/>
              </w:rPr>
            </w:pPr>
          </w:p>
        </w:tc>
        <w:tc>
          <w:tcPr>
            <w:tcW w:w="888" w:type="pct"/>
          </w:tcPr>
          <w:p w14:paraId="1F0E1A46" w14:textId="77777777" w:rsidR="0097202A" w:rsidRPr="009C5F11" w:rsidRDefault="0097202A" w:rsidP="00621178">
            <w:pPr>
              <w:spacing w:after="0"/>
              <w:jc w:val="both"/>
              <w:rPr>
                <w:rFonts w:ascii="Times New Roman" w:hAnsi="Times New Roman" w:cs="Times New Roman"/>
                <w:szCs w:val="18"/>
                <w:lang w:val="ro-RO"/>
              </w:rPr>
            </w:pPr>
          </w:p>
        </w:tc>
        <w:tc>
          <w:tcPr>
            <w:tcW w:w="424" w:type="pct"/>
            <w:shd w:val="clear" w:color="auto" w:fill="auto"/>
          </w:tcPr>
          <w:p w14:paraId="7B12A12E" w14:textId="77777777" w:rsidR="0097202A" w:rsidRPr="009C5F11" w:rsidRDefault="0097202A" w:rsidP="00621178">
            <w:pPr>
              <w:spacing w:after="0"/>
              <w:jc w:val="both"/>
              <w:rPr>
                <w:rFonts w:ascii="Times New Roman" w:hAnsi="Times New Roman" w:cs="Times New Roman"/>
                <w:szCs w:val="18"/>
                <w:lang w:val="ro-RO"/>
              </w:rPr>
            </w:pPr>
          </w:p>
        </w:tc>
      </w:tr>
      <w:tr w:rsidR="0097202A" w:rsidRPr="009C5F11" w14:paraId="5E70FC3A" w14:textId="77777777" w:rsidTr="00AB082D">
        <w:tc>
          <w:tcPr>
            <w:tcW w:w="1705" w:type="pct"/>
            <w:shd w:val="clear" w:color="auto" w:fill="auto"/>
          </w:tcPr>
          <w:p w14:paraId="6480399E" w14:textId="77777777" w:rsidR="0097202A" w:rsidRPr="009C5F11" w:rsidRDefault="0097202A" w:rsidP="001023D5">
            <w:pPr>
              <w:spacing w:after="0"/>
              <w:rPr>
                <w:rFonts w:ascii="Times New Roman" w:hAnsi="Times New Roman" w:cs="Times New Roman"/>
                <w:szCs w:val="18"/>
                <w:lang w:val="ro-RO"/>
              </w:rPr>
            </w:pPr>
            <w:r w:rsidRPr="009C5F11">
              <w:rPr>
                <w:rFonts w:ascii="Times New Roman" w:hAnsi="Times New Roman" w:cs="Times New Roman"/>
                <w:szCs w:val="18"/>
                <w:lang w:val="ro-RO"/>
              </w:rPr>
              <w:t>Control integrat asupra sectorului public (DSE/DEE)</w:t>
            </w:r>
          </w:p>
        </w:tc>
        <w:tc>
          <w:tcPr>
            <w:tcW w:w="483" w:type="pct"/>
          </w:tcPr>
          <w:p w14:paraId="262F5557" w14:textId="77777777" w:rsidR="0097202A" w:rsidRPr="009C5F11" w:rsidRDefault="0097202A" w:rsidP="00621178">
            <w:pPr>
              <w:spacing w:after="0"/>
              <w:jc w:val="both"/>
              <w:rPr>
                <w:rFonts w:ascii="Times New Roman" w:hAnsi="Times New Roman" w:cs="Times New Roman"/>
                <w:szCs w:val="18"/>
                <w:lang w:val="ro-RO"/>
              </w:rPr>
            </w:pPr>
          </w:p>
        </w:tc>
        <w:tc>
          <w:tcPr>
            <w:tcW w:w="484" w:type="pct"/>
          </w:tcPr>
          <w:p w14:paraId="00E9B683" w14:textId="77777777" w:rsidR="0097202A" w:rsidRPr="009C5F11" w:rsidRDefault="0097202A" w:rsidP="00621178">
            <w:pPr>
              <w:spacing w:after="0"/>
              <w:jc w:val="both"/>
              <w:rPr>
                <w:rFonts w:ascii="Times New Roman" w:hAnsi="Times New Roman" w:cs="Times New Roman"/>
                <w:szCs w:val="18"/>
                <w:lang w:val="ro-RO"/>
              </w:rPr>
            </w:pPr>
            <w:r w:rsidRPr="009C5F11">
              <w:rPr>
                <w:rFonts w:ascii="Times New Roman" w:hAnsi="Times New Roman" w:cs="Times New Roman"/>
                <w:szCs w:val="18"/>
                <w:lang w:val="ro-RO"/>
              </w:rPr>
              <w:t>X</w:t>
            </w:r>
          </w:p>
        </w:tc>
        <w:tc>
          <w:tcPr>
            <w:tcW w:w="484" w:type="pct"/>
            <w:shd w:val="clear" w:color="auto" w:fill="auto"/>
          </w:tcPr>
          <w:p w14:paraId="210B7325" w14:textId="77777777" w:rsidR="0097202A" w:rsidRPr="009C5F11" w:rsidRDefault="0097202A" w:rsidP="00621178">
            <w:pPr>
              <w:spacing w:after="0"/>
              <w:jc w:val="both"/>
              <w:rPr>
                <w:rFonts w:ascii="Times New Roman" w:hAnsi="Times New Roman" w:cs="Times New Roman"/>
                <w:szCs w:val="18"/>
                <w:lang w:val="ro-RO"/>
              </w:rPr>
            </w:pPr>
          </w:p>
        </w:tc>
        <w:tc>
          <w:tcPr>
            <w:tcW w:w="532" w:type="pct"/>
            <w:shd w:val="clear" w:color="auto" w:fill="auto"/>
          </w:tcPr>
          <w:p w14:paraId="4F4D04B8" w14:textId="77777777" w:rsidR="0097202A" w:rsidRPr="009C5F11" w:rsidRDefault="0097202A" w:rsidP="00621178">
            <w:pPr>
              <w:spacing w:after="0"/>
              <w:jc w:val="both"/>
              <w:rPr>
                <w:rFonts w:ascii="Times New Roman" w:hAnsi="Times New Roman" w:cs="Times New Roman"/>
                <w:szCs w:val="18"/>
                <w:lang w:val="ro-RO"/>
              </w:rPr>
            </w:pPr>
          </w:p>
        </w:tc>
        <w:tc>
          <w:tcPr>
            <w:tcW w:w="888" w:type="pct"/>
          </w:tcPr>
          <w:p w14:paraId="58BAE79D" w14:textId="77777777" w:rsidR="0097202A" w:rsidRPr="009C5F11" w:rsidRDefault="0097202A" w:rsidP="00621178">
            <w:pPr>
              <w:spacing w:after="0"/>
              <w:jc w:val="both"/>
              <w:rPr>
                <w:rFonts w:ascii="Times New Roman" w:hAnsi="Times New Roman" w:cs="Times New Roman"/>
                <w:szCs w:val="18"/>
                <w:lang w:val="ro-RO"/>
              </w:rPr>
            </w:pPr>
          </w:p>
        </w:tc>
        <w:tc>
          <w:tcPr>
            <w:tcW w:w="424" w:type="pct"/>
            <w:shd w:val="clear" w:color="auto" w:fill="auto"/>
          </w:tcPr>
          <w:p w14:paraId="15544F40" w14:textId="77777777" w:rsidR="0097202A" w:rsidRPr="009C5F11" w:rsidRDefault="0097202A" w:rsidP="00621178">
            <w:pPr>
              <w:spacing w:after="0"/>
              <w:jc w:val="both"/>
              <w:rPr>
                <w:rFonts w:ascii="Times New Roman" w:hAnsi="Times New Roman" w:cs="Times New Roman"/>
                <w:szCs w:val="18"/>
                <w:lang w:val="ro-RO"/>
              </w:rPr>
            </w:pPr>
          </w:p>
        </w:tc>
      </w:tr>
      <w:tr w:rsidR="0097202A" w:rsidRPr="009C5F11" w14:paraId="7D975271" w14:textId="77777777" w:rsidTr="00AB082D">
        <w:tc>
          <w:tcPr>
            <w:tcW w:w="1705" w:type="pct"/>
            <w:shd w:val="clear" w:color="auto" w:fill="auto"/>
          </w:tcPr>
          <w:p w14:paraId="2F891CD4" w14:textId="77777777" w:rsidR="0097202A" w:rsidRPr="009C5F11" w:rsidRDefault="0097202A" w:rsidP="001023D5">
            <w:pPr>
              <w:spacing w:after="0"/>
              <w:rPr>
                <w:rFonts w:ascii="Times New Roman" w:hAnsi="Times New Roman" w:cs="Times New Roman"/>
                <w:szCs w:val="18"/>
                <w:lang w:val="ro-RO"/>
              </w:rPr>
            </w:pPr>
            <w:r w:rsidRPr="009C5F11">
              <w:rPr>
                <w:rFonts w:ascii="Times New Roman" w:hAnsi="Times New Roman" w:cs="Times New Roman"/>
                <w:szCs w:val="18"/>
                <w:lang w:val="ro-RO"/>
              </w:rPr>
              <w:t xml:space="preserve">Implementarea sistemelor independente de control </w:t>
            </w:r>
          </w:p>
        </w:tc>
        <w:tc>
          <w:tcPr>
            <w:tcW w:w="483" w:type="pct"/>
          </w:tcPr>
          <w:p w14:paraId="3A23D01A" w14:textId="77777777" w:rsidR="0097202A" w:rsidRPr="009C5F11" w:rsidRDefault="0097202A" w:rsidP="00621178">
            <w:pPr>
              <w:spacing w:after="0"/>
              <w:jc w:val="both"/>
              <w:rPr>
                <w:rFonts w:ascii="Times New Roman" w:hAnsi="Times New Roman" w:cs="Times New Roman"/>
                <w:szCs w:val="18"/>
                <w:lang w:val="ro-RO"/>
              </w:rPr>
            </w:pPr>
          </w:p>
        </w:tc>
        <w:tc>
          <w:tcPr>
            <w:tcW w:w="484" w:type="pct"/>
          </w:tcPr>
          <w:p w14:paraId="0AF33C2E" w14:textId="77777777" w:rsidR="0097202A" w:rsidRPr="009C5F11" w:rsidRDefault="0097202A" w:rsidP="00621178">
            <w:pPr>
              <w:spacing w:after="0"/>
              <w:jc w:val="both"/>
              <w:rPr>
                <w:rFonts w:ascii="Times New Roman" w:hAnsi="Times New Roman" w:cs="Times New Roman"/>
                <w:szCs w:val="18"/>
                <w:lang w:val="ro-RO"/>
              </w:rPr>
            </w:pPr>
          </w:p>
        </w:tc>
        <w:tc>
          <w:tcPr>
            <w:tcW w:w="484" w:type="pct"/>
            <w:shd w:val="clear" w:color="auto" w:fill="auto"/>
          </w:tcPr>
          <w:p w14:paraId="3058762C" w14:textId="681B386A" w:rsidR="0097202A" w:rsidRPr="009C5F11" w:rsidRDefault="0097202A" w:rsidP="00621178">
            <w:pPr>
              <w:spacing w:after="0"/>
              <w:jc w:val="both"/>
              <w:rPr>
                <w:rFonts w:ascii="Times New Roman" w:hAnsi="Times New Roman" w:cs="Times New Roman"/>
                <w:szCs w:val="18"/>
                <w:lang w:val="ro-RO"/>
              </w:rPr>
            </w:pPr>
            <w:r w:rsidRPr="009C5F11">
              <w:rPr>
                <w:rFonts w:ascii="Times New Roman" w:hAnsi="Times New Roman" w:cs="Times New Roman"/>
                <w:szCs w:val="18"/>
                <w:lang w:val="ro-RO"/>
              </w:rPr>
              <w:t>X</w:t>
            </w:r>
          </w:p>
        </w:tc>
        <w:tc>
          <w:tcPr>
            <w:tcW w:w="532" w:type="pct"/>
            <w:shd w:val="clear" w:color="auto" w:fill="auto"/>
          </w:tcPr>
          <w:p w14:paraId="4CBA3812" w14:textId="51EF65A4" w:rsidR="0097202A" w:rsidRPr="009C5F11" w:rsidRDefault="0097202A" w:rsidP="00621178">
            <w:pPr>
              <w:spacing w:after="0"/>
              <w:jc w:val="both"/>
              <w:rPr>
                <w:rFonts w:ascii="Times New Roman" w:hAnsi="Times New Roman" w:cs="Times New Roman"/>
                <w:szCs w:val="18"/>
                <w:lang w:val="ro-RO"/>
              </w:rPr>
            </w:pPr>
            <w:r w:rsidRPr="009C5F11">
              <w:rPr>
                <w:rFonts w:ascii="Times New Roman" w:hAnsi="Times New Roman" w:cs="Times New Roman"/>
                <w:szCs w:val="18"/>
                <w:lang w:val="ro-RO"/>
              </w:rPr>
              <w:t>X</w:t>
            </w:r>
          </w:p>
        </w:tc>
        <w:tc>
          <w:tcPr>
            <w:tcW w:w="888" w:type="pct"/>
          </w:tcPr>
          <w:p w14:paraId="1F05EC53" w14:textId="1261EDE0" w:rsidR="0097202A" w:rsidRPr="009C5F11" w:rsidRDefault="0097202A" w:rsidP="00621178">
            <w:pPr>
              <w:spacing w:after="0"/>
              <w:jc w:val="both"/>
              <w:rPr>
                <w:rFonts w:ascii="Times New Roman" w:hAnsi="Times New Roman" w:cs="Times New Roman"/>
                <w:szCs w:val="18"/>
                <w:lang w:val="ro-RO"/>
              </w:rPr>
            </w:pPr>
            <w:r w:rsidRPr="009C5F11">
              <w:rPr>
                <w:rFonts w:ascii="Times New Roman" w:hAnsi="Times New Roman" w:cs="Times New Roman"/>
                <w:szCs w:val="18"/>
                <w:lang w:val="ro-RO"/>
              </w:rPr>
              <w:t>X</w:t>
            </w:r>
          </w:p>
        </w:tc>
        <w:tc>
          <w:tcPr>
            <w:tcW w:w="424" w:type="pct"/>
            <w:shd w:val="clear" w:color="auto" w:fill="auto"/>
          </w:tcPr>
          <w:p w14:paraId="4147E134" w14:textId="77777777" w:rsidR="0097202A" w:rsidRPr="009C5F11" w:rsidRDefault="0097202A" w:rsidP="00621178">
            <w:pPr>
              <w:spacing w:after="0"/>
              <w:jc w:val="both"/>
              <w:rPr>
                <w:rFonts w:ascii="Times New Roman" w:hAnsi="Times New Roman" w:cs="Times New Roman"/>
                <w:szCs w:val="18"/>
                <w:lang w:val="ro-RO"/>
              </w:rPr>
            </w:pPr>
          </w:p>
        </w:tc>
      </w:tr>
      <w:tr w:rsidR="0097202A" w:rsidRPr="009C5F11" w14:paraId="4FDA6495" w14:textId="77777777" w:rsidTr="0097202A">
        <w:tc>
          <w:tcPr>
            <w:tcW w:w="1705" w:type="pct"/>
            <w:shd w:val="clear" w:color="auto" w:fill="auto"/>
          </w:tcPr>
          <w:p w14:paraId="3142AEFD" w14:textId="77777777" w:rsidR="0097202A" w:rsidRPr="009C5F11" w:rsidRDefault="0097202A" w:rsidP="001023D5">
            <w:pPr>
              <w:spacing w:after="0"/>
              <w:rPr>
                <w:rFonts w:ascii="Times New Roman" w:hAnsi="Times New Roman" w:cs="Times New Roman"/>
                <w:szCs w:val="18"/>
                <w:lang w:val="ro-RO"/>
              </w:rPr>
            </w:pPr>
            <w:r w:rsidRPr="009C5F11">
              <w:rPr>
                <w:rFonts w:ascii="Times New Roman" w:hAnsi="Times New Roman" w:cs="Times New Roman"/>
                <w:szCs w:val="18"/>
                <w:lang w:val="ro-RO"/>
              </w:rPr>
              <w:t>Monitorizarea si verificarea activitatilor de economisire a energiei</w:t>
            </w:r>
          </w:p>
        </w:tc>
        <w:tc>
          <w:tcPr>
            <w:tcW w:w="483" w:type="pct"/>
          </w:tcPr>
          <w:p w14:paraId="663FF627" w14:textId="77777777" w:rsidR="0097202A" w:rsidRPr="009C5F11" w:rsidRDefault="0097202A" w:rsidP="00621178">
            <w:pPr>
              <w:spacing w:after="0"/>
              <w:jc w:val="both"/>
              <w:rPr>
                <w:rFonts w:ascii="Times New Roman" w:hAnsi="Times New Roman" w:cs="Times New Roman"/>
                <w:szCs w:val="18"/>
                <w:lang w:val="ro-RO"/>
              </w:rPr>
            </w:pPr>
            <w:r w:rsidRPr="009C5F11">
              <w:rPr>
                <w:rFonts w:ascii="Times New Roman" w:hAnsi="Times New Roman" w:cs="Times New Roman"/>
                <w:szCs w:val="18"/>
                <w:lang w:val="ro-RO"/>
              </w:rPr>
              <w:t>X</w:t>
            </w:r>
          </w:p>
        </w:tc>
        <w:tc>
          <w:tcPr>
            <w:tcW w:w="484" w:type="pct"/>
          </w:tcPr>
          <w:p w14:paraId="3ED312A1" w14:textId="77777777" w:rsidR="0097202A" w:rsidRPr="009C5F11" w:rsidRDefault="0097202A" w:rsidP="00621178">
            <w:pPr>
              <w:spacing w:after="0"/>
              <w:jc w:val="both"/>
              <w:rPr>
                <w:rFonts w:ascii="Times New Roman" w:hAnsi="Times New Roman" w:cs="Times New Roman"/>
                <w:szCs w:val="18"/>
                <w:lang w:val="ro-RO"/>
              </w:rPr>
            </w:pPr>
          </w:p>
        </w:tc>
        <w:tc>
          <w:tcPr>
            <w:tcW w:w="484" w:type="pct"/>
            <w:shd w:val="clear" w:color="auto" w:fill="auto"/>
          </w:tcPr>
          <w:p w14:paraId="427E89DF" w14:textId="77777777" w:rsidR="0097202A" w:rsidRPr="009C5F11" w:rsidRDefault="0097202A" w:rsidP="00621178">
            <w:pPr>
              <w:spacing w:after="0"/>
              <w:jc w:val="both"/>
              <w:rPr>
                <w:rFonts w:ascii="Times New Roman" w:hAnsi="Times New Roman" w:cs="Times New Roman"/>
                <w:szCs w:val="18"/>
                <w:lang w:val="ro-RO"/>
              </w:rPr>
            </w:pPr>
          </w:p>
        </w:tc>
        <w:tc>
          <w:tcPr>
            <w:tcW w:w="532" w:type="pct"/>
            <w:shd w:val="clear" w:color="auto" w:fill="auto"/>
          </w:tcPr>
          <w:p w14:paraId="0B7C129F" w14:textId="77777777" w:rsidR="0097202A" w:rsidRPr="009C5F11" w:rsidRDefault="0097202A" w:rsidP="00621178">
            <w:pPr>
              <w:spacing w:after="0"/>
              <w:jc w:val="both"/>
              <w:rPr>
                <w:rFonts w:ascii="Times New Roman" w:hAnsi="Times New Roman" w:cs="Times New Roman"/>
                <w:szCs w:val="18"/>
                <w:lang w:val="ro-RO"/>
              </w:rPr>
            </w:pPr>
          </w:p>
        </w:tc>
        <w:tc>
          <w:tcPr>
            <w:tcW w:w="888" w:type="pct"/>
          </w:tcPr>
          <w:p w14:paraId="31E312BD" w14:textId="77777777" w:rsidR="0097202A" w:rsidRPr="009C5F11" w:rsidRDefault="0097202A" w:rsidP="00621178">
            <w:pPr>
              <w:spacing w:after="0"/>
              <w:jc w:val="both"/>
              <w:rPr>
                <w:rFonts w:ascii="Times New Roman" w:hAnsi="Times New Roman" w:cs="Times New Roman"/>
                <w:szCs w:val="18"/>
                <w:lang w:val="ro-RO"/>
              </w:rPr>
            </w:pPr>
          </w:p>
        </w:tc>
        <w:tc>
          <w:tcPr>
            <w:tcW w:w="424" w:type="pct"/>
            <w:shd w:val="clear" w:color="auto" w:fill="auto"/>
          </w:tcPr>
          <w:p w14:paraId="6F52A03E" w14:textId="77777777" w:rsidR="0097202A" w:rsidRPr="009C5F11" w:rsidRDefault="0097202A" w:rsidP="00621178">
            <w:pPr>
              <w:spacing w:after="0"/>
              <w:jc w:val="both"/>
              <w:rPr>
                <w:rFonts w:ascii="Times New Roman" w:hAnsi="Times New Roman" w:cs="Times New Roman"/>
                <w:szCs w:val="18"/>
                <w:lang w:val="ro-RO"/>
              </w:rPr>
            </w:pPr>
          </w:p>
        </w:tc>
      </w:tr>
      <w:tr w:rsidR="0097202A" w:rsidRPr="009C5F11" w14:paraId="0E6CE4FB" w14:textId="77777777" w:rsidTr="00AB082D">
        <w:tc>
          <w:tcPr>
            <w:tcW w:w="1705" w:type="pct"/>
            <w:shd w:val="clear" w:color="auto" w:fill="auto"/>
          </w:tcPr>
          <w:p w14:paraId="08517DED" w14:textId="77777777" w:rsidR="0097202A" w:rsidRPr="009C5F11" w:rsidRDefault="0097202A" w:rsidP="001023D5">
            <w:pPr>
              <w:spacing w:after="0"/>
              <w:rPr>
                <w:rFonts w:ascii="Times New Roman" w:hAnsi="Times New Roman" w:cs="Times New Roman"/>
                <w:szCs w:val="18"/>
                <w:lang w:val="ro-RO"/>
              </w:rPr>
            </w:pPr>
            <w:r w:rsidRPr="009C5F11">
              <w:rPr>
                <w:rFonts w:ascii="Times New Roman" w:hAnsi="Times New Roman" w:cs="Times New Roman"/>
                <w:szCs w:val="18"/>
                <w:lang w:val="ro-RO"/>
              </w:rPr>
              <w:t xml:space="preserve">Atribuţii de reglementare / criterii de EE în tarifele de reţea </w:t>
            </w:r>
          </w:p>
        </w:tc>
        <w:tc>
          <w:tcPr>
            <w:tcW w:w="483" w:type="pct"/>
          </w:tcPr>
          <w:p w14:paraId="39589FC0" w14:textId="77777777" w:rsidR="0097202A" w:rsidRPr="009C5F11" w:rsidRDefault="0097202A" w:rsidP="00621178">
            <w:pPr>
              <w:spacing w:after="0"/>
              <w:jc w:val="both"/>
              <w:rPr>
                <w:rFonts w:ascii="Times New Roman" w:hAnsi="Times New Roman" w:cs="Times New Roman"/>
                <w:szCs w:val="18"/>
                <w:lang w:val="ro-RO"/>
              </w:rPr>
            </w:pPr>
          </w:p>
        </w:tc>
        <w:tc>
          <w:tcPr>
            <w:tcW w:w="484" w:type="pct"/>
          </w:tcPr>
          <w:p w14:paraId="17F55A80" w14:textId="77777777" w:rsidR="0097202A" w:rsidRPr="009C5F11" w:rsidRDefault="0097202A" w:rsidP="00621178">
            <w:pPr>
              <w:spacing w:after="0"/>
              <w:jc w:val="both"/>
              <w:rPr>
                <w:rFonts w:ascii="Times New Roman" w:hAnsi="Times New Roman" w:cs="Times New Roman"/>
                <w:szCs w:val="18"/>
                <w:lang w:val="ro-RO"/>
              </w:rPr>
            </w:pPr>
          </w:p>
        </w:tc>
        <w:tc>
          <w:tcPr>
            <w:tcW w:w="484" w:type="pct"/>
            <w:shd w:val="clear" w:color="auto" w:fill="auto"/>
          </w:tcPr>
          <w:p w14:paraId="3A9D9A7F" w14:textId="77777777" w:rsidR="0097202A" w:rsidRPr="009C5F11" w:rsidRDefault="0097202A" w:rsidP="00621178">
            <w:pPr>
              <w:spacing w:after="0"/>
              <w:jc w:val="both"/>
              <w:rPr>
                <w:rFonts w:ascii="Times New Roman" w:hAnsi="Times New Roman" w:cs="Times New Roman"/>
                <w:szCs w:val="18"/>
                <w:lang w:val="ro-RO"/>
              </w:rPr>
            </w:pPr>
          </w:p>
        </w:tc>
        <w:tc>
          <w:tcPr>
            <w:tcW w:w="532" w:type="pct"/>
            <w:shd w:val="clear" w:color="auto" w:fill="auto"/>
          </w:tcPr>
          <w:p w14:paraId="4B3CC43E" w14:textId="77777777" w:rsidR="0097202A" w:rsidRPr="009C5F11" w:rsidRDefault="0097202A" w:rsidP="00621178">
            <w:pPr>
              <w:spacing w:after="0"/>
              <w:jc w:val="both"/>
              <w:rPr>
                <w:rFonts w:ascii="Times New Roman" w:hAnsi="Times New Roman" w:cs="Times New Roman"/>
                <w:szCs w:val="18"/>
                <w:lang w:val="ro-RO"/>
              </w:rPr>
            </w:pPr>
          </w:p>
        </w:tc>
        <w:tc>
          <w:tcPr>
            <w:tcW w:w="888" w:type="pct"/>
          </w:tcPr>
          <w:p w14:paraId="75414AA6" w14:textId="77777777" w:rsidR="0097202A" w:rsidRPr="009C5F11" w:rsidRDefault="0097202A" w:rsidP="00621178">
            <w:pPr>
              <w:spacing w:after="0"/>
              <w:jc w:val="both"/>
              <w:rPr>
                <w:rFonts w:ascii="Times New Roman" w:hAnsi="Times New Roman" w:cs="Times New Roman"/>
                <w:szCs w:val="18"/>
                <w:lang w:val="ro-RO"/>
              </w:rPr>
            </w:pPr>
          </w:p>
        </w:tc>
        <w:tc>
          <w:tcPr>
            <w:tcW w:w="424" w:type="pct"/>
            <w:shd w:val="clear" w:color="auto" w:fill="auto"/>
          </w:tcPr>
          <w:p w14:paraId="64D9B11F" w14:textId="5ADAF5F2" w:rsidR="0097202A" w:rsidRPr="009C5F11" w:rsidRDefault="0097202A" w:rsidP="00621178">
            <w:pPr>
              <w:spacing w:after="0"/>
              <w:jc w:val="both"/>
              <w:rPr>
                <w:rFonts w:ascii="Times New Roman" w:hAnsi="Times New Roman" w:cs="Times New Roman"/>
                <w:szCs w:val="18"/>
                <w:lang w:val="ro-RO"/>
              </w:rPr>
            </w:pPr>
            <w:r w:rsidRPr="009C5F11">
              <w:rPr>
                <w:rFonts w:ascii="Times New Roman" w:hAnsi="Times New Roman" w:cs="Times New Roman"/>
                <w:szCs w:val="18"/>
                <w:lang w:val="ro-RO"/>
              </w:rPr>
              <w:t>X</w:t>
            </w:r>
          </w:p>
        </w:tc>
      </w:tr>
    </w:tbl>
    <w:p w14:paraId="0299282F" w14:textId="77777777" w:rsidR="00220522" w:rsidRPr="009C5F11" w:rsidRDefault="00220522">
      <w:pPr>
        <w:rPr>
          <w:rFonts w:ascii="Times New Roman" w:hAnsi="Times New Roman" w:cs="Times New Roman"/>
          <w:i/>
          <w:sz w:val="24"/>
          <w:lang w:val="ro-RO"/>
        </w:rPr>
      </w:pPr>
      <w:r w:rsidRPr="009C5F11">
        <w:rPr>
          <w:rFonts w:ascii="Times New Roman" w:hAnsi="Times New Roman" w:cs="Times New Roman"/>
          <w:i/>
          <w:sz w:val="24"/>
          <w:lang w:val="ro-RO"/>
        </w:rPr>
        <w:br w:type="page"/>
      </w:r>
    </w:p>
    <w:p w14:paraId="48A752FD" w14:textId="77777777" w:rsidR="00BC2ED4" w:rsidRPr="00921CF1" w:rsidRDefault="00BC2ED4" w:rsidP="00DA72FC">
      <w:pPr>
        <w:pStyle w:val="Titlu2"/>
        <w:rPr>
          <w:rFonts w:ascii="Times New Roman" w:hAnsi="Times New Roman" w:cs="Times New Roman"/>
          <w:color w:val="000000" w:themeColor="text1"/>
          <w:sz w:val="28"/>
          <w:lang w:val="ro-RO"/>
        </w:rPr>
      </w:pPr>
      <w:bookmarkStart w:id="402" w:name="_Toc319555460"/>
      <w:bookmarkStart w:id="403" w:name="_Ref319683845"/>
      <w:bookmarkStart w:id="404" w:name="_Toc322013215"/>
      <w:r w:rsidRPr="00921CF1">
        <w:rPr>
          <w:rFonts w:ascii="Times New Roman" w:hAnsi="Times New Roman" w:cs="Times New Roman"/>
          <w:color w:val="000000" w:themeColor="text1"/>
          <w:sz w:val="28"/>
          <w:lang w:val="ro-RO"/>
        </w:rPr>
        <w:lastRenderedPageBreak/>
        <w:t>FINAN</w:t>
      </w:r>
      <w:r w:rsidR="00ED7856" w:rsidRPr="00921CF1">
        <w:rPr>
          <w:rFonts w:ascii="Times New Roman" w:hAnsi="Times New Roman" w:cs="Times New Roman"/>
          <w:color w:val="000000" w:themeColor="text1"/>
          <w:sz w:val="28"/>
          <w:lang w:val="ro-RO"/>
        </w:rPr>
        <w:t>ŢAREA</w:t>
      </w:r>
      <w:bookmarkEnd w:id="402"/>
      <w:bookmarkEnd w:id="403"/>
      <w:bookmarkEnd w:id="404"/>
      <w:r w:rsidRPr="00921CF1">
        <w:rPr>
          <w:rFonts w:ascii="Times New Roman" w:hAnsi="Times New Roman" w:cs="Times New Roman"/>
          <w:color w:val="000000" w:themeColor="text1"/>
          <w:sz w:val="28"/>
          <w:lang w:val="ro-RO"/>
        </w:rPr>
        <w:t xml:space="preserve"> </w:t>
      </w:r>
    </w:p>
    <w:p w14:paraId="56278B6D" w14:textId="6E6FBAFA" w:rsidR="00BC2ED4" w:rsidRPr="009C5F11" w:rsidRDefault="00C117C9"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Toate detaliile </w:t>
      </w:r>
      <w:r w:rsidR="00480806" w:rsidRPr="009C5F11">
        <w:rPr>
          <w:rFonts w:ascii="Times New Roman" w:hAnsi="Times New Roman" w:cs="Times New Roman"/>
          <w:sz w:val="24"/>
          <w:lang w:val="ro-RO"/>
        </w:rPr>
        <w:t>necesare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cu privire la instrumentele disponibile de </w:t>
      </w:r>
      <w:r w:rsidR="002E216A" w:rsidRPr="009C5F11">
        <w:rPr>
          <w:rFonts w:ascii="Times New Roman" w:hAnsi="Times New Roman" w:cs="Times New Roman"/>
          <w:sz w:val="24"/>
          <w:lang w:val="ro-RO"/>
        </w:rPr>
        <w:t>finan</w:t>
      </w:r>
      <w:r w:rsidRPr="009C5F11">
        <w:rPr>
          <w:rFonts w:ascii="Times New Roman" w:hAnsi="Times New Roman" w:cs="Times New Roman"/>
          <w:sz w:val="24"/>
          <w:lang w:val="ro-RO"/>
        </w:rPr>
        <w:t xml:space="preserve">ţare sunt prezentate </w:t>
      </w:r>
      <w:r w:rsidR="00321CD5" w:rsidRPr="009C5F11">
        <w:rPr>
          <w:rFonts w:ascii="Times New Roman" w:hAnsi="Times New Roman" w:cs="Times New Roman"/>
          <w:sz w:val="24"/>
          <w:lang w:val="ro-RO"/>
        </w:rPr>
        <w:t xml:space="preserve">în </w:t>
      </w:r>
      <w:r w:rsidR="002E216A" w:rsidRPr="009C5F11">
        <w:rPr>
          <w:rFonts w:ascii="Times New Roman" w:hAnsi="Times New Roman" w:cs="Times New Roman"/>
          <w:sz w:val="24"/>
          <w:lang w:val="ro-RO"/>
        </w:rPr>
        <w:t>sub-</w:t>
      </w:r>
      <w:r w:rsidRPr="009C5F11">
        <w:rPr>
          <w:rFonts w:ascii="Times New Roman" w:hAnsi="Times New Roman" w:cs="Times New Roman"/>
          <w:sz w:val="24"/>
          <w:lang w:val="ro-RO"/>
        </w:rPr>
        <w:t>c</w:t>
      </w:r>
      <w:r w:rsidR="00127723" w:rsidRPr="009C5F11">
        <w:rPr>
          <w:rFonts w:ascii="Times New Roman" w:hAnsi="Times New Roman" w:cs="Times New Roman"/>
          <w:sz w:val="24"/>
          <w:lang w:val="ro-RO"/>
        </w:rPr>
        <w:t>apitol</w:t>
      </w:r>
      <w:r w:rsidRPr="009C5F11">
        <w:rPr>
          <w:rFonts w:ascii="Times New Roman" w:hAnsi="Times New Roman" w:cs="Times New Roman"/>
          <w:sz w:val="24"/>
          <w:lang w:val="ro-RO"/>
        </w:rPr>
        <w:t xml:space="preserve">ele </w:t>
      </w:r>
      <w:r w:rsidR="00E46DD7" w:rsidRPr="009C5F11">
        <w:rPr>
          <w:rFonts w:ascii="Times New Roman" w:hAnsi="Times New Roman" w:cs="Times New Roman"/>
          <w:sz w:val="24"/>
          <w:lang w:val="ro-RO"/>
        </w:rPr>
        <w:t>de mai jos</w:t>
      </w:r>
      <w:r w:rsidRPr="009C5F11">
        <w:rPr>
          <w:rFonts w:ascii="Times New Roman" w:hAnsi="Times New Roman" w:cs="Times New Roman"/>
          <w:sz w:val="24"/>
          <w:lang w:val="ro-RO"/>
        </w:rPr>
        <w:t xml:space="preserve">, sumarul fiind inclus în </w:t>
      </w:r>
      <w:r w:rsidR="00B45B69" w:rsidRPr="009C5F11">
        <w:rPr>
          <w:rFonts w:ascii="Times New Roman" w:hAnsi="Times New Roman" w:cs="Times New Roman"/>
          <w:sz w:val="24"/>
          <w:lang w:val="ro-RO"/>
        </w:rPr>
        <w:fldChar w:fldCharType="begin"/>
      </w:r>
      <w:r w:rsidR="00B45B69" w:rsidRPr="009C5F11">
        <w:rPr>
          <w:rFonts w:ascii="Times New Roman" w:hAnsi="Times New Roman" w:cs="Times New Roman"/>
          <w:sz w:val="24"/>
          <w:lang w:val="ro-RO"/>
        </w:rPr>
        <w:instrText xml:space="preserve"> REF _Ref322010472 \h </w:instrText>
      </w:r>
      <w:r w:rsidR="009C5F11" w:rsidRPr="009C5F11">
        <w:rPr>
          <w:rFonts w:ascii="Times New Roman" w:hAnsi="Times New Roman" w:cs="Times New Roman"/>
          <w:sz w:val="24"/>
          <w:lang w:val="ro-RO"/>
        </w:rPr>
        <w:instrText xml:space="preserve"> \* MERGEFORMAT </w:instrText>
      </w:r>
      <w:r w:rsidR="00B45B69" w:rsidRPr="009C5F11">
        <w:rPr>
          <w:rFonts w:ascii="Times New Roman" w:hAnsi="Times New Roman" w:cs="Times New Roman"/>
          <w:sz w:val="24"/>
          <w:lang w:val="ro-RO"/>
        </w:rPr>
      </w:r>
      <w:r w:rsidR="00B45B69"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50</w:t>
      </w:r>
      <w:r w:rsidR="00B45B69" w:rsidRPr="009C5F11">
        <w:rPr>
          <w:rFonts w:ascii="Times New Roman" w:hAnsi="Times New Roman" w:cs="Times New Roman"/>
          <w:sz w:val="24"/>
          <w:lang w:val="ro-RO"/>
        </w:rPr>
        <w:fldChar w:fldCharType="end"/>
      </w:r>
      <w:r w:rsidR="00B45B69"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cu</w:t>
      </w:r>
      <w:r w:rsidR="002E216A" w:rsidRPr="009C5F11">
        <w:rPr>
          <w:rFonts w:ascii="Times New Roman" w:hAnsi="Times New Roman" w:cs="Times New Roman"/>
          <w:sz w:val="24"/>
          <w:lang w:val="ro-RO"/>
        </w:rPr>
        <w:t xml:space="preserve"> </w:t>
      </w:r>
      <w:r w:rsidR="00B40A7C" w:rsidRPr="009C5F11">
        <w:rPr>
          <w:rFonts w:ascii="Times New Roman" w:hAnsi="Times New Roman" w:cs="Times New Roman"/>
          <w:sz w:val="24"/>
          <w:lang w:val="ro-RO"/>
        </w:rPr>
        <w:t>informaţii</w:t>
      </w:r>
      <w:r w:rsidR="002E216A"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despre sursele de finanţare disponibile şi preconizate care sunt destinate sectorului de </w:t>
      </w:r>
      <w:r w:rsidR="000C7BEC" w:rsidRPr="009C5F11">
        <w:rPr>
          <w:rFonts w:ascii="Times New Roman" w:hAnsi="Times New Roman" w:cs="Times New Roman"/>
          <w:sz w:val="24"/>
          <w:lang w:val="ro-RO"/>
        </w:rPr>
        <w:t>eficienţă energetică</w:t>
      </w:r>
      <w:r w:rsidR="002E216A" w:rsidRPr="009C5F11">
        <w:rPr>
          <w:rFonts w:ascii="Times New Roman" w:hAnsi="Times New Roman" w:cs="Times New Roman"/>
          <w:sz w:val="24"/>
          <w:lang w:val="ro-RO"/>
        </w:rPr>
        <w:t>.</w:t>
      </w:r>
    </w:p>
    <w:p w14:paraId="461CCB6F" w14:textId="77777777" w:rsidR="00885A3E" w:rsidRPr="009C5F11" w:rsidRDefault="00885A3E" w:rsidP="00885A3E">
      <w:pPr>
        <w:spacing w:before="120" w:after="120" w:line="240" w:lineRule="auto"/>
        <w:jc w:val="both"/>
        <w:rPr>
          <w:rFonts w:ascii="Times New Roman" w:hAnsi="Times New Roman" w:cs="Times New Roman"/>
          <w:sz w:val="24"/>
          <w:lang w:val="ro-RO"/>
        </w:rPr>
      </w:pPr>
    </w:p>
    <w:p w14:paraId="59B53E4F" w14:textId="77777777" w:rsidR="00BC2ED4" w:rsidRPr="00921CF1" w:rsidRDefault="00ED7856" w:rsidP="00DA72FC">
      <w:pPr>
        <w:pStyle w:val="Titlu3"/>
        <w:rPr>
          <w:rFonts w:ascii="Times New Roman" w:hAnsi="Times New Roman" w:cs="Times New Roman"/>
          <w:b/>
          <w:color w:val="000000" w:themeColor="text1"/>
          <w:sz w:val="28"/>
          <w:lang w:val="ro-RO"/>
        </w:rPr>
      </w:pPr>
      <w:bookmarkStart w:id="405" w:name="_Toc322013216"/>
      <w:bookmarkStart w:id="406" w:name="_Toc319555461"/>
      <w:r w:rsidRPr="00921CF1">
        <w:rPr>
          <w:rFonts w:ascii="Times New Roman" w:hAnsi="Times New Roman" w:cs="Times New Roman"/>
          <w:b/>
          <w:color w:val="000000" w:themeColor="text1"/>
          <w:sz w:val="28"/>
          <w:lang w:val="ro-RO"/>
        </w:rPr>
        <w:t>FONDUL PENTRU EFICIENŢĂ ENERGETICĂ</w:t>
      </w:r>
      <w:bookmarkEnd w:id="405"/>
      <w:r w:rsidRPr="00921CF1">
        <w:rPr>
          <w:rFonts w:ascii="Times New Roman" w:hAnsi="Times New Roman" w:cs="Times New Roman"/>
          <w:b/>
          <w:color w:val="000000" w:themeColor="text1"/>
          <w:sz w:val="28"/>
          <w:lang w:val="ro-RO"/>
        </w:rPr>
        <w:t xml:space="preserve"> </w:t>
      </w:r>
      <w:bookmarkEnd w:id="406"/>
    </w:p>
    <w:p w14:paraId="38F21FED" w14:textId="4F64F458" w:rsidR="005F31B4" w:rsidRPr="009C5F11" w:rsidRDefault="00ED7856"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Fondul pentru Eficienţă Energetică în Moldova a fost creat în baza Legii privind eficienţa energetică (nr.142 din 2 iulie 2010), iar Regulamentul de organizare şi funcţionare a FEE a fost aprobat prin Hotărârea Guvernului nr. 401 din 12 iunie 2012. </w:t>
      </w:r>
      <w:r w:rsidR="00B45B69" w:rsidRPr="009C5F11">
        <w:rPr>
          <w:rFonts w:ascii="Times New Roman" w:hAnsi="Times New Roman" w:cs="Times New Roman"/>
          <w:sz w:val="24"/>
          <w:lang w:val="ro-RO"/>
        </w:rPr>
        <w:fldChar w:fldCharType="begin"/>
      </w:r>
      <w:r w:rsidR="00B45B69" w:rsidRPr="009C5F11">
        <w:rPr>
          <w:rFonts w:ascii="Times New Roman" w:hAnsi="Times New Roman" w:cs="Times New Roman"/>
          <w:sz w:val="24"/>
          <w:lang w:val="ro-RO"/>
        </w:rPr>
        <w:instrText xml:space="preserve"> REF _Ref322012870 \h </w:instrText>
      </w:r>
      <w:r w:rsidR="009C5F11" w:rsidRPr="009C5F11">
        <w:rPr>
          <w:rFonts w:ascii="Times New Roman" w:hAnsi="Times New Roman" w:cs="Times New Roman"/>
          <w:sz w:val="24"/>
          <w:lang w:val="ro-RO"/>
        </w:rPr>
        <w:instrText xml:space="preserve"> \* MERGEFORMAT </w:instrText>
      </w:r>
      <w:r w:rsidR="00B45B69" w:rsidRPr="009C5F11">
        <w:rPr>
          <w:rFonts w:ascii="Times New Roman" w:hAnsi="Times New Roman" w:cs="Times New Roman"/>
          <w:sz w:val="24"/>
          <w:lang w:val="ro-RO"/>
        </w:rPr>
      </w:r>
      <w:r w:rsidR="00B45B69" w:rsidRPr="009C5F11">
        <w:rPr>
          <w:rFonts w:ascii="Times New Roman" w:hAnsi="Times New Roman" w:cs="Times New Roman"/>
          <w:sz w:val="24"/>
          <w:lang w:val="ro-RO"/>
        </w:rPr>
        <w:fldChar w:fldCharType="separate"/>
      </w:r>
      <w:r w:rsidR="0014013D" w:rsidRPr="0014013D">
        <w:rPr>
          <w:rFonts w:ascii="Times New Roman" w:hAnsi="Times New Roman" w:cs="Times New Roman"/>
          <w:sz w:val="24"/>
          <w:lang w:val="ro-RO"/>
        </w:rPr>
        <w:t>Tabelul 44</w:t>
      </w:r>
      <w:r w:rsidR="00B45B69" w:rsidRPr="009C5F11">
        <w:rPr>
          <w:rFonts w:ascii="Times New Roman" w:hAnsi="Times New Roman" w:cs="Times New Roman"/>
          <w:sz w:val="24"/>
          <w:lang w:val="ro-RO"/>
        </w:rPr>
        <w:fldChar w:fldCharType="end"/>
      </w:r>
      <w:r w:rsidR="00B45B69" w:rsidRPr="009C5F11">
        <w:rPr>
          <w:rFonts w:ascii="Times New Roman" w:hAnsi="Times New Roman" w:cs="Times New Roman"/>
          <w:sz w:val="24"/>
          <w:lang w:val="ro-RO"/>
        </w:rPr>
        <w:t xml:space="preserve"> </w:t>
      </w:r>
      <w:r w:rsidR="00B51702" w:rsidRPr="009C5F11">
        <w:rPr>
          <w:rFonts w:ascii="Times New Roman" w:hAnsi="Times New Roman" w:cs="Times New Roman"/>
          <w:sz w:val="24"/>
          <w:lang w:val="ro-RO"/>
        </w:rPr>
        <w:t>prezint</w:t>
      </w:r>
      <w:r w:rsidRPr="009C5F11">
        <w:rPr>
          <w:rFonts w:ascii="Times New Roman" w:hAnsi="Times New Roman" w:cs="Times New Roman"/>
          <w:sz w:val="24"/>
          <w:lang w:val="ro-RO"/>
        </w:rPr>
        <w:t>ă principalele caracteristici ale Fondului pentru Eficienţă Energetică</w:t>
      </w:r>
      <w:r w:rsidR="00BC2ED4" w:rsidRPr="009C5F11">
        <w:rPr>
          <w:rFonts w:ascii="Times New Roman" w:hAnsi="Times New Roman" w:cs="Times New Roman"/>
          <w:sz w:val="24"/>
          <w:lang w:val="ro-RO"/>
        </w:rPr>
        <w:t>.</w:t>
      </w:r>
    </w:p>
    <w:p w14:paraId="550E3202" w14:textId="77777777" w:rsidR="005F31B4" w:rsidRPr="009C5F11" w:rsidRDefault="00CD724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Proiect</w:t>
      </w:r>
      <w:r w:rsidR="00C117C9" w:rsidRPr="009C5F11">
        <w:rPr>
          <w:rFonts w:ascii="Times New Roman" w:hAnsi="Times New Roman" w:cs="Times New Roman"/>
          <w:sz w:val="24"/>
          <w:lang w:val="ro-RO"/>
        </w:rPr>
        <w:t>e</w:t>
      </w:r>
      <w:r w:rsidRPr="009C5F11">
        <w:rPr>
          <w:rFonts w:ascii="Times New Roman" w:hAnsi="Times New Roman" w:cs="Times New Roman"/>
          <w:sz w:val="24"/>
          <w:lang w:val="ro-RO"/>
        </w:rPr>
        <w:t>l</w:t>
      </w:r>
      <w:r w:rsidR="00E10BE5"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w:t>
      </w:r>
      <w:r w:rsidR="00AA45D2" w:rsidRPr="009C5F11">
        <w:rPr>
          <w:rFonts w:ascii="Times New Roman" w:hAnsi="Times New Roman" w:cs="Times New Roman"/>
          <w:sz w:val="24"/>
          <w:lang w:val="ro-RO"/>
        </w:rPr>
        <w:t>finanţat</w:t>
      </w:r>
      <w:r w:rsidR="00C117C9" w:rsidRPr="009C5F11">
        <w:rPr>
          <w:rFonts w:ascii="Times New Roman" w:hAnsi="Times New Roman" w:cs="Times New Roman"/>
          <w:sz w:val="24"/>
          <w:lang w:val="ro-RO"/>
        </w:rPr>
        <w:t>e</w:t>
      </w:r>
      <w:r w:rsidR="00AA45D2" w:rsidRPr="009C5F11">
        <w:rPr>
          <w:rFonts w:ascii="Times New Roman" w:hAnsi="Times New Roman" w:cs="Times New Roman"/>
          <w:sz w:val="24"/>
          <w:lang w:val="ro-RO"/>
        </w:rPr>
        <w:t xml:space="preserve"> de</w:t>
      </w:r>
      <w:r w:rsidR="00BC2ED4" w:rsidRPr="009C5F11">
        <w:rPr>
          <w:rFonts w:ascii="Times New Roman" w:hAnsi="Times New Roman" w:cs="Times New Roman"/>
          <w:sz w:val="24"/>
          <w:lang w:val="ro-RO"/>
        </w:rPr>
        <w:t xml:space="preserve"> </w:t>
      </w:r>
      <w:r w:rsidR="00AA0566" w:rsidRPr="009C5F11">
        <w:rPr>
          <w:rFonts w:ascii="Times New Roman" w:hAnsi="Times New Roman" w:cs="Times New Roman"/>
          <w:sz w:val="24"/>
          <w:lang w:val="ro-RO"/>
        </w:rPr>
        <w:t>FEE</w:t>
      </w:r>
      <w:r w:rsidR="00BC2ED4" w:rsidRPr="009C5F11">
        <w:rPr>
          <w:rFonts w:ascii="Times New Roman" w:hAnsi="Times New Roman" w:cs="Times New Roman"/>
          <w:sz w:val="24"/>
          <w:lang w:val="ro-RO"/>
        </w:rPr>
        <w:t xml:space="preserve"> coresp</w:t>
      </w:r>
      <w:r w:rsidR="00C117C9" w:rsidRPr="009C5F11">
        <w:rPr>
          <w:rFonts w:ascii="Times New Roman" w:hAnsi="Times New Roman" w:cs="Times New Roman"/>
          <w:sz w:val="24"/>
          <w:lang w:val="ro-RO"/>
        </w:rPr>
        <w:t>u</w:t>
      </w:r>
      <w:r w:rsidR="00BC2ED4" w:rsidRPr="009C5F11">
        <w:rPr>
          <w:rFonts w:ascii="Times New Roman" w:hAnsi="Times New Roman" w:cs="Times New Roman"/>
          <w:sz w:val="24"/>
          <w:lang w:val="ro-RO"/>
        </w:rPr>
        <w:t xml:space="preserve">nd </w:t>
      </w:r>
      <w:r w:rsidR="00122751" w:rsidRPr="009C5F11">
        <w:rPr>
          <w:rFonts w:ascii="Times New Roman" w:hAnsi="Times New Roman" w:cs="Times New Roman"/>
          <w:sz w:val="24"/>
          <w:lang w:val="ro-RO"/>
        </w:rPr>
        <w:t>dispoziţii</w:t>
      </w:r>
      <w:r w:rsidR="00C117C9" w:rsidRPr="009C5F11">
        <w:rPr>
          <w:rFonts w:ascii="Times New Roman" w:hAnsi="Times New Roman" w:cs="Times New Roman"/>
          <w:sz w:val="24"/>
          <w:lang w:val="ro-RO"/>
        </w:rPr>
        <w:t>lor din</w:t>
      </w:r>
      <w:r w:rsidR="00BC2ED4" w:rsidRPr="009C5F11">
        <w:rPr>
          <w:rFonts w:ascii="Times New Roman" w:hAnsi="Times New Roman" w:cs="Times New Roman"/>
          <w:sz w:val="24"/>
          <w:lang w:val="ro-RO"/>
        </w:rPr>
        <w:t xml:space="preserve"> art.50 </w:t>
      </w:r>
      <w:r w:rsidR="00C117C9" w:rsidRPr="009C5F11">
        <w:rPr>
          <w:rFonts w:ascii="Times New Roman" w:hAnsi="Times New Roman" w:cs="Times New Roman"/>
          <w:sz w:val="24"/>
          <w:lang w:val="ro-RO"/>
        </w:rPr>
        <w:t>al Regulamentului cu privire la organizarea şi funcţionarea FEE, servind drept bază pentru formularea conţinutului</w:t>
      </w:r>
      <w:r w:rsidR="00BC2ED4" w:rsidRPr="009C5F11">
        <w:rPr>
          <w:rFonts w:ascii="Times New Roman" w:hAnsi="Times New Roman" w:cs="Times New Roman"/>
          <w:sz w:val="24"/>
          <w:lang w:val="ro-RO"/>
        </w:rPr>
        <w:t xml:space="preserve"> </w:t>
      </w:r>
      <w:r w:rsidR="00483878" w:rsidRPr="009C5F11">
        <w:rPr>
          <w:rFonts w:ascii="Times New Roman" w:hAnsi="Times New Roman" w:cs="Times New Roman"/>
          <w:sz w:val="24"/>
          <w:lang w:val="ro-RO"/>
        </w:rPr>
        <w:t>Programul</w:t>
      </w:r>
      <w:r w:rsidR="00C117C9" w:rsidRPr="009C5F11">
        <w:rPr>
          <w:rFonts w:ascii="Times New Roman" w:hAnsi="Times New Roman" w:cs="Times New Roman"/>
          <w:sz w:val="24"/>
          <w:lang w:val="ro-RO"/>
        </w:rPr>
        <w:t>ui</w:t>
      </w:r>
      <w:r w:rsidR="00483878" w:rsidRPr="009C5F11">
        <w:rPr>
          <w:rFonts w:ascii="Times New Roman" w:hAnsi="Times New Roman" w:cs="Times New Roman"/>
          <w:sz w:val="24"/>
          <w:lang w:val="ro-RO"/>
        </w:rPr>
        <w:t xml:space="preserve"> naţional</w:t>
      </w:r>
      <w:r w:rsidR="00BC2ED4" w:rsidRPr="009C5F11">
        <w:rPr>
          <w:rFonts w:ascii="Times New Roman" w:hAnsi="Times New Roman" w:cs="Times New Roman"/>
          <w:sz w:val="24"/>
          <w:lang w:val="ro-RO"/>
        </w:rPr>
        <w:t xml:space="preserve"> </w:t>
      </w:r>
      <w:r w:rsidR="00C117C9" w:rsidRPr="009C5F11">
        <w:rPr>
          <w:rFonts w:ascii="Times New Roman" w:hAnsi="Times New Roman" w:cs="Times New Roman"/>
          <w:sz w:val="24"/>
          <w:lang w:val="ro-RO"/>
        </w:rPr>
        <w:t xml:space="preserve">pentru eficienţă </w:t>
      </w:r>
      <w:r w:rsidR="001E3482" w:rsidRPr="009C5F11">
        <w:rPr>
          <w:rFonts w:ascii="Times New Roman" w:hAnsi="Times New Roman" w:cs="Times New Roman"/>
          <w:sz w:val="24"/>
          <w:lang w:val="ro-RO"/>
        </w:rPr>
        <w:t>energ</w:t>
      </w:r>
      <w:r w:rsidR="00C117C9" w:rsidRPr="009C5F11">
        <w:rPr>
          <w:rFonts w:ascii="Times New Roman" w:hAnsi="Times New Roman" w:cs="Times New Roman"/>
          <w:sz w:val="24"/>
          <w:lang w:val="ro-RO"/>
        </w:rPr>
        <w:t>etică</w:t>
      </w:r>
      <w:r w:rsidR="00BC2ED4" w:rsidRPr="009C5F11">
        <w:rPr>
          <w:rFonts w:ascii="Times New Roman" w:hAnsi="Times New Roman" w:cs="Times New Roman"/>
          <w:sz w:val="24"/>
          <w:lang w:val="ro-RO"/>
        </w:rPr>
        <w:t xml:space="preserve"> 2011-2020. </w:t>
      </w:r>
      <w:r w:rsidR="00532A33" w:rsidRPr="009C5F11">
        <w:rPr>
          <w:rFonts w:ascii="Times New Roman" w:hAnsi="Times New Roman" w:cs="Times New Roman"/>
          <w:sz w:val="24"/>
          <w:lang w:val="ro-RO"/>
        </w:rPr>
        <w:t>Implementarea</w:t>
      </w:r>
      <w:r w:rsidR="00BC2ED4" w:rsidRPr="009C5F11">
        <w:rPr>
          <w:rFonts w:ascii="Times New Roman" w:hAnsi="Times New Roman" w:cs="Times New Roman"/>
          <w:sz w:val="24"/>
          <w:lang w:val="ro-RO"/>
        </w:rPr>
        <w:t xml:space="preserve"> </w:t>
      </w:r>
      <w:r w:rsidR="00C117C9" w:rsidRPr="009C5F11">
        <w:rPr>
          <w:rFonts w:ascii="Times New Roman" w:hAnsi="Times New Roman" w:cs="Times New Roman"/>
          <w:sz w:val="24"/>
          <w:lang w:val="ro-RO"/>
        </w:rPr>
        <w:t>acestor</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proiect</w:t>
      </w:r>
      <w:r w:rsidR="00E10BE5"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w:t>
      </w:r>
      <w:r w:rsidR="00C117C9" w:rsidRPr="009C5F11">
        <w:rPr>
          <w:rFonts w:ascii="Times New Roman" w:hAnsi="Times New Roman" w:cs="Times New Roman"/>
          <w:sz w:val="24"/>
          <w:lang w:val="ro-RO"/>
        </w:rPr>
        <w:t xml:space="preserve">a fost începută </w:t>
      </w:r>
      <w:r w:rsidR="00321CD5" w:rsidRPr="009C5F11">
        <w:rPr>
          <w:rFonts w:ascii="Times New Roman" w:hAnsi="Times New Roman" w:cs="Times New Roman"/>
          <w:sz w:val="24"/>
          <w:lang w:val="ro-RO"/>
        </w:rPr>
        <w:t xml:space="preserve">în </w:t>
      </w:r>
      <w:r w:rsidR="000A4CC7" w:rsidRPr="009C5F11">
        <w:rPr>
          <w:rFonts w:ascii="Times New Roman" w:hAnsi="Times New Roman" w:cs="Times New Roman"/>
          <w:sz w:val="24"/>
          <w:lang w:val="ro-RO"/>
        </w:rPr>
        <w:t>martie</w:t>
      </w:r>
      <w:r w:rsidR="00BC2ED4" w:rsidRPr="009C5F11">
        <w:rPr>
          <w:rFonts w:ascii="Times New Roman" w:hAnsi="Times New Roman" w:cs="Times New Roman"/>
          <w:sz w:val="24"/>
          <w:lang w:val="ro-RO"/>
        </w:rPr>
        <w:t xml:space="preserve"> 2014</w:t>
      </w:r>
      <w:r w:rsidR="00321CD5" w:rsidRPr="009C5F11">
        <w:rPr>
          <w:rFonts w:ascii="Times New Roman" w:hAnsi="Times New Roman" w:cs="Times New Roman"/>
          <w:sz w:val="24"/>
          <w:lang w:val="ro-RO"/>
        </w:rPr>
        <w:t xml:space="preserve"> şi </w:t>
      </w:r>
      <w:r w:rsidR="000B4699" w:rsidRPr="009C5F11">
        <w:rPr>
          <w:rFonts w:ascii="Times New Roman" w:hAnsi="Times New Roman" w:cs="Times New Roman"/>
          <w:sz w:val="24"/>
          <w:lang w:val="ro-RO"/>
        </w:rPr>
        <w:t>continuă</w:t>
      </w:r>
      <w:r w:rsidR="00C117C9" w:rsidRPr="009C5F11">
        <w:rPr>
          <w:rFonts w:ascii="Times New Roman" w:hAnsi="Times New Roman" w:cs="Times New Roman"/>
          <w:sz w:val="24"/>
          <w:lang w:val="ro-RO"/>
        </w:rPr>
        <w:t xml:space="preserve"> până în prezent</w:t>
      </w:r>
      <w:r w:rsidR="00BC2ED4" w:rsidRPr="009C5F11">
        <w:rPr>
          <w:rFonts w:ascii="Times New Roman" w:hAnsi="Times New Roman" w:cs="Times New Roman"/>
          <w:sz w:val="24"/>
          <w:lang w:val="ro-RO"/>
        </w:rPr>
        <w:t xml:space="preserve">. </w:t>
      </w:r>
      <w:r w:rsidR="00A8154B" w:rsidRPr="009C5F11">
        <w:rPr>
          <w:rFonts w:ascii="Times New Roman" w:hAnsi="Times New Roman" w:cs="Times New Roman"/>
          <w:sz w:val="24"/>
          <w:lang w:val="ro-RO"/>
        </w:rPr>
        <w:t>Descrierea succintă a m</w:t>
      </w:r>
      <w:r w:rsidR="00BC2ED4" w:rsidRPr="009C5F11">
        <w:rPr>
          <w:rFonts w:ascii="Times New Roman" w:hAnsi="Times New Roman" w:cs="Times New Roman"/>
          <w:sz w:val="24"/>
          <w:lang w:val="ro-RO"/>
        </w:rPr>
        <w:t>ajorit</w:t>
      </w:r>
      <w:r w:rsidR="00A8154B" w:rsidRPr="009C5F11">
        <w:rPr>
          <w:rFonts w:ascii="Times New Roman" w:hAnsi="Times New Roman" w:cs="Times New Roman"/>
          <w:sz w:val="24"/>
          <w:lang w:val="ro-RO"/>
        </w:rPr>
        <w:t>ăţii</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proiect</w:t>
      </w:r>
      <w:r w:rsidR="00C117C9" w:rsidRPr="009C5F11">
        <w:rPr>
          <w:rFonts w:ascii="Times New Roman" w:hAnsi="Times New Roman" w:cs="Times New Roman"/>
          <w:sz w:val="24"/>
          <w:lang w:val="ro-RO"/>
        </w:rPr>
        <w:t>elor</w:t>
      </w:r>
      <w:r w:rsidR="00BC2ED4" w:rsidRPr="009C5F11">
        <w:rPr>
          <w:rFonts w:ascii="Times New Roman" w:hAnsi="Times New Roman" w:cs="Times New Roman"/>
          <w:sz w:val="24"/>
          <w:lang w:val="ro-RO"/>
        </w:rPr>
        <w:t xml:space="preserve"> </w:t>
      </w:r>
      <w:r w:rsidR="00A8154B" w:rsidRPr="009C5F11">
        <w:rPr>
          <w:rFonts w:ascii="Times New Roman" w:hAnsi="Times New Roman" w:cs="Times New Roman"/>
          <w:sz w:val="24"/>
          <w:lang w:val="ro-RO"/>
        </w:rPr>
        <w:t>este</w:t>
      </w:r>
      <w:r w:rsidR="00C117C9" w:rsidRPr="009C5F11">
        <w:rPr>
          <w:rFonts w:ascii="Times New Roman" w:hAnsi="Times New Roman" w:cs="Times New Roman"/>
          <w:sz w:val="24"/>
          <w:lang w:val="ro-RO"/>
        </w:rPr>
        <w:t xml:space="preserve"> </w:t>
      </w:r>
      <w:r w:rsidR="00A8154B" w:rsidRPr="009C5F11">
        <w:rPr>
          <w:rFonts w:ascii="Times New Roman" w:hAnsi="Times New Roman" w:cs="Times New Roman"/>
          <w:sz w:val="24"/>
          <w:lang w:val="ro-RO"/>
        </w:rPr>
        <w:t>inclusă</w:t>
      </w:r>
      <w:r w:rsidR="00C117C9"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în </w:t>
      </w:r>
      <w:r w:rsidR="00C117C9" w:rsidRPr="009C5F11">
        <w:rPr>
          <w:rFonts w:ascii="Times New Roman" w:hAnsi="Times New Roman" w:cs="Times New Roman"/>
          <w:sz w:val="24"/>
          <w:lang w:val="ro-RO"/>
        </w:rPr>
        <w:t>T</w:t>
      </w:r>
      <w:r w:rsidR="00A67DFF" w:rsidRPr="009C5F11">
        <w:rPr>
          <w:rFonts w:ascii="Times New Roman" w:hAnsi="Times New Roman" w:cs="Times New Roman"/>
          <w:sz w:val="24"/>
          <w:lang w:val="ro-RO"/>
        </w:rPr>
        <w:t>abelul</w:t>
      </w:r>
      <w:r w:rsidR="00BC2ED4" w:rsidRPr="009C5F11">
        <w:rPr>
          <w:rFonts w:ascii="Times New Roman" w:hAnsi="Times New Roman" w:cs="Times New Roman"/>
          <w:sz w:val="24"/>
          <w:lang w:val="ro-RO"/>
        </w:rPr>
        <w:t xml:space="preserve"> A1.1, </w:t>
      </w:r>
      <w:r w:rsidR="000E55A5" w:rsidRPr="009C5F11">
        <w:rPr>
          <w:rFonts w:ascii="Times New Roman" w:hAnsi="Times New Roman" w:cs="Times New Roman"/>
          <w:sz w:val="24"/>
          <w:lang w:val="ro-RO"/>
        </w:rPr>
        <w:t>beneficiarii</w:t>
      </w:r>
      <w:r w:rsidR="00BC2ED4" w:rsidRPr="009C5F11">
        <w:rPr>
          <w:rFonts w:ascii="Times New Roman" w:hAnsi="Times New Roman" w:cs="Times New Roman"/>
          <w:sz w:val="24"/>
          <w:lang w:val="ro-RO"/>
        </w:rPr>
        <w:t xml:space="preserve"> </w:t>
      </w:r>
      <w:r w:rsidR="00C117C9" w:rsidRPr="009C5F11">
        <w:rPr>
          <w:rFonts w:ascii="Times New Roman" w:hAnsi="Times New Roman" w:cs="Times New Roman"/>
          <w:sz w:val="24"/>
          <w:lang w:val="ro-RO"/>
        </w:rPr>
        <w:t>proiectelor fiind</w:t>
      </w:r>
      <w:r w:rsidR="00BC2ED4" w:rsidRPr="009C5F11">
        <w:rPr>
          <w:rFonts w:ascii="Times New Roman" w:hAnsi="Times New Roman" w:cs="Times New Roman"/>
          <w:sz w:val="24"/>
          <w:lang w:val="ro-RO"/>
        </w:rPr>
        <w:t xml:space="preserve"> </w:t>
      </w:r>
      <w:r w:rsidR="00B45C21" w:rsidRPr="009C5F11">
        <w:rPr>
          <w:rFonts w:ascii="Times New Roman" w:hAnsi="Times New Roman" w:cs="Times New Roman"/>
          <w:sz w:val="24"/>
          <w:lang w:val="ro-RO"/>
        </w:rPr>
        <w:t>organisme publice</w:t>
      </w:r>
      <w:r w:rsidR="00C117C9" w:rsidRPr="009C5F11">
        <w:rPr>
          <w:rFonts w:ascii="Times New Roman" w:hAnsi="Times New Roman" w:cs="Times New Roman"/>
          <w:sz w:val="24"/>
          <w:lang w:val="ro-RO"/>
        </w:rPr>
        <w:t xml:space="preserve"> locale</w:t>
      </w:r>
      <w:r w:rsidR="00BC2ED4" w:rsidRPr="009C5F11">
        <w:rPr>
          <w:rFonts w:ascii="Times New Roman" w:hAnsi="Times New Roman" w:cs="Times New Roman"/>
          <w:sz w:val="24"/>
          <w:lang w:val="ro-RO"/>
        </w:rPr>
        <w:t>.</w:t>
      </w:r>
    </w:p>
    <w:p w14:paraId="73135BEF" w14:textId="1CA14DA5" w:rsidR="00BC2ED4" w:rsidRPr="009C5F11" w:rsidRDefault="00C117C9"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Fondul pentru Eficienţă Energetică atrage şi gestionează mijloacele financiare în vederea îmbunătăţirii eficienţei energetice şi utilizării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şi reducerii GES pe baza susţinerii proiectelor lansate în conformitate cu strategiile şi programele elaborate de Guvern</w:t>
      </w:r>
      <w:r w:rsidR="00BC2ED4" w:rsidRPr="009C5F11">
        <w:rPr>
          <w:rFonts w:ascii="Times New Roman" w:hAnsi="Times New Roman" w:cs="Times New Roman"/>
          <w:sz w:val="24"/>
          <w:lang w:val="ro-RO"/>
        </w:rPr>
        <w:t>:</w:t>
      </w:r>
    </w:p>
    <w:p w14:paraId="48BAD77C" w14:textId="77777777" w:rsidR="00BC2ED4" w:rsidRPr="009C5F11" w:rsidRDefault="00C117C9"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promovarea proiectelor investiţionale în domeniul EE şi </w:t>
      </w:r>
      <w:r w:rsidR="00610318" w:rsidRPr="009C5F11">
        <w:rPr>
          <w:rFonts w:ascii="Times New Roman" w:hAnsi="Times New Roman" w:cs="Times New Roman"/>
          <w:sz w:val="24"/>
          <w:lang w:val="ro-RO"/>
        </w:rPr>
        <w:t>ESR</w:t>
      </w:r>
      <w:r w:rsidR="00BC2ED4" w:rsidRPr="009C5F11">
        <w:rPr>
          <w:rFonts w:ascii="Times New Roman" w:hAnsi="Times New Roman" w:cs="Times New Roman"/>
          <w:sz w:val="24"/>
          <w:lang w:val="ro-RO"/>
        </w:rPr>
        <w:t xml:space="preserve">; </w:t>
      </w:r>
    </w:p>
    <w:p w14:paraId="42E98D08" w14:textId="77777777" w:rsidR="00BC2ED4" w:rsidRPr="009C5F11" w:rsidRDefault="00C117C9"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asigurarea asistenței tehnice proiectelor de dezvoltare în domeniul EE şi </w:t>
      </w:r>
      <w:r w:rsidR="00610318" w:rsidRPr="009C5F11">
        <w:rPr>
          <w:rFonts w:ascii="Times New Roman" w:hAnsi="Times New Roman" w:cs="Times New Roman"/>
          <w:sz w:val="24"/>
          <w:lang w:val="ro-RO"/>
        </w:rPr>
        <w:t>ESR</w:t>
      </w:r>
      <w:r w:rsidR="00BC2ED4" w:rsidRPr="009C5F11">
        <w:rPr>
          <w:rFonts w:ascii="Times New Roman" w:hAnsi="Times New Roman" w:cs="Times New Roman"/>
          <w:sz w:val="24"/>
          <w:lang w:val="ro-RO"/>
        </w:rPr>
        <w:t xml:space="preserve">; </w:t>
      </w:r>
    </w:p>
    <w:p w14:paraId="14D455B5" w14:textId="77777777" w:rsidR="008440FD" w:rsidRPr="009C5F11" w:rsidRDefault="008440FD" w:rsidP="00334F3B">
      <w:pPr>
        <w:pStyle w:val="Listparagraf"/>
        <w:numPr>
          <w:ilvl w:val="0"/>
          <w:numId w:val="171"/>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asigurarea asistenței financiare proiectelor; </w:t>
      </w:r>
    </w:p>
    <w:p w14:paraId="30E8C683" w14:textId="77777777" w:rsidR="008440FD" w:rsidRPr="009C5F11" w:rsidRDefault="008440FD" w:rsidP="00334F3B">
      <w:pPr>
        <w:pStyle w:val="Listparagraf"/>
        <w:numPr>
          <w:ilvl w:val="0"/>
          <w:numId w:val="171"/>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contribuții financiare directe; </w:t>
      </w:r>
    </w:p>
    <w:p w14:paraId="6D146D8C" w14:textId="77777777" w:rsidR="008440FD" w:rsidRPr="009C5F11" w:rsidRDefault="008440FD" w:rsidP="00334F3B">
      <w:pPr>
        <w:pStyle w:val="Listparagraf"/>
        <w:numPr>
          <w:ilvl w:val="0"/>
          <w:numId w:val="171"/>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acţionarea în calitate de agent sau mediator pentru alte surse de finanţare; </w:t>
      </w:r>
    </w:p>
    <w:p w14:paraId="43BB8B85" w14:textId="77777777" w:rsidR="008440FD" w:rsidRPr="009C5F11" w:rsidRDefault="008440FD" w:rsidP="00334F3B">
      <w:pPr>
        <w:pStyle w:val="Listparagraf"/>
        <w:numPr>
          <w:ilvl w:val="0"/>
          <w:numId w:val="171"/>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asigurarea garanțiilor depline sau parţiale în cazul finanţării de către bănci; </w:t>
      </w:r>
    </w:p>
    <w:p w14:paraId="0CE44A4E" w14:textId="77777777" w:rsidR="008440FD" w:rsidRPr="009C5F11" w:rsidRDefault="008440FD" w:rsidP="00334F3B">
      <w:pPr>
        <w:pStyle w:val="Listparagraf"/>
        <w:numPr>
          <w:ilvl w:val="0"/>
          <w:numId w:val="171"/>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asistenţă pentru identificarea celor mai adecvate soluţii pentru finanţarea proiectelor. </w:t>
      </w:r>
    </w:p>
    <w:p w14:paraId="2D0355C6" w14:textId="57965C6D" w:rsidR="008440FD" w:rsidRPr="009C5F11" w:rsidRDefault="008440FD"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Fondul utilizează astfel de instrumente cum sunt apelurile pentru propuneri de proiecte (APP) după destinaţie:</w:t>
      </w:r>
    </w:p>
    <w:p w14:paraId="73FE52AF" w14:textId="77777777" w:rsidR="008440FD" w:rsidRPr="009C5F11" w:rsidRDefault="008440FD"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APP1 &amp; 3: reprezentanţi autorizaţi ai obiectivelor de menire socială aflate în proprietatea publică centrală şi locală de toate nivelele;</w:t>
      </w:r>
    </w:p>
    <w:p w14:paraId="7EB707E5" w14:textId="77777777" w:rsidR="008440FD" w:rsidRPr="009C5F11" w:rsidRDefault="008440FD"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APP 2 &amp; 4 &amp; 6: sectorul privat;</w:t>
      </w:r>
    </w:p>
    <w:p w14:paraId="4EB6D400" w14:textId="77777777" w:rsidR="008440FD" w:rsidRPr="009C5F11" w:rsidRDefault="008440FD"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APP 5: iluminatul public.</w:t>
      </w:r>
    </w:p>
    <w:p w14:paraId="56EFEEEC" w14:textId="09D0C5F0" w:rsidR="00E94837" w:rsidRPr="009C5F11" w:rsidRDefault="008440FD"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FEE cooperează cu sectorul public (în coordonare cu APC, APL), sectorul rezidenţial, sectorul privat (industrie, servicii, agricol, transporturi etc.).</w:t>
      </w:r>
    </w:p>
    <w:p w14:paraId="7F831E4A" w14:textId="77777777" w:rsidR="00B45B69" w:rsidRPr="009C5F11" w:rsidRDefault="00B45B69" w:rsidP="00A92B7E">
      <w:pPr>
        <w:spacing w:before="120" w:after="120" w:line="240" w:lineRule="auto"/>
        <w:jc w:val="both"/>
        <w:rPr>
          <w:rFonts w:ascii="Times New Roman" w:hAnsi="Times New Roman" w:cs="Times New Roman"/>
          <w:sz w:val="24"/>
          <w:lang w:val="ro-RO"/>
        </w:rPr>
      </w:pPr>
    </w:p>
    <w:p w14:paraId="4DADB54A" w14:textId="77777777" w:rsidR="00E94837" w:rsidRPr="009C5F11" w:rsidRDefault="00321CD5" w:rsidP="00E94837">
      <w:pPr>
        <w:pStyle w:val="Legend"/>
        <w:keepNext/>
        <w:jc w:val="center"/>
        <w:rPr>
          <w:rFonts w:ascii="Times New Roman" w:hAnsi="Times New Roman" w:cs="Times New Roman"/>
          <w:sz w:val="22"/>
          <w:lang w:val="ro-RO"/>
        </w:rPr>
      </w:pPr>
      <w:bookmarkStart w:id="407" w:name="_Ref322012870"/>
      <w:bookmarkStart w:id="408" w:name="_Toc322013267"/>
      <w:r w:rsidRPr="009C5F11">
        <w:rPr>
          <w:rFonts w:ascii="Times New Roman" w:hAnsi="Times New Roman" w:cs="Times New Roman"/>
          <w:sz w:val="22"/>
          <w:lang w:val="ro-RO"/>
        </w:rPr>
        <w:t>Tabelul</w:t>
      </w:r>
      <w:r w:rsidR="00E94837"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E94837"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44</w:t>
      </w:r>
      <w:r w:rsidR="003A6ADB" w:rsidRPr="009C5F11">
        <w:rPr>
          <w:rFonts w:ascii="Times New Roman" w:hAnsi="Times New Roman" w:cs="Times New Roman"/>
          <w:sz w:val="22"/>
          <w:lang w:val="ro-RO"/>
        </w:rPr>
        <w:fldChar w:fldCharType="end"/>
      </w:r>
      <w:bookmarkEnd w:id="407"/>
      <w:r w:rsidR="00E94837" w:rsidRPr="009C5F11">
        <w:rPr>
          <w:rFonts w:ascii="Times New Roman" w:hAnsi="Times New Roman" w:cs="Times New Roman"/>
          <w:sz w:val="22"/>
          <w:lang w:val="ro-RO"/>
        </w:rPr>
        <w:t xml:space="preserve"> </w:t>
      </w:r>
      <w:r w:rsidR="008440FD" w:rsidRPr="009C5F11">
        <w:rPr>
          <w:rFonts w:ascii="Times New Roman" w:hAnsi="Times New Roman" w:cs="Times New Roman"/>
          <w:sz w:val="22"/>
          <w:lang w:val="ro-RO"/>
        </w:rPr>
        <w:t>–</w:t>
      </w:r>
      <w:r w:rsidR="00E94837" w:rsidRPr="009C5F11">
        <w:rPr>
          <w:rFonts w:ascii="Times New Roman" w:hAnsi="Times New Roman" w:cs="Times New Roman"/>
          <w:sz w:val="22"/>
          <w:lang w:val="ro-RO"/>
        </w:rPr>
        <w:t xml:space="preserve"> </w:t>
      </w:r>
      <w:r w:rsidR="008440FD" w:rsidRPr="009C5F11">
        <w:rPr>
          <w:rFonts w:ascii="Times New Roman" w:hAnsi="Times New Roman" w:cs="Times New Roman"/>
          <w:sz w:val="22"/>
          <w:lang w:val="ro-RO"/>
        </w:rPr>
        <w:t xml:space="preserve">Prezentare sinoptică a </w:t>
      </w:r>
      <w:r w:rsidRPr="009C5F11">
        <w:rPr>
          <w:rFonts w:ascii="Times New Roman" w:hAnsi="Times New Roman" w:cs="Times New Roman"/>
          <w:sz w:val="22"/>
          <w:lang w:val="ro-RO"/>
        </w:rPr>
        <w:t>Fondul</w:t>
      </w:r>
      <w:r w:rsidR="008440FD" w:rsidRPr="009C5F11">
        <w:rPr>
          <w:rFonts w:ascii="Times New Roman" w:hAnsi="Times New Roman" w:cs="Times New Roman"/>
          <w:sz w:val="22"/>
          <w:lang w:val="ro-RO"/>
        </w:rPr>
        <w:t>ui</w:t>
      </w:r>
      <w:r w:rsidRPr="009C5F11">
        <w:rPr>
          <w:rFonts w:ascii="Times New Roman" w:hAnsi="Times New Roman" w:cs="Times New Roman"/>
          <w:sz w:val="22"/>
          <w:lang w:val="ro-RO"/>
        </w:rPr>
        <w:t xml:space="preserve"> pentru Eficienţă Energetică</w:t>
      </w:r>
      <w:r w:rsidR="008440FD" w:rsidRPr="009C5F11">
        <w:rPr>
          <w:rFonts w:ascii="Times New Roman" w:hAnsi="Times New Roman" w:cs="Times New Roman"/>
          <w:sz w:val="22"/>
          <w:lang w:val="ro-RO"/>
        </w:rPr>
        <w:t>.</w:t>
      </w:r>
      <w:bookmarkEnd w:id="408"/>
    </w:p>
    <w:tbl>
      <w:tblPr>
        <w:tblW w:w="5000" w:type="pct"/>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1295"/>
        <w:gridCol w:w="1105"/>
        <w:gridCol w:w="880"/>
        <w:gridCol w:w="226"/>
        <w:gridCol w:w="1311"/>
        <w:gridCol w:w="606"/>
        <w:gridCol w:w="499"/>
        <w:gridCol w:w="1105"/>
        <w:gridCol w:w="290"/>
        <w:gridCol w:w="815"/>
        <w:gridCol w:w="1111"/>
      </w:tblGrid>
      <w:tr w:rsidR="00B51702" w:rsidRPr="009C5F11" w14:paraId="5209BC5B" w14:textId="77777777" w:rsidTr="00D85D29">
        <w:tc>
          <w:tcPr>
            <w:tcW w:w="700" w:type="pct"/>
            <w:tcBorders>
              <w:right w:val="single" w:sz="4" w:space="0" w:color="4F81BD"/>
            </w:tcBorders>
            <w:shd w:val="clear" w:color="auto" w:fill="000080"/>
          </w:tcPr>
          <w:p w14:paraId="1C10C4C2" w14:textId="77777777" w:rsidR="00652242" w:rsidRPr="009C5F11" w:rsidRDefault="00652242" w:rsidP="005D1AD1">
            <w:pPr>
              <w:rPr>
                <w:rFonts w:ascii="Times New Roman" w:hAnsi="Times New Roman" w:cs="Times New Roman"/>
                <w:b/>
                <w:color w:val="FFFFFF" w:themeColor="background1"/>
                <w:sz w:val="18"/>
                <w:szCs w:val="14"/>
                <w:lang w:val="ro-RO"/>
              </w:rPr>
            </w:pPr>
            <w:r w:rsidRPr="009C5F11">
              <w:rPr>
                <w:rFonts w:ascii="Times New Roman" w:hAnsi="Times New Roman" w:cs="Times New Roman"/>
                <w:b/>
                <w:color w:val="FFFFFF" w:themeColor="background1"/>
                <w:sz w:val="18"/>
                <w:szCs w:val="14"/>
                <w:lang w:val="ro-RO"/>
              </w:rPr>
              <w:t>Cadrul juridic</w:t>
            </w:r>
          </w:p>
        </w:tc>
        <w:tc>
          <w:tcPr>
            <w:tcW w:w="4300" w:type="pct"/>
            <w:gridSpan w:val="10"/>
            <w:tcBorders>
              <w:left w:val="single" w:sz="4" w:space="0" w:color="4F81BD"/>
            </w:tcBorders>
            <w:shd w:val="clear" w:color="auto" w:fill="000080"/>
          </w:tcPr>
          <w:p w14:paraId="4A58F708" w14:textId="77777777" w:rsidR="00652242" w:rsidRPr="009C5F11" w:rsidRDefault="00652242" w:rsidP="005D1AD1">
            <w:pPr>
              <w:rPr>
                <w:rFonts w:ascii="Times New Roman" w:hAnsi="Times New Roman" w:cs="Times New Roman"/>
                <w:b/>
                <w:color w:val="FFFFFF" w:themeColor="background1"/>
                <w:sz w:val="18"/>
                <w:szCs w:val="14"/>
                <w:lang w:val="ro-RO"/>
              </w:rPr>
            </w:pPr>
            <w:r w:rsidRPr="009C5F11">
              <w:rPr>
                <w:rFonts w:ascii="Times New Roman" w:hAnsi="Times New Roman" w:cs="Times New Roman"/>
                <w:b/>
                <w:color w:val="FFFFFF" w:themeColor="background1"/>
                <w:sz w:val="18"/>
                <w:szCs w:val="14"/>
                <w:lang w:val="ro-RO"/>
              </w:rPr>
              <w:t>Persoană juridică independentă şi autonomă din punct de vedere financiar</w:t>
            </w:r>
          </w:p>
        </w:tc>
      </w:tr>
      <w:tr w:rsidR="00B51702" w:rsidRPr="009C5F11" w14:paraId="3588BB83" w14:textId="77777777" w:rsidTr="00D85D29">
        <w:tc>
          <w:tcPr>
            <w:tcW w:w="700" w:type="pct"/>
            <w:tcBorders>
              <w:right w:val="single" w:sz="4" w:space="0" w:color="4F81BD"/>
            </w:tcBorders>
            <w:shd w:val="clear" w:color="auto" w:fill="auto"/>
          </w:tcPr>
          <w:p w14:paraId="5A8BCFB7" w14:textId="77777777" w:rsidR="00652242" w:rsidRPr="009C5F11" w:rsidRDefault="00652242" w:rsidP="00652242">
            <w:pPr>
              <w:rPr>
                <w:rFonts w:ascii="Times New Roman" w:hAnsi="Times New Roman" w:cs="Times New Roman"/>
                <w:sz w:val="18"/>
                <w:szCs w:val="14"/>
                <w:lang w:val="ro-RO"/>
              </w:rPr>
            </w:pPr>
            <w:r w:rsidRPr="009C5F11">
              <w:rPr>
                <w:rFonts w:ascii="Times New Roman" w:hAnsi="Times New Roman" w:cs="Times New Roman"/>
                <w:sz w:val="18"/>
                <w:szCs w:val="14"/>
                <w:lang w:val="ro-RO"/>
              </w:rPr>
              <w:lastRenderedPageBreak/>
              <w:t>Coordonare</w:t>
            </w:r>
          </w:p>
        </w:tc>
        <w:tc>
          <w:tcPr>
            <w:tcW w:w="4300" w:type="pct"/>
            <w:gridSpan w:val="10"/>
            <w:tcBorders>
              <w:left w:val="single" w:sz="4" w:space="0" w:color="4F81BD"/>
            </w:tcBorders>
            <w:shd w:val="clear" w:color="auto" w:fill="auto"/>
          </w:tcPr>
          <w:p w14:paraId="40AC8575"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Funcționează sub coordonarea Ministerului Economiei.</w:t>
            </w:r>
          </w:p>
        </w:tc>
      </w:tr>
      <w:tr w:rsidR="00B51702" w:rsidRPr="009C5F11" w14:paraId="06FBA26D" w14:textId="77777777" w:rsidTr="00D85D29">
        <w:tc>
          <w:tcPr>
            <w:tcW w:w="700" w:type="pct"/>
            <w:tcBorders>
              <w:right w:val="single" w:sz="4" w:space="0" w:color="4F81BD"/>
            </w:tcBorders>
            <w:shd w:val="clear" w:color="auto" w:fill="auto"/>
          </w:tcPr>
          <w:p w14:paraId="598E5A8B"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Cooperare</w:t>
            </w:r>
          </w:p>
        </w:tc>
        <w:tc>
          <w:tcPr>
            <w:tcW w:w="4300" w:type="pct"/>
            <w:gridSpan w:val="10"/>
            <w:tcBorders>
              <w:left w:val="single" w:sz="4" w:space="0" w:color="4F81BD"/>
            </w:tcBorders>
            <w:shd w:val="clear" w:color="auto" w:fill="auto"/>
          </w:tcPr>
          <w:p w14:paraId="45346B0D"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Ministerul Economiei, Ministerul Dezvoltării Regionale şi Construcţiilor, Ministerul Mediului, APL (toate nivelurile), instituţii de învăţământ şi instituţii medico-sanitare. </w:t>
            </w:r>
          </w:p>
        </w:tc>
      </w:tr>
      <w:tr w:rsidR="00B51702" w:rsidRPr="009C5F11" w14:paraId="2C71DCC0" w14:textId="77777777" w:rsidTr="00D85D29">
        <w:tc>
          <w:tcPr>
            <w:tcW w:w="700" w:type="pct"/>
            <w:tcBorders>
              <w:right w:val="single" w:sz="4" w:space="0" w:color="4F81BD"/>
            </w:tcBorders>
            <w:shd w:val="clear" w:color="auto" w:fill="auto"/>
          </w:tcPr>
          <w:p w14:paraId="7E92D4C2"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Obiective</w:t>
            </w:r>
          </w:p>
        </w:tc>
        <w:tc>
          <w:tcPr>
            <w:tcW w:w="4300" w:type="pct"/>
            <w:gridSpan w:val="10"/>
            <w:tcBorders>
              <w:left w:val="single" w:sz="4" w:space="0" w:color="4F81BD"/>
            </w:tcBorders>
            <w:shd w:val="clear" w:color="auto" w:fill="auto"/>
          </w:tcPr>
          <w:p w14:paraId="61F91A46"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Atragerea şi gestionarea resurselor financiare pentru îmbunătăţirea eficienţei energetice, utilizarea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reducerea GES.</w:t>
            </w:r>
          </w:p>
        </w:tc>
      </w:tr>
      <w:tr w:rsidR="00B51702" w:rsidRPr="009C5F11" w14:paraId="2FAF1EF8" w14:textId="77777777" w:rsidTr="00D85D29">
        <w:tc>
          <w:tcPr>
            <w:tcW w:w="700" w:type="pct"/>
            <w:tcBorders>
              <w:right w:val="single" w:sz="4" w:space="0" w:color="4F81BD"/>
            </w:tcBorders>
            <w:shd w:val="clear" w:color="auto" w:fill="auto"/>
          </w:tcPr>
          <w:p w14:paraId="272E8C1E"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Orientare</w:t>
            </w:r>
          </w:p>
        </w:tc>
        <w:tc>
          <w:tcPr>
            <w:tcW w:w="4300" w:type="pct"/>
            <w:gridSpan w:val="10"/>
            <w:tcBorders>
              <w:left w:val="single" w:sz="4" w:space="0" w:color="4F81BD"/>
            </w:tcBorders>
            <w:shd w:val="clear" w:color="auto" w:fill="auto"/>
          </w:tcPr>
          <w:p w14:paraId="3FC2109F"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Susţinerea proiectelor în conformitate cu strategiile şi programele elaborate de Guvern.</w:t>
            </w:r>
          </w:p>
          <w:p w14:paraId="130486AC" w14:textId="77777777" w:rsidR="00652242" w:rsidRPr="009C5F11" w:rsidRDefault="00652242" w:rsidP="00B40DB5">
            <w:pPr>
              <w:spacing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Sectorul public (în coordonare cu APC, APL), sectorul rezidenţial, sectorul privat (industrie, servicii, agricultură, transporturi etc.).</w:t>
            </w:r>
          </w:p>
        </w:tc>
      </w:tr>
      <w:tr w:rsidR="00B51702" w:rsidRPr="009C5F11" w14:paraId="1BCA1F1A" w14:textId="77777777" w:rsidTr="00D85D29">
        <w:tc>
          <w:tcPr>
            <w:tcW w:w="700" w:type="pct"/>
            <w:tcBorders>
              <w:right w:val="single" w:sz="4" w:space="0" w:color="4F81BD"/>
            </w:tcBorders>
            <w:shd w:val="clear" w:color="auto" w:fill="auto"/>
          </w:tcPr>
          <w:p w14:paraId="6C43E98E" w14:textId="77777777" w:rsidR="00652242" w:rsidRPr="009C5F11" w:rsidRDefault="00652242" w:rsidP="00B40DB5">
            <w:pPr>
              <w:spacing w:after="0"/>
              <w:rPr>
                <w:rFonts w:ascii="Times New Roman" w:hAnsi="Times New Roman" w:cs="Times New Roman"/>
                <w:sz w:val="18"/>
                <w:szCs w:val="14"/>
                <w:lang w:val="ro-RO"/>
              </w:rPr>
            </w:pPr>
            <w:r w:rsidRPr="009C5F11">
              <w:rPr>
                <w:rFonts w:ascii="Times New Roman" w:hAnsi="Times New Roman" w:cs="Times New Roman"/>
                <w:sz w:val="18"/>
                <w:szCs w:val="14"/>
                <w:lang w:val="ro-RO"/>
              </w:rPr>
              <w:t>Măsuri</w:t>
            </w:r>
          </w:p>
        </w:tc>
        <w:tc>
          <w:tcPr>
            <w:tcW w:w="4300" w:type="pct"/>
            <w:gridSpan w:val="10"/>
            <w:tcBorders>
              <w:left w:val="single" w:sz="4" w:space="0" w:color="4F81BD"/>
            </w:tcBorders>
            <w:shd w:val="clear" w:color="auto" w:fill="auto"/>
          </w:tcPr>
          <w:p w14:paraId="0463E826"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 xml:space="preserve">promovează proiecte investiţionale în domeniul EE şi </w:t>
            </w:r>
            <w:r w:rsidR="00610318" w:rsidRPr="009C5F11">
              <w:rPr>
                <w:rFonts w:ascii="Times New Roman" w:hAnsi="Times New Roman" w:cs="Times New Roman"/>
                <w:color w:val="000000"/>
                <w:sz w:val="18"/>
                <w:szCs w:val="14"/>
                <w:lang w:val="ro-RO"/>
              </w:rPr>
              <w:t>ESR</w:t>
            </w:r>
            <w:r w:rsidRPr="009C5F11">
              <w:rPr>
                <w:rFonts w:ascii="Times New Roman" w:hAnsi="Times New Roman" w:cs="Times New Roman"/>
                <w:color w:val="000000"/>
                <w:sz w:val="18"/>
                <w:szCs w:val="14"/>
                <w:lang w:val="ro-RO"/>
              </w:rPr>
              <w:t>;</w:t>
            </w:r>
          </w:p>
          <w:p w14:paraId="07CD9B27"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 xml:space="preserve">acordă asistenţă tehnică pentru dezvoltarea proiectelor în domeniul EE şi </w:t>
            </w:r>
            <w:r w:rsidR="00610318" w:rsidRPr="009C5F11">
              <w:rPr>
                <w:rFonts w:ascii="Times New Roman" w:hAnsi="Times New Roman" w:cs="Times New Roman"/>
                <w:color w:val="000000"/>
                <w:sz w:val="18"/>
                <w:szCs w:val="14"/>
                <w:lang w:val="ro-RO"/>
              </w:rPr>
              <w:t>ESR</w:t>
            </w:r>
            <w:r w:rsidRPr="009C5F11">
              <w:rPr>
                <w:rFonts w:ascii="Times New Roman" w:hAnsi="Times New Roman" w:cs="Times New Roman"/>
                <w:color w:val="000000"/>
                <w:sz w:val="18"/>
                <w:szCs w:val="14"/>
                <w:lang w:val="ro-RO"/>
              </w:rPr>
              <w:t>;</w:t>
            </w:r>
          </w:p>
          <w:p w14:paraId="75C5D41F"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acordă asistenţă financiară proiectelor;</w:t>
            </w:r>
          </w:p>
          <w:p w14:paraId="4167A8DD"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oferă contribuţii financiare directe;</w:t>
            </w:r>
          </w:p>
          <w:p w14:paraId="40C60D03"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activează în calitate de agent sau mediator pentru alte surse de finanţare;</w:t>
            </w:r>
          </w:p>
          <w:p w14:paraId="08EE070E"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oferă garanţii totale sau parţiale în cazul finanţării de către bănci;</w:t>
            </w:r>
          </w:p>
          <w:p w14:paraId="2E916B32" w14:textId="77777777" w:rsidR="00652242" w:rsidRPr="009C5F11" w:rsidRDefault="00652242" w:rsidP="00B40DB5">
            <w:pPr>
              <w:spacing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oferă asistenţă la identificarea celor mai bune soluţii pentru finanţarea proiectelor.</w:t>
            </w:r>
          </w:p>
        </w:tc>
      </w:tr>
      <w:tr w:rsidR="00B51702" w:rsidRPr="009C5F11" w14:paraId="29778505" w14:textId="77777777" w:rsidTr="00D85D29">
        <w:tc>
          <w:tcPr>
            <w:tcW w:w="700" w:type="pct"/>
            <w:tcBorders>
              <w:right w:val="single" w:sz="4" w:space="0" w:color="4F81BD"/>
            </w:tcBorders>
            <w:shd w:val="clear" w:color="auto" w:fill="auto"/>
          </w:tcPr>
          <w:p w14:paraId="3417FC4B" w14:textId="77777777" w:rsidR="00652242" w:rsidRPr="009C5F11" w:rsidRDefault="00652242" w:rsidP="00B40DB5">
            <w:pPr>
              <w:spacing w:after="0"/>
              <w:rPr>
                <w:rFonts w:ascii="Times New Roman" w:hAnsi="Times New Roman" w:cs="Times New Roman"/>
                <w:sz w:val="18"/>
                <w:szCs w:val="14"/>
                <w:lang w:val="ro-RO"/>
              </w:rPr>
            </w:pPr>
            <w:r w:rsidRPr="009C5F11">
              <w:rPr>
                <w:rFonts w:ascii="Times New Roman" w:hAnsi="Times New Roman" w:cs="Times New Roman"/>
                <w:sz w:val="18"/>
                <w:szCs w:val="14"/>
                <w:lang w:val="ro-RO"/>
              </w:rPr>
              <w:t>Instrumente</w:t>
            </w:r>
          </w:p>
        </w:tc>
        <w:tc>
          <w:tcPr>
            <w:tcW w:w="4300" w:type="pct"/>
            <w:gridSpan w:val="10"/>
            <w:tcBorders>
              <w:left w:val="single" w:sz="4" w:space="0" w:color="4F81BD"/>
            </w:tcBorders>
            <w:shd w:val="clear" w:color="auto" w:fill="auto"/>
          </w:tcPr>
          <w:p w14:paraId="1736868A"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APP (Apeluri pentru propuneri de proiecte) după destinaţie:</w:t>
            </w:r>
          </w:p>
          <w:p w14:paraId="21D425F0"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APP1 &amp; 3: reprezentanți autorizaţi ai entităţilor de menire socială din proprietatea APC şi APL;</w:t>
            </w:r>
          </w:p>
          <w:p w14:paraId="62C03ECE"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APP1: reprezentanţi autorizaţi ai obiectivelor de menire socială aflate în proprietatea publică centrală şi locală de toate nivelele</w:t>
            </w:r>
          </w:p>
          <w:p w14:paraId="04363DC8"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APP 2 &amp; 4 &amp; 6: sectorul privat;</w:t>
            </w:r>
          </w:p>
          <w:p w14:paraId="2FECC613" w14:textId="77777777" w:rsidR="00652242" w:rsidRPr="009C5F11" w:rsidRDefault="00652242" w:rsidP="00B40DB5">
            <w:pPr>
              <w:spacing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APP 5: iluminatul public.</w:t>
            </w:r>
          </w:p>
        </w:tc>
      </w:tr>
      <w:tr w:rsidR="00B51702" w:rsidRPr="009C5F11" w14:paraId="0057D603" w14:textId="77777777" w:rsidTr="00D85D29">
        <w:tc>
          <w:tcPr>
            <w:tcW w:w="700" w:type="pct"/>
            <w:tcBorders>
              <w:right w:val="single" w:sz="4" w:space="0" w:color="4F81BD"/>
            </w:tcBorders>
            <w:shd w:val="clear" w:color="auto" w:fill="auto"/>
          </w:tcPr>
          <w:p w14:paraId="6936DA8B"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Criterii de eligibilitate a proiectelor </w:t>
            </w:r>
          </w:p>
        </w:tc>
        <w:tc>
          <w:tcPr>
            <w:tcW w:w="4300" w:type="pct"/>
            <w:gridSpan w:val="10"/>
            <w:tcBorders>
              <w:left w:val="single" w:sz="4" w:space="0" w:color="4F81BD"/>
            </w:tcBorders>
            <w:shd w:val="clear" w:color="auto" w:fill="auto"/>
          </w:tcPr>
          <w:p w14:paraId="786AFC81"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Realizarea eficienţei maxime la un cost minim;</w:t>
            </w:r>
          </w:p>
          <w:p w14:paraId="3B65E44A"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Cel puţin o treime din beneficiile proiectului provin din economiile măsurabile de energie. Alte beneficii ale proiectului pot proveni din indicatori economici, tehnici etc.;</w:t>
            </w:r>
          </w:p>
          <w:p w14:paraId="4EF3B570"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Proiectul implică tehnologii pentru consumul eficient de energie;</w:t>
            </w:r>
          </w:p>
          <w:p w14:paraId="76845942"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Suma solicitată de la FEE pentru finanţarea proiectului este coerentă cu limitele de finanţare a proiectului, 50000 -3000000 lei (2500 – 240 000 dolari SUA);</w:t>
            </w:r>
          </w:p>
          <w:p w14:paraId="4E61356F"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Contribuţia Beneficiarului la investiţia totală va constitui cel puţin 20%;</w:t>
            </w:r>
          </w:p>
          <w:p w14:paraId="024BB1EE"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Proiectele de eficienţă energetică au un termen de recuperare maximă a investiţiei de 7 ani;</w:t>
            </w:r>
          </w:p>
          <w:p w14:paraId="2CF59954" w14:textId="77777777" w:rsidR="00652242" w:rsidRPr="009C5F11" w:rsidRDefault="00652242" w:rsidP="00B40DB5">
            <w:pPr>
              <w:spacing w:after="0" w:line="240" w:lineRule="auto"/>
              <w:rPr>
                <w:rFonts w:ascii="Times New Roman" w:hAnsi="Times New Roman" w:cs="Times New Roman"/>
                <w:color w:val="000000"/>
                <w:sz w:val="18"/>
                <w:szCs w:val="14"/>
                <w:lang w:val="ro-RO"/>
              </w:rPr>
            </w:pPr>
            <w:r w:rsidRPr="009C5F11">
              <w:rPr>
                <w:rFonts w:ascii="Times New Roman" w:hAnsi="Times New Roman" w:cs="Times New Roman"/>
                <w:color w:val="000000"/>
                <w:sz w:val="18"/>
                <w:szCs w:val="14"/>
                <w:lang w:val="ro-RO"/>
              </w:rPr>
              <w:t xml:space="preserve">Proiecte în domeniul </w:t>
            </w:r>
            <w:r w:rsidR="00610318" w:rsidRPr="009C5F11">
              <w:rPr>
                <w:rFonts w:ascii="Times New Roman" w:hAnsi="Times New Roman" w:cs="Times New Roman"/>
                <w:color w:val="000000"/>
                <w:sz w:val="18"/>
                <w:szCs w:val="14"/>
                <w:lang w:val="ro-RO"/>
              </w:rPr>
              <w:t>ESR</w:t>
            </w:r>
            <w:r w:rsidRPr="009C5F11">
              <w:rPr>
                <w:rFonts w:ascii="Times New Roman" w:hAnsi="Times New Roman" w:cs="Times New Roman"/>
                <w:color w:val="000000"/>
                <w:sz w:val="18"/>
                <w:szCs w:val="14"/>
                <w:lang w:val="ro-RO"/>
              </w:rPr>
              <w:t xml:space="preserve"> au un termen de recuperare maximă a investiţiei de 15 ani;</w:t>
            </w:r>
          </w:p>
          <w:p w14:paraId="65080940" w14:textId="77777777" w:rsidR="00652242" w:rsidRPr="009C5F11" w:rsidRDefault="00652242" w:rsidP="00B40DB5">
            <w:pPr>
              <w:spacing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Beneficiarii proiectului nu au datorii faţă de bugetul public naţional şi sunt solvabili.</w:t>
            </w:r>
          </w:p>
        </w:tc>
      </w:tr>
      <w:tr w:rsidR="00B51702" w:rsidRPr="009C5F11" w14:paraId="6B9F4616" w14:textId="77777777" w:rsidTr="00D85D29">
        <w:trPr>
          <w:trHeight w:val="128"/>
        </w:trPr>
        <w:tc>
          <w:tcPr>
            <w:tcW w:w="700" w:type="pct"/>
            <w:vMerge w:val="restart"/>
            <w:tcBorders>
              <w:right w:val="single" w:sz="4" w:space="0" w:color="4F81BD"/>
            </w:tcBorders>
            <w:shd w:val="clear" w:color="auto" w:fill="auto"/>
          </w:tcPr>
          <w:p w14:paraId="44B9EAEF"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Natura economiilor </w:t>
            </w:r>
          </w:p>
        </w:tc>
        <w:tc>
          <w:tcPr>
            <w:tcW w:w="598" w:type="pct"/>
            <w:tcBorders>
              <w:left w:val="single" w:sz="4" w:space="0" w:color="4F81BD"/>
            </w:tcBorders>
            <w:shd w:val="clear" w:color="auto" w:fill="auto"/>
          </w:tcPr>
          <w:p w14:paraId="2B76B55C"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APP 1 &amp; 3</w:t>
            </w:r>
          </w:p>
          <w:p w14:paraId="041846D1"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(sectorul public)</w:t>
            </w:r>
          </w:p>
        </w:tc>
        <w:tc>
          <w:tcPr>
            <w:tcW w:w="3701" w:type="pct"/>
            <w:gridSpan w:val="9"/>
            <w:shd w:val="clear" w:color="auto" w:fill="auto"/>
          </w:tcPr>
          <w:p w14:paraId="326182D7" w14:textId="77777777" w:rsidR="00652242" w:rsidRPr="009C5F11" w:rsidRDefault="00652242" w:rsidP="00334F3B">
            <w:pPr>
              <w:pStyle w:val="Listparagraf"/>
              <w:numPr>
                <w:ilvl w:val="0"/>
                <w:numId w:val="189"/>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Izolarea termică a pereţilor exteriori;</w:t>
            </w:r>
          </w:p>
          <w:p w14:paraId="61E52D72" w14:textId="77777777" w:rsidR="00652242" w:rsidRPr="009C5F11" w:rsidRDefault="00652242" w:rsidP="00334F3B">
            <w:pPr>
              <w:pStyle w:val="Listparagraf"/>
              <w:numPr>
                <w:ilvl w:val="0"/>
                <w:numId w:val="189"/>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Înlocuirea ferestrelor şi uşilor exterioare ineficiente; </w:t>
            </w:r>
          </w:p>
          <w:p w14:paraId="300D6939" w14:textId="77777777" w:rsidR="00652242" w:rsidRPr="009C5F11" w:rsidRDefault="00652242" w:rsidP="00334F3B">
            <w:pPr>
              <w:pStyle w:val="Listparagraf"/>
              <w:numPr>
                <w:ilvl w:val="0"/>
                <w:numId w:val="189"/>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Izolarea termică a acoperişului, mansardei sau a plafonului de la ultimul etaj;</w:t>
            </w:r>
          </w:p>
          <w:p w14:paraId="0D8A7E63" w14:textId="77777777" w:rsidR="00652242" w:rsidRPr="009C5F11" w:rsidRDefault="00652242" w:rsidP="00334F3B">
            <w:pPr>
              <w:pStyle w:val="Listparagraf"/>
              <w:numPr>
                <w:ilvl w:val="0"/>
                <w:numId w:val="189"/>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Izolarea termică a duşumelei deasupra subsolului sau a spaţiilor neîncălzite şi izolarea plafonului din subsolul neîncălzit care se află sub spaţiile încălzite;</w:t>
            </w:r>
          </w:p>
          <w:p w14:paraId="151F44CE" w14:textId="77777777" w:rsidR="00652242" w:rsidRPr="009C5F11" w:rsidRDefault="00652242" w:rsidP="00334F3B">
            <w:pPr>
              <w:pStyle w:val="Listparagraf"/>
              <w:numPr>
                <w:ilvl w:val="0"/>
                <w:numId w:val="189"/>
              </w:numPr>
              <w:spacing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Izolarea termică a pereţilor de separare a spaţiilor încălzite de cele neîncălzite. </w:t>
            </w:r>
          </w:p>
        </w:tc>
      </w:tr>
      <w:tr w:rsidR="00B51702" w:rsidRPr="009C5F11" w14:paraId="33EADE1B" w14:textId="77777777" w:rsidTr="00D85D29">
        <w:trPr>
          <w:trHeight w:val="2969"/>
        </w:trPr>
        <w:tc>
          <w:tcPr>
            <w:tcW w:w="700" w:type="pct"/>
            <w:vMerge/>
            <w:tcBorders>
              <w:right w:val="single" w:sz="4" w:space="0" w:color="4F81BD"/>
            </w:tcBorders>
            <w:shd w:val="clear" w:color="auto" w:fill="auto"/>
          </w:tcPr>
          <w:p w14:paraId="58509D1F" w14:textId="77777777" w:rsidR="00652242" w:rsidRPr="009C5F11" w:rsidRDefault="00652242" w:rsidP="00430626">
            <w:pPr>
              <w:jc w:val="center"/>
              <w:rPr>
                <w:rFonts w:ascii="Times New Roman" w:eastAsia="Calibri" w:hAnsi="Times New Roman" w:cs="Times New Roman"/>
                <w:sz w:val="18"/>
                <w:szCs w:val="14"/>
                <w:lang w:val="ro-RO"/>
              </w:rPr>
            </w:pPr>
          </w:p>
        </w:tc>
        <w:tc>
          <w:tcPr>
            <w:tcW w:w="598" w:type="pct"/>
            <w:tcBorders>
              <w:left w:val="single" w:sz="4" w:space="0" w:color="4F81BD"/>
            </w:tcBorders>
            <w:shd w:val="clear" w:color="auto" w:fill="auto"/>
          </w:tcPr>
          <w:p w14:paraId="27A89417"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APP2</w:t>
            </w:r>
          </w:p>
          <w:p w14:paraId="09460A6E" w14:textId="77777777" w:rsidR="00652242" w:rsidRPr="009C5F11" w:rsidRDefault="00652242" w:rsidP="00430626">
            <w:pP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(sectorul privat)</w:t>
            </w:r>
          </w:p>
        </w:tc>
        <w:tc>
          <w:tcPr>
            <w:tcW w:w="3701" w:type="pct"/>
            <w:gridSpan w:val="9"/>
            <w:shd w:val="clear" w:color="auto" w:fill="auto"/>
          </w:tcPr>
          <w:p w14:paraId="5F0AC9CB" w14:textId="77777777" w:rsidR="00652242" w:rsidRPr="009C5F11" w:rsidRDefault="00652242" w:rsidP="00334F3B">
            <w:pPr>
              <w:pStyle w:val="Listparagraf"/>
              <w:numPr>
                <w:ilvl w:val="0"/>
                <w:numId w:val="190"/>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întreprinderi industriale, incluz</w:t>
            </w:r>
            <w:r w:rsidR="00273CDE" w:rsidRPr="009C5F11">
              <w:rPr>
                <w:rFonts w:ascii="Times New Roman" w:hAnsi="Times New Roman" w:cs="Times New Roman"/>
                <w:sz w:val="18"/>
                <w:szCs w:val="14"/>
                <w:lang w:val="ro-RO"/>
              </w:rPr>
              <w:t>â</w:t>
            </w:r>
            <w:r w:rsidRPr="009C5F11">
              <w:rPr>
                <w:rFonts w:ascii="Times New Roman" w:hAnsi="Times New Roman" w:cs="Times New Roman"/>
                <w:sz w:val="18"/>
                <w:szCs w:val="14"/>
                <w:lang w:val="ro-RO"/>
              </w:rPr>
              <w:t>nd: achiziţionare de echipament, dispozitive/utilaj şi instrumente; asistenţă la instalare, instruire pentru exploatare şi întreţinere, suport logistic şi de transport;</w:t>
            </w:r>
          </w:p>
          <w:p w14:paraId="3BEC548D" w14:textId="77777777" w:rsidR="00652242" w:rsidRPr="009C5F11" w:rsidRDefault="00652242" w:rsidP="00334F3B">
            <w:pPr>
              <w:pStyle w:val="Listparagraf"/>
              <w:numPr>
                <w:ilvl w:val="0"/>
                <w:numId w:val="190"/>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reabilitarea clădirilor: modernizarea sistemului local de încălzire, izolarea pereţilor, uşilor, ferestrelor, acoperişurilor, plafoanelor, construcţia/montarea de instalaţii termice solare; implementarea tehnologiilor de recuperare a energiei şi a combustibililor regenerabili folosiţi pentru încălzire, ventilare, producere a apei calde menajere şi a energiei electrice, exploatarea mai eficientă a sistemelor de încălzire şi climatizare a aerului, sistem eficient de iluminat interior şi exterior etc.</w:t>
            </w:r>
          </w:p>
          <w:p w14:paraId="74747CF6" w14:textId="77777777" w:rsidR="00652242" w:rsidRPr="009C5F11" w:rsidRDefault="00652242" w:rsidP="00334F3B">
            <w:pPr>
              <w:pStyle w:val="Listparagraf"/>
              <w:numPr>
                <w:ilvl w:val="0"/>
                <w:numId w:val="190"/>
              </w:numPr>
              <w:spacing w:line="240" w:lineRule="auto"/>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 xml:space="preserve">cazane şi arzătoare noi; sisteme automatizate de control al cazanelor; calorifere/sobe pentru încălzirea apei, modernizarea cazanelor existente, dispozitive pentru recuperarea căldurii cazanelor, construcţia unor centrale termoelectrice noi sau renovarea celor existente; cazane şi robinete pentru aburi sau renovarea celor existente, ţevi şi radiatoare noi; echipament nou de măsurare, robinete termostatice, izolarea reţelelor inginereşti interioare, sisteme mici de cogenerare, sisteme de pompe de căldură, sisteme de încălzire care utilizează energie sau combustibil regenerabil. </w:t>
            </w:r>
          </w:p>
        </w:tc>
      </w:tr>
      <w:tr w:rsidR="00B51702" w:rsidRPr="009C5F11" w14:paraId="40D5DF5B" w14:textId="77777777" w:rsidTr="00D85D29">
        <w:trPr>
          <w:trHeight w:val="2339"/>
        </w:trPr>
        <w:tc>
          <w:tcPr>
            <w:tcW w:w="700" w:type="pct"/>
            <w:vMerge/>
            <w:tcBorders>
              <w:right w:val="single" w:sz="4" w:space="0" w:color="4F81BD"/>
            </w:tcBorders>
            <w:shd w:val="clear" w:color="auto" w:fill="auto"/>
          </w:tcPr>
          <w:p w14:paraId="54578BA6" w14:textId="77777777" w:rsidR="00BC2ED4" w:rsidRPr="009C5F11" w:rsidRDefault="00BC2ED4" w:rsidP="00430626">
            <w:pPr>
              <w:jc w:val="center"/>
              <w:rPr>
                <w:rFonts w:ascii="Times New Roman" w:eastAsia="Calibri" w:hAnsi="Times New Roman" w:cs="Times New Roman"/>
                <w:sz w:val="18"/>
                <w:szCs w:val="14"/>
                <w:lang w:val="ro-RO"/>
              </w:rPr>
            </w:pPr>
          </w:p>
        </w:tc>
        <w:tc>
          <w:tcPr>
            <w:tcW w:w="598" w:type="pct"/>
            <w:tcBorders>
              <w:left w:val="single" w:sz="4" w:space="0" w:color="4F81BD"/>
            </w:tcBorders>
            <w:shd w:val="clear" w:color="auto" w:fill="auto"/>
          </w:tcPr>
          <w:p w14:paraId="3D9530FA" w14:textId="77777777" w:rsidR="00BC2ED4" w:rsidRPr="009C5F11" w:rsidRDefault="00BC2ED4" w:rsidP="00430626">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APP 4</w:t>
            </w:r>
          </w:p>
          <w:p w14:paraId="1F84C036" w14:textId="77777777" w:rsidR="00BC2ED4" w:rsidRPr="009C5F11" w:rsidRDefault="00BC2ED4" w:rsidP="00430626">
            <w:pPr>
              <w:rPr>
                <w:rFonts w:ascii="Times New Roman" w:eastAsia="Calibri" w:hAnsi="Times New Roman" w:cs="Times New Roman"/>
                <w:sz w:val="18"/>
                <w:szCs w:val="14"/>
                <w:lang w:val="ro-RO"/>
              </w:rPr>
            </w:pPr>
            <w:r w:rsidRPr="009C5F11">
              <w:rPr>
                <w:rFonts w:ascii="Times New Roman" w:eastAsia="Calibri" w:hAnsi="Times New Roman" w:cs="Times New Roman"/>
                <w:sz w:val="18"/>
                <w:szCs w:val="14"/>
                <w:lang w:val="ro-RO"/>
              </w:rPr>
              <w:t>(</w:t>
            </w:r>
            <w:r w:rsidR="005D06FD" w:rsidRPr="009C5F11">
              <w:rPr>
                <w:rFonts w:ascii="Times New Roman" w:eastAsia="Calibri" w:hAnsi="Times New Roman" w:cs="Times New Roman"/>
                <w:sz w:val="18"/>
                <w:szCs w:val="14"/>
                <w:lang w:val="ro-RO"/>
              </w:rPr>
              <w:t>Sectorul privat</w:t>
            </w:r>
            <w:r w:rsidRPr="009C5F11">
              <w:rPr>
                <w:rFonts w:ascii="Times New Roman" w:eastAsia="Calibri" w:hAnsi="Times New Roman" w:cs="Times New Roman"/>
                <w:sz w:val="18"/>
                <w:szCs w:val="14"/>
                <w:lang w:val="ro-RO"/>
              </w:rPr>
              <w:t>)</w:t>
            </w:r>
          </w:p>
        </w:tc>
        <w:tc>
          <w:tcPr>
            <w:tcW w:w="3701" w:type="pct"/>
            <w:gridSpan w:val="9"/>
            <w:shd w:val="clear" w:color="auto" w:fill="auto"/>
          </w:tcPr>
          <w:p w14:paraId="42CEA5D8" w14:textId="77777777" w:rsidR="00652242" w:rsidRPr="009C5F11" w:rsidRDefault="00652242" w:rsidP="00334F3B">
            <w:pPr>
              <w:pStyle w:val="Listparagraf"/>
              <w:numPr>
                <w:ilvl w:val="0"/>
                <w:numId w:val="191"/>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Înlocuirea ferestrelor şi uşilor exterioare;</w:t>
            </w:r>
          </w:p>
          <w:p w14:paraId="0CBD1B3A" w14:textId="77777777" w:rsidR="00652242" w:rsidRPr="009C5F11" w:rsidRDefault="00652242" w:rsidP="00334F3B">
            <w:pPr>
              <w:pStyle w:val="Listparagraf"/>
              <w:numPr>
                <w:ilvl w:val="0"/>
                <w:numId w:val="191"/>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Izolarea termică a pereţilor exteriori;</w:t>
            </w:r>
          </w:p>
          <w:p w14:paraId="4DCA25AF" w14:textId="77777777" w:rsidR="00652242" w:rsidRPr="009C5F11" w:rsidRDefault="00652242" w:rsidP="00334F3B">
            <w:pPr>
              <w:pStyle w:val="Listparagraf"/>
              <w:numPr>
                <w:ilvl w:val="0"/>
                <w:numId w:val="191"/>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Izolarea termică şi reabilitarea acoperişului;</w:t>
            </w:r>
          </w:p>
          <w:p w14:paraId="5F148B74" w14:textId="77777777" w:rsidR="00652242" w:rsidRPr="009C5F11" w:rsidRDefault="00652242" w:rsidP="00334F3B">
            <w:pPr>
              <w:pStyle w:val="Listparagraf"/>
              <w:numPr>
                <w:ilvl w:val="0"/>
                <w:numId w:val="191"/>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Izolarea termică a duşumelei;</w:t>
            </w:r>
          </w:p>
          <w:p w14:paraId="3236DC06" w14:textId="77777777" w:rsidR="00652242" w:rsidRPr="009C5F11" w:rsidRDefault="00652242" w:rsidP="00334F3B">
            <w:pPr>
              <w:pStyle w:val="Listparagraf"/>
              <w:numPr>
                <w:ilvl w:val="0"/>
                <w:numId w:val="191"/>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Înlocuirea cazanelor neeficiente;</w:t>
            </w:r>
          </w:p>
          <w:p w14:paraId="7DA3A7D2" w14:textId="77777777" w:rsidR="00652242" w:rsidRPr="009C5F11" w:rsidRDefault="00652242" w:rsidP="00334F3B">
            <w:pPr>
              <w:pStyle w:val="Listparagraf"/>
              <w:numPr>
                <w:ilvl w:val="0"/>
                <w:numId w:val="191"/>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Instalarea cazanelor ce funcționează pe bază de biomasă şi a unor sisteme noi de încălzire (plus apa caldă menajeră);</w:t>
            </w:r>
          </w:p>
          <w:p w14:paraId="0A6A14BC" w14:textId="77777777" w:rsidR="00652242" w:rsidRPr="009C5F11" w:rsidRDefault="00652242" w:rsidP="00334F3B">
            <w:pPr>
              <w:pStyle w:val="Listparagraf"/>
              <w:numPr>
                <w:ilvl w:val="0"/>
                <w:numId w:val="191"/>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Colectoare solare pentru furnizarea apei calde menajere;</w:t>
            </w:r>
          </w:p>
          <w:p w14:paraId="22AA2413" w14:textId="77777777" w:rsidR="00652242" w:rsidRPr="009C5F11" w:rsidRDefault="00652242" w:rsidP="00334F3B">
            <w:pPr>
              <w:pStyle w:val="Listparagraf"/>
              <w:numPr>
                <w:ilvl w:val="0"/>
                <w:numId w:val="191"/>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Sistem noi de ventilare cu recuperarea căldurii; </w:t>
            </w:r>
          </w:p>
          <w:p w14:paraId="7436B415" w14:textId="77777777" w:rsidR="00652242" w:rsidRPr="009C5F11" w:rsidRDefault="00652242" w:rsidP="00334F3B">
            <w:pPr>
              <w:pStyle w:val="Listparagraf"/>
              <w:numPr>
                <w:ilvl w:val="0"/>
                <w:numId w:val="191"/>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Pompe geotermale de căldură şi sisteme de încălzire/răcire; </w:t>
            </w:r>
          </w:p>
          <w:p w14:paraId="71A778E5" w14:textId="77777777" w:rsidR="00BC2ED4" w:rsidRPr="009C5F11" w:rsidRDefault="00652242" w:rsidP="00334F3B">
            <w:pPr>
              <w:pStyle w:val="Listparagraf"/>
              <w:numPr>
                <w:ilvl w:val="0"/>
                <w:numId w:val="191"/>
              </w:numPr>
              <w:spacing w:line="240" w:lineRule="auto"/>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 xml:space="preserve">Înlocuirea sistemelor ineficiente de ventilare / climatizare a aerului cu sisteme noi. </w:t>
            </w:r>
          </w:p>
        </w:tc>
      </w:tr>
      <w:tr w:rsidR="00B51702" w:rsidRPr="009C5F11" w14:paraId="3EE2D127" w14:textId="77777777" w:rsidTr="00D85D29">
        <w:tc>
          <w:tcPr>
            <w:tcW w:w="700" w:type="pct"/>
            <w:tcBorders>
              <w:right w:val="single" w:sz="4" w:space="0" w:color="4F81BD"/>
            </w:tcBorders>
            <w:shd w:val="clear" w:color="auto" w:fill="auto"/>
          </w:tcPr>
          <w:p w14:paraId="67E66AC4"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Surse de finanţare</w:t>
            </w:r>
          </w:p>
        </w:tc>
        <w:tc>
          <w:tcPr>
            <w:tcW w:w="4300" w:type="pct"/>
            <w:gridSpan w:val="10"/>
            <w:tcBorders>
              <w:left w:val="single" w:sz="4" w:space="0" w:color="4F81BD"/>
            </w:tcBorders>
            <w:shd w:val="clear" w:color="auto" w:fill="auto"/>
          </w:tcPr>
          <w:p w14:paraId="0D9AD0B3" w14:textId="77777777" w:rsidR="00652242" w:rsidRPr="009C5F11" w:rsidRDefault="00652242" w:rsidP="00334F3B">
            <w:pPr>
              <w:pStyle w:val="Listparagraf"/>
              <w:numPr>
                <w:ilvl w:val="0"/>
                <w:numId w:val="192"/>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alocaţii de la Bugetul de stat, cel puţin 10% din necesităţile Fondului pentru realizarea obiectivelor stabilite de indicatorii de eficienţă energetică şi utilizarea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ME propune alocarea anuală de mijloace din Bugetul de stat, prin solicitarea depusă la MF pentru includerea sumei solicitate în proiectul de Lege privind Bugetul de stat pentru anul respectiv;</w:t>
            </w:r>
          </w:p>
          <w:p w14:paraId="0745214C" w14:textId="77777777" w:rsidR="00652242" w:rsidRPr="009C5F11" w:rsidRDefault="00652242" w:rsidP="00334F3B">
            <w:pPr>
              <w:pStyle w:val="Listparagraf"/>
              <w:numPr>
                <w:ilvl w:val="0"/>
                <w:numId w:val="192"/>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donaţii de la persoane fizice şi juridice din Moldova şi din străinătate, inclusiv de la instituţii financiare internaţionale şi fonduri;</w:t>
            </w:r>
          </w:p>
          <w:p w14:paraId="021B11EB" w14:textId="77777777" w:rsidR="00652242" w:rsidRPr="009C5F11" w:rsidRDefault="00652242" w:rsidP="00334F3B">
            <w:pPr>
              <w:pStyle w:val="Listparagraf"/>
              <w:numPr>
                <w:ilvl w:val="0"/>
                <w:numId w:val="192"/>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venit financiar provenit din dobânda bancară pentru depozitele bancare sau conturile curente ale Fondului şi dobânda şi comisioanele pentru contractele semnate cu clienţii Fondului; </w:t>
            </w:r>
          </w:p>
          <w:p w14:paraId="638B056A" w14:textId="77777777" w:rsidR="00652242" w:rsidRPr="009C5F11" w:rsidRDefault="00652242" w:rsidP="00334F3B">
            <w:pPr>
              <w:pStyle w:val="Listparagraf"/>
              <w:numPr>
                <w:ilvl w:val="0"/>
                <w:numId w:val="192"/>
              </w:num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împrumuturi şi alte instrumente financiare de la bănci şi investitori angajaţi exclusiv pentru promovarea Fondului.</w:t>
            </w:r>
          </w:p>
          <w:p w14:paraId="675B9151" w14:textId="77777777" w:rsidR="00652242" w:rsidRPr="009C5F11" w:rsidRDefault="00652242" w:rsidP="00652242">
            <w:pPr>
              <w:pStyle w:val="Listparagraf"/>
              <w:spacing w:after="0" w:line="240" w:lineRule="auto"/>
              <w:ind w:left="720"/>
              <w:rPr>
                <w:rFonts w:ascii="Times New Roman" w:hAnsi="Times New Roman" w:cs="Times New Roman"/>
                <w:sz w:val="18"/>
                <w:szCs w:val="14"/>
                <w:lang w:val="ro-RO"/>
              </w:rPr>
            </w:pPr>
          </w:p>
        </w:tc>
      </w:tr>
      <w:tr w:rsidR="00B51702" w:rsidRPr="009C5F11" w14:paraId="77C7DF11" w14:textId="77777777" w:rsidTr="00D85D29">
        <w:trPr>
          <w:trHeight w:val="190"/>
        </w:trPr>
        <w:tc>
          <w:tcPr>
            <w:tcW w:w="700" w:type="pct"/>
            <w:vMerge w:val="restart"/>
            <w:tcBorders>
              <w:right w:val="single" w:sz="4" w:space="0" w:color="4F81BD"/>
            </w:tcBorders>
            <w:shd w:val="clear" w:color="auto" w:fill="auto"/>
          </w:tcPr>
          <w:p w14:paraId="1E7EA142"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Date statistice privind finanţarea</w:t>
            </w:r>
          </w:p>
        </w:tc>
        <w:tc>
          <w:tcPr>
            <w:tcW w:w="598" w:type="pct"/>
            <w:tcBorders>
              <w:left w:val="single" w:sz="4" w:space="0" w:color="4F81BD"/>
            </w:tcBorders>
            <w:shd w:val="clear" w:color="auto" w:fill="auto"/>
          </w:tcPr>
          <w:p w14:paraId="7AFD1D84"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APP1</w:t>
            </w:r>
          </w:p>
          <w:p w14:paraId="5B62482A"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(instrument de finanţare: grant)</w:t>
            </w:r>
          </w:p>
        </w:tc>
        <w:tc>
          <w:tcPr>
            <w:tcW w:w="598" w:type="pct"/>
            <w:gridSpan w:val="2"/>
            <w:shd w:val="clear" w:color="auto" w:fill="auto"/>
          </w:tcPr>
          <w:p w14:paraId="64774CCC"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APP3 (instrument de finanţare: grant)</w:t>
            </w:r>
          </w:p>
        </w:tc>
        <w:tc>
          <w:tcPr>
            <w:tcW w:w="709" w:type="pct"/>
            <w:shd w:val="clear" w:color="auto" w:fill="auto"/>
          </w:tcPr>
          <w:p w14:paraId="4FCA0A45"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APP4 (instrument de finanţare: grant/garanţie financiară)</w:t>
            </w:r>
          </w:p>
        </w:tc>
        <w:tc>
          <w:tcPr>
            <w:tcW w:w="598" w:type="pct"/>
            <w:gridSpan w:val="2"/>
            <w:shd w:val="clear" w:color="auto" w:fill="auto"/>
          </w:tcPr>
          <w:p w14:paraId="14F8E2F1"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APP5 (instrument de finanţare: grant)</w:t>
            </w:r>
          </w:p>
        </w:tc>
        <w:tc>
          <w:tcPr>
            <w:tcW w:w="598" w:type="pct"/>
            <w:shd w:val="clear" w:color="auto" w:fill="auto"/>
          </w:tcPr>
          <w:p w14:paraId="2B270447"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APP6 (instrument de finanţare: garanţie financiară)</w:t>
            </w:r>
          </w:p>
        </w:tc>
        <w:tc>
          <w:tcPr>
            <w:tcW w:w="598" w:type="pct"/>
            <w:gridSpan w:val="2"/>
            <w:shd w:val="clear" w:color="auto" w:fill="auto"/>
          </w:tcPr>
          <w:p w14:paraId="12DBF1A3"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Proiect pilot în sectorul public (instrument de finanţare: grant)</w:t>
            </w:r>
          </w:p>
        </w:tc>
        <w:tc>
          <w:tcPr>
            <w:tcW w:w="600" w:type="pct"/>
            <w:shd w:val="clear" w:color="auto" w:fill="auto"/>
          </w:tcPr>
          <w:p w14:paraId="1AD1A587"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ESCO-Moldova (instrument de finanţare: grant)</w:t>
            </w:r>
          </w:p>
        </w:tc>
      </w:tr>
      <w:tr w:rsidR="00B51702" w:rsidRPr="009C5F11" w14:paraId="5BC36581" w14:textId="77777777" w:rsidTr="00D85D29">
        <w:trPr>
          <w:trHeight w:val="188"/>
        </w:trPr>
        <w:tc>
          <w:tcPr>
            <w:tcW w:w="700" w:type="pct"/>
            <w:vMerge/>
            <w:tcBorders>
              <w:right w:val="single" w:sz="4" w:space="0" w:color="4F81BD"/>
            </w:tcBorders>
            <w:shd w:val="clear" w:color="auto" w:fill="auto"/>
          </w:tcPr>
          <w:p w14:paraId="49C583C4" w14:textId="77777777" w:rsidR="00652242" w:rsidRPr="009C5F11" w:rsidRDefault="00652242" w:rsidP="00430626">
            <w:pPr>
              <w:rPr>
                <w:rFonts w:ascii="Times New Roman" w:eastAsia="Calibri" w:hAnsi="Times New Roman" w:cs="Times New Roman"/>
                <w:sz w:val="18"/>
                <w:szCs w:val="14"/>
                <w:lang w:val="ro-RO"/>
              </w:rPr>
            </w:pPr>
          </w:p>
        </w:tc>
        <w:tc>
          <w:tcPr>
            <w:tcW w:w="598" w:type="pct"/>
            <w:tcBorders>
              <w:left w:val="single" w:sz="4" w:space="0" w:color="4F81BD"/>
            </w:tcBorders>
            <w:shd w:val="clear" w:color="auto" w:fill="auto"/>
          </w:tcPr>
          <w:p w14:paraId="395CC1F5"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150 milioane de lei</w:t>
            </w:r>
          </w:p>
        </w:tc>
        <w:tc>
          <w:tcPr>
            <w:tcW w:w="598" w:type="pct"/>
            <w:gridSpan w:val="2"/>
            <w:shd w:val="clear" w:color="auto" w:fill="auto"/>
          </w:tcPr>
          <w:p w14:paraId="36899FFB"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250 milioane de lei</w:t>
            </w:r>
          </w:p>
        </w:tc>
        <w:tc>
          <w:tcPr>
            <w:tcW w:w="709" w:type="pct"/>
            <w:shd w:val="clear" w:color="auto" w:fill="auto"/>
          </w:tcPr>
          <w:p w14:paraId="58CB4111"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50 milioane de lei</w:t>
            </w:r>
          </w:p>
        </w:tc>
        <w:tc>
          <w:tcPr>
            <w:tcW w:w="598" w:type="pct"/>
            <w:gridSpan w:val="2"/>
            <w:shd w:val="clear" w:color="auto" w:fill="auto"/>
          </w:tcPr>
          <w:p w14:paraId="088BFDB3"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50 milioane de lei</w:t>
            </w:r>
          </w:p>
        </w:tc>
        <w:tc>
          <w:tcPr>
            <w:tcW w:w="598" w:type="pct"/>
            <w:shd w:val="clear" w:color="auto" w:fill="auto"/>
          </w:tcPr>
          <w:p w14:paraId="7D906B4E"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100 milioane de lei</w:t>
            </w:r>
          </w:p>
        </w:tc>
        <w:tc>
          <w:tcPr>
            <w:tcW w:w="598" w:type="pct"/>
            <w:gridSpan w:val="2"/>
            <w:shd w:val="clear" w:color="auto" w:fill="auto"/>
          </w:tcPr>
          <w:p w14:paraId="287180C7"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6.9 milioane de lei</w:t>
            </w:r>
          </w:p>
        </w:tc>
        <w:tc>
          <w:tcPr>
            <w:tcW w:w="600" w:type="pct"/>
            <w:shd w:val="clear" w:color="auto" w:fill="auto"/>
          </w:tcPr>
          <w:p w14:paraId="25662C6F"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20 milioane de lei</w:t>
            </w:r>
          </w:p>
        </w:tc>
      </w:tr>
      <w:tr w:rsidR="00B51702" w:rsidRPr="009C5F11" w14:paraId="4E6D0EF5" w14:textId="77777777" w:rsidTr="00D85D29">
        <w:trPr>
          <w:trHeight w:val="188"/>
        </w:trPr>
        <w:tc>
          <w:tcPr>
            <w:tcW w:w="700" w:type="pct"/>
            <w:vMerge/>
            <w:tcBorders>
              <w:right w:val="single" w:sz="4" w:space="0" w:color="4F81BD"/>
            </w:tcBorders>
            <w:shd w:val="clear" w:color="auto" w:fill="auto"/>
          </w:tcPr>
          <w:p w14:paraId="7219F521" w14:textId="77777777" w:rsidR="00652242" w:rsidRPr="009C5F11" w:rsidRDefault="00652242" w:rsidP="00430626">
            <w:pPr>
              <w:rPr>
                <w:rFonts w:ascii="Times New Roman" w:eastAsia="Calibri" w:hAnsi="Times New Roman" w:cs="Times New Roman"/>
                <w:sz w:val="18"/>
                <w:szCs w:val="14"/>
                <w:lang w:val="ro-RO"/>
              </w:rPr>
            </w:pPr>
          </w:p>
        </w:tc>
        <w:tc>
          <w:tcPr>
            <w:tcW w:w="598" w:type="pct"/>
            <w:tcBorders>
              <w:left w:val="single" w:sz="4" w:space="0" w:color="4F81BD"/>
            </w:tcBorders>
            <w:shd w:val="clear" w:color="auto" w:fill="auto"/>
          </w:tcPr>
          <w:p w14:paraId="68DDE913"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finalizat</w:t>
            </w:r>
          </w:p>
        </w:tc>
        <w:tc>
          <w:tcPr>
            <w:tcW w:w="598" w:type="pct"/>
            <w:gridSpan w:val="2"/>
            <w:shd w:val="clear" w:color="auto" w:fill="auto"/>
          </w:tcPr>
          <w:p w14:paraId="244361EF"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finalizat</w:t>
            </w:r>
          </w:p>
        </w:tc>
        <w:tc>
          <w:tcPr>
            <w:tcW w:w="709" w:type="pct"/>
            <w:shd w:val="clear" w:color="auto" w:fill="auto"/>
          </w:tcPr>
          <w:p w14:paraId="4810D41B"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în derulare</w:t>
            </w:r>
          </w:p>
        </w:tc>
        <w:tc>
          <w:tcPr>
            <w:tcW w:w="598" w:type="pct"/>
            <w:gridSpan w:val="2"/>
            <w:shd w:val="clear" w:color="auto" w:fill="auto"/>
          </w:tcPr>
          <w:p w14:paraId="48A5F82F"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finalizat</w:t>
            </w:r>
          </w:p>
        </w:tc>
        <w:tc>
          <w:tcPr>
            <w:tcW w:w="598" w:type="pct"/>
            <w:shd w:val="clear" w:color="auto" w:fill="auto"/>
          </w:tcPr>
          <w:p w14:paraId="222EFDE4"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finalizat</w:t>
            </w:r>
          </w:p>
        </w:tc>
        <w:tc>
          <w:tcPr>
            <w:tcW w:w="598" w:type="pct"/>
            <w:gridSpan w:val="2"/>
            <w:shd w:val="clear" w:color="auto" w:fill="auto"/>
          </w:tcPr>
          <w:p w14:paraId="7FCECCFF"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finalizat</w:t>
            </w:r>
          </w:p>
        </w:tc>
        <w:tc>
          <w:tcPr>
            <w:tcW w:w="600" w:type="pct"/>
            <w:shd w:val="clear" w:color="auto" w:fill="auto"/>
          </w:tcPr>
          <w:p w14:paraId="3B9B432E" w14:textId="77777777" w:rsidR="00652242" w:rsidRPr="009C5F11" w:rsidRDefault="00652242" w:rsidP="00430626">
            <w:pPr>
              <w:jc w:val="center"/>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în derulare</w:t>
            </w:r>
          </w:p>
        </w:tc>
      </w:tr>
      <w:tr w:rsidR="00B51702" w:rsidRPr="009C5F11" w14:paraId="351BA593" w14:textId="77777777" w:rsidTr="00D85D29">
        <w:trPr>
          <w:trHeight w:val="998"/>
        </w:trPr>
        <w:tc>
          <w:tcPr>
            <w:tcW w:w="700" w:type="pct"/>
            <w:tcBorders>
              <w:right w:val="single" w:sz="4" w:space="0" w:color="4F81BD"/>
            </w:tcBorders>
            <w:shd w:val="clear" w:color="auto" w:fill="auto"/>
          </w:tcPr>
          <w:p w14:paraId="48E39F46"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Anul de începere a finanţării şi principalele politici</w:t>
            </w:r>
          </w:p>
        </w:tc>
        <w:tc>
          <w:tcPr>
            <w:tcW w:w="4300" w:type="pct"/>
            <w:gridSpan w:val="10"/>
            <w:tcBorders>
              <w:left w:val="single" w:sz="4" w:space="0" w:color="4F81BD"/>
            </w:tcBorders>
            <w:shd w:val="clear" w:color="auto" w:fill="auto"/>
          </w:tcPr>
          <w:p w14:paraId="5F622B33"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2013; anterior – absenţa cadrului de reglementare în termeni de audit.</w:t>
            </w:r>
          </w:p>
          <w:p w14:paraId="54203D82"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2014: începutul implementării.</w:t>
            </w:r>
          </w:p>
          <w:p w14:paraId="73E49956"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Sfârşitul anului 2015: finalizată rambursarea pentru 17 proiecte în cadrul APP1.</w:t>
            </w:r>
          </w:p>
          <w:p w14:paraId="23DB74C6"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80% sectorul public, 20% sectorul privat.</w:t>
            </w:r>
          </w:p>
        </w:tc>
      </w:tr>
      <w:tr w:rsidR="00B51702" w:rsidRPr="009C5F11" w14:paraId="6D06E917" w14:textId="77777777" w:rsidTr="00D85D29">
        <w:tc>
          <w:tcPr>
            <w:tcW w:w="700" w:type="pct"/>
            <w:tcBorders>
              <w:right w:val="single" w:sz="4" w:space="0" w:color="4F81BD"/>
            </w:tcBorders>
            <w:shd w:val="clear" w:color="auto" w:fill="auto"/>
          </w:tcPr>
          <w:p w14:paraId="00ABC37C"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Efecte colaterale </w:t>
            </w:r>
          </w:p>
        </w:tc>
        <w:tc>
          <w:tcPr>
            <w:tcW w:w="4300" w:type="pct"/>
            <w:gridSpan w:val="10"/>
            <w:tcBorders>
              <w:left w:val="single" w:sz="4" w:space="0" w:color="4F81BD"/>
            </w:tcBorders>
            <w:shd w:val="clear" w:color="auto" w:fill="auto"/>
          </w:tcPr>
          <w:p w14:paraId="58771FAC"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 xml:space="preserve">Efect demonstrativ al proiectelor implementate cu succes şi de consolidare/sporire a interesului donatorilor străini de a susţine proiecte investiţionale în domeniul EE şi </w:t>
            </w:r>
            <w:r w:rsidR="00610318" w:rsidRPr="009C5F11">
              <w:rPr>
                <w:rFonts w:ascii="Times New Roman" w:hAnsi="Times New Roman" w:cs="Times New Roman"/>
                <w:sz w:val="18"/>
                <w:szCs w:val="14"/>
                <w:lang w:val="ro-RO"/>
              </w:rPr>
              <w:t>ESR</w:t>
            </w:r>
            <w:r w:rsidRPr="009C5F11">
              <w:rPr>
                <w:rFonts w:ascii="Times New Roman" w:hAnsi="Times New Roman" w:cs="Times New Roman"/>
                <w:sz w:val="18"/>
                <w:szCs w:val="14"/>
                <w:lang w:val="ro-RO"/>
              </w:rPr>
              <w:t xml:space="preserve"> în Moldova.</w:t>
            </w:r>
          </w:p>
        </w:tc>
      </w:tr>
      <w:tr w:rsidR="00B51702" w:rsidRPr="009C5F11" w14:paraId="005AED1C" w14:textId="77777777" w:rsidTr="00D85D29">
        <w:tc>
          <w:tcPr>
            <w:tcW w:w="700" w:type="pct"/>
            <w:tcBorders>
              <w:right w:val="single" w:sz="4" w:space="0" w:color="4F81BD"/>
            </w:tcBorders>
            <w:shd w:val="clear" w:color="auto" w:fill="auto"/>
          </w:tcPr>
          <w:p w14:paraId="3D291A55"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Sinergie</w:t>
            </w:r>
          </w:p>
        </w:tc>
        <w:tc>
          <w:tcPr>
            <w:tcW w:w="4300" w:type="pct"/>
            <w:gridSpan w:val="10"/>
            <w:tcBorders>
              <w:left w:val="single" w:sz="4" w:space="0" w:color="4F81BD"/>
            </w:tcBorders>
            <w:shd w:val="clear" w:color="auto" w:fill="auto"/>
          </w:tcPr>
          <w:p w14:paraId="6CE3F5D5"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FEE va fi partenerul financiar cheie pentru implementarea Proiectului ESCO Moldova, oferindu-i granturi şi garanţii de împrumut.</w:t>
            </w:r>
          </w:p>
        </w:tc>
      </w:tr>
      <w:tr w:rsidR="00B51702" w:rsidRPr="009C5F11" w14:paraId="4F3A5619" w14:textId="77777777" w:rsidTr="00D85D29">
        <w:trPr>
          <w:trHeight w:val="107"/>
        </w:trPr>
        <w:tc>
          <w:tcPr>
            <w:tcW w:w="700" w:type="pct"/>
            <w:tcBorders>
              <w:right w:val="single" w:sz="4" w:space="0" w:color="4F81BD"/>
            </w:tcBorders>
            <w:shd w:val="clear" w:color="auto" w:fill="auto"/>
          </w:tcPr>
          <w:p w14:paraId="3B47010C"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Beneficiari</w:t>
            </w:r>
          </w:p>
        </w:tc>
        <w:tc>
          <w:tcPr>
            <w:tcW w:w="4300" w:type="pct"/>
            <w:gridSpan w:val="10"/>
            <w:tcBorders>
              <w:left w:val="single" w:sz="4" w:space="0" w:color="4F81BD"/>
            </w:tcBorders>
            <w:shd w:val="clear" w:color="auto" w:fill="auto"/>
          </w:tcPr>
          <w:p w14:paraId="2DFFF3D7" w14:textId="77777777" w:rsidR="00652242" w:rsidRPr="009C5F11" w:rsidRDefault="00652242" w:rsidP="00B40DB5">
            <w:pPr>
              <w:spacing w:after="0" w:line="240" w:lineRule="auto"/>
              <w:rPr>
                <w:rFonts w:ascii="Times New Roman" w:hAnsi="Times New Roman" w:cs="Times New Roman"/>
                <w:sz w:val="18"/>
                <w:szCs w:val="14"/>
                <w:lang w:val="ro-RO"/>
              </w:rPr>
            </w:pPr>
            <w:r w:rsidRPr="009C5F11">
              <w:rPr>
                <w:rFonts w:ascii="Times New Roman" w:hAnsi="Times New Roman" w:cs="Times New Roman"/>
                <w:sz w:val="18"/>
                <w:szCs w:val="14"/>
                <w:lang w:val="ro-RO"/>
              </w:rPr>
              <w:t>APP 1 &amp; 3: 142 şcoli &amp; grădiniţe de copii, 29 instituţii medico-sanitare, 21 universităţi şi clădiri culturale.</w:t>
            </w:r>
          </w:p>
        </w:tc>
      </w:tr>
      <w:tr w:rsidR="00B51702" w:rsidRPr="009C5F11" w14:paraId="19B118DA" w14:textId="77777777" w:rsidTr="00D85D29">
        <w:trPr>
          <w:trHeight w:val="143"/>
        </w:trPr>
        <w:tc>
          <w:tcPr>
            <w:tcW w:w="700" w:type="pct"/>
            <w:vMerge w:val="restart"/>
            <w:tcBorders>
              <w:right w:val="single" w:sz="4" w:space="0" w:color="4F81BD"/>
            </w:tcBorders>
            <w:shd w:val="clear" w:color="auto" w:fill="auto"/>
          </w:tcPr>
          <w:p w14:paraId="0C05D281"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Economiile scontate</w:t>
            </w:r>
          </w:p>
          <w:p w14:paraId="56695509"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(anuale, cumulate per măsură)</w:t>
            </w:r>
          </w:p>
        </w:tc>
        <w:tc>
          <w:tcPr>
            <w:tcW w:w="1074" w:type="pct"/>
            <w:gridSpan w:val="2"/>
            <w:tcBorders>
              <w:left w:val="single" w:sz="4" w:space="0" w:color="4F81BD"/>
            </w:tcBorders>
            <w:shd w:val="clear" w:color="auto" w:fill="auto"/>
          </w:tcPr>
          <w:p w14:paraId="21F020A0"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APP1</w:t>
            </w:r>
          </w:p>
          <w:p w14:paraId="14205240" w14:textId="77777777" w:rsidR="00652242" w:rsidRPr="009C5F11" w:rsidRDefault="0065224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(86 proiecte aprobate)</w:t>
            </w:r>
          </w:p>
        </w:tc>
        <w:tc>
          <w:tcPr>
            <w:tcW w:w="1159" w:type="pct"/>
            <w:gridSpan w:val="3"/>
            <w:shd w:val="clear" w:color="auto" w:fill="auto"/>
          </w:tcPr>
          <w:p w14:paraId="3700169A" w14:textId="77777777" w:rsidR="00B51702" w:rsidRPr="009C5F11" w:rsidRDefault="00B51702" w:rsidP="00B51702">
            <w:pPr>
              <w:rPr>
                <w:rFonts w:ascii="Times New Roman" w:hAnsi="Times New Roman" w:cs="Times New Roman"/>
                <w:sz w:val="18"/>
                <w:szCs w:val="14"/>
                <w:lang w:val="ro-RO"/>
              </w:rPr>
            </w:pPr>
            <w:r w:rsidRPr="009C5F11">
              <w:rPr>
                <w:rFonts w:ascii="Times New Roman" w:hAnsi="Times New Roman" w:cs="Times New Roman"/>
                <w:sz w:val="18"/>
                <w:szCs w:val="14"/>
                <w:lang w:val="ro-RO"/>
              </w:rPr>
              <w:t>APP3</w:t>
            </w:r>
          </w:p>
          <w:p w14:paraId="196FD203" w14:textId="77777777" w:rsidR="00652242" w:rsidRPr="009C5F11" w:rsidRDefault="00B5170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(106 proiecte aprobate)</w:t>
            </w:r>
          </w:p>
        </w:tc>
        <w:tc>
          <w:tcPr>
            <w:tcW w:w="1025" w:type="pct"/>
            <w:gridSpan w:val="3"/>
            <w:shd w:val="clear" w:color="auto" w:fill="auto"/>
          </w:tcPr>
          <w:p w14:paraId="71D87C2D" w14:textId="77777777" w:rsidR="00652242" w:rsidRPr="009C5F11" w:rsidRDefault="00B5170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APP5 (evaluate, propuse pentru aprobare)</w:t>
            </w:r>
          </w:p>
        </w:tc>
        <w:tc>
          <w:tcPr>
            <w:tcW w:w="1042" w:type="pct"/>
            <w:gridSpan w:val="2"/>
            <w:shd w:val="clear" w:color="auto" w:fill="auto"/>
          </w:tcPr>
          <w:p w14:paraId="1920C84E" w14:textId="77777777" w:rsidR="00652242" w:rsidRPr="009C5F11" w:rsidRDefault="00B51702" w:rsidP="005D1AD1">
            <w:pPr>
              <w:rPr>
                <w:rFonts w:ascii="Times New Roman" w:hAnsi="Times New Roman" w:cs="Times New Roman"/>
                <w:sz w:val="18"/>
                <w:szCs w:val="14"/>
                <w:lang w:val="ro-RO"/>
              </w:rPr>
            </w:pPr>
            <w:r w:rsidRPr="009C5F11">
              <w:rPr>
                <w:rFonts w:ascii="Times New Roman" w:hAnsi="Times New Roman" w:cs="Times New Roman"/>
                <w:sz w:val="18"/>
                <w:szCs w:val="14"/>
                <w:lang w:val="ro-RO"/>
              </w:rPr>
              <w:t>Total</w:t>
            </w:r>
          </w:p>
        </w:tc>
      </w:tr>
      <w:tr w:rsidR="00B51702" w:rsidRPr="009C5F11" w14:paraId="12E0CA70" w14:textId="77777777" w:rsidTr="00D85D29">
        <w:trPr>
          <w:trHeight w:val="87"/>
        </w:trPr>
        <w:tc>
          <w:tcPr>
            <w:tcW w:w="700" w:type="pct"/>
            <w:vMerge/>
            <w:tcBorders>
              <w:right w:val="single" w:sz="4" w:space="0" w:color="4F81BD"/>
            </w:tcBorders>
            <w:shd w:val="clear" w:color="auto" w:fill="auto"/>
          </w:tcPr>
          <w:p w14:paraId="3A1325BB" w14:textId="77777777" w:rsidR="00652242" w:rsidRPr="009C5F11" w:rsidRDefault="00652242" w:rsidP="00430626">
            <w:pPr>
              <w:rPr>
                <w:rFonts w:ascii="Times New Roman" w:eastAsia="Calibri" w:hAnsi="Times New Roman" w:cs="Times New Roman"/>
                <w:sz w:val="18"/>
                <w:szCs w:val="14"/>
                <w:lang w:val="ro-RO"/>
              </w:rPr>
            </w:pPr>
          </w:p>
        </w:tc>
        <w:tc>
          <w:tcPr>
            <w:tcW w:w="1074" w:type="pct"/>
            <w:gridSpan w:val="2"/>
            <w:tcBorders>
              <w:left w:val="single" w:sz="4" w:space="0" w:color="4F81BD"/>
            </w:tcBorders>
            <w:shd w:val="clear" w:color="auto" w:fill="DBE5F1"/>
          </w:tcPr>
          <w:p w14:paraId="0B9B5C2A" w14:textId="77777777" w:rsidR="00652242" w:rsidRPr="009C5F11" w:rsidRDefault="00652242" w:rsidP="00430626">
            <w:pPr>
              <w:jc w:val="center"/>
              <w:rPr>
                <w:rFonts w:ascii="Times New Roman" w:eastAsia="Calibri" w:hAnsi="Times New Roman" w:cs="Times New Roman"/>
                <w:b/>
                <w:sz w:val="18"/>
                <w:szCs w:val="14"/>
                <w:lang w:val="ro-RO"/>
              </w:rPr>
            </w:pPr>
            <w:r w:rsidRPr="009C5F11">
              <w:rPr>
                <w:rFonts w:ascii="Times New Roman" w:hAnsi="Times New Roman" w:cs="Times New Roman"/>
                <w:b/>
                <w:sz w:val="18"/>
                <w:szCs w:val="14"/>
                <w:lang w:val="ro-RO"/>
              </w:rPr>
              <w:t>3.6 ktep</w:t>
            </w:r>
          </w:p>
        </w:tc>
        <w:tc>
          <w:tcPr>
            <w:tcW w:w="1159" w:type="pct"/>
            <w:gridSpan w:val="3"/>
            <w:shd w:val="clear" w:color="auto" w:fill="DBE5F1"/>
          </w:tcPr>
          <w:p w14:paraId="622B79F1" w14:textId="77777777" w:rsidR="00652242" w:rsidRPr="009C5F11" w:rsidRDefault="00B51702" w:rsidP="00B40DB5">
            <w:pPr>
              <w:ind w:firstLine="708"/>
              <w:rPr>
                <w:rFonts w:ascii="Times New Roman" w:hAnsi="Times New Roman" w:cs="Times New Roman"/>
                <w:b/>
                <w:sz w:val="18"/>
                <w:szCs w:val="14"/>
                <w:lang w:val="ro-RO"/>
              </w:rPr>
            </w:pPr>
            <w:r w:rsidRPr="009C5F11">
              <w:rPr>
                <w:rFonts w:ascii="Times New Roman" w:hAnsi="Times New Roman" w:cs="Times New Roman"/>
                <w:b/>
                <w:sz w:val="18"/>
                <w:szCs w:val="14"/>
                <w:lang w:val="ro-RO"/>
              </w:rPr>
              <w:t>4.3 ktep</w:t>
            </w:r>
          </w:p>
        </w:tc>
        <w:tc>
          <w:tcPr>
            <w:tcW w:w="1025" w:type="pct"/>
            <w:gridSpan w:val="3"/>
            <w:shd w:val="clear" w:color="auto" w:fill="DBE5F1"/>
          </w:tcPr>
          <w:p w14:paraId="38F205B7" w14:textId="77777777" w:rsidR="00652242" w:rsidRPr="009C5F11" w:rsidRDefault="00B51702">
            <w:pPr>
              <w:rPr>
                <w:rFonts w:ascii="Times New Roman" w:hAnsi="Times New Roman" w:cs="Times New Roman"/>
                <w:b/>
                <w:sz w:val="18"/>
                <w:szCs w:val="14"/>
                <w:lang w:val="ro-RO"/>
              </w:rPr>
            </w:pPr>
            <w:r w:rsidRPr="009C5F11">
              <w:rPr>
                <w:rFonts w:ascii="Times New Roman" w:hAnsi="Times New Roman" w:cs="Times New Roman"/>
                <w:b/>
                <w:sz w:val="18"/>
                <w:szCs w:val="14"/>
                <w:lang w:val="ro-RO"/>
              </w:rPr>
              <w:t xml:space="preserve">0.057 </w:t>
            </w:r>
            <w:r w:rsidR="00652242" w:rsidRPr="009C5F11">
              <w:rPr>
                <w:rFonts w:ascii="Times New Roman" w:hAnsi="Times New Roman" w:cs="Times New Roman"/>
                <w:b/>
                <w:sz w:val="18"/>
                <w:szCs w:val="14"/>
                <w:lang w:val="ro-RO"/>
              </w:rPr>
              <w:t>ktep</w:t>
            </w:r>
          </w:p>
        </w:tc>
        <w:tc>
          <w:tcPr>
            <w:tcW w:w="1042" w:type="pct"/>
            <w:gridSpan w:val="2"/>
            <w:shd w:val="clear" w:color="auto" w:fill="DBE5F1"/>
          </w:tcPr>
          <w:p w14:paraId="37D21E4A" w14:textId="77777777" w:rsidR="00652242" w:rsidRPr="009C5F11" w:rsidRDefault="00B51702" w:rsidP="005D1AD1">
            <w:pPr>
              <w:rPr>
                <w:rFonts w:ascii="Times New Roman" w:hAnsi="Times New Roman" w:cs="Times New Roman"/>
                <w:b/>
                <w:sz w:val="18"/>
                <w:szCs w:val="14"/>
                <w:lang w:val="ro-RO"/>
              </w:rPr>
            </w:pPr>
            <w:r w:rsidRPr="009C5F11">
              <w:rPr>
                <w:rFonts w:ascii="Times New Roman" w:hAnsi="Times New Roman" w:cs="Times New Roman"/>
                <w:b/>
                <w:sz w:val="18"/>
                <w:szCs w:val="14"/>
                <w:lang w:val="ro-RO"/>
              </w:rPr>
              <w:t>7.96 ktep</w:t>
            </w:r>
          </w:p>
        </w:tc>
      </w:tr>
      <w:tr w:rsidR="00B51702" w:rsidRPr="009C5F11" w14:paraId="65E993F5" w14:textId="77777777" w:rsidTr="00D85D29">
        <w:trPr>
          <w:trHeight w:val="498"/>
        </w:trPr>
        <w:tc>
          <w:tcPr>
            <w:tcW w:w="700" w:type="pct"/>
            <w:vMerge/>
            <w:tcBorders>
              <w:right w:val="single" w:sz="4" w:space="0" w:color="4F81BD"/>
            </w:tcBorders>
            <w:shd w:val="clear" w:color="auto" w:fill="auto"/>
          </w:tcPr>
          <w:p w14:paraId="54C2DE16" w14:textId="77777777" w:rsidR="00652242" w:rsidRPr="009C5F11" w:rsidRDefault="00652242" w:rsidP="00430626">
            <w:pPr>
              <w:rPr>
                <w:rFonts w:ascii="Times New Roman" w:eastAsia="Calibri" w:hAnsi="Times New Roman" w:cs="Times New Roman"/>
                <w:sz w:val="18"/>
                <w:szCs w:val="14"/>
                <w:lang w:val="ro-RO"/>
              </w:rPr>
            </w:pPr>
          </w:p>
        </w:tc>
        <w:tc>
          <w:tcPr>
            <w:tcW w:w="4300" w:type="pct"/>
            <w:gridSpan w:val="10"/>
            <w:tcBorders>
              <w:left w:val="single" w:sz="4" w:space="0" w:color="4F81BD"/>
            </w:tcBorders>
            <w:shd w:val="clear" w:color="auto" w:fill="auto"/>
            <w:vAlign w:val="center"/>
          </w:tcPr>
          <w:p w14:paraId="52CEE30F" w14:textId="77777777" w:rsidR="00652242" w:rsidRPr="009C5F11" w:rsidRDefault="00652242" w:rsidP="00B40DB5">
            <w:pPr>
              <w:spacing w:after="0" w:line="240" w:lineRule="auto"/>
              <w:rPr>
                <w:rFonts w:ascii="Times New Roman" w:eastAsia="Calibri" w:hAnsi="Times New Roman" w:cs="Times New Roman"/>
                <w:sz w:val="18"/>
                <w:szCs w:val="14"/>
                <w:lang w:val="ro-RO"/>
              </w:rPr>
            </w:pPr>
            <w:r w:rsidRPr="009C5F11">
              <w:rPr>
                <w:rFonts w:ascii="Times New Roman" w:hAnsi="Times New Roman" w:cs="Times New Roman"/>
                <w:sz w:val="18"/>
                <w:szCs w:val="14"/>
                <w:lang w:val="ro-RO"/>
              </w:rPr>
              <w:t>APP 2, 4 &amp; 6: nu a fost aprobat nici un proiect</w:t>
            </w:r>
          </w:p>
        </w:tc>
      </w:tr>
    </w:tbl>
    <w:p w14:paraId="4CDE1238" w14:textId="77777777" w:rsidR="00BC2ED4" w:rsidRPr="009C5F11" w:rsidRDefault="00BC2ED4" w:rsidP="00E94837">
      <w:pPr>
        <w:spacing w:before="120" w:after="120" w:line="240" w:lineRule="auto"/>
        <w:jc w:val="both"/>
        <w:rPr>
          <w:rFonts w:ascii="Times New Roman" w:hAnsi="Times New Roman" w:cs="Times New Roman"/>
          <w:sz w:val="24"/>
          <w:lang w:val="ro-RO"/>
        </w:rPr>
      </w:pPr>
    </w:p>
    <w:p w14:paraId="7E6DBD9D" w14:textId="77777777" w:rsidR="00BC2ED4" w:rsidRPr="00921CF1" w:rsidRDefault="00F53252" w:rsidP="00DA72FC">
      <w:pPr>
        <w:pStyle w:val="Titlu3"/>
        <w:rPr>
          <w:rFonts w:ascii="Times New Roman" w:hAnsi="Times New Roman" w:cs="Times New Roman"/>
          <w:b/>
          <w:color w:val="000000" w:themeColor="text1"/>
          <w:sz w:val="28"/>
          <w:lang w:val="ro-RO"/>
        </w:rPr>
      </w:pPr>
      <w:bookmarkStart w:id="409" w:name="_Toc322013217"/>
      <w:r w:rsidRPr="00921CF1">
        <w:rPr>
          <w:rFonts w:ascii="Times New Roman" w:hAnsi="Times New Roman" w:cs="Times New Roman"/>
          <w:b/>
          <w:color w:val="000000" w:themeColor="text1"/>
          <w:sz w:val="28"/>
          <w:lang w:val="ro-RO"/>
        </w:rPr>
        <w:lastRenderedPageBreak/>
        <w:t>FISM</w:t>
      </w:r>
      <w:bookmarkEnd w:id="409"/>
    </w:p>
    <w:p w14:paraId="0EF262F6" w14:textId="77777777" w:rsidR="002B0D6C" w:rsidRPr="009C5F11" w:rsidRDefault="007E288F"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Fondul de Investiţii Sociale din Moldova (FISM) este un proiect lansat de Guvernul Republicii Moldova cu sprijinul Băncii Mondiale, care își propune să contribuie la implementarea strategiilor naţionale de dezvoltare prin consolidarea comunităţilor nevoiaşe şi a instituţiilor acestora să gestioneze necesităţile prioritare de dezvoltare. </w:t>
      </w:r>
    </w:p>
    <w:p w14:paraId="1246C2FB" w14:textId="77777777" w:rsidR="002B0D6C" w:rsidRPr="009C5F11" w:rsidRDefault="007E288F"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Eficienţa energetică reprezintă doar unul dintre mijloacele pe care Fondul le utilizează cu scopul de a îmbunătăţi bunăstarea cetăţenilor.</w:t>
      </w:r>
    </w:p>
    <w:p w14:paraId="64D9D416" w14:textId="77777777" w:rsidR="002B0D6C" w:rsidRPr="009C5F11" w:rsidRDefault="007E288F"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2015, Guvernul României a oferit un grant în valoare de circa 20 milioane de euro în vederea îmbunătăţirii eficienţei energetice pe baza încălzirii cu biomasă (90 de grădiniţe de copii), înlocuirea uşilor şi ferestrelor exterioare (280 de grădiniţe de copii), izolării termice (140 de grădiniţe de copii).</w:t>
      </w:r>
    </w:p>
    <w:p w14:paraId="508F70EE" w14:textId="13AA31DA" w:rsidR="00BC2ED4" w:rsidRPr="009C5F11" w:rsidRDefault="007E288F"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Tabelul din continuare prezintă rezultatele atinse </w:t>
      </w:r>
      <w:r w:rsidR="00603237" w:rsidRPr="009C5F11">
        <w:rPr>
          <w:rFonts w:ascii="Times New Roman" w:hAnsi="Times New Roman" w:cs="Times New Roman"/>
          <w:sz w:val="24"/>
          <w:lang w:val="ro-RO"/>
        </w:rPr>
        <w:t xml:space="preserve">pe parcursul </w:t>
      </w:r>
      <w:r w:rsidRPr="009C5F11">
        <w:rPr>
          <w:rFonts w:ascii="Times New Roman" w:hAnsi="Times New Roman" w:cs="Times New Roman"/>
          <w:sz w:val="24"/>
          <w:lang w:val="ro-RO"/>
        </w:rPr>
        <w:t>anilor</w:t>
      </w:r>
      <w:r w:rsidR="00BC2ED4" w:rsidRPr="009C5F11">
        <w:rPr>
          <w:rFonts w:ascii="Times New Roman" w:hAnsi="Times New Roman" w:cs="Times New Roman"/>
          <w:sz w:val="24"/>
          <w:lang w:val="ro-RO"/>
        </w:rPr>
        <w:t xml:space="preserve"> 2012-2014</w:t>
      </w:r>
      <w:r w:rsidR="00321CD5" w:rsidRPr="009C5F11">
        <w:rPr>
          <w:rFonts w:ascii="Times New Roman" w:hAnsi="Times New Roman" w:cs="Times New Roman"/>
          <w:sz w:val="24"/>
          <w:lang w:val="ro-RO"/>
        </w:rPr>
        <w:t xml:space="preserve"> în </w:t>
      </w:r>
      <w:r w:rsidRPr="009C5F11">
        <w:rPr>
          <w:rFonts w:ascii="Times New Roman" w:hAnsi="Times New Roman" w:cs="Times New Roman"/>
          <w:sz w:val="24"/>
          <w:lang w:val="ro-RO"/>
        </w:rPr>
        <w:t>ceea ce priveşte implementarea</w:t>
      </w:r>
      <w:r w:rsidR="00BC2ED4" w:rsidRPr="009C5F11">
        <w:rPr>
          <w:rFonts w:ascii="Times New Roman" w:hAnsi="Times New Roman" w:cs="Times New Roman"/>
          <w:sz w:val="24"/>
          <w:lang w:val="ro-RO"/>
        </w:rPr>
        <w:t xml:space="preserve"> </w:t>
      </w:r>
      <w:r w:rsidR="00BC1C53" w:rsidRPr="009C5F11">
        <w:rPr>
          <w:rFonts w:ascii="Times New Roman" w:hAnsi="Times New Roman" w:cs="Times New Roman"/>
          <w:sz w:val="24"/>
          <w:lang w:val="ro-RO"/>
        </w:rPr>
        <w:t>măsurilor de eficienţă energetică</w:t>
      </w:r>
      <w:r w:rsidR="00BC2ED4" w:rsidRPr="009C5F11">
        <w:rPr>
          <w:rFonts w:ascii="Times New Roman" w:hAnsi="Times New Roman" w:cs="Times New Roman"/>
          <w:sz w:val="24"/>
          <w:lang w:val="ro-RO"/>
        </w:rPr>
        <w:t>.</w:t>
      </w:r>
    </w:p>
    <w:p w14:paraId="284FAAE1" w14:textId="77777777" w:rsidR="00D85D29" w:rsidRPr="009C5F11" w:rsidRDefault="00D85D29" w:rsidP="00A92B7E">
      <w:pPr>
        <w:spacing w:before="120" w:after="120" w:line="240" w:lineRule="auto"/>
        <w:jc w:val="both"/>
        <w:rPr>
          <w:rFonts w:ascii="Times New Roman" w:hAnsi="Times New Roman" w:cs="Times New Roman"/>
          <w:sz w:val="24"/>
          <w:lang w:val="ro-RO"/>
        </w:rPr>
      </w:pPr>
    </w:p>
    <w:p w14:paraId="29EC42FD" w14:textId="77777777" w:rsidR="00E94837" w:rsidRPr="009C5F11" w:rsidRDefault="00321CD5" w:rsidP="00E94837">
      <w:pPr>
        <w:pStyle w:val="Legend"/>
        <w:keepNext/>
        <w:jc w:val="center"/>
        <w:rPr>
          <w:rFonts w:ascii="Times New Roman" w:hAnsi="Times New Roman" w:cs="Times New Roman"/>
          <w:sz w:val="22"/>
          <w:lang w:val="ro-RO"/>
        </w:rPr>
      </w:pPr>
      <w:bookmarkStart w:id="410" w:name="_Toc322013268"/>
      <w:r w:rsidRPr="009C5F11">
        <w:rPr>
          <w:rFonts w:ascii="Times New Roman" w:hAnsi="Times New Roman" w:cs="Times New Roman"/>
          <w:sz w:val="22"/>
          <w:lang w:val="ro-RO"/>
        </w:rPr>
        <w:t>Tabelul</w:t>
      </w:r>
      <w:r w:rsidR="00E94837"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E94837"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45</w:t>
      </w:r>
      <w:r w:rsidR="003A6ADB" w:rsidRPr="009C5F11">
        <w:rPr>
          <w:rFonts w:ascii="Times New Roman" w:hAnsi="Times New Roman" w:cs="Times New Roman"/>
          <w:sz w:val="22"/>
          <w:lang w:val="ro-RO"/>
        </w:rPr>
        <w:fldChar w:fldCharType="end"/>
      </w:r>
      <w:r w:rsidR="00E94837" w:rsidRPr="009C5F11">
        <w:rPr>
          <w:rFonts w:ascii="Times New Roman" w:hAnsi="Times New Roman" w:cs="Times New Roman"/>
          <w:sz w:val="22"/>
          <w:lang w:val="ro-RO"/>
        </w:rPr>
        <w:t xml:space="preserve"> </w:t>
      </w:r>
      <w:r w:rsidR="007E288F" w:rsidRPr="009C5F11">
        <w:rPr>
          <w:rFonts w:ascii="Times New Roman" w:hAnsi="Times New Roman" w:cs="Times New Roman"/>
          <w:sz w:val="22"/>
          <w:lang w:val="ro-RO"/>
        </w:rPr>
        <w:t>–</w:t>
      </w:r>
      <w:r w:rsidR="00E94837" w:rsidRPr="009C5F11">
        <w:rPr>
          <w:rFonts w:ascii="Times New Roman" w:hAnsi="Times New Roman" w:cs="Times New Roman"/>
          <w:sz w:val="22"/>
          <w:lang w:val="ro-RO"/>
        </w:rPr>
        <w:t xml:space="preserve"> </w:t>
      </w:r>
      <w:r w:rsidR="007E288F" w:rsidRPr="009C5F11">
        <w:rPr>
          <w:rFonts w:ascii="Times New Roman" w:hAnsi="Times New Roman" w:cs="Times New Roman"/>
          <w:sz w:val="22"/>
          <w:lang w:val="ro-RO"/>
        </w:rPr>
        <w:t>Rezultatele atinse de</w:t>
      </w:r>
      <w:r w:rsidR="00E94837" w:rsidRPr="009C5F11">
        <w:rPr>
          <w:rFonts w:ascii="Times New Roman" w:hAnsi="Times New Roman" w:cs="Times New Roman"/>
          <w:sz w:val="22"/>
          <w:lang w:val="ro-RO"/>
        </w:rPr>
        <w:t xml:space="preserve"> </w:t>
      </w:r>
      <w:r w:rsidR="00F53252" w:rsidRPr="009C5F11">
        <w:rPr>
          <w:rFonts w:ascii="Times New Roman" w:hAnsi="Times New Roman" w:cs="Times New Roman"/>
          <w:sz w:val="22"/>
          <w:lang w:val="ro-RO"/>
        </w:rPr>
        <w:t>FISM</w:t>
      </w:r>
      <w:r w:rsidR="007E288F" w:rsidRPr="009C5F11">
        <w:rPr>
          <w:rFonts w:ascii="Times New Roman" w:hAnsi="Times New Roman" w:cs="Times New Roman"/>
          <w:sz w:val="22"/>
          <w:lang w:val="ro-RO"/>
        </w:rPr>
        <w:t>.</w:t>
      </w:r>
      <w:bookmarkEnd w:id="410"/>
      <w:r w:rsidR="00E94837" w:rsidRPr="009C5F11">
        <w:rPr>
          <w:rFonts w:ascii="Times New Roman" w:hAnsi="Times New Roman" w:cs="Times New Roman"/>
          <w:sz w:val="22"/>
          <w:lang w:val="ro-RO"/>
        </w:rPr>
        <w:t xml:space="preserve"> </w:t>
      </w:r>
    </w:p>
    <w:tbl>
      <w:tblPr>
        <w:tblW w:w="9018" w:type="dxa"/>
        <w:jc w:val="center"/>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4788"/>
        <w:gridCol w:w="4230"/>
      </w:tblGrid>
      <w:tr w:rsidR="007E288F" w:rsidRPr="009C5F11" w14:paraId="6E8AD0D8" w14:textId="77777777" w:rsidTr="007E288F">
        <w:trPr>
          <w:jc w:val="center"/>
        </w:trPr>
        <w:tc>
          <w:tcPr>
            <w:tcW w:w="4788" w:type="dxa"/>
          </w:tcPr>
          <w:p w14:paraId="67D2A64B" w14:textId="77777777" w:rsidR="007E288F" w:rsidRPr="009C5F11" w:rsidRDefault="007E288F" w:rsidP="005D1AD1">
            <w:pPr>
              <w:autoSpaceDE w:val="0"/>
              <w:autoSpaceDN w:val="0"/>
              <w:adjustRightInd w:val="0"/>
              <w:rPr>
                <w:rFonts w:ascii="Times New Roman" w:hAnsi="Times New Roman" w:cs="Times New Roman"/>
                <w:bCs/>
                <w:iCs/>
                <w:lang w:val="ro-RO"/>
              </w:rPr>
            </w:pPr>
            <w:r w:rsidRPr="009C5F11">
              <w:rPr>
                <w:rFonts w:ascii="Times New Roman" w:hAnsi="Times New Roman" w:cs="Times New Roman"/>
                <w:bCs/>
                <w:iCs/>
                <w:lang w:val="ro-RO"/>
              </w:rPr>
              <w:t>Ferestre şi uşi exterioare</w:t>
            </w:r>
          </w:p>
        </w:tc>
        <w:tc>
          <w:tcPr>
            <w:tcW w:w="4230" w:type="dxa"/>
            <w:shd w:val="clear" w:color="auto" w:fill="auto"/>
          </w:tcPr>
          <w:p w14:paraId="174288E7" w14:textId="77777777" w:rsidR="007E288F" w:rsidRPr="009C5F11" w:rsidRDefault="007E288F" w:rsidP="00430626">
            <w:pPr>
              <w:autoSpaceDE w:val="0"/>
              <w:autoSpaceDN w:val="0"/>
              <w:adjustRightInd w:val="0"/>
              <w:rPr>
                <w:rFonts w:ascii="Times New Roman" w:hAnsi="Times New Roman" w:cs="Times New Roman"/>
                <w:bCs/>
                <w:iCs/>
                <w:lang w:val="ro-RO"/>
              </w:rPr>
            </w:pPr>
            <w:r w:rsidRPr="009C5F11">
              <w:rPr>
                <w:rFonts w:ascii="Times New Roman" w:hAnsi="Times New Roman" w:cs="Times New Roman"/>
                <w:bCs/>
                <w:iCs/>
                <w:lang w:val="ro-RO"/>
              </w:rPr>
              <w:t>8,445 m2</w:t>
            </w:r>
          </w:p>
        </w:tc>
      </w:tr>
      <w:tr w:rsidR="007E288F" w:rsidRPr="009C5F11" w14:paraId="7249B1E8" w14:textId="77777777" w:rsidTr="007E288F">
        <w:trPr>
          <w:jc w:val="center"/>
        </w:trPr>
        <w:tc>
          <w:tcPr>
            <w:tcW w:w="4788" w:type="dxa"/>
          </w:tcPr>
          <w:p w14:paraId="5E7AE0E2" w14:textId="77777777" w:rsidR="007E288F" w:rsidRPr="009C5F11" w:rsidRDefault="007E288F" w:rsidP="005D1AD1">
            <w:pPr>
              <w:autoSpaceDE w:val="0"/>
              <w:autoSpaceDN w:val="0"/>
              <w:adjustRightInd w:val="0"/>
              <w:rPr>
                <w:rFonts w:ascii="Times New Roman" w:hAnsi="Times New Roman" w:cs="Times New Roman"/>
                <w:bCs/>
                <w:iCs/>
                <w:lang w:val="ro-RO"/>
              </w:rPr>
            </w:pPr>
            <w:r w:rsidRPr="009C5F11">
              <w:rPr>
                <w:rFonts w:ascii="Times New Roman" w:hAnsi="Times New Roman" w:cs="Times New Roman"/>
                <w:bCs/>
                <w:iCs/>
                <w:lang w:val="ro-RO"/>
              </w:rPr>
              <w:t>Izolarea anvelopelor/contururilor</w:t>
            </w:r>
          </w:p>
        </w:tc>
        <w:tc>
          <w:tcPr>
            <w:tcW w:w="4230" w:type="dxa"/>
            <w:shd w:val="clear" w:color="auto" w:fill="auto"/>
          </w:tcPr>
          <w:p w14:paraId="2B122607" w14:textId="77777777" w:rsidR="007E288F" w:rsidRPr="009C5F11" w:rsidRDefault="007E288F" w:rsidP="00430626">
            <w:pPr>
              <w:autoSpaceDE w:val="0"/>
              <w:autoSpaceDN w:val="0"/>
              <w:adjustRightInd w:val="0"/>
              <w:rPr>
                <w:rFonts w:ascii="Times New Roman" w:hAnsi="Times New Roman" w:cs="Times New Roman"/>
                <w:bCs/>
                <w:iCs/>
                <w:lang w:val="ro-RO"/>
              </w:rPr>
            </w:pPr>
            <w:r w:rsidRPr="009C5F11">
              <w:rPr>
                <w:rFonts w:ascii="Times New Roman" w:hAnsi="Times New Roman" w:cs="Times New Roman"/>
                <w:bCs/>
                <w:iCs/>
                <w:lang w:val="ro-RO"/>
              </w:rPr>
              <w:t>8,275 m2</w:t>
            </w:r>
          </w:p>
        </w:tc>
      </w:tr>
      <w:tr w:rsidR="007E288F" w:rsidRPr="009C5F11" w14:paraId="7E7CDAB1" w14:textId="77777777" w:rsidTr="003A4739">
        <w:trPr>
          <w:trHeight w:val="79"/>
          <w:jc w:val="center"/>
        </w:trPr>
        <w:tc>
          <w:tcPr>
            <w:tcW w:w="4788" w:type="dxa"/>
          </w:tcPr>
          <w:p w14:paraId="103B098B" w14:textId="77777777" w:rsidR="007E288F" w:rsidRPr="009C5F11" w:rsidRDefault="007E288F" w:rsidP="005D1AD1">
            <w:pPr>
              <w:autoSpaceDE w:val="0"/>
              <w:autoSpaceDN w:val="0"/>
              <w:adjustRightInd w:val="0"/>
              <w:rPr>
                <w:rFonts w:ascii="Times New Roman" w:hAnsi="Times New Roman" w:cs="Times New Roman"/>
                <w:bCs/>
                <w:iCs/>
                <w:lang w:val="ro-RO"/>
              </w:rPr>
            </w:pPr>
            <w:r w:rsidRPr="009C5F11">
              <w:rPr>
                <w:rFonts w:ascii="Times New Roman" w:hAnsi="Times New Roman" w:cs="Times New Roman"/>
                <w:bCs/>
                <w:iCs/>
                <w:lang w:val="ro-RO"/>
              </w:rPr>
              <w:t>Cazane operate cu biomasă</w:t>
            </w:r>
          </w:p>
        </w:tc>
        <w:tc>
          <w:tcPr>
            <w:tcW w:w="4230" w:type="dxa"/>
            <w:shd w:val="clear" w:color="auto" w:fill="auto"/>
          </w:tcPr>
          <w:p w14:paraId="43E9E181" w14:textId="77777777" w:rsidR="007E288F" w:rsidRPr="009C5F11" w:rsidRDefault="007E288F" w:rsidP="00430626">
            <w:pPr>
              <w:autoSpaceDE w:val="0"/>
              <w:autoSpaceDN w:val="0"/>
              <w:adjustRightInd w:val="0"/>
              <w:rPr>
                <w:rFonts w:ascii="Times New Roman" w:hAnsi="Times New Roman" w:cs="Times New Roman"/>
                <w:bCs/>
                <w:iCs/>
                <w:lang w:val="ro-RO"/>
              </w:rPr>
            </w:pPr>
            <w:r w:rsidRPr="009C5F11">
              <w:rPr>
                <w:rFonts w:ascii="Times New Roman" w:hAnsi="Times New Roman" w:cs="Times New Roman"/>
                <w:bCs/>
                <w:iCs/>
                <w:lang w:val="ro-RO"/>
              </w:rPr>
              <w:t xml:space="preserve">45 </w:t>
            </w:r>
          </w:p>
        </w:tc>
      </w:tr>
      <w:tr w:rsidR="007E288F" w:rsidRPr="009C5F11" w14:paraId="2F7637F6" w14:textId="77777777" w:rsidTr="003A4739">
        <w:trPr>
          <w:trHeight w:val="79"/>
          <w:jc w:val="center"/>
        </w:trPr>
        <w:tc>
          <w:tcPr>
            <w:tcW w:w="4788" w:type="dxa"/>
          </w:tcPr>
          <w:p w14:paraId="16DEA76C" w14:textId="77777777" w:rsidR="007E288F" w:rsidRPr="009C5F11" w:rsidRDefault="007E288F" w:rsidP="005D1AD1">
            <w:pPr>
              <w:autoSpaceDE w:val="0"/>
              <w:autoSpaceDN w:val="0"/>
              <w:adjustRightInd w:val="0"/>
              <w:rPr>
                <w:rFonts w:ascii="Times New Roman" w:hAnsi="Times New Roman" w:cs="Times New Roman"/>
                <w:bCs/>
                <w:iCs/>
                <w:lang w:val="ro-RO"/>
              </w:rPr>
            </w:pPr>
            <w:r w:rsidRPr="009C5F11">
              <w:rPr>
                <w:rFonts w:ascii="Times New Roman" w:hAnsi="Times New Roman" w:cs="Times New Roman"/>
                <w:bCs/>
                <w:iCs/>
                <w:lang w:val="ro-RO"/>
              </w:rPr>
              <w:t xml:space="preserve">Colectoare solare pentru furnizarea apei calde menajere </w:t>
            </w:r>
          </w:p>
        </w:tc>
        <w:tc>
          <w:tcPr>
            <w:tcW w:w="4230" w:type="dxa"/>
            <w:shd w:val="clear" w:color="auto" w:fill="auto"/>
          </w:tcPr>
          <w:p w14:paraId="76C99C18" w14:textId="77777777" w:rsidR="007E288F" w:rsidRPr="009C5F11" w:rsidRDefault="007E288F" w:rsidP="00273CDE">
            <w:pPr>
              <w:autoSpaceDE w:val="0"/>
              <w:autoSpaceDN w:val="0"/>
              <w:adjustRightInd w:val="0"/>
              <w:rPr>
                <w:rFonts w:ascii="Times New Roman" w:hAnsi="Times New Roman" w:cs="Times New Roman"/>
                <w:bCs/>
                <w:iCs/>
                <w:lang w:val="ro-RO"/>
              </w:rPr>
            </w:pPr>
            <w:r w:rsidRPr="009C5F11">
              <w:rPr>
                <w:rFonts w:ascii="Times New Roman" w:hAnsi="Times New Roman" w:cs="Times New Roman"/>
                <w:bCs/>
                <w:iCs/>
                <w:lang w:val="ro-RO"/>
              </w:rPr>
              <w:t>42 institu</w:t>
            </w:r>
            <w:r w:rsidR="00273CDE" w:rsidRPr="009C5F11">
              <w:rPr>
                <w:rFonts w:ascii="Times New Roman" w:hAnsi="Times New Roman" w:cs="Times New Roman"/>
                <w:bCs/>
                <w:iCs/>
                <w:lang w:val="ro-RO"/>
              </w:rPr>
              <w:t>ţii</w:t>
            </w:r>
          </w:p>
        </w:tc>
      </w:tr>
      <w:tr w:rsidR="007E288F" w:rsidRPr="009C5F11" w14:paraId="29D394EA" w14:textId="77777777" w:rsidTr="003A4739">
        <w:trPr>
          <w:trHeight w:val="79"/>
          <w:jc w:val="center"/>
        </w:trPr>
        <w:tc>
          <w:tcPr>
            <w:tcW w:w="4788" w:type="dxa"/>
          </w:tcPr>
          <w:p w14:paraId="654D99ED" w14:textId="77777777" w:rsidR="007E288F" w:rsidRPr="009C5F11" w:rsidRDefault="007E288F" w:rsidP="005D1AD1">
            <w:pPr>
              <w:autoSpaceDE w:val="0"/>
              <w:autoSpaceDN w:val="0"/>
              <w:adjustRightInd w:val="0"/>
              <w:rPr>
                <w:rFonts w:ascii="Times New Roman" w:hAnsi="Times New Roman" w:cs="Times New Roman"/>
                <w:bCs/>
                <w:iCs/>
                <w:lang w:val="ro-RO"/>
              </w:rPr>
            </w:pPr>
            <w:r w:rsidRPr="009C5F11">
              <w:rPr>
                <w:rFonts w:ascii="Times New Roman" w:hAnsi="Times New Roman" w:cs="Times New Roman"/>
                <w:bCs/>
                <w:iCs/>
                <w:lang w:val="ro-RO"/>
              </w:rPr>
              <w:t>Becuri de iluminat cu un consum redus de energie</w:t>
            </w:r>
          </w:p>
        </w:tc>
        <w:tc>
          <w:tcPr>
            <w:tcW w:w="4230" w:type="dxa"/>
            <w:shd w:val="clear" w:color="auto" w:fill="auto"/>
          </w:tcPr>
          <w:p w14:paraId="6D1716D3" w14:textId="77777777" w:rsidR="007E288F" w:rsidRPr="009C5F11" w:rsidRDefault="007E288F" w:rsidP="00273CDE">
            <w:pPr>
              <w:autoSpaceDE w:val="0"/>
              <w:autoSpaceDN w:val="0"/>
              <w:adjustRightInd w:val="0"/>
              <w:rPr>
                <w:rFonts w:ascii="Times New Roman" w:hAnsi="Times New Roman" w:cs="Times New Roman"/>
                <w:bCs/>
                <w:iCs/>
                <w:lang w:val="ro-RO"/>
              </w:rPr>
            </w:pPr>
            <w:r w:rsidRPr="009C5F11">
              <w:rPr>
                <w:rFonts w:ascii="Times New Roman" w:hAnsi="Times New Roman" w:cs="Times New Roman"/>
                <w:bCs/>
                <w:iCs/>
                <w:lang w:val="ro-RO"/>
              </w:rPr>
              <w:t xml:space="preserve">316 unităţi, </w:t>
            </w:r>
            <w:r w:rsidR="00273CDE" w:rsidRPr="009C5F11">
              <w:rPr>
                <w:rFonts w:ascii="Times New Roman" w:hAnsi="Times New Roman" w:cs="Times New Roman"/>
                <w:bCs/>
                <w:iCs/>
                <w:lang w:val="ro-RO"/>
              </w:rPr>
              <w:t>preponderent, iluminatul stradal</w:t>
            </w:r>
            <w:r w:rsidRPr="009C5F11">
              <w:rPr>
                <w:rFonts w:ascii="Times New Roman" w:hAnsi="Times New Roman" w:cs="Times New Roman"/>
                <w:bCs/>
                <w:iCs/>
                <w:lang w:val="ro-RO"/>
              </w:rPr>
              <w:t xml:space="preserve"> </w:t>
            </w:r>
          </w:p>
        </w:tc>
      </w:tr>
    </w:tbl>
    <w:p w14:paraId="35049D04" w14:textId="5DAAE869" w:rsidR="00E941CE" w:rsidRPr="009C5F11" w:rsidRDefault="00CD377F"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În conformitate cu Hotărârea Guvernului nr. 436 din 06.10.2014 privind implementarea Programului de asistență tehnică şi financiară acordată de Guvernul României pentru instituţiile preşcolare din Republica Moldova, APL-urile au beneficiat de circa 20.9 milioane de euro alocate prin intermediul FISM. Numărul total de beneficiari, exclusiv grădiniţe de copii, constituie </w:t>
      </w:r>
      <w:r w:rsidR="00E941CE" w:rsidRPr="009C5F11">
        <w:rPr>
          <w:rFonts w:ascii="Times New Roman" w:hAnsi="Times New Roman" w:cs="Times New Roman"/>
          <w:sz w:val="24"/>
          <w:lang w:val="ro-RO"/>
        </w:rPr>
        <w:t xml:space="preserve">869. </w:t>
      </w:r>
      <w:r w:rsidRPr="009C5F11">
        <w:rPr>
          <w:rFonts w:ascii="Times New Roman" w:hAnsi="Times New Roman" w:cs="Times New Roman"/>
          <w:sz w:val="24"/>
          <w:lang w:val="ro-RO"/>
        </w:rPr>
        <w:t>Circa</w:t>
      </w:r>
      <w:r w:rsidR="00E941CE" w:rsidRPr="009C5F11">
        <w:rPr>
          <w:rFonts w:ascii="Times New Roman" w:hAnsi="Times New Roman" w:cs="Times New Roman"/>
          <w:sz w:val="24"/>
          <w:lang w:val="ro-RO"/>
        </w:rPr>
        <w:t xml:space="preserve"> 2/3 </w:t>
      </w:r>
      <w:r w:rsidRPr="009C5F11">
        <w:rPr>
          <w:rFonts w:ascii="Times New Roman" w:hAnsi="Times New Roman" w:cs="Times New Roman"/>
          <w:sz w:val="24"/>
          <w:lang w:val="ro-RO"/>
        </w:rPr>
        <w:t>din</w:t>
      </w:r>
      <w:r w:rsidR="00E941CE" w:rsidRPr="009C5F11">
        <w:rPr>
          <w:rFonts w:ascii="Times New Roman" w:hAnsi="Times New Roman" w:cs="Times New Roman"/>
          <w:sz w:val="24"/>
          <w:lang w:val="ro-RO"/>
        </w:rPr>
        <w:t xml:space="preserve"> </w:t>
      </w:r>
      <w:r w:rsidR="007F77BE" w:rsidRPr="009C5F11">
        <w:rPr>
          <w:rFonts w:ascii="Times New Roman" w:hAnsi="Times New Roman" w:cs="Times New Roman"/>
          <w:sz w:val="24"/>
          <w:lang w:val="ro-RO"/>
        </w:rPr>
        <w:t>fonduri</w:t>
      </w:r>
      <w:r w:rsidRPr="009C5F11">
        <w:rPr>
          <w:rFonts w:ascii="Times New Roman" w:hAnsi="Times New Roman" w:cs="Times New Roman"/>
          <w:sz w:val="24"/>
          <w:lang w:val="ro-RO"/>
        </w:rPr>
        <w:t xml:space="preserve">le alocate au fost direcţionate pentru realizarea măsurilor de îmbunătăţire a </w:t>
      </w:r>
      <w:r w:rsidR="000C7BEC" w:rsidRPr="009C5F11">
        <w:rPr>
          <w:rFonts w:ascii="Times New Roman" w:hAnsi="Times New Roman" w:cs="Times New Roman"/>
          <w:sz w:val="24"/>
          <w:lang w:val="ro-RO"/>
        </w:rPr>
        <w:t>eficienţ</w:t>
      </w:r>
      <w:r w:rsidRPr="009C5F11">
        <w:rPr>
          <w:rFonts w:ascii="Times New Roman" w:hAnsi="Times New Roman" w:cs="Times New Roman"/>
          <w:sz w:val="24"/>
          <w:lang w:val="ro-RO"/>
        </w:rPr>
        <w:t>ei</w:t>
      </w:r>
      <w:r w:rsidR="000C7BEC" w:rsidRPr="009C5F11">
        <w:rPr>
          <w:rFonts w:ascii="Times New Roman" w:hAnsi="Times New Roman" w:cs="Times New Roman"/>
          <w:sz w:val="24"/>
          <w:lang w:val="ro-RO"/>
        </w:rPr>
        <w:t xml:space="preserve"> energetic</w:t>
      </w:r>
      <w:r w:rsidRPr="009C5F11">
        <w:rPr>
          <w:rFonts w:ascii="Times New Roman" w:hAnsi="Times New Roman" w:cs="Times New Roman"/>
          <w:sz w:val="24"/>
          <w:lang w:val="ro-RO"/>
        </w:rPr>
        <w:t>e. Mijloacele financiare au fost oferite de Guvernul</w:t>
      </w:r>
      <w:r w:rsidR="00E941CE" w:rsidRPr="009C5F11">
        <w:rPr>
          <w:rFonts w:ascii="Times New Roman" w:hAnsi="Times New Roman" w:cs="Times New Roman"/>
          <w:sz w:val="24"/>
          <w:lang w:val="ro-RO"/>
        </w:rPr>
        <w:t xml:space="preserve"> </w:t>
      </w:r>
      <w:r w:rsidR="00381715" w:rsidRPr="009C5F11">
        <w:rPr>
          <w:rFonts w:ascii="Times New Roman" w:hAnsi="Times New Roman" w:cs="Times New Roman"/>
          <w:sz w:val="24"/>
          <w:lang w:val="ro-RO"/>
        </w:rPr>
        <w:t>Români</w:t>
      </w:r>
      <w:r w:rsidRPr="009C5F11">
        <w:rPr>
          <w:rFonts w:ascii="Times New Roman" w:hAnsi="Times New Roman" w:cs="Times New Roman"/>
          <w:sz w:val="24"/>
          <w:lang w:val="ro-RO"/>
        </w:rPr>
        <w:t>ei</w:t>
      </w:r>
      <w:r w:rsidR="00E941CE" w:rsidRPr="009C5F11">
        <w:rPr>
          <w:rFonts w:ascii="Times New Roman" w:hAnsi="Times New Roman" w:cs="Times New Roman"/>
          <w:sz w:val="24"/>
          <w:lang w:val="ro-RO"/>
        </w:rPr>
        <w:t>.</w:t>
      </w:r>
    </w:p>
    <w:p w14:paraId="0D086B49" w14:textId="77777777" w:rsidR="00E941CE" w:rsidRPr="009C5F11" w:rsidRDefault="00E941CE" w:rsidP="00E941CE">
      <w:pPr>
        <w:tabs>
          <w:tab w:val="left" w:pos="296"/>
        </w:tabs>
        <w:spacing w:after="0" w:line="240" w:lineRule="auto"/>
        <w:jc w:val="both"/>
        <w:rPr>
          <w:rFonts w:ascii="Times New Roman" w:eastAsia="Calibri" w:hAnsi="Times New Roman" w:cs="Times New Roman"/>
          <w:sz w:val="24"/>
          <w:lang w:val="ro-RO" w:eastAsia="sv-SE"/>
        </w:rPr>
      </w:pPr>
    </w:p>
    <w:p w14:paraId="17089847" w14:textId="77777777" w:rsidR="00E94837" w:rsidRPr="009C5F11" w:rsidRDefault="00321CD5" w:rsidP="00E94837">
      <w:pPr>
        <w:pStyle w:val="Legend"/>
        <w:keepNext/>
        <w:jc w:val="center"/>
        <w:rPr>
          <w:rFonts w:ascii="Times New Roman" w:hAnsi="Times New Roman" w:cs="Times New Roman"/>
          <w:sz w:val="22"/>
          <w:lang w:val="ro-RO"/>
        </w:rPr>
      </w:pPr>
      <w:bookmarkStart w:id="411" w:name="_Toc322013269"/>
      <w:r w:rsidRPr="009C5F11">
        <w:rPr>
          <w:rFonts w:ascii="Times New Roman" w:hAnsi="Times New Roman" w:cs="Times New Roman"/>
          <w:sz w:val="22"/>
          <w:lang w:val="ro-RO"/>
        </w:rPr>
        <w:t>Tabelul</w:t>
      </w:r>
      <w:r w:rsidR="00E94837"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E94837"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46</w:t>
      </w:r>
      <w:r w:rsidR="003A6ADB" w:rsidRPr="009C5F11">
        <w:rPr>
          <w:rFonts w:ascii="Times New Roman" w:hAnsi="Times New Roman" w:cs="Times New Roman"/>
          <w:sz w:val="22"/>
          <w:lang w:val="ro-RO"/>
        </w:rPr>
        <w:fldChar w:fldCharType="end"/>
      </w:r>
      <w:r w:rsidR="00E94837" w:rsidRPr="009C5F11">
        <w:rPr>
          <w:rFonts w:ascii="Times New Roman" w:hAnsi="Times New Roman" w:cs="Times New Roman"/>
          <w:sz w:val="22"/>
          <w:lang w:val="ro-RO"/>
        </w:rPr>
        <w:t xml:space="preserve"> </w:t>
      </w:r>
      <w:r w:rsidR="00395DB2" w:rsidRPr="009C5F11">
        <w:rPr>
          <w:rFonts w:ascii="Times New Roman" w:hAnsi="Times New Roman" w:cs="Times New Roman"/>
          <w:sz w:val="22"/>
          <w:lang w:val="ro-RO"/>
        </w:rPr>
        <w:t>–</w:t>
      </w:r>
      <w:r w:rsidR="00E94837" w:rsidRPr="009C5F11">
        <w:rPr>
          <w:rFonts w:ascii="Times New Roman" w:hAnsi="Times New Roman" w:cs="Times New Roman"/>
          <w:sz w:val="22"/>
          <w:lang w:val="ro-RO"/>
        </w:rPr>
        <w:t xml:space="preserve"> </w:t>
      </w:r>
      <w:r w:rsidR="00395DB2" w:rsidRPr="009C5F11">
        <w:rPr>
          <w:rFonts w:ascii="Times New Roman" w:hAnsi="Times New Roman" w:cs="Times New Roman"/>
          <w:sz w:val="22"/>
          <w:lang w:val="ro-RO"/>
        </w:rPr>
        <w:t xml:space="preserve">Activităţile </w:t>
      </w:r>
      <w:r w:rsidR="00F53252" w:rsidRPr="009C5F11">
        <w:rPr>
          <w:rFonts w:ascii="Times New Roman" w:hAnsi="Times New Roman" w:cs="Times New Roman"/>
          <w:sz w:val="22"/>
          <w:lang w:val="ro-RO"/>
        </w:rPr>
        <w:t>FISM</w:t>
      </w:r>
      <w:r w:rsidR="00E94837" w:rsidRPr="009C5F11">
        <w:rPr>
          <w:rFonts w:ascii="Times New Roman" w:hAnsi="Times New Roman" w:cs="Times New Roman"/>
          <w:sz w:val="22"/>
          <w:lang w:val="ro-RO"/>
        </w:rPr>
        <w:t xml:space="preserve"> </w:t>
      </w:r>
      <w:r w:rsidR="00395DB2" w:rsidRPr="009C5F11">
        <w:rPr>
          <w:rFonts w:ascii="Times New Roman" w:hAnsi="Times New Roman" w:cs="Times New Roman"/>
          <w:sz w:val="22"/>
          <w:lang w:val="ro-RO"/>
        </w:rPr>
        <w:t xml:space="preserve">desfăşurate pe baza fondurilor alocate de Guvernul </w:t>
      </w:r>
      <w:r w:rsidR="00381715" w:rsidRPr="009C5F11">
        <w:rPr>
          <w:rFonts w:ascii="Times New Roman" w:hAnsi="Times New Roman" w:cs="Times New Roman"/>
          <w:sz w:val="22"/>
          <w:lang w:val="ro-RO"/>
        </w:rPr>
        <w:t>Români</w:t>
      </w:r>
      <w:r w:rsidR="00395DB2" w:rsidRPr="009C5F11">
        <w:rPr>
          <w:rFonts w:ascii="Times New Roman" w:hAnsi="Times New Roman" w:cs="Times New Roman"/>
          <w:sz w:val="22"/>
          <w:lang w:val="ro-RO"/>
        </w:rPr>
        <w:t>ei.</w:t>
      </w:r>
      <w:bookmarkEnd w:id="411"/>
      <w:r w:rsidR="00395DB2" w:rsidRPr="009C5F11">
        <w:rPr>
          <w:rFonts w:ascii="Times New Roman" w:hAnsi="Times New Roman" w:cs="Times New Roman"/>
          <w:sz w:val="22"/>
          <w:lang w:val="ro-RO"/>
        </w:rPr>
        <w:t xml:space="preserve"> </w:t>
      </w:r>
    </w:p>
    <w:tbl>
      <w:tblPr>
        <w:tblW w:w="5707" w:type="dxa"/>
        <w:jc w:val="center"/>
        <w:tblBorders>
          <w:top w:val="single" w:sz="4" w:space="0" w:color="001C53" w:themeColor="accent2" w:themeShade="80"/>
          <w:left w:val="single" w:sz="4" w:space="0" w:color="001C53" w:themeColor="accent2" w:themeShade="80"/>
          <w:bottom w:val="single" w:sz="4" w:space="0" w:color="001C53" w:themeColor="accent2" w:themeShade="80"/>
          <w:right w:val="single" w:sz="4" w:space="0" w:color="001C53" w:themeColor="accent2" w:themeShade="80"/>
          <w:insideH w:val="single" w:sz="4" w:space="0" w:color="001C53" w:themeColor="accent2" w:themeShade="80"/>
        </w:tblBorders>
        <w:tblLook w:val="04A0" w:firstRow="1" w:lastRow="0" w:firstColumn="1" w:lastColumn="0" w:noHBand="0" w:noVBand="1"/>
      </w:tblPr>
      <w:tblGrid>
        <w:gridCol w:w="869"/>
        <w:gridCol w:w="1660"/>
        <w:gridCol w:w="1222"/>
        <w:gridCol w:w="1956"/>
      </w:tblGrid>
      <w:tr w:rsidR="00E941CE" w:rsidRPr="009C5F11" w14:paraId="0A34B883" w14:textId="77777777" w:rsidTr="002E2968">
        <w:trPr>
          <w:trHeight w:val="408"/>
          <w:jc w:val="center"/>
        </w:trPr>
        <w:tc>
          <w:tcPr>
            <w:tcW w:w="869" w:type="dxa"/>
            <w:shd w:val="clear" w:color="auto" w:fill="000080"/>
            <w:vAlign w:val="center"/>
          </w:tcPr>
          <w:p w14:paraId="3FC69D95" w14:textId="77777777" w:rsidR="00E941CE" w:rsidRPr="009C5F11" w:rsidRDefault="002E2968" w:rsidP="002E2968">
            <w:pPr>
              <w:spacing w:after="0" w:line="240" w:lineRule="auto"/>
              <w:jc w:val="center"/>
              <w:rPr>
                <w:rFonts w:ascii="Times New Roman" w:hAnsi="Times New Roman" w:cs="Times New Roman"/>
                <w:b/>
                <w:color w:val="FFFFFF" w:themeColor="background1"/>
                <w:sz w:val="20"/>
                <w:szCs w:val="16"/>
                <w:lang w:val="ro-RO" w:eastAsia="ru-RU"/>
              </w:rPr>
            </w:pPr>
            <w:r w:rsidRPr="009C5F11">
              <w:rPr>
                <w:rFonts w:ascii="Times New Roman" w:hAnsi="Times New Roman" w:cs="Times New Roman"/>
                <w:b/>
                <w:color w:val="FFFFFF" w:themeColor="background1"/>
                <w:sz w:val="20"/>
                <w:szCs w:val="16"/>
                <w:lang w:val="ro-RO" w:eastAsia="ru-RU"/>
              </w:rPr>
              <w:t>N</w:t>
            </w:r>
          </w:p>
        </w:tc>
        <w:tc>
          <w:tcPr>
            <w:tcW w:w="1660" w:type="dxa"/>
            <w:shd w:val="clear" w:color="auto" w:fill="000080"/>
            <w:vAlign w:val="center"/>
            <w:hideMark/>
          </w:tcPr>
          <w:p w14:paraId="4198230A" w14:textId="77777777" w:rsidR="00E941CE" w:rsidRPr="009C5F11" w:rsidRDefault="00AA0566" w:rsidP="002E2968">
            <w:pPr>
              <w:spacing w:after="0" w:line="240" w:lineRule="auto"/>
              <w:jc w:val="center"/>
              <w:rPr>
                <w:rFonts w:ascii="Times New Roman" w:hAnsi="Times New Roman" w:cs="Times New Roman"/>
                <w:b/>
                <w:color w:val="FFFFFF" w:themeColor="background1"/>
                <w:sz w:val="20"/>
                <w:szCs w:val="16"/>
                <w:lang w:val="ro-RO" w:eastAsia="en-GB"/>
              </w:rPr>
            </w:pPr>
            <w:r w:rsidRPr="009C5F11">
              <w:rPr>
                <w:rFonts w:ascii="Times New Roman" w:hAnsi="Times New Roman" w:cs="Times New Roman"/>
                <w:b/>
                <w:color w:val="FFFFFF" w:themeColor="background1"/>
                <w:sz w:val="20"/>
                <w:szCs w:val="16"/>
                <w:lang w:val="ro-RO" w:eastAsia="ru-RU"/>
              </w:rPr>
              <w:t>APL</w:t>
            </w:r>
          </w:p>
        </w:tc>
        <w:tc>
          <w:tcPr>
            <w:tcW w:w="1222" w:type="dxa"/>
            <w:shd w:val="clear" w:color="auto" w:fill="000080"/>
            <w:vAlign w:val="center"/>
            <w:hideMark/>
          </w:tcPr>
          <w:p w14:paraId="0484FC2C" w14:textId="77777777" w:rsidR="00E941CE" w:rsidRPr="009C5F11" w:rsidRDefault="005F63E1" w:rsidP="007E288F">
            <w:pPr>
              <w:spacing w:after="0" w:line="240" w:lineRule="auto"/>
              <w:jc w:val="center"/>
              <w:rPr>
                <w:rFonts w:ascii="Times New Roman" w:hAnsi="Times New Roman" w:cs="Times New Roman"/>
                <w:b/>
                <w:color w:val="FFFFFF" w:themeColor="background1"/>
                <w:sz w:val="20"/>
                <w:szCs w:val="16"/>
                <w:lang w:val="ro-RO" w:eastAsia="en-GB"/>
              </w:rPr>
            </w:pPr>
            <w:r w:rsidRPr="009C5F11">
              <w:rPr>
                <w:rFonts w:ascii="Times New Roman" w:hAnsi="Times New Roman" w:cs="Times New Roman"/>
                <w:b/>
                <w:color w:val="FFFFFF" w:themeColor="background1"/>
                <w:sz w:val="20"/>
                <w:szCs w:val="16"/>
                <w:lang w:val="ro-RO" w:eastAsia="en-GB"/>
              </w:rPr>
              <w:t>Numărul</w:t>
            </w:r>
            <w:r w:rsidR="00E941CE" w:rsidRPr="009C5F11">
              <w:rPr>
                <w:rFonts w:ascii="Times New Roman" w:hAnsi="Times New Roman" w:cs="Times New Roman"/>
                <w:b/>
                <w:color w:val="FFFFFF" w:themeColor="background1"/>
                <w:sz w:val="20"/>
                <w:szCs w:val="16"/>
                <w:lang w:val="ro-RO" w:eastAsia="en-GB"/>
              </w:rPr>
              <w:t xml:space="preserve"> </w:t>
            </w:r>
            <w:r w:rsidR="007E288F" w:rsidRPr="009C5F11">
              <w:rPr>
                <w:rFonts w:ascii="Times New Roman" w:hAnsi="Times New Roman" w:cs="Times New Roman"/>
                <w:b/>
                <w:color w:val="FFFFFF" w:themeColor="background1"/>
                <w:sz w:val="20"/>
                <w:szCs w:val="16"/>
                <w:lang w:val="ro-RO" w:eastAsia="en-GB"/>
              </w:rPr>
              <w:t>de</w:t>
            </w:r>
            <w:r w:rsidR="00E941CE" w:rsidRPr="009C5F11">
              <w:rPr>
                <w:rFonts w:ascii="Times New Roman" w:hAnsi="Times New Roman" w:cs="Times New Roman"/>
                <w:b/>
                <w:color w:val="FFFFFF" w:themeColor="background1"/>
                <w:sz w:val="20"/>
                <w:szCs w:val="16"/>
                <w:lang w:val="ro-RO" w:eastAsia="en-GB"/>
              </w:rPr>
              <w:t xml:space="preserve"> </w:t>
            </w:r>
            <w:r w:rsidR="00480806" w:rsidRPr="009C5F11">
              <w:rPr>
                <w:rFonts w:ascii="Times New Roman" w:hAnsi="Times New Roman" w:cs="Times New Roman"/>
                <w:b/>
                <w:color w:val="FFFFFF" w:themeColor="background1"/>
                <w:sz w:val="20"/>
                <w:szCs w:val="16"/>
                <w:lang w:val="ro-RO" w:eastAsia="en-GB"/>
              </w:rPr>
              <w:t>beneficiari</w:t>
            </w:r>
          </w:p>
        </w:tc>
        <w:tc>
          <w:tcPr>
            <w:tcW w:w="1956" w:type="dxa"/>
            <w:shd w:val="clear" w:color="auto" w:fill="000080"/>
            <w:vAlign w:val="center"/>
            <w:hideMark/>
          </w:tcPr>
          <w:p w14:paraId="7CCAC6AC" w14:textId="77777777" w:rsidR="00E941CE" w:rsidRPr="009C5F11" w:rsidRDefault="007E288F" w:rsidP="002E2968">
            <w:pPr>
              <w:spacing w:after="0" w:line="240" w:lineRule="auto"/>
              <w:jc w:val="center"/>
              <w:rPr>
                <w:rFonts w:ascii="Times New Roman" w:hAnsi="Times New Roman" w:cs="Times New Roman"/>
                <w:b/>
                <w:color w:val="FFFFFF" w:themeColor="background1"/>
                <w:sz w:val="20"/>
                <w:szCs w:val="16"/>
                <w:lang w:val="ro-RO" w:eastAsia="en-GB"/>
              </w:rPr>
            </w:pPr>
            <w:r w:rsidRPr="009C5F11">
              <w:rPr>
                <w:rFonts w:ascii="Times New Roman" w:hAnsi="Times New Roman" w:cs="Times New Roman"/>
                <w:b/>
                <w:color w:val="FFFFFF" w:themeColor="background1"/>
                <w:sz w:val="20"/>
                <w:szCs w:val="16"/>
                <w:lang w:val="ro-RO" w:eastAsia="ru-RU"/>
              </w:rPr>
              <w:t>F</w:t>
            </w:r>
            <w:r w:rsidR="007F77BE" w:rsidRPr="009C5F11">
              <w:rPr>
                <w:rFonts w:ascii="Times New Roman" w:hAnsi="Times New Roman" w:cs="Times New Roman"/>
                <w:b/>
                <w:color w:val="FFFFFF" w:themeColor="background1"/>
                <w:sz w:val="20"/>
                <w:szCs w:val="16"/>
                <w:lang w:val="ro-RO" w:eastAsia="ru-RU"/>
              </w:rPr>
              <w:t>onduri</w:t>
            </w:r>
            <w:r w:rsidRPr="009C5F11">
              <w:rPr>
                <w:rFonts w:ascii="Times New Roman" w:hAnsi="Times New Roman" w:cs="Times New Roman"/>
                <w:b/>
                <w:color w:val="FFFFFF" w:themeColor="background1"/>
                <w:sz w:val="20"/>
                <w:szCs w:val="16"/>
                <w:lang w:val="ro-RO" w:eastAsia="ru-RU"/>
              </w:rPr>
              <w:t xml:space="preserve"> alocate, e</w:t>
            </w:r>
            <w:r w:rsidR="00E941CE" w:rsidRPr="009C5F11">
              <w:rPr>
                <w:rFonts w:ascii="Times New Roman" w:hAnsi="Times New Roman" w:cs="Times New Roman"/>
                <w:b/>
                <w:color w:val="FFFFFF" w:themeColor="background1"/>
                <w:sz w:val="20"/>
                <w:szCs w:val="16"/>
                <w:lang w:val="ro-RO" w:eastAsia="ru-RU"/>
              </w:rPr>
              <w:t>uro</w:t>
            </w:r>
          </w:p>
        </w:tc>
      </w:tr>
      <w:tr w:rsidR="00E941CE" w:rsidRPr="009C5F11" w14:paraId="7E1C5EC7" w14:textId="77777777" w:rsidTr="002E2968">
        <w:trPr>
          <w:trHeight w:val="204"/>
          <w:jc w:val="center"/>
        </w:trPr>
        <w:tc>
          <w:tcPr>
            <w:tcW w:w="869" w:type="dxa"/>
          </w:tcPr>
          <w:p w14:paraId="23972F2A"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1.</w:t>
            </w:r>
          </w:p>
        </w:tc>
        <w:tc>
          <w:tcPr>
            <w:tcW w:w="1660" w:type="dxa"/>
            <w:shd w:val="clear" w:color="auto" w:fill="auto"/>
            <w:vAlign w:val="center"/>
            <w:hideMark/>
          </w:tcPr>
          <w:p w14:paraId="79F93339"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Mun. Chișinău</w:t>
            </w:r>
          </w:p>
        </w:tc>
        <w:tc>
          <w:tcPr>
            <w:tcW w:w="1222" w:type="dxa"/>
            <w:shd w:val="clear" w:color="auto" w:fill="auto"/>
            <w:vAlign w:val="center"/>
            <w:hideMark/>
          </w:tcPr>
          <w:p w14:paraId="682F1128"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11</w:t>
            </w:r>
          </w:p>
        </w:tc>
        <w:tc>
          <w:tcPr>
            <w:tcW w:w="1956" w:type="dxa"/>
            <w:shd w:val="clear" w:color="auto" w:fill="auto"/>
            <w:vAlign w:val="center"/>
            <w:hideMark/>
          </w:tcPr>
          <w:p w14:paraId="70B22AAF"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81,351 </w:t>
            </w:r>
          </w:p>
        </w:tc>
      </w:tr>
      <w:tr w:rsidR="00E941CE" w:rsidRPr="009C5F11" w14:paraId="4197DBA5" w14:textId="77777777" w:rsidTr="002E2968">
        <w:trPr>
          <w:trHeight w:val="204"/>
          <w:jc w:val="center"/>
        </w:trPr>
        <w:tc>
          <w:tcPr>
            <w:tcW w:w="869" w:type="dxa"/>
          </w:tcPr>
          <w:p w14:paraId="216CE504"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w:t>
            </w:r>
          </w:p>
        </w:tc>
        <w:tc>
          <w:tcPr>
            <w:tcW w:w="1660" w:type="dxa"/>
            <w:shd w:val="clear" w:color="auto" w:fill="auto"/>
            <w:vAlign w:val="center"/>
            <w:hideMark/>
          </w:tcPr>
          <w:p w14:paraId="699A9382"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Mun. Bălți</w:t>
            </w:r>
          </w:p>
        </w:tc>
        <w:tc>
          <w:tcPr>
            <w:tcW w:w="1222" w:type="dxa"/>
            <w:shd w:val="clear" w:color="auto" w:fill="auto"/>
            <w:vAlign w:val="center"/>
            <w:hideMark/>
          </w:tcPr>
          <w:p w14:paraId="6A19BFE2"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1</w:t>
            </w:r>
          </w:p>
        </w:tc>
        <w:tc>
          <w:tcPr>
            <w:tcW w:w="1956" w:type="dxa"/>
            <w:shd w:val="clear" w:color="auto" w:fill="auto"/>
            <w:vAlign w:val="center"/>
            <w:hideMark/>
          </w:tcPr>
          <w:p w14:paraId="78E34340"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243,243 </w:t>
            </w:r>
          </w:p>
        </w:tc>
      </w:tr>
      <w:tr w:rsidR="00E941CE" w:rsidRPr="009C5F11" w14:paraId="114220AA" w14:textId="77777777" w:rsidTr="002E2968">
        <w:trPr>
          <w:trHeight w:val="204"/>
          <w:jc w:val="center"/>
        </w:trPr>
        <w:tc>
          <w:tcPr>
            <w:tcW w:w="869" w:type="dxa"/>
          </w:tcPr>
          <w:p w14:paraId="79D22A45"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3.</w:t>
            </w:r>
          </w:p>
        </w:tc>
        <w:tc>
          <w:tcPr>
            <w:tcW w:w="1660" w:type="dxa"/>
            <w:shd w:val="clear" w:color="auto" w:fill="auto"/>
            <w:vAlign w:val="center"/>
            <w:hideMark/>
          </w:tcPr>
          <w:p w14:paraId="0EAC9766" w14:textId="77777777" w:rsidR="00E941CE" w:rsidRPr="009C5F11" w:rsidRDefault="005D06FD"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Anenii Noi</w:t>
            </w:r>
          </w:p>
        </w:tc>
        <w:tc>
          <w:tcPr>
            <w:tcW w:w="1222" w:type="dxa"/>
            <w:shd w:val="clear" w:color="auto" w:fill="auto"/>
            <w:vAlign w:val="center"/>
            <w:hideMark/>
          </w:tcPr>
          <w:p w14:paraId="0E38E120"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20</w:t>
            </w:r>
          </w:p>
        </w:tc>
        <w:tc>
          <w:tcPr>
            <w:tcW w:w="1956" w:type="dxa"/>
            <w:shd w:val="clear" w:color="auto" w:fill="auto"/>
            <w:vAlign w:val="center"/>
            <w:hideMark/>
          </w:tcPr>
          <w:p w14:paraId="37213D86"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545,405 </w:t>
            </w:r>
          </w:p>
        </w:tc>
      </w:tr>
      <w:tr w:rsidR="00E941CE" w:rsidRPr="009C5F11" w14:paraId="22F349CC" w14:textId="77777777" w:rsidTr="002E2968">
        <w:trPr>
          <w:trHeight w:val="204"/>
          <w:jc w:val="center"/>
        </w:trPr>
        <w:tc>
          <w:tcPr>
            <w:tcW w:w="869" w:type="dxa"/>
          </w:tcPr>
          <w:p w14:paraId="30EBCB36"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4.</w:t>
            </w:r>
          </w:p>
        </w:tc>
        <w:tc>
          <w:tcPr>
            <w:tcW w:w="1660" w:type="dxa"/>
            <w:shd w:val="clear" w:color="auto" w:fill="auto"/>
            <w:vAlign w:val="center"/>
            <w:hideMark/>
          </w:tcPr>
          <w:p w14:paraId="60DFABF5"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Basarabeasca</w:t>
            </w:r>
          </w:p>
        </w:tc>
        <w:tc>
          <w:tcPr>
            <w:tcW w:w="1222" w:type="dxa"/>
            <w:shd w:val="clear" w:color="auto" w:fill="auto"/>
            <w:vAlign w:val="center"/>
            <w:hideMark/>
          </w:tcPr>
          <w:p w14:paraId="7FD4D1EF"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12</w:t>
            </w:r>
          </w:p>
        </w:tc>
        <w:tc>
          <w:tcPr>
            <w:tcW w:w="1956" w:type="dxa"/>
            <w:shd w:val="clear" w:color="auto" w:fill="auto"/>
            <w:vAlign w:val="center"/>
            <w:hideMark/>
          </w:tcPr>
          <w:p w14:paraId="2286A84D"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172,973 </w:t>
            </w:r>
          </w:p>
        </w:tc>
      </w:tr>
      <w:tr w:rsidR="00E941CE" w:rsidRPr="009C5F11" w14:paraId="2DEE9CDC" w14:textId="77777777" w:rsidTr="002E2968">
        <w:trPr>
          <w:trHeight w:val="204"/>
          <w:jc w:val="center"/>
        </w:trPr>
        <w:tc>
          <w:tcPr>
            <w:tcW w:w="869" w:type="dxa"/>
          </w:tcPr>
          <w:p w14:paraId="6A62D6F2"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5.</w:t>
            </w:r>
          </w:p>
        </w:tc>
        <w:tc>
          <w:tcPr>
            <w:tcW w:w="1660" w:type="dxa"/>
            <w:shd w:val="clear" w:color="auto" w:fill="auto"/>
            <w:vAlign w:val="center"/>
            <w:hideMark/>
          </w:tcPr>
          <w:p w14:paraId="6CDCF8D3"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Briceni</w:t>
            </w:r>
          </w:p>
        </w:tc>
        <w:tc>
          <w:tcPr>
            <w:tcW w:w="1222" w:type="dxa"/>
            <w:shd w:val="clear" w:color="auto" w:fill="auto"/>
            <w:vAlign w:val="center"/>
            <w:hideMark/>
          </w:tcPr>
          <w:p w14:paraId="74429A9B"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26</w:t>
            </w:r>
          </w:p>
        </w:tc>
        <w:tc>
          <w:tcPr>
            <w:tcW w:w="1956" w:type="dxa"/>
            <w:shd w:val="clear" w:color="auto" w:fill="auto"/>
            <w:vAlign w:val="center"/>
            <w:hideMark/>
          </w:tcPr>
          <w:p w14:paraId="3A321223"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505,405 </w:t>
            </w:r>
          </w:p>
        </w:tc>
      </w:tr>
      <w:tr w:rsidR="00E941CE" w:rsidRPr="009C5F11" w14:paraId="2ED0DD94" w14:textId="77777777" w:rsidTr="002E2968">
        <w:trPr>
          <w:trHeight w:val="204"/>
          <w:jc w:val="center"/>
        </w:trPr>
        <w:tc>
          <w:tcPr>
            <w:tcW w:w="869" w:type="dxa"/>
          </w:tcPr>
          <w:p w14:paraId="36047D16"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6.</w:t>
            </w:r>
          </w:p>
        </w:tc>
        <w:tc>
          <w:tcPr>
            <w:tcW w:w="1660" w:type="dxa"/>
            <w:shd w:val="clear" w:color="auto" w:fill="auto"/>
            <w:vAlign w:val="center"/>
            <w:hideMark/>
          </w:tcPr>
          <w:p w14:paraId="653F94AC"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Cahul</w:t>
            </w:r>
          </w:p>
        </w:tc>
        <w:tc>
          <w:tcPr>
            <w:tcW w:w="1222" w:type="dxa"/>
            <w:shd w:val="clear" w:color="auto" w:fill="auto"/>
            <w:vAlign w:val="center"/>
            <w:hideMark/>
          </w:tcPr>
          <w:p w14:paraId="533788F6"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24</w:t>
            </w:r>
          </w:p>
        </w:tc>
        <w:tc>
          <w:tcPr>
            <w:tcW w:w="1956" w:type="dxa"/>
            <w:shd w:val="clear" w:color="auto" w:fill="auto"/>
            <w:vAlign w:val="center"/>
            <w:hideMark/>
          </w:tcPr>
          <w:p w14:paraId="148E3696"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812,919 </w:t>
            </w:r>
          </w:p>
        </w:tc>
      </w:tr>
      <w:tr w:rsidR="00E941CE" w:rsidRPr="009C5F11" w14:paraId="1AE5347C" w14:textId="77777777" w:rsidTr="002E2968">
        <w:trPr>
          <w:trHeight w:val="204"/>
          <w:jc w:val="center"/>
        </w:trPr>
        <w:tc>
          <w:tcPr>
            <w:tcW w:w="869" w:type="dxa"/>
          </w:tcPr>
          <w:p w14:paraId="1DD13C60"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7.</w:t>
            </w:r>
          </w:p>
        </w:tc>
        <w:tc>
          <w:tcPr>
            <w:tcW w:w="1660" w:type="dxa"/>
            <w:shd w:val="clear" w:color="auto" w:fill="auto"/>
            <w:vAlign w:val="center"/>
            <w:hideMark/>
          </w:tcPr>
          <w:p w14:paraId="7F05FEE5"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Cantemir</w:t>
            </w:r>
          </w:p>
        </w:tc>
        <w:tc>
          <w:tcPr>
            <w:tcW w:w="1222" w:type="dxa"/>
            <w:shd w:val="clear" w:color="auto" w:fill="auto"/>
            <w:vAlign w:val="center"/>
            <w:hideMark/>
          </w:tcPr>
          <w:p w14:paraId="24109719"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12</w:t>
            </w:r>
          </w:p>
        </w:tc>
        <w:tc>
          <w:tcPr>
            <w:tcW w:w="1956" w:type="dxa"/>
            <w:shd w:val="clear" w:color="auto" w:fill="auto"/>
            <w:vAlign w:val="center"/>
            <w:hideMark/>
          </w:tcPr>
          <w:p w14:paraId="2B814FF5"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629,730 </w:t>
            </w:r>
          </w:p>
        </w:tc>
      </w:tr>
      <w:tr w:rsidR="00E941CE" w:rsidRPr="009C5F11" w14:paraId="1C5AD028" w14:textId="77777777" w:rsidTr="002E2968">
        <w:trPr>
          <w:trHeight w:val="204"/>
          <w:jc w:val="center"/>
        </w:trPr>
        <w:tc>
          <w:tcPr>
            <w:tcW w:w="869" w:type="dxa"/>
          </w:tcPr>
          <w:p w14:paraId="661B41A7"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8.</w:t>
            </w:r>
          </w:p>
        </w:tc>
        <w:tc>
          <w:tcPr>
            <w:tcW w:w="1660" w:type="dxa"/>
            <w:shd w:val="clear" w:color="auto" w:fill="auto"/>
            <w:vAlign w:val="center"/>
            <w:hideMark/>
          </w:tcPr>
          <w:p w14:paraId="3EB27DE2"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Călărași</w:t>
            </w:r>
          </w:p>
        </w:tc>
        <w:tc>
          <w:tcPr>
            <w:tcW w:w="1222" w:type="dxa"/>
            <w:shd w:val="clear" w:color="auto" w:fill="auto"/>
            <w:vAlign w:val="center"/>
            <w:hideMark/>
          </w:tcPr>
          <w:p w14:paraId="60941540"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20</w:t>
            </w:r>
          </w:p>
        </w:tc>
        <w:tc>
          <w:tcPr>
            <w:tcW w:w="1956" w:type="dxa"/>
            <w:shd w:val="clear" w:color="auto" w:fill="auto"/>
            <w:vAlign w:val="center"/>
            <w:hideMark/>
          </w:tcPr>
          <w:p w14:paraId="2C002366"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842,703 </w:t>
            </w:r>
          </w:p>
        </w:tc>
      </w:tr>
      <w:tr w:rsidR="00E941CE" w:rsidRPr="009C5F11" w14:paraId="5033E02C" w14:textId="77777777" w:rsidTr="002E2968">
        <w:trPr>
          <w:trHeight w:val="204"/>
          <w:jc w:val="center"/>
        </w:trPr>
        <w:tc>
          <w:tcPr>
            <w:tcW w:w="869" w:type="dxa"/>
          </w:tcPr>
          <w:p w14:paraId="62F048AC"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9.</w:t>
            </w:r>
          </w:p>
        </w:tc>
        <w:tc>
          <w:tcPr>
            <w:tcW w:w="1660" w:type="dxa"/>
            <w:shd w:val="clear" w:color="auto" w:fill="auto"/>
            <w:vAlign w:val="center"/>
            <w:hideMark/>
          </w:tcPr>
          <w:p w14:paraId="3720ECE4"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Căușeni</w:t>
            </w:r>
          </w:p>
        </w:tc>
        <w:tc>
          <w:tcPr>
            <w:tcW w:w="1222" w:type="dxa"/>
            <w:shd w:val="clear" w:color="auto" w:fill="auto"/>
            <w:vAlign w:val="center"/>
            <w:hideMark/>
          </w:tcPr>
          <w:p w14:paraId="052CAAB8"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22</w:t>
            </w:r>
          </w:p>
        </w:tc>
        <w:tc>
          <w:tcPr>
            <w:tcW w:w="1956" w:type="dxa"/>
            <w:shd w:val="clear" w:color="auto" w:fill="auto"/>
            <w:vAlign w:val="center"/>
            <w:hideMark/>
          </w:tcPr>
          <w:p w14:paraId="1D9DF7B0"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515,135 </w:t>
            </w:r>
          </w:p>
        </w:tc>
      </w:tr>
      <w:tr w:rsidR="00E941CE" w:rsidRPr="009C5F11" w14:paraId="422CA9BF" w14:textId="77777777" w:rsidTr="002E2968">
        <w:trPr>
          <w:trHeight w:val="204"/>
          <w:jc w:val="center"/>
        </w:trPr>
        <w:tc>
          <w:tcPr>
            <w:tcW w:w="869" w:type="dxa"/>
          </w:tcPr>
          <w:p w14:paraId="712BCB87"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lastRenderedPageBreak/>
              <w:t>10.</w:t>
            </w:r>
          </w:p>
        </w:tc>
        <w:tc>
          <w:tcPr>
            <w:tcW w:w="1660" w:type="dxa"/>
            <w:shd w:val="clear" w:color="auto" w:fill="auto"/>
            <w:vAlign w:val="center"/>
            <w:hideMark/>
          </w:tcPr>
          <w:p w14:paraId="382BE830"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Cimișlia</w:t>
            </w:r>
          </w:p>
        </w:tc>
        <w:tc>
          <w:tcPr>
            <w:tcW w:w="1222" w:type="dxa"/>
            <w:shd w:val="clear" w:color="auto" w:fill="auto"/>
            <w:vAlign w:val="center"/>
            <w:hideMark/>
          </w:tcPr>
          <w:p w14:paraId="077753E1"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18</w:t>
            </w:r>
          </w:p>
        </w:tc>
        <w:tc>
          <w:tcPr>
            <w:tcW w:w="1956" w:type="dxa"/>
            <w:shd w:val="clear" w:color="auto" w:fill="auto"/>
            <w:vAlign w:val="center"/>
            <w:hideMark/>
          </w:tcPr>
          <w:p w14:paraId="07D99B6F"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917,157 </w:t>
            </w:r>
          </w:p>
        </w:tc>
      </w:tr>
      <w:tr w:rsidR="00E941CE" w:rsidRPr="009C5F11" w14:paraId="246A529E" w14:textId="77777777" w:rsidTr="002E2968">
        <w:trPr>
          <w:trHeight w:val="204"/>
          <w:jc w:val="center"/>
        </w:trPr>
        <w:tc>
          <w:tcPr>
            <w:tcW w:w="869" w:type="dxa"/>
          </w:tcPr>
          <w:p w14:paraId="4678D59C"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11.</w:t>
            </w:r>
          </w:p>
        </w:tc>
        <w:tc>
          <w:tcPr>
            <w:tcW w:w="1660" w:type="dxa"/>
            <w:shd w:val="clear" w:color="auto" w:fill="auto"/>
            <w:vAlign w:val="center"/>
            <w:hideMark/>
          </w:tcPr>
          <w:p w14:paraId="24A7979E"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Criuleni</w:t>
            </w:r>
          </w:p>
        </w:tc>
        <w:tc>
          <w:tcPr>
            <w:tcW w:w="1222" w:type="dxa"/>
            <w:shd w:val="clear" w:color="auto" w:fill="auto"/>
            <w:vAlign w:val="center"/>
            <w:hideMark/>
          </w:tcPr>
          <w:p w14:paraId="4C7048FC"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18</w:t>
            </w:r>
          </w:p>
        </w:tc>
        <w:tc>
          <w:tcPr>
            <w:tcW w:w="1956" w:type="dxa"/>
            <w:shd w:val="clear" w:color="auto" w:fill="auto"/>
            <w:vAlign w:val="center"/>
            <w:hideMark/>
          </w:tcPr>
          <w:p w14:paraId="0AACDB6B"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626,000 </w:t>
            </w:r>
          </w:p>
        </w:tc>
      </w:tr>
      <w:tr w:rsidR="00E941CE" w:rsidRPr="009C5F11" w14:paraId="61566C52" w14:textId="77777777" w:rsidTr="002E2968">
        <w:trPr>
          <w:trHeight w:val="204"/>
          <w:jc w:val="center"/>
        </w:trPr>
        <w:tc>
          <w:tcPr>
            <w:tcW w:w="869" w:type="dxa"/>
          </w:tcPr>
          <w:p w14:paraId="1DF03A76"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12.</w:t>
            </w:r>
          </w:p>
        </w:tc>
        <w:tc>
          <w:tcPr>
            <w:tcW w:w="1660" w:type="dxa"/>
            <w:shd w:val="clear" w:color="auto" w:fill="auto"/>
            <w:vAlign w:val="center"/>
            <w:hideMark/>
          </w:tcPr>
          <w:p w14:paraId="23FF8A26"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Dondușeni</w:t>
            </w:r>
          </w:p>
        </w:tc>
        <w:tc>
          <w:tcPr>
            <w:tcW w:w="1222" w:type="dxa"/>
            <w:shd w:val="clear" w:color="auto" w:fill="auto"/>
            <w:vAlign w:val="center"/>
            <w:hideMark/>
          </w:tcPr>
          <w:p w14:paraId="1D63A002"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11</w:t>
            </w:r>
          </w:p>
        </w:tc>
        <w:tc>
          <w:tcPr>
            <w:tcW w:w="1956" w:type="dxa"/>
            <w:shd w:val="clear" w:color="auto" w:fill="auto"/>
            <w:vAlign w:val="center"/>
            <w:hideMark/>
          </w:tcPr>
          <w:p w14:paraId="11FE3C27"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380,000 </w:t>
            </w:r>
          </w:p>
        </w:tc>
      </w:tr>
      <w:tr w:rsidR="00E941CE" w:rsidRPr="009C5F11" w14:paraId="680E7DF0" w14:textId="77777777" w:rsidTr="002E2968">
        <w:trPr>
          <w:trHeight w:val="204"/>
          <w:jc w:val="center"/>
        </w:trPr>
        <w:tc>
          <w:tcPr>
            <w:tcW w:w="869" w:type="dxa"/>
          </w:tcPr>
          <w:p w14:paraId="4B8682EB"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13.</w:t>
            </w:r>
          </w:p>
        </w:tc>
        <w:tc>
          <w:tcPr>
            <w:tcW w:w="1660" w:type="dxa"/>
            <w:shd w:val="clear" w:color="auto" w:fill="auto"/>
            <w:vAlign w:val="center"/>
            <w:hideMark/>
          </w:tcPr>
          <w:p w14:paraId="02595840"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Drochia</w:t>
            </w:r>
          </w:p>
        </w:tc>
        <w:tc>
          <w:tcPr>
            <w:tcW w:w="1222" w:type="dxa"/>
            <w:shd w:val="clear" w:color="auto" w:fill="auto"/>
            <w:vAlign w:val="center"/>
            <w:hideMark/>
          </w:tcPr>
          <w:p w14:paraId="389B51C9"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23</w:t>
            </w:r>
          </w:p>
        </w:tc>
        <w:tc>
          <w:tcPr>
            <w:tcW w:w="1956" w:type="dxa"/>
            <w:shd w:val="clear" w:color="auto" w:fill="auto"/>
            <w:vAlign w:val="center"/>
            <w:hideMark/>
          </w:tcPr>
          <w:p w14:paraId="399D7140"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653,081 </w:t>
            </w:r>
          </w:p>
        </w:tc>
      </w:tr>
      <w:tr w:rsidR="00E941CE" w:rsidRPr="009C5F11" w14:paraId="51350E7C" w14:textId="77777777" w:rsidTr="002E2968">
        <w:trPr>
          <w:trHeight w:val="204"/>
          <w:jc w:val="center"/>
        </w:trPr>
        <w:tc>
          <w:tcPr>
            <w:tcW w:w="869" w:type="dxa"/>
          </w:tcPr>
          <w:p w14:paraId="0F024A4A"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14.</w:t>
            </w:r>
          </w:p>
        </w:tc>
        <w:tc>
          <w:tcPr>
            <w:tcW w:w="1660" w:type="dxa"/>
            <w:shd w:val="clear" w:color="auto" w:fill="auto"/>
            <w:vAlign w:val="center"/>
            <w:hideMark/>
          </w:tcPr>
          <w:p w14:paraId="65E8B426"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Dubăsari</w:t>
            </w:r>
          </w:p>
        </w:tc>
        <w:tc>
          <w:tcPr>
            <w:tcW w:w="1222" w:type="dxa"/>
            <w:shd w:val="clear" w:color="auto" w:fill="auto"/>
            <w:vAlign w:val="center"/>
            <w:hideMark/>
          </w:tcPr>
          <w:p w14:paraId="2B5409A5"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18</w:t>
            </w:r>
          </w:p>
        </w:tc>
        <w:tc>
          <w:tcPr>
            <w:tcW w:w="1956" w:type="dxa"/>
            <w:shd w:val="clear" w:color="auto" w:fill="auto"/>
            <w:vAlign w:val="center"/>
            <w:hideMark/>
          </w:tcPr>
          <w:p w14:paraId="5202D1BD"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289,189 </w:t>
            </w:r>
          </w:p>
        </w:tc>
      </w:tr>
      <w:tr w:rsidR="00E941CE" w:rsidRPr="009C5F11" w14:paraId="2913048B" w14:textId="77777777" w:rsidTr="002E2968">
        <w:trPr>
          <w:trHeight w:val="204"/>
          <w:jc w:val="center"/>
        </w:trPr>
        <w:tc>
          <w:tcPr>
            <w:tcW w:w="869" w:type="dxa"/>
          </w:tcPr>
          <w:p w14:paraId="7B79882E"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15.</w:t>
            </w:r>
          </w:p>
        </w:tc>
        <w:tc>
          <w:tcPr>
            <w:tcW w:w="1660" w:type="dxa"/>
            <w:shd w:val="clear" w:color="auto" w:fill="auto"/>
            <w:vAlign w:val="center"/>
            <w:hideMark/>
          </w:tcPr>
          <w:p w14:paraId="006A4473"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Edineț</w:t>
            </w:r>
          </w:p>
        </w:tc>
        <w:tc>
          <w:tcPr>
            <w:tcW w:w="1222" w:type="dxa"/>
            <w:shd w:val="clear" w:color="auto" w:fill="auto"/>
            <w:vAlign w:val="center"/>
            <w:hideMark/>
          </w:tcPr>
          <w:p w14:paraId="07D0AD72"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29</w:t>
            </w:r>
          </w:p>
        </w:tc>
        <w:tc>
          <w:tcPr>
            <w:tcW w:w="1956" w:type="dxa"/>
            <w:shd w:val="clear" w:color="auto" w:fill="auto"/>
            <w:vAlign w:val="center"/>
            <w:hideMark/>
          </w:tcPr>
          <w:p w14:paraId="6B9AB4B2"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604,618 </w:t>
            </w:r>
          </w:p>
        </w:tc>
      </w:tr>
      <w:tr w:rsidR="00E941CE" w:rsidRPr="009C5F11" w14:paraId="3D84DF79" w14:textId="77777777" w:rsidTr="002E2968">
        <w:trPr>
          <w:trHeight w:val="204"/>
          <w:jc w:val="center"/>
        </w:trPr>
        <w:tc>
          <w:tcPr>
            <w:tcW w:w="869" w:type="dxa"/>
          </w:tcPr>
          <w:p w14:paraId="59A20BB5"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16.</w:t>
            </w:r>
          </w:p>
        </w:tc>
        <w:tc>
          <w:tcPr>
            <w:tcW w:w="1660" w:type="dxa"/>
            <w:shd w:val="clear" w:color="auto" w:fill="auto"/>
            <w:vAlign w:val="center"/>
            <w:hideMark/>
          </w:tcPr>
          <w:p w14:paraId="38A7F5F9"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Fălești</w:t>
            </w:r>
          </w:p>
        </w:tc>
        <w:tc>
          <w:tcPr>
            <w:tcW w:w="1222" w:type="dxa"/>
            <w:shd w:val="clear" w:color="auto" w:fill="auto"/>
            <w:vAlign w:val="center"/>
            <w:hideMark/>
          </w:tcPr>
          <w:p w14:paraId="1E94156B"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22</w:t>
            </w:r>
          </w:p>
        </w:tc>
        <w:tc>
          <w:tcPr>
            <w:tcW w:w="1956" w:type="dxa"/>
            <w:shd w:val="clear" w:color="auto" w:fill="auto"/>
            <w:vAlign w:val="center"/>
            <w:hideMark/>
          </w:tcPr>
          <w:p w14:paraId="32067A0C"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628,108 </w:t>
            </w:r>
          </w:p>
        </w:tc>
      </w:tr>
      <w:tr w:rsidR="00E941CE" w:rsidRPr="009C5F11" w14:paraId="4992F118" w14:textId="77777777" w:rsidTr="002E2968">
        <w:trPr>
          <w:trHeight w:val="204"/>
          <w:jc w:val="center"/>
        </w:trPr>
        <w:tc>
          <w:tcPr>
            <w:tcW w:w="869" w:type="dxa"/>
          </w:tcPr>
          <w:p w14:paraId="2D7DF8E1"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17.</w:t>
            </w:r>
          </w:p>
        </w:tc>
        <w:tc>
          <w:tcPr>
            <w:tcW w:w="1660" w:type="dxa"/>
            <w:shd w:val="clear" w:color="auto" w:fill="auto"/>
            <w:vAlign w:val="center"/>
            <w:hideMark/>
          </w:tcPr>
          <w:p w14:paraId="54C193FF"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Florești</w:t>
            </w:r>
          </w:p>
        </w:tc>
        <w:tc>
          <w:tcPr>
            <w:tcW w:w="1222" w:type="dxa"/>
            <w:shd w:val="clear" w:color="auto" w:fill="auto"/>
            <w:vAlign w:val="center"/>
            <w:hideMark/>
          </w:tcPr>
          <w:p w14:paraId="215789AF"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26</w:t>
            </w:r>
          </w:p>
        </w:tc>
        <w:tc>
          <w:tcPr>
            <w:tcW w:w="1956" w:type="dxa"/>
            <w:shd w:val="clear" w:color="auto" w:fill="auto"/>
            <w:vAlign w:val="center"/>
            <w:hideMark/>
          </w:tcPr>
          <w:p w14:paraId="3649D591"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676,703 </w:t>
            </w:r>
          </w:p>
        </w:tc>
      </w:tr>
      <w:tr w:rsidR="00E941CE" w:rsidRPr="009C5F11" w14:paraId="1ADFA49A" w14:textId="77777777" w:rsidTr="002E2968">
        <w:trPr>
          <w:trHeight w:val="204"/>
          <w:jc w:val="center"/>
        </w:trPr>
        <w:tc>
          <w:tcPr>
            <w:tcW w:w="869" w:type="dxa"/>
          </w:tcPr>
          <w:p w14:paraId="25380242"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18.</w:t>
            </w:r>
          </w:p>
        </w:tc>
        <w:tc>
          <w:tcPr>
            <w:tcW w:w="1660" w:type="dxa"/>
            <w:shd w:val="clear" w:color="auto" w:fill="auto"/>
            <w:vAlign w:val="center"/>
            <w:hideMark/>
          </w:tcPr>
          <w:p w14:paraId="70BB5DF6"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Glodeni</w:t>
            </w:r>
          </w:p>
        </w:tc>
        <w:tc>
          <w:tcPr>
            <w:tcW w:w="1222" w:type="dxa"/>
            <w:shd w:val="clear" w:color="auto" w:fill="auto"/>
            <w:vAlign w:val="center"/>
            <w:hideMark/>
          </w:tcPr>
          <w:p w14:paraId="5F10AB37"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22</w:t>
            </w:r>
          </w:p>
        </w:tc>
        <w:tc>
          <w:tcPr>
            <w:tcW w:w="1956" w:type="dxa"/>
            <w:shd w:val="clear" w:color="auto" w:fill="auto"/>
            <w:vAlign w:val="center"/>
            <w:hideMark/>
          </w:tcPr>
          <w:p w14:paraId="1D8538C5"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431,892 </w:t>
            </w:r>
          </w:p>
        </w:tc>
      </w:tr>
      <w:tr w:rsidR="00E941CE" w:rsidRPr="009C5F11" w14:paraId="1D9586C6" w14:textId="77777777" w:rsidTr="002E2968">
        <w:trPr>
          <w:trHeight w:val="204"/>
          <w:jc w:val="center"/>
        </w:trPr>
        <w:tc>
          <w:tcPr>
            <w:tcW w:w="869" w:type="dxa"/>
          </w:tcPr>
          <w:p w14:paraId="10BA62EB"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19.</w:t>
            </w:r>
          </w:p>
        </w:tc>
        <w:tc>
          <w:tcPr>
            <w:tcW w:w="1660" w:type="dxa"/>
            <w:shd w:val="clear" w:color="auto" w:fill="auto"/>
            <w:vAlign w:val="center"/>
            <w:hideMark/>
          </w:tcPr>
          <w:p w14:paraId="597182F9"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Hîncești</w:t>
            </w:r>
          </w:p>
        </w:tc>
        <w:tc>
          <w:tcPr>
            <w:tcW w:w="1222" w:type="dxa"/>
            <w:shd w:val="clear" w:color="auto" w:fill="auto"/>
            <w:vAlign w:val="center"/>
            <w:hideMark/>
          </w:tcPr>
          <w:p w14:paraId="72BA6DBC"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40</w:t>
            </w:r>
          </w:p>
        </w:tc>
        <w:tc>
          <w:tcPr>
            <w:tcW w:w="1956" w:type="dxa"/>
            <w:shd w:val="clear" w:color="auto" w:fill="auto"/>
            <w:vAlign w:val="center"/>
            <w:hideMark/>
          </w:tcPr>
          <w:p w14:paraId="7510B8FC"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 1,093,546 </w:t>
            </w:r>
          </w:p>
        </w:tc>
      </w:tr>
      <w:tr w:rsidR="00E941CE" w:rsidRPr="009C5F11" w14:paraId="1285CF53" w14:textId="77777777" w:rsidTr="002E2968">
        <w:trPr>
          <w:trHeight w:val="204"/>
          <w:jc w:val="center"/>
        </w:trPr>
        <w:tc>
          <w:tcPr>
            <w:tcW w:w="869" w:type="dxa"/>
          </w:tcPr>
          <w:p w14:paraId="0C600AB6"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20.</w:t>
            </w:r>
          </w:p>
        </w:tc>
        <w:tc>
          <w:tcPr>
            <w:tcW w:w="1660" w:type="dxa"/>
            <w:shd w:val="clear" w:color="auto" w:fill="auto"/>
            <w:vAlign w:val="center"/>
            <w:hideMark/>
          </w:tcPr>
          <w:p w14:paraId="5B87A51C"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Ialoveni</w:t>
            </w:r>
          </w:p>
        </w:tc>
        <w:tc>
          <w:tcPr>
            <w:tcW w:w="1222" w:type="dxa"/>
            <w:shd w:val="clear" w:color="auto" w:fill="auto"/>
            <w:vAlign w:val="center"/>
            <w:hideMark/>
          </w:tcPr>
          <w:p w14:paraId="7DD5F776"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45</w:t>
            </w:r>
          </w:p>
        </w:tc>
        <w:tc>
          <w:tcPr>
            <w:tcW w:w="1956" w:type="dxa"/>
            <w:shd w:val="clear" w:color="auto" w:fill="auto"/>
            <w:vAlign w:val="center"/>
            <w:hideMark/>
          </w:tcPr>
          <w:p w14:paraId="14837756"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858,919 </w:t>
            </w:r>
          </w:p>
        </w:tc>
      </w:tr>
      <w:tr w:rsidR="00E941CE" w:rsidRPr="009C5F11" w14:paraId="7F89DF57" w14:textId="77777777" w:rsidTr="002E2968">
        <w:trPr>
          <w:trHeight w:val="204"/>
          <w:jc w:val="center"/>
        </w:trPr>
        <w:tc>
          <w:tcPr>
            <w:tcW w:w="869" w:type="dxa"/>
          </w:tcPr>
          <w:p w14:paraId="326F55A8"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21.</w:t>
            </w:r>
          </w:p>
        </w:tc>
        <w:tc>
          <w:tcPr>
            <w:tcW w:w="1660" w:type="dxa"/>
            <w:shd w:val="clear" w:color="auto" w:fill="auto"/>
            <w:vAlign w:val="center"/>
            <w:hideMark/>
          </w:tcPr>
          <w:p w14:paraId="7435D1D7"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Leova</w:t>
            </w:r>
          </w:p>
        </w:tc>
        <w:tc>
          <w:tcPr>
            <w:tcW w:w="1222" w:type="dxa"/>
            <w:shd w:val="clear" w:color="auto" w:fill="auto"/>
            <w:vAlign w:val="center"/>
            <w:hideMark/>
          </w:tcPr>
          <w:p w14:paraId="4FC00DB4"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23</w:t>
            </w:r>
          </w:p>
        </w:tc>
        <w:tc>
          <w:tcPr>
            <w:tcW w:w="1956" w:type="dxa"/>
            <w:shd w:val="clear" w:color="auto" w:fill="auto"/>
            <w:vAlign w:val="center"/>
            <w:hideMark/>
          </w:tcPr>
          <w:p w14:paraId="15DAA21D"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575,135 </w:t>
            </w:r>
          </w:p>
        </w:tc>
      </w:tr>
      <w:tr w:rsidR="00E941CE" w:rsidRPr="009C5F11" w14:paraId="25B92750" w14:textId="77777777" w:rsidTr="002E2968">
        <w:trPr>
          <w:trHeight w:val="204"/>
          <w:jc w:val="center"/>
        </w:trPr>
        <w:tc>
          <w:tcPr>
            <w:tcW w:w="869" w:type="dxa"/>
          </w:tcPr>
          <w:p w14:paraId="6749FE45"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22.</w:t>
            </w:r>
          </w:p>
        </w:tc>
        <w:tc>
          <w:tcPr>
            <w:tcW w:w="1660" w:type="dxa"/>
            <w:shd w:val="clear" w:color="auto" w:fill="auto"/>
            <w:vAlign w:val="center"/>
            <w:hideMark/>
          </w:tcPr>
          <w:p w14:paraId="1CAC8C0A"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Nisporeni</w:t>
            </w:r>
          </w:p>
        </w:tc>
        <w:tc>
          <w:tcPr>
            <w:tcW w:w="1222" w:type="dxa"/>
            <w:shd w:val="clear" w:color="auto" w:fill="auto"/>
            <w:vAlign w:val="center"/>
            <w:hideMark/>
          </w:tcPr>
          <w:p w14:paraId="22850F7C"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27</w:t>
            </w:r>
          </w:p>
        </w:tc>
        <w:tc>
          <w:tcPr>
            <w:tcW w:w="1956" w:type="dxa"/>
            <w:shd w:val="clear" w:color="auto" w:fill="auto"/>
            <w:vAlign w:val="center"/>
            <w:hideMark/>
          </w:tcPr>
          <w:p w14:paraId="65AFD632"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 1,274,270 </w:t>
            </w:r>
          </w:p>
        </w:tc>
      </w:tr>
      <w:tr w:rsidR="00E941CE" w:rsidRPr="009C5F11" w14:paraId="3FD26F52" w14:textId="77777777" w:rsidTr="002E2968">
        <w:trPr>
          <w:trHeight w:val="204"/>
          <w:jc w:val="center"/>
        </w:trPr>
        <w:tc>
          <w:tcPr>
            <w:tcW w:w="869" w:type="dxa"/>
          </w:tcPr>
          <w:p w14:paraId="4B25F829"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23.</w:t>
            </w:r>
          </w:p>
        </w:tc>
        <w:tc>
          <w:tcPr>
            <w:tcW w:w="1660" w:type="dxa"/>
            <w:shd w:val="clear" w:color="auto" w:fill="auto"/>
            <w:vAlign w:val="center"/>
            <w:hideMark/>
          </w:tcPr>
          <w:p w14:paraId="0AAE1D68"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Ocnița</w:t>
            </w:r>
          </w:p>
        </w:tc>
        <w:tc>
          <w:tcPr>
            <w:tcW w:w="1222" w:type="dxa"/>
            <w:shd w:val="clear" w:color="auto" w:fill="auto"/>
            <w:vAlign w:val="center"/>
            <w:hideMark/>
          </w:tcPr>
          <w:p w14:paraId="54AAD075"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15</w:t>
            </w:r>
          </w:p>
        </w:tc>
        <w:tc>
          <w:tcPr>
            <w:tcW w:w="1956" w:type="dxa"/>
            <w:shd w:val="clear" w:color="auto" w:fill="auto"/>
            <w:vAlign w:val="center"/>
            <w:hideMark/>
          </w:tcPr>
          <w:p w14:paraId="380C02C1"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309,730 </w:t>
            </w:r>
          </w:p>
        </w:tc>
      </w:tr>
      <w:tr w:rsidR="00E941CE" w:rsidRPr="009C5F11" w14:paraId="2C635469" w14:textId="77777777" w:rsidTr="002E2968">
        <w:trPr>
          <w:trHeight w:val="204"/>
          <w:jc w:val="center"/>
        </w:trPr>
        <w:tc>
          <w:tcPr>
            <w:tcW w:w="869" w:type="dxa"/>
          </w:tcPr>
          <w:p w14:paraId="07056207"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24.</w:t>
            </w:r>
          </w:p>
        </w:tc>
        <w:tc>
          <w:tcPr>
            <w:tcW w:w="1660" w:type="dxa"/>
            <w:shd w:val="clear" w:color="auto" w:fill="auto"/>
            <w:vAlign w:val="center"/>
            <w:hideMark/>
          </w:tcPr>
          <w:p w14:paraId="748E53B9"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Orhei</w:t>
            </w:r>
          </w:p>
        </w:tc>
        <w:tc>
          <w:tcPr>
            <w:tcW w:w="1222" w:type="dxa"/>
            <w:shd w:val="clear" w:color="auto" w:fill="auto"/>
            <w:vAlign w:val="center"/>
            <w:hideMark/>
          </w:tcPr>
          <w:p w14:paraId="132ECE5B"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80</w:t>
            </w:r>
          </w:p>
        </w:tc>
        <w:tc>
          <w:tcPr>
            <w:tcW w:w="1956" w:type="dxa"/>
            <w:shd w:val="clear" w:color="auto" w:fill="auto"/>
            <w:vAlign w:val="center"/>
            <w:hideMark/>
          </w:tcPr>
          <w:p w14:paraId="05AF2D23"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 1,058,919 </w:t>
            </w:r>
          </w:p>
        </w:tc>
      </w:tr>
      <w:tr w:rsidR="00E941CE" w:rsidRPr="009C5F11" w14:paraId="35F0B2DC" w14:textId="77777777" w:rsidTr="002E2968">
        <w:trPr>
          <w:trHeight w:val="204"/>
          <w:jc w:val="center"/>
        </w:trPr>
        <w:tc>
          <w:tcPr>
            <w:tcW w:w="869" w:type="dxa"/>
          </w:tcPr>
          <w:p w14:paraId="79A9F890"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25.</w:t>
            </w:r>
          </w:p>
        </w:tc>
        <w:tc>
          <w:tcPr>
            <w:tcW w:w="1660" w:type="dxa"/>
            <w:shd w:val="clear" w:color="auto" w:fill="auto"/>
            <w:vAlign w:val="center"/>
            <w:hideMark/>
          </w:tcPr>
          <w:p w14:paraId="08B1A3E7"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Rezina</w:t>
            </w:r>
          </w:p>
        </w:tc>
        <w:tc>
          <w:tcPr>
            <w:tcW w:w="1222" w:type="dxa"/>
            <w:shd w:val="clear" w:color="auto" w:fill="auto"/>
            <w:vAlign w:val="center"/>
            <w:hideMark/>
          </w:tcPr>
          <w:p w14:paraId="21E98480"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34</w:t>
            </w:r>
          </w:p>
        </w:tc>
        <w:tc>
          <w:tcPr>
            <w:tcW w:w="1956" w:type="dxa"/>
            <w:shd w:val="clear" w:color="auto" w:fill="auto"/>
            <w:vAlign w:val="center"/>
            <w:hideMark/>
          </w:tcPr>
          <w:p w14:paraId="168CE317"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525,189 </w:t>
            </w:r>
          </w:p>
        </w:tc>
      </w:tr>
      <w:tr w:rsidR="00E941CE" w:rsidRPr="009C5F11" w14:paraId="41C6D295" w14:textId="77777777" w:rsidTr="002E2968">
        <w:trPr>
          <w:trHeight w:val="204"/>
          <w:jc w:val="center"/>
        </w:trPr>
        <w:tc>
          <w:tcPr>
            <w:tcW w:w="869" w:type="dxa"/>
          </w:tcPr>
          <w:p w14:paraId="6E0A8307"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26.</w:t>
            </w:r>
          </w:p>
        </w:tc>
        <w:tc>
          <w:tcPr>
            <w:tcW w:w="1660" w:type="dxa"/>
            <w:shd w:val="clear" w:color="auto" w:fill="auto"/>
            <w:vAlign w:val="center"/>
            <w:hideMark/>
          </w:tcPr>
          <w:p w14:paraId="24518CF8"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Rîșcani</w:t>
            </w:r>
          </w:p>
        </w:tc>
        <w:tc>
          <w:tcPr>
            <w:tcW w:w="1222" w:type="dxa"/>
            <w:shd w:val="clear" w:color="auto" w:fill="auto"/>
            <w:vAlign w:val="center"/>
            <w:hideMark/>
          </w:tcPr>
          <w:p w14:paraId="6799CF72"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21</w:t>
            </w:r>
          </w:p>
        </w:tc>
        <w:tc>
          <w:tcPr>
            <w:tcW w:w="1956" w:type="dxa"/>
            <w:shd w:val="clear" w:color="auto" w:fill="auto"/>
            <w:vAlign w:val="center"/>
            <w:hideMark/>
          </w:tcPr>
          <w:p w14:paraId="12B841F3"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375,676 </w:t>
            </w:r>
          </w:p>
        </w:tc>
      </w:tr>
      <w:tr w:rsidR="00E941CE" w:rsidRPr="009C5F11" w14:paraId="12B1B202" w14:textId="77777777" w:rsidTr="002E2968">
        <w:trPr>
          <w:trHeight w:val="204"/>
          <w:jc w:val="center"/>
        </w:trPr>
        <w:tc>
          <w:tcPr>
            <w:tcW w:w="869" w:type="dxa"/>
          </w:tcPr>
          <w:p w14:paraId="038966AA"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27.</w:t>
            </w:r>
          </w:p>
        </w:tc>
        <w:tc>
          <w:tcPr>
            <w:tcW w:w="1660" w:type="dxa"/>
            <w:shd w:val="clear" w:color="auto" w:fill="auto"/>
            <w:vAlign w:val="center"/>
            <w:hideMark/>
          </w:tcPr>
          <w:p w14:paraId="493434A4"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Sîngerei</w:t>
            </w:r>
          </w:p>
        </w:tc>
        <w:tc>
          <w:tcPr>
            <w:tcW w:w="1222" w:type="dxa"/>
            <w:shd w:val="clear" w:color="auto" w:fill="auto"/>
            <w:vAlign w:val="center"/>
            <w:hideMark/>
          </w:tcPr>
          <w:p w14:paraId="72D449D9"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35</w:t>
            </w:r>
          </w:p>
        </w:tc>
        <w:tc>
          <w:tcPr>
            <w:tcW w:w="1956" w:type="dxa"/>
            <w:shd w:val="clear" w:color="auto" w:fill="auto"/>
            <w:vAlign w:val="center"/>
            <w:hideMark/>
          </w:tcPr>
          <w:p w14:paraId="5521F49B"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591,568 </w:t>
            </w:r>
          </w:p>
        </w:tc>
      </w:tr>
      <w:tr w:rsidR="00E941CE" w:rsidRPr="009C5F11" w14:paraId="4E31E9DB" w14:textId="77777777" w:rsidTr="002E2968">
        <w:trPr>
          <w:trHeight w:val="204"/>
          <w:jc w:val="center"/>
        </w:trPr>
        <w:tc>
          <w:tcPr>
            <w:tcW w:w="869" w:type="dxa"/>
          </w:tcPr>
          <w:p w14:paraId="4606A615"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28.</w:t>
            </w:r>
          </w:p>
        </w:tc>
        <w:tc>
          <w:tcPr>
            <w:tcW w:w="1660" w:type="dxa"/>
            <w:shd w:val="clear" w:color="auto" w:fill="auto"/>
            <w:vAlign w:val="center"/>
            <w:hideMark/>
          </w:tcPr>
          <w:p w14:paraId="081E45AE"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Soroca</w:t>
            </w:r>
          </w:p>
        </w:tc>
        <w:tc>
          <w:tcPr>
            <w:tcW w:w="1222" w:type="dxa"/>
            <w:shd w:val="clear" w:color="auto" w:fill="auto"/>
            <w:vAlign w:val="center"/>
            <w:hideMark/>
          </w:tcPr>
          <w:p w14:paraId="0C63D3B8"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31</w:t>
            </w:r>
          </w:p>
        </w:tc>
        <w:tc>
          <w:tcPr>
            <w:tcW w:w="1956" w:type="dxa"/>
            <w:shd w:val="clear" w:color="auto" w:fill="auto"/>
            <w:vAlign w:val="center"/>
            <w:hideMark/>
          </w:tcPr>
          <w:p w14:paraId="6CBDF376"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787,892 </w:t>
            </w:r>
          </w:p>
        </w:tc>
      </w:tr>
      <w:tr w:rsidR="00E941CE" w:rsidRPr="009C5F11" w14:paraId="07FE35DB" w14:textId="77777777" w:rsidTr="002E2968">
        <w:trPr>
          <w:trHeight w:val="204"/>
          <w:jc w:val="center"/>
        </w:trPr>
        <w:tc>
          <w:tcPr>
            <w:tcW w:w="869" w:type="dxa"/>
          </w:tcPr>
          <w:p w14:paraId="6BE5574A"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29.</w:t>
            </w:r>
          </w:p>
        </w:tc>
        <w:tc>
          <w:tcPr>
            <w:tcW w:w="1660" w:type="dxa"/>
            <w:shd w:val="clear" w:color="auto" w:fill="auto"/>
            <w:vAlign w:val="center"/>
            <w:hideMark/>
          </w:tcPr>
          <w:p w14:paraId="58529ED4"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Strășeni</w:t>
            </w:r>
          </w:p>
        </w:tc>
        <w:tc>
          <w:tcPr>
            <w:tcW w:w="1222" w:type="dxa"/>
            <w:shd w:val="clear" w:color="auto" w:fill="auto"/>
            <w:vAlign w:val="center"/>
            <w:hideMark/>
          </w:tcPr>
          <w:p w14:paraId="74A4090C"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27</w:t>
            </w:r>
          </w:p>
        </w:tc>
        <w:tc>
          <w:tcPr>
            <w:tcW w:w="1956" w:type="dxa"/>
            <w:shd w:val="clear" w:color="auto" w:fill="auto"/>
            <w:vAlign w:val="center"/>
            <w:hideMark/>
          </w:tcPr>
          <w:p w14:paraId="53FC0FFD"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712,378 </w:t>
            </w:r>
          </w:p>
        </w:tc>
      </w:tr>
      <w:tr w:rsidR="00E941CE" w:rsidRPr="009C5F11" w14:paraId="059E81E2" w14:textId="77777777" w:rsidTr="002E2968">
        <w:trPr>
          <w:trHeight w:val="204"/>
          <w:jc w:val="center"/>
        </w:trPr>
        <w:tc>
          <w:tcPr>
            <w:tcW w:w="869" w:type="dxa"/>
          </w:tcPr>
          <w:p w14:paraId="3E64B6F9"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30.</w:t>
            </w:r>
          </w:p>
        </w:tc>
        <w:tc>
          <w:tcPr>
            <w:tcW w:w="1660" w:type="dxa"/>
            <w:shd w:val="clear" w:color="auto" w:fill="auto"/>
            <w:vAlign w:val="center"/>
            <w:hideMark/>
          </w:tcPr>
          <w:p w14:paraId="38CC52F0"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Șoldănești</w:t>
            </w:r>
          </w:p>
        </w:tc>
        <w:tc>
          <w:tcPr>
            <w:tcW w:w="1222" w:type="dxa"/>
            <w:shd w:val="clear" w:color="auto" w:fill="auto"/>
            <w:vAlign w:val="center"/>
            <w:hideMark/>
          </w:tcPr>
          <w:p w14:paraId="11968AEC"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11</w:t>
            </w:r>
          </w:p>
        </w:tc>
        <w:tc>
          <w:tcPr>
            <w:tcW w:w="1956" w:type="dxa"/>
            <w:shd w:val="clear" w:color="auto" w:fill="auto"/>
            <w:vAlign w:val="center"/>
            <w:hideMark/>
          </w:tcPr>
          <w:p w14:paraId="575C2905"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458,919 </w:t>
            </w:r>
          </w:p>
        </w:tc>
      </w:tr>
      <w:tr w:rsidR="00E941CE" w:rsidRPr="009C5F11" w14:paraId="5D77D383" w14:textId="77777777" w:rsidTr="002E2968">
        <w:trPr>
          <w:trHeight w:val="204"/>
          <w:jc w:val="center"/>
        </w:trPr>
        <w:tc>
          <w:tcPr>
            <w:tcW w:w="869" w:type="dxa"/>
          </w:tcPr>
          <w:p w14:paraId="2CE95F25"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31.</w:t>
            </w:r>
          </w:p>
        </w:tc>
        <w:tc>
          <w:tcPr>
            <w:tcW w:w="1660" w:type="dxa"/>
            <w:shd w:val="clear" w:color="auto" w:fill="auto"/>
            <w:vAlign w:val="center"/>
            <w:hideMark/>
          </w:tcPr>
          <w:p w14:paraId="0FF3D015"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Ștefan Vodă</w:t>
            </w:r>
          </w:p>
        </w:tc>
        <w:tc>
          <w:tcPr>
            <w:tcW w:w="1222" w:type="dxa"/>
            <w:shd w:val="clear" w:color="auto" w:fill="auto"/>
            <w:vAlign w:val="center"/>
            <w:hideMark/>
          </w:tcPr>
          <w:p w14:paraId="17826D9A"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24</w:t>
            </w:r>
          </w:p>
        </w:tc>
        <w:tc>
          <w:tcPr>
            <w:tcW w:w="1956" w:type="dxa"/>
            <w:shd w:val="clear" w:color="auto" w:fill="auto"/>
            <w:vAlign w:val="center"/>
            <w:hideMark/>
          </w:tcPr>
          <w:p w14:paraId="01B37ABA"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747,676 </w:t>
            </w:r>
          </w:p>
        </w:tc>
      </w:tr>
      <w:tr w:rsidR="00E941CE" w:rsidRPr="009C5F11" w14:paraId="72C2D741" w14:textId="77777777" w:rsidTr="002E2968">
        <w:trPr>
          <w:trHeight w:val="204"/>
          <w:jc w:val="center"/>
        </w:trPr>
        <w:tc>
          <w:tcPr>
            <w:tcW w:w="869" w:type="dxa"/>
          </w:tcPr>
          <w:p w14:paraId="58FA2D4B"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32.</w:t>
            </w:r>
          </w:p>
        </w:tc>
        <w:tc>
          <w:tcPr>
            <w:tcW w:w="1660" w:type="dxa"/>
            <w:shd w:val="clear" w:color="auto" w:fill="auto"/>
            <w:vAlign w:val="center"/>
            <w:hideMark/>
          </w:tcPr>
          <w:p w14:paraId="10A88BE3"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Taraclia</w:t>
            </w:r>
          </w:p>
        </w:tc>
        <w:tc>
          <w:tcPr>
            <w:tcW w:w="1222" w:type="dxa"/>
            <w:shd w:val="clear" w:color="auto" w:fill="auto"/>
            <w:vAlign w:val="center"/>
            <w:hideMark/>
          </w:tcPr>
          <w:p w14:paraId="2D0B3DB0"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4</w:t>
            </w:r>
          </w:p>
        </w:tc>
        <w:tc>
          <w:tcPr>
            <w:tcW w:w="1956" w:type="dxa"/>
            <w:shd w:val="clear" w:color="auto" w:fill="auto"/>
            <w:vAlign w:val="center"/>
            <w:hideMark/>
          </w:tcPr>
          <w:p w14:paraId="234A4196"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139,459 </w:t>
            </w:r>
          </w:p>
        </w:tc>
      </w:tr>
      <w:tr w:rsidR="00E941CE" w:rsidRPr="009C5F11" w14:paraId="7D6B79A8" w14:textId="77777777" w:rsidTr="002E2968">
        <w:trPr>
          <w:trHeight w:val="204"/>
          <w:jc w:val="center"/>
        </w:trPr>
        <w:tc>
          <w:tcPr>
            <w:tcW w:w="869" w:type="dxa"/>
          </w:tcPr>
          <w:p w14:paraId="37C8C88F"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33.</w:t>
            </w:r>
          </w:p>
        </w:tc>
        <w:tc>
          <w:tcPr>
            <w:tcW w:w="1660" w:type="dxa"/>
            <w:shd w:val="clear" w:color="auto" w:fill="auto"/>
            <w:vAlign w:val="center"/>
            <w:hideMark/>
          </w:tcPr>
          <w:p w14:paraId="2CC2D7D0"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Telenești</w:t>
            </w:r>
          </w:p>
        </w:tc>
        <w:tc>
          <w:tcPr>
            <w:tcW w:w="1222" w:type="dxa"/>
            <w:shd w:val="clear" w:color="auto" w:fill="auto"/>
            <w:vAlign w:val="center"/>
            <w:hideMark/>
          </w:tcPr>
          <w:p w14:paraId="49DE1370"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31</w:t>
            </w:r>
          </w:p>
        </w:tc>
        <w:tc>
          <w:tcPr>
            <w:tcW w:w="1956" w:type="dxa"/>
            <w:shd w:val="clear" w:color="auto" w:fill="auto"/>
            <w:vAlign w:val="center"/>
            <w:hideMark/>
          </w:tcPr>
          <w:p w14:paraId="679C9776"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591,351 </w:t>
            </w:r>
          </w:p>
        </w:tc>
      </w:tr>
      <w:tr w:rsidR="00E941CE" w:rsidRPr="009C5F11" w14:paraId="715D135C" w14:textId="77777777" w:rsidTr="002E2968">
        <w:trPr>
          <w:trHeight w:val="204"/>
          <w:jc w:val="center"/>
        </w:trPr>
        <w:tc>
          <w:tcPr>
            <w:tcW w:w="869" w:type="dxa"/>
          </w:tcPr>
          <w:p w14:paraId="1F272289"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34.</w:t>
            </w:r>
          </w:p>
        </w:tc>
        <w:tc>
          <w:tcPr>
            <w:tcW w:w="1660" w:type="dxa"/>
            <w:shd w:val="clear" w:color="auto" w:fill="auto"/>
            <w:vAlign w:val="center"/>
            <w:hideMark/>
          </w:tcPr>
          <w:p w14:paraId="3B64A907"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Ungheni</w:t>
            </w:r>
          </w:p>
        </w:tc>
        <w:tc>
          <w:tcPr>
            <w:tcW w:w="1222" w:type="dxa"/>
            <w:shd w:val="clear" w:color="auto" w:fill="auto"/>
            <w:vAlign w:val="center"/>
            <w:hideMark/>
          </w:tcPr>
          <w:p w14:paraId="1FB5416B"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39</w:t>
            </w:r>
          </w:p>
        </w:tc>
        <w:tc>
          <w:tcPr>
            <w:tcW w:w="1956" w:type="dxa"/>
            <w:shd w:val="clear" w:color="auto" w:fill="auto"/>
            <w:vAlign w:val="center"/>
            <w:hideMark/>
          </w:tcPr>
          <w:p w14:paraId="079B717A"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734,595 </w:t>
            </w:r>
          </w:p>
        </w:tc>
      </w:tr>
      <w:tr w:rsidR="00E941CE" w:rsidRPr="009C5F11" w14:paraId="4D3A13E0" w14:textId="77777777" w:rsidTr="002E2968">
        <w:trPr>
          <w:trHeight w:val="204"/>
          <w:jc w:val="center"/>
        </w:trPr>
        <w:tc>
          <w:tcPr>
            <w:tcW w:w="869" w:type="dxa"/>
          </w:tcPr>
          <w:p w14:paraId="1ABC998D"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ru-RU"/>
              </w:rPr>
            </w:pPr>
            <w:r w:rsidRPr="009C5F11">
              <w:rPr>
                <w:rFonts w:ascii="Times New Roman" w:hAnsi="Times New Roman" w:cs="Times New Roman"/>
                <w:color w:val="000000"/>
                <w:sz w:val="20"/>
                <w:szCs w:val="16"/>
                <w:lang w:val="ro-RO" w:eastAsia="ru-RU"/>
              </w:rPr>
              <w:t>35.</w:t>
            </w:r>
          </w:p>
        </w:tc>
        <w:tc>
          <w:tcPr>
            <w:tcW w:w="1660" w:type="dxa"/>
            <w:shd w:val="clear" w:color="auto" w:fill="auto"/>
            <w:vAlign w:val="center"/>
            <w:hideMark/>
          </w:tcPr>
          <w:p w14:paraId="505B63B4" w14:textId="77777777" w:rsidR="00E941CE" w:rsidRPr="009C5F11" w:rsidRDefault="00E941CE" w:rsidP="009B0244">
            <w:pPr>
              <w:spacing w:after="0" w:line="240" w:lineRule="auto"/>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ATU Găgăuzia</w:t>
            </w:r>
          </w:p>
        </w:tc>
        <w:tc>
          <w:tcPr>
            <w:tcW w:w="1222" w:type="dxa"/>
            <w:shd w:val="clear" w:color="auto" w:fill="auto"/>
            <w:vAlign w:val="center"/>
            <w:hideMark/>
          </w:tcPr>
          <w:p w14:paraId="5D0CD40B" w14:textId="77777777" w:rsidR="00E941CE" w:rsidRPr="009C5F11" w:rsidRDefault="00E941CE"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en-GB"/>
              </w:rPr>
              <w:t>47</w:t>
            </w:r>
          </w:p>
        </w:tc>
        <w:tc>
          <w:tcPr>
            <w:tcW w:w="1956" w:type="dxa"/>
            <w:shd w:val="clear" w:color="auto" w:fill="auto"/>
            <w:vAlign w:val="center"/>
            <w:hideMark/>
          </w:tcPr>
          <w:p w14:paraId="502F9A2A" w14:textId="77777777" w:rsidR="00E941CE" w:rsidRPr="009C5F11" w:rsidRDefault="00055095" w:rsidP="009B0244">
            <w:pPr>
              <w:spacing w:after="0" w:line="240" w:lineRule="auto"/>
              <w:jc w:val="right"/>
              <w:rPr>
                <w:rFonts w:ascii="Times New Roman" w:hAnsi="Times New Roman" w:cs="Times New Roman"/>
                <w:color w:val="000000"/>
                <w:sz w:val="20"/>
                <w:szCs w:val="16"/>
                <w:lang w:val="ro-RO" w:eastAsia="en-GB"/>
              </w:rPr>
            </w:pPr>
            <w:r w:rsidRPr="009C5F11">
              <w:rPr>
                <w:rFonts w:ascii="Times New Roman" w:hAnsi="Times New Roman" w:cs="Times New Roman"/>
                <w:color w:val="000000"/>
                <w:sz w:val="20"/>
                <w:szCs w:val="16"/>
                <w:lang w:val="ro-RO" w:eastAsia="ru-RU"/>
              </w:rPr>
              <w:t xml:space="preserve">        </w:t>
            </w:r>
            <w:r w:rsidR="00E941CE" w:rsidRPr="009C5F11">
              <w:rPr>
                <w:rFonts w:ascii="Times New Roman" w:hAnsi="Times New Roman" w:cs="Times New Roman"/>
                <w:color w:val="000000"/>
                <w:sz w:val="20"/>
                <w:szCs w:val="16"/>
                <w:lang w:val="ro-RO" w:eastAsia="ru-RU"/>
              </w:rPr>
              <w:t xml:space="preserve">496,216 </w:t>
            </w:r>
          </w:p>
        </w:tc>
      </w:tr>
      <w:tr w:rsidR="00E941CE" w:rsidRPr="009C5F11" w14:paraId="67EA762C" w14:textId="77777777" w:rsidTr="002E2968">
        <w:trPr>
          <w:trHeight w:val="204"/>
          <w:jc w:val="center"/>
        </w:trPr>
        <w:tc>
          <w:tcPr>
            <w:tcW w:w="869" w:type="dxa"/>
          </w:tcPr>
          <w:p w14:paraId="48195151" w14:textId="77777777" w:rsidR="00E941CE" w:rsidRPr="009C5F11" w:rsidRDefault="00E941CE" w:rsidP="009B0244">
            <w:pPr>
              <w:spacing w:after="0" w:line="240" w:lineRule="auto"/>
              <w:jc w:val="right"/>
              <w:rPr>
                <w:rFonts w:ascii="Times New Roman" w:hAnsi="Times New Roman" w:cs="Times New Roman"/>
                <w:b/>
                <w:color w:val="000000"/>
                <w:sz w:val="20"/>
                <w:szCs w:val="16"/>
                <w:lang w:val="ro-RO" w:eastAsia="en-GB"/>
              </w:rPr>
            </w:pPr>
          </w:p>
        </w:tc>
        <w:tc>
          <w:tcPr>
            <w:tcW w:w="1660" w:type="dxa"/>
            <w:shd w:val="clear" w:color="auto" w:fill="auto"/>
            <w:noWrap/>
            <w:vAlign w:val="center"/>
            <w:hideMark/>
          </w:tcPr>
          <w:p w14:paraId="0E515B35" w14:textId="77777777" w:rsidR="00E941CE" w:rsidRPr="009C5F11" w:rsidRDefault="00E941CE" w:rsidP="009B0244">
            <w:pPr>
              <w:spacing w:after="0" w:line="240" w:lineRule="auto"/>
              <w:jc w:val="right"/>
              <w:rPr>
                <w:rFonts w:ascii="Times New Roman" w:hAnsi="Times New Roman" w:cs="Times New Roman"/>
                <w:b/>
                <w:color w:val="000000"/>
                <w:sz w:val="20"/>
                <w:szCs w:val="16"/>
                <w:lang w:val="ro-RO" w:eastAsia="en-GB"/>
              </w:rPr>
            </w:pPr>
          </w:p>
        </w:tc>
        <w:tc>
          <w:tcPr>
            <w:tcW w:w="1222" w:type="dxa"/>
            <w:shd w:val="clear" w:color="auto" w:fill="auto"/>
            <w:noWrap/>
            <w:vAlign w:val="center"/>
            <w:hideMark/>
          </w:tcPr>
          <w:p w14:paraId="6224BE5E" w14:textId="77777777" w:rsidR="00E941CE" w:rsidRPr="009C5F11" w:rsidRDefault="00E941CE" w:rsidP="009B0244">
            <w:pPr>
              <w:spacing w:after="0" w:line="240" w:lineRule="auto"/>
              <w:jc w:val="right"/>
              <w:rPr>
                <w:rFonts w:ascii="Times New Roman" w:hAnsi="Times New Roman" w:cs="Times New Roman"/>
                <w:b/>
                <w:color w:val="000000"/>
                <w:sz w:val="20"/>
                <w:szCs w:val="16"/>
                <w:lang w:val="ro-RO" w:eastAsia="en-GB"/>
              </w:rPr>
            </w:pPr>
            <w:r w:rsidRPr="009C5F11">
              <w:rPr>
                <w:rFonts w:ascii="Times New Roman" w:hAnsi="Times New Roman" w:cs="Times New Roman"/>
                <w:b/>
                <w:color w:val="000000"/>
                <w:sz w:val="20"/>
                <w:szCs w:val="16"/>
                <w:lang w:val="ro-RO" w:eastAsia="en-GB"/>
              </w:rPr>
              <w:t>869</w:t>
            </w:r>
          </w:p>
        </w:tc>
        <w:tc>
          <w:tcPr>
            <w:tcW w:w="1956" w:type="dxa"/>
            <w:shd w:val="clear" w:color="auto" w:fill="auto"/>
            <w:noWrap/>
            <w:vAlign w:val="bottom"/>
            <w:hideMark/>
          </w:tcPr>
          <w:p w14:paraId="36A80C3E" w14:textId="77777777" w:rsidR="00E941CE" w:rsidRPr="009C5F11" w:rsidRDefault="00055095" w:rsidP="009B0244">
            <w:pPr>
              <w:spacing w:after="0" w:line="240" w:lineRule="auto"/>
              <w:jc w:val="right"/>
              <w:rPr>
                <w:rFonts w:ascii="Times New Roman" w:hAnsi="Times New Roman" w:cs="Times New Roman"/>
                <w:b/>
                <w:color w:val="000000"/>
                <w:sz w:val="20"/>
                <w:szCs w:val="16"/>
                <w:lang w:val="ro-RO" w:eastAsia="en-GB"/>
              </w:rPr>
            </w:pPr>
            <w:r w:rsidRPr="009C5F11">
              <w:rPr>
                <w:rFonts w:ascii="Times New Roman" w:hAnsi="Times New Roman" w:cs="Times New Roman"/>
                <w:b/>
                <w:color w:val="000000"/>
                <w:sz w:val="20"/>
                <w:szCs w:val="16"/>
                <w:lang w:val="ro-RO" w:eastAsia="en-GB"/>
              </w:rPr>
              <w:t xml:space="preserve">     </w:t>
            </w:r>
            <w:r w:rsidR="00E941CE" w:rsidRPr="009C5F11">
              <w:rPr>
                <w:rFonts w:ascii="Times New Roman" w:hAnsi="Times New Roman" w:cs="Times New Roman"/>
                <w:b/>
                <w:color w:val="000000"/>
                <w:sz w:val="20"/>
                <w:szCs w:val="16"/>
                <w:lang w:val="ro-RO" w:eastAsia="en-GB"/>
              </w:rPr>
              <w:t xml:space="preserve">20,887,050 </w:t>
            </w:r>
          </w:p>
        </w:tc>
      </w:tr>
    </w:tbl>
    <w:p w14:paraId="28C4530C" w14:textId="77777777" w:rsidR="00906FD4" w:rsidRPr="009C5F11" w:rsidRDefault="00906FD4" w:rsidP="00A92B7E">
      <w:pPr>
        <w:spacing w:before="120" w:after="120" w:line="240" w:lineRule="auto"/>
        <w:jc w:val="both"/>
        <w:rPr>
          <w:rFonts w:ascii="Times New Roman" w:hAnsi="Times New Roman" w:cs="Times New Roman"/>
          <w:sz w:val="24"/>
          <w:lang w:val="ro-RO"/>
        </w:rPr>
      </w:pPr>
    </w:p>
    <w:p w14:paraId="0EB2BDC4" w14:textId="49874C93" w:rsidR="00E941CE" w:rsidRPr="009C5F11" w:rsidRDefault="00395DB2" w:rsidP="00087B37">
      <w:pPr>
        <w:pStyle w:val="Listparagraf"/>
        <w:numPr>
          <w:ilvl w:val="0"/>
          <w:numId w:val="210"/>
        </w:numPr>
        <w:spacing w:before="120" w:after="120" w:line="240" w:lineRule="auto"/>
        <w:ind w:left="0" w:firstLine="851"/>
        <w:jc w:val="both"/>
        <w:rPr>
          <w:rFonts w:ascii="Times New Roman" w:hAnsi="Times New Roman" w:cs="Times New Roman"/>
          <w:sz w:val="24"/>
          <w:lang w:val="ro-RO"/>
        </w:rPr>
      </w:pPr>
      <w:r w:rsidRPr="009C5F11">
        <w:rPr>
          <w:rFonts w:ascii="Times New Roman" w:hAnsi="Times New Roman" w:cs="Times New Roman"/>
          <w:sz w:val="24"/>
          <w:lang w:val="ro-RO"/>
        </w:rPr>
        <w:t>Rezultatele p</w:t>
      </w:r>
      <w:r w:rsidR="00E941CE" w:rsidRPr="009C5F11">
        <w:rPr>
          <w:rFonts w:ascii="Times New Roman" w:hAnsi="Times New Roman" w:cs="Times New Roman"/>
          <w:sz w:val="24"/>
          <w:lang w:val="ro-RO"/>
        </w:rPr>
        <w:t>reliminar</w:t>
      </w:r>
      <w:r w:rsidRPr="009C5F11">
        <w:rPr>
          <w:rFonts w:ascii="Times New Roman" w:hAnsi="Times New Roman" w:cs="Times New Roman"/>
          <w:sz w:val="24"/>
          <w:lang w:val="ro-RO"/>
        </w:rPr>
        <w:t xml:space="preserve">e ale </w:t>
      </w:r>
      <w:r w:rsidR="00421FA7" w:rsidRPr="009C5F11">
        <w:rPr>
          <w:rFonts w:ascii="Times New Roman" w:hAnsi="Times New Roman" w:cs="Times New Roman"/>
          <w:sz w:val="24"/>
          <w:lang w:val="ro-RO"/>
        </w:rPr>
        <w:t>proiect</w:t>
      </w:r>
      <w:r w:rsidRPr="009C5F11">
        <w:rPr>
          <w:rFonts w:ascii="Times New Roman" w:hAnsi="Times New Roman" w:cs="Times New Roman"/>
          <w:sz w:val="24"/>
          <w:lang w:val="ro-RO"/>
        </w:rPr>
        <w:t>ului sunt următoarele</w:t>
      </w:r>
      <w:r w:rsidR="00E941CE" w:rsidRPr="009C5F11">
        <w:rPr>
          <w:rFonts w:ascii="Times New Roman" w:hAnsi="Times New Roman" w:cs="Times New Roman"/>
          <w:sz w:val="24"/>
          <w:lang w:val="ro-RO"/>
        </w:rPr>
        <w:t xml:space="preserve">: </w:t>
      </w:r>
    </w:p>
    <w:p w14:paraId="7A26C9D6" w14:textId="77777777" w:rsidR="00E941CE" w:rsidRPr="009C5F11" w:rsidRDefault="00395DB2"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la </w:t>
      </w:r>
      <w:r w:rsidR="00E941CE" w:rsidRPr="009C5F11">
        <w:rPr>
          <w:rFonts w:ascii="Times New Roman" w:hAnsi="Times New Roman" w:cs="Times New Roman"/>
          <w:sz w:val="24"/>
          <w:lang w:val="ro-RO"/>
        </w:rPr>
        <w:t xml:space="preserve">90 </w:t>
      </w:r>
      <w:r w:rsidR="004E138F" w:rsidRPr="009C5F11">
        <w:rPr>
          <w:rFonts w:ascii="Times New Roman" w:hAnsi="Times New Roman" w:cs="Times New Roman"/>
          <w:sz w:val="24"/>
          <w:lang w:val="ro-RO"/>
        </w:rPr>
        <w:t>grădiniţe de copii</w:t>
      </w:r>
      <w:r w:rsidR="00E941CE"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au fost instalate sisteme de încălzire ce funcţionează pe bază de biomasă; </w:t>
      </w:r>
    </w:p>
    <w:p w14:paraId="3D1A1B71" w14:textId="77777777" w:rsidR="00E941CE" w:rsidRPr="009C5F11" w:rsidRDefault="00395DB2"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la </w:t>
      </w:r>
      <w:r w:rsidR="00E941CE" w:rsidRPr="009C5F11">
        <w:rPr>
          <w:rFonts w:ascii="Times New Roman" w:hAnsi="Times New Roman" w:cs="Times New Roman"/>
          <w:sz w:val="24"/>
          <w:lang w:val="ro-RO"/>
        </w:rPr>
        <w:t xml:space="preserve">280 </w:t>
      </w:r>
      <w:r w:rsidR="004E138F" w:rsidRPr="009C5F11">
        <w:rPr>
          <w:rFonts w:ascii="Times New Roman" w:hAnsi="Times New Roman" w:cs="Times New Roman"/>
          <w:sz w:val="24"/>
          <w:lang w:val="ro-RO"/>
        </w:rPr>
        <w:t>grădiniţe de copii</w:t>
      </w:r>
      <w:r w:rsidR="00E941CE"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au fost înlocuite ferestrele şi uşile</w:t>
      </w:r>
      <w:r w:rsidR="00A8154B" w:rsidRPr="009C5F11">
        <w:rPr>
          <w:rFonts w:ascii="Times New Roman" w:hAnsi="Times New Roman" w:cs="Times New Roman"/>
          <w:sz w:val="24"/>
          <w:lang w:val="ro-RO"/>
        </w:rPr>
        <w:t xml:space="preserve"> exterioare</w:t>
      </w:r>
      <w:r w:rsidRPr="009C5F11">
        <w:rPr>
          <w:rFonts w:ascii="Times New Roman" w:hAnsi="Times New Roman" w:cs="Times New Roman"/>
          <w:sz w:val="24"/>
          <w:lang w:val="ro-RO"/>
        </w:rPr>
        <w:t>;</w:t>
      </w:r>
    </w:p>
    <w:p w14:paraId="2D9B8BE7" w14:textId="77777777" w:rsidR="00E941CE" w:rsidRPr="009C5F11" w:rsidRDefault="00395DB2"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la </w:t>
      </w:r>
      <w:r w:rsidR="00E941CE" w:rsidRPr="009C5F11">
        <w:rPr>
          <w:rFonts w:ascii="Times New Roman" w:hAnsi="Times New Roman" w:cs="Times New Roman"/>
          <w:sz w:val="24"/>
          <w:lang w:val="ro-RO"/>
        </w:rPr>
        <w:t xml:space="preserve">140 </w:t>
      </w:r>
      <w:r w:rsidR="004E138F" w:rsidRPr="009C5F11">
        <w:rPr>
          <w:rFonts w:ascii="Times New Roman" w:hAnsi="Times New Roman" w:cs="Times New Roman"/>
          <w:sz w:val="24"/>
          <w:lang w:val="ro-RO"/>
        </w:rPr>
        <w:t>grădiniţe de copii</w:t>
      </w:r>
      <w:r w:rsidR="00E941CE"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au fost executate lucrări de termoizolare a pereţilor exteriori. </w:t>
      </w:r>
    </w:p>
    <w:p w14:paraId="224897A4" w14:textId="77777777" w:rsidR="002B0D6C" w:rsidRPr="009C5F11" w:rsidRDefault="00395DB2"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În prezent nu sunt disponibile informaţii despre </w:t>
      </w:r>
      <w:r w:rsidR="004424A0" w:rsidRPr="009C5F11">
        <w:rPr>
          <w:rFonts w:ascii="Times New Roman" w:hAnsi="Times New Roman" w:cs="Times New Roman"/>
          <w:sz w:val="24"/>
          <w:lang w:val="ro-RO"/>
        </w:rPr>
        <w:t>economii</w:t>
      </w:r>
      <w:r w:rsidRPr="009C5F11">
        <w:rPr>
          <w:rFonts w:ascii="Times New Roman" w:hAnsi="Times New Roman" w:cs="Times New Roman"/>
          <w:sz w:val="24"/>
          <w:lang w:val="ro-RO"/>
        </w:rPr>
        <w:t>le</w:t>
      </w:r>
      <w:r w:rsidR="004424A0" w:rsidRPr="009C5F11">
        <w:rPr>
          <w:rFonts w:ascii="Times New Roman" w:hAnsi="Times New Roman" w:cs="Times New Roman"/>
          <w:sz w:val="24"/>
          <w:lang w:val="ro-RO"/>
        </w:rPr>
        <w:t xml:space="preserve"> de energie</w:t>
      </w:r>
      <w:r w:rsidR="00E941CE"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obţinute în rezultatul efectuării lucrărilor sus</w:t>
      </w:r>
      <w:r w:rsidR="00A8154B" w:rsidRPr="009C5F11">
        <w:rPr>
          <w:rFonts w:ascii="Times New Roman" w:hAnsi="Times New Roman" w:cs="Times New Roman"/>
          <w:sz w:val="24"/>
          <w:lang w:val="ro-RO"/>
        </w:rPr>
        <w:t>-menţionate</w:t>
      </w:r>
      <w:r w:rsidRPr="009C5F11">
        <w:rPr>
          <w:rFonts w:ascii="Times New Roman" w:hAnsi="Times New Roman" w:cs="Times New Roman"/>
          <w:sz w:val="24"/>
          <w:lang w:val="ro-RO"/>
        </w:rPr>
        <w:t xml:space="preserve"> din contul </w:t>
      </w:r>
      <w:r w:rsidR="007F77BE" w:rsidRPr="009C5F11">
        <w:rPr>
          <w:rFonts w:ascii="Times New Roman" w:hAnsi="Times New Roman" w:cs="Times New Roman"/>
          <w:sz w:val="24"/>
          <w:lang w:val="ro-RO"/>
        </w:rPr>
        <w:t>fonduri</w:t>
      </w:r>
      <w:r w:rsidRPr="009C5F11">
        <w:rPr>
          <w:rFonts w:ascii="Times New Roman" w:hAnsi="Times New Roman" w:cs="Times New Roman"/>
          <w:sz w:val="24"/>
          <w:lang w:val="ro-RO"/>
        </w:rPr>
        <w:t>lor</w:t>
      </w:r>
      <w:r w:rsidR="00E941CE" w:rsidRPr="009C5F11">
        <w:rPr>
          <w:rFonts w:ascii="Times New Roman" w:hAnsi="Times New Roman" w:cs="Times New Roman"/>
          <w:sz w:val="24"/>
          <w:lang w:val="ro-RO"/>
        </w:rPr>
        <w:t xml:space="preserve"> alocat</w:t>
      </w:r>
      <w:r w:rsidRPr="009C5F11">
        <w:rPr>
          <w:rFonts w:ascii="Times New Roman" w:hAnsi="Times New Roman" w:cs="Times New Roman"/>
          <w:sz w:val="24"/>
          <w:lang w:val="ro-RO"/>
        </w:rPr>
        <w:t>e de Guvernul României</w:t>
      </w:r>
      <w:r w:rsidR="00E941CE" w:rsidRPr="009C5F11">
        <w:rPr>
          <w:rFonts w:ascii="Times New Roman" w:hAnsi="Times New Roman" w:cs="Times New Roman"/>
          <w:sz w:val="24"/>
          <w:lang w:val="ro-RO"/>
        </w:rPr>
        <w:t>.</w:t>
      </w:r>
    </w:p>
    <w:p w14:paraId="5F3BF462" w14:textId="55EE44D2" w:rsidR="00E941CE" w:rsidRPr="009C5F11" w:rsidRDefault="00F53252"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FISM</w:t>
      </w:r>
      <w:r w:rsidR="00E941CE" w:rsidRPr="009C5F11">
        <w:rPr>
          <w:rFonts w:ascii="Times New Roman" w:hAnsi="Times New Roman" w:cs="Times New Roman"/>
          <w:sz w:val="24"/>
          <w:lang w:val="ro-RO"/>
        </w:rPr>
        <w:t xml:space="preserve"> </w:t>
      </w:r>
      <w:r w:rsidR="00395DB2" w:rsidRPr="009C5F11">
        <w:rPr>
          <w:rFonts w:ascii="Times New Roman" w:hAnsi="Times New Roman" w:cs="Times New Roman"/>
          <w:sz w:val="24"/>
          <w:lang w:val="ro-RO"/>
        </w:rPr>
        <w:t>a fost</w:t>
      </w:r>
      <w:r w:rsidR="00E941CE" w:rsidRPr="009C5F11">
        <w:rPr>
          <w:rFonts w:ascii="Times New Roman" w:hAnsi="Times New Roman" w:cs="Times New Roman"/>
          <w:sz w:val="24"/>
          <w:lang w:val="ro-RO"/>
        </w:rPr>
        <w:t xml:space="preserve"> creat</w:t>
      </w:r>
      <w:r w:rsidR="00321CD5" w:rsidRPr="009C5F11">
        <w:rPr>
          <w:rFonts w:ascii="Times New Roman" w:hAnsi="Times New Roman" w:cs="Times New Roman"/>
          <w:sz w:val="24"/>
          <w:lang w:val="ro-RO"/>
        </w:rPr>
        <w:t xml:space="preserve"> în </w:t>
      </w:r>
      <w:r w:rsidR="00E941CE" w:rsidRPr="009C5F11">
        <w:rPr>
          <w:rFonts w:ascii="Times New Roman" w:hAnsi="Times New Roman" w:cs="Times New Roman"/>
          <w:sz w:val="24"/>
          <w:lang w:val="ro-RO"/>
        </w:rPr>
        <w:t xml:space="preserve">1997 </w:t>
      </w:r>
      <w:r w:rsidR="00395DB2" w:rsidRPr="009C5F11">
        <w:rPr>
          <w:rFonts w:ascii="Times New Roman" w:hAnsi="Times New Roman" w:cs="Times New Roman"/>
          <w:sz w:val="24"/>
          <w:lang w:val="ro-RO"/>
        </w:rPr>
        <w:t>de</w:t>
      </w:r>
      <w:r w:rsidR="00E941CE" w:rsidRPr="009C5F11">
        <w:rPr>
          <w:rFonts w:ascii="Times New Roman" w:hAnsi="Times New Roman" w:cs="Times New Roman"/>
          <w:sz w:val="24"/>
          <w:lang w:val="ro-RO"/>
        </w:rPr>
        <w:t xml:space="preserve"> </w:t>
      </w:r>
      <w:r w:rsidR="00800247" w:rsidRPr="009C5F11">
        <w:rPr>
          <w:rFonts w:ascii="Times New Roman" w:hAnsi="Times New Roman" w:cs="Times New Roman"/>
          <w:sz w:val="24"/>
          <w:lang w:val="ro-RO"/>
        </w:rPr>
        <w:t>Guvernul</w:t>
      </w:r>
      <w:r w:rsidR="00E941CE" w:rsidRPr="009C5F11">
        <w:rPr>
          <w:rFonts w:ascii="Times New Roman" w:hAnsi="Times New Roman" w:cs="Times New Roman"/>
          <w:sz w:val="24"/>
          <w:lang w:val="ro-RO"/>
        </w:rPr>
        <w:t xml:space="preserve"> </w:t>
      </w:r>
      <w:r w:rsidR="00137156" w:rsidRPr="009C5F11">
        <w:rPr>
          <w:rFonts w:ascii="Times New Roman" w:hAnsi="Times New Roman" w:cs="Times New Roman"/>
          <w:sz w:val="24"/>
          <w:lang w:val="ro-RO"/>
        </w:rPr>
        <w:t>al Republicii Moldova</w:t>
      </w:r>
      <w:r w:rsidR="00E941CE" w:rsidRPr="009C5F11">
        <w:rPr>
          <w:rFonts w:ascii="Times New Roman" w:hAnsi="Times New Roman" w:cs="Times New Roman"/>
          <w:sz w:val="24"/>
          <w:lang w:val="ro-RO"/>
        </w:rPr>
        <w:t xml:space="preserve"> </w:t>
      </w:r>
      <w:r w:rsidR="00395DB2" w:rsidRPr="009C5F11">
        <w:rPr>
          <w:rFonts w:ascii="Times New Roman" w:hAnsi="Times New Roman" w:cs="Times New Roman"/>
          <w:sz w:val="24"/>
          <w:lang w:val="ro-RO"/>
        </w:rPr>
        <w:t>cu</w:t>
      </w:r>
      <w:r w:rsidR="00E941CE" w:rsidRPr="009C5F11">
        <w:rPr>
          <w:rFonts w:ascii="Times New Roman" w:hAnsi="Times New Roman" w:cs="Times New Roman"/>
          <w:sz w:val="24"/>
          <w:lang w:val="ro-RO"/>
        </w:rPr>
        <w:t xml:space="preserve"> </w:t>
      </w:r>
      <w:r w:rsidR="005664F4" w:rsidRPr="009C5F11">
        <w:rPr>
          <w:rFonts w:ascii="Times New Roman" w:hAnsi="Times New Roman" w:cs="Times New Roman"/>
          <w:sz w:val="24"/>
          <w:lang w:val="ro-RO"/>
        </w:rPr>
        <w:t>sprijin</w:t>
      </w:r>
      <w:r w:rsidR="00E941CE" w:rsidRPr="009C5F11">
        <w:rPr>
          <w:rFonts w:ascii="Times New Roman" w:hAnsi="Times New Roman" w:cs="Times New Roman"/>
          <w:sz w:val="24"/>
          <w:lang w:val="ro-RO"/>
        </w:rPr>
        <w:t xml:space="preserve"> </w:t>
      </w:r>
      <w:r w:rsidR="00395DB2" w:rsidRPr="009C5F11">
        <w:rPr>
          <w:rFonts w:ascii="Times New Roman" w:hAnsi="Times New Roman" w:cs="Times New Roman"/>
          <w:sz w:val="24"/>
          <w:lang w:val="ro-RO"/>
        </w:rPr>
        <w:t>din partea BM</w:t>
      </w:r>
      <w:r w:rsidR="00E941CE" w:rsidRPr="009C5F11">
        <w:rPr>
          <w:rFonts w:ascii="Times New Roman" w:hAnsi="Times New Roman" w:cs="Times New Roman"/>
          <w:sz w:val="24"/>
          <w:lang w:val="ro-RO"/>
        </w:rPr>
        <w:t xml:space="preserve">. </w:t>
      </w:r>
      <w:r w:rsidR="00334DD0" w:rsidRPr="009C5F11">
        <w:rPr>
          <w:rFonts w:ascii="Times New Roman" w:hAnsi="Times New Roman" w:cs="Times New Roman"/>
          <w:sz w:val="24"/>
          <w:lang w:val="ro-RO"/>
        </w:rPr>
        <w:t xml:space="preserve">În </w:t>
      </w:r>
      <w:r w:rsidR="00E941CE" w:rsidRPr="009C5F11">
        <w:rPr>
          <w:rFonts w:ascii="Times New Roman" w:hAnsi="Times New Roman" w:cs="Times New Roman"/>
          <w:sz w:val="24"/>
          <w:lang w:val="ro-RO"/>
        </w:rPr>
        <w:t xml:space="preserve">2010, </w:t>
      </w:r>
      <w:r w:rsidR="00395DB2" w:rsidRPr="009C5F11">
        <w:rPr>
          <w:rFonts w:ascii="Times New Roman" w:hAnsi="Times New Roman" w:cs="Times New Roman"/>
          <w:sz w:val="24"/>
          <w:lang w:val="ro-RO"/>
        </w:rPr>
        <w:t>FISM</w:t>
      </w:r>
      <w:r w:rsidR="00E941CE" w:rsidRPr="009C5F11">
        <w:rPr>
          <w:rFonts w:ascii="Times New Roman" w:hAnsi="Times New Roman" w:cs="Times New Roman"/>
          <w:sz w:val="24"/>
          <w:lang w:val="ro-RO"/>
        </w:rPr>
        <w:t xml:space="preserve"> </w:t>
      </w:r>
      <w:r w:rsidR="00395DB2" w:rsidRPr="009C5F11">
        <w:rPr>
          <w:rFonts w:ascii="Times New Roman" w:hAnsi="Times New Roman" w:cs="Times New Roman"/>
          <w:sz w:val="24"/>
          <w:lang w:val="ro-RO"/>
        </w:rPr>
        <w:t>a beneficiat de</w:t>
      </w:r>
      <w:r w:rsidR="00E941CE" w:rsidRPr="009C5F11">
        <w:rPr>
          <w:rFonts w:ascii="Times New Roman" w:hAnsi="Times New Roman" w:cs="Times New Roman"/>
          <w:sz w:val="24"/>
          <w:lang w:val="ro-RO"/>
        </w:rPr>
        <w:t xml:space="preserve"> a) 2 </w:t>
      </w:r>
      <w:r w:rsidR="00800247" w:rsidRPr="009C5F11">
        <w:rPr>
          <w:rFonts w:ascii="Times New Roman" w:hAnsi="Times New Roman" w:cs="Times New Roman"/>
          <w:sz w:val="24"/>
          <w:lang w:val="ro-RO"/>
        </w:rPr>
        <w:t>milioane</w:t>
      </w:r>
      <w:r w:rsidR="00A8154B" w:rsidRPr="009C5F11">
        <w:rPr>
          <w:rFonts w:ascii="Times New Roman" w:hAnsi="Times New Roman" w:cs="Times New Roman"/>
          <w:sz w:val="24"/>
          <w:lang w:val="ro-RO"/>
        </w:rPr>
        <w:t xml:space="preserve"> </w:t>
      </w:r>
      <w:bookmarkStart w:id="412" w:name="OLE_LINK3"/>
      <w:bookmarkStart w:id="413" w:name="OLE_LINK4"/>
      <w:r w:rsidR="00A8154B" w:rsidRPr="009C5F11">
        <w:rPr>
          <w:rFonts w:ascii="Times New Roman" w:hAnsi="Times New Roman" w:cs="Times New Roman"/>
          <w:sz w:val="24"/>
          <w:lang w:val="ro-RO"/>
        </w:rPr>
        <w:t>de euro</w:t>
      </w:r>
      <w:bookmarkEnd w:id="412"/>
      <w:bookmarkEnd w:id="413"/>
      <w:r w:rsidR="00E941CE" w:rsidRPr="009C5F11">
        <w:rPr>
          <w:rFonts w:ascii="Times New Roman" w:hAnsi="Times New Roman" w:cs="Times New Roman"/>
          <w:sz w:val="24"/>
          <w:lang w:val="ro-RO"/>
        </w:rPr>
        <w:t>, incl</w:t>
      </w:r>
      <w:r w:rsidR="00273CDE" w:rsidRPr="009C5F11">
        <w:rPr>
          <w:rFonts w:ascii="Times New Roman" w:hAnsi="Times New Roman" w:cs="Times New Roman"/>
          <w:sz w:val="24"/>
          <w:lang w:val="ro-RO"/>
        </w:rPr>
        <w:t>usiv u</w:t>
      </w:r>
      <w:r w:rsidR="00FE7E28" w:rsidRPr="009C5F11">
        <w:rPr>
          <w:rFonts w:ascii="Times New Roman" w:hAnsi="Times New Roman" w:cs="Times New Roman"/>
          <w:sz w:val="24"/>
          <w:lang w:val="ro-RO"/>
        </w:rPr>
        <w:t xml:space="preserve">n grant în valoare de </w:t>
      </w:r>
      <w:r w:rsidR="00E941CE" w:rsidRPr="009C5F11">
        <w:rPr>
          <w:rFonts w:ascii="Times New Roman" w:hAnsi="Times New Roman" w:cs="Times New Roman"/>
          <w:sz w:val="24"/>
          <w:lang w:val="ro-RO"/>
        </w:rPr>
        <w:t xml:space="preserve">1.5 </w:t>
      </w:r>
      <w:r w:rsidR="00421FA7" w:rsidRPr="009C5F11">
        <w:rPr>
          <w:rFonts w:ascii="Times New Roman" w:hAnsi="Times New Roman" w:cs="Times New Roman"/>
          <w:sz w:val="24"/>
          <w:lang w:val="ro-RO"/>
        </w:rPr>
        <w:t xml:space="preserve">milioane </w:t>
      </w:r>
      <w:r w:rsidR="00A8154B" w:rsidRPr="009C5F11">
        <w:rPr>
          <w:rFonts w:ascii="Times New Roman" w:hAnsi="Times New Roman" w:cs="Times New Roman"/>
          <w:sz w:val="24"/>
          <w:lang w:val="ro-RO"/>
        </w:rPr>
        <w:t xml:space="preserve">de euro </w:t>
      </w:r>
      <w:r w:rsidR="00FE7E28" w:rsidRPr="009C5F11">
        <w:rPr>
          <w:rFonts w:ascii="Times New Roman" w:hAnsi="Times New Roman" w:cs="Times New Roman"/>
          <w:sz w:val="24"/>
          <w:lang w:val="ro-RO"/>
        </w:rPr>
        <w:t>din partea</w:t>
      </w:r>
      <w:r w:rsidR="00E941CE"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UE</w:t>
      </w:r>
      <w:r w:rsidR="00E941CE" w:rsidRPr="009C5F11">
        <w:rPr>
          <w:rFonts w:ascii="Times New Roman" w:hAnsi="Times New Roman" w:cs="Times New Roman"/>
          <w:sz w:val="24"/>
          <w:lang w:val="ro-RO"/>
        </w:rPr>
        <w:t xml:space="preserve">, </w:t>
      </w:r>
      <w:r w:rsidR="00FE7E28" w:rsidRPr="009C5F11">
        <w:rPr>
          <w:rFonts w:ascii="Times New Roman" w:hAnsi="Times New Roman" w:cs="Times New Roman"/>
          <w:sz w:val="24"/>
          <w:lang w:val="ro-RO"/>
        </w:rPr>
        <w:t>pentru implementarea proiectelor-pilot de instalare a panourilor solare</w:t>
      </w:r>
      <w:r w:rsidR="00E941CE" w:rsidRPr="009C5F11">
        <w:rPr>
          <w:rFonts w:ascii="Times New Roman" w:hAnsi="Times New Roman" w:cs="Times New Roman"/>
          <w:sz w:val="24"/>
          <w:lang w:val="ro-RO"/>
        </w:rPr>
        <w:t xml:space="preserve"> </w:t>
      </w:r>
      <w:r w:rsidR="00321CD5" w:rsidRPr="009C5F11">
        <w:rPr>
          <w:rFonts w:ascii="Times New Roman" w:hAnsi="Times New Roman" w:cs="Times New Roman"/>
          <w:sz w:val="24"/>
          <w:lang w:val="ro-RO"/>
        </w:rPr>
        <w:t xml:space="preserve">şi </w:t>
      </w:r>
      <w:r w:rsidR="00FE7E28" w:rsidRPr="009C5F11">
        <w:rPr>
          <w:rFonts w:ascii="Times New Roman" w:hAnsi="Times New Roman" w:cs="Times New Roman"/>
          <w:sz w:val="24"/>
          <w:lang w:val="ro-RO"/>
        </w:rPr>
        <w:t>de prelucrare a deşeurilor agricole</w:t>
      </w:r>
      <w:r w:rsidR="00E941CE"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şi </w:t>
      </w:r>
      <w:r w:rsidR="00E941CE" w:rsidRPr="009C5F11">
        <w:rPr>
          <w:rFonts w:ascii="Times New Roman" w:hAnsi="Times New Roman" w:cs="Times New Roman"/>
          <w:sz w:val="24"/>
          <w:lang w:val="ro-RO"/>
        </w:rPr>
        <w:t xml:space="preserve">b) 5 </w:t>
      </w:r>
      <w:r w:rsidR="00421FA7" w:rsidRPr="009C5F11">
        <w:rPr>
          <w:rFonts w:ascii="Times New Roman" w:hAnsi="Times New Roman" w:cs="Times New Roman"/>
          <w:sz w:val="24"/>
          <w:lang w:val="ro-RO"/>
        </w:rPr>
        <w:t xml:space="preserve">milioane </w:t>
      </w:r>
      <w:r w:rsidR="00A8154B" w:rsidRPr="009C5F11">
        <w:rPr>
          <w:rFonts w:ascii="Times New Roman" w:hAnsi="Times New Roman" w:cs="Times New Roman"/>
          <w:sz w:val="24"/>
          <w:lang w:val="ro-RO"/>
        </w:rPr>
        <w:t xml:space="preserve">de euro </w:t>
      </w:r>
      <w:r w:rsidR="00E941CE" w:rsidRPr="009C5F11">
        <w:rPr>
          <w:rFonts w:ascii="Times New Roman" w:hAnsi="Times New Roman" w:cs="Times New Roman"/>
          <w:sz w:val="24"/>
          <w:lang w:val="ro-RO"/>
        </w:rPr>
        <w:t xml:space="preserve">– grant </w:t>
      </w:r>
      <w:r w:rsidR="000138BD" w:rsidRPr="009C5F11">
        <w:rPr>
          <w:rFonts w:ascii="Times New Roman" w:hAnsi="Times New Roman" w:cs="Times New Roman"/>
          <w:sz w:val="24"/>
          <w:lang w:val="ro-RO"/>
        </w:rPr>
        <w:t>oferit de</w:t>
      </w:r>
      <w:r w:rsidR="00E941CE" w:rsidRPr="009C5F11">
        <w:rPr>
          <w:rFonts w:ascii="Times New Roman" w:hAnsi="Times New Roman" w:cs="Times New Roman"/>
          <w:sz w:val="24"/>
          <w:lang w:val="ro-RO"/>
        </w:rPr>
        <w:t xml:space="preserve"> KfW. </w:t>
      </w:r>
      <w:r w:rsidR="00360BED" w:rsidRPr="009C5F11">
        <w:rPr>
          <w:rFonts w:ascii="Times New Roman" w:hAnsi="Times New Roman" w:cs="Times New Roman"/>
          <w:sz w:val="24"/>
          <w:lang w:val="ro-RO"/>
        </w:rPr>
        <w:t>Pe parcursul anului</w:t>
      </w:r>
      <w:r w:rsidR="00E941CE" w:rsidRPr="009C5F11">
        <w:rPr>
          <w:rFonts w:ascii="Times New Roman" w:hAnsi="Times New Roman" w:cs="Times New Roman"/>
          <w:sz w:val="24"/>
          <w:lang w:val="ro-RO"/>
        </w:rPr>
        <w:t xml:space="preserve"> 2012-2014, </w:t>
      </w:r>
      <w:r w:rsidR="00395DB2" w:rsidRPr="009C5F11">
        <w:rPr>
          <w:rFonts w:ascii="Times New Roman" w:hAnsi="Times New Roman" w:cs="Times New Roman"/>
          <w:sz w:val="24"/>
          <w:lang w:val="ro-RO"/>
        </w:rPr>
        <w:t>FISM</w:t>
      </w:r>
      <w:r w:rsidR="00E941CE" w:rsidRPr="009C5F11">
        <w:rPr>
          <w:rFonts w:ascii="Times New Roman" w:hAnsi="Times New Roman" w:cs="Times New Roman"/>
          <w:sz w:val="24"/>
          <w:lang w:val="ro-RO"/>
        </w:rPr>
        <w:t xml:space="preserve"> </w:t>
      </w:r>
      <w:r w:rsidR="00FE7E28" w:rsidRPr="009C5F11">
        <w:rPr>
          <w:rFonts w:ascii="Times New Roman" w:hAnsi="Times New Roman" w:cs="Times New Roman"/>
          <w:sz w:val="24"/>
          <w:lang w:val="ro-RO"/>
        </w:rPr>
        <w:t xml:space="preserve">a </w:t>
      </w:r>
      <w:r w:rsidR="00E941CE" w:rsidRPr="009C5F11">
        <w:rPr>
          <w:rFonts w:ascii="Times New Roman" w:hAnsi="Times New Roman" w:cs="Times New Roman"/>
          <w:sz w:val="24"/>
          <w:lang w:val="ro-RO"/>
        </w:rPr>
        <w:t>reali</w:t>
      </w:r>
      <w:r w:rsidR="00FE7E28" w:rsidRPr="009C5F11">
        <w:rPr>
          <w:rFonts w:ascii="Times New Roman" w:hAnsi="Times New Roman" w:cs="Times New Roman"/>
          <w:sz w:val="24"/>
          <w:lang w:val="ro-RO"/>
        </w:rPr>
        <w:t xml:space="preserve">zat următoarele </w:t>
      </w:r>
      <w:r w:rsidR="00D77687" w:rsidRPr="009C5F11">
        <w:rPr>
          <w:rFonts w:ascii="Times New Roman" w:hAnsi="Times New Roman" w:cs="Times New Roman"/>
          <w:sz w:val="24"/>
          <w:lang w:val="ro-RO"/>
        </w:rPr>
        <w:t>activităţi</w:t>
      </w:r>
      <w:r w:rsidR="00FE7E28" w:rsidRPr="009C5F11">
        <w:rPr>
          <w:rFonts w:ascii="Times New Roman" w:hAnsi="Times New Roman" w:cs="Times New Roman"/>
          <w:sz w:val="24"/>
          <w:lang w:val="ro-RO"/>
        </w:rPr>
        <w:t xml:space="preserve"> în domeniul eficienţei energetice</w:t>
      </w:r>
      <w:r w:rsidR="00E941CE" w:rsidRPr="009C5F11">
        <w:rPr>
          <w:rFonts w:ascii="Times New Roman" w:hAnsi="Times New Roman" w:cs="Times New Roman"/>
          <w:sz w:val="24"/>
          <w:lang w:val="ro-RO"/>
        </w:rPr>
        <w:t>:</w:t>
      </w:r>
    </w:p>
    <w:p w14:paraId="1A1B329D" w14:textId="77777777" w:rsidR="00E941CE" w:rsidRPr="009C5F11" w:rsidRDefault="00395DB2"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bCs/>
          <w:iCs/>
          <w:sz w:val="24"/>
          <w:lang w:val="ro-RO"/>
        </w:rPr>
        <w:t>înlocuirea ferestrelor şi uşilor exterioare</w:t>
      </w:r>
      <w:r w:rsidR="00E941CE" w:rsidRPr="009C5F11">
        <w:rPr>
          <w:rFonts w:ascii="Times New Roman" w:hAnsi="Times New Roman" w:cs="Times New Roman"/>
          <w:sz w:val="24"/>
          <w:lang w:val="ro-RO"/>
        </w:rPr>
        <w:t>: 8</w:t>
      </w:r>
      <w:r w:rsidR="00906FD4" w:rsidRPr="009C5F11">
        <w:rPr>
          <w:rFonts w:ascii="Times New Roman" w:hAnsi="Times New Roman" w:cs="Times New Roman"/>
          <w:sz w:val="24"/>
          <w:lang w:val="ro-RO"/>
        </w:rPr>
        <w:t>,</w:t>
      </w:r>
      <w:r w:rsidR="00E941CE" w:rsidRPr="009C5F11">
        <w:rPr>
          <w:rFonts w:ascii="Times New Roman" w:hAnsi="Times New Roman" w:cs="Times New Roman"/>
          <w:sz w:val="24"/>
          <w:lang w:val="ro-RO"/>
        </w:rPr>
        <w:t>445 m2,</w:t>
      </w:r>
    </w:p>
    <w:p w14:paraId="207170CD" w14:textId="77777777" w:rsidR="00E941CE" w:rsidRPr="009C5F11" w:rsidRDefault="00FE7E2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bCs/>
          <w:iCs/>
          <w:sz w:val="24"/>
          <w:lang w:val="ro-RO"/>
        </w:rPr>
        <w:t>i</w:t>
      </w:r>
      <w:r w:rsidR="00395DB2" w:rsidRPr="009C5F11">
        <w:rPr>
          <w:rFonts w:ascii="Times New Roman" w:hAnsi="Times New Roman" w:cs="Times New Roman"/>
          <w:bCs/>
          <w:iCs/>
          <w:sz w:val="24"/>
          <w:lang w:val="ro-RO"/>
        </w:rPr>
        <w:t>zolarea anvelopelor/contururilor</w:t>
      </w:r>
      <w:r w:rsidR="00E941CE" w:rsidRPr="009C5F11">
        <w:rPr>
          <w:rFonts w:ascii="Times New Roman" w:hAnsi="Times New Roman" w:cs="Times New Roman"/>
          <w:sz w:val="24"/>
          <w:lang w:val="ro-RO"/>
        </w:rPr>
        <w:t>: 8</w:t>
      </w:r>
      <w:r w:rsidR="00906FD4" w:rsidRPr="009C5F11">
        <w:rPr>
          <w:rFonts w:ascii="Times New Roman" w:hAnsi="Times New Roman" w:cs="Times New Roman"/>
          <w:sz w:val="24"/>
          <w:lang w:val="ro-RO"/>
        </w:rPr>
        <w:t>,</w:t>
      </w:r>
      <w:r w:rsidR="00E941CE" w:rsidRPr="009C5F11">
        <w:rPr>
          <w:rFonts w:ascii="Times New Roman" w:hAnsi="Times New Roman" w:cs="Times New Roman"/>
          <w:sz w:val="24"/>
          <w:lang w:val="ro-RO"/>
        </w:rPr>
        <w:t>275 m2,</w:t>
      </w:r>
    </w:p>
    <w:p w14:paraId="3B01320E" w14:textId="77777777" w:rsidR="00E941CE" w:rsidRPr="009C5F11" w:rsidRDefault="00FE7E2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bCs/>
          <w:iCs/>
          <w:sz w:val="24"/>
          <w:lang w:val="ro-RO"/>
        </w:rPr>
        <w:t>instalarea c</w:t>
      </w:r>
      <w:r w:rsidR="00395DB2" w:rsidRPr="009C5F11">
        <w:rPr>
          <w:rFonts w:ascii="Times New Roman" w:hAnsi="Times New Roman" w:cs="Times New Roman"/>
          <w:bCs/>
          <w:iCs/>
          <w:sz w:val="24"/>
          <w:lang w:val="ro-RO"/>
        </w:rPr>
        <w:t>azane</w:t>
      </w:r>
      <w:r w:rsidRPr="009C5F11">
        <w:rPr>
          <w:rFonts w:ascii="Times New Roman" w:hAnsi="Times New Roman" w:cs="Times New Roman"/>
          <w:bCs/>
          <w:iCs/>
          <w:sz w:val="24"/>
          <w:lang w:val="ro-RO"/>
        </w:rPr>
        <w:t>lor</w:t>
      </w:r>
      <w:r w:rsidR="00395DB2" w:rsidRPr="009C5F11">
        <w:rPr>
          <w:rFonts w:ascii="Times New Roman" w:hAnsi="Times New Roman" w:cs="Times New Roman"/>
          <w:bCs/>
          <w:iCs/>
          <w:sz w:val="24"/>
          <w:lang w:val="ro-RO"/>
        </w:rPr>
        <w:t xml:space="preserve"> operate cu biomasă</w:t>
      </w:r>
      <w:r w:rsidR="00E941CE" w:rsidRPr="009C5F11">
        <w:rPr>
          <w:rFonts w:ascii="Times New Roman" w:hAnsi="Times New Roman" w:cs="Times New Roman"/>
          <w:sz w:val="24"/>
          <w:lang w:val="ro-RO"/>
        </w:rPr>
        <w:t xml:space="preserve">: 45 </w:t>
      </w:r>
      <w:r w:rsidR="00D77687" w:rsidRPr="009C5F11">
        <w:rPr>
          <w:rFonts w:ascii="Times New Roman" w:hAnsi="Times New Roman" w:cs="Times New Roman"/>
          <w:sz w:val="24"/>
          <w:lang w:val="ro-RO"/>
        </w:rPr>
        <w:t>unităţi</w:t>
      </w:r>
      <w:r w:rsidR="00E941CE" w:rsidRPr="009C5F11">
        <w:rPr>
          <w:rFonts w:ascii="Times New Roman" w:hAnsi="Times New Roman" w:cs="Times New Roman"/>
          <w:sz w:val="24"/>
          <w:lang w:val="ro-RO"/>
        </w:rPr>
        <w:t xml:space="preserve">, </w:t>
      </w:r>
      <w:r w:rsidR="00395DB2" w:rsidRPr="009C5F11">
        <w:rPr>
          <w:rFonts w:ascii="Times New Roman" w:hAnsi="Times New Roman" w:cs="Times New Roman"/>
          <w:sz w:val="24"/>
          <w:lang w:val="ro-RO"/>
        </w:rPr>
        <w:t xml:space="preserve">capacitatea de la </w:t>
      </w:r>
      <w:r w:rsidR="00E941CE" w:rsidRPr="009C5F11">
        <w:rPr>
          <w:rFonts w:ascii="Times New Roman" w:hAnsi="Times New Roman" w:cs="Times New Roman"/>
          <w:sz w:val="24"/>
          <w:lang w:val="ro-RO"/>
        </w:rPr>
        <w:t xml:space="preserve">50kW </w:t>
      </w:r>
      <w:r w:rsidR="00395DB2" w:rsidRPr="009C5F11">
        <w:rPr>
          <w:rFonts w:ascii="Times New Roman" w:hAnsi="Times New Roman" w:cs="Times New Roman"/>
          <w:sz w:val="24"/>
          <w:lang w:val="ro-RO"/>
        </w:rPr>
        <w:t>până la</w:t>
      </w:r>
      <w:r w:rsidR="00E941CE" w:rsidRPr="009C5F11">
        <w:rPr>
          <w:rFonts w:ascii="Times New Roman" w:hAnsi="Times New Roman" w:cs="Times New Roman"/>
          <w:sz w:val="24"/>
          <w:lang w:val="ro-RO"/>
        </w:rPr>
        <w:t xml:space="preserve"> 500kW,</w:t>
      </w:r>
    </w:p>
    <w:p w14:paraId="37EA04CD" w14:textId="77777777" w:rsidR="00E941CE" w:rsidRPr="009C5F11" w:rsidRDefault="00FE7E2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bCs/>
          <w:iCs/>
          <w:sz w:val="24"/>
          <w:lang w:val="ro-RO"/>
        </w:rPr>
        <w:t>instalarea c</w:t>
      </w:r>
      <w:r w:rsidR="00395DB2" w:rsidRPr="009C5F11">
        <w:rPr>
          <w:rFonts w:ascii="Times New Roman" w:hAnsi="Times New Roman" w:cs="Times New Roman"/>
          <w:bCs/>
          <w:iCs/>
          <w:sz w:val="24"/>
          <w:lang w:val="ro-RO"/>
        </w:rPr>
        <w:t>olectoare</w:t>
      </w:r>
      <w:r w:rsidRPr="009C5F11">
        <w:rPr>
          <w:rFonts w:ascii="Times New Roman" w:hAnsi="Times New Roman" w:cs="Times New Roman"/>
          <w:bCs/>
          <w:iCs/>
          <w:sz w:val="24"/>
          <w:lang w:val="ro-RO"/>
        </w:rPr>
        <w:t>lor</w:t>
      </w:r>
      <w:r w:rsidR="00395DB2" w:rsidRPr="009C5F11">
        <w:rPr>
          <w:rFonts w:ascii="Times New Roman" w:hAnsi="Times New Roman" w:cs="Times New Roman"/>
          <w:bCs/>
          <w:iCs/>
          <w:sz w:val="24"/>
          <w:lang w:val="ro-RO"/>
        </w:rPr>
        <w:t xml:space="preserve"> solare pentru furnizarea apei calde menajere</w:t>
      </w:r>
      <w:r w:rsidR="00E941CE" w:rsidRPr="009C5F11">
        <w:rPr>
          <w:rFonts w:ascii="Times New Roman" w:hAnsi="Times New Roman" w:cs="Times New Roman"/>
          <w:sz w:val="24"/>
          <w:lang w:val="ro-RO"/>
        </w:rPr>
        <w:t>: 42 institu</w:t>
      </w:r>
      <w:r w:rsidR="00395DB2" w:rsidRPr="009C5F11">
        <w:rPr>
          <w:rFonts w:ascii="Times New Roman" w:hAnsi="Times New Roman" w:cs="Times New Roman"/>
          <w:sz w:val="24"/>
          <w:lang w:val="ro-RO"/>
        </w:rPr>
        <w:t>ţii</w:t>
      </w:r>
      <w:r w:rsidR="00E941CE" w:rsidRPr="009C5F11">
        <w:rPr>
          <w:rFonts w:ascii="Times New Roman" w:hAnsi="Times New Roman" w:cs="Times New Roman"/>
          <w:sz w:val="24"/>
          <w:lang w:val="ro-RO"/>
        </w:rPr>
        <w:t>,</w:t>
      </w:r>
      <w:r w:rsidR="00321CD5" w:rsidRPr="009C5F11">
        <w:rPr>
          <w:rFonts w:ascii="Times New Roman" w:hAnsi="Times New Roman" w:cs="Times New Roman"/>
          <w:sz w:val="24"/>
          <w:lang w:val="ro-RO"/>
        </w:rPr>
        <w:t xml:space="preserve"> sau </w:t>
      </w:r>
      <w:r w:rsidR="00E941CE" w:rsidRPr="009C5F11">
        <w:rPr>
          <w:rFonts w:ascii="Times New Roman" w:hAnsi="Times New Roman" w:cs="Times New Roman"/>
          <w:sz w:val="24"/>
          <w:lang w:val="ro-RO"/>
        </w:rPr>
        <w:t xml:space="preserve">30 </w:t>
      </w:r>
      <w:r w:rsidR="005D06FD" w:rsidRPr="009C5F11">
        <w:rPr>
          <w:rFonts w:ascii="Times New Roman" w:hAnsi="Times New Roman" w:cs="Times New Roman"/>
          <w:sz w:val="24"/>
          <w:lang w:val="ro-RO"/>
        </w:rPr>
        <w:t>tone de</w:t>
      </w:r>
      <w:r w:rsidR="00395DB2" w:rsidRPr="009C5F11">
        <w:rPr>
          <w:rFonts w:ascii="Times New Roman" w:hAnsi="Times New Roman" w:cs="Times New Roman"/>
          <w:sz w:val="24"/>
          <w:lang w:val="ro-RO"/>
        </w:rPr>
        <w:t xml:space="preserve"> apă caldă pe zi</w:t>
      </w:r>
      <w:r w:rsidR="00E941CE" w:rsidRPr="009C5F11">
        <w:rPr>
          <w:rFonts w:ascii="Times New Roman" w:hAnsi="Times New Roman" w:cs="Times New Roman"/>
          <w:sz w:val="24"/>
          <w:lang w:val="ro-RO"/>
        </w:rPr>
        <w:t>,</w:t>
      </w:r>
    </w:p>
    <w:p w14:paraId="27C6EB6A" w14:textId="77777777" w:rsidR="00E941CE" w:rsidRPr="009C5F11" w:rsidRDefault="00FE7E2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bCs/>
          <w:iCs/>
          <w:sz w:val="24"/>
          <w:lang w:val="ro-RO"/>
        </w:rPr>
        <w:t>instalarea</w:t>
      </w:r>
      <w:r w:rsidRPr="009C5F11">
        <w:rPr>
          <w:rFonts w:ascii="Times New Roman" w:hAnsi="Times New Roman" w:cs="Times New Roman"/>
          <w:sz w:val="24"/>
          <w:lang w:val="ro-RO"/>
        </w:rPr>
        <w:t xml:space="preserve"> </w:t>
      </w:r>
      <w:r w:rsidR="00E941CE" w:rsidRPr="009C5F11">
        <w:rPr>
          <w:rFonts w:ascii="Times New Roman" w:hAnsi="Times New Roman" w:cs="Times New Roman"/>
          <w:sz w:val="24"/>
          <w:lang w:val="ro-RO"/>
        </w:rPr>
        <w:t>LED</w:t>
      </w:r>
      <w:r w:rsidR="00395DB2" w:rsidRPr="009C5F11">
        <w:rPr>
          <w:rFonts w:ascii="Times New Roman" w:hAnsi="Times New Roman" w:cs="Times New Roman"/>
          <w:sz w:val="24"/>
          <w:lang w:val="ro-RO"/>
        </w:rPr>
        <w:t>-uri</w:t>
      </w:r>
      <w:r w:rsidRPr="009C5F11">
        <w:rPr>
          <w:rFonts w:ascii="Times New Roman" w:hAnsi="Times New Roman" w:cs="Times New Roman"/>
          <w:sz w:val="24"/>
          <w:lang w:val="ro-RO"/>
        </w:rPr>
        <w:t>lor</w:t>
      </w:r>
      <w:r w:rsidR="00E941CE" w:rsidRPr="009C5F11">
        <w:rPr>
          <w:rFonts w:ascii="Times New Roman" w:hAnsi="Times New Roman" w:cs="Times New Roman"/>
          <w:sz w:val="24"/>
          <w:lang w:val="ro-RO"/>
        </w:rPr>
        <w:t xml:space="preserve">: 316 </w:t>
      </w:r>
      <w:r w:rsidR="00395DB2" w:rsidRPr="009C5F11">
        <w:rPr>
          <w:rFonts w:ascii="Times New Roman" w:hAnsi="Times New Roman" w:cs="Times New Roman"/>
          <w:sz w:val="24"/>
          <w:lang w:val="ro-RO"/>
        </w:rPr>
        <w:t>unităţi</w:t>
      </w:r>
      <w:r w:rsidR="00E941CE" w:rsidRPr="009C5F11">
        <w:rPr>
          <w:rFonts w:ascii="Times New Roman" w:hAnsi="Times New Roman" w:cs="Times New Roman"/>
          <w:sz w:val="24"/>
          <w:lang w:val="ro-RO"/>
        </w:rPr>
        <w:t xml:space="preserve">, 25W </w:t>
      </w:r>
      <w:r w:rsidR="00395DB2" w:rsidRPr="009C5F11">
        <w:rPr>
          <w:rFonts w:ascii="Times New Roman" w:hAnsi="Times New Roman" w:cs="Times New Roman"/>
          <w:sz w:val="24"/>
          <w:lang w:val="ro-RO"/>
        </w:rPr>
        <w:t>-</w:t>
      </w:r>
      <w:r w:rsidR="00E941CE" w:rsidRPr="009C5F11">
        <w:rPr>
          <w:rFonts w:ascii="Times New Roman" w:hAnsi="Times New Roman" w:cs="Times New Roman"/>
          <w:sz w:val="24"/>
          <w:lang w:val="ro-RO"/>
        </w:rPr>
        <w:t xml:space="preserve"> 100W (</w:t>
      </w:r>
      <w:r w:rsidR="00395DB2" w:rsidRPr="009C5F11">
        <w:rPr>
          <w:rFonts w:ascii="Times New Roman" w:hAnsi="Times New Roman" w:cs="Times New Roman"/>
          <w:sz w:val="24"/>
          <w:lang w:val="ro-RO"/>
        </w:rPr>
        <w:t xml:space="preserve">preponderent, </w:t>
      </w:r>
      <w:r w:rsidR="00321CD5" w:rsidRPr="009C5F11">
        <w:rPr>
          <w:rFonts w:ascii="Times New Roman" w:hAnsi="Times New Roman" w:cs="Times New Roman"/>
          <w:sz w:val="24"/>
          <w:lang w:val="ro-RO"/>
        </w:rPr>
        <w:t xml:space="preserve">în </w:t>
      </w:r>
      <w:r w:rsidR="006F2A15" w:rsidRPr="009C5F11">
        <w:rPr>
          <w:rFonts w:ascii="Times New Roman" w:hAnsi="Times New Roman" w:cs="Times New Roman"/>
          <w:sz w:val="24"/>
          <w:lang w:val="ro-RO"/>
        </w:rPr>
        <w:t>iluminatul stradal</w:t>
      </w:r>
      <w:r w:rsidR="00E941CE" w:rsidRPr="009C5F11">
        <w:rPr>
          <w:rFonts w:ascii="Times New Roman" w:hAnsi="Times New Roman" w:cs="Times New Roman"/>
          <w:sz w:val="24"/>
          <w:lang w:val="ro-RO"/>
        </w:rPr>
        <w:t>)</w:t>
      </w:r>
      <w:r w:rsidR="00395DB2" w:rsidRPr="009C5F11">
        <w:rPr>
          <w:rFonts w:ascii="Times New Roman" w:hAnsi="Times New Roman" w:cs="Times New Roman"/>
          <w:sz w:val="24"/>
          <w:lang w:val="ro-RO"/>
        </w:rPr>
        <w:t>.</w:t>
      </w:r>
    </w:p>
    <w:p w14:paraId="15420B2A" w14:textId="77777777" w:rsidR="00BC2ED4" w:rsidRPr="009C5F11" w:rsidRDefault="00BC2ED4" w:rsidP="0021728D">
      <w:pPr>
        <w:pStyle w:val="Listparagraf"/>
        <w:spacing w:before="120" w:after="120" w:line="240" w:lineRule="auto"/>
        <w:ind w:left="714"/>
        <w:contextualSpacing w:val="0"/>
        <w:jc w:val="both"/>
        <w:textAlignment w:val="baseline"/>
        <w:rPr>
          <w:rFonts w:ascii="Times New Roman" w:hAnsi="Times New Roman" w:cs="Times New Roman"/>
          <w:sz w:val="24"/>
          <w:lang w:val="ro-RO"/>
        </w:rPr>
      </w:pPr>
    </w:p>
    <w:p w14:paraId="21B312F1" w14:textId="77777777" w:rsidR="00BC2ED4" w:rsidRPr="00921CF1" w:rsidRDefault="00BC2ED4" w:rsidP="00DA72FC">
      <w:pPr>
        <w:pStyle w:val="Titlu3"/>
        <w:rPr>
          <w:rFonts w:ascii="Times New Roman" w:hAnsi="Times New Roman" w:cs="Times New Roman"/>
          <w:b/>
          <w:color w:val="000000" w:themeColor="text1"/>
          <w:sz w:val="28"/>
          <w:lang w:val="ro-RO"/>
        </w:rPr>
      </w:pPr>
      <w:bookmarkStart w:id="414" w:name="_Toc319555463"/>
      <w:bookmarkStart w:id="415" w:name="_Toc322013218"/>
      <w:r w:rsidRPr="00921CF1">
        <w:rPr>
          <w:rFonts w:ascii="Times New Roman" w:hAnsi="Times New Roman" w:cs="Times New Roman"/>
          <w:b/>
          <w:color w:val="000000" w:themeColor="text1"/>
          <w:sz w:val="28"/>
          <w:lang w:val="ro-RO"/>
        </w:rPr>
        <w:t>MoSEFF</w:t>
      </w:r>
      <w:bookmarkEnd w:id="414"/>
      <w:bookmarkEnd w:id="415"/>
      <w:r w:rsidRPr="00921CF1">
        <w:rPr>
          <w:rFonts w:ascii="Times New Roman" w:hAnsi="Times New Roman" w:cs="Times New Roman"/>
          <w:b/>
          <w:color w:val="000000" w:themeColor="text1"/>
          <w:sz w:val="28"/>
          <w:lang w:val="ro-RO"/>
        </w:rPr>
        <w:t xml:space="preserve"> </w:t>
      </w:r>
    </w:p>
    <w:p w14:paraId="6DEA625E" w14:textId="2B038D23" w:rsidR="00BC2ED4" w:rsidRPr="009C5F11" w:rsidRDefault="00FE7E2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Linia de Finanţare pentru Eficienţa Energetică în Moldova (MoSEFF) a fost lansată în Moldova în luna septembrie 2009, având instrumente similare celor aplicate în ţările din vecinătate, inclusiv în România şi Turcia în vederea susţinerii investiţiilor pentru sporirea eficienţei energetice la întreprinderi</w:t>
      </w:r>
      <w:r w:rsidR="00BC2ED4" w:rsidRPr="009C5F11">
        <w:rPr>
          <w:rFonts w:ascii="Times New Roman" w:hAnsi="Times New Roman" w:cs="Times New Roman"/>
          <w:sz w:val="24"/>
          <w:lang w:val="ro-RO"/>
        </w:rPr>
        <w:t>.</w:t>
      </w:r>
    </w:p>
    <w:p w14:paraId="53CCA08A" w14:textId="77777777" w:rsidR="00BC2ED4" w:rsidRPr="009C5F11" w:rsidRDefault="00FE7E28" w:rsidP="00A92B7E">
      <w:pPr>
        <w:spacing w:before="120" w:after="120" w:line="240" w:lineRule="auto"/>
        <w:jc w:val="both"/>
        <w:rPr>
          <w:rFonts w:ascii="Times New Roman" w:hAnsi="Times New Roman" w:cs="Times New Roman"/>
          <w:sz w:val="24"/>
          <w:u w:val="single"/>
          <w:lang w:val="ro-RO"/>
        </w:rPr>
      </w:pPr>
      <w:r w:rsidRPr="009C5F11">
        <w:rPr>
          <w:rFonts w:ascii="Times New Roman" w:hAnsi="Times New Roman" w:cs="Times New Roman"/>
          <w:sz w:val="24"/>
          <w:u w:val="single"/>
          <w:lang w:val="ro-RO"/>
        </w:rPr>
        <w:t>Calendar</w:t>
      </w:r>
      <w:r w:rsidR="00A8154B" w:rsidRPr="009C5F11">
        <w:rPr>
          <w:rFonts w:ascii="Times New Roman" w:hAnsi="Times New Roman" w:cs="Times New Roman"/>
          <w:sz w:val="24"/>
          <w:u w:val="single"/>
          <w:lang w:val="ro-RO"/>
        </w:rPr>
        <w:t>:</w:t>
      </w:r>
    </w:p>
    <w:p w14:paraId="6C37B9A7"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Faza I lansată în februarie 2010;</w:t>
      </w:r>
    </w:p>
    <w:p w14:paraId="30DA2E9C"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Primele audituri efectuate în iunie 2010 (pentru MICB şi MAIB);</w:t>
      </w:r>
    </w:p>
    <w:p w14:paraId="3D3AE2B9"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În august şi decembrie 2012 BCR şi Pro Credit Bank Moldova s-au alăturat facilităţii;</w:t>
      </w:r>
    </w:p>
    <w:p w14:paraId="1718BB0F"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Faza I finalizată în decembrie 2012;</w:t>
      </w:r>
    </w:p>
    <w:p w14:paraId="2ACCFED9"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Faza II finalizată în decembrie 2015;</w:t>
      </w:r>
    </w:p>
    <w:p w14:paraId="1559A0DA"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În decursul Fazei II băncile partener au inclus Moldindconbank, Moldova Agroindbank, Pro Credit Bank Moldova şi Mobiasbancă.</w:t>
      </w:r>
    </w:p>
    <w:p w14:paraId="6B03CB91" w14:textId="77777777" w:rsidR="008C0848" w:rsidRPr="009C5F11" w:rsidRDefault="00FE7E2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Pentru a deveni eligibil, proiectul trebuie să contribuie la reducerea consumului de energie primară, reducerea emisiilor de CO2 şi, în general, să amelioreze utilizarea raţională a energiei în industrie, agrobusiness şi în clădirile comerciale.</w:t>
      </w:r>
    </w:p>
    <w:p w14:paraId="0816BB80" w14:textId="0BA56EDE" w:rsidR="00FE7E28" w:rsidRPr="009C5F11" w:rsidRDefault="00FE7E2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Economiile de energie şi reducerea emisiilor de CO2 pot fi obţinute pe baza următoarelor măsuri:</w:t>
      </w:r>
    </w:p>
    <w:p w14:paraId="6B23D89E" w14:textId="77777777" w:rsidR="00FE7E28" w:rsidRPr="009C5F11" w:rsidRDefault="00FE7E28" w:rsidP="00FE7E28">
      <w:pPr>
        <w:pStyle w:val="Listparagraf"/>
        <w:spacing w:before="120" w:after="120" w:line="240" w:lineRule="auto"/>
        <w:ind w:left="720"/>
        <w:jc w:val="both"/>
        <w:rPr>
          <w:rFonts w:ascii="Times New Roman" w:hAnsi="Times New Roman" w:cs="Times New Roman"/>
          <w:sz w:val="24"/>
          <w:lang w:val="ro-RO"/>
        </w:rPr>
      </w:pPr>
    </w:p>
    <w:p w14:paraId="593A0B4D"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reabilitarea şi înlocuirea cazanelor;</w:t>
      </w:r>
    </w:p>
    <w:p w14:paraId="22D06403"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izolarea conductelor/ţevilor de abur şi apă caldă; </w:t>
      </w:r>
    </w:p>
    <w:p w14:paraId="2F99952B"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trecerea de la încălzirea pe bază de energie electrică la cea pe bază de combustibil; </w:t>
      </w:r>
    </w:p>
    <w:p w14:paraId="31FC5070"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instalarea ferestrelor eficiente din punct de vedere energetic;</w:t>
      </w:r>
    </w:p>
    <w:p w14:paraId="37A6ACE8"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izolarea termică a pereţilor; acoperişurilor şi planşeelor;</w:t>
      </w:r>
    </w:p>
    <w:p w14:paraId="1044206B"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perfecţionarea proceselor (de ex., intensificarea controlului, procesului de măsurare şi contorizare);</w:t>
      </w:r>
    </w:p>
    <w:p w14:paraId="209C5E13"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instalarea unor furnale, uscătorii, sobe care să reducă consumul specific de combustibil; </w:t>
      </w:r>
    </w:p>
    <w:p w14:paraId="29D1B108"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instalarea unor sisteme de recuperare a căldurii din sistemele de ventilare a aerului; </w:t>
      </w:r>
    </w:p>
    <w:p w14:paraId="6C81473C"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reabilitarea sistemelor de aer comprimat;</w:t>
      </w:r>
    </w:p>
    <w:p w14:paraId="3696C601"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instalarea uşilor rulante sau a element</w:t>
      </w:r>
      <w:r w:rsidR="00B56315" w:rsidRPr="009C5F11">
        <w:rPr>
          <w:rFonts w:ascii="Times New Roman" w:hAnsi="Times New Roman" w:cs="Times New Roman"/>
          <w:sz w:val="24"/>
          <w:lang w:val="ro-RO"/>
        </w:rPr>
        <w:t>el</w:t>
      </w:r>
      <w:r w:rsidRPr="009C5F11">
        <w:rPr>
          <w:rFonts w:ascii="Times New Roman" w:hAnsi="Times New Roman" w:cs="Times New Roman"/>
          <w:sz w:val="24"/>
          <w:lang w:val="ro-RO"/>
        </w:rPr>
        <w:t>or de blocare a uşilor;</w:t>
      </w:r>
    </w:p>
    <w:p w14:paraId="5136DBEB"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colectoare solare termale. </w:t>
      </w:r>
    </w:p>
    <w:p w14:paraId="409FB21E" w14:textId="272C8D9C" w:rsidR="00FE7E28" w:rsidRPr="009C5F11" w:rsidRDefault="00FE7E2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Proiectele care utilizează tehnologii moderne pot fi eligibile pentru granturi de niveluri ridicate:</w:t>
      </w:r>
    </w:p>
    <w:p w14:paraId="49810A61"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CET-uri şi trigenerare;</w:t>
      </w:r>
    </w:p>
    <w:p w14:paraId="76781123"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Cazane cu condensare de gaze;</w:t>
      </w:r>
    </w:p>
    <w:p w14:paraId="77366D1D"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Pompe de căldură;</w:t>
      </w:r>
    </w:p>
    <w:p w14:paraId="7E04E60C"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lastRenderedPageBreak/>
        <w:t>Izolarea termică transparentă;</w:t>
      </w:r>
    </w:p>
    <w:p w14:paraId="1CFA4596"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Colectoare solare termale cu vid;</w:t>
      </w:r>
    </w:p>
    <w:p w14:paraId="484C3C45"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Sisteme de răcire de absorbţie sau evaporare;</w:t>
      </w:r>
    </w:p>
    <w:p w14:paraId="2FB1066C"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Instalarea dispozitivelor de răcire cu multe etape (compresare);</w:t>
      </w:r>
    </w:p>
    <w:p w14:paraId="35503188"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Turbo-compresoare cu sistem de control intens al fluxului;</w:t>
      </w:r>
    </w:p>
    <w:p w14:paraId="6088EF25"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Variatoare de viteză instalate pe motoare electrice, ventilatoare, pompe; </w:t>
      </w:r>
    </w:p>
    <w:p w14:paraId="004B35E3"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Sisteme de management al energiei;</w:t>
      </w:r>
    </w:p>
    <w:p w14:paraId="605EF7F7"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Echilibrarea dinamică a sistemelor de încălzire şi răcire.</w:t>
      </w:r>
    </w:p>
    <w:p w14:paraId="365BA8E8" w14:textId="16C4BF11" w:rsidR="00FE7E28" w:rsidRPr="009C5F11" w:rsidRDefault="00FE7E2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Nivelul de grant depinde de investiţiile Proiectului, tehnologia aplicată, volumul de energie economisit şi emisiile de CO2 evitate, variind de la 5% până la 20%. Proiectele mici de eficienţă energetică (investiţie 10.000 – 250.000 Euro) cu tehnologii standard: grant de 10%:</w:t>
      </w:r>
    </w:p>
    <w:p w14:paraId="756B9CE7"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Proiecte mici de eficienţă energetică (investiţie 10.000 – 250.000 Euro) cu aplicarea celor mai bune tehnologii disponibile: grant de 20%;</w:t>
      </w:r>
    </w:p>
    <w:p w14:paraId="3C6F34D7"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Proiecte mici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(investiţie 10.000 – 250.000 Euro): grant de 20%;</w:t>
      </w:r>
    </w:p>
    <w:p w14:paraId="114AFDBD"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Proiecte mari de eficienţă energetică (250.000 - 2 milioane de euro): grant de 5%-20%; proiecte cu economii de energie mai mari de 35% vor primi un grant de 20%;</w:t>
      </w:r>
    </w:p>
    <w:p w14:paraId="04F50924" w14:textId="77777777" w:rsidR="00FE7E28" w:rsidRPr="009C5F11" w:rsidRDefault="00FE7E28"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Proiecte mari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(250.000 - 2 milioane Euro): grant până la 5%-15%.</w:t>
      </w:r>
    </w:p>
    <w:p w14:paraId="476C5683" w14:textId="31C6AD63" w:rsidR="00FE7E28" w:rsidRPr="009C5F11" w:rsidRDefault="00FE7E28"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Primul pas este realizarea evaluării performanţei energetice (EPA) pentru proiectele de până la 150.000 euro sau a unui audit energetic pentru proiectele de 150.000 euro - 2 milioane de euro. Consultantul Proiectului oferă consultanţă pentru optimizarea adiţională a facilităţilor solicitantului în termeni de consum şi livrare de energie.</w:t>
      </w:r>
    </w:p>
    <w:p w14:paraId="223FAE6B" w14:textId="77777777" w:rsidR="00BC2ED4" w:rsidRPr="009C5F11" w:rsidRDefault="00BC2ED4" w:rsidP="00A92B7E">
      <w:pPr>
        <w:spacing w:before="120" w:after="120" w:line="240" w:lineRule="auto"/>
        <w:jc w:val="both"/>
        <w:rPr>
          <w:rFonts w:ascii="Times New Roman" w:hAnsi="Times New Roman" w:cs="Times New Roman"/>
          <w:sz w:val="24"/>
          <w:lang w:val="ro-RO"/>
        </w:rPr>
      </w:pPr>
    </w:p>
    <w:p w14:paraId="135B31CA" w14:textId="77777777" w:rsidR="00D85D29" w:rsidRPr="009C5F11" w:rsidRDefault="00D85D29" w:rsidP="00A92B7E">
      <w:pPr>
        <w:spacing w:before="120" w:after="120" w:line="240" w:lineRule="auto"/>
        <w:jc w:val="both"/>
        <w:rPr>
          <w:rFonts w:ascii="Times New Roman" w:hAnsi="Times New Roman" w:cs="Times New Roman"/>
          <w:sz w:val="24"/>
          <w:lang w:val="ro-RO"/>
        </w:rPr>
      </w:pPr>
    </w:p>
    <w:p w14:paraId="0012F5A6" w14:textId="024BC88B" w:rsidR="00BC2ED4" w:rsidRPr="009C5F11" w:rsidRDefault="00FE7E28" w:rsidP="00087B37">
      <w:pPr>
        <w:pStyle w:val="Listparagraf"/>
        <w:numPr>
          <w:ilvl w:val="0"/>
          <w:numId w:val="210"/>
        </w:numPr>
        <w:spacing w:before="120" w:after="120" w:line="240" w:lineRule="auto"/>
        <w:ind w:left="0" w:firstLine="142"/>
        <w:jc w:val="both"/>
        <w:rPr>
          <w:rFonts w:ascii="Times New Roman" w:hAnsi="Times New Roman" w:cs="Times New Roman"/>
          <w:sz w:val="24"/>
          <w:u w:val="single"/>
          <w:lang w:val="ro-RO"/>
        </w:rPr>
      </w:pPr>
      <w:r w:rsidRPr="009C5F11">
        <w:rPr>
          <w:rFonts w:ascii="Times New Roman" w:hAnsi="Times New Roman" w:cs="Times New Roman"/>
          <w:sz w:val="24"/>
          <w:u w:val="single"/>
          <w:lang w:val="ro-RO"/>
        </w:rPr>
        <w:t>Performanţa f</w:t>
      </w:r>
      <w:r w:rsidR="00BC2ED4" w:rsidRPr="009C5F11">
        <w:rPr>
          <w:rFonts w:ascii="Times New Roman" w:hAnsi="Times New Roman" w:cs="Times New Roman"/>
          <w:sz w:val="24"/>
          <w:u w:val="single"/>
          <w:lang w:val="ro-RO"/>
        </w:rPr>
        <w:t>inancia</w:t>
      </w:r>
      <w:r w:rsidRPr="009C5F11">
        <w:rPr>
          <w:rFonts w:ascii="Times New Roman" w:hAnsi="Times New Roman" w:cs="Times New Roman"/>
          <w:sz w:val="24"/>
          <w:u w:val="single"/>
          <w:lang w:val="ro-RO"/>
        </w:rPr>
        <w:t>ră a</w:t>
      </w:r>
      <w:r w:rsidR="00BC2ED4" w:rsidRPr="009C5F11">
        <w:rPr>
          <w:rFonts w:ascii="Times New Roman" w:hAnsi="Times New Roman" w:cs="Times New Roman"/>
          <w:sz w:val="24"/>
          <w:u w:val="single"/>
          <w:lang w:val="ro-RO"/>
        </w:rPr>
        <w:t xml:space="preserve"> MoSEFF </w:t>
      </w:r>
      <w:r w:rsidRPr="009C5F11">
        <w:rPr>
          <w:rFonts w:ascii="Times New Roman" w:hAnsi="Times New Roman" w:cs="Times New Roman"/>
          <w:sz w:val="24"/>
          <w:u w:val="single"/>
          <w:lang w:val="ro-RO"/>
        </w:rPr>
        <w:t>la situaţia din</w:t>
      </w:r>
      <w:r w:rsidR="00BC2ED4" w:rsidRPr="009C5F11">
        <w:rPr>
          <w:rFonts w:ascii="Times New Roman" w:hAnsi="Times New Roman" w:cs="Times New Roman"/>
          <w:sz w:val="24"/>
          <w:u w:val="single"/>
          <w:lang w:val="ro-RO"/>
        </w:rPr>
        <w:t xml:space="preserve"> 11.03.2016</w:t>
      </w:r>
      <w:r w:rsidRPr="009C5F11">
        <w:rPr>
          <w:rFonts w:ascii="Times New Roman" w:hAnsi="Times New Roman" w:cs="Times New Roman"/>
          <w:sz w:val="24"/>
          <w:u w:val="single"/>
          <w:lang w:val="ro-RO"/>
        </w:rPr>
        <w:t>:</w:t>
      </w:r>
    </w:p>
    <w:p w14:paraId="72668C50" w14:textId="77777777" w:rsidR="00BC2ED4" w:rsidRPr="009C5F11" w:rsidRDefault="00421FA7"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Proiect</w:t>
      </w:r>
      <w:r w:rsidR="00FE7E28"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w:t>
      </w:r>
      <w:r w:rsidR="00334DD0" w:rsidRPr="009C5F11">
        <w:rPr>
          <w:rFonts w:ascii="Times New Roman" w:hAnsi="Times New Roman" w:cs="Times New Roman"/>
          <w:sz w:val="24"/>
          <w:lang w:val="ro-RO"/>
        </w:rPr>
        <w:t>aprobat</w:t>
      </w:r>
      <w:r w:rsidR="00FE7E28" w:rsidRPr="009C5F11">
        <w:rPr>
          <w:rFonts w:ascii="Times New Roman" w:hAnsi="Times New Roman" w:cs="Times New Roman"/>
          <w:sz w:val="24"/>
          <w:lang w:val="ro-RO"/>
        </w:rPr>
        <w:t>e</w:t>
      </w:r>
      <w:r w:rsidR="00334DD0" w:rsidRPr="009C5F11">
        <w:rPr>
          <w:rFonts w:ascii="Times New Roman" w:hAnsi="Times New Roman" w:cs="Times New Roman"/>
          <w:sz w:val="24"/>
          <w:lang w:val="ro-RO"/>
        </w:rPr>
        <w:t xml:space="preserve"> de</w:t>
      </w:r>
      <w:r w:rsidR="00BC2ED4" w:rsidRPr="009C5F11">
        <w:rPr>
          <w:rFonts w:ascii="Times New Roman" w:hAnsi="Times New Roman" w:cs="Times New Roman"/>
          <w:sz w:val="24"/>
          <w:lang w:val="ro-RO"/>
        </w:rPr>
        <w:t xml:space="preserve"> MoSEFF </w:t>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FE7E28"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FE7E28" w:rsidRPr="009C5F11">
        <w:rPr>
          <w:rFonts w:ascii="Times New Roman" w:hAnsi="Times New Roman" w:cs="Times New Roman"/>
          <w:sz w:val="24"/>
          <w:lang w:val="ro-RO"/>
        </w:rPr>
        <w:tab/>
      </w:r>
      <w:r w:rsidR="00BC2ED4" w:rsidRPr="009C5F11">
        <w:rPr>
          <w:rFonts w:ascii="Times New Roman" w:hAnsi="Times New Roman" w:cs="Times New Roman"/>
          <w:sz w:val="24"/>
          <w:lang w:val="ro-RO"/>
        </w:rPr>
        <w:t>243</w:t>
      </w:r>
    </w:p>
    <w:p w14:paraId="6321BCF1" w14:textId="77777777" w:rsidR="00BC2ED4" w:rsidRPr="009C5F11" w:rsidRDefault="00421FA7"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Proiect</w:t>
      </w:r>
      <w:r w:rsidR="00FE7E28" w:rsidRPr="009C5F11">
        <w:rPr>
          <w:rFonts w:ascii="Times New Roman" w:hAnsi="Times New Roman" w:cs="Times New Roman"/>
          <w:sz w:val="24"/>
          <w:lang w:val="ro-RO"/>
        </w:rPr>
        <w:t>e</w:t>
      </w:r>
      <w:r w:rsidR="00BC2ED4" w:rsidRPr="009C5F11">
        <w:rPr>
          <w:rFonts w:ascii="Times New Roman" w:hAnsi="Times New Roman" w:cs="Times New Roman"/>
          <w:sz w:val="24"/>
          <w:lang w:val="ro-RO"/>
        </w:rPr>
        <w:t xml:space="preserve"> finan</w:t>
      </w:r>
      <w:r w:rsidR="00FE7E28" w:rsidRPr="009C5F11">
        <w:rPr>
          <w:rFonts w:ascii="Times New Roman" w:hAnsi="Times New Roman" w:cs="Times New Roman"/>
          <w:sz w:val="24"/>
          <w:lang w:val="ro-RO"/>
        </w:rPr>
        <w:t>ţate de b</w:t>
      </w:r>
      <w:r w:rsidR="00A8154B" w:rsidRPr="009C5F11">
        <w:rPr>
          <w:rFonts w:ascii="Times New Roman" w:hAnsi="Times New Roman" w:cs="Times New Roman"/>
          <w:sz w:val="24"/>
          <w:lang w:val="ro-RO"/>
        </w:rPr>
        <w:t>ă</w:t>
      </w:r>
      <w:r w:rsidR="00FE7E28" w:rsidRPr="009C5F11">
        <w:rPr>
          <w:rFonts w:ascii="Times New Roman" w:hAnsi="Times New Roman" w:cs="Times New Roman"/>
          <w:sz w:val="24"/>
          <w:lang w:val="ro-RO"/>
        </w:rPr>
        <w:t>ncile partenere ale</w:t>
      </w:r>
      <w:r w:rsidR="00BC2ED4" w:rsidRPr="009C5F11">
        <w:rPr>
          <w:rFonts w:ascii="Times New Roman" w:hAnsi="Times New Roman" w:cs="Times New Roman"/>
          <w:sz w:val="24"/>
          <w:lang w:val="ro-RO"/>
        </w:rPr>
        <w:t xml:space="preserve"> MoSEFF</w:t>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FE7E28" w:rsidRPr="009C5F11">
        <w:rPr>
          <w:rFonts w:ascii="Times New Roman" w:hAnsi="Times New Roman" w:cs="Times New Roman"/>
          <w:sz w:val="24"/>
          <w:lang w:val="ro-RO"/>
        </w:rPr>
        <w:tab/>
      </w:r>
      <w:r w:rsidR="00BC2ED4" w:rsidRPr="009C5F11">
        <w:rPr>
          <w:rFonts w:ascii="Times New Roman" w:hAnsi="Times New Roman" w:cs="Times New Roman"/>
          <w:sz w:val="24"/>
          <w:lang w:val="ro-RO"/>
        </w:rPr>
        <w:t>157</w:t>
      </w:r>
    </w:p>
    <w:p w14:paraId="205A55F9" w14:textId="77777777" w:rsidR="00BC2ED4" w:rsidRPr="009C5F11" w:rsidRDefault="00FE7E2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Proiecte în derulare</w:t>
      </w:r>
      <w:r w:rsidR="00321CD5" w:rsidRPr="009C5F11">
        <w:rPr>
          <w:rFonts w:ascii="Times New Roman" w:hAnsi="Times New Roman" w:cs="Times New Roman"/>
          <w:sz w:val="24"/>
          <w:lang w:val="ro-RO"/>
        </w:rPr>
        <w:t xml:space="preserve"> şi </w:t>
      </w:r>
      <w:r w:rsidRPr="009C5F11">
        <w:rPr>
          <w:rFonts w:ascii="Times New Roman" w:hAnsi="Times New Roman" w:cs="Times New Roman"/>
          <w:sz w:val="24"/>
          <w:lang w:val="ro-RO"/>
        </w:rPr>
        <w:t xml:space="preserve">evaluarea </w:t>
      </w:r>
      <w:r w:rsidR="005B260C" w:rsidRPr="009C5F11">
        <w:rPr>
          <w:rFonts w:ascii="Times New Roman" w:hAnsi="Times New Roman" w:cs="Times New Roman"/>
          <w:sz w:val="24"/>
          <w:lang w:val="ro-RO"/>
        </w:rPr>
        <w:t>împrumut</w:t>
      </w:r>
      <w:r w:rsidRPr="009C5F11">
        <w:rPr>
          <w:rFonts w:ascii="Times New Roman" w:hAnsi="Times New Roman" w:cs="Times New Roman"/>
          <w:sz w:val="24"/>
          <w:lang w:val="ro-RO"/>
        </w:rPr>
        <w:t>ului</w:t>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Pr="009C5F11">
        <w:rPr>
          <w:rFonts w:ascii="Times New Roman" w:hAnsi="Times New Roman" w:cs="Times New Roman"/>
          <w:sz w:val="24"/>
          <w:lang w:val="ro-RO"/>
        </w:rPr>
        <w:tab/>
      </w:r>
      <w:r w:rsidRPr="009C5F11">
        <w:rPr>
          <w:rFonts w:ascii="Times New Roman" w:hAnsi="Times New Roman" w:cs="Times New Roman"/>
          <w:sz w:val="24"/>
          <w:lang w:val="ro-RO"/>
        </w:rPr>
        <w:tab/>
      </w:r>
      <w:r w:rsidR="00BC2ED4" w:rsidRPr="009C5F11">
        <w:rPr>
          <w:rFonts w:ascii="Times New Roman" w:hAnsi="Times New Roman" w:cs="Times New Roman"/>
          <w:sz w:val="24"/>
          <w:lang w:val="ro-RO"/>
        </w:rPr>
        <w:t>6</w:t>
      </w:r>
    </w:p>
    <w:p w14:paraId="44A104ED" w14:textId="77777777" w:rsidR="00BC2ED4" w:rsidRPr="009C5F11" w:rsidRDefault="00FE7E2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Î</w:t>
      </w:r>
      <w:r w:rsidR="005B260C" w:rsidRPr="009C5F11">
        <w:rPr>
          <w:rFonts w:ascii="Times New Roman" w:hAnsi="Times New Roman" w:cs="Times New Roman"/>
          <w:sz w:val="24"/>
          <w:lang w:val="ro-RO"/>
        </w:rPr>
        <w:t>mprumut</w:t>
      </w:r>
      <w:r w:rsidRPr="009C5F11">
        <w:rPr>
          <w:rFonts w:ascii="Times New Roman" w:hAnsi="Times New Roman" w:cs="Times New Roman"/>
          <w:sz w:val="24"/>
          <w:lang w:val="ro-RO"/>
        </w:rPr>
        <w:t xml:space="preserve">uri </w:t>
      </w:r>
      <w:r w:rsidR="00334DD0" w:rsidRPr="009C5F11">
        <w:rPr>
          <w:rFonts w:ascii="Times New Roman" w:hAnsi="Times New Roman" w:cs="Times New Roman"/>
          <w:sz w:val="24"/>
          <w:lang w:val="ro-RO"/>
        </w:rPr>
        <w:t>aprobat</w:t>
      </w:r>
      <w:r w:rsidR="00A8154B" w:rsidRPr="009C5F11">
        <w:rPr>
          <w:rFonts w:ascii="Times New Roman" w:hAnsi="Times New Roman" w:cs="Times New Roman"/>
          <w:sz w:val="24"/>
          <w:lang w:val="ro-RO"/>
        </w:rPr>
        <w:t>e</w:t>
      </w:r>
      <w:r w:rsidR="00334DD0" w:rsidRPr="009C5F11">
        <w:rPr>
          <w:rFonts w:ascii="Times New Roman" w:hAnsi="Times New Roman" w:cs="Times New Roman"/>
          <w:sz w:val="24"/>
          <w:lang w:val="ro-RO"/>
        </w:rPr>
        <w:t xml:space="preserve"> de</w:t>
      </w:r>
      <w:r w:rsidR="00BC2ED4" w:rsidRPr="009C5F11">
        <w:rPr>
          <w:rFonts w:ascii="Times New Roman" w:hAnsi="Times New Roman" w:cs="Times New Roman"/>
          <w:sz w:val="24"/>
          <w:lang w:val="ro-RO"/>
        </w:rPr>
        <w:t xml:space="preserve"> MoSEFF (</w:t>
      </w:r>
      <w:r w:rsidRPr="009C5F11">
        <w:rPr>
          <w:rFonts w:ascii="Times New Roman" w:hAnsi="Times New Roman" w:cs="Times New Roman"/>
          <w:sz w:val="24"/>
          <w:lang w:val="ro-RO"/>
        </w:rPr>
        <w:t>milioane</w:t>
      </w:r>
      <w:r w:rsidR="00BC2ED4"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euro</w:t>
      </w:r>
      <w:r w:rsidR="00BC2ED4" w:rsidRPr="009C5F11">
        <w:rPr>
          <w:rFonts w:ascii="Times New Roman" w:hAnsi="Times New Roman" w:cs="Times New Roman"/>
          <w:sz w:val="24"/>
          <w:lang w:val="ro-RO"/>
        </w:rPr>
        <w:t>)</w:t>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Pr="009C5F11">
        <w:rPr>
          <w:rFonts w:ascii="Times New Roman" w:hAnsi="Times New Roman" w:cs="Times New Roman"/>
          <w:sz w:val="24"/>
          <w:lang w:val="ro-RO"/>
        </w:rPr>
        <w:tab/>
      </w:r>
      <w:r w:rsidR="00BC2ED4" w:rsidRPr="009C5F11">
        <w:rPr>
          <w:rFonts w:ascii="Times New Roman" w:hAnsi="Times New Roman" w:cs="Times New Roman"/>
          <w:sz w:val="24"/>
          <w:lang w:val="ro-RO"/>
        </w:rPr>
        <w:t>56.7</w:t>
      </w:r>
    </w:p>
    <w:p w14:paraId="7046DF45" w14:textId="77777777" w:rsidR="00BC2ED4" w:rsidRPr="009C5F11" w:rsidRDefault="00FE7E2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Suma angajată</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milioane</w:t>
      </w:r>
      <w:r w:rsidR="00BC2ED4"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euro</w:t>
      </w:r>
      <w:r w:rsidR="00BC2ED4" w:rsidRPr="009C5F11">
        <w:rPr>
          <w:rFonts w:ascii="Times New Roman" w:hAnsi="Times New Roman" w:cs="Times New Roman"/>
          <w:sz w:val="24"/>
          <w:lang w:val="ro-RO"/>
        </w:rPr>
        <w:t xml:space="preserve">) </w:t>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Pr="009C5F11">
        <w:rPr>
          <w:rFonts w:ascii="Times New Roman" w:hAnsi="Times New Roman" w:cs="Times New Roman"/>
          <w:sz w:val="24"/>
          <w:lang w:val="ro-RO"/>
        </w:rPr>
        <w:tab/>
      </w:r>
      <w:r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Pr="009C5F11">
        <w:rPr>
          <w:rFonts w:ascii="Times New Roman" w:hAnsi="Times New Roman" w:cs="Times New Roman"/>
          <w:sz w:val="24"/>
          <w:lang w:val="ro-RO"/>
        </w:rPr>
        <w:tab/>
      </w:r>
      <w:r w:rsidR="00BC2ED4" w:rsidRPr="009C5F11">
        <w:rPr>
          <w:rFonts w:ascii="Times New Roman" w:hAnsi="Times New Roman" w:cs="Times New Roman"/>
          <w:sz w:val="24"/>
          <w:lang w:val="ro-RO"/>
        </w:rPr>
        <w:t>36.3</w:t>
      </w:r>
    </w:p>
    <w:p w14:paraId="69F05ED6" w14:textId="77777777" w:rsidR="00BC2ED4" w:rsidRPr="009C5F11" w:rsidRDefault="00FE7E2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Î</w:t>
      </w:r>
      <w:r w:rsidR="00147585" w:rsidRPr="009C5F11">
        <w:rPr>
          <w:rFonts w:ascii="Times New Roman" w:hAnsi="Times New Roman" w:cs="Times New Roman"/>
          <w:sz w:val="24"/>
          <w:lang w:val="ro-RO"/>
        </w:rPr>
        <w:t>mprumuturi</w:t>
      </w:r>
      <w:r w:rsidRPr="009C5F11">
        <w:rPr>
          <w:rFonts w:ascii="Times New Roman" w:hAnsi="Times New Roman" w:cs="Times New Roman"/>
          <w:sz w:val="24"/>
          <w:lang w:val="ro-RO"/>
        </w:rPr>
        <w:t xml:space="preserve"> acordate de b</w:t>
      </w:r>
      <w:r w:rsidR="00A8154B" w:rsidRPr="009C5F11">
        <w:rPr>
          <w:rFonts w:ascii="Times New Roman" w:hAnsi="Times New Roman" w:cs="Times New Roman"/>
          <w:sz w:val="24"/>
          <w:lang w:val="ro-RO"/>
        </w:rPr>
        <w:t>ă</w:t>
      </w:r>
      <w:r w:rsidRPr="009C5F11">
        <w:rPr>
          <w:rFonts w:ascii="Times New Roman" w:hAnsi="Times New Roman" w:cs="Times New Roman"/>
          <w:sz w:val="24"/>
          <w:lang w:val="ro-RO"/>
        </w:rPr>
        <w:t>ncile partenere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milioane</w:t>
      </w:r>
      <w:r w:rsidR="00BC2ED4"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euro</w:t>
      </w:r>
      <w:r w:rsidR="00BC2ED4" w:rsidRPr="009C5F11">
        <w:rPr>
          <w:rFonts w:ascii="Times New Roman" w:hAnsi="Times New Roman" w:cs="Times New Roman"/>
          <w:sz w:val="24"/>
          <w:lang w:val="ro-RO"/>
        </w:rPr>
        <w:t>)</w:t>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t>33.3</w:t>
      </w:r>
    </w:p>
    <w:p w14:paraId="457332D9" w14:textId="77777777" w:rsidR="00FE7E28" w:rsidRPr="009C5F11" w:rsidRDefault="00FE7E28"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Împrumuturi contractate de proiecte în derulare</w:t>
      </w:r>
    </w:p>
    <w:p w14:paraId="6F729961" w14:textId="77777777" w:rsidR="00BC2ED4" w:rsidRPr="009C5F11" w:rsidRDefault="00321CD5" w:rsidP="00FE7E28">
      <w:pPr>
        <w:pStyle w:val="Listparagraf"/>
        <w:spacing w:before="120" w:after="120" w:line="240" w:lineRule="auto"/>
        <w:ind w:left="714"/>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şi </w:t>
      </w:r>
      <w:r w:rsidR="00FE7E28" w:rsidRPr="009C5F11">
        <w:rPr>
          <w:rFonts w:ascii="Times New Roman" w:hAnsi="Times New Roman" w:cs="Times New Roman"/>
          <w:sz w:val="24"/>
          <w:lang w:val="ro-RO"/>
        </w:rPr>
        <w:t xml:space="preserve">evaluarea </w:t>
      </w:r>
      <w:r w:rsidR="005B260C" w:rsidRPr="009C5F11">
        <w:rPr>
          <w:rFonts w:ascii="Times New Roman" w:hAnsi="Times New Roman" w:cs="Times New Roman"/>
          <w:sz w:val="24"/>
          <w:lang w:val="ro-RO"/>
        </w:rPr>
        <w:t>împrumut</w:t>
      </w:r>
      <w:r w:rsidR="00FE7E28" w:rsidRPr="009C5F11">
        <w:rPr>
          <w:rFonts w:ascii="Times New Roman" w:hAnsi="Times New Roman" w:cs="Times New Roman"/>
          <w:sz w:val="24"/>
          <w:lang w:val="ro-RO"/>
        </w:rPr>
        <w:t>urilor</w:t>
      </w:r>
      <w:r w:rsidR="00BC2ED4" w:rsidRPr="009C5F11">
        <w:rPr>
          <w:rFonts w:ascii="Times New Roman" w:hAnsi="Times New Roman" w:cs="Times New Roman"/>
          <w:sz w:val="24"/>
          <w:lang w:val="ro-RO"/>
        </w:rPr>
        <w:t xml:space="preserve"> (</w:t>
      </w:r>
      <w:r w:rsidR="00FE7E28" w:rsidRPr="009C5F11">
        <w:rPr>
          <w:rFonts w:ascii="Times New Roman" w:hAnsi="Times New Roman" w:cs="Times New Roman"/>
          <w:sz w:val="24"/>
          <w:lang w:val="ro-RO"/>
        </w:rPr>
        <w:t>milioane</w:t>
      </w:r>
      <w:r w:rsidR="00BC2ED4" w:rsidRPr="009C5F11">
        <w:rPr>
          <w:rFonts w:ascii="Times New Roman" w:hAnsi="Times New Roman" w:cs="Times New Roman"/>
          <w:sz w:val="24"/>
          <w:lang w:val="ro-RO"/>
        </w:rPr>
        <w:t xml:space="preserve"> </w:t>
      </w:r>
      <w:r w:rsidR="00421FA7" w:rsidRPr="009C5F11">
        <w:rPr>
          <w:rFonts w:ascii="Times New Roman" w:hAnsi="Times New Roman" w:cs="Times New Roman"/>
          <w:sz w:val="24"/>
          <w:lang w:val="ro-RO"/>
        </w:rPr>
        <w:t>euro</w:t>
      </w:r>
      <w:r w:rsidR="00BC2ED4" w:rsidRPr="009C5F11">
        <w:rPr>
          <w:rFonts w:ascii="Times New Roman" w:hAnsi="Times New Roman" w:cs="Times New Roman"/>
          <w:sz w:val="24"/>
          <w:lang w:val="ro-RO"/>
        </w:rPr>
        <w:t>)</w:t>
      </w:r>
      <w:r w:rsidR="00BC2ED4" w:rsidRPr="009C5F11">
        <w:rPr>
          <w:rFonts w:ascii="Times New Roman" w:hAnsi="Times New Roman" w:cs="Times New Roman"/>
          <w:sz w:val="24"/>
          <w:lang w:val="ro-RO"/>
        </w:rPr>
        <w:tab/>
      </w:r>
      <w:r w:rsidR="00FE7E28" w:rsidRPr="009C5F11">
        <w:rPr>
          <w:rFonts w:ascii="Times New Roman" w:hAnsi="Times New Roman" w:cs="Times New Roman"/>
          <w:sz w:val="24"/>
          <w:lang w:val="ro-RO"/>
        </w:rPr>
        <w:tab/>
      </w:r>
      <w:r w:rsidR="00FE7E28"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t>2.7</w:t>
      </w:r>
    </w:p>
    <w:p w14:paraId="1A730352" w14:textId="77777777" w:rsidR="00DF5B6A" w:rsidRDefault="00DF5B6A" w:rsidP="00DF5B6A">
      <w:pPr>
        <w:pStyle w:val="Legend"/>
        <w:keepNext/>
        <w:jc w:val="center"/>
        <w:rPr>
          <w:rFonts w:ascii="Times New Roman" w:hAnsi="Times New Roman" w:cs="Times New Roman"/>
          <w:sz w:val="22"/>
          <w:lang w:val="ro-RO"/>
        </w:rPr>
      </w:pPr>
    </w:p>
    <w:p w14:paraId="06FB72CD" w14:textId="77777777" w:rsidR="00921CF1" w:rsidRPr="00921CF1" w:rsidRDefault="00921CF1" w:rsidP="00921CF1">
      <w:pPr>
        <w:rPr>
          <w:lang w:val="ro-RO"/>
        </w:rPr>
      </w:pPr>
    </w:p>
    <w:p w14:paraId="4953159D" w14:textId="77777777" w:rsidR="00DF5B6A" w:rsidRPr="009C5F11" w:rsidRDefault="00321CD5" w:rsidP="00DF5B6A">
      <w:pPr>
        <w:pStyle w:val="Legend"/>
        <w:keepNext/>
        <w:jc w:val="center"/>
        <w:rPr>
          <w:rFonts w:ascii="Times New Roman" w:hAnsi="Times New Roman" w:cs="Times New Roman"/>
          <w:sz w:val="22"/>
          <w:lang w:val="ro-RO"/>
        </w:rPr>
      </w:pPr>
      <w:bookmarkStart w:id="416" w:name="_Toc322013270"/>
      <w:r w:rsidRPr="009C5F11">
        <w:rPr>
          <w:rFonts w:ascii="Times New Roman" w:hAnsi="Times New Roman" w:cs="Times New Roman"/>
          <w:sz w:val="22"/>
          <w:lang w:val="ro-RO"/>
        </w:rPr>
        <w:lastRenderedPageBreak/>
        <w:t>Tabelul</w:t>
      </w:r>
      <w:r w:rsidR="00DF5B6A"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DF5B6A"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47</w:t>
      </w:r>
      <w:r w:rsidR="003A6ADB" w:rsidRPr="009C5F11">
        <w:rPr>
          <w:rFonts w:ascii="Times New Roman" w:hAnsi="Times New Roman" w:cs="Times New Roman"/>
          <w:sz w:val="22"/>
          <w:lang w:val="ro-RO"/>
        </w:rPr>
        <w:fldChar w:fldCharType="end"/>
      </w:r>
      <w:r w:rsidR="00DF5B6A" w:rsidRPr="009C5F11">
        <w:rPr>
          <w:rFonts w:ascii="Times New Roman" w:hAnsi="Times New Roman" w:cs="Times New Roman"/>
          <w:sz w:val="22"/>
          <w:lang w:val="ro-RO"/>
        </w:rPr>
        <w:t xml:space="preserve"> - </w:t>
      </w:r>
      <w:r w:rsidR="001A3D16" w:rsidRPr="009C5F11">
        <w:rPr>
          <w:rFonts w:ascii="Times New Roman" w:hAnsi="Times New Roman" w:cs="Times New Roman"/>
          <w:sz w:val="22"/>
          <w:lang w:val="ro-RO"/>
        </w:rPr>
        <w:t>Economii</w:t>
      </w:r>
      <w:r w:rsidR="00840B9F" w:rsidRPr="009C5F11">
        <w:rPr>
          <w:rFonts w:ascii="Times New Roman" w:hAnsi="Times New Roman" w:cs="Times New Roman"/>
          <w:sz w:val="22"/>
          <w:lang w:val="ro-RO"/>
        </w:rPr>
        <w:t>le</w:t>
      </w:r>
      <w:r w:rsidR="00B7502D" w:rsidRPr="009C5F11">
        <w:rPr>
          <w:rFonts w:ascii="Times New Roman" w:hAnsi="Times New Roman" w:cs="Times New Roman"/>
          <w:sz w:val="22"/>
          <w:lang w:val="ro-RO"/>
        </w:rPr>
        <w:t xml:space="preserve"> raportat</w:t>
      </w:r>
      <w:r w:rsidR="00840B9F" w:rsidRPr="009C5F11">
        <w:rPr>
          <w:rFonts w:ascii="Times New Roman" w:hAnsi="Times New Roman" w:cs="Times New Roman"/>
          <w:sz w:val="22"/>
          <w:lang w:val="ro-RO"/>
        </w:rPr>
        <w:t>e</w:t>
      </w:r>
      <w:r w:rsidR="00DF5B6A" w:rsidRPr="009C5F11">
        <w:rPr>
          <w:rFonts w:ascii="Times New Roman" w:hAnsi="Times New Roman" w:cs="Times New Roman"/>
          <w:sz w:val="22"/>
          <w:lang w:val="ro-RO"/>
        </w:rPr>
        <w:t xml:space="preserve"> </w:t>
      </w:r>
      <w:r w:rsidR="00840B9F" w:rsidRPr="009C5F11">
        <w:rPr>
          <w:rFonts w:ascii="Times New Roman" w:hAnsi="Times New Roman" w:cs="Times New Roman"/>
          <w:sz w:val="22"/>
          <w:lang w:val="ro-RO"/>
        </w:rPr>
        <w:t>de</w:t>
      </w:r>
      <w:r w:rsidR="00DF5B6A" w:rsidRPr="009C5F11">
        <w:rPr>
          <w:rFonts w:ascii="Times New Roman" w:hAnsi="Times New Roman" w:cs="Times New Roman"/>
          <w:sz w:val="22"/>
          <w:lang w:val="ro-RO"/>
        </w:rPr>
        <w:t xml:space="preserve"> MoSEFF</w:t>
      </w:r>
      <w:r w:rsidR="00840B9F" w:rsidRPr="009C5F11">
        <w:rPr>
          <w:rFonts w:ascii="Times New Roman" w:hAnsi="Times New Roman" w:cs="Times New Roman"/>
          <w:sz w:val="22"/>
          <w:lang w:val="ro-RO"/>
        </w:rPr>
        <w:t>.</w:t>
      </w:r>
      <w:bookmarkEnd w:id="416"/>
    </w:p>
    <w:tbl>
      <w:tblPr>
        <w:tblW w:w="0" w:type="auto"/>
        <w:tblBorders>
          <w:top w:val="single" w:sz="4" w:space="0" w:color="4F81BD"/>
          <w:left w:val="single" w:sz="4" w:space="0" w:color="4F81BD"/>
          <w:bottom w:val="single" w:sz="4" w:space="0" w:color="4F81BD"/>
          <w:right w:val="single" w:sz="4" w:space="0" w:color="4F81BD"/>
          <w:insideH w:val="single" w:sz="4" w:space="0" w:color="4F81BD"/>
        </w:tblBorders>
        <w:tblLook w:val="04A0" w:firstRow="1" w:lastRow="0" w:firstColumn="1" w:lastColumn="0" w:noHBand="0" w:noVBand="1"/>
      </w:tblPr>
      <w:tblGrid>
        <w:gridCol w:w="7804"/>
        <w:gridCol w:w="1439"/>
      </w:tblGrid>
      <w:tr w:rsidR="00BC2ED4" w:rsidRPr="009C5F11" w14:paraId="4C0B6494" w14:textId="77777777" w:rsidTr="00DF5B6A">
        <w:tc>
          <w:tcPr>
            <w:tcW w:w="7804" w:type="dxa"/>
            <w:shd w:val="clear" w:color="auto" w:fill="000080"/>
          </w:tcPr>
          <w:p w14:paraId="1371040D" w14:textId="77777777" w:rsidR="00BC2ED4" w:rsidRPr="009C5F11" w:rsidRDefault="00840B9F" w:rsidP="00D85D29">
            <w:pPr>
              <w:spacing w:before="40" w:after="40" w:line="240" w:lineRule="auto"/>
              <w:rPr>
                <w:rFonts w:ascii="Times New Roman" w:hAnsi="Times New Roman" w:cs="Times New Roman"/>
                <w:b/>
                <w:color w:val="FFFFFF" w:themeColor="background1"/>
                <w:lang w:val="ro-RO"/>
              </w:rPr>
            </w:pPr>
            <w:r w:rsidRPr="009C5F11">
              <w:rPr>
                <w:rFonts w:ascii="Times New Roman" w:hAnsi="Times New Roman" w:cs="Times New Roman"/>
                <w:b/>
                <w:color w:val="FFFFFF" w:themeColor="background1"/>
                <w:lang w:val="ro-RO"/>
              </w:rPr>
              <w:t>ECONOMII</w:t>
            </w:r>
          </w:p>
        </w:tc>
        <w:tc>
          <w:tcPr>
            <w:tcW w:w="1439" w:type="dxa"/>
            <w:shd w:val="clear" w:color="auto" w:fill="000080"/>
          </w:tcPr>
          <w:p w14:paraId="71B51C4B" w14:textId="77777777" w:rsidR="00BC2ED4" w:rsidRPr="009C5F11" w:rsidRDefault="00BC2ED4" w:rsidP="00D85D29">
            <w:pPr>
              <w:spacing w:before="40" w:after="40" w:line="240" w:lineRule="auto"/>
              <w:jc w:val="center"/>
              <w:rPr>
                <w:rFonts w:ascii="Times New Roman" w:hAnsi="Times New Roman" w:cs="Times New Roman"/>
                <w:b/>
                <w:color w:val="FFFFFF" w:themeColor="background1"/>
                <w:lang w:val="ro-RO"/>
              </w:rPr>
            </w:pPr>
            <w:r w:rsidRPr="009C5F11">
              <w:rPr>
                <w:rFonts w:ascii="Times New Roman" w:hAnsi="Times New Roman" w:cs="Times New Roman"/>
                <w:b/>
                <w:color w:val="FFFFFF" w:themeColor="background1"/>
                <w:lang w:val="ro-RO"/>
              </w:rPr>
              <w:t>MWh/</w:t>
            </w:r>
            <w:r w:rsidR="00840B9F" w:rsidRPr="009C5F11">
              <w:rPr>
                <w:rFonts w:ascii="Times New Roman" w:hAnsi="Times New Roman" w:cs="Times New Roman"/>
                <w:b/>
                <w:color w:val="FFFFFF" w:themeColor="background1"/>
                <w:lang w:val="ro-RO"/>
              </w:rPr>
              <w:t>an</w:t>
            </w:r>
          </w:p>
        </w:tc>
      </w:tr>
      <w:tr w:rsidR="00840B9F" w:rsidRPr="009C5F11" w14:paraId="10BD999A" w14:textId="77777777" w:rsidTr="00DF5B6A">
        <w:tc>
          <w:tcPr>
            <w:tcW w:w="7804" w:type="dxa"/>
            <w:shd w:val="clear" w:color="auto" w:fill="auto"/>
          </w:tcPr>
          <w:p w14:paraId="6C1E5B01" w14:textId="77777777" w:rsidR="00840B9F" w:rsidRPr="009C5F11" w:rsidRDefault="00840B9F" w:rsidP="00D85D29">
            <w:pPr>
              <w:spacing w:before="40" w:after="40" w:line="240" w:lineRule="auto"/>
              <w:rPr>
                <w:rFonts w:ascii="Times New Roman" w:eastAsia="Times New Roman" w:hAnsi="Times New Roman" w:cs="Times New Roman"/>
                <w:color w:val="000000"/>
                <w:lang w:val="ro-RO"/>
              </w:rPr>
            </w:pPr>
            <w:r w:rsidRPr="009C5F11">
              <w:rPr>
                <w:rFonts w:ascii="Times New Roman" w:eastAsia="Times New Roman" w:hAnsi="Times New Roman" w:cs="Times New Roman"/>
                <w:color w:val="000000"/>
                <w:lang w:val="ro-RO"/>
              </w:rPr>
              <w:t>Economii de energie finală (energie electrică)</w:t>
            </w:r>
          </w:p>
        </w:tc>
        <w:tc>
          <w:tcPr>
            <w:tcW w:w="1439" w:type="dxa"/>
            <w:shd w:val="clear" w:color="auto" w:fill="auto"/>
          </w:tcPr>
          <w:p w14:paraId="63961C03" w14:textId="77777777" w:rsidR="00840B9F" w:rsidRPr="009C5F11" w:rsidRDefault="00840B9F" w:rsidP="00D85D29">
            <w:pPr>
              <w:spacing w:before="40" w:after="40" w:line="240" w:lineRule="auto"/>
              <w:jc w:val="center"/>
              <w:rPr>
                <w:rFonts w:ascii="Times New Roman" w:hAnsi="Times New Roman" w:cs="Times New Roman"/>
                <w:color w:val="000000"/>
                <w:lang w:val="ro-RO"/>
              </w:rPr>
            </w:pPr>
            <w:r w:rsidRPr="009C5F11">
              <w:rPr>
                <w:rFonts w:ascii="Times New Roman" w:hAnsi="Times New Roman" w:cs="Times New Roman"/>
                <w:color w:val="000000"/>
                <w:lang w:val="ro-RO"/>
              </w:rPr>
              <w:t>23,778</w:t>
            </w:r>
          </w:p>
        </w:tc>
      </w:tr>
      <w:tr w:rsidR="00840B9F" w:rsidRPr="009C5F11" w14:paraId="227D20A8" w14:textId="77777777" w:rsidTr="00AB2333">
        <w:tc>
          <w:tcPr>
            <w:tcW w:w="7804" w:type="dxa"/>
            <w:tcBorders>
              <w:bottom w:val="single" w:sz="4" w:space="0" w:color="4F81BD"/>
            </w:tcBorders>
            <w:shd w:val="clear" w:color="auto" w:fill="auto"/>
          </w:tcPr>
          <w:p w14:paraId="54BA5BBF" w14:textId="77777777" w:rsidR="00840B9F" w:rsidRPr="009C5F11" w:rsidRDefault="00840B9F" w:rsidP="00D85D29">
            <w:pPr>
              <w:spacing w:before="40" w:after="40" w:line="240" w:lineRule="auto"/>
              <w:rPr>
                <w:rFonts w:ascii="Times New Roman" w:eastAsia="Times New Roman" w:hAnsi="Times New Roman" w:cs="Times New Roman"/>
                <w:color w:val="000000"/>
                <w:lang w:val="ro-RO"/>
              </w:rPr>
            </w:pPr>
            <w:r w:rsidRPr="009C5F11">
              <w:rPr>
                <w:rFonts w:ascii="Times New Roman" w:eastAsia="Times New Roman" w:hAnsi="Times New Roman" w:cs="Times New Roman"/>
                <w:color w:val="000000"/>
                <w:lang w:val="ro-RO"/>
              </w:rPr>
              <w:t>Economii de energie finală (carburanţi)</w:t>
            </w:r>
          </w:p>
        </w:tc>
        <w:tc>
          <w:tcPr>
            <w:tcW w:w="1439" w:type="dxa"/>
            <w:tcBorders>
              <w:bottom w:val="single" w:sz="4" w:space="0" w:color="4F81BD"/>
            </w:tcBorders>
            <w:shd w:val="clear" w:color="auto" w:fill="auto"/>
          </w:tcPr>
          <w:p w14:paraId="0C5E8E13" w14:textId="77777777" w:rsidR="00840B9F" w:rsidRPr="009C5F11" w:rsidRDefault="00840B9F" w:rsidP="00D85D29">
            <w:pPr>
              <w:spacing w:before="40" w:after="40" w:line="240" w:lineRule="auto"/>
              <w:jc w:val="center"/>
              <w:rPr>
                <w:rFonts w:ascii="Times New Roman" w:hAnsi="Times New Roman" w:cs="Times New Roman"/>
                <w:color w:val="000000"/>
                <w:lang w:val="ro-RO"/>
              </w:rPr>
            </w:pPr>
            <w:r w:rsidRPr="009C5F11">
              <w:rPr>
                <w:rFonts w:ascii="Times New Roman" w:hAnsi="Times New Roman" w:cs="Times New Roman"/>
                <w:color w:val="000000"/>
                <w:lang w:val="ro-RO"/>
              </w:rPr>
              <w:t>79,740</w:t>
            </w:r>
          </w:p>
        </w:tc>
      </w:tr>
      <w:tr w:rsidR="00BC2ED4" w:rsidRPr="009C5F11" w14:paraId="5B927AD4" w14:textId="77777777" w:rsidTr="00AB2333">
        <w:tc>
          <w:tcPr>
            <w:tcW w:w="7804" w:type="dxa"/>
            <w:shd w:val="clear" w:color="auto" w:fill="99CCFF"/>
          </w:tcPr>
          <w:p w14:paraId="355A97E3" w14:textId="77777777" w:rsidR="00BC2ED4" w:rsidRPr="009C5F11" w:rsidRDefault="00BC2ED4" w:rsidP="00D85D29">
            <w:pPr>
              <w:spacing w:before="40" w:after="40" w:line="240" w:lineRule="auto"/>
              <w:rPr>
                <w:rFonts w:ascii="Times New Roman" w:hAnsi="Times New Roman" w:cs="Times New Roman"/>
                <w:b/>
                <w:lang w:val="ro-RO"/>
              </w:rPr>
            </w:pPr>
          </w:p>
        </w:tc>
        <w:tc>
          <w:tcPr>
            <w:tcW w:w="1439" w:type="dxa"/>
            <w:shd w:val="clear" w:color="auto" w:fill="99CCFF"/>
          </w:tcPr>
          <w:p w14:paraId="6F81A48C" w14:textId="77777777" w:rsidR="00BC2ED4" w:rsidRPr="009C5F11" w:rsidRDefault="00BC2ED4" w:rsidP="00D85D29">
            <w:pPr>
              <w:spacing w:before="40" w:after="40" w:line="240" w:lineRule="auto"/>
              <w:jc w:val="center"/>
              <w:rPr>
                <w:rFonts w:ascii="Times New Roman" w:hAnsi="Times New Roman" w:cs="Times New Roman"/>
                <w:b/>
                <w:lang w:val="ro-RO"/>
              </w:rPr>
            </w:pPr>
            <w:r w:rsidRPr="009C5F11">
              <w:rPr>
                <w:rFonts w:ascii="Times New Roman" w:hAnsi="Times New Roman" w:cs="Times New Roman"/>
                <w:b/>
                <w:lang w:val="ro-RO"/>
              </w:rPr>
              <w:t>K</w:t>
            </w:r>
            <w:r w:rsidR="00D77687" w:rsidRPr="009C5F11">
              <w:rPr>
                <w:rFonts w:ascii="Times New Roman" w:hAnsi="Times New Roman" w:cs="Times New Roman"/>
                <w:b/>
                <w:lang w:val="ro-RO"/>
              </w:rPr>
              <w:t>tep</w:t>
            </w:r>
            <w:r w:rsidRPr="009C5F11">
              <w:rPr>
                <w:rFonts w:ascii="Times New Roman" w:hAnsi="Times New Roman" w:cs="Times New Roman"/>
                <w:b/>
                <w:lang w:val="ro-RO"/>
              </w:rPr>
              <w:t>/</w:t>
            </w:r>
            <w:r w:rsidR="00840B9F" w:rsidRPr="009C5F11">
              <w:rPr>
                <w:rFonts w:ascii="Times New Roman" w:hAnsi="Times New Roman" w:cs="Times New Roman"/>
                <w:b/>
                <w:lang w:val="ro-RO"/>
              </w:rPr>
              <w:t>an</w:t>
            </w:r>
          </w:p>
        </w:tc>
      </w:tr>
      <w:tr w:rsidR="00BC2ED4" w:rsidRPr="009C5F11" w14:paraId="3DC85A0F" w14:textId="77777777" w:rsidTr="00DF5B6A">
        <w:tc>
          <w:tcPr>
            <w:tcW w:w="7804" w:type="dxa"/>
            <w:shd w:val="clear" w:color="auto" w:fill="auto"/>
          </w:tcPr>
          <w:p w14:paraId="1D7F0D7B" w14:textId="77777777" w:rsidR="00BC2ED4" w:rsidRPr="009C5F11" w:rsidRDefault="00840B9F" w:rsidP="00D85D29">
            <w:pPr>
              <w:spacing w:before="40" w:after="40" w:line="240" w:lineRule="auto"/>
              <w:rPr>
                <w:rFonts w:ascii="Times New Roman" w:hAnsi="Times New Roman" w:cs="Times New Roman"/>
                <w:color w:val="000000"/>
                <w:lang w:val="ro-RO"/>
              </w:rPr>
            </w:pPr>
            <w:r w:rsidRPr="009C5F11">
              <w:rPr>
                <w:rFonts w:ascii="Times New Roman" w:eastAsia="Times New Roman" w:hAnsi="Times New Roman" w:cs="Times New Roman"/>
                <w:color w:val="000000"/>
                <w:lang w:val="ro-RO"/>
              </w:rPr>
              <w:t>Economii de energie finală (carburanţi)</w:t>
            </w:r>
          </w:p>
        </w:tc>
        <w:tc>
          <w:tcPr>
            <w:tcW w:w="1439" w:type="dxa"/>
            <w:shd w:val="clear" w:color="auto" w:fill="auto"/>
          </w:tcPr>
          <w:p w14:paraId="2E34E1D4" w14:textId="77777777" w:rsidR="00BC2ED4" w:rsidRPr="009C5F11" w:rsidRDefault="00BC2ED4" w:rsidP="00D85D29">
            <w:pPr>
              <w:spacing w:before="40" w:after="40" w:line="240" w:lineRule="auto"/>
              <w:jc w:val="center"/>
              <w:rPr>
                <w:rFonts w:ascii="Times New Roman" w:hAnsi="Times New Roman" w:cs="Times New Roman"/>
                <w:color w:val="000000"/>
                <w:lang w:val="ro-RO"/>
              </w:rPr>
            </w:pPr>
            <w:r w:rsidRPr="009C5F11">
              <w:rPr>
                <w:rFonts w:ascii="Times New Roman" w:hAnsi="Times New Roman" w:cs="Times New Roman"/>
                <w:color w:val="000000"/>
                <w:lang w:val="ro-RO"/>
              </w:rPr>
              <w:t>6,856</w:t>
            </w:r>
          </w:p>
        </w:tc>
      </w:tr>
    </w:tbl>
    <w:p w14:paraId="505120B7" w14:textId="77777777" w:rsidR="00AB5A50" w:rsidRPr="009C5F11" w:rsidRDefault="00273CDE"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La sfârşitul anului</w:t>
      </w:r>
      <w:r w:rsidR="00BC2ED4" w:rsidRPr="009C5F11">
        <w:rPr>
          <w:rFonts w:ascii="Times New Roman" w:hAnsi="Times New Roman" w:cs="Times New Roman"/>
          <w:sz w:val="24"/>
          <w:lang w:val="ro-RO"/>
        </w:rPr>
        <w:t xml:space="preserve"> 2015, MOSEFF</w:t>
      </w:r>
      <w:r w:rsidRPr="009C5F11">
        <w:rPr>
          <w:rFonts w:ascii="Times New Roman" w:hAnsi="Times New Roman" w:cs="Times New Roman"/>
          <w:sz w:val="24"/>
          <w:lang w:val="ro-RO"/>
        </w:rPr>
        <w:t xml:space="preserve"> urma să lanseze o nouă linie de credit pentru cel puţin un an</w:t>
      </w:r>
      <w:r w:rsidR="00BC2ED4" w:rsidRPr="009C5F11">
        <w:rPr>
          <w:rFonts w:ascii="Times New Roman" w:hAnsi="Times New Roman" w:cs="Times New Roman"/>
          <w:sz w:val="24"/>
          <w:lang w:val="ro-RO"/>
        </w:rPr>
        <w:t xml:space="preserve">. </w:t>
      </w:r>
      <w:r w:rsidR="00334DD0" w:rsidRPr="009C5F11">
        <w:rPr>
          <w:rFonts w:ascii="Times New Roman" w:hAnsi="Times New Roman" w:cs="Times New Roman"/>
          <w:sz w:val="24"/>
          <w:lang w:val="ro-RO"/>
        </w:rPr>
        <w:t xml:space="preserve">În </w:t>
      </w:r>
      <w:r w:rsidR="00BC2ED4" w:rsidRPr="009C5F11">
        <w:rPr>
          <w:rFonts w:ascii="Times New Roman" w:hAnsi="Times New Roman" w:cs="Times New Roman"/>
          <w:sz w:val="24"/>
          <w:lang w:val="ro-RO"/>
        </w:rPr>
        <w:t>ca</w:t>
      </w:r>
      <w:r w:rsidRPr="009C5F11">
        <w:rPr>
          <w:rFonts w:ascii="Times New Roman" w:hAnsi="Times New Roman" w:cs="Times New Roman"/>
          <w:sz w:val="24"/>
          <w:lang w:val="ro-RO"/>
        </w:rPr>
        <w:t>z de succes</w:t>
      </w:r>
      <w:r w:rsidR="00BC2ED4" w:rsidRPr="009C5F11">
        <w:rPr>
          <w:rFonts w:ascii="Times New Roman" w:hAnsi="Times New Roman" w:cs="Times New Roman"/>
          <w:sz w:val="24"/>
          <w:lang w:val="ro-RO"/>
        </w:rPr>
        <w:t xml:space="preserve"> (</w:t>
      </w:r>
      <w:r w:rsidR="00A8154B" w:rsidRPr="009C5F11">
        <w:rPr>
          <w:rFonts w:ascii="Times New Roman" w:hAnsi="Times New Roman" w:cs="Times New Roman"/>
          <w:sz w:val="24"/>
          <w:lang w:val="ro-RO"/>
        </w:rPr>
        <w:t>cum au fost</w:t>
      </w:r>
      <w:r w:rsidRPr="009C5F11">
        <w:rPr>
          <w:rFonts w:ascii="Times New Roman" w:hAnsi="Times New Roman" w:cs="Times New Roman"/>
          <w:sz w:val="24"/>
          <w:lang w:val="ro-RO"/>
        </w:rPr>
        <w:t xml:space="preserve"> liniile precedente</w:t>
      </w:r>
      <w:r w:rsidR="00BC2ED4" w:rsidRPr="009C5F11">
        <w:rPr>
          <w:rFonts w:ascii="Times New Roman" w:hAnsi="Times New Roman" w:cs="Times New Roman"/>
          <w:sz w:val="24"/>
          <w:lang w:val="ro-RO"/>
        </w:rPr>
        <w:t>) perio</w:t>
      </w:r>
      <w:r w:rsidRPr="009C5F11">
        <w:rPr>
          <w:rFonts w:ascii="Times New Roman" w:hAnsi="Times New Roman" w:cs="Times New Roman"/>
          <w:sz w:val="24"/>
          <w:lang w:val="ro-RO"/>
        </w:rPr>
        <w:t>a</w:t>
      </w:r>
      <w:r w:rsidR="00BC2ED4" w:rsidRPr="009C5F11">
        <w:rPr>
          <w:rFonts w:ascii="Times New Roman" w:hAnsi="Times New Roman" w:cs="Times New Roman"/>
          <w:sz w:val="24"/>
          <w:lang w:val="ro-RO"/>
        </w:rPr>
        <w:t>d</w:t>
      </w:r>
      <w:r w:rsidRPr="009C5F11">
        <w:rPr>
          <w:rFonts w:ascii="Times New Roman" w:hAnsi="Times New Roman" w:cs="Times New Roman"/>
          <w:sz w:val="24"/>
          <w:lang w:val="ro-RO"/>
        </w:rPr>
        <w:t>a</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 xml:space="preserve">liniei terţiare ar putea fi extinsă pentru a acoperi întreaga durată a </w:t>
      </w:r>
      <w:r w:rsidR="00872DC2" w:rsidRPr="009C5F11">
        <w:rPr>
          <w:rFonts w:ascii="Times New Roman" w:hAnsi="Times New Roman" w:cs="Times New Roman"/>
          <w:sz w:val="24"/>
          <w:lang w:val="ro-RO"/>
        </w:rPr>
        <w:t>PNAEE</w:t>
      </w:r>
      <w:r w:rsidR="00BC2ED4" w:rsidRPr="009C5F11">
        <w:rPr>
          <w:rFonts w:ascii="Times New Roman" w:hAnsi="Times New Roman" w:cs="Times New Roman"/>
          <w:sz w:val="24"/>
          <w:lang w:val="ro-RO"/>
        </w:rPr>
        <w:t xml:space="preserve"> 2016 – 2018.</w:t>
      </w:r>
    </w:p>
    <w:p w14:paraId="36EBEDAD" w14:textId="77777777" w:rsidR="00AB5A50" w:rsidRPr="009C5F11" w:rsidRDefault="00273CDE"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În acest caz, linia terţiară de credit va deveni unul dintre principalii piloni ai politicilor de alternativă </w:t>
      </w:r>
      <w:r w:rsidR="00C57A40" w:rsidRPr="009C5F11">
        <w:rPr>
          <w:rFonts w:ascii="Times New Roman" w:hAnsi="Times New Roman" w:cs="Times New Roman"/>
          <w:sz w:val="24"/>
          <w:lang w:val="ro-RO"/>
        </w:rPr>
        <w:t xml:space="preserve">cu privire la </w:t>
      </w:r>
      <w:r w:rsidR="00BC2ED4" w:rsidRPr="009C5F11">
        <w:rPr>
          <w:rFonts w:ascii="Times New Roman" w:hAnsi="Times New Roman" w:cs="Times New Roman"/>
          <w:i/>
          <w:sz w:val="24"/>
          <w:lang w:val="ro-RO"/>
        </w:rPr>
        <w:t>“instrument</w:t>
      </w:r>
      <w:r w:rsidR="00C57A40" w:rsidRPr="009C5F11">
        <w:rPr>
          <w:rFonts w:ascii="Times New Roman" w:hAnsi="Times New Roman" w:cs="Times New Roman"/>
          <w:i/>
          <w:sz w:val="24"/>
          <w:lang w:val="ro-RO"/>
        </w:rPr>
        <w:t xml:space="preserve">ele de finanţare care conduc la aplicarea tehnologiilor sau tehnicilor eficiente din punct de vedere energetic </w:t>
      </w:r>
      <w:r w:rsidR="00321CD5" w:rsidRPr="009C5F11">
        <w:rPr>
          <w:rFonts w:ascii="Times New Roman" w:hAnsi="Times New Roman" w:cs="Times New Roman"/>
          <w:i/>
          <w:sz w:val="24"/>
          <w:lang w:val="ro-RO"/>
        </w:rPr>
        <w:t xml:space="preserve">şi </w:t>
      </w:r>
      <w:r w:rsidR="00AA45D2" w:rsidRPr="009C5F11">
        <w:rPr>
          <w:rFonts w:ascii="Times New Roman" w:hAnsi="Times New Roman" w:cs="Times New Roman"/>
          <w:i/>
          <w:sz w:val="24"/>
          <w:lang w:val="ro-RO"/>
        </w:rPr>
        <w:t>au efectul de reducere a consumului de energie la utilizatorii finali</w:t>
      </w:r>
      <w:r w:rsidR="00BC2ED4" w:rsidRPr="009C5F11">
        <w:rPr>
          <w:rFonts w:ascii="Times New Roman" w:hAnsi="Times New Roman" w:cs="Times New Roman"/>
          <w:i/>
          <w:sz w:val="24"/>
          <w:lang w:val="ro-RO"/>
        </w:rPr>
        <w:t>”</w:t>
      </w:r>
      <w:r w:rsidR="00BC2ED4" w:rsidRPr="009C5F11">
        <w:rPr>
          <w:rFonts w:ascii="Times New Roman" w:hAnsi="Times New Roman" w:cs="Times New Roman"/>
          <w:sz w:val="24"/>
          <w:lang w:val="ro-RO"/>
        </w:rPr>
        <w:t xml:space="preserve"> </w:t>
      </w:r>
      <w:r w:rsidR="00D62784" w:rsidRPr="009C5F11">
        <w:rPr>
          <w:rFonts w:ascii="Times New Roman" w:hAnsi="Times New Roman" w:cs="Times New Roman"/>
          <w:sz w:val="24"/>
          <w:lang w:val="ro-RO"/>
        </w:rPr>
        <w:t>în conformitate cu</w:t>
      </w:r>
      <w:r w:rsidR="00BC2ED4" w:rsidRPr="009C5F11">
        <w:rPr>
          <w:rFonts w:ascii="Times New Roman" w:hAnsi="Times New Roman" w:cs="Times New Roman"/>
          <w:sz w:val="24"/>
          <w:lang w:val="ro-RO"/>
        </w:rPr>
        <w:t xml:space="preserve"> </w:t>
      </w:r>
      <w:r w:rsidR="00A8154B" w:rsidRPr="009C5F11">
        <w:rPr>
          <w:rFonts w:ascii="Times New Roman" w:hAnsi="Times New Roman" w:cs="Times New Roman"/>
          <w:sz w:val="24"/>
          <w:lang w:val="ro-RO"/>
        </w:rPr>
        <w:t>D</w:t>
      </w:r>
      <w:r w:rsidR="00BC2ED4" w:rsidRPr="009C5F11">
        <w:rPr>
          <w:rFonts w:ascii="Times New Roman" w:hAnsi="Times New Roman" w:cs="Times New Roman"/>
          <w:sz w:val="24"/>
          <w:lang w:val="ro-RO"/>
        </w:rPr>
        <w:t>irectiv</w:t>
      </w:r>
      <w:r w:rsidR="00C57A40" w:rsidRPr="009C5F11">
        <w:rPr>
          <w:rFonts w:ascii="Times New Roman" w:hAnsi="Times New Roman" w:cs="Times New Roman"/>
          <w:sz w:val="24"/>
          <w:lang w:val="ro-RO"/>
        </w:rPr>
        <w:t>a DEE</w:t>
      </w:r>
      <w:r w:rsidR="00BC2ED4" w:rsidRPr="009C5F11">
        <w:rPr>
          <w:rFonts w:ascii="Times New Roman" w:hAnsi="Times New Roman" w:cs="Times New Roman"/>
          <w:sz w:val="24"/>
          <w:lang w:val="ro-RO"/>
        </w:rPr>
        <w:t>.</w:t>
      </w:r>
    </w:p>
    <w:p w14:paraId="3D339A03" w14:textId="1409E9CE" w:rsidR="00BC2ED4" w:rsidRPr="009C5F11" w:rsidRDefault="00C57A4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Noua linie de credit se preconizează să aibă aceeaşi intensitate de sprijin fiscal; prin urmare, rezultatele scontate ar trebui să fie similare şi să completeze rezultatele deja obţinute. Diferenţa </w:t>
      </w:r>
      <w:r w:rsidR="002E4A64" w:rsidRPr="009C5F11">
        <w:rPr>
          <w:rFonts w:ascii="Times New Roman" w:hAnsi="Times New Roman" w:cs="Times New Roman"/>
          <w:sz w:val="24"/>
          <w:lang w:val="ro-RO"/>
        </w:rPr>
        <w:t>s-</w:t>
      </w:r>
      <w:r w:rsidRPr="009C5F11">
        <w:rPr>
          <w:rFonts w:ascii="Times New Roman" w:hAnsi="Times New Roman" w:cs="Times New Roman"/>
          <w:sz w:val="24"/>
          <w:lang w:val="ro-RO"/>
        </w:rPr>
        <w:t xml:space="preserve">ar putea </w:t>
      </w:r>
      <w:r w:rsidR="002E4A64" w:rsidRPr="009C5F11">
        <w:rPr>
          <w:rFonts w:ascii="Times New Roman" w:hAnsi="Times New Roman" w:cs="Times New Roman"/>
          <w:sz w:val="24"/>
          <w:lang w:val="ro-RO"/>
        </w:rPr>
        <w:t>contura cu orientarea</w:t>
      </w:r>
      <w:r w:rsidRPr="009C5F11">
        <w:rPr>
          <w:rFonts w:ascii="Times New Roman" w:hAnsi="Times New Roman" w:cs="Times New Roman"/>
          <w:sz w:val="24"/>
          <w:lang w:val="ro-RO"/>
        </w:rPr>
        <w:t xml:space="preserve"> componentei de grant de la restituire directă </w:t>
      </w:r>
      <w:r w:rsidR="002E4A64" w:rsidRPr="009C5F11">
        <w:rPr>
          <w:rFonts w:ascii="Times New Roman" w:hAnsi="Times New Roman" w:cs="Times New Roman"/>
          <w:sz w:val="24"/>
          <w:lang w:val="ro-RO"/>
        </w:rPr>
        <w:t>în vederea garantării suportului</w:t>
      </w:r>
      <w:r w:rsidRPr="009C5F11">
        <w:rPr>
          <w:rFonts w:ascii="Times New Roman" w:hAnsi="Times New Roman" w:cs="Times New Roman"/>
          <w:sz w:val="24"/>
          <w:lang w:val="ro-RO"/>
        </w:rPr>
        <w:t>. Acest fapt este în concordanţă cu noul auditoriu-ţintă, care este reprezentat de întreprinderi cu o cifră de afaceri mai mică, ceea ce semnifică un risc sporit de credit</w:t>
      </w:r>
      <w:r w:rsidR="00BC2ED4" w:rsidRPr="009C5F11">
        <w:rPr>
          <w:rFonts w:ascii="Times New Roman" w:hAnsi="Times New Roman" w:cs="Times New Roman"/>
          <w:sz w:val="24"/>
          <w:lang w:val="ro-RO"/>
        </w:rPr>
        <w:t>.</w:t>
      </w:r>
    </w:p>
    <w:p w14:paraId="7FA838A2" w14:textId="77777777" w:rsidR="00BC2ED4" w:rsidRPr="009C5F11" w:rsidRDefault="00BC2ED4" w:rsidP="00BC2ED4">
      <w:pPr>
        <w:tabs>
          <w:tab w:val="left" w:pos="0"/>
        </w:tabs>
        <w:spacing w:after="0" w:line="240" w:lineRule="auto"/>
        <w:jc w:val="both"/>
        <w:rPr>
          <w:rFonts w:ascii="Times New Roman" w:eastAsia="Calibri" w:hAnsi="Times New Roman" w:cs="Times New Roman"/>
          <w:b/>
          <w:sz w:val="24"/>
          <w:lang w:val="ro-RO"/>
        </w:rPr>
      </w:pPr>
    </w:p>
    <w:p w14:paraId="73918CFE" w14:textId="77777777" w:rsidR="00BC2ED4" w:rsidRPr="00921CF1" w:rsidRDefault="0087273F" w:rsidP="00DA72FC">
      <w:pPr>
        <w:pStyle w:val="Titlu3"/>
        <w:rPr>
          <w:rFonts w:ascii="Times New Roman" w:hAnsi="Times New Roman" w:cs="Times New Roman"/>
          <w:b/>
          <w:color w:val="000000" w:themeColor="text1"/>
          <w:sz w:val="28"/>
          <w:lang w:val="ro-RO"/>
        </w:rPr>
      </w:pPr>
      <w:bookmarkStart w:id="417" w:name="_Toc322013219"/>
      <w:r w:rsidRPr="00921CF1">
        <w:rPr>
          <w:rFonts w:ascii="Times New Roman" w:hAnsi="Times New Roman" w:cs="Times New Roman"/>
          <w:b/>
          <w:color w:val="000000" w:themeColor="text1"/>
          <w:sz w:val="28"/>
          <w:lang w:val="ro-RO"/>
        </w:rPr>
        <w:t>MoREEFF</w:t>
      </w:r>
      <w:bookmarkEnd w:id="417"/>
      <w:r w:rsidR="00BC2ED4" w:rsidRPr="00921CF1">
        <w:rPr>
          <w:rFonts w:ascii="Times New Roman" w:hAnsi="Times New Roman" w:cs="Times New Roman"/>
          <w:b/>
          <w:color w:val="000000" w:themeColor="text1"/>
          <w:sz w:val="28"/>
          <w:lang w:val="ro-RO"/>
        </w:rPr>
        <w:t xml:space="preserve"> </w:t>
      </w:r>
    </w:p>
    <w:p w14:paraId="41CC0649" w14:textId="77777777" w:rsidR="00AB5A50" w:rsidRPr="009C5F11" w:rsidRDefault="00C57A4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Facilitatea de Finanțare a Eficienței Energetice în sectorul rezidențial din Moldova (MoREEFF) oferă sprijin gospodăriilor casnice, Condominiilor/Asociaţiilor proprietarilor de locuinţe, Companiilor de gestionare a fondului locativ, Societăţilor de servicii energetice ("ESCO") sau altor companii de prestare servicii eligibile care să contribuie la realizarea beneficiilor pe baza îmbunătăţirilor eficienţei energetice a locuinţelor prin acordarea de împrumuturi şi stimulente investiţionale prin intermediul băncilor locale participante.</w:t>
      </w:r>
    </w:p>
    <w:p w14:paraId="36C5D509" w14:textId="4B19EA32" w:rsidR="00BC2ED4" w:rsidRPr="009C5F11" w:rsidRDefault="00C57A40"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În vederea stimulării iniţierii proiectelor de eficienţă energetică în sectorul rezidenţial, liniile de credit ale MoREEFF sunt completate de finanţare prin granturi din partea Facilităţii de investiţii pentru vecinătate a UE (FIV UE) şi de Agenţia Suedeză pentru Dezvoltare şi Cooperare Internaţională (SIDA), cu destinaţie specială pentru susţinerea dezvoltării proiectelor şi stimularea investiţiilor achitate debitorilor MoREEFF după verificarea finalizării fiecărui proiect eligibil de eficienţă energetică în sectorul rezidenţial. Debitorii vor beneficia de un stimulent în cuantum de 35% pentru compensarea costului proiectului de economisire a energiei sub rezerva termenelor şi condiţiilor MoREEFF</w:t>
      </w:r>
      <w:r w:rsidR="00BC2ED4" w:rsidRPr="009C5F11">
        <w:rPr>
          <w:rFonts w:ascii="Times New Roman" w:hAnsi="Times New Roman" w:cs="Times New Roman"/>
          <w:sz w:val="24"/>
          <w:lang w:val="ro-RO"/>
        </w:rPr>
        <w:t>.</w:t>
      </w:r>
    </w:p>
    <w:p w14:paraId="5E8A79A8" w14:textId="77777777" w:rsidR="00BC2ED4" w:rsidRPr="009C5F11" w:rsidRDefault="00BC2ED4" w:rsidP="003B3BEA">
      <w:pPr>
        <w:spacing w:before="120" w:after="120" w:line="240" w:lineRule="auto"/>
        <w:jc w:val="both"/>
        <w:rPr>
          <w:rFonts w:ascii="Times New Roman" w:hAnsi="Times New Roman" w:cs="Times New Roman"/>
          <w:sz w:val="24"/>
          <w:lang w:val="ro-RO"/>
        </w:rPr>
      </w:pPr>
    </w:p>
    <w:p w14:paraId="016A1580" w14:textId="283C4BC6" w:rsidR="00BC2ED4" w:rsidRPr="009C5F11" w:rsidRDefault="00840B9F" w:rsidP="00087B37">
      <w:pPr>
        <w:pStyle w:val="Listparagraf"/>
        <w:numPr>
          <w:ilvl w:val="0"/>
          <w:numId w:val="210"/>
        </w:numPr>
        <w:spacing w:before="120" w:after="120" w:line="240" w:lineRule="auto"/>
        <w:ind w:left="0" w:firstLine="142"/>
        <w:jc w:val="both"/>
        <w:rPr>
          <w:rFonts w:ascii="Times New Roman" w:hAnsi="Times New Roman" w:cs="Times New Roman"/>
          <w:sz w:val="24"/>
          <w:u w:val="single"/>
          <w:lang w:val="ro-RO"/>
        </w:rPr>
      </w:pPr>
      <w:r w:rsidRPr="009C5F11">
        <w:rPr>
          <w:rFonts w:ascii="Times New Roman" w:hAnsi="Times New Roman" w:cs="Times New Roman"/>
          <w:sz w:val="24"/>
          <w:u w:val="single"/>
          <w:lang w:val="ro-RO"/>
        </w:rPr>
        <w:t>P</w:t>
      </w:r>
      <w:r w:rsidR="00BC2ED4" w:rsidRPr="009C5F11">
        <w:rPr>
          <w:rFonts w:ascii="Times New Roman" w:hAnsi="Times New Roman" w:cs="Times New Roman"/>
          <w:sz w:val="24"/>
          <w:u w:val="single"/>
          <w:lang w:val="ro-RO"/>
        </w:rPr>
        <w:t>erforman</w:t>
      </w:r>
      <w:r w:rsidRPr="009C5F11">
        <w:rPr>
          <w:rFonts w:ascii="Times New Roman" w:hAnsi="Times New Roman" w:cs="Times New Roman"/>
          <w:sz w:val="24"/>
          <w:u w:val="single"/>
          <w:lang w:val="ro-RO"/>
        </w:rPr>
        <w:t>ţa financiară a</w:t>
      </w:r>
      <w:r w:rsidR="00BC2ED4" w:rsidRPr="009C5F11">
        <w:rPr>
          <w:rFonts w:ascii="Times New Roman" w:hAnsi="Times New Roman" w:cs="Times New Roman"/>
          <w:sz w:val="24"/>
          <w:u w:val="single"/>
          <w:lang w:val="ro-RO"/>
        </w:rPr>
        <w:t xml:space="preserve"> </w:t>
      </w:r>
      <w:r w:rsidR="004424A0" w:rsidRPr="009C5F11">
        <w:rPr>
          <w:rFonts w:ascii="Times New Roman" w:hAnsi="Times New Roman" w:cs="Times New Roman"/>
          <w:sz w:val="24"/>
          <w:u w:val="single"/>
          <w:lang w:val="ro-RO"/>
        </w:rPr>
        <w:t>MoREEFF</w:t>
      </w:r>
      <w:r w:rsidR="00BC2ED4" w:rsidRPr="009C5F11">
        <w:rPr>
          <w:rFonts w:ascii="Times New Roman" w:hAnsi="Times New Roman" w:cs="Times New Roman"/>
          <w:sz w:val="24"/>
          <w:u w:val="single"/>
          <w:lang w:val="ro-RO"/>
        </w:rPr>
        <w:t xml:space="preserve"> </w:t>
      </w:r>
      <w:r w:rsidRPr="009C5F11">
        <w:rPr>
          <w:rFonts w:ascii="Times New Roman" w:hAnsi="Times New Roman" w:cs="Times New Roman"/>
          <w:sz w:val="24"/>
          <w:u w:val="single"/>
          <w:lang w:val="ro-RO"/>
        </w:rPr>
        <w:t>la situaţia din</w:t>
      </w:r>
      <w:r w:rsidR="00BC2ED4" w:rsidRPr="009C5F11">
        <w:rPr>
          <w:rFonts w:ascii="Times New Roman" w:hAnsi="Times New Roman" w:cs="Times New Roman"/>
          <w:sz w:val="24"/>
          <w:u w:val="single"/>
          <w:lang w:val="ro-RO"/>
        </w:rPr>
        <w:t xml:space="preserve"> 11.03.2016</w:t>
      </w:r>
      <w:r w:rsidRPr="009C5F11">
        <w:rPr>
          <w:rFonts w:ascii="Times New Roman" w:hAnsi="Times New Roman" w:cs="Times New Roman"/>
          <w:sz w:val="24"/>
          <w:u w:val="single"/>
          <w:lang w:val="ro-RO"/>
        </w:rPr>
        <w:t>:</w:t>
      </w:r>
    </w:p>
    <w:p w14:paraId="5DC77F74" w14:textId="77777777" w:rsidR="00840B9F" w:rsidRPr="009C5F11" w:rsidRDefault="00840B9F"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Numărul de </w:t>
      </w:r>
      <w:r w:rsidR="00C57A40" w:rsidRPr="009C5F11">
        <w:rPr>
          <w:rFonts w:ascii="Times New Roman" w:hAnsi="Times New Roman" w:cs="Times New Roman"/>
          <w:sz w:val="24"/>
          <w:lang w:val="ro-RO"/>
        </w:rPr>
        <w:t>î</w:t>
      </w:r>
      <w:r w:rsidR="00147585" w:rsidRPr="009C5F11">
        <w:rPr>
          <w:rFonts w:ascii="Times New Roman" w:hAnsi="Times New Roman" w:cs="Times New Roman"/>
          <w:sz w:val="24"/>
          <w:lang w:val="ro-RO"/>
        </w:rPr>
        <w:t>mprumuturi</w:t>
      </w:r>
      <w:r w:rsidRPr="009C5F11">
        <w:rPr>
          <w:rFonts w:ascii="Times New Roman" w:hAnsi="Times New Roman" w:cs="Times New Roman"/>
          <w:sz w:val="24"/>
          <w:lang w:val="ro-RO"/>
        </w:rPr>
        <w:t xml:space="preserve"> pentru măsuri de</w:t>
      </w:r>
      <w:r w:rsidR="00BC2ED4" w:rsidRPr="009C5F11">
        <w:rPr>
          <w:rFonts w:ascii="Times New Roman" w:hAnsi="Times New Roman" w:cs="Times New Roman"/>
          <w:sz w:val="24"/>
          <w:lang w:val="ro-RO"/>
        </w:rPr>
        <w:t xml:space="preserve"> </w:t>
      </w:r>
      <w:r w:rsidRPr="009C5F11">
        <w:rPr>
          <w:rFonts w:ascii="Times New Roman" w:hAnsi="Times New Roman" w:cs="Times New Roman"/>
          <w:sz w:val="24"/>
          <w:lang w:val="ro-RO"/>
        </w:rPr>
        <w:t>eficienţă</w:t>
      </w:r>
    </w:p>
    <w:p w14:paraId="49716892" w14:textId="77777777" w:rsidR="00BC2ED4" w:rsidRPr="009C5F11" w:rsidRDefault="00840B9F" w:rsidP="00840B9F">
      <w:pPr>
        <w:pStyle w:val="Listparagraf"/>
        <w:spacing w:before="120" w:after="120" w:line="240" w:lineRule="auto"/>
        <w:ind w:left="714"/>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energetică angajate de </w:t>
      </w:r>
      <w:r w:rsidR="004424A0" w:rsidRPr="009C5F11">
        <w:rPr>
          <w:rFonts w:ascii="Times New Roman" w:hAnsi="Times New Roman" w:cs="Times New Roman"/>
          <w:sz w:val="24"/>
          <w:lang w:val="ro-RO"/>
        </w:rPr>
        <w:t>MoREEFF</w:t>
      </w:r>
      <w:r w:rsidR="00BC2ED4" w:rsidRPr="009C5F11">
        <w:rPr>
          <w:rFonts w:ascii="Times New Roman" w:hAnsi="Times New Roman" w:cs="Times New Roman"/>
          <w:sz w:val="24"/>
          <w:lang w:val="ro-RO"/>
        </w:rPr>
        <w:t xml:space="preserve"> </w:t>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Pr="009C5F11">
        <w:rPr>
          <w:rFonts w:ascii="Times New Roman" w:hAnsi="Times New Roman" w:cs="Times New Roman"/>
          <w:sz w:val="24"/>
          <w:lang w:val="ro-RO"/>
        </w:rPr>
        <w:tab/>
      </w:r>
      <w:r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t>1</w:t>
      </w:r>
      <w:r w:rsidR="00906FD4" w:rsidRPr="009C5F11">
        <w:rPr>
          <w:rFonts w:ascii="Times New Roman" w:hAnsi="Times New Roman" w:cs="Times New Roman"/>
          <w:sz w:val="24"/>
          <w:lang w:val="ro-RO"/>
        </w:rPr>
        <w:t>,</w:t>
      </w:r>
      <w:r w:rsidR="00BC2ED4" w:rsidRPr="009C5F11">
        <w:rPr>
          <w:rFonts w:ascii="Times New Roman" w:hAnsi="Times New Roman" w:cs="Times New Roman"/>
          <w:sz w:val="24"/>
          <w:lang w:val="ro-RO"/>
        </w:rPr>
        <w:t>736</w:t>
      </w:r>
      <w:r w:rsidRPr="009C5F11">
        <w:rPr>
          <w:rFonts w:ascii="Times New Roman" w:hAnsi="Times New Roman" w:cs="Times New Roman"/>
          <w:sz w:val="24"/>
          <w:lang w:val="ro-RO"/>
        </w:rPr>
        <w:t xml:space="preserve"> </w:t>
      </w:r>
    </w:p>
    <w:p w14:paraId="1EC58FC5" w14:textId="77777777" w:rsidR="00BC2ED4" w:rsidRPr="009C5F11" w:rsidRDefault="00840B9F"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Suma î</w:t>
      </w:r>
      <w:r w:rsidR="00E04DEC" w:rsidRPr="009C5F11">
        <w:rPr>
          <w:rFonts w:ascii="Times New Roman" w:hAnsi="Times New Roman" w:cs="Times New Roman"/>
          <w:sz w:val="24"/>
          <w:lang w:val="ro-RO"/>
        </w:rPr>
        <w:t>mprumuturi</w:t>
      </w:r>
      <w:r w:rsidRPr="009C5F11">
        <w:rPr>
          <w:rFonts w:ascii="Times New Roman" w:hAnsi="Times New Roman" w:cs="Times New Roman"/>
          <w:sz w:val="24"/>
          <w:lang w:val="ro-RO"/>
        </w:rPr>
        <w:t>lor</w:t>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t xml:space="preserve">6,304,887 </w:t>
      </w:r>
      <w:r w:rsidRPr="009C5F11">
        <w:rPr>
          <w:rFonts w:ascii="Times New Roman" w:hAnsi="Times New Roman" w:cs="Times New Roman"/>
          <w:sz w:val="24"/>
          <w:lang w:val="ro-RO"/>
        </w:rPr>
        <w:t>e</w:t>
      </w:r>
      <w:r w:rsidR="00BC2ED4" w:rsidRPr="009C5F11">
        <w:rPr>
          <w:rFonts w:ascii="Times New Roman" w:hAnsi="Times New Roman" w:cs="Times New Roman"/>
          <w:sz w:val="24"/>
          <w:lang w:val="ro-RO"/>
        </w:rPr>
        <w:t>uro</w:t>
      </w:r>
    </w:p>
    <w:p w14:paraId="1C292D2B" w14:textId="77777777" w:rsidR="00BC2ED4" w:rsidRPr="009C5F11" w:rsidRDefault="00840B9F" w:rsidP="00334F3B">
      <w:pPr>
        <w:pStyle w:val="Listparagraf"/>
        <w:numPr>
          <w:ilvl w:val="0"/>
          <w:numId w:val="171"/>
        </w:numPr>
        <w:spacing w:before="120" w:after="120" w:line="240" w:lineRule="auto"/>
        <w:ind w:left="714" w:hanging="357"/>
        <w:contextualSpacing w:val="0"/>
        <w:jc w:val="both"/>
        <w:textAlignment w:val="baseline"/>
        <w:rPr>
          <w:rFonts w:ascii="Times New Roman" w:hAnsi="Times New Roman" w:cs="Times New Roman"/>
          <w:sz w:val="24"/>
          <w:lang w:val="ro-RO"/>
        </w:rPr>
      </w:pPr>
      <w:r w:rsidRPr="009C5F11">
        <w:rPr>
          <w:rFonts w:ascii="Times New Roman" w:hAnsi="Times New Roman" w:cs="Times New Roman"/>
          <w:sz w:val="24"/>
          <w:lang w:val="ro-RO"/>
        </w:rPr>
        <w:t xml:space="preserve">Suma granturilor </w:t>
      </w:r>
      <w:r w:rsidR="00336D0A" w:rsidRPr="009C5F11">
        <w:rPr>
          <w:rFonts w:ascii="Times New Roman" w:hAnsi="Times New Roman" w:cs="Times New Roman"/>
          <w:sz w:val="24"/>
          <w:lang w:val="ro-RO"/>
        </w:rPr>
        <w:t xml:space="preserve">de </w:t>
      </w:r>
      <w:r w:rsidRPr="009C5F11">
        <w:rPr>
          <w:rFonts w:ascii="Times New Roman" w:hAnsi="Times New Roman" w:cs="Times New Roman"/>
          <w:sz w:val="24"/>
          <w:lang w:val="ro-RO"/>
        </w:rPr>
        <w:t>stimulare</w:t>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r>
      <w:r w:rsidR="00BC2ED4" w:rsidRPr="009C5F11">
        <w:rPr>
          <w:rFonts w:ascii="Times New Roman" w:hAnsi="Times New Roman" w:cs="Times New Roman"/>
          <w:sz w:val="24"/>
          <w:lang w:val="ro-RO"/>
        </w:rPr>
        <w:tab/>
        <w:t xml:space="preserve">1,775,232 </w:t>
      </w:r>
      <w:r w:rsidRPr="009C5F11">
        <w:rPr>
          <w:rFonts w:ascii="Times New Roman" w:hAnsi="Times New Roman" w:cs="Times New Roman"/>
          <w:sz w:val="24"/>
          <w:lang w:val="ro-RO"/>
        </w:rPr>
        <w:t>e</w:t>
      </w:r>
      <w:r w:rsidR="00BC2ED4" w:rsidRPr="009C5F11">
        <w:rPr>
          <w:rFonts w:ascii="Times New Roman" w:hAnsi="Times New Roman" w:cs="Times New Roman"/>
          <w:sz w:val="24"/>
          <w:lang w:val="ro-RO"/>
        </w:rPr>
        <w:t>uro</w:t>
      </w:r>
    </w:p>
    <w:p w14:paraId="72B691BA" w14:textId="77777777" w:rsidR="00BC2ED4" w:rsidRPr="009C5F11" w:rsidRDefault="00840B9F" w:rsidP="00BC2ED4">
      <w:pPr>
        <w:shd w:val="clear" w:color="auto" w:fill="FFFFFF"/>
        <w:spacing w:before="240" w:line="240" w:lineRule="auto"/>
        <w:rPr>
          <w:rFonts w:ascii="Times New Roman" w:hAnsi="Times New Roman" w:cs="Times New Roman"/>
          <w:color w:val="333333"/>
          <w:sz w:val="24"/>
          <w:lang w:val="ro-RO"/>
        </w:rPr>
      </w:pPr>
      <w:r w:rsidRPr="009C5F11">
        <w:rPr>
          <w:rFonts w:ascii="Times New Roman" w:hAnsi="Times New Roman" w:cs="Times New Roman"/>
          <w:color w:val="333333"/>
          <w:sz w:val="24"/>
          <w:lang w:val="ro-RO"/>
        </w:rPr>
        <w:lastRenderedPageBreak/>
        <w:t xml:space="preserve">Proiectele finanţate de </w:t>
      </w:r>
      <w:r w:rsidR="004424A0" w:rsidRPr="009C5F11">
        <w:rPr>
          <w:rFonts w:ascii="Times New Roman" w:hAnsi="Times New Roman" w:cs="Times New Roman"/>
          <w:color w:val="333333"/>
          <w:sz w:val="24"/>
          <w:lang w:val="ro-RO"/>
        </w:rPr>
        <w:t>MoREEFF</w:t>
      </w:r>
      <w:r w:rsidR="00BC2ED4" w:rsidRPr="009C5F11">
        <w:rPr>
          <w:rFonts w:ascii="Times New Roman" w:hAnsi="Times New Roman" w:cs="Times New Roman"/>
          <w:color w:val="333333"/>
          <w:sz w:val="24"/>
          <w:lang w:val="ro-RO"/>
        </w:rPr>
        <w:t xml:space="preserve"> </w:t>
      </w:r>
      <w:r w:rsidRPr="009C5F11">
        <w:rPr>
          <w:rFonts w:ascii="Times New Roman" w:hAnsi="Times New Roman" w:cs="Times New Roman"/>
          <w:color w:val="333333"/>
          <w:sz w:val="24"/>
          <w:lang w:val="ro-RO"/>
        </w:rPr>
        <w:t xml:space="preserve">au </w:t>
      </w:r>
      <w:r w:rsidR="00336D0A" w:rsidRPr="009C5F11">
        <w:rPr>
          <w:rFonts w:ascii="Times New Roman" w:hAnsi="Times New Roman" w:cs="Times New Roman"/>
          <w:color w:val="333333"/>
          <w:sz w:val="24"/>
          <w:lang w:val="ro-RO"/>
        </w:rPr>
        <w:t>obţinut</w:t>
      </w:r>
      <w:r w:rsidRPr="009C5F11">
        <w:rPr>
          <w:rFonts w:ascii="Times New Roman" w:hAnsi="Times New Roman" w:cs="Times New Roman"/>
          <w:color w:val="333333"/>
          <w:sz w:val="24"/>
          <w:lang w:val="ro-RO"/>
        </w:rPr>
        <w:t xml:space="preserve"> economii în volum de</w:t>
      </w:r>
      <w:r w:rsidR="00BC2ED4" w:rsidRPr="009C5F11">
        <w:rPr>
          <w:rFonts w:ascii="Times New Roman" w:hAnsi="Times New Roman" w:cs="Times New Roman"/>
          <w:color w:val="333333"/>
          <w:sz w:val="24"/>
          <w:lang w:val="ro-RO"/>
        </w:rPr>
        <w:t xml:space="preserve"> </w:t>
      </w:r>
      <w:r w:rsidR="00906FD4" w:rsidRPr="009C5F11">
        <w:rPr>
          <w:rFonts w:ascii="Times New Roman" w:hAnsi="Times New Roman" w:cs="Times New Roman"/>
          <w:b/>
          <w:color w:val="333333"/>
          <w:sz w:val="24"/>
          <w:lang w:val="ro-RO"/>
        </w:rPr>
        <w:t>13,</w:t>
      </w:r>
      <w:r w:rsidR="00BC2ED4" w:rsidRPr="009C5F11">
        <w:rPr>
          <w:rFonts w:ascii="Times New Roman" w:hAnsi="Times New Roman" w:cs="Times New Roman"/>
          <w:b/>
          <w:color w:val="333333"/>
          <w:sz w:val="24"/>
          <w:lang w:val="ro-RO"/>
        </w:rPr>
        <w:t>890</w:t>
      </w:r>
      <w:r w:rsidR="00BC2ED4" w:rsidRPr="009C5F11">
        <w:rPr>
          <w:rFonts w:ascii="Times New Roman" w:hAnsi="Times New Roman" w:cs="Times New Roman"/>
          <w:color w:val="333333"/>
          <w:sz w:val="24"/>
          <w:lang w:val="ro-RO"/>
        </w:rPr>
        <w:t xml:space="preserve"> MWh </w:t>
      </w:r>
      <w:r w:rsidR="00BC2ED4" w:rsidRPr="009C5F11">
        <w:rPr>
          <w:rFonts w:ascii="Times New Roman" w:hAnsi="Times New Roman" w:cs="Times New Roman"/>
          <w:b/>
          <w:color w:val="333333"/>
          <w:sz w:val="24"/>
          <w:lang w:val="ro-RO"/>
        </w:rPr>
        <w:t xml:space="preserve">(1.194 </w:t>
      </w:r>
      <w:r w:rsidR="00E52940" w:rsidRPr="009C5F11">
        <w:rPr>
          <w:rFonts w:ascii="Times New Roman" w:hAnsi="Times New Roman" w:cs="Times New Roman"/>
          <w:b/>
          <w:color w:val="333333"/>
          <w:sz w:val="24"/>
          <w:lang w:val="ro-RO"/>
        </w:rPr>
        <w:t>ktep</w:t>
      </w:r>
      <w:r w:rsidR="00BC2ED4" w:rsidRPr="009C5F11">
        <w:rPr>
          <w:rFonts w:ascii="Times New Roman" w:hAnsi="Times New Roman" w:cs="Times New Roman"/>
          <w:color w:val="333333"/>
          <w:sz w:val="24"/>
          <w:lang w:val="ro-RO"/>
        </w:rPr>
        <w:t>)</w:t>
      </w:r>
      <w:r w:rsidR="00906FD4" w:rsidRPr="009C5F11">
        <w:rPr>
          <w:rStyle w:val="Referinnotdesubsol"/>
          <w:rFonts w:ascii="Times New Roman" w:hAnsi="Times New Roman" w:cs="Times New Roman"/>
          <w:color w:val="333333"/>
          <w:sz w:val="24"/>
          <w:lang w:val="ro-RO"/>
        </w:rPr>
        <w:footnoteReference w:id="35"/>
      </w:r>
      <w:r w:rsidR="00BC2ED4" w:rsidRPr="009C5F11">
        <w:rPr>
          <w:rFonts w:ascii="Times New Roman" w:hAnsi="Times New Roman" w:cs="Times New Roman"/>
          <w:color w:val="333333"/>
          <w:sz w:val="24"/>
          <w:lang w:val="ro-RO"/>
        </w:rPr>
        <w:t xml:space="preserve"> pe</w:t>
      </w:r>
      <w:r w:rsidRPr="009C5F11">
        <w:rPr>
          <w:rFonts w:ascii="Times New Roman" w:hAnsi="Times New Roman" w:cs="Times New Roman"/>
          <w:color w:val="333333"/>
          <w:sz w:val="24"/>
          <w:lang w:val="ro-RO"/>
        </w:rPr>
        <w:t xml:space="preserve"> an</w:t>
      </w:r>
      <w:r w:rsidR="00BC2ED4" w:rsidRPr="009C5F11">
        <w:rPr>
          <w:rFonts w:ascii="Times New Roman" w:hAnsi="Times New Roman" w:cs="Times New Roman"/>
          <w:color w:val="333333"/>
          <w:sz w:val="24"/>
          <w:lang w:val="ro-RO"/>
        </w:rPr>
        <w:t>.</w:t>
      </w:r>
    </w:p>
    <w:p w14:paraId="610174DE" w14:textId="3964C6A2" w:rsidR="00BC2ED4" w:rsidRPr="009C5F11" w:rsidRDefault="00840B9F" w:rsidP="00BC2ED4">
      <w:pPr>
        <w:shd w:val="clear" w:color="auto" w:fill="FFFFFF"/>
        <w:spacing w:before="240" w:line="240" w:lineRule="auto"/>
        <w:rPr>
          <w:rFonts w:ascii="Times New Roman" w:hAnsi="Times New Roman" w:cs="Times New Roman"/>
          <w:color w:val="000000"/>
          <w:sz w:val="24"/>
          <w:lang w:val="ro-RO"/>
        </w:rPr>
      </w:pPr>
      <w:r w:rsidRPr="009C5F11">
        <w:rPr>
          <w:rFonts w:ascii="Times New Roman" w:hAnsi="Times New Roman" w:cs="Times New Roman"/>
          <w:color w:val="333333"/>
          <w:sz w:val="24"/>
          <w:lang w:val="ro-RO"/>
        </w:rPr>
        <w:t xml:space="preserve">Rezultatele activităţii Programului </w:t>
      </w:r>
      <w:r w:rsidR="004424A0" w:rsidRPr="009C5F11">
        <w:rPr>
          <w:rFonts w:ascii="Times New Roman" w:hAnsi="Times New Roman" w:cs="Times New Roman"/>
          <w:color w:val="333333"/>
          <w:sz w:val="24"/>
          <w:lang w:val="ro-RO"/>
        </w:rPr>
        <w:t>MoREEFF</w:t>
      </w:r>
      <w:r w:rsidR="00BC2ED4" w:rsidRPr="009C5F11">
        <w:rPr>
          <w:rFonts w:ascii="Times New Roman" w:hAnsi="Times New Roman" w:cs="Times New Roman"/>
          <w:color w:val="333333"/>
          <w:sz w:val="24"/>
          <w:lang w:val="ro-RO"/>
        </w:rPr>
        <w:t xml:space="preserve"> </w:t>
      </w:r>
      <w:r w:rsidRPr="009C5F11">
        <w:rPr>
          <w:rFonts w:ascii="Times New Roman" w:hAnsi="Times New Roman" w:cs="Times New Roman"/>
          <w:color w:val="333333"/>
          <w:sz w:val="24"/>
          <w:lang w:val="ro-RO"/>
        </w:rPr>
        <w:t xml:space="preserve">exprimate numeric sunt prezentate </w:t>
      </w:r>
      <w:r w:rsidR="00321CD5" w:rsidRPr="009C5F11">
        <w:rPr>
          <w:rFonts w:ascii="Times New Roman" w:hAnsi="Times New Roman" w:cs="Times New Roman"/>
          <w:color w:val="333333"/>
          <w:sz w:val="24"/>
          <w:lang w:val="ro-RO"/>
        </w:rPr>
        <w:t xml:space="preserve">în </w:t>
      </w:r>
      <w:r w:rsidR="003A6ADB" w:rsidRPr="009C5F11">
        <w:rPr>
          <w:rFonts w:ascii="Times New Roman" w:hAnsi="Times New Roman" w:cs="Times New Roman"/>
          <w:color w:val="333333"/>
          <w:sz w:val="24"/>
          <w:lang w:val="ro-RO"/>
        </w:rPr>
        <w:fldChar w:fldCharType="begin"/>
      </w:r>
      <w:r w:rsidR="00971F7E" w:rsidRPr="009C5F11">
        <w:rPr>
          <w:rFonts w:ascii="Times New Roman" w:hAnsi="Times New Roman" w:cs="Times New Roman"/>
          <w:color w:val="333333"/>
          <w:sz w:val="24"/>
          <w:lang w:val="ro-RO"/>
        </w:rPr>
        <w:instrText xml:space="preserve"> REF _Ref319689427 \h </w:instrText>
      </w:r>
      <w:r w:rsidR="009C5F11" w:rsidRPr="009C5F11">
        <w:rPr>
          <w:rFonts w:ascii="Times New Roman" w:hAnsi="Times New Roman" w:cs="Times New Roman"/>
          <w:color w:val="333333"/>
          <w:sz w:val="24"/>
          <w:lang w:val="ro-RO"/>
        </w:rPr>
        <w:instrText xml:space="preserve"> \* MERGEFORMAT </w:instrText>
      </w:r>
      <w:r w:rsidR="003A6ADB" w:rsidRPr="009C5F11">
        <w:rPr>
          <w:rFonts w:ascii="Times New Roman" w:hAnsi="Times New Roman" w:cs="Times New Roman"/>
          <w:color w:val="333333"/>
          <w:sz w:val="24"/>
          <w:lang w:val="ro-RO"/>
        </w:rPr>
      </w:r>
      <w:r w:rsidR="003A6ADB" w:rsidRPr="009C5F11">
        <w:rPr>
          <w:rFonts w:ascii="Times New Roman" w:hAnsi="Times New Roman" w:cs="Times New Roman"/>
          <w:color w:val="333333"/>
          <w:sz w:val="24"/>
          <w:lang w:val="ro-RO"/>
        </w:rPr>
        <w:fldChar w:fldCharType="separate"/>
      </w:r>
      <w:r w:rsidR="0014013D" w:rsidRPr="0014013D">
        <w:rPr>
          <w:rFonts w:ascii="Times New Roman" w:hAnsi="Times New Roman" w:cs="Times New Roman"/>
          <w:sz w:val="24"/>
          <w:lang w:val="ro-RO"/>
        </w:rPr>
        <w:t>Tabelul 48</w:t>
      </w:r>
      <w:r w:rsidR="003A6ADB" w:rsidRPr="009C5F11">
        <w:rPr>
          <w:rFonts w:ascii="Times New Roman" w:hAnsi="Times New Roman" w:cs="Times New Roman"/>
          <w:color w:val="333333"/>
          <w:sz w:val="24"/>
          <w:lang w:val="ro-RO"/>
        </w:rPr>
        <w:fldChar w:fldCharType="end"/>
      </w:r>
      <w:r w:rsidR="00321CD5" w:rsidRPr="009C5F11">
        <w:rPr>
          <w:rFonts w:ascii="Times New Roman" w:hAnsi="Times New Roman" w:cs="Times New Roman"/>
          <w:color w:val="333333"/>
          <w:sz w:val="24"/>
          <w:lang w:val="ro-RO"/>
        </w:rPr>
        <w:t xml:space="preserve"> şi </w:t>
      </w:r>
      <w:r w:rsidR="003A6ADB" w:rsidRPr="009C5F11">
        <w:rPr>
          <w:rFonts w:ascii="Times New Roman" w:hAnsi="Times New Roman" w:cs="Times New Roman"/>
          <w:color w:val="333333"/>
          <w:sz w:val="24"/>
          <w:lang w:val="ro-RO"/>
        </w:rPr>
        <w:fldChar w:fldCharType="begin"/>
      </w:r>
      <w:r w:rsidR="00971F7E" w:rsidRPr="009C5F11">
        <w:rPr>
          <w:rFonts w:ascii="Times New Roman" w:hAnsi="Times New Roman" w:cs="Times New Roman"/>
          <w:color w:val="333333"/>
          <w:sz w:val="24"/>
          <w:lang w:val="ro-RO"/>
        </w:rPr>
        <w:instrText xml:space="preserve"> REF _Ref319689498 \h </w:instrText>
      </w:r>
      <w:r w:rsidR="009C5F11" w:rsidRPr="009C5F11">
        <w:rPr>
          <w:rFonts w:ascii="Times New Roman" w:hAnsi="Times New Roman" w:cs="Times New Roman"/>
          <w:color w:val="333333"/>
          <w:sz w:val="24"/>
          <w:lang w:val="ro-RO"/>
        </w:rPr>
        <w:instrText xml:space="preserve"> \* MERGEFORMAT </w:instrText>
      </w:r>
      <w:r w:rsidR="003A6ADB" w:rsidRPr="009C5F11">
        <w:rPr>
          <w:rFonts w:ascii="Times New Roman" w:hAnsi="Times New Roman" w:cs="Times New Roman"/>
          <w:color w:val="333333"/>
          <w:sz w:val="24"/>
          <w:lang w:val="ro-RO"/>
        </w:rPr>
      </w:r>
      <w:r w:rsidR="003A6ADB" w:rsidRPr="009C5F11">
        <w:rPr>
          <w:rFonts w:ascii="Times New Roman" w:hAnsi="Times New Roman" w:cs="Times New Roman"/>
          <w:color w:val="333333"/>
          <w:sz w:val="24"/>
          <w:lang w:val="ro-RO"/>
        </w:rPr>
        <w:fldChar w:fldCharType="separate"/>
      </w:r>
      <w:r w:rsidR="0014013D" w:rsidRPr="0014013D">
        <w:rPr>
          <w:rFonts w:ascii="Times New Roman" w:hAnsi="Times New Roman" w:cs="Times New Roman"/>
          <w:sz w:val="24"/>
          <w:lang w:val="ro-RO"/>
        </w:rPr>
        <w:t>Tabelul 49</w:t>
      </w:r>
      <w:r w:rsidR="003A6ADB" w:rsidRPr="009C5F11">
        <w:rPr>
          <w:rFonts w:ascii="Times New Roman" w:hAnsi="Times New Roman" w:cs="Times New Roman"/>
          <w:color w:val="333333"/>
          <w:sz w:val="24"/>
          <w:lang w:val="ro-RO"/>
        </w:rPr>
        <w:fldChar w:fldCharType="end"/>
      </w:r>
      <w:r w:rsidR="00971F7E" w:rsidRPr="009C5F11">
        <w:rPr>
          <w:rFonts w:ascii="Times New Roman" w:hAnsi="Times New Roman" w:cs="Times New Roman"/>
          <w:color w:val="333333"/>
          <w:sz w:val="24"/>
          <w:lang w:val="ro-RO"/>
        </w:rPr>
        <w:t xml:space="preserve"> </w:t>
      </w:r>
      <w:r w:rsidR="00E46DD7" w:rsidRPr="009C5F11">
        <w:rPr>
          <w:rFonts w:ascii="Times New Roman" w:hAnsi="Times New Roman" w:cs="Times New Roman"/>
          <w:color w:val="333333"/>
          <w:sz w:val="24"/>
          <w:lang w:val="ro-RO"/>
        </w:rPr>
        <w:t>de mai jos</w:t>
      </w:r>
      <w:r w:rsidR="00BC2ED4" w:rsidRPr="009C5F11">
        <w:rPr>
          <w:rFonts w:ascii="Times New Roman" w:hAnsi="Times New Roman" w:cs="Times New Roman"/>
          <w:color w:val="333333"/>
          <w:sz w:val="24"/>
          <w:lang w:val="ro-RO"/>
        </w:rPr>
        <w:t>:</w:t>
      </w:r>
      <w:r w:rsidR="00BC2ED4" w:rsidRPr="009C5F11">
        <w:rPr>
          <w:rFonts w:ascii="Times New Roman" w:hAnsi="Times New Roman" w:cs="Times New Roman"/>
          <w:color w:val="000000"/>
          <w:sz w:val="24"/>
          <w:lang w:val="ro-RO"/>
        </w:rPr>
        <w:t xml:space="preserve"> </w:t>
      </w:r>
    </w:p>
    <w:p w14:paraId="0FED62DC" w14:textId="77777777" w:rsidR="00B60AA6" w:rsidRPr="009C5F11" w:rsidRDefault="00321CD5" w:rsidP="00B60AA6">
      <w:pPr>
        <w:pStyle w:val="Legend"/>
        <w:keepNext/>
        <w:jc w:val="center"/>
        <w:rPr>
          <w:rFonts w:ascii="Times New Roman" w:hAnsi="Times New Roman" w:cs="Times New Roman"/>
          <w:sz w:val="22"/>
          <w:lang w:val="ro-RO"/>
        </w:rPr>
      </w:pPr>
      <w:bookmarkStart w:id="418" w:name="_Ref319689427"/>
      <w:bookmarkStart w:id="419" w:name="_Toc322013271"/>
      <w:r w:rsidRPr="009C5F11">
        <w:rPr>
          <w:rFonts w:ascii="Times New Roman" w:hAnsi="Times New Roman" w:cs="Times New Roman"/>
          <w:sz w:val="22"/>
          <w:lang w:val="ro-RO"/>
        </w:rPr>
        <w:t>Tabelul</w:t>
      </w:r>
      <w:r w:rsidR="00B60AA6"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B60AA6"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48</w:t>
      </w:r>
      <w:r w:rsidR="003A6ADB" w:rsidRPr="009C5F11">
        <w:rPr>
          <w:rFonts w:ascii="Times New Roman" w:hAnsi="Times New Roman" w:cs="Times New Roman"/>
          <w:sz w:val="22"/>
          <w:lang w:val="ro-RO"/>
        </w:rPr>
        <w:fldChar w:fldCharType="end"/>
      </w:r>
      <w:bookmarkEnd w:id="418"/>
      <w:r w:rsidR="00B60AA6" w:rsidRPr="009C5F11">
        <w:rPr>
          <w:rFonts w:ascii="Times New Roman" w:hAnsi="Times New Roman" w:cs="Times New Roman"/>
          <w:sz w:val="22"/>
          <w:lang w:val="ro-RO"/>
        </w:rPr>
        <w:t xml:space="preserve"> –</w:t>
      </w:r>
      <w:r w:rsidR="00840B9F" w:rsidRPr="009C5F11">
        <w:rPr>
          <w:rFonts w:ascii="Times New Roman" w:hAnsi="Times New Roman" w:cs="Times New Roman"/>
          <w:sz w:val="22"/>
          <w:lang w:val="ro-RO"/>
        </w:rPr>
        <w:t xml:space="preserve"> I</w:t>
      </w:r>
      <w:r w:rsidR="00B40A7C" w:rsidRPr="009C5F11">
        <w:rPr>
          <w:rFonts w:ascii="Times New Roman" w:hAnsi="Times New Roman" w:cs="Times New Roman"/>
          <w:sz w:val="22"/>
          <w:lang w:val="ro-RO"/>
        </w:rPr>
        <w:t>nformaţii</w:t>
      </w:r>
      <w:r w:rsidR="00B60AA6" w:rsidRPr="009C5F11">
        <w:rPr>
          <w:rFonts w:ascii="Times New Roman" w:hAnsi="Times New Roman" w:cs="Times New Roman"/>
          <w:sz w:val="22"/>
          <w:lang w:val="ro-RO"/>
        </w:rPr>
        <w:t xml:space="preserve"> </w:t>
      </w:r>
      <w:r w:rsidR="00840B9F" w:rsidRPr="009C5F11">
        <w:rPr>
          <w:rFonts w:ascii="Times New Roman" w:hAnsi="Times New Roman" w:cs="Times New Roman"/>
          <w:sz w:val="22"/>
          <w:lang w:val="ro-RO"/>
        </w:rPr>
        <w:t>financiare</w:t>
      </w:r>
      <w:r w:rsidR="00B7502D" w:rsidRPr="009C5F11">
        <w:rPr>
          <w:rFonts w:ascii="Times New Roman" w:hAnsi="Times New Roman" w:cs="Times New Roman"/>
          <w:sz w:val="22"/>
          <w:lang w:val="ro-RO"/>
        </w:rPr>
        <w:t xml:space="preserve"> raportat</w:t>
      </w:r>
      <w:r w:rsidR="00840B9F" w:rsidRPr="009C5F11">
        <w:rPr>
          <w:rFonts w:ascii="Times New Roman" w:hAnsi="Times New Roman" w:cs="Times New Roman"/>
          <w:sz w:val="22"/>
          <w:lang w:val="ro-RO"/>
        </w:rPr>
        <w:t>e</w:t>
      </w:r>
      <w:r w:rsidR="00B60AA6" w:rsidRPr="009C5F11">
        <w:rPr>
          <w:rFonts w:ascii="Times New Roman" w:hAnsi="Times New Roman" w:cs="Times New Roman"/>
          <w:sz w:val="22"/>
          <w:lang w:val="ro-RO"/>
        </w:rPr>
        <w:t xml:space="preserve"> </w:t>
      </w:r>
      <w:r w:rsidR="006A6D2F" w:rsidRPr="009C5F11">
        <w:rPr>
          <w:rFonts w:ascii="Times New Roman" w:hAnsi="Times New Roman" w:cs="Times New Roman"/>
          <w:sz w:val="22"/>
          <w:lang w:val="ro-RO"/>
        </w:rPr>
        <w:t>MoREEFF</w:t>
      </w:r>
      <w:r w:rsidR="00B60AA6" w:rsidRPr="009C5F11">
        <w:rPr>
          <w:rFonts w:ascii="Times New Roman" w:hAnsi="Times New Roman" w:cs="Times New Roman"/>
          <w:sz w:val="22"/>
          <w:lang w:val="ro-RO"/>
        </w:rPr>
        <w:t xml:space="preserve"> </w:t>
      </w:r>
      <w:r w:rsidR="00840B9F" w:rsidRPr="009C5F11">
        <w:rPr>
          <w:rFonts w:ascii="Times New Roman" w:hAnsi="Times New Roman" w:cs="Times New Roman"/>
          <w:sz w:val="22"/>
          <w:lang w:val="ro-RO"/>
        </w:rPr>
        <w:t xml:space="preserve">la situaţia din </w:t>
      </w:r>
      <w:r w:rsidR="000A4CC7" w:rsidRPr="009C5F11">
        <w:rPr>
          <w:rFonts w:ascii="Times New Roman" w:hAnsi="Times New Roman" w:cs="Times New Roman"/>
          <w:sz w:val="22"/>
          <w:lang w:val="ro-RO"/>
        </w:rPr>
        <w:t>martie</w:t>
      </w:r>
      <w:r w:rsidR="00B60AA6" w:rsidRPr="009C5F11">
        <w:rPr>
          <w:rFonts w:ascii="Times New Roman" w:hAnsi="Times New Roman" w:cs="Times New Roman"/>
          <w:sz w:val="22"/>
          <w:lang w:val="ro-RO"/>
        </w:rPr>
        <w:t xml:space="preserve"> 2016</w:t>
      </w:r>
      <w:r w:rsidR="00840B9F" w:rsidRPr="009C5F11">
        <w:rPr>
          <w:rFonts w:ascii="Times New Roman" w:hAnsi="Times New Roman" w:cs="Times New Roman"/>
          <w:sz w:val="22"/>
          <w:lang w:val="ro-RO"/>
        </w:rPr>
        <w:t>.</w:t>
      </w:r>
      <w:bookmarkEnd w:id="419"/>
    </w:p>
    <w:tbl>
      <w:tblPr>
        <w:tblW w:w="5000" w:type="pct"/>
        <w:tblBorders>
          <w:top w:val="single" w:sz="8" w:space="0" w:color="001C53" w:themeColor="accent2" w:themeShade="80"/>
          <w:left w:val="single" w:sz="8" w:space="0" w:color="001C53" w:themeColor="accent2" w:themeShade="80"/>
          <w:bottom w:val="single" w:sz="8" w:space="0" w:color="001C53" w:themeColor="accent2" w:themeShade="80"/>
          <w:right w:val="single" w:sz="8" w:space="0" w:color="001C53" w:themeColor="accent2" w:themeShade="80"/>
          <w:insideH w:val="single" w:sz="8" w:space="0" w:color="001C53" w:themeColor="accent2" w:themeShade="80"/>
        </w:tblBorders>
        <w:tblCellMar>
          <w:left w:w="0" w:type="dxa"/>
          <w:right w:w="0" w:type="dxa"/>
        </w:tblCellMar>
        <w:tblLook w:val="04A0" w:firstRow="1" w:lastRow="0" w:firstColumn="1" w:lastColumn="0" w:noHBand="0" w:noVBand="1"/>
      </w:tblPr>
      <w:tblGrid>
        <w:gridCol w:w="2758"/>
        <w:gridCol w:w="1678"/>
        <w:gridCol w:w="1792"/>
        <w:gridCol w:w="1421"/>
        <w:gridCol w:w="1678"/>
      </w:tblGrid>
      <w:tr w:rsidR="00BC2ED4" w:rsidRPr="009C5F11" w14:paraId="59F9592D" w14:textId="77777777" w:rsidTr="00B60AA6">
        <w:trPr>
          <w:trHeight w:val="450"/>
        </w:trPr>
        <w:tc>
          <w:tcPr>
            <w:tcW w:w="1514" w:type="pct"/>
            <w:shd w:val="clear" w:color="auto" w:fill="000080"/>
            <w:tcMar>
              <w:top w:w="75" w:type="dxa"/>
              <w:left w:w="150" w:type="dxa"/>
              <w:bottom w:w="75" w:type="dxa"/>
              <w:right w:w="150" w:type="dxa"/>
            </w:tcMar>
            <w:vAlign w:val="bottom"/>
            <w:hideMark/>
          </w:tcPr>
          <w:p w14:paraId="20F64F37" w14:textId="77777777" w:rsidR="00BC2ED4" w:rsidRPr="009C5F11" w:rsidRDefault="00840B9F" w:rsidP="00430626">
            <w:pPr>
              <w:spacing w:after="0" w:line="240" w:lineRule="auto"/>
              <w:rPr>
                <w:rFonts w:ascii="Times New Roman" w:hAnsi="Times New Roman" w:cs="Times New Roman"/>
                <w:b/>
                <w:bCs/>
                <w:color w:val="FFFFFF"/>
                <w:sz w:val="20"/>
                <w:szCs w:val="16"/>
                <w:lang w:val="ro-RO"/>
              </w:rPr>
            </w:pPr>
            <w:r w:rsidRPr="009C5F11">
              <w:rPr>
                <w:rFonts w:ascii="Times New Roman" w:hAnsi="Times New Roman" w:cs="Times New Roman"/>
                <w:b/>
                <w:bCs/>
                <w:iCs/>
                <w:color w:val="FFFFFF" w:themeColor="background1"/>
                <w:sz w:val="20"/>
                <w:szCs w:val="16"/>
                <w:lang w:val="ro-RO"/>
              </w:rPr>
              <w:t>Măsuri de îmbunătăţire a eficienţei energetice a locuinţelor</w:t>
            </w:r>
          </w:p>
        </w:tc>
        <w:tc>
          <w:tcPr>
            <w:tcW w:w="797" w:type="pct"/>
            <w:shd w:val="clear" w:color="auto" w:fill="000080"/>
            <w:tcMar>
              <w:top w:w="75" w:type="dxa"/>
              <w:left w:w="150" w:type="dxa"/>
              <w:bottom w:w="75" w:type="dxa"/>
              <w:right w:w="150" w:type="dxa"/>
            </w:tcMar>
            <w:vAlign w:val="bottom"/>
            <w:hideMark/>
          </w:tcPr>
          <w:p w14:paraId="2449BAC9" w14:textId="77777777" w:rsidR="00BC2ED4" w:rsidRPr="009C5F11" w:rsidRDefault="00840B9F" w:rsidP="00C57A40">
            <w:pPr>
              <w:spacing w:after="0" w:line="240" w:lineRule="auto"/>
              <w:jc w:val="center"/>
              <w:rPr>
                <w:rFonts w:ascii="Times New Roman" w:hAnsi="Times New Roman" w:cs="Times New Roman"/>
                <w:b/>
                <w:bCs/>
                <w:color w:val="FFFFFF"/>
                <w:sz w:val="20"/>
                <w:szCs w:val="16"/>
                <w:lang w:val="ro-RO"/>
              </w:rPr>
            </w:pPr>
            <w:r w:rsidRPr="009C5F11">
              <w:rPr>
                <w:rFonts w:ascii="Times New Roman" w:hAnsi="Times New Roman" w:cs="Times New Roman"/>
                <w:b/>
                <w:bCs/>
                <w:color w:val="FFFFFF"/>
                <w:sz w:val="20"/>
                <w:szCs w:val="16"/>
                <w:lang w:val="ro-RO"/>
              </w:rPr>
              <w:t>Suma sub</w:t>
            </w:r>
            <w:r w:rsidR="00BC2ED4" w:rsidRPr="009C5F11">
              <w:rPr>
                <w:rFonts w:ascii="Times New Roman" w:hAnsi="Times New Roman" w:cs="Times New Roman"/>
                <w:b/>
                <w:bCs/>
                <w:color w:val="FFFFFF"/>
                <w:sz w:val="20"/>
                <w:szCs w:val="16"/>
                <w:lang w:val="ro-RO"/>
              </w:rPr>
              <w:t>-</w:t>
            </w:r>
            <w:r w:rsidR="00147585" w:rsidRPr="009C5F11">
              <w:rPr>
                <w:rFonts w:ascii="Times New Roman" w:hAnsi="Times New Roman" w:cs="Times New Roman"/>
                <w:b/>
                <w:bCs/>
                <w:color w:val="FFFFFF"/>
                <w:sz w:val="20"/>
                <w:szCs w:val="16"/>
                <w:lang w:val="ro-RO"/>
              </w:rPr>
              <w:t>împrumuturi</w:t>
            </w:r>
            <w:r w:rsidRPr="009C5F11">
              <w:rPr>
                <w:rFonts w:ascii="Times New Roman" w:hAnsi="Times New Roman" w:cs="Times New Roman"/>
                <w:b/>
                <w:bCs/>
                <w:color w:val="FFFFFF"/>
                <w:sz w:val="20"/>
                <w:szCs w:val="16"/>
                <w:lang w:val="ro-RO"/>
              </w:rPr>
              <w:t>lor</w:t>
            </w:r>
            <w:r w:rsidR="00BC2ED4" w:rsidRPr="009C5F11">
              <w:rPr>
                <w:rFonts w:ascii="Times New Roman" w:hAnsi="Times New Roman" w:cs="Times New Roman"/>
                <w:b/>
                <w:bCs/>
                <w:color w:val="FFFFFF"/>
                <w:sz w:val="20"/>
                <w:szCs w:val="16"/>
                <w:lang w:val="ro-RO"/>
              </w:rPr>
              <w:t xml:space="preserve"> (</w:t>
            </w:r>
            <w:r w:rsidR="00421FA7" w:rsidRPr="009C5F11">
              <w:rPr>
                <w:rFonts w:ascii="Times New Roman" w:hAnsi="Times New Roman" w:cs="Times New Roman"/>
                <w:b/>
                <w:bCs/>
                <w:color w:val="FFFFFF"/>
                <w:sz w:val="20"/>
                <w:szCs w:val="16"/>
                <w:lang w:val="ro-RO"/>
              </w:rPr>
              <w:t>euro</w:t>
            </w:r>
            <w:r w:rsidR="00BC2ED4" w:rsidRPr="009C5F11">
              <w:rPr>
                <w:rFonts w:ascii="Times New Roman" w:hAnsi="Times New Roman" w:cs="Times New Roman"/>
                <w:b/>
                <w:bCs/>
                <w:color w:val="FFFFFF"/>
                <w:sz w:val="20"/>
                <w:szCs w:val="16"/>
                <w:lang w:val="ro-RO"/>
              </w:rPr>
              <w:t>)</w:t>
            </w:r>
          </w:p>
        </w:tc>
        <w:tc>
          <w:tcPr>
            <w:tcW w:w="996" w:type="pct"/>
            <w:shd w:val="clear" w:color="auto" w:fill="000080"/>
            <w:tcMar>
              <w:top w:w="75" w:type="dxa"/>
              <w:left w:w="150" w:type="dxa"/>
              <w:bottom w:w="75" w:type="dxa"/>
              <w:right w:w="150" w:type="dxa"/>
            </w:tcMar>
            <w:vAlign w:val="bottom"/>
            <w:hideMark/>
          </w:tcPr>
          <w:p w14:paraId="3B8F87A3" w14:textId="77777777" w:rsidR="00BC2ED4" w:rsidRPr="009C5F11" w:rsidRDefault="00840B9F" w:rsidP="00840B9F">
            <w:pPr>
              <w:spacing w:after="0" w:line="240" w:lineRule="auto"/>
              <w:jc w:val="center"/>
              <w:rPr>
                <w:rFonts w:ascii="Times New Roman" w:hAnsi="Times New Roman" w:cs="Times New Roman"/>
                <w:b/>
                <w:bCs/>
                <w:color w:val="FFFFFF"/>
                <w:sz w:val="20"/>
                <w:szCs w:val="16"/>
                <w:lang w:val="ro-RO"/>
              </w:rPr>
            </w:pPr>
            <w:r w:rsidRPr="009C5F11">
              <w:rPr>
                <w:rFonts w:ascii="Times New Roman" w:hAnsi="Times New Roman" w:cs="Times New Roman"/>
                <w:b/>
                <w:bCs/>
                <w:color w:val="FFFFFF"/>
                <w:sz w:val="20"/>
                <w:szCs w:val="16"/>
                <w:lang w:val="ro-RO"/>
              </w:rPr>
              <w:t xml:space="preserve">Suma investiţiilor de </w:t>
            </w:r>
            <w:r w:rsidR="000235E8" w:rsidRPr="009C5F11">
              <w:rPr>
                <w:rFonts w:ascii="Times New Roman" w:hAnsi="Times New Roman" w:cs="Times New Roman"/>
                <w:b/>
                <w:bCs/>
                <w:color w:val="FFFFFF"/>
                <w:sz w:val="20"/>
                <w:szCs w:val="16"/>
                <w:lang w:val="ro-RO"/>
              </w:rPr>
              <w:t>stimul</w:t>
            </w:r>
            <w:r w:rsidRPr="009C5F11">
              <w:rPr>
                <w:rFonts w:ascii="Times New Roman" w:hAnsi="Times New Roman" w:cs="Times New Roman"/>
                <w:b/>
                <w:bCs/>
                <w:color w:val="FFFFFF"/>
                <w:sz w:val="20"/>
                <w:szCs w:val="16"/>
                <w:lang w:val="ro-RO"/>
              </w:rPr>
              <w:t>ar</w:t>
            </w:r>
            <w:r w:rsidR="000235E8" w:rsidRPr="009C5F11">
              <w:rPr>
                <w:rFonts w:ascii="Times New Roman" w:hAnsi="Times New Roman" w:cs="Times New Roman"/>
                <w:b/>
                <w:bCs/>
                <w:color w:val="FFFFFF"/>
                <w:sz w:val="20"/>
                <w:szCs w:val="16"/>
                <w:lang w:val="ro-RO"/>
              </w:rPr>
              <w:t>e</w:t>
            </w:r>
            <w:r w:rsidR="00BC2ED4" w:rsidRPr="009C5F11">
              <w:rPr>
                <w:rFonts w:ascii="Times New Roman" w:hAnsi="Times New Roman" w:cs="Times New Roman"/>
                <w:b/>
                <w:bCs/>
                <w:color w:val="FFFFFF"/>
                <w:sz w:val="20"/>
                <w:szCs w:val="16"/>
                <w:lang w:val="ro-RO"/>
              </w:rPr>
              <w:t xml:space="preserve"> (</w:t>
            </w:r>
            <w:r w:rsidR="00421FA7" w:rsidRPr="009C5F11">
              <w:rPr>
                <w:rFonts w:ascii="Times New Roman" w:hAnsi="Times New Roman" w:cs="Times New Roman"/>
                <w:b/>
                <w:bCs/>
                <w:color w:val="FFFFFF"/>
                <w:sz w:val="20"/>
                <w:szCs w:val="16"/>
                <w:lang w:val="ro-RO"/>
              </w:rPr>
              <w:t>euro</w:t>
            </w:r>
            <w:r w:rsidR="00BC2ED4" w:rsidRPr="009C5F11">
              <w:rPr>
                <w:rFonts w:ascii="Times New Roman" w:hAnsi="Times New Roman" w:cs="Times New Roman"/>
                <w:b/>
                <w:bCs/>
                <w:color w:val="FFFFFF"/>
                <w:sz w:val="20"/>
                <w:szCs w:val="16"/>
                <w:lang w:val="ro-RO"/>
              </w:rPr>
              <w:t>)</w:t>
            </w:r>
          </w:p>
        </w:tc>
        <w:tc>
          <w:tcPr>
            <w:tcW w:w="797" w:type="pct"/>
            <w:shd w:val="clear" w:color="auto" w:fill="000080"/>
            <w:tcMar>
              <w:top w:w="75" w:type="dxa"/>
              <w:left w:w="150" w:type="dxa"/>
              <w:bottom w:w="75" w:type="dxa"/>
              <w:right w:w="150" w:type="dxa"/>
            </w:tcMar>
            <w:vAlign w:val="bottom"/>
            <w:hideMark/>
          </w:tcPr>
          <w:p w14:paraId="0C535129" w14:textId="77777777" w:rsidR="00BC2ED4" w:rsidRPr="009C5F11" w:rsidRDefault="005F63E1" w:rsidP="00430626">
            <w:pPr>
              <w:spacing w:after="0" w:line="240" w:lineRule="auto"/>
              <w:jc w:val="center"/>
              <w:rPr>
                <w:rFonts w:ascii="Times New Roman" w:hAnsi="Times New Roman" w:cs="Times New Roman"/>
                <w:b/>
                <w:bCs/>
                <w:color w:val="FFFFFF"/>
                <w:sz w:val="20"/>
                <w:szCs w:val="16"/>
                <w:lang w:val="ro-RO"/>
              </w:rPr>
            </w:pPr>
            <w:r w:rsidRPr="009C5F11">
              <w:rPr>
                <w:rFonts w:ascii="Times New Roman" w:hAnsi="Times New Roman" w:cs="Times New Roman"/>
                <w:b/>
                <w:bCs/>
                <w:color w:val="FFFFFF"/>
                <w:sz w:val="20"/>
                <w:szCs w:val="16"/>
                <w:lang w:val="ro-RO"/>
              </w:rPr>
              <w:t>Numărul</w:t>
            </w:r>
            <w:r w:rsidR="00BC2ED4" w:rsidRPr="009C5F11">
              <w:rPr>
                <w:rFonts w:ascii="Times New Roman" w:hAnsi="Times New Roman" w:cs="Times New Roman"/>
                <w:b/>
                <w:bCs/>
                <w:color w:val="FFFFFF"/>
                <w:sz w:val="20"/>
                <w:szCs w:val="16"/>
                <w:lang w:val="ro-RO"/>
              </w:rPr>
              <w:t xml:space="preserve"> </w:t>
            </w:r>
            <w:r w:rsidR="00C6082B" w:rsidRPr="009C5F11">
              <w:rPr>
                <w:rFonts w:ascii="Times New Roman" w:hAnsi="Times New Roman" w:cs="Times New Roman"/>
                <w:b/>
                <w:bCs/>
                <w:color w:val="FFFFFF"/>
                <w:sz w:val="20"/>
                <w:szCs w:val="16"/>
                <w:lang w:val="ro-RO"/>
              </w:rPr>
              <w:t>proiectelor</w:t>
            </w:r>
          </w:p>
        </w:tc>
        <w:tc>
          <w:tcPr>
            <w:tcW w:w="896" w:type="pct"/>
            <w:shd w:val="clear" w:color="auto" w:fill="000080"/>
            <w:tcMar>
              <w:top w:w="75" w:type="dxa"/>
              <w:left w:w="150" w:type="dxa"/>
              <w:bottom w:w="75" w:type="dxa"/>
              <w:right w:w="150" w:type="dxa"/>
            </w:tcMar>
            <w:vAlign w:val="bottom"/>
            <w:hideMark/>
          </w:tcPr>
          <w:p w14:paraId="735D364F" w14:textId="77777777" w:rsidR="00BC2ED4" w:rsidRPr="009C5F11" w:rsidRDefault="00840B9F" w:rsidP="00336D0A">
            <w:pPr>
              <w:spacing w:after="0" w:line="240" w:lineRule="auto"/>
              <w:jc w:val="center"/>
              <w:rPr>
                <w:rFonts w:ascii="Times New Roman" w:hAnsi="Times New Roman" w:cs="Times New Roman"/>
                <w:b/>
                <w:bCs/>
                <w:color w:val="FFFFFF"/>
                <w:sz w:val="20"/>
                <w:szCs w:val="16"/>
                <w:lang w:val="ro-RO"/>
              </w:rPr>
            </w:pPr>
            <w:r w:rsidRPr="009C5F11">
              <w:rPr>
                <w:rFonts w:ascii="Times New Roman" w:hAnsi="Times New Roman" w:cs="Times New Roman"/>
                <w:b/>
                <w:bCs/>
                <w:color w:val="FFFFFF"/>
                <w:sz w:val="20"/>
                <w:szCs w:val="16"/>
                <w:lang w:val="ro-RO"/>
              </w:rPr>
              <w:t>%</w:t>
            </w:r>
            <w:r w:rsidR="00BC2ED4" w:rsidRPr="009C5F11">
              <w:rPr>
                <w:rFonts w:ascii="Times New Roman" w:hAnsi="Times New Roman" w:cs="Times New Roman"/>
                <w:b/>
                <w:bCs/>
                <w:color w:val="FFFFFF"/>
                <w:sz w:val="20"/>
                <w:szCs w:val="16"/>
                <w:lang w:val="ro-RO"/>
              </w:rPr>
              <w:t xml:space="preserve"> </w:t>
            </w:r>
            <w:r w:rsidRPr="009C5F11">
              <w:rPr>
                <w:rFonts w:ascii="Times New Roman" w:hAnsi="Times New Roman" w:cs="Times New Roman"/>
                <w:b/>
                <w:bCs/>
                <w:color w:val="FFFFFF"/>
                <w:sz w:val="20"/>
                <w:szCs w:val="16"/>
                <w:lang w:val="ro-RO"/>
              </w:rPr>
              <w:t>s</w:t>
            </w:r>
            <w:r w:rsidR="00BC2ED4" w:rsidRPr="009C5F11">
              <w:rPr>
                <w:rFonts w:ascii="Times New Roman" w:hAnsi="Times New Roman" w:cs="Times New Roman"/>
                <w:b/>
                <w:bCs/>
                <w:color w:val="FFFFFF"/>
                <w:sz w:val="20"/>
                <w:szCs w:val="16"/>
                <w:lang w:val="ro-RO"/>
              </w:rPr>
              <w:t>ub-</w:t>
            </w:r>
            <w:r w:rsidR="00147585" w:rsidRPr="009C5F11">
              <w:rPr>
                <w:rFonts w:ascii="Times New Roman" w:hAnsi="Times New Roman" w:cs="Times New Roman"/>
                <w:b/>
                <w:bCs/>
                <w:color w:val="FFFFFF"/>
                <w:sz w:val="20"/>
                <w:szCs w:val="16"/>
                <w:lang w:val="ro-RO"/>
              </w:rPr>
              <w:t>împrumuturi</w:t>
            </w:r>
            <w:r w:rsidRPr="009C5F11">
              <w:rPr>
                <w:rFonts w:ascii="Times New Roman" w:hAnsi="Times New Roman" w:cs="Times New Roman"/>
                <w:b/>
                <w:bCs/>
                <w:color w:val="FFFFFF"/>
                <w:sz w:val="20"/>
                <w:szCs w:val="16"/>
                <w:lang w:val="ro-RO"/>
              </w:rPr>
              <w:t>lor</w:t>
            </w:r>
          </w:p>
        </w:tc>
      </w:tr>
      <w:tr w:rsidR="00CD64BA" w:rsidRPr="009C5F11" w14:paraId="46DD1674" w14:textId="77777777" w:rsidTr="00936397">
        <w:trPr>
          <w:trHeight w:val="20"/>
        </w:trPr>
        <w:tc>
          <w:tcPr>
            <w:tcW w:w="1514" w:type="pct"/>
            <w:shd w:val="clear" w:color="auto" w:fill="auto"/>
            <w:tcMar>
              <w:top w:w="135" w:type="dxa"/>
              <w:left w:w="150" w:type="dxa"/>
              <w:bottom w:w="135" w:type="dxa"/>
              <w:right w:w="150" w:type="dxa"/>
            </w:tcMar>
            <w:hideMark/>
          </w:tcPr>
          <w:p w14:paraId="4DDF0384"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Ferestre eficiente din punct de vedere energetic</w:t>
            </w:r>
          </w:p>
        </w:tc>
        <w:tc>
          <w:tcPr>
            <w:tcW w:w="797" w:type="pct"/>
            <w:shd w:val="clear" w:color="auto" w:fill="auto"/>
            <w:tcMar>
              <w:top w:w="135" w:type="dxa"/>
              <w:left w:w="150" w:type="dxa"/>
              <w:bottom w:w="135" w:type="dxa"/>
              <w:right w:w="150" w:type="dxa"/>
            </w:tcMar>
            <w:vAlign w:val="bottom"/>
            <w:hideMark/>
          </w:tcPr>
          <w:p w14:paraId="7F96B591"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3 352 759</w:t>
            </w:r>
          </w:p>
        </w:tc>
        <w:tc>
          <w:tcPr>
            <w:tcW w:w="996" w:type="pct"/>
            <w:shd w:val="clear" w:color="auto" w:fill="auto"/>
            <w:tcMar>
              <w:top w:w="135" w:type="dxa"/>
              <w:left w:w="150" w:type="dxa"/>
              <w:bottom w:w="135" w:type="dxa"/>
              <w:right w:w="150" w:type="dxa"/>
            </w:tcMar>
            <w:vAlign w:val="bottom"/>
            <w:hideMark/>
          </w:tcPr>
          <w:p w14:paraId="53C07AFA"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944 018</w:t>
            </w:r>
          </w:p>
        </w:tc>
        <w:tc>
          <w:tcPr>
            <w:tcW w:w="797" w:type="pct"/>
            <w:shd w:val="clear" w:color="auto" w:fill="auto"/>
            <w:tcMar>
              <w:top w:w="135" w:type="dxa"/>
              <w:left w:w="150" w:type="dxa"/>
              <w:bottom w:w="135" w:type="dxa"/>
              <w:right w:w="150" w:type="dxa"/>
            </w:tcMar>
            <w:vAlign w:val="bottom"/>
            <w:hideMark/>
          </w:tcPr>
          <w:p w14:paraId="1A3ABA0A"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1229</w:t>
            </w:r>
          </w:p>
        </w:tc>
        <w:tc>
          <w:tcPr>
            <w:tcW w:w="896" w:type="pct"/>
            <w:shd w:val="clear" w:color="auto" w:fill="auto"/>
            <w:tcMar>
              <w:top w:w="135" w:type="dxa"/>
              <w:left w:w="150" w:type="dxa"/>
              <w:bottom w:w="135" w:type="dxa"/>
              <w:right w:w="150" w:type="dxa"/>
            </w:tcMar>
            <w:vAlign w:val="bottom"/>
            <w:hideMark/>
          </w:tcPr>
          <w:p w14:paraId="59FFD6B7"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53.2 %</w:t>
            </w:r>
          </w:p>
        </w:tc>
      </w:tr>
      <w:tr w:rsidR="00CD64BA" w:rsidRPr="009C5F11" w14:paraId="1B22B9A2" w14:textId="77777777" w:rsidTr="00936397">
        <w:trPr>
          <w:trHeight w:val="20"/>
        </w:trPr>
        <w:tc>
          <w:tcPr>
            <w:tcW w:w="1514" w:type="pct"/>
            <w:shd w:val="clear" w:color="auto" w:fill="auto"/>
            <w:tcMar>
              <w:top w:w="135" w:type="dxa"/>
              <w:left w:w="150" w:type="dxa"/>
              <w:bottom w:w="135" w:type="dxa"/>
              <w:right w:w="150" w:type="dxa"/>
            </w:tcMar>
            <w:hideMark/>
          </w:tcPr>
          <w:p w14:paraId="2AB3302A"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Izolarea pereţilor</w:t>
            </w:r>
          </w:p>
        </w:tc>
        <w:tc>
          <w:tcPr>
            <w:tcW w:w="797" w:type="pct"/>
            <w:shd w:val="clear" w:color="auto" w:fill="auto"/>
            <w:tcMar>
              <w:top w:w="135" w:type="dxa"/>
              <w:left w:w="150" w:type="dxa"/>
              <w:bottom w:w="135" w:type="dxa"/>
              <w:right w:w="150" w:type="dxa"/>
            </w:tcMar>
            <w:vAlign w:val="bottom"/>
            <w:hideMark/>
          </w:tcPr>
          <w:p w14:paraId="374B94CC"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872 081</w:t>
            </w:r>
          </w:p>
        </w:tc>
        <w:tc>
          <w:tcPr>
            <w:tcW w:w="996" w:type="pct"/>
            <w:shd w:val="clear" w:color="auto" w:fill="auto"/>
            <w:tcMar>
              <w:top w:w="135" w:type="dxa"/>
              <w:left w:w="150" w:type="dxa"/>
              <w:bottom w:w="135" w:type="dxa"/>
              <w:right w:w="150" w:type="dxa"/>
            </w:tcMar>
            <w:vAlign w:val="bottom"/>
            <w:hideMark/>
          </w:tcPr>
          <w:p w14:paraId="69983245"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245 547</w:t>
            </w:r>
          </w:p>
        </w:tc>
        <w:tc>
          <w:tcPr>
            <w:tcW w:w="797" w:type="pct"/>
            <w:shd w:val="clear" w:color="auto" w:fill="auto"/>
            <w:tcMar>
              <w:top w:w="135" w:type="dxa"/>
              <w:left w:w="150" w:type="dxa"/>
              <w:bottom w:w="135" w:type="dxa"/>
              <w:right w:w="150" w:type="dxa"/>
            </w:tcMar>
            <w:vAlign w:val="bottom"/>
            <w:hideMark/>
          </w:tcPr>
          <w:p w14:paraId="0ECD6AF2"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32</w:t>
            </w:r>
          </w:p>
        </w:tc>
        <w:tc>
          <w:tcPr>
            <w:tcW w:w="896" w:type="pct"/>
            <w:shd w:val="clear" w:color="auto" w:fill="auto"/>
            <w:tcMar>
              <w:top w:w="135" w:type="dxa"/>
              <w:left w:w="150" w:type="dxa"/>
              <w:bottom w:w="135" w:type="dxa"/>
              <w:right w:w="150" w:type="dxa"/>
            </w:tcMar>
            <w:vAlign w:val="bottom"/>
            <w:hideMark/>
          </w:tcPr>
          <w:p w14:paraId="798C6C46"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13.8 %</w:t>
            </w:r>
          </w:p>
        </w:tc>
      </w:tr>
      <w:tr w:rsidR="00CD64BA" w:rsidRPr="009C5F11" w14:paraId="48E175DD" w14:textId="77777777" w:rsidTr="00936397">
        <w:trPr>
          <w:trHeight w:val="20"/>
        </w:trPr>
        <w:tc>
          <w:tcPr>
            <w:tcW w:w="1514" w:type="pct"/>
            <w:shd w:val="clear" w:color="auto" w:fill="auto"/>
            <w:tcMar>
              <w:top w:w="135" w:type="dxa"/>
              <w:left w:w="150" w:type="dxa"/>
              <w:bottom w:w="135" w:type="dxa"/>
              <w:right w:w="150" w:type="dxa"/>
            </w:tcMar>
            <w:hideMark/>
          </w:tcPr>
          <w:p w14:paraId="1E384D9A"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Izolarea acoperişurilor</w:t>
            </w:r>
          </w:p>
        </w:tc>
        <w:tc>
          <w:tcPr>
            <w:tcW w:w="797" w:type="pct"/>
            <w:shd w:val="clear" w:color="auto" w:fill="auto"/>
            <w:tcMar>
              <w:top w:w="135" w:type="dxa"/>
              <w:left w:w="150" w:type="dxa"/>
              <w:bottom w:w="135" w:type="dxa"/>
              <w:right w:w="150" w:type="dxa"/>
            </w:tcMar>
            <w:vAlign w:val="bottom"/>
            <w:hideMark/>
          </w:tcPr>
          <w:p w14:paraId="7105C6F0"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63 230</w:t>
            </w:r>
          </w:p>
        </w:tc>
        <w:tc>
          <w:tcPr>
            <w:tcW w:w="996" w:type="pct"/>
            <w:shd w:val="clear" w:color="auto" w:fill="auto"/>
            <w:tcMar>
              <w:top w:w="135" w:type="dxa"/>
              <w:left w:w="150" w:type="dxa"/>
              <w:bottom w:w="135" w:type="dxa"/>
              <w:right w:w="150" w:type="dxa"/>
            </w:tcMar>
            <w:vAlign w:val="bottom"/>
            <w:hideMark/>
          </w:tcPr>
          <w:p w14:paraId="05ADD5A9"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17 803</w:t>
            </w:r>
          </w:p>
        </w:tc>
        <w:tc>
          <w:tcPr>
            <w:tcW w:w="797" w:type="pct"/>
            <w:shd w:val="clear" w:color="auto" w:fill="auto"/>
            <w:tcMar>
              <w:top w:w="135" w:type="dxa"/>
              <w:left w:w="150" w:type="dxa"/>
              <w:bottom w:w="135" w:type="dxa"/>
              <w:right w:w="150" w:type="dxa"/>
            </w:tcMar>
            <w:vAlign w:val="bottom"/>
            <w:hideMark/>
          </w:tcPr>
          <w:p w14:paraId="78EA5A3B"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12</w:t>
            </w:r>
          </w:p>
        </w:tc>
        <w:tc>
          <w:tcPr>
            <w:tcW w:w="896" w:type="pct"/>
            <w:shd w:val="clear" w:color="auto" w:fill="auto"/>
            <w:tcMar>
              <w:top w:w="135" w:type="dxa"/>
              <w:left w:w="150" w:type="dxa"/>
              <w:bottom w:w="135" w:type="dxa"/>
              <w:right w:w="150" w:type="dxa"/>
            </w:tcMar>
            <w:vAlign w:val="bottom"/>
            <w:hideMark/>
          </w:tcPr>
          <w:p w14:paraId="51947F38"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1.0 %</w:t>
            </w:r>
          </w:p>
        </w:tc>
      </w:tr>
      <w:tr w:rsidR="00CD64BA" w:rsidRPr="009C5F11" w14:paraId="0C95E078" w14:textId="77777777" w:rsidTr="00936397">
        <w:trPr>
          <w:trHeight w:val="20"/>
        </w:trPr>
        <w:tc>
          <w:tcPr>
            <w:tcW w:w="1514" w:type="pct"/>
            <w:shd w:val="clear" w:color="auto" w:fill="auto"/>
            <w:tcMar>
              <w:top w:w="135" w:type="dxa"/>
              <w:left w:w="150" w:type="dxa"/>
              <w:bottom w:w="135" w:type="dxa"/>
              <w:right w:w="150" w:type="dxa"/>
            </w:tcMar>
            <w:hideMark/>
          </w:tcPr>
          <w:p w14:paraId="0C73760E"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Izolarea planşeelor</w:t>
            </w:r>
          </w:p>
        </w:tc>
        <w:tc>
          <w:tcPr>
            <w:tcW w:w="797" w:type="pct"/>
            <w:shd w:val="clear" w:color="auto" w:fill="auto"/>
            <w:tcMar>
              <w:top w:w="135" w:type="dxa"/>
              <w:left w:w="150" w:type="dxa"/>
              <w:bottom w:w="135" w:type="dxa"/>
              <w:right w:w="150" w:type="dxa"/>
            </w:tcMar>
            <w:vAlign w:val="bottom"/>
            <w:hideMark/>
          </w:tcPr>
          <w:p w14:paraId="4484B799"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26 634</w:t>
            </w:r>
          </w:p>
        </w:tc>
        <w:tc>
          <w:tcPr>
            <w:tcW w:w="996" w:type="pct"/>
            <w:shd w:val="clear" w:color="auto" w:fill="auto"/>
            <w:tcMar>
              <w:top w:w="135" w:type="dxa"/>
              <w:left w:w="150" w:type="dxa"/>
              <w:bottom w:w="135" w:type="dxa"/>
              <w:right w:w="150" w:type="dxa"/>
            </w:tcMar>
            <w:vAlign w:val="bottom"/>
            <w:hideMark/>
          </w:tcPr>
          <w:p w14:paraId="3284517C"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7 499</w:t>
            </w:r>
          </w:p>
        </w:tc>
        <w:tc>
          <w:tcPr>
            <w:tcW w:w="797" w:type="pct"/>
            <w:shd w:val="clear" w:color="auto" w:fill="auto"/>
            <w:tcMar>
              <w:top w:w="135" w:type="dxa"/>
              <w:left w:w="150" w:type="dxa"/>
              <w:bottom w:w="135" w:type="dxa"/>
              <w:right w:w="150" w:type="dxa"/>
            </w:tcMar>
            <w:vAlign w:val="bottom"/>
            <w:hideMark/>
          </w:tcPr>
          <w:p w14:paraId="1936C0EA"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7</w:t>
            </w:r>
          </w:p>
        </w:tc>
        <w:tc>
          <w:tcPr>
            <w:tcW w:w="896" w:type="pct"/>
            <w:shd w:val="clear" w:color="auto" w:fill="auto"/>
            <w:tcMar>
              <w:top w:w="135" w:type="dxa"/>
              <w:left w:w="150" w:type="dxa"/>
              <w:bottom w:w="135" w:type="dxa"/>
              <w:right w:w="150" w:type="dxa"/>
            </w:tcMar>
            <w:vAlign w:val="bottom"/>
            <w:hideMark/>
          </w:tcPr>
          <w:p w14:paraId="649393B1"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0.4 %</w:t>
            </w:r>
          </w:p>
        </w:tc>
      </w:tr>
      <w:tr w:rsidR="00CD64BA" w:rsidRPr="009C5F11" w14:paraId="42A6BF2C" w14:textId="77777777" w:rsidTr="00936397">
        <w:trPr>
          <w:trHeight w:val="20"/>
        </w:trPr>
        <w:tc>
          <w:tcPr>
            <w:tcW w:w="1514" w:type="pct"/>
            <w:shd w:val="clear" w:color="auto" w:fill="auto"/>
            <w:tcMar>
              <w:top w:w="135" w:type="dxa"/>
              <w:left w:w="150" w:type="dxa"/>
              <w:bottom w:w="135" w:type="dxa"/>
              <w:right w:w="150" w:type="dxa"/>
            </w:tcMar>
            <w:hideMark/>
          </w:tcPr>
          <w:p w14:paraId="6CD11609"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 xml:space="preserve">Sisteme solare de încălzire a apei </w:t>
            </w:r>
          </w:p>
        </w:tc>
        <w:tc>
          <w:tcPr>
            <w:tcW w:w="797" w:type="pct"/>
            <w:shd w:val="clear" w:color="auto" w:fill="auto"/>
            <w:tcMar>
              <w:top w:w="135" w:type="dxa"/>
              <w:left w:w="150" w:type="dxa"/>
              <w:bottom w:w="135" w:type="dxa"/>
              <w:right w:w="150" w:type="dxa"/>
            </w:tcMar>
            <w:vAlign w:val="bottom"/>
            <w:hideMark/>
          </w:tcPr>
          <w:p w14:paraId="2C474B2F"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48 185</w:t>
            </w:r>
          </w:p>
        </w:tc>
        <w:tc>
          <w:tcPr>
            <w:tcW w:w="996" w:type="pct"/>
            <w:shd w:val="clear" w:color="auto" w:fill="auto"/>
            <w:tcMar>
              <w:top w:w="135" w:type="dxa"/>
              <w:left w:w="150" w:type="dxa"/>
              <w:bottom w:w="135" w:type="dxa"/>
              <w:right w:w="150" w:type="dxa"/>
            </w:tcMar>
            <w:vAlign w:val="bottom"/>
            <w:hideMark/>
          </w:tcPr>
          <w:p w14:paraId="461C23EA"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13 567</w:t>
            </w:r>
          </w:p>
        </w:tc>
        <w:tc>
          <w:tcPr>
            <w:tcW w:w="797" w:type="pct"/>
            <w:shd w:val="clear" w:color="auto" w:fill="auto"/>
            <w:tcMar>
              <w:top w:w="135" w:type="dxa"/>
              <w:left w:w="150" w:type="dxa"/>
              <w:bottom w:w="135" w:type="dxa"/>
              <w:right w:w="150" w:type="dxa"/>
            </w:tcMar>
            <w:vAlign w:val="bottom"/>
            <w:hideMark/>
          </w:tcPr>
          <w:p w14:paraId="409A99AE"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10</w:t>
            </w:r>
          </w:p>
        </w:tc>
        <w:tc>
          <w:tcPr>
            <w:tcW w:w="896" w:type="pct"/>
            <w:shd w:val="clear" w:color="auto" w:fill="auto"/>
            <w:tcMar>
              <w:top w:w="135" w:type="dxa"/>
              <w:left w:w="150" w:type="dxa"/>
              <w:bottom w:w="135" w:type="dxa"/>
              <w:right w:w="150" w:type="dxa"/>
            </w:tcMar>
            <w:vAlign w:val="bottom"/>
            <w:hideMark/>
          </w:tcPr>
          <w:p w14:paraId="0606819B"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0.8 %</w:t>
            </w:r>
          </w:p>
        </w:tc>
      </w:tr>
      <w:tr w:rsidR="00CD64BA" w:rsidRPr="009C5F11" w14:paraId="33BCE4F0" w14:textId="77777777" w:rsidTr="00936397">
        <w:trPr>
          <w:trHeight w:val="20"/>
        </w:trPr>
        <w:tc>
          <w:tcPr>
            <w:tcW w:w="1514" w:type="pct"/>
            <w:shd w:val="clear" w:color="auto" w:fill="auto"/>
            <w:tcMar>
              <w:top w:w="135" w:type="dxa"/>
              <w:left w:w="150" w:type="dxa"/>
              <w:bottom w:w="135" w:type="dxa"/>
              <w:right w:w="150" w:type="dxa"/>
            </w:tcMar>
            <w:hideMark/>
          </w:tcPr>
          <w:p w14:paraId="1200C6BD"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 xml:space="preserve">Sobe şi cazane operate cu biomasă </w:t>
            </w:r>
          </w:p>
        </w:tc>
        <w:tc>
          <w:tcPr>
            <w:tcW w:w="797" w:type="pct"/>
            <w:shd w:val="clear" w:color="auto" w:fill="auto"/>
            <w:tcMar>
              <w:top w:w="135" w:type="dxa"/>
              <w:left w:w="150" w:type="dxa"/>
              <w:bottom w:w="135" w:type="dxa"/>
              <w:right w:w="150" w:type="dxa"/>
            </w:tcMar>
            <w:vAlign w:val="bottom"/>
            <w:hideMark/>
          </w:tcPr>
          <w:p w14:paraId="42D50CA3"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592 658</w:t>
            </w:r>
          </w:p>
        </w:tc>
        <w:tc>
          <w:tcPr>
            <w:tcW w:w="996" w:type="pct"/>
            <w:shd w:val="clear" w:color="auto" w:fill="auto"/>
            <w:tcMar>
              <w:top w:w="135" w:type="dxa"/>
              <w:left w:w="150" w:type="dxa"/>
              <w:bottom w:w="135" w:type="dxa"/>
              <w:right w:w="150" w:type="dxa"/>
            </w:tcMar>
            <w:vAlign w:val="bottom"/>
            <w:hideMark/>
          </w:tcPr>
          <w:p w14:paraId="0252AA1A"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166 872</w:t>
            </w:r>
          </w:p>
        </w:tc>
        <w:tc>
          <w:tcPr>
            <w:tcW w:w="797" w:type="pct"/>
            <w:shd w:val="clear" w:color="auto" w:fill="auto"/>
            <w:tcMar>
              <w:top w:w="135" w:type="dxa"/>
              <w:left w:w="150" w:type="dxa"/>
              <w:bottom w:w="135" w:type="dxa"/>
              <w:right w:w="150" w:type="dxa"/>
            </w:tcMar>
            <w:vAlign w:val="bottom"/>
            <w:hideMark/>
          </w:tcPr>
          <w:p w14:paraId="3854559A"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270</w:t>
            </w:r>
          </w:p>
        </w:tc>
        <w:tc>
          <w:tcPr>
            <w:tcW w:w="896" w:type="pct"/>
            <w:shd w:val="clear" w:color="auto" w:fill="auto"/>
            <w:tcMar>
              <w:top w:w="135" w:type="dxa"/>
              <w:left w:w="150" w:type="dxa"/>
              <w:bottom w:w="135" w:type="dxa"/>
              <w:right w:w="150" w:type="dxa"/>
            </w:tcMar>
            <w:vAlign w:val="bottom"/>
            <w:hideMark/>
          </w:tcPr>
          <w:p w14:paraId="1664CA98"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9.4 %</w:t>
            </w:r>
          </w:p>
        </w:tc>
      </w:tr>
      <w:tr w:rsidR="00CD64BA" w:rsidRPr="009C5F11" w14:paraId="134616D3" w14:textId="77777777" w:rsidTr="00936397">
        <w:trPr>
          <w:trHeight w:val="20"/>
        </w:trPr>
        <w:tc>
          <w:tcPr>
            <w:tcW w:w="1514" w:type="pct"/>
            <w:shd w:val="clear" w:color="auto" w:fill="auto"/>
            <w:tcMar>
              <w:top w:w="135" w:type="dxa"/>
              <w:left w:w="150" w:type="dxa"/>
              <w:bottom w:w="135" w:type="dxa"/>
              <w:right w:w="150" w:type="dxa"/>
            </w:tcMar>
            <w:hideMark/>
          </w:tcPr>
          <w:p w14:paraId="70A79C1B"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Cazane operate cu gaze pentru încălzirea apei</w:t>
            </w:r>
          </w:p>
        </w:tc>
        <w:tc>
          <w:tcPr>
            <w:tcW w:w="797" w:type="pct"/>
            <w:shd w:val="clear" w:color="auto" w:fill="auto"/>
            <w:tcMar>
              <w:top w:w="135" w:type="dxa"/>
              <w:left w:w="150" w:type="dxa"/>
              <w:bottom w:w="135" w:type="dxa"/>
              <w:right w:w="150" w:type="dxa"/>
            </w:tcMar>
            <w:vAlign w:val="bottom"/>
            <w:hideMark/>
          </w:tcPr>
          <w:p w14:paraId="691CBE9A"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1 250 440</w:t>
            </w:r>
          </w:p>
        </w:tc>
        <w:tc>
          <w:tcPr>
            <w:tcW w:w="996" w:type="pct"/>
            <w:shd w:val="clear" w:color="auto" w:fill="auto"/>
            <w:tcMar>
              <w:top w:w="135" w:type="dxa"/>
              <w:left w:w="150" w:type="dxa"/>
              <w:bottom w:w="135" w:type="dxa"/>
              <w:right w:w="150" w:type="dxa"/>
            </w:tcMar>
            <w:vAlign w:val="bottom"/>
            <w:hideMark/>
          </w:tcPr>
          <w:p w14:paraId="0EC91176"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352 080</w:t>
            </w:r>
          </w:p>
        </w:tc>
        <w:tc>
          <w:tcPr>
            <w:tcW w:w="797" w:type="pct"/>
            <w:shd w:val="clear" w:color="auto" w:fill="auto"/>
            <w:tcMar>
              <w:top w:w="135" w:type="dxa"/>
              <w:left w:w="150" w:type="dxa"/>
              <w:bottom w:w="135" w:type="dxa"/>
              <w:right w:w="150" w:type="dxa"/>
            </w:tcMar>
            <w:vAlign w:val="bottom"/>
            <w:hideMark/>
          </w:tcPr>
          <w:p w14:paraId="52AF847A"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258</w:t>
            </w:r>
          </w:p>
        </w:tc>
        <w:tc>
          <w:tcPr>
            <w:tcW w:w="896" w:type="pct"/>
            <w:shd w:val="clear" w:color="auto" w:fill="auto"/>
            <w:tcMar>
              <w:top w:w="135" w:type="dxa"/>
              <w:left w:w="150" w:type="dxa"/>
              <w:bottom w:w="135" w:type="dxa"/>
              <w:right w:w="150" w:type="dxa"/>
            </w:tcMar>
            <w:vAlign w:val="bottom"/>
            <w:hideMark/>
          </w:tcPr>
          <w:p w14:paraId="327A2765"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19.8 %</w:t>
            </w:r>
          </w:p>
        </w:tc>
      </w:tr>
      <w:tr w:rsidR="00CD64BA" w:rsidRPr="009C5F11" w14:paraId="7ED0FE83" w14:textId="77777777" w:rsidTr="00936397">
        <w:trPr>
          <w:trHeight w:val="20"/>
        </w:trPr>
        <w:tc>
          <w:tcPr>
            <w:tcW w:w="1514" w:type="pct"/>
            <w:shd w:val="clear" w:color="auto" w:fill="auto"/>
            <w:tcMar>
              <w:top w:w="135" w:type="dxa"/>
              <w:left w:w="150" w:type="dxa"/>
              <w:bottom w:w="135" w:type="dxa"/>
              <w:right w:w="150" w:type="dxa"/>
            </w:tcMar>
            <w:hideMark/>
          </w:tcPr>
          <w:p w14:paraId="02E65AEC"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 xml:space="preserve">Sisteme de pompe de căldură </w:t>
            </w:r>
          </w:p>
        </w:tc>
        <w:tc>
          <w:tcPr>
            <w:tcW w:w="797" w:type="pct"/>
            <w:shd w:val="clear" w:color="auto" w:fill="auto"/>
            <w:tcMar>
              <w:top w:w="135" w:type="dxa"/>
              <w:left w:w="150" w:type="dxa"/>
              <w:bottom w:w="135" w:type="dxa"/>
              <w:right w:w="150" w:type="dxa"/>
            </w:tcMar>
            <w:vAlign w:val="bottom"/>
            <w:hideMark/>
          </w:tcPr>
          <w:p w14:paraId="5A3AC109"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68 174</w:t>
            </w:r>
          </w:p>
        </w:tc>
        <w:tc>
          <w:tcPr>
            <w:tcW w:w="996" w:type="pct"/>
            <w:shd w:val="clear" w:color="auto" w:fill="auto"/>
            <w:tcMar>
              <w:top w:w="135" w:type="dxa"/>
              <w:left w:w="150" w:type="dxa"/>
              <w:bottom w:w="135" w:type="dxa"/>
              <w:right w:w="150" w:type="dxa"/>
            </w:tcMar>
            <w:vAlign w:val="bottom"/>
            <w:hideMark/>
          </w:tcPr>
          <w:p w14:paraId="1B0C640B"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19 195</w:t>
            </w:r>
          </w:p>
        </w:tc>
        <w:tc>
          <w:tcPr>
            <w:tcW w:w="797" w:type="pct"/>
            <w:shd w:val="clear" w:color="auto" w:fill="auto"/>
            <w:tcMar>
              <w:top w:w="135" w:type="dxa"/>
              <w:left w:w="150" w:type="dxa"/>
              <w:bottom w:w="135" w:type="dxa"/>
              <w:right w:w="150" w:type="dxa"/>
            </w:tcMar>
            <w:vAlign w:val="bottom"/>
            <w:hideMark/>
          </w:tcPr>
          <w:p w14:paraId="4566C872"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19</w:t>
            </w:r>
          </w:p>
        </w:tc>
        <w:tc>
          <w:tcPr>
            <w:tcW w:w="896" w:type="pct"/>
            <w:shd w:val="clear" w:color="auto" w:fill="auto"/>
            <w:tcMar>
              <w:top w:w="135" w:type="dxa"/>
              <w:left w:w="150" w:type="dxa"/>
              <w:bottom w:w="135" w:type="dxa"/>
              <w:right w:w="150" w:type="dxa"/>
            </w:tcMar>
            <w:vAlign w:val="bottom"/>
            <w:hideMark/>
          </w:tcPr>
          <w:p w14:paraId="13249E13"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1.1 %</w:t>
            </w:r>
          </w:p>
        </w:tc>
      </w:tr>
      <w:tr w:rsidR="00CD64BA" w:rsidRPr="009C5F11" w14:paraId="6EB2FC9C" w14:textId="77777777" w:rsidTr="00936397">
        <w:trPr>
          <w:trHeight w:val="20"/>
        </w:trPr>
        <w:tc>
          <w:tcPr>
            <w:tcW w:w="1514" w:type="pct"/>
            <w:shd w:val="clear" w:color="auto" w:fill="auto"/>
            <w:tcMar>
              <w:top w:w="135" w:type="dxa"/>
              <w:left w:w="150" w:type="dxa"/>
              <w:bottom w:w="135" w:type="dxa"/>
              <w:right w:w="150" w:type="dxa"/>
            </w:tcMar>
            <w:hideMark/>
          </w:tcPr>
          <w:p w14:paraId="32C0EFF6"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PV integrate</w:t>
            </w:r>
          </w:p>
        </w:tc>
        <w:tc>
          <w:tcPr>
            <w:tcW w:w="797" w:type="pct"/>
            <w:shd w:val="clear" w:color="auto" w:fill="auto"/>
            <w:tcMar>
              <w:top w:w="135" w:type="dxa"/>
              <w:left w:w="150" w:type="dxa"/>
              <w:bottom w:w="135" w:type="dxa"/>
              <w:right w:w="150" w:type="dxa"/>
            </w:tcMar>
            <w:vAlign w:val="bottom"/>
            <w:hideMark/>
          </w:tcPr>
          <w:p w14:paraId="2EC27A53"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w:t>
            </w:r>
          </w:p>
        </w:tc>
        <w:tc>
          <w:tcPr>
            <w:tcW w:w="996" w:type="pct"/>
            <w:shd w:val="clear" w:color="auto" w:fill="auto"/>
            <w:tcMar>
              <w:top w:w="135" w:type="dxa"/>
              <w:left w:w="150" w:type="dxa"/>
              <w:bottom w:w="135" w:type="dxa"/>
              <w:right w:w="150" w:type="dxa"/>
            </w:tcMar>
            <w:vAlign w:val="bottom"/>
            <w:hideMark/>
          </w:tcPr>
          <w:p w14:paraId="75DB8057"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w:t>
            </w:r>
          </w:p>
        </w:tc>
        <w:tc>
          <w:tcPr>
            <w:tcW w:w="797" w:type="pct"/>
            <w:shd w:val="clear" w:color="auto" w:fill="auto"/>
            <w:tcMar>
              <w:top w:w="135" w:type="dxa"/>
              <w:left w:w="150" w:type="dxa"/>
              <w:bottom w:w="135" w:type="dxa"/>
              <w:right w:w="150" w:type="dxa"/>
            </w:tcMar>
            <w:vAlign w:val="bottom"/>
            <w:hideMark/>
          </w:tcPr>
          <w:p w14:paraId="00D780AC"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w:t>
            </w:r>
          </w:p>
        </w:tc>
        <w:tc>
          <w:tcPr>
            <w:tcW w:w="896" w:type="pct"/>
            <w:shd w:val="clear" w:color="auto" w:fill="auto"/>
            <w:tcMar>
              <w:top w:w="135" w:type="dxa"/>
              <w:left w:w="150" w:type="dxa"/>
              <w:bottom w:w="135" w:type="dxa"/>
              <w:right w:w="150" w:type="dxa"/>
            </w:tcMar>
            <w:vAlign w:val="bottom"/>
            <w:hideMark/>
          </w:tcPr>
          <w:p w14:paraId="666FEBB9"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0.0 %</w:t>
            </w:r>
          </w:p>
        </w:tc>
      </w:tr>
      <w:tr w:rsidR="00CD64BA" w:rsidRPr="009C5F11" w14:paraId="1C4B11AA" w14:textId="77777777" w:rsidTr="00936397">
        <w:trPr>
          <w:trHeight w:val="20"/>
        </w:trPr>
        <w:tc>
          <w:tcPr>
            <w:tcW w:w="1514" w:type="pct"/>
            <w:shd w:val="clear" w:color="auto" w:fill="auto"/>
            <w:tcMar>
              <w:top w:w="135" w:type="dxa"/>
              <w:left w:w="150" w:type="dxa"/>
              <w:bottom w:w="135" w:type="dxa"/>
              <w:right w:w="150" w:type="dxa"/>
            </w:tcMar>
            <w:hideMark/>
          </w:tcPr>
          <w:p w14:paraId="6391E142"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Încălzire centralizată</w:t>
            </w:r>
          </w:p>
        </w:tc>
        <w:tc>
          <w:tcPr>
            <w:tcW w:w="797" w:type="pct"/>
            <w:shd w:val="clear" w:color="auto" w:fill="auto"/>
            <w:tcMar>
              <w:top w:w="135" w:type="dxa"/>
              <w:left w:w="150" w:type="dxa"/>
              <w:bottom w:w="135" w:type="dxa"/>
              <w:right w:w="150" w:type="dxa"/>
            </w:tcMar>
            <w:vAlign w:val="bottom"/>
            <w:hideMark/>
          </w:tcPr>
          <w:p w14:paraId="6E7B9317"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30 725</w:t>
            </w:r>
          </w:p>
        </w:tc>
        <w:tc>
          <w:tcPr>
            <w:tcW w:w="996" w:type="pct"/>
            <w:shd w:val="clear" w:color="auto" w:fill="auto"/>
            <w:tcMar>
              <w:top w:w="135" w:type="dxa"/>
              <w:left w:w="150" w:type="dxa"/>
              <w:bottom w:w="135" w:type="dxa"/>
              <w:right w:w="150" w:type="dxa"/>
            </w:tcMar>
            <w:vAlign w:val="bottom"/>
            <w:hideMark/>
          </w:tcPr>
          <w:p w14:paraId="15C6CBB3"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8 651</w:t>
            </w:r>
          </w:p>
        </w:tc>
        <w:tc>
          <w:tcPr>
            <w:tcW w:w="797" w:type="pct"/>
            <w:shd w:val="clear" w:color="auto" w:fill="auto"/>
            <w:tcMar>
              <w:top w:w="135" w:type="dxa"/>
              <w:left w:w="150" w:type="dxa"/>
              <w:bottom w:w="135" w:type="dxa"/>
              <w:right w:w="150" w:type="dxa"/>
            </w:tcMar>
            <w:vAlign w:val="bottom"/>
            <w:hideMark/>
          </w:tcPr>
          <w:p w14:paraId="06814CB3"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w:t>
            </w:r>
          </w:p>
        </w:tc>
        <w:tc>
          <w:tcPr>
            <w:tcW w:w="896" w:type="pct"/>
            <w:shd w:val="clear" w:color="auto" w:fill="auto"/>
            <w:tcMar>
              <w:top w:w="135" w:type="dxa"/>
              <w:left w:w="150" w:type="dxa"/>
              <w:bottom w:w="135" w:type="dxa"/>
              <w:right w:w="150" w:type="dxa"/>
            </w:tcMar>
            <w:vAlign w:val="bottom"/>
            <w:hideMark/>
          </w:tcPr>
          <w:p w14:paraId="29682B1F"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0.0 %</w:t>
            </w:r>
          </w:p>
        </w:tc>
      </w:tr>
    </w:tbl>
    <w:p w14:paraId="06F17297" w14:textId="77777777" w:rsidR="00BC2ED4" w:rsidRPr="009C5F11" w:rsidRDefault="00BC2ED4" w:rsidP="00BC2ED4">
      <w:pPr>
        <w:spacing w:after="0" w:line="240" w:lineRule="auto"/>
        <w:textAlignment w:val="baseline"/>
        <w:rPr>
          <w:rFonts w:ascii="Times New Roman" w:hAnsi="Times New Roman" w:cs="Times New Roman"/>
          <w:color w:val="000000"/>
          <w:szCs w:val="18"/>
          <w:lang w:val="ro-RO"/>
        </w:rPr>
      </w:pPr>
    </w:p>
    <w:p w14:paraId="77C5B76F" w14:textId="77777777" w:rsidR="00B60AA6" w:rsidRPr="009C5F11" w:rsidRDefault="00321CD5" w:rsidP="00B60AA6">
      <w:pPr>
        <w:pStyle w:val="Legend"/>
        <w:keepNext/>
        <w:jc w:val="center"/>
        <w:rPr>
          <w:rFonts w:ascii="Times New Roman" w:hAnsi="Times New Roman" w:cs="Times New Roman"/>
          <w:sz w:val="22"/>
          <w:lang w:val="ro-RO"/>
        </w:rPr>
      </w:pPr>
      <w:bookmarkStart w:id="420" w:name="_Ref319689498"/>
      <w:bookmarkStart w:id="421" w:name="_Toc322013272"/>
      <w:r w:rsidRPr="009C5F11">
        <w:rPr>
          <w:rFonts w:ascii="Times New Roman" w:hAnsi="Times New Roman" w:cs="Times New Roman"/>
          <w:sz w:val="22"/>
          <w:lang w:val="ro-RO"/>
        </w:rPr>
        <w:t>Tabelul</w:t>
      </w:r>
      <w:r w:rsidR="00B60AA6"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B60AA6"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49</w:t>
      </w:r>
      <w:r w:rsidR="003A6ADB" w:rsidRPr="009C5F11">
        <w:rPr>
          <w:rFonts w:ascii="Times New Roman" w:hAnsi="Times New Roman" w:cs="Times New Roman"/>
          <w:sz w:val="22"/>
          <w:lang w:val="ro-RO"/>
        </w:rPr>
        <w:fldChar w:fldCharType="end"/>
      </w:r>
      <w:bookmarkEnd w:id="420"/>
      <w:r w:rsidR="00B60AA6" w:rsidRPr="009C5F11">
        <w:rPr>
          <w:rFonts w:ascii="Times New Roman" w:hAnsi="Times New Roman" w:cs="Times New Roman"/>
          <w:sz w:val="22"/>
          <w:lang w:val="ro-RO"/>
        </w:rPr>
        <w:t xml:space="preserve"> - </w:t>
      </w:r>
      <w:r w:rsidR="001A3D16" w:rsidRPr="009C5F11">
        <w:rPr>
          <w:rFonts w:ascii="Times New Roman" w:hAnsi="Times New Roman" w:cs="Times New Roman"/>
          <w:sz w:val="22"/>
          <w:lang w:val="ro-RO"/>
        </w:rPr>
        <w:t>Economii</w:t>
      </w:r>
      <w:r w:rsidR="00B60AA6" w:rsidRPr="009C5F11">
        <w:rPr>
          <w:rFonts w:ascii="Times New Roman" w:hAnsi="Times New Roman" w:cs="Times New Roman"/>
          <w:sz w:val="22"/>
          <w:lang w:val="ro-RO"/>
        </w:rPr>
        <w:t xml:space="preserve"> </w:t>
      </w:r>
      <w:r w:rsidR="00B7502D" w:rsidRPr="009C5F11">
        <w:rPr>
          <w:rFonts w:ascii="Times New Roman" w:hAnsi="Times New Roman" w:cs="Times New Roman"/>
          <w:sz w:val="22"/>
          <w:lang w:val="ro-RO"/>
        </w:rPr>
        <w:t>raportat</w:t>
      </w:r>
      <w:r w:rsidR="00CD64BA" w:rsidRPr="009C5F11">
        <w:rPr>
          <w:rFonts w:ascii="Times New Roman" w:hAnsi="Times New Roman" w:cs="Times New Roman"/>
          <w:sz w:val="22"/>
          <w:lang w:val="ro-RO"/>
        </w:rPr>
        <w:t>e</w:t>
      </w:r>
      <w:r w:rsidR="00B60AA6" w:rsidRPr="009C5F11">
        <w:rPr>
          <w:rFonts w:ascii="Times New Roman" w:hAnsi="Times New Roman" w:cs="Times New Roman"/>
          <w:sz w:val="22"/>
          <w:lang w:val="ro-RO"/>
        </w:rPr>
        <w:t xml:space="preserve"> </w:t>
      </w:r>
      <w:r w:rsidR="00CD64BA" w:rsidRPr="009C5F11">
        <w:rPr>
          <w:rFonts w:ascii="Times New Roman" w:hAnsi="Times New Roman" w:cs="Times New Roman"/>
          <w:sz w:val="22"/>
          <w:lang w:val="ro-RO"/>
        </w:rPr>
        <w:t>de</w:t>
      </w:r>
      <w:r w:rsidR="00B60AA6" w:rsidRPr="009C5F11">
        <w:rPr>
          <w:rFonts w:ascii="Times New Roman" w:hAnsi="Times New Roman" w:cs="Times New Roman"/>
          <w:sz w:val="22"/>
          <w:lang w:val="ro-RO"/>
        </w:rPr>
        <w:t xml:space="preserve"> </w:t>
      </w:r>
      <w:r w:rsidR="006A6D2F" w:rsidRPr="009C5F11">
        <w:rPr>
          <w:rFonts w:ascii="Times New Roman" w:hAnsi="Times New Roman" w:cs="Times New Roman"/>
          <w:sz w:val="22"/>
          <w:lang w:val="ro-RO"/>
        </w:rPr>
        <w:t>MoREEFF</w:t>
      </w:r>
      <w:r w:rsidR="00B60AA6" w:rsidRPr="009C5F11">
        <w:rPr>
          <w:rFonts w:ascii="Times New Roman" w:hAnsi="Times New Roman" w:cs="Times New Roman"/>
          <w:sz w:val="22"/>
          <w:lang w:val="ro-RO"/>
        </w:rPr>
        <w:t xml:space="preserve"> </w:t>
      </w:r>
      <w:r w:rsidR="00CD64BA" w:rsidRPr="009C5F11">
        <w:rPr>
          <w:rFonts w:ascii="Times New Roman" w:hAnsi="Times New Roman" w:cs="Times New Roman"/>
          <w:sz w:val="22"/>
          <w:lang w:val="ro-RO"/>
        </w:rPr>
        <w:t>la situaţia din</w:t>
      </w:r>
      <w:r w:rsidR="00B60AA6" w:rsidRPr="009C5F11">
        <w:rPr>
          <w:rFonts w:ascii="Times New Roman" w:hAnsi="Times New Roman" w:cs="Times New Roman"/>
          <w:sz w:val="22"/>
          <w:lang w:val="ro-RO"/>
        </w:rPr>
        <w:t xml:space="preserve"> </w:t>
      </w:r>
      <w:r w:rsidR="000A4CC7" w:rsidRPr="009C5F11">
        <w:rPr>
          <w:rFonts w:ascii="Times New Roman" w:hAnsi="Times New Roman" w:cs="Times New Roman"/>
          <w:sz w:val="22"/>
          <w:lang w:val="ro-RO"/>
        </w:rPr>
        <w:t>martie</w:t>
      </w:r>
      <w:r w:rsidR="00B60AA6" w:rsidRPr="009C5F11">
        <w:rPr>
          <w:rFonts w:ascii="Times New Roman" w:hAnsi="Times New Roman" w:cs="Times New Roman"/>
          <w:sz w:val="22"/>
          <w:lang w:val="ro-RO"/>
        </w:rPr>
        <w:t xml:space="preserve"> 2016</w:t>
      </w:r>
      <w:r w:rsidR="00CD64BA" w:rsidRPr="009C5F11">
        <w:rPr>
          <w:rFonts w:ascii="Times New Roman" w:hAnsi="Times New Roman" w:cs="Times New Roman"/>
          <w:sz w:val="22"/>
          <w:lang w:val="ro-RO"/>
        </w:rPr>
        <w:t>.</w:t>
      </w:r>
      <w:bookmarkEnd w:id="421"/>
    </w:p>
    <w:tbl>
      <w:tblPr>
        <w:tblW w:w="5000" w:type="pct"/>
        <w:tblBorders>
          <w:top w:val="single" w:sz="8" w:space="0" w:color="001C53" w:themeColor="accent2" w:themeShade="80"/>
          <w:left w:val="single" w:sz="8" w:space="0" w:color="001C53" w:themeColor="accent2" w:themeShade="80"/>
          <w:bottom w:val="single" w:sz="8" w:space="0" w:color="001C53" w:themeColor="accent2" w:themeShade="80"/>
          <w:right w:val="single" w:sz="8" w:space="0" w:color="001C53" w:themeColor="accent2" w:themeShade="80"/>
          <w:insideH w:val="single" w:sz="8" w:space="0" w:color="001C53" w:themeColor="accent2" w:themeShade="80"/>
        </w:tblBorders>
        <w:tblCellMar>
          <w:left w:w="0" w:type="dxa"/>
          <w:right w:w="0" w:type="dxa"/>
        </w:tblCellMar>
        <w:tblLook w:val="04A0" w:firstRow="1" w:lastRow="0" w:firstColumn="1" w:lastColumn="0" w:noHBand="0" w:noVBand="1"/>
      </w:tblPr>
      <w:tblGrid>
        <w:gridCol w:w="2611"/>
        <w:gridCol w:w="1709"/>
        <w:gridCol w:w="1931"/>
        <w:gridCol w:w="1619"/>
        <w:gridCol w:w="1457"/>
      </w:tblGrid>
      <w:tr w:rsidR="00CD64BA" w:rsidRPr="009C5F11" w14:paraId="7C099F46" w14:textId="77777777" w:rsidTr="00936397">
        <w:trPr>
          <w:trHeight w:val="450"/>
        </w:trPr>
        <w:tc>
          <w:tcPr>
            <w:tcW w:w="1400" w:type="pct"/>
            <w:shd w:val="clear" w:color="auto" w:fill="000080"/>
            <w:tcMar>
              <w:top w:w="75" w:type="dxa"/>
              <w:left w:w="150" w:type="dxa"/>
              <w:bottom w:w="75" w:type="dxa"/>
              <w:right w:w="150" w:type="dxa"/>
            </w:tcMar>
            <w:vAlign w:val="bottom"/>
            <w:hideMark/>
          </w:tcPr>
          <w:p w14:paraId="771B2072" w14:textId="77777777" w:rsidR="00CD64BA" w:rsidRPr="009C5F11" w:rsidRDefault="00CD64BA" w:rsidP="00430626">
            <w:pPr>
              <w:spacing w:after="0" w:line="240" w:lineRule="auto"/>
              <w:rPr>
                <w:rFonts w:ascii="Times New Roman" w:hAnsi="Times New Roman" w:cs="Times New Roman"/>
                <w:b/>
                <w:bCs/>
                <w:color w:val="FFFFFF"/>
                <w:sz w:val="20"/>
                <w:szCs w:val="16"/>
                <w:lang w:val="ro-RO"/>
              </w:rPr>
            </w:pPr>
            <w:r w:rsidRPr="009C5F11">
              <w:rPr>
                <w:rFonts w:ascii="Times New Roman" w:hAnsi="Times New Roman" w:cs="Times New Roman"/>
                <w:b/>
                <w:bCs/>
                <w:iCs/>
                <w:color w:val="FFFFFF" w:themeColor="background1"/>
                <w:sz w:val="20"/>
                <w:szCs w:val="16"/>
                <w:lang w:val="ro-RO"/>
              </w:rPr>
              <w:t>Măsuri de îmbunătăţire a eficienţei energetice a locuinţelor</w:t>
            </w:r>
          </w:p>
        </w:tc>
        <w:tc>
          <w:tcPr>
            <w:tcW w:w="916" w:type="pct"/>
            <w:shd w:val="clear" w:color="auto" w:fill="000080"/>
            <w:tcMar>
              <w:top w:w="75" w:type="dxa"/>
              <w:left w:w="150" w:type="dxa"/>
              <w:bottom w:w="75" w:type="dxa"/>
              <w:right w:w="150" w:type="dxa"/>
            </w:tcMar>
            <w:vAlign w:val="center"/>
            <w:hideMark/>
          </w:tcPr>
          <w:p w14:paraId="66B8B0D2"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
                <w:bCs/>
                <w:iCs/>
                <w:color w:val="FFFFFF" w:themeColor="background1"/>
                <w:sz w:val="20"/>
                <w:szCs w:val="16"/>
                <w:lang w:val="ro-RO"/>
              </w:rPr>
            </w:pPr>
            <w:r w:rsidRPr="009C5F11">
              <w:rPr>
                <w:rFonts w:ascii="Times New Roman" w:hAnsi="Times New Roman" w:cs="Times New Roman"/>
                <w:b/>
                <w:bCs/>
                <w:iCs/>
                <w:color w:val="FFFFFF" w:themeColor="background1"/>
                <w:sz w:val="20"/>
                <w:szCs w:val="16"/>
                <w:lang w:val="ro-RO"/>
              </w:rPr>
              <w:t>Economii de energie (MWh/An)</w:t>
            </w:r>
          </w:p>
        </w:tc>
        <w:tc>
          <w:tcPr>
            <w:tcW w:w="1035" w:type="pct"/>
            <w:shd w:val="clear" w:color="auto" w:fill="000080"/>
            <w:tcMar>
              <w:top w:w="75" w:type="dxa"/>
              <w:left w:w="150" w:type="dxa"/>
              <w:bottom w:w="75" w:type="dxa"/>
              <w:right w:w="150" w:type="dxa"/>
            </w:tcMar>
            <w:vAlign w:val="center"/>
            <w:hideMark/>
          </w:tcPr>
          <w:p w14:paraId="5664486C"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
                <w:bCs/>
                <w:iCs/>
                <w:color w:val="FFFFFF" w:themeColor="background1"/>
                <w:sz w:val="20"/>
                <w:szCs w:val="16"/>
                <w:lang w:val="ro-RO"/>
              </w:rPr>
            </w:pPr>
            <w:r w:rsidRPr="009C5F11">
              <w:rPr>
                <w:rFonts w:ascii="Times New Roman" w:hAnsi="Times New Roman" w:cs="Times New Roman"/>
                <w:b/>
                <w:bCs/>
                <w:iCs/>
                <w:color w:val="FFFFFF" w:themeColor="background1"/>
                <w:sz w:val="20"/>
                <w:szCs w:val="16"/>
                <w:lang w:val="ro-RO"/>
              </w:rPr>
              <w:t>Reducerea CO2 (Tone/An)1</w:t>
            </w:r>
          </w:p>
        </w:tc>
        <w:tc>
          <w:tcPr>
            <w:tcW w:w="868" w:type="pct"/>
            <w:shd w:val="clear" w:color="auto" w:fill="000080"/>
            <w:tcMar>
              <w:top w:w="75" w:type="dxa"/>
              <w:left w:w="150" w:type="dxa"/>
              <w:bottom w:w="75" w:type="dxa"/>
              <w:right w:w="150" w:type="dxa"/>
            </w:tcMar>
            <w:vAlign w:val="center"/>
            <w:hideMark/>
          </w:tcPr>
          <w:p w14:paraId="603B32CC"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
                <w:bCs/>
                <w:iCs/>
                <w:color w:val="FFFFFF" w:themeColor="background1"/>
                <w:sz w:val="20"/>
                <w:szCs w:val="16"/>
                <w:lang w:val="ro-RO"/>
              </w:rPr>
            </w:pPr>
            <w:r w:rsidRPr="009C5F11">
              <w:rPr>
                <w:rFonts w:ascii="Times New Roman" w:hAnsi="Times New Roman" w:cs="Times New Roman"/>
                <w:b/>
                <w:bCs/>
                <w:iCs/>
                <w:color w:val="FFFFFF" w:themeColor="background1"/>
                <w:sz w:val="20"/>
                <w:szCs w:val="16"/>
                <w:lang w:val="ro-RO"/>
              </w:rPr>
              <w:t>Capacitate de generare a căldurii substituite (MW)2</w:t>
            </w:r>
          </w:p>
        </w:tc>
        <w:tc>
          <w:tcPr>
            <w:tcW w:w="781" w:type="pct"/>
            <w:shd w:val="clear" w:color="auto" w:fill="000080"/>
            <w:tcMar>
              <w:top w:w="75" w:type="dxa"/>
              <w:left w:w="150" w:type="dxa"/>
              <w:bottom w:w="75" w:type="dxa"/>
              <w:right w:w="150" w:type="dxa"/>
            </w:tcMar>
            <w:vAlign w:val="bottom"/>
            <w:hideMark/>
          </w:tcPr>
          <w:p w14:paraId="5A189499" w14:textId="77777777" w:rsidR="00CD64BA" w:rsidRPr="009C5F11" w:rsidRDefault="00CD64BA" w:rsidP="00430626">
            <w:pPr>
              <w:spacing w:after="0" w:line="240" w:lineRule="auto"/>
              <w:jc w:val="center"/>
              <w:rPr>
                <w:rFonts w:ascii="Times New Roman" w:hAnsi="Times New Roman" w:cs="Times New Roman"/>
                <w:b/>
                <w:bCs/>
                <w:color w:val="FFFFFF"/>
                <w:sz w:val="20"/>
                <w:szCs w:val="16"/>
                <w:lang w:val="ro-RO"/>
              </w:rPr>
            </w:pPr>
            <w:r w:rsidRPr="009C5F11">
              <w:rPr>
                <w:rFonts w:ascii="Times New Roman" w:hAnsi="Times New Roman" w:cs="Times New Roman"/>
                <w:b/>
                <w:bCs/>
                <w:iCs/>
                <w:color w:val="FFFFFF" w:themeColor="background1"/>
                <w:sz w:val="20"/>
                <w:szCs w:val="16"/>
                <w:lang w:val="ro-RO"/>
              </w:rPr>
              <w:t>Energie economisită în raport cu consumul anual de căldură</w:t>
            </w:r>
            <w:r w:rsidRPr="009C5F11">
              <w:rPr>
                <w:rFonts w:ascii="Times New Roman" w:hAnsi="Times New Roman" w:cs="Times New Roman"/>
                <w:b/>
                <w:bCs/>
                <w:color w:val="FFFFFF"/>
                <w:sz w:val="20"/>
                <w:szCs w:val="16"/>
                <w:bdr w:val="none" w:sz="0" w:space="0" w:color="auto" w:frame="1"/>
                <w:vertAlign w:val="superscript"/>
                <w:lang w:val="ro-RO"/>
              </w:rPr>
              <w:t>3</w:t>
            </w:r>
          </w:p>
        </w:tc>
      </w:tr>
      <w:tr w:rsidR="00CD64BA" w:rsidRPr="009C5F11" w14:paraId="78412617" w14:textId="77777777" w:rsidTr="00CD64BA">
        <w:trPr>
          <w:trHeight w:val="20"/>
        </w:trPr>
        <w:tc>
          <w:tcPr>
            <w:tcW w:w="1400" w:type="pct"/>
            <w:shd w:val="clear" w:color="auto" w:fill="auto"/>
            <w:tcMar>
              <w:top w:w="135" w:type="dxa"/>
              <w:left w:w="150" w:type="dxa"/>
              <w:bottom w:w="135" w:type="dxa"/>
              <w:right w:w="150" w:type="dxa"/>
            </w:tcMar>
            <w:hideMark/>
          </w:tcPr>
          <w:p w14:paraId="18303DA3"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Ferestre eficiente din punct de vedere energetic</w:t>
            </w:r>
          </w:p>
        </w:tc>
        <w:tc>
          <w:tcPr>
            <w:tcW w:w="916" w:type="pct"/>
            <w:shd w:val="clear" w:color="auto" w:fill="auto"/>
            <w:tcMar>
              <w:top w:w="135" w:type="dxa"/>
              <w:left w:w="150" w:type="dxa"/>
              <w:bottom w:w="135" w:type="dxa"/>
              <w:right w:w="150" w:type="dxa"/>
            </w:tcMar>
            <w:vAlign w:val="bottom"/>
            <w:hideMark/>
          </w:tcPr>
          <w:p w14:paraId="0DB95DC6"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3 685</w:t>
            </w:r>
          </w:p>
        </w:tc>
        <w:tc>
          <w:tcPr>
            <w:tcW w:w="1035" w:type="pct"/>
            <w:shd w:val="clear" w:color="auto" w:fill="auto"/>
            <w:tcMar>
              <w:top w:w="135" w:type="dxa"/>
              <w:left w:w="150" w:type="dxa"/>
              <w:bottom w:w="135" w:type="dxa"/>
              <w:right w:w="150" w:type="dxa"/>
            </w:tcMar>
            <w:vAlign w:val="bottom"/>
            <w:hideMark/>
          </w:tcPr>
          <w:p w14:paraId="1B4F3A51"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836</w:t>
            </w:r>
          </w:p>
        </w:tc>
        <w:tc>
          <w:tcPr>
            <w:tcW w:w="868" w:type="pct"/>
            <w:shd w:val="clear" w:color="auto" w:fill="auto"/>
            <w:tcMar>
              <w:top w:w="135" w:type="dxa"/>
              <w:left w:w="150" w:type="dxa"/>
              <w:bottom w:w="135" w:type="dxa"/>
              <w:right w:w="150" w:type="dxa"/>
            </w:tcMar>
            <w:vAlign w:val="bottom"/>
            <w:hideMark/>
          </w:tcPr>
          <w:p w14:paraId="497CF08B"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1.15</w:t>
            </w:r>
          </w:p>
        </w:tc>
        <w:tc>
          <w:tcPr>
            <w:tcW w:w="781" w:type="pct"/>
            <w:shd w:val="clear" w:color="auto" w:fill="auto"/>
            <w:tcMar>
              <w:top w:w="135" w:type="dxa"/>
              <w:left w:w="150" w:type="dxa"/>
              <w:bottom w:w="135" w:type="dxa"/>
              <w:right w:w="150" w:type="dxa"/>
            </w:tcMar>
            <w:vAlign w:val="bottom"/>
            <w:hideMark/>
          </w:tcPr>
          <w:p w14:paraId="5924EA66"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0.25 %</w:t>
            </w:r>
          </w:p>
        </w:tc>
      </w:tr>
      <w:tr w:rsidR="00CD64BA" w:rsidRPr="009C5F11" w14:paraId="410273C3" w14:textId="77777777" w:rsidTr="00CD64BA">
        <w:trPr>
          <w:trHeight w:val="20"/>
        </w:trPr>
        <w:tc>
          <w:tcPr>
            <w:tcW w:w="1400" w:type="pct"/>
            <w:shd w:val="clear" w:color="auto" w:fill="auto"/>
            <w:tcMar>
              <w:top w:w="135" w:type="dxa"/>
              <w:left w:w="150" w:type="dxa"/>
              <w:bottom w:w="135" w:type="dxa"/>
              <w:right w:w="150" w:type="dxa"/>
            </w:tcMar>
            <w:hideMark/>
          </w:tcPr>
          <w:p w14:paraId="765F34CB"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Izolarea pereţilor</w:t>
            </w:r>
          </w:p>
        </w:tc>
        <w:tc>
          <w:tcPr>
            <w:tcW w:w="916" w:type="pct"/>
            <w:shd w:val="clear" w:color="auto" w:fill="auto"/>
            <w:tcMar>
              <w:top w:w="135" w:type="dxa"/>
              <w:left w:w="150" w:type="dxa"/>
              <w:bottom w:w="135" w:type="dxa"/>
              <w:right w:w="150" w:type="dxa"/>
            </w:tcMar>
            <w:vAlign w:val="bottom"/>
            <w:hideMark/>
          </w:tcPr>
          <w:p w14:paraId="3D793413"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2 054</w:t>
            </w:r>
          </w:p>
        </w:tc>
        <w:tc>
          <w:tcPr>
            <w:tcW w:w="1035" w:type="pct"/>
            <w:shd w:val="clear" w:color="auto" w:fill="auto"/>
            <w:tcMar>
              <w:top w:w="135" w:type="dxa"/>
              <w:left w:w="150" w:type="dxa"/>
              <w:bottom w:w="135" w:type="dxa"/>
              <w:right w:w="150" w:type="dxa"/>
            </w:tcMar>
            <w:vAlign w:val="bottom"/>
            <w:hideMark/>
          </w:tcPr>
          <w:p w14:paraId="6DCF9F22"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466</w:t>
            </w:r>
          </w:p>
        </w:tc>
        <w:tc>
          <w:tcPr>
            <w:tcW w:w="868" w:type="pct"/>
            <w:shd w:val="clear" w:color="auto" w:fill="auto"/>
            <w:tcMar>
              <w:top w:w="135" w:type="dxa"/>
              <w:left w:w="150" w:type="dxa"/>
              <w:bottom w:w="135" w:type="dxa"/>
              <w:right w:w="150" w:type="dxa"/>
            </w:tcMar>
            <w:vAlign w:val="bottom"/>
            <w:hideMark/>
          </w:tcPr>
          <w:p w14:paraId="5118BA36"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0.64</w:t>
            </w:r>
          </w:p>
        </w:tc>
        <w:tc>
          <w:tcPr>
            <w:tcW w:w="781" w:type="pct"/>
            <w:shd w:val="clear" w:color="auto" w:fill="auto"/>
            <w:tcMar>
              <w:top w:w="135" w:type="dxa"/>
              <w:left w:w="150" w:type="dxa"/>
              <w:bottom w:w="135" w:type="dxa"/>
              <w:right w:w="150" w:type="dxa"/>
            </w:tcMar>
            <w:vAlign w:val="bottom"/>
            <w:hideMark/>
          </w:tcPr>
          <w:p w14:paraId="3CAC81F5"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0.14 %</w:t>
            </w:r>
          </w:p>
        </w:tc>
      </w:tr>
      <w:tr w:rsidR="00CD64BA" w:rsidRPr="009C5F11" w14:paraId="2AEE8E8B" w14:textId="77777777" w:rsidTr="00CD64BA">
        <w:trPr>
          <w:trHeight w:val="20"/>
        </w:trPr>
        <w:tc>
          <w:tcPr>
            <w:tcW w:w="1400" w:type="pct"/>
            <w:shd w:val="clear" w:color="auto" w:fill="auto"/>
            <w:tcMar>
              <w:top w:w="135" w:type="dxa"/>
              <w:left w:w="150" w:type="dxa"/>
              <w:bottom w:w="135" w:type="dxa"/>
              <w:right w:w="150" w:type="dxa"/>
            </w:tcMar>
            <w:hideMark/>
          </w:tcPr>
          <w:p w14:paraId="161FDEED"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lastRenderedPageBreak/>
              <w:t>Izolarea acoperişurilor</w:t>
            </w:r>
          </w:p>
        </w:tc>
        <w:tc>
          <w:tcPr>
            <w:tcW w:w="916" w:type="pct"/>
            <w:shd w:val="clear" w:color="auto" w:fill="auto"/>
            <w:tcMar>
              <w:top w:w="135" w:type="dxa"/>
              <w:left w:w="150" w:type="dxa"/>
              <w:bottom w:w="135" w:type="dxa"/>
              <w:right w:w="150" w:type="dxa"/>
            </w:tcMar>
            <w:vAlign w:val="bottom"/>
            <w:hideMark/>
          </w:tcPr>
          <w:p w14:paraId="5FB7F0D4"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149</w:t>
            </w:r>
          </w:p>
        </w:tc>
        <w:tc>
          <w:tcPr>
            <w:tcW w:w="1035" w:type="pct"/>
            <w:shd w:val="clear" w:color="auto" w:fill="auto"/>
            <w:tcMar>
              <w:top w:w="135" w:type="dxa"/>
              <w:left w:w="150" w:type="dxa"/>
              <w:bottom w:w="135" w:type="dxa"/>
              <w:right w:w="150" w:type="dxa"/>
            </w:tcMar>
            <w:vAlign w:val="bottom"/>
            <w:hideMark/>
          </w:tcPr>
          <w:p w14:paraId="2E9EE0D7"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34</w:t>
            </w:r>
          </w:p>
        </w:tc>
        <w:tc>
          <w:tcPr>
            <w:tcW w:w="868" w:type="pct"/>
            <w:shd w:val="clear" w:color="auto" w:fill="auto"/>
            <w:tcMar>
              <w:top w:w="135" w:type="dxa"/>
              <w:left w:w="150" w:type="dxa"/>
              <w:bottom w:w="135" w:type="dxa"/>
              <w:right w:w="150" w:type="dxa"/>
            </w:tcMar>
            <w:vAlign w:val="bottom"/>
            <w:hideMark/>
          </w:tcPr>
          <w:p w14:paraId="20245A32"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0.05</w:t>
            </w:r>
          </w:p>
        </w:tc>
        <w:tc>
          <w:tcPr>
            <w:tcW w:w="781" w:type="pct"/>
            <w:shd w:val="clear" w:color="auto" w:fill="auto"/>
            <w:tcMar>
              <w:top w:w="135" w:type="dxa"/>
              <w:left w:w="150" w:type="dxa"/>
              <w:bottom w:w="135" w:type="dxa"/>
              <w:right w:w="150" w:type="dxa"/>
            </w:tcMar>
            <w:vAlign w:val="bottom"/>
            <w:hideMark/>
          </w:tcPr>
          <w:p w14:paraId="2DA4EB95"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0.01 %</w:t>
            </w:r>
          </w:p>
        </w:tc>
      </w:tr>
      <w:tr w:rsidR="00CD64BA" w:rsidRPr="009C5F11" w14:paraId="25340FB6" w14:textId="77777777" w:rsidTr="00CD64BA">
        <w:trPr>
          <w:trHeight w:val="20"/>
        </w:trPr>
        <w:tc>
          <w:tcPr>
            <w:tcW w:w="1400" w:type="pct"/>
            <w:shd w:val="clear" w:color="auto" w:fill="auto"/>
            <w:tcMar>
              <w:top w:w="135" w:type="dxa"/>
              <w:left w:w="150" w:type="dxa"/>
              <w:bottom w:w="135" w:type="dxa"/>
              <w:right w:w="150" w:type="dxa"/>
            </w:tcMar>
            <w:hideMark/>
          </w:tcPr>
          <w:p w14:paraId="1CDF350D"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Izolarea planşeelor</w:t>
            </w:r>
          </w:p>
        </w:tc>
        <w:tc>
          <w:tcPr>
            <w:tcW w:w="916" w:type="pct"/>
            <w:shd w:val="clear" w:color="auto" w:fill="auto"/>
            <w:tcMar>
              <w:top w:w="135" w:type="dxa"/>
              <w:left w:w="150" w:type="dxa"/>
              <w:bottom w:w="135" w:type="dxa"/>
              <w:right w:w="150" w:type="dxa"/>
            </w:tcMar>
            <w:vAlign w:val="bottom"/>
            <w:hideMark/>
          </w:tcPr>
          <w:p w14:paraId="3A03034C"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63</w:t>
            </w:r>
          </w:p>
        </w:tc>
        <w:tc>
          <w:tcPr>
            <w:tcW w:w="1035" w:type="pct"/>
            <w:shd w:val="clear" w:color="auto" w:fill="auto"/>
            <w:tcMar>
              <w:top w:w="135" w:type="dxa"/>
              <w:left w:w="150" w:type="dxa"/>
              <w:bottom w:w="135" w:type="dxa"/>
              <w:right w:w="150" w:type="dxa"/>
            </w:tcMar>
            <w:vAlign w:val="bottom"/>
            <w:hideMark/>
          </w:tcPr>
          <w:p w14:paraId="20A250B4"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14</w:t>
            </w:r>
          </w:p>
        </w:tc>
        <w:tc>
          <w:tcPr>
            <w:tcW w:w="868" w:type="pct"/>
            <w:shd w:val="clear" w:color="auto" w:fill="auto"/>
            <w:tcMar>
              <w:top w:w="135" w:type="dxa"/>
              <w:left w:w="150" w:type="dxa"/>
              <w:bottom w:w="135" w:type="dxa"/>
              <w:right w:w="150" w:type="dxa"/>
            </w:tcMar>
            <w:vAlign w:val="bottom"/>
            <w:hideMark/>
          </w:tcPr>
          <w:p w14:paraId="0DFED7EB"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0.02</w:t>
            </w:r>
          </w:p>
        </w:tc>
        <w:tc>
          <w:tcPr>
            <w:tcW w:w="781" w:type="pct"/>
            <w:shd w:val="clear" w:color="auto" w:fill="auto"/>
            <w:tcMar>
              <w:top w:w="135" w:type="dxa"/>
              <w:left w:w="150" w:type="dxa"/>
              <w:bottom w:w="135" w:type="dxa"/>
              <w:right w:w="150" w:type="dxa"/>
            </w:tcMar>
            <w:vAlign w:val="bottom"/>
            <w:hideMark/>
          </w:tcPr>
          <w:p w14:paraId="04AE13A3"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0.00 %</w:t>
            </w:r>
          </w:p>
        </w:tc>
      </w:tr>
      <w:tr w:rsidR="00CD64BA" w:rsidRPr="009C5F11" w14:paraId="10C8E910" w14:textId="77777777" w:rsidTr="00CD64BA">
        <w:trPr>
          <w:trHeight w:val="20"/>
        </w:trPr>
        <w:tc>
          <w:tcPr>
            <w:tcW w:w="1400" w:type="pct"/>
            <w:shd w:val="clear" w:color="auto" w:fill="auto"/>
            <w:tcMar>
              <w:top w:w="135" w:type="dxa"/>
              <w:left w:w="150" w:type="dxa"/>
              <w:bottom w:w="135" w:type="dxa"/>
              <w:right w:w="150" w:type="dxa"/>
            </w:tcMar>
            <w:hideMark/>
          </w:tcPr>
          <w:p w14:paraId="594B7522"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 xml:space="preserve">Sisteme solare de încălzire a apei </w:t>
            </w:r>
          </w:p>
        </w:tc>
        <w:tc>
          <w:tcPr>
            <w:tcW w:w="916" w:type="pct"/>
            <w:shd w:val="clear" w:color="auto" w:fill="auto"/>
            <w:tcMar>
              <w:top w:w="135" w:type="dxa"/>
              <w:left w:w="150" w:type="dxa"/>
              <w:bottom w:w="135" w:type="dxa"/>
              <w:right w:w="150" w:type="dxa"/>
            </w:tcMar>
            <w:vAlign w:val="bottom"/>
            <w:hideMark/>
          </w:tcPr>
          <w:p w14:paraId="3ED98626"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88</w:t>
            </w:r>
          </w:p>
        </w:tc>
        <w:tc>
          <w:tcPr>
            <w:tcW w:w="1035" w:type="pct"/>
            <w:shd w:val="clear" w:color="auto" w:fill="auto"/>
            <w:tcMar>
              <w:top w:w="135" w:type="dxa"/>
              <w:left w:w="150" w:type="dxa"/>
              <w:bottom w:w="135" w:type="dxa"/>
              <w:right w:w="150" w:type="dxa"/>
            </w:tcMar>
            <w:vAlign w:val="bottom"/>
            <w:hideMark/>
          </w:tcPr>
          <w:p w14:paraId="39FC2FC1"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20</w:t>
            </w:r>
          </w:p>
        </w:tc>
        <w:tc>
          <w:tcPr>
            <w:tcW w:w="868" w:type="pct"/>
            <w:shd w:val="clear" w:color="auto" w:fill="auto"/>
            <w:tcMar>
              <w:top w:w="135" w:type="dxa"/>
              <w:left w:w="150" w:type="dxa"/>
              <w:bottom w:w="135" w:type="dxa"/>
              <w:right w:w="150" w:type="dxa"/>
            </w:tcMar>
            <w:vAlign w:val="bottom"/>
            <w:hideMark/>
          </w:tcPr>
          <w:p w14:paraId="1AC0D1B0"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0.03</w:t>
            </w:r>
          </w:p>
        </w:tc>
        <w:tc>
          <w:tcPr>
            <w:tcW w:w="781" w:type="pct"/>
            <w:shd w:val="clear" w:color="auto" w:fill="auto"/>
            <w:tcMar>
              <w:top w:w="135" w:type="dxa"/>
              <w:left w:w="150" w:type="dxa"/>
              <w:bottom w:w="135" w:type="dxa"/>
              <w:right w:w="150" w:type="dxa"/>
            </w:tcMar>
            <w:vAlign w:val="bottom"/>
            <w:hideMark/>
          </w:tcPr>
          <w:p w14:paraId="723906DB"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0.01 %</w:t>
            </w:r>
          </w:p>
        </w:tc>
      </w:tr>
      <w:tr w:rsidR="00CD64BA" w:rsidRPr="009C5F11" w14:paraId="36020390" w14:textId="77777777" w:rsidTr="00CD64BA">
        <w:trPr>
          <w:trHeight w:val="20"/>
        </w:trPr>
        <w:tc>
          <w:tcPr>
            <w:tcW w:w="1400" w:type="pct"/>
            <w:shd w:val="clear" w:color="auto" w:fill="auto"/>
            <w:tcMar>
              <w:top w:w="135" w:type="dxa"/>
              <w:left w:w="150" w:type="dxa"/>
              <w:bottom w:w="135" w:type="dxa"/>
              <w:right w:w="150" w:type="dxa"/>
            </w:tcMar>
            <w:hideMark/>
          </w:tcPr>
          <w:p w14:paraId="06A1B4B4"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 xml:space="preserve">Sobe şi cazane operate cu biomasă </w:t>
            </w:r>
          </w:p>
        </w:tc>
        <w:tc>
          <w:tcPr>
            <w:tcW w:w="916" w:type="pct"/>
            <w:shd w:val="clear" w:color="auto" w:fill="auto"/>
            <w:tcMar>
              <w:top w:w="135" w:type="dxa"/>
              <w:left w:w="150" w:type="dxa"/>
              <w:bottom w:w="135" w:type="dxa"/>
              <w:right w:w="150" w:type="dxa"/>
            </w:tcMar>
            <w:vAlign w:val="bottom"/>
            <w:hideMark/>
          </w:tcPr>
          <w:p w14:paraId="049DFF1D"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2 931</w:t>
            </w:r>
          </w:p>
        </w:tc>
        <w:tc>
          <w:tcPr>
            <w:tcW w:w="1035" w:type="pct"/>
            <w:shd w:val="clear" w:color="auto" w:fill="auto"/>
            <w:tcMar>
              <w:top w:w="135" w:type="dxa"/>
              <w:left w:w="150" w:type="dxa"/>
              <w:bottom w:w="135" w:type="dxa"/>
              <w:right w:w="150" w:type="dxa"/>
            </w:tcMar>
            <w:vAlign w:val="bottom"/>
            <w:hideMark/>
          </w:tcPr>
          <w:p w14:paraId="3C50A4F9"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665</w:t>
            </w:r>
          </w:p>
        </w:tc>
        <w:tc>
          <w:tcPr>
            <w:tcW w:w="868" w:type="pct"/>
            <w:shd w:val="clear" w:color="auto" w:fill="auto"/>
            <w:tcMar>
              <w:top w:w="135" w:type="dxa"/>
              <w:left w:w="150" w:type="dxa"/>
              <w:bottom w:w="135" w:type="dxa"/>
              <w:right w:w="150" w:type="dxa"/>
            </w:tcMar>
            <w:vAlign w:val="bottom"/>
            <w:hideMark/>
          </w:tcPr>
          <w:p w14:paraId="7CD5A917"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0.92</w:t>
            </w:r>
          </w:p>
        </w:tc>
        <w:tc>
          <w:tcPr>
            <w:tcW w:w="781" w:type="pct"/>
            <w:shd w:val="clear" w:color="auto" w:fill="auto"/>
            <w:tcMar>
              <w:top w:w="135" w:type="dxa"/>
              <w:left w:w="150" w:type="dxa"/>
              <w:bottom w:w="135" w:type="dxa"/>
              <w:right w:w="150" w:type="dxa"/>
            </w:tcMar>
            <w:vAlign w:val="bottom"/>
            <w:hideMark/>
          </w:tcPr>
          <w:p w14:paraId="2BC4BFE2"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0.20 %</w:t>
            </w:r>
          </w:p>
        </w:tc>
      </w:tr>
      <w:tr w:rsidR="00CD64BA" w:rsidRPr="009C5F11" w14:paraId="31D649BE" w14:textId="77777777" w:rsidTr="00CD64BA">
        <w:trPr>
          <w:trHeight w:val="20"/>
        </w:trPr>
        <w:tc>
          <w:tcPr>
            <w:tcW w:w="1400" w:type="pct"/>
            <w:shd w:val="clear" w:color="auto" w:fill="auto"/>
            <w:tcMar>
              <w:top w:w="135" w:type="dxa"/>
              <w:left w:w="150" w:type="dxa"/>
              <w:bottom w:w="135" w:type="dxa"/>
              <w:right w:w="150" w:type="dxa"/>
            </w:tcMar>
            <w:hideMark/>
          </w:tcPr>
          <w:p w14:paraId="064F8993"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Cazane operate cu gaze pentru încălzirea apei</w:t>
            </w:r>
          </w:p>
        </w:tc>
        <w:tc>
          <w:tcPr>
            <w:tcW w:w="916" w:type="pct"/>
            <w:shd w:val="clear" w:color="auto" w:fill="auto"/>
            <w:tcMar>
              <w:top w:w="135" w:type="dxa"/>
              <w:left w:w="150" w:type="dxa"/>
              <w:bottom w:w="135" w:type="dxa"/>
              <w:right w:w="150" w:type="dxa"/>
            </w:tcMar>
            <w:vAlign w:val="bottom"/>
            <w:hideMark/>
          </w:tcPr>
          <w:p w14:paraId="345D9336"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4 420</w:t>
            </w:r>
          </w:p>
        </w:tc>
        <w:tc>
          <w:tcPr>
            <w:tcW w:w="1035" w:type="pct"/>
            <w:shd w:val="clear" w:color="auto" w:fill="auto"/>
            <w:tcMar>
              <w:top w:w="135" w:type="dxa"/>
              <w:left w:w="150" w:type="dxa"/>
              <w:bottom w:w="135" w:type="dxa"/>
              <w:right w:w="150" w:type="dxa"/>
            </w:tcMar>
            <w:vAlign w:val="bottom"/>
            <w:hideMark/>
          </w:tcPr>
          <w:p w14:paraId="04E54B0C"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1 003</w:t>
            </w:r>
          </w:p>
        </w:tc>
        <w:tc>
          <w:tcPr>
            <w:tcW w:w="868" w:type="pct"/>
            <w:shd w:val="clear" w:color="auto" w:fill="auto"/>
            <w:tcMar>
              <w:top w:w="135" w:type="dxa"/>
              <w:left w:w="150" w:type="dxa"/>
              <w:bottom w:w="135" w:type="dxa"/>
              <w:right w:w="150" w:type="dxa"/>
            </w:tcMar>
            <w:vAlign w:val="bottom"/>
            <w:hideMark/>
          </w:tcPr>
          <w:p w14:paraId="6B7CC953"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1.38</w:t>
            </w:r>
          </w:p>
        </w:tc>
        <w:tc>
          <w:tcPr>
            <w:tcW w:w="781" w:type="pct"/>
            <w:shd w:val="clear" w:color="auto" w:fill="auto"/>
            <w:tcMar>
              <w:top w:w="135" w:type="dxa"/>
              <w:left w:w="150" w:type="dxa"/>
              <w:bottom w:w="135" w:type="dxa"/>
              <w:right w:w="150" w:type="dxa"/>
            </w:tcMar>
            <w:vAlign w:val="bottom"/>
            <w:hideMark/>
          </w:tcPr>
          <w:p w14:paraId="2D44574F"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0.29 %</w:t>
            </w:r>
          </w:p>
        </w:tc>
      </w:tr>
      <w:tr w:rsidR="00CD64BA" w:rsidRPr="009C5F11" w14:paraId="53E08504" w14:textId="77777777" w:rsidTr="00CD64BA">
        <w:trPr>
          <w:trHeight w:val="20"/>
        </w:trPr>
        <w:tc>
          <w:tcPr>
            <w:tcW w:w="1400" w:type="pct"/>
            <w:shd w:val="clear" w:color="auto" w:fill="auto"/>
            <w:tcMar>
              <w:top w:w="135" w:type="dxa"/>
              <w:left w:w="150" w:type="dxa"/>
              <w:bottom w:w="135" w:type="dxa"/>
              <w:right w:w="150" w:type="dxa"/>
            </w:tcMar>
            <w:hideMark/>
          </w:tcPr>
          <w:p w14:paraId="04D7C1EA"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 xml:space="preserve">Sisteme de pompe de căldură </w:t>
            </w:r>
          </w:p>
        </w:tc>
        <w:tc>
          <w:tcPr>
            <w:tcW w:w="916" w:type="pct"/>
            <w:shd w:val="clear" w:color="auto" w:fill="auto"/>
            <w:tcMar>
              <w:top w:w="135" w:type="dxa"/>
              <w:left w:w="150" w:type="dxa"/>
              <w:bottom w:w="135" w:type="dxa"/>
              <w:right w:w="150" w:type="dxa"/>
            </w:tcMar>
            <w:vAlign w:val="bottom"/>
            <w:hideMark/>
          </w:tcPr>
          <w:p w14:paraId="6436D0D9"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457</w:t>
            </w:r>
          </w:p>
        </w:tc>
        <w:tc>
          <w:tcPr>
            <w:tcW w:w="1035" w:type="pct"/>
            <w:shd w:val="clear" w:color="auto" w:fill="auto"/>
            <w:tcMar>
              <w:top w:w="135" w:type="dxa"/>
              <w:left w:w="150" w:type="dxa"/>
              <w:bottom w:w="135" w:type="dxa"/>
              <w:right w:w="150" w:type="dxa"/>
            </w:tcMar>
            <w:vAlign w:val="bottom"/>
            <w:hideMark/>
          </w:tcPr>
          <w:p w14:paraId="25F7006E"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104</w:t>
            </w:r>
          </w:p>
        </w:tc>
        <w:tc>
          <w:tcPr>
            <w:tcW w:w="868" w:type="pct"/>
            <w:shd w:val="clear" w:color="auto" w:fill="auto"/>
            <w:tcMar>
              <w:top w:w="135" w:type="dxa"/>
              <w:left w:w="150" w:type="dxa"/>
              <w:bottom w:w="135" w:type="dxa"/>
              <w:right w:w="150" w:type="dxa"/>
            </w:tcMar>
            <w:vAlign w:val="bottom"/>
            <w:hideMark/>
          </w:tcPr>
          <w:p w14:paraId="0FD84F82"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0.14</w:t>
            </w:r>
          </w:p>
        </w:tc>
        <w:tc>
          <w:tcPr>
            <w:tcW w:w="781" w:type="pct"/>
            <w:shd w:val="clear" w:color="auto" w:fill="auto"/>
            <w:tcMar>
              <w:top w:w="135" w:type="dxa"/>
              <w:left w:w="150" w:type="dxa"/>
              <w:bottom w:w="135" w:type="dxa"/>
              <w:right w:w="150" w:type="dxa"/>
            </w:tcMar>
            <w:vAlign w:val="bottom"/>
            <w:hideMark/>
          </w:tcPr>
          <w:p w14:paraId="786EF601"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0.03 %</w:t>
            </w:r>
          </w:p>
        </w:tc>
      </w:tr>
      <w:tr w:rsidR="00CD64BA" w:rsidRPr="009C5F11" w14:paraId="5EB34DFB" w14:textId="77777777" w:rsidTr="00CD64BA">
        <w:trPr>
          <w:trHeight w:val="20"/>
        </w:trPr>
        <w:tc>
          <w:tcPr>
            <w:tcW w:w="1400" w:type="pct"/>
            <w:shd w:val="clear" w:color="auto" w:fill="auto"/>
            <w:tcMar>
              <w:top w:w="135" w:type="dxa"/>
              <w:left w:w="150" w:type="dxa"/>
              <w:bottom w:w="135" w:type="dxa"/>
              <w:right w:w="150" w:type="dxa"/>
            </w:tcMar>
            <w:hideMark/>
          </w:tcPr>
          <w:p w14:paraId="675BBFA5"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PV integrate</w:t>
            </w:r>
          </w:p>
        </w:tc>
        <w:tc>
          <w:tcPr>
            <w:tcW w:w="916" w:type="pct"/>
            <w:shd w:val="clear" w:color="auto" w:fill="auto"/>
            <w:tcMar>
              <w:top w:w="135" w:type="dxa"/>
              <w:left w:w="150" w:type="dxa"/>
              <w:bottom w:w="135" w:type="dxa"/>
              <w:right w:w="150" w:type="dxa"/>
            </w:tcMar>
            <w:vAlign w:val="bottom"/>
            <w:hideMark/>
          </w:tcPr>
          <w:p w14:paraId="45D40AF0"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w:t>
            </w:r>
          </w:p>
        </w:tc>
        <w:tc>
          <w:tcPr>
            <w:tcW w:w="1035" w:type="pct"/>
            <w:shd w:val="clear" w:color="auto" w:fill="auto"/>
            <w:tcMar>
              <w:top w:w="135" w:type="dxa"/>
              <w:left w:w="150" w:type="dxa"/>
              <w:bottom w:w="135" w:type="dxa"/>
              <w:right w:w="150" w:type="dxa"/>
            </w:tcMar>
            <w:vAlign w:val="bottom"/>
            <w:hideMark/>
          </w:tcPr>
          <w:p w14:paraId="72B46589"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w:t>
            </w:r>
          </w:p>
        </w:tc>
        <w:tc>
          <w:tcPr>
            <w:tcW w:w="868" w:type="pct"/>
            <w:shd w:val="clear" w:color="auto" w:fill="auto"/>
            <w:tcMar>
              <w:top w:w="135" w:type="dxa"/>
              <w:left w:w="150" w:type="dxa"/>
              <w:bottom w:w="135" w:type="dxa"/>
              <w:right w:w="150" w:type="dxa"/>
            </w:tcMar>
            <w:vAlign w:val="bottom"/>
            <w:hideMark/>
          </w:tcPr>
          <w:p w14:paraId="0DA83C7F"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0.00</w:t>
            </w:r>
          </w:p>
        </w:tc>
        <w:tc>
          <w:tcPr>
            <w:tcW w:w="781" w:type="pct"/>
            <w:shd w:val="clear" w:color="auto" w:fill="auto"/>
            <w:tcMar>
              <w:top w:w="135" w:type="dxa"/>
              <w:left w:w="150" w:type="dxa"/>
              <w:bottom w:w="135" w:type="dxa"/>
              <w:right w:w="150" w:type="dxa"/>
            </w:tcMar>
            <w:vAlign w:val="bottom"/>
            <w:hideMark/>
          </w:tcPr>
          <w:p w14:paraId="0A259434"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0.00 %</w:t>
            </w:r>
          </w:p>
        </w:tc>
      </w:tr>
      <w:tr w:rsidR="00CD64BA" w:rsidRPr="009C5F11" w14:paraId="79A73B5D" w14:textId="77777777" w:rsidTr="00CD64BA">
        <w:trPr>
          <w:trHeight w:val="20"/>
        </w:trPr>
        <w:tc>
          <w:tcPr>
            <w:tcW w:w="1400" w:type="pct"/>
            <w:shd w:val="clear" w:color="auto" w:fill="auto"/>
            <w:tcMar>
              <w:top w:w="135" w:type="dxa"/>
              <w:left w:w="150" w:type="dxa"/>
              <w:bottom w:w="135" w:type="dxa"/>
              <w:right w:w="150" w:type="dxa"/>
            </w:tcMar>
            <w:hideMark/>
          </w:tcPr>
          <w:p w14:paraId="1FC36DC7" w14:textId="77777777" w:rsidR="00CD64BA" w:rsidRPr="009C5F11" w:rsidRDefault="00CD64BA" w:rsidP="00936397">
            <w:pPr>
              <w:autoSpaceDE w:val="0"/>
              <w:autoSpaceDN w:val="0"/>
              <w:adjustRightInd w:val="0"/>
              <w:spacing w:after="0" w:line="240" w:lineRule="auto"/>
              <w:jc w:val="both"/>
              <w:rPr>
                <w:rFonts w:ascii="Times New Roman" w:hAnsi="Times New Roman" w:cs="Times New Roman"/>
                <w:bCs/>
                <w:iCs/>
                <w:sz w:val="20"/>
                <w:szCs w:val="16"/>
                <w:lang w:val="ro-RO"/>
              </w:rPr>
            </w:pPr>
            <w:r w:rsidRPr="009C5F11">
              <w:rPr>
                <w:rFonts w:ascii="Times New Roman" w:hAnsi="Times New Roman" w:cs="Times New Roman"/>
                <w:bCs/>
                <w:iCs/>
                <w:sz w:val="20"/>
                <w:szCs w:val="16"/>
                <w:lang w:val="ro-RO"/>
              </w:rPr>
              <w:t>Încălzire centralizată</w:t>
            </w:r>
          </w:p>
        </w:tc>
        <w:tc>
          <w:tcPr>
            <w:tcW w:w="916" w:type="pct"/>
            <w:shd w:val="clear" w:color="auto" w:fill="auto"/>
            <w:tcMar>
              <w:top w:w="135" w:type="dxa"/>
              <w:left w:w="150" w:type="dxa"/>
              <w:bottom w:w="135" w:type="dxa"/>
              <w:right w:w="150" w:type="dxa"/>
            </w:tcMar>
            <w:vAlign w:val="bottom"/>
            <w:hideMark/>
          </w:tcPr>
          <w:p w14:paraId="27572BBC"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45</w:t>
            </w:r>
          </w:p>
        </w:tc>
        <w:tc>
          <w:tcPr>
            <w:tcW w:w="1035" w:type="pct"/>
            <w:shd w:val="clear" w:color="auto" w:fill="auto"/>
            <w:tcMar>
              <w:top w:w="135" w:type="dxa"/>
              <w:left w:w="150" w:type="dxa"/>
              <w:bottom w:w="135" w:type="dxa"/>
              <w:right w:w="150" w:type="dxa"/>
            </w:tcMar>
            <w:vAlign w:val="bottom"/>
            <w:hideMark/>
          </w:tcPr>
          <w:p w14:paraId="563586DD"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10</w:t>
            </w:r>
          </w:p>
        </w:tc>
        <w:tc>
          <w:tcPr>
            <w:tcW w:w="868" w:type="pct"/>
            <w:shd w:val="clear" w:color="auto" w:fill="auto"/>
            <w:tcMar>
              <w:top w:w="135" w:type="dxa"/>
              <w:left w:w="150" w:type="dxa"/>
              <w:bottom w:w="135" w:type="dxa"/>
              <w:right w:w="150" w:type="dxa"/>
            </w:tcMar>
            <w:vAlign w:val="bottom"/>
            <w:hideMark/>
          </w:tcPr>
          <w:p w14:paraId="5E83B5A2"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0.01</w:t>
            </w:r>
          </w:p>
        </w:tc>
        <w:tc>
          <w:tcPr>
            <w:tcW w:w="781" w:type="pct"/>
            <w:shd w:val="clear" w:color="auto" w:fill="auto"/>
            <w:tcMar>
              <w:top w:w="135" w:type="dxa"/>
              <w:left w:w="150" w:type="dxa"/>
              <w:bottom w:w="135" w:type="dxa"/>
              <w:right w:w="150" w:type="dxa"/>
            </w:tcMar>
            <w:vAlign w:val="bottom"/>
            <w:hideMark/>
          </w:tcPr>
          <w:p w14:paraId="7DDBF086" w14:textId="77777777" w:rsidR="00CD64BA" w:rsidRPr="009C5F11" w:rsidRDefault="00CD64BA" w:rsidP="00430626">
            <w:pPr>
              <w:spacing w:after="0" w:line="240" w:lineRule="auto"/>
              <w:jc w:val="right"/>
              <w:rPr>
                <w:rFonts w:ascii="Times New Roman" w:hAnsi="Times New Roman" w:cs="Times New Roman"/>
                <w:color w:val="333333"/>
                <w:sz w:val="20"/>
                <w:szCs w:val="16"/>
                <w:lang w:val="ro-RO"/>
              </w:rPr>
            </w:pPr>
            <w:r w:rsidRPr="009C5F11">
              <w:rPr>
                <w:rFonts w:ascii="Times New Roman" w:hAnsi="Times New Roman" w:cs="Times New Roman"/>
                <w:color w:val="333333"/>
                <w:sz w:val="20"/>
                <w:szCs w:val="16"/>
                <w:lang w:val="ro-RO"/>
              </w:rPr>
              <w:t>0.00 %</w:t>
            </w:r>
          </w:p>
        </w:tc>
      </w:tr>
    </w:tbl>
    <w:p w14:paraId="1F9D5433" w14:textId="77777777" w:rsidR="00BB5D37" w:rsidRPr="009C5F11" w:rsidRDefault="00BB5D37" w:rsidP="00BB5D37">
      <w:pPr>
        <w:shd w:val="clear" w:color="auto" w:fill="FFFFFF"/>
        <w:spacing w:before="240" w:line="240" w:lineRule="auto"/>
        <w:rPr>
          <w:rFonts w:ascii="Times New Roman" w:hAnsi="Times New Roman" w:cs="Times New Roman"/>
          <w:sz w:val="24"/>
          <w:lang w:val="ro-RO"/>
        </w:rPr>
      </w:pPr>
      <w:bookmarkStart w:id="422" w:name="_Toc319555465"/>
    </w:p>
    <w:p w14:paraId="71B3F447" w14:textId="77777777" w:rsidR="00BC2ED4" w:rsidRPr="00921CF1" w:rsidRDefault="00EB02C4" w:rsidP="00DA72FC">
      <w:pPr>
        <w:pStyle w:val="Titlu3"/>
        <w:rPr>
          <w:rFonts w:ascii="Times New Roman" w:hAnsi="Times New Roman" w:cs="Times New Roman"/>
          <w:b/>
          <w:color w:val="000000" w:themeColor="text1"/>
          <w:sz w:val="28"/>
          <w:lang w:val="ro-RO"/>
        </w:rPr>
      </w:pPr>
      <w:bookmarkStart w:id="423" w:name="_Toc322013220"/>
      <w:bookmarkEnd w:id="422"/>
      <w:r w:rsidRPr="00921CF1">
        <w:rPr>
          <w:rFonts w:ascii="Times New Roman" w:hAnsi="Times New Roman" w:cs="Times New Roman"/>
          <w:b/>
          <w:color w:val="000000" w:themeColor="text1"/>
          <w:sz w:val="28"/>
          <w:lang w:val="ro-RO"/>
        </w:rPr>
        <w:t>PEBM</w:t>
      </w:r>
      <w:bookmarkEnd w:id="423"/>
      <w:r w:rsidR="00BC2ED4" w:rsidRPr="00921CF1">
        <w:rPr>
          <w:rFonts w:ascii="Times New Roman" w:hAnsi="Times New Roman" w:cs="Times New Roman"/>
          <w:b/>
          <w:color w:val="000000" w:themeColor="text1"/>
          <w:sz w:val="28"/>
          <w:lang w:val="ro-RO"/>
        </w:rPr>
        <w:t xml:space="preserve"> </w:t>
      </w:r>
    </w:p>
    <w:p w14:paraId="1FAF3A23" w14:textId="5D8446FC" w:rsidR="00BC2ED4" w:rsidRPr="009C5F11" w:rsidRDefault="00936397" w:rsidP="00087B37">
      <w:pPr>
        <w:pStyle w:val="Listparagraf"/>
        <w:numPr>
          <w:ilvl w:val="0"/>
          <w:numId w:val="210"/>
        </w:numPr>
        <w:shd w:val="clear" w:color="auto" w:fill="FFFFFF"/>
        <w:spacing w:before="240" w:line="240" w:lineRule="auto"/>
        <w:ind w:left="0" w:firstLine="142"/>
        <w:rPr>
          <w:rFonts w:ascii="Times New Roman" w:hAnsi="Times New Roman" w:cs="Times New Roman"/>
          <w:color w:val="333333"/>
          <w:sz w:val="24"/>
          <w:lang w:val="ro-RO"/>
        </w:rPr>
      </w:pPr>
      <w:r w:rsidRPr="009C5F11">
        <w:rPr>
          <w:rFonts w:ascii="Times New Roman" w:hAnsi="Times New Roman" w:cs="Times New Roman"/>
          <w:color w:val="333333"/>
          <w:sz w:val="24"/>
          <w:lang w:val="ro-RO"/>
        </w:rPr>
        <w:t xml:space="preserve">Scopul urmărit de </w:t>
      </w:r>
      <w:r w:rsidR="00321CD5" w:rsidRPr="009C5F11">
        <w:rPr>
          <w:rFonts w:ascii="Times New Roman" w:hAnsi="Times New Roman" w:cs="Times New Roman"/>
          <w:color w:val="333333"/>
          <w:sz w:val="24"/>
          <w:lang w:val="ro-RO"/>
        </w:rPr>
        <w:t xml:space="preserve">Proiectul Energie şi Biomasă </w:t>
      </w:r>
      <w:r w:rsidR="00223DAC" w:rsidRPr="009C5F11">
        <w:rPr>
          <w:rFonts w:ascii="Times New Roman" w:hAnsi="Times New Roman" w:cs="Times New Roman"/>
          <w:color w:val="333333"/>
          <w:sz w:val="24"/>
          <w:lang w:val="ro-RO"/>
        </w:rPr>
        <w:t>în Moldova</w:t>
      </w:r>
      <w:r w:rsidR="00BC2ED4" w:rsidRPr="009C5F11">
        <w:rPr>
          <w:rFonts w:ascii="Times New Roman" w:hAnsi="Times New Roman" w:cs="Times New Roman"/>
          <w:color w:val="333333"/>
          <w:sz w:val="24"/>
          <w:lang w:val="ro-RO"/>
        </w:rPr>
        <w:t xml:space="preserve"> </w:t>
      </w:r>
      <w:r w:rsidRPr="009C5F11">
        <w:rPr>
          <w:rFonts w:ascii="Times New Roman" w:hAnsi="Times New Roman" w:cs="Times New Roman"/>
          <w:color w:val="333333"/>
          <w:sz w:val="24"/>
          <w:lang w:val="ro-RO"/>
        </w:rPr>
        <w:t>este de a promova ut</w:t>
      </w:r>
      <w:r w:rsidR="00336D0A" w:rsidRPr="009C5F11">
        <w:rPr>
          <w:rFonts w:ascii="Times New Roman" w:hAnsi="Times New Roman" w:cs="Times New Roman"/>
          <w:color w:val="333333"/>
          <w:sz w:val="24"/>
          <w:lang w:val="ro-RO"/>
        </w:rPr>
        <w:t>i</w:t>
      </w:r>
      <w:r w:rsidRPr="009C5F11">
        <w:rPr>
          <w:rFonts w:ascii="Times New Roman" w:hAnsi="Times New Roman" w:cs="Times New Roman"/>
          <w:color w:val="333333"/>
          <w:sz w:val="24"/>
          <w:lang w:val="ro-RO"/>
        </w:rPr>
        <w:t xml:space="preserve">lizarea celei mai viabile şi mai disponibile surse locale de </w:t>
      </w:r>
      <w:r w:rsidR="00FA7B8A" w:rsidRPr="009C5F11">
        <w:rPr>
          <w:rFonts w:ascii="Times New Roman" w:hAnsi="Times New Roman" w:cs="Times New Roman"/>
          <w:color w:val="333333"/>
          <w:sz w:val="24"/>
          <w:lang w:val="ro-RO"/>
        </w:rPr>
        <w:t>energie</w:t>
      </w:r>
      <w:r w:rsidRPr="009C5F11">
        <w:rPr>
          <w:rFonts w:ascii="Times New Roman" w:hAnsi="Times New Roman" w:cs="Times New Roman"/>
          <w:color w:val="333333"/>
          <w:sz w:val="24"/>
          <w:lang w:val="ro-RO"/>
        </w:rPr>
        <w:t xml:space="preserve"> regenerabilă:</w:t>
      </w:r>
      <w:r w:rsidR="00BC2ED4" w:rsidRPr="009C5F11">
        <w:rPr>
          <w:rFonts w:ascii="Times New Roman" w:hAnsi="Times New Roman" w:cs="Times New Roman"/>
          <w:color w:val="333333"/>
          <w:sz w:val="24"/>
          <w:lang w:val="ro-RO"/>
        </w:rPr>
        <w:t xml:space="preserve"> biomas</w:t>
      </w:r>
      <w:r w:rsidRPr="009C5F11">
        <w:rPr>
          <w:rFonts w:ascii="Times New Roman" w:hAnsi="Times New Roman" w:cs="Times New Roman"/>
          <w:color w:val="333333"/>
          <w:sz w:val="24"/>
          <w:lang w:val="ro-RO"/>
        </w:rPr>
        <w:t>a obţinută din preluc</w:t>
      </w:r>
      <w:r w:rsidR="00336D0A" w:rsidRPr="009C5F11">
        <w:rPr>
          <w:rFonts w:ascii="Times New Roman" w:hAnsi="Times New Roman" w:cs="Times New Roman"/>
          <w:color w:val="333333"/>
          <w:sz w:val="24"/>
          <w:lang w:val="ro-RO"/>
        </w:rPr>
        <w:t>r</w:t>
      </w:r>
      <w:r w:rsidRPr="009C5F11">
        <w:rPr>
          <w:rFonts w:ascii="Times New Roman" w:hAnsi="Times New Roman" w:cs="Times New Roman"/>
          <w:color w:val="333333"/>
          <w:sz w:val="24"/>
          <w:lang w:val="ro-RO"/>
        </w:rPr>
        <w:t xml:space="preserve">area deşeurilor agricole. </w:t>
      </w:r>
    </w:p>
    <w:p w14:paraId="20560B63" w14:textId="488A94E5" w:rsidR="00936397" w:rsidRPr="009C5F11" w:rsidRDefault="00936397"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u w:val="single"/>
          <w:lang w:val="ro-RO"/>
        </w:rPr>
        <w:t>Prima etapă</w:t>
      </w:r>
      <w:r w:rsidRPr="009C5F11">
        <w:rPr>
          <w:rFonts w:ascii="Times New Roman" w:hAnsi="Times New Roman" w:cs="Times New Roman"/>
          <w:sz w:val="24"/>
          <w:lang w:val="ro-RO"/>
        </w:rPr>
        <w:t xml:space="preserve"> a Proiectului cuprinde anii 2011-2014 (4 ani). Partea responsabilă de implementare a fost PNUD, Ministerul Economiei fiind partener de implementare.</w:t>
      </w:r>
    </w:p>
    <w:p w14:paraId="1FFF910F" w14:textId="77777777" w:rsidR="00936397" w:rsidRPr="009C5F11" w:rsidRDefault="00936397" w:rsidP="00936397">
      <w:pPr>
        <w:spacing w:before="120" w:after="120" w:line="240" w:lineRule="auto"/>
        <w:jc w:val="both"/>
        <w:rPr>
          <w:rFonts w:ascii="Times New Roman" w:hAnsi="Times New Roman" w:cs="Times New Roman"/>
          <w:sz w:val="24"/>
          <w:lang w:val="ro-RO"/>
        </w:rPr>
      </w:pPr>
      <w:r w:rsidRPr="009C5F11">
        <w:rPr>
          <w:rFonts w:ascii="Times New Roman" w:hAnsi="Times New Roman" w:cs="Times New Roman"/>
          <w:sz w:val="24"/>
          <w:lang w:val="ro-RO"/>
        </w:rPr>
        <w:t>Proiectul Energie şi Biomasă în Moldova a fost promovat în toată ţara, inclusiv în UTA Gagauz Yeri.</w:t>
      </w:r>
    </w:p>
    <w:p w14:paraId="2A6CB9DA"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126 de sate au fost selectate pentru a-şi conecta instituţiile publice la sisteme alternative moderne de încălzire cu biomasă; </w:t>
      </w:r>
    </w:p>
    <w:p w14:paraId="2822AC06"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sisteme moderne de încălzire cu biomasă sunt instalate în 143 de clădiri publice, inclusiv şcoli, grădiniţe de copii, centre comunitare; </w:t>
      </w:r>
    </w:p>
    <w:p w14:paraId="552E3520"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peste 89.000 de persoane, inclusiv 26.519 copii, beneficiază de pe urma securizării furnizării de energie şi confort termic; </w:t>
      </w:r>
    </w:p>
    <w:p w14:paraId="68B8E962"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noile sisteme de încălzire cu biomasă au dus la crearea a peste 300 de locuri noi de muncă, fiind lansate zeci de afaceri noi de producere a combustibilului din biomasă sub formă de pelete şi brichete;</w:t>
      </w:r>
    </w:p>
    <w:p w14:paraId="18DE4FDC"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5.590 de reprezentanţi ai APL şi lideri locali, 492 de furnizori de biocombustibil şi 432 de operatori au obţinut noi cunoştinţe şi competenţe despre tehnologiile moderne de producere şi utilizare a biomasei pentru a produce energie termică;</w:t>
      </w:r>
    </w:p>
    <w:p w14:paraId="23AA7D0C"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un milion de euro a fost oferit pentru achiziţionarea echipamentului de procesare şi producere a biocombustibilului pe baza unui mecanism de leasing; </w:t>
      </w:r>
    </w:p>
    <w:p w14:paraId="5E8BEBD5"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30 de întreprinzători locali deja au beneficiat de acest program şi au primit echipament de brichetare, peletare, tocare şi balotare a biomasei; </w:t>
      </w:r>
    </w:p>
    <w:p w14:paraId="38E3263E"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lastRenderedPageBreak/>
        <w:t xml:space="preserve">peste 600 de familii au avut posibilitate să cumpere cazane moderne ce funcţionează cu biomasă, 1300 de euro din investiţia efectuată fiindu-le restituite din mijloacele proiectului. Peste 100 de solicitări au fost deja înregistrate, fiind actualmente deja finanţate; </w:t>
      </w:r>
    </w:p>
    <w:p w14:paraId="7D3EE685"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Un proiect-pilot în domeniul cogenerării pe baza biomasei agricole a fost susţinut financiar pentru a demonstra fezabilitatea utilizării tehnologiilor moderne cu scopul de a obţine resurse energetice locale;</w:t>
      </w:r>
    </w:p>
    <w:p w14:paraId="711E7FE3"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Un Proiect-pilot în domeniul prestării serviciilor de generare şi distribuţie a energiei termice din biomasă instituţiilor publice a fost co-finanţat şi lansat în raionul Leova. Obiectivul este promovarea unor noi metode de dezvoltare a pieţelor locale, utilizând biomasa în scopuri energetice; </w:t>
      </w:r>
    </w:p>
    <w:p w14:paraId="3A1D262B"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Peste 20,000 de elevi au studiat subiecte legate de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şi eficienţa energetică;</w:t>
      </w:r>
    </w:p>
    <w:p w14:paraId="0B4E1F75"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3 ediţii ale concursului Moldova Eco-Energetică;</w:t>
      </w:r>
    </w:p>
    <w:p w14:paraId="4F198B31"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Ceremonii de premiere a celor mai bune proiecte în domeniul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şi EE au fost desfăşurate cu succes;</w:t>
      </w:r>
    </w:p>
    <w:p w14:paraId="21FDBFC7" w14:textId="77777777" w:rsidR="00936397" w:rsidRPr="009C5F11" w:rsidRDefault="00936397"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Publicul general, APC şi APL, sectorul privat sunt bine informate despre oportunităţile şi beneficiile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în general, şi ale energiei din biomasă, în special, pentru Moldova.</w:t>
      </w:r>
    </w:p>
    <w:p w14:paraId="1EB2FB21" w14:textId="6BBD15B6" w:rsidR="007E22B5" w:rsidRPr="009C5F11" w:rsidRDefault="007E22B5"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Actualmente PEBM derulează </w:t>
      </w:r>
      <w:r w:rsidRPr="009C5F11">
        <w:rPr>
          <w:rFonts w:ascii="Times New Roman" w:hAnsi="Times New Roman" w:cs="Times New Roman"/>
          <w:sz w:val="24"/>
          <w:u w:val="single"/>
          <w:lang w:val="ro-RO"/>
        </w:rPr>
        <w:t>Faza a II-a</w:t>
      </w:r>
      <w:r w:rsidRPr="009C5F11">
        <w:rPr>
          <w:rFonts w:ascii="Times New Roman" w:hAnsi="Times New Roman" w:cs="Times New Roman"/>
          <w:sz w:val="24"/>
          <w:lang w:val="ro-RO"/>
        </w:rPr>
        <w:t xml:space="preserve"> preconizată pentru anii 2015-2017, având o suprapunere parţială cu PNAEE-2. Printre partenerii PEBM se numără Ministerul Economiei, Ministerul Mediului, Ministerul Agriculturii şi Industriei Alimentare, Ministerul Dezvoltării Regionale şi Construcţiilor, Ministerul Educaţiei, Agenţia pentru Eficienţă Energetică, Fondul pentru Eficienţă Energetică, agenţii pentru dezvoltare regională, producători agricoli, asociaţii, mediul academic, APL, societatea civilă, Delegaţia Uniunii Europene în Republica Moldova, organizaţii donatoare.</w:t>
      </w:r>
    </w:p>
    <w:p w14:paraId="5358DF8D" w14:textId="2756FDBF" w:rsidR="007E22B5" w:rsidRPr="009C5F11" w:rsidRDefault="007E22B5"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 xml:space="preserve">Proiectul cuprinde 4 componente interconexe: </w:t>
      </w:r>
    </w:p>
    <w:p w14:paraId="138517C4" w14:textId="77777777" w:rsidR="007E22B5" w:rsidRPr="009C5F11" w:rsidRDefault="007E22B5" w:rsidP="00334F3B">
      <w:pPr>
        <w:pStyle w:val="Listparagraf"/>
        <w:numPr>
          <w:ilvl w:val="0"/>
          <w:numId w:val="193"/>
        </w:numPr>
        <w:spacing w:before="120" w:after="120" w:line="240" w:lineRule="auto"/>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Încălzirea clădirilor publice şi crearea pieţelor locale de asigurare cu combustibil (Pachetul de lucru 1); </w:t>
      </w:r>
    </w:p>
    <w:p w14:paraId="73ED711F" w14:textId="77777777" w:rsidR="007E22B5" w:rsidRPr="009C5F11" w:rsidRDefault="007E22B5" w:rsidP="00334F3B">
      <w:pPr>
        <w:pStyle w:val="Listparagraf"/>
        <w:numPr>
          <w:ilvl w:val="0"/>
          <w:numId w:val="193"/>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Stimularea pieţelor locale de asigurare cu agent termic a gospodăriilor individuale, de producere a brichetelor şi de pilotare a tehnologiilor de cogenerare (Pachetul de lucru 2); </w:t>
      </w:r>
    </w:p>
    <w:p w14:paraId="7719B7EE" w14:textId="77777777" w:rsidR="007E22B5" w:rsidRPr="009C5F11" w:rsidRDefault="007E22B5" w:rsidP="00334F3B">
      <w:pPr>
        <w:pStyle w:val="Listparagraf"/>
        <w:numPr>
          <w:ilvl w:val="0"/>
          <w:numId w:val="193"/>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Consolidarea capacităţilor de utilizare a tehnologiilor de producere a energiei din biomasă la nivel regional şi comunitar (Pachetul de lucru 3); şi</w:t>
      </w:r>
    </w:p>
    <w:p w14:paraId="30B22776" w14:textId="77777777" w:rsidR="007E22B5" w:rsidRPr="009C5F11" w:rsidRDefault="007E22B5" w:rsidP="00334F3B">
      <w:pPr>
        <w:pStyle w:val="Listparagraf"/>
        <w:numPr>
          <w:ilvl w:val="0"/>
          <w:numId w:val="193"/>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Promovarea beneficiilor utilizării surselor regenerabile de energie, în special, a biomasei, şi asigurarea vizibilităţii rezultatelor proiectului (Pachetul de lucru 4).</w:t>
      </w:r>
    </w:p>
    <w:p w14:paraId="3DA0B967" w14:textId="688BFBBE" w:rsidR="007E22B5" w:rsidRPr="009C5F11" w:rsidRDefault="007E22B5"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Obiectivele Fazei II a Proiectului derivă din realizările obţinute în Faza I (2011-2014):</w:t>
      </w:r>
    </w:p>
    <w:p w14:paraId="59F56E99"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Aplicarea activităţilor de succes şi extinderea acestora pentru a cuprinde regiunile ce nu au fost implicate anterior sau sunt reprezentate insuficient, în special, regiunea Transnistreană, UTA Găgăuzia şi raionul Taraclia;</w:t>
      </w:r>
    </w:p>
    <w:p w14:paraId="37A0B6AE"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Susţinerea consolidării continue a pieţei de biomasă din ţară pe baza experienţei şi a lecţiilor învăţate în Faza I;</w:t>
      </w:r>
    </w:p>
    <w:p w14:paraId="2B8CF58C"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Sporirea capacităţii naţionale în sectorul bioenergetic, asigurând durabilitate şi replicare continuă;</w:t>
      </w:r>
    </w:p>
    <w:p w14:paraId="59B4C883"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lastRenderedPageBreak/>
        <w:t>Sporirea informării şi acceptării, promovarea beneficiilor energiei pe bază de biomasă şi asigurarea vizibilităţii rezultatelor proiectului.</w:t>
      </w:r>
    </w:p>
    <w:p w14:paraId="077D1C77" w14:textId="3EB3EE7A" w:rsidR="007E22B5" w:rsidRPr="009C5F11" w:rsidRDefault="007E22B5"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Principalele ţinte sunt după cum urmează:</w:t>
      </w:r>
    </w:p>
    <w:p w14:paraId="65B9B0A8"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80 de centrale termice pe bază de biomasă instalate în clădiri publice din sate şi oraşe mici, cu axare pe regiunea Transnistreană, ATU Găgăuzia, raionul Taraclia şi oraşele mici din ţară;</w:t>
      </w:r>
    </w:p>
    <w:p w14:paraId="1FBB1C69"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În 21 de cazuri sistemele de încălzire cu biomasă vor fi completate cu panouri solare pentru aprovizionare cu apă caldă menajeră (grădiniţe de copii, instituţii medico-sanitare, alte instituţii de menire socială);</w:t>
      </w:r>
    </w:p>
    <w:p w14:paraId="683DB9E4"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300 de cazane care funcţionează cu biomasă produse/asamblate local; </w:t>
      </w:r>
    </w:p>
    <w:p w14:paraId="23114030"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250 de gospodării casnice şi 50 de afaceri mici sprijinite să-şi procure şi instaleze cazane pe bază de biomasă în condiţii preferenţiale;</w:t>
      </w:r>
    </w:p>
    <w:p w14:paraId="67D83B8A"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7 parteneriate public-private noi pentru serviciului de furnizare a energiei termice create în toată ţara;</w:t>
      </w:r>
    </w:p>
    <w:p w14:paraId="6D710F9F"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Pilotarea utilizării biomasei pentru încălzire la colegiile agricole şi şcolile profesionale, fiind selectate 2 instituţii în acest scop;</w:t>
      </w:r>
    </w:p>
    <w:p w14:paraId="25713595"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Cooperarea (IMC) pentru producerea de biocombustibil în cadrul modelor IMC existente în prezent;</w:t>
      </w:r>
    </w:p>
    <w:p w14:paraId="0321617C"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Cofinanţarea creării primului Centru de asigurare a calităţii biocombustibilului;</w:t>
      </w:r>
    </w:p>
    <w:p w14:paraId="32A5890C"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APL, funcţionarii publici şi profesorii ştiu cum să utilizeze şi să multiplice tehnologiile ecologice ;</w:t>
      </w:r>
    </w:p>
    <w:p w14:paraId="13875147"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Studierea modului de exploatare a sistemului de încălzire pe bază de biomasă; întreprinzătorii agricoli ştiu cum să transforme deşeurile într-un produs economic; programul de formare şi instruire profesională în domeniul </w:t>
      </w:r>
      <w:r w:rsidR="00610318" w:rsidRPr="009C5F11">
        <w:rPr>
          <w:rFonts w:ascii="Times New Roman" w:hAnsi="Times New Roman" w:cs="Times New Roman"/>
          <w:sz w:val="24"/>
          <w:lang w:val="ro-RO"/>
        </w:rPr>
        <w:t>ESR</w:t>
      </w:r>
      <w:r w:rsidRPr="009C5F11">
        <w:rPr>
          <w:rFonts w:ascii="Times New Roman" w:hAnsi="Times New Roman" w:cs="Times New Roman"/>
          <w:sz w:val="24"/>
          <w:lang w:val="ro-RO"/>
        </w:rPr>
        <w:t xml:space="preserve"> şi eficienţei energetice pilotat în una sau mai multe şcoli tehnico-profesionale pentru a îndeplini cerinţele pieţei emergente de bioenergie;</w:t>
      </w:r>
    </w:p>
    <w:p w14:paraId="4945D8F3" w14:textId="77777777" w:rsidR="007E22B5" w:rsidRPr="009C5F11" w:rsidRDefault="007E22B5" w:rsidP="00334F3B">
      <w:pPr>
        <w:pStyle w:val="Listparagraf"/>
        <w:numPr>
          <w:ilvl w:val="0"/>
          <w:numId w:val="187"/>
        </w:numPr>
        <w:spacing w:before="120" w:after="120" w:line="240" w:lineRule="auto"/>
        <w:ind w:left="714" w:hanging="357"/>
        <w:contextualSpacing w:val="0"/>
        <w:jc w:val="both"/>
        <w:rPr>
          <w:rFonts w:ascii="Times New Roman" w:hAnsi="Times New Roman" w:cs="Times New Roman"/>
          <w:sz w:val="24"/>
          <w:lang w:val="ro-RO"/>
        </w:rPr>
      </w:pPr>
      <w:r w:rsidRPr="009C5F11">
        <w:rPr>
          <w:rFonts w:ascii="Times New Roman" w:hAnsi="Times New Roman" w:cs="Times New Roman"/>
          <w:sz w:val="24"/>
          <w:lang w:val="ro-RO"/>
        </w:rPr>
        <w:t xml:space="preserve">Susţinerea unui centru de instruire a operatorilor de cazane; </w:t>
      </w:r>
    </w:p>
    <w:p w14:paraId="17A0B90C" w14:textId="77777777" w:rsidR="00BC2ED4" w:rsidRPr="009C5F11" w:rsidRDefault="00BC2ED4" w:rsidP="00BC2ED4">
      <w:pPr>
        <w:autoSpaceDE w:val="0"/>
        <w:autoSpaceDN w:val="0"/>
        <w:adjustRightInd w:val="0"/>
        <w:spacing w:after="0" w:line="240" w:lineRule="auto"/>
        <w:jc w:val="both"/>
        <w:rPr>
          <w:rFonts w:ascii="Times New Roman" w:eastAsia="Calibri" w:hAnsi="Times New Roman" w:cs="Times New Roman"/>
          <w:b/>
          <w:bCs/>
          <w:iCs/>
          <w:sz w:val="24"/>
          <w:lang w:val="ro-RO"/>
        </w:rPr>
      </w:pPr>
    </w:p>
    <w:p w14:paraId="0BE7C1E0" w14:textId="77777777" w:rsidR="00BC2ED4" w:rsidRPr="00921CF1" w:rsidRDefault="00BC2ED4" w:rsidP="00DA72FC">
      <w:pPr>
        <w:pStyle w:val="Titlu3"/>
        <w:rPr>
          <w:rFonts w:ascii="Times New Roman" w:hAnsi="Times New Roman" w:cs="Times New Roman"/>
          <w:b/>
          <w:color w:val="000000" w:themeColor="text1"/>
          <w:sz w:val="28"/>
          <w:lang w:val="ro-RO"/>
        </w:rPr>
      </w:pPr>
      <w:bookmarkStart w:id="424" w:name="_Toc319555466"/>
      <w:bookmarkStart w:id="425" w:name="_Toc322013221"/>
      <w:r w:rsidRPr="00921CF1">
        <w:rPr>
          <w:rFonts w:ascii="Times New Roman" w:hAnsi="Times New Roman" w:cs="Times New Roman"/>
          <w:b/>
          <w:color w:val="000000" w:themeColor="text1"/>
          <w:sz w:val="28"/>
          <w:lang w:val="ro-RO"/>
        </w:rPr>
        <w:t>PRO</w:t>
      </w:r>
      <w:r w:rsidR="007E22B5" w:rsidRPr="00921CF1">
        <w:rPr>
          <w:rFonts w:ascii="Times New Roman" w:hAnsi="Times New Roman" w:cs="Times New Roman"/>
          <w:b/>
          <w:color w:val="000000" w:themeColor="text1"/>
          <w:sz w:val="28"/>
          <w:lang w:val="ro-RO"/>
        </w:rPr>
        <w:t>I</w:t>
      </w:r>
      <w:r w:rsidRPr="00921CF1">
        <w:rPr>
          <w:rFonts w:ascii="Times New Roman" w:hAnsi="Times New Roman" w:cs="Times New Roman"/>
          <w:b/>
          <w:color w:val="000000" w:themeColor="text1"/>
          <w:sz w:val="28"/>
          <w:lang w:val="ro-RO"/>
        </w:rPr>
        <w:t>ECT</w:t>
      </w:r>
      <w:bookmarkEnd w:id="424"/>
      <w:r w:rsidR="007E22B5" w:rsidRPr="00921CF1">
        <w:rPr>
          <w:rFonts w:ascii="Times New Roman" w:hAnsi="Times New Roman" w:cs="Times New Roman"/>
          <w:b/>
          <w:color w:val="000000" w:themeColor="text1"/>
          <w:sz w:val="28"/>
          <w:lang w:val="ro-RO"/>
        </w:rPr>
        <w:t>UL ESCO</w:t>
      </w:r>
      <w:bookmarkEnd w:id="425"/>
    </w:p>
    <w:p w14:paraId="4CC97FDF" w14:textId="4F943057" w:rsidR="00E360BD" w:rsidRPr="009C5F11" w:rsidRDefault="00E360BD" w:rsidP="00087B37">
      <w:pPr>
        <w:pStyle w:val="Listparagraf"/>
        <w:numPr>
          <w:ilvl w:val="0"/>
          <w:numId w:val="210"/>
        </w:numPr>
        <w:spacing w:before="120" w:after="120" w:line="240" w:lineRule="auto"/>
        <w:ind w:left="0" w:firstLine="142"/>
        <w:jc w:val="both"/>
        <w:rPr>
          <w:rFonts w:ascii="Times New Roman" w:hAnsi="Times New Roman" w:cs="Times New Roman"/>
          <w:sz w:val="24"/>
          <w:lang w:val="ro-RO"/>
        </w:rPr>
      </w:pPr>
      <w:r w:rsidRPr="009C5F11">
        <w:rPr>
          <w:rFonts w:ascii="Times New Roman" w:hAnsi="Times New Roman" w:cs="Times New Roman"/>
          <w:sz w:val="24"/>
          <w:lang w:val="ro-RO"/>
        </w:rPr>
        <w:t>Proiectul elaborat de PNUD în cooperare cu Ministerul Mediului a fost lansat în luna noiembrie 2014 cu perioada de implementare 2014 – 2018. Obiectivul proiectului este de a crea piaţa ESCO în Moldova prin convertirea companiilor existente de prestare a serviciilor energetice în societăţi ESCO, care să servească drept bază pentru extinderea eforturilor de atenuare în întreg sectorul de construcţii din Moldova în conformitate cu Planul ecologic de dezvoltare urbană care să se soldeze cu reducerea emisiilor directe de CO2 cu cel puţin 68,000 tone pe baza proiectelor CPE susţinute de Proiectul ESCO şi emisiilor indirecte de CO2 cu 240,000 tone în perioada de impact a proiectului. De asemenea, la prima etapă proiectul va examina piaţa de eficienţă energetică practic neexplorată din sectorul municipal, în special obiectivele din proprietatea primăriei Chişinău şi exploatate de aceasta, acoperind ulterior alte regiuni din Republica Moldova.</w:t>
      </w:r>
    </w:p>
    <w:p w14:paraId="693B770F" w14:textId="77777777" w:rsidR="002E216A" w:rsidRPr="009C5F11" w:rsidRDefault="002E216A" w:rsidP="001C0082">
      <w:pPr>
        <w:shd w:val="clear" w:color="auto" w:fill="FFFFFF"/>
        <w:spacing w:before="240" w:line="240" w:lineRule="auto"/>
        <w:rPr>
          <w:rFonts w:ascii="Times New Roman" w:hAnsi="Times New Roman" w:cs="Times New Roman"/>
          <w:color w:val="333333"/>
          <w:sz w:val="24"/>
          <w:lang w:val="ro-RO"/>
        </w:rPr>
      </w:pPr>
    </w:p>
    <w:p w14:paraId="29536D9E" w14:textId="77777777" w:rsidR="002E216A" w:rsidRPr="009C5F11" w:rsidRDefault="002E216A" w:rsidP="001C0082">
      <w:pPr>
        <w:shd w:val="clear" w:color="auto" w:fill="FFFFFF"/>
        <w:spacing w:before="240" w:line="240" w:lineRule="auto"/>
        <w:rPr>
          <w:rFonts w:ascii="Times New Roman" w:hAnsi="Times New Roman" w:cs="Times New Roman"/>
          <w:color w:val="333333"/>
          <w:sz w:val="24"/>
          <w:lang w:val="ro-RO"/>
        </w:rPr>
        <w:sectPr w:rsidR="002E216A" w:rsidRPr="009C5F11" w:rsidSect="00430626">
          <w:headerReference w:type="default" r:id="rId23"/>
          <w:pgSz w:w="11907" w:h="16840" w:code="9"/>
          <w:pgMar w:top="1440" w:right="1440" w:bottom="1440" w:left="1440" w:header="720" w:footer="720" w:gutter="0"/>
          <w:cols w:space="720"/>
          <w:docGrid w:linePitch="360"/>
        </w:sectPr>
      </w:pPr>
    </w:p>
    <w:p w14:paraId="00A100D9" w14:textId="77777777" w:rsidR="001B7457" w:rsidRPr="009C5F11" w:rsidRDefault="001B7457" w:rsidP="001C0082">
      <w:pPr>
        <w:shd w:val="clear" w:color="auto" w:fill="FFFFFF"/>
        <w:spacing w:before="240" w:line="240" w:lineRule="auto"/>
        <w:rPr>
          <w:rFonts w:ascii="Times New Roman" w:hAnsi="Times New Roman" w:cs="Times New Roman"/>
          <w:color w:val="333333"/>
          <w:sz w:val="24"/>
          <w:lang w:val="ro-RO"/>
        </w:rPr>
      </w:pPr>
    </w:p>
    <w:p w14:paraId="3BAA2C05" w14:textId="77777777" w:rsidR="00FB212C" w:rsidRPr="009C5F11" w:rsidRDefault="00321CD5" w:rsidP="00FB212C">
      <w:pPr>
        <w:pStyle w:val="Legend"/>
        <w:keepNext/>
        <w:jc w:val="center"/>
        <w:rPr>
          <w:rFonts w:ascii="Times New Roman" w:hAnsi="Times New Roman" w:cs="Times New Roman"/>
          <w:sz w:val="22"/>
          <w:lang w:val="ro-RO"/>
        </w:rPr>
      </w:pPr>
      <w:bookmarkStart w:id="426" w:name="_Ref322010472"/>
      <w:bookmarkStart w:id="427" w:name="_Toc322013273"/>
      <w:r w:rsidRPr="009C5F11">
        <w:rPr>
          <w:rFonts w:ascii="Times New Roman" w:hAnsi="Times New Roman" w:cs="Times New Roman"/>
          <w:sz w:val="22"/>
          <w:lang w:val="ro-RO"/>
        </w:rPr>
        <w:t>Tabelul</w:t>
      </w:r>
      <w:r w:rsidR="00FB212C" w:rsidRPr="009C5F11">
        <w:rPr>
          <w:rFonts w:ascii="Times New Roman" w:hAnsi="Times New Roman" w:cs="Times New Roman"/>
          <w:sz w:val="22"/>
          <w:lang w:val="ro-RO"/>
        </w:rPr>
        <w:t xml:space="preserve"> </w:t>
      </w:r>
      <w:r w:rsidR="003A6ADB" w:rsidRPr="009C5F11">
        <w:rPr>
          <w:rFonts w:ascii="Times New Roman" w:hAnsi="Times New Roman" w:cs="Times New Roman"/>
          <w:sz w:val="22"/>
          <w:lang w:val="ro-RO"/>
        </w:rPr>
        <w:fldChar w:fldCharType="begin"/>
      </w:r>
      <w:r w:rsidR="00FB212C" w:rsidRPr="009C5F11">
        <w:rPr>
          <w:rFonts w:ascii="Times New Roman" w:hAnsi="Times New Roman" w:cs="Times New Roman"/>
          <w:sz w:val="22"/>
          <w:lang w:val="ro-RO"/>
        </w:rPr>
        <w:instrText xml:space="preserve"> SEQ Table \* ARABIC </w:instrText>
      </w:r>
      <w:r w:rsidR="003A6ADB" w:rsidRPr="009C5F11">
        <w:rPr>
          <w:rFonts w:ascii="Times New Roman" w:hAnsi="Times New Roman" w:cs="Times New Roman"/>
          <w:sz w:val="22"/>
          <w:lang w:val="ro-RO"/>
        </w:rPr>
        <w:fldChar w:fldCharType="separate"/>
      </w:r>
      <w:r w:rsidR="0014013D">
        <w:rPr>
          <w:rFonts w:ascii="Times New Roman" w:hAnsi="Times New Roman" w:cs="Times New Roman"/>
          <w:noProof/>
          <w:sz w:val="22"/>
          <w:lang w:val="ro-RO"/>
        </w:rPr>
        <w:t>50</w:t>
      </w:r>
      <w:r w:rsidR="003A6ADB" w:rsidRPr="009C5F11">
        <w:rPr>
          <w:rFonts w:ascii="Times New Roman" w:hAnsi="Times New Roman" w:cs="Times New Roman"/>
          <w:sz w:val="22"/>
          <w:lang w:val="ro-RO"/>
        </w:rPr>
        <w:fldChar w:fldCharType="end"/>
      </w:r>
      <w:bookmarkEnd w:id="426"/>
      <w:r w:rsidR="00FB212C" w:rsidRPr="009C5F11">
        <w:rPr>
          <w:rFonts w:ascii="Times New Roman" w:hAnsi="Times New Roman" w:cs="Times New Roman"/>
          <w:sz w:val="22"/>
          <w:lang w:val="ro-RO"/>
        </w:rPr>
        <w:t xml:space="preserve"> - </w:t>
      </w:r>
      <w:r w:rsidR="00855ECF" w:rsidRPr="009C5F11">
        <w:rPr>
          <w:rFonts w:ascii="Times New Roman" w:hAnsi="Times New Roman" w:cs="Times New Roman"/>
          <w:sz w:val="22"/>
          <w:lang w:val="ro-RO"/>
        </w:rPr>
        <w:t>Sumarul</w:t>
      </w:r>
      <w:r w:rsidR="00FB212C" w:rsidRPr="009C5F11">
        <w:rPr>
          <w:rFonts w:ascii="Times New Roman" w:hAnsi="Times New Roman" w:cs="Times New Roman"/>
          <w:sz w:val="22"/>
          <w:lang w:val="ro-RO"/>
        </w:rPr>
        <w:t xml:space="preserve"> </w:t>
      </w:r>
      <w:r w:rsidR="00E10BE5" w:rsidRPr="009C5F11">
        <w:rPr>
          <w:rFonts w:ascii="Times New Roman" w:hAnsi="Times New Roman" w:cs="Times New Roman"/>
          <w:sz w:val="22"/>
          <w:lang w:val="ro-RO"/>
        </w:rPr>
        <w:t>proiecte</w:t>
      </w:r>
      <w:r w:rsidR="00E360BD" w:rsidRPr="009C5F11">
        <w:rPr>
          <w:rFonts w:ascii="Times New Roman" w:hAnsi="Times New Roman" w:cs="Times New Roman"/>
          <w:sz w:val="22"/>
          <w:lang w:val="ro-RO"/>
        </w:rPr>
        <w:t xml:space="preserve">lor </w:t>
      </w:r>
      <w:r w:rsidRPr="009C5F11">
        <w:rPr>
          <w:rFonts w:ascii="Times New Roman" w:hAnsi="Times New Roman" w:cs="Times New Roman"/>
          <w:sz w:val="22"/>
          <w:lang w:val="ro-RO"/>
        </w:rPr>
        <w:t xml:space="preserve">şi </w:t>
      </w:r>
      <w:r w:rsidR="00A82A02" w:rsidRPr="009C5F11">
        <w:rPr>
          <w:rFonts w:ascii="Times New Roman" w:hAnsi="Times New Roman" w:cs="Times New Roman"/>
          <w:sz w:val="22"/>
          <w:lang w:val="ro-RO"/>
        </w:rPr>
        <w:t>finanţ</w:t>
      </w:r>
      <w:r w:rsidR="00336D0A" w:rsidRPr="009C5F11">
        <w:rPr>
          <w:rFonts w:ascii="Times New Roman" w:hAnsi="Times New Roman" w:cs="Times New Roman"/>
          <w:sz w:val="22"/>
          <w:lang w:val="ro-RO"/>
        </w:rPr>
        <w:t>ării</w:t>
      </w:r>
      <w:r w:rsidR="00A82A02" w:rsidRPr="009C5F11">
        <w:rPr>
          <w:rFonts w:ascii="Times New Roman" w:hAnsi="Times New Roman" w:cs="Times New Roman"/>
          <w:sz w:val="22"/>
          <w:lang w:val="ro-RO"/>
        </w:rPr>
        <w:t xml:space="preserve"> </w:t>
      </w:r>
      <w:r w:rsidR="00336D0A" w:rsidRPr="009C5F11">
        <w:rPr>
          <w:rFonts w:ascii="Times New Roman" w:hAnsi="Times New Roman" w:cs="Times New Roman"/>
          <w:sz w:val="22"/>
          <w:lang w:val="ro-RO"/>
        </w:rPr>
        <w:t>disponibile</w:t>
      </w:r>
      <w:r w:rsidR="00E360BD" w:rsidRPr="009C5F11">
        <w:rPr>
          <w:rFonts w:ascii="Times New Roman" w:hAnsi="Times New Roman" w:cs="Times New Roman"/>
          <w:sz w:val="22"/>
          <w:lang w:val="ro-RO"/>
        </w:rPr>
        <w:t>.</w:t>
      </w:r>
      <w:bookmarkEnd w:id="427"/>
    </w:p>
    <w:tbl>
      <w:tblPr>
        <w:tblW w:w="1405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99CCFF"/>
        <w:tblLayout w:type="fixed"/>
        <w:tblLook w:val="04A0" w:firstRow="1" w:lastRow="0" w:firstColumn="1" w:lastColumn="0" w:noHBand="0" w:noVBand="1"/>
      </w:tblPr>
      <w:tblGrid>
        <w:gridCol w:w="420"/>
        <w:gridCol w:w="2000"/>
        <w:gridCol w:w="2401"/>
        <w:gridCol w:w="2667"/>
        <w:gridCol w:w="990"/>
        <w:gridCol w:w="997"/>
        <w:gridCol w:w="173"/>
        <w:gridCol w:w="333"/>
        <w:gridCol w:w="117"/>
        <w:gridCol w:w="630"/>
        <w:gridCol w:w="390"/>
        <w:gridCol w:w="600"/>
        <w:gridCol w:w="90"/>
        <w:gridCol w:w="483"/>
        <w:gridCol w:w="589"/>
        <w:gridCol w:w="8"/>
        <w:gridCol w:w="1170"/>
      </w:tblGrid>
      <w:tr w:rsidR="004B7DC9" w:rsidRPr="009C5F11" w14:paraId="43DA622F" w14:textId="77777777" w:rsidTr="00D155D7">
        <w:trPr>
          <w:trHeight w:hRule="exact" w:val="576"/>
        </w:trPr>
        <w:tc>
          <w:tcPr>
            <w:tcW w:w="420" w:type="dxa"/>
            <w:shd w:val="clear" w:color="auto" w:fill="000080"/>
          </w:tcPr>
          <w:p w14:paraId="0A679596" w14:textId="77777777" w:rsidR="004B7DC9" w:rsidRPr="009C5F11" w:rsidRDefault="004B7DC9" w:rsidP="00481A38">
            <w:pPr>
              <w:spacing w:after="120"/>
              <w:jc w:val="both"/>
              <w:rPr>
                <w:rFonts w:ascii="Times New Roman" w:eastAsia="Verdana" w:hAnsi="Times New Roman" w:cs="Times New Roman"/>
                <w:b/>
                <w:sz w:val="18"/>
                <w:szCs w:val="14"/>
                <w:lang w:val="ro-RO"/>
              </w:rPr>
            </w:pPr>
          </w:p>
        </w:tc>
        <w:tc>
          <w:tcPr>
            <w:tcW w:w="2000" w:type="dxa"/>
            <w:shd w:val="clear" w:color="auto" w:fill="000080"/>
          </w:tcPr>
          <w:p w14:paraId="42E24B4C" w14:textId="77777777" w:rsidR="004B7DC9" w:rsidRPr="009C5F11" w:rsidRDefault="00341E16" w:rsidP="000B56D8">
            <w:pPr>
              <w:spacing w:after="120"/>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Promo</w:t>
            </w:r>
            <w:r w:rsidR="00D155D7" w:rsidRPr="009C5F11">
              <w:rPr>
                <w:rFonts w:ascii="Times New Roman" w:eastAsia="Verdana" w:hAnsi="Times New Roman" w:cs="Times New Roman"/>
                <w:b/>
                <w:sz w:val="18"/>
                <w:szCs w:val="14"/>
                <w:lang w:val="ro-RO"/>
              </w:rPr>
              <w:t>tor</w:t>
            </w:r>
          </w:p>
        </w:tc>
        <w:tc>
          <w:tcPr>
            <w:tcW w:w="2401" w:type="dxa"/>
            <w:shd w:val="clear" w:color="auto" w:fill="000080"/>
          </w:tcPr>
          <w:p w14:paraId="7E6F7819" w14:textId="77777777" w:rsidR="004B7DC9" w:rsidRPr="009C5F11" w:rsidRDefault="004B7DC9" w:rsidP="000B56D8">
            <w:pPr>
              <w:spacing w:after="120"/>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Instrument</w:t>
            </w:r>
          </w:p>
        </w:tc>
        <w:tc>
          <w:tcPr>
            <w:tcW w:w="2667" w:type="dxa"/>
            <w:shd w:val="clear" w:color="auto" w:fill="000080"/>
          </w:tcPr>
          <w:p w14:paraId="155F60F4" w14:textId="77777777" w:rsidR="00D155D7" w:rsidRPr="009C5F11" w:rsidRDefault="004B7DC9" w:rsidP="000B56D8">
            <w:pPr>
              <w:spacing w:after="120"/>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Perio</w:t>
            </w:r>
            <w:r w:rsidR="00A82A02" w:rsidRPr="009C5F11">
              <w:rPr>
                <w:rFonts w:ascii="Times New Roman" w:eastAsia="Verdana" w:hAnsi="Times New Roman" w:cs="Times New Roman"/>
                <w:b/>
                <w:sz w:val="18"/>
                <w:szCs w:val="14"/>
                <w:lang w:val="ro-RO"/>
              </w:rPr>
              <w:t>a</w:t>
            </w:r>
            <w:r w:rsidRPr="009C5F11">
              <w:rPr>
                <w:rFonts w:ascii="Times New Roman" w:eastAsia="Verdana" w:hAnsi="Times New Roman" w:cs="Times New Roman"/>
                <w:b/>
                <w:sz w:val="18"/>
                <w:szCs w:val="14"/>
                <w:lang w:val="ro-RO"/>
              </w:rPr>
              <w:t>d</w:t>
            </w:r>
            <w:r w:rsidR="00A82A02" w:rsidRPr="009C5F11">
              <w:rPr>
                <w:rFonts w:ascii="Times New Roman" w:eastAsia="Verdana" w:hAnsi="Times New Roman" w:cs="Times New Roman"/>
                <w:b/>
                <w:sz w:val="18"/>
                <w:szCs w:val="14"/>
                <w:lang w:val="ro-RO"/>
              </w:rPr>
              <w:t>a</w:t>
            </w:r>
          </w:p>
          <w:p w14:paraId="07172C83" w14:textId="77777777" w:rsidR="004B7DC9" w:rsidRPr="009C5F11" w:rsidRDefault="00205225" w:rsidP="000B56D8">
            <w:pPr>
              <w:spacing w:after="120"/>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unit</w:t>
            </w:r>
            <w:r w:rsidR="00A82A02" w:rsidRPr="009C5F11">
              <w:rPr>
                <w:rFonts w:ascii="Times New Roman" w:eastAsia="Verdana" w:hAnsi="Times New Roman" w:cs="Times New Roman"/>
                <w:b/>
                <w:sz w:val="18"/>
                <w:szCs w:val="14"/>
                <w:lang w:val="ro-RO"/>
              </w:rPr>
              <w:t>atea de măsură</w:t>
            </w:r>
          </w:p>
        </w:tc>
        <w:tc>
          <w:tcPr>
            <w:tcW w:w="6570" w:type="dxa"/>
            <w:gridSpan w:val="13"/>
            <w:shd w:val="clear" w:color="auto" w:fill="000080"/>
          </w:tcPr>
          <w:p w14:paraId="1F135617" w14:textId="77777777" w:rsidR="004B7DC9" w:rsidRPr="009C5F11" w:rsidRDefault="004B7DC9" w:rsidP="000B56D8">
            <w:pPr>
              <w:spacing w:after="120"/>
              <w:jc w:val="center"/>
              <w:rPr>
                <w:rFonts w:ascii="Times New Roman" w:eastAsia="Verdana" w:hAnsi="Times New Roman" w:cs="Times New Roman"/>
                <w:b/>
                <w:sz w:val="18"/>
                <w:szCs w:val="14"/>
                <w:lang w:val="ro-RO"/>
              </w:rPr>
            </w:pPr>
            <w:r w:rsidRPr="009C5F11">
              <w:rPr>
                <w:rFonts w:ascii="Times New Roman" w:eastAsia="Verdana" w:hAnsi="Times New Roman" w:cs="Times New Roman"/>
                <w:b/>
                <w:sz w:val="18"/>
                <w:szCs w:val="14"/>
                <w:lang w:val="ro-RO"/>
              </w:rPr>
              <w:t>F</w:t>
            </w:r>
            <w:r w:rsidR="00A82A02" w:rsidRPr="009C5F11">
              <w:rPr>
                <w:rFonts w:ascii="Times New Roman" w:eastAsia="Verdana" w:hAnsi="Times New Roman" w:cs="Times New Roman"/>
                <w:b/>
                <w:sz w:val="18"/>
                <w:szCs w:val="14"/>
                <w:lang w:val="ro-RO"/>
              </w:rPr>
              <w:t>inanţare</w:t>
            </w:r>
          </w:p>
        </w:tc>
      </w:tr>
      <w:tr w:rsidR="004B7DC9" w:rsidRPr="009C5F11" w14:paraId="7BAA0257" w14:textId="77777777" w:rsidTr="00212683">
        <w:trPr>
          <w:trHeight w:hRule="exact" w:val="284"/>
        </w:trPr>
        <w:tc>
          <w:tcPr>
            <w:tcW w:w="420" w:type="dxa"/>
            <w:vMerge w:val="restart"/>
            <w:shd w:val="clear" w:color="auto" w:fill="99CCFF"/>
          </w:tcPr>
          <w:p w14:paraId="2BF576E6"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w:t>
            </w:r>
          </w:p>
        </w:tc>
        <w:tc>
          <w:tcPr>
            <w:tcW w:w="2000" w:type="dxa"/>
            <w:vMerge w:val="restart"/>
            <w:shd w:val="clear" w:color="auto" w:fill="99CCFF"/>
          </w:tcPr>
          <w:p w14:paraId="02DF1686" w14:textId="77777777" w:rsidR="004B7DC9" w:rsidRPr="009C5F11" w:rsidRDefault="00043064"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Bugetul de stat</w:t>
            </w:r>
          </w:p>
          <w:p w14:paraId="436FB24D"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r w:rsidR="004E780C" w:rsidRPr="009C5F11">
              <w:rPr>
                <w:rFonts w:ascii="Times New Roman" w:eastAsia="Verdana" w:hAnsi="Times New Roman" w:cs="Times New Roman"/>
                <w:sz w:val="18"/>
                <w:szCs w:val="14"/>
                <w:lang w:val="ro-RO"/>
              </w:rPr>
              <w:t>Strategia sectorială de cheltuieli în domeniul energetic</w:t>
            </w:r>
            <w:r w:rsidRPr="009C5F11">
              <w:rPr>
                <w:rFonts w:ascii="Times New Roman" w:eastAsia="Verdana" w:hAnsi="Times New Roman" w:cs="Times New Roman"/>
                <w:sz w:val="18"/>
                <w:szCs w:val="14"/>
                <w:lang w:val="ro-RO"/>
              </w:rPr>
              <w:t>”</w:t>
            </w:r>
          </w:p>
        </w:tc>
        <w:tc>
          <w:tcPr>
            <w:tcW w:w="2401" w:type="dxa"/>
            <w:vMerge w:val="restart"/>
            <w:shd w:val="clear" w:color="auto" w:fill="99CCFF"/>
          </w:tcPr>
          <w:p w14:paraId="2F18007A" w14:textId="77777777" w:rsidR="004B7DC9" w:rsidRPr="009C5F11" w:rsidRDefault="004B7DC9"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PROGRAM</w:t>
            </w:r>
            <w:r w:rsidR="00A82A02" w:rsidRPr="009C5F11">
              <w:rPr>
                <w:rFonts w:ascii="Times New Roman" w:eastAsia="Verdana" w:hAnsi="Times New Roman" w:cs="Times New Roman"/>
                <w:sz w:val="18"/>
                <w:szCs w:val="14"/>
                <w:lang w:val="ro-RO"/>
              </w:rPr>
              <w:t>UL</w:t>
            </w:r>
            <w:r w:rsidRPr="009C5F11">
              <w:rPr>
                <w:rFonts w:ascii="Times New Roman" w:eastAsia="Verdana" w:hAnsi="Times New Roman" w:cs="Times New Roman"/>
                <w:sz w:val="18"/>
                <w:szCs w:val="14"/>
                <w:lang w:val="ro-RO"/>
              </w:rPr>
              <w:t xml:space="preserve"> “</w:t>
            </w:r>
            <w:r w:rsidR="00A82A02" w:rsidRPr="009C5F11">
              <w:rPr>
                <w:rFonts w:ascii="Times New Roman" w:eastAsia="Verdana" w:hAnsi="Times New Roman" w:cs="Times New Roman"/>
                <w:sz w:val="18"/>
                <w:szCs w:val="14"/>
                <w:lang w:val="ro-RO"/>
              </w:rPr>
              <w:t xml:space="preserve">Dezvoltarea </w:t>
            </w:r>
            <w:r w:rsidR="00421FA7" w:rsidRPr="009C5F11">
              <w:rPr>
                <w:rFonts w:ascii="Times New Roman" w:eastAsia="Verdana" w:hAnsi="Times New Roman" w:cs="Times New Roman"/>
                <w:sz w:val="18"/>
                <w:szCs w:val="14"/>
                <w:lang w:val="ro-RO"/>
              </w:rPr>
              <w:t>sectorul</w:t>
            </w:r>
            <w:r w:rsidR="00A82A02" w:rsidRPr="009C5F11">
              <w:rPr>
                <w:rFonts w:ascii="Times New Roman" w:eastAsia="Verdana" w:hAnsi="Times New Roman" w:cs="Times New Roman"/>
                <w:sz w:val="18"/>
                <w:szCs w:val="14"/>
                <w:lang w:val="ro-RO"/>
              </w:rPr>
              <w:t>ui</w:t>
            </w:r>
            <w:r w:rsidR="00421FA7" w:rsidRPr="009C5F11">
              <w:rPr>
                <w:rFonts w:ascii="Times New Roman" w:eastAsia="Verdana" w:hAnsi="Times New Roman" w:cs="Times New Roman"/>
                <w:sz w:val="18"/>
                <w:szCs w:val="14"/>
                <w:lang w:val="ro-RO"/>
              </w:rPr>
              <w:t xml:space="preserve"> energetic</w:t>
            </w:r>
            <w:r w:rsidRPr="009C5F11">
              <w:rPr>
                <w:rFonts w:ascii="Times New Roman" w:eastAsia="Verdana" w:hAnsi="Times New Roman" w:cs="Times New Roman"/>
                <w:sz w:val="18"/>
                <w:szCs w:val="14"/>
                <w:lang w:val="ro-RO"/>
              </w:rPr>
              <w:t>”</w:t>
            </w:r>
          </w:p>
        </w:tc>
        <w:tc>
          <w:tcPr>
            <w:tcW w:w="2667" w:type="dxa"/>
            <w:vMerge w:val="restart"/>
            <w:shd w:val="clear" w:color="auto" w:fill="99CCFF"/>
          </w:tcPr>
          <w:p w14:paraId="46D72442"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2015-2017</w:t>
            </w:r>
          </w:p>
          <w:p w14:paraId="4696CCF2"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22413902"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2015</w:t>
            </w:r>
          </w:p>
        </w:tc>
        <w:tc>
          <w:tcPr>
            <w:tcW w:w="1620" w:type="dxa"/>
            <w:gridSpan w:val="3"/>
            <w:shd w:val="clear" w:color="auto" w:fill="99CCFF"/>
          </w:tcPr>
          <w:p w14:paraId="3B34B414"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2340" w:type="dxa"/>
            <w:gridSpan w:val="5"/>
            <w:shd w:val="clear" w:color="auto" w:fill="99CCFF"/>
          </w:tcPr>
          <w:p w14:paraId="6FED3F80"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r>
      <w:tr w:rsidR="004B7DC9" w:rsidRPr="009C5F11" w14:paraId="3553DC13" w14:textId="77777777" w:rsidTr="00212683">
        <w:trPr>
          <w:trHeight w:hRule="exact" w:val="284"/>
        </w:trPr>
        <w:tc>
          <w:tcPr>
            <w:tcW w:w="420" w:type="dxa"/>
            <w:vMerge/>
            <w:shd w:val="clear" w:color="auto" w:fill="99CCFF"/>
          </w:tcPr>
          <w:p w14:paraId="4428B2B9"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685D4B6E"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5E23AE33"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19DEC24E"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11D0F3C5"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287</w:t>
            </w:r>
            <w:r w:rsidR="003B28B1" w:rsidRPr="009C5F11">
              <w:rPr>
                <w:rFonts w:ascii="Times New Roman" w:eastAsia="Verdana" w:hAnsi="Times New Roman" w:cs="Times New Roman"/>
                <w:sz w:val="18"/>
                <w:szCs w:val="14"/>
                <w:lang w:val="ro-RO"/>
              </w:rPr>
              <w:t>,181.</w:t>
            </w:r>
            <w:r w:rsidRPr="009C5F11">
              <w:rPr>
                <w:rFonts w:ascii="Times New Roman" w:eastAsia="Verdana" w:hAnsi="Times New Roman" w:cs="Times New Roman"/>
                <w:sz w:val="18"/>
                <w:szCs w:val="14"/>
                <w:lang w:val="ro-RO"/>
              </w:rPr>
              <w:t>1</w:t>
            </w:r>
          </w:p>
        </w:tc>
        <w:tc>
          <w:tcPr>
            <w:tcW w:w="1620" w:type="dxa"/>
            <w:gridSpan w:val="3"/>
            <w:shd w:val="clear" w:color="auto" w:fill="99CCFF"/>
          </w:tcPr>
          <w:p w14:paraId="18248058" w14:textId="77777777" w:rsidR="004B7DC9" w:rsidRPr="009C5F11" w:rsidRDefault="004B7DC9" w:rsidP="003B28B1">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292</w:t>
            </w:r>
            <w:r w:rsidR="003B28B1"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243</w:t>
            </w:r>
            <w:r w:rsidR="003B28B1"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3</w:t>
            </w:r>
          </w:p>
        </w:tc>
        <w:tc>
          <w:tcPr>
            <w:tcW w:w="2340" w:type="dxa"/>
            <w:gridSpan w:val="5"/>
            <w:shd w:val="clear" w:color="auto" w:fill="99CCFF"/>
          </w:tcPr>
          <w:p w14:paraId="4B5C7726" w14:textId="77777777" w:rsidR="004B7DC9" w:rsidRPr="009C5F11" w:rsidRDefault="004B7DC9" w:rsidP="003B28B1">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361</w:t>
            </w:r>
            <w:r w:rsidR="003B28B1"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337</w:t>
            </w:r>
            <w:r w:rsidR="003B28B1"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2</w:t>
            </w:r>
          </w:p>
        </w:tc>
      </w:tr>
      <w:tr w:rsidR="004B7DC9" w:rsidRPr="009C5F11" w14:paraId="2C40FDE3" w14:textId="77777777" w:rsidTr="00212683">
        <w:trPr>
          <w:trHeight w:hRule="exact" w:val="284"/>
        </w:trPr>
        <w:tc>
          <w:tcPr>
            <w:tcW w:w="420" w:type="dxa"/>
            <w:vMerge/>
            <w:shd w:val="clear" w:color="auto" w:fill="99CCFF"/>
          </w:tcPr>
          <w:p w14:paraId="6D2E94A0"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2F08A228"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79419EE3"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val="restart"/>
            <w:shd w:val="clear" w:color="auto" w:fill="99CCFF"/>
          </w:tcPr>
          <w:p w14:paraId="657959CE"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2016-2018</w:t>
            </w:r>
          </w:p>
          <w:p w14:paraId="7B77310A"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26A13A7B"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1620" w:type="dxa"/>
            <w:gridSpan w:val="3"/>
            <w:shd w:val="clear" w:color="auto" w:fill="99CCFF"/>
          </w:tcPr>
          <w:p w14:paraId="124D3F40"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c>
          <w:tcPr>
            <w:tcW w:w="2340" w:type="dxa"/>
            <w:gridSpan w:val="5"/>
            <w:shd w:val="clear" w:color="auto" w:fill="99CCFF"/>
          </w:tcPr>
          <w:p w14:paraId="3880476D"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2018</w:t>
            </w:r>
          </w:p>
        </w:tc>
      </w:tr>
      <w:tr w:rsidR="004B7DC9" w:rsidRPr="009C5F11" w14:paraId="17D80F91" w14:textId="77777777" w:rsidTr="00212683">
        <w:trPr>
          <w:trHeight w:hRule="exact" w:val="284"/>
        </w:trPr>
        <w:tc>
          <w:tcPr>
            <w:tcW w:w="420" w:type="dxa"/>
            <w:vMerge/>
            <w:shd w:val="clear" w:color="auto" w:fill="99CCFF"/>
          </w:tcPr>
          <w:p w14:paraId="5458A669"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67F4E5C8"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3920091E"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1D0A871D"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37EE1464"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676,690.1</w:t>
            </w:r>
          </w:p>
        </w:tc>
        <w:tc>
          <w:tcPr>
            <w:tcW w:w="1620" w:type="dxa"/>
            <w:gridSpan w:val="3"/>
            <w:shd w:val="clear" w:color="auto" w:fill="99CCFF"/>
          </w:tcPr>
          <w:p w14:paraId="4391044A"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1,091,688.0</w:t>
            </w:r>
          </w:p>
        </w:tc>
        <w:tc>
          <w:tcPr>
            <w:tcW w:w="2340" w:type="dxa"/>
            <w:gridSpan w:val="5"/>
            <w:shd w:val="clear" w:color="auto" w:fill="99CCFF"/>
          </w:tcPr>
          <w:p w14:paraId="2D5E5B0F"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828,262.7</w:t>
            </w:r>
          </w:p>
        </w:tc>
      </w:tr>
      <w:tr w:rsidR="004B7DC9" w:rsidRPr="009C5F11" w14:paraId="6EBAE1BC" w14:textId="77777777" w:rsidTr="00212683">
        <w:trPr>
          <w:trHeight w:hRule="exact" w:val="284"/>
        </w:trPr>
        <w:tc>
          <w:tcPr>
            <w:tcW w:w="420" w:type="dxa"/>
            <w:vMerge/>
            <w:shd w:val="clear" w:color="auto" w:fill="99CCFF"/>
          </w:tcPr>
          <w:p w14:paraId="56D9DB3B"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7EBC510E"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val="restart"/>
            <w:shd w:val="clear" w:color="auto" w:fill="99CCFF"/>
          </w:tcPr>
          <w:p w14:paraId="197E7223" w14:textId="77777777" w:rsidR="004B7DC9" w:rsidRPr="009C5F11" w:rsidRDefault="006A096E"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Subprogramul</w:t>
            </w:r>
            <w:r w:rsidR="004B7DC9" w:rsidRPr="009C5F11">
              <w:rPr>
                <w:rFonts w:ascii="Times New Roman" w:eastAsia="Verdana" w:hAnsi="Times New Roman" w:cs="Times New Roman"/>
                <w:sz w:val="18"/>
                <w:szCs w:val="14"/>
                <w:lang w:val="ro-RO"/>
              </w:rPr>
              <w:t xml:space="preserve"> I. “</w:t>
            </w:r>
            <w:r w:rsidR="00637DDF" w:rsidRPr="009C5F11">
              <w:rPr>
                <w:rFonts w:ascii="Times New Roman" w:eastAsia="Verdana" w:hAnsi="Times New Roman" w:cs="Times New Roman"/>
                <w:sz w:val="18"/>
                <w:szCs w:val="14"/>
                <w:lang w:val="ro-RO"/>
              </w:rPr>
              <w:t>Elaborarea politicii şi management în sectorul energetic</w:t>
            </w:r>
            <w:r w:rsidR="004B7DC9" w:rsidRPr="009C5F11">
              <w:rPr>
                <w:rFonts w:ascii="Times New Roman" w:eastAsia="Verdana" w:hAnsi="Times New Roman" w:cs="Times New Roman"/>
                <w:sz w:val="18"/>
                <w:szCs w:val="14"/>
                <w:lang w:val="ro-RO"/>
              </w:rPr>
              <w:t>”.</w:t>
            </w:r>
          </w:p>
        </w:tc>
        <w:tc>
          <w:tcPr>
            <w:tcW w:w="2667" w:type="dxa"/>
            <w:vMerge w:val="restart"/>
            <w:shd w:val="clear" w:color="auto" w:fill="99CCFF"/>
          </w:tcPr>
          <w:p w14:paraId="22ED597F"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2015-2017</w:t>
            </w:r>
          </w:p>
          <w:p w14:paraId="068F1A22"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3AEA3849"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2015</w:t>
            </w:r>
          </w:p>
        </w:tc>
        <w:tc>
          <w:tcPr>
            <w:tcW w:w="1620" w:type="dxa"/>
            <w:gridSpan w:val="3"/>
            <w:shd w:val="clear" w:color="auto" w:fill="99CCFF"/>
          </w:tcPr>
          <w:p w14:paraId="467E0942"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2340" w:type="dxa"/>
            <w:gridSpan w:val="5"/>
            <w:shd w:val="clear" w:color="auto" w:fill="99CCFF"/>
          </w:tcPr>
          <w:p w14:paraId="6C36006A"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r>
      <w:tr w:rsidR="004B7DC9" w:rsidRPr="009C5F11" w14:paraId="709F57A9" w14:textId="77777777" w:rsidTr="00212683">
        <w:trPr>
          <w:trHeight w:hRule="exact" w:val="284"/>
        </w:trPr>
        <w:tc>
          <w:tcPr>
            <w:tcW w:w="420" w:type="dxa"/>
            <w:vMerge/>
            <w:shd w:val="clear" w:color="auto" w:fill="99CCFF"/>
          </w:tcPr>
          <w:p w14:paraId="1272D3A0"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5A2D4B02"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16A37A2C"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1892B9C9"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4FEE18A7"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eastAsia="de-DE"/>
              </w:rPr>
              <w:t>11,540.6</w:t>
            </w:r>
          </w:p>
        </w:tc>
        <w:tc>
          <w:tcPr>
            <w:tcW w:w="1620" w:type="dxa"/>
            <w:gridSpan w:val="3"/>
            <w:shd w:val="clear" w:color="auto" w:fill="99CCFF"/>
          </w:tcPr>
          <w:p w14:paraId="7C34A731"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46,646.2</w:t>
            </w:r>
          </w:p>
        </w:tc>
        <w:tc>
          <w:tcPr>
            <w:tcW w:w="2340" w:type="dxa"/>
            <w:gridSpan w:val="5"/>
            <w:shd w:val="clear" w:color="auto" w:fill="99CCFF"/>
          </w:tcPr>
          <w:p w14:paraId="0AFEEB8E"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46,696.1</w:t>
            </w:r>
          </w:p>
        </w:tc>
      </w:tr>
      <w:tr w:rsidR="004B7DC9" w:rsidRPr="009C5F11" w14:paraId="1D2D958F" w14:textId="77777777" w:rsidTr="00212683">
        <w:trPr>
          <w:trHeight w:hRule="exact" w:val="284"/>
        </w:trPr>
        <w:tc>
          <w:tcPr>
            <w:tcW w:w="420" w:type="dxa"/>
            <w:vMerge/>
            <w:shd w:val="clear" w:color="auto" w:fill="99CCFF"/>
          </w:tcPr>
          <w:p w14:paraId="2BF2EDA0"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2192D716"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1952372B"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val="restart"/>
            <w:shd w:val="clear" w:color="auto" w:fill="99CCFF"/>
          </w:tcPr>
          <w:p w14:paraId="021B2DBD"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2016-2018</w:t>
            </w:r>
          </w:p>
          <w:p w14:paraId="67B65937"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59897D9B"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1620" w:type="dxa"/>
            <w:gridSpan w:val="3"/>
            <w:shd w:val="clear" w:color="auto" w:fill="99CCFF"/>
          </w:tcPr>
          <w:p w14:paraId="0AA48000"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c>
          <w:tcPr>
            <w:tcW w:w="2340" w:type="dxa"/>
            <w:gridSpan w:val="5"/>
            <w:shd w:val="clear" w:color="auto" w:fill="99CCFF"/>
          </w:tcPr>
          <w:p w14:paraId="63CF278F"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2018</w:t>
            </w:r>
          </w:p>
        </w:tc>
      </w:tr>
      <w:tr w:rsidR="004B7DC9" w:rsidRPr="009C5F11" w14:paraId="5DC19474" w14:textId="77777777" w:rsidTr="00212683">
        <w:trPr>
          <w:trHeight w:hRule="exact" w:val="284"/>
        </w:trPr>
        <w:tc>
          <w:tcPr>
            <w:tcW w:w="420" w:type="dxa"/>
            <w:vMerge/>
            <w:shd w:val="clear" w:color="auto" w:fill="99CCFF"/>
          </w:tcPr>
          <w:p w14:paraId="78CF450B"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4298BCBE"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788DA7B3"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6D6786B2"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37A7407E"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19,426.2</w:t>
            </w:r>
          </w:p>
        </w:tc>
        <w:tc>
          <w:tcPr>
            <w:tcW w:w="1620" w:type="dxa"/>
            <w:gridSpan w:val="3"/>
            <w:shd w:val="clear" w:color="auto" w:fill="99CCFF"/>
          </w:tcPr>
          <w:p w14:paraId="2661F5EB"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24,946.6</w:t>
            </w:r>
          </w:p>
        </w:tc>
        <w:tc>
          <w:tcPr>
            <w:tcW w:w="2340" w:type="dxa"/>
            <w:gridSpan w:val="5"/>
            <w:shd w:val="clear" w:color="auto" w:fill="99CCFF"/>
          </w:tcPr>
          <w:p w14:paraId="1724118A"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25,862.7</w:t>
            </w:r>
          </w:p>
        </w:tc>
      </w:tr>
      <w:tr w:rsidR="004B7DC9" w:rsidRPr="009C5F11" w14:paraId="20FFA3C0" w14:textId="77777777" w:rsidTr="00212683">
        <w:trPr>
          <w:trHeight w:hRule="exact" w:val="284"/>
        </w:trPr>
        <w:tc>
          <w:tcPr>
            <w:tcW w:w="420" w:type="dxa"/>
            <w:vMerge/>
            <w:shd w:val="clear" w:color="auto" w:fill="99CCFF"/>
          </w:tcPr>
          <w:p w14:paraId="6668FE41"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64EEF4D4"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val="restart"/>
            <w:shd w:val="clear" w:color="auto" w:fill="99CCFF"/>
          </w:tcPr>
          <w:p w14:paraId="3E335477" w14:textId="77777777" w:rsidR="004B7DC9" w:rsidRPr="009C5F11" w:rsidRDefault="004B7DC9"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r w:rsidR="00D155D7" w:rsidRPr="009C5F11">
              <w:rPr>
                <w:rFonts w:ascii="Times New Roman" w:eastAsia="Verdana" w:hAnsi="Times New Roman" w:cs="Times New Roman"/>
                <w:sz w:val="18"/>
                <w:szCs w:val="14"/>
                <w:lang w:val="ro-RO"/>
              </w:rPr>
              <w:t>E</w:t>
            </w:r>
            <w:r w:rsidR="001D6122" w:rsidRPr="009C5F11">
              <w:rPr>
                <w:rFonts w:ascii="Times New Roman" w:eastAsia="Verdana" w:hAnsi="Times New Roman" w:cs="Times New Roman"/>
                <w:sz w:val="18"/>
                <w:szCs w:val="14"/>
                <w:lang w:val="ro-RO"/>
              </w:rPr>
              <w:t>laborarea</w:t>
            </w:r>
            <w:r w:rsidR="00321CD5" w:rsidRPr="009C5F11">
              <w:rPr>
                <w:rFonts w:ascii="Times New Roman" w:eastAsia="Verdana" w:hAnsi="Times New Roman" w:cs="Times New Roman"/>
                <w:sz w:val="18"/>
                <w:szCs w:val="14"/>
                <w:lang w:val="ro-RO"/>
              </w:rPr>
              <w:t xml:space="preserve"> şi </w:t>
            </w:r>
            <w:r w:rsidR="00D17141" w:rsidRPr="009C5F11">
              <w:rPr>
                <w:rFonts w:ascii="Times New Roman" w:eastAsia="Verdana" w:hAnsi="Times New Roman" w:cs="Times New Roman"/>
                <w:sz w:val="18"/>
                <w:szCs w:val="14"/>
                <w:lang w:val="ro-RO"/>
              </w:rPr>
              <w:t>adoptarea</w:t>
            </w:r>
            <w:r w:rsidRPr="009C5F11">
              <w:rPr>
                <w:rFonts w:ascii="Times New Roman" w:eastAsia="Verdana" w:hAnsi="Times New Roman" w:cs="Times New Roman"/>
                <w:sz w:val="18"/>
                <w:szCs w:val="14"/>
                <w:lang w:val="ro-RO"/>
              </w:rPr>
              <w:t xml:space="preserve"> </w:t>
            </w:r>
            <w:r w:rsidR="00D17141" w:rsidRPr="009C5F11">
              <w:rPr>
                <w:rFonts w:ascii="Times New Roman" w:eastAsia="Verdana" w:hAnsi="Times New Roman" w:cs="Times New Roman"/>
                <w:sz w:val="18"/>
                <w:szCs w:val="14"/>
                <w:lang w:val="ro-RO"/>
              </w:rPr>
              <w:t>standardelor şi reglementărilor tehnice</w:t>
            </w:r>
            <w:r w:rsidR="00321CD5" w:rsidRPr="009C5F11">
              <w:rPr>
                <w:rFonts w:ascii="Times New Roman" w:eastAsia="Verdana" w:hAnsi="Times New Roman" w:cs="Times New Roman"/>
                <w:sz w:val="18"/>
                <w:szCs w:val="14"/>
                <w:lang w:val="ro-RO"/>
              </w:rPr>
              <w:t xml:space="preserve"> </w:t>
            </w:r>
            <w:r w:rsidR="00480806" w:rsidRPr="009C5F11">
              <w:rPr>
                <w:rFonts w:ascii="Times New Roman" w:eastAsia="Verdana" w:hAnsi="Times New Roman" w:cs="Times New Roman"/>
                <w:sz w:val="18"/>
                <w:szCs w:val="14"/>
                <w:lang w:val="ro-RO"/>
              </w:rPr>
              <w:t>în sectorul</w:t>
            </w:r>
            <w:r w:rsidR="00421FA7" w:rsidRPr="009C5F11">
              <w:rPr>
                <w:rFonts w:ascii="Times New Roman" w:eastAsia="Verdana" w:hAnsi="Times New Roman" w:cs="Times New Roman"/>
                <w:sz w:val="18"/>
                <w:szCs w:val="14"/>
                <w:lang w:val="ro-RO"/>
              </w:rPr>
              <w:t xml:space="preserve"> energetic</w:t>
            </w:r>
            <w:r w:rsidRPr="009C5F11">
              <w:rPr>
                <w:rFonts w:ascii="Times New Roman" w:eastAsia="Verdana" w:hAnsi="Times New Roman" w:cs="Times New Roman"/>
                <w:sz w:val="18"/>
                <w:szCs w:val="14"/>
                <w:lang w:val="ro-RO"/>
              </w:rPr>
              <w:t xml:space="preserve">, </w:t>
            </w:r>
            <w:r w:rsidR="00D17141" w:rsidRPr="009C5F11">
              <w:rPr>
                <w:rFonts w:ascii="Times New Roman" w:eastAsia="Verdana" w:hAnsi="Times New Roman" w:cs="Times New Roman"/>
                <w:sz w:val="18"/>
                <w:szCs w:val="14"/>
                <w:lang w:val="ro-RO"/>
              </w:rPr>
              <w:t>armonizate cu standardele europene</w:t>
            </w:r>
            <w:r w:rsidRPr="009C5F11">
              <w:rPr>
                <w:rFonts w:ascii="Times New Roman" w:eastAsia="Verdana" w:hAnsi="Times New Roman" w:cs="Times New Roman"/>
                <w:sz w:val="18"/>
                <w:szCs w:val="14"/>
                <w:lang w:val="ro-RO"/>
              </w:rPr>
              <w:t>”</w:t>
            </w:r>
          </w:p>
        </w:tc>
        <w:tc>
          <w:tcPr>
            <w:tcW w:w="2667" w:type="dxa"/>
            <w:vMerge w:val="restart"/>
            <w:shd w:val="clear" w:color="auto" w:fill="99CCFF"/>
          </w:tcPr>
          <w:p w14:paraId="523C1ED7"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2015-2017</w:t>
            </w:r>
          </w:p>
          <w:p w14:paraId="6777EE20"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7EF74186"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2015</w:t>
            </w:r>
          </w:p>
        </w:tc>
        <w:tc>
          <w:tcPr>
            <w:tcW w:w="1620" w:type="dxa"/>
            <w:gridSpan w:val="3"/>
            <w:shd w:val="clear" w:color="auto" w:fill="99CCFF"/>
          </w:tcPr>
          <w:p w14:paraId="6E99B434"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2340" w:type="dxa"/>
            <w:gridSpan w:val="5"/>
            <w:shd w:val="clear" w:color="auto" w:fill="99CCFF"/>
          </w:tcPr>
          <w:p w14:paraId="19A318EB"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r>
      <w:tr w:rsidR="004B7DC9" w:rsidRPr="009C5F11" w14:paraId="69030C78" w14:textId="77777777" w:rsidTr="00212683">
        <w:trPr>
          <w:trHeight w:hRule="exact" w:val="284"/>
        </w:trPr>
        <w:tc>
          <w:tcPr>
            <w:tcW w:w="420" w:type="dxa"/>
            <w:vMerge/>
            <w:shd w:val="clear" w:color="auto" w:fill="99CCFF"/>
          </w:tcPr>
          <w:p w14:paraId="0A39AEF5"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61F994F0"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3ED3B446"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5AB7A949"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52E636C7"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700.0</w:t>
            </w:r>
          </w:p>
        </w:tc>
        <w:tc>
          <w:tcPr>
            <w:tcW w:w="1620" w:type="dxa"/>
            <w:gridSpan w:val="3"/>
            <w:shd w:val="clear" w:color="auto" w:fill="99CCFF"/>
          </w:tcPr>
          <w:p w14:paraId="64D0414A"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500.0</w:t>
            </w:r>
          </w:p>
        </w:tc>
        <w:tc>
          <w:tcPr>
            <w:tcW w:w="2340" w:type="dxa"/>
            <w:gridSpan w:val="5"/>
            <w:shd w:val="clear" w:color="auto" w:fill="99CCFF"/>
          </w:tcPr>
          <w:p w14:paraId="24659B49"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500.0</w:t>
            </w:r>
          </w:p>
        </w:tc>
      </w:tr>
      <w:tr w:rsidR="004B7DC9" w:rsidRPr="009C5F11" w14:paraId="4BF6F4D4" w14:textId="77777777" w:rsidTr="00212683">
        <w:trPr>
          <w:trHeight w:hRule="exact" w:val="284"/>
        </w:trPr>
        <w:tc>
          <w:tcPr>
            <w:tcW w:w="420" w:type="dxa"/>
            <w:vMerge/>
            <w:shd w:val="clear" w:color="auto" w:fill="99CCFF"/>
          </w:tcPr>
          <w:p w14:paraId="35024657"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33513CEA"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4E9AB785"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val="restart"/>
            <w:shd w:val="clear" w:color="auto" w:fill="99CCFF"/>
          </w:tcPr>
          <w:p w14:paraId="207F5358"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2016-2018</w:t>
            </w:r>
          </w:p>
          <w:p w14:paraId="4FAD0B45"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3C9627AA"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1620" w:type="dxa"/>
            <w:gridSpan w:val="3"/>
            <w:shd w:val="clear" w:color="auto" w:fill="99CCFF"/>
          </w:tcPr>
          <w:p w14:paraId="677C772D"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c>
          <w:tcPr>
            <w:tcW w:w="2340" w:type="dxa"/>
            <w:gridSpan w:val="5"/>
            <w:shd w:val="clear" w:color="auto" w:fill="99CCFF"/>
          </w:tcPr>
          <w:p w14:paraId="2CF4F20F"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2018</w:t>
            </w:r>
          </w:p>
        </w:tc>
      </w:tr>
      <w:tr w:rsidR="004B7DC9" w:rsidRPr="009C5F11" w14:paraId="6273A763" w14:textId="77777777" w:rsidTr="00212683">
        <w:trPr>
          <w:trHeight w:hRule="exact" w:val="284"/>
        </w:trPr>
        <w:tc>
          <w:tcPr>
            <w:tcW w:w="420" w:type="dxa"/>
            <w:vMerge/>
            <w:shd w:val="clear" w:color="auto" w:fill="99CCFF"/>
          </w:tcPr>
          <w:p w14:paraId="5C1B3883"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1B53EF14"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7E07A4E8"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064E65E6"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08A7E7B9"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500.0</w:t>
            </w:r>
          </w:p>
        </w:tc>
        <w:tc>
          <w:tcPr>
            <w:tcW w:w="1620" w:type="dxa"/>
            <w:gridSpan w:val="3"/>
            <w:shd w:val="clear" w:color="auto" w:fill="99CCFF"/>
          </w:tcPr>
          <w:p w14:paraId="2C715C68"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500.0</w:t>
            </w:r>
          </w:p>
        </w:tc>
        <w:tc>
          <w:tcPr>
            <w:tcW w:w="2340" w:type="dxa"/>
            <w:gridSpan w:val="5"/>
            <w:shd w:val="clear" w:color="auto" w:fill="99CCFF"/>
          </w:tcPr>
          <w:p w14:paraId="13F2BE1A"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500.0</w:t>
            </w:r>
          </w:p>
        </w:tc>
      </w:tr>
      <w:tr w:rsidR="004B7DC9" w:rsidRPr="009C5F11" w14:paraId="4C184FA2" w14:textId="77777777" w:rsidTr="00212683">
        <w:trPr>
          <w:trHeight w:hRule="exact" w:val="284"/>
        </w:trPr>
        <w:tc>
          <w:tcPr>
            <w:tcW w:w="420" w:type="dxa"/>
            <w:vMerge/>
            <w:shd w:val="clear" w:color="auto" w:fill="99CCFF"/>
          </w:tcPr>
          <w:p w14:paraId="09E966CC"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5A194DD0"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val="restart"/>
            <w:shd w:val="clear" w:color="auto" w:fill="99CCFF"/>
          </w:tcPr>
          <w:p w14:paraId="17CB1D20" w14:textId="77777777" w:rsidR="004B7DC9" w:rsidRPr="009C5F11" w:rsidRDefault="004B7DC9"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r w:rsidR="00D17141" w:rsidRPr="009C5F11">
              <w:rPr>
                <w:rFonts w:ascii="Times New Roman" w:eastAsia="Verdana" w:hAnsi="Times New Roman" w:cs="Times New Roman"/>
                <w:sz w:val="18"/>
                <w:szCs w:val="14"/>
                <w:lang w:val="ro-RO"/>
              </w:rPr>
              <w:t>Implementarea cadrului legislativ şi normativ</w:t>
            </w:r>
            <w:r w:rsidRPr="009C5F11">
              <w:rPr>
                <w:rFonts w:ascii="Times New Roman" w:eastAsia="Verdana" w:hAnsi="Times New Roman" w:cs="Times New Roman"/>
                <w:sz w:val="18"/>
                <w:szCs w:val="14"/>
                <w:lang w:val="ro-RO"/>
              </w:rPr>
              <w:t xml:space="preserve"> </w:t>
            </w:r>
            <w:r w:rsidR="00D160E1" w:rsidRPr="009C5F11">
              <w:rPr>
                <w:rFonts w:ascii="Times New Roman" w:eastAsia="Verdana" w:hAnsi="Times New Roman" w:cs="Times New Roman"/>
                <w:sz w:val="18"/>
                <w:szCs w:val="14"/>
                <w:lang w:val="ro-RO"/>
              </w:rPr>
              <w:t>PEC</w:t>
            </w:r>
            <w:r w:rsidRPr="009C5F11">
              <w:rPr>
                <w:rFonts w:ascii="Times New Roman" w:eastAsia="Verdana" w:hAnsi="Times New Roman" w:cs="Times New Roman"/>
                <w:sz w:val="18"/>
                <w:szCs w:val="14"/>
                <w:lang w:val="ro-RO"/>
              </w:rPr>
              <w:t>”</w:t>
            </w:r>
          </w:p>
        </w:tc>
        <w:tc>
          <w:tcPr>
            <w:tcW w:w="2667" w:type="dxa"/>
            <w:vMerge w:val="restart"/>
            <w:shd w:val="clear" w:color="auto" w:fill="99CCFF"/>
          </w:tcPr>
          <w:p w14:paraId="66291210"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2015-2017</w:t>
            </w:r>
          </w:p>
          <w:p w14:paraId="50A6EDEB"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2F021EBF"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2015</w:t>
            </w:r>
          </w:p>
        </w:tc>
        <w:tc>
          <w:tcPr>
            <w:tcW w:w="1620" w:type="dxa"/>
            <w:gridSpan w:val="3"/>
            <w:shd w:val="clear" w:color="auto" w:fill="99CCFF"/>
          </w:tcPr>
          <w:p w14:paraId="7F625F13"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2340" w:type="dxa"/>
            <w:gridSpan w:val="5"/>
            <w:shd w:val="clear" w:color="auto" w:fill="99CCFF"/>
          </w:tcPr>
          <w:p w14:paraId="7BE645FF"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r>
      <w:tr w:rsidR="004B7DC9" w:rsidRPr="009C5F11" w14:paraId="797F2246" w14:textId="77777777" w:rsidTr="003B28B1">
        <w:trPr>
          <w:trHeight w:hRule="exact" w:val="347"/>
        </w:trPr>
        <w:tc>
          <w:tcPr>
            <w:tcW w:w="420" w:type="dxa"/>
            <w:vMerge/>
            <w:shd w:val="clear" w:color="auto" w:fill="99CCFF"/>
          </w:tcPr>
          <w:p w14:paraId="5BB3C767"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1AF5942F"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5A4299C7" w14:textId="77777777" w:rsidR="004B7DC9" w:rsidRPr="009C5F11" w:rsidRDefault="004B7DC9" w:rsidP="00481A38">
            <w:pPr>
              <w:rPr>
                <w:rFonts w:ascii="Times New Roman" w:eastAsia="Verdana" w:hAnsi="Times New Roman" w:cs="Times New Roman"/>
                <w:sz w:val="18"/>
                <w:szCs w:val="14"/>
                <w:lang w:val="ro-RO"/>
              </w:rPr>
            </w:pPr>
          </w:p>
        </w:tc>
        <w:tc>
          <w:tcPr>
            <w:tcW w:w="2667" w:type="dxa"/>
            <w:vMerge/>
            <w:shd w:val="clear" w:color="auto" w:fill="99CCFF"/>
          </w:tcPr>
          <w:p w14:paraId="481244CE"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7FE660AF"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p>
        </w:tc>
        <w:tc>
          <w:tcPr>
            <w:tcW w:w="1620" w:type="dxa"/>
            <w:gridSpan w:val="3"/>
            <w:shd w:val="clear" w:color="auto" w:fill="99CCFF"/>
          </w:tcPr>
          <w:p w14:paraId="44180F36"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p>
        </w:tc>
        <w:tc>
          <w:tcPr>
            <w:tcW w:w="2340" w:type="dxa"/>
            <w:gridSpan w:val="5"/>
            <w:shd w:val="clear" w:color="auto" w:fill="99CCFF"/>
          </w:tcPr>
          <w:p w14:paraId="6A0C6B59"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p>
        </w:tc>
      </w:tr>
      <w:tr w:rsidR="004B7DC9" w:rsidRPr="009C5F11" w14:paraId="490F3750" w14:textId="77777777" w:rsidTr="00212683">
        <w:trPr>
          <w:trHeight w:hRule="exact" w:val="284"/>
        </w:trPr>
        <w:tc>
          <w:tcPr>
            <w:tcW w:w="420" w:type="dxa"/>
            <w:vMerge/>
            <w:shd w:val="clear" w:color="auto" w:fill="99CCFF"/>
          </w:tcPr>
          <w:p w14:paraId="1D52DBAE"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0EC26C9E"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53CDAB09" w14:textId="77777777" w:rsidR="004B7DC9" w:rsidRPr="009C5F11" w:rsidRDefault="004B7DC9" w:rsidP="00481A38">
            <w:pPr>
              <w:rPr>
                <w:rFonts w:ascii="Times New Roman" w:eastAsia="Verdana" w:hAnsi="Times New Roman" w:cs="Times New Roman"/>
                <w:sz w:val="18"/>
                <w:szCs w:val="14"/>
                <w:lang w:val="ro-RO"/>
              </w:rPr>
            </w:pPr>
          </w:p>
        </w:tc>
        <w:tc>
          <w:tcPr>
            <w:tcW w:w="2667" w:type="dxa"/>
            <w:vMerge w:val="restart"/>
            <w:shd w:val="clear" w:color="auto" w:fill="99CCFF"/>
          </w:tcPr>
          <w:p w14:paraId="1427569B"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2016-2018</w:t>
            </w:r>
          </w:p>
          <w:p w14:paraId="44324616"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57B7824C"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1620" w:type="dxa"/>
            <w:gridSpan w:val="3"/>
            <w:shd w:val="clear" w:color="auto" w:fill="99CCFF"/>
          </w:tcPr>
          <w:p w14:paraId="360E8250"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c>
          <w:tcPr>
            <w:tcW w:w="2340" w:type="dxa"/>
            <w:gridSpan w:val="5"/>
            <w:shd w:val="clear" w:color="auto" w:fill="99CCFF"/>
          </w:tcPr>
          <w:p w14:paraId="65AA15B2"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2018</w:t>
            </w:r>
          </w:p>
        </w:tc>
      </w:tr>
      <w:tr w:rsidR="004B7DC9" w:rsidRPr="009C5F11" w14:paraId="1FEA7C4E" w14:textId="77777777" w:rsidTr="00212683">
        <w:trPr>
          <w:trHeight w:hRule="exact" w:val="284"/>
        </w:trPr>
        <w:tc>
          <w:tcPr>
            <w:tcW w:w="420" w:type="dxa"/>
            <w:vMerge/>
            <w:shd w:val="clear" w:color="auto" w:fill="99CCFF"/>
          </w:tcPr>
          <w:p w14:paraId="67C9D63F"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452D1517"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6D8EE3E7" w14:textId="77777777" w:rsidR="004B7DC9" w:rsidRPr="009C5F11" w:rsidRDefault="004B7DC9" w:rsidP="00481A38">
            <w:pPr>
              <w:rPr>
                <w:rFonts w:ascii="Times New Roman" w:eastAsia="Verdana" w:hAnsi="Times New Roman" w:cs="Times New Roman"/>
                <w:sz w:val="18"/>
                <w:szCs w:val="14"/>
                <w:lang w:val="ro-RO"/>
              </w:rPr>
            </w:pPr>
          </w:p>
        </w:tc>
        <w:tc>
          <w:tcPr>
            <w:tcW w:w="2667" w:type="dxa"/>
            <w:vMerge/>
            <w:shd w:val="clear" w:color="auto" w:fill="99CCFF"/>
          </w:tcPr>
          <w:p w14:paraId="1DC9F8E0"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685D68D6"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1,260.0</w:t>
            </w:r>
          </w:p>
        </w:tc>
        <w:tc>
          <w:tcPr>
            <w:tcW w:w="1620" w:type="dxa"/>
            <w:gridSpan w:val="3"/>
            <w:shd w:val="clear" w:color="auto" w:fill="99CCFF"/>
          </w:tcPr>
          <w:p w14:paraId="628BD42C" w14:textId="77777777" w:rsidR="004B7DC9" w:rsidRPr="009C5F11" w:rsidRDefault="003B28B1"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350.</w:t>
            </w:r>
            <w:r w:rsidR="004B7DC9" w:rsidRPr="009C5F11">
              <w:rPr>
                <w:rFonts w:ascii="Times New Roman" w:eastAsia="Verdana" w:hAnsi="Times New Roman" w:cs="Times New Roman"/>
                <w:sz w:val="18"/>
                <w:szCs w:val="14"/>
                <w:lang w:val="ro-RO"/>
              </w:rPr>
              <w:t>0</w:t>
            </w:r>
          </w:p>
        </w:tc>
        <w:tc>
          <w:tcPr>
            <w:tcW w:w="2340" w:type="dxa"/>
            <w:gridSpan w:val="5"/>
            <w:shd w:val="clear" w:color="auto" w:fill="99CCFF"/>
          </w:tcPr>
          <w:p w14:paraId="2957948C" w14:textId="77777777" w:rsidR="004B7DC9" w:rsidRPr="009C5F11" w:rsidRDefault="003B28B1"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350.</w:t>
            </w:r>
            <w:r w:rsidR="004B7DC9" w:rsidRPr="009C5F11">
              <w:rPr>
                <w:rFonts w:ascii="Times New Roman" w:eastAsia="Verdana" w:hAnsi="Times New Roman" w:cs="Times New Roman"/>
                <w:sz w:val="18"/>
                <w:szCs w:val="14"/>
                <w:lang w:val="ro-RO"/>
              </w:rPr>
              <w:t>0</w:t>
            </w:r>
          </w:p>
        </w:tc>
      </w:tr>
      <w:tr w:rsidR="004B7DC9" w:rsidRPr="009C5F11" w14:paraId="60352E15" w14:textId="77777777" w:rsidTr="00212683">
        <w:trPr>
          <w:trHeight w:hRule="exact" w:val="284"/>
        </w:trPr>
        <w:tc>
          <w:tcPr>
            <w:tcW w:w="420" w:type="dxa"/>
            <w:vMerge/>
            <w:shd w:val="clear" w:color="auto" w:fill="99CCFF"/>
          </w:tcPr>
          <w:p w14:paraId="01AF6DB8"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4210D3DB"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val="restart"/>
            <w:shd w:val="clear" w:color="auto" w:fill="99CCFF"/>
          </w:tcPr>
          <w:p w14:paraId="1A9C5241" w14:textId="77777777" w:rsidR="004B7DC9" w:rsidRPr="009C5F11" w:rsidRDefault="006A096E"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Subprogramul</w:t>
            </w:r>
            <w:r w:rsidR="004B7DC9" w:rsidRPr="009C5F11">
              <w:rPr>
                <w:rFonts w:ascii="Times New Roman" w:eastAsia="Verdana" w:hAnsi="Times New Roman" w:cs="Times New Roman"/>
                <w:sz w:val="18"/>
                <w:szCs w:val="14"/>
                <w:lang w:val="ro-RO"/>
              </w:rPr>
              <w:t xml:space="preserve"> II “</w:t>
            </w:r>
            <w:r w:rsidR="00D155D7" w:rsidRPr="009C5F11">
              <w:rPr>
                <w:rFonts w:ascii="Times New Roman" w:eastAsia="Verdana" w:hAnsi="Times New Roman" w:cs="Times New Roman"/>
                <w:sz w:val="18"/>
                <w:szCs w:val="14"/>
                <w:lang w:val="ro-RO"/>
              </w:rPr>
              <w:t>Dezvoltarea sistemului de furnizare a gazelor naturale</w:t>
            </w:r>
            <w:r w:rsidR="004B7DC9" w:rsidRPr="009C5F11">
              <w:rPr>
                <w:rFonts w:ascii="Times New Roman" w:eastAsia="Verdana" w:hAnsi="Times New Roman" w:cs="Times New Roman"/>
                <w:sz w:val="18"/>
                <w:szCs w:val="14"/>
                <w:lang w:val="ro-RO"/>
              </w:rPr>
              <w:t>”</w:t>
            </w:r>
          </w:p>
          <w:p w14:paraId="7A0C3BFC" w14:textId="77777777" w:rsidR="004B7DC9" w:rsidRPr="009C5F11" w:rsidRDefault="004B7DC9"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r w:rsidR="00D155D7" w:rsidRPr="009C5F11">
              <w:rPr>
                <w:rFonts w:ascii="Times New Roman" w:eastAsia="Verdana" w:hAnsi="Times New Roman" w:cs="Times New Roman"/>
                <w:sz w:val="18"/>
                <w:szCs w:val="14"/>
                <w:lang w:val="ro-RO"/>
              </w:rPr>
              <w:t>conducte de gaze naturale</w:t>
            </w:r>
            <w:r w:rsidR="00321CD5" w:rsidRPr="009C5F11">
              <w:rPr>
                <w:rFonts w:ascii="Times New Roman" w:eastAsia="Verdana" w:hAnsi="Times New Roman" w:cs="Times New Roman"/>
                <w:sz w:val="18"/>
                <w:szCs w:val="14"/>
                <w:lang w:val="ro-RO"/>
              </w:rPr>
              <w:t xml:space="preserve"> în </w:t>
            </w:r>
            <w:r w:rsidRPr="009C5F11">
              <w:rPr>
                <w:rFonts w:ascii="Times New Roman" w:eastAsia="Verdana" w:hAnsi="Times New Roman" w:cs="Times New Roman"/>
                <w:sz w:val="18"/>
                <w:szCs w:val="14"/>
                <w:lang w:val="ro-RO"/>
              </w:rPr>
              <w:t>2015-2017)</w:t>
            </w:r>
          </w:p>
        </w:tc>
        <w:tc>
          <w:tcPr>
            <w:tcW w:w="2667" w:type="dxa"/>
            <w:vMerge w:val="restart"/>
            <w:shd w:val="clear" w:color="auto" w:fill="99CCFF"/>
          </w:tcPr>
          <w:p w14:paraId="4266317A"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2015-2017</w:t>
            </w:r>
          </w:p>
          <w:p w14:paraId="6584E3C5" w14:textId="77777777" w:rsidR="004B7DC9" w:rsidRPr="009C5F11" w:rsidRDefault="00211450"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3622DD3A"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2015</w:t>
            </w:r>
          </w:p>
        </w:tc>
        <w:tc>
          <w:tcPr>
            <w:tcW w:w="1620" w:type="dxa"/>
            <w:gridSpan w:val="3"/>
            <w:shd w:val="clear" w:color="auto" w:fill="99CCFF"/>
          </w:tcPr>
          <w:p w14:paraId="728DB9AF"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2340" w:type="dxa"/>
            <w:gridSpan w:val="5"/>
            <w:shd w:val="clear" w:color="auto" w:fill="99CCFF"/>
          </w:tcPr>
          <w:p w14:paraId="42195095"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r>
      <w:tr w:rsidR="004B7DC9" w:rsidRPr="009C5F11" w14:paraId="1120CA88" w14:textId="77777777" w:rsidTr="00212683">
        <w:trPr>
          <w:trHeight w:hRule="exact" w:val="284"/>
        </w:trPr>
        <w:tc>
          <w:tcPr>
            <w:tcW w:w="420" w:type="dxa"/>
            <w:vMerge/>
            <w:shd w:val="clear" w:color="auto" w:fill="99CCFF"/>
          </w:tcPr>
          <w:p w14:paraId="7335C02E"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701A9BC5"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47D6C688"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158B33E3"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18525532"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0</w:t>
            </w:r>
          </w:p>
        </w:tc>
        <w:tc>
          <w:tcPr>
            <w:tcW w:w="1620" w:type="dxa"/>
            <w:gridSpan w:val="3"/>
            <w:shd w:val="clear" w:color="auto" w:fill="99CCFF"/>
          </w:tcPr>
          <w:p w14:paraId="299B2ED1"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0</w:t>
            </w:r>
          </w:p>
        </w:tc>
        <w:tc>
          <w:tcPr>
            <w:tcW w:w="2340" w:type="dxa"/>
            <w:gridSpan w:val="5"/>
            <w:shd w:val="clear" w:color="auto" w:fill="99CCFF"/>
          </w:tcPr>
          <w:p w14:paraId="415FBEA0"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0</w:t>
            </w:r>
          </w:p>
        </w:tc>
      </w:tr>
      <w:tr w:rsidR="004B7DC9" w:rsidRPr="009C5F11" w14:paraId="75D84A3C" w14:textId="77777777" w:rsidTr="00212683">
        <w:trPr>
          <w:trHeight w:hRule="exact" w:val="284"/>
        </w:trPr>
        <w:tc>
          <w:tcPr>
            <w:tcW w:w="420" w:type="dxa"/>
            <w:vMerge/>
            <w:shd w:val="clear" w:color="auto" w:fill="99CCFF"/>
          </w:tcPr>
          <w:p w14:paraId="3206850B"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3F2AD555"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6946EBA7"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val="restart"/>
            <w:shd w:val="clear" w:color="auto" w:fill="99CCFF"/>
          </w:tcPr>
          <w:p w14:paraId="60CB5456"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2016-2018</w:t>
            </w:r>
          </w:p>
          <w:p w14:paraId="736F4BF1"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0FC1618D"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1620" w:type="dxa"/>
            <w:gridSpan w:val="3"/>
            <w:shd w:val="clear" w:color="auto" w:fill="99CCFF"/>
          </w:tcPr>
          <w:p w14:paraId="08C82196"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c>
          <w:tcPr>
            <w:tcW w:w="2340" w:type="dxa"/>
            <w:gridSpan w:val="5"/>
            <w:shd w:val="clear" w:color="auto" w:fill="99CCFF"/>
          </w:tcPr>
          <w:p w14:paraId="00BD3649"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2018</w:t>
            </w:r>
          </w:p>
        </w:tc>
      </w:tr>
      <w:tr w:rsidR="004B7DC9" w:rsidRPr="009C5F11" w14:paraId="57CBA336" w14:textId="77777777" w:rsidTr="00212683">
        <w:trPr>
          <w:trHeight w:hRule="exact" w:val="284"/>
        </w:trPr>
        <w:tc>
          <w:tcPr>
            <w:tcW w:w="420" w:type="dxa"/>
            <w:vMerge/>
            <w:shd w:val="clear" w:color="auto" w:fill="99CCFF"/>
          </w:tcPr>
          <w:p w14:paraId="05A4D716"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1FDC2C9A"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5CA7DFF8"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2F4806A2"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79335103"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138,205.0</w:t>
            </w:r>
          </w:p>
        </w:tc>
        <w:tc>
          <w:tcPr>
            <w:tcW w:w="1620" w:type="dxa"/>
            <w:gridSpan w:val="3"/>
            <w:shd w:val="clear" w:color="auto" w:fill="99CCFF"/>
          </w:tcPr>
          <w:p w14:paraId="40B7C9F7"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598,600.0</w:t>
            </w:r>
          </w:p>
        </w:tc>
        <w:tc>
          <w:tcPr>
            <w:tcW w:w="2340" w:type="dxa"/>
            <w:gridSpan w:val="5"/>
            <w:shd w:val="clear" w:color="auto" w:fill="99CCFF"/>
          </w:tcPr>
          <w:p w14:paraId="65CBD588"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624,500.0</w:t>
            </w:r>
          </w:p>
        </w:tc>
      </w:tr>
      <w:tr w:rsidR="004B7DC9" w:rsidRPr="009C5F11" w14:paraId="2B9A4367" w14:textId="77777777" w:rsidTr="00212683">
        <w:trPr>
          <w:trHeight w:hRule="exact" w:val="284"/>
        </w:trPr>
        <w:tc>
          <w:tcPr>
            <w:tcW w:w="420" w:type="dxa"/>
            <w:vMerge/>
            <w:shd w:val="clear" w:color="auto" w:fill="99CCFF"/>
          </w:tcPr>
          <w:p w14:paraId="3A414288"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74A2352B"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val="restart"/>
            <w:shd w:val="clear" w:color="auto" w:fill="99CCFF"/>
          </w:tcPr>
          <w:p w14:paraId="0DDEA3B1" w14:textId="77777777" w:rsidR="004B7DC9" w:rsidRPr="009C5F11" w:rsidRDefault="006A096E"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Subprogramul</w:t>
            </w:r>
            <w:r w:rsidR="004B7DC9" w:rsidRPr="009C5F11">
              <w:rPr>
                <w:rFonts w:ascii="Times New Roman" w:eastAsia="Verdana" w:hAnsi="Times New Roman" w:cs="Times New Roman"/>
                <w:sz w:val="18"/>
                <w:szCs w:val="14"/>
                <w:lang w:val="ro-RO"/>
              </w:rPr>
              <w:t xml:space="preserve"> III “</w:t>
            </w:r>
            <w:r w:rsidR="00D155D7" w:rsidRPr="009C5F11">
              <w:rPr>
                <w:rFonts w:ascii="Times New Roman" w:eastAsia="Verdana" w:hAnsi="Times New Roman" w:cs="Times New Roman"/>
                <w:sz w:val="18"/>
                <w:szCs w:val="14"/>
                <w:lang w:val="ro-RO"/>
              </w:rPr>
              <w:t>Dezvoltarea sistemului de furnizare a energiei electrice</w:t>
            </w:r>
            <w:r w:rsidR="004B7DC9" w:rsidRPr="009C5F11">
              <w:rPr>
                <w:rFonts w:ascii="Times New Roman" w:eastAsia="Verdana" w:hAnsi="Times New Roman" w:cs="Times New Roman"/>
                <w:sz w:val="18"/>
                <w:szCs w:val="14"/>
                <w:lang w:val="ro-RO"/>
              </w:rPr>
              <w:t>”</w:t>
            </w:r>
          </w:p>
          <w:p w14:paraId="313A7486" w14:textId="77777777" w:rsidR="004B7DC9" w:rsidRPr="009C5F11" w:rsidRDefault="004B7DC9" w:rsidP="00D155D7">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r w:rsidR="00D155D7" w:rsidRPr="009C5F11">
              <w:rPr>
                <w:rFonts w:ascii="Times New Roman" w:eastAsia="Verdana" w:hAnsi="Times New Roman" w:cs="Times New Roman"/>
                <w:sz w:val="18"/>
                <w:szCs w:val="14"/>
                <w:lang w:val="ro-RO"/>
              </w:rPr>
              <w:t>reţelele electrice</w:t>
            </w:r>
            <w:r w:rsidR="00321CD5" w:rsidRPr="009C5F11">
              <w:rPr>
                <w:rFonts w:ascii="Times New Roman" w:eastAsia="Verdana" w:hAnsi="Times New Roman" w:cs="Times New Roman"/>
                <w:sz w:val="18"/>
                <w:szCs w:val="14"/>
                <w:lang w:val="ro-RO"/>
              </w:rPr>
              <w:t xml:space="preserve"> în </w:t>
            </w:r>
            <w:r w:rsidRPr="009C5F11">
              <w:rPr>
                <w:rFonts w:ascii="Times New Roman" w:eastAsia="Verdana" w:hAnsi="Times New Roman" w:cs="Times New Roman"/>
                <w:sz w:val="18"/>
                <w:szCs w:val="14"/>
                <w:lang w:val="ro-RO"/>
              </w:rPr>
              <w:t>2015-2017)</w:t>
            </w:r>
          </w:p>
        </w:tc>
        <w:tc>
          <w:tcPr>
            <w:tcW w:w="2667" w:type="dxa"/>
            <w:vMerge w:val="restart"/>
            <w:shd w:val="clear" w:color="auto" w:fill="99CCFF"/>
          </w:tcPr>
          <w:p w14:paraId="2A950D80"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2015-2017</w:t>
            </w:r>
          </w:p>
          <w:p w14:paraId="3333B2A7"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615991A0"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2015</w:t>
            </w:r>
          </w:p>
        </w:tc>
        <w:tc>
          <w:tcPr>
            <w:tcW w:w="1620" w:type="dxa"/>
            <w:gridSpan w:val="3"/>
            <w:shd w:val="clear" w:color="auto" w:fill="99CCFF"/>
          </w:tcPr>
          <w:p w14:paraId="4434829D"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2340" w:type="dxa"/>
            <w:gridSpan w:val="5"/>
            <w:shd w:val="clear" w:color="auto" w:fill="99CCFF"/>
          </w:tcPr>
          <w:p w14:paraId="2D83928F"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r>
      <w:tr w:rsidR="004B7DC9" w:rsidRPr="009C5F11" w14:paraId="2EA84B48" w14:textId="77777777" w:rsidTr="00212683">
        <w:trPr>
          <w:trHeight w:hRule="exact" w:val="284"/>
        </w:trPr>
        <w:tc>
          <w:tcPr>
            <w:tcW w:w="420" w:type="dxa"/>
            <w:vMerge/>
            <w:shd w:val="clear" w:color="auto" w:fill="99CCFF"/>
          </w:tcPr>
          <w:p w14:paraId="58189CE2"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43477B78"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28587D9E"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65D7D3C3"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23E3D6FA" w14:textId="77777777" w:rsidR="004B7DC9" w:rsidRPr="009C5F11" w:rsidRDefault="004B7DC9" w:rsidP="003B28B1">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126</w:t>
            </w:r>
            <w:r w:rsidR="003B28B1"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367</w:t>
            </w:r>
            <w:r w:rsidR="003B28B1"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3</w:t>
            </w:r>
          </w:p>
        </w:tc>
        <w:tc>
          <w:tcPr>
            <w:tcW w:w="1620" w:type="dxa"/>
            <w:gridSpan w:val="3"/>
            <w:shd w:val="clear" w:color="auto" w:fill="99CCFF"/>
          </w:tcPr>
          <w:p w14:paraId="76BB0750"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154</w:t>
            </w:r>
            <w:r w:rsidR="003B28B1"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402</w:t>
            </w:r>
            <w:r w:rsidR="003B28B1" w:rsidRPr="009C5F11">
              <w:rPr>
                <w:rFonts w:ascii="Times New Roman" w:eastAsia="Verdana" w:hAnsi="Times New Roman" w:cs="Times New Roman"/>
                <w:sz w:val="18"/>
                <w:szCs w:val="14"/>
                <w:lang w:val="ro-RO"/>
              </w:rPr>
              <w:t>.0</w:t>
            </w:r>
          </w:p>
        </w:tc>
        <w:tc>
          <w:tcPr>
            <w:tcW w:w="2340" w:type="dxa"/>
            <w:gridSpan w:val="5"/>
            <w:shd w:val="clear" w:color="auto" w:fill="99CCFF"/>
          </w:tcPr>
          <w:p w14:paraId="001487BF" w14:textId="77777777" w:rsidR="004B7DC9" w:rsidRPr="009C5F11" w:rsidRDefault="004B7DC9" w:rsidP="003B28B1">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224</w:t>
            </w:r>
            <w:r w:rsidR="003B28B1"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421</w:t>
            </w:r>
            <w:r w:rsidR="003B28B1"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1</w:t>
            </w:r>
          </w:p>
        </w:tc>
      </w:tr>
      <w:tr w:rsidR="004B7DC9" w:rsidRPr="009C5F11" w14:paraId="31853BB1" w14:textId="77777777" w:rsidTr="00212683">
        <w:trPr>
          <w:trHeight w:hRule="exact" w:val="284"/>
        </w:trPr>
        <w:tc>
          <w:tcPr>
            <w:tcW w:w="420" w:type="dxa"/>
            <w:vMerge/>
            <w:shd w:val="clear" w:color="auto" w:fill="99CCFF"/>
          </w:tcPr>
          <w:p w14:paraId="095CD909"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49FEE125"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52102F18"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val="restart"/>
            <w:shd w:val="clear" w:color="auto" w:fill="99CCFF"/>
          </w:tcPr>
          <w:p w14:paraId="51EB7FB6"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2016-2018</w:t>
            </w:r>
          </w:p>
          <w:p w14:paraId="528F5AB5"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6097B9AE"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1620" w:type="dxa"/>
            <w:gridSpan w:val="3"/>
            <w:shd w:val="clear" w:color="auto" w:fill="99CCFF"/>
          </w:tcPr>
          <w:p w14:paraId="37BB1F94"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c>
          <w:tcPr>
            <w:tcW w:w="2340" w:type="dxa"/>
            <w:gridSpan w:val="5"/>
            <w:shd w:val="clear" w:color="auto" w:fill="99CCFF"/>
          </w:tcPr>
          <w:p w14:paraId="20B742AA"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2018</w:t>
            </w:r>
          </w:p>
        </w:tc>
      </w:tr>
      <w:tr w:rsidR="004B7DC9" w:rsidRPr="009C5F11" w14:paraId="4ED01FF7" w14:textId="77777777" w:rsidTr="00212683">
        <w:trPr>
          <w:trHeight w:hRule="exact" w:val="284"/>
        </w:trPr>
        <w:tc>
          <w:tcPr>
            <w:tcW w:w="420" w:type="dxa"/>
            <w:vMerge/>
            <w:shd w:val="clear" w:color="auto" w:fill="99CCFF"/>
          </w:tcPr>
          <w:p w14:paraId="5F4FB729"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10329323"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7F436720"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57D8266B"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p>
        </w:tc>
        <w:tc>
          <w:tcPr>
            <w:tcW w:w="2610" w:type="dxa"/>
            <w:gridSpan w:val="5"/>
            <w:shd w:val="clear" w:color="auto" w:fill="99CCFF"/>
          </w:tcPr>
          <w:p w14:paraId="1A46B103"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260,877.0</w:t>
            </w:r>
          </w:p>
        </w:tc>
        <w:tc>
          <w:tcPr>
            <w:tcW w:w="1620" w:type="dxa"/>
            <w:gridSpan w:val="3"/>
            <w:shd w:val="clear" w:color="auto" w:fill="99CCFF"/>
          </w:tcPr>
          <w:p w14:paraId="25018746" w14:textId="77777777" w:rsidR="004B7DC9" w:rsidRPr="009C5F11" w:rsidRDefault="004B7DC9"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225,020.8</w:t>
            </w:r>
          </w:p>
        </w:tc>
        <w:tc>
          <w:tcPr>
            <w:tcW w:w="2340" w:type="dxa"/>
            <w:gridSpan w:val="5"/>
            <w:shd w:val="clear" w:color="auto" w:fill="99CCFF"/>
          </w:tcPr>
          <w:p w14:paraId="46AF5156"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p>
        </w:tc>
      </w:tr>
      <w:tr w:rsidR="004B7DC9" w:rsidRPr="009C5F11" w14:paraId="57103ED7" w14:textId="77777777" w:rsidTr="00212683">
        <w:trPr>
          <w:trHeight w:hRule="exact" w:val="284"/>
        </w:trPr>
        <w:tc>
          <w:tcPr>
            <w:tcW w:w="420" w:type="dxa"/>
            <w:vMerge/>
            <w:shd w:val="clear" w:color="auto" w:fill="99CCFF"/>
          </w:tcPr>
          <w:p w14:paraId="21672AC3"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0DE04120"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val="restart"/>
            <w:shd w:val="clear" w:color="auto" w:fill="99CCFF"/>
          </w:tcPr>
          <w:p w14:paraId="6F2F2AA2" w14:textId="77777777" w:rsidR="004B7DC9" w:rsidRPr="009C5F11" w:rsidRDefault="006A096E"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Subprogramul</w:t>
            </w:r>
            <w:r w:rsidR="004B7DC9" w:rsidRPr="009C5F11">
              <w:rPr>
                <w:rFonts w:ascii="Times New Roman" w:eastAsia="Verdana" w:hAnsi="Times New Roman" w:cs="Times New Roman"/>
                <w:sz w:val="18"/>
                <w:szCs w:val="14"/>
                <w:lang w:val="ro-RO"/>
              </w:rPr>
              <w:t xml:space="preserve"> IV “</w:t>
            </w:r>
            <w:r w:rsidR="00FD5F1C" w:rsidRPr="009C5F11">
              <w:rPr>
                <w:rFonts w:ascii="Times New Roman" w:eastAsia="Verdana" w:hAnsi="Times New Roman" w:cs="Times New Roman"/>
                <w:sz w:val="18"/>
                <w:szCs w:val="14"/>
                <w:lang w:val="ro-RO"/>
              </w:rPr>
              <w:t xml:space="preserve">Eficienţa </w:t>
            </w:r>
            <w:r w:rsidR="00FD5F1C" w:rsidRPr="009C5F11">
              <w:rPr>
                <w:rFonts w:ascii="Times New Roman" w:eastAsia="Verdana" w:hAnsi="Times New Roman" w:cs="Times New Roman"/>
                <w:sz w:val="18"/>
                <w:szCs w:val="14"/>
                <w:lang w:val="ro-RO"/>
              </w:rPr>
              <w:lastRenderedPageBreak/>
              <w:t>energetică şi surse regenerabile de energie”</w:t>
            </w:r>
          </w:p>
        </w:tc>
        <w:tc>
          <w:tcPr>
            <w:tcW w:w="2667" w:type="dxa"/>
            <w:vMerge w:val="restart"/>
            <w:shd w:val="clear" w:color="auto" w:fill="99CCFF"/>
          </w:tcPr>
          <w:p w14:paraId="7F838A06" w14:textId="77777777" w:rsidR="004B7DC9" w:rsidRPr="009C5F11" w:rsidRDefault="004B7DC9"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lastRenderedPageBreak/>
              <w:t>2015-2017</w:t>
            </w:r>
          </w:p>
          <w:p w14:paraId="74530E13" w14:textId="77777777" w:rsidR="004B7DC9" w:rsidRPr="009C5F11" w:rsidRDefault="00A82A02" w:rsidP="00A548D9">
            <w:pPr>
              <w:spacing w:after="0"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lastRenderedPageBreak/>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314FDF85"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lastRenderedPageBreak/>
              <w:t>2015</w:t>
            </w:r>
          </w:p>
        </w:tc>
        <w:tc>
          <w:tcPr>
            <w:tcW w:w="1620" w:type="dxa"/>
            <w:gridSpan w:val="3"/>
            <w:shd w:val="clear" w:color="auto" w:fill="99CCFF"/>
          </w:tcPr>
          <w:p w14:paraId="603ECB74"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2340" w:type="dxa"/>
            <w:gridSpan w:val="5"/>
            <w:shd w:val="clear" w:color="auto" w:fill="99CCFF"/>
          </w:tcPr>
          <w:p w14:paraId="64100EAF"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r>
      <w:tr w:rsidR="004B7DC9" w:rsidRPr="009C5F11" w14:paraId="375BB45D" w14:textId="77777777" w:rsidTr="00212683">
        <w:trPr>
          <w:trHeight w:hRule="exact" w:val="284"/>
        </w:trPr>
        <w:tc>
          <w:tcPr>
            <w:tcW w:w="420" w:type="dxa"/>
            <w:vMerge/>
            <w:shd w:val="clear" w:color="auto" w:fill="99CCFF"/>
          </w:tcPr>
          <w:p w14:paraId="2547B432"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4AD89FD4"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737874A9"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6F205FC4" w14:textId="77777777" w:rsidR="004B7DC9" w:rsidRPr="009C5F11" w:rsidRDefault="004B7DC9" w:rsidP="00A548D9">
            <w:pPr>
              <w:spacing w:after="0"/>
              <w:jc w:val="both"/>
              <w:rPr>
                <w:rFonts w:ascii="Times New Roman" w:eastAsia="Verdana" w:hAnsi="Times New Roman" w:cs="Times New Roman"/>
                <w:sz w:val="18"/>
                <w:szCs w:val="14"/>
                <w:lang w:val="ro-RO"/>
              </w:rPr>
            </w:pPr>
          </w:p>
        </w:tc>
        <w:tc>
          <w:tcPr>
            <w:tcW w:w="2610" w:type="dxa"/>
            <w:gridSpan w:val="5"/>
            <w:shd w:val="clear" w:color="auto" w:fill="99CCFF"/>
          </w:tcPr>
          <w:p w14:paraId="4806E374"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149,177.4</w:t>
            </w:r>
          </w:p>
        </w:tc>
        <w:tc>
          <w:tcPr>
            <w:tcW w:w="1620" w:type="dxa"/>
            <w:gridSpan w:val="3"/>
            <w:shd w:val="clear" w:color="auto" w:fill="99CCFF"/>
          </w:tcPr>
          <w:p w14:paraId="4B50BFB8" w14:textId="77777777" w:rsidR="004B7DC9" w:rsidRPr="009C5F11" w:rsidRDefault="004B7DC9"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91,195.1</w:t>
            </w:r>
          </w:p>
        </w:tc>
        <w:tc>
          <w:tcPr>
            <w:tcW w:w="2340" w:type="dxa"/>
            <w:gridSpan w:val="5"/>
            <w:shd w:val="clear" w:color="auto" w:fill="99CCFF"/>
          </w:tcPr>
          <w:p w14:paraId="73D7C2DE"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90,220</w:t>
            </w:r>
            <w:r w:rsidR="003B28B1" w:rsidRPr="009C5F11">
              <w:rPr>
                <w:rFonts w:ascii="Times New Roman" w:eastAsia="Verdana" w:hAnsi="Times New Roman" w:cs="Times New Roman"/>
                <w:sz w:val="18"/>
                <w:szCs w:val="14"/>
                <w:lang w:val="ro-RO"/>
              </w:rPr>
              <w:t>.0</w:t>
            </w:r>
          </w:p>
        </w:tc>
      </w:tr>
      <w:tr w:rsidR="004B7DC9" w:rsidRPr="009C5F11" w14:paraId="68D2BC16" w14:textId="77777777" w:rsidTr="00212683">
        <w:trPr>
          <w:trHeight w:hRule="exact" w:val="284"/>
        </w:trPr>
        <w:tc>
          <w:tcPr>
            <w:tcW w:w="420" w:type="dxa"/>
            <w:vMerge/>
            <w:shd w:val="clear" w:color="auto" w:fill="99CCFF"/>
          </w:tcPr>
          <w:p w14:paraId="5423150C"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60EB4F37"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3E4AD35D"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val="restart"/>
            <w:shd w:val="clear" w:color="auto" w:fill="99CCFF"/>
          </w:tcPr>
          <w:p w14:paraId="579B5D37" w14:textId="77777777" w:rsidR="004B7DC9" w:rsidRPr="009C5F11" w:rsidRDefault="004B7DC9"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2016-2018</w:t>
            </w:r>
          </w:p>
          <w:p w14:paraId="7E53FD4A" w14:textId="77777777" w:rsidR="004B7DC9" w:rsidRPr="009C5F11" w:rsidRDefault="00A82A02"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7728F8D0"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1620" w:type="dxa"/>
            <w:gridSpan w:val="3"/>
            <w:shd w:val="clear" w:color="auto" w:fill="99CCFF"/>
          </w:tcPr>
          <w:p w14:paraId="79DE4A5B"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c>
          <w:tcPr>
            <w:tcW w:w="2340" w:type="dxa"/>
            <w:gridSpan w:val="5"/>
            <w:shd w:val="clear" w:color="auto" w:fill="99CCFF"/>
          </w:tcPr>
          <w:p w14:paraId="5FD77C91"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2018</w:t>
            </w:r>
          </w:p>
        </w:tc>
      </w:tr>
      <w:tr w:rsidR="004B7DC9" w:rsidRPr="009C5F11" w14:paraId="30668778" w14:textId="77777777" w:rsidTr="00212683">
        <w:trPr>
          <w:trHeight w:hRule="exact" w:val="284"/>
        </w:trPr>
        <w:tc>
          <w:tcPr>
            <w:tcW w:w="420" w:type="dxa"/>
            <w:vMerge/>
            <w:shd w:val="clear" w:color="auto" w:fill="99CCFF"/>
          </w:tcPr>
          <w:p w14:paraId="77868A08"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7F6A4046"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2A30C8DF"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2C96EE33" w14:textId="77777777" w:rsidR="004B7DC9" w:rsidRPr="009C5F11" w:rsidRDefault="004B7DC9" w:rsidP="00A548D9">
            <w:pPr>
              <w:spacing w:after="0"/>
              <w:jc w:val="both"/>
              <w:rPr>
                <w:rFonts w:ascii="Times New Roman" w:eastAsia="Verdana" w:hAnsi="Times New Roman" w:cs="Times New Roman"/>
                <w:sz w:val="18"/>
                <w:szCs w:val="14"/>
                <w:lang w:val="ro-RO"/>
              </w:rPr>
            </w:pPr>
          </w:p>
        </w:tc>
        <w:tc>
          <w:tcPr>
            <w:tcW w:w="2610" w:type="dxa"/>
            <w:gridSpan w:val="5"/>
            <w:shd w:val="clear" w:color="auto" w:fill="99CCFF"/>
          </w:tcPr>
          <w:p w14:paraId="353CF68A"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184,681.9</w:t>
            </w:r>
          </w:p>
        </w:tc>
        <w:tc>
          <w:tcPr>
            <w:tcW w:w="1620" w:type="dxa"/>
            <w:gridSpan w:val="3"/>
            <w:shd w:val="clear" w:color="auto" w:fill="99CCFF"/>
          </w:tcPr>
          <w:p w14:paraId="7ECAE811"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179,520.6</w:t>
            </w:r>
          </w:p>
        </w:tc>
        <w:tc>
          <w:tcPr>
            <w:tcW w:w="2340" w:type="dxa"/>
            <w:gridSpan w:val="5"/>
            <w:shd w:val="clear" w:color="auto" w:fill="99CCFF"/>
          </w:tcPr>
          <w:p w14:paraId="4935CF82"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177,900</w:t>
            </w:r>
          </w:p>
        </w:tc>
      </w:tr>
      <w:tr w:rsidR="004B7DC9" w:rsidRPr="009C5F11" w14:paraId="424EB55C" w14:textId="77777777" w:rsidTr="00212683">
        <w:trPr>
          <w:trHeight w:hRule="exact" w:val="284"/>
        </w:trPr>
        <w:tc>
          <w:tcPr>
            <w:tcW w:w="420" w:type="dxa"/>
            <w:vMerge/>
            <w:shd w:val="clear" w:color="auto" w:fill="99CCFF"/>
          </w:tcPr>
          <w:p w14:paraId="6867C6E1"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7045A018"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val="restart"/>
            <w:shd w:val="clear" w:color="auto" w:fill="99CCFF"/>
          </w:tcPr>
          <w:p w14:paraId="3A1BAA50" w14:textId="77777777" w:rsidR="004B7DC9" w:rsidRPr="009C5F11" w:rsidRDefault="006A096E"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Subprogramul</w:t>
            </w:r>
            <w:r w:rsidR="004B7DC9" w:rsidRPr="009C5F11">
              <w:rPr>
                <w:rFonts w:ascii="Times New Roman" w:eastAsia="Verdana" w:hAnsi="Times New Roman" w:cs="Times New Roman"/>
                <w:sz w:val="18"/>
                <w:szCs w:val="14"/>
                <w:lang w:val="ro-RO"/>
              </w:rPr>
              <w:t xml:space="preserve"> V “</w:t>
            </w:r>
            <w:r w:rsidR="00D155D7" w:rsidRPr="009C5F11">
              <w:rPr>
                <w:rFonts w:ascii="Times New Roman" w:eastAsia="Verdana" w:hAnsi="Times New Roman" w:cs="Times New Roman"/>
                <w:sz w:val="18"/>
                <w:szCs w:val="14"/>
                <w:lang w:val="ro-RO"/>
              </w:rPr>
              <w:t>Dezvoltarea sistemului de furnizare a energiei termice</w:t>
            </w:r>
            <w:r w:rsidR="004B7DC9" w:rsidRPr="009C5F11">
              <w:rPr>
                <w:rFonts w:ascii="Times New Roman" w:eastAsia="Verdana" w:hAnsi="Times New Roman" w:cs="Times New Roman"/>
                <w:sz w:val="18"/>
                <w:szCs w:val="14"/>
                <w:lang w:val="ro-RO"/>
              </w:rPr>
              <w:t>”</w:t>
            </w:r>
          </w:p>
        </w:tc>
        <w:tc>
          <w:tcPr>
            <w:tcW w:w="2667" w:type="dxa"/>
            <w:vMerge w:val="restart"/>
            <w:shd w:val="clear" w:color="auto" w:fill="99CCFF"/>
          </w:tcPr>
          <w:p w14:paraId="526180A0" w14:textId="77777777" w:rsidR="004B7DC9" w:rsidRPr="009C5F11" w:rsidRDefault="004B7DC9"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2015-2017</w:t>
            </w:r>
          </w:p>
          <w:p w14:paraId="0190517F" w14:textId="77777777" w:rsidR="00205225" w:rsidRPr="009C5F11" w:rsidRDefault="00A82A02"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189320AC"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2015</w:t>
            </w:r>
          </w:p>
        </w:tc>
        <w:tc>
          <w:tcPr>
            <w:tcW w:w="1620" w:type="dxa"/>
            <w:gridSpan w:val="3"/>
            <w:shd w:val="clear" w:color="auto" w:fill="99CCFF"/>
          </w:tcPr>
          <w:p w14:paraId="5F592E6A"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2340" w:type="dxa"/>
            <w:gridSpan w:val="5"/>
            <w:shd w:val="clear" w:color="auto" w:fill="99CCFF"/>
          </w:tcPr>
          <w:p w14:paraId="7B568C3B"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r>
      <w:tr w:rsidR="004B7DC9" w:rsidRPr="009C5F11" w14:paraId="003E4536" w14:textId="77777777" w:rsidTr="00212683">
        <w:trPr>
          <w:trHeight w:hRule="exact" w:val="284"/>
        </w:trPr>
        <w:tc>
          <w:tcPr>
            <w:tcW w:w="420" w:type="dxa"/>
            <w:vMerge/>
            <w:shd w:val="clear" w:color="auto" w:fill="99CCFF"/>
          </w:tcPr>
          <w:p w14:paraId="6090630F"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1E353215"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79CF1E3A"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19C785AB" w14:textId="77777777" w:rsidR="004B7DC9" w:rsidRPr="009C5F11" w:rsidRDefault="004B7DC9" w:rsidP="00A548D9">
            <w:pPr>
              <w:spacing w:after="0"/>
              <w:jc w:val="both"/>
              <w:rPr>
                <w:rFonts w:ascii="Times New Roman" w:eastAsia="Verdana" w:hAnsi="Times New Roman" w:cs="Times New Roman"/>
                <w:sz w:val="18"/>
                <w:szCs w:val="14"/>
                <w:lang w:val="ro-RO"/>
              </w:rPr>
            </w:pPr>
          </w:p>
        </w:tc>
        <w:tc>
          <w:tcPr>
            <w:tcW w:w="2610" w:type="dxa"/>
            <w:gridSpan w:val="5"/>
            <w:shd w:val="clear" w:color="auto" w:fill="99CCFF"/>
          </w:tcPr>
          <w:p w14:paraId="165FA87F"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95.8</w:t>
            </w:r>
          </w:p>
        </w:tc>
        <w:tc>
          <w:tcPr>
            <w:tcW w:w="1620" w:type="dxa"/>
            <w:gridSpan w:val="3"/>
            <w:shd w:val="clear" w:color="auto" w:fill="99CCFF"/>
          </w:tcPr>
          <w:p w14:paraId="6ECFCC87"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p>
        </w:tc>
        <w:tc>
          <w:tcPr>
            <w:tcW w:w="2340" w:type="dxa"/>
            <w:gridSpan w:val="5"/>
            <w:shd w:val="clear" w:color="auto" w:fill="99CCFF"/>
          </w:tcPr>
          <w:p w14:paraId="34E64051"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p>
        </w:tc>
      </w:tr>
      <w:tr w:rsidR="004B7DC9" w:rsidRPr="009C5F11" w14:paraId="1D762716" w14:textId="77777777" w:rsidTr="00212683">
        <w:trPr>
          <w:trHeight w:hRule="exact" w:val="284"/>
        </w:trPr>
        <w:tc>
          <w:tcPr>
            <w:tcW w:w="420" w:type="dxa"/>
            <w:vMerge/>
            <w:shd w:val="clear" w:color="auto" w:fill="99CCFF"/>
          </w:tcPr>
          <w:p w14:paraId="6FF1DDAA"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2CD1B3AD"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03E6D1E3"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val="restart"/>
            <w:shd w:val="clear" w:color="auto" w:fill="99CCFF"/>
          </w:tcPr>
          <w:p w14:paraId="490EA35E" w14:textId="77777777" w:rsidR="004B7DC9" w:rsidRPr="009C5F11" w:rsidRDefault="004B7DC9"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2016-2018</w:t>
            </w:r>
          </w:p>
          <w:p w14:paraId="519E25F0" w14:textId="77777777" w:rsidR="00205225" w:rsidRPr="009C5F11" w:rsidRDefault="00A82A02"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610" w:type="dxa"/>
            <w:gridSpan w:val="5"/>
            <w:shd w:val="clear" w:color="auto" w:fill="99CCFF"/>
          </w:tcPr>
          <w:p w14:paraId="3B224B65"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2016</w:t>
            </w:r>
          </w:p>
        </w:tc>
        <w:tc>
          <w:tcPr>
            <w:tcW w:w="1620" w:type="dxa"/>
            <w:gridSpan w:val="3"/>
            <w:shd w:val="clear" w:color="auto" w:fill="99CCFF"/>
          </w:tcPr>
          <w:p w14:paraId="2DB3280D"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2017</w:t>
            </w:r>
          </w:p>
        </w:tc>
        <w:tc>
          <w:tcPr>
            <w:tcW w:w="2340" w:type="dxa"/>
            <w:gridSpan w:val="5"/>
            <w:shd w:val="clear" w:color="auto" w:fill="99CCFF"/>
          </w:tcPr>
          <w:p w14:paraId="4D1443B4" w14:textId="77777777" w:rsidR="004B7DC9" w:rsidRPr="009C5F11" w:rsidRDefault="004B7DC9" w:rsidP="00481A38">
            <w:pPr>
              <w:jc w:val="both"/>
              <w:rPr>
                <w:rFonts w:ascii="Times New Roman" w:eastAsia="Verdana" w:hAnsi="Times New Roman" w:cs="Times New Roman"/>
                <w:i/>
                <w:sz w:val="18"/>
                <w:szCs w:val="14"/>
                <w:lang w:val="ro-RO"/>
              </w:rPr>
            </w:pPr>
            <w:r w:rsidRPr="009C5F11">
              <w:rPr>
                <w:rFonts w:ascii="Times New Roman" w:eastAsia="Verdana" w:hAnsi="Times New Roman" w:cs="Times New Roman"/>
                <w:i/>
                <w:sz w:val="18"/>
                <w:szCs w:val="14"/>
                <w:lang w:val="ro-RO"/>
              </w:rPr>
              <w:t>2018</w:t>
            </w:r>
          </w:p>
        </w:tc>
      </w:tr>
      <w:tr w:rsidR="004B7DC9" w:rsidRPr="009C5F11" w14:paraId="7D426804" w14:textId="77777777" w:rsidTr="00212683">
        <w:trPr>
          <w:trHeight w:hRule="exact" w:val="284"/>
        </w:trPr>
        <w:tc>
          <w:tcPr>
            <w:tcW w:w="420" w:type="dxa"/>
            <w:vMerge/>
            <w:shd w:val="clear" w:color="auto" w:fill="99CCFF"/>
          </w:tcPr>
          <w:p w14:paraId="58C63089"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4640E4CA"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4295FE3D"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0F47305F" w14:textId="77777777" w:rsidR="004B7DC9" w:rsidRPr="009C5F11" w:rsidRDefault="004B7DC9" w:rsidP="00A548D9">
            <w:pPr>
              <w:spacing w:after="0"/>
              <w:jc w:val="both"/>
              <w:rPr>
                <w:rFonts w:ascii="Times New Roman" w:eastAsia="Verdana" w:hAnsi="Times New Roman" w:cs="Times New Roman"/>
                <w:sz w:val="18"/>
                <w:szCs w:val="14"/>
                <w:lang w:val="ro-RO"/>
              </w:rPr>
            </w:pPr>
          </w:p>
        </w:tc>
        <w:tc>
          <w:tcPr>
            <w:tcW w:w="2610" w:type="dxa"/>
            <w:gridSpan w:val="5"/>
            <w:shd w:val="clear" w:color="auto" w:fill="99CCFF"/>
          </w:tcPr>
          <w:p w14:paraId="3917678E"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73,500.0</w:t>
            </w:r>
          </w:p>
        </w:tc>
        <w:tc>
          <w:tcPr>
            <w:tcW w:w="1620" w:type="dxa"/>
            <w:gridSpan w:val="3"/>
            <w:shd w:val="clear" w:color="auto" w:fill="99CCFF"/>
          </w:tcPr>
          <w:p w14:paraId="51EC9185" w14:textId="77777777" w:rsidR="004B7DC9" w:rsidRPr="009C5F11" w:rsidRDefault="004B7DC9" w:rsidP="00481A38">
            <w:pPr>
              <w:rPr>
                <w:rFonts w:ascii="Times New Roman" w:eastAsia="Verdana" w:hAnsi="Times New Roman" w:cs="Times New Roman"/>
                <w:sz w:val="18"/>
                <w:szCs w:val="14"/>
                <w:lang w:val="ro-RO"/>
              </w:rPr>
            </w:pPr>
            <w:r w:rsidRPr="009C5F11">
              <w:rPr>
                <w:rFonts w:ascii="Times New Roman" w:eastAsia="Calibri" w:hAnsi="Times New Roman" w:cs="Times New Roman"/>
                <w:sz w:val="18"/>
                <w:szCs w:val="14"/>
                <w:lang w:val="ro-RO"/>
              </w:rPr>
              <w:t>63,600.0</w:t>
            </w:r>
          </w:p>
        </w:tc>
        <w:tc>
          <w:tcPr>
            <w:tcW w:w="2340" w:type="dxa"/>
            <w:gridSpan w:val="5"/>
            <w:shd w:val="clear" w:color="auto" w:fill="99CCFF"/>
          </w:tcPr>
          <w:p w14:paraId="7B977A79"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w:t>
            </w:r>
          </w:p>
        </w:tc>
      </w:tr>
      <w:tr w:rsidR="004B7DC9" w:rsidRPr="009C5F11" w14:paraId="153918DD" w14:textId="77777777" w:rsidTr="00DE54EC">
        <w:trPr>
          <w:trHeight w:hRule="exact" w:val="587"/>
        </w:trPr>
        <w:tc>
          <w:tcPr>
            <w:tcW w:w="420" w:type="dxa"/>
            <w:shd w:val="clear" w:color="auto" w:fill="99CCFF"/>
          </w:tcPr>
          <w:p w14:paraId="779D6F97"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w:t>
            </w:r>
          </w:p>
        </w:tc>
        <w:tc>
          <w:tcPr>
            <w:tcW w:w="2000" w:type="dxa"/>
            <w:shd w:val="clear" w:color="auto" w:fill="99CCFF"/>
          </w:tcPr>
          <w:p w14:paraId="6DCEE3B9" w14:textId="77777777" w:rsidR="004B7DC9" w:rsidRPr="009C5F11" w:rsidRDefault="00043064" w:rsidP="00B40DB5">
            <w:pPr>
              <w:spacing w:line="24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Bugetul de stat</w:t>
            </w:r>
          </w:p>
          <w:p w14:paraId="35031164" w14:textId="77777777" w:rsidR="004B7DC9" w:rsidRPr="009C5F11" w:rsidRDefault="00E663F9"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bugetele locale şi finanţare externă</w:t>
            </w:r>
          </w:p>
        </w:tc>
        <w:tc>
          <w:tcPr>
            <w:tcW w:w="2401" w:type="dxa"/>
            <w:shd w:val="clear" w:color="auto" w:fill="99CCFF"/>
          </w:tcPr>
          <w:p w14:paraId="51BEF36E" w14:textId="77777777" w:rsidR="004B7DC9" w:rsidRPr="009C5F11" w:rsidRDefault="00D155D7" w:rsidP="00D155D7">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Proiectul pentru biciclişti</w:t>
            </w:r>
          </w:p>
        </w:tc>
        <w:tc>
          <w:tcPr>
            <w:tcW w:w="2667" w:type="dxa"/>
            <w:shd w:val="clear" w:color="auto" w:fill="99CCFF"/>
          </w:tcPr>
          <w:p w14:paraId="258DB574" w14:textId="77777777" w:rsidR="004B7DC9" w:rsidRPr="009C5F11" w:rsidRDefault="00A82A02"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e</w:t>
            </w:r>
            <w:r w:rsidR="00205225" w:rsidRPr="009C5F11">
              <w:rPr>
                <w:rFonts w:ascii="Times New Roman" w:eastAsia="Verdana" w:hAnsi="Times New Roman" w:cs="Times New Roman"/>
                <w:sz w:val="18"/>
                <w:szCs w:val="14"/>
                <w:lang w:val="ro-RO"/>
              </w:rPr>
              <w:t>uro</w:t>
            </w:r>
          </w:p>
        </w:tc>
        <w:tc>
          <w:tcPr>
            <w:tcW w:w="6570" w:type="dxa"/>
            <w:gridSpan w:val="13"/>
            <w:shd w:val="clear" w:color="auto" w:fill="99CCFF"/>
          </w:tcPr>
          <w:p w14:paraId="4876EB99"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5,000,000</w:t>
            </w:r>
            <w:r w:rsidR="000B56D8" w:rsidRPr="009C5F11">
              <w:rPr>
                <w:rFonts w:ascii="Times New Roman" w:eastAsia="Verdana" w:hAnsi="Times New Roman" w:cs="Times New Roman"/>
                <w:sz w:val="18"/>
                <w:szCs w:val="14"/>
                <w:lang w:val="ro-RO"/>
              </w:rPr>
              <w:t xml:space="preserve"> euro</w:t>
            </w:r>
          </w:p>
        </w:tc>
      </w:tr>
      <w:tr w:rsidR="004B7DC9" w:rsidRPr="009C5F11" w14:paraId="1A18AE9C" w14:textId="77777777" w:rsidTr="00A548D9">
        <w:trPr>
          <w:trHeight w:hRule="exact" w:val="1404"/>
        </w:trPr>
        <w:tc>
          <w:tcPr>
            <w:tcW w:w="420" w:type="dxa"/>
            <w:vMerge w:val="restart"/>
            <w:shd w:val="clear" w:color="auto" w:fill="99CCFF"/>
          </w:tcPr>
          <w:p w14:paraId="4A7B8650"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w:t>
            </w:r>
          </w:p>
        </w:tc>
        <w:tc>
          <w:tcPr>
            <w:tcW w:w="2000" w:type="dxa"/>
            <w:vMerge w:val="restart"/>
            <w:shd w:val="clear" w:color="auto" w:fill="99CCFF"/>
          </w:tcPr>
          <w:p w14:paraId="7FDC9575" w14:textId="77777777" w:rsidR="004B7DC9" w:rsidRPr="009C5F11" w:rsidRDefault="00321CD5"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Fondul pentru Eficienţă Energetică</w:t>
            </w:r>
            <w:r w:rsidR="004B7DC9" w:rsidRPr="009C5F11">
              <w:rPr>
                <w:rFonts w:ascii="Times New Roman" w:eastAsia="Verdana" w:hAnsi="Times New Roman" w:cs="Times New Roman"/>
                <w:sz w:val="18"/>
                <w:szCs w:val="14"/>
                <w:lang w:val="ro-RO"/>
              </w:rPr>
              <w:t xml:space="preserve"> (</w:t>
            </w:r>
            <w:r w:rsidR="00AA0566" w:rsidRPr="009C5F11">
              <w:rPr>
                <w:rFonts w:ascii="Times New Roman" w:eastAsia="Verdana" w:hAnsi="Times New Roman" w:cs="Times New Roman"/>
                <w:sz w:val="18"/>
                <w:szCs w:val="14"/>
                <w:lang w:val="ro-RO"/>
              </w:rPr>
              <w:t>FEE</w:t>
            </w:r>
            <w:r w:rsidR="004B7DC9" w:rsidRPr="009C5F11">
              <w:rPr>
                <w:rFonts w:ascii="Times New Roman" w:eastAsia="Verdana" w:hAnsi="Times New Roman" w:cs="Times New Roman"/>
                <w:sz w:val="18"/>
                <w:szCs w:val="14"/>
                <w:lang w:val="ro-RO"/>
              </w:rPr>
              <w:t xml:space="preserve">) </w:t>
            </w:r>
          </w:p>
          <w:p w14:paraId="4C5EA702" w14:textId="77777777" w:rsidR="004B7DC9" w:rsidRPr="009C5F11" w:rsidRDefault="00211450"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s</w:t>
            </w:r>
            <w:r w:rsidR="0089526B" w:rsidRPr="009C5F11">
              <w:rPr>
                <w:rFonts w:ascii="Times New Roman" w:eastAsia="Verdana" w:hAnsi="Times New Roman" w:cs="Times New Roman"/>
                <w:sz w:val="18"/>
                <w:szCs w:val="14"/>
                <w:lang w:val="ro-RO"/>
              </w:rPr>
              <w:t>usţinut de</w:t>
            </w:r>
            <w:r w:rsidR="004B7DC9" w:rsidRPr="009C5F11">
              <w:rPr>
                <w:rFonts w:ascii="Times New Roman" w:eastAsia="Verdana" w:hAnsi="Times New Roman" w:cs="Times New Roman"/>
                <w:sz w:val="18"/>
                <w:szCs w:val="14"/>
                <w:lang w:val="ro-RO"/>
              </w:rPr>
              <w:t xml:space="preserve"> </w:t>
            </w:r>
            <w:r w:rsidR="00896342" w:rsidRPr="009C5F11">
              <w:rPr>
                <w:rFonts w:ascii="Times New Roman" w:eastAsia="Verdana" w:hAnsi="Times New Roman" w:cs="Times New Roman"/>
                <w:sz w:val="18"/>
                <w:szCs w:val="14"/>
                <w:lang w:val="ro-RO"/>
              </w:rPr>
              <w:t>bugetul de stat</w:t>
            </w:r>
            <w:r w:rsidR="004B7DC9" w:rsidRPr="009C5F11">
              <w:rPr>
                <w:rFonts w:ascii="Times New Roman" w:eastAsia="Verdana" w:hAnsi="Times New Roman" w:cs="Times New Roman"/>
                <w:sz w:val="18"/>
                <w:szCs w:val="14"/>
                <w:lang w:val="ro-RO"/>
              </w:rPr>
              <w:t xml:space="preserve"> </w:t>
            </w:r>
          </w:p>
        </w:tc>
        <w:tc>
          <w:tcPr>
            <w:tcW w:w="2401" w:type="dxa"/>
            <w:shd w:val="clear" w:color="auto" w:fill="99CCFF"/>
          </w:tcPr>
          <w:p w14:paraId="6639DB28" w14:textId="77777777" w:rsidR="004B7DC9" w:rsidRPr="009C5F11" w:rsidRDefault="00D155D7"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Toate</w:t>
            </w:r>
            <w:r w:rsidR="004B7DC9" w:rsidRPr="009C5F11">
              <w:rPr>
                <w:rFonts w:ascii="Times New Roman" w:eastAsia="Verdana" w:hAnsi="Times New Roman" w:cs="Times New Roman"/>
                <w:sz w:val="18"/>
                <w:szCs w:val="14"/>
                <w:lang w:val="ro-RO"/>
              </w:rPr>
              <w:t xml:space="preserve"> APP</w:t>
            </w:r>
            <w:r w:rsidRPr="009C5F11">
              <w:rPr>
                <w:rFonts w:ascii="Times New Roman" w:eastAsia="Verdana" w:hAnsi="Times New Roman" w:cs="Times New Roman"/>
                <w:sz w:val="18"/>
                <w:szCs w:val="14"/>
                <w:lang w:val="ro-RO"/>
              </w:rPr>
              <w:t>-urile</w:t>
            </w:r>
            <w:r w:rsidR="004B7DC9" w:rsidRPr="009C5F11">
              <w:rPr>
                <w:rFonts w:ascii="Times New Roman" w:eastAsia="Verdana" w:hAnsi="Times New Roman" w:cs="Times New Roman"/>
                <w:sz w:val="18"/>
                <w:szCs w:val="14"/>
                <w:lang w:val="ro-RO"/>
              </w:rPr>
              <w:t>, APP4</w:t>
            </w:r>
          </w:p>
          <w:p w14:paraId="549968CB" w14:textId="77777777" w:rsidR="004B7DC9" w:rsidRPr="009C5F11" w:rsidRDefault="00D155D7"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Un nou</w:t>
            </w:r>
            <w:r w:rsidR="004B7DC9" w:rsidRPr="009C5F11">
              <w:rPr>
                <w:rFonts w:ascii="Times New Roman" w:eastAsia="Verdana" w:hAnsi="Times New Roman" w:cs="Times New Roman"/>
                <w:sz w:val="18"/>
                <w:szCs w:val="14"/>
                <w:lang w:val="ro-RO"/>
              </w:rPr>
              <w:t xml:space="preserve"> APP</w:t>
            </w:r>
            <w:r w:rsidRPr="009C5F11">
              <w:rPr>
                <w:rFonts w:ascii="Times New Roman" w:eastAsia="Verdana" w:hAnsi="Times New Roman" w:cs="Times New Roman"/>
                <w:sz w:val="18"/>
                <w:szCs w:val="14"/>
                <w:lang w:val="ro-RO"/>
              </w:rPr>
              <w:t xml:space="preserve"> pentru sectorul privat</w:t>
            </w:r>
            <w:r w:rsidR="004B7DC9" w:rsidRPr="009C5F11">
              <w:rPr>
                <w:rFonts w:ascii="Times New Roman" w:eastAsia="Verdana" w:hAnsi="Times New Roman" w:cs="Times New Roman"/>
                <w:sz w:val="18"/>
                <w:szCs w:val="14"/>
                <w:lang w:val="ro-RO"/>
              </w:rPr>
              <w:t xml:space="preserve">: </w:t>
            </w:r>
            <w:r w:rsidR="00F43616" w:rsidRPr="009C5F11">
              <w:rPr>
                <w:rFonts w:ascii="Times New Roman" w:eastAsia="Verdana" w:hAnsi="Times New Roman" w:cs="Times New Roman"/>
                <w:sz w:val="18"/>
                <w:szCs w:val="14"/>
                <w:lang w:val="ro-RO"/>
              </w:rPr>
              <w:t>blocuri</w:t>
            </w:r>
            <w:r w:rsidRPr="009C5F11">
              <w:rPr>
                <w:rFonts w:ascii="Times New Roman" w:eastAsia="Verdana" w:hAnsi="Times New Roman" w:cs="Times New Roman"/>
                <w:sz w:val="18"/>
                <w:szCs w:val="14"/>
                <w:lang w:val="ro-RO"/>
              </w:rPr>
              <w:t xml:space="preserve"> </w:t>
            </w:r>
            <w:r w:rsidR="00F43616" w:rsidRPr="009C5F11">
              <w:rPr>
                <w:rFonts w:ascii="Times New Roman" w:eastAsia="Verdana" w:hAnsi="Times New Roman" w:cs="Times New Roman"/>
                <w:sz w:val="18"/>
                <w:szCs w:val="14"/>
                <w:lang w:val="ro-RO"/>
              </w:rPr>
              <w:t>locative cu multe etaje</w:t>
            </w:r>
            <w:r w:rsidR="004B7DC9" w:rsidRPr="009C5F11">
              <w:rPr>
                <w:rFonts w:ascii="Times New Roman" w:eastAsia="Verdana" w:hAnsi="Times New Roman" w:cs="Times New Roman"/>
                <w:sz w:val="18"/>
                <w:szCs w:val="14"/>
                <w:lang w:val="ro-RO"/>
              </w:rPr>
              <w:t xml:space="preserve">, </w:t>
            </w:r>
            <w:r w:rsidR="001221B7" w:rsidRPr="009C5F11">
              <w:rPr>
                <w:rFonts w:ascii="Times New Roman" w:eastAsia="Verdana" w:hAnsi="Times New Roman" w:cs="Times New Roman"/>
                <w:sz w:val="18"/>
                <w:szCs w:val="14"/>
                <w:lang w:val="ro-RO"/>
              </w:rPr>
              <w:t>potenţial</w:t>
            </w:r>
            <w:r w:rsidR="004B7DC9" w:rsidRPr="009C5F11">
              <w:rPr>
                <w:rFonts w:ascii="Times New Roman" w:eastAsia="Verdana" w:hAnsi="Times New Roman" w:cs="Times New Roman"/>
                <w:sz w:val="18"/>
                <w:szCs w:val="14"/>
                <w:lang w:val="ro-RO"/>
              </w:rPr>
              <w:t xml:space="preserve"> </w:t>
            </w:r>
            <w:r w:rsidR="00D17141" w:rsidRPr="009C5F11">
              <w:rPr>
                <w:rFonts w:ascii="Times New Roman" w:eastAsia="Verdana" w:hAnsi="Times New Roman" w:cs="Times New Roman"/>
                <w:sz w:val="18"/>
                <w:szCs w:val="14"/>
                <w:lang w:val="ro-RO"/>
              </w:rPr>
              <w:t>susţinut de</w:t>
            </w:r>
            <w:r w:rsidR="004B7DC9" w:rsidRPr="009C5F11">
              <w:rPr>
                <w:rFonts w:ascii="Times New Roman" w:eastAsia="Verdana" w:hAnsi="Times New Roman" w:cs="Times New Roman"/>
                <w:sz w:val="18"/>
                <w:szCs w:val="14"/>
                <w:lang w:val="ro-RO"/>
              </w:rPr>
              <w:t xml:space="preserve"> GGF</w:t>
            </w:r>
          </w:p>
        </w:tc>
        <w:tc>
          <w:tcPr>
            <w:tcW w:w="2667" w:type="dxa"/>
            <w:shd w:val="clear" w:color="auto" w:fill="99CCFF"/>
          </w:tcPr>
          <w:p w14:paraId="1C5616BB" w14:textId="77777777" w:rsidR="00205225" w:rsidRPr="009C5F11" w:rsidRDefault="004B7DC9"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2014-2016</w:t>
            </w:r>
          </w:p>
          <w:p w14:paraId="2DB2B563" w14:textId="77777777" w:rsidR="004B7DC9" w:rsidRPr="009C5F11" w:rsidRDefault="00A82A02"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deschis</w:t>
            </w:r>
            <w:r w:rsidR="004B7DC9" w:rsidRPr="009C5F11">
              <w:rPr>
                <w:rFonts w:ascii="Times New Roman" w:eastAsia="Verdana" w:hAnsi="Times New Roman" w:cs="Times New Roman"/>
                <w:sz w:val="18"/>
                <w:szCs w:val="14"/>
                <w:lang w:val="ro-RO"/>
              </w:rPr>
              <w:t xml:space="preserve"> 2016</w:t>
            </w:r>
          </w:p>
          <w:p w14:paraId="3BE56C4F" w14:textId="77777777" w:rsidR="004B7DC9" w:rsidRPr="009C5F11" w:rsidRDefault="004B7DC9"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2016-2018</w:t>
            </w:r>
          </w:p>
        </w:tc>
        <w:tc>
          <w:tcPr>
            <w:tcW w:w="6570" w:type="dxa"/>
            <w:gridSpan w:val="13"/>
            <w:shd w:val="clear" w:color="auto" w:fill="99CCFF"/>
          </w:tcPr>
          <w:p w14:paraId="6B78E844"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570</w:t>
            </w:r>
            <w:r w:rsidR="006860E2" w:rsidRPr="009C5F11">
              <w:rPr>
                <w:rFonts w:ascii="Times New Roman" w:eastAsia="Verdana" w:hAnsi="Times New Roman" w:cs="Times New Roman"/>
                <w:sz w:val="18"/>
                <w:szCs w:val="14"/>
                <w:lang w:val="ro-RO"/>
              </w:rPr>
              <w:t>,000,000</w:t>
            </w:r>
            <w:r w:rsidRPr="009C5F11">
              <w:rPr>
                <w:rFonts w:ascii="Times New Roman" w:eastAsia="Verdana" w:hAnsi="Times New Roman" w:cs="Times New Roman"/>
                <w:sz w:val="18"/>
                <w:szCs w:val="14"/>
                <w:lang w:val="ro-RO"/>
              </w:rPr>
              <w:t xml:space="preserve"> </w:t>
            </w:r>
            <w:r w:rsidR="00421FA7" w:rsidRPr="009C5F11">
              <w:rPr>
                <w:rFonts w:ascii="Times New Roman" w:eastAsia="Verdana" w:hAnsi="Times New Roman" w:cs="Times New Roman"/>
                <w:sz w:val="18"/>
                <w:szCs w:val="14"/>
                <w:lang w:val="ro-RO"/>
              </w:rPr>
              <w:t>lei</w:t>
            </w:r>
            <w:r w:rsidRPr="009C5F11">
              <w:rPr>
                <w:rFonts w:ascii="Times New Roman" w:eastAsia="Verdana" w:hAnsi="Times New Roman" w:cs="Times New Roman"/>
                <w:sz w:val="18"/>
                <w:szCs w:val="14"/>
                <w:lang w:val="ro-RO"/>
              </w:rPr>
              <w:t xml:space="preserve"> </w:t>
            </w:r>
          </w:p>
          <w:p w14:paraId="1873632E" w14:textId="77777777" w:rsidR="004B7DC9" w:rsidRPr="009C5F11" w:rsidRDefault="006860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50,000,000</w:t>
            </w:r>
            <w:r w:rsidR="004B7DC9" w:rsidRPr="009C5F11">
              <w:rPr>
                <w:rFonts w:ascii="Times New Roman" w:eastAsia="Verdana" w:hAnsi="Times New Roman" w:cs="Times New Roman"/>
                <w:sz w:val="18"/>
                <w:szCs w:val="14"/>
                <w:lang w:val="ro-RO"/>
              </w:rPr>
              <w:t xml:space="preserve"> </w:t>
            </w:r>
            <w:r w:rsidR="00421FA7" w:rsidRPr="009C5F11">
              <w:rPr>
                <w:rFonts w:ascii="Times New Roman" w:eastAsia="Verdana" w:hAnsi="Times New Roman" w:cs="Times New Roman"/>
                <w:sz w:val="18"/>
                <w:szCs w:val="14"/>
                <w:lang w:val="ro-RO"/>
              </w:rPr>
              <w:t>lei</w:t>
            </w:r>
          </w:p>
          <w:p w14:paraId="1DB09389" w14:textId="77777777" w:rsidR="00DF3AB2" w:rsidRPr="009C5F11" w:rsidRDefault="007F77BE" w:rsidP="00A82A0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fonduri</w:t>
            </w:r>
            <w:r w:rsidR="00D155D7" w:rsidRPr="009C5F11">
              <w:rPr>
                <w:rFonts w:ascii="Times New Roman" w:eastAsia="Verdana" w:hAnsi="Times New Roman" w:cs="Times New Roman"/>
                <w:sz w:val="18"/>
                <w:szCs w:val="14"/>
                <w:lang w:val="ro-RO"/>
              </w:rPr>
              <w:t>le</w:t>
            </w:r>
            <w:r w:rsidR="005200C8" w:rsidRPr="009C5F11">
              <w:rPr>
                <w:rFonts w:ascii="Times New Roman" w:eastAsia="Verdana" w:hAnsi="Times New Roman" w:cs="Times New Roman"/>
                <w:sz w:val="18"/>
                <w:szCs w:val="14"/>
                <w:lang w:val="ro-RO"/>
              </w:rPr>
              <w:t xml:space="preserve"> </w:t>
            </w:r>
            <w:r w:rsidR="00A82A02" w:rsidRPr="009C5F11">
              <w:rPr>
                <w:rFonts w:ascii="Times New Roman" w:eastAsia="Verdana" w:hAnsi="Times New Roman" w:cs="Times New Roman"/>
                <w:sz w:val="18"/>
                <w:szCs w:val="14"/>
                <w:lang w:val="ro-RO"/>
              </w:rPr>
              <w:t>urmează a fi</w:t>
            </w:r>
            <w:r w:rsidR="005200C8" w:rsidRPr="009C5F11">
              <w:rPr>
                <w:rFonts w:ascii="Times New Roman" w:eastAsia="Verdana" w:hAnsi="Times New Roman" w:cs="Times New Roman"/>
                <w:sz w:val="18"/>
                <w:szCs w:val="14"/>
                <w:lang w:val="ro-RO"/>
              </w:rPr>
              <w:t xml:space="preserve"> alocate</w:t>
            </w:r>
            <w:r w:rsidR="005200C8" w:rsidRPr="009C5F11">
              <w:rPr>
                <w:rStyle w:val="Referinnotdesubsol"/>
                <w:rFonts w:ascii="Times New Roman" w:eastAsia="Verdana" w:hAnsi="Times New Roman" w:cs="Times New Roman"/>
                <w:sz w:val="18"/>
                <w:szCs w:val="14"/>
                <w:lang w:val="ro-RO"/>
              </w:rPr>
              <w:footnoteReference w:id="36"/>
            </w:r>
          </w:p>
        </w:tc>
      </w:tr>
      <w:tr w:rsidR="004B7DC9" w:rsidRPr="009C5F11" w14:paraId="5B671015" w14:textId="77777777" w:rsidTr="00212683">
        <w:trPr>
          <w:trHeight w:hRule="exact" w:val="284"/>
        </w:trPr>
        <w:tc>
          <w:tcPr>
            <w:tcW w:w="420" w:type="dxa"/>
            <w:vMerge/>
            <w:shd w:val="clear" w:color="auto" w:fill="99CCFF"/>
          </w:tcPr>
          <w:p w14:paraId="3FEF6738"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5E57B34C"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val="restart"/>
            <w:shd w:val="clear" w:color="auto" w:fill="99CCFF"/>
          </w:tcPr>
          <w:p w14:paraId="65865049" w14:textId="77777777" w:rsidR="004B7DC9" w:rsidRPr="009C5F11" w:rsidRDefault="00D155D7"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Din cadrul</w:t>
            </w:r>
            <w:r w:rsidR="004B7DC9" w:rsidRPr="009C5F11">
              <w:rPr>
                <w:rFonts w:ascii="Times New Roman" w:eastAsia="Verdana" w:hAnsi="Times New Roman" w:cs="Times New Roman"/>
                <w:sz w:val="18"/>
                <w:szCs w:val="14"/>
                <w:lang w:val="ro-RO"/>
              </w:rPr>
              <w:t xml:space="preserve"> subprogram</w:t>
            </w:r>
            <w:r w:rsidRPr="009C5F11">
              <w:rPr>
                <w:rFonts w:ascii="Times New Roman" w:eastAsia="Verdana" w:hAnsi="Times New Roman" w:cs="Times New Roman"/>
                <w:sz w:val="18"/>
                <w:szCs w:val="14"/>
                <w:lang w:val="ro-RO"/>
              </w:rPr>
              <w:t>ului</w:t>
            </w:r>
            <w:r w:rsidR="004B7DC9" w:rsidRPr="009C5F11">
              <w:rPr>
                <w:rFonts w:ascii="Times New Roman" w:eastAsia="Verdana" w:hAnsi="Times New Roman" w:cs="Times New Roman"/>
                <w:sz w:val="18"/>
                <w:szCs w:val="14"/>
                <w:lang w:val="ro-RO"/>
              </w:rPr>
              <w:t xml:space="preserve"> “</w:t>
            </w:r>
            <w:r w:rsidR="00FD5F1C" w:rsidRPr="009C5F11">
              <w:rPr>
                <w:rFonts w:ascii="Times New Roman" w:eastAsia="Verdana" w:hAnsi="Times New Roman" w:cs="Times New Roman"/>
                <w:sz w:val="18"/>
                <w:szCs w:val="14"/>
                <w:lang w:val="ro-RO"/>
              </w:rPr>
              <w:t>Eficienţa energetică şi surse regenerabile de energie”</w:t>
            </w:r>
          </w:p>
        </w:tc>
        <w:tc>
          <w:tcPr>
            <w:tcW w:w="2667" w:type="dxa"/>
            <w:vMerge w:val="restart"/>
            <w:shd w:val="clear" w:color="auto" w:fill="99CCFF"/>
          </w:tcPr>
          <w:p w14:paraId="6CC2ED03" w14:textId="77777777" w:rsidR="004B7DC9" w:rsidRPr="009C5F11" w:rsidRDefault="004B7DC9"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2015-2017</w:t>
            </w:r>
          </w:p>
          <w:p w14:paraId="0D0B8CE5" w14:textId="77777777" w:rsidR="00567285" w:rsidRPr="009C5F11" w:rsidRDefault="00A82A02"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493" w:type="dxa"/>
            <w:gridSpan w:val="4"/>
            <w:shd w:val="clear" w:color="auto" w:fill="99CCFF"/>
          </w:tcPr>
          <w:p w14:paraId="0F28E9F6"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w:t>
            </w:r>
          </w:p>
        </w:tc>
        <w:tc>
          <w:tcPr>
            <w:tcW w:w="2310" w:type="dxa"/>
            <w:gridSpan w:val="6"/>
            <w:shd w:val="clear" w:color="auto" w:fill="99CCFF"/>
          </w:tcPr>
          <w:p w14:paraId="2FA441C2"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w:t>
            </w:r>
          </w:p>
        </w:tc>
        <w:tc>
          <w:tcPr>
            <w:tcW w:w="1767" w:type="dxa"/>
            <w:gridSpan w:val="3"/>
            <w:shd w:val="clear" w:color="auto" w:fill="99CCFF"/>
          </w:tcPr>
          <w:p w14:paraId="4B7B7C94"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2017</w:t>
            </w:r>
          </w:p>
        </w:tc>
      </w:tr>
      <w:tr w:rsidR="004B7DC9" w:rsidRPr="009C5F11" w14:paraId="7F3DB07A" w14:textId="77777777" w:rsidTr="00212683">
        <w:trPr>
          <w:trHeight w:hRule="exact" w:val="284"/>
        </w:trPr>
        <w:tc>
          <w:tcPr>
            <w:tcW w:w="420" w:type="dxa"/>
            <w:vMerge/>
            <w:shd w:val="clear" w:color="auto" w:fill="99CCFF"/>
          </w:tcPr>
          <w:p w14:paraId="1BE0D910"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1BF3EFB7"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783FFC18"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49B722E6" w14:textId="77777777" w:rsidR="004B7DC9" w:rsidRPr="009C5F11" w:rsidRDefault="004B7DC9" w:rsidP="00A548D9">
            <w:pPr>
              <w:spacing w:after="0"/>
              <w:jc w:val="both"/>
              <w:rPr>
                <w:rFonts w:ascii="Times New Roman" w:eastAsia="Verdana" w:hAnsi="Times New Roman" w:cs="Times New Roman"/>
                <w:sz w:val="18"/>
                <w:szCs w:val="14"/>
                <w:lang w:val="ro-RO"/>
              </w:rPr>
            </w:pPr>
          </w:p>
        </w:tc>
        <w:tc>
          <w:tcPr>
            <w:tcW w:w="2493" w:type="dxa"/>
            <w:gridSpan w:val="4"/>
            <w:shd w:val="clear" w:color="auto" w:fill="99CCFF"/>
          </w:tcPr>
          <w:p w14:paraId="11C2A6E7"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126,088.5</w:t>
            </w:r>
          </w:p>
        </w:tc>
        <w:tc>
          <w:tcPr>
            <w:tcW w:w="2310" w:type="dxa"/>
            <w:gridSpan w:val="6"/>
            <w:shd w:val="clear" w:color="auto" w:fill="99CCFF"/>
          </w:tcPr>
          <w:p w14:paraId="73899B1F"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91,195.1</w:t>
            </w:r>
          </w:p>
        </w:tc>
        <w:tc>
          <w:tcPr>
            <w:tcW w:w="1767" w:type="dxa"/>
            <w:gridSpan w:val="3"/>
            <w:shd w:val="clear" w:color="auto" w:fill="99CCFF"/>
          </w:tcPr>
          <w:p w14:paraId="0110DEBD"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90,220</w:t>
            </w:r>
          </w:p>
        </w:tc>
      </w:tr>
      <w:tr w:rsidR="004B7DC9" w:rsidRPr="009C5F11" w14:paraId="7A8043A6" w14:textId="77777777" w:rsidTr="00212683">
        <w:trPr>
          <w:trHeight w:hRule="exact" w:val="284"/>
        </w:trPr>
        <w:tc>
          <w:tcPr>
            <w:tcW w:w="420" w:type="dxa"/>
            <w:vMerge/>
            <w:shd w:val="clear" w:color="auto" w:fill="99CCFF"/>
          </w:tcPr>
          <w:p w14:paraId="7CA844E2"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5E67948D"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46BAC834"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val="restart"/>
            <w:shd w:val="clear" w:color="auto" w:fill="99CCFF"/>
          </w:tcPr>
          <w:p w14:paraId="069F4AB6" w14:textId="77777777" w:rsidR="004B7DC9" w:rsidRPr="009C5F11" w:rsidRDefault="004B7DC9"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2016-2018</w:t>
            </w:r>
          </w:p>
          <w:p w14:paraId="2801D719" w14:textId="77777777" w:rsidR="00567285" w:rsidRPr="009C5F11" w:rsidRDefault="00A82A02"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w:t>
            </w:r>
            <w:r w:rsidR="00F53252" w:rsidRPr="009C5F11">
              <w:rPr>
                <w:rFonts w:ascii="Times New Roman" w:eastAsia="Verdana" w:hAnsi="Times New Roman" w:cs="Times New Roman"/>
                <w:sz w:val="18"/>
                <w:szCs w:val="14"/>
                <w:lang w:val="ro-RO"/>
              </w:rPr>
              <w:t>ii lei</w:t>
            </w:r>
          </w:p>
        </w:tc>
        <w:tc>
          <w:tcPr>
            <w:tcW w:w="2493" w:type="dxa"/>
            <w:gridSpan w:val="4"/>
            <w:shd w:val="clear" w:color="auto" w:fill="99CCFF"/>
          </w:tcPr>
          <w:p w14:paraId="69A5AFA6"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w:t>
            </w:r>
          </w:p>
        </w:tc>
        <w:tc>
          <w:tcPr>
            <w:tcW w:w="2310" w:type="dxa"/>
            <w:gridSpan w:val="6"/>
            <w:shd w:val="clear" w:color="auto" w:fill="99CCFF"/>
          </w:tcPr>
          <w:p w14:paraId="14505DC8"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2017</w:t>
            </w:r>
          </w:p>
        </w:tc>
        <w:tc>
          <w:tcPr>
            <w:tcW w:w="1767" w:type="dxa"/>
            <w:gridSpan w:val="3"/>
            <w:shd w:val="clear" w:color="auto" w:fill="99CCFF"/>
          </w:tcPr>
          <w:p w14:paraId="6A2A7967"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2018</w:t>
            </w:r>
          </w:p>
        </w:tc>
      </w:tr>
      <w:tr w:rsidR="004B7DC9" w:rsidRPr="009C5F11" w14:paraId="2DB76C6D" w14:textId="77777777" w:rsidTr="00212683">
        <w:trPr>
          <w:trHeight w:hRule="exact" w:val="284"/>
        </w:trPr>
        <w:tc>
          <w:tcPr>
            <w:tcW w:w="420" w:type="dxa"/>
            <w:vMerge/>
            <w:shd w:val="clear" w:color="auto" w:fill="99CCFF"/>
          </w:tcPr>
          <w:p w14:paraId="25B03257"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7387F0F8"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vMerge/>
            <w:shd w:val="clear" w:color="auto" w:fill="99CCFF"/>
          </w:tcPr>
          <w:p w14:paraId="4134513B" w14:textId="77777777" w:rsidR="004B7DC9" w:rsidRPr="009C5F11" w:rsidRDefault="004B7DC9" w:rsidP="00481A38">
            <w:pPr>
              <w:jc w:val="both"/>
              <w:rPr>
                <w:rFonts w:ascii="Times New Roman" w:eastAsia="Verdana" w:hAnsi="Times New Roman" w:cs="Times New Roman"/>
                <w:sz w:val="18"/>
                <w:szCs w:val="14"/>
                <w:lang w:val="ro-RO"/>
              </w:rPr>
            </w:pPr>
          </w:p>
        </w:tc>
        <w:tc>
          <w:tcPr>
            <w:tcW w:w="2667" w:type="dxa"/>
            <w:vMerge/>
            <w:shd w:val="clear" w:color="auto" w:fill="99CCFF"/>
          </w:tcPr>
          <w:p w14:paraId="0F1D1715" w14:textId="77777777" w:rsidR="004B7DC9" w:rsidRPr="009C5F11" w:rsidRDefault="004B7DC9" w:rsidP="00A548D9">
            <w:pPr>
              <w:spacing w:after="0"/>
              <w:jc w:val="both"/>
              <w:rPr>
                <w:rFonts w:ascii="Times New Roman" w:eastAsia="Verdana" w:hAnsi="Times New Roman" w:cs="Times New Roman"/>
                <w:sz w:val="18"/>
                <w:szCs w:val="14"/>
                <w:lang w:val="ro-RO"/>
              </w:rPr>
            </w:pPr>
          </w:p>
        </w:tc>
        <w:tc>
          <w:tcPr>
            <w:tcW w:w="2493" w:type="dxa"/>
            <w:gridSpan w:val="4"/>
            <w:shd w:val="clear" w:color="auto" w:fill="99CCFF"/>
          </w:tcPr>
          <w:p w14:paraId="6A0B4184"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172,680</w:t>
            </w:r>
          </w:p>
        </w:tc>
        <w:tc>
          <w:tcPr>
            <w:tcW w:w="2310" w:type="dxa"/>
            <w:gridSpan w:val="6"/>
            <w:shd w:val="clear" w:color="auto" w:fill="99CCFF"/>
          </w:tcPr>
          <w:p w14:paraId="4CDD4A55"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Times New Roman" w:hAnsi="Times New Roman" w:cs="Times New Roman"/>
                <w:sz w:val="18"/>
                <w:szCs w:val="14"/>
                <w:lang w:val="ro-RO" w:eastAsia="ru-RU"/>
              </w:rPr>
              <w:t>172,680</w:t>
            </w:r>
          </w:p>
        </w:tc>
        <w:tc>
          <w:tcPr>
            <w:tcW w:w="1767" w:type="dxa"/>
            <w:gridSpan w:val="3"/>
            <w:shd w:val="clear" w:color="auto" w:fill="99CCFF"/>
          </w:tcPr>
          <w:p w14:paraId="60796F80"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Times New Roman" w:hAnsi="Times New Roman" w:cs="Times New Roman"/>
                <w:sz w:val="18"/>
                <w:szCs w:val="14"/>
                <w:lang w:val="ro-RO" w:eastAsia="ru-RU"/>
              </w:rPr>
              <w:t>172,680</w:t>
            </w:r>
          </w:p>
        </w:tc>
      </w:tr>
      <w:tr w:rsidR="004B7DC9" w:rsidRPr="009C5F11" w14:paraId="06EC172A" w14:textId="77777777" w:rsidTr="00212683">
        <w:trPr>
          <w:trHeight w:hRule="exact" w:val="284"/>
        </w:trPr>
        <w:tc>
          <w:tcPr>
            <w:tcW w:w="420" w:type="dxa"/>
            <w:vMerge w:val="restart"/>
            <w:shd w:val="clear" w:color="auto" w:fill="99CCFF"/>
          </w:tcPr>
          <w:p w14:paraId="70C74CCA"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4</w:t>
            </w:r>
          </w:p>
        </w:tc>
        <w:tc>
          <w:tcPr>
            <w:tcW w:w="2000" w:type="dxa"/>
            <w:vMerge w:val="restart"/>
            <w:shd w:val="clear" w:color="auto" w:fill="99CCFF"/>
          </w:tcPr>
          <w:p w14:paraId="28D9CE41" w14:textId="77777777" w:rsidR="004B7DC9" w:rsidRPr="009C5F11" w:rsidRDefault="00F53252"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Fondul de Investiţii Sociale din Moldova</w:t>
            </w:r>
            <w:r w:rsidR="004B7DC9"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FISM</w:t>
            </w:r>
            <w:r w:rsidR="004B7DC9" w:rsidRPr="009C5F11">
              <w:rPr>
                <w:rFonts w:ascii="Times New Roman" w:eastAsia="Verdana" w:hAnsi="Times New Roman" w:cs="Times New Roman"/>
                <w:sz w:val="18"/>
                <w:szCs w:val="14"/>
                <w:lang w:val="ro-RO"/>
              </w:rPr>
              <w:t>)</w:t>
            </w:r>
          </w:p>
        </w:tc>
        <w:tc>
          <w:tcPr>
            <w:tcW w:w="2401" w:type="dxa"/>
            <w:shd w:val="clear" w:color="auto" w:fill="99CCFF"/>
          </w:tcPr>
          <w:p w14:paraId="46CA6A9B" w14:textId="77777777" w:rsidR="004B7DC9" w:rsidRPr="009C5F11" w:rsidRDefault="00D155D7"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În total</w:t>
            </w:r>
          </w:p>
        </w:tc>
        <w:tc>
          <w:tcPr>
            <w:tcW w:w="2667" w:type="dxa"/>
            <w:shd w:val="clear" w:color="auto" w:fill="99CCFF"/>
          </w:tcPr>
          <w:p w14:paraId="5E6891BA" w14:textId="77777777" w:rsidR="004B7DC9" w:rsidRPr="009C5F11" w:rsidRDefault="004B7DC9" w:rsidP="00A548D9">
            <w:pPr>
              <w:spacing w:after="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1997 </w:t>
            </w:r>
            <w:r w:rsidR="00A82A02"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 xml:space="preserve"> </w:t>
            </w:r>
            <w:r w:rsidR="00A82A02" w:rsidRPr="009C5F11">
              <w:rPr>
                <w:rFonts w:ascii="Times New Roman" w:eastAsia="Verdana" w:hAnsi="Times New Roman" w:cs="Times New Roman"/>
                <w:sz w:val="18"/>
                <w:szCs w:val="14"/>
                <w:lang w:val="ro-RO"/>
              </w:rPr>
              <w:t>în prezent</w:t>
            </w:r>
          </w:p>
        </w:tc>
        <w:tc>
          <w:tcPr>
            <w:tcW w:w="6570" w:type="dxa"/>
            <w:gridSpan w:val="13"/>
            <w:shd w:val="clear" w:color="auto" w:fill="99CCFF"/>
          </w:tcPr>
          <w:p w14:paraId="6CAB691B"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110,000,000</w:t>
            </w:r>
            <w:r w:rsidR="000B56D8" w:rsidRPr="009C5F11">
              <w:rPr>
                <w:rFonts w:ascii="Times New Roman" w:eastAsia="Verdana" w:hAnsi="Times New Roman" w:cs="Times New Roman"/>
                <w:sz w:val="18"/>
                <w:szCs w:val="14"/>
                <w:lang w:val="ro-RO"/>
              </w:rPr>
              <w:t xml:space="preserve"> euro</w:t>
            </w:r>
          </w:p>
        </w:tc>
      </w:tr>
      <w:tr w:rsidR="004B7DC9" w:rsidRPr="009C5F11" w14:paraId="4D1AD210" w14:textId="77777777" w:rsidTr="00A548D9">
        <w:trPr>
          <w:trHeight w:hRule="exact" w:val="1274"/>
        </w:trPr>
        <w:tc>
          <w:tcPr>
            <w:tcW w:w="420" w:type="dxa"/>
            <w:vMerge/>
            <w:shd w:val="clear" w:color="auto" w:fill="99CCFF"/>
          </w:tcPr>
          <w:p w14:paraId="2A415E88"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28D44AB2"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7342467C" w14:textId="77777777" w:rsidR="004B7DC9" w:rsidRPr="009C5F11" w:rsidRDefault="00D155D7"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Program de asistenţă </w:t>
            </w:r>
            <w:r w:rsidR="00211450" w:rsidRPr="009C5F11">
              <w:rPr>
                <w:rFonts w:ascii="Times New Roman" w:eastAsia="Verdana" w:hAnsi="Times New Roman" w:cs="Times New Roman"/>
                <w:sz w:val="18"/>
                <w:szCs w:val="14"/>
                <w:lang w:val="ro-RO"/>
              </w:rPr>
              <w:t>te</w:t>
            </w:r>
            <w:r w:rsidR="004B7DC9" w:rsidRPr="009C5F11">
              <w:rPr>
                <w:rFonts w:ascii="Times New Roman" w:eastAsia="Verdana" w:hAnsi="Times New Roman" w:cs="Times New Roman"/>
                <w:sz w:val="18"/>
                <w:szCs w:val="14"/>
                <w:lang w:val="ro-RO"/>
              </w:rPr>
              <w:t>hnic</w:t>
            </w:r>
            <w:r w:rsidR="00211450" w:rsidRPr="009C5F11">
              <w:rPr>
                <w:rFonts w:ascii="Times New Roman" w:eastAsia="Verdana" w:hAnsi="Times New Roman" w:cs="Times New Roman"/>
                <w:sz w:val="18"/>
                <w:szCs w:val="14"/>
                <w:lang w:val="ro-RO"/>
              </w:rPr>
              <w:t>ă</w:t>
            </w:r>
            <w:r w:rsidR="00321CD5" w:rsidRPr="009C5F11">
              <w:rPr>
                <w:rFonts w:ascii="Times New Roman" w:eastAsia="Verdana" w:hAnsi="Times New Roman" w:cs="Times New Roman"/>
                <w:sz w:val="18"/>
                <w:szCs w:val="14"/>
                <w:lang w:val="ro-RO"/>
              </w:rPr>
              <w:t xml:space="preserve"> şi </w:t>
            </w:r>
            <w:r w:rsidR="00211450" w:rsidRPr="009C5F11">
              <w:rPr>
                <w:rFonts w:ascii="Times New Roman" w:eastAsia="Verdana" w:hAnsi="Times New Roman" w:cs="Times New Roman"/>
                <w:sz w:val="18"/>
                <w:szCs w:val="14"/>
                <w:lang w:val="ro-RO"/>
              </w:rPr>
              <w:t>f</w:t>
            </w:r>
            <w:r w:rsidR="004B7DC9" w:rsidRPr="009C5F11">
              <w:rPr>
                <w:rFonts w:ascii="Times New Roman" w:eastAsia="Verdana" w:hAnsi="Times New Roman" w:cs="Times New Roman"/>
                <w:sz w:val="18"/>
                <w:szCs w:val="14"/>
                <w:lang w:val="ro-RO"/>
              </w:rPr>
              <w:t>inancia</w:t>
            </w:r>
            <w:r w:rsidR="00211450" w:rsidRPr="009C5F11">
              <w:rPr>
                <w:rFonts w:ascii="Times New Roman" w:eastAsia="Verdana" w:hAnsi="Times New Roman" w:cs="Times New Roman"/>
                <w:sz w:val="18"/>
                <w:szCs w:val="14"/>
                <w:lang w:val="ro-RO"/>
              </w:rPr>
              <w:t>ră</w:t>
            </w:r>
            <w:r w:rsidR="004B7DC9" w:rsidRPr="009C5F11">
              <w:rPr>
                <w:rFonts w:ascii="Times New Roman" w:eastAsia="Verdana" w:hAnsi="Times New Roman" w:cs="Times New Roman"/>
                <w:sz w:val="18"/>
                <w:szCs w:val="14"/>
                <w:lang w:val="ro-RO"/>
              </w:rPr>
              <w:t xml:space="preserve"> </w:t>
            </w:r>
            <w:r w:rsidR="000138BD" w:rsidRPr="009C5F11">
              <w:rPr>
                <w:rFonts w:ascii="Times New Roman" w:eastAsia="Verdana" w:hAnsi="Times New Roman" w:cs="Times New Roman"/>
                <w:sz w:val="18"/>
                <w:szCs w:val="14"/>
                <w:lang w:val="ro-RO"/>
              </w:rPr>
              <w:t>oferit de</w:t>
            </w:r>
            <w:r w:rsidR="004B7DC9" w:rsidRPr="009C5F11">
              <w:rPr>
                <w:rFonts w:ascii="Times New Roman" w:eastAsia="Verdana" w:hAnsi="Times New Roman" w:cs="Times New Roman"/>
                <w:sz w:val="18"/>
                <w:szCs w:val="14"/>
                <w:lang w:val="ro-RO"/>
              </w:rPr>
              <w:t xml:space="preserve"> </w:t>
            </w:r>
            <w:r w:rsidR="00800247" w:rsidRPr="009C5F11">
              <w:rPr>
                <w:rFonts w:ascii="Times New Roman" w:eastAsia="Verdana" w:hAnsi="Times New Roman" w:cs="Times New Roman"/>
                <w:sz w:val="18"/>
                <w:szCs w:val="14"/>
                <w:lang w:val="ro-RO"/>
              </w:rPr>
              <w:t>Guvernul</w:t>
            </w:r>
            <w:r w:rsidR="004B7DC9" w:rsidRPr="009C5F11">
              <w:rPr>
                <w:rFonts w:ascii="Times New Roman" w:eastAsia="Verdana" w:hAnsi="Times New Roman" w:cs="Times New Roman"/>
                <w:sz w:val="18"/>
                <w:szCs w:val="14"/>
                <w:lang w:val="ro-RO"/>
              </w:rPr>
              <w:t xml:space="preserve"> </w:t>
            </w:r>
            <w:r w:rsidR="00381715" w:rsidRPr="009C5F11">
              <w:rPr>
                <w:rFonts w:ascii="Times New Roman" w:eastAsia="Verdana" w:hAnsi="Times New Roman" w:cs="Times New Roman"/>
                <w:sz w:val="18"/>
                <w:szCs w:val="14"/>
                <w:lang w:val="ro-RO"/>
              </w:rPr>
              <w:t>Români</w:t>
            </w:r>
            <w:r w:rsidR="00211450" w:rsidRPr="009C5F11">
              <w:rPr>
                <w:rFonts w:ascii="Times New Roman" w:eastAsia="Verdana" w:hAnsi="Times New Roman" w:cs="Times New Roman"/>
                <w:sz w:val="18"/>
                <w:szCs w:val="14"/>
                <w:lang w:val="ro-RO"/>
              </w:rPr>
              <w:t>ei</w:t>
            </w:r>
            <w:r w:rsidR="004B7DC9" w:rsidRPr="009C5F11">
              <w:rPr>
                <w:rFonts w:ascii="Times New Roman" w:eastAsia="Verdana" w:hAnsi="Times New Roman" w:cs="Times New Roman"/>
                <w:sz w:val="18"/>
                <w:szCs w:val="14"/>
                <w:lang w:val="ro-RO"/>
              </w:rPr>
              <w:t xml:space="preserve"> </w:t>
            </w:r>
            <w:r w:rsidR="00211450" w:rsidRPr="009C5F11">
              <w:rPr>
                <w:rFonts w:ascii="Times New Roman" w:eastAsia="Verdana" w:hAnsi="Times New Roman" w:cs="Times New Roman"/>
                <w:sz w:val="18"/>
                <w:szCs w:val="14"/>
                <w:lang w:val="ro-RO"/>
              </w:rPr>
              <w:t>instituţiilor preşcolare din</w:t>
            </w:r>
            <w:r w:rsidR="004B7DC9" w:rsidRPr="009C5F11">
              <w:rPr>
                <w:rFonts w:ascii="Times New Roman" w:eastAsia="Verdana" w:hAnsi="Times New Roman" w:cs="Times New Roman"/>
                <w:sz w:val="18"/>
                <w:szCs w:val="14"/>
                <w:lang w:val="ro-RO"/>
              </w:rPr>
              <w:t xml:space="preserve"> Republic</w:t>
            </w:r>
            <w:r w:rsidR="00211450" w:rsidRPr="009C5F11">
              <w:rPr>
                <w:rFonts w:ascii="Times New Roman" w:eastAsia="Verdana" w:hAnsi="Times New Roman" w:cs="Times New Roman"/>
                <w:sz w:val="18"/>
                <w:szCs w:val="14"/>
                <w:lang w:val="ro-RO"/>
              </w:rPr>
              <w:t>a</w:t>
            </w:r>
            <w:r w:rsidR="00137156" w:rsidRPr="009C5F11">
              <w:rPr>
                <w:rFonts w:ascii="Times New Roman" w:eastAsia="Verdana" w:hAnsi="Times New Roman" w:cs="Times New Roman"/>
                <w:sz w:val="18"/>
                <w:szCs w:val="14"/>
                <w:lang w:val="ro-RO"/>
              </w:rPr>
              <w:t xml:space="preserve"> Moldova</w:t>
            </w:r>
          </w:p>
        </w:tc>
        <w:tc>
          <w:tcPr>
            <w:tcW w:w="2667" w:type="dxa"/>
            <w:shd w:val="clear" w:color="auto" w:fill="99CCFF"/>
          </w:tcPr>
          <w:p w14:paraId="5096E940" w14:textId="77777777" w:rsidR="004B7DC9" w:rsidRPr="009C5F11" w:rsidRDefault="004B7DC9"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487F0CCC" w14:textId="77777777" w:rsidR="004B7DC9" w:rsidRPr="009C5F11" w:rsidRDefault="004B7DC9"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20,728,274 </w:t>
            </w:r>
            <w:r w:rsidR="000B56D8" w:rsidRPr="009C5F11">
              <w:rPr>
                <w:rFonts w:ascii="Times New Roman" w:eastAsia="Verdana" w:hAnsi="Times New Roman" w:cs="Times New Roman"/>
                <w:sz w:val="18"/>
                <w:szCs w:val="14"/>
                <w:lang w:val="ro-RO"/>
              </w:rPr>
              <w:t xml:space="preserve">euro, </w:t>
            </w:r>
            <w:r w:rsidR="00F53252" w:rsidRPr="009C5F11">
              <w:rPr>
                <w:rFonts w:ascii="Times New Roman" w:eastAsia="Verdana" w:hAnsi="Times New Roman" w:cs="Times New Roman"/>
                <w:sz w:val="18"/>
                <w:szCs w:val="14"/>
                <w:lang w:val="ro-RO"/>
              </w:rPr>
              <w:t>din care</w:t>
            </w:r>
            <w:r w:rsidRPr="009C5F11">
              <w:rPr>
                <w:rFonts w:ascii="Times New Roman" w:eastAsia="Verdana" w:hAnsi="Times New Roman" w:cs="Times New Roman"/>
                <w:sz w:val="18"/>
                <w:szCs w:val="14"/>
                <w:lang w:val="ro-RO"/>
              </w:rPr>
              <w:t xml:space="preserve"> 16,513,262 </w:t>
            </w:r>
            <w:r w:rsidR="000B56D8" w:rsidRPr="009C5F11">
              <w:rPr>
                <w:rFonts w:ascii="Times New Roman" w:eastAsia="Verdana" w:hAnsi="Times New Roman" w:cs="Times New Roman"/>
                <w:sz w:val="18"/>
                <w:szCs w:val="14"/>
                <w:lang w:val="ro-RO"/>
              </w:rPr>
              <w:t xml:space="preserve">euro – pentru </w:t>
            </w:r>
            <w:r w:rsidR="00A82A02" w:rsidRPr="009C5F11">
              <w:rPr>
                <w:rFonts w:ascii="Times New Roman" w:eastAsia="Verdana" w:hAnsi="Times New Roman" w:cs="Times New Roman"/>
                <w:sz w:val="18"/>
                <w:szCs w:val="14"/>
                <w:lang w:val="ro-RO"/>
              </w:rPr>
              <w:t>lucrări de construcţie</w:t>
            </w:r>
            <w:r w:rsidR="00321CD5" w:rsidRPr="009C5F11">
              <w:rPr>
                <w:rFonts w:ascii="Times New Roman" w:eastAsia="Verdana" w:hAnsi="Times New Roman" w:cs="Times New Roman"/>
                <w:sz w:val="18"/>
                <w:szCs w:val="14"/>
                <w:lang w:val="ro-RO"/>
              </w:rPr>
              <w:t xml:space="preserve"> şi </w:t>
            </w:r>
            <w:r w:rsidRPr="009C5F11">
              <w:rPr>
                <w:rFonts w:ascii="Times New Roman" w:eastAsia="Verdana" w:hAnsi="Times New Roman" w:cs="Times New Roman"/>
                <w:sz w:val="18"/>
                <w:szCs w:val="14"/>
                <w:lang w:val="ro-RO"/>
              </w:rPr>
              <w:t>4,215,012</w:t>
            </w:r>
            <w:r w:rsidR="000B56D8" w:rsidRPr="009C5F11">
              <w:rPr>
                <w:rFonts w:ascii="Times New Roman" w:eastAsia="Verdana" w:hAnsi="Times New Roman" w:cs="Times New Roman"/>
                <w:sz w:val="18"/>
                <w:szCs w:val="14"/>
                <w:lang w:val="ro-RO"/>
              </w:rPr>
              <w:t xml:space="preserve"> euro – pentru </w:t>
            </w:r>
            <w:r w:rsidR="00A82A02" w:rsidRPr="009C5F11">
              <w:rPr>
                <w:rFonts w:ascii="Times New Roman" w:eastAsia="Verdana" w:hAnsi="Times New Roman" w:cs="Times New Roman"/>
                <w:sz w:val="18"/>
                <w:szCs w:val="14"/>
                <w:lang w:val="ro-RO"/>
              </w:rPr>
              <w:t>achiziţionarea de bunuri</w:t>
            </w:r>
          </w:p>
        </w:tc>
      </w:tr>
      <w:tr w:rsidR="004B7DC9" w:rsidRPr="009C5F11" w14:paraId="4C841282" w14:textId="77777777" w:rsidTr="006F31FD">
        <w:trPr>
          <w:trHeight w:hRule="exact" w:val="1420"/>
        </w:trPr>
        <w:tc>
          <w:tcPr>
            <w:tcW w:w="420" w:type="dxa"/>
            <w:vMerge/>
            <w:shd w:val="clear" w:color="auto" w:fill="99CCFF"/>
          </w:tcPr>
          <w:p w14:paraId="18F9957E"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39E8C8E8"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327046B9" w14:textId="77777777" w:rsidR="004B7DC9" w:rsidRPr="009C5F11" w:rsidRDefault="00211450" w:rsidP="00B40DB5">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Proiect în domeniul i</w:t>
            </w:r>
            <w:r w:rsidR="004B7DC9" w:rsidRPr="009C5F11">
              <w:rPr>
                <w:rFonts w:ascii="Times New Roman" w:eastAsia="Verdana" w:hAnsi="Times New Roman" w:cs="Times New Roman"/>
                <w:sz w:val="18"/>
                <w:szCs w:val="14"/>
                <w:lang w:val="ro-RO"/>
              </w:rPr>
              <w:t>nfrastructur</w:t>
            </w:r>
            <w:r w:rsidRPr="009C5F11">
              <w:rPr>
                <w:rFonts w:ascii="Times New Roman" w:eastAsia="Verdana" w:hAnsi="Times New Roman" w:cs="Times New Roman"/>
                <w:sz w:val="18"/>
                <w:szCs w:val="14"/>
                <w:lang w:val="ro-RO"/>
              </w:rPr>
              <w:t>ii sociale</w:t>
            </w:r>
            <w:r w:rsidR="00321CD5" w:rsidRPr="009C5F11">
              <w:rPr>
                <w:rFonts w:ascii="Times New Roman" w:eastAsia="Verdana" w:hAnsi="Times New Roman" w:cs="Times New Roman"/>
                <w:sz w:val="18"/>
                <w:szCs w:val="14"/>
                <w:lang w:val="ro-RO"/>
              </w:rPr>
              <w:t xml:space="preserve"> şi </w:t>
            </w:r>
            <w:r w:rsidRPr="009C5F11">
              <w:rPr>
                <w:rFonts w:ascii="Times New Roman" w:eastAsia="Verdana" w:hAnsi="Times New Roman" w:cs="Times New Roman"/>
                <w:sz w:val="18"/>
                <w:szCs w:val="14"/>
                <w:lang w:val="ro-RO"/>
              </w:rPr>
              <w:t>eficienţei energetice</w:t>
            </w:r>
            <w:r w:rsidR="004B7DC9"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g</w:t>
            </w:r>
            <w:r w:rsidR="004B7DC9" w:rsidRPr="009C5F11">
              <w:rPr>
                <w:rFonts w:ascii="Times New Roman" w:eastAsia="Verdana" w:hAnsi="Times New Roman" w:cs="Times New Roman"/>
                <w:sz w:val="18"/>
                <w:szCs w:val="14"/>
                <w:lang w:val="ro-RO"/>
              </w:rPr>
              <w:t>rant</w:t>
            </w:r>
            <w:r w:rsidRPr="009C5F11">
              <w:rPr>
                <w:rFonts w:ascii="Times New Roman" w:eastAsia="Verdana" w:hAnsi="Times New Roman" w:cs="Times New Roman"/>
                <w:sz w:val="18"/>
                <w:szCs w:val="14"/>
                <w:lang w:val="ro-RO"/>
              </w:rPr>
              <w:t xml:space="preserve"> din partea KfW </w:t>
            </w:r>
          </w:p>
        </w:tc>
        <w:tc>
          <w:tcPr>
            <w:tcW w:w="2667" w:type="dxa"/>
            <w:shd w:val="clear" w:color="auto" w:fill="99CCFF"/>
          </w:tcPr>
          <w:p w14:paraId="1855E3E7" w14:textId="77777777" w:rsidR="004B7DC9" w:rsidRPr="009C5F11" w:rsidRDefault="004B7DC9"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3214CD57" w14:textId="77777777" w:rsidR="004B7DC9" w:rsidRPr="009C5F11" w:rsidRDefault="005D06FD" w:rsidP="00A548D9">
            <w:pPr>
              <w:spacing w:after="0" w:line="36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Clădiri publice</w:t>
            </w:r>
            <w:r w:rsidR="004B7DC9" w:rsidRPr="009C5F11">
              <w:rPr>
                <w:rFonts w:ascii="Times New Roman" w:eastAsia="Verdana" w:hAnsi="Times New Roman" w:cs="Times New Roman"/>
                <w:sz w:val="18"/>
                <w:szCs w:val="14"/>
                <w:lang w:val="ro-RO"/>
              </w:rPr>
              <w:t>:</w:t>
            </w:r>
            <w:r w:rsidR="00055095" w:rsidRPr="009C5F11">
              <w:rPr>
                <w:rFonts w:ascii="Times New Roman" w:eastAsia="Verdana" w:hAnsi="Times New Roman" w:cs="Times New Roman"/>
                <w:sz w:val="18"/>
                <w:szCs w:val="14"/>
                <w:lang w:val="ro-RO"/>
              </w:rPr>
              <w:t xml:space="preserve">    </w:t>
            </w:r>
            <w:r w:rsidR="000B56D8" w:rsidRPr="009C5F11">
              <w:rPr>
                <w:rFonts w:ascii="Times New Roman" w:eastAsia="Verdana" w:hAnsi="Times New Roman" w:cs="Times New Roman"/>
                <w:sz w:val="18"/>
                <w:szCs w:val="14"/>
                <w:lang w:val="ro-RO"/>
              </w:rPr>
              <w:t xml:space="preserve">        </w:t>
            </w:r>
            <w:r w:rsidR="004B7DC9" w:rsidRPr="009C5F11">
              <w:rPr>
                <w:rFonts w:ascii="Times New Roman" w:eastAsia="Verdana" w:hAnsi="Times New Roman" w:cs="Times New Roman"/>
                <w:sz w:val="18"/>
                <w:szCs w:val="14"/>
                <w:lang w:val="ro-RO"/>
              </w:rPr>
              <w:t>3,380,527</w:t>
            </w:r>
            <w:r w:rsidR="000B56D8" w:rsidRPr="009C5F11">
              <w:rPr>
                <w:rFonts w:ascii="Times New Roman" w:eastAsia="Verdana" w:hAnsi="Times New Roman" w:cs="Times New Roman"/>
                <w:sz w:val="18"/>
                <w:szCs w:val="14"/>
                <w:lang w:val="ro-RO"/>
              </w:rPr>
              <w:t xml:space="preserve"> euro</w:t>
            </w:r>
          </w:p>
          <w:p w14:paraId="631653D3" w14:textId="77777777" w:rsidR="004B7DC9" w:rsidRPr="009C5F11" w:rsidRDefault="000E55A5" w:rsidP="00A548D9">
            <w:pPr>
              <w:spacing w:after="0" w:line="36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Infrastructura apei</w:t>
            </w:r>
            <w:r w:rsidR="004B7DC9" w:rsidRPr="009C5F11">
              <w:rPr>
                <w:rFonts w:ascii="Times New Roman" w:eastAsia="Verdana" w:hAnsi="Times New Roman" w:cs="Times New Roman"/>
                <w:sz w:val="18"/>
                <w:szCs w:val="14"/>
                <w:lang w:val="ro-RO"/>
              </w:rPr>
              <w:t>:</w:t>
            </w:r>
            <w:r w:rsidR="00055095" w:rsidRPr="009C5F11">
              <w:rPr>
                <w:rFonts w:ascii="Times New Roman" w:eastAsia="Verdana" w:hAnsi="Times New Roman" w:cs="Times New Roman"/>
                <w:sz w:val="18"/>
                <w:szCs w:val="14"/>
                <w:lang w:val="ro-RO"/>
              </w:rPr>
              <w:t xml:space="preserve"> </w:t>
            </w:r>
            <w:r w:rsidR="000B56D8" w:rsidRPr="009C5F11">
              <w:rPr>
                <w:rFonts w:ascii="Times New Roman" w:eastAsia="Verdana" w:hAnsi="Times New Roman" w:cs="Times New Roman"/>
                <w:sz w:val="18"/>
                <w:szCs w:val="14"/>
                <w:lang w:val="ro-RO"/>
              </w:rPr>
              <w:t xml:space="preserve">   </w:t>
            </w:r>
            <w:r w:rsidR="004B7DC9" w:rsidRPr="009C5F11">
              <w:rPr>
                <w:rFonts w:ascii="Times New Roman" w:eastAsia="Verdana" w:hAnsi="Times New Roman" w:cs="Times New Roman"/>
                <w:sz w:val="18"/>
                <w:szCs w:val="14"/>
                <w:lang w:val="ro-RO"/>
              </w:rPr>
              <w:t xml:space="preserve"> 611,286</w:t>
            </w:r>
            <w:r w:rsidR="000B56D8" w:rsidRPr="009C5F11">
              <w:rPr>
                <w:rFonts w:ascii="Times New Roman" w:eastAsia="Verdana" w:hAnsi="Times New Roman" w:cs="Times New Roman"/>
                <w:sz w:val="18"/>
                <w:szCs w:val="14"/>
                <w:lang w:val="ro-RO"/>
              </w:rPr>
              <w:t xml:space="preserve"> euro</w:t>
            </w:r>
          </w:p>
          <w:p w14:paraId="6A9AC1F5" w14:textId="77777777" w:rsidR="004B7DC9" w:rsidRPr="009C5F11" w:rsidRDefault="000E55A5" w:rsidP="00A548D9">
            <w:pPr>
              <w:spacing w:after="0" w:line="36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Infrastructura rutieră</w:t>
            </w:r>
            <w:r w:rsidR="004B7DC9" w:rsidRPr="009C5F11">
              <w:rPr>
                <w:rFonts w:ascii="Times New Roman" w:eastAsia="Verdana" w:hAnsi="Times New Roman" w:cs="Times New Roman"/>
                <w:sz w:val="18"/>
                <w:szCs w:val="14"/>
                <w:lang w:val="ro-RO"/>
              </w:rPr>
              <w:t>:</w:t>
            </w:r>
            <w:r w:rsidR="00055095" w:rsidRPr="009C5F11">
              <w:rPr>
                <w:rFonts w:ascii="Times New Roman" w:eastAsia="Verdana" w:hAnsi="Times New Roman" w:cs="Times New Roman"/>
                <w:sz w:val="18"/>
                <w:szCs w:val="14"/>
                <w:lang w:val="ro-RO"/>
              </w:rPr>
              <w:t xml:space="preserve">  </w:t>
            </w:r>
            <w:r w:rsidR="004B7DC9" w:rsidRPr="009C5F11">
              <w:rPr>
                <w:rFonts w:ascii="Times New Roman" w:eastAsia="Verdana" w:hAnsi="Times New Roman" w:cs="Times New Roman"/>
                <w:sz w:val="18"/>
                <w:szCs w:val="14"/>
                <w:lang w:val="ro-RO"/>
              </w:rPr>
              <w:t xml:space="preserve">926,498 </w:t>
            </w:r>
            <w:bookmarkStart w:id="428" w:name="OLE_LINK5"/>
            <w:bookmarkStart w:id="429" w:name="OLE_LINK6"/>
            <w:r w:rsidR="000B56D8" w:rsidRPr="009C5F11">
              <w:rPr>
                <w:rFonts w:ascii="Times New Roman" w:eastAsia="Verdana" w:hAnsi="Times New Roman" w:cs="Times New Roman"/>
                <w:sz w:val="18"/>
                <w:szCs w:val="14"/>
                <w:lang w:val="ro-RO"/>
              </w:rPr>
              <w:t>euro</w:t>
            </w:r>
            <w:bookmarkEnd w:id="428"/>
            <w:bookmarkEnd w:id="429"/>
          </w:p>
          <w:p w14:paraId="4E0FBAF4" w14:textId="77777777" w:rsidR="004B7DC9" w:rsidRPr="009C5F11" w:rsidRDefault="000E55A5" w:rsidP="00A548D9">
            <w:pPr>
              <w:spacing w:after="0" w:line="360" w:lineRule="auto"/>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Iluminatul stradal</w:t>
            </w:r>
            <w:r w:rsidR="004B7DC9" w:rsidRPr="009C5F11">
              <w:rPr>
                <w:rFonts w:ascii="Times New Roman" w:eastAsia="Verdana" w:hAnsi="Times New Roman" w:cs="Times New Roman"/>
                <w:sz w:val="18"/>
                <w:szCs w:val="14"/>
                <w:lang w:val="ro-RO"/>
              </w:rPr>
              <w:t>:</w:t>
            </w:r>
            <w:r w:rsidR="00055095" w:rsidRPr="009C5F11">
              <w:rPr>
                <w:rFonts w:ascii="Times New Roman" w:eastAsia="Verdana" w:hAnsi="Times New Roman" w:cs="Times New Roman"/>
                <w:sz w:val="18"/>
                <w:szCs w:val="14"/>
                <w:lang w:val="ro-RO"/>
              </w:rPr>
              <w:t xml:space="preserve">   </w:t>
            </w:r>
            <w:r w:rsidR="000B56D8" w:rsidRPr="009C5F11">
              <w:rPr>
                <w:rFonts w:ascii="Times New Roman" w:eastAsia="Verdana" w:hAnsi="Times New Roman" w:cs="Times New Roman"/>
                <w:sz w:val="18"/>
                <w:szCs w:val="14"/>
                <w:lang w:val="ro-RO"/>
              </w:rPr>
              <w:t xml:space="preserve">   </w:t>
            </w:r>
            <w:r w:rsidR="00055095" w:rsidRPr="009C5F11">
              <w:rPr>
                <w:rFonts w:ascii="Times New Roman" w:eastAsia="Verdana" w:hAnsi="Times New Roman" w:cs="Times New Roman"/>
                <w:sz w:val="18"/>
                <w:szCs w:val="14"/>
                <w:lang w:val="ro-RO"/>
              </w:rPr>
              <w:t xml:space="preserve"> </w:t>
            </w:r>
            <w:r w:rsidR="004B7DC9" w:rsidRPr="009C5F11">
              <w:rPr>
                <w:rFonts w:ascii="Times New Roman" w:eastAsia="Verdana" w:hAnsi="Times New Roman" w:cs="Times New Roman"/>
                <w:sz w:val="18"/>
                <w:szCs w:val="14"/>
                <w:lang w:val="ro-RO"/>
              </w:rPr>
              <w:t>138,976</w:t>
            </w:r>
            <w:r w:rsidR="000B56D8" w:rsidRPr="009C5F11">
              <w:rPr>
                <w:rFonts w:ascii="Times New Roman" w:eastAsia="Verdana" w:hAnsi="Times New Roman" w:cs="Times New Roman"/>
                <w:sz w:val="18"/>
                <w:szCs w:val="14"/>
                <w:lang w:val="ro-RO"/>
              </w:rPr>
              <w:t xml:space="preserve"> euro</w:t>
            </w:r>
          </w:p>
        </w:tc>
      </w:tr>
      <w:tr w:rsidR="004B7DC9" w:rsidRPr="009C5F11" w14:paraId="0211B4C9" w14:textId="77777777" w:rsidTr="00A548D9">
        <w:trPr>
          <w:trHeight w:hRule="exact" w:val="729"/>
        </w:trPr>
        <w:tc>
          <w:tcPr>
            <w:tcW w:w="420" w:type="dxa"/>
            <w:shd w:val="clear" w:color="auto" w:fill="99CCFF"/>
          </w:tcPr>
          <w:p w14:paraId="01C6E656"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lastRenderedPageBreak/>
              <w:t>5</w:t>
            </w:r>
          </w:p>
        </w:tc>
        <w:tc>
          <w:tcPr>
            <w:tcW w:w="2000" w:type="dxa"/>
            <w:shd w:val="clear" w:color="auto" w:fill="99CCFF"/>
          </w:tcPr>
          <w:p w14:paraId="467F344E" w14:textId="77777777" w:rsidR="004B7DC9" w:rsidRPr="009C5F11" w:rsidRDefault="00AA0566"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BERD</w:t>
            </w:r>
            <w:r w:rsidR="0089526B" w:rsidRPr="009C5F11">
              <w:rPr>
                <w:rFonts w:ascii="Times New Roman" w:eastAsia="Verdana" w:hAnsi="Times New Roman" w:cs="Times New Roman"/>
                <w:sz w:val="18"/>
                <w:szCs w:val="14"/>
                <w:lang w:val="ro-RO"/>
              </w:rPr>
              <w:t xml:space="preserve"> cu </w:t>
            </w:r>
            <w:r w:rsidR="004B7DC9" w:rsidRPr="009C5F11">
              <w:rPr>
                <w:rFonts w:ascii="Times New Roman" w:eastAsia="Verdana" w:hAnsi="Times New Roman" w:cs="Times New Roman"/>
                <w:sz w:val="18"/>
                <w:szCs w:val="14"/>
                <w:lang w:val="ro-RO"/>
              </w:rPr>
              <w:t xml:space="preserve">GEF, </w:t>
            </w:r>
            <w:r w:rsidR="00421FA7" w:rsidRPr="009C5F11">
              <w:rPr>
                <w:rFonts w:ascii="Times New Roman" w:eastAsia="Verdana" w:hAnsi="Times New Roman" w:cs="Times New Roman"/>
                <w:sz w:val="18"/>
                <w:szCs w:val="14"/>
                <w:lang w:val="ro-RO"/>
              </w:rPr>
              <w:t>BEI</w:t>
            </w:r>
            <w:r w:rsidR="004B7DC9" w:rsidRPr="009C5F11">
              <w:rPr>
                <w:rFonts w:ascii="Times New Roman" w:eastAsia="Verdana" w:hAnsi="Times New Roman" w:cs="Times New Roman"/>
                <w:sz w:val="18"/>
                <w:szCs w:val="14"/>
                <w:lang w:val="ro-RO"/>
              </w:rPr>
              <w:t>,</w:t>
            </w:r>
          </w:p>
          <w:p w14:paraId="19065D9F" w14:textId="77777777" w:rsidR="004B7DC9" w:rsidRPr="009C5F11" w:rsidRDefault="00AA0566"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FEE</w:t>
            </w:r>
            <w:r w:rsidR="004B7DC9" w:rsidRPr="009C5F11">
              <w:rPr>
                <w:rFonts w:ascii="Times New Roman" w:eastAsia="Verdana" w:hAnsi="Times New Roman" w:cs="Times New Roman"/>
                <w:sz w:val="18"/>
                <w:szCs w:val="14"/>
                <w:lang w:val="ro-RO"/>
              </w:rPr>
              <w:t xml:space="preserve">, </w:t>
            </w:r>
            <w:r w:rsidR="00F53252" w:rsidRPr="009C5F11">
              <w:rPr>
                <w:rFonts w:ascii="Times New Roman" w:eastAsia="Verdana" w:hAnsi="Times New Roman" w:cs="Times New Roman"/>
                <w:sz w:val="18"/>
                <w:szCs w:val="14"/>
                <w:lang w:val="ro-RO"/>
              </w:rPr>
              <w:t>Primăria Chişinău</w:t>
            </w:r>
          </w:p>
        </w:tc>
        <w:tc>
          <w:tcPr>
            <w:tcW w:w="2401" w:type="dxa"/>
            <w:shd w:val="clear" w:color="auto" w:fill="99CCFF"/>
          </w:tcPr>
          <w:p w14:paraId="2442599B" w14:textId="77777777" w:rsidR="004B7DC9" w:rsidRPr="009C5F11" w:rsidRDefault="00211450" w:rsidP="00A6631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Proiectul </w:t>
            </w:r>
            <w:r w:rsidR="00A66312" w:rsidRPr="009C5F11">
              <w:rPr>
                <w:rFonts w:ascii="Times New Roman" w:eastAsia="Verdana" w:hAnsi="Times New Roman" w:cs="Times New Roman"/>
                <w:sz w:val="18"/>
                <w:szCs w:val="14"/>
                <w:lang w:val="ro-RO"/>
              </w:rPr>
              <w:t>în</w:t>
            </w:r>
            <w:r w:rsidRPr="009C5F11">
              <w:rPr>
                <w:rFonts w:ascii="Times New Roman" w:eastAsia="Verdana" w:hAnsi="Times New Roman" w:cs="Times New Roman"/>
                <w:sz w:val="18"/>
                <w:szCs w:val="14"/>
                <w:lang w:val="ro-RO"/>
              </w:rPr>
              <w:t xml:space="preserve"> sectorul drumurilor urban</w:t>
            </w:r>
            <w:r w:rsidR="00336D0A" w:rsidRPr="009C5F11">
              <w:rPr>
                <w:rFonts w:ascii="Times New Roman" w:eastAsia="Verdana" w:hAnsi="Times New Roman" w:cs="Times New Roman"/>
                <w:sz w:val="18"/>
                <w:szCs w:val="14"/>
                <w:lang w:val="ro-RO"/>
              </w:rPr>
              <w:t>e</w:t>
            </w:r>
            <w:r w:rsidRPr="009C5F11">
              <w:rPr>
                <w:rFonts w:ascii="Times New Roman" w:eastAsia="Verdana" w:hAnsi="Times New Roman" w:cs="Times New Roman"/>
                <w:sz w:val="18"/>
                <w:szCs w:val="14"/>
                <w:lang w:val="ro-RO"/>
              </w:rPr>
              <w:t xml:space="preserve"> din </w:t>
            </w:r>
            <w:r w:rsidR="00AA0566" w:rsidRPr="009C5F11">
              <w:rPr>
                <w:rFonts w:ascii="Times New Roman" w:eastAsia="Verdana" w:hAnsi="Times New Roman" w:cs="Times New Roman"/>
                <w:sz w:val="18"/>
                <w:szCs w:val="14"/>
                <w:lang w:val="ro-RO"/>
              </w:rPr>
              <w:t>Chişinău</w:t>
            </w:r>
            <w:r w:rsidR="004B7DC9" w:rsidRPr="009C5F11">
              <w:rPr>
                <w:rFonts w:ascii="Times New Roman" w:eastAsia="Verdana" w:hAnsi="Times New Roman" w:cs="Times New Roman"/>
                <w:sz w:val="18"/>
                <w:szCs w:val="14"/>
                <w:lang w:val="ro-RO"/>
              </w:rPr>
              <w:t xml:space="preserve"> </w:t>
            </w:r>
          </w:p>
        </w:tc>
        <w:tc>
          <w:tcPr>
            <w:tcW w:w="2667" w:type="dxa"/>
            <w:shd w:val="clear" w:color="auto" w:fill="99CCFF"/>
          </w:tcPr>
          <w:p w14:paraId="207455AB"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Începe în anul</w:t>
            </w:r>
            <w:r w:rsidR="004B7DC9" w:rsidRPr="009C5F11">
              <w:rPr>
                <w:rFonts w:ascii="Times New Roman" w:eastAsia="Verdana" w:hAnsi="Times New Roman" w:cs="Times New Roman"/>
                <w:sz w:val="18"/>
                <w:szCs w:val="14"/>
                <w:lang w:val="ro-RO"/>
              </w:rPr>
              <w:t xml:space="preserve"> 2016</w:t>
            </w:r>
          </w:p>
          <w:p w14:paraId="2A074A1A" w14:textId="77777777" w:rsidR="009407C7" w:rsidRPr="009C5F11" w:rsidRDefault="009407C7"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74B29E22"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32,800,000</w:t>
            </w:r>
            <w:r w:rsidR="000B56D8" w:rsidRPr="009C5F11">
              <w:rPr>
                <w:rFonts w:ascii="Times New Roman" w:eastAsia="Verdana" w:hAnsi="Times New Roman" w:cs="Times New Roman"/>
                <w:sz w:val="18"/>
                <w:szCs w:val="14"/>
                <w:lang w:val="ro-RO"/>
              </w:rPr>
              <w:t xml:space="preserve"> euro</w:t>
            </w:r>
          </w:p>
          <w:p w14:paraId="036984A1"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1,400,000</w:t>
            </w:r>
            <w:r w:rsidR="000B56D8" w:rsidRPr="009C5F11">
              <w:rPr>
                <w:rFonts w:ascii="Times New Roman" w:eastAsia="Verdana" w:hAnsi="Times New Roman" w:cs="Times New Roman"/>
                <w:sz w:val="18"/>
                <w:szCs w:val="14"/>
                <w:lang w:val="ro-RO"/>
              </w:rPr>
              <w:t xml:space="preserve"> euro pentru</w:t>
            </w:r>
            <w:r w:rsidRPr="009C5F11">
              <w:rPr>
                <w:rFonts w:ascii="Times New Roman" w:eastAsia="Verdana" w:hAnsi="Times New Roman" w:cs="Times New Roman"/>
                <w:sz w:val="18"/>
                <w:szCs w:val="14"/>
                <w:lang w:val="ro-RO"/>
              </w:rPr>
              <w:t xml:space="preserve"> </w:t>
            </w:r>
            <w:r w:rsidR="006F2A15" w:rsidRPr="009C5F11">
              <w:rPr>
                <w:rFonts w:ascii="Times New Roman" w:eastAsia="Verdana" w:hAnsi="Times New Roman" w:cs="Times New Roman"/>
                <w:sz w:val="18"/>
                <w:szCs w:val="14"/>
                <w:lang w:val="ro-RO"/>
              </w:rPr>
              <w:t>iluminatul stradal</w:t>
            </w:r>
          </w:p>
        </w:tc>
      </w:tr>
      <w:tr w:rsidR="004B7DC9" w:rsidRPr="009C5F11" w14:paraId="6FD30781" w14:textId="77777777" w:rsidTr="00A548D9">
        <w:trPr>
          <w:trHeight w:hRule="exact" w:val="410"/>
        </w:trPr>
        <w:tc>
          <w:tcPr>
            <w:tcW w:w="420" w:type="dxa"/>
            <w:vMerge w:val="restart"/>
            <w:shd w:val="clear" w:color="auto" w:fill="99CCFF"/>
          </w:tcPr>
          <w:p w14:paraId="7C514182"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6</w:t>
            </w:r>
          </w:p>
        </w:tc>
        <w:tc>
          <w:tcPr>
            <w:tcW w:w="2000" w:type="dxa"/>
            <w:vMerge w:val="restart"/>
            <w:shd w:val="clear" w:color="auto" w:fill="99CCFF"/>
          </w:tcPr>
          <w:p w14:paraId="544B04CD" w14:textId="77777777" w:rsidR="004B7DC9" w:rsidRPr="009C5F11" w:rsidRDefault="00AA0566"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BERD</w:t>
            </w:r>
          </w:p>
        </w:tc>
        <w:tc>
          <w:tcPr>
            <w:tcW w:w="2401" w:type="dxa"/>
            <w:shd w:val="clear" w:color="auto" w:fill="99CCFF"/>
          </w:tcPr>
          <w:p w14:paraId="5D03FE85"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MOSEFF I</w:t>
            </w:r>
          </w:p>
        </w:tc>
        <w:tc>
          <w:tcPr>
            <w:tcW w:w="2667" w:type="dxa"/>
            <w:shd w:val="clear" w:color="auto" w:fill="99CCFF"/>
          </w:tcPr>
          <w:p w14:paraId="7D480A2E"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2010-2012</w:t>
            </w:r>
          </w:p>
          <w:p w14:paraId="4FBB8D0F"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691F4626"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20,000,000 </w:t>
            </w:r>
            <w:r w:rsidR="000B56D8" w:rsidRPr="009C5F11">
              <w:rPr>
                <w:rFonts w:ascii="Times New Roman" w:eastAsia="Verdana" w:hAnsi="Times New Roman" w:cs="Times New Roman"/>
                <w:sz w:val="18"/>
                <w:szCs w:val="14"/>
                <w:lang w:val="ro-RO"/>
              </w:rPr>
              <w:t>euro</w:t>
            </w:r>
          </w:p>
        </w:tc>
      </w:tr>
      <w:tr w:rsidR="004B7DC9" w:rsidRPr="009C5F11" w14:paraId="6782CC9F" w14:textId="77777777" w:rsidTr="00A548D9">
        <w:trPr>
          <w:trHeight w:hRule="exact" w:val="440"/>
        </w:trPr>
        <w:tc>
          <w:tcPr>
            <w:tcW w:w="420" w:type="dxa"/>
            <w:vMerge/>
            <w:shd w:val="clear" w:color="auto" w:fill="99CCFF"/>
          </w:tcPr>
          <w:p w14:paraId="0DD3C8B1"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10C6E647"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397CD935"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MOSEFF II</w:t>
            </w:r>
          </w:p>
        </w:tc>
        <w:tc>
          <w:tcPr>
            <w:tcW w:w="2667" w:type="dxa"/>
            <w:shd w:val="clear" w:color="auto" w:fill="99CCFF"/>
          </w:tcPr>
          <w:p w14:paraId="05A58E90"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2013-2015</w:t>
            </w:r>
          </w:p>
          <w:p w14:paraId="3B5AE8A7"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299C2D4E"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22,000,000 </w:t>
            </w:r>
            <w:r w:rsidR="000B56D8" w:rsidRPr="009C5F11">
              <w:rPr>
                <w:rFonts w:ascii="Times New Roman" w:eastAsia="Verdana" w:hAnsi="Times New Roman" w:cs="Times New Roman"/>
                <w:sz w:val="18"/>
                <w:szCs w:val="14"/>
                <w:lang w:val="ro-RO"/>
              </w:rPr>
              <w:t>euro</w:t>
            </w:r>
          </w:p>
        </w:tc>
      </w:tr>
      <w:tr w:rsidR="004B7DC9" w:rsidRPr="009C5F11" w14:paraId="4925B172" w14:textId="77777777" w:rsidTr="00DE54EC">
        <w:trPr>
          <w:trHeight w:hRule="exact" w:val="560"/>
        </w:trPr>
        <w:tc>
          <w:tcPr>
            <w:tcW w:w="420" w:type="dxa"/>
            <w:vMerge/>
            <w:shd w:val="clear" w:color="auto" w:fill="99CCFF"/>
          </w:tcPr>
          <w:p w14:paraId="1FF0CDF3"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7419A31D"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16938673"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MOSEFF III </w:t>
            </w:r>
          </w:p>
        </w:tc>
        <w:tc>
          <w:tcPr>
            <w:tcW w:w="2667" w:type="dxa"/>
            <w:shd w:val="clear" w:color="auto" w:fill="99CCFF"/>
          </w:tcPr>
          <w:p w14:paraId="3499A772"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Se preconizează să fie lansat în anul </w:t>
            </w:r>
            <w:r w:rsidR="004B7DC9" w:rsidRPr="009C5F11">
              <w:rPr>
                <w:rFonts w:ascii="Times New Roman" w:eastAsia="Verdana" w:hAnsi="Times New Roman" w:cs="Times New Roman"/>
                <w:sz w:val="18"/>
                <w:szCs w:val="14"/>
                <w:lang w:val="ro-RO"/>
              </w:rPr>
              <w:t xml:space="preserve">2016 </w:t>
            </w:r>
          </w:p>
          <w:p w14:paraId="05B986B3" w14:textId="77777777" w:rsidR="002B7376"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e</w:t>
            </w:r>
            <w:r w:rsidR="002B7376" w:rsidRPr="009C5F11">
              <w:rPr>
                <w:rFonts w:ascii="Times New Roman" w:eastAsia="Verdana" w:hAnsi="Times New Roman" w:cs="Times New Roman"/>
                <w:sz w:val="18"/>
                <w:szCs w:val="14"/>
                <w:lang w:val="ro-RO"/>
              </w:rPr>
              <w:t>uro</w:t>
            </w:r>
          </w:p>
        </w:tc>
        <w:tc>
          <w:tcPr>
            <w:tcW w:w="6570" w:type="dxa"/>
            <w:gridSpan w:val="13"/>
            <w:shd w:val="clear" w:color="auto" w:fill="99CCFF"/>
          </w:tcPr>
          <w:p w14:paraId="3971430A" w14:textId="77777777" w:rsidR="004B7DC9" w:rsidRPr="009C5F11" w:rsidRDefault="0089526B"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Circa </w:t>
            </w:r>
            <w:r w:rsidR="004B7DC9" w:rsidRPr="009C5F11">
              <w:rPr>
                <w:rFonts w:ascii="Times New Roman" w:eastAsia="Verdana" w:hAnsi="Times New Roman" w:cs="Times New Roman"/>
                <w:sz w:val="18"/>
                <w:szCs w:val="14"/>
                <w:lang w:val="ro-RO"/>
              </w:rPr>
              <w:t>20,000,000</w:t>
            </w:r>
            <w:r w:rsidR="000B56D8" w:rsidRPr="009C5F11">
              <w:rPr>
                <w:rFonts w:ascii="Times New Roman" w:eastAsia="Verdana" w:hAnsi="Times New Roman" w:cs="Times New Roman"/>
                <w:sz w:val="18"/>
                <w:szCs w:val="14"/>
                <w:lang w:val="ro-RO"/>
              </w:rPr>
              <w:t xml:space="preserve"> euro</w:t>
            </w:r>
          </w:p>
        </w:tc>
      </w:tr>
      <w:tr w:rsidR="004B7DC9" w:rsidRPr="009C5F11" w14:paraId="75F23125" w14:textId="77777777" w:rsidTr="00212683">
        <w:trPr>
          <w:trHeight w:hRule="exact" w:val="284"/>
        </w:trPr>
        <w:tc>
          <w:tcPr>
            <w:tcW w:w="420" w:type="dxa"/>
            <w:vMerge/>
            <w:shd w:val="clear" w:color="auto" w:fill="99CCFF"/>
          </w:tcPr>
          <w:p w14:paraId="461541F3"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388FD175"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0063489B" w14:textId="77777777" w:rsidR="004B7DC9" w:rsidRPr="009C5F11" w:rsidRDefault="0087273F"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MoREEFF</w:t>
            </w:r>
            <w:r w:rsidR="004B7DC9" w:rsidRPr="009C5F11">
              <w:rPr>
                <w:rFonts w:ascii="Times New Roman" w:eastAsia="Verdana" w:hAnsi="Times New Roman" w:cs="Times New Roman"/>
                <w:sz w:val="18"/>
                <w:szCs w:val="14"/>
                <w:lang w:val="ro-RO"/>
              </w:rPr>
              <w:t xml:space="preserve"> I</w:t>
            </w:r>
          </w:p>
        </w:tc>
        <w:tc>
          <w:tcPr>
            <w:tcW w:w="2667" w:type="dxa"/>
            <w:vMerge w:val="restart"/>
            <w:shd w:val="clear" w:color="auto" w:fill="99CCFF"/>
          </w:tcPr>
          <w:p w14:paraId="7BE50047"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2012 – </w:t>
            </w:r>
            <w:r w:rsidR="000A4CC7" w:rsidRPr="009C5F11">
              <w:rPr>
                <w:rFonts w:ascii="Times New Roman" w:eastAsia="Verdana" w:hAnsi="Times New Roman" w:cs="Times New Roman"/>
                <w:sz w:val="18"/>
                <w:szCs w:val="14"/>
                <w:lang w:val="ro-RO"/>
              </w:rPr>
              <w:t>iunie</w:t>
            </w:r>
            <w:r w:rsidRPr="009C5F11">
              <w:rPr>
                <w:rFonts w:ascii="Times New Roman" w:eastAsia="Verdana" w:hAnsi="Times New Roman" w:cs="Times New Roman"/>
                <w:sz w:val="18"/>
                <w:szCs w:val="14"/>
                <w:lang w:val="ro-RO"/>
              </w:rPr>
              <w:t xml:space="preserve"> 2017</w:t>
            </w:r>
          </w:p>
          <w:p w14:paraId="1B4896D0"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vMerge w:val="restart"/>
            <w:shd w:val="clear" w:color="auto" w:fill="99CCFF"/>
          </w:tcPr>
          <w:p w14:paraId="4ACE6488"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35,000,000</w:t>
            </w:r>
            <w:r w:rsidR="00A82A02" w:rsidRPr="009C5F11">
              <w:rPr>
                <w:rFonts w:ascii="Times New Roman" w:eastAsia="Verdana" w:hAnsi="Times New Roman" w:cs="Times New Roman"/>
                <w:sz w:val="18"/>
                <w:szCs w:val="14"/>
                <w:lang w:val="ro-RO"/>
              </w:rPr>
              <w:t xml:space="preserve"> </w:t>
            </w:r>
            <w:r w:rsidR="000B56D8" w:rsidRPr="009C5F11">
              <w:rPr>
                <w:rFonts w:ascii="Times New Roman" w:eastAsia="Verdana" w:hAnsi="Times New Roman" w:cs="Times New Roman"/>
                <w:sz w:val="18"/>
                <w:szCs w:val="14"/>
                <w:lang w:val="ro-RO"/>
              </w:rPr>
              <w:t xml:space="preserve">euro </w:t>
            </w:r>
            <w:r w:rsidR="00A82A02" w:rsidRPr="009C5F11">
              <w:rPr>
                <w:rFonts w:ascii="Times New Roman" w:eastAsia="Verdana" w:hAnsi="Times New Roman" w:cs="Times New Roman"/>
                <w:sz w:val="18"/>
                <w:szCs w:val="14"/>
                <w:lang w:val="ro-RO"/>
              </w:rPr>
              <w:t>–</w:t>
            </w:r>
            <w:r w:rsidRPr="009C5F11">
              <w:rPr>
                <w:rFonts w:ascii="Times New Roman" w:eastAsia="Verdana" w:hAnsi="Times New Roman" w:cs="Times New Roman"/>
                <w:sz w:val="18"/>
                <w:szCs w:val="14"/>
                <w:lang w:val="ro-RO"/>
              </w:rPr>
              <w:t xml:space="preserve"> </w:t>
            </w:r>
            <w:r w:rsidR="00A82A02" w:rsidRPr="009C5F11">
              <w:rPr>
                <w:rFonts w:ascii="Times New Roman" w:eastAsia="Verdana" w:hAnsi="Times New Roman" w:cs="Times New Roman"/>
                <w:sz w:val="18"/>
                <w:szCs w:val="14"/>
                <w:lang w:val="ro-RO"/>
              </w:rPr>
              <w:t>linii de credit totale,</w:t>
            </w:r>
            <w:r w:rsidRPr="009C5F11">
              <w:rPr>
                <w:rFonts w:ascii="Times New Roman" w:eastAsia="Verdana" w:hAnsi="Times New Roman" w:cs="Times New Roman"/>
                <w:sz w:val="18"/>
                <w:szCs w:val="14"/>
                <w:lang w:val="ro-RO"/>
              </w:rPr>
              <w:t xml:space="preserve"> </w:t>
            </w:r>
            <w:r w:rsidR="00A82A02" w:rsidRPr="009C5F11">
              <w:rPr>
                <w:rFonts w:ascii="Times New Roman" w:eastAsia="Verdana" w:hAnsi="Times New Roman" w:cs="Times New Roman"/>
                <w:sz w:val="18"/>
                <w:szCs w:val="14"/>
                <w:lang w:val="ro-RO"/>
              </w:rPr>
              <w:t>din care</w:t>
            </w:r>
            <w:r w:rsidRPr="009C5F11">
              <w:rPr>
                <w:rFonts w:ascii="Times New Roman" w:eastAsia="Verdana" w:hAnsi="Times New Roman" w:cs="Times New Roman"/>
                <w:sz w:val="18"/>
                <w:szCs w:val="14"/>
                <w:lang w:val="ro-RO"/>
              </w:rPr>
              <w:t xml:space="preserve"> </w:t>
            </w:r>
          </w:p>
          <w:p w14:paraId="6AF38D5F"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6,293,180 </w:t>
            </w:r>
            <w:r w:rsidR="000B56D8" w:rsidRPr="009C5F11">
              <w:rPr>
                <w:rFonts w:ascii="Times New Roman" w:eastAsia="Verdana" w:hAnsi="Times New Roman" w:cs="Times New Roman"/>
                <w:sz w:val="18"/>
                <w:szCs w:val="14"/>
                <w:lang w:val="ro-RO"/>
              </w:rPr>
              <w:t xml:space="preserve">euro </w:t>
            </w:r>
            <w:r w:rsidR="00211450" w:rsidRPr="009C5F11">
              <w:rPr>
                <w:rFonts w:ascii="Times New Roman" w:eastAsia="Verdana" w:hAnsi="Times New Roman" w:cs="Times New Roman"/>
                <w:sz w:val="18"/>
                <w:szCs w:val="14"/>
                <w:lang w:val="ro-RO"/>
              </w:rPr>
              <w:t>– sumă destinată</w:t>
            </w:r>
            <w:r w:rsidR="00A82A02" w:rsidRPr="009C5F11">
              <w:rPr>
                <w:rFonts w:ascii="Times New Roman" w:eastAsia="Verdana" w:hAnsi="Times New Roman" w:cs="Times New Roman"/>
                <w:sz w:val="18"/>
                <w:szCs w:val="14"/>
                <w:lang w:val="ro-RO"/>
              </w:rPr>
              <w:t xml:space="preserve"> pentru</w:t>
            </w:r>
            <w:r w:rsidRPr="009C5F11">
              <w:rPr>
                <w:rFonts w:ascii="Times New Roman" w:eastAsia="Verdana" w:hAnsi="Times New Roman" w:cs="Times New Roman"/>
                <w:sz w:val="18"/>
                <w:szCs w:val="14"/>
                <w:lang w:val="ro-RO"/>
              </w:rPr>
              <w:t xml:space="preserve"> 1731 </w:t>
            </w:r>
            <w:r w:rsidR="00147585" w:rsidRPr="009C5F11">
              <w:rPr>
                <w:rFonts w:ascii="Times New Roman" w:eastAsia="Verdana" w:hAnsi="Times New Roman" w:cs="Times New Roman"/>
                <w:sz w:val="18"/>
                <w:szCs w:val="14"/>
                <w:lang w:val="ro-RO"/>
              </w:rPr>
              <w:t>împrumuturi</w:t>
            </w:r>
            <w:r w:rsidRPr="009C5F11">
              <w:rPr>
                <w:rFonts w:ascii="Times New Roman" w:eastAsia="Verdana" w:hAnsi="Times New Roman" w:cs="Times New Roman"/>
                <w:sz w:val="18"/>
                <w:szCs w:val="14"/>
                <w:lang w:val="ro-RO"/>
              </w:rPr>
              <w:t xml:space="preserve"> </w:t>
            </w:r>
            <w:r w:rsidR="00A82A02" w:rsidRPr="009C5F11">
              <w:rPr>
                <w:rFonts w:ascii="Times New Roman" w:eastAsia="Verdana" w:hAnsi="Times New Roman" w:cs="Times New Roman"/>
                <w:sz w:val="18"/>
                <w:szCs w:val="14"/>
                <w:lang w:val="ro-RO"/>
              </w:rPr>
              <w:t>la începutul anului</w:t>
            </w:r>
            <w:r w:rsidRPr="009C5F11">
              <w:rPr>
                <w:rFonts w:ascii="Times New Roman" w:eastAsia="Verdana" w:hAnsi="Times New Roman" w:cs="Times New Roman"/>
                <w:sz w:val="18"/>
                <w:szCs w:val="14"/>
                <w:lang w:val="ro-RO"/>
              </w:rPr>
              <w:t xml:space="preserve"> 2016</w:t>
            </w:r>
          </w:p>
          <w:p w14:paraId="1C8358CB"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1,773,542</w:t>
            </w:r>
            <w:r w:rsidR="000B56D8" w:rsidRPr="009C5F11">
              <w:rPr>
                <w:rFonts w:ascii="Times New Roman" w:eastAsia="Verdana" w:hAnsi="Times New Roman" w:cs="Times New Roman"/>
                <w:sz w:val="18"/>
                <w:szCs w:val="14"/>
                <w:lang w:val="ro-RO"/>
              </w:rPr>
              <w:t xml:space="preserve"> euro,</w:t>
            </w:r>
            <w:r w:rsidRPr="009C5F11">
              <w:rPr>
                <w:rFonts w:ascii="Times New Roman" w:eastAsia="Verdana" w:hAnsi="Times New Roman" w:cs="Times New Roman"/>
                <w:sz w:val="18"/>
                <w:szCs w:val="14"/>
                <w:lang w:val="ro-RO"/>
              </w:rPr>
              <w:t xml:space="preserve"> </w:t>
            </w:r>
            <w:r w:rsidR="00EB460D" w:rsidRPr="009C5F11">
              <w:rPr>
                <w:rFonts w:ascii="Times New Roman" w:eastAsia="Verdana" w:hAnsi="Times New Roman" w:cs="Times New Roman"/>
                <w:sz w:val="18"/>
                <w:szCs w:val="14"/>
                <w:lang w:val="ro-RO"/>
              </w:rPr>
              <w:t>granturi</w:t>
            </w:r>
            <w:r w:rsidRPr="009C5F11">
              <w:rPr>
                <w:rFonts w:ascii="Times New Roman" w:eastAsia="Verdana" w:hAnsi="Times New Roman" w:cs="Times New Roman"/>
                <w:sz w:val="18"/>
                <w:szCs w:val="14"/>
                <w:lang w:val="ro-RO"/>
              </w:rPr>
              <w:t xml:space="preserve"> (</w:t>
            </w:r>
            <w:r w:rsidR="00421FA7" w:rsidRPr="009C5F11">
              <w:rPr>
                <w:rFonts w:ascii="Times New Roman" w:eastAsia="Verdana" w:hAnsi="Times New Roman" w:cs="Times New Roman"/>
                <w:sz w:val="18"/>
                <w:szCs w:val="14"/>
                <w:lang w:val="ro-RO"/>
              </w:rPr>
              <w:t>UE</w:t>
            </w:r>
            <w:r w:rsidRPr="009C5F11">
              <w:rPr>
                <w:rFonts w:ascii="Times New Roman" w:eastAsia="Verdana" w:hAnsi="Times New Roman" w:cs="Times New Roman"/>
                <w:sz w:val="18"/>
                <w:szCs w:val="14"/>
                <w:lang w:val="ro-RO"/>
              </w:rPr>
              <w:t xml:space="preserve"> </w:t>
            </w:r>
            <w:r w:rsidR="000B56D8" w:rsidRPr="009C5F11">
              <w:rPr>
                <w:rFonts w:ascii="Times New Roman" w:eastAsia="Verdana" w:hAnsi="Times New Roman" w:cs="Times New Roman"/>
                <w:sz w:val="18"/>
                <w:szCs w:val="14"/>
                <w:lang w:val="ro-RO"/>
              </w:rPr>
              <w:t xml:space="preserve">prin intermediul </w:t>
            </w:r>
            <w:r w:rsidRPr="009C5F11">
              <w:rPr>
                <w:rFonts w:ascii="Times New Roman" w:eastAsia="Verdana" w:hAnsi="Times New Roman" w:cs="Times New Roman"/>
                <w:sz w:val="18"/>
                <w:szCs w:val="14"/>
                <w:lang w:val="ro-RO"/>
              </w:rPr>
              <w:t>NIF</w:t>
            </w:r>
            <w:r w:rsidR="00321CD5" w:rsidRPr="009C5F11">
              <w:rPr>
                <w:rFonts w:ascii="Times New Roman" w:eastAsia="Verdana" w:hAnsi="Times New Roman" w:cs="Times New Roman"/>
                <w:sz w:val="18"/>
                <w:szCs w:val="14"/>
                <w:lang w:val="ro-RO"/>
              </w:rPr>
              <w:t xml:space="preserve"> şi </w:t>
            </w:r>
            <w:r w:rsidRPr="009C5F11">
              <w:rPr>
                <w:rFonts w:ascii="Times New Roman" w:eastAsia="Verdana" w:hAnsi="Times New Roman" w:cs="Times New Roman"/>
                <w:sz w:val="18"/>
                <w:szCs w:val="14"/>
                <w:lang w:val="ro-RO"/>
              </w:rPr>
              <w:t xml:space="preserve">SIDA) </w:t>
            </w:r>
          </w:p>
        </w:tc>
      </w:tr>
      <w:tr w:rsidR="004B7DC9" w:rsidRPr="009C5F11" w14:paraId="39FE5241" w14:textId="77777777" w:rsidTr="007153A4">
        <w:trPr>
          <w:trHeight w:hRule="exact" w:val="872"/>
        </w:trPr>
        <w:tc>
          <w:tcPr>
            <w:tcW w:w="420" w:type="dxa"/>
            <w:vMerge/>
            <w:shd w:val="clear" w:color="auto" w:fill="99CCFF"/>
          </w:tcPr>
          <w:p w14:paraId="67544AA1"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27BFFBCD"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0B2B9DE0" w14:textId="77777777" w:rsidR="004B7DC9" w:rsidRPr="009C5F11" w:rsidRDefault="0087273F"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MoREEFF</w:t>
            </w:r>
            <w:r w:rsidR="004B7DC9" w:rsidRPr="009C5F11">
              <w:rPr>
                <w:rFonts w:ascii="Times New Roman" w:eastAsia="Verdana" w:hAnsi="Times New Roman" w:cs="Times New Roman"/>
                <w:sz w:val="18"/>
                <w:szCs w:val="14"/>
                <w:lang w:val="ro-RO"/>
              </w:rPr>
              <w:t xml:space="preserve"> II</w:t>
            </w:r>
          </w:p>
        </w:tc>
        <w:tc>
          <w:tcPr>
            <w:tcW w:w="2667" w:type="dxa"/>
            <w:vMerge/>
            <w:shd w:val="clear" w:color="auto" w:fill="99CCFF"/>
          </w:tcPr>
          <w:p w14:paraId="235448E8" w14:textId="77777777" w:rsidR="004B7DC9" w:rsidRPr="009C5F11" w:rsidRDefault="004B7DC9" w:rsidP="00481A38">
            <w:pPr>
              <w:jc w:val="both"/>
              <w:rPr>
                <w:rFonts w:ascii="Times New Roman" w:eastAsia="Verdana" w:hAnsi="Times New Roman" w:cs="Times New Roman"/>
                <w:sz w:val="18"/>
                <w:szCs w:val="14"/>
                <w:lang w:val="ro-RO"/>
              </w:rPr>
            </w:pPr>
          </w:p>
        </w:tc>
        <w:tc>
          <w:tcPr>
            <w:tcW w:w="6570" w:type="dxa"/>
            <w:gridSpan w:val="13"/>
            <w:vMerge/>
            <w:shd w:val="clear" w:color="auto" w:fill="99CCFF"/>
          </w:tcPr>
          <w:p w14:paraId="737DBE66" w14:textId="77777777" w:rsidR="004B7DC9" w:rsidRPr="009C5F11" w:rsidRDefault="004B7DC9" w:rsidP="00481A38">
            <w:pPr>
              <w:jc w:val="both"/>
              <w:rPr>
                <w:rFonts w:ascii="Times New Roman" w:eastAsia="Verdana" w:hAnsi="Times New Roman" w:cs="Times New Roman"/>
                <w:sz w:val="18"/>
                <w:szCs w:val="14"/>
                <w:lang w:val="ro-RO"/>
              </w:rPr>
            </w:pPr>
          </w:p>
        </w:tc>
      </w:tr>
      <w:tr w:rsidR="004B7DC9" w:rsidRPr="009C5F11" w14:paraId="45954F2E" w14:textId="77777777" w:rsidTr="00212683">
        <w:trPr>
          <w:trHeight w:hRule="exact" w:val="284"/>
        </w:trPr>
        <w:tc>
          <w:tcPr>
            <w:tcW w:w="420" w:type="dxa"/>
            <w:vMerge/>
            <w:shd w:val="clear" w:color="auto" w:fill="99CCFF"/>
          </w:tcPr>
          <w:p w14:paraId="6CA6638C"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4645ED31"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03A94A0B" w14:textId="77777777" w:rsidR="004B7DC9" w:rsidRPr="009C5F11" w:rsidRDefault="00D07C8F"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Foaia de parcurs</w:t>
            </w:r>
            <w:r w:rsidR="004B7DC9" w:rsidRPr="009C5F11">
              <w:rPr>
                <w:rFonts w:ascii="Times New Roman" w:eastAsia="Verdana" w:hAnsi="Times New Roman" w:cs="Times New Roman"/>
                <w:sz w:val="18"/>
                <w:szCs w:val="14"/>
                <w:lang w:val="ro-RO"/>
              </w:rPr>
              <w:t xml:space="preserve"> </w:t>
            </w:r>
            <w:r w:rsidR="00D160E1" w:rsidRPr="009C5F11">
              <w:rPr>
                <w:rFonts w:ascii="Times New Roman" w:eastAsia="Verdana" w:hAnsi="Times New Roman" w:cs="Times New Roman"/>
                <w:sz w:val="18"/>
                <w:szCs w:val="14"/>
                <w:lang w:val="ro-RO"/>
              </w:rPr>
              <w:t>DPEC</w:t>
            </w:r>
          </w:p>
        </w:tc>
        <w:tc>
          <w:tcPr>
            <w:tcW w:w="2667" w:type="dxa"/>
            <w:shd w:val="clear" w:color="auto" w:fill="99CCFF"/>
          </w:tcPr>
          <w:p w14:paraId="108A484A"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Începe în anul 2016</w:t>
            </w:r>
          </w:p>
        </w:tc>
        <w:tc>
          <w:tcPr>
            <w:tcW w:w="6570" w:type="dxa"/>
            <w:gridSpan w:val="13"/>
            <w:shd w:val="clear" w:color="auto" w:fill="99CCFF"/>
          </w:tcPr>
          <w:p w14:paraId="2403EC84" w14:textId="77777777" w:rsidR="004B7DC9" w:rsidRPr="009C5F11" w:rsidRDefault="004B7DC9" w:rsidP="00481A38">
            <w:pPr>
              <w:jc w:val="both"/>
              <w:rPr>
                <w:rFonts w:ascii="Times New Roman" w:eastAsia="Verdana" w:hAnsi="Times New Roman" w:cs="Times New Roman"/>
                <w:sz w:val="18"/>
                <w:szCs w:val="14"/>
                <w:lang w:val="ro-RO"/>
              </w:rPr>
            </w:pPr>
          </w:p>
        </w:tc>
      </w:tr>
      <w:tr w:rsidR="004B7DC9" w:rsidRPr="009C5F11" w14:paraId="59EDFE84" w14:textId="77777777" w:rsidTr="004608A1">
        <w:trPr>
          <w:trHeight w:hRule="exact" w:val="695"/>
        </w:trPr>
        <w:tc>
          <w:tcPr>
            <w:tcW w:w="420" w:type="dxa"/>
            <w:vMerge/>
            <w:shd w:val="clear" w:color="auto" w:fill="99CCFF"/>
          </w:tcPr>
          <w:p w14:paraId="0C0B7FA4"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302C6795"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328E9107" w14:textId="77777777" w:rsidR="004B7DC9" w:rsidRPr="009C5F11" w:rsidRDefault="00FD5F1C"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Modernizarea gestionării apei şi a apelor uzate în Chişinău</w:t>
            </w:r>
          </w:p>
        </w:tc>
        <w:tc>
          <w:tcPr>
            <w:tcW w:w="2667" w:type="dxa"/>
            <w:shd w:val="clear" w:color="auto" w:fill="99CCFF"/>
          </w:tcPr>
          <w:p w14:paraId="225E817A"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Începe în anul 2016</w:t>
            </w:r>
          </w:p>
          <w:p w14:paraId="1E99E72F"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1146C2F4"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59,000,000</w:t>
            </w:r>
            <w:r w:rsidR="000B56D8" w:rsidRPr="009C5F11">
              <w:rPr>
                <w:rFonts w:ascii="Times New Roman" w:eastAsia="Verdana" w:hAnsi="Times New Roman" w:cs="Times New Roman"/>
                <w:sz w:val="18"/>
                <w:szCs w:val="14"/>
                <w:lang w:val="ro-RO"/>
              </w:rPr>
              <w:t xml:space="preserve"> euro</w:t>
            </w:r>
          </w:p>
          <w:p w14:paraId="62B1CC0D" w14:textId="77777777" w:rsidR="004B7DC9" w:rsidRPr="009C5F11" w:rsidRDefault="00AA0566"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BERD</w:t>
            </w:r>
            <w:r w:rsidR="004B7DC9" w:rsidRPr="009C5F11">
              <w:rPr>
                <w:rFonts w:ascii="Times New Roman" w:eastAsia="Verdana" w:hAnsi="Times New Roman" w:cs="Times New Roman"/>
                <w:sz w:val="18"/>
                <w:szCs w:val="14"/>
                <w:lang w:val="ro-RO"/>
              </w:rPr>
              <w:t xml:space="preserve">: 24,000,000 </w:t>
            </w:r>
            <w:r w:rsidR="000B56D8" w:rsidRPr="009C5F11">
              <w:rPr>
                <w:rFonts w:ascii="Times New Roman" w:eastAsia="Verdana" w:hAnsi="Times New Roman" w:cs="Times New Roman"/>
                <w:sz w:val="18"/>
                <w:szCs w:val="14"/>
                <w:lang w:val="ro-RO"/>
              </w:rPr>
              <w:t>euro</w:t>
            </w:r>
          </w:p>
        </w:tc>
      </w:tr>
      <w:tr w:rsidR="004B7DC9" w:rsidRPr="009C5F11" w14:paraId="654689C0" w14:textId="77777777" w:rsidTr="006F31FD">
        <w:trPr>
          <w:trHeight w:hRule="exact" w:val="727"/>
        </w:trPr>
        <w:tc>
          <w:tcPr>
            <w:tcW w:w="420" w:type="dxa"/>
            <w:vMerge/>
            <w:shd w:val="clear" w:color="auto" w:fill="99CCFF"/>
          </w:tcPr>
          <w:p w14:paraId="1A49E818"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2059A7E7"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2A8B11D3" w14:textId="77777777" w:rsidR="004B7DC9" w:rsidRPr="009C5F11" w:rsidRDefault="00A82A0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Proiect în RD Nord</w:t>
            </w:r>
            <w:r w:rsidR="004B7DC9"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alimentare cu apă şi evacuare a apelor uzate</w:t>
            </w:r>
            <w:r w:rsidR="004B7DC9" w:rsidRPr="009C5F11">
              <w:rPr>
                <w:rFonts w:ascii="Times New Roman" w:eastAsia="Verdana" w:hAnsi="Times New Roman" w:cs="Times New Roman"/>
                <w:sz w:val="18"/>
                <w:szCs w:val="14"/>
                <w:lang w:val="ro-RO"/>
              </w:rPr>
              <w:t>)</w:t>
            </w:r>
          </w:p>
        </w:tc>
        <w:tc>
          <w:tcPr>
            <w:tcW w:w="2667" w:type="dxa"/>
            <w:shd w:val="clear" w:color="auto" w:fill="99CCFF"/>
          </w:tcPr>
          <w:p w14:paraId="34379B61"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A început în anul</w:t>
            </w:r>
            <w:r w:rsidR="004B7DC9" w:rsidRPr="009C5F11">
              <w:rPr>
                <w:rFonts w:ascii="Times New Roman" w:eastAsia="Verdana" w:hAnsi="Times New Roman" w:cs="Times New Roman"/>
                <w:sz w:val="18"/>
                <w:szCs w:val="14"/>
                <w:lang w:val="ro-RO"/>
              </w:rPr>
              <w:t xml:space="preserve"> 2014</w:t>
            </w:r>
          </w:p>
          <w:p w14:paraId="545095E7"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3293AB91"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30,000,000</w:t>
            </w:r>
            <w:r w:rsidR="000B56D8" w:rsidRPr="009C5F11">
              <w:rPr>
                <w:rFonts w:ascii="Times New Roman" w:eastAsia="Verdana" w:hAnsi="Times New Roman" w:cs="Times New Roman"/>
                <w:sz w:val="18"/>
                <w:szCs w:val="14"/>
                <w:lang w:val="ro-RO"/>
              </w:rPr>
              <w:t xml:space="preserve"> euro</w:t>
            </w:r>
          </w:p>
          <w:p w14:paraId="66299BB0" w14:textId="77777777" w:rsidR="004B7DC9" w:rsidRPr="009C5F11" w:rsidRDefault="00AA0566"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BERD</w:t>
            </w:r>
            <w:r w:rsidR="004B7DC9" w:rsidRPr="009C5F11">
              <w:rPr>
                <w:rFonts w:ascii="Times New Roman" w:eastAsia="Verdana" w:hAnsi="Times New Roman" w:cs="Times New Roman"/>
                <w:sz w:val="18"/>
                <w:szCs w:val="14"/>
                <w:lang w:val="ro-RO"/>
              </w:rPr>
              <w:t>: 10,000,000</w:t>
            </w:r>
            <w:r w:rsidR="000B56D8" w:rsidRPr="009C5F11">
              <w:rPr>
                <w:rFonts w:ascii="Times New Roman" w:eastAsia="Verdana" w:hAnsi="Times New Roman" w:cs="Times New Roman"/>
                <w:sz w:val="18"/>
                <w:szCs w:val="14"/>
                <w:lang w:val="ro-RO"/>
              </w:rPr>
              <w:t xml:space="preserve"> euro,</w:t>
            </w:r>
            <w:r w:rsidR="004B7DC9" w:rsidRPr="009C5F11">
              <w:rPr>
                <w:rFonts w:ascii="Times New Roman" w:eastAsia="Verdana" w:hAnsi="Times New Roman" w:cs="Times New Roman"/>
                <w:sz w:val="18"/>
                <w:szCs w:val="14"/>
                <w:lang w:val="ro-RO"/>
              </w:rPr>
              <w:t xml:space="preserve"> </w:t>
            </w:r>
            <w:r w:rsidR="00A82A02" w:rsidRPr="009C5F11">
              <w:rPr>
                <w:rFonts w:ascii="Times New Roman" w:eastAsia="Verdana" w:hAnsi="Times New Roman" w:cs="Times New Roman"/>
                <w:sz w:val="18"/>
                <w:szCs w:val="14"/>
                <w:lang w:val="ro-RO"/>
              </w:rPr>
              <w:t>împrumut suveran</w:t>
            </w:r>
          </w:p>
        </w:tc>
      </w:tr>
      <w:tr w:rsidR="004B7DC9" w:rsidRPr="009C5F11" w14:paraId="0C563452" w14:textId="77777777" w:rsidTr="004608A1">
        <w:trPr>
          <w:trHeight w:hRule="exact" w:val="623"/>
        </w:trPr>
        <w:tc>
          <w:tcPr>
            <w:tcW w:w="420" w:type="dxa"/>
            <w:vMerge/>
            <w:shd w:val="clear" w:color="auto" w:fill="99CCFF"/>
          </w:tcPr>
          <w:p w14:paraId="5E1F6A48"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763D3CB2"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264E7220" w14:textId="77777777" w:rsidR="004B7DC9" w:rsidRPr="009C5F11" w:rsidRDefault="00211450" w:rsidP="00A6631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Programul de dezvoltare a utilităţilor </w:t>
            </w:r>
            <w:r w:rsidR="00A66312" w:rsidRPr="009C5F11">
              <w:rPr>
                <w:rFonts w:ascii="Times New Roman" w:eastAsia="Verdana" w:hAnsi="Times New Roman" w:cs="Times New Roman"/>
                <w:sz w:val="18"/>
                <w:szCs w:val="14"/>
                <w:lang w:val="ro-RO"/>
              </w:rPr>
              <w:t>di</w:t>
            </w:r>
            <w:r w:rsidRPr="009C5F11">
              <w:rPr>
                <w:rFonts w:ascii="Times New Roman" w:eastAsia="Verdana" w:hAnsi="Times New Roman" w:cs="Times New Roman"/>
                <w:sz w:val="18"/>
                <w:szCs w:val="14"/>
                <w:lang w:val="ro-RO"/>
              </w:rPr>
              <w:t xml:space="preserve">n </w:t>
            </w:r>
            <w:r w:rsidR="004B7DC9" w:rsidRPr="009C5F11">
              <w:rPr>
                <w:rFonts w:ascii="Times New Roman" w:eastAsia="Verdana" w:hAnsi="Times New Roman" w:cs="Times New Roman"/>
                <w:sz w:val="18"/>
                <w:szCs w:val="14"/>
                <w:lang w:val="ro-RO"/>
              </w:rPr>
              <w:t xml:space="preserve">Moldova </w:t>
            </w:r>
          </w:p>
        </w:tc>
        <w:tc>
          <w:tcPr>
            <w:tcW w:w="2667" w:type="dxa"/>
            <w:shd w:val="clear" w:color="auto" w:fill="99CCFF"/>
          </w:tcPr>
          <w:p w14:paraId="2A7CFA09"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2011-2015</w:t>
            </w:r>
          </w:p>
          <w:p w14:paraId="1790FEE4"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308F3F94"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30,000,000</w:t>
            </w:r>
            <w:r w:rsidR="000B56D8" w:rsidRPr="009C5F11">
              <w:rPr>
                <w:rFonts w:ascii="Times New Roman" w:eastAsia="Verdana" w:hAnsi="Times New Roman" w:cs="Times New Roman"/>
                <w:sz w:val="18"/>
                <w:szCs w:val="14"/>
                <w:lang w:val="ro-RO"/>
              </w:rPr>
              <w:t xml:space="preserve"> euro</w:t>
            </w:r>
          </w:p>
          <w:p w14:paraId="0286E6F0" w14:textId="77777777" w:rsidR="004B7DC9" w:rsidRPr="009C5F11" w:rsidRDefault="00AA0566"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BERD</w:t>
            </w:r>
            <w:r w:rsidR="000B56D8" w:rsidRPr="009C5F11">
              <w:rPr>
                <w:rFonts w:ascii="Times New Roman" w:eastAsia="Verdana" w:hAnsi="Times New Roman" w:cs="Times New Roman"/>
                <w:sz w:val="18"/>
                <w:szCs w:val="14"/>
                <w:lang w:val="ro-RO"/>
              </w:rPr>
              <w:t xml:space="preserve">: </w:t>
            </w:r>
            <w:r w:rsidR="004B7DC9" w:rsidRPr="009C5F11">
              <w:rPr>
                <w:rFonts w:ascii="Times New Roman" w:eastAsia="Verdana" w:hAnsi="Times New Roman" w:cs="Times New Roman"/>
                <w:sz w:val="18"/>
                <w:szCs w:val="14"/>
                <w:lang w:val="ro-RO"/>
              </w:rPr>
              <w:t>10,000,000</w:t>
            </w:r>
            <w:r w:rsidR="000B56D8" w:rsidRPr="009C5F11">
              <w:rPr>
                <w:rFonts w:ascii="Times New Roman" w:eastAsia="Verdana" w:hAnsi="Times New Roman" w:cs="Times New Roman"/>
                <w:sz w:val="18"/>
                <w:szCs w:val="14"/>
                <w:lang w:val="ro-RO"/>
              </w:rPr>
              <w:t xml:space="preserve"> euro,</w:t>
            </w:r>
            <w:r w:rsidR="004B7DC9" w:rsidRPr="009C5F11">
              <w:rPr>
                <w:rFonts w:ascii="Times New Roman" w:eastAsia="Verdana" w:hAnsi="Times New Roman" w:cs="Times New Roman"/>
                <w:sz w:val="18"/>
                <w:szCs w:val="14"/>
                <w:lang w:val="ro-RO"/>
              </w:rPr>
              <w:t xml:space="preserve"> </w:t>
            </w:r>
            <w:r w:rsidR="005B260C" w:rsidRPr="009C5F11">
              <w:rPr>
                <w:rFonts w:ascii="Times New Roman" w:eastAsia="Verdana" w:hAnsi="Times New Roman" w:cs="Times New Roman"/>
                <w:sz w:val="18"/>
                <w:szCs w:val="14"/>
                <w:lang w:val="ro-RO"/>
              </w:rPr>
              <w:t>împrumut</w:t>
            </w:r>
          </w:p>
        </w:tc>
      </w:tr>
      <w:tr w:rsidR="004B7DC9" w:rsidRPr="009C5F11" w14:paraId="71C1AF43" w14:textId="77777777" w:rsidTr="00F5321D">
        <w:trPr>
          <w:trHeight w:hRule="exact" w:val="708"/>
        </w:trPr>
        <w:tc>
          <w:tcPr>
            <w:tcW w:w="420" w:type="dxa"/>
            <w:vMerge/>
            <w:shd w:val="clear" w:color="auto" w:fill="99CCFF"/>
          </w:tcPr>
          <w:p w14:paraId="6221EAEE"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4A3EA5AF"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60671772" w14:textId="77777777" w:rsidR="004B7DC9" w:rsidRPr="009C5F11" w:rsidRDefault="00FB38BF"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Încălzire centralizată</w:t>
            </w:r>
            <w:r w:rsidR="004B7DC9" w:rsidRPr="009C5F11">
              <w:rPr>
                <w:rFonts w:ascii="Times New Roman" w:eastAsia="Verdana" w:hAnsi="Times New Roman" w:cs="Times New Roman"/>
                <w:sz w:val="18"/>
                <w:szCs w:val="14"/>
                <w:lang w:val="ro-RO"/>
              </w:rPr>
              <w:t xml:space="preserve"> </w:t>
            </w:r>
            <w:r w:rsidR="00210C2C" w:rsidRPr="009C5F11">
              <w:rPr>
                <w:rFonts w:ascii="Times New Roman" w:eastAsia="Verdana" w:hAnsi="Times New Roman" w:cs="Times New Roman"/>
                <w:sz w:val="18"/>
                <w:szCs w:val="14"/>
                <w:lang w:val="ro-RO"/>
              </w:rPr>
              <w:t>Bălţi</w:t>
            </w:r>
          </w:p>
        </w:tc>
        <w:tc>
          <w:tcPr>
            <w:tcW w:w="2667" w:type="dxa"/>
            <w:shd w:val="clear" w:color="auto" w:fill="99CCFF"/>
          </w:tcPr>
          <w:p w14:paraId="6DFB4754"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A început în anul 2015</w:t>
            </w:r>
          </w:p>
          <w:p w14:paraId="5BEC5654"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14B8B540"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10,000,000</w:t>
            </w:r>
            <w:r w:rsidR="000B56D8" w:rsidRPr="009C5F11">
              <w:rPr>
                <w:rFonts w:ascii="Times New Roman" w:eastAsia="Verdana" w:hAnsi="Times New Roman" w:cs="Times New Roman"/>
                <w:sz w:val="18"/>
                <w:szCs w:val="14"/>
                <w:lang w:val="ro-RO"/>
              </w:rPr>
              <w:t xml:space="preserve"> euro</w:t>
            </w:r>
          </w:p>
          <w:p w14:paraId="0D0E1ED6" w14:textId="77777777" w:rsidR="004B7DC9" w:rsidRPr="009C5F11" w:rsidRDefault="00AA0566"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BERD</w:t>
            </w:r>
            <w:r w:rsidR="000B56D8" w:rsidRPr="009C5F11">
              <w:rPr>
                <w:rFonts w:ascii="Times New Roman" w:eastAsia="Verdana" w:hAnsi="Times New Roman" w:cs="Times New Roman"/>
                <w:sz w:val="18"/>
                <w:szCs w:val="14"/>
                <w:lang w:val="ro-RO"/>
              </w:rPr>
              <w:t xml:space="preserve">: </w:t>
            </w:r>
            <w:r w:rsidR="004B7DC9" w:rsidRPr="009C5F11">
              <w:rPr>
                <w:rFonts w:ascii="Times New Roman" w:eastAsia="Verdana" w:hAnsi="Times New Roman" w:cs="Times New Roman"/>
                <w:sz w:val="18"/>
                <w:szCs w:val="14"/>
                <w:lang w:val="ro-RO"/>
              </w:rPr>
              <w:t>7,000,000</w:t>
            </w:r>
            <w:r w:rsidR="000B56D8" w:rsidRPr="009C5F11">
              <w:rPr>
                <w:rFonts w:ascii="Times New Roman" w:eastAsia="Verdana" w:hAnsi="Times New Roman" w:cs="Times New Roman"/>
                <w:sz w:val="18"/>
                <w:szCs w:val="14"/>
                <w:lang w:val="ro-RO"/>
              </w:rPr>
              <w:t xml:space="preserve"> euro, </w:t>
            </w:r>
            <w:r w:rsidR="005B260C" w:rsidRPr="009C5F11">
              <w:rPr>
                <w:rFonts w:ascii="Times New Roman" w:eastAsia="Verdana" w:hAnsi="Times New Roman" w:cs="Times New Roman"/>
                <w:sz w:val="18"/>
                <w:szCs w:val="14"/>
                <w:lang w:val="ro-RO"/>
              </w:rPr>
              <w:t>împrumut</w:t>
            </w:r>
          </w:p>
        </w:tc>
      </w:tr>
      <w:tr w:rsidR="004B7DC9" w:rsidRPr="009C5F11" w14:paraId="051D50B2" w14:textId="77777777" w:rsidTr="00F5321D">
        <w:trPr>
          <w:trHeight w:hRule="exact" w:val="711"/>
        </w:trPr>
        <w:tc>
          <w:tcPr>
            <w:tcW w:w="420" w:type="dxa"/>
            <w:vMerge w:val="restart"/>
            <w:shd w:val="clear" w:color="auto" w:fill="99CCFF"/>
          </w:tcPr>
          <w:p w14:paraId="2E6D8E09"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7</w:t>
            </w:r>
          </w:p>
        </w:tc>
        <w:tc>
          <w:tcPr>
            <w:tcW w:w="2000" w:type="dxa"/>
            <w:vMerge w:val="restart"/>
            <w:shd w:val="clear" w:color="auto" w:fill="99CCFF"/>
          </w:tcPr>
          <w:p w14:paraId="3BEEA9F0" w14:textId="77777777" w:rsidR="004B7DC9" w:rsidRPr="009C5F11" w:rsidRDefault="00421FA7"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BEI</w:t>
            </w:r>
          </w:p>
          <w:p w14:paraId="4DFA3EA5" w14:textId="77777777" w:rsidR="004B7DC9" w:rsidRPr="009C5F11" w:rsidRDefault="00211450"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împreună cu</w:t>
            </w:r>
            <w:r w:rsidR="004B7DC9" w:rsidRPr="009C5F11">
              <w:rPr>
                <w:rFonts w:ascii="Times New Roman" w:eastAsia="Verdana" w:hAnsi="Times New Roman" w:cs="Times New Roman"/>
                <w:sz w:val="18"/>
                <w:szCs w:val="14"/>
                <w:lang w:val="ro-RO"/>
              </w:rPr>
              <w:t xml:space="preserve"> </w:t>
            </w:r>
            <w:r w:rsidR="00AA0566" w:rsidRPr="009C5F11">
              <w:rPr>
                <w:rFonts w:ascii="Times New Roman" w:eastAsia="Verdana" w:hAnsi="Times New Roman" w:cs="Times New Roman"/>
                <w:sz w:val="18"/>
                <w:szCs w:val="14"/>
                <w:lang w:val="ro-RO"/>
              </w:rPr>
              <w:t>BERD</w:t>
            </w:r>
            <w:r w:rsidR="00321CD5" w:rsidRPr="009C5F11">
              <w:rPr>
                <w:rFonts w:ascii="Times New Roman" w:eastAsia="Verdana" w:hAnsi="Times New Roman" w:cs="Times New Roman"/>
                <w:sz w:val="18"/>
                <w:szCs w:val="14"/>
                <w:lang w:val="ro-RO"/>
              </w:rPr>
              <w:t xml:space="preserve"> şi </w:t>
            </w:r>
            <w:r w:rsidR="00421FA7" w:rsidRPr="009C5F11">
              <w:rPr>
                <w:rFonts w:ascii="Times New Roman" w:eastAsia="Verdana" w:hAnsi="Times New Roman" w:cs="Times New Roman"/>
                <w:sz w:val="18"/>
                <w:szCs w:val="14"/>
                <w:lang w:val="ro-RO"/>
              </w:rPr>
              <w:t>UE</w:t>
            </w:r>
            <w:r w:rsidR="004B7DC9" w:rsidRPr="009C5F11">
              <w:rPr>
                <w:rFonts w:ascii="Times New Roman" w:eastAsia="Verdana" w:hAnsi="Times New Roman" w:cs="Times New Roman"/>
                <w:sz w:val="18"/>
                <w:szCs w:val="14"/>
                <w:lang w:val="ro-RO"/>
              </w:rPr>
              <w:t xml:space="preserve"> NIF</w:t>
            </w:r>
          </w:p>
        </w:tc>
        <w:tc>
          <w:tcPr>
            <w:tcW w:w="2401" w:type="dxa"/>
            <w:shd w:val="clear" w:color="auto" w:fill="99CCFF"/>
          </w:tcPr>
          <w:p w14:paraId="14420D58" w14:textId="77777777" w:rsidR="004B7DC9" w:rsidRPr="009C5F11" w:rsidRDefault="00FD5F1C"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Modernizarea gestionării apei şi a apelor uzate în Chişinău</w:t>
            </w:r>
          </w:p>
        </w:tc>
        <w:tc>
          <w:tcPr>
            <w:tcW w:w="2667" w:type="dxa"/>
            <w:shd w:val="clear" w:color="auto" w:fill="99CCFF"/>
          </w:tcPr>
          <w:p w14:paraId="4506B4CC"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Începe în anul 2016</w:t>
            </w:r>
          </w:p>
          <w:p w14:paraId="2D52C90E" w14:textId="77777777" w:rsidR="002B7376" w:rsidRPr="009C5F11" w:rsidRDefault="002B7376" w:rsidP="0089526B">
            <w:pPr>
              <w:jc w:val="both"/>
              <w:rPr>
                <w:rFonts w:ascii="Times New Roman" w:eastAsia="Verdana" w:hAnsi="Times New Roman" w:cs="Times New Roman"/>
                <w:sz w:val="18"/>
                <w:szCs w:val="14"/>
                <w:lang w:val="ro-RO"/>
              </w:rPr>
            </w:pPr>
          </w:p>
        </w:tc>
        <w:tc>
          <w:tcPr>
            <w:tcW w:w="6570" w:type="dxa"/>
            <w:gridSpan w:val="13"/>
            <w:shd w:val="clear" w:color="auto" w:fill="99CCFF"/>
          </w:tcPr>
          <w:p w14:paraId="5BF7FAD9"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59,000,000</w:t>
            </w:r>
            <w:r w:rsidR="000B56D8" w:rsidRPr="009C5F11">
              <w:rPr>
                <w:rFonts w:ascii="Times New Roman" w:eastAsia="Verdana" w:hAnsi="Times New Roman" w:cs="Times New Roman"/>
                <w:sz w:val="18"/>
                <w:szCs w:val="14"/>
                <w:lang w:val="ro-RO"/>
              </w:rPr>
              <w:t xml:space="preserve"> euro</w:t>
            </w:r>
          </w:p>
          <w:p w14:paraId="535F2BBA" w14:textId="77777777" w:rsidR="004B7DC9" w:rsidRPr="009C5F11" w:rsidRDefault="00421FA7"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BEI</w:t>
            </w:r>
            <w:r w:rsidR="000B56D8" w:rsidRPr="009C5F11">
              <w:rPr>
                <w:rFonts w:ascii="Times New Roman" w:eastAsia="Verdana" w:hAnsi="Times New Roman" w:cs="Times New Roman"/>
                <w:sz w:val="18"/>
                <w:szCs w:val="14"/>
                <w:lang w:val="ro-RO"/>
              </w:rPr>
              <w:t xml:space="preserve">: </w:t>
            </w:r>
            <w:r w:rsidR="004B7DC9" w:rsidRPr="009C5F11">
              <w:rPr>
                <w:rFonts w:ascii="Times New Roman" w:eastAsia="Verdana" w:hAnsi="Times New Roman" w:cs="Times New Roman"/>
                <w:sz w:val="18"/>
                <w:szCs w:val="14"/>
                <w:lang w:val="ro-RO"/>
              </w:rPr>
              <w:t>24,000,000</w:t>
            </w:r>
            <w:r w:rsidR="000B56D8" w:rsidRPr="009C5F11">
              <w:rPr>
                <w:rFonts w:ascii="Times New Roman" w:eastAsia="Verdana" w:hAnsi="Times New Roman" w:cs="Times New Roman"/>
                <w:sz w:val="18"/>
                <w:szCs w:val="14"/>
                <w:lang w:val="ro-RO"/>
              </w:rPr>
              <w:t xml:space="preserve"> euro</w:t>
            </w:r>
          </w:p>
        </w:tc>
      </w:tr>
      <w:tr w:rsidR="004B7DC9" w:rsidRPr="009C5F11" w14:paraId="0E388149" w14:textId="77777777" w:rsidTr="00F5321D">
        <w:trPr>
          <w:trHeight w:hRule="exact" w:val="846"/>
        </w:trPr>
        <w:tc>
          <w:tcPr>
            <w:tcW w:w="420" w:type="dxa"/>
            <w:vMerge/>
            <w:shd w:val="clear" w:color="auto" w:fill="99CCFF"/>
          </w:tcPr>
          <w:p w14:paraId="50AD7323"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2926E194"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53A8B8C4" w14:textId="77777777" w:rsidR="004B7DC9" w:rsidRPr="009C5F11" w:rsidRDefault="00A82A02"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Proiect în RD Nord</w:t>
            </w:r>
            <w:r w:rsidR="004B7DC9"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alimentare cu apă şi evacuare a apelor uzate</w:t>
            </w:r>
            <w:r w:rsidR="004B7DC9" w:rsidRPr="009C5F11">
              <w:rPr>
                <w:rFonts w:ascii="Times New Roman" w:eastAsia="Verdana" w:hAnsi="Times New Roman" w:cs="Times New Roman"/>
                <w:sz w:val="18"/>
                <w:szCs w:val="14"/>
                <w:lang w:val="ro-RO"/>
              </w:rPr>
              <w:t>)</w:t>
            </w:r>
          </w:p>
        </w:tc>
        <w:tc>
          <w:tcPr>
            <w:tcW w:w="2667" w:type="dxa"/>
            <w:shd w:val="clear" w:color="auto" w:fill="99CCFF"/>
          </w:tcPr>
          <w:p w14:paraId="0AC5146B"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A început în anul 2014</w:t>
            </w:r>
          </w:p>
          <w:p w14:paraId="45ACFED9"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18B9AA98"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30,000,000</w:t>
            </w:r>
            <w:r w:rsidR="000B56D8" w:rsidRPr="009C5F11">
              <w:rPr>
                <w:rFonts w:ascii="Times New Roman" w:eastAsia="Verdana" w:hAnsi="Times New Roman" w:cs="Times New Roman"/>
                <w:sz w:val="18"/>
                <w:szCs w:val="14"/>
                <w:lang w:val="ro-RO"/>
              </w:rPr>
              <w:t xml:space="preserve"> euro</w:t>
            </w:r>
          </w:p>
          <w:p w14:paraId="25D241F1" w14:textId="77777777" w:rsidR="004B7DC9" w:rsidRPr="009C5F11" w:rsidRDefault="00421FA7"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BEI</w:t>
            </w:r>
            <w:r w:rsidR="004B7DC9" w:rsidRPr="009C5F11">
              <w:rPr>
                <w:rFonts w:ascii="Times New Roman" w:eastAsia="Verdana" w:hAnsi="Times New Roman" w:cs="Times New Roman"/>
                <w:sz w:val="18"/>
                <w:szCs w:val="14"/>
                <w:lang w:val="ro-RO"/>
              </w:rPr>
              <w:t>: 10,000,000</w:t>
            </w:r>
            <w:r w:rsidR="000B56D8" w:rsidRPr="009C5F11">
              <w:rPr>
                <w:rFonts w:ascii="Times New Roman" w:eastAsia="Verdana" w:hAnsi="Times New Roman" w:cs="Times New Roman"/>
                <w:sz w:val="18"/>
                <w:szCs w:val="14"/>
                <w:lang w:val="ro-RO"/>
              </w:rPr>
              <w:t xml:space="preserve"> euro,</w:t>
            </w:r>
            <w:r w:rsidR="004B7DC9" w:rsidRPr="009C5F11">
              <w:rPr>
                <w:rFonts w:ascii="Times New Roman" w:eastAsia="Verdana" w:hAnsi="Times New Roman" w:cs="Times New Roman"/>
                <w:sz w:val="18"/>
                <w:szCs w:val="14"/>
                <w:lang w:val="ro-RO"/>
              </w:rPr>
              <w:t xml:space="preserve"> </w:t>
            </w:r>
            <w:r w:rsidR="00A82A02" w:rsidRPr="009C5F11">
              <w:rPr>
                <w:rFonts w:ascii="Times New Roman" w:eastAsia="Verdana" w:hAnsi="Times New Roman" w:cs="Times New Roman"/>
                <w:sz w:val="18"/>
                <w:szCs w:val="14"/>
                <w:lang w:val="ro-RO"/>
              </w:rPr>
              <w:t>împrumut suveran</w:t>
            </w:r>
          </w:p>
        </w:tc>
      </w:tr>
      <w:tr w:rsidR="004B7DC9" w:rsidRPr="009C5F11" w14:paraId="0B0F90DF" w14:textId="77777777" w:rsidTr="00671D98">
        <w:trPr>
          <w:trHeight w:hRule="exact" w:val="705"/>
        </w:trPr>
        <w:tc>
          <w:tcPr>
            <w:tcW w:w="420" w:type="dxa"/>
            <w:vMerge/>
            <w:shd w:val="clear" w:color="auto" w:fill="99CCFF"/>
          </w:tcPr>
          <w:p w14:paraId="28C492FB"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18476946"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069E5DDA" w14:textId="77777777" w:rsidR="004B7DC9" w:rsidRPr="009C5F11" w:rsidRDefault="00211450" w:rsidP="00A6631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Programul de dezvoltare a utilităţilor </w:t>
            </w:r>
            <w:r w:rsidR="00A66312" w:rsidRPr="009C5F11">
              <w:rPr>
                <w:rFonts w:ascii="Times New Roman" w:eastAsia="Verdana" w:hAnsi="Times New Roman" w:cs="Times New Roman"/>
                <w:sz w:val="18"/>
                <w:szCs w:val="14"/>
                <w:lang w:val="ro-RO"/>
              </w:rPr>
              <w:t>di</w:t>
            </w:r>
            <w:r w:rsidRPr="009C5F11">
              <w:rPr>
                <w:rFonts w:ascii="Times New Roman" w:eastAsia="Verdana" w:hAnsi="Times New Roman" w:cs="Times New Roman"/>
                <w:sz w:val="18"/>
                <w:szCs w:val="14"/>
                <w:lang w:val="ro-RO"/>
              </w:rPr>
              <w:t>n Moldova</w:t>
            </w:r>
          </w:p>
        </w:tc>
        <w:tc>
          <w:tcPr>
            <w:tcW w:w="2667" w:type="dxa"/>
            <w:shd w:val="clear" w:color="auto" w:fill="99CCFF"/>
          </w:tcPr>
          <w:p w14:paraId="04832940"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2011-2015</w:t>
            </w:r>
          </w:p>
          <w:p w14:paraId="36D22071"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36335EA0"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30,000,000</w:t>
            </w:r>
            <w:r w:rsidR="000B56D8" w:rsidRPr="009C5F11">
              <w:rPr>
                <w:rFonts w:ascii="Times New Roman" w:eastAsia="Verdana" w:hAnsi="Times New Roman" w:cs="Times New Roman"/>
                <w:sz w:val="18"/>
                <w:szCs w:val="14"/>
                <w:lang w:val="ro-RO"/>
              </w:rPr>
              <w:t xml:space="preserve"> euro</w:t>
            </w:r>
          </w:p>
          <w:p w14:paraId="6BC1F637" w14:textId="77777777" w:rsidR="004B7DC9" w:rsidRPr="009C5F11" w:rsidRDefault="00421FA7"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BEI</w:t>
            </w:r>
            <w:r w:rsidR="004B7DC9" w:rsidRPr="009C5F11">
              <w:rPr>
                <w:rFonts w:ascii="Times New Roman" w:eastAsia="Verdana" w:hAnsi="Times New Roman" w:cs="Times New Roman"/>
                <w:sz w:val="18"/>
                <w:szCs w:val="14"/>
                <w:lang w:val="ro-RO"/>
              </w:rPr>
              <w:t>: 10,000,000</w:t>
            </w:r>
            <w:r w:rsidR="000B56D8" w:rsidRPr="009C5F11">
              <w:rPr>
                <w:rFonts w:ascii="Times New Roman" w:eastAsia="Verdana" w:hAnsi="Times New Roman" w:cs="Times New Roman"/>
                <w:sz w:val="18"/>
                <w:szCs w:val="14"/>
                <w:lang w:val="ro-RO"/>
              </w:rPr>
              <w:t xml:space="preserve"> euro,</w:t>
            </w:r>
            <w:r w:rsidR="004B7DC9" w:rsidRPr="009C5F11">
              <w:rPr>
                <w:rFonts w:ascii="Times New Roman" w:eastAsia="Verdana" w:hAnsi="Times New Roman" w:cs="Times New Roman"/>
                <w:sz w:val="18"/>
                <w:szCs w:val="14"/>
                <w:lang w:val="ro-RO"/>
              </w:rPr>
              <w:t xml:space="preserve"> </w:t>
            </w:r>
            <w:r w:rsidR="00A82A02" w:rsidRPr="009C5F11">
              <w:rPr>
                <w:rFonts w:ascii="Times New Roman" w:eastAsia="Verdana" w:hAnsi="Times New Roman" w:cs="Times New Roman"/>
                <w:sz w:val="18"/>
                <w:szCs w:val="14"/>
                <w:lang w:val="ro-RO"/>
              </w:rPr>
              <w:t>împrumut suveran</w:t>
            </w:r>
          </w:p>
        </w:tc>
      </w:tr>
      <w:tr w:rsidR="004B7DC9" w:rsidRPr="009C5F11" w14:paraId="7C397DCF" w14:textId="77777777" w:rsidTr="0083135B">
        <w:trPr>
          <w:trHeight w:hRule="exact" w:val="1013"/>
        </w:trPr>
        <w:tc>
          <w:tcPr>
            <w:tcW w:w="420" w:type="dxa"/>
            <w:shd w:val="clear" w:color="auto" w:fill="99CCFF"/>
          </w:tcPr>
          <w:p w14:paraId="6F357C46"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lastRenderedPageBreak/>
              <w:t>8</w:t>
            </w:r>
          </w:p>
        </w:tc>
        <w:tc>
          <w:tcPr>
            <w:tcW w:w="2000" w:type="dxa"/>
            <w:shd w:val="clear" w:color="auto" w:fill="99CCFF"/>
          </w:tcPr>
          <w:p w14:paraId="71ED6B49" w14:textId="77777777" w:rsidR="004B7DC9" w:rsidRPr="009C5F11" w:rsidRDefault="00A82A02"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Banca Internaţională pentru Reconstrucţie şi Dezvoltare</w:t>
            </w:r>
            <w:r w:rsidR="004B7DC9" w:rsidRPr="009C5F11">
              <w:rPr>
                <w:rFonts w:ascii="Times New Roman" w:eastAsia="Verdana" w:hAnsi="Times New Roman" w:cs="Times New Roman"/>
                <w:sz w:val="18"/>
                <w:szCs w:val="14"/>
                <w:lang w:val="ro-RO"/>
              </w:rPr>
              <w:t xml:space="preserve"> (</w:t>
            </w:r>
            <w:r w:rsidR="00503694" w:rsidRPr="009C5F11">
              <w:rPr>
                <w:rFonts w:ascii="Times New Roman" w:eastAsia="Verdana" w:hAnsi="Times New Roman" w:cs="Times New Roman"/>
                <w:sz w:val="18"/>
                <w:szCs w:val="14"/>
                <w:lang w:val="ro-RO"/>
              </w:rPr>
              <w:t>BIRD</w:t>
            </w:r>
            <w:r w:rsidR="004B7DC9" w:rsidRPr="009C5F11">
              <w:rPr>
                <w:rFonts w:ascii="Times New Roman" w:eastAsia="Verdana" w:hAnsi="Times New Roman" w:cs="Times New Roman"/>
                <w:sz w:val="18"/>
                <w:szCs w:val="14"/>
                <w:lang w:val="ro-RO"/>
              </w:rPr>
              <w:t>)</w:t>
            </w:r>
          </w:p>
        </w:tc>
        <w:tc>
          <w:tcPr>
            <w:tcW w:w="2401" w:type="dxa"/>
            <w:shd w:val="clear" w:color="auto" w:fill="99CCFF"/>
          </w:tcPr>
          <w:p w14:paraId="3C39B20D" w14:textId="77777777" w:rsidR="004B7DC9" w:rsidRPr="009C5F11" w:rsidRDefault="00211450" w:rsidP="00211450">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Proiect de îmbunătăţire a sistemului de î</w:t>
            </w:r>
            <w:r w:rsidR="00FB38BF" w:rsidRPr="009C5F11">
              <w:rPr>
                <w:rFonts w:ascii="Times New Roman" w:eastAsia="Verdana" w:hAnsi="Times New Roman" w:cs="Times New Roman"/>
                <w:sz w:val="18"/>
                <w:szCs w:val="14"/>
                <w:lang w:val="ro-RO"/>
              </w:rPr>
              <w:t>ncălzire centralizată</w:t>
            </w:r>
            <w:r w:rsidR="004B7DC9"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 xml:space="preserve">din </w:t>
            </w:r>
            <w:r w:rsidR="00AA0566" w:rsidRPr="009C5F11">
              <w:rPr>
                <w:rFonts w:ascii="Times New Roman" w:eastAsia="Verdana" w:hAnsi="Times New Roman" w:cs="Times New Roman"/>
                <w:sz w:val="18"/>
                <w:szCs w:val="14"/>
                <w:lang w:val="ro-RO"/>
              </w:rPr>
              <w:t>Chişinău</w:t>
            </w:r>
            <w:r w:rsidR="004B7DC9" w:rsidRPr="009C5F11">
              <w:rPr>
                <w:rFonts w:ascii="Times New Roman" w:eastAsia="Verdana" w:hAnsi="Times New Roman" w:cs="Times New Roman"/>
                <w:sz w:val="18"/>
                <w:szCs w:val="14"/>
                <w:lang w:val="ro-RO"/>
              </w:rPr>
              <w:t xml:space="preserve"> (P132443)</w:t>
            </w:r>
          </w:p>
        </w:tc>
        <w:tc>
          <w:tcPr>
            <w:tcW w:w="2667" w:type="dxa"/>
            <w:shd w:val="clear" w:color="auto" w:fill="99CCFF"/>
          </w:tcPr>
          <w:p w14:paraId="0C70712C"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2015-2020 </w:t>
            </w:r>
          </w:p>
          <w:p w14:paraId="50B24D4C"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634C2BCF" w14:textId="77777777" w:rsidR="004B7DC9" w:rsidRPr="009C5F11" w:rsidRDefault="004B7DC9" w:rsidP="00A82A0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40,500,000</w:t>
            </w:r>
            <w:r w:rsidR="000B56D8" w:rsidRPr="009C5F11">
              <w:rPr>
                <w:rFonts w:ascii="Times New Roman" w:eastAsia="Verdana" w:hAnsi="Times New Roman" w:cs="Times New Roman"/>
                <w:sz w:val="18"/>
                <w:szCs w:val="14"/>
                <w:lang w:val="ro-RO"/>
              </w:rPr>
              <w:t xml:space="preserve"> dolari SUA</w:t>
            </w:r>
            <w:r w:rsidRPr="009C5F11">
              <w:rPr>
                <w:rFonts w:ascii="Times New Roman" w:eastAsia="Verdana" w:hAnsi="Times New Roman" w:cs="Times New Roman"/>
                <w:sz w:val="18"/>
                <w:szCs w:val="14"/>
                <w:lang w:val="ro-RO"/>
              </w:rPr>
              <w:t xml:space="preserve">, </w:t>
            </w:r>
            <w:r w:rsidR="00A82A02" w:rsidRPr="009C5F11">
              <w:rPr>
                <w:rFonts w:ascii="Times New Roman" w:eastAsia="Verdana" w:hAnsi="Times New Roman" w:cs="Times New Roman"/>
                <w:sz w:val="18"/>
                <w:szCs w:val="14"/>
                <w:lang w:val="ro-RO"/>
              </w:rPr>
              <w:t>î</w:t>
            </w:r>
            <w:r w:rsidR="00AA0566" w:rsidRPr="009C5F11">
              <w:rPr>
                <w:rFonts w:ascii="Times New Roman" w:eastAsia="Verdana" w:hAnsi="Times New Roman" w:cs="Times New Roman"/>
                <w:sz w:val="18"/>
                <w:szCs w:val="14"/>
                <w:lang w:val="ro-RO"/>
              </w:rPr>
              <w:t>mprumut BIRD</w:t>
            </w:r>
          </w:p>
        </w:tc>
      </w:tr>
      <w:tr w:rsidR="004B7DC9" w:rsidRPr="009C5F11" w14:paraId="49F498A0" w14:textId="77777777" w:rsidTr="0083135B">
        <w:trPr>
          <w:trHeight w:hRule="exact" w:val="1694"/>
        </w:trPr>
        <w:tc>
          <w:tcPr>
            <w:tcW w:w="420" w:type="dxa"/>
            <w:shd w:val="clear" w:color="auto" w:fill="99CCFF"/>
          </w:tcPr>
          <w:p w14:paraId="449C77B1"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9</w:t>
            </w:r>
          </w:p>
        </w:tc>
        <w:tc>
          <w:tcPr>
            <w:tcW w:w="2000" w:type="dxa"/>
            <w:shd w:val="clear" w:color="auto" w:fill="99CCFF"/>
          </w:tcPr>
          <w:p w14:paraId="41A8A721" w14:textId="77777777" w:rsidR="004B7DC9" w:rsidRPr="009C5F11" w:rsidRDefault="00006B57"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Uniunea Europeană</w:t>
            </w:r>
          </w:p>
          <w:p w14:paraId="7E20710E" w14:textId="77777777" w:rsidR="004B7DC9" w:rsidRPr="009C5F11" w:rsidRDefault="00A82A02"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împreună cu</w:t>
            </w:r>
            <w:r w:rsidR="004B7DC9"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Guvernul RM</w:t>
            </w:r>
          </w:p>
        </w:tc>
        <w:tc>
          <w:tcPr>
            <w:tcW w:w="2401" w:type="dxa"/>
            <w:shd w:val="clear" w:color="auto" w:fill="99CCFF"/>
          </w:tcPr>
          <w:p w14:paraId="3D9E1EA5" w14:textId="77777777" w:rsidR="004B7DC9" w:rsidRPr="009C5F11" w:rsidRDefault="00211450"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Proiectul </w:t>
            </w:r>
            <w:r w:rsidR="000B56D8" w:rsidRPr="009C5F11">
              <w:rPr>
                <w:rFonts w:ascii="Times New Roman" w:eastAsia="Calibri" w:hAnsi="Times New Roman" w:cs="Times New Roman"/>
                <w:sz w:val="16"/>
                <w:szCs w:val="13"/>
                <w:lang w:val="ro-RO"/>
              </w:rPr>
              <w:t>Fondului Parteneriatului Europei de Est pentru Eficienţa Energetică şi Mediu</w:t>
            </w:r>
            <w:r w:rsidR="000B56D8" w:rsidRPr="009C5F11">
              <w:rPr>
                <w:rFonts w:ascii="Times New Roman" w:eastAsia="Verdana" w:hAnsi="Times New Roman" w:cs="Times New Roman"/>
                <w:sz w:val="18"/>
                <w:szCs w:val="14"/>
                <w:lang w:val="ro-RO"/>
              </w:rPr>
              <w:t xml:space="preserve"> (</w:t>
            </w:r>
            <w:r w:rsidR="004B7DC9" w:rsidRPr="009C5F11">
              <w:rPr>
                <w:rFonts w:ascii="Times New Roman" w:eastAsia="Verdana" w:hAnsi="Times New Roman" w:cs="Times New Roman"/>
                <w:sz w:val="18"/>
                <w:szCs w:val="14"/>
                <w:lang w:val="ro-RO"/>
              </w:rPr>
              <w:t>E5P</w:t>
            </w:r>
            <w:r w:rsidR="000B56D8" w:rsidRPr="009C5F11">
              <w:rPr>
                <w:rFonts w:ascii="Times New Roman" w:eastAsia="Verdana" w:hAnsi="Times New Roman" w:cs="Times New Roman"/>
                <w:sz w:val="18"/>
                <w:szCs w:val="14"/>
                <w:lang w:val="ro-RO"/>
              </w:rPr>
              <w:t>)</w:t>
            </w:r>
          </w:p>
          <w:p w14:paraId="760A83D1" w14:textId="77777777" w:rsidR="004B7DC9" w:rsidRPr="009C5F11" w:rsidRDefault="007F77BE"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clădirile publice</w:t>
            </w:r>
            <w:r w:rsidR="004B7DC9" w:rsidRPr="009C5F11">
              <w:rPr>
                <w:rFonts w:ascii="Times New Roman" w:eastAsia="Verdana" w:hAnsi="Times New Roman" w:cs="Times New Roman"/>
                <w:sz w:val="18"/>
                <w:szCs w:val="14"/>
                <w:lang w:val="ro-RO"/>
              </w:rPr>
              <w:t xml:space="preserve">, </w:t>
            </w:r>
            <w:r w:rsidR="006F2A15" w:rsidRPr="009C5F11">
              <w:rPr>
                <w:rFonts w:ascii="Times New Roman" w:eastAsia="Verdana" w:hAnsi="Times New Roman" w:cs="Times New Roman"/>
                <w:sz w:val="18"/>
                <w:szCs w:val="14"/>
                <w:lang w:val="ro-RO"/>
              </w:rPr>
              <w:t>transportul public</w:t>
            </w:r>
            <w:r w:rsidR="00321CD5" w:rsidRPr="009C5F11">
              <w:rPr>
                <w:rFonts w:ascii="Times New Roman" w:eastAsia="Verdana" w:hAnsi="Times New Roman" w:cs="Times New Roman"/>
                <w:sz w:val="18"/>
                <w:szCs w:val="14"/>
                <w:lang w:val="ro-RO"/>
              </w:rPr>
              <w:t xml:space="preserve"> şi </w:t>
            </w:r>
            <w:r w:rsidR="006F2A15" w:rsidRPr="009C5F11">
              <w:rPr>
                <w:rFonts w:ascii="Times New Roman" w:eastAsia="Verdana" w:hAnsi="Times New Roman" w:cs="Times New Roman"/>
                <w:sz w:val="18"/>
                <w:szCs w:val="14"/>
                <w:lang w:val="ro-RO"/>
              </w:rPr>
              <w:t>iluminatul stradal</w:t>
            </w:r>
          </w:p>
        </w:tc>
        <w:tc>
          <w:tcPr>
            <w:tcW w:w="2667" w:type="dxa"/>
            <w:shd w:val="clear" w:color="auto" w:fill="99CCFF"/>
          </w:tcPr>
          <w:p w14:paraId="0C6FEE00"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Inten</w:t>
            </w:r>
            <w:r w:rsidR="0089526B" w:rsidRPr="009C5F11">
              <w:rPr>
                <w:rFonts w:ascii="Times New Roman" w:eastAsia="Verdana" w:hAnsi="Times New Roman" w:cs="Times New Roman"/>
                <w:sz w:val="18"/>
                <w:szCs w:val="14"/>
                <w:lang w:val="ro-RO"/>
              </w:rPr>
              <w:t xml:space="preserve">ţiile au fost </w:t>
            </w:r>
            <w:r w:rsidRPr="009C5F11">
              <w:rPr>
                <w:rFonts w:ascii="Times New Roman" w:eastAsia="Verdana" w:hAnsi="Times New Roman" w:cs="Times New Roman"/>
                <w:sz w:val="18"/>
                <w:szCs w:val="14"/>
                <w:lang w:val="ro-RO"/>
              </w:rPr>
              <w:t>formulate</w:t>
            </w:r>
            <w:r w:rsidR="0089526B" w:rsidRPr="009C5F11">
              <w:rPr>
                <w:rFonts w:ascii="Times New Roman" w:eastAsia="Verdana" w:hAnsi="Times New Roman" w:cs="Times New Roman"/>
                <w:sz w:val="18"/>
                <w:szCs w:val="14"/>
                <w:lang w:val="ro-RO"/>
              </w:rPr>
              <w:t xml:space="preserve"> în anul</w:t>
            </w:r>
            <w:r w:rsidRPr="009C5F11">
              <w:rPr>
                <w:rFonts w:ascii="Times New Roman" w:eastAsia="Verdana" w:hAnsi="Times New Roman" w:cs="Times New Roman"/>
                <w:sz w:val="18"/>
                <w:szCs w:val="14"/>
                <w:lang w:val="ro-RO"/>
              </w:rPr>
              <w:t xml:space="preserve"> 2015</w:t>
            </w:r>
          </w:p>
          <w:p w14:paraId="3D0A4041" w14:textId="77777777" w:rsidR="002B7376" w:rsidRPr="009C5F11" w:rsidRDefault="002B7376"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4D4FD7AD" w14:textId="77777777" w:rsidR="004B7DC9" w:rsidRPr="009C5F11" w:rsidRDefault="002B7376"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18,</w:t>
            </w:r>
            <w:r w:rsidR="004B7DC9" w:rsidRPr="009C5F11">
              <w:rPr>
                <w:rFonts w:ascii="Times New Roman" w:eastAsia="Verdana" w:hAnsi="Times New Roman" w:cs="Times New Roman"/>
                <w:sz w:val="18"/>
                <w:szCs w:val="14"/>
                <w:lang w:val="ro-RO"/>
              </w:rPr>
              <w:t>750,000</w:t>
            </w:r>
            <w:r w:rsidR="000B56D8" w:rsidRPr="009C5F11">
              <w:rPr>
                <w:rFonts w:ascii="Times New Roman" w:eastAsia="Verdana" w:hAnsi="Times New Roman" w:cs="Times New Roman"/>
                <w:sz w:val="18"/>
                <w:szCs w:val="14"/>
                <w:lang w:val="ro-RO"/>
              </w:rPr>
              <w:t xml:space="preserve"> euro</w:t>
            </w:r>
            <w:r w:rsidR="004B7DC9" w:rsidRPr="009C5F11">
              <w:rPr>
                <w:rFonts w:ascii="Times New Roman" w:eastAsia="Verdana" w:hAnsi="Times New Roman" w:cs="Times New Roman"/>
                <w:sz w:val="18"/>
                <w:szCs w:val="14"/>
                <w:lang w:val="ro-RO"/>
              </w:rPr>
              <w:t xml:space="preserve">, grant </w:t>
            </w:r>
            <w:r w:rsidR="00421FA7" w:rsidRPr="009C5F11">
              <w:rPr>
                <w:rFonts w:ascii="Times New Roman" w:eastAsia="Verdana" w:hAnsi="Times New Roman" w:cs="Times New Roman"/>
                <w:sz w:val="18"/>
                <w:szCs w:val="14"/>
                <w:lang w:val="ro-RO"/>
              </w:rPr>
              <w:t>UE</w:t>
            </w:r>
          </w:p>
          <w:p w14:paraId="0B11EE6E"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1,000,000 </w:t>
            </w:r>
            <w:r w:rsidR="000B56D8" w:rsidRPr="009C5F11">
              <w:rPr>
                <w:rFonts w:ascii="Times New Roman" w:eastAsia="Verdana" w:hAnsi="Times New Roman" w:cs="Times New Roman"/>
                <w:sz w:val="18"/>
                <w:szCs w:val="14"/>
                <w:lang w:val="ro-RO"/>
              </w:rPr>
              <w:t xml:space="preserve">euro, </w:t>
            </w:r>
            <w:r w:rsidR="00A82A02" w:rsidRPr="009C5F11">
              <w:rPr>
                <w:rFonts w:ascii="Times New Roman" w:eastAsia="Verdana" w:hAnsi="Times New Roman" w:cs="Times New Roman"/>
                <w:sz w:val="18"/>
                <w:szCs w:val="14"/>
                <w:lang w:val="ro-RO"/>
              </w:rPr>
              <w:t>Guvernul RM</w:t>
            </w:r>
          </w:p>
        </w:tc>
      </w:tr>
      <w:tr w:rsidR="004B7DC9" w:rsidRPr="009C5F11" w14:paraId="01324A0E" w14:textId="77777777" w:rsidTr="000B56D8">
        <w:trPr>
          <w:trHeight w:hRule="exact" w:val="712"/>
        </w:trPr>
        <w:tc>
          <w:tcPr>
            <w:tcW w:w="420" w:type="dxa"/>
            <w:shd w:val="clear" w:color="auto" w:fill="99CCFF"/>
          </w:tcPr>
          <w:p w14:paraId="47900179"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10</w:t>
            </w:r>
          </w:p>
        </w:tc>
        <w:tc>
          <w:tcPr>
            <w:tcW w:w="2000" w:type="dxa"/>
            <w:shd w:val="clear" w:color="auto" w:fill="99CCFF"/>
          </w:tcPr>
          <w:p w14:paraId="7A956681" w14:textId="77777777" w:rsidR="004B7DC9" w:rsidRPr="009C5F11" w:rsidRDefault="00006B57"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Uniunea Europeană</w:t>
            </w:r>
          </w:p>
        </w:tc>
        <w:tc>
          <w:tcPr>
            <w:tcW w:w="2401" w:type="dxa"/>
            <w:shd w:val="clear" w:color="auto" w:fill="99CCFF"/>
          </w:tcPr>
          <w:p w14:paraId="508A641D" w14:textId="77777777" w:rsidR="004B7DC9" w:rsidRPr="009C5F11" w:rsidRDefault="00211450"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Proiectul E5P </w:t>
            </w:r>
          </w:p>
          <w:p w14:paraId="682F931C" w14:textId="77777777" w:rsidR="004B7DC9" w:rsidRPr="009C5F11" w:rsidRDefault="00FB38BF"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Încălzire centralizată</w:t>
            </w:r>
            <w:r w:rsidR="00321CD5" w:rsidRPr="009C5F11">
              <w:rPr>
                <w:rFonts w:ascii="Times New Roman" w:eastAsia="Verdana" w:hAnsi="Times New Roman" w:cs="Times New Roman"/>
                <w:sz w:val="18"/>
                <w:szCs w:val="14"/>
                <w:lang w:val="ro-RO"/>
              </w:rPr>
              <w:t xml:space="preserve"> în </w:t>
            </w:r>
            <w:r w:rsidR="00210C2C" w:rsidRPr="009C5F11">
              <w:rPr>
                <w:rFonts w:ascii="Times New Roman" w:eastAsia="Verdana" w:hAnsi="Times New Roman" w:cs="Times New Roman"/>
                <w:sz w:val="18"/>
                <w:szCs w:val="14"/>
                <w:lang w:val="ro-RO"/>
              </w:rPr>
              <w:t>Bălţi</w:t>
            </w:r>
          </w:p>
        </w:tc>
        <w:tc>
          <w:tcPr>
            <w:tcW w:w="2667" w:type="dxa"/>
            <w:shd w:val="clear" w:color="auto" w:fill="99CCFF"/>
          </w:tcPr>
          <w:p w14:paraId="042B8C91"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A început în anul 2014</w:t>
            </w:r>
          </w:p>
          <w:p w14:paraId="15BC3FAA" w14:textId="77777777" w:rsidR="00171CAF" w:rsidRPr="009C5F11" w:rsidRDefault="00171CAF" w:rsidP="0089526B">
            <w:pPr>
              <w:jc w:val="both"/>
              <w:rPr>
                <w:rFonts w:ascii="Times New Roman" w:eastAsia="Verdana" w:hAnsi="Times New Roman" w:cs="Times New Roman"/>
                <w:sz w:val="18"/>
                <w:szCs w:val="14"/>
                <w:lang w:val="ro-RO"/>
              </w:rPr>
            </w:pPr>
          </w:p>
        </w:tc>
        <w:tc>
          <w:tcPr>
            <w:tcW w:w="6570" w:type="dxa"/>
            <w:gridSpan w:val="13"/>
            <w:shd w:val="clear" w:color="auto" w:fill="99CCFF"/>
          </w:tcPr>
          <w:p w14:paraId="71E31DF1"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10,000,000</w:t>
            </w:r>
            <w:r w:rsidR="000B56D8" w:rsidRPr="009C5F11">
              <w:rPr>
                <w:rFonts w:ascii="Times New Roman" w:eastAsia="Verdana" w:hAnsi="Times New Roman" w:cs="Times New Roman"/>
                <w:sz w:val="18"/>
                <w:szCs w:val="14"/>
                <w:lang w:val="ro-RO"/>
              </w:rPr>
              <w:t xml:space="preserve"> euro</w:t>
            </w:r>
          </w:p>
          <w:p w14:paraId="3100A7CE" w14:textId="77777777" w:rsidR="004B7DC9" w:rsidRPr="009C5F11" w:rsidRDefault="004B7DC9"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E5P 3,000,000</w:t>
            </w:r>
            <w:r w:rsidR="000B56D8" w:rsidRPr="009C5F11">
              <w:rPr>
                <w:rFonts w:ascii="Times New Roman" w:eastAsia="Verdana" w:hAnsi="Times New Roman" w:cs="Times New Roman"/>
                <w:sz w:val="18"/>
                <w:szCs w:val="14"/>
                <w:lang w:val="ro-RO"/>
              </w:rPr>
              <w:t xml:space="preserve"> euro,</w:t>
            </w:r>
            <w:r w:rsidRPr="009C5F11">
              <w:rPr>
                <w:rFonts w:ascii="Times New Roman" w:eastAsia="Verdana" w:hAnsi="Times New Roman" w:cs="Times New Roman"/>
                <w:sz w:val="18"/>
                <w:szCs w:val="14"/>
                <w:lang w:val="ro-RO"/>
              </w:rPr>
              <w:t xml:space="preserve"> grant</w:t>
            </w:r>
          </w:p>
        </w:tc>
      </w:tr>
      <w:tr w:rsidR="004B7DC9" w:rsidRPr="009C5F11" w14:paraId="74F5AA71" w14:textId="77777777" w:rsidTr="00671D98">
        <w:trPr>
          <w:trHeight w:hRule="exact" w:val="702"/>
        </w:trPr>
        <w:tc>
          <w:tcPr>
            <w:tcW w:w="420" w:type="dxa"/>
            <w:vMerge w:val="restart"/>
            <w:shd w:val="clear" w:color="auto" w:fill="99CCFF"/>
          </w:tcPr>
          <w:p w14:paraId="014FA1C1"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11</w:t>
            </w:r>
          </w:p>
        </w:tc>
        <w:tc>
          <w:tcPr>
            <w:tcW w:w="2000" w:type="dxa"/>
            <w:vMerge w:val="restart"/>
            <w:shd w:val="clear" w:color="auto" w:fill="99CCFF"/>
          </w:tcPr>
          <w:p w14:paraId="66FD1219" w14:textId="77777777" w:rsidR="004B7DC9" w:rsidRPr="009C5F11" w:rsidRDefault="00006B57"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Uniunea Europeană</w:t>
            </w:r>
            <w:r w:rsidR="004B7DC9" w:rsidRPr="009C5F11">
              <w:rPr>
                <w:rFonts w:ascii="Times New Roman" w:eastAsia="Verdana" w:hAnsi="Times New Roman" w:cs="Times New Roman"/>
                <w:sz w:val="18"/>
                <w:szCs w:val="14"/>
                <w:lang w:val="ro-RO"/>
              </w:rPr>
              <w:t xml:space="preserve"> (</w:t>
            </w:r>
            <w:r w:rsidR="00421FA7" w:rsidRPr="009C5F11">
              <w:rPr>
                <w:rFonts w:ascii="Times New Roman" w:eastAsia="Verdana" w:hAnsi="Times New Roman" w:cs="Times New Roman"/>
                <w:sz w:val="18"/>
                <w:szCs w:val="14"/>
                <w:lang w:val="ro-RO"/>
              </w:rPr>
              <w:t>UE</w:t>
            </w:r>
            <w:r w:rsidR="004B7DC9" w:rsidRPr="009C5F11">
              <w:rPr>
                <w:rFonts w:ascii="Times New Roman" w:eastAsia="Verdana" w:hAnsi="Times New Roman" w:cs="Times New Roman"/>
                <w:sz w:val="18"/>
                <w:szCs w:val="14"/>
                <w:lang w:val="ro-RO"/>
              </w:rPr>
              <w:t>)</w:t>
            </w:r>
          </w:p>
          <w:p w14:paraId="15AC3C23" w14:textId="77777777" w:rsidR="004B7DC9" w:rsidRPr="009C5F11" w:rsidRDefault="00211450"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cu</w:t>
            </w:r>
            <w:r w:rsidR="004B7DC9" w:rsidRPr="009C5F11">
              <w:rPr>
                <w:rFonts w:ascii="Times New Roman" w:eastAsia="Verdana" w:hAnsi="Times New Roman" w:cs="Times New Roman"/>
                <w:sz w:val="18"/>
                <w:szCs w:val="14"/>
                <w:lang w:val="ro-RO"/>
              </w:rPr>
              <w:t xml:space="preserve"> </w:t>
            </w:r>
            <w:r w:rsidR="00AA0566" w:rsidRPr="009C5F11">
              <w:rPr>
                <w:rFonts w:ascii="Times New Roman" w:eastAsia="Verdana" w:hAnsi="Times New Roman" w:cs="Times New Roman"/>
                <w:sz w:val="18"/>
                <w:szCs w:val="14"/>
                <w:lang w:val="ro-RO"/>
              </w:rPr>
              <w:t>BERD</w:t>
            </w:r>
            <w:r w:rsidR="00321CD5" w:rsidRPr="009C5F11">
              <w:rPr>
                <w:rFonts w:ascii="Times New Roman" w:eastAsia="Verdana" w:hAnsi="Times New Roman" w:cs="Times New Roman"/>
                <w:sz w:val="18"/>
                <w:szCs w:val="14"/>
                <w:lang w:val="ro-RO"/>
              </w:rPr>
              <w:t xml:space="preserve"> şi </w:t>
            </w:r>
            <w:r w:rsidR="00421FA7" w:rsidRPr="009C5F11">
              <w:rPr>
                <w:rFonts w:ascii="Times New Roman" w:eastAsia="Verdana" w:hAnsi="Times New Roman" w:cs="Times New Roman"/>
                <w:sz w:val="18"/>
                <w:szCs w:val="14"/>
                <w:lang w:val="ro-RO"/>
              </w:rPr>
              <w:t>BEI</w:t>
            </w:r>
          </w:p>
        </w:tc>
        <w:tc>
          <w:tcPr>
            <w:tcW w:w="2401" w:type="dxa"/>
            <w:shd w:val="clear" w:color="auto" w:fill="99CCFF"/>
          </w:tcPr>
          <w:p w14:paraId="0B8BB6ED" w14:textId="77777777" w:rsidR="004B7DC9" w:rsidRPr="009C5F11" w:rsidRDefault="00FD5F1C"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Modernizarea gestionării apei şi a apelor uzate în Chişinău</w:t>
            </w:r>
          </w:p>
        </w:tc>
        <w:tc>
          <w:tcPr>
            <w:tcW w:w="2667" w:type="dxa"/>
            <w:shd w:val="clear" w:color="auto" w:fill="99CCFF"/>
          </w:tcPr>
          <w:p w14:paraId="09F55C05"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A început în anul 2016</w:t>
            </w:r>
          </w:p>
          <w:p w14:paraId="24D7EEF4" w14:textId="77777777" w:rsidR="00171CAF" w:rsidRPr="009C5F11" w:rsidRDefault="00171CAF"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0AF6D6E4"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59,000,000</w:t>
            </w:r>
            <w:r w:rsidR="000B56D8" w:rsidRPr="009C5F11">
              <w:rPr>
                <w:rFonts w:ascii="Times New Roman" w:eastAsia="Verdana" w:hAnsi="Times New Roman" w:cs="Times New Roman"/>
                <w:sz w:val="18"/>
                <w:szCs w:val="14"/>
                <w:lang w:val="ro-RO"/>
              </w:rPr>
              <w:t xml:space="preserve"> euro</w:t>
            </w:r>
          </w:p>
          <w:p w14:paraId="3A9EB0E9" w14:textId="77777777" w:rsidR="004B7DC9" w:rsidRPr="009C5F11" w:rsidRDefault="00421FA7"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UE</w:t>
            </w:r>
            <w:r w:rsidR="004B7DC9" w:rsidRPr="009C5F11">
              <w:rPr>
                <w:rFonts w:ascii="Times New Roman" w:eastAsia="Verdana" w:hAnsi="Times New Roman" w:cs="Times New Roman"/>
                <w:sz w:val="18"/>
                <w:szCs w:val="14"/>
                <w:lang w:val="ro-RO"/>
              </w:rPr>
              <w:t>: 11,000,000</w:t>
            </w:r>
            <w:r w:rsidR="000B56D8" w:rsidRPr="009C5F11">
              <w:rPr>
                <w:rFonts w:ascii="Times New Roman" w:eastAsia="Verdana" w:hAnsi="Times New Roman" w:cs="Times New Roman"/>
                <w:sz w:val="18"/>
                <w:szCs w:val="14"/>
                <w:lang w:val="ro-RO"/>
              </w:rPr>
              <w:t xml:space="preserve"> euro,</w:t>
            </w:r>
            <w:r w:rsidR="004B7DC9" w:rsidRPr="009C5F11">
              <w:rPr>
                <w:rFonts w:ascii="Times New Roman" w:eastAsia="Verdana" w:hAnsi="Times New Roman" w:cs="Times New Roman"/>
                <w:sz w:val="18"/>
                <w:szCs w:val="14"/>
                <w:lang w:val="ro-RO"/>
              </w:rPr>
              <w:t xml:space="preserve"> grant</w:t>
            </w:r>
          </w:p>
        </w:tc>
      </w:tr>
      <w:tr w:rsidR="004B7DC9" w:rsidRPr="009C5F11" w14:paraId="4E2A0655" w14:textId="77777777" w:rsidTr="00671D98">
        <w:trPr>
          <w:trHeight w:hRule="exact" w:val="712"/>
        </w:trPr>
        <w:tc>
          <w:tcPr>
            <w:tcW w:w="420" w:type="dxa"/>
            <w:vMerge/>
            <w:shd w:val="clear" w:color="auto" w:fill="99CCFF"/>
          </w:tcPr>
          <w:p w14:paraId="0F989C0D"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6CA760E2"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6C3CA6D9" w14:textId="77777777" w:rsidR="004B7DC9" w:rsidRPr="009C5F11" w:rsidRDefault="00A82A02"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Proiect în RD Nord</w:t>
            </w:r>
            <w:r w:rsidR="004B7DC9" w:rsidRPr="009C5F11">
              <w:rPr>
                <w:rFonts w:ascii="Times New Roman" w:eastAsia="Verdana" w:hAnsi="Times New Roman" w:cs="Times New Roman"/>
                <w:sz w:val="18"/>
                <w:szCs w:val="14"/>
                <w:lang w:val="ro-RO"/>
              </w:rPr>
              <w:t xml:space="preserve"> (</w:t>
            </w:r>
            <w:r w:rsidRPr="009C5F11">
              <w:rPr>
                <w:rFonts w:ascii="Times New Roman" w:eastAsia="Verdana" w:hAnsi="Times New Roman" w:cs="Times New Roman"/>
                <w:sz w:val="18"/>
                <w:szCs w:val="14"/>
                <w:lang w:val="ro-RO"/>
              </w:rPr>
              <w:t>alimentare cu apă şi evacuare a apelor uzate</w:t>
            </w:r>
            <w:r w:rsidR="004B7DC9" w:rsidRPr="009C5F11">
              <w:rPr>
                <w:rFonts w:ascii="Times New Roman" w:eastAsia="Verdana" w:hAnsi="Times New Roman" w:cs="Times New Roman"/>
                <w:sz w:val="18"/>
                <w:szCs w:val="14"/>
                <w:lang w:val="ro-RO"/>
              </w:rPr>
              <w:t>)</w:t>
            </w:r>
          </w:p>
        </w:tc>
        <w:tc>
          <w:tcPr>
            <w:tcW w:w="2667" w:type="dxa"/>
            <w:shd w:val="clear" w:color="auto" w:fill="99CCFF"/>
          </w:tcPr>
          <w:p w14:paraId="6DD9D0A2" w14:textId="77777777" w:rsidR="004B7DC9" w:rsidRPr="009C5F11" w:rsidRDefault="0089526B"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A început în anul 2014</w:t>
            </w:r>
          </w:p>
          <w:p w14:paraId="5825D627" w14:textId="77777777" w:rsidR="00171CAF" w:rsidRPr="009C5F11" w:rsidRDefault="00171CAF"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3E958763"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30,000,000</w:t>
            </w:r>
            <w:r w:rsidR="000B56D8" w:rsidRPr="009C5F11">
              <w:rPr>
                <w:rFonts w:ascii="Times New Roman" w:eastAsia="Verdana" w:hAnsi="Times New Roman" w:cs="Times New Roman"/>
                <w:sz w:val="18"/>
                <w:szCs w:val="14"/>
                <w:lang w:val="ro-RO"/>
              </w:rPr>
              <w:t xml:space="preserve"> euro</w:t>
            </w:r>
          </w:p>
          <w:p w14:paraId="0977A60D" w14:textId="77777777" w:rsidR="004B7DC9" w:rsidRPr="009C5F11" w:rsidRDefault="00421FA7"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BEI</w:t>
            </w:r>
            <w:r w:rsidR="000B56D8" w:rsidRPr="009C5F11">
              <w:rPr>
                <w:rFonts w:ascii="Times New Roman" w:eastAsia="Verdana" w:hAnsi="Times New Roman" w:cs="Times New Roman"/>
                <w:sz w:val="18"/>
                <w:szCs w:val="14"/>
                <w:lang w:val="ro-RO"/>
              </w:rPr>
              <w:t xml:space="preserve">: </w:t>
            </w:r>
            <w:r w:rsidR="004B7DC9" w:rsidRPr="009C5F11">
              <w:rPr>
                <w:rFonts w:ascii="Times New Roman" w:eastAsia="Verdana" w:hAnsi="Times New Roman" w:cs="Times New Roman"/>
                <w:sz w:val="18"/>
                <w:szCs w:val="14"/>
                <w:lang w:val="ro-RO"/>
              </w:rPr>
              <w:t>10,000,000</w:t>
            </w:r>
            <w:r w:rsidR="000B56D8" w:rsidRPr="009C5F11">
              <w:rPr>
                <w:rFonts w:ascii="Times New Roman" w:eastAsia="Verdana" w:hAnsi="Times New Roman" w:cs="Times New Roman"/>
                <w:sz w:val="18"/>
                <w:szCs w:val="14"/>
                <w:lang w:val="ro-RO"/>
              </w:rPr>
              <w:t xml:space="preserve"> euro,</w:t>
            </w:r>
            <w:r w:rsidR="004B7DC9" w:rsidRPr="009C5F11">
              <w:rPr>
                <w:rFonts w:ascii="Times New Roman" w:eastAsia="Verdana" w:hAnsi="Times New Roman" w:cs="Times New Roman"/>
                <w:sz w:val="18"/>
                <w:szCs w:val="14"/>
                <w:lang w:val="ro-RO"/>
              </w:rPr>
              <w:t xml:space="preserve"> grant </w:t>
            </w:r>
            <w:r w:rsidR="00A82A02" w:rsidRPr="009C5F11">
              <w:rPr>
                <w:rFonts w:ascii="Times New Roman" w:eastAsia="Verdana" w:hAnsi="Times New Roman" w:cs="Times New Roman"/>
                <w:sz w:val="18"/>
                <w:szCs w:val="14"/>
                <w:lang w:val="ro-RO"/>
              </w:rPr>
              <w:t>prin intermediul NIF</w:t>
            </w:r>
          </w:p>
        </w:tc>
      </w:tr>
      <w:tr w:rsidR="004B7DC9" w:rsidRPr="009C5F11" w14:paraId="089755AC" w14:textId="77777777" w:rsidTr="003F5CB9">
        <w:trPr>
          <w:trHeight w:hRule="exact" w:val="708"/>
        </w:trPr>
        <w:tc>
          <w:tcPr>
            <w:tcW w:w="420" w:type="dxa"/>
            <w:vMerge/>
            <w:shd w:val="clear" w:color="auto" w:fill="99CCFF"/>
          </w:tcPr>
          <w:p w14:paraId="3D41BAE7" w14:textId="77777777" w:rsidR="004B7DC9" w:rsidRPr="009C5F11" w:rsidRDefault="004B7DC9" w:rsidP="00481A38">
            <w:pPr>
              <w:jc w:val="both"/>
              <w:rPr>
                <w:rFonts w:ascii="Times New Roman" w:eastAsia="Verdana" w:hAnsi="Times New Roman" w:cs="Times New Roman"/>
                <w:sz w:val="18"/>
                <w:szCs w:val="14"/>
                <w:lang w:val="ro-RO"/>
              </w:rPr>
            </w:pPr>
          </w:p>
        </w:tc>
        <w:tc>
          <w:tcPr>
            <w:tcW w:w="2000" w:type="dxa"/>
            <w:vMerge/>
            <w:shd w:val="clear" w:color="auto" w:fill="99CCFF"/>
          </w:tcPr>
          <w:p w14:paraId="1DAC0976" w14:textId="77777777" w:rsidR="004B7DC9" w:rsidRPr="009C5F11" w:rsidRDefault="004B7DC9" w:rsidP="00481A38">
            <w:pPr>
              <w:jc w:val="both"/>
              <w:rPr>
                <w:rFonts w:ascii="Times New Roman" w:eastAsia="Verdana" w:hAnsi="Times New Roman" w:cs="Times New Roman"/>
                <w:sz w:val="18"/>
                <w:szCs w:val="14"/>
                <w:lang w:val="ro-RO"/>
              </w:rPr>
            </w:pPr>
          </w:p>
        </w:tc>
        <w:tc>
          <w:tcPr>
            <w:tcW w:w="2401" w:type="dxa"/>
            <w:shd w:val="clear" w:color="auto" w:fill="99CCFF"/>
          </w:tcPr>
          <w:p w14:paraId="6BF3A9AA" w14:textId="77777777" w:rsidR="004B7DC9" w:rsidRPr="009C5F11" w:rsidRDefault="00211450" w:rsidP="000B56D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Programul de dezvoltare a utilităţilor </w:t>
            </w:r>
            <w:r w:rsidR="000B56D8" w:rsidRPr="009C5F11">
              <w:rPr>
                <w:rFonts w:ascii="Times New Roman" w:eastAsia="Verdana" w:hAnsi="Times New Roman" w:cs="Times New Roman"/>
                <w:sz w:val="18"/>
                <w:szCs w:val="14"/>
                <w:lang w:val="ro-RO"/>
              </w:rPr>
              <w:t>di</w:t>
            </w:r>
            <w:r w:rsidRPr="009C5F11">
              <w:rPr>
                <w:rFonts w:ascii="Times New Roman" w:eastAsia="Verdana" w:hAnsi="Times New Roman" w:cs="Times New Roman"/>
                <w:sz w:val="18"/>
                <w:szCs w:val="14"/>
                <w:lang w:val="ro-RO"/>
              </w:rPr>
              <w:t>n Moldova</w:t>
            </w:r>
          </w:p>
        </w:tc>
        <w:tc>
          <w:tcPr>
            <w:tcW w:w="2667" w:type="dxa"/>
            <w:shd w:val="clear" w:color="auto" w:fill="99CCFF"/>
          </w:tcPr>
          <w:p w14:paraId="7DC0C8A1"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2011-2015</w:t>
            </w:r>
          </w:p>
          <w:p w14:paraId="67DDBBA7" w14:textId="77777777" w:rsidR="00171CAF" w:rsidRPr="009C5F11" w:rsidRDefault="00171CAF"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4074D68D" w14:textId="77777777" w:rsidR="004B7DC9" w:rsidRPr="009C5F11" w:rsidRDefault="004B7DC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30,000,000</w:t>
            </w:r>
            <w:r w:rsidR="000B56D8" w:rsidRPr="009C5F11">
              <w:rPr>
                <w:rFonts w:ascii="Times New Roman" w:eastAsia="Verdana" w:hAnsi="Times New Roman" w:cs="Times New Roman"/>
                <w:sz w:val="18"/>
                <w:szCs w:val="14"/>
                <w:lang w:val="ro-RO"/>
              </w:rPr>
              <w:t xml:space="preserve"> euro</w:t>
            </w:r>
          </w:p>
          <w:p w14:paraId="5D57B3BE" w14:textId="77777777" w:rsidR="004B7DC9" w:rsidRPr="009C5F11" w:rsidRDefault="00421FA7"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UE</w:t>
            </w:r>
            <w:r w:rsidR="004B7DC9" w:rsidRPr="009C5F11">
              <w:rPr>
                <w:rFonts w:ascii="Times New Roman" w:eastAsia="Verdana" w:hAnsi="Times New Roman" w:cs="Times New Roman"/>
                <w:sz w:val="18"/>
                <w:szCs w:val="14"/>
                <w:lang w:val="ro-RO"/>
              </w:rPr>
              <w:t xml:space="preserve">: 10,000,000 </w:t>
            </w:r>
            <w:r w:rsidR="000B56D8" w:rsidRPr="009C5F11">
              <w:rPr>
                <w:rFonts w:ascii="Times New Roman" w:eastAsia="Verdana" w:hAnsi="Times New Roman" w:cs="Times New Roman"/>
                <w:sz w:val="18"/>
                <w:szCs w:val="14"/>
                <w:lang w:val="ro-RO"/>
              </w:rPr>
              <w:t xml:space="preserve">euro, </w:t>
            </w:r>
            <w:r w:rsidR="004B7DC9" w:rsidRPr="009C5F11">
              <w:rPr>
                <w:rFonts w:ascii="Times New Roman" w:eastAsia="Verdana" w:hAnsi="Times New Roman" w:cs="Times New Roman"/>
                <w:sz w:val="18"/>
                <w:szCs w:val="14"/>
                <w:lang w:val="ro-RO"/>
              </w:rPr>
              <w:t>grant</w:t>
            </w:r>
          </w:p>
        </w:tc>
      </w:tr>
      <w:tr w:rsidR="00D433E2" w:rsidRPr="009C5F11" w14:paraId="1971359B" w14:textId="77777777" w:rsidTr="00171CAF">
        <w:trPr>
          <w:trHeight w:hRule="exact" w:val="736"/>
        </w:trPr>
        <w:tc>
          <w:tcPr>
            <w:tcW w:w="420" w:type="dxa"/>
            <w:vMerge w:val="restart"/>
            <w:shd w:val="clear" w:color="auto" w:fill="99CCFF"/>
          </w:tcPr>
          <w:p w14:paraId="30BE4C33"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12</w:t>
            </w:r>
          </w:p>
        </w:tc>
        <w:tc>
          <w:tcPr>
            <w:tcW w:w="2000" w:type="dxa"/>
            <w:vMerge w:val="restart"/>
            <w:shd w:val="clear" w:color="auto" w:fill="99CCFF"/>
          </w:tcPr>
          <w:p w14:paraId="0F7E1A85" w14:textId="77777777" w:rsidR="00D433E2" w:rsidRPr="009C5F11" w:rsidRDefault="00006B57"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Uniunea Europeană</w:t>
            </w:r>
            <w:r w:rsidR="00D433E2" w:rsidRPr="009C5F11">
              <w:rPr>
                <w:rFonts w:ascii="Times New Roman" w:eastAsia="Verdana" w:hAnsi="Times New Roman" w:cs="Times New Roman"/>
                <w:sz w:val="18"/>
                <w:szCs w:val="14"/>
                <w:lang w:val="ro-RO"/>
              </w:rPr>
              <w:t xml:space="preserve"> </w:t>
            </w:r>
          </w:p>
        </w:tc>
        <w:tc>
          <w:tcPr>
            <w:tcW w:w="2401" w:type="dxa"/>
            <w:shd w:val="clear" w:color="auto" w:fill="99CCFF"/>
          </w:tcPr>
          <w:p w14:paraId="73CC198F" w14:textId="77777777" w:rsidR="00D433E2" w:rsidRPr="009C5F11" w:rsidRDefault="00211450" w:rsidP="00211450">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Reabilitarea sistemului de alimentare cu apă din or. </w:t>
            </w:r>
            <w:r w:rsidR="00D433E2" w:rsidRPr="009C5F11">
              <w:rPr>
                <w:rFonts w:ascii="Times New Roman" w:eastAsia="Verdana" w:hAnsi="Times New Roman" w:cs="Times New Roman"/>
                <w:sz w:val="18"/>
                <w:szCs w:val="14"/>
                <w:lang w:val="ro-RO"/>
              </w:rPr>
              <w:t xml:space="preserve">Nisporeni </w:t>
            </w:r>
          </w:p>
        </w:tc>
        <w:tc>
          <w:tcPr>
            <w:tcW w:w="2667" w:type="dxa"/>
            <w:shd w:val="clear" w:color="auto" w:fill="99CCFF"/>
          </w:tcPr>
          <w:p w14:paraId="77FD7A75"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2010-2016</w:t>
            </w:r>
          </w:p>
          <w:p w14:paraId="524FCFEA" w14:textId="77777777" w:rsidR="00171CAF" w:rsidRPr="009C5F11" w:rsidRDefault="00171CAF"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5AE8361F"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5,000,000</w:t>
            </w:r>
            <w:r w:rsidR="000B56D8" w:rsidRPr="009C5F11">
              <w:rPr>
                <w:rFonts w:ascii="Times New Roman" w:eastAsia="Verdana" w:hAnsi="Times New Roman" w:cs="Times New Roman"/>
                <w:sz w:val="18"/>
                <w:szCs w:val="14"/>
                <w:lang w:val="ro-RO"/>
              </w:rPr>
              <w:t xml:space="preserve"> euro</w:t>
            </w:r>
          </w:p>
        </w:tc>
      </w:tr>
      <w:tr w:rsidR="00D433E2" w:rsidRPr="009C5F11" w14:paraId="1D87724C" w14:textId="77777777" w:rsidTr="00A82A02">
        <w:trPr>
          <w:trHeight w:hRule="exact" w:val="631"/>
        </w:trPr>
        <w:tc>
          <w:tcPr>
            <w:tcW w:w="420" w:type="dxa"/>
            <w:vMerge/>
            <w:shd w:val="clear" w:color="auto" w:fill="99CCFF"/>
          </w:tcPr>
          <w:p w14:paraId="272235D4" w14:textId="77777777" w:rsidR="00D433E2" w:rsidRPr="009C5F11" w:rsidRDefault="00D433E2" w:rsidP="00481A38">
            <w:pPr>
              <w:jc w:val="both"/>
              <w:rPr>
                <w:rFonts w:ascii="Times New Roman" w:eastAsia="Verdana" w:hAnsi="Times New Roman" w:cs="Times New Roman"/>
                <w:sz w:val="18"/>
                <w:szCs w:val="14"/>
                <w:lang w:val="ro-RO"/>
              </w:rPr>
            </w:pPr>
          </w:p>
        </w:tc>
        <w:tc>
          <w:tcPr>
            <w:tcW w:w="2000" w:type="dxa"/>
            <w:vMerge/>
            <w:shd w:val="clear" w:color="auto" w:fill="99CCFF"/>
          </w:tcPr>
          <w:p w14:paraId="6677DA88" w14:textId="77777777" w:rsidR="00D433E2" w:rsidRPr="009C5F11" w:rsidRDefault="00D433E2" w:rsidP="00481A38">
            <w:pPr>
              <w:jc w:val="both"/>
              <w:rPr>
                <w:rFonts w:ascii="Times New Roman" w:eastAsia="Verdana" w:hAnsi="Times New Roman" w:cs="Times New Roman"/>
                <w:sz w:val="18"/>
                <w:szCs w:val="14"/>
                <w:lang w:val="ro-RO"/>
              </w:rPr>
            </w:pPr>
          </w:p>
        </w:tc>
        <w:tc>
          <w:tcPr>
            <w:tcW w:w="2401" w:type="dxa"/>
            <w:shd w:val="clear" w:color="auto" w:fill="99CCFF"/>
          </w:tcPr>
          <w:p w14:paraId="1F078F6A" w14:textId="77777777" w:rsidR="00D433E2" w:rsidRPr="009C5F11" w:rsidRDefault="00211450" w:rsidP="00211450">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Primăria </w:t>
            </w:r>
            <w:r w:rsidR="00D433E2" w:rsidRPr="009C5F11">
              <w:rPr>
                <w:rFonts w:ascii="Times New Roman" w:eastAsia="Verdana" w:hAnsi="Times New Roman" w:cs="Times New Roman"/>
                <w:sz w:val="18"/>
                <w:szCs w:val="14"/>
                <w:lang w:val="ro-RO"/>
              </w:rPr>
              <w:t>Orhei (</w:t>
            </w:r>
            <w:r w:rsidR="00A82A02" w:rsidRPr="009C5F11">
              <w:rPr>
                <w:rFonts w:ascii="Times New Roman" w:eastAsia="Verdana" w:hAnsi="Times New Roman" w:cs="Times New Roman"/>
                <w:sz w:val="18"/>
                <w:szCs w:val="14"/>
                <w:lang w:val="ro-RO"/>
              </w:rPr>
              <w:t>alimentare cu apă şi evacuare a apelor uzate</w:t>
            </w:r>
            <w:r w:rsidR="00D433E2" w:rsidRPr="009C5F11">
              <w:rPr>
                <w:rFonts w:ascii="Times New Roman" w:eastAsia="Verdana" w:hAnsi="Times New Roman" w:cs="Times New Roman"/>
                <w:sz w:val="18"/>
                <w:szCs w:val="14"/>
                <w:lang w:val="ro-RO"/>
              </w:rPr>
              <w:t>)</w:t>
            </w:r>
          </w:p>
        </w:tc>
        <w:tc>
          <w:tcPr>
            <w:tcW w:w="2667" w:type="dxa"/>
            <w:shd w:val="clear" w:color="auto" w:fill="99CCFF"/>
          </w:tcPr>
          <w:p w14:paraId="0015A097" w14:textId="77777777" w:rsidR="00D433E2" w:rsidRPr="009C5F11" w:rsidRDefault="00D433E2"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58BE747B"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2,840,000</w:t>
            </w:r>
            <w:r w:rsidR="000B56D8" w:rsidRPr="009C5F11">
              <w:rPr>
                <w:rFonts w:ascii="Times New Roman" w:eastAsia="Verdana" w:hAnsi="Times New Roman" w:cs="Times New Roman"/>
                <w:sz w:val="18"/>
                <w:szCs w:val="14"/>
                <w:lang w:val="ro-RO"/>
              </w:rPr>
              <w:t xml:space="preserve"> euro</w:t>
            </w:r>
          </w:p>
        </w:tc>
      </w:tr>
      <w:tr w:rsidR="00D433E2" w:rsidRPr="009C5F11" w14:paraId="0E5F0755" w14:textId="77777777" w:rsidTr="00212683">
        <w:trPr>
          <w:trHeight w:hRule="exact" w:val="284"/>
        </w:trPr>
        <w:tc>
          <w:tcPr>
            <w:tcW w:w="420" w:type="dxa"/>
            <w:vMerge w:val="restart"/>
            <w:shd w:val="clear" w:color="auto" w:fill="99CCFF"/>
          </w:tcPr>
          <w:p w14:paraId="70388607"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13</w:t>
            </w:r>
          </w:p>
        </w:tc>
        <w:tc>
          <w:tcPr>
            <w:tcW w:w="2000" w:type="dxa"/>
            <w:vMerge w:val="restart"/>
            <w:shd w:val="clear" w:color="auto" w:fill="99CCFF"/>
          </w:tcPr>
          <w:p w14:paraId="437AB221" w14:textId="77777777" w:rsidR="00D433E2" w:rsidRPr="009C5F11" w:rsidRDefault="00006B57"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Uniunea Europeană</w:t>
            </w:r>
            <w:r w:rsidR="00D433E2" w:rsidRPr="009C5F11">
              <w:rPr>
                <w:rFonts w:ascii="Times New Roman" w:eastAsia="Verdana" w:hAnsi="Times New Roman" w:cs="Times New Roman"/>
                <w:sz w:val="18"/>
                <w:szCs w:val="14"/>
                <w:lang w:val="ro-RO"/>
              </w:rPr>
              <w:t xml:space="preserve"> (</w:t>
            </w:r>
            <w:r w:rsidR="00421FA7" w:rsidRPr="009C5F11">
              <w:rPr>
                <w:rFonts w:ascii="Times New Roman" w:eastAsia="Verdana" w:hAnsi="Times New Roman" w:cs="Times New Roman"/>
                <w:sz w:val="18"/>
                <w:szCs w:val="14"/>
                <w:lang w:val="ro-RO"/>
              </w:rPr>
              <w:t>UE</w:t>
            </w:r>
            <w:r w:rsidR="00D433E2" w:rsidRPr="009C5F11">
              <w:rPr>
                <w:rFonts w:ascii="Times New Roman" w:eastAsia="Verdana" w:hAnsi="Times New Roman" w:cs="Times New Roman"/>
                <w:sz w:val="18"/>
                <w:szCs w:val="14"/>
                <w:lang w:val="ro-RO"/>
              </w:rPr>
              <w:t>)</w:t>
            </w:r>
          </w:p>
          <w:p w14:paraId="551071EE" w14:textId="77777777" w:rsidR="00D433E2" w:rsidRPr="009C5F11" w:rsidRDefault="00A82A02" w:rsidP="00A82A0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împreună cu</w:t>
            </w:r>
            <w:r w:rsidR="00D433E2" w:rsidRPr="009C5F11">
              <w:rPr>
                <w:rFonts w:ascii="Times New Roman" w:eastAsia="Verdana" w:hAnsi="Times New Roman" w:cs="Times New Roman"/>
                <w:sz w:val="18"/>
                <w:szCs w:val="14"/>
                <w:lang w:val="ro-RO"/>
              </w:rPr>
              <w:t xml:space="preserve"> </w:t>
            </w:r>
            <w:r w:rsidR="00321CD5" w:rsidRPr="009C5F11">
              <w:rPr>
                <w:rFonts w:ascii="Times New Roman" w:eastAsia="Verdana" w:hAnsi="Times New Roman" w:cs="Times New Roman"/>
                <w:sz w:val="18"/>
                <w:szCs w:val="14"/>
                <w:lang w:val="ro-RO"/>
              </w:rPr>
              <w:t>PNUD</w:t>
            </w:r>
          </w:p>
        </w:tc>
        <w:tc>
          <w:tcPr>
            <w:tcW w:w="2401" w:type="dxa"/>
            <w:vMerge w:val="restart"/>
            <w:shd w:val="clear" w:color="auto" w:fill="99CCFF"/>
          </w:tcPr>
          <w:p w14:paraId="72EF9E69" w14:textId="77777777" w:rsidR="00D433E2" w:rsidRPr="009C5F11" w:rsidRDefault="00A82A02" w:rsidP="00A82A02">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Proiectul Energie şi Biomasă în Moldova</w:t>
            </w:r>
            <w:r w:rsidR="00D433E2" w:rsidRPr="009C5F11">
              <w:rPr>
                <w:rFonts w:ascii="Times New Roman" w:eastAsia="Verdana" w:hAnsi="Times New Roman" w:cs="Times New Roman"/>
                <w:sz w:val="18"/>
                <w:szCs w:val="14"/>
                <w:lang w:val="ro-RO"/>
              </w:rPr>
              <w:t xml:space="preserve"> (</w:t>
            </w:r>
            <w:r w:rsidR="00006B57" w:rsidRPr="009C5F11">
              <w:rPr>
                <w:rFonts w:ascii="Times New Roman" w:eastAsia="Verdana" w:hAnsi="Times New Roman" w:cs="Times New Roman"/>
                <w:sz w:val="18"/>
                <w:szCs w:val="14"/>
                <w:lang w:val="ro-RO"/>
              </w:rPr>
              <w:t>PEBM</w:t>
            </w:r>
            <w:r w:rsidR="00D433E2" w:rsidRPr="009C5F11">
              <w:rPr>
                <w:rFonts w:ascii="Times New Roman" w:eastAsia="Verdana" w:hAnsi="Times New Roman" w:cs="Times New Roman"/>
                <w:sz w:val="18"/>
                <w:szCs w:val="14"/>
                <w:lang w:val="ro-RO"/>
              </w:rPr>
              <w:t>) I</w:t>
            </w:r>
          </w:p>
        </w:tc>
        <w:tc>
          <w:tcPr>
            <w:tcW w:w="2667" w:type="dxa"/>
            <w:vMerge w:val="restart"/>
            <w:shd w:val="clear" w:color="auto" w:fill="99CCFF"/>
          </w:tcPr>
          <w:p w14:paraId="6D9D1203"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2011-2014</w:t>
            </w:r>
          </w:p>
          <w:p w14:paraId="3DC8DE46" w14:textId="77777777" w:rsidR="00171CAF" w:rsidRPr="009C5F11" w:rsidRDefault="00171CAF" w:rsidP="00481A38">
            <w:pPr>
              <w:jc w:val="both"/>
              <w:rPr>
                <w:rFonts w:ascii="Times New Roman" w:eastAsia="Verdana" w:hAnsi="Times New Roman" w:cs="Times New Roman"/>
                <w:sz w:val="18"/>
                <w:szCs w:val="14"/>
                <w:lang w:val="ro-RO"/>
              </w:rPr>
            </w:pPr>
          </w:p>
        </w:tc>
        <w:tc>
          <w:tcPr>
            <w:tcW w:w="990" w:type="dxa"/>
            <w:shd w:val="clear" w:color="auto" w:fill="99CCFF"/>
          </w:tcPr>
          <w:p w14:paraId="5E03ED88"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ab/>
              <w:t>Donor</w:t>
            </w:r>
          </w:p>
        </w:tc>
        <w:tc>
          <w:tcPr>
            <w:tcW w:w="1170" w:type="dxa"/>
            <w:gridSpan w:val="2"/>
            <w:shd w:val="clear" w:color="auto" w:fill="99CCFF"/>
          </w:tcPr>
          <w:p w14:paraId="57BC6CE5" w14:textId="77777777" w:rsidR="00D433E2" w:rsidRPr="009C5F11" w:rsidRDefault="00D433E2" w:rsidP="00481A38">
            <w:pPr>
              <w:tabs>
                <w:tab w:val="left" w:pos="1363"/>
              </w:tabs>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2011</w:t>
            </w:r>
          </w:p>
        </w:tc>
        <w:tc>
          <w:tcPr>
            <w:tcW w:w="1080" w:type="dxa"/>
            <w:gridSpan w:val="3"/>
            <w:shd w:val="clear" w:color="auto" w:fill="99CCFF"/>
          </w:tcPr>
          <w:p w14:paraId="72AA7C02"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2012</w:t>
            </w:r>
          </w:p>
        </w:tc>
        <w:tc>
          <w:tcPr>
            <w:tcW w:w="1080" w:type="dxa"/>
            <w:gridSpan w:val="3"/>
            <w:shd w:val="clear" w:color="auto" w:fill="99CCFF"/>
          </w:tcPr>
          <w:p w14:paraId="11644B5F"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2013</w:t>
            </w:r>
          </w:p>
        </w:tc>
        <w:tc>
          <w:tcPr>
            <w:tcW w:w="1080" w:type="dxa"/>
            <w:gridSpan w:val="3"/>
            <w:shd w:val="clear" w:color="auto" w:fill="99CCFF"/>
          </w:tcPr>
          <w:p w14:paraId="4FAC2BB1"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2014</w:t>
            </w:r>
          </w:p>
        </w:tc>
        <w:tc>
          <w:tcPr>
            <w:tcW w:w="1170" w:type="dxa"/>
            <w:shd w:val="clear" w:color="auto" w:fill="99CCFF"/>
          </w:tcPr>
          <w:p w14:paraId="1B14F746"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total</w:t>
            </w:r>
          </w:p>
        </w:tc>
      </w:tr>
      <w:tr w:rsidR="00D433E2" w:rsidRPr="009C5F11" w14:paraId="04694BCE" w14:textId="77777777" w:rsidTr="00212683">
        <w:trPr>
          <w:trHeight w:hRule="exact" w:val="284"/>
        </w:trPr>
        <w:tc>
          <w:tcPr>
            <w:tcW w:w="420" w:type="dxa"/>
            <w:vMerge/>
            <w:shd w:val="clear" w:color="auto" w:fill="99CCFF"/>
          </w:tcPr>
          <w:p w14:paraId="6EA9059E" w14:textId="77777777" w:rsidR="00D433E2" w:rsidRPr="009C5F11" w:rsidRDefault="00D433E2" w:rsidP="00481A38">
            <w:pPr>
              <w:jc w:val="both"/>
              <w:rPr>
                <w:rFonts w:ascii="Times New Roman" w:eastAsia="Verdana" w:hAnsi="Times New Roman" w:cs="Times New Roman"/>
                <w:sz w:val="18"/>
                <w:szCs w:val="14"/>
                <w:lang w:val="ro-RO"/>
              </w:rPr>
            </w:pPr>
          </w:p>
        </w:tc>
        <w:tc>
          <w:tcPr>
            <w:tcW w:w="2000" w:type="dxa"/>
            <w:vMerge/>
            <w:shd w:val="clear" w:color="auto" w:fill="99CCFF"/>
          </w:tcPr>
          <w:p w14:paraId="65497203" w14:textId="77777777" w:rsidR="00D433E2" w:rsidRPr="009C5F11" w:rsidRDefault="00D433E2" w:rsidP="00481A38">
            <w:pPr>
              <w:jc w:val="both"/>
              <w:rPr>
                <w:rFonts w:ascii="Times New Roman" w:eastAsia="Verdana" w:hAnsi="Times New Roman" w:cs="Times New Roman"/>
                <w:sz w:val="18"/>
                <w:szCs w:val="14"/>
                <w:lang w:val="ro-RO"/>
              </w:rPr>
            </w:pPr>
          </w:p>
        </w:tc>
        <w:tc>
          <w:tcPr>
            <w:tcW w:w="2401" w:type="dxa"/>
            <w:vMerge/>
            <w:shd w:val="clear" w:color="auto" w:fill="99CCFF"/>
          </w:tcPr>
          <w:p w14:paraId="4DA7C16B" w14:textId="77777777" w:rsidR="00D433E2" w:rsidRPr="009C5F11" w:rsidRDefault="00D433E2" w:rsidP="00481A38">
            <w:pPr>
              <w:rPr>
                <w:rFonts w:ascii="Times New Roman" w:eastAsia="Verdana" w:hAnsi="Times New Roman" w:cs="Times New Roman"/>
                <w:sz w:val="18"/>
                <w:szCs w:val="14"/>
                <w:lang w:val="ro-RO"/>
              </w:rPr>
            </w:pPr>
          </w:p>
        </w:tc>
        <w:tc>
          <w:tcPr>
            <w:tcW w:w="2667" w:type="dxa"/>
            <w:vMerge/>
            <w:shd w:val="clear" w:color="auto" w:fill="99CCFF"/>
          </w:tcPr>
          <w:p w14:paraId="37B40807" w14:textId="77777777" w:rsidR="00D433E2" w:rsidRPr="009C5F11" w:rsidRDefault="00D433E2" w:rsidP="00481A38">
            <w:pPr>
              <w:jc w:val="both"/>
              <w:rPr>
                <w:rFonts w:ascii="Times New Roman" w:eastAsia="Verdana" w:hAnsi="Times New Roman" w:cs="Times New Roman"/>
                <w:sz w:val="18"/>
                <w:szCs w:val="14"/>
                <w:lang w:val="ro-RO"/>
              </w:rPr>
            </w:pPr>
          </w:p>
        </w:tc>
        <w:tc>
          <w:tcPr>
            <w:tcW w:w="990" w:type="dxa"/>
            <w:shd w:val="clear" w:color="auto" w:fill="99CCFF"/>
          </w:tcPr>
          <w:p w14:paraId="10A4CC70" w14:textId="77777777" w:rsidR="00D433E2" w:rsidRPr="009C5F11" w:rsidRDefault="00421FA7"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UE</w:t>
            </w:r>
          </w:p>
        </w:tc>
        <w:tc>
          <w:tcPr>
            <w:tcW w:w="1170" w:type="dxa"/>
            <w:gridSpan w:val="2"/>
            <w:shd w:val="clear" w:color="auto" w:fill="99CCFF"/>
          </w:tcPr>
          <w:p w14:paraId="1D439AA3"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$1,763,138</w:t>
            </w:r>
          </w:p>
        </w:tc>
        <w:tc>
          <w:tcPr>
            <w:tcW w:w="1080" w:type="dxa"/>
            <w:gridSpan w:val="3"/>
            <w:shd w:val="clear" w:color="auto" w:fill="99CCFF"/>
          </w:tcPr>
          <w:p w14:paraId="459030A9"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$7,554,652</w:t>
            </w:r>
          </w:p>
        </w:tc>
        <w:tc>
          <w:tcPr>
            <w:tcW w:w="1080" w:type="dxa"/>
            <w:gridSpan w:val="3"/>
            <w:shd w:val="clear" w:color="auto" w:fill="99CCFF"/>
          </w:tcPr>
          <w:p w14:paraId="47A7AE3E"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$5,393,828</w:t>
            </w:r>
          </w:p>
        </w:tc>
        <w:tc>
          <w:tcPr>
            <w:tcW w:w="1080" w:type="dxa"/>
            <w:gridSpan w:val="3"/>
            <w:shd w:val="clear" w:color="auto" w:fill="99CCFF"/>
          </w:tcPr>
          <w:p w14:paraId="06D45B1E"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$3,457,730</w:t>
            </w:r>
          </w:p>
        </w:tc>
        <w:tc>
          <w:tcPr>
            <w:tcW w:w="1170" w:type="dxa"/>
            <w:shd w:val="clear" w:color="auto" w:fill="99CCFF"/>
          </w:tcPr>
          <w:p w14:paraId="1BB8322B"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€14,000,000</w:t>
            </w:r>
          </w:p>
        </w:tc>
      </w:tr>
      <w:tr w:rsidR="00D433E2" w:rsidRPr="009C5F11" w14:paraId="664401E5" w14:textId="77777777" w:rsidTr="00212683">
        <w:trPr>
          <w:trHeight w:hRule="exact" w:val="284"/>
        </w:trPr>
        <w:tc>
          <w:tcPr>
            <w:tcW w:w="420" w:type="dxa"/>
            <w:vMerge/>
            <w:shd w:val="clear" w:color="auto" w:fill="99CCFF"/>
          </w:tcPr>
          <w:p w14:paraId="568DC971" w14:textId="77777777" w:rsidR="00D433E2" w:rsidRPr="009C5F11" w:rsidRDefault="00D433E2" w:rsidP="00481A38">
            <w:pPr>
              <w:jc w:val="both"/>
              <w:rPr>
                <w:rFonts w:ascii="Times New Roman" w:eastAsia="Verdana" w:hAnsi="Times New Roman" w:cs="Times New Roman"/>
                <w:sz w:val="18"/>
                <w:szCs w:val="14"/>
                <w:lang w:val="ro-RO"/>
              </w:rPr>
            </w:pPr>
          </w:p>
        </w:tc>
        <w:tc>
          <w:tcPr>
            <w:tcW w:w="2000" w:type="dxa"/>
            <w:vMerge/>
            <w:shd w:val="clear" w:color="auto" w:fill="99CCFF"/>
          </w:tcPr>
          <w:p w14:paraId="1875E951" w14:textId="77777777" w:rsidR="00D433E2" w:rsidRPr="009C5F11" w:rsidRDefault="00D433E2" w:rsidP="00481A38">
            <w:pPr>
              <w:jc w:val="both"/>
              <w:rPr>
                <w:rFonts w:ascii="Times New Roman" w:eastAsia="Verdana" w:hAnsi="Times New Roman" w:cs="Times New Roman"/>
                <w:sz w:val="18"/>
                <w:szCs w:val="14"/>
                <w:lang w:val="ro-RO"/>
              </w:rPr>
            </w:pPr>
          </w:p>
        </w:tc>
        <w:tc>
          <w:tcPr>
            <w:tcW w:w="2401" w:type="dxa"/>
            <w:vMerge/>
            <w:shd w:val="clear" w:color="auto" w:fill="99CCFF"/>
          </w:tcPr>
          <w:p w14:paraId="7E84862A" w14:textId="77777777" w:rsidR="00D433E2" w:rsidRPr="009C5F11" w:rsidRDefault="00D433E2" w:rsidP="00481A38">
            <w:pPr>
              <w:rPr>
                <w:rFonts w:ascii="Times New Roman" w:eastAsia="Verdana" w:hAnsi="Times New Roman" w:cs="Times New Roman"/>
                <w:sz w:val="18"/>
                <w:szCs w:val="14"/>
                <w:lang w:val="ro-RO"/>
              </w:rPr>
            </w:pPr>
          </w:p>
        </w:tc>
        <w:tc>
          <w:tcPr>
            <w:tcW w:w="2667" w:type="dxa"/>
            <w:vMerge/>
            <w:shd w:val="clear" w:color="auto" w:fill="99CCFF"/>
          </w:tcPr>
          <w:p w14:paraId="3D1BECDF" w14:textId="77777777" w:rsidR="00D433E2" w:rsidRPr="009C5F11" w:rsidRDefault="00D433E2" w:rsidP="00481A38">
            <w:pPr>
              <w:jc w:val="both"/>
              <w:rPr>
                <w:rFonts w:ascii="Times New Roman" w:eastAsia="Verdana" w:hAnsi="Times New Roman" w:cs="Times New Roman"/>
                <w:sz w:val="18"/>
                <w:szCs w:val="14"/>
                <w:lang w:val="ro-RO"/>
              </w:rPr>
            </w:pPr>
          </w:p>
        </w:tc>
        <w:tc>
          <w:tcPr>
            <w:tcW w:w="990" w:type="dxa"/>
            <w:shd w:val="clear" w:color="auto" w:fill="99CCFF"/>
          </w:tcPr>
          <w:p w14:paraId="735B0B57" w14:textId="77777777" w:rsidR="00D433E2" w:rsidRPr="009C5F11" w:rsidRDefault="00321CD5"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PNUD</w:t>
            </w:r>
          </w:p>
        </w:tc>
        <w:tc>
          <w:tcPr>
            <w:tcW w:w="1170" w:type="dxa"/>
            <w:gridSpan w:val="2"/>
            <w:shd w:val="clear" w:color="auto" w:fill="99CCFF"/>
          </w:tcPr>
          <w:p w14:paraId="06CEEAC4"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$18,939</w:t>
            </w:r>
          </w:p>
        </w:tc>
        <w:tc>
          <w:tcPr>
            <w:tcW w:w="1080" w:type="dxa"/>
            <w:gridSpan w:val="3"/>
            <w:shd w:val="clear" w:color="auto" w:fill="99CCFF"/>
          </w:tcPr>
          <w:p w14:paraId="4B1112E1"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$101,454</w:t>
            </w:r>
          </w:p>
        </w:tc>
        <w:tc>
          <w:tcPr>
            <w:tcW w:w="1080" w:type="dxa"/>
            <w:gridSpan w:val="3"/>
            <w:shd w:val="clear" w:color="auto" w:fill="99CCFF"/>
          </w:tcPr>
          <w:p w14:paraId="690E2BFC"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$562,717</w:t>
            </w:r>
          </w:p>
        </w:tc>
        <w:tc>
          <w:tcPr>
            <w:tcW w:w="1080" w:type="dxa"/>
            <w:gridSpan w:val="3"/>
            <w:shd w:val="clear" w:color="auto" w:fill="99CCFF"/>
          </w:tcPr>
          <w:p w14:paraId="5FBA521D"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$28,567</w:t>
            </w:r>
          </w:p>
        </w:tc>
        <w:tc>
          <w:tcPr>
            <w:tcW w:w="1170" w:type="dxa"/>
            <w:shd w:val="clear" w:color="auto" w:fill="99CCFF"/>
          </w:tcPr>
          <w:p w14:paraId="09ED0E23"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€ 560,000</w:t>
            </w:r>
          </w:p>
        </w:tc>
      </w:tr>
      <w:tr w:rsidR="00D433E2" w:rsidRPr="009C5F11" w14:paraId="4DDE86CF" w14:textId="77777777" w:rsidTr="00212683">
        <w:trPr>
          <w:trHeight w:hRule="exact" w:val="284"/>
        </w:trPr>
        <w:tc>
          <w:tcPr>
            <w:tcW w:w="420" w:type="dxa"/>
            <w:vMerge/>
            <w:shd w:val="clear" w:color="auto" w:fill="99CCFF"/>
          </w:tcPr>
          <w:p w14:paraId="5A099C56" w14:textId="77777777" w:rsidR="00D433E2" w:rsidRPr="009C5F11" w:rsidRDefault="00D433E2" w:rsidP="00481A38">
            <w:pPr>
              <w:jc w:val="both"/>
              <w:rPr>
                <w:rFonts w:ascii="Times New Roman" w:eastAsia="Verdana" w:hAnsi="Times New Roman" w:cs="Times New Roman"/>
                <w:sz w:val="18"/>
                <w:szCs w:val="14"/>
                <w:lang w:val="ro-RO"/>
              </w:rPr>
            </w:pPr>
          </w:p>
        </w:tc>
        <w:tc>
          <w:tcPr>
            <w:tcW w:w="2000" w:type="dxa"/>
            <w:vMerge/>
            <w:shd w:val="clear" w:color="auto" w:fill="99CCFF"/>
          </w:tcPr>
          <w:p w14:paraId="3DBF6988" w14:textId="77777777" w:rsidR="00D433E2" w:rsidRPr="009C5F11" w:rsidRDefault="00D433E2" w:rsidP="00481A38">
            <w:pPr>
              <w:jc w:val="both"/>
              <w:rPr>
                <w:rFonts w:ascii="Times New Roman" w:eastAsia="Verdana" w:hAnsi="Times New Roman" w:cs="Times New Roman"/>
                <w:sz w:val="18"/>
                <w:szCs w:val="14"/>
                <w:lang w:val="ro-RO"/>
              </w:rPr>
            </w:pPr>
          </w:p>
        </w:tc>
        <w:tc>
          <w:tcPr>
            <w:tcW w:w="2401" w:type="dxa"/>
            <w:vMerge/>
            <w:shd w:val="clear" w:color="auto" w:fill="99CCFF"/>
          </w:tcPr>
          <w:p w14:paraId="73405B86" w14:textId="77777777" w:rsidR="00D433E2" w:rsidRPr="009C5F11" w:rsidRDefault="00D433E2" w:rsidP="00481A38">
            <w:pPr>
              <w:rPr>
                <w:rFonts w:ascii="Times New Roman" w:eastAsia="Verdana" w:hAnsi="Times New Roman" w:cs="Times New Roman"/>
                <w:sz w:val="18"/>
                <w:szCs w:val="14"/>
                <w:lang w:val="ro-RO"/>
              </w:rPr>
            </w:pPr>
          </w:p>
        </w:tc>
        <w:tc>
          <w:tcPr>
            <w:tcW w:w="2667" w:type="dxa"/>
            <w:vMerge/>
            <w:shd w:val="clear" w:color="auto" w:fill="99CCFF"/>
          </w:tcPr>
          <w:p w14:paraId="07040AB6" w14:textId="77777777" w:rsidR="00D433E2" w:rsidRPr="009C5F11" w:rsidRDefault="00D433E2" w:rsidP="00481A38">
            <w:pPr>
              <w:jc w:val="both"/>
              <w:rPr>
                <w:rFonts w:ascii="Times New Roman" w:eastAsia="Verdana" w:hAnsi="Times New Roman" w:cs="Times New Roman"/>
                <w:sz w:val="18"/>
                <w:szCs w:val="14"/>
                <w:lang w:val="ro-RO"/>
              </w:rPr>
            </w:pPr>
          </w:p>
        </w:tc>
        <w:tc>
          <w:tcPr>
            <w:tcW w:w="990" w:type="dxa"/>
            <w:shd w:val="clear" w:color="auto" w:fill="99CCFF"/>
          </w:tcPr>
          <w:p w14:paraId="411B924D" w14:textId="77777777" w:rsidR="00D433E2" w:rsidRPr="009C5F11" w:rsidRDefault="00A82A02" w:rsidP="00A82A02">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Total</w:t>
            </w:r>
          </w:p>
        </w:tc>
        <w:tc>
          <w:tcPr>
            <w:tcW w:w="1170" w:type="dxa"/>
            <w:gridSpan w:val="2"/>
            <w:shd w:val="clear" w:color="auto" w:fill="99CCFF"/>
          </w:tcPr>
          <w:p w14:paraId="59C877ED"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$1,782,077</w:t>
            </w:r>
          </w:p>
        </w:tc>
        <w:tc>
          <w:tcPr>
            <w:tcW w:w="1080" w:type="dxa"/>
            <w:gridSpan w:val="3"/>
            <w:shd w:val="clear" w:color="auto" w:fill="99CCFF"/>
          </w:tcPr>
          <w:p w14:paraId="7AADA4C6"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$7,656,106</w:t>
            </w:r>
          </w:p>
        </w:tc>
        <w:tc>
          <w:tcPr>
            <w:tcW w:w="1080" w:type="dxa"/>
            <w:gridSpan w:val="3"/>
            <w:shd w:val="clear" w:color="auto" w:fill="99CCFF"/>
          </w:tcPr>
          <w:p w14:paraId="72972C6C"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$5,956,545</w:t>
            </w:r>
          </w:p>
        </w:tc>
        <w:tc>
          <w:tcPr>
            <w:tcW w:w="1080" w:type="dxa"/>
            <w:gridSpan w:val="3"/>
            <w:shd w:val="clear" w:color="auto" w:fill="99CCFF"/>
          </w:tcPr>
          <w:p w14:paraId="2C902C0A"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$3,486,297</w:t>
            </w:r>
          </w:p>
        </w:tc>
        <w:tc>
          <w:tcPr>
            <w:tcW w:w="1170" w:type="dxa"/>
            <w:shd w:val="clear" w:color="auto" w:fill="99CCFF"/>
          </w:tcPr>
          <w:p w14:paraId="31F63867" w14:textId="77777777" w:rsidR="00D433E2" w:rsidRPr="009C5F11" w:rsidRDefault="00D433E2" w:rsidP="00481A38">
            <w:pPr>
              <w:tabs>
                <w:tab w:val="left" w:pos="1363"/>
              </w:tabs>
              <w:jc w:val="both"/>
              <w:rPr>
                <w:rFonts w:ascii="Times New Roman" w:eastAsia="Verdana" w:hAnsi="Times New Roman" w:cs="Times New Roman"/>
                <w:sz w:val="18"/>
                <w:szCs w:val="14"/>
                <w:lang w:val="ro-RO"/>
              </w:rPr>
            </w:pPr>
          </w:p>
        </w:tc>
      </w:tr>
      <w:tr w:rsidR="00D433E2" w:rsidRPr="009C5F11" w14:paraId="7F6759BC" w14:textId="77777777" w:rsidTr="00212683">
        <w:trPr>
          <w:trHeight w:hRule="exact" w:val="284"/>
        </w:trPr>
        <w:tc>
          <w:tcPr>
            <w:tcW w:w="420" w:type="dxa"/>
            <w:vMerge/>
            <w:shd w:val="clear" w:color="auto" w:fill="99CCFF"/>
          </w:tcPr>
          <w:p w14:paraId="6CE6804C" w14:textId="77777777" w:rsidR="00D433E2" w:rsidRPr="009C5F11" w:rsidRDefault="00D433E2" w:rsidP="00481A38">
            <w:pPr>
              <w:jc w:val="both"/>
              <w:rPr>
                <w:rFonts w:ascii="Times New Roman" w:eastAsia="Verdana" w:hAnsi="Times New Roman" w:cs="Times New Roman"/>
                <w:sz w:val="18"/>
                <w:szCs w:val="14"/>
                <w:lang w:val="ro-RO"/>
              </w:rPr>
            </w:pPr>
          </w:p>
        </w:tc>
        <w:tc>
          <w:tcPr>
            <w:tcW w:w="2000" w:type="dxa"/>
            <w:vMerge/>
            <w:shd w:val="clear" w:color="auto" w:fill="99CCFF"/>
          </w:tcPr>
          <w:p w14:paraId="61D4E04A" w14:textId="77777777" w:rsidR="00D433E2" w:rsidRPr="009C5F11" w:rsidRDefault="00D433E2" w:rsidP="00481A38">
            <w:pPr>
              <w:jc w:val="both"/>
              <w:rPr>
                <w:rFonts w:ascii="Times New Roman" w:eastAsia="Verdana" w:hAnsi="Times New Roman" w:cs="Times New Roman"/>
                <w:sz w:val="18"/>
                <w:szCs w:val="14"/>
                <w:lang w:val="ro-RO"/>
              </w:rPr>
            </w:pPr>
          </w:p>
        </w:tc>
        <w:tc>
          <w:tcPr>
            <w:tcW w:w="2401" w:type="dxa"/>
            <w:vMerge w:val="restart"/>
            <w:shd w:val="clear" w:color="auto" w:fill="99CCFF"/>
          </w:tcPr>
          <w:p w14:paraId="3EAD5A50" w14:textId="77777777" w:rsidR="00D433E2" w:rsidRPr="009C5F11" w:rsidRDefault="00A82A02" w:rsidP="00A82A02">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Proiectul Energie şi Biomasă în Moldova</w:t>
            </w:r>
            <w:r w:rsidR="00D433E2" w:rsidRPr="009C5F11">
              <w:rPr>
                <w:rFonts w:ascii="Times New Roman" w:eastAsia="Verdana" w:hAnsi="Times New Roman" w:cs="Times New Roman"/>
                <w:sz w:val="18"/>
                <w:szCs w:val="14"/>
                <w:lang w:val="ro-RO"/>
              </w:rPr>
              <w:t xml:space="preserve"> (</w:t>
            </w:r>
            <w:r w:rsidR="00006B57" w:rsidRPr="009C5F11">
              <w:rPr>
                <w:rFonts w:ascii="Times New Roman" w:eastAsia="Verdana" w:hAnsi="Times New Roman" w:cs="Times New Roman"/>
                <w:sz w:val="18"/>
                <w:szCs w:val="14"/>
                <w:lang w:val="ro-RO"/>
              </w:rPr>
              <w:t>PEBM</w:t>
            </w:r>
            <w:r w:rsidR="00D433E2" w:rsidRPr="009C5F11">
              <w:rPr>
                <w:rFonts w:ascii="Times New Roman" w:eastAsia="Verdana" w:hAnsi="Times New Roman" w:cs="Times New Roman"/>
                <w:sz w:val="18"/>
                <w:szCs w:val="14"/>
                <w:lang w:val="ro-RO"/>
              </w:rPr>
              <w:t>) II</w:t>
            </w:r>
          </w:p>
        </w:tc>
        <w:tc>
          <w:tcPr>
            <w:tcW w:w="2667" w:type="dxa"/>
            <w:vMerge w:val="restart"/>
            <w:shd w:val="clear" w:color="auto" w:fill="99CCFF"/>
          </w:tcPr>
          <w:p w14:paraId="1B6E8A54"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2015-2017</w:t>
            </w:r>
          </w:p>
          <w:p w14:paraId="7ABD7521" w14:textId="77777777" w:rsidR="000A1784" w:rsidRPr="009C5F11" w:rsidRDefault="000A1784" w:rsidP="00481A38">
            <w:pPr>
              <w:jc w:val="both"/>
              <w:rPr>
                <w:rFonts w:ascii="Times New Roman" w:eastAsia="Verdana" w:hAnsi="Times New Roman" w:cs="Times New Roman"/>
                <w:sz w:val="18"/>
                <w:szCs w:val="14"/>
                <w:lang w:val="ro-RO"/>
              </w:rPr>
            </w:pPr>
          </w:p>
        </w:tc>
        <w:tc>
          <w:tcPr>
            <w:tcW w:w="1987" w:type="dxa"/>
            <w:gridSpan w:val="2"/>
            <w:shd w:val="clear" w:color="auto" w:fill="99CCFF"/>
          </w:tcPr>
          <w:p w14:paraId="5143712B"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2015</w:t>
            </w:r>
          </w:p>
        </w:tc>
        <w:tc>
          <w:tcPr>
            <w:tcW w:w="1643" w:type="dxa"/>
            <w:gridSpan w:val="5"/>
            <w:shd w:val="clear" w:color="auto" w:fill="99CCFF"/>
          </w:tcPr>
          <w:p w14:paraId="235953F7"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2016</w:t>
            </w:r>
          </w:p>
        </w:tc>
        <w:tc>
          <w:tcPr>
            <w:tcW w:w="1762" w:type="dxa"/>
            <w:gridSpan w:val="4"/>
            <w:shd w:val="clear" w:color="auto" w:fill="99CCFF"/>
          </w:tcPr>
          <w:p w14:paraId="34F7004D"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2017</w:t>
            </w:r>
          </w:p>
        </w:tc>
        <w:tc>
          <w:tcPr>
            <w:tcW w:w="1178" w:type="dxa"/>
            <w:gridSpan w:val="2"/>
            <w:shd w:val="clear" w:color="auto" w:fill="99CCFF"/>
          </w:tcPr>
          <w:p w14:paraId="02D34E16"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Total</w:t>
            </w:r>
          </w:p>
        </w:tc>
      </w:tr>
      <w:tr w:rsidR="00D433E2" w:rsidRPr="009C5F11" w14:paraId="3C3736C3" w14:textId="77777777" w:rsidTr="00212683">
        <w:trPr>
          <w:trHeight w:hRule="exact" w:val="284"/>
        </w:trPr>
        <w:tc>
          <w:tcPr>
            <w:tcW w:w="420" w:type="dxa"/>
            <w:vMerge/>
            <w:shd w:val="clear" w:color="auto" w:fill="99CCFF"/>
          </w:tcPr>
          <w:p w14:paraId="3AEA86E6" w14:textId="77777777" w:rsidR="00D433E2" w:rsidRPr="009C5F11" w:rsidRDefault="00D433E2" w:rsidP="00481A38">
            <w:pPr>
              <w:jc w:val="both"/>
              <w:rPr>
                <w:rFonts w:ascii="Times New Roman" w:eastAsia="Verdana" w:hAnsi="Times New Roman" w:cs="Times New Roman"/>
                <w:sz w:val="18"/>
                <w:szCs w:val="14"/>
                <w:lang w:val="ro-RO"/>
              </w:rPr>
            </w:pPr>
          </w:p>
        </w:tc>
        <w:tc>
          <w:tcPr>
            <w:tcW w:w="2000" w:type="dxa"/>
            <w:vMerge/>
            <w:shd w:val="clear" w:color="auto" w:fill="99CCFF"/>
          </w:tcPr>
          <w:p w14:paraId="5245EADD" w14:textId="77777777" w:rsidR="00D433E2" w:rsidRPr="009C5F11" w:rsidRDefault="00D433E2" w:rsidP="00481A38">
            <w:pPr>
              <w:jc w:val="both"/>
              <w:rPr>
                <w:rFonts w:ascii="Times New Roman" w:eastAsia="Verdana" w:hAnsi="Times New Roman" w:cs="Times New Roman"/>
                <w:sz w:val="18"/>
                <w:szCs w:val="14"/>
                <w:lang w:val="ro-RO"/>
              </w:rPr>
            </w:pPr>
          </w:p>
        </w:tc>
        <w:tc>
          <w:tcPr>
            <w:tcW w:w="2401" w:type="dxa"/>
            <w:vMerge/>
            <w:shd w:val="clear" w:color="auto" w:fill="99CCFF"/>
          </w:tcPr>
          <w:p w14:paraId="5F4FFACC" w14:textId="77777777" w:rsidR="00D433E2" w:rsidRPr="009C5F11" w:rsidRDefault="00D433E2" w:rsidP="00481A38">
            <w:pPr>
              <w:rPr>
                <w:rFonts w:ascii="Times New Roman" w:eastAsia="Verdana" w:hAnsi="Times New Roman" w:cs="Times New Roman"/>
                <w:sz w:val="18"/>
                <w:szCs w:val="14"/>
                <w:lang w:val="ro-RO"/>
              </w:rPr>
            </w:pPr>
          </w:p>
        </w:tc>
        <w:tc>
          <w:tcPr>
            <w:tcW w:w="2667" w:type="dxa"/>
            <w:vMerge/>
            <w:shd w:val="clear" w:color="auto" w:fill="99CCFF"/>
          </w:tcPr>
          <w:p w14:paraId="1A554E23" w14:textId="77777777" w:rsidR="00D433E2" w:rsidRPr="009C5F11" w:rsidRDefault="00D433E2" w:rsidP="00481A38">
            <w:pPr>
              <w:jc w:val="both"/>
              <w:rPr>
                <w:rFonts w:ascii="Times New Roman" w:eastAsia="Verdana" w:hAnsi="Times New Roman" w:cs="Times New Roman"/>
                <w:sz w:val="18"/>
                <w:szCs w:val="14"/>
                <w:lang w:val="ro-RO"/>
              </w:rPr>
            </w:pPr>
          </w:p>
        </w:tc>
        <w:tc>
          <w:tcPr>
            <w:tcW w:w="1987" w:type="dxa"/>
            <w:gridSpan w:val="2"/>
            <w:shd w:val="clear" w:color="auto" w:fill="99CCFF"/>
          </w:tcPr>
          <w:p w14:paraId="55A34904"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€2,002,642</w:t>
            </w:r>
          </w:p>
        </w:tc>
        <w:tc>
          <w:tcPr>
            <w:tcW w:w="1643" w:type="dxa"/>
            <w:gridSpan w:val="5"/>
            <w:shd w:val="clear" w:color="auto" w:fill="99CCFF"/>
          </w:tcPr>
          <w:p w14:paraId="7434F00C"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€6,710,707</w:t>
            </w:r>
          </w:p>
        </w:tc>
        <w:tc>
          <w:tcPr>
            <w:tcW w:w="1762" w:type="dxa"/>
            <w:gridSpan w:val="4"/>
            <w:shd w:val="clear" w:color="auto" w:fill="99CCFF"/>
          </w:tcPr>
          <w:p w14:paraId="2DE9F525"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€1,956,382</w:t>
            </w:r>
          </w:p>
        </w:tc>
        <w:tc>
          <w:tcPr>
            <w:tcW w:w="1178" w:type="dxa"/>
            <w:gridSpan w:val="2"/>
            <w:shd w:val="clear" w:color="auto" w:fill="99CCFF"/>
          </w:tcPr>
          <w:p w14:paraId="036E5ECB"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€10,669,731</w:t>
            </w:r>
          </w:p>
        </w:tc>
      </w:tr>
      <w:tr w:rsidR="003A4739" w:rsidRPr="009C5F11" w14:paraId="0D74FCBF" w14:textId="77777777" w:rsidTr="00DE54EC">
        <w:trPr>
          <w:trHeight w:hRule="exact" w:val="686"/>
        </w:trPr>
        <w:tc>
          <w:tcPr>
            <w:tcW w:w="420" w:type="dxa"/>
            <w:shd w:val="clear" w:color="auto" w:fill="99CCFF"/>
          </w:tcPr>
          <w:p w14:paraId="2D3CA657" w14:textId="77777777" w:rsidR="003A4739" w:rsidRPr="009C5F11" w:rsidRDefault="003A4739" w:rsidP="00481A38">
            <w:pPr>
              <w:jc w:val="both"/>
              <w:rPr>
                <w:rFonts w:ascii="Times New Roman" w:eastAsia="Verdana" w:hAnsi="Times New Roman" w:cs="Times New Roman"/>
                <w:sz w:val="18"/>
                <w:szCs w:val="14"/>
                <w:lang w:val="ro-RO"/>
              </w:rPr>
            </w:pPr>
          </w:p>
        </w:tc>
        <w:tc>
          <w:tcPr>
            <w:tcW w:w="2000" w:type="dxa"/>
            <w:shd w:val="clear" w:color="auto" w:fill="99CCFF"/>
          </w:tcPr>
          <w:p w14:paraId="0AC626BC" w14:textId="77777777" w:rsidR="003A4739" w:rsidRPr="009C5F11" w:rsidRDefault="003A4739" w:rsidP="00D433E2">
            <w:pPr>
              <w:spacing w:after="120"/>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Impreuna cu conventia Primarilor</w:t>
            </w:r>
          </w:p>
        </w:tc>
        <w:tc>
          <w:tcPr>
            <w:tcW w:w="2401" w:type="dxa"/>
            <w:shd w:val="clear" w:color="auto" w:fill="99CCFF"/>
          </w:tcPr>
          <w:p w14:paraId="6EC8A694" w14:textId="77777777" w:rsidR="003A4739" w:rsidRPr="009C5F11" w:rsidRDefault="003A4739">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Proiectele Demonstrative Urbane Durabile pentru Conventia Primarillor (SuDEP)</w:t>
            </w:r>
          </w:p>
        </w:tc>
        <w:tc>
          <w:tcPr>
            <w:tcW w:w="2667" w:type="dxa"/>
            <w:shd w:val="clear" w:color="auto" w:fill="99CCFF"/>
          </w:tcPr>
          <w:p w14:paraId="22AB6305" w14:textId="77777777" w:rsidR="003A4739" w:rsidRPr="009C5F11" w:rsidRDefault="003A4739"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A început în anul 2014</w:t>
            </w:r>
          </w:p>
        </w:tc>
        <w:tc>
          <w:tcPr>
            <w:tcW w:w="6570" w:type="dxa"/>
            <w:gridSpan w:val="13"/>
            <w:shd w:val="clear" w:color="auto" w:fill="99CCFF"/>
          </w:tcPr>
          <w:p w14:paraId="240275FC" w14:textId="77777777" w:rsidR="003A4739" w:rsidRPr="009C5F11" w:rsidRDefault="00137CA9">
            <w:pPr>
              <w:spacing w:after="12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€2,200,000 in 2015 pentru Ungheni, Orhei, Ocnița, Soroca si Cantemir</w:t>
            </w:r>
          </w:p>
        </w:tc>
      </w:tr>
      <w:tr w:rsidR="00D433E2" w:rsidRPr="009C5F11" w14:paraId="3F4D364F" w14:textId="77777777" w:rsidTr="003F5CB9">
        <w:trPr>
          <w:trHeight w:hRule="exact" w:val="2288"/>
        </w:trPr>
        <w:tc>
          <w:tcPr>
            <w:tcW w:w="420" w:type="dxa"/>
            <w:shd w:val="clear" w:color="auto" w:fill="99CCFF"/>
          </w:tcPr>
          <w:p w14:paraId="5C10E7B4"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14</w:t>
            </w:r>
          </w:p>
        </w:tc>
        <w:tc>
          <w:tcPr>
            <w:tcW w:w="2000" w:type="dxa"/>
            <w:shd w:val="clear" w:color="auto" w:fill="99CCFF"/>
          </w:tcPr>
          <w:p w14:paraId="0F95C6B3" w14:textId="77777777" w:rsidR="00D433E2" w:rsidRPr="009C5F11" w:rsidRDefault="00321CD5" w:rsidP="00D433E2">
            <w:pPr>
              <w:spacing w:after="120"/>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PNUD</w:t>
            </w:r>
          </w:p>
          <w:p w14:paraId="7FF4807D" w14:textId="77777777" w:rsidR="00D433E2" w:rsidRPr="009C5F11" w:rsidRDefault="00A82A02" w:rsidP="00A82A0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împreună cu</w:t>
            </w:r>
            <w:r w:rsidR="004563F8" w:rsidRPr="009C5F11">
              <w:rPr>
                <w:rFonts w:ascii="Times New Roman" w:eastAsia="Verdana" w:hAnsi="Times New Roman" w:cs="Times New Roman"/>
                <w:sz w:val="18"/>
                <w:szCs w:val="14"/>
                <w:lang w:val="ro-RO"/>
              </w:rPr>
              <w:t xml:space="preserve"> GEF</w:t>
            </w:r>
            <w:r w:rsidR="00D433E2" w:rsidRPr="009C5F11">
              <w:rPr>
                <w:rFonts w:ascii="Times New Roman" w:eastAsia="Verdana" w:hAnsi="Times New Roman" w:cs="Times New Roman"/>
                <w:sz w:val="18"/>
                <w:szCs w:val="14"/>
                <w:lang w:val="ro-RO"/>
              </w:rPr>
              <w:t xml:space="preserve">, </w:t>
            </w:r>
            <w:r w:rsidR="00AA0566" w:rsidRPr="009C5F11">
              <w:rPr>
                <w:rFonts w:ascii="Times New Roman" w:eastAsia="Verdana" w:hAnsi="Times New Roman" w:cs="Times New Roman"/>
                <w:sz w:val="18"/>
                <w:szCs w:val="14"/>
                <w:lang w:val="ro-RO"/>
              </w:rPr>
              <w:t>FEE</w:t>
            </w:r>
            <w:r w:rsidR="00D433E2" w:rsidRPr="009C5F11">
              <w:rPr>
                <w:rFonts w:ascii="Times New Roman" w:eastAsia="Verdana" w:hAnsi="Times New Roman" w:cs="Times New Roman"/>
                <w:sz w:val="18"/>
                <w:szCs w:val="14"/>
                <w:lang w:val="ro-RO"/>
              </w:rPr>
              <w:t xml:space="preserve">, </w:t>
            </w:r>
            <w:r w:rsidR="00F53252" w:rsidRPr="009C5F11">
              <w:rPr>
                <w:rFonts w:ascii="Times New Roman" w:eastAsia="Verdana" w:hAnsi="Times New Roman" w:cs="Times New Roman"/>
                <w:sz w:val="18"/>
                <w:szCs w:val="14"/>
                <w:lang w:val="ro-RO"/>
              </w:rPr>
              <w:t>Primăria Chişinău</w:t>
            </w:r>
            <w:r w:rsidR="00D433E2" w:rsidRPr="009C5F11">
              <w:rPr>
                <w:rFonts w:ascii="Times New Roman" w:eastAsia="Verdana" w:hAnsi="Times New Roman" w:cs="Times New Roman"/>
                <w:sz w:val="18"/>
                <w:szCs w:val="14"/>
                <w:lang w:val="ro-RO"/>
              </w:rPr>
              <w:t xml:space="preserve">. </w:t>
            </w:r>
            <w:r w:rsidR="00421FA7" w:rsidRPr="009C5F11">
              <w:rPr>
                <w:rFonts w:ascii="Times New Roman" w:eastAsia="Verdana" w:hAnsi="Times New Roman" w:cs="Times New Roman"/>
                <w:sz w:val="18"/>
                <w:szCs w:val="14"/>
                <w:lang w:val="ro-RO"/>
              </w:rPr>
              <w:t>MM</w:t>
            </w:r>
          </w:p>
        </w:tc>
        <w:tc>
          <w:tcPr>
            <w:tcW w:w="2401" w:type="dxa"/>
            <w:shd w:val="clear" w:color="auto" w:fill="99CCFF"/>
          </w:tcPr>
          <w:p w14:paraId="61F235D7" w14:textId="77777777" w:rsidR="00D433E2" w:rsidRPr="009C5F11" w:rsidRDefault="004563F8" w:rsidP="00481A38">
            <w:pPr>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Proiectul ESCO</w:t>
            </w:r>
          </w:p>
        </w:tc>
        <w:tc>
          <w:tcPr>
            <w:tcW w:w="2667" w:type="dxa"/>
            <w:shd w:val="clear" w:color="auto" w:fill="99CCFF"/>
          </w:tcPr>
          <w:p w14:paraId="240871D1" w14:textId="77777777" w:rsidR="00D433E2" w:rsidRPr="009C5F11" w:rsidRDefault="00D433E2" w:rsidP="00481A3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2014 – 2018</w:t>
            </w:r>
          </w:p>
          <w:p w14:paraId="73032A4D" w14:textId="77777777" w:rsidR="000A1784" w:rsidRPr="009C5F11" w:rsidRDefault="000A1784" w:rsidP="00481A38">
            <w:pPr>
              <w:jc w:val="both"/>
              <w:rPr>
                <w:rFonts w:ascii="Times New Roman" w:eastAsia="Verdana" w:hAnsi="Times New Roman" w:cs="Times New Roman"/>
                <w:sz w:val="18"/>
                <w:szCs w:val="14"/>
                <w:lang w:val="ro-RO"/>
              </w:rPr>
            </w:pPr>
          </w:p>
        </w:tc>
        <w:tc>
          <w:tcPr>
            <w:tcW w:w="6570" w:type="dxa"/>
            <w:gridSpan w:val="13"/>
            <w:shd w:val="clear" w:color="auto" w:fill="99CCFF"/>
          </w:tcPr>
          <w:p w14:paraId="5B7AC1D5" w14:textId="77777777" w:rsidR="00D433E2" w:rsidRPr="009C5F11" w:rsidRDefault="00D433E2" w:rsidP="00D433E2">
            <w:pPr>
              <w:spacing w:after="120"/>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 8,915,000</w:t>
            </w:r>
            <w:r w:rsidR="000B56D8" w:rsidRPr="009C5F11">
              <w:rPr>
                <w:rFonts w:ascii="Times New Roman" w:eastAsia="Verdana" w:hAnsi="Times New Roman" w:cs="Times New Roman"/>
                <w:sz w:val="18"/>
                <w:szCs w:val="14"/>
                <w:lang w:val="ro-RO"/>
              </w:rPr>
              <w:t xml:space="preserve"> dolari SUA</w:t>
            </w:r>
          </w:p>
          <w:p w14:paraId="0F6AFDF2" w14:textId="77777777" w:rsidR="00D433E2" w:rsidRPr="009C5F11" w:rsidRDefault="000B56D8" w:rsidP="00D433E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 xml:space="preserve">GEF </w:t>
            </w:r>
            <w:r w:rsidR="00D433E2" w:rsidRPr="009C5F11">
              <w:rPr>
                <w:rFonts w:ascii="Times New Roman" w:eastAsia="Verdana" w:hAnsi="Times New Roman" w:cs="Times New Roman"/>
                <w:sz w:val="18"/>
                <w:szCs w:val="14"/>
                <w:lang w:val="ro-RO"/>
              </w:rPr>
              <w:t xml:space="preserve"> 1,300,000 </w:t>
            </w:r>
            <w:r w:rsidRPr="009C5F11">
              <w:rPr>
                <w:rFonts w:ascii="Times New Roman" w:eastAsia="Verdana" w:hAnsi="Times New Roman" w:cs="Times New Roman"/>
                <w:sz w:val="18"/>
                <w:szCs w:val="14"/>
                <w:lang w:val="ro-RO"/>
              </w:rPr>
              <w:t>dolari SUA</w:t>
            </w:r>
          </w:p>
          <w:p w14:paraId="169CE02B" w14:textId="77777777" w:rsidR="00D433E2" w:rsidRPr="009C5F11" w:rsidRDefault="00321CD5" w:rsidP="00D433E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PNUD</w:t>
            </w:r>
            <w:r w:rsidR="00D433E2" w:rsidRPr="009C5F11">
              <w:rPr>
                <w:rFonts w:ascii="Times New Roman" w:eastAsia="Verdana" w:hAnsi="Times New Roman" w:cs="Times New Roman"/>
                <w:sz w:val="18"/>
                <w:szCs w:val="14"/>
                <w:lang w:val="ro-RO"/>
              </w:rPr>
              <w:t xml:space="preserve">  150,000 </w:t>
            </w:r>
            <w:r w:rsidR="000B56D8" w:rsidRPr="009C5F11">
              <w:rPr>
                <w:rFonts w:ascii="Times New Roman" w:eastAsia="Verdana" w:hAnsi="Times New Roman" w:cs="Times New Roman"/>
                <w:sz w:val="18"/>
                <w:szCs w:val="14"/>
                <w:lang w:val="ro-RO"/>
              </w:rPr>
              <w:t>dolari SUA</w:t>
            </w:r>
          </w:p>
          <w:p w14:paraId="1B508E64" w14:textId="77777777" w:rsidR="00D433E2" w:rsidRPr="009C5F11" w:rsidRDefault="004563F8" w:rsidP="00D433E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Guvernul</w:t>
            </w:r>
            <w:r w:rsidR="00D433E2" w:rsidRPr="009C5F11">
              <w:rPr>
                <w:rFonts w:ascii="Times New Roman" w:eastAsia="Verdana" w:hAnsi="Times New Roman" w:cs="Times New Roman"/>
                <w:sz w:val="18"/>
                <w:szCs w:val="14"/>
                <w:lang w:val="ro-RO"/>
              </w:rPr>
              <w:t xml:space="preserve"> </w:t>
            </w:r>
            <w:r w:rsidR="00AA0566" w:rsidRPr="009C5F11">
              <w:rPr>
                <w:rFonts w:ascii="Times New Roman" w:eastAsia="Verdana" w:hAnsi="Times New Roman" w:cs="Times New Roman"/>
                <w:sz w:val="18"/>
                <w:szCs w:val="14"/>
                <w:lang w:val="ro-RO"/>
              </w:rPr>
              <w:t>FEE</w:t>
            </w:r>
            <w:r w:rsidR="00D433E2" w:rsidRPr="009C5F11">
              <w:rPr>
                <w:rFonts w:ascii="Times New Roman" w:eastAsia="Verdana" w:hAnsi="Times New Roman" w:cs="Times New Roman"/>
                <w:sz w:val="18"/>
                <w:szCs w:val="14"/>
                <w:lang w:val="ro-RO"/>
              </w:rPr>
              <w:t xml:space="preserve">  1,000,000 </w:t>
            </w:r>
            <w:r w:rsidR="000B56D8" w:rsidRPr="009C5F11">
              <w:rPr>
                <w:rFonts w:ascii="Times New Roman" w:eastAsia="Verdana" w:hAnsi="Times New Roman" w:cs="Times New Roman"/>
                <w:sz w:val="18"/>
                <w:szCs w:val="14"/>
                <w:lang w:val="ro-RO"/>
              </w:rPr>
              <w:t>dolari SUA</w:t>
            </w:r>
          </w:p>
          <w:p w14:paraId="7C7351B7" w14:textId="77777777" w:rsidR="00D433E2" w:rsidRPr="009C5F11" w:rsidRDefault="00F53252" w:rsidP="00D433E2">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Primăria Chişinău</w:t>
            </w:r>
            <w:r w:rsidR="00D433E2" w:rsidRPr="009C5F11">
              <w:rPr>
                <w:rFonts w:ascii="Times New Roman" w:eastAsia="Verdana" w:hAnsi="Times New Roman" w:cs="Times New Roman"/>
                <w:sz w:val="18"/>
                <w:szCs w:val="14"/>
                <w:lang w:val="ro-RO"/>
              </w:rPr>
              <w:t xml:space="preserve">  6,425,000 </w:t>
            </w:r>
            <w:r w:rsidR="000B56D8" w:rsidRPr="009C5F11">
              <w:rPr>
                <w:rFonts w:ascii="Times New Roman" w:eastAsia="Verdana" w:hAnsi="Times New Roman" w:cs="Times New Roman"/>
                <w:sz w:val="18"/>
                <w:szCs w:val="14"/>
                <w:lang w:val="ro-RO"/>
              </w:rPr>
              <w:t>dolari SUA</w:t>
            </w:r>
          </w:p>
          <w:p w14:paraId="6F12CCF1" w14:textId="77777777" w:rsidR="00D433E2" w:rsidRPr="009C5F11" w:rsidRDefault="00321CD5" w:rsidP="000B56D8">
            <w:pPr>
              <w:jc w:val="both"/>
              <w:rPr>
                <w:rFonts w:ascii="Times New Roman" w:eastAsia="Verdana" w:hAnsi="Times New Roman" w:cs="Times New Roman"/>
                <w:sz w:val="18"/>
                <w:szCs w:val="14"/>
                <w:lang w:val="ro-RO"/>
              </w:rPr>
            </w:pPr>
            <w:r w:rsidRPr="009C5F11">
              <w:rPr>
                <w:rFonts w:ascii="Times New Roman" w:eastAsia="Verdana" w:hAnsi="Times New Roman" w:cs="Times New Roman"/>
                <w:sz w:val="18"/>
                <w:szCs w:val="14"/>
                <w:lang w:val="ro-RO"/>
              </w:rPr>
              <w:t>Ministerul Mediului</w:t>
            </w:r>
            <w:r w:rsidR="00D433E2" w:rsidRPr="009C5F11">
              <w:rPr>
                <w:rFonts w:ascii="Times New Roman" w:eastAsia="Verdana" w:hAnsi="Times New Roman" w:cs="Times New Roman"/>
                <w:sz w:val="18"/>
                <w:szCs w:val="14"/>
                <w:lang w:val="ro-RO"/>
              </w:rPr>
              <w:t xml:space="preserve"> (</w:t>
            </w:r>
            <w:r w:rsidR="00F53252" w:rsidRPr="009C5F11">
              <w:rPr>
                <w:rFonts w:ascii="Times New Roman" w:eastAsia="Verdana" w:hAnsi="Times New Roman" w:cs="Times New Roman"/>
                <w:sz w:val="18"/>
                <w:szCs w:val="14"/>
                <w:lang w:val="ro-RO"/>
              </w:rPr>
              <w:t>în natură</w:t>
            </w:r>
            <w:r w:rsidR="00D433E2" w:rsidRPr="009C5F11">
              <w:rPr>
                <w:rFonts w:ascii="Times New Roman" w:eastAsia="Verdana" w:hAnsi="Times New Roman" w:cs="Times New Roman"/>
                <w:sz w:val="18"/>
                <w:szCs w:val="14"/>
                <w:lang w:val="ro-RO"/>
              </w:rPr>
              <w:t>)  40,000</w:t>
            </w:r>
            <w:r w:rsidR="000B56D8" w:rsidRPr="009C5F11">
              <w:rPr>
                <w:rFonts w:ascii="Times New Roman" w:eastAsia="Verdana" w:hAnsi="Times New Roman" w:cs="Times New Roman"/>
                <w:sz w:val="18"/>
                <w:szCs w:val="14"/>
                <w:lang w:val="ro-RO"/>
              </w:rPr>
              <w:t xml:space="preserve"> dolari SUA</w:t>
            </w:r>
          </w:p>
        </w:tc>
      </w:tr>
    </w:tbl>
    <w:p w14:paraId="102938D0" w14:textId="77777777" w:rsidR="00BC2ED4" w:rsidRPr="009C5F11" w:rsidRDefault="00BC2ED4" w:rsidP="001B7457">
      <w:pPr>
        <w:pStyle w:val="Titlu1"/>
        <w:numPr>
          <w:ilvl w:val="0"/>
          <w:numId w:val="0"/>
        </w:numPr>
        <w:rPr>
          <w:rFonts w:ascii="Times New Roman" w:hAnsi="Times New Roman" w:cs="Times New Roman"/>
          <w:noProof w:val="0"/>
          <w:sz w:val="36"/>
          <w:lang w:val="ro-RO"/>
        </w:rPr>
        <w:sectPr w:rsidR="00BC2ED4" w:rsidRPr="009C5F11" w:rsidSect="00621178">
          <w:headerReference w:type="default" r:id="rId24"/>
          <w:pgSz w:w="16840" w:h="11900" w:orient="landscape" w:code="9"/>
          <w:pgMar w:top="1440" w:right="1440" w:bottom="1440" w:left="1440" w:header="720" w:footer="720" w:gutter="0"/>
          <w:cols w:space="720"/>
          <w:docGrid w:linePitch="360"/>
        </w:sectPr>
      </w:pPr>
    </w:p>
    <w:p w14:paraId="2435D529" w14:textId="77777777" w:rsidR="009C5F11" w:rsidRPr="00921CF1" w:rsidRDefault="009C5F11" w:rsidP="009C5F11">
      <w:pPr>
        <w:pStyle w:val="Titlu1"/>
        <w:numPr>
          <w:ilvl w:val="0"/>
          <w:numId w:val="0"/>
        </w:numPr>
        <w:ind w:left="907"/>
        <w:jc w:val="center"/>
        <w:rPr>
          <w:rFonts w:ascii="Times New Roman" w:hAnsi="Times New Roman" w:cs="Times New Roman"/>
          <w:noProof w:val="0"/>
          <w:color w:val="000000" w:themeColor="text1"/>
          <w:lang w:val="ro-RO"/>
        </w:rPr>
      </w:pPr>
      <w:bookmarkStart w:id="430" w:name="_ANNEX_3_-"/>
      <w:bookmarkStart w:id="431" w:name="_Toc437815724"/>
      <w:bookmarkStart w:id="432" w:name="_Ref441535774"/>
      <w:bookmarkStart w:id="433" w:name="_Toc322013133"/>
      <w:bookmarkEnd w:id="430"/>
      <w:r w:rsidRPr="00921CF1">
        <w:rPr>
          <w:rFonts w:ascii="Times New Roman" w:hAnsi="Times New Roman" w:cs="Times New Roman"/>
          <w:noProof w:val="0"/>
          <w:color w:val="000000" w:themeColor="text1"/>
          <w:lang w:val="ro-RO"/>
        </w:rPr>
        <w:lastRenderedPageBreak/>
        <w:t>Tabelul de acronime</w:t>
      </w:r>
      <w:bookmarkEnd w:id="431"/>
      <w:bookmarkEnd w:id="432"/>
      <w:bookmarkEnd w:id="433"/>
    </w:p>
    <w:tbl>
      <w:tblPr>
        <w:tblW w:w="9918" w:type="dxa"/>
        <w:tblBorders>
          <w:top w:val="nil"/>
          <w:left w:val="nil"/>
          <w:bottom w:val="nil"/>
          <w:right w:val="nil"/>
        </w:tblBorders>
        <w:tblLayout w:type="fixed"/>
        <w:tblLook w:val="0000" w:firstRow="0" w:lastRow="0" w:firstColumn="0" w:lastColumn="0" w:noHBand="0" w:noVBand="0"/>
      </w:tblPr>
      <w:tblGrid>
        <w:gridCol w:w="1946"/>
        <w:gridCol w:w="7972"/>
      </w:tblGrid>
      <w:tr w:rsidR="009C5F11" w:rsidRPr="009C5F11" w14:paraId="22AEB904" w14:textId="77777777" w:rsidTr="00D9464A">
        <w:trPr>
          <w:trHeight w:val="100"/>
        </w:trPr>
        <w:tc>
          <w:tcPr>
            <w:tcW w:w="1946" w:type="dxa"/>
          </w:tcPr>
          <w:p w14:paraId="403F5EAF"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ANRE</w:t>
            </w:r>
            <w:r w:rsidRPr="009C5F11">
              <w:rPr>
                <w:rFonts w:ascii="Times New Roman" w:hAnsi="Times New Roman" w:cs="Times New Roman"/>
                <w:color w:val="000000"/>
                <w:sz w:val="24"/>
                <w:lang w:val="ro-RO"/>
              </w:rPr>
              <w:tab/>
            </w:r>
          </w:p>
        </w:tc>
        <w:tc>
          <w:tcPr>
            <w:tcW w:w="7972" w:type="dxa"/>
          </w:tcPr>
          <w:p w14:paraId="5A2042C7"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Agenţia Naţională pentru Reglementare în Energetică</w:t>
            </w:r>
          </w:p>
        </w:tc>
      </w:tr>
      <w:tr w:rsidR="009C5F11" w:rsidRPr="009C5F11" w14:paraId="3A85FD5D" w14:textId="77777777" w:rsidTr="00D9464A">
        <w:trPr>
          <w:trHeight w:val="100"/>
        </w:trPr>
        <w:tc>
          <w:tcPr>
            <w:tcW w:w="1946" w:type="dxa"/>
          </w:tcPr>
          <w:p w14:paraId="23FC976F"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BAU </w:t>
            </w:r>
          </w:p>
        </w:tc>
        <w:tc>
          <w:tcPr>
            <w:tcW w:w="7972" w:type="dxa"/>
          </w:tcPr>
          <w:p w14:paraId="2C4A5405"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Menţinerea situaţiei existente (Business-as-Usual) fără măsuri de economisire</w:t>
            </w:r>
          </w:p>
        </w:tc>
      </w:tr>
      <w:tr w:rsidR="009C5F11" w:rsidRPr="009C5F11" w14:paraId="05F4087E" w14:textId="77777777" w:rsidTr="00D9464A">
        <w:trPr>
          <w:trHeight w:val="100"/>
        </w:trPr>
        <w:tc>
          <w:tcPr>
            <w:tcW w:w="1946" w:type="dxa"/>
          </w:tcPr>
          <w:p w14:paraId="41559F71"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BU</w:t>
            </w:r>
          </w:p>
        </w:tc>
        <w:tc>
          <w:tcPr>
            <w:tcW w:w="7972" w:type="dxa"/>
          </w:tcPr>
          <w:p w14:paraId="0CD296E8"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Bottom-up</w:t>
            </w:r>
          </w:p>
        </w:tc>
      </w:tr>
      <w:tr w:rsidR="009C5F11" w:rsidRPr="009C5F11" w14:paraId="6B5CEB27" w14:textId="77777777" w:rsidTr="00D9464A">
        <w:trPr>
          <w:trHeight w:val="100"/>
        </w:trPr>
        <w:tc>
          <w:tcPr>
            <w:tcW w:w="1946" w:type="dxa"/>
          </w:tcPr>
          <w:p w14:paraId="7DF684D0"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ACB</w:t>
            </w:r>
          </w:p>
        </w:tc>
        <w:tc>
          <w:tcPr>
            <w:tcW w:w="7972" w:type="dxa"/>
          </w:tcPr>
          <w:p w14:paraId="755224DB"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Analiza cost-beneficiu</w:t>
            </w:r>
          </w:p>
        </w:tc>
      </w:tr>
      <w:tr w:rsidR="009C5F11" w:rsidRPr="009C5F11" w14:paraId="61F6E8C4" w14:textId="77777777" w:rsidTr="00D9464A">
        <w:trPr>
          <w:trHeight w:val="100"/>
        </w:trPr>
        <w:tc>
          <w:tcPr>
            <w:tcW w:w="1946" w:type="dxa"/>
          </w:tcPr>
          <w:p w14:paraId="66B63246"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CET</w:t>
            </w:r>
          </w:p>
        </w:tc>
        <w:tc>
          <w:tcPr>
            <w:tcW w:w="7972" w:type="dxa"/>
          </w:tcPr>
          <w:p w14:paraId="76B3920D"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Cogenerare</w:t>
            </w:r>
          </w:p>
        </w:tc>
      </w:tr>
      <w:tr w:rsidR="009C5F11" w:rsidRPr="009C5F11" w14:paraId="2E4CE178" w14:textId="77777777" w:rsidTr="00D9464A">
        <w:trPr>
          <w:trHeight w:val="100"/>
        </w:trPr>
        <w:tc>
          <w:tcPr>
            <w:tcW w:w="1946" w:type="dxa"/>
            <w:tcBorders>
              <w:left w:val="nil"/>
            </w:tcBorders>
          </w:tcPr>
          <w:p w14:paraId="584CA4B5"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PC</w:t>
            </w:r>
          </w:p>
        </w:tc>
        <w:tc>
          <w:tcPr>
            <w:tcW w:w="7972" w:type="dxa"/>
            <w:tcBorders>
              <w:right w:val="nil"/>
            </w:tcBorders>
          </w:tcPr>
          <w:p w14:paraId="0F57971D"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Partea contractantă</w:t>
            </w:r>
          </w:p>
        </w:tc>
      </w:tr>
      <w:tr w:rsidR="009C5F11" w:rsidRPr="009C5F11" w14:paraId="6991E7A7" w14:textId="77777777" w:rsidTr="00D9464A">
        <w:trPr>
          <w:trHeight w:val="100"/>
        </w:trPr>
        <w:tc>
          <w:tcPr>
            <w:tcW w:w="1946" w:type="dxa"/>
            <w:tcBorders>
              <w:left w:val="nil"/>
              <w:bottom w:val="nil"/>
            </w:tcBorders>
          </w:tcPr>
          <w:p w14:paraId="56727955"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ORD</w:t>
            </w:r>
          </w:p>
        </w:tc>
        <w:tc>
          <w:tcPr>
            <w:tcW w:w="7972" w:type="dxa"/>
            <w:tcBorders>
              <w:bottom w:val="nil"/>
              <w:right w:val="nil"/>
            </w:tcBorders>
          </w:tcPr>
          <w:p w14:paraId="00A58953"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Operator al retelei de distribuţie</w:t>
            </w:r>
          </w:p>
        </w:tc>
      </w:tr>
      <w:tr w:rsidR="009C5F11" w:rsidRPr="009C5F11" w14:paraId="034F4853" w14:textId="77777777" w:rsidTr="00D9464A">
        <w:trPr>
          <w:trHeight w:val="100"/>
        </w:trPr>
        <w:tc>
          <w:tcPr>
            <w:tcW w:w="1946" w:type="dxa"/>
            <w:tcBorders>
              <w:left w:val="nil"/>
              <w:bottom w:val="nil"/>
            </w:tcBorders>
          </w:tcPr>
          <w:p w14:paraId="1D70DBD8"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BERD </w:t>
            </w:r>
          </w:p>
        </w:tc>
        <w:tc>
          <w:tcPr>
            <w:tcW w:w="7972" w:type="dxa"/>
            <w:tcBorders>
              <w:bottom w:val="nil"/>
              <w:right w:val="nil"/>
            </w:tcBorders>
          </w:tcPr>
          <w:p w14:paraId="0DAEBB2C"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Banca Europeană de Reconstrucţie şi Dezvoltare </w:t>
            </w:r>
          </w:p>
        </w:tc>
      </w:tr>
      <w:tr w:rsidR="009C5F11" w:rsidRPr="009C5F11" w14:paraId="65CD9C6B" w14:textId="77777777" w:rsidTr="00D9464A">
        <w:trPr>
          <w:trHeight w:val="100"/>
        </w:trPr>
        <w:tc>
          <w:tcPr>
            <w:tcW w:w="1946" w:type="dxa"/>
            <w:tcBorders>
              <w:left w:val="nil"/>
              <w:bottom w:val="nil"/>
            </w:tcBorders>
          </w:tcPr>
          <w:p w14:paraId="13965A9E"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EE </w:t>
            </w:r>
          </w:p>
        </w:tc>
        <w:tc>
          <w:tcPr>
            <w:tcW w:w="7972" w:type="dxa"/>
            <w:tcBorders>
              <w:bottom w:val="nil"/>
              <w:right w:val="nil"/>
            </w:tcBorders>
          </w:tcPr>
          <w:p w14:paraId="0A1F174D"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Eficienţă energetică </w:t>
            </w:r>
          </w:p>
        </w:tc>
      </w:tr>
      <w:tr w:rsidR="009C5F11" w:rsidRPr="009C5F11" w14:paraId="2BE0A898" w14:textId="77777777" w:rsidTr="00D9464A">
        <w:trPr>
          <w:trHeight w:val="100"/>
        </w:trPr>
        <w:tc>
          <w:tcPr>
            <w:tcW w:w="1946" w:type="dxa"/>
            <w:tcBorders>
              <w:left w:val="nil"/>
              <w:bottom w:val="nil"/>
            </w:tcBorders>
          </w:tcPr>
          <w:p w14:paraId="1BF69E99"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AEE </w:t>
            </w:r>
          </w:p>
        </w:tc>
        <w:tc>
          <w:tcPr>
            <w:tcW w:w="7972" w:type="dxa"/>
            <w:tcBorders>
              <w:bottom w:val="nil"/>
              <w:right w:val="nil"/>
            </w:tcBorders>
          </w:tcPr>
          <w:p w14:paraId="5F2F125F"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Agenţia pentru Eficienţă Energetică </w:t>
            </w:r>
          </w:p>
        </w:tc>
      </w:tr>
      <w:tr w:rsidR="009C5F11" w:rsidRPr="009C5F11" w14:paraId="7BCF23A9" w14:textId="77777777" w:rsidTr="00D9464A">
        <w:trPr>
          <w:trHeight w:val="100"/>
        </w:trPr>
        <w:tc>
          <w:tcPr>
            <w:tcW w:w="1946" w:type="dxa"/>
            <w:tcBorders>
              <w:left w:val="nil"/>
              <w:bottom w:val="nil"/>
            </w:tcBorders>
          </w:tcPr>
          <w:p w14:paraId="64B0A024"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DEE</w:t>
            </w:r>
          </w:p>
        </w:tc>
        <w:tc>
          <w:tcPr>
            <w:tcW w:w="7972" w:type="dxa"/>
            <w:tcBorders>
              <w:bottom w:val="nil"/>
              <w:right w:val="nil"/>
            </w:tcBorders>
          </w:tcPr>
          <w:p w14:paraId="66FC6582"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Directiva privind eficienţa energetică (Directiva 2012/27/UE)</w:t>
            </w:r>
          </w:p>
        </w:tc>
      </w:tr>
      <w:tr w:rsidR="009C5F11" w:rsidRPr="009C5F11" w14:paraId="60BB41E5" w14:textId="77777777" w:rsidTr="00D9464A">
        <w:trPr>
          <w:trHeight w:val="107"/>
        </w:trPr>
        <w:tc>
          <w:tcPr>
            <w:tcW w:w="1946" w:type="dxa"/>
            <w:tcBorders>
              <w:left w:val="nil"/>
              <w:bottom w:val="nil"/>
            </w:tcBorders>
          </w:tcPr>
          <w:p w14:paraId="5497F8C3"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FEE </w:t>
            </w:r>
          </w:p>
        </w:tc>
        <w:tc>
          <w:tcPr>
            <w:tcW w:w="7972" w:type="dxa"/>
            <w:tcBorders>
              <w:bottom w:val="nil"/>
              <w:right w:val="nil"/>
            </w:tcBorders>
          </w:tcPr>
          <w:p w14:paraId="652F401B"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Fondul pentru Eficienţă Energetică </w:t>
            </w:r>
          </w:p>
        </w:tc>
      </w:tr>
      <w:tr w:rsidR="009C5F11" w:rsidRPr="009C5F11" w14:paraId="1A72C44A" w14:textId="77777777" w:rsidTr="00D9464A">
        <w:trPr>
          <w:trHeight w:val="100"/>
        </w:trPr>
        <w:tc>
          <w:tcPr>
            <w:tcW w:w="1946" w:type="dxa"/>
            <w:tcBorders>
              <w:left w:val="nil"/>
              <w:bottom w:val="nil"/>
            </w:tcBorders>
          </w:tcPr>
          <w:p w14:paraId="0ADBD239"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sz w:val="24"/>
                <w:lang w:val="ro-RO"/>
              </w:rPr>
              <w:t>DECE</w:t>
            </w:r>
          </w:p>
        </w:tc>
        <w:tc>
          <w:tcPr>
            <w:tcW w:w="7972" w:type="dxa"/>
            <w:tcBorders>
              <w:bottom w:val="nil"/>
              <w:right w:val="nil"/>
            </w:tcBorders>
          </w:tcPr>
          <w:p w14:paraId="2E1C9AFE"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Directiva privind etichetarea consumului de energie </w:t>
            </w:r>
            <w:r w:rsidRPr="009C5F11">
              <w:rPr>
                <w:rFonts w:ascii="Times New Roman" w:hAnsi="Times New Roman" w:cs="Times New Roman"/>
                <w:sz w:val="24"/>
                <w:lang w:val="ro-RO"/>
              </w:rPr>
              <w:t>(Directiva 2010/30/UE)</w:t>
            </w:r>
          </w:p>
        </w:tc>
      </w:tr>
      <w:tr w:rsidR="009C5F11" w:rsidRPr="009C5F11" w14:paraId="457D8FB0" w14:textId="77777777" w:rsidTr="00D9464A">
        <w:trPr>
          <w:trHeight w:val="100"/>
        </w:trPr>
        <w:tc>
          <w:tcPr>
            <w:tcW w:w="1946" w:type="dxa"/>
          </w:tcPr>
          <w:p w14:paraId="3FE0FF55"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EnC</w:t>
            </w:r>
          </w:p>
        </w:tc>
        <w:tc>
          <w:tcPr>
            <w:tcW w:w="7972" w:type="dxa"/>
          </w:tcPr>
          <w:p w14:paraId="35B03F6A"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Comunitatea Energetică</w:t>
            </w:r>
          </w:p>
        </w:tc>
      </w:tr>
      <w:tr w:rsidR="009C5F11" w:rsidRPr="009C5F11" w14:paraId="272C65F6" w14:textId="77777777" w:rsidTr="00D9464A">
        <w:trPr>
          <w:trHeight w:val="100"/>
        </w:trPr>
        <w:tc>
          <w:tcPr>
            <w:tcW w:w="1946" w:type="dxa"/>
          </w:tcPr>
          <w:p w14:paraId="7CFE2608"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EnC-MC</w:t>
            </w:r>
          </w:p>
        </w:tc>
        <w:tc>
          <w:tcPr>
            <w:tcW w:w="7972" w:type="dxa"/>
          </w:tcPr>
          <w:p w14:paraId="3D05EB9B"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Consiliul Ministerial al Comunităţii Energetice</w:t>
            </w:r>
          </w:p>
        </w:tc>
      </w:tr>
      <w:tr w:rsidR="009C5F11" w:rsidRPr="009C5F11" w14:paraId="3FDC07BB" w14:textId="77777777" w:rsidTr="00D9464A">
        <w:trPr>
          <w:trHeight w:val="100"/>
        </w:trPr>
        <w:tc>
          <w:tcPr>
            <w:tcW w:w="1946" w:type="dxa"/>
            <w:tcBorders>
              <w:left w:val="nil"/>
            </w:tcBorders>
          </w:tcPr>
          <w:p w14:paraId="6D50613C"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DPEC</w:t>
            </w:r>
          </w:p>
        </w:tc>
        <w:tc>
          <w:tcPr>
            <w:tcW w:w="7972" w:type="dxa"/>
            <w:tcBorders>
              <w:right w:val="nil"/>
            </w:tcBorders>
          </w:tcPr>
          <w:p w14:paraId="3FAF36F4"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Directiva privind performanţa energetică a clădirilor (Directiva 2010/31/UE)</w:t>
            </w:r>
          </w:p>
        </w:tc>
      </w:tr>
      <w:tr w:rsidR="009C5F11" w:rsidRPr="009C5F11" w14:paraId="1C7F5C0D" w14:textId="77777777" w:rsidTr="00D9464A">
        <w:trPr>
          <w:trHeight w:val="100"/>
        </w:trPr>
        <w:tc>
          <w:tcPr>
            <w:tcW w:w="1946" w:type="dxa"/>
            <w:tcBorders>
              <w:left w:val="nil"/>
              <w:bottom w:val="nil"/>
            </w:tcBorders>
          </w:tcPr>
          <w:p w14:paraId="772169A5"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CPE</w:t>
            </w:r>
          </w:p>
        </w:tc>
        <w:tc>
          <w:tcPr>
            <w:tcW w:w="7972" w:type="dxa"/>
            <w:tcBorders>
              <w:bottom w:val="nil"/>
              <w:right w:val="nil"/>
            </w:tcBorders>
          </w:tcPr>
          <w:p w14:paraId="57DEE18A"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Contract de performanţă energetică</w:t>
            </w:r>
          </w:p>
        </w:tc>
      </w:tr>
      <w:tr w:rsidR="009C5F11" w:rsidRPr="009C5F11" w14:paraId="4F979AEA" w14:textId="77777777" w:rsidTr="00D9464A">
        <w:trPr>
          <w:trHeight w:val="100"/>
        </w:trPr>
        <w:tc>
          <w:tcPr>
            <w:tcW w:w="1946" w:type="dxa"/>
            <w:tcBorders>
              <w:left w:val="nil"/>
              <w:bottom w:val="nil"/>
            </w:tcBorders>
          </w:tcPr>
          <w:p w14:paraId="5CFB2E4C"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ESCO </w:t>
            </w:r>
          </w:p>
        </w:tc>
        <w:tc>
          <w:tcPr>
            <w:tcW w:w="7972" w:type="dxa"/>
            <w:tcBorders>
              <w:bottom w:val="nil"/>
              <w:right w:val="nil"/>
            </w:tcBorders>
          </w:tcPr>
          <w:p w14:paraId="2B2BEFB4"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Societate/Companie de servicii energetice </w:t>
            </w:r>
          </w:p>
        </w:tc>
      </w:tr>
      <w:tr w:rsidR="009C5F11" w:rsidRPr="009C5F11" w14:paraId="329F4423" w14:textId="77777777" w:rsidTr="00D9464A">
        <w:trPr>
          <w:trHeight w:val="100"/>
        </w:trPr>
        <w:tc>
          <w:tcPr>
            <w:tcW w:w="1946" w:type="dxa"/>
            <w:tcBorders>
              <w:left w:val="nil"/>
              <w:bottom w:val="nil"/>
            </w:tcBorders>
          </w:tcPr>
          <w:p w14:paraId="061EEAA3"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DSE</w:t>
            </w:r>
          </w:p>
        </w:tc>
        <w:tc>
          <w:tcPr>
            <w:tcW w:w="7972" w:type="dxa"/>
            <w:tcBorders>
              <w:bottom w:val="nil"/>
              <w:right w:val="nil"/>
            </w:tcBorders>
          </w:tcPr>
          <w:p w14:paraId="6B1C2AB5"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Directiva privind serviciile energetice (Directiva 2006/32/CE)</w:t>
            </w:r>
          </w:p>
        </w:tc>
      </w:tr>
      <w:tr w:rsidR="009C5F11" w:rsidRPr="009C5F11" w14:paraId="5E624693" w14:textId="77777777" w:rsidTr="00D9464A">
        <w:trPr>
          <w:trHeight w:val="100"/>
        </w:trPr>
        <w:tc>
          <w:tcPr>
            <w:tcW w:w="1946" w:type="dxa"/>
            <w:tcBorders>
              <w:left w:val="nil"/>
              <w:bottom w:val="nil"/>
            </w:tcBorders>
          </w:tcPr>
          <w:p w14:paraId="2305B939"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UE</w:t>
            </w:r>
          </w:p>
        </w:tc>
        <w:tc>
          <w:tcPr>
            <w:tcW w:w="7972" w:type="dxa"/>
            <w:tcBorders>
              <w:bottom w:val="nil"/>
              <w:right w:val="nil"/>
            </w:tcBorders>
          </w:tcPr>
          <w:p w14:paraId="2D9F96A0"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Uniunea Europeană </w:t>
            </w:r>
          </w:p>
        </w:tc>
      </w:tr>
      <w:tr w:rsidR="009C5F11" w:rsidRPr="009C5F11" w14:paraId="2B672EAE" w14:textId="77777777" w:rsidTr="00D9464A">
        <w:trPr>
          <w:trHeight w:val="100"/>
        </w:trPr>
        <w:tc>
          <w:tcPr>
            <w:tcW w:w="1946" w:type="dxa"/>
            <w:tcBorders>
              <w:left w:val="nil"/>
              <w:bottom w:val="nil"/>
            </w:tcBorders>
          </w:tcPr>
          <w:p w14:paraId="7B3A560E"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sz w:val="24"/>
                <w:lang w:val="ro-RO"/>
              </w:rPr>
              <w:t>FGM</w:t>
            </w:r>
          </w:p>
        </w:tc>
        <w:tc>
          <w:tcPr>
            <w:tcW w:w="7972" w:type="dxa"/>
            <w:tcBorders>
              <w:bottom w:val="nil"/>
              <w:right w:val="nil"/>
            </w:tcBorders>
          </w:tcPr>
          <w:p w14:paraId="0804636E"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Fondul Global de Mediu</w:t>
            </w:r>
          </w:p>
        </w:tc>
      </w:tr>
      <w:tr w:rsidR="009C5F11" w:rsidRPr="009C5F11" w14:paraId="1E52F218" w14:textId="77777777" w:rsidTr="00D9464A">
        <w:trPr>
          <w:trHeight w:val="100"/>
        </w:trPr>
        <w:tc>
          <w:tcPr>
            <w:tcW w:w="1946" w:type="dxa"/>
          </w:tcPr>
          <w:p w14:paraId="30769A23"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GET Moldova</w:t>
            </w:r>
            <w:r w:rsidRPr="009C5F11">
              <w:rPr>
                <w:rFonts w:ascii="Times New Roman" w:hAnsi="Times New Roman" w:cs="Times New Roman"/>
                <w:color w:val="000000"/>
                <w:sz w:val="24"/>
                <w:lang w:val="ro-RO"/>
              </w:rPr>
              <w:tab/>
            </w:r>
          </w:p>
        </w:tc>
        <w:tc>
          <w:tcPr>
            <w:tcW w:w="7972" w:type="dxa"/>
          </w:tcPr>
          <w:p w14:paraId="5103EAC9"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Echipa Economica  Germana Moldova</w:t>
            </w:r>
          </w:p>
        </w:tc>
      </w:tr>
      <w:tr w:rsidR="009C5F11" w:rsidRPr="009C5F11" w14:paraId="533B5A2C" w14:textId="77777777" w:rsidTr="00D9464A">
        <w:trPr>
          <w:trHeight w:val="100"/>
        </w:trPr>
        <w:tc>
          <w:tcPr>
            <w:tcW w:w="1946" w:type="dxa"/>
          </w:tcPr>
          <w:p w14:paraId="6F1E4AB9"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GES </w:t>
            </w:r>
          </w:p>
        </w:tc>
        <w:tc>
          <w:tcPr>
            <w:tcW w:w="7972" w:type="dxa"/>
          </w:tcPr>
          <w:p w14:paraId="78258A66"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Gaz(e) cu efect de seră </w:t>
            </w:r>
          </w:p>
        </w:tc>
      </w:tr>
      <w:tr w:rsidR="009C5F11" w:rsidRPr="009C5F11" w14:paraId="5FD6DF8C" w14:textId="77777777" w:rsidTr="00D9464A">
        <w:trPr>
          <w:trHeight w:val="100"/>
        </w:trPr>
        <w:tc>
          <w:tcPr>
            <w:tcW w:w="1946" w:type="dxa"/>
            <w:tcBorders>
              <w:left w:val="nil"/>
              <w:bottom w:val="nil"/>
            </w:tcBorders>
          </w:tcPr>
          <w:p w14:paraId="26FF3236"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Ktep </w:t>
            </w:r>
          </w:p>
        </w:tc>
        <w:tc>
          <w:tcPr>
            <w:tcW w:w="7972" w:type="dxa"/>
            <w:tcBorders>
              <w:bottom w:val="nil"/>
              <w:right w:val="nil"/>
            </w:tcBorders>
          </w:tcPr>
          <w:p w14:paraId="27360E7F"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Kilotonă echivalent petrol</w:t>
            </w:r>
          </w:p>
        </w:tc>
      </w:tr>
      <w:tr w:rsidR="009C5F11" w:rsidRPr="009C5F11" w14:paraId="0EFB4162" w14:textId="77777777" w:rsidTr="00D9464A">
        <w:trPr>
          <w:trHeight w:val="100"/>
        </w:trPr>
        <w:tc>
          <w:tcPr>
            <w:tcW w:w="1946" w:type="dxa"/>
            <w:tcBorders>
              <w:left w:val="nil"/>
              <w:bottom w:val="nil"/>
            </w:tcBorders>
          </w:tcPr>
          <w:p w14:paraId="514AEDA7"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sz w:val="24"/>
                <w:lang w:val="ro-RO"/>
              </w:rPr>
              <w:t>HVAC</w:t>
            </w:r>
          </w:p>
        </w:tc>
        <w:tc>
          <w:tcPr>
            <w:tcW w:w="7972" w:type="dxa"/>
            <w:tcBorders>
              <w:bottom w:val="nil"/>
              <w:right w:val="nil"/>
            </w:tcBorders>
          </w:tcPr>
          <w:p w14:paraId="428BF9CF"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Încălzire, ventilare şi climatizare a aerului</w:t>
            </w:r>
          </w:p>
        </w:tc>
      </w:tr>
      <w:tr w:rsidR="009C5F11" w:rsidRPr="009C5F11" w14:paraId="01C1AD50" w14:textId="77777777" w:rsidTr="00D9464A">
        <w:trPr>
          <w:trHeight w:val="100"/>
        </w:trPr>
        <w:tc>
          <w:tcPr>
            <w:tcW w:w="1946" w:type="dxa"/>
          </w:tcPr>
          <w:p w14:paraId="58081581"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IFI</w:t>
            </w:r>
          </w:p>
        </w:tc>
        <w:tc>
          <w:tcPr>
            <w:tcW w:w="7972" w:type="dxa"/>
          </w:tcPr>
          <w:p w14:paraId="492DEBF3"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Institutii financiare internationale</w:t>
            </w:r>
          </w:p>
        </w:tc>
      </w:tr>
      <w:tr w:rsidR="009C5F11" w:rsidRPr="009C5F11" w14:paraId="40A98DC4" w14:textId="77777777" w:rsidTr="00D9464A">
        <w:trPr>
          <w:trHeight w:val="100"/>
        </w:trPr>
        <w:tc>
          <w:tcPr>
            <w:tcW w:w="1946" w:type="dxa"/>
          </w:tcPr>
          <w:p w14:paraId="7E2275FA"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APL</w:t>
            </w:r>
          </w:p>
        </w:tc>
        <w:tc>
          <w:tcPr>
            <w:tcW w:w="7972" w:type="dxa"/>
          </w:tcPr>
          <w:p w14:paraId="0B150691"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Autorităţile publice locale</w:t>
            </w:r>
          </w:p>
        </w:tc>
      </w:tr>
      <w:tr w:rsidR="009C5F11" w:rsidRPr="009C5F11" w14:paraId="2A64996F" w14:textId="77777777" w:rsidTr="00D9464A">
        <w:trPr>
          <w:trHeight w:val="107"/>
        </w:trPr>
        <w:tc>
          <w:tcPr>
            <w:tcW w:w="1946" w:type="dxa"/>
          </w:tcPr>
          <w:p w14:paraId="43B06EAC"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GPL</w:t>
            </w:r>
          </w:p>
        </w:tc>
        <w:tc>
          <w:tcPr>
            <w:tcW w:w="7972" w:type="dxa"/>
          </w:tcPr>
          <w:p w14:paraId="6292877C"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Gaz petrolier lichefiat</w:t>
            </w:r>
          </w:p>
        </w:tc>
      </w:tr>
      <w:tr w:rsidR="009C5F11" w:rsidRPr="009C5F11" w14:paraId="2FF5DA8D" w14:textId="77777777" w:rsidTr="00D9464A">
        <w:trPr>
          <w:trHeight w:val="100"/>
        </w:trPr>
        <w:tc>
          <w:tcPr>
            <w:tcW w:w="1946" w:type="dxa"/>
          </w:tcPr>
          <w:p w14:paraId="705EF4B0"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PEBM</w:t>
            </w:r>
          </w:p>
        </w:tc>
        <w:tc>
          <w:tcPr>
            <w:tcW w:w="7972" w:type="dxa"/>
          </w:tcPr>
          <w:p w14:paraId="05DDFB14"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Proiectul Energie şi Biomasă în Moldova </w:t>
            </w:r>
          </w:p>
        </w:tc>
      </w:tr>
      <w:tr w:rsidR="009C5F11" w:rsidRPr="009C5F11" w14:paraId="195300D9" w14:textId="77777777" w:rsidTr="00D9464A">
        <w:trPr>
          <w:trHeight w:val="100"/>
        </w:trPr>
        <w:tc>
          <w:tcPr>
            <w:tcW w:w="1946" w:type="dxa"/>
            <w:tcBorders>
              <w:left w:val="nil"/>
              <w:bottom w:val="nil"/>
            </w:tcBorders>
          </w:tcPr>
          <w:p w14:paraId="05CE141D"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MDL </w:t>
            </w:r>
          </w:p>
        </w:tc>
        <w:tc>
          <w:tcPr>
            <w:tcW w:w="7972" w:type="dxa"/>
            <w:tcBorders>
              <w:bottom w:val="nil"/>
              <w:right w:val="nil"/>
            </w:tcBorders>
          </w:tcPr>
          <w:p w14:paraId="4DE65B8D"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Leul moldovenesc (moneda naţională a Republicii Moldova) </w:t>
            </w:r>
          </w:p>
        </w:tc>
      </w:tr>
      <w:tr w:rsidR="009C5F11" w:rsidRPr="009C5F11" w14:paraId="2A2E64F9" w14:textId="77777777" w:rsidTr="00D9464A">
        <w:trPr>
          <w:trHeight w:val="100"/>
        </w:trPr>
        <w:tc>
          <w:tcPr>
            <w:tcW w:w="1946" w:type="dxa"/>
            <w:tcBorders>
              <w:left w:val="nil"/>
              <w:bottom w:val="nil"/>
            </w:tcBorders>
          </w:tcPr>
          <w:p w14:paraId="20544965"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ME</w:t>
            </w:r>
          </w:p>
        </w:tc>
        <w:tc>
          <w:tcPr>
            <w:tcW w:w="7972" w:type="dxa"/>
            <w:tcBorders>
              <w:bottom w:val="nil"/>
              <w:right w:val="nil"/>
            </w:tcBorders>
          </w:tcPr>
          <w:p w14:paraId="5C9062E2"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Ministerul Economiei</w:t>
            </w:r>
          </w:p>
        </w:tc>
      </w:tr>
      <w:tr w:rsidR="009C5F11" w:rsidRPr="009C5F11" w14:paraId="7473B0CF" w14:textId="77777777" w:rsidTr="00D9464A">
        <w:trPr>
          <w:trHeight w:val="100"/>
        </w:trPr>
        <w:tc>
          <w:tcPr>
            <w:tcW w:w="1946" w:type="dxa"/>
            <w:tcBorders>
              <w:left w:val="nil"/>
              <w:bottom w:val="nil"/>
            </w:tcBorders>
          </w:tcPr>
          <w:p w14:paraId="50E47B60"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MM </w:t>
            </w:r>
          </w:p>
        </w:tc>
        <w:tc>
          <w:tcPr>
            <w:tcW w:w="7972" w:type="dxa"/>
            <w:tcBorders>
              <w:bottom w:val="nil"/>
              <w:right w:val="nil"/>
            </w:tcBorders>
          </w:tcPr>
          <w:p w14:paraId="685DE053"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Ministerul Mediului </w:t>
            </w:r>
          </w:p>
        </w:tc>
      </w:tr>
      <w:tr w:rsidR="009C5F11" w:rsidRPr="009C5F11" w14:paraId="29BB5FE3" w14:textId="77777777" w:rsidTr="00D9464A">
        <w:trPr>
          <w:trHeight w:val="100"/>
        </w:trPr>
        <w:tc>
          <w:tcPr>
            <w:tcW w:w="1946" w:type="dxa"/>
            <w:tcBorders>
              <w:left w:val="nil"/>
              <w:bottom w:val="nil"/>
            </w:tcBorders>
          </w:tcPr>
          <w:p w14:paraId="1552DB2E"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MOREEFF</w:t>
            </w:r>
          </w:p>
        </w:tc>
        <w:tc>
          <w:tcPr>
            <w:tcW w:w="7972" w:type="dxa"/>
            <w:tcBorders>
              <w:bottom w:val="nil"/>
              <w:right w:val="nil"/>
            </w:tcBorders>
          </w:tcPr>
          <w:p w14:paraId="26AF2F6E"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Facilitatea de finanțare a eficienței energetice în sectorul rezidențial din Moldova</w:t>
            </w:r>
          </w:p>
        </w:tc>
      </w:tr>
      <w:tr w:rsidR="009C5F11" w:rsidRPr="009C5F11" w14:paraId="0534277B" w14:textId="77777777" w:rsidTr="00D9464A">
        <w:trPr>
          <w:trHeight w:val="100"/>
        </w:trPr>
        <w:tc>
          <w:tcPr>
            <w:tcW w:w="1946" w:type="dxa"/>
            <w:tcBorders>
              <w:left w:val="nil"/>
              <w:bottom w:val="nil"/>
            </w:tcBorders>
          </w:tcPr>
          <w:p w14:paraId="145A418A"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MOSEFF</w:t>
            </w:r>
          </w:p>
        </w:tc>
        <w:tc>
          <w:tcPr>
            <w:tcW w:w="7972" w:type="dxa"/>
            <w:tcBorders>
              <w:bottom w:val="nil"/>
              <w:right w:val="nil"/>
            </w:tcBorders>
          </w:tcPr>
          <w:p w14:paraId="6590F5D7"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Linia de finanţare pentru eficienţa energetică în Republica Moldova</w:t>
            </w:r>
          </w:p>
        </w:tc>
      </w:tr>
      <w:tr w:rsidR="009C5F11" w:rsidRPr="009C5F11" w14:paraId="1C2281E3" w14:textId="77777777" w:rsidTr="00D9464A">
        <w:trPr>
          <w:trHeight w:val="100"/>
        </w:trPr>
        <w:tc>
          <w:tcPr>
            <w:tcW w:w="1946" w:type="dxa"/>
            <w:tcBorders>
              <w:left w:val="nil"/>
              <w:bottom w:val="nil"/>
            </w:tcBorders>
          </w:tcPr>
          <w:p w14:paraId="3CDB3C27"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FISM</w:t>
            </w:r>
          </w:p>
        </w:tc>
        <w:tc>
          <w:tcPr>
            <w:tcW w:w="7972" w:type="dxa"/>
            <w:tcBorders>
              <w:bottom w:val="nil"/>
              <w:right w:val="nil"/>
            </w:tcBorders>
          </w:tcPr>
          <w:p w14:paraId="419F6CEC"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Fondul de Investiţii Sociale din Moldova </w:t>
            </w:r>
          </w:p>
        </w:tc>
      </w:tr>
      <w:tr w:rsidR="009C5F11" w:rsidRPr="009C5F11" w14:paraId="693D2C33" w14:textId="77777777" w:rsidTr="00D9464A">
        <w:trPr>
          <w:trHeight w:val="100"/>
        </w:trPr>
        <w:tc>
          <w:tcPr>
            <w:tcW w:w="1946" w:type="dxa"/>
            <w:tcBorders>
              <w:left w:val="nil"/>
              <w:bottom w:val="nil"/>
            </w:tcBorders>
          </w:tcPr>
          <w:p w14:paraId="72DDA75F"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BNS</w:t>
            </w:r>
          </w:p>
        </w:tc>
        <w:tc>
          <w:tcPr>
            <w:tcW w:w="7972" w:type="dxa"/>
            <w:tcBorders>
              <w:bottom w:val="nil"/>
              <w:right w:val="nil"/>
            </w:tcBorders>
          </w:tcPr>
          <w:p w14:paraId="3C6AD369"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Biroul Naţional de Statistică</w:t>
            </w:r>
          </w:p>
        </w:tc>
      </w:tr>
      <w:tr w:rsidR="009C5F11" w:rsidRPr="009C5F11" w14:paraId="6CF21F2D" w14:textId="77777777" w:rsidTr="00D9464A">
        <w:trPr>
          <w:trHeight w:val="82"/>
        </w:trPr>
        <w:tc>
          <w:tcPr>
            <w:tcW w:w="1946" w:type="dxa"/>
            <w:tcBorders>
              <w:left w:val="nil"/>
              <w:bottom w:val="nil"/>
            </w:tcBorders>
          </w:tcPr>
          <w:p w14:paraId="6AD57E2F"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NCPP</w:t>
            </w:r>
          </w:p>
        </w:tc>
        <w:tc>
          <w:tcPr>
            <w:tcW w:w="7972" w:type="dxa"/>
            <w:tcBorders>
              <w:bottom w:val="nil"/>
              <w:right w:val="nil"/>
            </w:tcBorders>
          </w:tcPr>
          <w:p w14:paraId="1B56D33A"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Programul naţional de producere mai pură ă</w:t>
            </w:r>
          </w:p>
        </w:tc>
      </w:tr>
      <w:tr w:rsidR="009C5F11" w:rsidRPr="009C5F11" w14:paraId="046AEA77" w14:textId="77777777" w:rsidTr="00D9464A">
        <w:trPr>
          <w:trHeight w:val="103"/>
        </w:trPr>
        <w:tc>
          <w:tcPr>
            <w:tcW w:w="1946" w:type="dxa"/>
          </w:tcPr>
          <w:p w14:paraId="1FA2E9A6"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PNAEE</w:t>
            </w:r>
          </w:p>
        </w:tc>
        <w:tc>
          <w:tcPr>
            <w:tcW w:w="7972" w:type="dxa"/>
          </w:tcPr>
          <w:p w14:paraId="47EA5926"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Planul naţional de acţiuni în domeniul eficienţei energetice</w:t>
            </w:r>
          </w:p>
        </w:tc>
      </w:tr>
      <w:tr w:rsidR="009C5F11" w:rsidRPr="009C5F11" w14:paraId="4C229CD5" w14:textId="77777777" w:rsidTr="00D9464A">
        <w:trPr>
          <w:trHeight w:val="103"/>
        </w:trPr>
        <w:tc>
          <w:tcPr>
            <w:tcW w:w="1946" w:type="dxa"/>
            <w:tcBorders>
              <w:left w:val="nil"/>
              <w:bottom w:val="nil"/>
            </w:tcBorders>
          </w:tcPr>
          <w:p w14:paraId="14B17AAD"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nZEB</w:t>
            </w:r>
          </w:p>
          <w:p w14:paraId="77BBEF19"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PV</w:t>
            </w:r>
          </w:p>
          <w:p w14:paraId="7FD09162"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RECP</w:t>
            </w:r>
          </w:p>
        </w:tc>
        <w:tc>
          <w:tcPr>
            <w:tcW w:w="7972" w:type="dxa"/>
            <w:tcBorders>
              <w:bottom w:val="nil"/>
              <w:right w:val="nil"/>
            </w:tcBorders>
          </w:tcPr>
          <w:p w14:paraId="7F664DD1"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Clădire al cărei consum de energie este aproape egal cu zero </w:t>
            </w:r>
          </w:p>
          <w:p w14:paraId="12C43673"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Fotovoltaic </w:t>
            </w:r>
          </w:p>
          <w:p w14:paraId="0C69A66F"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Eficientizarea resurselor şi producere mai pură </w:t>
            </w:r>
          </w:p>
        </w:tc>
      </w:tr>
      <w:tr w:rsidR="009C5F11" w:rsidRPr="009C5F11" w14:paraId="4E1073BF" w14:textId="77777777" w:rsidTr="00D9464A">
        <w:trPr>
          <w:trHeight w:val="100"/>
        </w:trPr>
        <w:tc>
          <w:tcPr>
            <w:tcW w:w="1946" w:type="dxa"/>
          </w:tcPr>
          <w:p w14:paraId="66E76D2B"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ESR</w:t>
            </w:r>
          </w:p>
        </w:tc>
        <w:tc>
          <w:tcPr>
            <w:tcW w:w="7972" w:type="dxa"/>
          </w:tcPr>
          <w:p w14:paraId="57540A00"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Energie din surse regenerabile</w:t>
            </w:r>
          </w:p>
        </w:tc>
      </w:tr>
      <w:tr w:rsidR="009C5F11" w:rsidRPr="009C5F11" w14:paraId="7F42C8E6" w14:textId="77777777" w:rsidTr="00D9464A">
        <w:trPr>
          <w:trHeight w:val="100"/>
        </w:trPr>
        <w:tc>
          <w:tcPr>
            <w:tcW w:w="1946" w:type="dxa"/>
            <w:tcBorders>
              <w:left w:val="nil"/>
            </w:tcBorders>
          </w:tcPr>
          <w:p w14:paraId="683546BE"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PAED </w:t>
            </w:r>
          </w:p>
        </w:tc>
        <w:tc>
          <w:tcPr>
            <w:tcW w:w="7972" w:type="dxa"/>
            <w:tcBorders>
              <w:right w:val="nil"/>
            </w:tcBorders>
          </w:tcPr>
          <w:p w14:paraId="5EE7D77D"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Plan de acțiuni pentru energie durabilă</w:t>
            </w:r>
          </w:p>
        </w:tc>
      </w:tr>
      <w:tr w:rsidR="009C5F11" w:rsidRPr="009C5F11" w14:paraId="6E029F6E" w14:textId="77777777" w:rsidTr="00D9464A">
        <w:trPr>
          <w:trHeight w:val="100"/>
        </w:trPr>
        <w:tc>
          <w:tcPr>
            <w:tcW w:w="1946" w:type="dxa"/>
            <w:tcBorders>
              <w:left w:val="nil"/>
            </w:tcBorders>
          </w:tcPr>
          <w:p w14:paraId="40220E60"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IMM</w:t>
            </w:r>
          </w:p>
        </w:tc>
        <w:tc>
          <w:tcPr>
            <w:tcW w:w="7972" w:type="dxa"/>
            <w:tcBorders>
              <w:right w:val="nil"/>
            </w:tcBorders>
          </w:tcPr>
          <w:p w14:paraId="758E4539"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Întreprinderi mici şi mijlocii</w:t>
            </w:r>
          </w:p>
        </w:tc>
      </w:tr>
      <w:tr w:rsidR="009C5F11" w:rsidRPr="009C5F11" w14:paraId="6AA5BC68" w14:textId="77777777" w:rsidTr="00D9464A">
        <w:trPr>
          <w:trHeight w:val="100"/>
        </w:trPr>
        <w:tc>
          <w:tcPr>
            <w:tcW w:w="1946" w:type="dxa"/>
            <w:tcBorders>
              <w:left w:val="nil"/>
            </w:tcBorders>
          </w:tcPr>
          <w:p w14:paraId="75AB2563"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SuDEP</w:t>
            </w:r>
          </w:p>
        </w:tc>
        <w:tc>
          <w:tcPr>
            <w:tcW w:w="7972" w:type="dxa"/>
            <w:tcBorders>
              <w:right w:val="nil"/>
            </w:tcBorders>
          </w:tcPr>
          <w:p w14:paraId="41C62C7E" w14:textId="77777777" w:rsidR="009C5F11" w:rsidRPr="009C5F11" w:rsidRDefault="009C5F11" w:rsidP="00D9464A">
            <w:pPr>
              <w:tabs>
                <w:tab w:val="left" w:pos="825"/>
              </w:tabs>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Proiectele Demonstrative Urbane Durabile pentru senatarii Conventiei Primarilor</w:t>
            </w:r>
          </w:p>
        </w:tc>
      </w:tr>
      <w:tr w:rsidR="009C5F11" w:rsidRPr="009C5F11" w14:paraId="685786B7" w14:textId="77777777" w:rsidTr="00D9464A">
        <w:trPr>
          <w:trHeight w:val="100"/>
        </w:trPr>
        <w:tc>
          <w:tcPr>
            <w:tcW w:w="1946" w:type="dxa"/>
            <w:tcBorders>
              <w:left w:val="nil"/>
            </w:tcBorders>
          </w:tcPr>
          <w:p w14:paraId="7339CB6D"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tep </w:t>
            </w:r>
          </w:p>
        </w:tc>
        <w:tc>
          <w:tcPr>
            <w:tcW w:w="7972" w:type="dxa"/>
            <w:tcBorders>
              <w:right w:val="nil"/>
            </w:tcBorders>
          </w:tcPr>
          <w:p w14:paraId="0B3E1926"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Tonă echivalent petrol </w:t>
            </w:r>
          </w:p>
        </w:tc>
      </w:tr>
      <w:tr w:rsidR="009C5F11" w:rsidRPr="009C5F11" w14:paraId="043EE0AC" w14:textId="77777777" w:rsidTr="00D9464A">
        <w:trPr>
          <w:trHeight w:val="100"/>
        </w:trPr>
        <w:tc>
          <w:tcPr>
            <w:tcW w:w="1946" w:type="dxa"/>
            <w:tcBorders>
              <w:left w:val="nil"/>
            </w:tcBorders>
          </w:tcPr>
          <w:p w14:paraId="00D8185D"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lastRenderedPageBreak/>
              <w:t>TD</w:t>
            </w:r>
          </w:p>
        </w:tc>
        <w:tc>
          <w:tcPr>
            <w:tcW w:w="7972" w:type="dxa"/>
            <w:tcBorders>
              <w:right w:val="nil"/>
            </w:tcBorders>
          </w:tcPr>
          <w:p w14:paraId="7D2B6140"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Top-down</w:t>
            </w:r>
          </w:p>
        </w:tc>
      </w:tr>
      <w:tr w:rsidR="009C5F11" w:rsidRPr="009C5F11" w14:paraId="7CF0C63A" w14:textId="77777777" w:rsidTr="00D9464A">
        <w:trPr>
          <w:trHeight w:val="100"/>
        </w:trPr>
        <w:tc>
          <w:tcPr>
            <w:tcW w:w="1946" w:type="dxa"/>
            <w:tcBorders>
              <w:left w:val="nil"/>
              <w:bottom w:val="nil"/>
            </w:tcBorders>
          </w:tcPr>
          <w:p w14:paraId="7B3DCE45"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OTS</w:t>
            </w:r>
          </w:p>
        </w:tc>
        <w:tc>
          <w:tcPr>
            <w:tcW w:w="7972" w:type="dxa"/>
            <w:tcBorders>
              <w:bottom w:val="nil"/>
              <w:right w:val="nil"/>
            </w:tcBorders>
          </w:tcPr>
          <w:p w14:paraId="0D1F1838"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Operatorul reţelei de transport şi de sistem</w:t>
            </w:r>
          </w:p>
        </w:tc>
      </w:tr>
      <w:tr w:rsidR="009C5F11" w:rsidRPr="009C5F11" w14:paraId="6531007D" w14:textId="77777777" w:rsidTr="00D9464A">
        <w:trPr>
          <w:trHeight w:val="100"/>
        </w:trPr>
        <w:tc>
          <w:tcPr>
            <w:tcW w:w="1946" w:type="dxa"/>
            <w:tcBorders>
              <w:left w:val="nil"/>
              <w:bottom w:val="nil"/>
            </w:tcBorders>
          </w:tcPr>
          <w:p w14:paraId="3BF18D84" w14:textId="77777777" w:rsidR="009C5F11" w:rsidRPr="009C5F11" w:rsidRDefault="009C5F11" w:rsidP="00D9464A">
            <w:pPr>
              <w:autoSpaceDE w:val="0"/>
              <w:autoSpaceDN w:val="0"/>
              <w:adjustRightInd w:val="0"/>
              <w:spacing w:after="0" w:line="240" w:lineRule="auto"/>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PNUD </w:t>
            </w:r>
          </w:p>
        </w:tc>
        <w:tc>
          <w:tcPr>
            <w:tcW w:w="7972" w:type="dxa"/>
            <w:tcBorders>
              <w:bottom w:val="nil"/>
              <w:right w:val="nil"/>
            </w:tcBorders>
          </w:tcPr>
          <w:p w14:paraId="3CCED0E7" w14:textId="77777777" w:rsidR="009C5F11" w:rsidRPr="009C5F11" w:rsidRDefault="009C5F11" w:rsidP="00D9464A">
            <w:pPr>
              <w:autoSpaceDE w:val="0"/>
              <w:autoSpaceDN w:val="0"/>
              <w:adjustRightInd w:val="0"/>
              <w:spacing w:after="0" w:line="240" w:lineRule="auto"/>
              <w:ind w:left="-91"/>
              <w:rPr>
                <w:rFonts w:ascii="Times New Roman" w:hAnsi="Times New Roman" w:cs="Times New Roman"/>
                <w:color w:val="000000"/>
                <w:sz w:val="24"/>
                <w:lang w:val="ro-RO"/>
              </w:rPr>
            </w:pPr>
            <w:r w:rsidRPr="009C5F11">
              <w:rPr>
                <w:rFonts w:ascii="Times New Roman" w:hAnsi="Times New Roman" w:cs="Times New Roman"/>
                <w:color w:val="000000"/>
                <w:sz w:val="24"/>
                <w:lang w:val="ro-RO"/>
              </w:rPr>
              <w:t xml:space="preserve">Programul Naţiunilor Unite pentru Dezvoltare </w:t>
            </w:r>
          </w:p>
        </w:tc>
      </w:tr>
    </w:tbl>
    <w:p w14:paraId="18753B50" w14:textId="77777777" w:rsidR="00D12FFA" w:rsidRPr="009C5F11" w:rsidRDefault="00D12FFA" w:rsidP="001B7457">
      <w:pPr>
        <w:jc w:val="both"/>
        <w:rPr>
          <w:rFonts w:ascii="Times New Roman" w:hAnsi="Times New Roman" w:cs="Times New Roman"/>
          <w:b/>
          <w:sz w:val="24"/>
          <w:lang w:val="ro-RO"/>
        </w:rPr>
      </w:pPr>
    </w:p>
    <w:sectPr w:rsidR="00D12FFA" w:rsidRPr="009C5F11" w:rsidSect="003A3B6F">
      <w:headerReference w:type="even" r:id="rId25"/>
      <w:headerReference w:type="default" r:id="rId26"/>
      <w:headerReference w:type="first" r:id="rId27"/>
      <w:pgSz w:w="11907" w:h="16839" w:code="9"/>
      <w:pgMar w:top="1843" w:right="936" w:bottom="1588" w:left="1446" w:header="567" w:footer="37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4C684" w14:textId="77777777" w:rsidR="00CF5500" w:rsidRDefault="00CF5500" w:rsidP="00637143">
      <w:pPr>
        <w:spacing w:after="0" w:line="240" w:lineRule="auto"/>
      </w:pPr>
      <w:r>
        <w:separator/>
      </w:r>
    </w:p>
  </w:endnote>
  <w:endnote w:type="continuationSeparator" w:id="0">
    <w:p w14:paraId="64012824" w14:textId="77777777" w:rsidR="00CF5500" w:rsidRDefault="00CF5500" w:rsidP="0063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5A4F7" w14:textId="77777777" w:rsidR="00A77137" w:rsidRDefault="00A77137" w:rsidP="00C4668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2E306C">
      <w:rPr>
        <w:rStyle w:val="Numrdepagin"/>
        <w:noProof/>
      </w:rPr>
      <w:t>9</w:t>
    </w:r>
    <w:r>
      <w:rPr>
        <w:rStyle w:val="Numrdepagin"/>
      </w:rPr>
      <w:fldChar w:fldCharType="end"/>
    </w:r>
  </w:p>
  <w:p w14:paraId="35E65D0A" w14:textId="77777777" w:rsidR="00A77137" w:rsidRDefault="00A77137" w:rsidP="0034765C">
    <w:pPr>
      <w:pStyle w:val="Subsol"/>
      <w:framePr w:wrap="around" w:vAnchor="text" w:hAnchor="page" w:x="10819" w:y="27"/>
      <w:ind w:right="360"/>
      <w:rPr>
        <w:rStyle w:val="Numrdepagin"/>
      </w:rPr>
    </w:pPr>
  </w:p>
  <w:p w14:paraId="6C4241C9" w14:textId="77777777" w:rsidR="00A77137" w:rsidRPr="00AA0AA8" w:rsidRDefault="00A77137" w:rsidP="00107A7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F6CA3" w14:textId="77777777" w:rsidR="00A77137" w:rsidRDefault="00A77137" w:rsidP="00F340D9">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02979EB5" w14:textId="77777777" w:rsidR="00A77137" w:rsidRDefault="00A77137" w:rsidP="00430626">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6A86" w14:textId="77777777" w:rsidR="00A77137" w:rsidRPr="006E2190" w:rsidRDefault="00A77137" w:rsidP="003A3B6F">
    <w:pPr>
      <w:pStyle w:val="Subsol"/>
      <w:framePr w:wrap="around" w:vAnchor="text" w:hAnchor="page" w:x="10891" w:y="2"/>
      <w:rPr>
        <w:rStyle w:val="Numrdepagin"/>
        <w:lang w:val="en-US"/>
      </w:rPr>
    </w:pPr>
    <w:r>
      <w:rPr>
        <w:rStyle w:val="Numrdepagin"/>
      </w:rPr>
      <w:fldChar w:fldCharType="begin"/>
    </w:r>
    <w:r w:rsidRPr="006E2190">
      <w:rPr>
        <w:rStyle w:val="Numrdepagin"/>
        <w:lang w:val="en-US"/>
      </w:rPr>
      <w:instrText xml:space="preserve"> PAGE </w:instrText>
    </w:r>
    <w:r>
      <w:rPr>
        <w:rStyle w:val="Numrdepagin"/>
      </w:rPr>
      <w:fldChar w:fldCharType="separate"/>
    </w:r>
    <w:r w:rsidR="002E306C">
      <w:rPr>
        <w:rStyle w:val="Numrdepagin"/>
        <w:noProof/>
        <w:lang w:val="en-US"/>
      </w:rPr>
      <w:t>83</w:t>
    </w:r>
    <w:r>
      <w:rPr>
        <w:rStyle w:val="Numrdepagin"/>
      </w:rPr>
      <w:fldChar w:fldCharType="end"/>
    </w:r>
  </w:p>
  <w:p w14:paraId="2F0F6CB3" w14:textId="666E8769" w:rsidR="00A77137" w:rsidRPr="00321CD5" w:rsidRDefault="00A77137" w:rsidP="003A3B6F">
    <w:pPr>
      <w:pStyle w:val="Subsol"/>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12CFD" w14:textId="77777777" w:rsidR="00CF5500" w:rsidRDefault="00CF5500" w:rsidP="00637143">
      <w:pPr>
        <w:spacing w:after="0" w:line="240" w:lineRule="auto"/>
      </w:pPr>
      <w:r>
        <w:separator/>
      </w:r>
    </w:p>
  </w:footnote>
  <w:footnote w:type="continuationSeparator" w:id="0">
    <w:p w14:paraId="203072AA" w14:textId="77777777" w:rsidR="00CF5500" w:rsidRDefault="00CF5500" w:rsidP="00637143">
      <w:pPr>
        <w:spacing w:after="0" w:line="240" w:lineRule="auto"/>
      </w:pPr>
      <w:r>
        <w:continuationSeparator/>
      </w:r>
    </w:p>
  </w:footnote>
  <w:footnote w:id="1">
    <w:p w14:paraId="2E15FFA8" w14:textId="77777777" w:rsidR="00A77137" w:rsidRPr="00721C1B" w:rsidRDefault="00A77137" w:rsidP="00BA1BE3">
      <w:pPr>
        <w:spacing w:after="0" w:line="240" w:lineRule="auto"/>
        <w:rPr>
          <w:sz w:val="16"/>
          <w:szCs w:val="16"/>
          <w:lang w:val="ro-RO"/>
        </w:rPr>
      </w:pPr>
      <w:r w:rsidRPr="00721C1B">
        <w:rPr>
          <w:rStyle w:val="Referinnotdesubsol"/>
          <w:lang w:val="ro-RO"/>
        </w:rPr>
        <w:footnoteRef/>
      </w:r>
      <w:r w:rsidRPr="00721C1B">
        <w:rPr>
          <w:lang w:val="ro-RO"/>
        </w:rPr>
        <w:t xml:space="preserve"> </w:t>
      </w:r>
      <w:r w:rsidRPr="00721C1B">
        <w:rPr>
          <w:sz w:val="16"/>
          <w:szCs w:val="16"/>
          <w:u w:val="single"/>
          <w:lang w:val="ro-RO"/>
        </w:rPr>
        <w:t>Articolul 4(1)</w:t>
      </w:r>
      <w:r w:rsidRPr="00721C1B">
        <w:rPr>
          <w:sz w:val="16"/>
          <w:szCs w:val="16"/>
          <w:lang w:val="ro-RO"/>
        </w:rPr>
        <w:t xml:space="preserve"> “Obiectiv general” din Directiva 2006/32/CE prevede următoarele:</w:t>
      </w:r>
    </w:p>
    <w:p w14:paraId="1CFDA839" w14:textId="77777777" w:rsidR="00A77137" w:rsidRPr="00721C1B" w:rsidRDefault="00A77137" w:rsidP="00BA1BE3">
      <w:pPr>
        <w:spacing w:after="0" w:line="240" w:lineRule="auto"/>
        <w:ind w:left="284"/>
        <w:rPr>
          <w:i/>
          <w:sz w:val="16"/>
          <w:szCs w:val="16"/>
          <w:lang w:val="ro-RO"/>
        </w:rPr>
      </w:pPr>
      <w:r w:rsidRPr="00721C1B">
        <w:rPr>
          <w:i/>
          <w:sz w:val="16"/>
          <w:szCs w:val="16"/>
          <w:lang w:val="ro-RO"/>
        </w:rPr>
        <w:t xml:space="preserve">“…Părţile contractante </w:t>
      </w:r>
      <w:r w:rsidRPr="00721C1B">
        <w:rPr>
          <w:rFonts w:ascii="Verdana" w:eastAsia="Times New Roman" w:hAnsi="Verdana" w:cs="Times New Roman"/>
          <w:i/>
          <w:color w:val="000000"/>
          <w:sz w:val="16"/>
          <w:szCs w:val="16"/>
          <w:u w:val="single"/>
          <w:lang w:val="ro-RO"/>
        </w:rPr>
        <w:t>adoptă și urmăresc să atingă un obiectiv indicativ național general privind economiile de energie de 9 % pentru al nouălea an de aplicare a prezentei directive</w:t>
      </w:r>
      <w:r w:rsidRPr="00721C1B">
        <w:rPr>
          <w:rFonts w:ascii="Verdana" w:eastAsia="Times New Roman" w:hAnsi="Verdana" w:cs="Times New Roman"/>
          <w:i/>
          <w:color w:val="000000"/>
          <w:sz w:val="16"/>
          <w:szCs w:val="16"/>
          <w:lang w:val="ro-RO"/>
        </w:rPr>
        <w:t>, ce urmează să fie atins prin servicii energetice și alte măsuri de îmbunătățire a eficienței energetice</w:t>
      </w:r>
      <w:r w:rsidRPr="00721C1B">
        <w:rPr>
          <w:i/>
          <w:sz w:val="16"/>
          <w:szCs w:val="16"/>
          <w:lang w:val="ro-RO"/>
        </w:rPr>
        <w:t>.</w:t>
      </w:r>
    </w:p>
    <w:p w14:paraId="4A2B6487" w14:textId="77777777" w:rsidR="00A77137" w:rsidRPr="00721C1B" w:rsidRDefault="00A77137" w:rsidP="002E4994">
      <w:pPr>
        <w:spacing w:after="0" w:line="240" w:lineRule="auto"/>
        <w:ind w:left="284"/>
        <w:rPr>
          <w:i/>
          <w:sz w:val="16"/>
          <w:szCs w:val="16"/>
          <w:lang w:val="ro-RO"/>
        </w:rPr>
      </w:pPr>
      <w:r w:rsidRPr="00721C1B">
        <w:rPr>
          <w:rFonts w:ascii="Verdana" w:eastAsia="Times New Roman" w:hAnsi="Verdana" w:cs="Times New Roman"/>
          <w:i/>
          <w:color w:val="000000"/>
          <w:sz w:val="16"/>
          <w:szCs w:val="16"/>
          <w:lang w:val="ro-RO"/>
        </w:rPr>
        <w:t>Secretariatul Comunității Energetice emite un aviz privind măsura în care obiectivul indicativ național intermediar este realist și în conformitate cu obiectivul global.”</w:t>
      </w:r>
    </w:p>
  </w:footnote>
  <w:footnote w:id="2">
    <w:p w14:paraId="7DBC765E" w14:textId="77777777" w:rsidR="00A77137" w:rsidRPr="00721C1B" w:rsidRDefault="00A77137" w:rsidP="00BA1BE3">
      <w:pPr>
        <w:spacing w:after="0" w:line="240" w:lineRule="auto"/>
        <w:rPr>
          <w:sz w:val="16"/>
          <w:szCs w:val="16"/>
          <w:lang w:val="ro-RO"/>
        </w:rPr>
      </w:pPr>
      <w:r w:rsidRPr="00721C1B">
        <w:rPr>
          <w:rStyle w:val="Referinnotdesubsol"/>
          <w:lang w:val="ro-RO"/>
        </w:rPr>
        <w:footnoteRef/>
      </w:r>
      <w:r w:rsidRPr="00721C1B">
        <w:rPr>
          <w:lang w:val="ro-RO"/>
        </w:rPr>
        <w:t xml:space="preserve"> </w:t>
      </w:r>
      <w:r w:rsidRPr="00721C1B">
        <w:rPr>
          <w:sz w:val="16"/>
          <w:szCs w:val="16"/>
          <w:u w:val="single"/>
          <w:lang w:val="ro-RO"/>
        </w:rPr>
        <w:t>Anexa I</w:t>
      </w:r>
      <w:r w:rsidRPr="00721C1B">
        <w:rPr>
          <w:sz w:val="16"/>
          <w:szCs w:val="16"/>
          <w:lang w:val="ro-RO"/>
        </w:rPr>
        <w:t xml:space="preserve"> la Directiva 2006/32/CE “</w:t>
      </w:r>
      <w:r w:rsidRPr="00721C1B">
        <w:rPr>
          <w:rFonts w:ascii="Verdana" w:eastAsia="Times New Roman" w:hAnsi="Verdana" w:cs="Times New Roman"/>
          <w:color w:val="000000"/>
          <w:sz w:val="16"/>
          <w:szCs w:val="16"/>
          <w:lang w:val="ro-RO"/>
        </w:rPr>
        <w:t xml:space="preserve">Metodologia utilizată pentru calculul obiectivului indicativ național pentru economiile de energie” conform adaptării efectuate prin Hotărârea Consiliului Ministerial al Comunităţii Energetice </w:t>
      </w:r>
      <w:r w:rsidRPr="00721C1B">
        <w:rPr>
          <w:sz w:val="16"/>
          <w:szCs w:val="16"/>
          <w:lang w:val="ro-RO"/>
        </w:rPr>
        <w:t>D/2009/05/MC-EnC din 18 decembrie 2009 prevede următoarele:</w:t>
      </w:r>
    </w:p>
    <w:p w14:paraId="4215E07F" w14:textId="77777777" w:rsidR="00A77137" w:rsidRPr="00721C1B" w:rsidRDefault="00A77137" w:rsidP="00BA1BE3">
      <w:pPr>
        <w:spacing w:after="0" w:line="240" w:lineRule="auto"/>
        <w:ind w:left="284"/>
        <w:rPr>
          <w:i/>
          <w:sz w:val="16"/>
          <w:szCs w:val="16"/>
          <w:lang w:val="ro-RO"/>
        </w:rPr>
      </w:pPr>
      <w:r w:rsidRPr="00721C1B">
        <w:rPr>
          <w:i/>
          <w:sz w:val="16"/>
          <w:szCs w:val="16"/>
          <w:lang w:val="ro-RO"/>
        </w:rPr>
        <w:t xml:space="preserve">‘… 1. </w:t>
      </w:r>
      <w:r w:rsidRPr="00721C1B">
        <w:rPr>
          <w:rFonts w:ascii="Verdana" w:eastAsia="Times New Roman" w:hAnsi="Verdana" w:cs="Times New Roman"/>
          <w:i/>
          <w:sz w:val="16"/>
          <w:szCs w:val="16"/>
          <w:u w:val="single"/>
          <w:lang w:val="ro-RO"/>
        </w:rPr>
        <w:t>Pentru a calcula un consum mediu anual</w:t>
      </w:r>
      <w:r w:rsidRPr="00721C1B">
        <w:rPr>
          <w:rFonts w:ascii="Verdana" w:eastAsia="Times New Roman" w:hAnsi="Verdana" w:cs="Times New Roman"/>
          <w:i/>
          <w:sz w:val="16"/>
          <w:szCs w:val="16"/>
          <w:lang w:val="ro-RO"/>
        </w:rPr>
        <w:t xml:space="preserve">, părţile contractante se </w:t>
      </w:r>
      <w:r w:rsidRPr="00721C1B">
        <w:rPr>
          <w:rFonts w:ascii="Verdana" w:eastAsia="Times New Roman" w:hAnsi="Verdana" w:cs="Times New Roman"/>
          <w:i/>
          <w:sz w:val="16"/>
          <w:szCs w:val="16"/>
          <w:u w:val="single"/>
          <w:lang w:val="ro-RO"/>
        </w:rPr>
        <w:t>bazează pe consumul de energie intern final anual al tuturor utilizatorilor de energie</w:t>
      </w:r>
      <w:r w:rsidRPr="00721C1B">
        <w:rPr>
          <w:rFonts w:ascii="Verdana" w:eastAsia="Times New Roman" w:hAnsi="Verdana" w:cs="Times New Roman"/>
          <w:i/>
          <w:sz w:val="16"/>
          <w:szCs w:val="16"/>
          <w:lang w:val="ro-RO"/>
        </w:rPr>
        <w:t xml:space="preserve"> care intră sub incidența prezentei directive, </w:t>
      </w:r>
      <w:r w:rsidRPr="00721C1B">
        <w:rPr>
          <w:rFonts w:ascii="Verdana" w:eastAsia="Times New Roman" w:hAnsi="Verdana" w:cs="Times New Roman"/>
          <w:i/>
          <w:sz w:val="16"/>
          <w:szCs w:val="16"/>
          <w:u w:val="single"/>
          <w:lang w:val="ro-RO"/>
        </w:rPr>
        <w:t>pentru cea mai recentă perioadă de cinci ani anterioară punerii în aplicare a prezentei directive</w:t>
      </w:r>
      <w:r w:rsidRPr="00721C1B">
        <w:rPr>
          <w:rFonts w:ascii="Verdana" w:eastAsia="Times New Roman" w:hAnsi="Verdana" w:cs="Times New Roman"/>
          <w:i/>
          <w:sz w:val="16"/>
          <w:szCs w:val="16"/>
          <w:lang w:val="ro-RO"/>
        </w:rPr>
        <w:t xml:space="preserve"> pentru care sunt disponibile date oficiale. Acest consum de energie final reprezintă cantitatea de energie distribuită sau vândută consumatorilor finali în această perioadă de cinci ani </w:t>
      </w:r>
      <w:r w:rsidRPr="00721C1B">
        <w:rPr>
          <w:rFonts w:ascii="Verdana" w:eastAsia="Times New Roman" w:hAnsi="Verdana" w:cs="Times New Roman"/>
          <w:i/>
          <w:sz w:val="16"/>
          <w:szCs w:val="16"/>
          <w:u w:val="single"/>
          <w:lang w:val="ro-RO"/>
        </w:rPr>
        <w:t xml:space="preserve">care nu este corectată în funcție de grade-zile, schimbări structurale sau schimbări ale producției. </w:t>
      </w:r>
    </w:p>
    <w:p w14:paraId="5C5234C9" w14:textId="77777777" w:rsidR="00A77137" w:rsidRPr="00721C1B" w:rsidRDefault="00A77137" w:rsidP="00BA1BE3">
      <w:pPr>
        <w:spacing w:after="0" w:line="240" w:lineRule="auto"/>
        <w:ind w:left="284"/>
        <w:rPr>
          <w:i/>
          <w:sz w:val="16"/>
          <w:szCs w:val="16"/>
          <w:u w:val="single"/>
          <w:lang w:val="ro-RO"/>
        </w:rPr>
      </w:pPr>
      <w:r w:rsidRPr="00721C1B">
        <w:rPr>
          <w:rFonts w:ascii="Verdana" w:eastAsia="Times New Roman" w:hAnsi="Verdana" w:cs="Times New Roman"/>
          <w:i/>
          <w:sz w:val="16"/>
          <w:szCs w:val="16"/>
          <w:u w:val="single"/>
          <w:lang w:val="ro-RO"/>
        </w:rPr>
        <w:t>Pe baza acestui consum mediu anual, obiectivul indicativ național pentru economii de energie se calculează o dată, iar cantitatea absolută de energie de economisit care rezultă se aplică pe durata totală de aplicare a prezentei directive</w:t>
      </w:r>
      <w:r w:rsidRPr="00721C1B">
        <w:rPr>
          <w:i/>
          <w:sz w:val="16"/>
          <w:szCs w:val="16"/>
          <w:u w:val="single"/>
          <w:lang w:val="ro-RO"/>
        </w:rPr>
        <w:t>.</w:t>
      </w:r>
    </w:p>
    <w:p w14:paraId="58BFFC41" w14:textId="77777777" w:rsidR="00A77137" w:rsidRPr="00721C1B" w:rsidRDefault="00A77137" w:rsidP="00BA1BE3">
      <w:pPr>
        <w:spacing w:after="0" w:line="240" w:lineRule="auto"/>
        <w:ind w:left="284"/>
        <w:rPr>
          <w:i/>
          <w:sz w:val="16"/>
          <w:szCs w:val="16"/>
          <w:lang w:val="ro-RO"/>
        </w:rPr>
      </w:pPr>
      <w:r w:rsidRPr="00721C1B">
        <w:rPr>
          <w:rFonts w:ascii="Verdana" w:eastAsia="Times New Roman" w:hAnsi="Verdana" w:cs="Times New Roman"/>
          <w:i/>
          <w:sz w:val="16"/>
          <w:szCs w:val="16"/>
          <w:lang w:val="ro-RO"/>
        </w:rPr>
        <w:t>Obiectivul indicativ național pentru economii de energie</w:t>
      </w:r>
      <w:r w:rsidRPr="00721C1B">
        <w:rPr>
          <w:i/>
          <w:sz w:val="16"/>
          <w:szCs w:val="16"/>
          <w:lang w:val="ro-RO"/>
        </w:rPr>
        <w:t>:</w:t>
      </w:r>
    </w:p>
    <w:p w14:paraId="583D1F68" w14:textId="77777777" w:rsidR="00A77137" w:rsidRPr="00721C1B" w:rsidRDefault="00A77137" w:rsidP="00334F3B">
      <w:pPr>
        <w:numPr>
          <w:ilvl w:val="0"/>
          <w:numId w:val="42"/>
        </w:numPr>
        <w:spacing w:after="0" w:line="240" w:lineRule="auto"/>
        <w:ind w:left="641" w:hanging="357"/>
        <w:rPr>
          <w:i/>
          <w:sz w:val="16"/>
          <w:szCs w:val="16"/>
          <w:lang w:val="ro-RO"/>
        </w:rPr>
      </w:pPr>
      <w:r w:rsidRPr="00721C1B">
        <w:rPr>
          <w:rFonts w:ascii="Verdana" w:eastAsia="Times New Roman" w:hAnsi="Verdana" w:cs="Times New Roman"/>
          <w:i/>
          <w:sz w:val="16"/>
          <w:szCs w:val="16"/>
          <w:lang w:val="ro-RO"/>
        </w:rPr>
        <w:t>reprezintă 9% din consumul mediu anual menționat anterior</w:t>
      </w:r>
      <w:r w:rsidRPr="00721C1B">
        <w:rPr>
          <w:i/>
          <w:sz w:val="16"/>
          <w:szCs w:val="16"/>
          <w:lang w:val="ro-RO"/>
        </w:rPr>
        <w:t>;</w:t>
      </w:r>
    </w:p>
    <w:p w14:paraId="3BEAB1CC" w14:textId="77777777" w:rsidR="00A77137" w:rsidRPr="00721C1B" w:rsidRDefault="00A77137" w:rsidP="00334F3B">
      <w:pPr>
        <w:numPr>
          <w:ilvl w:val="0"/>
          <w:numId w:val="42"/>
        </w:numPr>
        <w:spacing w:after="0" w:line="240" w:lineRule="auto"/>
        <w:ind w:left="641" w:hanging="357"/>
        <w:rPr>
          <w:i/>
          <w:sz w:val="16"/>
          <w:szCs w:val="16"/>
          <w:lang w:val="ro-RO"/>
        </w:rPr>
      </w:pPr>
      <w:r w:rsidRPr="00721C1B">
        <w:rPr>
          <w:rFonts w:ascii="Verdana" w:eastAsia="Times New Roman" w:hAnsi="Verdana" w:cs="Times New Roman"/>
          <w:i/>
          <w:sz w:val="16"/>
          <w:szCs w:val="16"/>
          <w:lang w:val="ro-RO"/>
        </w:rPr>
        <w:t>este măsurat după al nouălea an de aplicare a prezentei directive</w:t>
      </w:r>
      <w:r w:rsidRPr="00721C1B">
        <w:rPr>
          <w:i/>
          <w:sz w:val="16"/>
          <w:szCs w:val="16"/>
          <w:lang w:val="ro-RO"/>
        </w:rPr>
        <w:t>;</w:t>
      </w:r>
    </w:p>
    <w:p w14:paraId="35B3B0DB" w14:textId="77777777" w:rsidR="00A77137" w:rsidRPr="00721C1B" w:rsidRDefault="00A77137" w:rsidP="00334F3B">
      <w:pPr>
        <w:numPr>
          <w:ilvl w:val="0"/>
          <w:numId w:val="42"/>
        </w:numPr>
        <w:spacing w:after="0" w:line="240" w:lineRule="auto"/>
        <w:ind w:left="641" w:hanging="357"/>
        <w:rPr>
          <w:i/>
          <w:sz w:val="16"/>
          <w:szCs w:val="16"/>
          <w:lang w:val="ro-RO"/>
        </w:rPr>
      </w:pPr>
      <w:r w:rsidRPr="00721C1B">
        <w:rPr>
          <w:rFonts w:ascii="Verdana" w:eastAsia="Times New Roman" w:hAnsi="Verdana" w:cs="Times New Roman"/>
          <w:i/>
          <w:sz w:val="16"/>
          <w:szCs w:val="16"/>
          <w:lang w:val="ro-RO"/>
        </w:rPr>
        <w:t>este rezultatul economiilor anuale de energie cumulate obținute în întreaga perioadă de nouă ani de aplicare a prezentei directive</w:t>
      </w:r>
      <w:r w:rsidRPr="00721C1B">
        <w:rPr>
          <w:i/>
          <w:sz w:val="16"/>
          <w:szCs w:val="16"/>
          <w:lang w:val="ro-RO"/>
        </w:rPr>
        <w:t>;</w:t>
      </w:r>
    </w:p>
    <w:p w14:paraId="4994A1EB" w14:textId="77777777" w:rsidR="00A77137" w:rsidRPr="00721C1B" w:rsidRDefault="00A77137" w:rsidP="00334F3B">
      <w:pPr>
        <w:numPr>
          <w:ilvl w:val="0"/>
          <w:numId w:val="42"/>
        </w:numPr>
        <w:spacing w:after="0" w:line="240" w:lineRule="auto"/>
        <w:ind w:left="641" w:hanging="357"/>
        <w:rPr>
          <w:i/>
          <w:sz w:val="16"/>
          <w:szCs w:val="16"/>
          <w:lang w:val="ro-RO"/>
        </w:rPr>
      </w:pPr>
      <w:r w:rsidRPr="00721C1B">
        <w:rPr>
          <w:rFonts w:ascii="Verdana" w:eastAsia="Times New Roman" w:hAnsi="Verdana" w:cs="Times New Roman"/>
          <w:i/>
          <w:sz w:val="16"/>
          <w:szCs w:val="16"/>
          <w:lang w:val="ro-RO"/>
        </w:rPr>
        <w:t>este realizat prin servicii energetice și alte măsuri de îmbunătățire a eficienței energetice</w:t>
      </w:r>
      <w:r w:rsidRPr="00721C1B">
        <w:rPr>
          <w:i/>
          <w:sz w:val="16"/>
          <w:szCs w:val="16"/>
          <w:lang w:val="ro-RO"/>
        </w:rPr>
        <w:t>.”</w:t>
      </w:r>
    </w:p>
  </w:footnote>
  <w:footnote w:id="3">
    <w:p w14:paraId="66147E79" w14:textId="77777777" w:rsidR="00A77137" w:rsidRPr="00721C1B" w:rsidRDefault="00A77137" w:rsidP="00103079">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 xml:space="preserve">Obiectivele din primul PNAEE nu au fost stabilite în deplină conformitate cu Directiva în calitate de economii anuale, </w:t>
      </w:r>
      <w:r>
        <w:rPr>
          <w:sz w:val="16"/>
          <w:szCs w:val="16"/>
          <w:lang w:val="ro-RO"/>
        </w:rPr>
        <w:t>ci sub forma unor</w:t>
      </w:r>
      <w:r w:rsidRPr="00721C1B">
        <w:rPr>
          <w:sz w:val="16"/>
          <w:szCs w:val="16"/>
          <w:lang w:val="ro-RO"/>
        </w:rPr>
        <w:t xml:space="preserve"> economii cumulative, </w:t>
      </w:r>
      <w:r>
        <w:rPr>
          <w:sz w:val="16"/>
          <w:szCs w:val="16"/>
          <w:lang w:val="ro-RO"/>
        </w:rPr>
        <w:t xml:space="preserve">precum si utilizand </w:t>
      </w:r>
      <w:r w:rsidRPr="00721C1B">
        <w:rPr>
          <w:sz w:val="16"/>
          <w:szCs w:val="16"/>
          <w:lang w:val="ro-RO"/>
        </w:rPr>
        <w:t xml:space="preserve">anul 2009 </w:t>
      </w:r>
      <w:r>
        <w:rPr>
          <w:sz w:val="16"/>
          <w:szCs w:val="16"/>
          <w:lang w:val="ro-RO"/>
        </w:rPr>
        <w:t>ca</w:t>
      </w:r>
      <w:r w:rsidRPr="00721C1B">
        <w:rPr>
          <w:sz w:val="16"/>
          <w:szCs w:val="16"/>
          <w:lang w:val="ro-RO"/>
        </w:rPr>
        <w:t xml:space="preserve"> an de referinţă.</w:t>
      </w:r>
    </w:p>
  </w:footnote>
  <w:footnote w:id="4">
    <w:p w14:paraId="3B44DA73" w14:textId="77777777" w:rsidR="00A77137" w:rsidRPr="00721C1B" w:rsidRDefault="00A77137" w:rsidP="00103079">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Necumulativ.</w:t>
      </w:r>
    </w:p>
  </w:footnote>
  <w:footnote w:id="5">
    <w:p w14:paraId="5B7D363B"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După cel de al cincilea an de aplicare a DSE.</w:t>
      </w:r>
    </w:p>
  </w:footnote>
  <w:footnote w:id="6">
    <w:p w14:paraId="6D966812"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 xml:space="preserve">După cel de al nouălea an de aplicare a DSE. </w:t>
      </w:r>
    </w:p>
  </w:footnote>
  <w:footnote w:id="7">
    <w:p w14:paraId="3E23774C" w14:textId="77777777" w:rsidR="00A77137" w:rsidRPr="00721C1B" w:rsidRDefault="00A77137" w:rsidP="004D1073">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Calculate pe baza distribuirii consumului de energie între sectoare, media pentru anii 2010-2014.</w:t>
      </w:r>
    </w:p>
  </w:footnote>
  <w:footnote w:id="8">
    <w:p w14:paraId="71A462B7" w14:textId="77777777" w:rsidR="00A77137" w:rsidRPr="00721C1B" w:rsidRDefault="00A77137" w:rsidP="004D1073">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Calculate pe baza distribuirii consumului de energie între sectoare, valoarea medie pentru anii 2010-2014.</w:t>
      </w:r>
    </w:p>
  </w:footnote>
  <w:footnote w:id="9">
    <w:p w14:paraId="4A6C0AF4" w14:textId="77777777" w:rsidR="00A77137" w:rsidRPr="00721C1B" w:rsidRDefault="00A77137" w:rsidP="004D1073">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 xml:space="preserve">Calculate pe baza fondurilor disponibile pentru anii 2016-2020 şi pe baza estimării potenţialului sectorului. </w:t>
      </w:r>
    </w:p>
  </w:footnote>
  <w:footnote w:id="10">
    <w:p w14:paraId="2DED11E0" w14:textId="77777777" w:rsidR="00A77137" w:rsidRPr="00721C1B" w:rsidRDefault="00A77137">
      <w:pPr>
        <w:pStyle w:val="Textnotdesubsol"/>
        <w:rPr>
          <w:lang w:val="ro-RO"/>
        </w:rPr>
      </w:pPr>
      <w:r w:rsidRPr="00721C1B">
        <w:rPr>
          <w:rStyle w:val="Referinnotdesubsol"/>
          <w:sz w:val="16"/>
          <w:szCs w:val="16"/>
          <w:lang w:val="ro-RO"/>
        </w:rPr>
        <w:footnoteRef/>
      </w:r>
      <w:r w:rsidRPr="00721C1B">
        <w:rPr>
          <w:sz w:val="16"/>
          <w:szCs w:val="16"/>
          <w:lang w:val="ro-RO"/>
        </w:rPr>
        <w:t xml:space="preserve"> </w:t>
      </w:r>
      <w:r>
        <w:rPr>
          <w:sz w:val="16"/>
          <w:szCs w:val="16"/>
          <w:lang w:val="ro-RO"/>
        </w:rPr>
        <w:t>E</w:t>
      </w:r>
      <w:r w:rsidRPr="00721C1B">
        <w:rPr>
          <w:sz w:val="16"/>
          <w:szCs w:val="16"/>
          <w:lang w:val="ro-RO"/>
        </w:rPr>
        <w:t>valu</w:t>
      </w:r>
      <w:r>
        <w:rPr>
          <w:sz w:val="16"/>
          <w:szCs w:val="16"/>
          <w:lang w:val="ro-RO"/>
        </w:rPr>
        <w:t>a</w:t>
      </w:r>
      <w:r w:rsidRPr="00721C1B">
        <w:rPr>
          <w:sz w:val="16"/>
          <w:szCs w:val="16"/>
          <w:lang w:val="ro-RO"/>
        </w:rPr>
        <w:t>r</w:t>
      </w:r>
      <w:r>
        <w:rPr>
          <w:sz w:val="16"/>
          <w:szCs w:val="16"/>
          <w:lang w:val="ro-RO"/>
        </w:rPr>
        <w:t>ea</w:t>
      </w:r>
      <w:r w:rsidRPr="00721C1B">
        <w:rPr>
          <w:sz w:val="16"/>
          <w:szCs w:val="16"/>
          <w:lang w:val="ro-RO"/>
        </w:rPr>
        <w:t xml:space="preserve"> balanţei energetice a Republicii Moldova </w:t>
      </w:r>
      <w:r>
        <w:rPr>
          <w:sz w:val="16"/>
          <w:szCs w:val="16"/>
          <w:lang w:val="ro-RO"/>
        </w:rPr>
        <w:t>demonstreaza</w:t>
      </w:r>
      <w:r w:rsidRPr="00721C1B">
        <w:rPr>
          <w:sz w:val="16"/>
          <w:szCs w:val="16"/>
          <w:lang w:val="ro-RO"/>
        </w:rPr>
        <w:t xml:space="preserve"> că sectorul construcţiilor deţine cel mai mare potenţial (clădirile publice şi cele rezidențiale), </w:t>
      </w:r>
      <w:r>
        <w:rPr>
          <w:sz w:val="16"/>
          <w:szCs w:val="16"/>
          <w:lang w:val="ro-RO"/>
        </w:rPr>
        <w:t>impreun</w:t>
      </w:r>
      <w:r w:rsidRPr="00BA100A">
        <w:rPr>
          <w:sz w:val="16"/>
          <w:szCs w:val="16"/>
          <w:lang w:val="ro-RO"/>
        </w:rPr>
        <w:t>ă</w:t>
      </w:r>
      <w:r>
        <w:rPr>
          <w:sz w:val="16"/>
          <w:szCs w:val="16"/>
          <w:lang w:val="ro-RO"/>
        </w:rPr>
        <w:t xml:space="preserve"> cu</w:t>
      </w:r>
      <w:r w:rsidRPr="00721C1B">
        <w:rPr>
          <w:sz w:val="16"/>
          <w:szCs w:val="16"/>
          <w:lang w:val="ro-RO"/>
        </w:rPr>
        <w:t xml:space="preserve"> sectorul transporturi. Pe de altă parte, în ultimii ani, principalele eforturi s-au axat pe îmbunătăţirea eficienţei energetice în sectorul industrial (programul MoSEFF) şi în clădirile publice (fonduri direcţionate prin intermediul FEE şi FISM).</w:t>
      </w:r>
    </w:p>
  </w:footnote>
  <w:footnote w:id="11">
    <w:p w14:paraId="7AD3930A" w14:textId="77777777" w:rsidR="00A77137" w:rsidRPr="00721C1B" w:rsidRDefault="00A77137" w:rsidP="00DD325D">
      <w:pPr>
        <w:spacing w:before="120" w:after="120" w:line="240" w:lineRule="auto"/>
        <w:jc w:val="both"/>
        <w:rPr>
          <w:sz w:val="16"/>
          <w:szCs w:val="16"/>
          <w:lang w:val="ro-RO"/>
        </w:rPr>
      </w:pPr>
      <w:r w:rsidRPr="00721C1B">
        <w:rPr>
          <w:rStyle w:val="Referinnotdesubsol"/>
          <w:sz w:val="16"/>
          <w:szCs w:val="16"/>
          <w:lang w:val="ro-RO"/>
        </w:rPr>
        <w:footnoteRef/>
      </w:r>
      <w:r w:rsidRPr="00721C1B">
        <w:rPr>
          <w:sz w:val="16"/>
          <w:szCs w:val="16"/>
          <w:lang w:val="ro-RO"/>
        </w:rPr>
        <w:t xml:space="preserve"> Evaluarea PNAEE 2013-2015 denotă faptul că în decursul primei perioade economiile majore de energie au fost generate de:</w:t>
      </w:r>
    </w:p>
    <w:p w14:paraId="21BCF094" w14:textId="77777777" w:rsidR="00A77137" w:rsidRPr="00721C1B" w:rsidRDefault="00A77137" w:rsidP="00334F3B">
      <w:pPr>
        <w:pStyle w:val="Listparagraf"/>
        <w:numPr>
          <w:ilvl w:val="0"/>
          <w:numId w:val="168"/>
        </w:numPr>
        <w:spacing w:before="120" w:after="120" w:line="240" w:lineRule="auto"/>
        <w:ind w:left="1134" w:hanging="425"/>
        <w:contextualSpacing w:val="0"/>
        <w:jc w:val="both"/>
        <w:rPr>
          <w:sz w:val="16"/>
          <w:szCs w:val="16"/>
          <w:lang w:val="ro-RO"/>
        </w:rPr>
      </w:pPr>
      <w:r w:rsidRPr="00721C1B">
        <w:rPr>
          <w:sz w:val="16"/>
          <w:szCs w:val="16"/>
          <w:lang w:val="ro-RO"/>
        </w:rPr>
        <w:t>Sectorul public care a beneficiat intens de mijloace bugetare, şi</w:t>
      </w:r>
    </w:p>
    <w:p w14:paraId="686620AD" w14:textId="77777777" w:rsidR="00A77137" w:rsidRPr="00721C1B" w:rsidRDefault="00A77137" w:rsidP="00334F3B">
      <w:pPr>
        <w:pStyle w:val="Listparagraf"/>
        <w:numPr>
          <w:ilvl w:val="0"/>
          <w:numId w:val="168"/>
        </w:numPr>
        <w:spacing w:before="120" w:after="120" w:line="240" w:lineRule="auto"/>
        <w:ind w:left="1134" w:hanging="425"/>
        <w:contextualSpacing w:val="0"/>
        <w:jc w:val="both"/>
        <w:rPr>
          <w:sz w:val="16"/>
          <w:szCs w:val="16"/>
          <w:lang w:val="ro-RO"/>
        </w:rPr>
      </w:pPr>
      <w:r w:rsidRPr="00721C1B">
        <w:rPr>
          <w:sz w:val="16"/>
          <w:szCs w:val="16"/>
          <w:lang w:val="ro-RO"/>
        </w:rPr>
        <w:t xml:space="preserve">Sectorul industrial, care a fost finanţat prin intermediul unor facilităţi concrete de eficienţă energetică (de exemplu, MoSEFF I şi MoSEFF II gestionate de BERD). </w:t>
      </w:r>
    </w:p>
    <w:p w14:paraId="31006E8E" w14:textId="77777777" w:rsidR="00A77137" w:rsidRPr="00721C1B" w:rsidRDefault="00A77137" w:rsidP="00DD325D">
      <w:pPr>
        <w:pStyle w:val="Textnotdesubsol"/>
        <w:rPr>
          <w:sz w:val="16"/>
          <w:szCs w:val="16"/>
          <w:lang w:val="ro-RO"/>
        </w:rPr>
      </w:pPr>
      <w:r w:rsidRPr="00721C1B">
        <w:rPr>
          <w:sz w:val="16"/>
          <w:szCs w:val="16"/>
          <w:lang w:val="ro-RO"/>
        </w:rPr>
        <w:t xml:space="preserve">Concomitent, facilităţile de finanţare similare elaborate pentru sectorul rezidențial nu au demonstrat acelaşi nivel de eficacitate din cauza capacităţii reduse a populaţiei de a investi în îmbunătăţirea condiţiilor de viaţă. </w:t>
      </w:r>
    </w:p>
  </w:footnote>
  <w:footnote w:id="12">
    <w:p w14:paraId="789E1207" w14:textId="77777777" w:rsidR="00A77137" w:rsidRPr="00721C1B" w:rsidRDefault="00A77137" w:rsidP="00780B2E">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 xml:space="preserve">A se vedea Secţiunea </w:t>
      </w:r>
      <w:r w:rsidRPr="00721C1B">
        <w:rPr>
          <w:sz w:val="16"/>
          <w:szCs w:val="16"/>
          <w:lang w:val="ro-RO"/>
        </w:rPr>
        <w:fldChar w:fldCharType="begin"/>
      </w:r>
      <w:r w:rsidRPr="00721C1B">
        <w:rPr>
          <w:sz w:val="16"/>
          <w:szCs w:val="16"/>
          <w:lang w:val="ro-RO"/>
        </w:rPr>
        <w:instrText xml:space="preserve"> REF _Ref319676259 \r \h </w:instrText>
      </w:r>
      <w:r w:rsidRPr="00721C1B">
        <w:rPr>
          <w:sz w:val="16"/>
          <w:szCs w:val="16"/>
          <w:lang w:val="ro-RO"/>
        </w:rPr>
      </w:r>
      <w:r w:rsidRPr="00721C1B">
        <w:rPr>
          <w:sz w:val="16"/>
          <w:szCs w:val="16"/>
          <w:lang w:val="ro-RO"/>
        </w:rPr>
        <w:fldChar w:fldCharType="separate"/>
      </w:r>
      <w:r>
        <w:rPr>
          <w:sz w:val="16"/>
          <w:szCs w:val="16"/>
          <w:lang w:val="ro-RO"/>
        </w:rPr>
        <w:t>1.3</w:t>
      </w:r>
      <w:r w:rsidRPr="00721C1B">
        <w:rPr>
          <w:sz w:val="16"/>
          <w:szCs w:val="16"/>
          <w:lang w:val="ro-RO"/>
        </w:rPr>
        <w:fldChar w:fldCharType="end"/>
      </w:r>
      <w:r w:rsidRPr="00721C1B">
        <w:rPr>
          <w:sz w:val="16"/>
          <w:szCs w:val="16"/>
          <w:lang w:val="ro-RO"/>
        </w:rPr>
        <w:t>.</w:t>
      </w:r>
    </w:p>
  </w:footnote>
  <w:footnote w:id="13">
    <w:p w14:paraId="10428AE7"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rFonts w:eastAsia="Times New Roman"/>
          <w:bCs/>
          <w:color w:val="000000"/>
          <w:sz w:val="16"/>
          <w:szCs w:val="16"/>
          <w:lang w:val="ro-RO"/>
        </w:rPr>
        <w:t>Legea nr. 117 din 23.12.2009 pentru aderarea Republicii Moldova la Tratatul de constituire a Comunităţii Energetice.</w:t>
      </w:r>
    </w:p>
  </w:footnote>
  <w:footnote w:id="14">
    <w:p w14:paraId="63D7800E" w14:textId="77777777" w:rsidR="00A77137" w:rsidRPr="001D514F" w:rsidRDefault="00A77137" w:rsidP="00C8520D">
      <w:pPr>
        <w:pStyle w:val="Textnotdesubsol"/>
        <w:rPr>
          <w:rFonts w:ascii="Verdana" w:hAnsi="Verdana"/>
          <w:sz w:val="16"/>
          <w:szCs w:val="16"/>
          <w:lang w:val="ro-RO"/>
        </w:rPr>
      </w:pPr>
      <w:r w:rsidRPr="001D514F">
        <w:rPr>
          <w:rStyle w:val="Referinnotdesubsol"/>
          <w:rFonts w:ascii="Verdana" w:hAnsi="Verdana"/>
          <w:sz w:val="16"/>
          <w:szCs w:val="16"/>
          <w:lang w:val="ro-RO"/>
        </w:rPr>
        <w:footnoteRef/>
      </w:r>
      <w:r w:rsidRPr="001D514F">
        <w:rPr>
          <w:rFonts w:ascii="Verdana" w:hAnsi="Verdana"/>
          <w:sz w:val="16"/>
          <w:szCs w:val="16"/>
          <w:lang w:val="ro-RO"/>
        </w:rPr>
        <w:t xml:space="preserve"> </w:t>
      </w:r>
      <w:r>
        <w:rPr>
          <w:rFonts w:ascii="Verdana" w:hAnsi="Verdana"/>
          <w:sz w:val="16"/>
          <w:szCs w:val="16"/>
          <w:lang w:val="ro-RO"/>
        </w:rPr>
        <w:t>Balanţa energetică a Republicii Moldova, 2015.</w:t>
      </w:r>
    </w:p>
  </w:footnote>
  <w:footnote w:id="15">
    <w:p w14:paraId="5D588581" w14:textId="77777777" w:rsidR="00A77137" w:rsidRPr="001D514F" w:rsidRDefault="00A77137" w:rsidP="00C8520D">
      <w:pPr>
        <w:pStyle w:val="Textnotdesubsol"/>
        <w:rPr>
          <w:rFonts w:ascii="Verdana" w:hAnsi="Verdana"/>
          <w:sz w:val="16"/>
          <w:szCs w:val="16"/>
          <w:lang w:val="ro-RO"/>
        </w:rPr>
      </w:pPr>
      <w:r w:rsidRPr="001D514F">
        <w:rPr>
          <w:rStyle w:val="Referinnotdesubsol"/>
          <w:rFonts w:ascii="Verdana" w:hAnsi="Verdana"/>
          <w:sz w:val="16"/>
          <w:szCs w:val="16"/>
          <w:lang w:val="ro-RO"/>
        </w:rPr>
        <w:footnoteRef/>
      </w:r>
      <w:r w:rsidRPr="001D514F">
        <w:rPr>
          <w:rFonts w:ascii="Verdana" w:hAnsi="Verdana"/>
          <w:sz w:val="16"/>
          <w:szCs w:val="16"/>
          <w:lang w:val="ro-RO"/>
        </w:rPr>
        <w:t xml:space="preserve"> </w:t>
      </w:r>
      <w:r>
        <w:rPr>
          <w:rFonts w:ascii="Verdana" w:hAnsi="Verdana"/>
          <w:sz w:val="16"/>
          <w:szCs w:val="16"/>
          <w:lang w:val="ro-RO"/>
        </w:rPr>
        <w:t>Balanţa energetică a Republicii Moldova, 2015.</w:t>
      </w:r>
    </w:p>
  </w:footnote>
  <w:footnote w:id="16">
    <w:p w14:paraId="28069FB3"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 xml:space="preserve">Cel mai probabil, economiile efective sunt mai mari, dat fiind faptul că nu toate proiectele au </w:t>
      </w:r>
      <w:r>
        <w:rPr>
          <w:sz w:val="16"/>
          <w:szCs w:val="16"/>
          <w:lang w:val="ro-RO"/>
        </w:rPr>
        <w:t xml:space="preserve">fost </w:t>
      </w:r>
      <w:r w:rsidRPr="00721C1B">
        <w:rPr>
          <w:sz w:val="16"/>
          <w:szCs w:val="16"/>
          <w:lang w:val="ro-RO"/>
        </w:rPr>
        <w:t>raportat</w:t>
      </w:r>
      <w:r>
        <w:rPr>
          <w:sz w:val="16"/>
          <w:szCs w:val="16"/>
          <w:lang w:val="ro-RO"/>
        </w:rPr>
        <w:t>e</w:t>
      </w:r>
      <w:r w:rsidRPr="00721C1B">
        <w:rPr>
          <w:sz w:val="16"/>
          <w:szCs w:val="16"/>
          <w:lang w:val="ro-RO"/>
        </w:rPr>
        <w:t xml:space="preserve"> AEE în timp util rezultatele obţinute, iar cele care au raportat au prezentat formulare necompletate. </w:t>
      </w:r>
    </w:p>
  </w:footnote>
  <w:footnote w:id="17">
    <w:p w14:paraId="212956D8"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 xml:space="preserve">A se vedea Secţiunea </w:t>
      </w:r>
      <w:r w:rsidRPr="00721C1B">
        <w:rPr>
          <w:sz w:val="16"/>
          <w:szCs w:val="16"/>
          <w:lang w:val="ro-RO"/>
        </w:rPr>
        <w:fldChar w:fldCharType="begin"/>
      </w:r>
      <w:r w:rsidRPr="00721C1B">
        <w:rPr>
          <w:sz w:val="16"/>
          <w:szCs w:val="16"/>
          <w:lang w:val="ro-RO"/>
        </w:rPr>
        <w:instrText xml:space="preserve"> REF _Ref319712261 \r \h </w:instrText>
      </w:r>
      <w:r w:rsidRPr="00721C1B">
        <w:rPr>
          <w:sz w:val="16"/>
          <w:szCs w:val="16"/>
          <w:lang w:val="ro-RO"/>
        </w:rPr>
      </w:r>
      <w:r w:rsidRPr="00721C1B">
        <w:rPr>
          <w:sz w:val="16"/>
          <w:szCs w:val="16"/>
          <w:lang w:val="ro-RO"/>
        </w:rPr>
        <w:fldChar w:fldCharType="separate"/>
      </w:r>
      <w:r>
        <w:rPr>
          <w:sz w:val="16"/>
          <w:szCs w:val="16"/>
          <w:lang w:val="ro-RO"/>
        </w:rPr>
        <w:t>1.3</w:t>
      </w:r>
      <w:r w:rsidRPr="00721C1B">
        <w:rPr>
          <w:sz w:val="16"/>
          <w:szCs w:val="16"/>
          <w:lang w:val="ro-RO"/>
        </w:rPr>
        <w:fldChar w:fldCharType="end"/>
      </w:r>
      <w:r w:rsidRPr="00721C1B">
        <w:rPr>
          <w:sz w:val="16"/>
          <w:szCs w:val="16"/>
          <w:lang w:val="ro-RO"/>
        </w:rPr>
        <w:t>.</w:t>
      </w:r>
    </w:p>
  </w:footnote>
  <w:footnote w:id="18">
    <w:p w14:paraId="49F55484" w14:textId="77777777" w:rsidR="00A77137" w:rsidRPr="00721C1B" w:rsidRDefault="00A77137" w:rsidP="00936847">
      <w:pPr>
        <w:pStyle w:val="Textnotdesubsol"/>
        <w:rPr>
          <w:lang w:val="ro-RO"/>
        </w:rPr>
      </w:pPr>
      <w:r w:rsidRPr="00721C1B">
        <w:rPr>
          <w:rStyle w:val="Referinnotdesubsol"/>
          <w:sz w:val="16"/>
          <w:szCs w:val="16"/>
          <w:lang w:val="ro-RO"/>
        </w:rPr>
        <w:footnoteRef/>
      </w:r>
      <w:r w:rsidRPr="00721C1B">
        <w:rPr>
          <w:sz w:val="16"/>
          <w:szCs w:val="16"/>
          <w:lang w:val="ro-RO"/>
        </w:rPr>
        <w:t xml:space="preserve"> Studiul </w:t>
      </w:r>
      <w:r w:rsidRPr="00B40DB5">
        <w:rPr>
          <w:sz w:val="16"/>
          <w:szCs w:val="16"/>
          <w:lang w:val="ro-RO"/>
        </w:rPr>
        <w:t>I</w:t>
      </w:r>
      <w:r>
        <w:rPr>
          <w:sz w:val="16"/>
          <w:szCs w:val="16"/>
          <w:lang w:val="ro-RO"/>
        </w:rPr>
        <w:t xml:space="preserve">SPE </w:t>
      </w:r>
      <w:r w:rsidRPr="00721C1B">
        <w:rPr>
          <w:sz w:val="16"/>
          <w:szCs w:val="16"/>
          <w:lang w:val="ro-RO"/>
        </w:rPr>
        <w:t xml:space="preserve"> privind potenţialul de </w:t>
      </w:r>
      <w:r>
        <w:rPr>
          <w:sz w:val="16"/>
          <w:szCs w:val="16"/>
          <w:lang w:val="ro-RO"/>
        </w:rPr>
        <w:t>eficienta energetica in Moldova</w:t>
      </w:r>
    </w:p>
  </w:footnote>
  <w:footnote w:id="19">
    <w:p w14:paraId="63B820B2" w14:textId="77777777" w:rsidR="00A77137" w:rsidRPr="00721C1B" w:rsidRDefault="00A77137" w:rsidP="00936847">
      <w:pPr>
        <w:pStyle w:val="Textnotdesubsol"/>
        <w:rPr>
          <w:sz w:val="16"/>
          <w:szCs w:val="16"/>
          <w:lang w:val="ro-RO"/>
        </w:rPr>
      </w:pPr>
      <w:r w:rsidRPr="00721C1B">
        <w:rPr>
          <w:rStyle w:val="Referinnotdesubsol"/>
          <w:sz w:val="16"/>
          <w:szCs w:val="16"/>
          <w:lang w:val="ro-RO"/>
        </w:rPr>
        <w:footnoteRef/>
      </w:r>
      <w:r w:rsidRPr="00721C1B">
        <w:rPr>
          <w:sz w:val="16"/>
          <w:szCs w:val="16"/>
          <w:lang w:val="ro-RO"/>
        </w:rPr>
        <w:t xml:space="preserve"> Descrierea proiectului poate fi găsită în cadrul T1 – măsuri pentru sectorul transporturi.</w:t>
      </w:r>
    </w:p>
  </w:footnote>
  <w:footnote w:id="20">
    <w:p w14:paraId="29CB3737" w14:textId="77777777" w:rsidR="00A77137" w:rsidRPr="00721C1B" w:rsidRDefault="00A77137" w:rsidP="00936847">
      <w:pPr>
        <w:pStyle w:val="Textnotdesubsol"/>
        <w:rPr>
          <w:lang w:val="ro-RO"/>
        </w:rPr>
      </w:pPr>
      <w:r w:rsidRPr="00721C1B">
        <w:rPr>
          <w:rStyle w:val="Referinnotdesubsol"/>
          <w:sz w:val="16"/>
          <w:szCs w:val="16"/>
          <w:lang w:val="ro-RO"/>
        </w:rPr>
        <w:footnoteRef/>
      </w:r>
      <w:r w:rsidRPr="00721C1B">
        <w:rPr>
          <w:sz w:val="16"/>
          <w:szCs w:val="16"/>
          <w:lang w:val="ro-RO"/>
        </w:rPr>
        <w:t xml:space="preserve"> http://moldova.e5p.eu/about-e5p/e5p-in-moldova/</w:t>
      </w:r>
    </w:p>
  </w:footnote>
  <w:footnote w:id="21">
    <w:p w14:paraId="7411F7B1" w14:textId="77777777" w:rsidR="00A77137" w:rsidRPr="00721C1B" w:rsidRDefault="00A77137" w:rsidP="00BA083C">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 xml:space="preserve">Pentru a asigura consecvenţa cu lista tuturor măsurilor, Tabelul 12 oferă informaţii despre măsurile de economisire atât a energiei finale, cât şi a celei primare. Acest fapt a fost comentat adecvat. De menţionat că măsura E.5, de exemplu, urmăreşte economii de energie finală, precum şi </w:t>
      </w:r>
      <w:r>
        <w:rPr>
          <w:sz w:val="16"/>
          <w:szCs w:val="16"/>
          <w:lang w:val="ro-RO"/>
        </w:rPr>
        <w:t xml:space="preserve">economii </w:t>
      </w:r>
      <w:r w:rsidRPr="00721C1B">
        <w:rPr>
          <w:sz w:val="16"/>
          <w:szCs w:val="16"/>
          <w:lang w:val="ro-RO"/>
        </w:rPr>
        <w:t xml:space="preserve">din reducerea pierderilor </w:t>
      </w:r>
      <w:r>
        <w:rPr>
          <w:sz w:val="16"/>
          <w:szCs w:val="16"/>
          <w:lang w:val="ro-RO"/>
        </w:rPr>
        <w:t>in</w:t>
      </w:r>
      <w:r w:rsidRPr="00721C1B">
        <w:rPr>
          <w:sz w:val="16"/>
          <w:szCs w:val="16"/>
          <w:lang w:val="ro-RO"/>
        </w:rPr>
        <w:t xml:space="preserve"> distribuţie/în faza de transformare.</w:t>
      </w:r>
      <w:r w:rsidRPr="00721C1B">
        <w:rPr>
          <w:lang w:val="ro-RO"/>
        </w:rPr>
        <w:t xml:space="preserve"> </w:t>
      </w:r>
    </w:p>
  </w:footnote>
  <w:footnote w:id="22">
    <w:p w14:paraId="705842C6" w14:textId="77777777" w:rsidR="00A77137" w:rsidRPr="00721C1B" w:rsidRDefault="00A77137" w:rsidP="00BA083C">
      <w:pPr>
        <w:pStyle w:val="Textnotdesubsol"/>
        <w:rPr>
          <w:lang w:val="ro-RO"/>
        </w:rPr>
      </w:pPr>
      <w:r w:rsidRPr="00721C1B">
        <w:rPr>
          <w:rStyle w:val="Referinnotdesubsol"/>
          <w:lang w:val="ro-RO"/>
        </w:rPr>
        <w:footnoteRef/>
      </w:r>
      <w:hyperlink r:id="rId1" w:history="1">
        <w:r w:rsidRPr="00721C1B">
          <w:rPr>
            <w:rStyle w:val="Hyperlink"/>
            <w:sz w:val="16"/>
            <w:szCs w:val="16"/>
            <w:lang w:val="ro-RO"/>
          </w:rPr>
          <w:t>http://www.md.undp.org/content/dam/moldova/docs/Project%20Documents/ESCO%20Moldova%20Project%20Document_EN.pdf</w:t>
        </w:r>
      </w:hyperlink>
    </w:p>
  </w:footnote>
  <w:footnote w:id="23">
    <w:p w14:paraId="0506A157" w14:textId="77777777" w:rsidR="00A77137" w:rsidRPr="00721C1B" w:rsidRDefault="00A77137" w:rsidP="00BA083C">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Pe baza analizei oferite de „ESCO Moldova - Transformarea pieţei pentru eficienţa energetică urbană prin introducerea companiilor de servicii energetice” –documentul Proiectului, PNUD.</w:t>
      </w:r>
    </w:p>
  </w:footnote>
  <w:footnote w:id="24">
    <w:p w14:paraId="6A68405F" w14:textId="77777777" w:rsidR="00A77137" w:rsidRPr="00721C1B" w:rsidRDefault="00A77137" w:rsidP="00BA083C">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MOL-N003b, Paşii următori în direcţia implementării depline a Legii privind performanţa energetică a clădirilor şi DPEC (Foaia de parcurs / Planul de acţiuni).</w:t>
      </w:r>
    </w:p>
  </w:footnote>
  <w:footnote w:id="25">
    <w:p w14:paraId="3C7A7E70" w14:textId="77777777" w:rsidR="00A77137" w:rsidRPr="00BA4E58" w:rsidRDefault="00A77137" w:rsidP="00043064">
      <w:pPr>
        <w:pStyle w:val="Textnotdesubsol"/>
        <w:rPr>
          <w:rFonts w:ascii="Times New Roman" w:hAnsi="Times New Roman" w:cs="Times New Roman"/>
          <w:sz w:val="16"/>
          <w:szCs w:val="16"/>
          <w:lang w:val="ro-RO"/>
        </w:rPr>
      </w:pPr>
      <w:r w:rsidRPr="00BA4E58">
        <w:rPr>
          <w:rStyle w:val="Referinnotdesubsol"/>
          <w:rFonts w:ascii="Times New Roman" w:hAnsi="Times New Roman" w:cs="Times New Roman"/>
          <w:sz w:val="16"/>
          <w:szCs w:val="16"/>
          <w:lang w:val="ro-RO"/>
        </w:rPr>
        <w:footnoteRef/>
      </w:r>
      <w:r w:rsidRPr="00BA4E58">
        <w:rPr>
          <w:rFonts w:ascii="Times New Roman" w:hAnsi="Times New Roman" w:cs="Times New Roman"/>
          <w:sz w:val="16"/>
          <w:szCs w:val="16"/>
          <w:lang w:val="ro-RO"/>
        </w:rPr>
        <w:t xml:space="preserve"> EUREM este un program tipizat de instruire care sporeşte abilităţile experţilor tehnici în domeniul îmbunătăţirii eficienţei energetice. Programul EUREM este oferit în 30 de ţări şi cuprinde toate aspectele energetice relevante cu care se pot confrunta companiile.</w:t>
      </w:r>
    </w:p>
  </w:footnote>
  <w:footnote w:id="26">
    <w:p w14:paraId="4251672E" w14:textId="77777777" w:rsidR="00A77137" w:rsidRPr="00721C1B" w:rsidRDefault="00A77137" w:rsidP="00BC1C53">
      <w:pPr>
        <w:pStyle w:val="Textnotdesubsol"/>
        <w:rPr>
          <w:rFonts w:ascii="Verdana" w:hAnsi="Verdana"/>
          <w:sz w:val="16"/>
          <w:szCs w:val="16"/>
          <w:lang w:val="ro-RO"/>
        </w:rPr>
      </w:pPr>
      <w:r w:rsidRPr="00721C1B">
        <w:rPr>
          <w:rStyle w:val="Referinnotdesubsol"/>
          <w:rFonts w:ascii="Verdana" w:hAnsi="Verdana"/>
          <w:sz w:val="16"/>
          <w:szCs w:val="16"/>
          <w:lang w:val="ro-RO"/>
        </w:rPr>
        <w:footnoteRef/>
      </w:r>
      <w:r w:rsidRPr="00721C1B">
        <w:rPr>
          <w:rFonts w:ascii="Verdana" w:hAnsi="Verdana"/>
          <w:sz w:val="16"/>
          <w:szCs w:val="16"/>
          <w:lang w:val="ro-RO"/>
        </w:rPr>
        <w:t xml:space="preserve"> Anexa 1 la Hotărârea Guvernului RM nr.409 din 16.06.2015: Foaia de parcurs pentru sectorul electroenergetic din Republica Moldova. Pachetul de lucru 3: Promovarea proiectelor investiţionale în infrastructura electroenergetică. </w:t>
      </w:r>
    </w:p>
  </w:footnote>
  <w:footnote w:id="27">
    <w:p w14:paraId="47F0170B" w14:textId="77777777" w:rsidR="00A77137" w:rsidRPr="00721C1B" w:rsidRDefault="00A77137" w:rsidP="00BC1C53">
      <w:pPr>
        <w:pStyle w:val="Textnotdesubsol"/>
        <w:rPr>
          <w:rFonts w:ascii="Verdana" w:hAnsi="Verdana"/>
          <w:sz w:val="16"/>
          <w:szCs w:val="16"/>
          <w:lang w:val="ro-RO"/>
        </w:rPr>
      </w:pPr>
      <w:r w:rsidRPr="00721C1B">
        <w:rPr>
          <w:rStyle w:val="Referinnotdesubsol"/>
          <w:rFonts w:ascii="Verdana" w:hAnsi="Verdana"/>
          <w:sz w:val="16"/>
          <w:szCs w:val="16"/>
          <w:lang w:val="ro-RO"/>
        </w:rPr>
        <w:footnoteRef/>
      </w:r>
      <w:r w:rsidRPr="00721C1B">
        <w:rPr>
          <w:rFonts w:ascii="Verdana" w:hAnsi="Verdana"/>
          <w:sz w:val="16"/>
          <w:szCs w:val="16"/>
          <w:lang w:val="ro-RO"/>
        </w:rPr>
        <w:t xml:space="preserve"> Anexa 2 la Hotărârea Guvernului RM nr.409 din 16.06.2015: Foaia de parcurs pentru sectorul gazelor naturale din Republica Moldova. Pachetul de lucru 3: Promovarea proiectelor investiţionale în infrastructura gazelor naturale.</w:t>
      </w:r>
    </w:p>
  </w:footnote>
  <w:footnote w:id="28">
    <w:p w14:paraId="60B0D7D6"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http://aee.md/eficienta-energetica/articole2/instrumente-pentru-eficien-a-energetic/auditarea-energetica/107-lista-auditorilor-energetici-autoriza-i-persoane-juridice</w:t>
      </w:r>
    </w:p>
  </w:footnote>
  <w:footnote w:id="29">
    <w:p w14:paraId="7B551A95"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Raportul anual al AEE pe anul 2014, pagina 25.</w:t>
      </w:r>
    </w:p>
  </w:footnote>
  <w:footnote w:id="30">
    <w:p w14:paraId="0AE9D146"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rFonts w:ascii="Verdana" w:hAnsi="Verdana"/>
          <w:sz w:val="16"/>
          <w:szCs w:val="16"/>
          <w:lang w:val="ro-RO"/>
        </w:rPr>
        <w:t xml:space="preserve">Definite ca întreprinderi </w:t>
      </w:r>
      <w:r w:rsidRPr="00721C1B">
        <w:rPr>
          <w:rFonts w:ascii="Verdana" w:eastAsia="Times New Roman" w:hAnsi="Verdana"/>
          <w:sz w:val="16"/>
          <w:szCs w:val="16"/>
          <w:lang w:val="ro-RO"/>
        </w:rPr>
        <w:t>cu un număr de salariaţi mai mic de 250, cifra de afacere a cărora nu depăşeşte 50 milioane de lei şi bilanţul contabil anual al cărora nu depăşeşte 50 milioane de lei.</w:t>
      </w:r>
    </w:p>
  </w:footnote>
  <w:footnote w:id="31">
    <w:p w14:paraId="470E29BE"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rFonts w:ascii="Verdana" w:hAnsi="Verdana"/>
          <w:sz w:val="16"/>
          <w:szCs w:val="16"/>
          <w:lang w:val="ro-RO"/>
        </w:rPr>
        <w:t xml:space="preserve">Definiţia “întreprinderilor mari” utilizată în Republica Moldova diferă ce cea utilizată de CE. Numărul efectiv de “întreprinderi mari” cu respectarea definiţiei CE ar constitui cel mult 20-25. </w:t>
      </w:r>
    </w:p>
  </w:footnote>
  <w:footnote w:id="32">
    <w:p w14:paraId="05644A86"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German Economic Team Moldova: „</w:t>
      </w:r>
      <w:r w:rsidRPr="009B2D44">
        <w:rPr>
          <w:sz w:val="16"/>
          <w:szCs w:val="16"/>
          <w:lang w:val="en-US"/>
        </w:rPr>
        <w:t>Increasing energy efficiency through investments in</w:t>
      </w:r>
      <w:r w:rsidRPr="009B2D44">
        <w:rPr>
          <w:lang w:val="en-US"/>
        </w:rPr>
        <w:t xml:space="preserve"> </w:t>
      </w:r>
      <w:r w:rsidRPr="009B2D44">
        <w:rPr>
          <w:sz w:val="16"/>
          <w:szCs w:val="16"/>
          <w:lang w:val="en-US"/>
        </w:rPr>
        <w:t>Combined Heat and Power (CHP)”,</w:t>
      </w:r>
      <w:r w:rsidRPr="00721C1B">
        <w:rPr>
          <w:sz w:val="16"/>
          <w:szCs w:val="16"/>
          <w:lang w:val="ro-RO"/>
        </w:rPr>
        <w:t xml:space="preserve"> Stephan Hohmeier, Jörg Radeke, Mihai Tirsu, Policy Paper Series [PP/02/2015]</w:t>
      </w:r>
    </w:p>
  </w:footnote>
  <w:footnote w:id="33">
    <w:p w14:paraId="738BAAC1"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rFonts w:ascii="Verdana" w:hAnsi="Verdana"/>
          <w:sz w:val="16"/>
          <w:szCs w:val="16"/>
          <w:lang w:val="ro-RO"/>
        </w:rPr>
        <w:t>Hotărârea Guvernului nr. 707 din 20.09.2011 cu privire la unele măsuri de eficientizare a funcţionării sistemelor de alimentare centralizată cu energie termică.</w:t>
      </w:r>
    </w:p>
  </w:footnote>
  <w:footnote w:id="34">
    <w:p w14:paraId="5022912B"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rFonts w:ascii="Verdana" w:hAnsi="Verdana"/>
          <w:sz w:val="16"/>
          <w:szCs w:val="16"/>
          <w:lang w:val="ro-RO"/>
        </w:rPr>
        <w:t>Proiectul de îmbunătăţire a eficienţei sectorului de alimentare centralizată cu energie termică (P132443).</w:t>
      </w:r>
    </w:p>
  </w:footnote>
  <w:footnote w:id="35">
    <w:p w14:paraId="5927FD8E" w14:textId="77777777" w:rsidR="00A77137" w:rsidRPr="00721C1B" w:rsidRDefault="00A77137">
      <w:pPr>
        <w:pStyle w:val="Textnotdesubsol"/>
        <w:rPr>
          <w:lang w:val="ro-RO"/>
        </w:rPr>
      </w:pPr>
      <w:r w:rsidRPr="00721C1B">
        <w:rPr>
          <w:rStyle w:val="Referinnotdesubsol"/>
          <w:lang w:val="ro-RO"/>
        </w:rPr>
        <w:footnoteRef/>
      </w:r>
      <w:r w:rsidRPr="00721C1B">
        <w:rPr>
          <w:lang w:val="ro-RO"/>
        </w:rPr>
        <w:t xml:space="preserve"> </w:t>
      </w:r>
      <w:r w:rsidRPr="00721C1B">
        <w:rPr>
          <w:sz w:val="16"/>
          <w:szCs w:val="16"/>
          <w:lang w:val="ro-RO"/>
        </w:rPr>
        <w:t>Notă: În scopul pregătirii PNAEE 2016-2018 pentru evaluarea activităţii MoREEFF au fost utilizate valorile efective disponibile la situaţia din ianuarie 2016 (la începutul anului 2016): economiile în volum de 13,735MWh corespund 1.181 kt</w:t>
      </w:r>
      <w:r>
        <w:rPr>
          <w:sz w:val="16"/>
          <w:szCs w:val="16"/>
          <w:lang w:val="ro-RO"/>
        </w:rPr>
        <w:t>ep</w:t>
      </w:r>
      <w:r w:rsidRPr="00721C1B">
        <w:rPr>
          <w:sz w:val="16"/>
          <w:szCs w:val="16"/>
          <w:lang w:val="ro-RO"/>
        </w:rPr>
        <w:t>.</w:t>
      </w:r>
    </w:p>
  </w:footnote>
  <w:footnote w:id="36">
    <w:p w14:paraId="6E370FBE" w14:textId="77777777" w:rsidR="00A77137" w:rsidRPr="00721C1B" w:rsidRDefault="00A77137">
      <w:pPr>
        <w:pStyle w:val="Textnotdesubsol"/>
        <w:rPr>
          <w:lang w:val="ro-RO"/>
        </w:rPr>
      </w:pPr>
      <w:r w:rsidRPr="00721C1B">
        <w:rPr>
          <w:rStyle w:val="Referinnotdesubsol"/>
          <w:lang w:val="ro-RO"/>
        </w:rPr>
        <w:footnoteRef/>
      </w:r>
      <w:r w:rsidRPr="00721C1B">
        <w:rPr>
          <w:sz w:val="14"/>
          <w:szCs w:val="14"/>
          <w:lang w:val="ro-RO"/>
        </w:rPr>
        <w:t xml:space="preserve"> Pe baza Strategiei de cheltuieli, </w:t>
      </w:r>
      <w:r>
        <w:rPr>
          <w:rFonts w:ascii="Verdana" w:eastAsia="Verdana" w:hAnsi="Verdana"/>
          <w:sz w:val="14"/>
          <w:szCs w:val="14"/>
          <w:lang w:val="ro-RO"/>
        </w:rPr>
        <w:t xml:space="preserve">circa </w:t>
      </w:r>
      <w:r w:rsidRPr="00721C1B">
        <w:rPr>
          <w:rFonts w:ascii="Verdana" w:eastAsia="Verdana" w:hAnsi="Verdana"/>
          <w:sz w:val="14"/>
          <w:szCs w:val="14"/>
          <w:lang w:val="ro-RO"/>
        </w:rPr>
        <w:t xml:space="preserve">516,000,000 </w:t>
      </w:r>
      <w:r>
        <w:rPr>
          <w:rFonts w:ascii="Verdana" w:eastAsia="Verdana" w:hAnsi="Verdana"/>
          <w:sz w:val="14"/>
          <w:szCs w:val="14"/>
          <w:lang w:val="ro-RO"/>
        </w:rPr>
        <w:t>lei (</w:t>
      </w:r>
      <w:r w:rsidRPr="00721C1B">
        <w:rPr>
          <w:rFonts w:ascii="Verdana" w:eastAsia="Verdana" w:hAnsi="Verdana"/>
          <w:sz w:val="14"/>
          <w:szCs w:val="14"/>
          <w:lang w:val="ro-RO"/>
        </w:rPr>
        <w:t>25,000,000</w:t>
      </w:r>
      <w:r>
        <w:rPr>
          <w:rFonts w:ascii="Verdana" w:eastAsia="Verdana" w:hAnsi="Verdana"/>
          <w:sz w:val="14"/>
          <w:szCs w:val="14"/>
          <w:lang w:val="ro-RO"/>
        </w:rPr>
        <w:t xml:space="preserve"> euro</w:t>
      </w:r>
      <w:r w:rsidRPr="00721C1B">
        <w:rPr>
          <w:rFonts w:ascii="Verdana" w:eastAsia="Verdana" w:hAnsi="Verdana"/>
          <w:sz w:val="14"/>
          <w:szCs w:val="14"/>
          <w:lang w:val="ro-RO"/>
        </w:rPr>
        <w:t>) deja alocate FEE din bugetul de stat pentru perioada 2016-2018; este nevoie de atras mai multe fonduri din partea GGF sau de la alţi donatori pentru a acumula circa 60,000,000</w:t>
      </w:r>
      <w:r>
        <w:rPr>
          <w:rFonts w:ascii="Verdana" w:eastAsia="Verdana" w:hAnsi="Verdana"/>
          <w:sz w:val="14"/>
          <w:szCs w:val="14"/>
          <w:lang w:val="ro-RO"/>
        </w:rPr>
        <w:t xml:space="preserve"> euro</w:t>
      </w:r>
      <w:r w:rsidRPr="00721C1B">
        <w:rPr>
          <w:rFonts w:ascii="Verdana" w:eastAsia="Verdana" w:hAnsi="Verdana"/>
          <w:sz w:val="14"/>
          <w:szCs w:val="14"/>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9FDE0" w14:textId="2F62ABF3" w:rsidR="00A77137" w:rsidRDefault="00A77137">
    <w:pPr>
      <w:pStyle w:val="Ante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4A5D9" w14:textId="77777777" w:rsidR="00A77137" w:rsidRDefault="00A77137">
    <w:pPr>
      <w:pStyle w:val="Ante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BB3D2" w14:textId="77777777" w:rsidR="00A77137" w:rsidRDefault="00A7713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F8634" w14:textId="6A52B7D5" w:rsidR="00A77137" w:rsidRDefault="00A7713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6DC3" w14:textId="02635CEB" w:rsidR="00A77137" w:rsidRDefault="00A77137">
    <w:pPr>
      <w:pStyle w:val="Ante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7E30" w14:textId="1F79F924" w:rsidR="00A77137" w:rsidRDefault="00A77137">
    <w:pPr>
      <w:pStyle w:val="Ante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34EFE" w14:textId="38F0647C" w:rsidR="00A77137" w:rsidRDefault="00A77137">
    <w:pPr>
      <w:pStyle w:val="Ante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76D0" w14:textId="25578E74" w:rsidR="00A77137" w:rsidRDefault="00A77137">
    <w:pPr>
      <w:pStyle w:val="Ante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93EC3" w14:textId="794BBCF7" w:rsidR="00A77137" w:rsidRDefault="00A77137">
    <w:pPr>
      <w:pStyle w:val="Ante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77FC" w14:textId="699D515B" w:rsidR="00A77137" w:rsidRDefault="00A77137">
    <w:pPr>
      <w:pStyle w:val="Ante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3FA56" w14:textId="77777777" w:rsidR="00A77137" w:rsidRDefault="00A7713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10DCFC"/>
    <w:lvl w:ilvl="0">
      <w:start w:val="1"/>
      <w:numFmt w:val="decimal"/>
      <w:pStyle w:val="Listanumerotat5"/>
      <w:lvlText w:val="%1."/>
      <w:lvlJc w:val="left"/>
      <w:pPr>
        <w:tabs>
          <w:tab w:val="num" w:pos="1492"/>
        </w:tabs>
        <w:ind w:left="1492" w:hanging="360"/>
      </w:pPr>
    </w:lvl>
  </w:abstractNum>
  <w:abstractNum w:abstractNumId="1">
    <w:nsid w:val="FFFFFF7D"/>
    <w:multiLevelType w:val="singleLevel"/>
    <w:tmpl w:val="F1DC0FBE"/>
    <w:lvl w:ilvl="0">
      <w:start w:val="1"/>
      <w:numFmt w:val="decimal"/>
      <w:pStyle w:val="Listanumerotat4"/>
      <w:lvlText w:val="%1."/>
      <w:lvlJc w:val="left"/>
      <w:pPr>
        <w:tabs>
          <w:tab w:val="num" w:pos="1209"/>
        </w:tabs>
        <w:ind w:left="1209" w:hanging="360"/>
      </w:pPr>
    </w:lvl>
  </w:abstractNum>
  <w:abstractNum w:abstractNumId="2">
    <w:nsid w:val="FFFFFF7E"/>
    <w:multiLevelType w:val="singleLevel"/>
    <w:tmpl w:val="82C68F30"/>
    <w:lvl w:ilvl="0">
      <w:start w:val="1"/>
      <w:numFmt w:val="decimal"/>
      <w:pStyle w:val="Listanumerotat3"/>
      <w:lvlText w:val="%1."/>
      <w:lvlJc w:val="left"/>
      <w:pPr>
        <w:tabs>
          <w:tab w:val="num" w:pos="926"/>
        </w:tabs>
        <w:ind w:left="926" w:hanging="360"/>
      </w:pPr>
    </w:lvl>
  </w:abstractNum>
  <w:abstractNum w:abstractNumId="3">
    <w:nsid w:val="FFFFFF7F"/>
    <w:multiLevelType w:val="singleLevel"/>
    <w:tmpl w:val="ACBAD002"/>
    <w:lvl w:ilvl="0">
      <w:start w:val="1"/>
      <w:numFmt w:val="decimal"/>
      <w:pStyle w:val="Listanumerotat2"/>
      <w:lvlText w:val="%1."/>
      <w:lvlJc w:val="left"/>
      <w:pPr>
        <w:tabs>
          <w:tab w:val="num" w:pos="643"/>
        </w:tabs>
        <w:ind w:left="643" w:hanging="360"/>
      </w:pPr>
    </w:lvl>
  </w:abstractNum>
  <w:abstractNum w:abstractNumId="4">
    <w:nsid w:val="FFFFFF80"/>
    <w:multiLevelType w:val="singleLevel"/>
    <w:tmpl w:val="DBA0222A"/>
    <w:lvl w:ilvl="0">
      <w:start w:val="1"/>
      <w:numFmt w:val="bullet"/>
      <w:pStyle w:val="Listacumarcatori5"/>
      <w:lvlText w:val="-"/>
      <w:lvlJc w:val="left"/>
      <w:pPr>
        <w:ind w:left="1492" w:hanging="360"/>
      </w:pPr>
      <w:rPr>
        <w:rFonts w:ascii="Segoe UI" w:hAnsi="Segoe UI" w:hint="default"/>
      </w:rPr>
    </w:lvl>
  </w:abstractNum>
  <w:abstractNum w:abstractNumId="5">
    <w:nsid w:val="FFFFFF81"/>
    <w:multiLevelType w:val="singleLevel"/>
    <w:tmpl w:val="4580D5EE"/>
    <w:lvl w:ilvl="0">
      <w:start w:val="1"/>
      <w:numFmt w:val="bullet"/>
      <w:pStyle w:val="Listacumarcatori4"/>
      <w:lvlText w:val="-"/>
      <w:lvlJc w:val="left"/>
      <w:pPr>
        <w:ind w:left="1209" w:hanging="360"/>
      </w:pPr>
      <w:rPr>
        <w:rFonts w:ascii="Segoe UI" w:hAnsi="Segoe UI" w:hint="default"/>
      </w:rPr>
    </w:lvl>
  </w:abstractNum>
  <w:abstractNum w:abstractNumId="6">
    <w:nsid w:val="FFFFFF82"/>
    <w:multiLevelType w:val="singleLevel"/>
    <w:tmpl w:val="90BE3E82"/>
    <w:lvl w:ilvl="0">
      <w:start w:val="1"/>
      <w:numFmt w:val="bullet"/>
      <w:pStyle w:val="Listacumarcatori3"/>
      <w:lvlText w:val="-"/>
      <w:lvlJc w:val="left"/>
      <w:pPr>
        <w:ind w:left="927" w:hanging="360"/>
      </w:pPr>
      <w:rPr>
        <w:rFonts w:ascii="Segoe UI" w:hAnsi="Segoe UI" w:hint="default"/>
      </w:rPr>
    </w:lvl>
  </w:abstractNum>
  <w:abstractNum w:abstractNumId="7">
    <w:nsid w:val="FFFFFF83"/>
    <w:multiLevelType w:val="singleLevel"/>
    <w:tmpl w:val="9BF44F7C"/>
    <w:lvl w:ilvl="0">
      <w:start w:val="1"/>
      <w:numFmt w:val="bullet"/>
      <w:pStyle w:val="Listacumarcatori2"/>
      <w:lvlText w:val="-"/>
      <w:lvlJc w:val="left"/>
      <w:pPr>
        <w:ind w:left="644" w:hanging="360"/>
      </w:pPr>
      <w:rPr>
        <w:rFonts w:ascii="Segoe UI" w:hAnsi="Segoe UI" w:hint="default"/>
      </w:rPr>
    </w:lvl>
  </w:abstractNum>
  <w:abstractNum w:abstractNumId="8">
    <w:nsid w:val="FFFFFF88"/>
    <w:multiLevelType w:val="singleLevel"/>
    <w:tmpl w:val="C3BCABBA"/>
    <w:lvl w:ilvl="0">
      <w:start w:val="1"/>
      <w:numFmt w:val="decimal"/>
      <w:pStyle w:val="Listnumerotat"/>
      <w:lvlText w:val="%1."/>
      <w:lvlJc w:val="left"/>
      <w:pPr>
        <w:ind w:left="360" w:hanging="360"/>
      </w:pPr>
    </w:lvl>
  </w:abstractNum>
  <w:abstractNum w:abstractNumId="9">
    <w:nsid w:val="FFFFFF89"/>
    <w:multiLevelType w:val="singleLevel"/>
    <w:tmpl w:val="ADD8DAD6"/>
    <w:styleLink w:val="AFCHeadingList1"/>
    <w:lvl w:ilvl="0">
      <w:start w:val="1"/>
      <w:numFmt w:val="bullet"/>
      <w:pStyle w:val="Listcumarcatori"/>
      <w:lvlText w:val="-"/>
      <w:lvlJc w:val="left"/>
      <w:pPr>
        <w:ind w:left="360" w:hanging="360"/>
      </w:pPr>
      <w:rPr>
        <w:rFonts w:ascii="Segoe UI" w:hAnsi="Segoe UI"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377BF0"/>
    <w:multiLevelType w:val="hybridMultilevel"/>
    <w:tmpl w:val="96AE19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666A35"/>
    <w:multiLevelType w:val="hybridMultilevel"/>
    <w:tmpl w:val="5CAC9B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7B27D0"/>
    <w:multiLevelType w:val="hybridMultilevel"/>
    <w:tmpl w:val="3A2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ED2FB1"/>
    <w:multiLevelType w:val="hybridMultilevel"/>
    <w:tmpl w:val="8A348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14E471B"/>
    <w:multiLevelType w:val="hybridMultilevel"/>
    <w:tmpl w:val="792AB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17A60DB"/>
    <w:multiLevelType w:val="hybridMultilevel"/>
    <w:tmpl w:val="D0E4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1B4156E"/>
    <w:multiLevelType w:val="hybridMultilevel"/>
    <w:tmpl w:val="0A48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2871D59"/>
    <w:multiLevelType w:val="hybridMultilevel"/>
    <w:tmpl w:val="0F58FC92"/>
    <w:lvl w:ilvl="0" w:tplc="3E0E1A2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2982F69"/>
    <w:multiLevelType w:val="hybridMultilevel"/>
    <w:tmpl w:val="199E3FB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4167FB8"/>
    <w:multiLevelType w:val="hybridMultilevel"/>
    <w:tmpl w:val="2B0A9A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46C42EA"/>
    <w:multiLevelType w:val="hybridMultilevel"/>
    <w:tmpl w:val="8D8823E2"/>
    <w:lvl w:ilvl="0" w:tplc="411E7A0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4CD61D6"/>
    <w:multiLevelType w:val="hybridMultilevel"/>
    <w:tmpl w:val="4C1AE5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6C3F8A"/>
    <w:multiLevelType w:val="hybridMultilevel"/>
    <w:tmpl w:val="899495A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76A1EF1"/>
    <w:multiLevelType w:val="hybridMultilevel"/>
    <w:tmpl w:val="354614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9932F5"/>
    <w:multiLevelType w:val="hybridMultilevel"/>
    <w:tmpl w:val="D64236EA"/>
    <w:lvl w:ilvl="0" w:tplc="0409000D">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6">
    <w:nsid w:val="08567917"/>
    <w:multiLevelType w:val="multilevel"/>
    <w:tmpl w:val="602E2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abstractNum w:abstractNumId="27">
    <w:nsid w:val="0A71395D"/>
    <w:multiLevelType w:val="hybridMultilevel"/>
    <w:tmpl w:val="A4E6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A9E7001"/>
    <w:multiLevelType w:val="hybridMultilevel"/>
    <w:tmpl w:val="28269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0AAC24EB"/>
    <w:multiLevelType w:val="hybridMultilevel"/>
    <w:tmpl w:val="E368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B340CF7"/>
    <w:multiLevelType w:val="hybridMultilevel"/>
    <w:tmpl w:val="1E482B3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B737E2A"/>
    <w:multiLevelType w:val="hybridMultilevel"/>
    <w:tmpl w:val="E1D6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BD21F9E"/>
    <w:multiLevelType w:val="hybridMultilevel"/>
    <w:tmpl w:val="785001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C194F52"/>
    <w:multiLevelType w:val="hybridMultilevel"/>
    <w:tmpl w:val="6B8EB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C8903AE"/>
    <w:multiLevelType w:val="hybridMultilevel"/>
    <w:tmpl w:val="98D00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D4B33A5"/>
    <w:multiLevelType w:val="hybridMultilevel"/>
    <w:tmpl w:val="84B45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0F5F63F1"/>
    <w:multiLevelType w:val="hybridMultilevel"/>
    <w:tmpl w:val="E37233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102C2877"/>
    <w:multiLevelType w:val="hybridMultilevel"/>
    <w:tmpl w:val="35986A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051145B"/>
    <w:multiLevelType w:val="hybridMultilevel"/>
    <w:tmpl w:val="D57A5B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1521710"/>
    <w:multiLevelType w:val="hybridMultilevel"/>
    <w:tmpl w:val="E542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2945DF5"/>
    <w:multiLevelType w:val="hybridMultilevel"/>
    <w:tmpl w:val="E97E1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40706DF"/>
    <w:multiLevelType w:val="hybridMultilevel"/>
    <w:tmpl w:val="6A781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143F57FF"/>
    <w:multiLevelType w:val="hybridMultilevel"/>
    <w:tmpl w:val="5396F526"/>
    <w:lvl w:ilvl="0" w:tplc="0409000D">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3">
    <w:nsid w:val="14DB3F76"/>
    <w:multiLevelType w:val="hybridMultilevel"/>
    <w:tmpl w:val="90162AF2"/>
    <w:lvl w:ilvl="0" w:tplc="04090001">
      <w:start w:val="1"/>
      <w:numFmt w:val="bullet"/>
      <w:lvlText w:val=""/>
      <w:lvlJc w:val="left"/>
      <w:pPr>
        <w:ind w:left="522" w:hanging="360"/>
      </w:pPr>
      <w:rPr>
        <w:rFonts w:ascii="Symbol" w:hAnsi="Symbol"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4">
    <w:nsid w:val="15021546"/>
    <w:multiLevelType w:val="hybridMultilevel"/>
    <w:tmpl w:val="8006049C"/>
    <w:lvl w:ilvl="0" w:tplc="3E0E1A2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558782C"/>
    <w:multiLevelType w:val="hybridMultilevel"/>
    <w:tmpl w:val="FA66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55C163E"/>
    <w:multiLevelType w:val="hybridMultilevel"/>
    <w:tmpl w:val="7924BA5E"/>
    <w:lvl w:ilvl="0" w:tplc="4B009EA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587134F"/>
    <w:multiLevelType w:val="hybridMultilevel"/>
    <w:tmpl w:val="FFDA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58E2ACC"/>
    <w:multiLevelType w:val="hybridMultilevel"/>
    <w:tmpl w:val="31FE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59C3BC6"/>
    <w:multiLevelType w:val="hybridMultilevel"/>
    <w:tmpl w:val="BF6ACC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D9631E"/>
    <w:multiLevelType w:val="hybridMultilevel"/>
    <w:tmpl w:val="831C6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62F3197"/>
    <w:multiLevelType w:val="hybridMultilevel"/>
    <w:tmpl w:val="582CE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679485D"/>
    <w:multiLevelType w:val="hybridMultilevel"/>
    <w:tmpl w:val="D0F03BA0"/>
    <w:lvl w:ilvl="0" w:tplc="D88C1E38">
      <w:start w:val="1"/>
      <w:numFmt w:val="bullet"/>
      <w:lvlText w:val=""/>
      <w:lvlJc w:val="left"/>
      <w:pPr>
        <w:ind w:left="972" w:hanging="360"/>
      </w:pPr>
      <w:rPr>
        <w:rFonts w:ascii="Symbol" w:hAnsi="Symbol" w:hint="default"/>
        <w:sz w:val="16"/>
        <w:szCs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53">
    <w:nsid w:val="171B1A55"/>
    <w:multiLevelType w:val="hybridMultilevel"/>
    <w:tmpl w:val="D9588CB2"/>
    <w:lvl w:ilvl="0" w:tplc="3E0E1A2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92C653D"/>
    <w:multiLevelType w:val="hybridMultilevel"/>
    <w:tmpl w:val="8E362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19323D61"/>
    <w:multiLevelType w:val="multilevel"/>
    <w:tmpl w:val="0EA059E2"/>
    <w:styleLink w:val="AFCHeadingList"/>
    <w:lvl w:ilvl="0">
      <w:start w:val="1"/>
      <w:numFmt w:val="decimal"/>
      <w:pStyle w:val="Titlu1"/>
      <w:lvlText w:val="%1"/>
      <w:lvlJc w:val="left"/>
      <w:pPr>
        <w:ind w:left="907" w:hanging="907"/>
      </w:pPr>
      <w:rPr>
        <w:rFonts w:hint="default"/>
      </w:rPr>
    </w:lvl>
    <w:lvl w:ilvl="1">
      <w:start w:val="1"/>
      <w:numFmt w:val="decimal"/>
      <w:pStyle w:val="Titlu2"/>
      <w:lvlText w:val="%1.%2"/>
      <w:lvlJc w:val="left"/>
      <w:pPr>
        <w:ind w:left="936" w:hanging="936"/>
      </w:pPr>
      <w:rPr>
        <w:rFonts w:hint="default"/>
      </w:rPr>
    </w:lvl>
    <w:lvl w:ilvl="2">
      <w:start w:val="1"/>
      <w:numFmt w:val="decimal"/>
      <w:pStyle w:val="Titlu3"/>
      <w:lvlText w:val="%1.%2.%3"/>
      <w:lvlJc w:val="left"/>
      <w:pPr>
        <w:ind w:left="1077" w:hanging="1077"/>
      </w:pPr>
      <w:rPr>
        <w:rFonts w:hint="default"/>
      </w:rPr>
    </w:lvl>
    <w:lvl w:ilvl="3">
      <w:start w:val="1"/>
      <w:numFmt w:val="decimal"/>
      <w:pStyle w:val="Titlu4"/>
      <w:lvlText w:val="%1.%2.%3.%4"/>
      <w:lvlJc w:val="left"/>
      <w:pPr>
        <w:ind w:left="2119" w:hanging="1219"/>
      </w:pPr>
      <w:rPr>
        <w:rFonts w:hint="default"/>
      </w:rPr>
    </w:lvl>
    <w:lvl w:ilvl="4">
      <w:start w:val="1"/>
      <w:numFmt w:val="decimal"/>
      <w:lvlText w:val="%1.%2.%3.%4.%5"/>
      <w:lvlJc w:val="left"/>
      <w:pPr>
        <w:ind w:left="1361" w:hanging="1361"/>
      </w:pPr>
      <w:rPr>
        <w:rFonts w:hint="default"/>
      </w:rPr>
    </w:lvl>
    <w:lvl w:ilvl="5">
      <w:start w:val="1"/>
      <w:numFmt w:val="decimal"/>
      <w:pStyle w:val="Titlu6"/>
      <w:lvlText w:val="%1.%2.%3.%4.%5.%6"/>
      <w:lvlJc w:val="left"/>
      <w:pPr>
        <w:ind w:left="1503" w:hanging="1503"/>
      </w:pPr>
      <w:rPr>
        <w:rFonts w:hint="default"/>
      </w:rPr>
    </w:lvl>
    <w:lvl w:ilvl="6">
      <w:start w:val="1"/>
      <w:numFmt w:val="decimal"/>
      <w:pStyle w:val="Titlu7"/>
      <w:lvlText w:val="%1.%2.%3.%4.%5.%6.%7"/>
      <w:lvlJc w:val="left"/>
      <w:pPr>
        <w:ind w:left="1644" w:hanging="1644"/>
      </w:pPr>
      <w:rPr>
        <w:rFonts w:hint="default"/>
      </w:rPr>
    </w:lvl>
    <w:lvl w:ilvl="7">
      <w:start w:val="1"/>
      <w:numFmt w:val="decimal"/>
      <w:pStyle w:val="Titlu8"/>
      <w:lvlText w:val="%1.%2.%3.%4.%5.%6.%7.%8"/>
      <w:lvlJc w:val="left"/>
      <w:pPr>
        <w:ind w:left="1786" w:hanging="1786"/>
      </w:pPr>
      <w:rPr>
        <w:rFonts w:hint="default"/>
      </w:rPr>
    </w:lvl>
    <w:lvl w:ilvl="8">
      <w:start w:val="1"/>
      <w:numFmt w:val="decimal"/>
      <w:lvlText w:val="%1.%2.%3.%4.%5.%6.%7.%8.%9"/>
      <w:lvlJc w:val="left"/>
      <w:pPr>
        <w:ind w:left="1928" w:hanging="1928"/>
      </w:pPr>
      <w:rPr>
        <w:rFonts w:hint="default"/>
      </w:rPr>
    </w:lvl>
  </w:abstractNum>
  <w:abstractNum w:abstractNumId="56">
    <w:nsid w:val="199C1A3B"/>
    <w:multiLevelType w:val="hybridMultilevel"/>
    <w:tmpl w:val="3CCE10D8"/>
    <w:lvl w:ilvl="0" w:tplc="8892B8A6">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19CE3780"/>
    <w:multiLevelType w:val="hybridMultilevel"/>
    <w:tmpl w:val="98FC6B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A6D7D03"/>
    <w:multiLevelType w:val="hybridMultilevel"/>
    <w:tmpl w:val="4CA85E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AE7389B"/>
    <w:multiLevelType w:val="hybridMultilevel"/>
    <w:tmpl w:val="AC6E6D5A"/>
    <w:lvl w:ilvl="0" w:tplc="43269E0C">
      <w:start w:val="126"/>
      <w:numFmt w:val="bullet"/>
      <w:lvlText w:val=""/>
      <w:lvlJc w:val="left"/>
      <w:pPr>
        <w:ind w:left="1800" w:hanging="144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3C7437"/>
    <w:multiLevelType w:val="hybridMultilevel"/>
    <w:tmpl w:val="7398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D074559"/>
    <w:multiLevelType w:val="multilevel"/>
    <w:tmpl w:val="CB74B254"/>
    <w:styleLink w:val="AFCAnnexList"/>
    <w:lvl w:ilvl="0">
      <w:start w:val="1"/>
      <w:numFmt w:val="upperLetter"/>
      <w:pStyle w:val="Annex1"/>
      <w:lvlText w:val="%1"/>
      <w:lvlJc w:val="left"/>
      <w:pPr>
        <w:ind w:left="907" w:hanging="907"/>
      </w:pPr>
      <w:rPr>
        <w:rFonts w:hint="default"/>
      </w:rPr>
    </w:lvl>
    <w:lvl w:ilvl="1">
      <w:start w:val="1"/>
      <w:numFmt w:val="decimal"/>
      <w:pStyle w:val="Annex2"/>
      <w:lvlText w:val="%1.%2"/>
      <w:lvlJc w:val="left"/>
      <w:pPr>
        <w:ind w:left="936" w:hanging="936"/>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219" w:hanging="1219"/>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503" w:hanging="1503"/>
      </w:pPr>
      <w:rPr>
        <w:rFonts w:hint="default"/>
      </w:rPr>
    </w:lvl>
    <w:lvl w:ilvl="6">
      <w:start w:val="1"/>
      <w:numFmt w:val="decimal"/>
      <w:lvlText w:val="%1.%2.%3.%4.%5.%6.%7"/>
      <w:lvlJc w:val="left"/>
      <w:pPr>
        <w:ind w:left="1644" w:hanging="1644"/>
      </w:pPr>
      <w:rPr>
        <w:rFonts w:hint="default"/>
      </w:rPr>
    </w:lvl>
    <w:lvl w:ilvl="7">
      <w:start w:val="1"/>
      <w:numFmt w:val="decimal"/>
      <w:lvlText w:val="%1.%2.%3.%4.%5.%6.%7.%8"/>
      <w:lvlJc w:val="left"/>
      <w:pPr>
        <w:ind w:left="1786" w:hanging="1786"/>
      </w:pPr>
      <w:rPr>
        <w:rFonts w:hint="default"/>
      </w:rPr>
    </w:lvl>
    <w:lvl w:ilvl="8">
      <w:start w:val="1"/>
      <w:numFmt w:val="decimal"/>
      <w:lvlText w:val="%1.%2.%3.%4.%5.%6.%9"/>
      <w:lvlJc w:val="left"/>
      <w:pPr>
        <w:ind w:left="1928" w:hanging="1928"/>
      </w:pPr>
      <w:rPr>
        <w:rFonts w:hint="default"/>
      </w:rPr>
    </w:lvl>
  </w:abstractNum>
  <w:abstractNum w:abstractNumId="62">
    <w:nsid w:val="1D213A84"/>
    <w:multiLevelType w:val="hybridMultilevel"/>
    <w:tmpl w:val="41E43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1DA213B6"/>
    <w:multiLevelType w:val="multilevel"/>
    <w:tmpl w:val="716E2398"/>
    <w:styleLink w:val="StyleBulletedSymbolsymbolLeft063cmHanging063cm"/>
    <w:lvl w:ilvl="0">
      <w:start w:val="1"/>
      <w:numFmt w:val="bullet"/>
      <w:lvlText w:val=""/>
      <w:lvlJc w:val="left"/>
      <w:pPr>
        <w:ind w:left="1440" w:hanging="360"/>
      </w:pPr>
      <w:rPr>
        <w:rFonts w:ascii="Wingdings" w:hAnsi="Wingdings" w:hint="default"/>
        <w:sz w:val="28"/>
      </w:rPr>
    </w:lvl>
    <w:lvl w:ilvl="1">
      <w:start w:val="1"/>
      <w:numFmt w:val="bullet"/>
      <w:lvlText w:val="▫"/>
      <w:lvlJc w:val="left"/>
      <w:pPr>
        <w:ind w:left="2160" w:hanging="360"/>
      </w:pPr>
      <w:rPr>
        <w:rFonts w:ascii="Calibri" w:hAnsi="Calibri" w:hint="default"/>
        <w:sz w:val="40"/>
      </w:rPr>
    </w:lvl>
    <w:lvl w:ilvl="2">
      <w:start w:val="1"/>
      <w:numFmt w:val="bullet"/>
      <w:lvlText w:val="−"/>
      <w:lvlJc w:val="left"/>
      <w:pPr>
        <w:ind w:left="2880" w:hanging="360"/>
      </w:pPr>
      <w:rPr>
        <w:rFonts w:ascii="Verdana" w:hAnsi="Verdana"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nsid w:val="1F7F014C"/>
    <w:multiLevelType w:val="hybridMultilevel"/>
    <w:tmpl w:val="F866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01E4F4B"/>
    <w:multiLevelType w:val="hybridMultilevel"/>
    <w:tmpl w:val="921CA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0260F9C"/>
    <w:multiLevelType w:val="hybridMultilevel"/>
    <w:tmpl w:val="FDAA2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0D65912"/>
    <w:multiLevelType w:val="hybridMultilevel"/>
    <w:tmpl w:val="8D46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0F76DD5"/>
    <w:multiLevelType w:val="hybridMultilevel"/>
    <w:tmpl w:val="C1A6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16723C5"/>
    <w:multiLevelType w:val="hybridMultilevel"/>
    <w:tmpl w:val="8012A916"/>
    <w:lvl w:ilvl="0" w:tplc="3E0E1A2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19641A2"/>
    <w:multiLevelType w:val="hybridMultilevel"/>
    <w:tmpl w:val="55E8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2781149"/>
    <w:multiLevelType w:val="hybridMultilevel"/>
    <w:tmpl w:val="AE2C699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2875CDB"/>
    <w:multiLevelType w:val="hybridMultilevel"/>
    <w:tmpl w:val="F0C44232"/>
    <w:lvl w:ilvl="0" w:tplc="8CE6EFFE">
      <w:start w:val="11"/>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3204B5E"/>
    <w:multiLevelType w:val="hybridMultilevel"/>
    <w:tmpl w:val="19C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37A346A"/>
    <w:multiLevelType w:val="hybridMultilevel"/>
    <w:tmpl w:val="EE582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23A05E18"/>
    <w:multiLevelType w:val="hybridMultilevel"/>
    <w:tmpl w:val="373E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3A23AC2"/>
    <w:multiLevelType w:val="hybridMultilevel"/>
    <w:tmpl w:val="E5C6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42308D2"/>
    <w:multiLevelType w:val="hybridMultilevel"/>
    <w:tmpl w:val="3A26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42A2B6B"/>
    <w:multiLevelType w:val="hybridMultilevel"/>
    <w:tmpl w:val="1D1037E2"/>
    <w:lvl w:ilvl="0" w:tplc="43269E0C">
      <w:start w:val="126"/>
      <w:numFmt w:val="bullet"/>
      <w:lvlText w:val=""/>
      <w:lvlJc w:val="left"/>
      <w:pPr>
        <w:ind w:left="1800" w:hanging="144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5804CE2"/>
    <w:multiLevelType w:val="hybridMultilevel"/>
    <w:tmpl w:val="8F983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6BE0618"/>
    <w:multiLevelType w:val="hybridMultilevel"/>
    <w:tmpl w:val="E6E0A54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1">
    <w:nsid w:val="26D4461B"/>
    <w:multiLevelType w:val="hybridMultilevel"/>
    <w:tmpl w:val="3CDE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6EC6C40"/>
    <w:multiLevelType w:val="hybridMultilevel"/>
    <w:tmpl w:val="5876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76E7194"/>
    <w:multiLevelType w:val="hybridMultilevel"/>
    <w:tmpl w:val="1D4C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8A33485"/>
    <w:multiLevelType w:val="multilevel"/>
    <w:tmpl w:val="F452AC6A"/>
    <w:styleLink w:val="AFCList"/>
    <w:lvl w:ilvl="0">
      <w:start w:val="1"/>
      <w:numFmt w:val="bullet"/>
      <w:lvlText w:val="-"/>
      <w:lvlJc w:val="left"/>
      <w:pPr>
        <w:ind w:left="284" w:hanging="284"/>
      </w:pPr>
      <w:rPr>
        <w:rFonts w:ascii="Times New Roman" w:hAnsi="Times New Roman" w:cs="Times New Roman" w:hint="default"/>
        <w:sz w:val="20"/>
        <w:u w:val="none"/>
      </w:rPr>
    </w:lvl>
    <w:lvl w:ilvl="1">
      <w:start w:val="1"/>
      <w:numFmt w:val="bullet"/>
      <w:lvlText w:val="-"/>
      <w:lvlJc w:val="left"/>
      <w:pPr>
        <w:ind w:left="568" w:hanging="284"/>
      </w:pPr>
      <w:rPr>
        <w:rFonts w:ascii="Segoe UI" w:hAnsi="Segoe UI" w:hint="default"/>
        <w:sz w:val="20"/>
      </w:rPr>
    </w:lvl>
    <w:lvl w:ilvl="2">
      <w:start w:val="1"/>
      <w:numFmt w:val="bullet"/>
      <w:lvlText w:val="-"/>
      <w:lvlJc w:val="left"/>
      <w:pPr>
        <w:ind w:left="852" w:hanging="284"/>
      </w:pPr>
      <w:rPr>
        <w:rFonts w:ascii="Segoe UI" w:hAnsi="Segoe UI" w:hint="default"/>
        <w:sz w:val="20"/>
      </w:rPr>
    </w:lvl>
    <w:lvl w:ilvl="3">
      <w:start w:val="1"/>
      <w:numFmt w:val="bullet"/>
      <w:lvlText w:val="-"/>
      <w:lvlJc w:val="left"/>
      <w:pPr>
        <w:ind w:left="1136" w:hanging="284"/>
      </w:pPr>
      <w:rPr>
        <w:rFonts w:ascii="Segoe UI" w:hAnsi="Segoe UI" w:hint="default"/>
        <w:sz w:val="20"/>
      </w:rPr>
    </w:lvl>
    <w:lvl w:ilvl="4">
      <w:start w:val="1"/>
      <w:numFmt w:val="bullet"/>
      <w:lvlText w:val="-"/>
      <w:lvlJc w:val="left"/>
      <w:pPr>
        <w:ind w:left="1420" w:hanging="284"/>
      </w:pPr>
      <w:rPr>
        <w:rFonts w:ascii="Segoe UI" w:hAnsi="Segoe UI" w:hint="default"/>
        <w:sz w:val="20"/>
      </w:rPr>
    </w:lvl>
    <w:lvl w:ilvl="5">
      <w:start w:val="1"/>
      <w:numFmt w:val="bullet"/>
      <w:lvlText w:val="-"/>
      <w:lvlJc w:val="left"/>
      <w:pPr>
        <w:ind w:left="1704" w:hanging="284"/>
      </w:pPr>
      <w:rPr>
        <w:rFonts w:ascii="Segoe UI" w:hAnsi="Segoe UI" w:hint="default"/>
        <w:sz w:val="20"/>
      </w:rPr>
    </w:lvl>
    <w:lvl w:ilvl="6">
      <w:start w:val="1"/>
      <w:numFmt w:val="bullet"/>
      <w:lvlText w:val="-"/>
      <w:lvlJc w:val="left"/>
      <w:pPr>
        <w:ind w:left="1988" w:hanging="284"/>
      </w:pPr>
      <w:rPr>
        <w:rFonts w:ascii="Segoe UI" w:hAnsi="Segoe UI" w:hint="default"/>
        <w:sz w:val="20"/>
      </w:rPr>
    </w:lvl>
    <w:lvl w:ilvl="7">
      <w:start w:val="1"/>
      <w:numFmt w:val="bullet"/>
      <w:lvlText w:val="-"/>
      <w:lvlJc w:val="left"/>
      <w:pPr>
        <w:ind w:left="2272" w:hanging="284"/>
      </w:pPr>
      <w:rPr>
        <w:rFonts w:ascii="Segoe UI" w:hAnsi="Segoe UI" w:hint="default"/>
        <w:sz w:val="20"/>
      </w:rPr>
    </w:lvl>
    <w:lvl w:ilvl="8">
      <w:start w:val="1"/>
      <w:numFmt w:val="bullet"/>
      <w:lvlText w:val="-"/>
      <w:lvlJc w:val="left"/>
      <w:pPr>
        <w:ind w:left="2556" w:hanging="284"/>
      </w:pPr>
      <w:rPr>
        <w:rFonts w:ascii="Segoe UI" w:hAnsi="Segoe UI" w:hint="default"/>
        <w:sz w:val="20"/>
      </w:rPr>
    </w:lvl>
  </w:abstractNum>
  <w:abstractNum w:abstractNumId="85">
    <w:nsid w:val="29097321"/>
    <w:multiLevelType w:val="hybridMultilevel"/>
    <w:tmpl w:val="2BB2C4F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6">
    <w:nsid w:val="295F5EC5"/>
    <w:multiLevelType w:val="hybridMultilevel"/>
    <w:tmpl w:val="DEDE6C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9AA1AEB"/>
    <w:multiLevelType w:val="hybridMultilevel"/>
    <w:tmpl w:val="C63C7D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29AB4294"/>
    <w:multiLevelType w:val="hybridMultilevel"/>
    <w:tmpl w:val="B660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484A0F"/>
    <w:multiLevelType w:val="hybridMultilevel"/>
    <w:tmpl w:val="BEE866CC"/>
    <w:lvl w:ilvl="0" w:tplc="3E0E1A2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A7E55CD"/>
    <w:multiLevelType w:val="hybridMultilevel"/>
    <w:tmpl w:val="948AF4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B1C1769"/>
    <w:multiLevelType w:val="hybridMultilevel"/>
    <w:tmpl w:val="0E009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B702D4E"/>
    <w:multiLevelType w:val="hybridMultilevel"/>
    <w:tmpl w:val="7B22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B8C5951"/>
    <w:multiLevelType w:val="hybridMultilevel"/>
    <w:tmpl w:val="E6ACEA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BA474CC"/>
    <w:multiLevelType w:val="multilevel"/>
    <w:tmpl w:val="CB74B254"/>
    <w:numStyleLink w:val="AFCAnnexList"/>
  </w:abstractNum>
  <w:abstractNum w:abstractNumId="95">
    <w:nsid w:val="2BAA591F"/>
    <w:multiLevelType w:val="hybridMultilevel"/>
    <w:tmpl w:val="A6441E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C631145"/>
    <w:multiLevelType w:val="hybridMultilevel"/>
    <w:tmpl w:val="79CE34EA"/>
    <w:lvl w:ilvl="0" w:tplc="04090017">
      <w:start w:val="1"/>
      <w:numFmt w:val="lowerLetter"/>
      <w:lvlText w:val="%1)"/>
      <w:lvlJc w:val="left"/>
      <w:pPr>
        <w:ind w:left="1605" w:hanging="1245"/>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D6D63F8"/>
    <w:multiLevelType w:val="hybridMultilevel"/>
    <w:tmpl w:val="F86E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DB12009"/>
    <w:multiLevelType w:val="hybridMultilevel"/>
    <w:tmpl w:val="84A41354"/>
    <w:lvl w:ilvl="0" w:tplc="04090001">
      <w:start w:val="1"/>
      <w:numFmt w:val="bullet"/>
      <w:lvlText w:val=""/>
      <w:lvlJc w:val="left"/>
      <w:pPr>
        <w:ind w:left="1483" w:hanging="360"/>
      </w:pPr>
      <w:rPr>
        <w:rFonts w:ascii="Symbol" w:hAnsi="Symbol" w:hint="default"/>
      </w:rPr>
    </w:lvl>
    <w:lvl w:ilvl="1" w:tplc="04090003">
      <w:start w:val="1"/>
      <w:numFmt w:val="bullet"/>
      <w:lvlText w:val="o"/>
      <w:lvlJc w:val="left"/>
      <w:pPr>
        <w:ind w:left="2203" w:hanging="360"/>
      </w:pPr>
      <w:rPr>
        <w:rFonts w:ascii="Courier New" w:hAnsi="Courier New" w:hint="default"/>
      </w:rPr>
    </w:lvl>
    <w:lvl w:ilvl="2" w:tplc="04090005">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99">
    <w:nsid w:val="2F0E6D39"/>
    <w:multiLevelType w:val="hybridMultilevel"/>
    <w:tmpl w:val="CC847A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2F854C83"/>
    <w:multiLevelType w:val="hybridMultilevel"/>
    <w:tmpl w:val="14741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FFF18C4"/>
    <w:multiLevelType w:val="hybridMultilevel"/>
    <w:tmpl w:val="DF9E4CC4"/>
    <w:lvl w:ilvl="0" w:tplc="24AAEADC">
      <w:start w:val="1"/>
      <w:numFmt w:val="lowerLetter"/>
      <w:lvlText w:val="(%1)"/>
      <w:lvlJc w:val="left"/>
      <w:pPr>
        <w:ind w:left="720" w:hanging="360"/>
      </w:pPr>
      <w:rPr>
        <w:rFonts w:hint="default"/>
      </w:rPr>
    </w:lvl>
    <w:lvl w:ilvl="1" w:tplc="E7B0C838">
      <w:start w:val="1"/>
      <w:numFmt w:val="decimal"/>
      <w:lvlText w:val="%2."/>
      <w:lvlJc w:val="left"/>
      <w:pPr>
        <w:ind w:left="1440" w:hanging="360"/>
      </w:pPr>
      <w:rPr>
        <w:rFonts w:hint="default"/>
      </w:rPr>
    </w:lvl>
    <w:lvl w:ilvl="2" w:tplc="CCB84C9A">
      <w:start w:val="1"/>
      <w:numFmt w:val="lowerLetter"/>
      <w:lvlText w:val="%3)"/>
      <w:lvlJc w:val="left"/>
      <w:pPr>
        <w:ind w:left="2340" w:hanging="360"/>
      </w:pPr>
      <w:rPr>
        <w:rFonts w:hint="default"/>
      </w:rPr>
    </w:lvl>
    <w:lvl w:ilvl="3" w:tplc="48042930">
      <w:start w:val="3"/>
      <w:numFmt w:val="bullet"/>
      <w:lvlText w:val="-"/>
      <w:lvlJc w:val="left"/>
      <w:pPr>
        <w:ind w:left="2880" w:hanging="360"/>
      </w:pPr>
      <w:rPr>
        <w:rFonts w:ascii="Times New Roman" w:eastAsiaTheme="minorHAns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3198413B"/>
    <w:multiLevelType w:val="hybridMultilevel"/>
    <w:tmpl w:val="F266F1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29B2A64"/>
    <w:multiLevelType w:val="hybridMultilevel"/>
    <w:tmpl w:val="6C0E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30808B8"/>
    <w:multiLevelType w:val="hybridMultilevel"/>
    <w:tmpl w:val="361A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37C5F02"/>
    <w:multiLevelType w:val="hybridMultilevel"/>
    <w:tmpl w:val="1EE487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3DF28CE"/>
    <w:multiLevelType w:val="hybridMultilevel"/>
    <w:tmpl w:val="64020A3C"/>
    <w:lvl w:ilvl="0" w:tplc="86D2A7F6">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07">
    <w:nsid w:val="342F3E4C"/>
    <w:multiLevelType w:val="hybridMultilevel"/>
    <w:tmpl w:val="2F18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4FC68BA"/>
    <w:multiLevelType w:val="hybridMultilevel"/>
    <w:tmpl w:val="E364F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nsid w:val="369407BC"/>
    <w:multiLevelType w:val="hybridMultilevel"/>
    <w:tmpl w:val="B8B4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704470F"/>
    <w:multiLevelType w:val="hybridMultilevel"/>
    <w:tmpl w:val="BE8C7AF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1">
    <w:nsid w:val="37BC55B6"/>
    <w:multiLevelType w:val="hybridMultilevel"/>
    <w:tmpl w:val="CA2E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8C818E5"/>
    <w:multiLevelType w:val="hybridMultilevel"/>
    <w:tmpl w:val="5D96A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9B05130"/>
    <w:multiLevelType w:val="hybridMultilevel"/>
    <w:tmpl w:val="8C8A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B1F54A7"/>
    <w:multiLevelType w:val="hybridMultilevel"/>
    <w:tmpl w:val="CF441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B526BF7"/>
    <w:multiLevelType w:val="hybridMultilevel"/>
    <w:tmpl w:val="9DFAF7E8"/>
    <w:lvl w:ilvl="0" w:tplc="04090001">
      <w:start w:val="1"/>
      <w:numFmt w:val="bullet"/>
      <w:lvlText w:val=""/>
      <w:lvlJc w:val="left"/>
      <w:pPr>
        <w:ind w:left="720" w:hanging="360"/>
      </w:pPr>
      <w:rPr>
        <w:rFonts w:ascii="Symbol" w:hAnsi="Symbol" w:hint="default"/>
      </w:rPr>
    </w:lvl>
    <w:lvl w:ilvl="1" w:tplc="249CE2B6">
      <w:numFmt w:val="bullet"/>
      <w:lvlText w:val="•"/>
      <w:lvlJc w:val="left"/>
      <w:pPr>
        <w:ind w:left="2520" w:hanging="144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BEB6128"/>
    <w:multiLevelType w:val="hybridMultilevel"/>
    <w:tmpl w:val="F6C6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C153724"/>
    <w:multiLevelType w:val="hybridMultilevel"/>
    <w:tmpl w:val="5B9E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C833564"/>
    <w:multiLevelType w:val="hybridMultilevel"/>
    <w:tmpl w:val="948C53BC"/>
    <w:lvl w:ilvl="0" w:tplc="041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nsid w:val="3C985B0A"/>
    <w:multiLevelType w:val="hybridMultilevel"/>
    <w:tmpl w:val="BE08C1F0"/>
    <w:lvl w:ilvl="0" w:tplc="86722CAC">
      <w:start w:val="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CE974D7"/>
    <w:multiLevelType w:val="hybridMultilevel"/>
    <w:tmpl w:val="4226043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D286A1F"/>
    <w:multiLevelType w:val="hybridMultilevel"/>
    <w:tmpl w:val="FB3AA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E063657"/>
    <w:multiLevelType w:val="hybridMultilevel"/>
    <w:tmpl w:val="C842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F5F724F"/>
    <w:multiLevelType w:val="hybridMultilevel"/>
    <w:tmpl w:val="1E4E0C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FE32DFB"/>
    <w:multiLevelType w:val="multilevel"/>
    <w:tmpl w:val="0EA059E2"/>
    <w:numStyleLink w:val="AFCHeadingList"/>
  </w:abstractNum>
  <w:abstractNum w:abstractNumId="125">
    <w:nsid w:val="40B05DB9"/>
    <w:multiLevelType w:val="hybridMultilevel"/>
    <w:tmpl w:val="E72AB312"/>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6">
    <w:nsid w:val="40EC6623"/>
    <w:multiLevelType w:val="hybridMultilevel"/>
    <w:tmpl w:val="470AD1A2"/>
    <w:lvl w:ilvl="0" w:tplc="D88C1E38">
      <w:start w:val="1"/>
      <w:numFmt w:val="bullet"/>
      <w:lvlText w:val=""/>
      <w:lvlJc w:val="left"/>
      <w:pPr>
        <w:ind w:left="1062" w:hanging="360"/>
      </w:pPr>
      <w:rPr>
        <w:rFonts w:ascii="Symbol" w:hAnsi="Symbol" w:hint="default"/>
        <w:sz w:val="16"/>
        <w:szCs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7">
    <w:nsid w:val="419650DE"/>
    <w:multiLevelType w:val="multilevel"/>
    <w:tmpl w:val="276CC05C"/>
    <w:styleLink w:val="AFCNumberedList"/>
    <w:lvl w:ilvl="0">
      <w:start w:val="1"/>
      <w:numFmt w:val="decimal"/>
      <w:lvlText w:val="%1)"/>
      <w:lvlJc w:val="left"/>
      <w:pPr>
        <w:tabs>
          <w:tab w:val="num" w:pos="340"/>
        </w:tabs>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28">
    <w:nsid w:val="42AE5DD2"/>
    <w:multiLevelType w:val="hybridMultilevel"/>
    <w:tmpl w:val="F1B4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34F71B6"/>
    <w:multiLevelType w:val="hybridMultilevel"/>
    <w:tmpl w:val="83747F7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0">
    <w:nsid w:val="44AB106C"/>
    <w:multiLevelType w:val="hybridMultilevel"/>
    <w:tmpl w:val="41C8FD1E"/>
    <w:lvl w:ilvl="0" w:tplc="3E0E1A2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4C16C4D"/>
    <w:multiLevelType w:val="hybridMultilevel"/>
    <w:tmpl w:val="54000A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6492B65"/>
    <w:multiLevelType w:val="hybridMultilevel"/>
    <w:tmpl w:val="177E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87D2D1F"/>
    <w:multiLevelType w:val="hybridMultilevel"/>
    <w:tmpl w:val="992A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8A47029"/>
    <w:multiLevelType w:val="hybridMultilevel"/>
    <w:tmpl w:val="52085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A182D2D"/>
    <w:multiLevelType w:val="hybridMultilevel"/>
    <w:tmpl w:val="AAE23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B47293B"/>
    <w:multiLevelType w:val="hybridMultilevel"/>
    <w:tmpl w:val="D646C5D0"/>
    <w:lvl w:ilvl="0" w:tplc="3E0E1A2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B9A0576"/>
    <w:multiLevelType w:val="hybridMultilevel"/>
    <w:tmpl w:val="6A5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C6B6564"/>
    <w:multiLevelType w:val="hybridMultilevel"/>
    <w:tmpl w:val="4FD05C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C757146"/>
    <w:multiLevelType w:val="hybridMultilevel"/>
    <w:tmpl w:val="D3586F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D295F80"/>
    <w:multiLevelType w:val="hybridMultilevel"/>
    <w:tmpl w:val="988A62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D742C36"/>
    <w:multiLevelType w:val="hybridMultilevel"/>
    <w:tmpl w:val="4830E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nsid w:val="4D7E1684"/>
    <w:multiLevelType w:val="hybridMultilevel"/>
    <w:tmpl w:val="DCAAE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4E7B1874"/>
    <w:multiLevelType w:val="hybridMultilevel"/>
    <w:tmpl w:val="F8F21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nsid w:val="4F024B7A"/>
    <w:multiLevelType w:val="hybridMultilevel"/>
    <w:tmpl w:val="9F82C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F5E038C"/>
    <w:multiLevelType w:val="hybridMultilevel"/>
    <w:tmpl w:val="764473A4"/>
    <w:lvl w:ilvl="0" w:tplc="04090011">
      <w:start w:val="1"/>
      <w:numFmt w:val="decimal"/>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nsid w:val="51711730"/>
    <w:multiLevelType w:val="hybridMultilevel"/>
    <w:tmpl w:val="A7A61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1C823D6"/>
    <w:multiLevelType w:val="hybridMultilevel"/>
    <w:tmpl w:val="F39C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51F43E1D"/>
    <w:multiLevelType w:val="hybridMultilevel"/>
    <w:tmpl w:val="564069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2166769"/>
    <w:multiLevelType w:val="hybridMultilevel"/>
    <w:tmpl w:val="027CA1CC"/>
    <w:lvl w:ilvl="0" w:tplc="3E0E1A2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21E0177"/>
    <w:multiLevelType w:val="hybridMultilevel"/>
    <w:tmpl w:val="D9D8E1E8"/>
    <w:lvl w:ilvl="0" w:tplc="04090017">
      <w:start w:val="1"/>
      <w:numFmt w:val="lowerLetter"/>
      <w:lvlText w:val="%1)"/>
      <w:lvlJc w:val="left"/>
      <w:pPr>
        <w:ind w:left="1512" w:hanging="360"/>
      </w:pPr>
      <w:rPr>
        <w:rFont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1">
    <w:nsid w:val="53813024"/>
    <w:multiLevelType w:val="hybridMultilevel"/>
    <w:tmpl w:val="06321E3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52">
    <w:nsid w:val="5455131B"/>
    <w:multiLevelType w:val="hybridMultilevel"/>
    <w:tmpl w:val="28AA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5697346F"/>
    <w:multiLevelType w:val="hybridMultilevel"/>
    <w:tmpl w:val="99A4C3F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54">
    <w:nsid w:val="56B92E61"/>
    <w:multiLevelType w:val="hybridMultilevel"/>
    <w:tmpl w:val="775C6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70362BF"/>
    <w:multiLevelType w:val="hybridMultilevel"/>
    <w:tmpl w:val="296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57201D5C"/>
    <w:multiLevelType w:val="hybridMultilevel"/>
    <w:tmpl w:val="F7B44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57CE4E7A"/>
    <w:multiLevelType w:val="hybridMultilevel"/>
    <w:tmpl w:val="D86A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59235AC8"/>
    <w:multiLevelType w:val="hybridMultilevel"/>
    <w:tmpl w:val="115C73DE"/>
    <w:lvl w:ilvl="0" w:tplc="985204B2">
      <w:start w:val="1"/>
      <w:numFmt w:val="lowerLetter"/>
      <w:lvlText w:val="(%1)"/>
      <w:lvlJc w:val="left"/>
      <w:pPr>
        <w:ind w:left="1080" w:hanging="360"/>
      </w:pPr>
      <w:rPr>
        <w:rFonts w:hint="default"/>
        <w:b w:val="0"/>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nsid w:val="5A48338D"/>
    <w:multiLevelType w:val="hybridMultilevel"/>
    <w:tmpl w:val="DF5E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5A801C59"/>
    <w:multiLevelType w:val="hybridMultilevel"/>
    <w:tmpl w:val="E0001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B5D5B22"/>
    <w:multiLevelType w:val="hybridMultilevel"/>
    <w:tmpl w:val="0024B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BA17D78"/>
    <w:multiLevelType w:val="hybridMultilevel"/>
    <w:tmpl w:val="1B1A1E88"/>
    <w:lvl w:ilvl="0" w:tplc="CB60D1D2">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D997F1B"/>
    <w:multiLevelType w:val="hybridMultilevel"/>
    <w:tmpl w:val="4BF6A9DC"/>
    <w:lvl w:ilvl="0" w:tplc="E9064CDE">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nsid w:val="5DB94B94"/>
    <w:multiLevelType w:val="multilevel"/>
    <w:tmpl w:val="A36CD5C4"/>
    <w:lvl w:ilvl="0">
      <w:start w:val="1"/>
      <w:numFmt w:val="upperLetter"/>
      <w:lvlText w:val="%1"/>
      <w:lvlJc w:val="left"/>
      <w:pPr>
        <w:ind w:left="907" w:hanging="907"/>
      </w:pPr>
      <w:rPr>
        <w:rFonts w:hint="default"/>
      </w:rPr>
    </w:lvl>
    <w:lvl w:ilvl="1">
      <w:start w:val="1"/>
      <w:numFmt w:val="decimal"/>
      <w:lvlText w:val="%1.%2"/>
      <w:lvlJc w:val="left"/>
      <w:pPr>
        <w:ind w:left="936" w:hanging="936"/>
      </w:pPr>
      <w:rPr>
        <w:rFonts w:hint="default"/>
      </w:rPr>
    </w:lvl>
    <w:lvl w:ilvl="2">
      <w:start w:val="1"/>
      <w:numFmt w:val="decimal"/>
      <w:pStyle w:val="Annex3"/>
      <w:lvlText w:val="%1.%2.%3"/>
      <w:lvlJc w:val="left"/>
      <w:pPr>
        <w:ind w:left="1077" w:hanging="1077"/>
      </w:pPr>
      <w:rPr>
        <w:rFonts w:hint="default"/>
      </w:rPr>
    </w:lvl>
    <w:lvl w:ilvl="3">
      <w:start w:val="1"/>
      <w:numFmt w:val="decimal"/>
      <w:lvlText w:val="%1.%2.%3.%4"/>
      <w:lvlJc w:val="left"/>
      <w:pPr>
        <w:ind w:left="1219" w:hanging="1219"/>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503" w:hanging="1503"/>
      </w:pPr>
      <w:rPr>
        <w:rFonts w:hint="default"/>
      </w:rPr>
    </w:lvl>
    <w:lvl w:ilvl="6">
      <w:start w:val="1"/>
      <w:numFmt w:val="decimal"/>
      <w:lvlText w:val="%1.%2.%3.%4.%5.%6.%7"/>
      <w:lvlJc w:val="left"/>
      <w:pPr>
        <w:ind w:left="1644" w:hanging="1644"/>
      </w:pPr>
      <w:rPr>
        <w:rFonts w:hint="default"/>
      </w:rPr>
    </w:lvl>
    <w:lvl w:ilvl="7">
      <w:start w:val="1"/>
      <w:numFmt w:val="decimal"/>
      <w:lvlText w:val="%1.%2.%3.%4.%5.%6.%7.%8"/>
      <w:lvlJc w:val="left"/>
      <w:pPr>
        <w:ind w:left="1786" w:hanging="1786"/>
      </w:pPr>
      <w:rPr>
        <w:rFonts w:hint="default"/>
      </w:rPr>
    </w:lvl>
    <w:lvl w:ilvl="8">
      <w:start w:val="1"/>
      <w:numFmt w:val="decimal"/>
      <w:lvlText w:val="%1.%2.%3.%4.%5.%6.%9"/>
      <w:lvlJc w:val="left"/>
      <w:pPr>
        <w:ind w:left="1928" w:hanging="1928"/>
      </w:pPr>
      <w:rPr>
        <w:rFonts w:hint="default"/>
      </w:rPr>
    </w:lvl>
  </w:abstractNum>
  <w:abstractNum w:abstractNumId="165">
    <w:nsid w:val="60445D7B"/>
    <w:multiLevelType w:val="hybridMultilevel"/>
    <w:tmpl w:val="EAD0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60C93B5B"/>
    <w:multiLevelType w:val="hybridMultilevel"/>
    <w:tmpl w:val="1A3CEA5C"/>
    <w:lvl w:ilvl="0" w:tplc="4F54AC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62506424"/>
    <w:multiLevelType w:val="hybridMultilevel"/>
    <w:tmpl w:val="12D6F00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62650B81"/>
    <w:multiLevelType w:val="hybridMultilevel"/>
    <w:tmpl w:val="F3A8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631E4DE6"/>
    <w:multiLevelType w:val="hybridMultilevel"/>
    <w:tmpl w:val="EBE2EE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nsid w:val="63CA1AFF"/>
    <w:multiLevelType w:val="hybridMultilevel"/>
    <w:tmpl w:val="7AC2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650C3D30"/>
    <w:multiLevelType w:val="hybridMultilevel"/>
    <w:tmpl w:val="5A5A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653166B5"/>
    <w:multiLevelType w:val="hybridMultilevel"/>
    <w:tmpl w:val="F0405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646698F"/>
    <w:multiLevelType w:val="hybridMultilevel"/>
    <w:tmpl w:val="9CFE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66C3093B"/>
    <w:multiLevelType w:val="hybridMultilevel"/>
    <w:tmpl w:val="24F073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6E51C7D"/>
    <w:multiLevelType w:val="hybridMultilevel"/>
    <w:tmpl w:val="3C04B44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67A905F3"/>
    <w:multiLevelType w:val="hybridMultilevel"/>
    <w:tmpl w:val="E4120790"/>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7">
    <w:nsid w:val="68DB799A"/>
    <w:multiLevelType w:val="hybridMultilevel"/>
    <w:tmpl w:val="AA38A912"/>
    <w:lvl w:ilvl="0" w:tplc="3E0E1A2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8DE4B56"/>
    <w:multiLevelType w:val="hybridMultilevel"/>
    <w:tmpl w:val="DD4A00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9E40AAD"/>
    <w:multiLevelType w:val="hybridMultilevel"/>
    <w:tmpl w:val="B868D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nsid w:val="6AA17E4B"/>
    <w:multiLevelType w:val="hybridMultilevel"/>
    <w:tmpl w:val="C00AE578"/>
    <w:lvl w:ilvl="0" w:tplc="8CE6EFFE">
      <w:start w:val="11"/>
      <w:numFmt w:val="bullet"/>
      <w:lvlText w:val="•"/>
      <w:lvlJc w:val="left"/>
      <w:pPr>
        <w:ind w:left="1890" w:hanging="144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1">
    <w:nsid w:val="6C1C3375"/>
    <w:multiLevelType w:val="hybridMultilevel"/>
    <w:tmpl w:val="98FC6B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C554733"/>
    <w:multiLevelType w:val="hybridMultilevel"/>
    <w:tmpl w:val="7B4A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6CDA3886"/>
    <w:multiLevelType w:val="hybridMultilevel"/>
    <w:tmpl w:val="4D0C5D1A"/>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6D1C20A7"/>
    <w:multiLevelType w:val="hybridMultilevel"/>
    <w:tmpl w:val="AEDA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DBC0792"/>
    <w:multiLevelType w:val="hybridMultilevel"/>
    <w:tmpl w:val="5B9E1988"/>
    <w:lvl w:ilvl="0" w:tplc="E81C3226">
      <w:start w:val="1"/>
      <w:numFmt w:val="lowerLetter"/>
      <w:pStyle w:val="Titlu5"/>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6">
    <w:nsid w:val="6E226975"/>
    <w:multiLevelType w:val="hybridMultilevel"/>
    <w:tmpl w:val="F542A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6F4C0B52"/>
    <w:multiLevelType w:val="hybridMultilevel"/>
    <w:tmpl w:val="179E8D00"/>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88">
    <w:nsid w:val="6FAB4AB2"/>
    <w:multiLevelType w:val="hybridMultilevel"/>
    <w:tmpl w:val="B76C1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9">
    <w:nsid w:val="70357B59"/>
    <w:multiLevelType w:val="hybridMultilevel"/>
    <w:tmpl w:val="C79AFDE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16035C2"/>
    <w:multiLevelType w:val="hybridMultilevel"/>
    <w:tmpl w:val="42DE9DBA"/>
    <w:lvl w:ilvl="0" w:tplc="04090001">
      <w:start w:val="1"/>
      <w:numFmt w:val="bullet"/>
      <w:lvlText w:val=""/>
      <w:lvlJc w:val="left"/>
      <w:pPr>
        <w:ind w:left="1034" w:hanging="360"/>
      </w:pPr>
      <w:rPr>
        <w:rFonts w:ascii="Symbol" w:hAnsi="Symbol"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191">
    <w:nsid w:val="72196F61"/>
    <w:multiLevelType w:val="hybridMultilevel"/>
    <w:tmpl w:val="363C2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nsid w:val="73D90A9A"/>
    <w:multiLevelType w:val="hybridMultilevel"/>
    <w:tmpl w:val="0A9EB05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3">
    <w:nsid w:val="746F2935"/>
    <w:multiLevelType w:val="hybridMultilevel"/>
    <w:tmpl w:val="100E5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75AD320B"/>
    <w:multiLevelType w:val="hybridMultilevel"/>
    <w:tmpl w:val="E0E66346"/>
    <w:lvl w:ilvl="0" w:tplc="9814A858">
      <w:start w:val="1"/>
      <w:numFmt w:val="decimal"/>
      <w:lvlText w:val="%1."/>
      <w:lvlJc w:val="left"/>
      <w:pPr>
        <w:ind w:left="658" w:hanging="360"/>
      </w:pPr>
      <w:rPr>
        <w:rFonts w:hint="default"/>
      </w:rPr>
    </w:lvl>
    <w:lvl w:ilvl="1" w:tplc="04180019" w:tentative="1">
      <w:start w:val="1"/>
      <w:numFmt w:val="lowerLetter"/>
      <w:lvlText w:val="%2."/>
      <w:lvlJc w:val="left"/>
      <w:pPr>
        <w:ind w:left="1378" w:hanging="360"/>
      </w:pPr>
    </w:lvl>
    <w:lvl w:ilvl="2" w:tplc="0418001B" w:tentative="1">
      <w:start w:val="1"/>
      <w:numFmt w:val="lowerRoman"/>
      <w:lvlText w:val="%3."/>
      <w:lvlJc w:val="right"/>
      <w:pPr>
        <w:ind w:left="2098" w:hanging="180"/>
      </w:pPr>
    </w:lvl>
    <w:lvl w:ilvl="3" w:tplc="0418000F" w:tentative="1">
      <w:start w:val="1"/>
      <w:numFmt w:val="decimal"/>
      <w:lvlText w:val="%4."/>
      <w:lvlJc w:val="left"/>
      <w:pPr>
        <w:ind w:left="2818" w:hanging="360"/>
      </w:pPr>
    </w:lvl>
    <w:lvl w:ilvl="4" w:tplc="04180019" w:tentative="1">
      <w:start w:val="1"/>
      <w:numFmt w:val="lowerLetter"/>
      <w:lvlText w:val="%5."/>
      <w:lvlJc w:val="left"/>
      <w:pPr>
        <w:ind w:left="3538" w:hanging="360"/>
      </w:pPr>
    </w:lvl>
    <w:lvl w:ilvl="5" w:tplc="0418001B" w:tentative="1">
      <w:start w:val="1"/>
      <w:numFmt w:val="lowerRoman"/>
      <w:lvlText w:val="%6."/>
      <w:lvlJc w:val="right"/>
      <w:pPr>
        <w:ind w:left="4258" w:hanging="180"/>
      </w:pPr>
    </w:lvl>
    <w:lvl w:ilvl="6" w:tplc="0418000F" w:tentative="1">
      <w:start w:val="1"/>
      <w:numFmt w:val="decimal"/>
      <w:lvlText w:val="%7."/>
      <w:lvlJc w:val="left"/>
      <w:pPr>
        <w:ind w:left="4978" w:hanging="360"/>
      </w:pPr>
    </w:lvl>
    <w:lvl w:ilvl="7" w:tplc="04180019" w:tentative="1">
      <w:start w:val="1"/>
      <w:numFmt w:val="lowerLetter"/>
      <w:lvlText w:val="%8."/>
      <w:lvlJc w:val="left"/>
      <w:pPr>
        <w:ind w:left="5698" w:hanging="360"/>
      </w:pPr>
    </w:lvl>
    <w:lvl w:ilvl="8" w:tplc="0418001B" w:tentative="1">
      <w:start w:val="1"/>
      <w:numFmt w:val="lowerRoman"/>
      <w:lvlText w:val="%9."/>
      <w:lvlJc w:val="right"/>
      <w:pPr>
        <w:ind w:left="6418" w:hanging="180"/>
      </w:pPr>
    </w:lvl>
  </w:abstractNum>
  <w:abstractNum w:abstractNumId="195">
    <w:nsid w:val="765C7165"/>
    <w:multiLevelType w:val="hybridMultilevel"/>
    <w:tmpl w:val="07EE7F52"/>
    <w:lvl w:ilvl="0" w:tplc="3E0E1A2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76794807"/>
    <w:multiLevelType w:val="hybridMultilevel"/>
    <w:tmpl w:val="FB3265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7A670EF"/>
    <w:multiLevelType w:val="hybridMultilevel"/>
    <w:tmpl w:val="4808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8384CFB"/>
    <w:multiLevelType w:val="hybridMultilevel"/>
    <w:tmpl w:val="EF8A08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784C5703"/>
    <w:multiLevelType w:val="hybridMultilevel"/>
    <w:tmpl w:val="E86AB8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789130A5"/>
    <w:multiLevelType w:val="hybridMultilevel"/>
    <w:tmpl w:val="EEACEB3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1">
    <w:nsid w:val="798A0288"/>
    <w:multiLevelType w:val="hybridMultilevel"/>
    <w:tmpl w:val="B89E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7AE87702"/>
    <w:multiLevelType w:val="hybridMultilevel"/>
    <w:tmpl w:val="B888CEE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3">
    <w:nsid w:val="7B414737"/>
    <w:multiLevelType w:val="hybridMultilevel"/>
    <w:tmpl w:val="7B62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C117128"/>
    <w:multiLevelType w:val="hybridMultilevel"/>
    <w:tmpl w:val="D4C4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D144DB3"/>
    <w:multiLevelType w:val="hybridMultilevel"/>
    <w:tmpl w:val="1E9CC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D701426"/>
    <w:multiLevelType w:val="hybridMultilevel"/>
    <w:tmpl w:val="EAD20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7">
    <w:nsid w:val="7EC81A6B"/>
    <w:multiLevelType w:val="hybridMultilevel"/>
    <w:tmpl w:val="5C1406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F553574"/>
    <w:multiLevelType w:val="hybridMultilevel"/>
    <w:tmpl w:val="D2CA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FC9172C"/>
    <w:multiLevelType w:val="hybridMultilevel"/>
    <w:tmpl w:val="468E2B3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FCB65D6"/>
    <w:multiLevelType w:val="hybridMultilevel"/>
    <w:tmpl w:val="F60A862C"/>
    <w:lvl w:ilvl="0" w:tplc="D88C1E38">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84"/>
  </w:num>
  <w:num w:numId="12">
    <w:abstractNumId w:val="127"/>
  </w:num>
  <w:num w:numId="13">
    <w:abstractNumId w:val="55"/>
  </w:num>
  <w:num w:numId="14">
    <w:abstractNumId w:val="61"/>
  </w:num>
  <w:num w:numId="15">
    <w:abstractNumId w:val="124"/>
    <w:lvlOverride w:ilvl="1">
      <w:lvl w:ilvl="1">
        <w:start w:val="1"/>
        <w:numFmt w:val="decimal"/>
        <w:pStyle w:val="Titlu2"/>
        <w:lvlText w:val="%1.%2"/>
        <w:lvlJc w:val="left"/>
        <w:pPr>
          <w:ind w:left="936" w:hanging="936"/>
        </w:pPr>
        <w:rPr>
          <w:rFonts w:hint="default"/>
          <w:color w:val="000000" w:themeColor="text1"/>
          <w:sz w:val="28"/>
        </w:rPr>
      </w:lvl>
    </w:lvlOverride>
    <w:lvlOverride w:ilvl="2">
      <w:lvl w:ilvl="2">
        <w:start w:val="1"/>
        <w:numFmt w:val="decimal"/>
        <w:pStyle w:val="Titlu3"/>
        <w:lvlText w:val="%1.%2.%3"/>
        <w:lvlJc w:val="left"/>
        <w:pPr>
          <w:ind w:left="1077" w:hanging="1077"/>
        </w:pPr>
        <w:rPr>
          <w:rFonts w:hint="default"/>
          <w:color w:val="000000" w:themeColor="text1"/>
          <w:sz w:val="28"/>
        </w:rPr>
      </w:lvl>
    </w:lvlOverride>
  </w:num>
  <w:num w:numId="16">
    <w:abstractNumId w:val="94"/>
  </w:num>
  <w:num w:numId="17">
    <w:abstractNumId w:val="164"/>
  </w:num>
  <w:num w:numId="18">
    <w:abstractNumId w:val="26"/>
  </w:num>
  <w:num w:numId="19">
    <w:abstractNumId w:val="63"/>
  </w:num>
  <w:num w:numId="20">
    <w:abstractNumId w:val="185"/>
  </w:num>
  <w:num w:numId="21">
    <w:abstractNumId w:val="46"/>
  </w:num>
  <w:num w:numId="22">
    <w:abstractNumId w:val="101"/>
  </w:num>
  <w:num w:numId="23">
    <w:abstractNumId w:val="166"/>
  </w:num>
  <w:num w:numId="24">
    <w:abstractNumId w:val="15"/>
  </w:num>
  <w:num w:numId="25">
    <w:abstractNumId w:val="108"/>
  </w:num>
  <w:num w:numId="26">
    <w:abstractNumId w:val="179"/>
  </w:num>
  <w:num w:numId="27">
    <w:abstractNumId w:val="143"/>
  </w:num>
  <w:num w:numId="28">
    <w:abstractNumId w:val="141"/>
  </w:num>
  <w:num w:numId="29">
    <w:abstractNumId w:val="35"/>
  </w:num>
  <w:num w:numId="30">
    <w:abstractNumId w:val="188"/>
  </w:num>
  <w:num w:numId="31">
    <w:abstractNumId w:val="28"/>
  </w:num>
  <w:num w:numId="32">
    <w:abstractNumId w:val="74"/>
  </w:num>
  <w:num w:numId="33">
    <w:abstractNumId w:val="56"/>
  </w:num>
  <w:num w:numId="34">
    <w:abstractNumId w:val="210"/>
  </w:num>
  <w:num w:numId="35">
    <w:abstractNumId w:val="41"/>
  </w:num>
  <w:num w:numId="36">
    <w:abstractNumId w:val="129"/>
  </w:num>
  <w:num w:numId="37">
    <w:abstractNumId w:val="80"/>
  </w:num>
  <w:num w:numId="38">
    <w:abstractNumId w:val="187"/>
  </w:num>
  <w:num w:numId="39">
    <w:abstractNumId w:val="171"/>
  </w:num>
  <w:num w:numId="40">
    <w:abstractNumId w:val="52"/>
  </w:num>
  <w:num w:numId="41">
    <w:abstractNumId w:val="126"/>
  </w:num>
  <w:num w:numId="42">
    <w:abstractNumId w:val="158"/>
  </w:num>
  <w:num w:numId="43">
    <w:abstractNumId w:val="10"/>
  </w:num>
  <w:num w:numId="44">
    <w:abstractNumId w:val="155"/>
  </w:num>
  <w:num w:numId="45">
    <w:abstractNumId w:val="50"/>
  </w:num>
  <w:num w:numId="46">
    <w:abstractNumId w:val="136"/>
  </w:num>
  <w:num w:numId="47">
    <w:abstractNumId w:val="69"/>
  </w:num>
  <w:num w:numId="48">
    <w:abstractNumId w:val="195"/>
  </w:num>
  <w:num w:numId="49">
    <w:abstractNumId w:val="23"/>
  </w:num>
  <w:num w:numId="50">
    <w:abstractNumId w:val="53"/>
  </w:num>
  <w:num w:numId="51">
    <w:abstractNumId w:val="175"/>
  </w:num>
  <w:num w:numId="52">
    <w:abstractNumId w:val="18"/>
  </w:num>
  <w:num w:numId="53">
    <w:abstractNumId w:val="71"/>
  </w:num>
  <w:num w:numId="54">
    <w:abstractNumId w:val="149"/>
  </w:num>
  <w:num w:numId="55">
    <w:abstractNumId w:val="177"/>
  </w:num>
  <w:num w:numId="56">
    <w:abstractNumId w:val="44"/>
  </w:num>
  <w:num w:numId="57">
    <w:abstractNumId w:val="19"/>
  </w:num>
  <w:num w:numId="58">
    <w:abstractNumId w:val="89"/>
  </w:num>
  <w:num w:numId="59">
    <w:abstractNumId w:val="30"/>
  </w:num>
  <w:num w:numId="60">
    <w:abstractNumId w:val="130"/>
  </w:num>
  <w:num w:numId="61">
    <w:abstractNumId w:val="189"/>
  </w:num>
  <w:num w:numId="62">
    <w:abstractNumId w:val="160"/>
  </w:num>
  <w:num w:numId="63">
    <w:abstractNumId w:val="201"/>
  </w:num>
  <w:num w:numId="64">
    <w:abstractNumId w:val="91"/>
  </w:num>
  <w:num w:numId="65">
    <w:abstractNumId w:val="199"/>
  </w:num>
  <w:num w:numId="66">
    <w:abstractNumId w:val="178"/>
  </w:num>
  <w:num w:numId="67">
    <w:abstractNumId w:val="144"/>
  </w:num>
  <w:num w:numId="68">
    <w:abstractNumId w:val="205"/>
  </w:num>
  <w:num w:numId="69">
    <w:abstractNumId w:val="193"/>
  </w:num>
  <w:num w:numId="70">
    <w:abstractNumId w:val="114"/>
  </w:num>
  <w:num w:numId="71">
    <w:abstractNumId w:val="27"/>
  </w:num>
  <w:num w:numId="72">
    <w:abstractNumId w:val="86"/>
  </w:num>
  <w:num w:numId="73">
    <w:abstractNumId w:val="65"/>
  </w:num>
  <w:num w:numId="74">
    <w:abstractNumId w:val="79"/>
  </w:num>
  <w:num w:numId="75">
    <w:abstractNumId w:val="47"/>
  </w:num>
  <w:num w:numId="76">
    <w:abstractNumId w:val="90"/>
  </w:num>
  <w:num w:numId="77">
    <w:abstractNumId w:val="184"/>
  </w:num>
  <w:num w:numId="78">
    <w:abstractNumId w:val="112"/>
  </w:num>
  <w:num w:numId="79">
    <w:abstractNumId w:val="66"/>
  </w:num>
  <w:num w:numId="80">
    <w:abstractNumId w:val="93"/>
  </w:num>
  <w:num w:numId="81">
    <w:abstractNumId w:val="68"/>
  </w:num>
  <w:num w:numId="82">
    <w:abstractNumId w:val="40"/>
  </w:num>
  <w:num w:numId="83">
    <w:abstractNumId w:val="128"/>
  </w:num>
  <w:num w:numId="84">
    <w:abstractNumId w:val="168"/>
  </w:num>
  <w:num w:numId="85">
    <w:abstractNumId w:val="37"/>
  </w:num>
  <w:num w:numId="86">
    <w:abstractNumId w:val="111"/>
  </w:num>
  <w:num w:numId="87">
    <w:abstractNumId w:val="145"/>
  </w:num>
  <w:num w:numId="88">
    <w:abstractNumId w:val="81"/>
  </w:num>
  <w:num w:numId="89">
    <w:abstractNumId w:val="64"/>
  </w:num>
  <w:num w:numId="90">
    <w:abstractNumId w:val="13"/>
  </w:num>
  <w:num w:numId="91">
    <w:abstractNumId w:val="97"/>
  </w:num>
  <w:num w:numId="92">
    <w:abstractNumId w:val="148"/>
  </w:num>
  <w:num w:numId="93">
    <w:abstractNumId w:val="134"/>
  </w:num>
  <w:num w:numId="94">
    <w:abstractNumId w:val="14"/>
  </w:num>
  <w:num w:numId="95">
    <w:abstractNumId w:val="54"/>
  </w:num>
  <w:num w:numId="96">
    <w:abstractNumId w:val="103"/>
  </w:num>
  <w:num w:numId="97">
    <w:abstractNumId w:val="75"/>
  </w:num>
  <w:num w:numId="98">
    <w:abstractNumId w:val="87"/>
  </w:num>
  <w:num w:numId="99">
    <w:abstractNumId w:val="123"/>
  </w:num>
  <w:num w:numId="100">
    <w:abstractNumId w:val="198"/>
  </w:num>
  <w:num w:numId="101">
    <w:abstractNumId w:val="33"/>
  </w:num>
  <w:num w:numId="102">
    <w:abstractNumId w:val="102"/>
  </w:num>
  <w:num w:numId="103">
    <w:abstractNumId w:val="34"/>
  </w:num>
  <w:num w:numId="104">
    <w:abstractNumId w:val="107"/>
  </w:num>
  <w:num w:numId="105">
    <w:abstractNumId w:val="203"/>
  </w:num>
  <w:num w:numId="106">
    <w:abstractNumId w:val="113"/>
  </w:num>
  <w:num w:numId="107">
    <w:abstractNumId w:val="109"/>
  </w:num>
  <w:num w:numId="108">
    <w:abstractNumId w:val="154"/>
  </w:num>
  <w:num w:numId="109">
    <w:abstractNumId w:val="147"/>
  </w:num>
  <w:num w:numId="110">
    <w:abstractNumId w:val="24"/>
  </w:num>
  <w:num w:numId="111">
    <w:abstractNumId w:val="191"/>
  </w:num>
  <w:num w:numId="112">
    <w:abstractNumId w:val="49"/>
  </w:num>
  <w:num w:numId="113">
    <w:abstractNumId w:val="20"/>
  </w:num>
  <w:num w:numId="114">
    <w:abstractNumId w:val="92"/>
  </w:num>
  <w:num w:numId="115">
    <w:abstractNumId w:val="125"/>
  </w:num>
  <w:num w:numId="116">
    <w:abstractNumId w:val="29"/>
  </w:num>
  <w:num w:numId="117">
    <w:abstractNumId w:val="115"/>
  </w:num>
  <w:num w:numId="118">
    <w:abstractNumId w:val="174"/>
  </w:num>
  <w:num w:numId="119">
    <w:abstractNumId w:val="157"/>
  </w:num>
  <w:num w:numId="120">
    <w:abstractNumId w:val="104"/>
  </w:num>
  <w:num w:numId="121">
    <w:abstractNumId w:val="170"/>
  </w:num>
  <w:num w:numId="122">
    <w:abstractNumId w:val="117"/>
  </w:num>
  <w:num w:numId="123">
    <w:abstractNumId w:val="58"/>
  </w:num>
  <w:num w:numId="124">
    <w:abstractNumId w:val="67"/>
  </w:num>
  <w:num w:numId="125">
    <w:abstractNumId w:val="182"/>
  </w:num>
  <w:num w:numId="126">
    <w:abstractNumId w:val="202"/>
  </w:num>
  <w:num w:numId="127">
    <w:abstractNumId w:val="121"/>
  </w:num>
  <w:num w:numId="128">
    <w:abstractNumId w:val="96"/>
  </w:num>
  <w:num w:numId="129">
    <w:abstractNumId w:val="162"/>
  </w:num>
  <w:num w:numId="130">
    <w:abstractNumId w:val="78"/>
  </w:num>
  <w:num w:numId="131">
    <w:abstractNumId w:val="59"/>
  </w:num>
  <w:num w:numId="132">
    <w:abstractNumId w:val="100"/>
  </w:num>
  <w:num w:numId="133">
    <w:abstractNumId w:val="31"/>
  </w:num>
  <w:num w:numId="134">
    <w:abstractNumId w:val="207"/>
  </w:num>
  <w:num w:numId="135">
    <w:abstractNumId w:val="38"/>
  </w:num>
  <w:num w:numId="136">
    <w:abstractNumId w:val="186"/>
  </w:num>
  <w:num w:numId="137">
    <w:abstractNumId w:val="196"/>
  </w:num>
  <w:num w:numId="138">
    <w:abstractNumId w:val="138"/>
  </w:num>
  <w:num w:numId="139">
    <w:abstractNumId w:val="32"/>
  </w:num>
  <w:num w:numId="140">
    <w:abstractNumId w:val="11"/>
  </w:num>
  <w:num w:numId="141">
    <w:abstractNumId w:val="25"/>
  </w:num>
  <w:num w:numId="142">
    <w:abstractNumId w:val="99"/>
  </w:num>
  <w:num w:numId="143">
    <w:abstractNumId w:val="106"/>
  </w:num>
  <w:num w:numId="144">
    <w:abstractNumId w:val="45"/>
  </w:num>
  <w:num w:numId="145">
    <w:abstractNumId w:val="43"/>
  </w:num>
  <w:num w:numId="146">
    <w:abstractNumId w:val="17"/>
  </w:num>
  <w:num w:numId="147">
    <w:abstractNumId w:val="197"/>
  </w:num>
  <w:num w:numId="148">
    <w:abstractNumId w:val="42"/>
  </w:num>
  <w:num w:numId="149">
    <w:abstractNumId w:val="192"/>
  </w:num>
  <w:num w:numId="150">
    <w:abstractNumId w:val="21"/>
  </w:num>
  <w:num w:numId="151">
    <w:abstractNumId w:val="95"/>
  </w:num>
  <w:num w:numId="152">
    <w:abstractNumId w:val="181"/>
  </w:num>
  <w:num w:numId="153">
    <w:abstractNumId w:val="208"/>
  </w:num>
  <w:num w:numId="154">
    <w:abstractNumId w:val="140"/>
  </w:num>
  <w:num w:numId="155">
    <w:abstractNumId w:val="204"/>
  </w:num>
  <w:num w:numId="156">
    <w:abstractNumId w:val="60"/>
  </w:num>
  <w:num w:numId="157">
    <w:abstractNumId w:val="180"/>
  </w:num>
  <w:num w:numId="158">
    <w:abstractNumId w:val="206"/>
  </w:num>
  <w:num w:numId="159">
    <w:abstractNumId w:val="72"/>
  </w:num>
  <w:num w:numId="160">
    <w:abstractNumId w:val="57"/>
  </w:num>
  <w:num w:numId="161">
    <w:abstractNumId w:val="139"/>
  </w:num>
  <w:num w:numId="162">
    <w:abstractNumId w:val="169"/>
  </w:num>
  <w:num w:numId="163">
    <w:abstractNumId w:val="142"/>
  </w:num>
  <w:num w:numId="164">
    <w:abstractNumId w:val="165"/>
  </w:num>
  <w:num w:numId="165">
    <w:abstractNumId w:val="48"/>
  </w:num>
  <w:num w:numId="166">
    <w:abstractNumId w:val="116"/>
  </w:num>
  <w:num w:numId="167">
    <w:abstractNumId w:val="133"/>
  </w:num>
  <w:num w:numId="168">
    <w:abstractNumId w:val="98"/>
  </w:num>
  <w:num w:numId="169">
    <w:abstractNumId w:val="131"/>
  </w:num>
  <w:num w:numId="170">
    <w:abstractNumId w:val="183"/>
  </w:num>
  <w:num w:numId="171">
    <w:abstractNumId w:val="51"/>
  </w:num>
  <w:num w:numId="172">
    <w:abstractNumId w:val="146"/>
  </w:num>
  <w:num w:numId="173">
    <w:abstractNumId w:val="156"/>
  </w:num>
  <w:num w:numId="174">
    <w:abstractNumId w:val="12"/>
  </w:num>
  <w:num w:numId="175">
    <w:abstractNumId w:val="176"/>
  </w:num>
  <w:num w:numId="176">
    <w:abstractNumId w:val="167"/>
  </w:num>
  <w:num w:numId="177">
    <w:abstractNumId w:val="209"/>
  </w:num>
  <w:num w:numId="178">
    <w:abstractNumId w:val="22"/>
  </w:num>
  <w:num w:numId="179">
    <w:abstractNumId w:val="161"/>
  </w:num>
  <w:num w:numId="180">
    <w:abstractNumId w:val="135"/>
  </w:num>
  <w:num w:numId="181">
    <w:abstractNumId w:val="82"/>
  </w:num>
  <w:num w:numId="182">
    <w:abstractNumId w:val="152"/>
  </w:num>
  <w:num w:numId="183">
    <w:abstractNumId w:val="36"/>
  </w:num>
  <w:num w:numId="184">
    <w:abstractNumId w:val="122"/>
  </w:num>
  <w:num w:numId="185">
    <w:abstractNumId w:val="119"/>
  </w:num>
  <w:num w:numId="186">
    <w:abstractNumId w:val="120"/>
  </w:num>
  <w:num w:numId="187">
    <w:abstractNumId w:val="39"/>
  </w:num>
  <w:num w:numId="188">
    <w:abstractNumId w:val="105"/>
  </w:num>
  <w:num w:numId="189">
    <w:abstractNumId w:val="132"/>
  </w:num>
  <w:num w:numId="190">
    <w:abstractNumId w:val="77"/>
  </w:num>
  <w:num w:numId="191">
    <w:abstractNumId w:val="16"/>
  </w:num>
  <w:num w:numId="192">
    <w:abstractNumId w:val="172"/>
  </w:num>
  <w:num w:numId="193">
    <w:abstractNumId w:val="88"/>
  </w:num>
  <w:num w:numId="194">
    <w:abstractNumId w:val="150"/>
  </w:num>
  <w:num w:numId="195">
    <w:abstractNumId w:val="173"/>
  </w:num>
  <w:num w:numId="196">
    <w:abstractNumId w:val="76"/>
  </w:num>
  <w:num w:numId="197">
    <w:abstractNumId w:val="83"/>
  </w:num>
  <w:num w:numId="198">
    <w:abstractNumId w:val="159"/>
  </w:num>
  <w:num w:numId="199">
    <w:abstractNumId w:val="190"/>
  </w:num>
  <w:num w:numId="200">
    <w:abstractNumId w:val="151"/>
  </w:num>
  <w:num w:numId="201">
    <w:abstractNumId w:val="153"/>
  </w:num>
  <w:num w:numId="202">
    <w:abstractNumId w:val="200"/>
  </w:num>
  <w:num w:numId="203">
    <w:abstractNumId w:val="110"/>
  </w:num>
  <w:num w:numId="204">
    <w:abstractNumId w:val="70"/>
  </w:num>
  <w:num w:numId="205">
    <w:abstractNumId w:val="85"/>
  </w:num>
  <w:num w:numId="206">
    <w:abstractNumId w:val="62"/>
  </w:num>
  <w:num w:numId="207">
    <w:abstractNumId w:val="137"/>
  </w:num>
  <w:num w:numId="208">
    <w:abstractNumId w:val="73"/>
  </w:num>
  <w:num w:numId="209">
    <w:abstractNumId w:val="118"/>
  </w:num>
  <w:num w:numId="210">
    <w:abstractNumId w:val="163"/>
  </w:num>
  <w:num w:numId="211">
    <w:abstractNumId w:val="124"/>
  </w:num>
  <w:num w:numId="212">
    <w:abstractNumId w:val="124"/>
  </w:num>
  <w:num w:numId="213">
    <w:abstractNumId w:val="124"/>
  </w:num>
  <w:num w:numId="214">
    <w:abstractNumId w:val="124"/>
  </w:num>
  <w:num w:numId="215">
    <w:abstractNumId w:val="124"/>
  </w:num>
  <w:num w:numId="216">
    <w:abstractNumId w:val="124"/>
  </w:num>
  <w:num w:numId="217">
    <w:abstractNumId w:val="124"/>
  </w:num>
  <w:num w:numId="218">
    <w:abstractNumId w:val="194"/>
  </w:num>
  <w:numIdMacAtCleanup w:val="20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ae">
    <w15:presenceInfo w15:providerId="None" w15:userId="Nicol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D1"/>
    <w:rsid w:val="0000009A"/>
    <w:rsid w:val="000010CD"/>
    <w:rsid w:val="0000195D"/>
    <w:rsid w:val="000019AD"/>
    <w:rsid w:val="00001C91"/>
    <w:rsid w:val="00001E02"/>
    <w:rsid w:val="000025D8"/>
    <w:rsid w:val="000027B7"/>
    <w:rsid w:val="000034EF"/>
    <w:rsid w:val="000041B4"/>
    <w:rsid w:val="00004F17"/>
    <w:rsid w:val="00005455"/>
    <w:rsid w:val="00006B57"/>
    <w:rsid w:val="00006F81"/>
    <w:rsid w:val="000071A1"/>
    <w:rsid w:val="000077D6"/>
    <w:rsid w:val="000078E3"/>
    <w:rsid w:val="0001062B"/>
    <w:rsid w:val="00010AD1"/>
    <w:rsid w:val="00010FDE"/>
    <w:rsid w:val="00011081"/>
    <w:rsid w:val="0001120B"/>
    <w:rsid w:val="00011652"/>
    <w:rsid w:val="0001167F"/>
    <w:rsid w:val="00011E60"/>
    <w:rsid w:val="0001244B"/>
    <w:rsid w:val="000126A5"/>
    <w:rsid w:val="000128EF"/>
    <w:rsid w:val="00012A72"/>
    <w:rsid w:val="00013030"/>
    <w:rsid w:val="00013828"/>
    <w:rsid w:val="000138BD"/>
    <w:rsid w:val="0001400D"/>
    <w:rsid w:val="00014D6B"/>
    <w:rsid w:val="000154A2"/>
    <w:rsid w:val="000158E4"/>
    <w:rsid w:val="00016A4B"/>
    <w:rsid w:val="00016DA0"/>
    <w:rsid w:val="00017082"/>
    <w:rsid w:val="00017161"/>
    <w:rsid w:val="00017356"/>
    <w:rsid w:val="00017589"/>
    <w:rsid w:val="00017DA1"/>
    <w:rsid w:val="000203D0"/>
    <w:rsid w:val="00021969"/>
    <w:rsid w:val="00021A49"/>
    <w:rsid w:val="00021CEB"/>
    <w:rsid w:val="000225BA"/>
    <w:rsid w:val="00022CE7"/>
    <w:rsid w:val="00022DEB"/>
    <w:rsid w:val="00022F34"/>
    <w:rsid w:val="000235E8"/>
    <w:rsid w:val="00023A08"/>
    <w:rsid w:val="00023BBC"/>
    <w:rsid w:val="00023C2D"/>
    <w:rsid w:val="000244EA"/>
    <w:rsid w:val="00024816"/>
    <w:rsid w:val="00024C91"/>
    <w:rsid w:val="00025EC7"/>
    <w:rsid w:val="000264F0"/>
    <w:rsid w:val="00026C94"/>
    <w:rsid w:val="0002762C"/>
    <w:rsid w:val="0003047C"/>
    <w:rsid w:val="00030A0B"/>
    <w:rsid w:val="00030FAB"/>
    <w:rsid w:val="00031CDF"/>
    <w:rsid w:val="000321DA"/>
    <w:rsid w:val="00032A9B"/>
    <w:rsid w:val="00032F73"/>
    <w:rsid w:val="00033C99"/>
    <w:rsid w:val="00034492"/>
    <w:rsid w:val="00036962"/>
    <w:rsid w:val="00037A27"/>
    <w:rsid w:val="00040D57"/>
    <w:rsid w:val="00040F2E"/>
    <w:rsid w:val="00041069"/>
    <w:rsid w:val="000417A6"/>
    <w:rsid w:val="00041F03"/>
    <w:rsid w:val="0004217B"/>
    <w:rsid w:val="00043064"/>
    <w:rsid w:val="000432A1"/>
    <w:rsid w:val="000437ED"/>
    <w:rsid w:val="00043C69"/>
    <w:rsid w:val="00043D95"/>
    <w:rsid w:val="000454ED"/>
    <w:rsid w:val="000456AB"/>
    <w:rsid w:val="00045F68"/>
    <w:rsid w:val="00047312"/>
    <w:rsid w:val="00047ABC"/>
    <w:rsid w:val="00050E70"/>
    <w:rsid w:val="000514A4"/>
    <w:rsid w:val="00051BBA"/>
    <w:rsid w:val="000529F0"/>
    <w:rsid w:val="00052FA3"/>
    <w:rsid w:val="00053E9A"/>
    <w:rsid w:val="00055095"/>
    <w:rsid w:val="0005613E"/>
    <w:rsid w:val="00056E44"/>
    <w:rsid w:val="00057F51"/>
    <w:rsid w:val="00060F30"/>
    <w:rsid w:val="00061A6C"/>
    <w:rsid w:val="00062E13"/>
    <w:rsid w:val="00063101"/>
    <w:rsid w:val="000637DF"/>
    <w:rsid w:val="000638AE"/>
    <w:rsid w:val="0006432D"/>
    <w:rsid w:val="000647AE"/>
    <w:rsid w:val="00064892"/>
    <w:rsid w:val="00065182"/>
    <w:rsid w:val="00065712"/>
    <w:rsid w:val="00066D33"/>
    <w:rsid w:val="00066EA1"/>
    <w:rsid w:val="00070895"/>
    <w:rsid w:val="000717DC"/>
    <w:rsid w:val="00072D22"/>
    <w:rsid w:val="000739A1"/>
    <w:rsid w:val="00073E54"/>
    <w:rsid w:val="000746F8"/>
    <w:rsid w:val="0007536B"/>
    <w:rsid w:val="00075BE5"/>
    <w:rsid w:val="00076D31"/>
    <w:rsid w:val="00080395"/>
    <w:rsid w:val="00080E82"/>
    <w:rsid w:val="000812F4"/>
    <w:rsid w:val="00082D5B"/>
    <w:rsid w:val="0008402D"/>
    <w:rsid w:val="000863B8"/>
    <w:rsid w:val="0008754E"/>
    <w:rsid w:val="00087AE4"/>
    <w:rsid w:val="00087B37"/>
    <w:rsid w:val="0009071F"/>
    <w:rsid w:val="00090D4E"/>
    <w:rsid w:val="00090EF4"/>
    <w:rsid w:val="00092434"/>
    <w:rsid w:val="00092779"/>
    <w:rsid w:val="00092ADE"/>
    <w:rsid w:val="00093844"/>
    <w:rsid w:val="00093FD6"/>
    <w:rsid w:val="00094F20"/>
    <w:rsid w:val="000959D4"/>
    <w:rsid w:val="00095C39"/>
    <w:rsid w:val="0009611E"/>
    <w:rsid w:val="00096D2B"/>
    <w:rsid w:val="00096E23"/>
    <w:rsid w:val="0009708D"/>
    <w:rsid w:val="000A0DC3"/>
    <w:rsid w:val="000A0E44"/>
    <w:rsid w:val="000A14CA"/>
    <w:rsid w:val="000A1747"/>
    <w:rsid w:val="000A1784"/>
    <w:rsid w:val="000A19BC"/>
    <w:rsid w:val="000A2150"/>
    <w:rsid w:val="000A26C5"/>
    <w:rsid w:val="000A2B37"/>
    <w:rsid w:val="000A3314"/>
    <w:rsid w:val="000A3E89"/>
    <w:rsid w:val="000A4AF8"/>
    <w:rsid w:val="000A4CC7"/>
    <w:rsid w:val="000A4E4A"/>
    <w:rsid w:val="000A4F6D"/>
    <w:rsid w:val="000A5836"/>
    <w:rsid w:val="000A695D"/>
    <w:rsid w:val="000A72CF"/>
    <w:rsid w:val="000B0BAA"/>
    <w:rsid w:val="000B0C58"/>
    <w:rsid w:val="000B0CC5"/>
    <w:rsid w:val="000B1076"/>
    <w:rsid w:val="000B1CDF"/>
    <w:rsid w:val="000B1E33"/>
    <w:rsid w:val="000B1ED1"/>
    <w:rsid w:val="000B4699"/>
    <w:rsid w:val="000B56D8"/>
    <w:rsid w:val="000B58E9"/>
    <w:rsid w:val="000B6305"/>
    <w:rsid w:val="000B6387"/>
    <w:rsid w:val="000B6AE0"/>
    <w:rsid w:val="000C05E6"/>
    <w:rsid w:val="000C275F"/>
    <w:rsid w:val="000C2E03"/>
    <w:rsid w:val="000C3716"/>
    <w:rsid w:val="000C3F6D"/>
    <w:rsid w:val="000C4380"/>
    <w:rsid w:val="000C4B93"/>
    <w:rsid w:val="000C4E4D"/>
    <w:rsid w:val="000C573A"/>
    <w:rsid w:val="000C5900"/>
    <w:rsid w:val="000C5A7C"/>
    <w:rsid w:val="000C7819"/>
    <w:rsid w:val="000C7BEC"/>
    <w:rsid w:val="000D056B"/>
    <w:rsid w:val="000D151A"/>
    <w:rsid w:val="000D16AF"/>
    <w:rsid w:val="000D2606"/>
    <w:rsid w:val="000D2EDD"/>
    <w:rsid w:val="000D33F6"/>
    <w:rsid w:val="000D35BC"/>
    <w:rsid w:val="000D3D6D"/>
    <w:rsid w:val="000D6270"/>
    <w:rsid w:val="000D70E1"/>
    <w:rsid w:val="000D754E"/>
    <w:rsid w:val="000E06D1"/>
    <w:rsid w:val="000E1376"/>
    <w:rsid w:val="000E162D"/>
    <w:rsid w:val="000E1C42"/>
    <w:rsid w:val="000E1D64"/>
    <w:rsid w:val="000E2355"/>
    <w:rsid w:val="000E2535"/>
    <w:rsid w:val="000E3D07"/>
    <w:rsid w:val="000E415A"/>
    <w:rsid w:val="000E43B2"/>
    <w:rsid w:val="000E4671"/>
    <w:rsid w:val="000E55A5"/>
    <w:rsid w:val="000E708B"/>
    <w:rsid w:val="000F0577"/>
    <w:rsid w:val="000F0D95"/>
    <w:rsid w:val="000F145B"/>
    <w:rsid w:val="000F1C6E"/>
    <w:rsid w:val="000F1F63"/>
    <w:rsid w:val="000F326D"/>
    <w:rsid w:val="000F3706"/>
    <w:rsid w:val="000F4BC0"/>
    <w:rsid w:val="000F5024"/>
    <w:rsid w:val="000F507D"/>
    <w:rsid w:val="000F5CC5"/>
    <w:rsid w:val="000F6959"/>
    <w:rsid w:val="000F7138"/>
    <w:rsid w:val="000F7E2A"/>
    <w:rsid w:val="001006C3"/>
    <w:rsid w:val="00100C04"/>
    <w:rsid w:val="001023D5"/>
    <w:rsid w:val="00102440"/>
    <w:rsid w:val="00102D51"/>
    <w:rsid w:val="00103079"/>
    <w:rsid w:val="00103B4F"/>
    <w:rsid w:val="00104294"/>
    <w:rsid w:val="0010599C"/>
    <w:rsid w:val="00105D13"/>
    <w:rsid w:val="00105D5C"/>
    <w:rsid w:val="00106F67"/>
    <w:rsid w:val="0010700C"/>
    <w:rsid w:val="0010768E"/>
    <w:rsid w:val="001076EB"/>
    <w:rsid w:val="001078A7"/>
    <w:rsid w:val="00107A78"/>
    <w:rsid w:val="00107CBC"/>
    <w:rsid w:val="0011089B"/>
    <w:rsid w:val="00111238"/>
    <w:rsid w:val="001114D3"/>
    <w:rsid w:val="00112CAB"/>
    <w:rsid w:val="001150F8"/>
    <w:rsid w:val="00115121"/>
    <w:rsid w:val="00115635"/>
    <w:rsid w:val="001164DA"/>
    <w:rsid w:val="001168B0"/>
    <w:rsid w:val="00117177"/>
    <w:rsid w:val="00117FD8"/>
    <w:rsid w:val="001221B7"/>
    <w:rsid w:val="001221B8"/>
    <w:rsid w:val="00122751"/>
    <w:rsid w:val="00123EC6"/>
    <w:rsid w:val="00123FB0"/>
    <w:rsid w:val="00124404"/>
    <w:rsid w:val="00124841"/>
    <w:rsid w:val="00124FE4"/>
    <w:rsid w:val="00125D15"/>
    <w:rsid w:val="00127723"/>
    <w:rsid w:val="00127956"/>
    <w:rsid w:val="00127E34"/>
    <w:rsid w:val="00130407"/>
    <w:rsid w:val="00130436"/>
    <w:rsid w:val="0013098D"/>
    <w:rsid w:val="001309DF"/>
    <w:rsid w:val="00130A50"/>
    <w:rsid w:val="00130B0F"/>
    <w:rsid w:val="00130C5D"/>
    <w:rsid w:val="00131E40"/>
    <w:rsid w:val="00132FB6"/>
    <w:rsid w:val="0013347D"/>
    <w:rsid w:val="001344E5"/>
    <w:rsid w:val="00136066"/>
    <w:rsid w:val="00137156"/>
    <w:rsid w:val="00137CA9"/>
    <w:rsid w:val="001400EE"/>
    <w:rsid w:val="0014013D"/>
    <w:rsid w:val="00140721"/>
    <w:rsid w:val="001410BC"/>
    <w:rsid w:val="00141991"/>
    <w:rsid w:val="00143160"/>
    <w:rsid w:val="00143C98"/>
    <w:rsid w:val="00144200"/>
    <w:rsid w:val="0014452C"/>
    <w:rsid w:val="001445EA"/>
    <w:rsid w:val="001446CC"/>
    <w:rsid w:val="00144B46"/>
    <w:rsid w:val="00144BE0"/>
    <w:rsid w:val="00144C08"/>
    <w:rsid w:val="00144D3F"/>
    <w:rsid w:val="00144D6B"/>
    <w:rsid w:val="00144EBF"/>
    <w:rsid w:val="0014564D"/>
    <w:rsid w:val="0014615F"/>
    <w:rsid w:val="001462C9"/>
    <w:rsid w:val="00146799"/>
    <w:rsid w:val="00146D3A"/>
    <w:rsid w:val="00147585"/>
    <w:rsid w:val="001478E7"/>
    <w:rsid w:val="00147CE6"/>
    <w:rsid w:val="00152C40"/>
    <w:rsid w:val="00152C91"/>
    <w:rsid w:val="00153736"/>
    <w:rsid w:val="00154483"/>
    <w:rsid w:val="001545AE"/>
    <w:rsid w:val="00154B3F"/>
    <w:rsid w:val="0015502C"/>
    <w:rsid w:val="00156A2C"/>
    <w:rsid w:val="00157AA7"/>
    <w:rsid w:val="0016051F"/>
    <w:rsid w:val="00161BCE"/>
    <w:rsid w:val="001624DE"/>
    <w:rsid w:val="00162D18"/>
    <w:rsid w:val="00162F4F"/>
    <w:rsid w:val="00163B66"/>
    <w:rsid w:val="00163EA8"/>
    <w:rsid w:val="00165459"/>
    <w:rsid w:val="0017055F"/>
    <w:rsid w:val="001708A8"/>
    <w:rsid w:val="00170C43"/>
    <w:rsid w:val="00171CAF"/>
    <w:rsid w:val="00172831"/>
    <w:rsid w:val="00173646"/>
    <w:rsid w:val="001738FD"/>
    <w:rsid w:val="001746A4"/>
    <w:rsid w:val="00174DDC"/>
    <w:rsid w:val="00175ABB"/>
    <w:rsid w:val="00175B58"/>
    <w:rsid w:val="00176282"/>
    <w:rsid w:val="00177664"/>
    <w:rsid w:val="0017785F"/>
    <w:rsid w:val="00177E9C"/>
    <w:rsid w:val="00177EAB"/>
    <w:rsid w:val="00177ED8"/>
    <w:rsid w:val="001801B9"/>
    <w:rsid w:val="00180490"/>
    <w:rsid w:val="00180F7A"/>
    <w:rsid w:val="001824AB"/>
    <w:rsid w:val="0018293A"/>
    <w:rsid w:val="00182C1F"/>
    <w:rsid w:val="0018375D"/>
    <w:rsid w:val="00183B43"/>
    <w:rsid w:val="0018467E"/>
    <w:rsid w:val="001864DC"/>
    <w:rsid w:val="00186F62"/>
    <w:rsid w:val="00187737"/>
    <w:rsid w:val="00187F1B"/>
    <w:rsid w:val="00190507"/>
    <w:rsid w:val="00190FB7"/>
    <w:rsid w:val="001911CB"/>
    <w:rsid w:val="00191336"/>
    <w:rsid w:val="00191595"/>
    <w:rsid w:val="00191F77"/>
    <w:rsid w:val="001921A6"/>
    <w:rsid w:val="001923A6"/>
    <w:rsid w:val="001924AE"/>
    <w:rsid w:val="00192725"/>
    <w:rsid w:val="001934A5"/>
    <w:rsid w:val="00193943"/>
    <w:rsid w:val="00193B88"/>
    <w:rsid w:val="00194BD3"/>
    <w:rsid w:val="00194BDD"/>
    <w:rsid w:val="001952C6"/>
    <w:rsid w:val="001A00C0"/>
    <w:rsid w:val="001A101E"/>
    <w:rsid w:val="001A1037"/>
    <w:rsid w:val="001A13E0"/>
    <w:rsid w:val="001A1CB6"/>
    <w:rsid w:val="001A293B"/>
    <w:rsid w:val="001A33E7"/>
    <w:rsid w:val="001A3909"/>
    <w:rsid w:val="001A3D16"/>
    <w:rsid w:val="001A41B0"/>
    <w:rsid w:val="001A4731"/>
    <w:rsid w:val="001A4A01"/>
    <w:rsid w:val="001A4CDA"/>
    <w:rsid w:val="001A4F46"/>
    <w:rsid w:val="001A5622"/>
    <w:rsid w:val="001A5AE5"/>
    <w:rsid w:val="001A5F08"/>
    <w:rsid w:val="001A5FBF"/>
    <w:rsid w:val="001A60CC"/>
    <w:rsid w:val="001A74C6"/>
    <w:rsid w:val="001A766B"/>
    <w:rsid w:val="001A7D56"/>
    <w:rsid w:val="001B1A25"/>
    <w:rsid w:val="001B2112"/>
    <w:rsid w:val="001B3DCF"/>
    <w:rsid w:val="001B3DD5"/>
    <w:rsid w:val="001B3F1B"/>
    <w:rsid w:val="001B43C4"/>
    <w:rsid w:val="001B4E3A"/>
    <w:rsid w:val="001B55F0"/>
    <w:rsid w:val="001B56C2"/>
    <w:rsid w:val="001B596E"/>
    <w:rsid w:val="001B7457"/>
    <w:rsid w:val="001B7E90"/>
    <w:rsid w:val="001C0082"/>
    <w:rsid w:val="001C02FC"/>
    <w:rsid w:val="001C0BFD"/>
    <w:rsid w:val="001C0E41"/>
    <w:rsid w:val="001C15EF"/>
    <w:rsid w:val="001C19EB"/>
    <w:rsid w:val="001C2C7C"/>
    <w:rsid w:val="001C3036"/>
    <w:rsid w:val="001C32DF"/>
    <w:rsid w:val="001C4CFB"/>
    <w:rsid w:val="001C4ECB"/>
    <w:rsid w:val="001C58A9"/>
    <w:rsid w:val="001C5EF5"/>
    <w:rsid w:val="001C67A2"/>
    <w:rsid w:val="001C719E"/>
    <w:rsid w:val="001C7BF0"/>
    <w:rsid w:val="001D01E9"/>
    <w:rsid w:val="001D046D"/>
    <w:rsid w:val="001D09C0"/>
    <w:rsid w:val="001D1588"/>
    <w:rsid w:val="001D1FC5"/>
    <w:rsid w:val="001D323B"/>
    <w:rsid w:val="001D3B30"/>
    <w:rsid w:val="001D48CF"/>
    <w:rsid w:val="001D4E8D"/>
    <w:rsid w:val="001D514F"/>
    <w:rsid w:val="001D5905"/>
    <w:rsid w:val="001D607B"/>
    <w:rsid w:val="001D6122"/>
    <w:rsid w:val="001D668D"/>
    <w:rsid w:val="001D6F5B"/>
    <w:rsid w:val="001D73A6"/>
    <w:rsid w:val="001D7A2A"/>
    <w:rsid w:val="001E0C3F"/>
    <w:rsid w:val="001E1250"/>
    <w:rsid w:val="001E1700"/>
    <w:rsid w:val="001E328B"/>
    <w:rsid w:val="001E3482"/>
    <w:rsid w:val="001E36EA"/>
    <w:rsid w:val="001E4C0E"/>
    <w:rsid w:val="001E5A52"/>
    <w:rsid w:val="001E7FDA"/>
    <w:rsid w:val="001F0137"/>
    <w:rsid w:val="001F068D"/>
    <w:rsid w:val="001F1501"/>
    <w:rsid w:val="001F1AE8"/>
    <w:rsid w:val="001F2323"/>
    <w:rsid w:val="001F26F0"/>
    <w:rsid w:val="001F2DF6"/>
    <w:rsid w:val="001F3937"/>
    <w:rsid w:val="001F3A12"/>
    <w:rsid w:val="001F414E"/>
    <w:rsid w:val="001F4AA1"/>
    <w:rsid w:val="001F5046"/>
    <w:rsid w:val="001F57AA"/>
    <w:rsid w:val="001F5C51"/>
    <w:rsid w:val="001F6716"/>
    <w:rsid w:val="001F69FC"/>
    <w:rsid w:val="001F6EEA"/>
    <w:rsid w:val="001F7EEE"/>
    <w:rsid w:val="00200576"/>
    <w:rsid w:val="00200695"/>
    <w:rsid w:val="0020091B"/>
    <w:rsid w:val="00201B5E"/>
    <w:rsid w:val="00201D7F"/>
    <w:rsid w:val="002026AC"/>
    <w:rsid w:val="00202734"/>
    <w:rsid w:val="00204033"/>
    <w:rsid w:val="002045D7"/>
    <w:rsid w:val="0020499B"/>
    <w:rsid w:val="0020518A"/>
    <w:rsid w:val="00205225"/>
    <w:rsid w:val="00205913"/>
    <w:rsid w:val="0020605C"/>
    <w:rsid w:val="00206150"/>
    <w:rsid w:val="002061FF"/>
    <w:rsid w:val="00206E4D"/>
    <w:rsid w:val="00207AF3"/>
    <w:rsid w:val="00210C2C"/>
    <w:rsid w:val="00210C66"/>
    <w:rsid w:val="00210D8F"/>
    <w:rsid w:val="00211450"/>
    <w:rsid w:val="00211462"/>
    <w:rsid w:val="00211F14"/>
    <w:rsid w:val="00212282"/>
    <w:rsid w:val="00212451"/>
    <w:rsid w:val="00212683"/>
    <w:rsid w:val="00212810"/>
    <w:rsid w:val="00212952"/>
    <w:rsid w:val="00212B97"/>
    <w:rsid w:val="002141C6"/>
    <w:rsid w:val="00214281"/>
    <w:rsid w:val="00214A13"/>
    <w:rsid w:val="002156FC"/>
    <w:rsid w:val="00215A06"/>
    <w:rsid w:val="00216C86"/>
    <w:rsid w:val="00216EA2"/>
    <w:rsid w:val="0021728D"/>
    <w:rsid w:val="00220522"/>
    <w:rsid w:val="0022133C"/>
    <w:rsid w:val="0022151F"/>
    <w:rsid w:val="00222E2D"/>
    <w:rsid w:val="00223467"/>
    <w:rsid w:val="00223A0A"/>
    <w:rsid w:val="00223DAC"/>
    <w:rsid w:val="0022499E"/>
    <w:rsid w:val="00226C89"/>
    <w:rsid w:val="00230144"/>
    <w:rsid w:val="002306B8"/>
    <w:rsid w:val="002310F6"/>
    <w:rsid w:val="002325F9"/>
    <w:rsid w:val="00233075"/>
    <w:rsid w:val="00235B4B"/>
    <w:rsid w:val="00236248"/>
    <w:rsid w:val="0023753E"/>
    <w:rsid w:val="00237DFD"/>
    <w:rsid w:val="00240B22"/>
    <w:rsid w:val="00244ABA"/>
    <w:rsid w:val="00247861"/>
    <w:rsid w:val="002478DE"/>
    <w:rsid w:val="00247C88"/>
    <w:rsid w:val="00250B8B"/>
    <w:rsid w:val="00250F0A"/>
    <w:rsid w:val="00251B1B"/>
    <w:rsid w:val="00251DD4"/>
    <w:rsid w:val="00252296"/>
    <w:rsid w:val="00252EF2"/>
    <w:rsid w:val="00253015"/>
    <w:rsid w:val="0025366D"/>
    <w:rsid w:val="00253AED"/>
    <w:rsid w:val="0025445E"/>
    <w:rsid w:val="00254727"/>
    <w:rsid w:val="0025538F"/>
    <w:rsid w:val="002554E1"/>
    <w:rsid w:val="0025567F"/>
    <w:rsid w:val="002562C1"/>
    <w:rsid w:val="002604A9"/>
    <w:rsid w:val="00260B4F"/>
    <w:rsid w:val="00260D03"/>
    <w:rsid w:val="0026197C"/>
    <w:rsid w:val="00261E3A"/>
    <w:rsid w:val="00261F7E"/>
    <w:rsid w:val="00262109"/>
    <w:rsid w:val="002624B2"/>
    <w:rsid w:val="0026319F"/>
    <w:rsid w:val="00264116"/>
    <w:rsid w:val="002652E9"/>
    <w:rsid w:val="00265685"/>
    <w:rsid w:val="0026572E"/>
    <w:rsid w:val="0027019F"/>
    <w:rsid w:val="002704BC"/>
    <w:rsid w:val="0027068E"/>
    <w:rsid w:val="00270BD9"/>
    <w:rsid w:val="00270DF3"/>
    <w:rsid w:val="002712E4"/>
    <w:rsid w:val="0027221B"/>
    <w:rsid w:val="002723B0"/>
    <w:rsid w:val="002733CB"/>
    <w:rsid w:val="00273CDE"/>
    <w:rsid w:val="00273EE2"/>
    <w:rsid w:val="00274186"/>
    <w:rsid w:val="00274929"/>
    <w:rsid w:val="00274A44"/>
    <w:rsid w:val="00275BBC"/>
    <w:rsid w:val="002766D2"/>
    <w:rsid w:val="00280231"/>
    <w:rsid w:val="002808C8"/>
    <w:rsid w:val="00280B14"/>
    <w:rsid w:val="00281575"/>
    <w:rsid w:val="0028173F"/>
    <w:rsid w:val="002824C4"/>
    <w:rsid w:val="0028278F"/>
    <w:rsid w:val="002835EB"/>
    <w:rsid w:val="00283DFF"/>
    <w:rsid w:val="002852BE"/>
    <w:rsid w:val="00285B70"/>
    <w:rsid w:val="00286055"/>
    <w:rsid w:val="002864E8"/>
    <w:rsid w:val="00286A0B"/>
    <w:rsid w:val="00290D12"/>
    <w:rsid w:val="0029208F"/>
    <w:rsid w:val="00292A27"/>
    <w:rsid w:val="00292CA6"/>
    <w:rsid w:val="00294030"/>
    <w:rsid w:val="002943C0"/>
    <w:rsid w:val="00294EC6"/>
    <w:rsid w:val="00296804"/>
    <w:rsid w:val="0029785D"/>
    <w:rsid w:val="00297ED0"/>
    <w:rsid w:val="00297ED5"/>
    <w:rsid w:val="002A0465"/>
    <w:rsid w:val="002A0D19"/>
    <w:rsid w:val="002A270D"/>
    <w:rsid w:val="002A3514"/>
    <w:rsid w:val="002A399F"/>
    <w:rsid w:val="002A40B1"/>
    <w:rsid w:val="002A4284"/>
    <w:rsid w:val="002A4991"/>
    <w:rsid w:val="002A62D4"/>
    <w:rsid w:val="002A6776"/>
    <w:rsid w:val="002A785C"/>
    <w:rsid w:val="002B09B5"/>
    <w:rsid w:val="002B0A10"/>
    <w:rsid w:val="002B0D6C"/>
    <w:rsid w:val="002B190A"/>
    <w:rsid w:val="002B1981"/>
    <w:rsid w:val="002B232C"/>
    <w:rsid w:val="002B2EBE"/>
    <w:rsid w:val="002B370D"/>
    <w:rsid w:val="002B3A15"/>
    <w:rsid w:val="002B3C08"/>
    <w:rsid w:val="002B4661"/>
    <w:rsid w:val="002B4A55"/>
    <w:rsid w:val="002B6231"/>
    <w:rsid w:val="002B63FD"/>
    <w:rsid w:val="002B675A"/>
    <w:rsid w:val="002B7376"/>
    <w:rsid w:val="002B7540"/>
    <w:rsid w:val="002B75BE"/>
    <w:rsid w:val="002C03BE"/>
    <w:rsid w:val="002C2BBB"/>
    <w:rsid w:val="002C2F67"/>
    <w:rsid w:val="002C36A4"/>
    <w:rsid w:val="002C3EE6"/>
    <w:rsid w:val="002C4300"/>
    <w:rsid w:val="002C4487"/>
    <w:rsid w:val="002C494C"/>
    <w:rsid w:val="002C4C65"/>
    <w:rsid w:val="002C57D0"/>
    <w:rsid w:val="002C6A15"/>
    <w:rsid w:val="002C6DF6"/>
    <w:rsid w:val="002C6FF1"/>
    <w:rsid w:val="002C7166"/>
    <w:rsid w:val="002C74C5"/>
    <w:rsid w:val="002C751B"/>
    <w:rsid w:val="002C7A1A"/>
    <w:rsid w:val="002D0546"/>
    <w:rsid w:val="002D0DB8"/>
    <w:rsid w:val="002D11B0"/>
    <w:rsid w:val="002D17B6"/>
    <w:rsid w:val="002D206E"/>
    <w:rsid w:val="002D213E"/>
    <w:rsid w:val="002D2CFF"/>
    <w:rsid w:val="002D3A78"/>
    <w:rsid w:val="002D458D"/>
    <w:rsid w:val="002D5092"/>
    <w:rsid w:val="002D55BA"/>
    <w:rsid w:val="002D6B7B"/>
    <w:rsid w:val="002E0B6B"/>
    <w:rsid w:val="002E1216"/>
    <w:rsid w:val="002E15D0"/>
    <w:rsid w:val="002E216A"/>
    <w:rsid w:val="002E2968"/>
    <w:rsid w:val="002E29AF"/>
    <w:rsid w:val="002E2B5C"/>
    <w:rsid w:val="002E2BAE"/>
    <w:rsid w:val="002E306C"/>
    <w:rsid w:val="002E42BE"/>
    <w:rsid w:val="002E4504"/>
    <w:rsid w:val="002E4994"/>
    <w:rsid w:val="002E4A64"/>
    <w:rsid w:val="002E535C"/>
    <w:rsid w:val="002E538C"/>
    <w:rsid w:val="002E5FA5"/>
    <w:rsid w:val="002E6C36"/>
    <w:rsid w:val="002E6C42"/>
    <w:rsid w:val="002E737C"/>
    <w:rsid w:val="002E760B"/>
    <w:rsid w:val="002E7E19"/>
    <w:rsid w:val="002F0014"/>
    <w:rsid w:val="002F09F5"/>
    <w:rsid w:val="002F0B3A"/>
    <w:rsid w:val="002F0BD3"/>
    <w:rsid w:val="002F120F"/>
    <w:rsid w:val="002F2A7A"/>
    <w:rsid w:val="002F2AF5"/>
    <w:rsid w:val="002F3304"/>
    <w:rsid w:val="002F3B55"/>
    <w:rsid w:val="002F3CAA"/>
    <w:rsid w:val="002F45C7"/>
    <w:rsid w:val="002F56C4"/>
    <w:rsid w:val="002F5936"/>
    <w:rsid w:val="002F5CE2"/>
    <w:rsid w:val="002F68E8"/>
    <w:rsid w:val="002F6BA4"/>
    <w:rsid w:val="002F6E9D"/>
    <w:rsid w:val="002F7134"/>
    <w:rsid w:val="00300FE9"/>
    <w:rsid w:val="00302130"/>
    <w:rsid w:val="003028FD"/>
    <w:rsid w:val="00302BBF"/>
    <w:rsid w:val="00302DB3"/>
    <w:rsid w:val="0030352B"/>
    <w:rsid w:val="00303C40"/>
    <w:rsid w:val="0030530B"/>
    <w:rsid w:val="00305ADC"/>
    <w:rsid w:val="00305AEB"/>
    <w:rsid w:val="00305D0F"/>
    <w:rsid w:val="0030690F"/>
    <w:rsid w:val="0030708D"/>
    <w:rsid w:val="00311114"/>
    <w:rsid w:val="0031177C"/>
    <w:rsid w:val="00311876"/>
    <w:rsid w:val="003122CF"/>
    <w:rsid w:val="0031317D"/>
    <w:rsid w:val="00313A92"/>
    <w:rsid w:val="003155D5"/>
    <w:rsid w:val="00316074"/>
    <w:rsid w:val="00317380"/>
    <w:rsid w:val="003173A2"/>
    <w:rsid w:val="00321975"/>
    <w:rsid w:val="00321CD5"/>
    <w:rsid w:val="00322827"/>
    <w:rsid w:val="003231CA"/>
    <w:rsid w:val="003234E5"/>
    <w:rsid w:val="00323653"/>
    <w:rsid w:val="003238C2"/>
    <w:rsid w:val="0032423E"/>
    <w:rsid w:val="00324960"/>
    <w:rsid w:val="00324A89"/>
    <w:rsid w:val="00324F71"/>
    <w:rsid w:val="00325869"/>
    <w:rsid w:val="003258E7"/>
    <w:rsid w:val="0032594E"/>
    <w:rsid w:val="00326809"/>
    <w:rsid w:val="00333E65"/>
    <w:rsid w:val="00333FBB"/>
    <w:rsid w:val="00334259"/>
    <w:rsid w:val="003346E6"/>
    <w:rsid w:val="00334DD0"/>
    <w:rsid w:val="00334F3B"/>
    <w:rsid w:val="00335822"/>
    <w:rsid w:val="0033626B"/>
    <w:rsid w:val="00336513"/>
    <w:rsid w:val="00336B1F"/>
    <w:rsid w:val="00336D0A"/>
    <w:rsid w:val="003373FE"/>
    <w:rsid w:val="0033784A"/>
    <w:rsid w:val="0034099B"/>
    <w:rsid w:val="00340B28"/>
    <w:rsid w:val="00340E49"/>
    <w:rsid w:val="00341956"/>
    <w:rsid w:val="00341E16"/>
    <w:rsid w:val="00342455"/>
    <w:rsid w:val="00342EF7"/>
    <w:rsid w:val="00343A27"/>
    <w:rsid w:val="003449CA"/>
    <w:rsid w:val="00344D6C"/>
    <w:rsid w:val="003452B1"/>
    <w:rsid w:val="003461D4"/>
    <w:rsid w:val="003463F5"/>
    <w:rsid w:val="00346533"/>
    <w:rsid w:val="0034670D"/>
    <w:rsid w:val="00346757"/>
    <w:rsid w:val="0034765C"/>
    <w:rsid w:val="003479D6"/>
    <w:rsid w:val="00347F4A"/>
    <w:rsid w:val="00350017"/>
    <w:rsid w:val="00351FF8"/>
    <w:rsid w:val="003527BA"/>
    <w:rsid w:val="0035393E"/>
    <w:rsid w:val="0035497D"/>
    <w:rsid w:val="00354D63"/>
    <w:rsid w:val="00355830"/>
    <w:rsid w:val="0035799D"/>
    <w:rsid w:val="00357B14"/>
    <w:rsid w:val="00357F31"/>
    <w:rsid w:val="00360A55"/>
    <w:rsid w:val="00360BED"/>
    <w:rsid w:val="00362D3B"/>
    <w:rsid w:val="003635E8"/>
    <w:rsid w:val="00364174"/>
    <w:rsid w:val="00364C60"/>
    <w:rsid w:val="0036578F"/>
    <w:rsid w:val="0036629A"/>
    <w:rsid w:val="003673F6"/>
    <w:rsid w:val="00370826"/>
    <w:rsid w:val="00370ACF"/>
    <w:rsid w:val="003717D5"/>
    <w:rsid w:val="003719BD"/>
    <w:rsid w:val="003722D0"/>
    <w:rsid w:val="00372F71"/>
    <w:rsid w:val="00373684"/>
    <w:rsid w:val="003736F0"/>
    <w:rsid w:val="00373F5E"/>
    <w:rsid w:val="00374972"/>
    <w:rsid w:val="00374ACD"/>
    <w:rsid w:val="00374D38"/>
    <w:rsid w:val="00375607"/>
    <w:rsid w:val="00376232"/>
    <w:rsid w:val="00377005"/>
    <w:rsid w:val="003771DA"/>
    <w:rsid w:val="00380B3F"/>
    <w:rsid w:val="003811D5"/>
    <w:rsid w:val="00381551"/>
    <w:rsid w:val="00381715"/>
    <w:rsid w:val="00381A1A"/>
    <w:rsid w:val="00381F16"/>
    <w:rsid w:val="003822B8"/>
    <w:rsid w:val="003822EC"/>
    <w:rsid w:val="003826B8"/>
    <w:rsid w:val="00384A0E"/>
    <w:rsid w:val="003854A2"/>
    <w:rsid w:val="003867A2"/>
    <w:rsid w:val="00390CE1"/>
    <w:rsid w:val="0039259D"/>
    <w:rsid w:val="00393BF3"/>
    <w:rsid w:val="00393CCD"/>
    <w:rsid w:val="00394348"/>
    <w:rsid w:val="00394640"/>
    <w:rsid w:val="00394842"/>
    <w:rsid w:val="00395782"/>
    <w:rsid w:val="00395D80"/>
    <w:rsid w:val="00395DB2"/>
    <w:rsid w:val="0039660D"/>
    <w:rsid w:val="0039712C"/>
    <w:rsid w:val="00397230"/>
    <w:rsid w:val="00397686"/>
    <w:rsid w:val="00397757"/>
    <w:rsid w:val="00397856"/>
    <w:rsid w:val="00397D6C"/>
    <w:rsid w:val="003A0873"/>
    <w:rsid w:val="003A08C1"/>
    <w:rsid w:val="003A0D0D"/>
    <w:rsid w:val="003A0E19"/>
    <w:rsid w:val="003A12FF"/>
    <w:rsid w:val="003A172A"/>
    <w:rsid w:val="003A1B58"/>
    <w:rsid w:val="003A2F50"/>
    <w:rsid w:val="003A30C0"/>
    <w:rsid w:val="003A30D7"/>
    <w:rsid w:val="003A36F8"/>
    <w:rsid w:val="003A3B6F"/>
    <w:rsid w:val="003A3E62"/>
    <w:rsid w:val="003A4739"/>
    <w:rsid w:val="003A50FC"/>
    <w:rsid w:val="003A540A"/>
    <w:rsid w:val="003A59B1"/>
    <w:rsid w:val="003A5D89"/>
    <w:rsid w:val="003A5D93"/>
    <w:rsid w:val="003A5F95"/>
    <w:rsid w:val="003A6090"/>
    <w:rsid w:val="003A6ADB"/>
    <w:rsid w:val="003A6B82"/>
    <w:rsid w:val="003A7B6F"/>
    <w:rsid w:val="003B068F"/>
    <w:rsid w:val="003B06FB"/>
    <w:rsid w:val="003B087C"/>
    <w:rsid w:val="003B15CA"/>
    <w:rsid w:val="003B1FA1"/>
    <w:rsid w:val="003B28B1"/>
    <w:rsid w:val="003B2A04"/>
    <w:rsid w:val="003B2E02"/>
    <w:rsid w:val="003B2EFE"/>
    <w:rsid w:val="003B351C"/>
    <w:rsid w:val="003B38DE"/>
    <w:rsid w:val="003B3BEA"/>
    <w:rsid w:val="003B4092"/>
    <w:rsid w:val="003B42B0"/>
    <w:rsid w:val="003B4410"/>
    <w:rsid w:val="003B4BFD"/>
    <w:rsid w:val="003B4DAB"/>
    <w:rsid w:val="003B6544"/>
    <w:rsid w:val="003B68BB"/>
    <w:rsid w:val="003B7A6F"/>
    <w:rsid w:val="003C1D92"/>
    <w:rsid w:val="003C3D49"/>
    <w:rsid w:val="003C400D"/>
    <w:rsid w:val="003C4B76"/>
    <w:rsid w:val="003C4D6D"/>
    <w:rsid w:val="003C525E"/>
    <w:rsid w:val="003C5E21"/>
    <w:rsid w:val="003C5EBD"/>
    <w:rsid w:val="003C6362"/>
    <w:rsid w:val="003C65F1"/>
    <w:rsid w:val="003D01C1"/>
    <w:rsid w:val="003D02B5"/>
    <w:rsid w:val="003D0943"/>
    <w:rsid w:val="003D0EEA"/>
    <w:rsid w:val="003D1233"/>
    <w:rsid w:val="003D12CC"/>
    <w:rsid w:val="003D15E6"/>
    <w:rsid w:val="003D1685"/>
    <w:rsid w:val="003D1D27"/>
    <w:rsid w:val="003D2070"/>
    <w:rsid w:val="003D2C9B"/>
    <w:rsid w:val="003D2CC2"/>
    <w:rsid w:val="003D308E"/>
    <w:rsid w:val="003D3344"/>
    <w:rsid w:val="003D35EE"/>
    <w:rsid w:val="003D3C21"/>
    <w:rsid w:val="003D6366"/>
    <w:rsid w:val="003D661D"/>
    <w:rsid w:val="003D6653"/>
    <w:rsid w:val="003D728B"/>
    <w:rsid w:val="003D751B"/>
    <w:rsid w:val="003D78B4"/>
    <w:rsid w:val="003E12CC"/>
    <w:rsid w:val="003E18B8"/>
    <w:rsid w:val="003E218A"/>
    <w:rsid w:val="003E3C0E"/>
    <w:rsid w:val="003E44F9"/>
    <w:rsid w:val="003E4793"/>
    <w:rsid w:val="003E5669"/>
    <w:rsid w:val="003E5948"/>
    <w:rsid w:val="003E60F2"/>
    <w:rsid w:val="003E63BB"/>
    <w:rsid w:val="003E6BA4"/>
    <w:rsid w:val="003E707E"/>
    <w:rsid w:val="003E7745"/>
    <w:rsid w:val="003F0B22"/>
    <w:rsid w:val="003F2666"/>
    <w:rsid w:val="003F2DE5"/>
    <w:rsid w:val="003F2F7E"/>
    <w:rsid w:val="003F323D"/>
    <w:rsid w:val="003F4516"/>
    <w:rsid w:val="003F5265"/>
    <w:rsid w:val="003F55A5"/>
    <w:rsid w:val="003F5CB9"/>
    <w:rsid w:val="003F5FAB"/>
    <w:rsid w:val="003F67B1"/>
    <w:rsid w:val="003F69C0"/>
    <w:rsid w:val="003F7164"/>
    <w:rsid w:val="003F7A89"/>
    <w:rsid w:val="004000BF"/>
    <w:rsid w:val="004000CC"/>
    <w:rsid w:val="0040025A"/>
    <w:rsid w:val="0040097D"/>
    <w:rsid w:val="00401149"/>
    <w:rsid w:val="00401943"/>
    <w:rsid w:val="00401F29"/>
    <w:rsid w:val="0040202A"/>
    <w:rsid w:val="004021BF"/>
    <w:rsid w:val="00402214"/>
    <w:rsid w:val="004043D3"/>
    <w:rsid w:val="004048BA"/>
    <w:rsid w:val="00404A71"/>
    <w:rsid w:val="004054BB"/>
    <w:rsid w:val="00406241"/>
    <w:rsid w:val="004066C1"/>
    <w:rsid w:val="00406CE8"/>
    <w:rsid w:val="00407255"/>
    <w:rsid w:val="00407414"/>
    <w:rsid w:val="00407671"/>
    <w:rsid w:val="00407DD3"/>
    <w:rsid w:val="0041044E"/>
    <w:rsid w:val="004105F5"/>
    <w:rsid w:val="00410BC0"/>
    <w:rsid w:val="004113C8"/>
    <w:rsid w:val="0041155C"/>
    <w:rsid w:val="00411914"/>
    <w:rsid w:val="00412060"/>
    <w:rsid w:val="004130B6"/>
    <w:rsid w:val="00413B6A"/>
    <w:rsid w:val="00413C2A"/>
    <w:rsid w:val="00415569"/>
    <w:rsid w:val="004163F4"/>
    <w:rsid w:val="00416600"/>
    <w:rsid w:val="004167FF"/>
    <w:rsid w:val="00417222"/>
    <w:rsid w:val="004178C4"/>
    <w:rsid w:val="00417947"/>
    <w:rsid w:val="00417D48"/>
    <w:rsid w:val="0042026C"/>
    <w:rsid w:val="0042096C"/>
    <w:rsid w:val="00421B5F"/>
    <w:rsid w:val="00421DAB"/>
    <w:rsid w:val="00421FA7"/>
    <w:rsid w:val="0042322A"/>
    <w:rsid w:val="0042437A"/>
    <w:rsid w:val="00424F31"/>
    <w:rsid w:val="004258EC"/>
    <w:rsid w:val="004264D8"/>
    <w:rsid w:val="00426B97"/>
    <w:rsid w:val="00427168"/>
    <w:rsid w:val="004271BF"/>
    <w:rsid w:val="004279B9"/>
    <w:rsid w:val="00430626"/>
    <w:rsid w:val="004306FC"/>
    <w:rsid w:val="00432D4F"/>
    <w:rsid w:val="004332A8"/>
    <w:rsid w:val="00434182"/>
    <w:rsid w:val="00434418"/>
    <w:rsid w:val="00434EBE"/>
    <w:rsid w:val="00435C26"/>
    <w:rsid w:val="00436AB0"/>
    <w:rsid w:val="00436F32"/>
    <w:rsid w:val="004371C9"/>
    <w:rsid w:val="00437C10"/>
    <w:rsid w:val="00440A9C"/>
    <w:rsid w:val="00440F5F"/>
    <w:rsid w:val="0044168D"/>
    <w:rsid w:val="00441FEC"/>
    <w:rsid w:val="004424A0"/>
    <w:rsid w:val="004438DA"/>
    <w:rsid w:val="00444DBD"/>
    <w:rsid w:val="0044565D"/>
    <w:rsid w:val="00446702"/>
    <w:rsid w:val="00446C37"/>
    <w:rsid w:val="004479FA"/>
    <w:rsid w:val="00450D37"/>
    <w:rsid w:val="00450D53"/>
    <w:rsid w:val="00451A72"/>
    <w:rsid w:val="00452276"/>
    <w:rsid w:val="00453414"/>
    <w:rsid w:val="004536A6"/>
    <w:rsid w:val="0045424B"/>
    <w:rsid w:val="00454607"/>
    <w:rsid w:val="00454727"/>
    <w:rsid w:val="004549C0"/>
    <w:rsid w:val="00454AB3"/>
    <w:rsid w:val="00455572"/>
    <w:rsid w:val="00455647"/>
    <w:rsid w:val="00455860"/>
    <w:rsid w:val="00455A9A"/>
    <w:rsid w:val="00455CFC"/>
    <w:rsid w:val="004563F8"/>
    <w:rsid w:val="00456859"/>
    <w:rsid w:val="00456E10"/>
    <w:rsid w:val="0045742F"/>
    <w:rsid w:val="00457AE5"/>
    <w:rsid w:val="00457D6F"/>
    <w:rsid w:val="004608A1"/>
    <w:rsid w:val="00462D20"/>
    <w:rsid w:val="00464148"/>
    <w:rsid w:val="00464811"/>
    <w:rsid w:val="00464D3B"/>
    <w:rsid w:val="004659A2"/>
    <w:rsid w:val="00466AC0"/>
    <w:rsid w:val="00466BDE"/>
    <w:rsid w:val="0046772B"/>
    <w:rsid w:val="00467819"/>
    <w:rsid w:val="00470EB5"/>
    <w:rsid w:val="00471C66"/>
    <w:rsid w:val="00474DFF"/>
    <w:rsid w:val="00475A91"/>
    <w:rsid w:val="004763DD"/>
    <w:rsid w:val="00476538"/>
    <w:rsid w:val="00476A3D"/>
    <w:rsid w:val="00476B9C"/>
    <w:rsid w:val="00476CAF"/>
    <w:rsid w:val="00477074"/>
    <w:rsid w:val="00477DD1"/>
    <w:rsid w:val="0048030B"/>
    <w:rsid w:val="00480806"/>
    <w:rsid w:val="004810E8"/>
    <w:rsid w:val="004815A7"/>
    <w:rsid w:val="00481603"/>
    <w:rsid w:val="004816EC"/>
    <w:rsid w:val="00481A38"/>
    <w:rsid w:val="00481AF0"/>
    <w:rsid w:val="0048280F"/>
    <w:rsid w:val="0048331F"/>
    <w:rsid w:val="0048374F"/>
    <w:rsid w:val="00483878"/>
    <w:rsid w:val="00485C6A"/>
    <w:rsid w:val="004877C8"/>
    <w:rsid w:val="00487D86"/>
    <w:rsid w:val="00487DA2"/>
    <w:rsid w:val="0049037D"/>
    <w:rsid w:val="00490DF9"/>
    <w:rsid w:val="0049198B"/>
    <w:rsid w:val="00491BB9"/>
    <w:rsid w:val="00491DCC"/>
    <w:rsid w:val="00491FA7"/>
    <w:rsid w:val="00492201"/>
    <w:rsid w:val="00492F8E"/>
    <w:rsid w:val="004934D3"/>
    <w:rsid w:val="004961F2"/>
    <w:rsid w:val="004963BE"/>
    <w:rsid w:val="004A01D4"/>
    <w:rsid w:val="004A0827"/>
    <w:rsid w:val="004A0DE6"/>
    <w:rsid w:val="004A1E61"/>
    <w:rsid w:val="004A2281"/>
    <w:rsid w:val="004A28D3"/>
    <w:rsid w:val="004A31F3"/>
    <w:rsid w:val="004A3531"/>
    <w:rsid w:val="004A3B4F"/>
    <w:rsid w:val="004A3B6F"/>
    <w:rsid w:val="004A423D"/>
    <w:rsid w:val="004A4DD4"/>
    <w:rsid w:val="004A5D41"/>
    <w:rsid w:val="004A64FB"/>
    <w:rsid w:val="004A7A66"/>
    <w:rsid w:val="004B1BB0"/>
    <w:rsid w:val="004B2D0B"/>
    <w:rsid w:val="004B470B"/>
    <w:rsid w:val="004B4CC3"/>
    <w:rsid w:val="004B4D75"/>
    <w:rsid w:val="004B7D60"/>
    <w:rsid w:val="004B7DC9"/>
    <w:rsid w:val="004C0052"/>
    <w:rsid w:val="004C0AF8"/>
    <w:rsid w:val="004C0DE1"/>
    <w:rsid w:val="004C10B4"/>
    <w:rsid w:val="004C1488"/>
    <w:rsid w:val="004C273B"/>
    <w:rsid w:val="004C29F8"/>
    <w:rsid w:val="004C2FF5"/>
    <w:rsid w:val="004C3C90"/>
    <w:rsid w:val="004C449F"/>
    <w:rsid w:val="004C4805"/>
    <w:rsid w:val="004C53F0"/>
    <w:rsid w:val="004C56C6"/>
    <w:rsid w:val="004C784B"/>
    <w:rsid w:val="004D00D1"/>
    <w:rsid w:val="004D024F"/>
    <w:rsid w:val="004D0283"/>
    <w:rsid w:val="004D0CA6"/>
    <w:rsid w:val="004D1073"/>
    <w:rsid w:val="004D13FC"/>
    <w:rsid w:val="004D14BA"/>
    <w:rsid w:val="004D461D"/>
    <w:rsid w:val="004D4A83"/>
    <w:rsid w:val="004D4E5A"/>
    <w:rsid w:val="004D5B80"/>
    <w:rsid w:val="004D5E36"/>
    <w:rsid w:val="004D6D62"/>
    <w:rsid w:val="004D6D86"/>
    <w:rsid w:val="004D74A6"/>
    <w:rsid w:val="004D7745"/>
    <w:rsid w:val="004E0772"/>
    <w:rsid w:val="004E138F"/>
    <w:rsid w:val="004E1470"/>
    <w:rsid w:val="004E2D38"/>
    <w:rsid w:val="004E66AB"/>
    <w:rsid w:val="004E780C"/>
    <w:rsid w:val="004E7BB3"/>
    <w:rsid w:val="004F049F"/>
    <w:rsid w:val="004F0E68"/>
    <w:rsid w:val="004F128A"/>
    <w:rsid w:val="004F1CC6"/>
    <w:rsid w:val="004F35FF"/>
    <w:rsid w:val="004F3AAC"/>
    <w:rsid w:val="004F44AB"/>
    <w:rsid w:val="004F4CBE"/>
    <w:rsid w:val="004F521B"/>
    <w:rsid w:val="004F5554"/>
    <w:rsid w:val="004F69FB"/>
    <w:rsid w:val="004F6A2F"/>
    <w:rsid w:val="004F6BF8"/>
    <w:rsid w:val="004F7BC2"/>
    <w:rsid w:val="004F7F78"/>
    <w:rsid w:val="005022FA"/>
    <w:rsid w:val="00502CA3"/>
    <w:rsid w:val="00503694"/>
    <w:rsid w:val="005039E3"/>
    <w:rsid w:val="00503B9E"/>
    <w:rsid w:val="00503F4B"/>
    <w:rsid w:val="005053EB"/>
    <w:rsid w:val="0050551D"/>
    <w:rsid w:val="0050553D"/>
    <w:rsid w:val="00505F9C"/>
    <w:rsid w:val="0050657B"/>
    <w:rsid w:val="00506D17"/>
    <w:rsid w:val="005070F0"/>
    <w:rsid w:val="00507630"/>
    <w:rsid w:val="00510969"/>
    <w:rsid w:val="00511195"/>
    <w:rsid w:val="005117F1"/>
    <w:rsid w:val="00511BFD"/>
    <w:rsid w:val="00511CF9"/>
    <w:rsid w:val="0051350E"/>
    <w:rsid w:val="00513DC7"/>
    <w:rsid w:val="00513DED"/>
    <w:rsid w:val="00513FE1"/>
    <w:rsid w:val="00515058"/>
    <w:rsid w:val="00515290"/>
    <w:rsid w:val="00517062"/>
    <w:rsid w:val="005200C8"/>
    <w:rsid w:val="00520D5A"/>
    <w:rsid w:val="00520DCE"/>
    <w:rsid w:val="005215F1"/>
    <w:rsid w:val="005222BB"/>
    <w:rsid w:val="00522498"/>
    <w:rsid w:val="00523627"/>
    <w:rsid w:val="00525266"/>
    <w:rsid w:val="00525A57"/>
    <w:rsid w:val="005268D4"/>
    <w:rsid w:val="00526C9C"/>
    <w:rsid w:val="00526F66"/>
    <w:rsid w:val="005271E3"/>
    <w:rsid w:val="0052720E"/>
    <w:rsid w:val="005275B2"/>
    <w:rsid w:val="00530A10"/>
    <w:rsid w:val="00530E65"/>
    <w:rsid w:val="00531098"/>
    <w:rsid w:val="00531860"/>
    <w:rsid w:val="00532424"/>
    <w:rsid w:val="00532A33"/>
    <w:rsid w:val="00532D66"/>
    <w:rsid w:val="0053314A"/>
    <w:rsid w:val="0053361C"/>
    <w:rsid w:val="00533BD9"/>
    <w:rsid w:val="00533F00"/>
    <w:rsid w:val="005340E0"/>
    <w:rsid w:val="00534A4C"/>
    <w:rsid w:val="00534ACA"/>
    <w:rsid w:val="00534C1F"/>
    <w:rsid w:val="00535030"/>
    <w:rsid w:val="0053522A"/>
    <w:rsid w:val="0053534E"/>
    <w:rsid w:val="00535812"/>
    <w:rsid w:val="00535843"/>
    <w:rsid w:val="00535AFC"/>
    <w:rsid w:val="005368AE"/>
    <w:rsid w:val="00536D16"/>
    <w:rsid w:val="00537366"/>
    <w:rsid w:val="005375DA"/>
    <w:rsid w:val="00537979"/>
    <w:rsid w:val="00537CE6"/>
    <w:rsid w:val="00540739"/>
    <w:rsid w:val="0054162D"/>
    <w:rsid w:val="0054315E"/>
    <w:rsid w:val="0054318C"/>
    <w:rsid w:val="005437F0"/>
    <w:rsid w:val="005466E8"/>
    <w:rsid w:val="005469DB"/>
    <w:rsid w:val="00547054"/>
    <w:rsid w:val="005506C6"/>
    <w:rsid w:val="00551093"/>
    <w:rsid w:val="0055217E"/>
    <w:rsid w:val="005521F8"/>
    <w:rsid w:val="00552ADD"/>
    <w:rsid w:val="00552F4A"/>
    <w:rsid w:val="00554172"/>
    <w:rsid w:val="0055452F"/>
    <w:rsid w:val="00555848"/>
    <w:rsid w:val="0055603D"/>
    <w:rsid w:val="005560E8"/>
    <w:rsid w:val="00556381"/>
    <w:rsid w:val="00556D0D"/>
    <w:rsid w:val="0056089B"/>
    <w:rsid w:val="00560A06"/>
    <w:rsid w:val="0056197F"/>
    <w:rsid w:val="005619E4"/>
    <w:rsid w:val="0056205E"/>
    <w:rsid w:val="0056305E"/>
    <w:rsid w:val="00563464"/>
    <w:rsid w:val="00564357"/>
    <w:rsid w:val="005647D8"/>
    <w:rsid w:val="0056490D"/>
    <w:rsid w:val="00565043"/>
    <w:rsid w:val="005652DC"/>
    <w:rsid w:val="005657D6"/>
    <w:rsid w:val="005658BF"/>
    <w:rsid w:val="005663EE"/>
    <w:rsid w:val="005664F4"/>
    <w:rsid w:val="00566CAC"/>
    <w:rsid w:val="00566EF4"/>
    <w:rsid w:val="00567285"/>
    <w:rsid w:val="0057041E"/>
    <w:rsid w:val="00570B46"/>
    <w:rsid w:val="00571957"/>
    <w:rsid w:val="00571E78"/>
    <w:rsid w:val="00571F12"/>
    <w:rsid w:val="00572249"/>
    <w:rsid w:val="00573629"/>
    <w:rsid w:val="0057369A"/>
    <w:rsid w:val="00573849"/>
    <w:rsid w:val="0057479D"/>
    <w:rsid w:val="0057580F"/>
    <w:rsid w:val="00576324"/>
    <w:rsid w:val="00577F7E"/>
    <w:rsid w:val="00577FAF"/>
    <w:rsid w:val="0058021C"/>
    <w:rsid w:val="005818C9"/>
    <w:rsid w:val="00581DD6"/>
    <w:rsid w:val="00581F58"/>
    <w:rsid w:val="00581FEE"/>
    <w:rsid w:val="00582E25"/>
    <w:rsid w:val="00585050"/>
    <w:rsid w:val="0058517B"/>
    <w:rsid w:val="0058692B"/>
    <w:rsid w:val="00587003"/>
    <w:rsid w:val="00587216"/>
    <w:rsid w:val="0058744F"/>
    <w:rsid w:val="0059058C"/>
    <w:rsid w:val="00590FEF"/>
    <w:rsid w:val="00591169"/>
    <w:rsid w:val="00591F28"/>
    <w:rsid w:val="00592EF3"/>
    <w:rsid w:val="005932EE"/>
    <w:rsid w:val="005938A6"/>
    <w:rsid w:val="00593F58"/>
    <w:rsid w:val="00594A87"/>
    <w:rsid w:val="00594BFF"/>
    <w:rsid w:val="00595171"/>
    <w:rsid w:val="00595CA3"/>
    <w:rsid w:val="00595E25"/>
    <w:rsid w:val="00596B17"/>
    <w:rsid w:val="00596F26"/>
    <w:rsid w:val="005977E5"/>
    <w:rsid w:val="00597AFB"/>
    <w:rsid w:val="00597C22"/>
    <w:rsid w:val="005A00FB"/>
    <w:rsid w:val="005A04A4"/>
    <w:rsid w:val="005A11B8"/>
    <w:rsid w:val="005A1BFD"/>
    <w:rsid w:val="005A2401"/>
    <w:rsid w:val="005A283E"/>
    <w:rsid w:val="005A3008"/>
    <w:rsid w:val="005A324C"/>
    <w:rsid w:val="005A4058"/>
    <w:rsid w:val="005A44ED"/>
    <w:rsid w:val="005A4965"/>
    <w:rsid w:val="005A5977"/>
    <w:rsid w:val="005A61A5"/>
    <w:rsid w:val="005A689B"/>
    <w:rsid w:val="005A73F2"/>
    <w:rsid w:val="005A7451"/>
    <w:rsid w:val="005A74D9"/>
    <w:rsid w:val="005A786C"/>
    <w:rsid w:val="005A7CC1"/>
    <w:rsid w:val="005B0141"/>
    <w:rsid w:val="005B048F"/>
    <w:rsid w:val="005B0C5E"/>
    <w:rsid w:val="005B260C"/>
    <w:rsid w:val="005B3244"/>
    <w:rsid w:val="005B446C"/>
    <w:rsid w:val="005B4800"/>
    <w:rsid w:val="005B4A9D"/>
    <w:rsid w:val="005B4DDB"/>
    <w:rsid w:val="005B5486"/>
    <w:rsid w:val="005B575F"/>
    <w:rsid w:val="005B616A"/>
    <w:rsid w:val="005B6B26"/>
    <w:rsid w:val="005B6B5E"/>
    <w:rsid w:val="005B7ECB"/>
    <w:rsid w:val="005C012F"/>
    <w:rsid w:val="005C12AC"/>
    <w:rsid w:val="005C1841"/>
    <w:rsid w:val="005C1BDA"/>
    <w:rsid w:val="005C230F"/>
    <w:rsid w:val="005C28F0"/>
    <w:rsid w:val="005C5242"/>
    <w:rsid w:val="005C53FE"/>
    <w:rsid w:val="005C5460"/>
    <w:rsid w:val="005C773A"/>
    <w:rsid w:val="005C798B"/>
    <w:rsid w:val="005C7AD4"/>
    <w:rsid w:val="005C7F10"/>
    <w:rsid w:val="005D06FD"/>
    <w:rsid w:val="005D143D"/>
    <w:rsid w:val="005D1A37"/>
    <w:rsid w:val="005D1AD1"/>
    <w:rsid w:val="005D2F82"/>
    <w:rsid w:val="005D3516"/>
    <w:rsid w:val="005D3541"/>
    <w:rsid w:val="005D37C0"/>
    <w:rsid w:val="005D4043"/>
    <w:rsid w:val="005D43E9"/>
    <w:rsid w:val="005D54C3"/>
    <w:rsid w:val="005D6395"/>
    <w:rsid w:val="005D7290"/>
    <w:rsid w:val="005D7D2B"/>
    <w:rsid w:val="005E0194"/>
    <w:rsid w:val="005E0451"/>
    <w:rsid w:val="005E08E6"/>
    <w:rsid w:val="005E0A7B"/>
    <w:rsid w:val="005E0B8E"/>
    <w:rsid w:val="005E0E14"/>
    <w:rsid w:val="005E10F4"/>
    <w:rsid w:val="005E39D2"/>
    <w:rsid w:val="005E4416"/>
    <w:rsid w:val="005E4975"/>
    <w:rsid w:val="005E7974"/>
    <w:rsid w:val="005E7ADD"/>
    <w:rsid w:val="005E7FF9"/>
    <w:rsid w:val="005F01BA"/>
    <w:rsid w:val="005F0CEE"/>
    <w:rsid w:val="005F3110"/>
    <w:rsid w:val="005F31B4"/>
    <w:rsid w:val="005F41F1"/>
    <w:rsid w:val="005F4282"/>
    <w:rsid w:val="005F4561"/>
    <w:rsid w:val="005F4E52"/>
    <w:rsid w:val="005F4F17"/>
    <w:rsid w:val="005F557C"/>
    <w:rsid w:val="005F5692"/>
    <w:rsid w:val="005F63A4"/>
    <w:rsid w:val="005F63E1"/>
    <w:rsid w:val="005F656D"/>
    <w:rsid w:val="005F7103"/>
    <w:rsid w:val="005F7903"/>
    <w:rsid w:val="00600B05"/>
    <w:rsid w:val="0060148D"/>
    <w:rsid w:val="00601727"/>
    <w:rsid w:val="0060172D"/>
    <w:rsid w:val="006025D6"/>
    <w:rsid w:val="00603237"/>
    <w:rsid w:val="00603E5B"/>
    <w:rsid w:val="00604870"/>
    <w:rsid w:val="00604FAB"/>
    <w:rsid w:val="006067F3"/>
    <w:rsid w:val="0060681C"/>
    <w:rsid w:val="00606FEC"/>
    <w:rsid w:val="00607023"/>
    <w:rsid w:val="00607433"/>
    <w:rsid w:val="006074A6"/>
    <w:rsid w:val="00607C20"/>
    <w:rsid w:val="00607FC5"/>
    <w:rsid w:val="00610318"/>
    <w:rsid w:val="006107C1"/>
    <w:rsid w:val="00610A12"/>
    <w:rsid w:val="00610A34"/>
    <w:rsid w:val="00610F79"/>
    <w:rsid w:val="0061131B"/>
    <w:rsid w:val="00611FC7"/>
    <w:rsid w:val="00611FF7"/>
    <w:rsid w:val="00612788"/>
    <w:rsid w:val="00614EF1"/>
    <w:rsid w:val="00615E73"/>
    <w:rsid w:val="00617F01"/>
    <w:rsid w:val="00620404"/>
    <w:rsid w:val="006205EB"/>
    <w:rsid w:val="00620782"/>
    <w:rsid w:val="00620E0C"/>
    <w:rsid w:val="00621178"/>
    <w:rsid w:val="00621D11"/>
    <w:rsid w:val="00622A55"/>
    <w:rsid w:val="00622BC8"/>
    <w:rsid w:val="00623BB8"/>
    <w:rsid w:val="00623BED"/>
    <w:rsid w:val="00624873"/>
    <w:rsid w:val="00624C8E"/>
    <w:rsid w:val="00626CB5"/>
    <w:rsid w:val="00627F78"/>
    <w:rsid w:val="00630D76"/>
    <w:rsid w:val="00631BA0"/>
    <w:rsid w:val="0063232F"/>
    <w:rsid w:val="00632702"/>
    <w:rsid w:val="00632E2A"/>
    <w:rsid w:val="00633208"/>
    <w:rsid w:val="00633633"/>
    <w:rsid w:val="0063407F"/>
    <w:rsid w:val="00634471"/>
    <w:rsid w:val="00634A29"/>
    <w:rsid w:val="00634C65"/>
    <w:rsid w:val="0063522F"/>
    <w:rsid w:val="00635F2A"/>
    <w:rsid w:val="00636229"/>
    <w:rsid w:val="00637143"/>
    <w:rsid w:val="00637539"/>
    <w:rsid w:val="00637593"/>
    <w:rsid w:val="0063767D"/>
    <w:rsid w:val="00637DDF"/>
    <w:rsid w:val="00640311"/>
    <w:rsid w:val="00640DFA"/>
    <w:rsid w:val="006418EA"/>
    <w:rsid w:val="00641EDA"/>
    <w:rsid w:val="00642694"/>
    <w:rsid w:val="00642789"/>
    <w:rsid w:val="00642BDB"/>
    <w:rsid w:val="00642D37"/>
    <w:rsid w:val="006432F9"/>
    <w:rsid w:val="00644AA4"/>
    <w:rsid w:val="00644BDA"/>
    <w:rsid w:val="00644E97"/>
    <w:rsid w:val="006457BF"/>
    <w:rsid w:val="00645B06"/>
    <w:rsid w:val="00645C1D"/>
    <w:rsid w:val="00647B73"/>
    <w:rsid w:val="00647CF9"/>
    <w:rsid w:val="00647EAF"/>
    <w:rsid w:val="006505AF"/>
    <w:rsid w:val="00651F5D"/>
    <w:rsid w:val="00652242"/>
    <w:rsid w:val="006545D5"/>
    <w:rsid w:val="006549EB"/>
    <w:rsid w:val="00654B49"/>
    <w:rsid w:val="00654D75"/>
    <w:rsid w:val="00654D9A"/>
    <w:rsid w:val="00654DAA"/>
    <w:rsid w:val="00655039"/>
    <w:rsid w:val="006563C6"/>
    <w:rsid w:val="00657D09"/>
    <w:rsid w:val="00660223"/>
    <w:rsid w:val="006609BE"/>
    <w:rsid w:val="00661782"/>
    <w:rsid w:val="00663BF5"/>
    <w:rsid w:val="00663F95"/>
    <w:rsid w:val="006643BA"/>
    <w:rsid w:val="006645C2"/>
    <w:rsid w:val="00664D94"/>
    <w:rsid w:val="006661F5"/>
    <w:rsid w:val="00666216"/>
    <w:rsid w:val="00666844"/>
    <w:rsid w:val="00670354"/>
    <w:rsid w:val="00670B0B"/>
    <w:rsid w:val="0067106E"/>
    <w:rsid w:val="006713D8"/>
    <w:rsid w:val="00671D98"/>
    <w:rsid w:val="0067285B"/>
    <w:rsid w:val="0067294E"/>
    <w:rsid w:val="00672CC6"/>
    <w:rsid w:val="00672E6E"/>
    <w:rsid w:val="006734F4"/>
    <w:rsid w:val="00673957"/>
    <w:rsid w:val="0067397F"/>
    <w:rsid w:val="00673FDC"/>
    <w:rsid w:val="00674FDA"/>
    <w:rsid w:val="0067703A"/>
    <w:rsid w:val="00677EEF"/>
    <w:rsid w:val="00677FAC"/>
    <w:rsid w:val="006808E3"/>
    <w:rsid w:val="00680AE2"/>
    <w:rsid w:val="00681461"/>
    <w:rsid w:val="00681F73"/>
    <w:rsid w:val="0068377D"/>
    <w:rsid w:val="006840B9"/>
    <w:rsid w:val="006846D8"/>
    <w:rsid w:val="006860E2"/>
    <w:rsid w:val="0068693E"/>
    <w:rsid w:val="006904D9"/>
    <w:rsid w:val="006909D6"/>
    <w:rsid w:val="0069159E"/>
    <w:rsid w:val="006932C8"/>
    <w:rsid w:val="0069365E"/>
    <w:rsid w:val="00693850"/>
    <w:rsid w:val="00694797"/>
    <w:rsid w:val="00694BE1"/>
    <w:rsid w:val="00694C08"/>
    <w:rsid w:val="00694F68"/>
    <w:rsid w:val="006962EC"/>
    <w:rsid w:val="00696907"/>
    <w:rsid w:val="00696CCF"/>
    <w:rsid w:val="00696CDA"/>
    <w:rsid w:val="006970D6"/>
    <w:rsid w:val="00697951"/>
    <w:rsid w:val="00697BFB"/>
    <w:rsid w:val="006A0256"/>
    <w:rsid w:val="006A096E"/>
    <w:rsid w:val="006A114F"/>
    <w:rsid w:val="006A18ED"/>
    <w:rsid w:val="006A3059"/>
    <w:rsid w:val="006A3A87"/>
    <w:rsid w:val="006A3F1B"/>
    <w:rsid w:val="006A4435"/>
    <w:rsid w:val="006A4812"/>
    <w:rsid w:val="006A4C33"/>
    <w:rsid w:val="006A5D7D"/>
    <w:rsid w:val="006A69CD"/>
    <w:rsid w:val="006A6D2F"/>
    <w:rsid w:val="006A775F"/>
    <w:rsid w:val="006B10C7"/>
    <w:rsid w:val="006B1229"/>
    <w:rsid w:val="006B22C8"/>
    <w:rsid w:val="006B2B95"/>
    <w:rsid w:val="006B3F74"/>
    <w:rsid w:val="006B4E56"/>
    <w:rsid w:val="006B54E0"/>
    <w:rsid w:val="006B55CD"/>
    <w:rsid w:val="006B56CF"/>
    <w:rsid w:val="006B58E2"/>
    <w:rsid w:val="006B6481"/>
    <w:rsid w:val="006B68AB"/>
    <w:rsid w:val="006B6BCC"/>
    <w:rsid w:val="006B751C"/>
    <w:rsid w:val="006C124F"/>
    <w:rsid w:val="006C1D35"/>
    <w:rsid w:val="006C1E9A"/>
    <w:rsid w:val="006C46DC"/>
    <w:rsid w:val="006C5459"/>
    <w:rsid w:val="006C59EC"/>
    <w:rsid w:val="006C5DF8"/>
    <w:rsid w:val="006C62C5"/>
    <w:rsid w:val="006C6CC7"/>
    <w:rsid w:val="006C75B2"/>
    <w:rsid w:val="006C7B9F"/>
    <w:rsid w:val="006D05C1"/>
    <w:rsid w:val="006D14C9"/>
    <w:rsid w:val="006D2129"/>
    <w:rsid w:val="006D2515"/>
    <w:rsid w:val="006D2A65"/>
    <w:rsid w:val="006D2D8C"/>
    <w:rsid w:val="006D3203"/>
    <w:rsid w:val="006D35D2"/>
    <w:rsid w:val="006D391B"/>
    <w:rsid w:val="006D4DCB"/>
    <w:rsid w:val="006D54A2"/>
    <w:rsid w:val="006D7EAD"/>
    <w:rsid w:val="006E1B6F"/>
    <w:rsid w:val="006E2190"/>
    <w:rsid w:val="006E2338"/>
    <w:rsid w:val="006E268B"/>
    <w:rsid w:val="006E3122"/>
    <w:rsid w:val="006E38CB"/>
    <w:rsid w:val="006E3F3A"/>
    <w:rsid w:val="006E4F4A"/>
    <w:rsid w:val="006E5120"/>
    <w:rsid w:val="006E540D"/>
    <w:rsid w:val="006E5B02"/>
    <w:rsid w:val="006E5B5E"/>
    <w:rsid w:val="006E5CA9"/>
    <w:rsid w:val="006E5DFE"/>
    <w:rsid w:val="006E69B0"/>
    <w:rsid w:val="006E76F0"/>
    <w:rsid w:val="006F09EF"/>
    <w:rsid w:val="006F0E63"/>
    <w:rsid w:val="006F171C"/>
    <w:rsid w:val="006F1744"/>
    <w:rsid w:val="006F2953"/>
    <w:rsid w:val="006F2A15"/>
    <w:rsid w:val="006F31FD"/>
    <w:rsid w:val="006F48D9"/>
    <w:rsid w:val="006F521B"/>
    <w:rsid w:val="006F56A5"/>
    <w:rsid w:val="006F578A"/>
    <w:rsid w:val="006F57DB"/>
    <w:rsid w:val="006F5A04"/>
    <w:rsid w:val="006F5D70"/>
    <w:rsid w:val="006F5ED3"/>
    <w:rsid w:val="006F69A2"/>
    <w:rsid w:val="006F7857"/>
    <w:rsid w:val="006F79CE"/>
    <w:rsid w:val="006F7D36"/>
    <w:rsid w:val="007008E7"/>
    <w:rsid w:val="00702B76"/>
    <w:rsid w:val="00706073"/>
    <w:rsid w:val="007073F0"/>
    <w:rsid w:val="00707B74"/>
    <w:rsid w:val="007102A0"/>
    <w:rsid w:val="007106BA"/>
    <w:rsid w:val="00711656"/>
    <w:rsid w:val="00711B37"/>
    <w:rsid w:val="00711E67"/>
    <w:rsid w:val="00711FD9"/>
    <w:rsid w:val="00712F1F"/>
    <w:rsid w:val="00713684"/>
    <w:rsid w:val="0071469E"/>
    <w:rsid w:val="00714DB7"/>
    <w:rsid w:val="007153A4"/>
    <w:rsid w:val="00715865"/>
    <w:rsid w:val="00715A44"/>
    <w:rsid w:val="00715BE9"/>
    <w:rsid w:val="00716C5F"/>
    <w:rsid w:val="00716D96"/>
    <w:rsid w:val="007172FB"/>
    <w:rsid w:val="00717935"/>
    <w:rsid w:val="00717A48"/>
    <w:rsid w:val="00720373"/>
    <w:rsid w:val="00720386"/>
    <w:rsid w:val="00720A89"/>
    <w:rsid w:val="00721056"/>
    <w:rsid w:val="0072142A"/>
    <w:rsid w:val="00721577"/>
    <w:rsid w:val="0072188E"/>
    <w:rsid w:val="00721C1B"/>
    <w:rsid w:val="00721DB0"/>
    <w:rsid w:val="00721DF8"/>
    <w:rsid w:val="007220F8"/>
    <w:rsid w:val="00722CFD"/>
    <w:rsid w:val="00723D97"/>
    <w:rsid w:val="00724085"/>
    <w:rsid w:val="00726AF2"/>
    <w:rsid w:val="00726B12"/>
    <w:rsid w:val="00727188"/>
    <w:rsid w:val="00727D9A"/>
    <w:rsid w:val="00730BB5"/>
    <w:rsid w:val="007310E5"/>
    <w:rsid w:val="007318D0"/>
    <w:rsid w:val="00732F30"/>
    <w:rsid w:val="007330C1"/>
    <w:rsid w:val="007338E4"/>
    <w:rsid w:val="00734105"/>
    <w:rsid w:val="0073429E"/>
    <w:rsid w:val="00735915"/>
    <w:rsid w:val="00737C17"/>
    <w:rsid w:val="007403FB"/>
    <w:rsid w:val="00740A65"/>
    <w:rsid w:val="0074124E"/>
    <w:rsid w:val="007417E2"/>
    <w:rsid w:val="00742850"/>
    <w:rsid w:val="0074303C"/>
    <w:rsid w:val="007432D0"/>
    <w:rsid w:val="00743EE9"/>
    <w:rsid w:val="007445E9"/>
    <w:rsid w:val="0074467C"/>
    <w:rsid w:val="00744762"/>
    <w:rsid w:val="00744A16"/>
    <w:rsid w:val="00745478"/>
    <w:rsid w:val="00745A65"/>
    <w:rsid w:val="007461BD"/>
    <w:rsid w:val="00746421"/>
    <w:rsid w:val="00746542"/>
    <w:rsid w:val="007466A6"/>
    <w:rsid w:val="00746EE5"/>
    <w:rsid w:val="007473A0"/>
    <w:rsid w:val="007479FC"/>
    <w:rsid w:val="00750C75"/>
    <w:rsid w:val="00751FDB"/>
    <w:rsid w:val="00752A5A"/>
    <w:rsid w:val="00752EBC"/>
    <w:rsid w:val="00753AE4"/>
    <w:rsid w:val="00753B74"/>
    <w:rsid w:val="00753ED8"/>
    <w:rsid w:val="00754B83"/>
    <w:rsid w:val="00756582"/>
    <w:rsid w:val="00757136"/>
    <w:rsid w:val="00757574"/>
    <w:rsid w:val="00757AF3"/>
    <w:rsid w:val="00757B45"/>
    <w:rsid w:val="0076087B"/>
    <w:rsid w:val="00760BB5"/>
    <w:rsid w:val="00760F02"/>
    <w:rsid w:val="00761676"/>
    <w:rsid w:val="00761CDC"/>
    <w:rsid w:val="00761F08"/>
    <w:rsid w:val="00762CE6"/>
    <w:rsid w:val="00762DAC"/>
    <w:rsid w:val="00763423"/>
    <w:rsid w:val="0076344C"/>
    <w:rsid w:val="0076415F"/>
    <w:rsid w:val="007643EC"/>
    <w:rsid w:val="00764D90"/>
    <w:rsid w:val="0076559C"/>
    <w:rsid w:val="0076598E"/>
    <w:rsid w:val="00765E3C"/>
    <w:rsid w:val="00766097"/>
    <w:rsid w:val="0076612F"/>
    <w:rsid w:val="00766EAD"/>
    <w:rsid w:val="007707BE"/>
    <w:rsid w:val="00770D63"/>
    <w:rsid w:val="00770E44"/>
    <w:rsid w:val="00771901"/>
    <w:rsid w:val="007735E9"/>
    <w:rsid w:val="00773EAC"/>
    <w:rsid w:val="00775C4D"/>
    <w:rsid w:val="00776110"/>
    <w:rsid w:val="007774AD"/>
    <w:rsid w:val="00780B2E"/>
    <w:rsid w:val="00780DBA"/>
    <w:rsid w:val="007810AE"/>
    <w:rsid w:val="007821B1"/>
    <w:rsid w:val="00782CBA"/>
    <w:rsid w:val="007835C7"/>
    <w:rsid w:val="0078698D"/>
    <w:rsid w:val="007869D7"/>
    <w:rsid w:val="007869FD"/>
    <w:rsid w:val="00787823"/>
    <w:rsid w:val="00787879"/>
    <w:rsid w:val="007878FF"/>
    <w:rsid w:val="00787FD9"/>
    <w:rsid w:val="00790190"/>
    <w:rsid w:val="00790926"/>
    <w:rsid w:val="00791029"/>
    <w:rsid w:val="0079129C"/>
    <w:rsid w:val="00791708"/>
    <w:rsid w:val="00791732"/>
    <w:rsid w:val="00791A7A"/>
    <w:rsid w:val="007920A4"/>
    <w:rsid w:val="0079253D"/>
    <w:rsid w:val="00792AA6"/>
    <w:rsid w:val="00792E21"/>
    <w:rsid w:val="0079317A"/>
    <w:rsid w:val="00793230"/>
    <w:rsid w:val="00793883"/>
    <w:rsid w:val="007938F9"/>
    <w:rsid w:val="00793D5A"/>
    <w:rsid w:val="00793D91"/>
    <w:rsid w:val="00794520"/>
    <w:rsid w:val="0079483C"/>
    <w:rsid w:val="00795651"/>
    <w:rsid w:val="00795846"/>
    <w:rsid w:val="00795B7E"/>
    <w:rsid w:val="00796DF7"/>
    <w:rsid w:val="00796E74"/>
    <w:rsid w:val="007971A6"/>
    <w:rsid w:val="007A006A"/>
    <w:rsid w:val="007A024D"/>
    <w:rsid w:val="007A0D48"/>
    <w:rsid w:val="007A1B6E"/>
    <w:rsid w:val="007A1CBC"/>
    <w:rsid w:val="007A2C30"/>
    <w:rsid w:val="007A3021"/>
    <w:rsid w:val="007A3249"/>
    <w:rsid w:val="007A381A"/>
    <w:rsid w:val="007A3966"/>
    <w:rsid w:val="007A4EAD"/>
    <w:rsid w:val="007A5CE0"/>
    <w:rsid w:val="007A62A6"/>
    <w:rsid w:val="007A752B"/>
    <w:rsid w:val="007A7914"/>
    <w:rsid w:val="007A7E04"/>
    <w:rsid w:val="007B0D07"/>
    <w:rsid w:val="007B0FD2"/>
    <w:rsid w:val="007B125E"/>
    <w:rsid w:val="007B15D6"/>
    <w:rsid w:val="007B2A86"/>
    <w:rsid w:val="007B2F8D"/>
    <w:rsid w:val="007B3786"/>
    <w:rsid w:val="007B5033"/>
    <w:rsid w:val="007B5A9D"/>
    <w:rsid w:val="007B612C"/>
    <w:rsid w:val="007B6710"/>
    <w:rsid w:val="007B6E83"/>
    <w:rsid w:val="007C05DD"/>
    <w:rsid w:val="007C2536"/>
    <w:rsid w:val="007C339D"/>
    <w:rsid w:val="007C3E73"/>
    <w:rsid w:val="007C3F5A"/>
    <w:rsid w:val="007C41AB"/>
    <w:rsid w:val="007C4200"/>
    <w:rsid w:val="007C4DB0"/>
    <w:rsid w:val="007D0316"/>
    <w:rsid w:val="007D059A"/>
    <w:rsid w:val="007D1685"/>
    <w:rsid w:val="007D2CF1"/>
    <w:rsid w:val="007D3086"/>
    <w:rsid w:val="007D35ED"/>
    <w:rsid w:val="007D4F26"/>
    <w:rsid w:val="007D5180"/>
    <w:rsid w:val="007D55EA"/>
    <w:rsid w:val="007D6585"/>
    <w:rsid w:val="007D738B"/>
    <w:rsid w:val="007D7461"/>
    <w:rsid w:val="007D750A"/>
    <w:rsid w:val="007D76AA"/>
    <w:rsid w:val="007D78C9"/>
    <w:rsid w:val="007D78EC"/>
    <w:rsid w:val="007D7B36"/>
    <w:rsid w:val="007E1094"/>
    <w:rsid w:val="007E1609"/>
    <w:rsid w:val="007E160B"/>
    <w:rsid w:val="007E18E3"/>
    <w:rsid w:val="007E1D16"/>
    <w:rsid w:val="007E22B5"/>
    <w:rsid w:val="007E288F"/>
    <w:rsid w:val="007E2FDE"/>
    <w:rsid w:val="007E3066"/>
    <w:rsid w:val="007E3A18"/>
    <w:rsid w:val="007E4152"/>
    <w:rsid w:val="007E4688"/>
    <w:rsid w:val="007E4E85"/>
    <w:rsid w:val="007E51FC"/>
    <w:rsid w:val="007E5A84"/>
    <w:rsid w:val="007E6A96"/>
    <w:rsid w:val="007E7212"/>
    <w:rsid w:val="007E7C41"/>
    <w:rsid w:val="007F0C60"/>
    <w:rsid w:val="007F171B"/>
    <w:rsid w:val="007F2646"/>
    <w:rsid w:val="007F2B3F"/>
    <w:rsid w:val="007F32CF"/>
    <w:rsid w:val="007F361A"/>
    <w:rsid w:val="007F3A37"/>
    <w:rsid w:val="007F4A42"/>
    <w:rsid w:val="007F4D1B"/>
    <w:rsid w:val="007F4D5F"/>
    <w:rsid w:val="007F51BA"/>
    <w:rsid w:val="007F5210"/>
    <w:rsid w:val="007F569F"/>
    <w:rsid w:val="007F6190"/>
    <w:rsid w:val="007F65E5"/>
    <w:rsid w:val="007F6775"/>
    <w:rsid w:val="007F6E77"/>
    <w:rsid w:val="007F7198"/>
    <w:rsid w:val="007F7734"/>
    <w:rsid w:val="007F77BE"/>
    <w:rsid w:val="007F7C53"/>
    <w:rsid w:val="00800210"/>
    <w:rsid w:val="00800247"/>
    <w:rsid w:val="00801159"/>
    <w:rsid w:val="00802373"/>
    <w:rsid w:val="008025C6"/>
    <w:rsid w:val="00802640"/>
    <w:rsid w:val="00802AFA"/>
    <w:rsid w:val="00802BD1"/>
    <w:rsid w:val="00802F1D"/>
    <w:rsid w:val="00803092"/>
    <w:rsid w:val="0080434B"/>
    <w:rsid w:val="00804359"/>
    <w:rsid w:val="00805F6E"/>
    <w:rsid w:val="00806894"/>
    <w:rsid w:val="0080690A"/>
    <w:rsid w:val="00806942"/>
    <w:rsid w:val="0080710F"/>
    <w:rsid w:val="00807B31"/>
    <w:rsid w:val="00807C0A"/>
    <w:rsid w:val="008102C2"/>
    <w:rsid w:val="00810470"/>
    <w:rsid w:val="008110CB"/>
    <w:rsid w:val="00812CBB"/>
    <w:rsid w:val="00812D1E"/>
    <w:rsid w:val="00812E1D"/>
    <w:rsid w:val="00813157"/>
    <w:rsid w:val="00814B8E"/>
    <w:rsid w:val="008153DD"/>
    <w:rsid w:val="00815872"/>
    <w:rsid w:val="0081651C"/>
    <w:rsid w:val="00816B1B"/>
    <w:rsid w:val="00817BEE"/>
    <w:rsid w:val="0082067F"/>
    <w:rsid w:val="008217C3"/>
    <w:rsid w:val="008222A6"/>
    <w:rsid w:val="00823EBA"/>
    <w:rsid w:val="00823F07"/>
    <w:rsid w:val="0082553B"/>
    <w:rsid w:val="008259E9"/>
    <w:rsid w:val="0082626A"/>
    <w:rsid w:val="00826576"/>
    <w:rsid w:val="00826853"/>
    <w:rsid w:val="0082706F"/>
    <w:rsid w:val="008270B1"/>
    <w:rsid w:val="0082724C"/>
    <w:rsid w:val="00827D6D"/>
    <w:rsid w:val="00830A56"/>
    <w:rsid w:val="00830F3A"/>
    <w:rsid w:val="0083135B"/>
    <w:rsid w:val="00831E3F"/>
    <w:rsid w:val="008321AB"/>
    <w:rsid w:val="00832733"/>
    <w:rsid w:val="0083333A"/>
    <w:rsid w:val="00834860"/>
    <w:rsid w:val="008354FE"/>
    <w:rsid w:val="0083664A"/>
    <w:rsid w:val="00836C2E"/>
    <w:rsid w:val="008377CD"/>
    <w:rsid w:val="00837D1B"/>
    <w:rsid w:val="00840B9F"/>
    <w:rsid w:val="00840F87"/>
    <w:rsid w:val="00842C0B"/>
    <w:rsid w:val="00842C0F"/>
    <w:rsid w:val="0084329B"/>
    <w:rsid w:val="00843742"/>
    <w:rsid w:val="00843BA7"/>
    <w:rsid w:val="008440FD"/>
    <w:rsid w:val="008442A7"/>
    <w:rsid w:val="00844B11"/>
    <w:rsid w:val="00845BBB"/>
    <w:rsid w:val="00846831"/>
    <w:rsid w:val="00846D1F"/>
    <w:rsid w:val="00846E82"/>
    <w:rsid w:val="0084707E"/>
    <w:rsid w:val="008474DB"/>
    <w:rsid w:val="008477F0"/>
    <w:rsid w:val="00850A3D"/>
    <w:rsid w:val="00850EAC"/>
    <w:rsid w:val="00850EFF"/>
    <w:rsid w:val="00851C20"/>
    <w:rsid w:val="00851C3E"/>
    <w:rsid w:val="00852D4F"/>
    <w:rsid w:val="0085309F"/>
    <w:rsid w:val="008543D2"/>
    <w:rsid w:val="0085527E"/>
    <w:rsid w:val="00855ECF"/>
    <w:rsid w:val="00856818"/>
    <w:rsid w:val="00856A96"/>
    <w:rsid w:val="00857897"/>
    <w:rsid w:val="00860FEE"/>
    <w:rsid w:val="00861371"/>
    <w:rsid w:val="00861C6B"/>
    <w:rsid w:val="0086245B"/>
    <w:rsid w:val="008624F5"/>
    <w:rsid w:val="00862863"/>
    <w:rsid w:val="00862AE0"/>
    <w:rsid w:val="00862BC1"/>
    <w:rsid w:val="00863493"/>
    <w:rsid w:val="008634CD"/>
    <w:rsid w:val="008635DF"/>
    <w:rsid w:val="00864386"/>
    <w:rsid w:val="00864882"/>
    <w:rsid w:val="008648CE"/>
    <w:rsid w:val="008651DC"/>
    <w:rsid w:val="008653FC"/>
    <w:rsid w:val="00865778"/>
    <w:rsid w:val="00865C8F"/>
    <w:rsid w:val="008660B1"/>
    <w:rsid w:val="00871B4E"/>
    <w:rsid w:val="0087273F"/>
    <w:rsid w:val="00872861"/>
    <w:rsid w:val="00872DAC"/>
    <w:rsid w:val="00872DC2"/>
    <w:rsid w:val="0087314B"/>
    <w:rsid w:val="00873552"/>
    <w:rsid w:val="0087388C"/>
    <w:rsid w:val="00874AD0"/>
    <w:rsid w:val="00874EFD"/>
    <w:rsid w:val="00876199"/>
    <w:rsid w:val="008767C1"/>
    <w:rsid w:val="008768D0"/>
    <w:rsid w:val="008768F4"/>
    <w:rsid w:val="00877C4D"/>
    <w:rsid w:val="00877FB0"/>
    <w:rsid w:val="008801ED"/>
    <w:rsid w:val="0088051E"/>
    <w:rsid w:val="008806C1"/>
    <w:rsid w:val="0088144A"/>
    <w:rsid w:val="00881D43"/>
    <w:rsid w:val="00882900"/>
    <w:rsid w:val="008829A9"/>
    <w:rsid w:val="00882B83"/>
    <w:rsid w:val="008838B9"/>
    <w:rsid w:val="0088407C"/>
    <w:rsid w:val="00884399"/>
    <w:rsid w:val="00884749"/>
    <w:rsid w:val="00884CBE"/>
    <w:rsid w:val="00884CED"/>
    <w:rsid w:val="00885232"/>
    <w:rsid w:val="008856DF"/>
    <w:rsid w:val="00885A3E"/>
    <w:rsid w:val="008862E3"/>
    <w:rsid w:val="00886A5E"/>
    <w:rsid w:val="00887EEC"/>
    <w:rsid w:val="0089049F"/>
    <w:rsid w:val="008906FC"/>
    <w:rsid w:val="00891C60"/>
    <w:rsid w:val="008920C2"/>
    <w:rsid w:val="00892294"/>
    <w:rsid w:val="00892B59"/>
    <w:rsid w:val="00892E08"/>
    <w:rsid w:val="00893273"/>
    <w:rsid w:val="00893991"/>
    <w:rsid w:val="00893F68"/>
    <w:rsid w:val="00895246"/>
    <w:rsid w:val="0089526B"/>
    <w:rsid w:val="00895C7F"/>
    <w:rsid w:val="00895D83"/>
    <w:rsid w:val="0089603C"/>
    <w:rsid w:val="00896342"/>
    <w:rsid w:val="00896750"/>
    <w:rsid w:val="008976E8"/>
    <w:rsid w:val="008A10FD"/>
    <w:rsid w:val="008A436C"/>
    <w:rsid w:val="008A4486"/>
    <w:rsid w:val="008A49C8"/>
    <w:rsid w:val="008A5616"/>
    <w:rsid w:val="008A59DB"/>
    <w:rsid w:val="008A6691"/>
    <w:rsid w:val="008B0262"/>
    <w:rsid w:val="008B0472"/>
    <w:rsid w:val="008B0BFA"/>
    <w:rsid w:val="008B1059"/>
    <w:rsid w:val="008B162B"/>
    <w:rsid w:val="008B1A4E"/>
    <w:rsid w:val="008B1CAD"/>
    <w:rsid w:val="008B1DC8"/>
    <w:rsid w:val="008B2049"/>
    <w:rsid w:val="008B2C5C"/>
    <w:rsid w:val="008B486D"/>
    <w:rsid w:val="008B4A32"/>
    <w:rsid w:val="008B4DA3"/>
    <w:rsid w:val="008B4FC5"/>
    <w:rsid w:val="008B6602"/>
    <w:rsid w:val="008B6D09"/>
    <w:rsid w:val="008B750C"/>
    <w:rsid w:val="008B78B2"/>
    <w:rsid w:val="008B7FFA"/>
    <w:rsid w:val="008C030A"/>
    <w:rsid w:val="008C0848"/>
    <w:rsid w:val="008C103C"/>
    <w:rsid w:val="008C1627"/>
    <w:rsid w:val="008C2091"/>
    <w:rsid w:val="008C235B"/>
    <w:rsid w:val="008C30D5"/>
    <w:rsid w:val="008C3978"/>
    <w:rsid w:val="008C3983"/>
    <w:rsid w:val="008C3A96"/>
    <w:rsid w:val="008C3F54"/>
    <w:rsid w:val="008C4C2B"/>
    <w:rsid w:val="008C5614"/>
    <w:rsid w:val="008C595E"/>
    <w:rsid w:val="008C5F97"/>
    <w:rsid w:val="008C6B8C"/>
    <w:rsid w:val="008C7756"/>
    <w:rsid w:val="008D07D1"/>
    <w:rsid w:val="008D0CD0"/>
    <w:rsid w:val="008D0E0F"/>
    <w:rsid w:val="008D1056"/>
    <w:rsid w:val="008D14AD"/>
    <w:rsid w:val="008D21D6"/>
    <w:rsid w:val="008D28E2"/>
    <w:rsid w:val="008D2A1B"/>
    <w:rsid w:val="008D35C5"/>
    <w:rsid w:val="008D3BD0"/>
    <w:rsid w:val="008D4DC8"/>
    <w:rsid w:val="008D567C"/>
    <w:rsid w:val="008D5F1F"/>
    <w:rsid w:val="008D6C64"/>
    <w:rsid w:val="008D7A88"/>
    <w:rsid w:val="008E0271"/>
    <w:rsid w:val="008E0F09"/>
    <w:rsid w:val="008E1262"/>
    <w:rsid w:val="008E36DE"/>
    <w:rsid w:val="008E4109"/>
    <w:rsid w:val="008E46B5"/>
    <w:rsid w:val="008E49FF"/>
    <w:rsid w:val="008E4F0C"/>
    <w:rsid w:val="008E547D"/>
    <w:rsid w:val="008E55F5"/>
    <w:rsid w:val="008E789B"/>
    <w:rsid w:val="008E7AD5"/>
    <w:rsid w:val="008E7CD8"/>
    <w:rsid w:val="008F06C4"/>
    <w:rsid w:val="008F0C7D"/>
    <w:rsid w:val="008F12FE"/>
    <w:rsid w:val="008F1B8A"/>
    <w:rsid w:val="008F220E"/>
    <w:rsid w:val="008F2ABA"/>
    <w:rsid w:val="008F43EF"/>
    <w:rsid w:val="008F44CB"/>
    <w:rsid w:val="008F53C6"/>
    <w:rsid w:val="008F62D9"/>
    <w:rsid w:val="008F646C"/>
    <w:rsid w:val="008F749B"/>
    <w:rsid w:val="008F74DA"/>
    <w:rsid w:val="008F7BD5"/>
    <w:rsid w:val="0090103A"/>
    <w:rsid w:val="009036E4"/>
    <w:rsid w:val="00903D44"/>
    <w:rsid w:val="009040D5"/>
    <w:rsid w:val="009044E1"/>
    <w:rsid w:val="00904F79"/>
    <w:rsid w:val="00905BC4"/>
    <w:rsid w:val="00906548"/>
    <w:rsid w:val="00906823"/>
    <w:rsid w:val="00906AF9"/>
    <w:rsid w:val="00906FD4"/>
    <w:rsid w:val="00907009"/>
    <w:rsid w:val="009071E0"/>
    <w:rsid w:val="00910661"/>
    <w:rsid w:val="00911CDF"/>
    <w:rsid w:val="00911DB4"/>
    <w:rsid w:val="00913995"/>
    <w:rsid w:val="009139D8"/>
    <w:rsid w:val="0091440D"/>
    <w:rsid w:val="00914876"/>
    <w:rsid w:val="00915401"/>
    <w:rsid w:val="009166B4"/>
    <w:rsid w:val="00916E6F"/>
    <w:rsid w:val="00916F33"/>
    <w:rsid w:val="00917233"/>
    <w:rsid w:val="00917D95"/>
    <w:rsid w:val="00920C83"/>
    <w:rsid w:val="00920CFF"/>
    <w:rsid w:val="00921CF1"/>
    <w:rsid w:val="0092319A"/>
    <w:rsid w:val="009237B8"/>
    <w:rsid w:val="009239C2"/>
    <w:rsid w:val="009250BC"/>
    <w:rsid w:val="00926451"/>
    <w:rsid w:val="00926AA8"/>
    <w:rsid w:val="00927CD9"/>
    <w:rsid w:val="00927E68"/>
    <w:rsid w:val="00930E9D"/>
    <w:rsid w:val="00931856"/>
    <w:rsid w:val="00931CF0"/>
    <w:rsid w:val="00931E0D"/>
    <w:rsid w:val="009324F5"/>
    <w:rsid w:val="009329D9"/>
    <w:rsid w:val="00932EFB"/>
    <w:rsid w:val="00933301"/>
    <w:rsid w:val="00933737"/>
    <w:rsid w:val="00933796"/>
    <w:rsid w:val="00933C97"/>
    <w:rsid w:val="009346F6"/>
    <w:rsid w:val="009350BB"/>
    <w:rsid w:val="00935A48"/>
    <w:rsid w:val="00935C21"/>
    <w:rsid w:val="00935E1D"/>
    <w:rsid w:val="009360C8"/>
    <w:rsid w:val="00936397"/>
    <w:rsid w:val="00936847"/>
    <w:rsid w:val="00937800"/>
    <w:rsid w:val="009402F1"/>
    <w:rsid w:val="009407C7"/>
    <w:rsid w:val="00941CA8"/>
    <w:rsid w:val="009431E3"/>
    <w:rsid w:val="00943A1E"/>
    <w:rsid w:val="00943E74"/>
    <w:rsid w:val="009440A1"/>
    <w:rsid w:val="009452FC"/>
    <w:rsid w:val="0094635F"/>
    <w:rsid w:val="0094650F"/>
    <w:rsid w:val="009465F2"/>
    <w:rsid w:val="00946720"/>
    <w:rsid w:val="009472B2"/>
    <w:rsid w:val="0094761A"/>
    <w:rsid w:val="00947B59"/>
    <w:rsid w:val="009500B5"/>
    <w:rsid w:val="00952077"/>
    <w:rsid w:val="00952422"/>
    <w:rsid w:val="00952F6C"/>
    <w:rsid w:val="0095309F"/>
    <w:rsid w:val="00954825"/>
    <w:rsid w:val="009573B3"/>
    <w:rsid w:val="00957465"/>
    <w:rsid w:val="009575FF"/>
    <w:rsid w:val="00957A0B"/>
    <w:rsid w:val="00957B84"/>
    <w:rsid w:val="00957FB2"/>
    <w:rsid w:val="0096004F"/>
    <w:rsid w:val="00960928"/>
    <w:rsid w:val="00960E78"/>
    <w:rsid w:val="009613CF"/>
    <w:rsid w:val="00963099"/>
    <w:rsid w:val="00963236"/>
    <w:rsid w:val="00963623"/>
    <w:rsid w:val="009637BB"/>
    <w:rsid w:val="0096402E"/>
    <w:rsid w:val="00965C94"/>
    <w:rsid w:val="00966272"/>
    <w:rsid w:val="009665A3"/>
    <w:rsid w:val="00966A4C"/>
    <w:rsid w:val="009675F7"/>
    <w:rsid w:val="00967E1E"/>
    <w:rsid w:val="0097160B"/>
    <w:rsid w:val="009718AE"/>
    <w:rsid w:val="00971EBF"/>
    <w:rsid w:val="00971F7E"/>
    <w:rsid w:val="0097202A"/>
    <w:rsid w:val="00973C88"/>
    <w:rsid w:val="009751D9"/>
    <w:rsid w:val="00975FBD"/>
    <w:rsid w:val="00976372"/>
    <w:rsid w:val="00976482"/>
    <w:rsid w:val="00976820"/>
    <w:rsid w:val="0097695B"/>
    <w:rsid w:val="00976B33"/>
    <w:rsid w:val="00977D13"/>
    <w:rsid w:val="00980DDE"/>
    <w:rsid w:val="0098138A"/>
    <w:rsid w:val="00981DB2"/>
    <w:rsid w:val="00982050"/>
    <w:rsid w:val="00982406"/>
    <w:rsid w:val="0098251F"/>
    <w:rsid w:val="0098275C"/>
    <w:rsid w:val="00982776"/>
    <w:rsid w:val="00982F52"/>
    <w:rsid w:val="00983065"/>
    <w:rsid w:val="00983380"/>
    <w:rsid w:val="00983587"/>
    <w:rsid w:val="0098379C"/>
    <w:rsid w:val="00984636"/>
    <w:rsid w:val="00984B21"/>
    <w:rsid w:val="00987292"/>
    <w:rsid w:val="0099078C"/>
    <w:rsid w:val="00991EE4"/>
    <w:rsid w:val="00992FE4"/>
    <w:rsid w:val="00993264"/>
    <w:rsid w:val="00993BB8"/>
    <w:rsid w:val="00993FC6"/>
    <w:rsid w:val="009959B2"/>
    <w:rsid w:val="00996AFA"/>
    <w:rsid w:val="00996C58"/>
    <w:rsid w:val="00996D99"/>
    <w:rsid w:val="00996E26"/>
    <w:rsid w:val="00997962"/>
    <w:rsid w:val="00997DB3"/>
    <w:rsid w:val="009A0666"/>
    <w:rsid w:val="009A0A46"/>
    <w:rsid w:val="009A1214"/>
    <w:rsid w:val="009A28B2"/>
    <w:rsid w:val="009A2EE3"/>
    <w:rsid w:val="009A2F40"/>
    <w:rsid w:val="009A433E"/>
    <w:rsid w:val="009A4F86"/>
    <w:rsid w:val="009A52DE"/>
    <w:rsid w:val="009A7037"/>
    <w:rsid w:val="009A73CB"/>
    <w:rsid w:val="009A7E05"/>
    <w:rsid w:val="009A7E19"/>
    <w:rsid w:val="009B0244"/>
    <w:rsid w:val="009B12B6"/>
    <w:rsid w:val="009B144B"/>
    <w:rsid w:val="009B1680"/>
    <w:rsid w:val="009B17A9"/>
    <w:rsid w:val="009B1AF9"/>
    <w:rsid w:val="009B2D44"/>
    <w:rsid w:val="009B30A4"/>
    <w:rsid w:val="009B449B"/>
    <w:rsid w:val="009B666E"/>
    <w:rsid w:val="009B74AF"/>
    <w:rsid w:val="009B7B86"/>
    <w:rsid w:val="009C0711"/>
    <w:rsid w:val="009C1385"/>
    <w:rsid w:val="009C17DE"/>
    <w:rsid w:val="009C1E64"/>
    <w:rsid w:val="009C241B"/>
    <w:rsid w:val="009C2501"/>
    <w:rsid w:val="009C3B10"/>
    <w:rsid w:val="009C52C2"/>
    <w:rsid w:val="009C5302"/>
    <w:rsid w:val="009C5568"/>
    <w:rsid w:val="009C57E4"/>
    <w:rsid w:val="009C5D45"/>
    <w:rsid w:val="009C5DCF"/>
    <w:rsid w:val="009C5F11"/>
    <w:rsid w:val="009C701A"/>
    <w:rsid w:val="009C776A"/>
    <w:rsid w:val="009D01CE"/>
    <w:rsid w:val="009D0336"/>
    <w:rsid w:val="009D0A4C"/>
    <w:rsid w:val="009D0B60"/>
    <w:rsid w:val="009D291B"/>
    <w:rsid w:val="009D30FD"/>
    <w:rsid w:val="009D45D1"/>
    <w:rsid w:val="009D47FB"/>
    <w:rsid w:val="009D4F1C"/>
    <w:rsid w:val="009D5677"/>
    <w:rsid w:val="009D6F58"/>
    <w:rsid w:val="009D77DF"/>
    <w:rsid w:val="009E0686"/>
    <w:rsid w:val="009E0790"/>
    <w:rsid w:val="009E0BFB"/>
    <w:rsid w:val="009E1C5D"/>
    <w:rsid w:val="009E1D69"/>
    <w:rsid w:val="009E2041"/>
    <w:rsid w:val="009E28C4"/>
    <w:rsid w:val="009E2B50"/>
    <w:rsid w:val="009E3A87"/>
    <w:rsid w:val="009E3E3C"/>
    <w:rsid w:val="009E4293"/>
    <w:rsid w:val="009E4A83"/>
    <w:rsid w:val="009E4ED6"/>
    <w:rsid w:val="009E5564"/>
    <w:rsid w:val="009E5E76"/>
    <w:rsid w:val="009E669A"/>
    <w:rsid w:val="009E6CEB"/>
    <w:rsid w:val="009E6E05"/>
    <w:rsid w:val="009E70B4"/>
    <w:rsid w:val="009F031D"/>
    <w:rsid w:val="009F06F3"/>
    <w:rsid w:val="009F09CF"/>
    <w:rsid w:val="009F0F06"/>
    <w:rsid w:val="009F1262"/>
    <w:rsid w:val="009F3972"/>
    <w:rsid w:val="009F3BAB"/>
    <w:rsid w:val="009F3E34"/>
    <w:rsid w:val="009F4E6D"/>
    <w:rsid w:val="009F56A1"/>
    <w:rsid w:val="009F6857"/>
    <w:rsid w:val="009F6FCD"/>
    <w:rsid w:val="009F78FD"/>
    <w:rsid w:val="00A0071D"/>
    <w:rsid w:val="00A01856"/>
    <w:rsid w:val="00A0191C"/>
    <w:rsid w:val="00A0289E"/>
    <w:rsid w:val="00A034DD"/>
    <w:rsid w:val="00A04305"/>
    <w:rsid w:val="00A05DB9"/>
    <w:rsid w:val="00A05F90"/>
    <w:rsid w:val="00A0611E"/>
    <w:rsid w:val="00A07A79"/>
    <w:rsid w:val="00A07C63"/>
    <w:rsid w:val="00A10810"/>
    <w:rsid w:val="00A10856"/>
    <w:rsid w:val="00A114C8"/>
    <w:rsid w:val="00A115B2"/>
    <w:rsid w:val="00A1164C"/>
    <w:rsid w:val="00A11750"/>
    <w:rsid w:val="00A1258E"/>
    <w:rsid w:val="00A13571"/>
    <w:rsid w:val="00A13608"/>
    <w:rsid w:val="00A13B50"/>
    <w:rsid w:val="00A13D51"/>
    <w:rsid w:val="00A14B02"/>
    <w:rsid w:val="00A168E7"/>
    <w:rsid w:val="00A176C1"/>
    <w:rsid w:val="00A2183E"/>
    <w:rsid w:val="00A21FCE"/>
    <w:rsid w:val="00A224DA"/>
    <w:rsid w:val="00A22613"/>
    <w:rsid w:val="00A22AE1"/>
    <w:rsid w:val="00A22BD8"/>
    <w:rsid w:val="00A23155"/>
    <w:rsid w:val="00A23BD3"/>
    <w:rsid w:val="00A24157"/>
    <w:rsid w:val="00A243A5"/>
    <w:rsid w:val="00A2468A"/>
    <w:rsid w:val="00A24B5C"/>
    <w:rsid w:val="00A24C71"/>
    <w:rsid w:val="00A25B9C"/>
    <w:rsid w:val="00A26BCB"/>
    <w:rsid w:val="00A26C09"/>
    <w:rsid w:val="00A26C0D"/>
    <w:rsid w:val="00A276BE"/>
    <w:rsid w:val="00A27AAF"/>
    <w:rsid w:val="00A30369"/>
    <w:rsid w:val="00A30A77"/>
    <w:rsid w:val="00A30C6C"/>
    <w:rsid w:val="00A31EAA"/>
    <w:rsid w:val="00A322B4"/>
    <w:rsid w:val="00A323C1"/>
    <w:rsid w:val="00A32786"/>
    <w:rsid w:val="00A3406E"/>
    <w:rsid w:val="00A3423B"/>
    <w:rsid w:val="00A34C01"/>
    <w:rsid w:val="00A3512F"/>
    <w:rsid w:val="00A3631C"/>
    <w:rsid w:val="00A3640D"/>
    <w:rsid w:val="00A36467"/>
    <w:rsid w:val="00A366F1"/>
    <w:rsid w:val="00A36740"/>
    <w:rsid w:val="00A41B9A"/>
    <w:rsid w:val="00A4211A"/>
    <w:rsid w:val="00A42BF4"/>
    <w:rsid w:val="00A43CA0"/>
    <w:rsid w:val="00A447F2"/>
    <w:rsid w:val="00A453DE"/>
    <w:rsid w:val="00A464E4"/>
    <w:rsid w:val="00A4675E"/>
    <w:rsid w:val="00A46D60"/>
    <w:rsid w:val="00A473E8"/>
    <w:rsid w:val="00A47C12"/>
    <w:rsid w:val="00A518F3"/>
    <w:rsid w:val="00A51BE8"/>
    <w:rsid w:val="00A52800"/>
    <w:rsid w:val="00A532DE"/>
    <w:rsid w:val="00A53459"/>
    <w:rsid w:val="00A54842"/>
    <w:rsid w:val="00A548D9"/>
    <w:rsid w:val="00A55A5C"/>
    <w:rsid w:val="00A56101"/>
    <w:rsid w:val="00A56CA5"/>
    <w:rsid w:val="00A5795E"/>
    <w:rsid w:val="00A62D7A"/>
    <w:rsid w:val="00A631FD"/>
    <w:rsid w:val="00A63E71"/>
    <w:rsid w:val="00A64108"/>
    <w:rsid w:val="00A642A5"/>
    <w:rsid w:val="00A64B9B"/>
    <w:rsid w:val="00A651BD"/>
    <w:rsid w:val="00A651DF"/>
    <w:rsid w:val="00A65378"/>
    <w:rsid w:val="00A65810"/>
    <w:rsid w:val="00A65A83"/>
    <w:rsid w:val="00A66312"/>
    <w:rsid w:val="00A67147"/>
    <w:rsid w:val="00A67DFF"/>
    <w:rsid w:val="00A70D1C"/>
    <w:rsid w:val="00A735D5"/>
    <w:rsid w:val="00A73756"/>
    <w:rsid w:val="00A74B8C"/>
    <w:rsid w:val="00A74ED6"/>
    <w:rsid w:val="00A7502F"/>
    <w:rsid w:val="00A755E6"/>
    <w:rsid w:val="00A75DE2"/>
    <w:rsid w:val="00A760FA"/>
    <w:rsid w:val="00A76C26"/>
    <w:rsid w:val="00A76FE9"/>
    <w:rsid w:val="00A77137"/>
    <w:rsid w:val="00A807D2"/>
    <w:rsid w:val="00A8154B"/>
    <w:rsid w:val="00A82685"/>
    <w:rsid w:val="00A82A02"/>
    <w:rsid w:val="00A82E8A"/>
    <w:rsid w:val="00A830CB"/>
    <w:rsid w:val="00A835EB"/>
    <w:rsid w:val="00A839E8"/>
    <w:rsid w:val="00A861EB"/>
    <w:rsid w:val="00A86354"/>
    <w:rsid w:val="00A868D6"/>
    <w:rsid w:val="00A91E87"/>
    <w:rsid w:val="00A92661"/>
    <w:rsid w:val="00A92B7E"/>
    <w:rsid w:val="00A93116"/>
    <w:rsid w:val="00A93869"/>
    <w:rsid w:val="00A93EC9"/>
    <w:rsid w:val="00A94357"/>
    <w:rsid w:val="00A94F29"/>
    <w:rsid w:val="00A95919"/>
    <w:rsid w:val="00A9606D"/>
    <w:rsid w:val="00A97312"/>
    <w:rsid w:val="00A97A0E"/>
    <w:rsid w:val="00AA03CD"/>
    <w:rsid w:val="00AA0566"/>
    <w:rsid w:val="00AA06A0"/>
    <w:rsid w:val="00AA06F7"/>
    <w:rsid w:val="00AA0AA8"/>
    <w:rsid w:val="00AA0BB3"/>
    <w:rsid w:val="00AA19B0"/>
    <w:rsid w:val="00AA2DC9"/>
    <w:rsid w:val="00AA2FD0"/>
    <w:rsid w:val="00AA34EA"/>
    <w:rsid w:val="00AA3F57"/>
    <w:rsid w:val="00AA45D2"/>
    <w:rsid w:val="00AA492C"/>
    <w:rsid w:val="00AA4AA9"/>
    <w:rsid w:val="00AA4BD5"/>
    <w:rsid w:val="00AA515A"/>
    <w:rsid w:val="00AA67BC"/>
    <w:rsid w:val="00AA68D5"/>
    <w:rsid w:val="00AA7B6F"/>
    <w:rsid w:val="00AB082D"/>
    <w:rsid w:val="00AB0DF5"/>
    <w:rsid w:val="00AB16B1"/>
    <w:rsid w:val="00AB1710"/>
    <w:rsid w:val="00AB1CEC"/>
    <w:rsid w:val="00AB21FE"/>
    <w:rsid w:val="00AB2333"/>
    <w:rsid w:val="00AB23A3"/>
    <w:rsid w:val="00AB25A9"/>
    <w:rsid w:val="00AB291D"/>
    <w:rsid w:val="00AB2B1C"/>
    <w:rsid w:val="00AB4217"/>
    <w:rsid w:val="00AB4546"/>
    <w:rsid w:val="00AB460B"/>
    <w:rsid w:val="00AB4959"/>
    <w:rsid w:val="00AB500A"/>
    <w:rsid w:val="00AB5886"/>
    <w:rsid w:val="00AB5A50"/>
    <w:rsid w:val="00AB5A76"/>
    <w:rsid w:val="00AB641A"/>
    <w:rsid w:val="00AB733A"/>
    <w:rsid w:val="00AB7A5D"/>
    <w:rsid w:val="00AC0749"/>
    <w:rsid w:val="00AC1122"/>
    <w:rsid w:val="00AC11BB"/>
    <w:rsid w:val="00AC1453"/>
    <w:rsid w:val="00AC1C8C"/>
    <w:rsid w:val="00AC3609"/>
    <w:rsid w:val="00AC4290"/>
    <w:rsid w:val="00AC48EF"/>
    <w:rsid w:val="00AC4F88"/>
    <w:rsid w:val="00AC502C"/>
    <w:rsid w:val="00AC5FEE"/>
    <w:rsid w:val="00AC697E"/>
    <w:rsid w:val="00AC6AC0"/>
    <w:rsid w:val="00AC6B6C"/>
    <w:rsid w:val="00AD05B1"/>
    <w:rsid w:val="00AD19D1"/>
    <w:rsid w:val="00AD1C17"/>
    <w:rsid w:val="00AD31C5"/>
    <w:rsid w:val="00AD3D6B"/>
    <w:rsid w:val="00AD3EAF"/>
    <w:rsid w:val="00AD4778"/>
    <w:rsid w:val="00AD4DE2"/>
    <w:rsid w:val="00AD4E4D"/>
    <w:rsid w:val="00AD50B6"/>
    <w:rsid w:val="00AD7737"/>
    <w:rsid w:val="00AE09E0"/>
    <w:rsid w:val="00AE143B"/>
    <w:rsid w:val="00AE3782"/>
    <w:rsid w:val="00AE4693"/>
    <w:rsid w:val="00AE47FF"/>
    <w:rsid w:val="00AE60F5"/>
    <w:rsid w:val="00AE6957"/>
    <w:rsid w:val="00AE6D18"/>
    <w:rsid w:val="00AE7311"/>
    <w:rsid w:val="00AE7C2E"/>
    <w:rsid w:val="00AE7E97"/>
    <w:rsid w:val="00AF065C"/>
    <w:rsid w:val="00AF0AD0"/>
    <w:rsid w:val="00AF2431"/>
    <w:rsid w:val="00AF2ACF"/>
    <w:rsid w:val="00AF2B55"/>
    <w:rsid w:val="00AF3F8A"/>
    <w:rsid w:val="00AF5A28"/>
    <w:rsid w:val="00AF753B"/>
    <w:rsid w:val="00AF77EE"/>
    <w:rsid w:val="00B0051B"/>
    <w:rsid w:val="00B00DCE"/>
    <w:rsid w:val="00B01C01"/>
    <w:rsid w:val="00B01DA8"/>
    <w:rsid w:val="00B02A7D"/>
    <w:rsid w:val="00B0316D"/>
    <w:rsid w:val="00B03A12"/>
    <w:rsid w:val="00B04048"/>
    <w:rsid w:val="00B041B3"/>
    <w:rsid w:val="00B04D77"/>
    <w:rsid w:val="00B07478"/>
    <w:rsid w:val="00B10161"/>
    <w:rsid w:val="00B11A88"/>
    <w:rsid w:val="00B132F9"/>
    <w:rsid w:val="00B136C3"/>
    <w:rsid w:val="00B14797"/>
    <w:rsid w:val="00B14940"/>
    <w:rsid w:val="00B1494B"/>
    <w:rsid w:val="00B15FE7"/>
    <w:rsid w:val="00B1635D"/>
    <w:rsid w:val="00B16583"/>
    <w:rsid w:val="00B17944"/>
    <w:rsid w:val="00B17B18"/>
    <w:rsid w:val="00B17C10"/>
    <w:rsid w:val="00B217E3"/>
    <w:rsid w:val="00B22096"/>
    <w:rsid w:val="00B225DB"/>
    <w:rsid w:val="00B22A52"/>
    <w:rsid w:val="00B23C12"/>
    <w:rsid w:val="00B241AE"/>
    <w:rsid w:val="00B245A5"/>
    <w:rsid w:val="00B245B9"/>
    <w:rsid w:val="00B246A3"/>
    <w:rsid w:val="00B246D5"/>
    <w:rsid w:val="00B24869"/>
    <w:rsid w:val="00B24E60"/>
    <w:rsid w:val="00B25619"/>
    <w:rsid w:val="00B257B7"/>
    <w:rsid w:val="00B26025"/>
    <w:rsid w:val="00B26897"/>
    <w:rsid w:val="00B26BE1"/>
    <w:rsid w:val="00B2702E"/>
    <w:rsid w:val="00B27CE2"/>
    <w:rsid w:val="00B3014D"/>
    <w:rsid w:val="00B30AC2"/>
    <w:rsid w:val="00B30ADE"/>
    <w:rsid w:val="00B30E72"/>
    <w:rsid w:val="00B30FFD"/>
    <w:rsid w:val="00B314F4"/>
    <w:rsid w:val="00B32218"/>
    <w:rsid w:val="00B3237E"/>
    <w:rsid w:val="00B328E3"/>
    <w:rsid w:val="00B32AE7"/>
    <w:rsid w:val="00B33346"/>
    <w:rsid w:val="00B34386"/>
    <w:rsid w:val="00B35153"/>
    <w:rsid w:val="00B357CD"/>
    <w:rsid w:val="00B35A83"/>
    <w:rsid w:val="00B36124"/>
    <w:rsid w:val="00B36674"/>
    <w:rsid w:val="00B3705F"/>
    <w:rsid w:val="00B373F3"/>
    <w:rsid w:val="00B40A7C"/>
    <w:rsid w:val="00B40B86"/>
    <w:rsid w:val="00B40CD9"/>
    <w:rsid w:val="00B40DB5"/>
    <w:rsid w:val="00B412A8"/>
    <w:rsid w:val="00B41520"/>
    <w:rsid w:val="00B416D9"/>
    <w:rsid w:val="00B42CAD"/>
    <w:rsid w:val="00B43806"/>
    <w:rsid w:val="00B43DE9"/>
    <w:rsid w:val="00B4581E"/>
    <w:rsid w:val="00B45AB7"/>
    <w:rsid w:val="00B45B69"/>
    <w:rsid w:val="00B45C21"/>
    <w:rsid w:val="00B466CC"/>
    <w:rsid w:val="00B476F0"/>
    <w:rsid w:val="00B47A3C"/>
    <w:rsid w:val="00B47CB4"/>
    <w:rsid w:val="00B50662"/>
    <w:rsid w:val="00B50CCE"/>
    <w:rsid w:val="00B50FD8"/>
    <w:rsid w:val="00B51482"/>
    <w:rsid w:val="00B51702"/>
    <w:rsid w:val="00B5203D"/>
    <w:rsid w:val="00B5353F"/>
    <w:rsid w:val="00B53C62"/>
    <w:rsid w:val="00B54196"/>
    <w:rsid w:val="00B55903"/>
    <w:rsid w:val="00B55E65"/>
    <w:rsid w:val="00B56315"/>
    <w:rsid w:val="00B56350"/>
    <w:rsid w:val="00B56A00"/>
    <w:rsid w:val="00B56D64"/>
    <w:rsid w:val="00B5782A"/>
    <w:rsid w:val="00B57E66"/>
    <w:rsid w:val="00B57FF5"/>
    <w:rsid w:val="00B60AA6"/>
    <w:rsid w:val="00B60C41"/>
    <w:rsid w:val="00B617E1"/>
    <w:rsid w:val="00B61F7A"/>
    <w:rsid w:val="00B62379"/>
    <w:rsid w:val="00B63851"/>
    <w:rsid w:val="00B63EEB"/>
    <w:rsid w:val="00B658B7"/>
    <w:rsid w:val="00B65927"/>
    <w:rsid w:val="00B661D4"/>
    <w:rsid w:val="00B66B76"/>
    <w:rsid w:val="00B66D65"/>
    <w:rsid w:val="00B70200"/>
    <w:rsid w:val="00B704AA"/>
    <w:rsid w:val="00B70A4B"/>
    <w:rsid w:val="00B71991"/>
    <w:rsid w:val="00B72B89"/>
    <w:rsid w:val="00B72FD8"/>
    <w:rsid w:val="00B73011"/>
    <w:rsid w:val="00B7349C"/>
    <w:rsid w:val="00B73632"/>
    <w:rsid w:val="00B738D8"/>
    <w:rsid w:val="00B73D43"/>
    <w:rsid w:val="00B73FDC"/>
    <w:rsid w:val="00B7502D"/>
    <w:rsid w:val="00B75C83"/>
    <w:rsid w:val="00B75CC3"/>
    <w:rsid w:val="00B75D74"/>
    <w:rsid w:val="00B75F47"/>
    <w:rsid w:val="00B77AF3"/>
    <w:rsid w:val="00B77B09"/>
    <w:rsid w:val="00B77C81"/>
    <w:rsid w:val="00B808F6"/>
    <w:rsid w:val="00B81C5A"/>
    <w:rsid w:val="00B82E80"/>
    <w:rsid w:val="00B835DE"/>
    <w:rsid w:val="00B83BE0"/>
    <w:rsid w:val="00B85260"/>
    <w:rsid w:val="00B85D37"/>
    <w:rsid w:val="00B87125"/>
    <w:rsid w:val="00B87284"/>
    <w:rsid w:val="00B87842"/>
    <w:rsid w:val="00B91E15"/>
    <w:rsid w:val="00B9227B"/>
    <w:rsid w:val="00B93508"/>
    <w:rsid w:val="00B93B55"/>
    <w:rsid w:val="00B94909"/>
    <w:rsid w:val="00B95682"/>
    <w:rsid w:val="00B95D01"/>
    <w:rsid w:val="00B95EFF"/>
    <w:rsid w:val="00B96FBD"/>
    <w:rsid w:val="00B9732F"/>
    <w:rsid w:val="00B97E05"/>
    <w:rsid w:val="00BA07DC"/>
    <w:rsid w:val="00BA083C"/>
    <w:rsid w:val="00BA100A"/>
    <w:rsid w:val="00BA1015"/>
    <w:rsid w:val="00BA1BE3"/>
    <w:rsid w:val="00BA35B5"/>
    <w:rsid w:val="00BA3679"/>
    <w:rsid w:val="00BA4992"/>
    <w:rsid w:val="00BA4E58"/>
    <w:rsid w:val="00BA5A89"/>
    <w:rsid w:val="00BA6206"/>
    <w:rsid w:val="00BA6654"/>
    <w:rsid w:val="00BB04D1"/>
    <w:rsid w:val="00BB0793"/>
    <w:rsid w:val="00BB0AF1"/>
    <w:rsid w:val="00BB0CF0"/>
    <w:rsid w:val="00BB28C3"/>
    <w:rsid w:val="00BB2FC7"/>
    <w:rsid w:val="00BB39C5"/>
    <w:rsid w:val="00BB3DD4"/>
    <w:rsid w:val="00BB4137"/>
    <w:rsid w:val="00BB50A9"/>
    <w:rsid w:val="00BB53F1"/>
    <w:rsid w:val="00BB5449"/>
    <w:rsid w:val="00BB5D37"/>
    <w:rsid w:val="00BB6ABB"/>
    <w:rsid w:val="00BB72E8"/>
    <w:rsid w:val="00BC0247"/>
    <w:rsid w:val="00BC13A5"/>
    <w:rsid w:val="00BC1586"/>
    <w:rsid w:val="00BC16FF"/>
    <w:rsid w:val="00BC1C53"/>
    <w:rsid w:val="00BC2ED4"/>
    <w:rsid w:val="00BC3559"/>
    <w:rsid w:val="00BC3A7B"/>
    <w:rsid w:val="00BC3F68"/>
    <w:rsid w:val="00BC4196"/>
    <w:rsid w:val="00BC436A"/>
    <w:rsid w:val="00BC46F6"/>
    <w:rsid w:val="00BC5042"/>
    <w:rsid w:val="00BC5264"/>
    <w:rsid w:val="00BC585E"/>
    <w:rsid w:val="00BC6414"/>
    <w:rsid w:val="00BC6B08"/>
    <w:rsid w:val="00BC70D0"/>
    <w:rsid w:val="00BC73DB"/>
    <w:rsid w:val="00BC7AFD"/>
    <w:rsid w:val="00BC7C74"/>
    <w:rsid w:val="00BD0963"/>
    <w:rsid w:val="00BD0DB1"/>
    <w:rsid w:val="00BD157E"/>
    <w:rsid w:val="00BD2F1D"/>
    <w:rsid w:val="00BD346A"/>
    <w:rsid w:val="00BD4B99"/>
    <w:rsid w:val="00BD4CE6"/>
    <w:rsid w:val="00BD4E6F"/>
    <w:rsid w:val="00BD6579"/>
    <w:rsid w:val="00BD7246"/>
    <w:rsid w:val="00BD761C"/>
    <w:rsid w:val="00BD773E"/>
    <w:rsid w:val="00BD79C0"/>
    <w:rsid w:val="00BD7FA3"/>
    <w:rsid w:val="00BE004E"/>
    <w:rsid w:val="00BE2063"/>
    <w:rsid w:val="00BE2169"/>
    <w:rsid w:val="00BE25BC"/>
    <w:rsid w:val="00BE2D4C"/>
    <w:rsid w:val="00BE335C"/>
    <w:rsid w:val="00BE6ACB"/>
    <w:rsid w:val="00BE6BA6"/>
    <w:rsid w:val="00BE73BA"/>
    <w:rsid w:val="00BE744A"/>
    <w:rsid w:val="00BF0322"/>
    <w:rsid w:val="00BF20D0"/>
    <w:rsid w:val="00BF29F9"/>
    <w:rsid w:val="00BF3132"/>
    <w:rsid w:val="00BF3193"/>
    <w:rsid w:val="00BF3466"/>
    <w:rsid w:val="00BF3ACE"/>
    <w:rsid w:val="00BF3F91"/>
    <w:rsid w:val="00BF4CCA"/>
    <w:rsid w:val="00BF4EFA"/>
    <w:rsid w:val="00BF58B8"/>
    <w:rsid w:val="00BF5CD7"/>
    <w:rsid w:val="00BF5FD3"/>
    <w:rsid w:val="00BF6432"/>
    <w:rsid w:val="00BF69F7"/>
    <w:rsid w:val="00BF7FFC"/>
    <w:rsid w:val="00C005C2"/>
    <w:rsid w:val="00C008CB"/>
    <w:rsid w:val="00C00E0D"/>
    <w:rsid w:val="00C016DE"/>
    <w:rsid w:val="00C01F03"/>
    <w:rsid w:val="00C01F3C"/>
    <w:rsid w:val="00C022A2"/>
    <w:rsid w:val="00C02604"/>
    <w:rsid w:val="00C02A48"/>
    <w:rsid w:val="00C03AAA"/>
    <w:rsid w:val="00C05708"/>
    <w:rsid w:val="00C058D0"/>
    <w:rsid w:val="00C0596B"/>
    <w:rsid w:val="00C05D35"/>
    <w:rsid w:val="00C06C68"/>
    <w:rsid w:val="00C06F3E"/>
    <w:rsid w:val="00C074FD"/>
    <w:rsid w:val="00C102A2"/>
    <w:rsid w:val="00C10FF0"/>
    <w:rsid w:val="00C117C9"/>
    <w:rsid w:val="00C11964"/>
    <w:rsid w:val="00C11DB4"/>
    <w:rsid w:val="00C1278C"/>
    <w:rsid w:val="00C12EC3"/>
    <w:rsid w:val="00C13063"/>
    <w:rsid w:val="00C13703"/>
    <w:rsid w:val="00C16535"/>
    <w:rsid w:val="00C16803"/>
    <w:rsid w:val="00C16874"/>
    <w:rsid w:val="00C16ADE"/>
    <w:rsid w:val="00C16EED"/>
    <w:rsid w:val="00C176DB"/>
    <w:rsid w:val="00C178C0"/>
    <w:rsid w:val="00C17B4B"/>
    <w:rsid w:val="00C20DF4"/>
    <w:rsid w:val="00C21865"/>
    <w:rsid w:val="00C218A7"/>
    <w:rsid w:val="00C22CEA"/>
    <w:rsid w:val="00C231C1"/>
    <w:rsid w:val="00C2356A"/>
    <w:rsid w:val="00C23DB1"/>
    <w:rsid w:val="00C23EDB"/>
    <w:rsid w:val="00C23F98"/>
    <w:rsid w:val="00C241F0"/>
    <w:rsid w:val="00C24A66"/>
    <w:rsid w:val="00C250CE"/>
    <w:rsid w:val="00C275EE"/>
    <w:rsid w:val="00C27918"/>
    <w:rsid w:val="00C3037E"/>
    <w:rsid w:val="00C31E99"/>
    <w:rsid w:val="00C334B3"/>
    <w:rsid w:val="00C33847"/>
    <w:rsid w:val="00C34122"/>
    <w:rsid w:val="00C34503"/>
    <w:rsid w:val="00C34A5B"/>
    <w:rsid w:val="00C350B5"/>
    <w:rsid w:val="00C3732F"/>
    <w:rsid w:val="00C3753E"/>
    <w:rsid w:val="00C37FEF"/>
    <w:rsid w:val="00C404EE"/>
    <w:rsid w:val="00C4221E"/>
    <w:rsid w:val="00C42434"/>
    <w:rsid w:val="00C43537"/>
    <w:rsid w:val="00C43E50"/>
    <w:rsid w:val="00C442B1"/>
    <w:rsid w:val="00C4533C"/>
    <w:rsid w:val="00C458B1"/>
    <w:rsid w:val="00C45911"/>
    <w:rsid w:val="00C45AE1"/>
    <w:rsid w:val="00C45B72"/>
    <w:rsid w:val="00C45BDD"/>
    <w:rsid w:val="00C4668B"/>
    <w:rsid w:val="00C46A1A"/>
    <w:rsid w:val="00C46C25"/>
    <w:rsid w:val="00C46F92"/>
    <w:rsid w:val="00C471CE"/>
    <w:rsid w:val="00C475CA"/>
    <w:rsid w:val="00C476A7"/>
    <w:rsid w:val="00C51526"/>
    <w:rsid w:val="00C518E5"/>
    <w:rsid w:val="00C52616"/>
    <w:rsid w:val="00C5263B"/>
    <w:rsid w:val="00C52A21"/>
    <w:rsid w:val="00C53930"/>
    <w:rsid w:val="00C54A67"/>
    <w:rsid w:val="00C551E8"/>
    <w:rsid w:val="00C5596C"/>
    <w:rsid w:val="00C559D6"/>
    <w:rsid w:val="00C55F0D"/>
    <w:rsid w:val="00C56521"/>
    <w:rsid w:val="00C57A40"/>
    <w:rsid w:val="00C6042C"/>
    <w:rsid w:val="00C6082B"/>
    <w:rsid w:val="00C60C32"/>
    <w:rsid w:val="00C60F10"/>
    <w:rsid w:val="00C611E1"/>
    <w:rsid w:val="00C614A4"/>
    <w:rsid w:val="00C62AAD"/>
    <w:rsid w:val="00C6300C"/>
    <w:rsid w:val="00C63014"/>
    <w:rsid w:val="00C6312B"/>
    <w:rsid w:val="00C639BC"/>
    <w:rsid w:val="00C6447C"/>
    <w:rsid w:val="00C65958"/>
    <w:rsid w:val="00C65E30"/>
    <w:rsid w:val="00C669EE"/>
    <w:rsid w:val="00C66A91"/>
    <w:rsid w:val="00C66AB8"/>
    <w:rsid w:val="00C70018"/>
    <w:rsid w:val="00C701DE"/>
    <w:rsid w:val="00C70961"/>
    <w:rsid w:val="00C71A7E"/>
    <w:rsid w:val="00C72236"/>
    <w:rsid w:val="00C72A93"/>
    <w:rsid w:val="00C72F01"/>
    <w:rsid w:val="00C732A0"/>
    <w:rsid w:val="00C76AF4"/>
    <w:rsid w:val="00C76D05"/>
    <w:rsid w:val="00C77B5D"/>
    <w:rsid w:val="00C77D69"/>
    <w:rsid w:val="00C77EEA"/>
    <w:rsid w:val="00C800B5"/>
    <w:rsid w:val="00C807F1"/>
    <w:rsid w:val="00C80B2C"/>
    <w:rsid w:val="00C80C1E"/>
    <w:rsid w:val="00C80F9B"/>
    <w:rsid w:val="00C80FBA"/>
    <w:rsid w:val="00C813A6"/>
    <w:rsid w:val="00C816F2"/>
    <w:rsid w:val="00C81D82"/>
    <w:rsid w:val="00C822C5"/>
    <w:rsid w:val="00C829AD"/>
    <w:rsid w:val="00C83AE4"/>
    <w:rsid w:val="00C83BFF"/>
    <w:rsid w:val="00C8473F"/>
    <w:rsid w:val="00C8482C"/>
    <w:rsid w:val="00C8485C"/>
    <w:rsid w:val="00C84EF7"/>
    <w:rsid w:val="00C850D0"/>
    <w:rsid w:val="00C8520D"/>
    <w:rsid w:val="00C854CA"/>
    <w:rsid w:val="00C856B2"/>
    <w:rsid w:val="00C857BB"/>
    <w:rsid w:val="00C85FE5"/>
    <w:rsid w:val="00C8619D"/>
    <w:rsid w:val="00C86501"/>
    <w:rsid w:val="00C874AC"/>
    <w:rsid w:val="00C87656"/>
    <w:rsid w:val="00C87887"/>
    <w:rsid w:val="00C87EEA"/>
    <w:rsid w:val="00C911AD"/>
    <w:rsid w:val="00C927A9"/>
    <w:rsid w:val="00C92889"/>
    <w:rsid w:val="00C94EB7"/>
    <w:rsid w:val="00C94FD0"/>
    <w:rsid w:val="00C9577F"/>
    <w:rsid w:val="00C95AE0"/>
    <w:rsid w:val="00C95B59"/>
    <w:rsid w:val="00C95F24"/>
    <w:rsid w:val="00C974A6"/>
    <w:rsid w:val="00C9769E"/>
    <w:rsid w:val="00C97921"/>
    <w:rsid w:val="00CA1231"/>
    <w:rsid w:val="00CA12D0"/>
    <w:rsid w:val="00CA1FF4"/>
    <w:rsid w:val="00CA3090"/>
    <w:rsid w:val="00CA337B"/>
    <w:rsid w:val="00CA370C"/>
    <w:rsid w:val="00CA4C2A"/>
    <w:rsid w:val="00CA5996"/>
    <w:rsid w:val="00CA5C17"/>
    <w:rsid w:val="00CA6843"/>
    <w:rsid w:val="00CA6A1B"/>
    <w:rsid w:val="00CA706E"/>
    <w:rsid w:val="00CB011F"/>
    <w:rsid w:val="00CB0283"/>
    <w:rsid w:val="00CB0952"/>
    <w:rsid w:val="00CB144A"/>
    <w:rsid w:val="00CB1A07"/>
    <w:rsid w:val="00CB2EE5"/>
    <w:rsid w:val="00CB40BA"/>
    <w:rsid w:val="00CB4364"/>
    <w:rsid w:val="00CB4F79"/>
    <w:rsid w:val="00CB5515"/>
    <w:rsid w:val="00CB5B25"/>
    <w:rsid w:val="00CB649D"/>
    <w:rsid w:val="00CB6A7F"/>
    <w:rsid w:val="00CB71F2"/>
    <w:rsid w:val="00CC09BD"/>
    <w:rsid w:val="00CC1B29"/>
    <w:rsid w:val="00CC2678"/>
    <w:rsid w:val="00CC268D"/>
    <w:rsid w:val="00CC2744"/>
    <w:rsid w:val="00CC3100"/>
    <w:rsid w:val="00CC32E1"/>
    <w:rsid w:val="00CC36AB"/>
    <w:rsid w:val="00CC39F4"/>
    <w:rsid w:val="00CC41F9"/>
    <w:rsid w:val="00CC45F7"/>
    <w:rsid w:val="00CC4E9F"/>
    <w:rsid w:val="00CC534B"/>
    <w:rsid w:val="00CC5637"/>
    <w:rsid w:val="00CC5A1C"/>
    <w:rsid w:val="00CC5E50"/>
    <w:rsid w:val="00CC6AED"/>
    <w:rsid w:val="00CC7231"/>
    <w:rsid w:val="00CC73E7"/>
    <w:rsid w:val="00CC793C"/>
    <w:rsid w:val="00CC7EF8"/>
    <w:rsid w:val="00CD04D2"/>
    <w:rsid w:val="00CD0A8B"/>
    <w:rsid w:val="00CD0BD5"/>
    <w:rsid w:val="00CD0BF6"/>
    <w:rsid w:val="00CD1002"/>
    <w:rsid w:val="00CD1583"/>
    <w:rsid w:val="00CD1645"/>
    <w:rsid w:val="00CD1A5D"/>
    <w:rsid w:val="00CD1F96"/>
    <w:rsid w:val="00CD377F"/>
    <w:rsid w:val="00CD38F0"/>
    <w:rsid w:val="00CD3F51"/>
    <w:rsid w:val="00CD48E5"/>
    <w:rsid w:val="00CD5222"/>
    <w:rsid w:val="00CD5DC7"/>
    <w:rsid w:val="00CD644F"/>
    <w:rsid w:val="00CD64BA"/>
    <w:rsid w:val="00CD6F8E"/>
    <w:rsid w:val="00CD7240"/>
    <w:rsid w:val="00CD72C6"/>
    <w:rsid w:val="00CD743B"/>
    <w:rsid w:val="00CD75C4"/>
    <w:rsid w:val="00CD7917"/>
    <w:rsid w:val="00CD7F7B"/>
    <w:rsid w:val="00CE01E0"/>
    <w:rsid w:val="00CE0F19"/>
    <w:rsid w:val="00CE1694"/>
    <w:rsid w:val="00CE1968"/>
    <w:rsid w:val="00CE2BB1"/>
    <w:rsid w:val="00CE35E0"/>
    <w:rsid w:val="00CE3F51"/>
    <w:rsid w:val="00CE61D1"/>
    <w:rsid w:val="00CE6531"/>
    <w:rsid w:val="00CE6E41"/>
    <w:rsid w:val="00CE7E45"/>
    <w:rsid w:val="00CF0104"/>
    <w:rsid w:val="00CF06C7"/>
    <w:rsid w:val="00CF12B2"/>
    <w:rsid w:val="00CF35D2"/>
    <w:rsid w:val="00CF3614"/>
    <w:rsid w:val="00CF3E59"/>
    <w:rsid w:val="00CF41D8"/>
    <w:rsid w:val="00CF4A24"/>
    <w:rsid w:val="00CF4A33"/>
    <w:rsid w:val="00CF4D59"/>
    <w:rsid w:val="00CF5500"/>
    <w:rsid w:val="00CF598B"/>
    <w:rsid w:val="00CF5BD4"/>
    <w:rsid w:val="00CF6B2C"/>
    <w:rsid w:val="00CF70A4"/>
    <w:rsid w:val="00CF70A8"/>
    <w:rsid w:val="00CF7CDD"/>
    <w:rsid w:val="00CF7CE3"/>
    <w:rsid w:val="00D00336"/>
    <w:rsid w:val="00D021EA"/>
    <w:rsid w:val="00D042F1"/>
    <w:rsid w:val="00D04530"/>
    <w:rsid w:val="00D04A5E"/>
    <w:rsid w:val="00D04ED3"/>
    <w:rsid w:val="00D054D3"/>
    <w:rsid w:val="00D05F42"/>
    <w:rsid w:val="00D06555"/>
    <w:rsid w:val="00D06748"/>
    <w:rsid w:val="00D07AF0"/>
    <w:rsid w:val="00D07C8F"/>
    <w:rsid w:val="00D110BA"/>
    <w:rsid w:val="00D11915"/>
    <w:rsid w:val="00D11A06"/>
    <w:rsid w:val="00D11B44"/>
    <w:rsid w:val="00D12FFA"/>
    <w:rsid w:val="00D13398"/>
    <w:rsid w:val="00D135D7"/>
    <w:rsid w:val="00D14333"/>
    <w:rsid w:val="00D146CA"/>
    <w:rsid w:val="00D148F6"/>
    <w:rsid w:val="00D155D7"/>
    <w:rsid w:val="00D15B96"/>
    <w:rsid w:val="00D15C6C"/>
    <w:rsid w:val="00D15DBD"/>
    <w:rsid w:val="00D160E1"/>
    <w:rsid w:val="00D16260"/>
    <w:rsid w:val="00D17141"/>
    <w:rsid w:val="00D20B40"/>
    <w:rsid w:val="00D2187F"/>
    <w:rsid w:val="00D22122"/>
    <w:rsid w:val="00D22A74"/>
    <w:rsid w:val="00D233A2"/>
    <w:rsid w:val="00D23E13"/>
    <w:rsid w:val="00D25A73"/>
    <w:rsid w:val="00D2671E"/>
    <w:rsid w:val="00D275AC"/>
    <w:rsid w:val="00D278B8"/>
    <w:rsid w:val="00D279B3"/>
    <w:rsid w:val="00D27C3A"/>
    <w:rsid w:val="00D30BBD"/>
    <w:rsid w:val="00D311C5"/>
    <w:rsid w:val="00D31EE2"/>
    <w:rsid w:val="00D321BA"/>
    <w:rsid w:val="00D330EC"/>
    <w:rsid w:val="00D33EB3"/>
    <w:rsid w:val="00D33F30"/>
    <w:rsid w:val="00D36224"/>
    <w:rsid w:val="00D3625D"/>
    <w:rsid w:val="00D366C2"/>
    <w:rsid w:val="00D3715A"/>
    <w:rsid w:val="00D37418"/>
    <w:rsid w:val="00D37C5E"/>
    <w:rsid w:val="00D4035F"/>
    <w:rsid w:val="00D4169E"/>
    <w:rsid w:val="00D42EB4"/>
    <w:rsid w:val="00D43180"/>
    <w:rsid w:val="00D433E2"/>
    <w:rsid w:val="00D43C56"/>
    <w:rsid w:val="00D4530F"/>
    <w:rsid w:val="00D46157"/>
    <w:rsid w:val="00D4646A"/>
    <w:rsid w:val="00D47C89"/>
    <w:rsid w:val="00D47E41"/>
    <w:rsid w:val="00D518F0"/>
    <w:rsid w:val="00D51B8A"/>
    <w:rsid w:val="00D52D74"/>
    <w:rsid w:val="00D5324D"/>
    <w:rsid w:val="00D539BD"/>
    <w:rsid w:val="00D53DD4"/>
    <w:rsid w:val="00D549AE"/>
    <w:rsid w:val="00D55163"/>
    <w:rsid w:val="00D551D7"/>
    <w:rsid w:val="00D55D28"/>
    <w:rsid w:val="00D561B6"/>
    <w:rsid w:val="00D56F1A"/>
    <w:rsid w:val="00D56F6A"/>
    <w:rsid w:val="00D57008"/>
    <w:rsid w:val="00D57255"/>
    <w:rsid w:val="00D573C0"/>
    <w:rsid w:val="00D57BC4"/>
    <w:rsid w:val="00D57F96"/>
    <w:rsid w:val="00D61A8D"/>
    <w:rsid w:val="00D62784"/>
    <w:rsid w:val="00D62D8B"/>
    <w:rsid w:val="00D63736"/>
    <w:rsid w:val="00D63A4A"/>
    <w:rsid w:val="00D645AA"/>
    <w:rsid w:val="00D64E16"/>
    <w:rsid w:val="00D6598B"/>
    <w:rsid w:val="00D65A78"/>
    <w:rsid w:val="00D666B5"/>
    <w:rsid w:val="00D66E2C"/>
    <w:rsid w:val="00D67622"/>
    <w:rsid w:val="00D7025F"/>
    <w:rsid w:val="00D7050D"/>
    <w:rsid w:val="00D70A7C"/>
    <w:rsid w:val="00D714A6"/>
    <w:rsid w:val="00D7259F"/>
    <w:rsid w:val="00D735D2"/>
    <w:rsid w:val="00D7365E"/>
    <w:rsid w:val="00D74B9A"/>
    <w:rsid w:val="00D74F8C"/>
    <w:rsid w:val="00D75656"/>
    <w:rsid w:val="00D7591D"/>
    <w:rsid w:val="00D761B8"/>
    <w:rsid w:val="00D7638E"/>
    <w:rsid w:val="00D763EC"/>
    <w:rsid w:val="00D76713"/>
    <w:rsid w:val="00D772DC"/>
    <w:rsid w:val="00D77687"/>
    <w:rsid w:val="00D804B0"/>
    <w:rsid w:val="00D80511"/>
    <w:rsid w:val="00D80FBC"/>
    <w:rsid w:val="00D810E7"/>
    <w:rsid w:val="00D81664"/>
    <w:rsid w:val="00D81914"/>
    <w:rsid w:val="00D82384"/>
    <w:rsid w:val="00D8474E"/>
    <w:rsid w:val="00D854BE"/>
    <w:rsid w:val="00D8573C"/>
    <w:rsid w:val="00D85AFD"/>
    <w:rsid w:val="00D85CB2"/>
    <w:rsid w:val="00D85D29"/>
    <w:rsid w:val="00D86886"/>
    <w:rsid w:val="00D86FC8"/>
    <w:rsid w:val="00D87E4A"/>
    <w:rsid w:val="00D90D12"/>
    <w:rsid w:val="00D90F5E"/>
    <w:rsid w:val="00D9199B"/>
    <w:rsid w:val="00D91ABB"/>
    <w:rsid w:val="00D9269A"/>
    <w:rsid w:val="00D93280"/>
    <w:rsid w:val="00D93E38"/>
    <w:rsid w:val="00D9464A"/>
    <w:rsid w:val="00D94BEC"/>
    <w:rsid w:val="00D961CA"/>
    <w:rsid w:val="00D9758E"/>
    <w:rsid w:val="00DA01B0"/>
    <w:rsid w:val="00DA0436"/>
    <w:rsid w:val="00DA099D"/>
    <w:rsid w:val="00DA1F38"/>
    <w:rsid w:val="00DA20A8"/>
    <w:rsid w:val="00DA2141"/>
    <w:rsid w:val="00DA2514"/>
    <w:rsid w:val="00DA27C1"/>
    <w:rsid w:val="00DA2BE0"/>
    <w:rsid w:val="00DA2D73"/>
    <w:rsid w:val="00DA2F80"/>
    <w:rsid w:val="00DA32BC"/>
    <w:rsid w:val="00DA3AAF"/>
    <w:rsid w:val="00DA3B5E"/>
    <w:rsid w:val="00DA3FC7"/>
    <w:rsid w:val="00DA41B2"/>
    <w:rsid w:val="00DA4697"/>
    <w:rsid w:val="00DA4AC8"/>
    <w:rsid w:val="00DA5BDB"/>
    <w:rsid w:val="00DA5D27"/>
    <w:rsid w:val="00DA72FC"/>
    <w:rsid w:val="00DA7EE0"/>
    <w:rsid w:val="00DA7FD2"/>
    <w:rsid w:val="00DB0059"/>
    <w:rsid w:val="00DB019B"/>
    <w:rsid w:val="00DB0631"/>
    <w:rsid w:val="00DB2737"/>
    <w:rsid w:val="00DB3203"/>
    <w:rsid w:val="00DB46B0"/>
    <w:rsid w:val="00DB528E"/>
    <w:rsid w:val="00DB5895"/>
    <w:rsid w:val="00DB5FAE"/>
    <w:rsid w:val="00DB603C"/>
    <w:rsid w:val="00DB63F2"/>
    <w:rsid w:val="00DB6C2C"/>
    <w:rsid w:val="00DB74BA"/>
    <w:rsid w:val="00DB7547"/>
    <w:rsid w:val="00DB7EBA"/>
    <w:rsid w:val="00DC0CB1"/>
    <w:rsid w:val="00DC2AE1"/>
    <w:rsid w:val="00DC3AF2"/>
    <w:rsid w:val="00DC46C5"/>
    <w:rsid w:val="00DC4BBF"/>
    <w:rsid w:val="00DC52B8"/>
    <w:rsid w:val="00DC5C78"/>
    <w:rsid w:val="00DC6008"/>
    <w:rsid w:val="00DC7FBB"/>
    <w:rsid w:val="00DD08E6"/>
    <w:rsid w:val="00DD0C29"/>
    <w:rsid w:val="00DD1CF5"/>
    <w:rsid w:val="00DD1D8A"/>
    <w:rsid w:val="00DD325D"/>
    <w:rsid w:val="00DD347E"/>
    <w:rsid w:val="00DD3AFB"/>
    <w:rsid w:val="00DD4977"/>
    <w:rsid w:val="00DD4E31"/>
    <w:rsid w:val="00DD51F4"/>
    <w:rsid w:val="00DD550F"/>
    <w:rsid w:val="00DD5B8E"/>
    <w:rsid w:val="00DD5CBC"/>
    <w:rsid w:val="00DD5E9F"/>
    <w:rsid w:val="00DD631A"/>
    <w:rsid w:val="00DD6676"/>
    <w:rsid w:val="00DD7995"/>
    <w:rsid w:val="00DE0BDB"/>
    <w:rsid w:val="00DE0EF3"/>
    <w:rsid w:val="00DE1355"/>
    <w:rsid w:val="00DE1B25"/>
    <w:rsid w:val="00DE1D58"/>
    <w:rsid w:val="00DE1F93"/>
    <w:rsid w:val="00DE2025"/>
    <w:rsid w:val="00DE2495"/>
    <w:rsid w:val="00DE3287"/>
    <w:rsid w:val="00DE39D8"/>
    <w:rsid w:val="00DE3A33"/>
    <w:rsid w:val="00DE54EC"/>
    <w:rsid w:val="00DE55F0"/>
    <w:rsid w:val="00DE63F7"/>
    <w:rsid w:val="00DE7036"/>
    <w:rsid w:val="00DE79AC"/>
    <w:rsid w:val="00DE7A3D"/>
    <w:rsid w:val="00DE7E87"/>
    <w:rsid w:val="00DE7EA0"/>
    <w:rsid w:val="00DF056D"/>
    <w:rsid w:val="00DF0DBD"/>
    <w:rsid w:val="00DF0F87"/>
    <w:rsid w:val="00DF18A4"/>
    <w:rsid w:val="00DF2008"/>
    <w:rsid w:val="00DF24F9"/>
    <w:rsid w:val="00DF271F"/>
    <w:rsid w:val="00DF2A45"/>
    <w:rsid w:val="00DF3AB2"/>
    <w:rsid w:val="00DF3E87"/>
    <w:rsid w:val="00DF4895"/>
    <w:rsid w:val="00DF58D8"/>
    <w:rsid w:val="00DF5B6A"/>
    <w:rsid w:val="00DF73F3"/>
    <w:rsid w:val="00E004C3"/>
    <w:rsid w:val="00E01D1C"/>
    <w:rsid w:val="00E01D46"/>
    <w:rsid w:val="00E0241D"/>
    <w:rsid w:val="00E02A32"/>
    <w:rsid w:val="00E02D83"/>
    <w:rsid w:val="00E04DA9"/>
    <w:rsid w:val="00E04DEC"/>
    <w:rsid w:val="00E05978"/>
    <w:rsid w:val="00E05FEE"/>
    <w:rsid w:val="00E06585"/>
    <w:rsid w:val="00E073B5"/>
    <w:rsid w:val="00E10173"/>
    <w:rsid w:val="00E10BE5"/>
    <w:rsid w:val="00E11B2B"/>
    <w:rsid w:val="00E11BE2"/>
    <w:rsid w:val="00E122B4"/>
    <w:rsid w:val="00E125AE"/>
    <w:rsid w:val="00E125E0"/>
    <w:rsid w:val="00E131B2"/>
    <w:rsid w:val="00E13553"/>
    <w:rsid w:val="00E139A7"/>
    <w:rsid w:val="00E13B4A"/>
    <w:rsid w:val="00E13ED2"/>
    <w:rsid w:val="00E145D8"/>
    <w:rsid w:val="00E14BD1"/>
    <w:rsid w:val="00E14F7B"/>
    <w:rsid w:val="00E14FC2"/>
    <w:rsid w:val="00E15F62"/>
    <w:rsid w:val="00E16B6D"/>
    <w:rsid w:val="00E16CE9"/>
    <w:rsid w:val="00E20204"/>
    <w:rsid w:val="00E20A7B"/>
    <w:rsid w:val="00E20E50"/>
    <w:rsid w:val="00E214CD"/>
    <w:rsid w:val="00E21E15"/>
    <w:rsid w:val="00E230C0"/>
    <w:rsid w:val="00E259C6"/>
    <w:rsid w:val="00E25A34"/>
    <w:rsid w:val="00E27227"/>
    <w:rsid w:val="00E27A78"/>
    <w:rsid w:val="00E3081E"/>
    <w:rsid w:val="00E30BD7"/>
    <w:rsid w:val="00E30DED"/>
    <w:rsid w:val="00E316F2"/>
    <w:rsid w:val="00E32479"/>
    <w:rsid w:val="00E33573"/>
    <w:rsid w:val="00E33EBD"/>
    <w:rsid w:val="00E350D3"/>
    <w:rsid w:val="00E360BD"/>
    <w:rsid w:val="00E376C4"/>
    <w:rsid w:val="00E37CA5"/>
    <w:rsid w:val="00E37F02"/>
    <w:rsid w:val="00E40DAA"/>
    <w:rsid w:val="00E412AE"/>
    <w:rsid w:val="00E419DB"/>
    <w:rsid w:val="00E42179"/>
    <w:rsid w:val="00E42F05"/>
    <w:rsid w:val="00E43E96"/>
    <w:rsid w:val="00E44513"/>
    <w:rsid w:val="00E446BF"/>
    <w:rsid w:val="00E44991"/>
    <w:rsid w:val="00E44BC4"/>
    <w:rsid w:val="00E45C9B"/>
    <w:rsid w:val="00E4603B"/>
    <w:rsid w:val="00E46DD7"/>
    <w:rsid w:val="00E47891"/>
    <w:rsid w:val="00E507EA"/>
    <w:rsid w:val="00E52592"/>
    <w:rsid w:val="00E52940"/>
    <w:rsid w:val="00E53662"/>
    <w:rsid w:val="00E53822"/>
    <w:rsid w:val="00E54445"/>
    <w:rsid w:val="00E545DD"/>
    <w:rsid w:val="00E54D88"/>
    <w:rsid w:val="00E550A4"/>
    <w:rsid w:val="00E6036B"/>
    <w:rsid w:val="00E6128A"/>
    <w:rsid w:val="00E614ED"/>
    <w:rsid w:val="00E61792"/>
    <w:rsid w:val="00E61872"/>
    <w:rsid w:val="00E62603"/>
    <w:rsid w:val="00E63431"/>
    <w:rsid w:val="00E64008"/>
    <w:rsid w:val="00E6463D"/>
    <w:rsid w:val="00E64B92"/>
    <w:rsid w:val="00E65E40"/>
    <w:rsid w:val="00E663F9"/>
    <w:rsid w:val="00E669D6"/>
    <w:rsid w:val="00E67564"/>
    <w:rsid w:val="00E67A73"/>
    <w:rsid w:val="00E67CD1"/>
    <w:rsid w:val="00E700BE"/>
    <w:rsid w:val="00E708DF"/>
    <w:rsid w:val="00E720CD"/>
    <w:rsid w:val="00E7213E"/>
    <w:rsid w:val="00E74F68"/>
    <w:rsid w:val="00E74F8B"/>
    <w:rsid w:val="00E752B7"/>
    <w:rsid w:val="00E75612"/>
    <w:rsid w:val="00E75D9A"/>
    <w:rsid w:val="00E75F7F"/>
    <w:rsid w:val="00E763DD"/>
    <w:rsid w:val="00E766A6"/>
    <w:rsid w:val="00E768B2"/>
    <w:rsid w:val="00E76B0D"/>
    <w:rsid w:val="00E7741B"/>
    <w:rsid w:val="00E80621"/>
    <w:rsid w:val="00E8083B"/>
    <w:rsid w:val="00E80C9D"/>
    <w:rsid w:val="00E81780"/>
    <w:rsid w:val="00E825BF"/>
    <w:rsid w:val="00E825FE"/>
    <w:rsid w:val="00E82DCB"/>
    <w:rsid w:val="00E834E4"/>
    <w:rsid w:val="00E836EE"/>
    <w:rsid w:val="00E84378"/>
    <w:rsid w:val="00E84A21"/>
    <w:rsid w:val="00E85AB6"/>
    <w:rsid w:val="00E85E32"/>
    <w:rsid w:val="00E85EF7"/>
    <w:rsid w:val="00E863C6"/>
    <w:rsid w:val="00E8677D"/>
    <w:rsid w:val="00E868E3"/>
    <w:rsid w:val="00E869C7"/>
    <w:rsid w:val="00E872E8"/>
    <w:rsid w:val="00E912F2"/>
    <w:rsid w:val="00E92217"/>
    <w:rsid w:val="00E92230"/>
    <w:rsid w:val="00E92437"/>
    <w:rsid w:val="00E926C9"/>
    <w:rsid w:val="00E92C05"/>
    <w:rsid w:val="00E93870"/>
    <w:rsid w:val="00E941CE"/>
    <w:rsid w:val="00E94837"/>
    <w:rsid w:val="00E97D1A"/>
    <w:rsid w:val="00E97F92"/>
    <w:rsid w:val="00EA0057"/>
    <w:rsid w:val="00EA007D"/>
    <w:rsid w:val="00EA087B"/>
    <w:rsid w:val="00EA0C32"/>
    <w:rsid w:val="00EA2A27"/>
    <w:rsid w:val="00EA2EE9"/>
    <w:rsid w:val="00EA4C6E"/>
    <w:rsid w:val="00EA4CC9"/>
    <w:rsid w:val="00EA4D9D"/>
    <w:rsid w:val="00EA5011"/>
    <w:rsid w:val="00EA53B8"/>
    <w:rsid w:val="00EA5BD0"/>
    <w:rsid w:val="00EA5D28"/>
    <w:rsid w:val="00EA5FB0"/>
    <w:rsid w:val="00EA622B"/>
    <w:rsid w:val="00EA7113"/>
    <w:rsid w:val="00EB0126"/>
    <w:rsid w:val="00EB01EF"/>
    <w:rsid w:val="00EB02C4"/>
    <w:rsid w:val="00EB133E"/>
    <w:rsid w:val="00EB1D0A"/>
    <w:rsid w:val="00EB28E3"/>
    <w:rsid w:val="00EB3DB4"/>
    <w:rsid w:val="00EB460D"/>
    <w:rsid w:val="00EB4670"/>
    <w:rsid w:val="00EB46ED"/>
    <w:rsid w:val="00EB50B7"/>
    <w:rsid w:val="00EB5122"/>
    <w:rsid w:val="00EB6ED0"/>
    <w:rsid w:val="00EB71A0"/>
    <w:rsid w:val="00EB7A86"/>
    <w:rsid w:val="00EB7B9A"/>
    <w:rsid w:val="00EC03B2"/>
    <w:rsid w:val="00EC0D1E"/>
    <w:rsid w:val="00EC1EC9"/>
    <w:rsid w:val="00EC213A"/>
    <w:rsid w:val="00EC24B8"/>
    <w:rsid w:val="00EC5F7C"/>
    <w:rsid w:val="00EC669B"/>
    <w:rsid w:val="00ED00B5"/>
    <w:rsid w:val="00ED0939"/>
    <w:rsid w:val="00ED1149"/>
    <w:rsid w:val="00ED1560"/>
    <w:rsid w:val="00ED1592"/>
    <w:rsid w:val="00ED1DEA"/>
    <w:rsid w:val="00ED2543"/>
    <w:rsid w:val="00ED38BE"/>
    <w:rsid w:val="00ED5BE2"/>
    <w:rsid w:val="00ED5F2B"/>
    <w:rsid w:val="00ED633B"/>
    <w:rsid w:val="00ED7499"/>
    <w:rsid w:val="00ED7663"/>
    <w:rsid w:val="00ED7856"/>
    <w:rsid w:val="00ED79C9"/>
    <w:rsid w:val="00EE0696"/>
    <w:rsid w:val="00EE15BC"/>
    <w:rsid w:val="00EE2835"/>
    <w:rsid w:val="00EE2C3F"/>
    <w:rsid w:val="00EE311D"/>
    <w:rsid w:val="00EE3674"/>
    <w:rsid w:val="00EE3781"/>
    <w:rsid w:val="00EE3D81"/>
    <w:rsid w:val="00EE3E42"/>
    <w:rsid w:val="00EE432D"/>
    <w:rsid w:val="00EE43E4"/>
    <w:rsid w:val="00EE455E"/>
    <w:rsid w:val="00EE4FAD"/>
    <w:rsid w:val="00EE50A1"/>
    <w:rsid w:val="00EE613B"/>
    <w:rsid w:val="00EE66EC"/>
    <w:rsid w:val="00EE6929"/>
    <w:rsid w:val="00EE73E8"/>
    <w:rsid w:val="00EE751C"/>
    <w:rsid w:val="00EE7FC1"/>
    <w:rsid w:val="00EF01A5"/>
    <w:rsid w:val="00EF0AE1"/>
    <w:rsid w:val="00EF0B1C"/>
    <w:rsid w:val="00EF0F3F"/>
    <w:rsid w:val="00EF1971"/>
    <w:rsid w:val="00EF1973"/>
    <w:rsid w:val="00EF21BF"/>
    <w:rsid w:val="00EF2712"/>
    <w:rsid w:val="00EF2822"/>
    <w:rsid w:val="00EF3197"/>
    <w:rsid w:val="00EF39F4"/>
    <w:rsid w:val="00EF3B62"/>
    <w:rsid w:val="00EF6B84"/>
    <w:rsid w:val="00EF789F"/>
    <w:rsid w:val="00EF7EC9"/>
    <w:rsid w:val="00F01D41"/>
    <w:rsid w:val="00F020CB"/>
    <w:rsid w:val="00F03954"/>
    <w:rsid w:val="00F0402D"/>
    <w:rsid w:val="00F04228"/>
    <w:rsid w:val="00F05459"/>
    <w:rsid w:val="00F05C25"/>
    <w:rsid w:val="00F05D92"/>
    <w:rsid w:val="00F05E17"/>
    <w:rsid w:val="00F06282"/>
    <w:rsid w:val="00F069EA"/>
    <w:rsid w:val="00F07496"/>
    <w:rsid w:val="00F104FA"/>
    <w:rsid w:val="00F10C5F"/>
    <w:rsid w:val="00F10CF4"/>
    <w:rsid w:val="00F10EAE"/>
    <w:rsid w:val="00F13E1B"/>
    <w:rsid w:val="00F14129"/>
    <w:rsid w:val="00F14179"/>
    <w:rsid w:val="00F1484D"/>
    <w:rsid w:val="00F14D3D"/>
    <w:rsid w:val="00F14F42"/>
    <w:rsid w:val="00F157B9"/>
    <w:rsid w:val="00F17AC7"/>
    <w:rsid w:val="00F2014A"/>
    <w:rsid w:val="00F21480"/>
    <w:rsid w:val="00F21A7B"/>
    <w:rsid w:val="00F21C3A"/>
    <w:rsid w:val="00F22B88"/>
    <w:rsid w:val="00F231AC"/>
    <w:rsid w:val="00F23A8D"/>
    <w:rsid w:val="00F23EB0"/>
    <w:rsid w:val="00F247E8"/>
    <w:rsid w:val="00F24F92"/>
    <w:rsid w:val="00F254EC"/>
    <w:rsid w:val="00F25B8C"/>
    <w:rsid w:val="00F26313"/>
    <w:rsid w:val="00F26D63"/>
    <w:rsid w:val="00F2737E"/>
    <w:rsid w:val="00F27CAC"/>
    <w:rsid w:val="00F30B3C"/>
    <w:rsid w:val="00F310F2"/>
    <w:rsid w:val="00F314C8"/>
    <w:rsid w:val="00F315A3"/>
    <w:rsid w:val="00F31F22"/>
    <w:rsid w:val="00F32E6B"/>
    <w:rsid w:val="00F33A32"/>
    <w:rsid w:val="00F33A59"/>
    <w:rsid w:val="00F340D9"/>
    <w:rsid w:val="00F34AD6"/>
    <w:rsid w:val="00F34ADA"/>
    <w:rsid w:val="00F35238"/>
    <w:rsid w:val="00F364D0"/>
    <w:rsid w:val="00F36EDD"/>
    <w:rsid w:val="00F37778"/>
    <w:rsid w:val="00F40477"/>
    <w:rsid w:val="00F41497"/>
    <w:rsid w:val="00F4274E"/>
    <w:rsid w:val="00F42BEA"/>
    <w:rsid w:val="00F42EBF"/>
    <w:rsid w:val="00F43616"/>
    <w:rsid w:val="00F440D7"/>
    <w:rsid w:val="00F44783"/>
    <w:rsid w:val="00F44F50"/>
    <w:rsid w:val="00F45418"/>
    <w:rsid w:val="00F4554A"/>
    <w:rsid w:val="00F46630"/>
    <w:rsid w:val="00F46A04"/>
    <w:rsid w:val="00F47691"/>
    <w:rsid w:val="00F5090C"/>
    <w:rsid w:val="00F50BCB"/>
    <w:rsid w:val="00F50FFF"/>
    <w:rsid w:val="00F51D45"/>
    <w:rsid w:val="00F52098"/>
    <w:rsid w:val="00F522AB"/>
    <w:rsid w:val="00F5321D"/>
    <w:rsid w:val="00F53252"/>
    <w:rsid w:val="00F53788"/>
    <w:rsid w:val="00F53811"/>
    <w:rsid w:val="00F53AA2"/>
    <w:rsid w:val="00F5421E"/>
    <w:rsid w:val="00F54982"/>
    <w:rsid w:val="00F55842"/>
    <w:rsid w:val="00F56424"/>
    <w:rsid w:val="00F5767D"/>
    <w:rsid w:val="00F577AE"/>
    <w:rsid w:val="00F5793F"/>
    <w:rsid w:val="00F60434"/>
    <w:rsid w:val="00F620D1"/>
    <w:rsid w:val="00F6294D"/>
    <w:rsid w:val="00F637BB"/>
    <w:rsid w:val="00F642A6"/>
    <w:rsid w:val="00F65558"/>
    <w:rsid w:val="00F65E6C"/>
    <w:rsid w:val="00F66261"/>
    <w:rsid w:val="00F663DE"/>
    <w:rsid w:val="00F6652D"/>
    <w:rsid w:val="00F6733E"/>
    <w:rsid w:val="00F675E0"/>
    <w:rsid w:val="00F67C7E"/>
    <w:rsid w:val="00F700CB"/>
    <w:rsid w:val="00F70513"/>
    <w:rsid w:val="00F705DB"/>
    <w:rsid w:val="00F7104B"/>
    <w:rsid w:val="00F71565"/>
    <w:rsid w:val="00F71B47"/>
    <w:rsid w:val="00F72CFA"/>
    <w:rsid w:val="00F74E70"/>
    <w:rsid w:val="00F7594D"/>
    <w:rsid w:val="00F774DD"/>
    <w:rsid w:val="00F77637"/>
    <w:rsid w:val="00F80059"/>
    <w:rsid w:val="00F819A2"/>
    <w:rsid w:val="00F82BE0"/>
    <w:rsid w:val="00F83F2B"/>
    <w:rsid w:val="00F8444F"/>
    <w:rsid w:val="00F848D1"/>
    <w:rsid w:val="00F85310"/>
    <w:rsid w:val="00F85FA3"/>
    <w:rsid w:val="00F86382"/>
    <w:rsid w:val="00F86968"/>
    <w:rsid w:val="00F87A2B"/>
    <w:rsid w:val="00F926B9"/>
    <w:rsid w:val="00F929E7"/>
    <w:rsid w:val="00F934DD"/>
    <w:rsid w:val="00F93B60"/>
    <w:rsid w:val="00F963F7"/>
    <w:rsid w:val="00FA012A"/>
    <w:rsid w:val="00FA172F"/>
    <w:rsid w:val="00FA204E"/>
    <w:rsid w:val="00FA3138"/>
    <w:rsid w:val="00FA3736"/>
    <w:rsid w:val="00FA392A"/>
    <w:rsid w:val="00FA459B"/>
    <w:rsid w:val="00FA4B6D"/>
    <w:rsid w:val="00FA4CBF"/>
    <w:rsid w:val="00FA4F43"/>
    <w:rsid w:val="00FA5144"/>
    <w:rsid w:val="00FA52A0"/>
    <w:rsid w:val="00FA5F98"/>
    <w:rsid w:val="00FA6780"/>
    <w:rsid w:val="00FA684C"/>
    <w:rsid w:val="00FA7218"/>
    <w:rsid w:val="00FA7B8A"/>
    <w:rsid w:val="00FA7CD0"/>
    <w:rsid w:val="00FA7F5D"/>
    <w:rsid w:val="00FB212C"/>
    <w:rsid w:val="00FB2554"/>
    <w:rsid w:val="00FB2D92"/>
    <w:rsid w:val="00FB32E8"/>
    <w:rsid w:val="00FB38BF"/>
    <w:rsid w:val="00FB45E1"/>
    <w:rsid w:val="00FB4B3D"/>
    <w:rsid w:val="00FB53DB"/>
    <w:rsid w:val="00FB73C0"/>
    <w:rsid w:val="00FB7981"/>
    <w:rsid w:val="00FB7C8A"/>
    <w:rsid w:val="00FC2CB4"/>
    <w:rsid w:val="00FC2F9D"/>
    <w:rsid w:val="00FC3857"/>
    <w:rsid w:val="00FC3BA5"/>
    <w:rsid w:val="00FC448B"/>
    <w:rsid w:val="00FC4C59"/>
    <w:rsid w:val="00FC506F"/>
    <w:rsid w:val="00FC6750"/>
    <w:rsid w:val="00FC72AC"/>
    <w:rsid w:val="00FC7371"/>
    <w:rsid w:val="00FD012C"/>
    <w:rsid w:val="00FD062E"/>
    <w:rsid w:val="00FD08F0"/>
    <w:rsid w:val="00FD17CF"/>
    <w:rsid w:val="00FD275C"/>
    <w:rsid w:val="00FD3751"/>
    <w:rsid w:val="00FD4C2A"/>
    <w:rsid w:val="00FD4E64"/>
    <w:rsid w:val="00FD520E"/>
    <w:rsid w:val="00FD54C6"/>
    <w:rsid w:val="00FD56C7"/>
    <w:rsid w:val="00FD5F1C"/>
    <w:rsid w:val="00FD615A"/>
    <w:rsid w:val="00FD7382"/>
    <w:rsid w:val="00FD73F7"/>
    <w:rsid w:val="00FD767C"/>
    <w:rsid w:val="00FD7A13"/>
    <w:rsid w:val="00FE0457"/>
    <w:rsid w:val="00FE0709"/>
    <w:rsid w:val="00FE16E0"/>
    <w:rsid w:val="00FE309A"/>
    <w:rsid w:val="00FE3350"/>
    <w:rsid w:val="00FE3D8D"/>
    <w:rsid w:val="00FE3FCC"/>
    <w:rsid w:val="00FE3FFB"/>
    <w:rsid w:val="00FE42DE"/>
    <w:rsid w:val="00FE4F8E"/>
    <w:rsid w:val="00FE53E5"/>
    <w:rsid w:val="00FE56F2"/>
    <w:rsid w:val="00FE724D"/>
    <w:rsid w:val="00FE7262"/>
    <w:rsid w:val="00FE79CE"/>
    <w:rsid w:val="00FE7E28"/>
    <w:rsid w:val="00FE7FB4"/>
    <w:rsid w:val="00FF01DD"/>
    <w:rsid w:val="00FF0200"/>
    <w:rsid w:val="00FF0661"/>
    <w:rsid w:val="00FF0CC0"/>
    <w:rsid w:val="00FF2B89"/>
    <w:rsid w:val="00FF59ED"/>
    <w:rsid w:val="00FF5E5B"/>
    <w:rsid w:val="00FF615D"/>
    <w:rsid w:val="00FF6431"/>
    <w:rsid w:val="00FF78D6"/>
    <w:rsid w:val="00FF7936"/>
    <w:rsid w:val="00FF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69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Segoe U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1" w:qFormat="1"/>
    <w:lsdException w:name="annotation reference" w:uiPriority="0"/>
    <w:lsdException w:name="page number" w:uiPriority="0"/>
    <w:lsdException w:name="List Bullet" w:uiPriority="36"/>
    <w:lsdException w:name="List 5" w:uiPriority="0"/>
    <w:lsdException w:name="List Bullet 2" w:uiPriority="36"/>
    <w:lsdException w:name="List Bullet 3" w:uiPriority="36"/>
    <w:lsdException w:name="List Bullet 4" w:uiPriority="36"/>
    <w:lsdException w:name="List Bullet 5" w:uiPriority="36"/>
    <w:lsdException w:name="Title" w:semiHidden="0" w:uiPriority="0" w:unhideWhenUsed="0" w:qFormat="1"/>
    <w:lsdException w:name="Default Paragraph Font" w:uiPriority="1"/>
    <w:lsdException w:name="Subtitle" w:semiHidden="0" w:uiPriority="11" w:unhideWhenUsed="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3D effects 2"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21577"/>
  </w:style>
  <w:style w:type="paragraph" w:styleId="Titlu1">
    <w:name w:val="heading 1"/>
    <w:basedOn w:val="Normal"/>
    <w:next w:val="Normal"/>
    <w:link w:val="Titlu1Caracter"/>
    <w:qFormat/>
    <w:rsid w:val="006A114F"/>
    <w:pPr>
      <w:keepNext/>
      <w:numPr>
        <w:numId w:val="15"/>
      </w:numPr>
      <w:spacing w:after="160"/>
      <w:outlineLvl w:val="0"/>
    </w:pPr>
    <w:rPr>
      <w:rFonts w:ascii="Verdana" w:eastAsiaTheme="majorEastAsia" w:hAnsi="Verdana" w:cstheme="majorBidi"/>
      <w:b/>
      <w:bCs/>
      <w:noProof/>
      <w:color w:val="0090D0"/>
      <w:sz w:val="28"/>
      <w:szCs w:val="28"/>
      <w:lang w:val="en-GB"/>
    </w:rPr>
  </w:style>
  <w:style w:type="paragraph" w:styleId="Titlu2">
    <w:name w:val="heading 2"/>
    <w:basedOn w:val="Normal"/>
    <w:next w:val="Normal"/>
    <w:link w:val="Titlu2Caracter"/>
    <w:unhideWhenUsed/>
    <w:qFormat/>
    <w:rsid w:val="008D28E2"/>
    <w:pPr>
      <w:keepNext/>
      <w:numPr>
        <w:ilvl w:val="1"/>
        <w:numId w:val="15"/>
      </w:numPr>
      <w:spacing w:after="120"/>
      <w:outlineLvl w:val="1"/>
    </w:pPr>
    <w:rPr>
      <w:rFonts w:asciiTheme="majorHAnsi" w:eastAsiaTheme="majorEastAsia" w:hAnsiTheme="majorHAnsi" w:cstheme="majorBidi"/>
      <w:b/>
      <w:bCs/>
      <w:color w:val="F06050"/>
      <w:sz w:val="26"/>
      <w:szCs w:val="26"/>
    </w:rPr>
  </w:style>
  <w:style w:type="paragraph" w:styleId="Titlu3">
    <w:name w:val="heading 3"/>
    <w:basedOn w:val="Normal"/>
    <w:next w:val="Normal"/>
    <w:link w:val="Titlu3Caracter"/>
    <w:unhideWhenUsed/>
    <w:qFormat/>
    <w:rsid w:val="008D28E2"/>
    <w:pPr>
      <w:keepNext/>
      <w:numPr>
        <w:ilvl w:val="2"/>
        <w:numId w:val="15"/>
      </w:numPr>
      <w:spacing w:after="120"/>
      <w:outlineLvl w:val="2"/>
    </w:pPr>
    <w:rPr>
      <w:rFonts w:asciiTheme="majorHAnsi" w:hAnsiTheme="majorHAnsi"/>
      <w:color w:val="506070"/>
      <w:sz w:val="24"/>
    </w:rPr>
  </w:style>
  <w:style w:type="paragraph" w:styleId="Titlu4">
    <w:name w:val="heading 4"/>
    <w:basedOn w:val="Normal"/>
    <w:next w:val="Normal"/>
    <w:link w:val="Titlu4Caracter"/>
    <w:unhideWhenUsed/>
    <w:qFormat/>
    <w:rsid w:val="008D28E2"/>
    <w:pPr>
      <w:keepNext/>
      <w:numPr>
        <w:ilvl w:val="3"/>
        <w:numId w:val="15"/>
      </w:numPr>
      <w:spacing w:after="120"/>
      <w:ind w:left="1219"/>
      <w:outlineLvl w:val="3"/>
    </w:pPr>
    <w:rPr>
      <w:rFonts w:asciiTheme="majorHAnsi" w:hAnsiTheme="majorHAnsi"/>
      <w:bCs/>
      <w:iCs/>
      <w:color w:val="808070"/>
    </w:rPr>
  </w:style>
  <w:style w:type="paragraph" w:styleId="Titlu5">
    <w:name w:val="heading 5"/>
    <w:basedOn w:val="Normal"/>
    <w:next w:val="Normal"/>
    <w:link w:val="Titlu5Caracter"/>
    <w:unhideWhenUsed/>
    <w:qFormat/>
    <w:rsid w:val="000D2606"/>
    <w:pPr>
      <w:keepNext/>
      <w:numPr>
        <w:numId w:val="20"/>
      </w:numPr>
      <w:spacing w:after="120"/>
      <w:outlineLvl w:val="4"/>
    </w:pPr>
    <w:rPr>
      <w:rFonts w:asciiTheme="majorHAnsi" w:hAnsiTheme="majorHAnsi"/>
    </w:rPr>
  </w:style>
  <w:style w:type="paragraph" w:styleId="Titlu6">
    <w:name w:val="heading 6"/>
    <w:basedOn w:val="Normal"/>
    <w:next w:val="Normal"/>
    <w:link w:val="Titlu6Caracter"/>
    <w:unhideWhenUsed/>
    <w:qFormat/>
    <w:rsid w:val="00B94909"/>
    <w:pPr>
      <w:keepNext/>
      <w:numPr>
        <w:ilvl w:val="5"/>
        <w:numId w:val="15"/>
      </w:numPr>
      <w:spacing w:after="120"/>
      <w:outlineLvl w:val="5"/>
    </w:pPr>
    <w:rPr>
      <w:rFonts w:asciiTheme="majorHAnsi" w:hAnsiTheme="majorHAnsi"/>
      <w:iCs/>
    </w:rPr>
  </w:style>
  <w:style w:type="paragraph" w:styleId="Titlu7">
    <w:name w:val="heading 7"/>
    <w:basedOn w:val="Normal"/>
    <w:next w:val="Normal"/>
    <w:link w:val="Titlu7Caracter"/>
    <w:unhideWhenUsed/>
    <w:qFormat/>
    <w:rsid w:val="00B94909"/>
    <w:pPr>
      <w:keepNext/>
      <w:numPr>
        <w:ilvl w:val="6"/>
        <w:numId w:val="15"/>
      </w:numPr>
      <w:spacing w:after="120"/>
      <w:outlineLvl w:val="6"/>
    </w:pPr>
    <w:rPr>
      <w:rFonts w:asciiTheme="majorHAnsi" w:eastAsiaTheme="majorEastAsia" w:hAnsiTheme="majorHAnsi" w:cstheme="majorBidi"/>
      <w:iCs/>
    </w:rPr>
  </w:style>
  <w:style w:type="paragraph" w:styleId="Titlu8">
    <w:name w:val="heading 8"/>
    <w:basedOn w:val="Normal"/>
    <w:next w:val="Normal"/>
    <w:link w:val="Titlu8Caracter"/>
    <w:unhideWhenUsed/>
    <w:qFormat/>
    <w:rsid w:val="00B94909"/>
    <w:pPr>
      <w:keepNext/>
      <w:numPr>
        <w:ilvl w:val="7"/>
        <w:numId w:val="15"/>
      </w:numPr>
      <w:spacing w:after="120"/>
      <w:outlineLvl w:val="7"/>
    </w:pPr>
    <w:rPr>
      <w:rFonts w:asciiTheme="majorHAnsi" w:hAnsiTheme="majorHAnsi"/>
    </w:rPr>
  </w:style>
  <w:style w:type="paragraph" w:styleId="Titlu9">
    <w:name w:val="heading 9"/>
    <w:basedOn w:val="Normal"/>
    <w:next w:val="Normal"/>
    <w:link w:val="Titlu9Caracter"/>
    <w:unhideWhenUsed/>
    <w:qFormat/>
    <w:rsid w:val="00B94909"/>
    <w:pPr>
      <w:keepNext/>
      <w:numPr>
        <w:ilvl w:val="8"/>
        <w:numId w:val="18"/>
      </w:numPr>
      <w:spacing w:after="120"/>
      <w:ind w:left="1928" w:hanging="1928"/>
      <w:outlineLvl w:val="8"/>
    </w:pPr>
    <w:rPr>
      <w:rFonts w:asciiTheme="majorHAnsi" w:hAnsiTheme="majorHAns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A114F"/>
    <w:rPr>
      <w:rFonts w:ascii="Verdana" w:eastAsiaTheme="majorEastAsia" w:hAnsi="Verdana" w:cstheme="majorBidi"/>
      <w:b/>
      <w:bCs/>
      <w:noProof/>
      <w:color w:val="0090D0"/>
      <w:sz w:val="28"/>
      <w:szCs w:val="28"/>
      <w:lang w:val="en-GB"/>
    </w:rPr>
  </w:style>
  <w:style w:type="character" w:customStyle="1" w:styleId="Titlu2Caracter">
    <w:name w:val="Titlu 2 Caracter"/>
    <w:basedOn w:val="Fontdeparagrafimplicit"/>
    <w:link w:val="Titlu2"/>
    <w:rsid w:val="008D28E2"/>
    <w:rPr>
      <w:rFonts w:asciiTheme="majorHAnsi" w:eastAsiaTheme="majorEastAsia" w:hAnsiTheme="majorHAnsi" w:cstheme="majorBidi"/>
      <w:b/>
      <w:bCs/>
      <w:color w:val="F06050"/>
      <w:sz w:val="26"/>
      <w:szCs w:val="26"/>
    </w:rPr>
  </w:style>
  <w:style w:type="character" w:customStyle="1" w:styleId="Titlu3Caracter">
    <w:name w:val="Titlu 3 Caracter"/>
    <w:basedOn w:val="Fontdeparagrafimplicit"/>
    <w:link w:val="Titlu3"/>
    <w:rsid w:val="008D28E2"/>
    <w:rPr>
      <w:rFonts w:asciiTheme="majorHAnsi" w:hAnsiTheme="majorHAnsi"/>
      <w:color w:val="506070"/>
      <w:sz w:val="24"/>
    </w:rPr>
  </w:style>
  <w:style w:type="paragraph" w:styleId="Corptext">
    <w:name w:val="Body Text"/>
    <w:basedOn w:val="Normal"/>
    <w:link w:val="CorptextCaracter"/>
    <w:uiPriority w:val="99"/>
    <w:unhideWhenUsed/>
    <w:rsid w:val="00CD0A8B"/>
    <w:pPr>
      <w:spacing w:after="120"/>
    </w:pPr>
  </w:style>
  <w:style w:type="character" w:customStyle="1" w:styleId="CorptextCaracter">
    <w:name w:val="Corp text Caracter"/>
    <w:basedOn w:val="Fontdeparagrafimplicit"/>
    <w:link w:val="Corptext"/>
    <w:uiPriority w:val="99"/>
    <w:rsid w:val="00CD0A8B"/>
    <w:rPr>
      <w:rFonts w:asciiTheme="minorHAnsi" w:hAnsiTheme="minorHAnsi"/>
    </w:rPr>
  </w:style>
  <w:style w:type="paragraph" w:styleId="Indentnormal">
    <w:name w:val="Normal Indent"/>
    <w:basedOn w:val="Normal"/>
    <w:uiPriority w:val="99"/>
    <w:unhideWhenUsed/>
    <w:rsid w:val="00CD0A8B"/>
    <w:pPr>
      <w:ind w:left="708"/>
    </w:pPr>
  </w:style>
  <w:style w:type="paragraph" w:styleId="Corptext2">
    <w:name w:val="Body Text 2"/>
    <w:basedOn w:val="Normal"/>
    <w:link w:val="Corptext2Caracter"/>
    <w:uiPriority w:val="99"/>
    <w:unhideWhenUsed/>
    <w:rsid w:val="00CD0A8B"/>
    <w:pPr>
      <w:spacing w:after="120" w:line="480" w:lineRule="auto"/>
    </w:pPr>
  </w:style>
  <w:style w:type="character" w:customStyle="1" w:styleId="Corptext2Caracter">
    <w:name w:val="Corp text 2 Caracter"/>
    <w:basedOn w:val="Fontdeparagrafimplicit"/>
    <w:link w:val="Corptext2"/>
    <w:uiPriority w:val="99"/>
    <w:rsid w:val="00CD0A8B"/>
    <w:rPr>
      <w:rFonts w:asciiTheme="minorHAnsi" w:hAnsiTheme="minorHAnsi"/>
    </w:rPr>
  </w:style>
  <w:style w:type="paragraph" w:styleId="Corptext3">
    <w:name w:val="Body Text 3"/>
    <w:basedOn w:val="Normal"/>
    <w:link w:val="Corptext3Caracter"/>
    <w:uiPriority w:val="99"/>
    <w:unhideWhenUsed/>
    <w:rsid w:val="00CD0A8B"/>
    <w:pPr>
      <w:spacing w:after="120"/>
    </w:pPr>
    <w:rPr>
      <w:sz w:val="16"/>
      <w:szCs w:val="16"/>
    </w:rPr>
  </w:style>
  <w:style w:type="character" w:customStyle="1" w:styleId="Corptext3Caracter">
    <w:name w:val="Corp text 3 Caracter"/>
    <w:basedOn w:val="Fontdeparagrafimplicit"/>
    <w:link w:val="Corptext3"/>
    <w:uiPriority w:val="99"/>
    <w:rsid w:val="00CD0A8B"/>
    <w:rPr>
      <w:rFonts w:asciiTheme="minorHAnsi" w:hAnsiTheme="minorHAnsi"/>
      <w:sz w:val="16"/>
      <w:szCs w:val="16"/>
    </w:rPr>
  </w:style>
  <w:style w:type="paragraph" w:styleId="Indentcorptext2">
    <w:name w:val="Body Text Indent 2"/>
    <w:basedOn w:val="Normal"/>
    <w:link w:val="Indentcorptext2Caracter"/>
    <w:uiPriority w:val="99"/>
    <w:unhideWhenUsed/>
    <w:rsid w:val="00CD0A8B"/>
    <w:pPr>
      <w:spacing w:after="120" w:line="480" w:lineRule="auto"/>
      <w:ind w:left="283"/>
    </w:pPr>
  </w:style>
  <w:style w:type="character" w:customStyle="1" w:styleId="Indentcorptext2Caracter">
    <w:name w:val="Indent corp text 2 Caracter"/>
    <w:basedOn w:val="Fontdeparagrafimplicit"/>
    <w:link w:val="Indentcorptext2"/>
    <w:uiPriority w:val="99"/>
    <w:rsid w:val="00CD0A8B"/>
    <w:rPr>
      <w:rFonts w:asciiTheme="minorHAnsi" w:hAnsiTheme="minorHAnsi"/>
    </w:rPr>
  </w:style>
  <w:style w:type="paragraph" w:styleId="Indentcorptext3">
    <w:name w:val="Body Text Indent 3"/>
    <w:basedOn w:val="Normal"/>
    <w:link w:val="Indentcorptext3Caracter"/>
    <w:uiPriority w:val="99"/>
    <w:unhideWhenUsed/>
    <w:rsid w:val="00CD0A8B"/>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CD0A8B"/>
    <w:rPr>
      <w:rFonts w:asciiTheme="minorHAnsi" w:hAnsiTheme="minorHAnsi"/>
      <w:sz w:val="16"/>
      <w:szCs w:val="16"/>
    </w:rPr>
  </w:style>
  <w:style w:type="paragraph" w:styleId="Primindentpentrucorptext">
    <w:name w:val="Body Text First Indent"/>
    <w:basedOn w:val="Corptext"/>
    <w:link w:val="PrimindentpentrucorptextCaracter"/>
    <w:uiPriority w:val="99"/>
    <w:unhideWhenUsed/>
    <w:rsid w:val="00CD0A8B"/>
    <w:pPr>
      <w:spacing w:after="200"/>
      <w:ind w:firstLine="360"/>
    </w:pPr>
  </w:style>
  <w:style w:type="character" w:customStyle="1" w:styleId="PrimindentpentrucorptextCaracter">
    <w:name w:val="Prim indent pentru corp text Caracter"/>
    <w:basedOn w:val="CorptextCaracter"/>
    <w:link w:val="Primindentpentrucorptext"/>
    <w:uiPriority w:val="99"/>
    <w:rsid w:val="00CD0A8B"/>
    <w:rPr>
      <w:rFonts w:asciiTheme="minorHAnsi" w:hAnsiTheme="minorHAnsi"/>
    </w:rPr>
  </w:style>
  <w:style w:type="paragraph" w:styleId="Returplic">
    <w:name w:val="envelope return"/>
    <w:basedOn w:val="Normal"/>
    <w:uiPriority w:val="99"/>
    <w:unhideWhenUsed/>
    <w:rsid w:val="00CD0A8B"/>
    <w:pPr>
      <w:spacing w:after="0" w:line="240" w:lineRule="auto"/>
    </w:pPr>
    <w:rPr>
      <w:rFonts w:asciiTheme="majorHAnsi" w:eastAsiaTheme="majorEastAsia" w:hAnsiTheme="majorHAnsi" w:cstheme="majorBidi"/>
    </w:rPr>
  </w:style>
  <w:style w:type="paragraph" w:styleId="Frspaiere">
    <w:name w:val="No Spacing"/>
    <w:basedOn w:val="Normal"/>
    <w:uiPriority w:val="1"/>
    <w:rsid w:val="00B94909"/>
    <w:pPr>
      <w:spacing w:after="0"/>
    </w:pPr>
  </w:style>
  <w:style w:type="paragraph" w:styleId="Titlu">
    <w:name w:val="Title"/>
    <w:basedOn w:val="Normal"/>
    <w:next w:val="Normal"/>
    <w:link w:val="TitluCaracter"/>
    <w:qFormat/>
    <w:rsid w:val="00B94909"/>
    <w:pPr>
      <w:keepNext/>
      <w:spacing w:after="160"/>
    </w:pPr>
    <w:rPr>
      <w:rFonts w:asciiTheme="majorHAnsi" w:eastAsiaTheme="majorEastAsia" w:hAnsiTheme="majorHAnsi" w:cstheme="majorBidi"/>
      <w:spacing w:val="5"/>
      <w:kern w:val="28"/>
      <w:sz w:val="28"/>
      <w:szCs w:val="28"/>
    </w:rPr>
  </w:style>
  <w:style w:type="character" w:customStyle="1" w:styleId="TitluCaracter">
    <w:name w:val="Titlu Caracter"/>
    <w:basedOn w:val="Fontdeparagrafimplicit"/>
    <w:link w:val="Titlu"/>
    <w:rsid w:val="00B94909"/>
    <w:rPr>
      <w:rFonts w:asciiTheme="majorHAnsi" w:eastAsiaTheme="majorEastAsia" w:hAnsiTheme="majorHAnsi" w:cstheme="majorBidi"/>
      <w:spacing w:val="5"/>
      <w:kern w:val="28"/>
      <w:sz w:val="28"/>
      <w:szCs w:val="28"/>
    </w:rPr>
  </w:style>
  <w:style w:type="character" w:customStyle="1" w:styleId="Titlu4Caracter">
    <w:name w:val="Titlu 4 Caracter"/>
    <w:basedOn w:val="Fontdeparagrafimplicit"/>
    <w:link w:val="Titlu4"/>
    <w:rsid w:val="008D28E2"/>
    <w:rPr>
      <w:rFonts w:asciiTheme="majorHAnsi" w:hAnsiTheme="majorHAnsi"/>
      <w:bCs/>
      <w:iCs/>
      <w:color w:val="808070"/>
    </w:rPr>
  </w:style>
  <w:style w:type="character" w:styleId="Robust">
    <w:name w:val="Strong"/>
    <w:basedOn w:val="Fontdeparagrafimplicit"/>
    <w:uiPriority w:val="22"/>
    <w:qFormat/>
    <w:rsid w:val="00B94909"/>
    <w:rPr>
      <w:b/>
      <w:bCs/>
    </w:rPr>
  </w:style>
  <w:style w:type="character" w:customStyle="1" w:styleId="Titlu5Caracter">
    <w:name w:val="Titlu 5 Caracter"/>
    <w:basedOn w:val="Fontdeparagrafimplicit"/>
    <w:link w:val="Titlu5"/>
    <w:rsid w:val="000D2606"/>
    <w:rPr>
      <w:rFonts w:asciiTheme="majorHAnsi" w:hAnsiTheme="majorHAnsi"/>
      <w:sz w:val="20"/>
      <w:szCs w:val="20"/>
    </w:rPr>
  </w:style>
  <w:style w:type="character" w:customStyle="1" w:styleId="Titlu6Caracter">
    <w:name w:val="Titlu 6 Caracter"/>
    <w:basedOn w:val="Fontdeparagrafimplicit"/>
    <w:link w:val="Titlu6"/>
    <w:rsid w:val="00B94909"/>
    <w:rPr>
      <w:rFonts w:asciiTheme="majorHAnsi" w:hAnsiTheme="majorHAnsi"/>
      <w:iCs/>
      <w:sz w:val="20"/>
      <w:szCs w:val="20"/>
    </w:rPr>
  </w:style>
  <w:style w:type="character" w:customStyle="1" w:styleId="Titlu7Caracter">
    <w:name w:val="Titlu 7 Caracter"/>
    <w:basedOn w:val="Fontdeparagrafimplicit"/>
    <w:link w:val="Titlu7"/>
    <w:rsid w:val="00B94909"/>
    <w:rPr>
      <w:rFonts w:asciiTheme="majorHAnsi" w:eastAsiaTheme="majorEastAsia" w:hAnsiTheme="majorHAnsi" w:cstheme="majorBidi"/>
      <w:iCs/>
      <w:sz w:val="20"/>
      <w:szCs w:val="20"/>
    </w:rPr>
  </w:style>
  <w:style w:type="character" w:customStyle="1" w:styleId="Titlu8Caracter">
    <w:name w:val="Titlu 8 Caracter"/>
    <w:basedOn w:val="Fontdeparagrafimplicit"/>
    <w:link w:val="Titlu8"/>
    <w:rsid w:val="00B94909"/>
    <w:rPr>
      <w:rFonts w:asciiTheme="majorHAnsi" w:hAnsiTheme="majorHAnsi"/>
      <w:sz w:val="20"/>
      <w:szCs w:val="20"/>
    </w:rPr>
  </w:style>
  <w:style w:type="character" w:customStyle="1" w:styleId="Titlu9Caracter">
    <w:name w:val="Titlu 9 Caracter"/>
    <w:basedOn w:val="Fontdeparagrafimplicit"/>
    <w:link w:val="Titlu9"/>
    <w:rsid w:val="00B94909"/>
    <w:rPr>
      <w:rFonts w:asciiTheme="majorHAnsi" w:hAnsiTheme="majorHAnsi"/>
      <w:iCs/>
      <w:sz w:val="20"/>
      <w:szCs w:val="20"/>
    </w:rPr>
  </w:style>
  <w:style w:type="paragraph" w:styleId="Citat">
    <w:name w:val="Quote"/>
    <w:basedOn w:val="Normal"/>
    <w:next w:val="Normal"/>
    <w:link w:val="CitatCaracter"/>
    <w:uiPriority w:val="29"/>
    <w:rsid w:val="00B94909"/>
    <w:pPr>
      <w:ind w:left="1134"/>
    </w:pPr>
    <w:rPr>
      <w:i/>
      <w:iCs/>
      <w:color w:val="000000" w:themeColor="text1"/>
    </w:rPr>
  </w:style>
  <w:style w:type="character" w:customStyle="1" w:styleId="CitatCaracter">
    <w:name w:val="Citat Caracter"/>
    <w:basedOn w:val="Fontdeparagrafimplicit"/>
    <w:link w:val="Citat"/>
    <w:uiPriority w:val="29"/>
    <w:rsid w:val="00B94909"/>
    <w:rPr>
      <w:rFonts w:asciiTheme="minorHAnsi" w:hAnsiTheme="minorHAnsi"/>
      <w:i/>
      <w:iCs/>
      <w:color w:val="000000" w:themeColor="text1"/>
      <w:sz w:val="20"/>
      <w:szCs w:val="20"/>
    </w:rPr>
  </w:style>
  <w:style w:type="paragraph" w:styleId="Titlucuprins">
    <w:name w:val="TOC Heading"/>
    <w:basedOn w:val="Titlu1"/>
    <w:next w:val="Normal"/>
    <w:uiPriority w:val="39"/>
    <w:unhideWhenUsed/>
    <w:qFormat/>
    <w:rsid w:val="00982F52"/>
    <w:pPr>
      <w:numPr>
        <w:numId w:val="0"/>
      </w:numPr>
      <w:pBdr>
        <w:bottom w:val="single" w:sz="8" w:space="2" w:color="506070" w:themeColor="text2"/>
      </w:pBdr>
      <w:outlineLvl w:val="9"/>
    </w:pPr>
  </w:style>
  <w:style w:type="paragraph" w:styleId="Subtitlu">
    <w:name w:val="Subtitle"/>
    <w:basedOn w:val="Normal"/>
    <w:next w:val="Normal"/>
    <w:link w:val="SubtitluCaracter"/>
    <w:uiPriority w:val="11"/>
    <w:rsid w:val="00B94909"/>
    <w:pPr>
      <w:keepNext/>
      <w:numPr>
        <w:ilvl w:val="1"/>
      </w:numPr>
      <w:spacing w:after="120" w:line="288" w:lineRule="auto"/>
    </w:pPr>
    <w:rPr>
      <w:rFonts w:eastAsiaTheme="majorEastAsia" w:cstheme="majorBidi"/>
      <w:iCs/>
      <w:color w:val="595959" w:themeColor="text1" w:themeTint="A6"/>
      <w:spacing w:val="15"/>
      <w:szCs w:val="24"/>
    </w:rPr>
  </w:style>
  <w:style w:type="character" w:customStyle="1" w:styleId="SubtitluCaracter">
    <w:name w:val="Subtitlu Caracter"/>
    <w:basedOn w:val="Fontdeparagrafimplicit"/>
    <w:link w:val="Subtitlu"/>
    <w:uiPriority w:val="11"/>
    <w:rsid w:val="00B94909"/>
    <w:rPr>
      <w:rFonts w:asciiTheme="minorHAnsi" w:eastAsiaTheme="majorEastAsia" w:hAnsiTheme="minorHAnsi" w:cstheme="majorBidi"/>
      <w:iCs/>
      <w:color w:val="595959" w:themeColor="text1" w:themeTint="A6"/>
      <w:spacing w:val="15"/>
      <w:szCs w:val="24"/>
    </w:rPr>
  </w:style>
  <w:style w:type="numbering" w:customStyle="1" w:styleId="AFAnnexList">
    <w:name w:val="AF Annex List"/>
    <w:uiPriority w:val="99"/>
    <w:rsid w:val="00505F9C"/>
  </w:style>
  <w:style w:type="paragraph" w:styleId="TextnBalon">
    <w:name w:val="Balloon Text"/>
    <w:basedOn w:val="Normal"/>
    <w:link w:val="TextnBalonCaracter"/>
    <w:unhideWhenUsed/>
    <w:rsid w:val="001076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1076EB"/>
    <w:rPr>
      <w:rFonts w:ascii="Tahoma" w:hAnsi="Tahoma" w:cs="Tahoma"/>
      <w:sz w:val="16"/>
      <w:szCs w:val="16"/>
    </w:rPr>
  </w:style>
  <w:style w:type="paragraph" w:styleId="Legend">
    <w:name w:val="caption"/>
    <w:aliases w:val="~Caption"/>
    <w:basedOn w:val="Normal"/>
    <w:next w:val="Normal"/>
    <w:uiPriority w:val="1"/>
    <w:unhideWhenUsed/>
    <w:qFormat/>
    <w:rsid w:val="00B94909"/>
    <w:pPr>
      <w:pBdr>
        <w:bottom w:val="single" w:sz="6" w:space="4" w:color="595959" w:themeColor="text1" w:themeTint="A6"/>
      </w:pBdr>
      <w:spacing w:before="120" w:after="280" w:line="240" w:lineRule="auto"/>
    </w:pPr>
    <w:rPr>
      <w:bCs/>
      <w:color w:val="262626" w:themeColor="text1" w:themeTint="D9"/>
      <w:sz w:val="18"/>
      <w:szCs w:val="18"/>
    </w:rPr>
  </w:style>
  <w:style w:type="paragraph" w:styleId="Tabeldefiguri">
    <w:name w:val="table of figures"/>
    <w:basedOn w:val="Cuprins3"/>
    <w:next w:val="Normal"/>
    <w:uiPriority w:val="99"/>
    <w:unhideWhenUsed/>
    <w:rsid w:val="00DF3E87"/>
  </w:style>
  <w:style w:type="character" w:styleId="Hyperlink">
    <w:name w:val="Hyperlink"/>
    <w:basedOn w:val="Fontdeparagrafimplicit"/>
    <w:uiPriority w:val="99"/>
    <w:unhideWhenUsed/>
    <w:rsid w:val="001076EB"/>
    <w:rPr>
      <w:color w:val="5F5F5F" w:themeColor="hyperlink"/>
      <w:u w:val="single"/>
    </w:rPr>
  </w:style>
  <w:style w:type="character" w:styleId="Accentuat">
    <w:name w:val="Emphasis"/>
    <w:basedOn w:val="Fontdeparagrafimplicit"/>
    <w:uiPriority w:val="20"/>
    <w:qFormat/>
    <w:rsid w:val="00B94909"/>
    <w:rPr>
      <w:i/>
      <w:iCs/>
    </w:rPr>
  </w:style>
  <w:style w:type="character" w:styleId="Accentuareintens">
    <w:name w:val="Intense Emphasis"/>
    <w:basedOn w:val="Fontdeparagrafimplicit"/>
    <w:uiPriority w:val="21"/>
    <w:rsid w:val="00B94909"/>
    <w:rPr>
      <w:b/>
      <w:bCs/>
      <w:i/>
      <w:iCs/>
      <w:color w:val="00B1AC" w:themeColor="accent1"/>
    </w:rPr>
  </w:style>
  <w:style w:type="character" w:styleId="Accentuaresubtil">
    <w:name w:val="Subtle Emphasis"/>
    <w:basedOn w:val="Fontdeparagrafimplicit"/>
    <w:uiPriority w:val="19"/>
    <w:rsid w:val="007B5033"/>
    <w:rPr>
      <w:i/>
      <w:iCs/>
      <w:color w:val="595959" w:themeColor="text1" w:themeTint="A6"/>
    </w:rPr>
  </w:style>
  <w:style w:type="paragraph" w:styleId="Citatintens">
    <w:name w:val="Intense Quote"/>
    <w:basedOn w:val="Normal"/>
    <w:next w:val="Normal"/>
    <w:link w:val="CitatintensCaracter"/>
    <w:uiPriority w:val="30"/>
    <w:rsid w:val="00B94909"/>
    <w:pPr>
      <w:pBdr>
        <w:top w:val="single" w:sz="4" w:space="1" w:color="00B1AC" w:themeColor="accent1"/>
        <w:bottom w:val="single" w:sz="4" w:space="4" w:color="00B1AC" w:themeColor="accent1"/>
      </w:pBdr>
      <w:spacing w:after="280"/>
      <w:ind w:left="1134"/>
    </w:pPr>
    <w:rPr>
      <w:b/>
      <w:bCs/>
      <w:i/>
      <w:iCs/>
      <w:color w:val="00B1AC" w:themeColor="accent1"/>
    </w:rPr>
  </w:style>
  <w:style w:type="character" w:customStyle="1" w:styleId="CitatintensCaracter">
    <w:name w:val="Citat intens Caracter"/>
    <w:basedOn w:val="Fontdeparagrafimplicit"/>
    <w:link w:val="Citatintens"/>
    <w:uiPriority w:val="30"/>
    <w:rsid w:val="00B94909"/>
    <w:rPr>
      <w:rFonts w:asciiTheme="minorHAnsi" w:hAnsiTheme="minorHAnsi"/>
      <w:b/>
      <w:bCs/>
      <w:i/>
      <w:iCs/>
      <w:color w:val="00B1AC" w:themeColor="accent1"/>
      <w:sz w:val="20"/>
      <w:szCs w:val="20"/>
    </w:rPr>
  </w:style>
  <w:style w:type="character" w:styleId="Referiresubtil">
    <w:name w:val="Subtle Reference"/>
    <w:basedOn w:val="Fontdeparagrafimplicit"/>
    <w:uiPriority w:val="31"/>
    <w:rsid w:val="00B94909"/>
    <w:rPr>
      <w:smallCaps/>
      <w:color w:val="595959" w:themeColor="text1" w:themeTint="A6"/>
      <w:u w:val="none"/>
      <w:bdr w:val="none" w:sz="0" w:space="0" w:color="auto"/>
    </w:rPr>
  </w:style>
  <w:style w:type="character" w:styleId="Referireintens">
    <w:name w:val="Intense Reference"/>
    <w:basedOn w:val="Fontdeparagrafimplicit"/>
    <w:uiPriority w:val="32"/>
    <w:rsid w:val="00B94909"/>
    <w:rPr>
      <w:b/>
      <w:bCs/>
      <w:caps w:val="0"/>
      <w:smallCaps/>
      <w:color w:val="00B1AC" w:themeColor="accent1"/>
      <w:spacing w:val="5"/>
      <w:u w:val="none"/>
      <w:bdr w:val="none" w:sz="0" w:space="0" w:color="auto"/>
    </w:rPr>
  </w:style>
  <w:style w:type="character" w:styleId="Titlulcrii">
    <w:name w:val="Book Title"/>
    <w:basedOn w:val="Fontdeparagrafimplicit"/>
    <w:uiPriority w:val="33"/>
    <w:rsid w:val="00D6598B"/>
    <w:rPr>
      <w:b/>
      <w:bCs/>
      <w:smallCaps/>
      <w:spacing w:val="5"/>
    </w:rPr>
  </w:style>
  <w:style w:type="paragraph" w:styleId="Listparagraf">
    <w:name w:val="List Paragraph"/>
    <w:aliases w:val="List1,List Paragraph1,Numbered Indented Text,List Paragraph Char Char Char,List Paragraph Char Char,Bullet 1,lp1,List Paragraph11,Colorful List - Accent 11"/>
    <w:basedOn w:val="Normal"/>
    <w:link w:val="ListparagrafCaracter"/>
    <w:uiPriority w:val="34"/>
    <w:qFormat/>
    <w:rsid w:val="00ED1DEA"/>
    <w:pPr>
      <w:contextualSpacing/>
    </w:pPr>
  </w:style>
  <w:style w:type="paragraph" w:styleId="Cuprins1">
    <w:name w:val="toc 1"/>
    <w:basedOn w:val="Normal"/>
    <w:next w:val="Normal"/>
    <w:uiPriority w:val="39"/>
    <w:unhideWhenUsed/>
    <w:qFormat/>
    <w:rsid w:val="00200576"/>
    <w:pPr>
      <w:tabs>
        <w:tab w:val="left" w:pos="851"/>
        <w:tab w:val="right" w:leader="dot" w:pos="9514"/>
      </w:tabs>
      <w:spacing w:before="240" w:after="0"/>
      <w:ind w:left="851" w:hanging="851"/>
    </w:pPr>
    <w:rPr>
      <w:b/>
      <w:noProof/>
      <w:sz w:val="24"/>
      <w:lang w:val="en-GB"/>
    </w:rPr>
  </w:style>
  <w:style w:type="paragraph" w:styleId="Cuprins2">
    <w:name w:val="toc 2"/>
    <w:basedOn w:val="Normal"/>
    <w:next w:val="Normal"/>
    <w:uiPriority w:val="39"/>
    <w:unhideWhenUsed/>
    <w:qFormat/>
    <w:rsid w:val="00177664"/>
    <w:pPr>
      <w:tabs>
        <w:tab w:val="left" w:pos="851"/>
        <w:tab w:val="right" w:leader="dot" w:pos="9515"/>
      </w:tabs>
      <w:spacing w:before="160" w:after="0"/>
      <w:ind w:left="851" w:hanging="851"/>
    </w:pPr>
    <w:rPr>
      <w:b/>
      <w:noProof/>
      <w:lang w:val="en-GB"/>
    </w:rPr>
  </w:style>
  <w:style w:type="paragraph" w:styleId="Cuprins3">
    <w:name w:val="toc 3"/>
    <w:basedOn w:val="Normal"/>
    <w:next w:val="Normal"/>
    <w:uiPriority w:val="39"/>
    <w:unhideWhenUsed/>
    <w:qFormat/>
    <w:rsid w:val="00177664"/>
    <w:pPr>
      <w:tabs>
        <w:tab w:val="left" w:pos="851"/>
        <w:tab w:val="right" w:leader="dot" w:pos="9515"/>
      </w:tabs>
      <w:spacing w:after="0"/>
      <w:ind w:left="851" w:hanging="851"/>
    </w:pPr>
    <w:rPr>
      <w:noProof/>
      <w:lang w:val="en-GB"/>
    </w:rPr>
  </w:style>
  <w:style w:type="paragraph" w:styleId="Cuprins4">
    <w:name w:val="toc 4"/>
    <w:basedOn w:val="Cuprins8"/>
    <w:next w:val="Normal"/>
    <w:uiPriority w:val="39"/>
    <w:unhideWhenUsed/>
    <w:rsid w:val="00177664"/>
    <w:pPr>
      <w:spacing w:after="0"/>
      <w:ind w:left="851" w:hanging="851"/>
    </w:pPr>
  </w:style>
  <w:style w:type="paragraph" w:styleId="Cuprins5">
    <w:name w:val="toc 5"/>
    <w:basedOn w:val="Normal"/>
    <w:next w:val="Normal"/>
    <w:uiPriority w:val="39"/>
    <w:unhideWhenUsed/>
    <w:rsid w:val="00982F52"/>
    <w:pPr>
      <w:spacing w:after="100"/>
      <w:ind w:left="851" w:hanging="851"/>
    </w:pPr>
  </w:style>
  <w:style w:type="paragraph" w:styleId="Cuprins6">
    <w:name w:val="toc 6"/>
    <w:basedOn w:val="Normal"/>
    <w:next w:val="Normal"/>
    <w:uiPriority w:val="39"/>
    <w:semiHidden/>
    <w:unhideWhenUsed/>
    <w:rsid w:val="00982F52"/>
    <w:pPr>
      <w:spacing w:after="100"/>
    </w:pPr>
  </w:style>
  <w:style w:type="paragraph" w:styleId="Cuprins7">
    <w:name w:val="toc 7"/>
    <w:basedOn w:val="Normal"/>
    <w:next w:val="Normal"/>
    <w:uiPriority w:val="39"/>
    <w:semiHidden/>
    <w:unhideWhenUsed/>
    <w:rsid w:val="00982F52"/>
    <w:pPr>
      <w:spacing w:after="100"/>
    </w:pPr>
  </w:style>
  <w:style w:type="paragraph" w:styleId="Cuprins8">
    <w:name w:val="toc 8"/>
    <w:basedOn w:val="Normal"/>
    <w:next w:val="Normal"/>
    <w:uiPriority w:val="39"/>
    <w:unhideWhenUsed/>
    <w:rsid w:val="00982F52"/>
  </w:style>
  <w:style w:type="paragraph" w:styleId="Cuprins9">
    <w:name w:val="toc 9"/>
    <w:basedOn w:val="Normal"/>
    <w:next w:val="Normal"/>
    <w:uiPriority w:val="39"/>
    <w:semiHidden/>
    <w:unhideWhenUsed/>
    <w:rsid w:val="00982F52"/>
    <w:pPr>
      <w:spacing w:after="100"/>
    </w:pPr>
  </w:style>
  <w:style w:type="paragraph" w:styleId="Antetmesaj">
    <w:name w:val="Message Header"/>
    <w:basedOn w:val="Normal"/>
    <w:link w:val="AntetmesajCaracter"/>
    <w:uiPriority w:val="99"/>
    <w:unhideWhenUsed/>
    <w:rsid w:val="005560E8"/>
    <w:pPr>
      <w:pBdr>
        <w:top w:val="single" w:sz="6" w:space="1" w:color="506070" w:themeColor="text2"/>
        <w:bottom w:val="single" w:sz="6" w:space="1" w:color="506070" w:themeColor="text2"/>
      </w:pBdr>
      <w:shd w:val="clear" w:color="auto" w:fill="C4ECFF" w:themeFill="accent3" w:themeFillTint="33"/>
      <w:spacing w:line="240" w:lineRule="auto"/>
      <w:ind w:left="1134" w:hanging="1134"/>
    </w:pPr>
    <w:rPr>
      <w:rFonts w:asciiTheme="majorHAnsi" w:eastAsiaTheme="majorEastAsia" w:hAnsiTheme="majorHAnsi" w:cstheme="majorBidi"/>
      <w:sz w:val="24"/>
      <w:szCs w:val="24"/>
    </w:rPr>
  </w:style>
  <w:style w:type="character" w:customStyle="1" w:styleId="AntetmesajCaracter">
    <w:name w:val="Antet mesaj Caracter"/>
    <w:basedOn w:val="Fontdeparagrafimplicit"/>
    <w:link w:val="Antetmesaj"/>
    <w:uiPriority w:val="99"/>
    <w:rsid w:val="005560E8"/>
    <w:rPr>
      <w:rFonts w:asciiTheme="majorHAnsi" w:eastAsiaTheme="majorEastAsia" w:hAnsiTheme="majorHAnsi" w:cstheme="majorBidi"/>
      <w:sz w:val="24"/>
      <w:szCs w:val="24"/>
      <w:shd w:val="clear" w:color="auto" w:fill="C4ECFF" w:themeFill="accent3" w:themeFillTint="33"/>
    </w:rPr>
  </w:style>
  <w:style w:type="paragraph" w:styleId="Listcumarcatori">
    <w:name w:val="List Bullet"/>
    <w:basedOn w:val="Normal"/>
    <w:uiPriority w:val="36"/>
    <w:rsid w:val="00302DB3"/>
    <w:pPr>
      <w:numPr>
        <w:numId w:val="1"/>
      </w:numPr>
      <w:spacing w:after="120"/>
      <w:ind w:left="284" w:hanging="284"/>
      <w:contextualSpacing/>
      <w:outlineLvl w:val="0"/>
    </w:pPr>
  </w:style>
  <w:style w:type="paragraph" w:styleId="Listacumarcatori2">
    <w:name w:val="List Bullet 2"/>
    <w:basedOn w:val="Listcumarcatori"/>
    <w:uiPriority w:val="36"/>
    <w:unhideWhenUsed/>
    <w:rsid w:val="00302DB3"/>
    <w:pPr>
      <w:numPr>
        <w:numId w:val="2"/>
      </w:numPr>
      <w:ind w:left="568" w:hanging="284"/>
      <w:outlineLvl w:val="1"/>
    </w:pPr>
  </w:style>
  <w:style w:type="paragraph" w:styleId="Listacumarcatori3">
    <w:name w:val="List Bullet 3"/>
    <w:basedOn w:val="Listacumarcatori2"/>
    <w:uiPriority w:val="36"/>
    <w:unhideWhenUsed/>
    <w:rsid w:val="00302DB3"/>
    <w:pPr>
      <w:numPr>
        <w:numId w:val="3"/>
      </w:numPr>
      <w:ind w:left="851" w:hanging="284"/>
      <w:outlineLvl w:val="2"/>
    </w:pPr>
  </w:style>
  <w:style w:type="paragraph" w:styleId="Listacumarcatori4">
    <w:name w:val="List Bullet 4"/>
    <w:basedOn w:val="Listacumarcatori3"/>
    <w:uiPriority w:val="36"/>
    <w:unhideWhenUsed/>
    <w:rsid w:val="00E30DED"/>
    <w:pPr>
      <w:numPr>
        <w:numId w:val="4"/>
      </w:numPr>
      <w:ind w:left="1135" w:hanging="284"/>
    </w:pPr>
  </w:style>
  <w:style w:type="paragraph" w:styleId="Listacumarcatori5">
    <w:name w:val="List Bullet 5"/>
    <w:basedOn w:val="Listacumarcatori4"/>
    <w:uiPriority w:val="36"/>
    <w:unhideWhenUsed/>
    <w:rsid w:val="00E30DED"/>
    <w:pPr>
      <w:numPr>
        <w:numId w:val="5"/>
      </w:numPr>
      <w:ind w:left="1418" w:hanging="284"/>
    </w:pPr>
  </w:style>
  <w:style w:type="table" w:styleId="Umbriredeculoaredeschis-Accentuare3">
    <w:name w:val="Light Shading Accent 3"/>
    <w:basedOn w:val="TabelNormal"/>
    <w:uiPriority w:val="60"/>
    <w:rsid w:val="00670354"/>
    <w:pPr>
      <w:spacing w:after="0" w:line="240" w:lineRule="auto"/>
    </w:pPr>
    <w:rPr>
      <w:color w:val="006FA4" w:themeColor="accent3" w:themeShade="BF"/>
    </w:rPr>
    <w:tblPr>
      <w:tblStyleRowBandSize w:val="1"/>
      <w:tblStyleColBandSize w:val="1"/>
      <w:tblBorders>
        <w:top w:val="single" w:sz="8" w:space="0" w:color="0096DB" w:themeColor="accent3"/>
        <w:bottom w:val="single" w:sz="8" w:space="0" w:color="0096DB" w:themeColor="accent3"/>
      </w:tblBorders>
    </w:tblPr>
    <w:tblStylePr w:type="firstRow">
      <w:pPr>
        <w:spacing w:before="0" w:after="0" w:line="240" w:lineRule="auto"/>
      </w:pPr>
      <w:rPr>
        <w:b/>
        <w:bCs/>
      </w:rPr>
      <w:tblPr/>
      <w:tcPr>
        <w:tcBorders>
          <w:top w:val="single" w:sz="8" w:space="0" w:color="0096DB" w:themeColor="accent3"/>
          <w:left w:val="nil"/>
          <w:bottom w:val="single" w:sz="8" w:space="0" w:color="0096DB" w:themeColor="accent3"/>
          <w:right w:val="nil"/>
          <w:insideH w:val="nil"/>
          <w:insideV w:val="nil"/>
        </w:tcBorders>
      </w:tcPr>
    </w:tblStylePr>
    <w:tblStylePr w:type="lastRow">
      <w:pPr>
        <w:spacing w:before="0" w:after="0" w:line="240" w:lineRule="auto"/>
      </w:pPr>
      <w:rPr>
        <w:b/>
        <w:bCs/>
      </w:rPr>
      <w:tblPr/>
      <w:tcPr>
        <w:tcBorders>
          <w:top w:val="single" w:sz="8" w:space="0" w:color="0096DB" w:themeColor="accent3"/>
          <w:left w:val="nil"/>
          <w:bottom w:val="single" w:sz="8" w:space="0" w:color="0096D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hemeFill="accent3" w:themeFillTint="3F"/>
      </w:tcPr>
    </w:tblStylePr>
    <w:tblStylePr w:type="band1Horz">
      <w:tblPr/>
      <w:tcPr>
        <w:tcBorders>
          <w:left w:val="nil"/>
          <w:right w:val="nil"/>
          <w:insideH w:val="nil"/>
          <w:insideV w:val="nil"/>
        </w:tcBorders>
        <w:shd w:val="clear" w:color="auto" w:fill="B7E8FF" w:themeFill="accent3" w:themeFillTint="3F"/>
      </w:tcPr>
    </w:tblStylePr>
  </w:style>
  <w:style w:type="table" w:styleId="Umbriredeculoaredeschis-Accentuare2">
    <w:name w:val="Light Shading Accent 2"/>
    <w:basedOn w:val="TabelNormal"/>
    <w:uiPriority w:val="60"/>
    <w:rsid w:val="00670354"/>
    <w:pPr>
      <w:spacing w:after="0" w:line="240" w:lineRule="auto"/>
    </w:pPr>
    <w:rPr>
      <w:color w:val="002A7C" w:themeColor="accent2" w:themeShade="BF"/>
    </w:rPr>
    <w:tblPr>
      <w:tblStyleRowBandSize w:val="1"/>
      <w:tblStyleColBandSize w:val="1"/>
      <w:tblBorders>
        <w:top w:val="single" w:sz="8" w:space="0" w:color="0039A6" w:themeColor="accent2"/>
        <w:bottom w:val="single" w:sz="8" w:space="0" w:color="0039A6" w:themeColor="accent2"/>
      </w:tblBorders>
    </w:tblPr>
    <w:tblStylePr w:type="firstRow">
      <w:pPr>
        <w:spacing w:before="0" w:after="0" w:line="240" w:lineRule="auto"/>
      </w:pPr>
      <w:rPr>
        <w:b/>
        <w:bCs/>
      </w:rPr>
      <w:tblPr/>
      <w:tcPr>
        <w:tcBorders>
          <w:top w:val="single" w:sz="8" w:space="0" w:color="0039A6" w:themeColor="accent2"/>
          <w:left w:val="nil"/>
          <w:bottom w:val="single" w:sz="8" w:space="0" w:color="0039A6" w:themeColor="accent2"/>
          <w:right w:val="nil"/>
          <w:insideH w:val="nil"/>
          <w:insideV w:val="nil"/>
        </w:tcBorders>
      </w:tcPr>
    </w:tblStylePr>
    <w:tblStylePr w:type="lastRow">
      <w:pPr>
        <w:spacing w:before="0" w:after="0" w:line="240" w:lineRule="auto"/>
      </w:pPr>
      <w:rPr>
        <w:b/>
        <w:bCs/>
      </w:rPr>
      <w:tblPr/>
      <w:tcPr>
        <w:tcBorders>
          <w:top w:val="single" w:sz="8" w:space="0" w:color="0039A6" w:themeColor="accent2"/>
          <w:left w:val="nil"/>
          <w:bottom w:val="single" w:sz="8" w:space="0" w:color="0039A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C7FF" w:themeFill="accent2" w:themeFillTint="3F"/>
      </w:tcPr>
    </w:tblStylePr>
    <w:tblStylePr w:type="band1Horz">
      <w:tblPr/>
      <w:tcPr>
        <w:tcBorders>
          <w:left w:val="nil"/>
          <w:right w:val="nil"/>
          <w:insideH w:val="nil"/>
          <w:insideV w:val="nil"/>
        </w:tcBorders>
        <w:shd w:val="clear" w:color="auto" w:fill="AAC7FF" w:themeFill="accent2" w:themeFillTint="3F"/>
      </w:tcPr>
    </w:tblStylePr>
  </w:style>
  <w:style w:type="table" w:styleId="Umbriredeculoaredeschis-Accentuare4">
    <w:name w:val="Light Shading Accent 4"/>
    <w:basedOn w:val="TabelNormal"/>
    <w:uiPriority w:val="60"/>
    <w:rsid w:val="00670354"/>
    <w:pPr>
      <w:spacing w:after="0" w:line="240" w:lineRule="auto"/>
    </w:pPr>
    <w:rPr>
      <w:color w:val="4B8C1E" w:themeColor="accent4" w:themeShade="BF"/>
    </w:rPr>
    <w:tblPr>
      <w:tblStyleRowBandSize w:val="1"/>
      <w:tblStyleColBandSize w:val="1"/>
      <w:tblBorders>
        <w:top w:val="single" w:sz="8" w:space="0" w:color="66BC29" w:themeColor="accent4"/>
        <w:bottom w:val="single" w:sz="8" w:space="0" w:color="66BC29" w:themeColor="accent4"/>
      </w:tblBorders>
    </w:tblPr>
    <w:tblStylePr w:type="firstRow">
      <w:pPr>
        <w:spacing w:before="0" w:after="0" w:line="240" w:lineRule="auto"/>
      </w:pPr>
      <w:rPr>
        <w:b/>
        <w:bCs/>
      </w:rPr>
      <w:tblPr/>
      <w:tcPr>
        <w:tcBorders>
          <w:top w:val="single" w:sz="8" w:space="0" w:color="66BC29" w:themeColor="accent4"/>
          <w:left w:val="nil"/>
          <w:bottom w:val="single" w:sz="8" w:space="0" w:color="66BC29" w:themeColor="accent4"/>
          <w:right w:val="nil"/>
          <w:insideH w:val="nil"/>
          <w:insideV w:val="nil"/>
        </w:tcBorders>
      </w:tcPr>
    </w:tblStylePr>
    <w:tblStylePr w:type="lastRow">
      <w:pPr>
        <w:spacing w:before="0" w:after="0" w:line="240" w:lineRule="auto"/>
      </w:pPr>
      <w:rPr>
        <w:b/>
        <w:bCs/>
      </w:rPr>
      <w:tblPr/>
      <w:tcPr>
        <w:tcBorders>
          <w:top w:val="single" w:sz="8" w:space="0" w:color="66BC29" w:themeColor="accent4"/>
          <w:left w:val="nil"/>
          <w:bottom w:val="single" w:sz="8" w:space="0" w:color="66BC2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2C5" w:themeFill="accent4" w:themeFillTint="3F"/>
      </w:tcPr>
    </w:tblStylePr>
    <w:tblStylePr w:type="band1Horz">
      <w:tblPr/>
      <w:tcPr>
        <w:tcBorders>
          <w:left w:val="nil"/>
          <w:right w:val="nil"/>
          <w:insideH w:val="nil"/>
          <w:insideV w:val="nil"/>
        </w:tcBorders>
        <w:shd w:val="clear" w:color="auto" w:fill="D8F2C5" w:themeFill="accent4" w:themeFillTint="3F"/>
      </w:tcPr>
    </w:tblStylePr>
  </w:style>
  <w:style w:type="table" w:styleId="Umbriredeculoaredeschis-Accentuare5">
    <w:name w:val="Light Shading Accent 5"/>
    <w:basedOn w:val="TabelNormal"/>
    <w:uiPriority w:val="60"/>
    <w:rsid w:val="00670354"/>
    <w:pPr>
      <w:spacing w:after="0" w:line="240" w:lineRule="auto"/>
    </w:pPr>
    <w:rPr>
      <w:color w:val="801D7D" w:themeColor="accent5" w:themeShade="BF"/>
    </w:rPr>
    <w:tblPr>
      <w:tblStyleRowBandSize w:val="1"/>
      <w:tblStyleColBandSize w:val="1"/>
      <w:tblBorders>
        <w:top w:val="single" w:sz="8" w:space="0" w:color="AC27A8" w:themeColor="accent5"/>
        <w:bottom w:val="single" w:sz="8" w:space="0" w:color="AC27A8" w:themeColor="accent5"/>
      </w:tblBorders>
    </w:tblPr>
    <w:tblStylePr w:type="firstRow">
      <w:pPr>
        <w:spacing w:before="0" w:after="0" w:line="240" w:lineRule="auto"/>
      </w:pPr>
      <w:rPr>
        <w:b/>
        <w:bCs/>
      </w:rPr>
      <w:tblPr/>
      <w:tcPr>
        <w:tcBorders>
          <w:top w:val="single" w:sz="8" w:space="0" w:color="AC27A8" w:themeColor="accent5"/>
          <w:left w:val="nil"/>
          <w:bottom w:val="single" w:sz="8" w:space="0" w:color="AC27A8" w:themeColor="accent5"/>
          <w:right w:val="nil"/>
          <w:insideH w:val="nil"/>
          <w:insideV w:val="nil"/>
        </w:tcBorders>
      </w:tcPr>
    </w:tblStylePr>
    <w:tblStylePr w:type="lastRow">
      <w:pPr>
        <w:spacing w:before="0" w:after="0" w:line="240" w:lineRule="auto"/>
      </w:pPr>
      <w:rPr>
        <w:b/>
        <w:bCs/>
      </w:rPr>
      <w:tblPr/>
      <w:tcPr>
        <w:tcBorders>
          <w:top w:val="single" w:sz="8" w:space="0" w:color="AC27A8" w:themeColor="accent5"/>
          <w:left w:val="nil"/>
          <w:bottom w:val="single" w:sz="8" w:space="0" w:color="AC27A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2EF" w:themeFill="accent5" w:themeFillTint="3F"/>
      </w:tcPr>
    </w:tblStylePr>
    <w:tblStylePr w:type="band1Horz">
      <w:tblPr/>
      <w:tcPr>
        <w:tcBorders>
          <w:left w:val="nil"/>
          <w:right w:val="nil"/>
          <w:insideH w:val="nil"/>
          <w:insideV w:val="nil"/>
        </w:tcBorders>
        <w:shd w:val="clear" w:color="auto" w:fill="F1C2EF" w:themeFill="accent5" w:themeFillTint="3F"/>
      </w:tcPr>
    </w:tblStylePr>
  </w:style>
  <w:style w:type="table" w:customStyle="1" w:styleId="LightShading-Accent11">
    <w:name w:val="Light Shading - Accent 11"/>
    <w:basedOn w:val="TabelNormal"/>
    <w:uiPriority w:val="60"/>
    <w:rsid w:val="00670354"/>
    <w:pPr>
      <w:spacing w:after="0" w:line="240" w:lineRule="auto"/>
    </w:pPr>
    <w:rPr>
      <w:color w:val="008480" w:themeColor="accent1" w:themeShade="BF"/>
    </w:rPr>
    <w:tblPr>
      <w:tblStyleRowBandSize w:val="1"/>
      <w:tblStyleColBandSize w:val="1"/>
      <w:tblBorders>
        <w:top w:val="single" w:sz="8" w:space="0" w:color="00B1AC" w:themeColor="accent1"/>
        <w:bottom w:val="single" w:sz="8" w:space="0" w:color="00B1AC" w:themeColor="accent1"/>
      </w:tblBorders>
    </w:tblPr>
    <w:tblStylePr w:type="firstRow">
      <w:pPr>
        <w:spacing w:before="0" w:after="0" w:line="240" w:lineRule="auto"/>
      </w:pPr>
      <w:rPr>
        <w:b/>
        <w:bCs/>
      </w:rPr>
      <w:tblPr/>
      <w:tcPr>
        <w:tcBorders>
          <w:top w:val="single" w:sz="8" w:space="0" w:color="00B1AC" w:themeColor="accent1"/>
          <w:left w:val="nil"/>
          <w:bottom w:val="single" w:sz="8" w:space="0" w:color="00B1AC" w:themeColor="accent1"/>
          <w:right w:val="nil"/>
          <w:insideH w:val="nil"/>
          <w:insideV w:val="nil"/>
        </w:tcBorders>
      </w:tcPr>
    </w:tblStylePr>
    <w:tblStylePr w:type="lastRow">
      <w:pPr>
        <w:spacing w:before="0" w:after="0" w:line="240" w:lineRule="auto"/>
      </w:pPr>
      <w:rPr>
        <w:b/>
        <w:bCs/>
      </w:rPr>
      <w:tblPr/>
      <w:tcPr>
        <w:tcBorders>
          <w:top w:val="single" w:sz="8" w:space="0" w:color="00B1AC" w:themeColor="accent1"/>
          <w:left w:val="nil"/>
          <w:bottom w:val="single" w:sz="8" w:space="0" w:color="00B1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1" w:themeFillTint="3F"/>
      </w:tcPr>
    </w:tblStylePr>
    <w:tblStylePr w:type="band1Horz">
      <w:tblPr/>
      <w:tcPr>
        <w:tcBorders>
          <w:left w:val="nil"/>
          <w:right w:val="nil"/>
          <w:insideH w:val="nil"/>
          <w:insideV w:val="nil"/>
        </w:tcBorders>
        <w:shd w:val="clear" w:color="auto" w:fill="ACFFFC" w:themeFill="accent1" w:themeFillTint="3F"/>
      </w:tcPr>
    </w:tblStylePr>
  </w:style>
  <w:style w:type="table" w:customStyle="1" w:styleId="LightShading1">
    <w:name w:val="Light Shading1"/>
    <w:basedOn w:val="TabelNormal"/>
    <w:uiPriority w:val="60"/>
    <w:rsid w:val="006703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elNormal"/>
    <w:uiPriority w:val="61"/>
    <w:rsid w:val="00AC1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5">
    <w:name w:val="Light List Accent 5"/>
    <w:basedOn w:val="TabelNormal"/>
    <w:uiPriority w:val="61"/>
    <w:rsid w:val="00235B4B"/>
    <w:pPr>
      <w:spacing w:after="0" w:line="240" w:lineRule="auto"/>
    </w:pPr>
    <w:tblPr>
      <w:tblStyleRowBandSize w:val="1"/>
      <w:tblStyleColBandSize w:val="1"/>
      <w:tblBorders>
        <w:top w:val="single" w:sz="8" w:space="0" w:color="AC27A8" w:themeColor="accent5"/>
        <w:left w:val="single" w:sz="8" w:space="0" w:color="AC27A8" w:themeColor="accent5"/>
        <w:bottom w:val="single" w:sz="8" w:space="0" w:color="AC27A8" w:themeColor="accent5"/>
        <w:right w:val="single" w:sz="8" w:space="0" w:color="AC27A8" w:themeColor="accent5"/>
      </w:tblBorders>
    </w:tblPr>
    <w:tblStylePr w:type="firstRow">
      <w:pPr>
        <w:spacing w:before="0" w:after="0" w:line="240" w:lineRule="auto"/>
      </w:pPr>
      <w:rPr>
        <w:b/>
        <w:bCs/>
        <w:color w:val="FFFFFF" w:themeColor="background1"/>
      </w:rPr>
      <w:tblPr/>
      <w:tcPr>
        <w:shd w:val="clear" w:color="auto" w:fill="AC27A8" w:themeFill="accent5"/>
      </w:tcPr>
    </w:tblStylePr>
    <w:tblStylePr w:type="lastRow">
      <w:pPr>
        <w:spacing w:before="0" w:after="0" w:line="240" w:lineRule="auto"/>
      </w:pPr>
      <w:rPr>
        <w:b/>
        <w:bCs/>
      </w:rPr>
      <w:tblPr/>
      <w:tcPr>
        <w:tcBorders>
          <w:top w:val="double" w:sz="6" w:space="0" w:color="AC27A8" w:themeColor="accent5"/>
          <w:left w:val="single" w:sz="8" w:space="0" w:color="AC27A8" w:themeColor="accent5"/>
          <w:bottom w:val="single" w:sz="8" w:space="0" w:color="AC27A8" w:themeColor="accent5"/>
          <w:right w:val="single" w:sz="8" w:space="0" w:color="AC27A8" w:themeColor="accent5"/>
        </w:tcBorders>
      </w:tcPr>
    </w:tblStylePr>
    <w:tblStylePr w:type="firstCol">
      <w:rPr>
        <w:b/>
        <w:bCs/>
      </w:rPr>
    </w:tblStylePr>
    <w:tblStylePr w:type="lastCol">
      <w:rPr>
        <w:b/>
        <w:bCs/>
      </w:rPr>
    </w:tblStylePr>
    <w:tblStylePr w:type="band1Vert">
      <w:tblPr/>
      <w:tcPr>
        <w:tcBorders>
          <w:top w:val="single" w:sz="8" w:space="0" w:color="AC27A8" w:themeColor="accent5"/>
          <w:left w:val="single" w:sz="8" w:space="0" w:color="AC27A8" w:themeColor="accent5"/>
          <w:bottom w:val="single" w:sz="8" w:space="0" w:color="AC27A8" w:themeColor="accent5"/>
          <w:right w:val="single" w:sz="8" w:space="0" w:color="AC27A8" w:themeColor="accent5"/>
        </w:tcBorders>
      </w:tcPr>
    </w:tblStylePr>
    <w:tblStylePr w:type="band1Horz">
      <w:tblPr/>
      <w:tcPr>
        <w:tcBorders>
          <w:top w:val="single" w:sz="8" w:space="0" w:color="AC27A8" w:themeColor="accent5"/>
          <w:left w:val="single" w:sz="8" w:space="0" w:color="AC27A8" w:themeColor="accent5"/>
          <w:bottom w:val="single" w:sz="8" w:space="0" w:color="AC27A8" w:themeColor="accent5"/>
          <w:right w:val="single" w:sz="8" w:space="0" w:color="AC27A8" w:themeColor="accent5"/>
        </w:tcBorders>
      </w:tcPr>
    </w:tblStylePr>
  </w:style>
  <w:style w:type="table" w:styleId="Listdeculoaredeschis-Accentuare4">
    <w:name w:val="Light List Accent 4"/>
    <w:basedOn w:val="TabelNormal"/>
    <w:uiPriority w:val="61"/>
    <w:rsid w:val="00AC1122"/>
    <w:pPr>
      <w:spacing w:after="0" w:line="240" w:lineRule="auto"/>
    </w:pPr>
    <w:tblPr>
      <w:tblStyleRowBandSize w:val="1"/>
      <w:tblStyleColBandSize w:val="1"/>
      <w:tblBorders>
        <w:top w:val="single" w:sz="8" w:space="0" w:color="66BC29" w:themeColor="accent4"/>
        <w:left w:val="single" w:sz="8" w:space="0" w:color="66BC29" w:themeColor="accent4"/>
        <w:bottom w:val="single" w:sz="8" w:space="0" w:color="66BC29" w:themeColor="accent4"/>
        <w:right w:val="single" w:sz="8" w:space="0" w:color="66BC29" w:themeColor="accent4"/>
      </w:tblBorders>
    </w:tblPr>
    <w:tblStylePr w:type="firstRow">
      <w:pPr>
        <w:spacing w:before="0" w:after="0" w:line="240" w:lineRule="auto"/>
      </w:pPr>
      <w:rPr>
        <w:b/>
        <w:bCs/>
        <w:color w:val="FFFFFF" w:themeColor="background1"/>
      </w:rPr>
      <w:tblPr/>
      <w:tcPr>
        <w:shd w:val="clear" w:color="auto" w:fill="66BC29" w:themeFill="accent4"/>
      </w:tcPr>
    </w:tblStylePr>
    <w:tblStylePr w:type="lastRow">
      <w:pPr>
        <w:spacing w:before="0" w:after="0" w:line="240" w:lineRule="auto"/>
      </w:pPr>
      <w:rPr>
        <w:b/>
        <w:bCs/>
      </w:rPr>
      <w:tblPr/>
      <w:tcPr>
        <w:tcBorders>
          <w:top w:val="double" w:sz="6" w:space="0" w:color="66BC29" w:themeColor="accent4"/>
          <w:left w:val="single" w:sz="8" w:space="0" w:color="66BC29" w:themeColor="accent4"/>
          <w:bottom w:val="single" w:sz="8" w:space="0" w:color="66BC29" w:themeColor="accent4"/>
          <w:right w:val="single" w:sz="8" w:space="0" w:color="66BC29" w:themeColor="accent4"/>
        </w:tcBorders>
      </w:tcPr>
    </w:tblStylePr>
    <w:tblStylePr w:type="firstCol">
      <w:rPr>
        <w:b/>
        <w:bCs/>
      </w:rPr>
    </w:tblStylePr>
    <w:tblStylePr w:type="lastCol">
      <w:rPr>
        <w:b/>
        <w:bCs/>
      </w:rPr>
    </w:tblStylePr>
    <w:tblStylePr w:type="band1Vert">
      <w:tblPr/>
      <w:tcPr>
        <w:tcBorders>
          <w:top w:val="single" w:sz="8" w:space="0" w:color="66BC29" w:themeColor="accent4"/>
          <w:left w:val="single" w:sz="8" w:space="0" w:color="66BC29" w:themeColor="accent4"/>
          <w:bottom w:val="single" w:sz="8" w:space="0" w:color="66BC29" w:themeColor="accent4"/>
          <w:right w:val="single" w:sz="8" w:space="0" w:color="66BC29" w:themeColor="accent4"/>
        </w:tcBorders>
      </w:tcPr>
    </w:tblStylePr>
    <w:tblStylePr w:type="band1Horz">
      <w:tblPr/>
      <w:tcPr>
        <w:tcBorders>
          <w:top w:val="single" w:sz="8" w:space="0" w:color="66BC29" w:themeColor="accent4"/>
          <w:left w:val="single" w:sz="8" w:space="0" w:color="66BC29" w:themeColor="accent4"/>
          <w:bottom w:val="single" w:sz="8" w:space="0" w:color="66BC29" w:themeColor="accent4"/>
          <w:right w:val="single" w:sz="8" w:space="0" w:color="66BC29" w:themeColor="accent4"/>
        </w:tcBorders>
      </w:tcPr>
    </w:tblStylePr>
  </w:style>
  <w:style w:type="table" w:customStyle="1" w:styleId="LightList-Accent11">
    <w:name w:val="Light List - Accent 11"/>
    <w:basedOn w:val="TabelNormal"/>
    <w:uiPriority w:val="61"/>
    <w:rsid w:val="00AC1122"/>
    <w:pPr>
      <w:spacing w:after="0" w:line="240" w:lineRule="auto"/>
    </w:pPr>
    <w:tblPr>
      <w:tblStyleRowBandSize w:val="1"/>
      <w:tblStyleColBandSize w:val="1"/>
      <w:tblBorders>
        <w:top w:val="single" w:sz="8" w:space="0" w:color="00B1AC" w:themeColor="accent1"/>
        <w:left w:val="single" w:sz="8" w:space="0" w:color="00B1AC" w:themeColor="accent1"/>
        <w:bottom w:val="single" w:sz="8" w:space="0" w:color="00B1AC" w:themeColor="accent1"/>
        <w:right w:val="single" w:sz="8" w:space="0" w:color="00B1AC" w:themeColor="accent1"/>
      </w:tblBorders>
    </w:tblPr>
    <w:tblStylePr w:type="firstRow">
      <w:pPr>
        <w:spacing w:before="0" w:after="0" w:line="240" w:lineRule="auto"/>
      </w:pPr>
      <w:rPr>
        <w:b/>
        <w:bCs/>
        <w:color w:val="FFFFFF" w:themeColor="background1"/>
      </w:rPr>
      <w:tblPr/>
      <w:tcPr>
        <w:shd w:val="clear" w:color="auto" w:fill="00B1AC" w:themeFill="accent1"/>
      </w:tcPr>
    </w:tblStylePr>
    <w:tblStylePr w:type="lastRow">
      <w:pPr>
        <w:spacing w:before="0" w:after="0" w:line="240" w:lineRule="auto"/>
      </w:pPr>
      <w:rPr>
        <w:b/>
        <w:bCs/>
      </w:rPr>
      <w:tblPr/>
      <w:tcPr>
        <w:tcBorders>
          <w:top w:val="double" w:sz="6" w:space="0" w:color="00B1AC" w:themeColor="accent1"/>
          <w:left w:val="single" w:sz="8" w:space="0" w:color="00B1AC" w:themeColor="accent1"/>
          <w:bottom w:val="single" w:sz="8" w:space="0" w:color="00B1AC" w:themeColor="accent1"/>
          <w:right w:val="single" w:sz="8" w:space="0" w:color="00B1AC" w:themeColor="accent1"/>
        </w:tcBorders>
      </w:tcPr>
    </w:tblStylePr>
    <w:tblStylePr w:type="firstCol">
      <w:rPr>
        <w:b/>
        <w:bCs/>
      </w:rPr>
    </w:tblStylePr>
    <w:tblStylePr w:type="lastCol">
      <w:rPr>
        <w:b/>
        <w:bCs/>
      </w:rPr>
    </w:tblStylePr>
    <w:tblStylePr w:type="band1Vert">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tblStylePr w:type="band1Horz">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style>
  <w:style w:type="table" w:styleId="Listdeculoaredeschis-Accentuare2">
    <w:name w:val="Light List Accent 2"/>
    <w:basedOn w:val="TabelNormal"/>
    <w:uiPriority w:val="61"/>
    <w:rsid w:val="008F53C6"/>
    <w:pPr>
      <w:spacing w:after="0" w:line="240" w:lineRule="auto"/>
    </w:pPr>
    <w:tblPr>
      <w:tblStyleRowBandSize w:val="1"/>
      <w:tblStyleColBandSize w:val="1"/>
      <w:tblBorders>
        <w:top w:val="single" w:sz="8" w:space="0" w:color="0039A6" w:themeColor="accent2"/>
        <w:left w:val="single" w:sz="8" w:space="0" w:color="0039A6" w:themeColor="accent2"/>
        <w:bottom w:val="single" w:sz="8" w:space="0" w:color="0039A6" w:themeColor="accent2"/>
        <w:right w:val="single" w:sz="8" w:space="0" w:color="0039A6" w:themeColor="accent2"/>
      </w:tblBorders>
    </w:tblPr>
    <w:tblStylePr w:type="firstRow">
      <w:pPr>
        <w:spacing w:before="0" w:after="0" w:line="240" w:lineRule="auto"/>
      </w:pPr>
      <w:rPr>
        <w:b/>
        <w:bCs/>
        <w:color w:val="FFFFFF" w:themeColor="background1"/>
      </w:rPr>
      <w:tblPr/>
      <w:tcPr>
        <w:shd w:val="clear" w:color="auto" w:fill="0039A6" w:themeFill="accent2"/>
      </w:tcPr>
    </w:tblStylePr>
    <w:tblStylePr w:type="lastRow">
      <w:pPr>
        <w:spacing w:before="0" w:after="0" w:line="240" w:lineRule="auto"/>
      </w:pPr>
      <w:rPr>
        <w:b/>
        <w:bCs/>
      </w:rPr>
      <w:tblPr/>
      <w:tcPr>
        <w:tcBorders>
          <w:top w:val="double" w:sz="6" w:space="0" w:color="0039A6" w:themeColor="accent2"/>
          <w:left w:val="single" w:sz="8" w:space="0" w:color="0039A6" w:themeColor="accent2"/>
          <w:bottom w:val="single" w:sz="8" w:space="0" w:color="0039A6" w:themeColor="accent2"/>
          <w:right w:val="single" w:sz="8" w:space="0" w:color="0039A6" w:themeColor="accent2"/>
        </w:tcBorders>
      </w:tcPr>
    </w:tblStylePr>
    <w:tblStylePr w:type="firstCol">
      <w:rPr>
        <w:b/>
        <w:bCs/>
      </w:rPr>
    </w:tblStylePr>
    <w:tblStylePr w:type="lastCol">
      <w:rPr>
        <w:b/>
        <w:bCs/>
      </w:rPr>
    </w:tblStylePr>
    <w:tblStylePr w:type="band1Vert">
      <w:tblPr/>
      <w:tcPr>
        <w:tcBorders>
          <w:top w:val="single" w:sz="8" w:space="0" w:color="0039A6" w:themeColor="accent2"/>
          <w:left w:val="single" w:sz="8" w:space="0" w:color="0039A6" w:themeColor="accent2"/>
          <w:bottom w:val="single" w:sz="8" w:space="0" w:color="0039A6" w:themeColor="accent2"/>
          <w:right w:val="single" w:sz="8" w:space="0" w:color="0039A6" w:themeColor="accent2"/>
        </w:tcBorders>
      </w:tcPr>
    </w:tblStylePr>
    <w:tblStylePr w:type="band1Horz">
      <w:tblPr/>
      <w:tcPr>
        <w:tcBorders>
          <w:top w:val="single" w:sz="8" w:space="0" w:color="0039A6" w:themeColor="accent2"/>
          <w:left w:val="single" w:sz="8" w:space="0" w:color="0039A6" w:themeColor="accent2"/>
          <w:bottom w:val="single" w:sz="8" w:space="0" w:color="0039A6" w:themeColor="accent2"/>
          <w:right w:val="single" w:sz="8" w:space="0" w:color="0039A6" w:themeColor="accent2"/>
        </w:tcBorders>
      </w:tcPr>
    </w:tblStylePr>
  </w:style>
  <w:style w:type="table" w:styleId="Grilmedie2-Accentuare1">
    <w:name w:val="Medium Grid 2 Accent 1"/>
    <w:basedOn w:val="TabelNormal"/>
    <w:uiPriority w:val="68"/>
    <w:rsid w:val="008F53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1AC" w:themeColor="accent1"/>
        <w:left w:val="single" w:sz="8" w:space="0" w:color="00B1AC" w:themeColor="accent1"/>
        <w:bottom w:val="single" w:sz="8" w:space="0" w:color="00B1AC" w:themeColor="accent1"/>
        <w:right w:val="single" w:sz="8" w:space="0" w:color="00B1AC" w:themeColor="accent1"/>
        <w:insideH w:val="single" w:sz="8" w:space="0" w:color="00B1AC" w:themeColor="accent1"/>
        <w:insideV w:val="single" w:sz="8" w:space="0" w:color="00B1AC" w:themeColor="accent1"/>
      </w:tblBorders>
    </w:tblPr>
    <w:tcPr>
      <w:shd w:val="clear" w:color="auto" w:fill="ACFFFC" w:themeFill="accent1" w:themeFillTint="3F"/>
    </w:tcPr>
    <w:tblStylePr w:type="firstRow">
      <w:rPr>
        <w:b/>
        <w:bCs/>
        <w:color w:val="000000" w:themeColor="text1"/>
      </w:rPr>
      <w:tblPr/>
      <w:tcPr>
        <w:shd w:val="clear" w:color="auto" w:fill="DEFF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FC" w:themeFill="accent1" w:themeFillTint="33"/>
      </w:tcPr>
    </w:tblStylePr>
    <w:tblStylePr w:type="band1Vert">
      <w:tblPr/>
      <w:tcPr>
        <w:shd w:val="clear" w:color="auto" w:fill="59FFF9" w:themeFill="accent1" w:themeFillTint="7F"/>
      </w:tcPr>
    </w:tblStylePr>
    <w:tblStylePr w:type="band1Horz">
      <w:tblPr/>
      <w:tcPr>
        <w:tcBorders>
          <w:insideH w:val="single" w:sz="6" w:space="0" w:color="00B1AC" w:themeColor="accent1"/>
          <w:insideV w:val="single" w:sz="6" w:space="0" w:color="00B1AC" w:themeColor="accent1"/>
        </w:tcBorders>
        <w:shd w:val="clear" w:color="auto" w:fill="59FFF9" w:themeFill="accent1" w:themeFillTint="7F"/>
      </w:tcPr>
    </w:tblStylePr>
    <w:tblStylePr w:type="nwCell">
      <w:tblPr/>
      <w:tcPr>
        <w:shd w:val="clear" w:color="auto" w:fill="FFFFFF" w:themeFill="background1"/>
      </w:tcPr>
    </w:tblStylePr>
  </w:style>
  <w:style w:type="paragraph" w:styleId="Textbloc">
    <w:name w:val="Block Text"/>
    <w:basedOn w:val="Normal"/>
    <w:uiPriority w:val="99"/>
    <w:unhideWhenUsed/>
    <w:rsid w:val="005560E8"/>
    <w:pPr>
      <w:keepLines/>
      <w:pBdr>
        <w:top w:val="single" w:sz="2" w:space="10" w:color="00B1AC" w:themeColor="accent1"/>
        <w:left w:val="single" w:sz="2" w:space="10" w:color="00B1AC" w:themeColor="accent1"/>
        <w:bottom w:val="single" w:sz="2" w:space="10" w:color="00B1AC" w:themeColor="accent1"/>
        <w:right w:val="single" w:sz="2" w:space="10" w:color="00B1AC" w:themeColor="accent1"/>
      </w:pBdr>
      <w:ind w:left="1151" w:right="1151"/>
    </w:pPr>
    <w:rPr>
      <w:rFonts w:eastAsiaTheme="minorEastAsia" w:cstheme="minorBidi"/>
      <w:i/>
      <w:iCs/>
      <w:color w:val="00B1AC" w:themeColor="accent1"/>
    </w:rPr>
  </w:style>
  <w:style w:type="table" w:customStyle="1" w:styleId="ColorfulList1">
    <w:name w:val="Colorful List1"/>
    <w:basedOn w:val="TabelNormal"/>
    <w:uiPriority w:val="72"/>
    <w:rsid w:val="008F53C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D84" w:themeFill="accent2" w:themeFillShade="CC"/>
      </w:tcPr>
    </w:tblStylePr>
    <w:tblStylePr w:type="lastRow">
      <w:rPr>
        <w:b/>
        <w:bCs/>
        <w:color w:val="002D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Semnturnpotaelectronic">
    <w:name w:val="E-mail Signature"/>
    <w:basedOn w:val="Normal"/>
    <w:link w:val="SemnturnpotaelectronicCaracter"/>
    <w:uiPriority w:val="99"/>
    <w:unhideWhenUsed/>
    <w:rsid w:val="00406241"/>
    <w:pPr>
      <w:spacing w:after="0" w:line="240" w:lineRule="auto"/>
    </w:pPr>
  </w:style>
  <w:style w:type="character" w:customStyle="1" w:styleId="SemnturnpotaelectronicCaracter">
    <w:name w:val="Semnătură în poșta electronică Caracter"/>
    <w:basedOn w:val="Fontdeparagrafimplicit"/>
    <w:link w:val="Semnturnpotaelectronic"/>
    <w:uiPriority w:val="99"/>
    <w:rsid w:val="00406241"/>
    <w:rPr>
      <w:rFonts w:asciiTheme="minorHAnsi" w:hAnsiTheme="minorHAnsi"/>
      <w:sz w:val="20"/>
      <w:szCs w:val="20"/>
    </w:rPr>
  </w:style>
  <w:style w:type="paragraph" w:styleId="Textnotdefinal">
    <w:name w:val="endnote text"/>
    <w:basedOn w:val="Normal"/>
    <w:link w:val="TextnotdefinalCaracter"/>
    <w:uiPriority w:val="99"/>
    <w:unhideWhenUsed/>
    <w:rsid w:val="00406241"/>
    <w:pPr>
      <w:spacing w:after="0" w:line="240" w:lineRule="auto"/>
    </w:pPr>
  </w:style>
  <w:style w:type="character" w:customStyle="1" w:styleId="TextnotdefinalCaracter">
    <w:name w:val="Text notă de final Caracter"/>
    <w:basedOn w:val="Fontdeparagrafimplicit"/>
    <w:link w:val="Textnotdefinal"/>
    <w:uiPriority w:val="99"/>
    <w:rsid w:val="00406241"/>
    <w:rPr>
      <w:rFonts w:asciiTheme="minorHAnsi" w:hAnsiTheme="minorHAnsi"/>
      <w:sz w:val="20"/>
      <w:szCs w:val="20"/>
    </w:rPr>
  </w:style>
  <w:style w:type="character" w:styleId="Referinnotdefinal">
    <w:name w:val="endnote reference"/>
    <w:basedOn w:val="Fontdeparagrafimplicit"/>
    <w:uiPriority w:val="99"/>
    <w:unhideWhenUsed/>
    <w:rsid w:val="00406241"/>
    <w:rPr>
      <w:vertAlign w:val="superscript"/>
    </w:rPr>
  </w:style>
  <w:style w:type="paragraph" w:styleId="Titlunot">
    <w:name w:val="Note Heading"/>
    <w:basedOn w:val="Normal"/>
    <w:next w:val="Normal"/>
    <w:link w:val="TitlunotCaracter"/>
    <w:uiPriority w:val="99"/>
    <w:unhideWhenUsed/>
    <w:rsid w:val="00406241"/>
    <w:pPr>
      <w:spacing w:after="0" w:line="240" w:lineRule="auto"/>
    </w:pPr>
  </w:style>
  <w:style w:type="character" w:customStyle="1" w:styleId="TitlunotCaracter">
    <w:name w:val="Titlu notă Caracter"/>
    <w:basedOn w:val="Fontdeparagrafimplicit"/>
    <w:link w:val="Titlunot"/>
    <w:uiPriority w:val="99"/>
    <w:rsid w:val="00406241"/>
    <w:rPr>
      <w:rFonts w:asciiTheme="minorHAnsi" w:hAnsiTheme="minorHAnsi"/>
      <w:sz w:val="20"/>
      <w:szCs w:val="20"/>
    </w:rPr>
  </w:style>
  <w:style w:type="paragraph" w:styleId="Textnotdesubsol">
    <w:name w:val="footnote text"/>
    <w:basedOn w:val="Normal"/>
    <w:link w:val="TextnotdesubsolCaracter"/>
    <w:uiPriority w:val="99"/>
    <w:unhideWhenUsed/>
    <w:rsid w:val="00406241"/>
    <w:pPr>
      <w:spacing w:after="0" w:line="240" w:lineRule="auto"/>
    </w:pPr>
  </w:style>
  <w:style w:type="character" w:customStyle="1" w:styleId="TextnotdesubsolCaracter">
    <w:name w:val="Text notă de subsol Caracter"/>
    <w:basedOn w:val="Fontdeparagrafimplicit"/>
    <w:link w:val="Textnotdesubsol"/>
    <w:uiPriority w:val="99"/>
    <w:rsid w:val="00406241"/>
    <w:rPr>
      <w:rFonts w:asciiTheme="minorHAnsi" w:hAnsiTheme="minorHAnsi"/>
      <w:sz w:val="20"/>
      <w:szCs w:val="20"/>
    </w:rPr>
  </w:style>
  <w:style w:type="character" w:styleId="Referinnotdesubsol">
    <w:name w:val="footnote reference"/>
    <w:aliases w:val="SUPERS,BVI fnr,Footnote symbol,Footnote,Footnote Reference Superscript,(Footnote Reference),Footnote reference number,note TESI,EN Footnote Reference,Voetnootverwijzing,Times 10 Point,Exposant 3 Point,Appel note de bas de,No"/>
    <w:basedOn w:val="Fontdeparagrafimplicit"/>
    <w:uiPriority w:val="99"/>
    <w:unhideWhenUsed/>
    <w:rsid w:val="00406241"/>
    <w:rPr>
      <w:vertAlign w:val="superscript"/>
    </w:rPr>
  </w:style>
  <w:style w:type="paragraph" w:styleId="Subsol">
    <w:name w:val="footer"/>
    <w:basedOn w:val="Normal"/>
    <w:link w:val="SubsolCaracter"/>
    <w:unhideWhenUsed/>
    <w:qFormat/>
    <w:rsid w:val="00B94909"/>
    <w:pPr>
      <w:tabs>
        <w:tab w:val="center" w:pos="4536"/>
        <w:tab w:val="right" w:pos="9072"/>
      </w:tabs>
      <w:spacing w:after="0" w:line="240" w:lineRule="auto"/>
    </w:pPr>
    <w:rPr>
      <w:rFonts w:asciiTheme="majorHAnsi" w:hAnsiTheme="majorHAnsi"/>
      <w:sz w:val="16"/>
    </w:rPr>
  </w:style>
  <w:style w:type="character" w:customStyle="1" w:styleId="SubsolCaracter">
    <w:name w:val="Subsol Caracter"/>
    <w:basedOn w:val="Fontdeparagrafimplicit"/>
    <w:link w:val="Subsol"/>
    <w:rsid w:val="00B94909"/>
    <w:rPr>
      <w:rFonts w:asciiTheme="majorHAnsi" w:hAnsiTheme="majorHAnsi"/>
      <w:sz w:val="16"/>
      <w:szCs w:val="20"/>
    </w:rPr>
  </w:style>
  <w:style w:type="paragraph" w:styleId="Formuledencheiere">
    <w:name w:val="Closing"/>
    <w:basedOn w:val="Normal"/>
    <w:link w:val="FormuledencheiereCaracter"/>
    <w:uiPriority w:val="99"/>
    <w:unhideWhenUsed/>
    <w:rsid w:val="00406241"/>
    <w:pPr>
      <w:spacing w:after="0" w:line="240" w:lineRule="auto"/>
      <w:ind w:left="4252"/>
    </w:pPr>
  </w:style>
  <w:style w:type="character" w:customStyle="1" w:styleId="FormuledencheiereCaracter">
    <w:name w:val="Formule de încheiere Caracter"/>
    <w:basedOn w:val="Fontdeparagrafimplicit"/>
    <w:link w:val="Formuledencheiere"/>
    <w:uiPriority w:val="99"/>
    <w:rsid w:val="00406241"/>
    <w:rPr>
      <w:rFonts w:asciiTheme="minorHAnsi" w:hAnsiTheme="minorHAnsi"/>
      <w:sz w:val="20"/>
      <w:szCs w:val="20"/>
    </w:rPr>
  </w:style>
  <w:style w:type="paragraph" w:styleId="AdresHTML">
    <w:name w:val="HTML Address"/>
    <w:basedOn w:val="Normal"/>
    <w:link w:val="AdresHTMLCaracter"/>
    <w:uiPriority w:val="99"/>
    <w:unhideWhenUsed/>
    <w:rsid w:val="00406241"/>
    <w:pPr>
      <w:spacing w:after="0" w:line="240" w:lineRule="auto"/>
    </w:pPr>
    <w:rPr>
      <w:i/>
      <w:iCs/>
    </w:rPr>
  </w:style>
  <w:style w:type="character" w:customStyle="1" w:styleId="AdresHTMLCaracter">
    <w:name w:val="Adresă HTML Caracter"/>
    <w:basedOn w:val="Fontdeparagrafimplicit"/>
    <w:link w:val="AdresHTML"/>
    <w:uiPriority w:val="99"/>
    <w:rsid w:val="00406241"/>
    <w:rPr>
      <w:rFonts w:asciiTheme="minorHAnsi" w:hAnsiTheme="minorHAnsi"/>
      <w:i/>
      <w:iCs/>
      <w:sz w:val="20"/>
      <w:szCs w:val="20"/>
    </w:rPr>
  </w:style>
  <w:style w:type="character" w:styleId="AcronimHTML">
    <w:name w:val="HTML Acronym"/>
    <w:basedOn w:val="Fontdeparagrafimplicit"/>
    <w:uiPriority w:val="99"/>
    <w:unhideWhenUsed/>
    <w:rsid w:val="00406241"/>
  </w:style>
  <w:style w:type="character" w:styleId="MostrHTML">
    <w:name w:val="HTML Sample"/>
    <w:basedOn w:val="Fontdeparagrafimplicit"/>
    <w:uiPriority w:val="99"/>
    <w:unhideWhenUsed/>
    <w:rsid w:val="00406241"/>
    <w:rPr>
      <w:rFonts w:ascii="Consolas" w:hAnsi="Consolas" w:cs="Consolas"/>
      <w:sz w:val="24"/>
      <w:szCs w:val="24"/>
    </w:rPr>
  </w:style>
  <w:style w:type="paragraph" w:styleId="Dat">
    <w:name w:val="Date"/>
    <w:basedOn w:val="Normal"/>
    <w:next w:val="Normal"/>
    <w:link w:val="DatCaracter"/>
    <w:uiPriority w:val="99"/>
    <w:unhideWhenUsed/>
    <w:rsid w:val="00406241"/>
  </w:style>
  <w:style w:type="character" w:customStyle="1" w:styleId="DatCaracter">
    <w:name w:val="Dată Caracter"/>
    <w:basedOn w:val="Fontdeparagrafimplicit"/>
    <w:link w:val="Dat"/>
    <w:uiPriority w:val="99"/>
    <w:rsid w:val="00406241"/>
    <w:rPr>
      <w:rFonts w:asciiTheme="minorHAnsi" w:hAnsiTheme="minorHAnsi"/>
      <w:sz w:val="20"/>
      <w:szCs w:val="20"/>
    </w:rPr>
  </w:style>
  <w:style w:type="paragraph" w:styleId="Antet">
    <w:name w:val="header"/>
    <w:basedOn w:val="Normal"/>
    <w:link w:val="AntetCaracter"/>
    <w:unhideWhenUsed/>
    <w:rsid w:val="00637143"/>
    <w:pPr>
      <w:tabs>
        <w:tab w:val="center" w:pos="4536"/>
        <w:tab w:val="right" w:pos="9072"/>
      </w:tabs>
      <w:spacing w:after="0" w:line="240" w:lineRule="auto"/>
    </w:pPr>
  </w:style>
  <w:style w:type="character" w:customStyle="1" w:styleId="AntetCaracter">
    <w:name w:val="Antet Caracter"/>
    <w:basedOn w:val="Fontdeparagrafimplicit"/>
    <w:link w:val="Antet"/>
    <w:rsid w:val="00637143"/>
    <w:rPr>
      <w:rFonts w:asciiTheme="minorHAnsi" w:hAnsiTheme="minorHAnsi"/>
      <w:sz w:val="20"/>
      <w:szCs w:val="20"/>
    </w:rPr>
  </w:style>
  <w:style w:type="table" w:customStyle="1" w:styleId="Empty">
    <w:name w:val="Empty"/>
    <w:basedOn w:val="TabelNormal"/>
    <w:uiPriority w:val="99"/>
    <w:rsid w:val="00634C65"/>
    <w:pPr>
      <w:spacing w:after="0" w:line="240" w:lineRule="auto"/>
    </w:pPr>
    <w:tblPr>
      <w:tblCellMar>
        <w:left w:w="0" w:type="dxa"/>
        <w:right w:w="0" w:type="dxa"/>
      </w:tblCellMar>
    </w:tblPr>
  </w:style>
  <w:style w:type="character" w:styleId="Numrdepagin">
    <w:name w:val="page number"/>
    <w:basedOn w:val="Fontdeparagrafimplicit"/>
    <w:unhideWhenUsed/>
    <w:rsid w:val="0073429E"/>
  </w:style>
  <w:style w:type="character" w:styleId="Textsubstituent">
    <w:name w:val="Placeholder Text"/>
    <w:basedOn w:val="Fontdeparagrafimplicit"/>
    <w:uiPriority w:val="99"/>
    <w:rsid w:val="00D07AF0"/>
    <w:rPr>
      <w:color w:val="808080"/>
    </w:rPr>
  </w:style>
  <w:style w:type="table" w:styleId="GrilTabel">
    <w:name w:val="Table Grid"/>
    <w:basedOn w:val="TabelNormal"/>
    <w:uiPriority w:val="59"/>
    <w:rsid w:val="00FF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EE15BC"/>
    <w:pPr>
      <w:ind w:left="283" w:hanging="283"/>
      <w:contextualSpacing/>
    </w:pPr>
  </w:style>
  <w:style w:type="paragraph" w:styleId="Lista2">
    <w:name w:val="List 2"/>
    <w:basedOn w:val="Normal"/>
    <w:uiPriority w:val="99"/>
    <w:unhideWhenUsed/>
    <w:rsid w:val="00EE15BC"/>
    <w:pPr>
      <w:ind w:left="566" w:hanging="283"/>
      <w:contextualSpacing/>
    </w:pPr>
  </w:style>
  <w:style w:type="paragraph" w:styleId="Lista3">
    <w:name w:val="List 3"/>
    <w:basedOn w:val="Normal"/>
    <w:uiPriority w:val="99"/>
    <w:unhideWhenUsed/>
    <w:rsid w:val="00EE15BC"/>
    <w:pPr>
      <w:ind w:left="849" w:hanging="283"/>
      <w:contextualSpacing/>
    </w:pPr>
  </w:style>
  <w:style w:type="paragraph" w:styleId="Lista4">
    <w:name w:val="List 4"/>
    <w:basedOn w:val="Normal"/>
    <w:uiPriority w:val="99"/>
    <w:unhideWhenUsed/>
    <w:rsid w:val="00EE15BC"/>
    <w:pPr>
      <w:ind w:left="1132" w:hanging="283"/>
      <w:contextualSpacing/>
    </w:pPr>
  </w:style>
  <w:style w:type="paragraph" w:styleId="Lista5">
    <w:name w:val="List 5"/>
    <w:basedOn w:val="Normal"/>
    <w:unhideWhenUsed/>
    <w:rsid w:val="00EE15BC"/>
    <w:pPr>
      <w:ind w:left="1415" w:hanging="283"/>
      <w:contextualSpacing/>
    </w:pPr>
  </w:style>
  <w:style w:type="paragraph" w:styleId="Listcontinuare">
    <w:name w:val="List Continue"/>
    <w:basedOn w:val="Normal"/>
    <w:uiPriority w:val="99"/>
    <w:unhideWhenUsed/>
    <w:rsid w:val="00E30DED"/>
    <w:pPr>
      <w:spacing w:after="120"/>
      <w:ind w:left="283"/>
      <w:contextualSpacing/>
    </w:pPr>
  </w:style>
  <w:style w:type="paragraph" w:styleId="Listcontinuare2">
    <w:name w:val="List Continue 2"/>
    <w:basedOn w:val="Normal"/>
    <w:uiPriority w:val="99"/>
    <w:unhideWhenUsed/>
    <w:rsid w:val="00E30DED"/>
    <w:pPr>
      <w:spacing w:after="120"/>
      <w:ind w:left="566"/>
      <w:contextualSpacing/>
    </w:pPr>
  </w:style>
  <w:style w:type="paragraph" w:styleId="Listcontinuare3">
    <w:name w:val="List Continue 3"/>
    <w:basedOn w:val="Normal"/>
    <w:uiPriority w:val="99"/>
    <w:unhideWhenUsed/>
    <w:rsid w:val="00E30DED"/>
    <w:pPr>
      <w:spacing w:after="120"/>
      <w:ind w:left="849"/>
      <w:contextualSpacing/>
    </w:pPr>
  </w:style>
  <w:style w:type="paragraph" w:styleId="Index1">
    <w:name w:val="index 1"/>
    <w:basedOn w:val="Normal"/>
    <w:next w:val="Normal"/>
    <w:autoRedefine/>
    <w:uiPriority w:val="99"/>
    <w:unhideWhenUsed/>
    <w:rsid w:val="00E30DED"/>
    <w:pPr>
      <w:spacing w:after="0" w:line="240" w:lineRule="auto"/>
      <w:ind w:left="200" w:hanging="200"/>
    </w:pPr>
  </w:style>
  <w:style w:type="paragraph" w:styleId="Index2">
    <w:name w:val="index 2"/>
    <w:basedOn w:val="Normal"/>
    <w:next w:val="Normal"/>
    <w:autoRedefine/>
    <w:uiPriority w:val="99"/>
    <w:unhideWhenUsed/>
    <w:rsid w:val="00E30DED"/>
    <w:pPr>
      <w:spacing w:after="0" w:line="240" w:lineRule="auto"/>
      <w:ind w:left="400" w:hanging="200"/>
    </w:pPr>
  </w:style>
  <w:style w:type="paragraph" w:styleId="Indentcorptext">
    <w:name w:val="Body Text Indent"/>
    <w:basedOn w:val="Normal"/>
    <w:link w:val="IndentcorptextCaracter"/>
    <w:uiPriority w:val="99"/>
    <w:semiHidden/>
    <w:unhideWhenUsed/>
    <w:rsid w:val="00E30DED"/>
    <w:pPr>
      <w:spacing w:after="120"/>
      <w:ind w:left="283"/>
    </w:pPr>
  </w:style>
  <w:style w:type="character" w:customStyle="1" w:styleId="IndentcorptextCaracter">
    <w:name w:val="Indent corp text Caracter"/>
    <w:basedOn w:val="Fontdeparagrafimplicit"/>
    <w:link w:val="Indentcorptext"/>
    <w:uiPriority w:val="99"/>
    <w:semiHidden/>
    <w:rsid w:val="00E30DED"/>
    <w:rPr>
      <w:rFonts w:asciiTheme="minorHAnsi" w:hAnsiTheme="minorHAnsi"/>
      <w:sz w:val="20"/>
      <w:szCs w:val="20"/>
    </w:rPr>
  </w:style>
  <w:style w:type="paragraph" w:styleId="Primindentpentrucorptext2">
    <w:name w:val="Body Text First Indent 2"/>
    <w:basedOn w:val="Indentcorptext"/>
    <w:link w:val="Primindentpentrucorptext2Caracter"/>
    <w:uiPriority w:val="99"/>
    <w:unhideWhenUsed/>
    <w:rsid w:val="00E30DED"/>
    <w:pPr>
      <w:spacing w:after="200"/>
      <w:ind w:left="360" w:firstLine="360"/>
    </w:pPr>
  </w:style>
  <w:style w:type="character" w:customStyle="1" w:styleId="Primindentpentrucorptext2Caracter">
    <w:name w:val="Prim indent pentru corp text 2 Caracter"/>
    <w:basedOn w:val="IndentcorptextCaracter"/>
    <w:link w:val="Primindentpentrucorptext2"/>
    <w:uiPriority w:val="99"/>
    <w:rsid w:val="00E30DED"/>
    <w:rPr>
      <w:rFonts w:asciiTheme="minorHAnsi" w:hAnsiTheme="minorHAnsi"/>
      <w:sz w:val="20"/>
      <w:szCs w:val="20"/>
    </w:rPr>
  </w:style>
  <w:style w:type="character" w:styleId="Numrdelinie">
    <w:name w:val="line number"/>
    <w:basedOn w:val="Fontdeparagrafimplicit"/>
    <w:uiPriority w:val="99"/>
    <w:unhideWhenUsed/>
    <w:rsid w:val="00E30DED"/>
  </w:style>
  <w:style w:type="paragraph" w:styleId="Listanumerotat5">
    <w:name w:val="List Number 5"/>
    <w:basedOn w:val="Normal"/>
    <w:uiPriority w:val="99"/>
    <w:unhideWhenUsed/>
    <w:rsid w:val="00A93869"/>
    <w:pPr>
      <w:numPr>
        <w:numId w:val="10"/>
      </w:numPr>
      <w:tabs>
        <w:tab w:val="clear" w:pos="1492"/>
        <w:tab w:val="num" w:pos="2127"/>
      </w:tabs>
      <w:ind w:left="2127" w:hanging="426"/>
      <w:contextualSpacing/>
    </w:pPr>
  </w:style>
  <w:style w:type="paragraph" w:styleId="Listnumerotat">
    <w:name w:val="List Number"/>
    <w:basedOn w:val="Normal"/>
    <w:uiPriority w:val="99"/>
    <w:unhideWhenUsed/>
    <w:rsid w:val="00F01D41"/>
    <w:pPr>
      <w:numPr>
        <w:numId w:val="6"/>
      </w:numPr>
      <w:contextualSpacing/>
    </w:pPr>
  </w:style>
  <w:style w:type="paragraph" w:styleId="Listanumerotat2">
    <w:name w:val="List Number 2"/>
    <w:basedOn w:val="Normal"/>
    <w:uiPriority w:val="99"/>
    <w:unhideWhenUsed/>
    <w:rsid w:val="00917233"/>
    <w:pPr>
      <w:numPr>
        <w:numId w:val="7"/>
      </w:numPr>
      <w:tabs>
        <w:tab w:val="clear" w:pos="643"/>
        <w:tab w:val="left" w:pos="851"/>
      </w:tabs>
      <w:ind w:left="851" w:hanging="425"/>
      <w:contextualSpacing/>
    </w:pPr>
  </w:style>
  <w:style w:type="paragraph" w:styleId="Listanumerotat3">
    <w:name w:val="List Number 3"/>
    <w:basedOn w:val="Normal"/>
    <w:uiPriority w:val="99"/>
    <w:unhideWhenUsed/>
    <w:rsid w:val="00917233"/>
    <w:pPr>
      <w:numPr>
        <w:numId w:val="8"/>
      </w:numPr>
      <w:tabs>
        <w:tab w:val="clear" w:pos="926"/>
        <w:tab w:val="num" w:pos="1276"/>
      </w:tabs>
      <w:ind w:left="1276" w:hanging="425"/>
      <w:contextualSpacing/>
    </w:pPr>
  </w:style>
  <w:style w:type="paragraph" w:styleId="Listanumerotat4">
    <w:name w:val="List Number 4"/>
    <w:basedOn w:val="Normal"/>
    <w:uiPriority w:val="99"/>
    <w:unhideWhenUsed/>
    <w:rsid w:val="00917233"/>
    <w:pPr>
      <w:numPr>
        <w:numId w:val="9"/>
      </w:numPr>
      <w:tabs>
        <w:tab w:val="clear" w:pos="1209"/>
        <w:tab w:val="num" w:pos="1701"/>
      </w:tabs>
      <w:ind w:left="1701" w:hanging="425"/>
      <w:contextualSpacing/>
    </w:pPr>
  </w:style>
  <w:style w:type="numbering" w:customStyle="1" w:styleId="AFCList">
    <w:name w:val="AFC List"/>
    <w:uiPriority w:val="99"/>
    <w:rsid w:val="00812D1E"/>
    <w:pPr>
      <w:numPr>
        <w:numId w:val="11"/>
      </w:numPr>
    </w:pPr>
  </w:style>
  <w:style w:type="numbering" w:customStyle="1" w:styleId="AFCNumberedList">
    <w:name w:val="AFC Numbered List"/>
    <w:uiPriority w:val="99"/>
    <w:rsid w:val="00A93869"/>
    <w:pPr>
      <w:numPr>
        <w:numId w:val="12"/>
      </w:numPr>
    </w:pPr>
  </w:style>
  <w:style w:type="numbering" w:customStyle="1" w:styleId="AFCHeadingList">
    <w:name w:val="AFC Heading List"/>
    <w:uiPriority w:val="99"/>
    <w:rsid w:val="0002762C"/>
    <w:pPr>
      <w:numPr>
        <w:numId w:val="13"/>
      </w:numPr>
    </w:pPr>
  </w:style>
  <w:style w:type="numbering" w:customStyle="1" w:styleId="AFCAnnexList">
    <w:name w:val="AFC Annex List"/>
    <w:uiPriority w:val="99"/>
    <w:rsid w:val="00AA4BD5"/>
    <w:pPr>
      <w:numPr>
        <w:numId w:val="14"/>
      </w:numPr>
    </w:pPr>
  </w:style>
  <w:style w:type="paragraph" w:customStyle="1" w:styleId="Annex1">
    <w:name w:val="Annex 1"/>
    <w:basedOn w:val="Titlu1"/>
    <w:next w:val="Normal"/>
    <w:link w:val="Annex1Char"/>
    <w:uiPriority w:val="19"/>
    <w:rsid w:val="00505F9C"/>
    <w:pPr>
      <w:numPr>
        <w:numId w:val="16"/>
      </w:numPr>
      <w:outlineLvl w:val="9"/>
    </w:pPr>
    <w:rPr>
      <w:spacing w:val="5"/>
      <w:kern w:val="28"/>
    </w:rPr>
  </w:style>
  <w:style w:type="paragraph" w:customStyle="1" w:styleId="Annex2">
    <w:name w:val="Annex 2"/>
    <w:basedOn w:val="Titlu2"/>
    <w:next w:val="Normal"/>
    <w:link w:val="Annex2Char"/>
    <w:uiPriority w:val="19"/>
    <w:rsid w:val="00505F9C"/>
    <w:pPr>
      <w:numPr>
        <w:numId w:val="16"/>
      </w:numPr>
      <w:outlineLvl w:val="9"/>
    </w:pPr>
    <w:rPr>
      <w:spacing w:val="5"/>
      <w:kern w:val="28"/>
    </w:rPr>
  </w:style>
  <w:style w:type="character" w:customStyle="1" w:styleId="Annex1Char">
    <w:name w:val="Annex 1 Char"/>
    <w:basedOn w:val="TitluCaracter"/>
    <w:link w:val="Annex1"/>
    <w:uiPriority w:val="19"/>
    <w:rsid w:val="00505F9C"/>
    <w:rPr>
      <w:rFonts w:ascii="Verdana" w:eastAsiaTheme="majorEastAsia" w:hAnsi="Verdana" w:cstheme="majorBidi"/>
      <w:b/>
      <w:bCs/>
      <w:noProof/>
      <w:color w:val="0090D0"/>
      <w:spacing w:val="5"/>
      <w:kern w:val="28"/>
      <w:sz w:val="28"/>
      <w:szCs w:val="28"/>
      <w:lang w:val="en-GB"/>
    </w:rPr>
  </w:style>
  <w:style w:type="character" w:customStyle="1" w:styleId="Annex2Char">
    <w:name w:val="Annex 2 Char"/>
    <w:basedOn w:val="Annex1Char"/>
    <w:link w:val="Annex2"/>
    <w:uiPriority w:val="19"/>
    <w:rsid w:val="00505F9C"/>
    <w:rPr>
      <w:rFonts w:asciiTheme="majorHAnsi" w:eastAsiaTheme="majorEastAsia" w:hAnsiTheme="majorHAnsi" w:cstheme="majorBidi"/>
      <w:b/>
      <w:bCs/>
      <w:noProof/>
      <w:color w:val="F06050"/>
      <w:spacing w:val="5"/>
      <w:kern w:val="28"/>
      <w:sz w:val="26"/>
      <w:szCs w:val="26"/>
      <w:lang w:val="en-GB"/>
    </w:rPr>
  </w:style>
  <w:style w:type="paragraph" w:customStyle="1" w:styleId="Annex3">
    <w:name w:val="Annex 3"/>
    <w:basedOn w:val="Titlu3"/>
    <w:next w:val="Normal"/>
    <w:link w:val="Annex3Char"/>
    <w:uiPriority w:val="19"/>
    <w:rsid w:val="00505F9C"/>
    <w:pPr>
      <w:numPr>
        <w:numId w:val="17"/>
      </w:numPr>
      <w:outlineLvl w:val="9"/>
    </w:pPr>
  </w:style>
  <w:style w:type="character" w:customStyle="1" w:styleId="Annex3Char">
    <w:name w:val="Annex 3 Char"/>
    <w:basedOn w:val="Titlu3Caracter"/>
    <w:link w:val="Annex3"/>
    <w:uiPriority w:val="19"/>
    <w:rsid w:val="00505F9C"/>
    <w:rPr>
      <w:rFonts w:asciiTheme="majorHAnsi" w:hAnsiTheme="majorHAnsi"/>
      <w:color w:val="506070"/>
      <w:sz w:val="24"/>
      <w:szCs w:val="20"/>
    </w:rPr>
  </w:style>
  <w:style w:type="table" w:customStyle="1" w:styleId="AFTable">
    <w:name w:val="AF Table"/>
    <w:basedOn w:val="TabelNormal"/>
    <w:uiPriority w:val="59"/>
    <w:rsid w:val="005B616A"/>
    <w:pPr>
      <w:spacing w:after="0" w:line="240" w:lineRule="auto"/>
      <w:ind w:left="113" w:right="113"/>
    </w:pPr>
    <w:rPr>
      <w:rFonts w:asciiTheme="minorHAnsi" w:hAnsiTheme="minorHAnsi"/>
      <w:sz w:val="18"/>
      <w:szCs w:val="20"/>
    </w:rPr>
    <w:tblPr>
      <w:tblBorders>
        <w:bottom w:val="single" w:sz="6" w:space="0" w:color="595959" w:themeColor="text1" w:themeTint="A6"/>
        <w:insideH w:val="single" w:sz="4" w:space="0" w:color="595959" w:themeColor="text1" w:themeTint="A6"/>
      </w:tblBorders>
      <w:tblCellMar>
        <w:top w:w="57" w:type="dxa"/>
        <w:left w:w="0" w:type="dxa"/>
        <w:bottom w:w="28" w:type="dxa"/>
        <w:right w:w="0" w:type="dxa"/>
      </w:tblCellMar>
    </w:tblPr>
    <w:tcPr>
      <w:shd w:val="clear" w:color="auto" w:fill="auto"/>
    </w:tcPr>
    <w:tblStylePr w:type="firstRow">
      <w:pPr>
        <w:wordWrap/>
        <w:spacing w:beforeLines="0"/>
        <w:ind w:leftChars="0" w:left="113"/>
        <w:jc w:val="left"/>
      </w:pPr>
      <w:rPr>
        <w:rFonts w:asciiTheme="majorHAnsi" w:hAnsiTheme="majorHAnsi"/>
        <w:b w:val="0"/>
        <w:i w:val="0"/>
        <w:color w:val="auto"/>
        <w:sz w:val="18"/>
        <w:u w:val="none"/>
      </w:rPr>
      <w:tblPr/>
      <w:tcPr>
        <w:tcBorders>
          <w:top w:val="nil"/>
          <w:left w:val="nil"/>
          <w:bottom w:val="single" w:sz="12" w:space="0" w:color="595959" w:themeColor="text1" w:themeTint="A6"/>
          <w:right w:val="nil"/>
          <w:insideH w:val="nil"/>
          <w:insideV w:val="nil"/>
          <w:tl2br w:val="nil"/>
          <w:tr2bl w:val="nil"/>
        </w:tcBorders>
        <w:shd w:val="clear" w:color="auto" w:fill="8AD9FF" w:themeFill="accent3" w:themeFillTint="66"/>
      </w:tcPr>
    </w:tblStylePr>
    <w:tblStylePr w:type="lastRow">
      <w:pPr>
        <w:jc w:val="left"/>
      </w:pPr>
      <w:tblPr/>
      <w:tcPr>
        <w:tcBorders>
          <w:top w:val="nil"/>
          <w:left w:val="nil"/>
          <w:bottom w:val="single" w:sz="4" w:space="0" w:color="595959" w:themeColor="text1" w:themeTint="A6"/>
          <w:right w:val="nil"/>
          <w:insideH w:val="nil"/>
          <w:insideV w:val="nil"/>
          <w:tl2br w:val="nil"/>
          <w:tr2bl w:val="nil"/>
        </w:tcBorders>
        <w:shd w:val="clear" w:color="auto" w:fill="auto"/>
      </w:tcPr>
    </w:tblStylePr>
  </w:style>
  <w:style w:type="table" w:customStyle="1" w:styleId="AFListTable">
    <w:name w:val="AF List Table"/>
    <w:basedOn w:val="TabelNormal"/>
    <w:uiPriority w:val="59"/>
    <w:rsid w:val="005B616A"/>
    <w:pPr>
      <w:spacing w:after="0" w:line="240" w:lineRule="auto"/>
      <w:ind w:left="113" w:right="113"/>
    </w:pPr>
    <w:rPr>
      <w:rFonts w:asciiTheme="minorHAnsi" w:hAnsiTheme="minorHAnsi"/>
      <w:sz w:val="18"/>
      <w:szCs w:val="20"/>
    </w:rPr>
    <w:tblPr>
      <w:tblBorders>
        <w:top w:val="single" w:sz="8" w:space="0" w:color="595959" w:themeColor="text1" w:themeTint="A6"/>
        <w:bottom w:val="single" w:sz="8" w:space="0" w:color="595959" w:themeColor="text1" w:themeTint="A6"/>
        <w:insideH w:val="single" w:sz="4" w:space="0" w:color="595959" w:themeColor="text1" w:themeTint="A6"/>
      </w:tblBorders>
      <w:tblCellMar>
        <w:top w:w="57" w:type="dxa"/>
        <w:left w:w="0" w:type="dxa"/>
        <w:bottom w:w="28" w:type="dxa"/>
        <w:right w:w="0" w:type="dxa"/>
      </w:tblCellMar>
    </w:tblPr>
    <w:tcPr>
      <w:shd w:val="clear" w:color="auto" w:fill="auto"/>
    </w:tcPr>
    <w:tblStylePr w:type="firstRow">
      <w:pPr>
        <w:wordWrap/>
        <w:ind w:leftChars="0" w:left="113"/>
        <w:jc w:val="left"/>
      </w:pPr>
      <w:rPr>
        <w:rFonts w:asciiTheme="minorHAnsi" w:hAnsiTheme="minorHAnsi"/>
        <w:b w:val="0"/>
        <w:i w:val="0"/>
        <w:color w:val="auto"/>
        <w:sz w:val="18"/>
        <w:u w:val="none"/>
      </w:rPr>
      <w:tblPr/>
      <w:tcPr>
        <w:tcBorders>
          <w:top w:val="single" w:sz="8" w:space="0" w:color="506070" w:themeColor="text2"/>
        </w:tcBorders>
        <w:shd w:val="clear" w:color="auto" w:fill="auto"/>
      </w:tcPr>
    </w:tblStylePr>
    <w:tblStylePr w:type="lastRow">
      <w:pPr>
        <w:jc w:val="left"/>
      </w:pPr>
      <w:tblPr/>
      <w:tcPr>
        <w:tcBorders>
          <w:top w:val="single" w:sz="12" w:space="0" w:color="auto"/>
          <w:bottom w:val="single" w:sz="8" w:space="0" w:color="506070" w:themeColor="text2"/>
        </w:tcBorders>
        <w:shd w:val="clear" w:color="auto" w:fill="auto"/>
      </w:tcPr>
    </w:tblStylePr>
  </w:style>
  <w:style w:type="paragraph" w:customStyle="1" w:styleId="Textocaratula">
    <w:name w:val="Texto caratula"/>
    <w:basedOn w:val="Normal"/>
    <w:uiPriority w:val="1"/>
    <w:unhideWhenUsed/>
    <w:rsid w:val="00E752B7"/>
    <w:pPr>
      <w:spacing w:before="360" w:after="360" w:line="240" w:lineRule="auto"/>
      <w:jc w:val="center"/>
    </w:pPr>
    <w:rPr>
      <w:rFonts w:ascii="Calibri" w:eastAsia="Times New Roman" w:hAnsi="Calibri" w:cs="Times New Roman"/>
      <w:b/>
      <w:smallCaps/>
      <w:color w:val="00B1AC" w:themeColor="accent1"/>
      <w:sz w:val="32"/>
      <w:szCs w:val="32"/>
      <w:lang w:val="en-GB" w:eastAsia="es-ES"/>
    </w:rPr>
  </w:style>
  <w:style w:type="character" w:customStyle="1" w:styleId="ListparagrafCaracter">
    <w:name w:val="Listă paragraf Caracter"/>
    <w:aliases w:val="List1 Caracter,List Paragraph1 Caracter,Numbered Indented Text Caracter,List Paragraph Char Char Char Caracter,List Paragraph Char Char Caracter,Bullet 1 Caracter,lp1 Caracter,List Paragraph11 Caracter"/>
    <w:link w:val="Listparagraf"/>
    <w:uiPriority w:val="1"/>
    <w:locked/>
    <w:rsid w:val="00E752B7"/>
    <w:rPr>
      <w:rFonts w:asciiTheme="minorHAnsi" w:hAnsiTheme="minorHAnsi"/>
      <w:sz w:val="20"/>
      <w:szCs w:val="20"/>
    </w:rPr>
  </w:style>
  <w:style w:type="table" w:styleId="TabelEfecte3-D2">
    <w:name w:val="Table 3D effects 2"/>
    <w:basedOn w:val="TabelNormal"/>
    <w:rsid w:val="00E752B7"/>
    <w:pPr>
      <w:spacing w:before="120" w:after="120" w:line="240" w:lineRule="auto"/>
      <w:jc w:val="both"/>
    </w:pPr>
    <w:rPr>
      <w:rFonts w:ascii="Verdana" w:eastAsia="Times New Roman" w:hAnsi="Verdana" w:cs="Times New Roman"/>
      <w:sz w:val="20"/>
      <w:szCs w:val="20"/>
      <w:lang w:val="es-ES"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ource">
    <w:name w:val="Source"/>
    <w:link w:val="SourceChar"/>
    <w:rsid w:val="00E752B7"/>
    <w:pPr>
      <w:spacing w:before="60" w:after="120" w:line="240" w:lineRule="auto"/>
    </w:pPr>
    <w:rPr>
      <w:rFonts w:ascii="Calibri" w:eastAsia="Times New Roman" w:hAnsi="Calibri" w:cs="Tahoma"/>
      <w:i/>
      <w:sz w:val="18"/>
      <w:szCs w:val="16"/>
      <w:lang w:val="en-GB" w:eastAsia="es-ES"/>
    </w:rPr>
  </w:style>
  <w:style w:type="character" w:customStyle="1" w:styleId="SourceChar">
    <w:name w:val="Source Char"/>
    <w:basedOn w:val="Fontdeparagrafimplicit"/>
    <w:link w:val="Source"/>
    <w:rsid w:val="00E752B7"/>
    <w:rPr>
      <w:rFonts w:ascii="Calibri" w:eastAsia="Times New Roman" w:hAnsi="Calibri" w:cs="Tahoma"/>
      <w:i/>
      <w:sz w:val="18"/>
      <w:szCs w:val="16"/>
      <w:lang w:val="en-GB" w:eastAsia="es-ES"/>
    </w:rPr>
  </w:style>
  <w:style w:type="numbering" w:customStyle="1" w:styleId="StyleBulletedSymbolsymbolLeft063cmHanging063cm">
    <w:name w:val="Style Bulleted Symbol (symbol) Left:  0.63 cm Hanging:  0.63 cm"/>
    <w:basedOn w:val="FrListare"/>
    <w:rsid w:val="00E752B7"/>
    <w:pPr>
      <w:numPr>
        <w:numId w:val="19"/>
      </w:numPr>
    </w:pPr>
  </w:style>
  <w:style w:type="table" w:customStyle="1" w:styleId="LightShading-Accent111">
    <w:name w:val="Light Shading - Accent 111"/>
    <w:basedOn w:val="TabelNormal"/>
    <w:uiPriority w:val="60"/>
    <w:rsid w:val="00E752B7"/>
    <w:pPr>
      <w:spacing w:after="0" w:line="240" w:lineRule="auto"/>
      <w:jc w:val="center"/>
    </w:pPr>
    <w:rPr>
      <w:rFonts w:ascii="Calibri" w:eastAsia="Times New Roman" w:hAnsi="Calibri" w:cs="Times New Roman"/>
      <w:szCs w:val="20"/>
      <w:lang w:val="es-ES" w:eastAsia="es-ES"/>
    </w:rPr>
    <w:tblPr>
      <w:tblStyleRowBandSize w:val="1"/>
      <w:tblStyleColBandSize w:val="1"/>
      <w:tblBorders>
        <w:top w:val="single" w:sz="8" w:space="0" w:color="808070"/>
        <w:bottom w:val="single" w:sz="8" w:space="0" w:color="808070"/>
      </w:tblBorders>
    </w:tblPr>
    <w:tcPr>
      <w:vAlign w:val="center"/>
    </w:tcPr>
    <w:tblStylePr w:type="firstRow">
      <w:pPr>
        <w:spacing w:before="0" w:after="0" w:line="240" w:lineRule="auto"/>
      </w:pPr>
      <w:rPr>
        <w:rFonts w:ascii="Calibri" w:hAnsi="Calibri"/>
        <w:b/>
        <w:bCs/>
        <w:sz w:val="22"/>
      </w:rPr>
      <w:tblPr/>
      <w:tcPr>
        <w:tcBorders>
          <w:top w:val="single" w:sz="8" w:space="0" w:color="0039A6" w:themeColor="accent2"/>
          <w:left w:val="nil"/>
          <w:bottom w:val="single" w:sz="8" w:space="0" w:color="0039A6" w:themeColor="accent2"/>
          <w:right w:val="nil"/>
          <w:insideH w:val="nil"/>
          <w:insideV w:val="nil"/>
        </w:tcBorders>
      </w:tcPr>
    </w:tblStylePr>
    <w:tblStylePr w:type="lastRow">
      <w:pPr>
        <w:spacing w:before="0" w:after="0" w:line="240" w:lineRule="auto"/>
      </w:pPr>
      <w:rPr>
        <w:rFonts w:ascii="Calibri" w:hAnsi="Calibri"/>
        <w:b/>
        <w:bCs/>
        <w:sz w:val="22"/>
      </w:rPr>
      <w:tblPr/>
      <w:tcPr>
        <w:tcBorders>
          <w:top w:val="single" w:sz="8" w:space="0" w:color="0039A6" w:themeColor="accent2"/>
          <w:left w:val="nil"/>
          <w:bottom w:val="single" w:sz="8" w:space="0" w:color="0039A6" w:themeColor="accent2"/>
          <w:right w:val="nil"/>
          <w:insideH w:val="nil"/>
          <w:insideV w:val="nil"/>
        </w:tcBorders>
      </w:tcPr>
    </w:tblStylePr>
    <w:tblStylePr w:type="firstCol">
      <w:rPr>
        <w:rFonts w:ascii="Calibri" w:hAnsi="Calibri"/>
        <w:b/>
        <w:bCs/>
        <w:sz w:val="22"/>
      </w:rPr>
    </w:tblStylePr>
    <w:tblStylePr w:type="lastCol">
      <w:rPr>
        <w:rFonts w:ascii="Calibri" w:hAnsi="Calibri"/>
        <w:b/>
        <w:bCs/>
        <w:sz w:val="22"/>
      </w:rPr>
    </w:tblStylePr>
    <w:tblStylePr w:type="band1Vert">
      <w:rPr>
        <w:rFonts w:ascii="Calibri" w:hAnsi="Calibri"/>
        <w:sz w:val="22"/>
      </w:rPr>
      <w:tblPr/>
      <w:tcPr>
        <w:shd w:val="clear" w:color="auto" w:fill="C0B0A0" w:themeFill="background2"/>
      </w:tcPr>
    </w:tblStylePr>
    <w:tblStylePr w:type="band2Vert">
      <w:rPr>
        <w:rFonts w:ascii="Calibri" w:hAnsi="Calibri"/>
        <w:sz w:val="22"/>
      </w:rPr>
    </w:tblStylePr>
    <w:tblStylePr w:type="band1Horz">
      <w:rPr>
        <w:rFonts w:ascii="Calibri" w:hAnsi="Calibri"/>
        <w:sz w:val="22"/>
      </w:rPr>
      <w:tblPr/>
      <w:tcPr>
        <w:shd w:val="clear" w:color="auto" w:fill="C0B0A0" w:themeFill="background2"/>
      </w:tcPr>
    </w:tblStylePr>
    <w:tblStylePr w:type="band2Horz">
      <w:rPr>
        <w:rFonts w:ascii="Calibri" w:hAnsi="Calibri"/>
        <w:sz w:val="22"/>
      </w:rPr>
    </w:tblStylePr>
    <w:tblStylePr w:type="neCell">
      <w:rPr>
        <w:rFonts w:ascii="Calibri" w:hAnsi="Calibri"/>
        <w:sz w:val="22"/>
      </w:rPr>
    </w:tblStylePr>
    <w:tblStylePr w:type="nwCell">
      <w:rPr>
        <w:rFonts w:ascii="Calibri" w:hAnsi="Calibri"/>
        <w:sz w:val="22"/>
      </w:rPr>
    </w:tblStylePr>
    <w:tblStylePr w:type="seCell">
      <w:rPr>
        <w:rFonts w:ascii="Calibri" w:hAnsi="Calibri"/>
        <w:sz w:val="22"/>
      </w:rPr>
    </w:tblStylePr>
    <w:tblStylePr w:type="swCell">
      <w:rPr>
        <w:rFonts w:ascii="Calibri" w:hAnsi="Calibri"/>
        <w:sz w:val="22"/>
      </w:rPr>
    </w:tblStylePr>
  </w:style>
  <w:style w:type="paragraph" w:customStyle="1" w:styleId="AF-Mercados2015">
    <w:name w:val="AF-Mercados 2015"/>
    <w:basedOn w:val="Titlu1"/>
    <w:link w:val="AF-Mercados2015Char"/>
    <w:rsid w:val="00E752B7"/>
    <w:rPr>
      <w:color w:val="00B0F0"/>
    </w:rPr>
  </w:style>
  <w:style w:type="character" w:customStyle="1" w:styleId="AF-Mercados2015Char">
    <w:name w:val="AF-Mercados 2015 Char"/>
    <w:basedOn w:val="Titlu1Caracter"/>
    <w:link w:val="AF-Mercados2015"/>
    <w:rsid w:val="00E752B7"/>
    <w:rPr>
      <w:rFonts w:ascii="Verdana" w:eastAsiaTheme="majorEastAsia" w:hAnsi="Verdana" w:cstheme="majorBidi"/>
      <w:b/>
      <w:bCs/>
      <w:noProof/>
      <w:color w:val="00B0F0"/>
      <w:sz w:val="28"/>
      <w:szCs w:val="28"/>
      <w:lang w:val="en-GB"/>
    </w:rPr>
  </w:style>
  <w:style w:type="table" w:styleId="Listdeculoaredeschis-Accentuare6">
    <w:name w:val="Light List Accent 6"/>
    <w:basedOn w:val="TabelNormal"/>
    <w:uiPriority w:val="61"/>
    <w:rsid w:val="002C6FF1"/>
    <w:pPr>
      <w:spacing w:after="0" w:line="240" w:lineRule="auto"/>
    </w:pPr>
    <w:tblPr>
      <w:tblStyleRowBandSize w:val="1"/>
      <w:tblStyleColBandSize w:val="1"/>
      <w:tblBorders>
        <w:top w:val="single" w:sz="8" w:space="0" w:color="FB4357" w:themeColor="accent6"/>
        <w:left w:val="single" w:sz="8" w:space="0" w:color="FB4357" w:themeColor="accent6"/>
        <w:bottom w:val="single" w:sz="8" w:space="0" w:color="FB4357" w:themeColor="accent6"/>
        <w:right w:val="single" w:sz="8" w:space="0" w:color="FB4357" w:themeColor="accent6"/>
      </w:tblBorders>
    </w:tblPr>
    <w:tblStylePr w:type="firstRow">
      <w:pPr>
        <w:spacing w:before="0" w:after="0" w:line="240" w:lineRule="auto"/>
      </w:pPr>
      <w:rPr>
        <w:b/>
        <w:bCs/>
        <w:color w:val="FFFFFF" w:themeColor="background1"/>
      </w:rPr>
      <w:tblPr/>
      <w:tcPr>
        <w:shd w:val="clear" w:color="auto" w:fill="FB4357" w:themeFill="accent6"/>
      </w:tcPr>
    </w:tblStylePr>
    <w:tblStylePr w:type="lastRow">
      <w:pPr>
        <w:spacing w:before="0" w:after="0" w:line="240" w:lineRule="auto"/>
      </w:pPr>
      <w:rPr>
        <w:b/>
        <w:bCs/>
      </w:rPr>
      <w:tblPr/>
      <w:tcPr>
        <w:tcBorders>
          <w:top w:val="double" w:sz="6" w:space="0" w:color="FB4357" w:themeColor="accent6"/>
          <w:left w:val="single" w:sz="8" w:space="0" w:color="FB4357" w:themeColor="accent6"/>
          <w:bottom w:val="single" w:sz="8" w:space="0" w:color="FB4357" w:themeColor="accent6"/>
          <w:right w:val="single" w:sz="8" w:space="0" w:color="FB4357" w:themeColor="accent6"/>
        </w:tcBorders>
      </w:tcPr>
    </w:tblStylePr>
    <w:tblStylePr w:type="firstCol">
      <w:rPr>
        <w:b/>
        <w:bCs/>
      </w:rPr>
    </w:tblStylePr>
    <w:tblStylePr w:type="lastCol">
      <w:rPr>
        <w:b/>
        <w:bCs/>
      </w:rPr>
    </w:tblStylePr>
    <w:tblStylePr w:type="band1Vert">
      <w:tblPr/>
      <w:tcPr>
        <w:tcBorders>
          <w:top w:val="single" w:sz="8" w:space="0" w:color="FB4357" w:themeColor="accent6"/>
          <w:left w:val="single" w:sz="8" w:space="0" w:color="FB4357" w:themeColor="accent6"/>
          <w:bottom w:val="single" w:sz="8" w:space="0" w:color="FB4357" w:themeColor="accent6"/>
          <w:right w:val="single" w:sz="8" w:space="0" w:color="FB4357" w:themeColor="accent6"/>
        </w:tcBorders>
      </w:tcPr>
    </w:tblStylePr>
    <w:tblStylePr w:type="band1Horz">
      <w:tblPr/>
      <w:tcPr>
        <w:tcBorders>
          <w:top w:val="single" w:sz="8" w:space="0" w:color="FB4357" w:themeColor="accent6"/>
          <w:left w:val="single" w:sz="8" w:space="0" w:color="FB4357" w:themeColor="accent6"/>
          <w:bottom w:val="single" w:sz="8" w:space="0" w:color="FB4357" w:themeColor="accent6"/>
          <w:right w:val="single" w:sz="8" w:space="0" w:color="FB4357" w:themeColor="accent6"/>
        </w:tcBorders>
      </w:tcPr>
    </w:tblStylePr>
  </w:style>
  <w:style w:type="table" w:styleId="Umbriremedie1-Accentuare6">
    <w:name w:val="Medium Shading 1 Accent 6"/>
    <w:basedOn w:val="TabelNormal"/>
    <w:uiPriority w:val="63"/>
    <w:rsid w:val="008D28E2"/>
    <w:pPr>
      <w:spacing w:after="0" w:line="240" w:lineRule="auto"/>
    </w:pPr>
    <w:tblPr>
      <w:tblStyleRowBandSize w:val="1"/>
      <w:tblStyleColBandSize w:val="1"/>
      <w:tblBorders>
        <w:top w:val="single" w:sz="8" w:space="0" w:color="FC7280" w:themeColor="accent6" w:themeTint="BF"/>
        <w:left w:val="single" w:sz="8" w:space="0" w:color="FC7280" w:themeColor="accent6" w:themeTint="BF"/>
        <w:bottom w:val="single" w:sz="8" w:space="0" w:color="FC7280" w:themeColor="accent6" w:themeTint="BF"/>
        <w:right w:val="single" w:sz="8" w:space="0" w:color="FC7280" w:themeColor="accent6" w:themeTint="BF"/>
        <w:insideH w:val="single" w:sz="8" w:space="0" w:color="FC7280" w:themeColor="accent6" w:themeTint="BF"/>
      </w:tblBorders>
    </w:tblPr>
    <w:tblStylePr w:type="firstRow">
      <w:pPr>
        <w:spacing w:before="0" w:after="0" w:line="240" w:lineRule="auto"/>
      </w:pPr>
      <w:rPr>
        <w:b/>
        <w:bCs/>
        <w:color w:val="FFFFFF" w:themeColor="background1"/>
      </w:rPr>
      <w:tblPr/>
      <w:tcPr>
        <w:tcBorders>
          <w:top w:val="single" w:sz="8" w:space="0" w:color="FC7280" w:themeColor="accent6" w:themeTint="BF"/>
          <w:left w:val="single" w:sz="8" w:space="0" w:color="FC7280" w:themeColor="accent6" w:themeTint="BF"/>
          <w:bottom w:val="single" w:sz="8" w:space="0" w:color="FC7280" w:themeColor="accent6" w:themeTint="BF"/>
          <w:right w:val="single" w:sz="8" w:space="0" w:color="FC7280" w:themeColor="accent6" w:themeTint="BF"/>
          <w:insideH w:val="nil"/>
          <w:insideV w:val="nil"/>
        </w:tcBorders>
        <w:shd w:val="clear" w:color="auto" w:fill="FB4357" w:themeFill="accent6"/>
      </w:tcPr>
    </w:tblStylePr>
    <w:tblStylePr w:type="lastRow">
      <w:pPr>
        <w:spacing w:before="0" w:after="0" w:line="240" w:lineRule="auto"/>
      </w:pPr>
      <w:rPr>
        <w:b/>
        <w:bCs/>
      </w:rPr>
      <w:tblPr/>
      <w:tcPr>
        <w:tcBorders>
          <w:top w:val="double" w:sz="6" w:space="0" w:color="FC7280" w:themeColor="accent6" w:themeTint="BF"/>
          <w:left w:val="single" w:sz="8" w:space="0" w:color="FC7280" w:themeColor="accent6" w:themeTint="BF"/>
          <w:bottom w:val="single" w:sz="8" w:space="0" w:color="FC7280" w:themeColor="accent6" w:themeTint="BF"/>
          <w:right w:val="single" w:sz="8" w:space="0" w:color="FC72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D0D5" w:themeFill="accent6" w:themeFillTint="3F"/>
      </w:tcPr>
    </w:tblStylePr>
    <w:tblStylePr w:type="band1Horz">
      <w:tblPr/>
      <w:tcPr>
        <w:tcBorders>
          <w:insideH w:val="nil"/>
          <w:insideV w:val="nil"/>
        </w:tcBorders>
        <w:shd w:val="clear" w:color="auto" w:fill="FED0D5" w:themeFill="accent6" w:themeFillTint="3F"/>
      </w:tcPr>
    </w:tblStylePr>
    <w:tblStylePr w:type="band2Horz">
      <w:tblPr/>
      <w:tcPr>
        <w:tcBorders>
          <w:insideH w:val="nil"/>
          <w:insideV w:val="nil"/>
        </w:tcBorders>
      </w:tcPr>
    </w:tblStylePr>
  </w:style>
  <w:style w:type="table" w:customStyle="1" w:styleId="AFM">
    <w:name w:val="AFM"/>
    <w:basedOn w:val="LightShading-Accent111"/>
    <w:uiPriority w:val="99"/>
    <w:qFormat/>
    <w:rsid w:val="00107A78"/>
    <w:rPr>
      <w:rFonts w:ascii="Verdana" w:hAnsi="Verdana"/>
      <w:sz w:val="18"/>
    </w:rPr>
    <w:tblPr>
      <w:tblBorders>
        <w:top w:val="single" w:sz="8" w:space="0" w:color="0039A6" w:themeColor="accent2"/>
        <w:bottom w:val="single" w:sz="8" w:space="0" w:color="0039A6" w:themeColor="accent2"/>
      </w:tblBorders>
    </w:tblPr>
    <w:tblStylePr w:type="firstRow">
      <w:pPr>
        <w:spacing w:before="0" w:after="0" w:line="240" w:lineRule="auto"/>
      </w:pPr>
      <w:rPr>
        <w:rFonts w:ascii="Calibri" w:hAnsi="Calibri"/>
        <w:b/>
        <w:bCs/>
        <w:sz w:val="22"/>
      </w:rPr>
      <w:tblPr/>
      <w:tcPr>
        <w:tcBorders>
          <w:top w:val="single" w:sz="8" w:space="0" w:color="0039A6" w:themeColor="accent2"/>
          <w:left w:val="nil"/>
          <w:bottom w:val="single" w:sz="8" w:space="0" w:color="0039A6" w:themeColor="accent2"/>
          <w:right w:val="nil"/>
          <w:insideH w:val="nil"/>
          <w:insideV w:val="nil"/>
        </w:tcBorders>
      </w:tcPr>
    </w:tblStylePr>
    <w:tblStylePr w:type="lastRow">
      <w:pPr>
        <w:spacing w:before="0" w:after="0" w:line="240" w:lineRule="auto"/>
      </w:pPr>
      <w:rPr>
        <w:rFonts w:ascii="Calibri" w:hAnsi="Calibri"/>
        <w:b/>
        <w:bCs/>
        <w:sz w:val="22"/>
      </w:rPr>
      <w:tblPr/>
      <w:tcPr>
        <w:tcBorders>
          <w:top w:val="single" w:sz="8" w:space="0" w:color="0039A6" w:themeColor="accent2"/>
          <w:left w:val="nil"/>
          <w:bottom w:val="single" w:sz="8" w:space="0" w:color="0039A6" w:themeColor="accent2"/>
          <w:right w:val="nil"/>
          <w:insideH w:val="nil"/>
          <w:insideV w:val="nil"/>
        </w:tcBorders>
      </w:tcPr>
    </w:tblStylePr>
    <w:tblStylePr w:type="firstCol">
      <w:rPr>
        <w:rFonts w:ascii="Calibri" w:hAnsi="Calibri"/>
        <w:b/>
        <w:bCs/>
        <w:sz w:val="22"/>
      </w:rPr>
    </w:tblStylePr>
    <w:tblStylePr w:type="lastCol">
      <w:rPr>
        <w:rFonts w:ascii="Calibri" w:hAnsi="Calibri"/>
        <w:b/>
        <w:bCs/>
        <w:sz w:val="22"/>
      </w:rPr>
    </w:tblStylePr>
    <w:tblStylePr w:type="band1Vert">
      <w:rPr>
        <w:rFonts w:ascii="Calibri" w:hAnsi="Calibri"/>
        <w:sz w:val="22"/>
      </w:rPr>
      <w:tblPr/>
      <w:tcPr>
        <w:shd w:val="clear" w:color="auto" w:fill="C0B0A0" w:themeFill="background2"/>
      </w:tcPr>
    </w:tblStylePr>
    <w:tblStylePr w:type="band2Vert">
      <w:rPr>
        <w:rFonts w:ascii="Calibri" w:hAnsi="Calibri"/>
        <w:sz w:val="22"/>
      </w:rPr>
    </w:tblStylePr>
    <w:tblStylePr w:type="band1Horz">
      <w:rPr>
        <w:rFonts w:ascii="Calibri" w:hAnsi="Calibri"/>
        <w:sz w:val="22"/>
      </w:rPr>
      <w:tblPr/>
      <w:tcPr>
        <w:shd w:val="clear" w:color="auto" w:fill="C0B0A0" w:themeFill="background2"/>
      </w:tcPr>
    </w:tblStylePr>
    <w:tblStylePr w:type="band2Horz">
      <w:rPr>
        <w:rFonts w:ascii="Calibri" w:hAnsi="Calibri"/>
        <w:sz w:val="22"/>
      </w:rPr>
    </w:tblStylePr>
    <w:tblStylePr w:type="neCell">
      <w:rPr>
        <w:rFonts w:ascii="Calibri" w:hAnsi="Calibri"/>
        <w:sz w:val="22"/>
      </w:rPr>
    </w:tblStylePr>
    <w:tblStylePr w:type="nwCell">
      <w:rPr>
        <w:rFonts w:ascii="Calibri" w:hAnsi="Calibri"/>
        <w:sz w:val="22"/>
      </w:rPr>
    </w:tblStylePr>
    <w:tblStylePr w:type="seCell">
      <w:rPr>
        <w:rFonts w:ascii="Calibri" w:hAnsi="Calibri"/>
        <w:sz w:val="22"/>
      </w:rPr>
    </w:tblStylePr>
    <w:tblStylePr w:type="swCell">
      <w:rPr>
        <w:rFonts w:ascii="Calibri" w:hAnsi="Calibri"/>
        <w:sz w:val="22"/>
      </w:rPr>
    </w:tblStylePr>
  </w:style>
  <w:style w:type="table" w:customStyle="1" w:styleId="LightList-Accent12">
    <w:name w:val="Light List - Accent 12"/>
    <w:basedOn w:val="TabelNormal"/>
    <w:uiPriority w:val="61"/>
    <w:rsid w:val="00107A78"/>
    <w:pPr>
      <w:spacing w:after="0" w:line="240" w:lineRule="auto"/>
    </w:pPr>
    <w:tblPr>
      <w:tblStyleRowBandSize w:val="1"/>
      <w:tblStyleColBandSize w:val="1"/>
      <w:tblBorders>
        <w:top w:val="single" w:sz="8" w:space="0" w:color="00B1AC" w:themeColor="accent1"/>
        <w:left w:val="single" w:sz="8" w:space="0" w:color="00B1AC" w:themeColor="accent1"/>
        <w:bottom w:val="single" w:sz="8" w:space="0" w:color="00B1AC" w:themeColor="accent1"/>
        <w:right w:val="single" w:sz="8" w:space="0" w:color="00B1AC" w:themeColor="accent1"/>
      </w:tblBorders>
    </w:tblPr>
    <w:tblStylePr w:type="firstRow">
      <w:pPr>
        <w:spacing w:before="0" w:after="0" w:line="240" w:lineRule="auto"/>
      </w:pPr>
      <w:rPr>
        <w:b/>
        <w:bCs/>
        <w:color w:val="FFFFFF" w:themeColor="background1"/>
      </w:rPr>
      <w:tblPr/>
      <w:tcPr>
        <w:shd w:val="clear" w:color="auto" w:fill="00B1AC" w:themeFill="accent1"/>
      </w:tcPr>
    </w:tblStylePr>
    <w:tblStylePr w:type="lastRow">
      <w:pPr>
        <w:spacing w:before="0" w:after="0" w:line="240" w:lineRule="auto"/>
      </w:pPr>
      <w:rPr>
        <w:b/>
        <w:bCs/>
      </w:rPr>
      <w:tblPr/>
      <w:tcPr>
        <w:tcBorders>
          <w:top w:val="double" w:sz="6" w:space="0" w:color="00B1AC" w:themeColor="accent1"/>
          <w:left w:val="single" w:sz="8" w:space="0" w:color="00B1AC" w:themeColor="accent1"/>
          <w:bottom w:val="single" w:sz="8" w:space="0" w:color="00B1AC" w:themeColor="accent1"/>
          <w:right w:val="single" w:sz="8" w:space="0" w:color="00B1AC" w:themeColor="accent1"/>
        </w:tcBorders>
      </w:tcPr>
    </w:tblStylePr>
    <w:tblStylePr w:type="firstCol">
      <w:rPr>
        <w:b/>
        <w:bCs/>
      </w:rPr>
    </w:tblStylePr>
    <w:tblStylePr w:type="lastCol">
      <w:rPr>
        <w:b/>
        <w:bCs/>
      </w:rPr>
    </w:tblStylePr>
    <w:tblStylePr w:type="band1Vert">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tblStylePr w:type="band1Horz">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style>
  <w:style w:type="table" w:customStyle="1" w:styleId="MediumShading1-Accent31">
    <w:name w:val="Medium Shading 1 - Accent 31"/>
    <w:basedOn w:val="TabelNormal"/>
    <w:next w:val="Umbriremedie1-Accentuare3"/>
    <w:uiPriority w:val="63"/>
    <w:rsid w:val="003E12CC"/>
    <w:pPr>
      <w:spacing w:after="0" w:line="240" w:lineRule="auto"/>
    </w:pPr>
    <w:rPr>
      <w:rFonts w:asciiTheme="minorHAnsi" w:hAnsiTheme="minorHAnsi" w:cstheme="minorBidi"/>
      <w:sz w:val="18"/>
      <w:szCs w:val="18"/>
      <w:lang w:val="en-GB"/>
    </w:rPr>
    <w:tblPr>
      <w:tblStyleRowBandSize w:val="1"/>
      <w:tblStyleColBandSize w:val="1"/>
      <w:tblBorders>
        <w:top w:val="single" w:sz="8" w:space="0" w:color="1CB8FF"/>
        <w:left w:val="single" w:sz="8" w:space="0" w:color="1CB8FF"/>
        <w:bottom w:val="single" w:sz="8" w:space="0" w:color="1CB8FF"/>
        <w:right w:val="single" w:sz="8" w:space="0" w:color="1CB8FF"/>
        <w:insideH w:val="single" w:sz="8" w:space="0" w:color="1CB8FF"/>
      </w:tblBorders>
    </w:tblPr>
    <w:tblStylePr w:type="firstRow">
      <w:pPr>
        <w:spacing w:before="0" w:after="0" w:line="240" w:lineRule="auto"/>
      </w:pPr>
      <w:rPr>
        <w:b/>
        <w:bCs/>
        <w:color w:val="FFFFFF"/>
      </w:rPr>
      <w:tblPr/>
      <w:tcPr>
        <w:tcBorders>
          <w:top w:val="single" w:sz="8" w:space="0" w:color="1CB8FF"/>
          <w:left w:val="single" w:sz="8" w:space="0" w:color="1CB8FF"/>
          <w:bottom w:val="single" w:sz="8" w:space="0" w:color="1CB8FF"/>
          <w:right w:val="single" w:sz="8" w:space="0" w:color="1CB8FF"/>
          <w:insideH w:val="nil"/>
          <w:insideV w:val="nil"/>
        </w:tcBorders>
        <w:shd w:val="clear" w:color="auto" w:fill="0090D0"/>
      </w:tcPr>
    </w:tblStylePr>
    <w:tblStylePr w:type="lastRow">
      <w:pPr>
        <w:spacing w:before="0" w:after="0" w:line="240" w:lineRule="auto"/>
      </w:pPr>
      <w:rPr>
        <w:b/>
        <w:bCs/>
      </w:rPr>
      <w:tblPr/>
      <w:tcPr>
        <w:tcBorders>
          <w:top w:val="double" w:sz="6" w:space="0" w:color="1CB8FF"/>
          <w:left w:val="single" w:sz="8" w:space="0" w:color="1CB8FF"/>
          <w:bottom w:val="single" w:sz="8" w:space="0" w:color="1CB8FF"/>
          <w:right w:val="single" w:sz="8" w:space="0" w:color="1CB8FF"/>
          <w:insideH w:val="nil"/>
          <w:insideV w:val="nil"/>
        </w:tcBorders>
      </w:tcPr>
    </w:tblStylePr>
    <w:tblStylePr w:type="firstCol">
      <w:rPr>
        <w:b/>
        <w:bCs/>
      </w:rPr>
    </w:tblStylePr>
    <w:tblStylePr w:type="lastCol">
      <w:rPr>
        <w:b/>
        <w:bCs/>
      </w:rPr>
    </w:tblStylePr>
    <w:tblStylePr w:type="band1Vert">
      <w:tblPr/>
      <w:tcPr>
        <w:shd w:val="clear" w:color="auto" w:fill="B4E7FF"/>
      </w:tcPr>
    </w:tblStylePr>
    <w:tblStylePr w:type="band1Horz">
      <w:tblPr/>
      <w:tcPr>
        <w:tcBorders>
          <w:insideH w:val="nil"/>
          <w:insideV w:val="nil"/>
        </w:tcBorders>
        <w:shd w:val="clear" w:color="auto" w:fill="B4E7F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3E12CC"/>
    <w:pPr>
      <w:spacing w:after="0" w:line="240" w:lineRule="auto"/>
    </w:pPr>
    <w:tblPr>
      <w:tblStyleRowBandSize w:val="1"/>
      <w:tblStyleColBandSize w:val="1"/>
      <w:tblBorders>
        <w:top w:val="single" w:sz="8" w:space="0" w:color="25B9FF" w:themeColor="accent3" w:themeTint="BF"/>
        <w:left w:val="single" w:sz="8" w:space="0" w:color="25B9FF" w:themeColor="accent3" w:themeTint="BF"/>
        <w:bottom w:val="single" w:sz="8" w:space="0" w:color="25B9FF" w:themeColor="accent3" w:themeTint="BF"/>
        <w:right w:val="single" w:sz="8" w:space="0" w:color="25B9FF" w:themeColor="accent3" w:themeTint="BF"/>
        <w:insideH w:val="single" w:sz="8" w:space="0" w:color="25B9FF" w:themeColor="accent3" w:themeTint="BF"/>
      </w:tblBorders>
    </w:tblPr>
    <w:tblStylePr w:type="firstRow">
      <w:pPr>
        <w:spacing w:before="0" w:after="0" w:line="240" w:lineRule="auto"/>
      </w:pPr>
      <w:rPr>
        <w:b/>
        <w:bCs/>
        <w:color w:val="FFFFFF" w:themeColor="background1"/>
      </w:rPr>
      <w:tblPr/>
      <w:tcPr>
        <w:tcBorders>
          <w:top w:val="single" w:sz="8" w:space="0" w:color="25B9FF" w:themeColor="accent3" w:themeTint="BF"/>
          <w:left w:val="single" w:sz="8" w:space="0" w:color="25B9FF" w:themeColor="accent3" w:themeTint="BF"/>
          <w:bottom w:val="single" w:sz="8" w:space="0" w:color="25B9FF" w:themeColor="accent3" w:themeTint="BF"/>
          <w:right w:val="single" w:sz="8" w:space="0" w:color="25B9FF" w:themeColor="accent3" w:themeTint="BF"/>
          <w:insideH w:val="nil"/>
          <w:insideV w:val="nil"/>
        </w:tcBorders>
        <w:shd w:val="clear" w:color="auto" w:fill="0096DB" w:themeFill="accent3"/>
      </w:tcPr>
    </w:tblStylePr>
    <w:tblStylePr w:type="lastRow">
      <w:pPr>
        <w:spacing w:before="0" w:after="0" w:line="240" w:lineRule="auto"/>
      </w:pPr>
      <w:rPr>
        <w:b/>
        <w:bCs/>
      </w:rPr>
      <w:tblPr/>
      <w:tcPr>
        <w:tcBorders>
          <w:top w:val="double" w:sz="6" w:space="0" w:color="25B9FF" w:themeColor="accent3" w:themeTint="BF"/>
          <w:left w:val="single" w:sz="8" w:space="0" w:color="25B9FF" w:themeColor="accent3" w:themeTint="BF"/>
          <w:bottom w:val="single" w:sz="8" w:space="0" w:color="25B9FF" w:themeColor="accent3" w:themeTint="BF"/>
          <w:right w:val="single" w:sz="8" w:space="0" w:color="25B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7E8FF" w:themeFill="accent3" w:themeFillTint="3F"/>
      </w:tcPr>
    </w:tblStylePr>
    <w:tblStylePr w:type="band1Horz">
      <w:tblPr/>
      <w:tcPr>
        <w:tcBorders>
          <w:insideH w:val="nil"/>
          <w:insideV w:val="nil"/>
        </w:tcBorders>
        <w:shd w:val="clear" w:color="auto" w:fill="B7E8FF" w:themeFill="accent3" w:themeFillTint="3F"/>
      </w:tcPr>
    </w:tblStylePr>
    <w:tblStylePr w:type="band2Horz">
      <w:tblPr/>
      <w:tcPr>
        <w:tcBorders>
          <w:insideH w:val="nil"/>
          <w:insideV w:val="nil"/>
        </w:tcBorders>
      </w:tcPr>
    </w:tblStylePr>
  </w:style>
  <w:style w:type="table" w:customStyle="1" w:styleId="TableGrid1">
    <w:name w:val="Table Grid1"/>
    <w:basedOn w:val="TabelNormal"/>
    <w:next w:val="GrilTabel"/>
    <w:uiPriority w:val="59"/>
    <w:rsid w:val="00782CBA"/>
    <w:pPr>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GrilTabel"/>
    <w:uiPriority w:val="59"/>
    <w:rsid w:val="0015502C"/>
    <w:pPr>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редняя заливка 1 - Акцент 41"/>
    <w:basedOn w:val="TabelNormal"/>
    <w:next w:val="Umbriremedie1-Accentuare4"/>
    <w:uiPriority w:val="63"/>
    <w:rsid w:val="00212810"/>
    <w:pPr>
      <w:spacing w:after="0" w:line="240" w:lineRule="auto"/>
    </w:pPr>
    <w:rPr>
      <w:rFonts w:ascii="Calibri" w:hAnsi="Calibri" w:cs="Times New Roman"/>
      <w:sz w:val="18"/>
      <w:szCs w:val="18"/>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212810"/>
    <w:pPr>
      <w:spacing w:after="0" w:line="240" w:lineRule="auto"/>
    </w:pPr>
    <w:tblPr>
      <w:tblStyleRowBandSize w:val="1"/>
      <w:tblStyleColBandSize w:val="1"/>
      <w:tblBorders>
        <w:top w:val="single" w:sz="8" w:space="0" w:color="89D952" w:themeColor="accent4" w:themeTint="BF"/>
        <w:left w:val="single" w:sz="8" w:space="0" w:color="89D952" w:themeColor="accent4" w:themeTint="BF"/>
        <w:bottom w:val="single" w:sz="8" w:space="0" w:color="89D952" w:themeColor="accent4" w:themeTint="BF"/>
        <w:right w:val="single" w:sz="8" w:space="0" w:color="89D952" w:themeColor="accent4" w:themeTint="BF"/>
        <w:insideH w:val="single" w:sz="8" w:space="0" w:color="89D952" w:themeColor="accent4" w:themeTint="BF"/>
      </w:tblBorders>
    </w:tblPr>
    <w:tblStylePr w:type="firstRow">
      <w:pPr>
        <w:spacing w:before="0" w:after="0" w:line="240" w:lineRule="auto"/>
      </w:pPr>
      <w:rPr>
        <w:b/>
        <w:bCs/>
        <w:color w:val="FFFFFF" w:themeColor="background1"/>
      </w:rPr>
      <w:tblPr/>
      <w:tcPr>
        <w:tcBorders>
          <w:top w:val="single" w:sz="8" w:space="0" w:color="89D952" w:themeColor="accent4" w:themeTint="BF"/>
          <w:left w:val="single" w:sz="8" w:space="0" w:color="89D952" w:themeColor="accent4" w:themeTint="BF"/>
          <w:bottom w:val="single" w:sz="8" w:space="0" w:color="89D952" w:themeColor="accent4" w:themeTint="BF"/>
          <w:right w:val="single" w:sz="8" w:space="0" w:color="89D952" w:themeColor="accent4" w:themeTint="BF"/>
          <w:insideH w:val="nil"/>
          <w:insideV w:val="nil"/>
        </w:tcBorders>
        <w:shd w:val="clear" w:color="auto" w:fill="66BC29" w:themeFill="accent4"/>
      </w:tcPr>
    </w:tblStylePr>
    <w:tblStylePr w:type="lastRow">
      <w:pPr>
        <w:spacing w:before="0" w:after="0" w:line="240" w:lineRule="auto"/>
      </w:pPr>
      <w:rPr>
        <w:b/>
        <w:bCs/>
      </w:rPr>
      <w:tblPr/>
      <w:tcPr>
        <w:tcBorders>
          <w:top w:val="double" w:sz="6" w:space="0" w:color="89D952" w:themeColor="accent4" w:themeTint="BF"/>
          <w:left w:val="single" w:sz="8" w:space="0" w:color="89D952" w:themeColor="accent4" w:themeTint="BF"/>
          <w:bottom w:val="single" w:sz="8" w:space="0" w:color="89D952" w:themeColor="accent4" w:themeTint="BF"/>
          <w:right w:val="single" w:sz="8" w:space="0" w:color="89D95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F2C5" w:themeFill="accent4" w:themeFillTint="3F"/>
      </w:tcPr>
    </w:tblStylePr>
    <w:tblStylePr w:type="band1Horz">
      <w:tblPr/>
      <w:tcPr>
        <w:tcBorders>
          <w:insideH w:val="nil"/>
          <w:insideV w:val="nil"/>
        </w:tcBorders>
        <w:shd w:val="clear" w:color="auto" w:fill="D8F2C5" w:themeFill="accent4" w:themeFillTint="3F"/>
      </w:tcPr>
    </w:tblStylePr>
    <w:tblStylePr w:type="band2Horz">
      <w:tblPr/>
      <w:tcPr>
        <w:tcBorders>
          <w:insideH w:val="nil"/>
          <w:insideV w:val="nil"/>
        </w:tcBorders>
      </w:tcPr>
    </w:tblStylePr>
  </w:style>
  <w:style w:type="table" w:customStyle="1" w:styleId="TableGrid4">
    <w:name w:val="Table Grid4"/>
    <w:basedOn w:val="TabelNormal"/>
    <w:next w:val="GrilTabel"/>
    <w:uiPriority w:val="59"/>
    <w:rsid w:val="00B661D4"/>
    <w:pPr>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GrilTabel"/>
    <w:uiPriority w:val="59"/>
    <w:rsid w:val="00996E26"/>
    <w:pPr>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97F"/>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1">
    <w:name w:val="Сетка таблицы1"/>
    <w:basedOn w:val="TabelNormal"/>
    <w:next w:val="GrilTabel"/>
    <w:uiPriority w:val="59"/>
    <w:rsid w:val="00DD4977"/>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elNormal"/>
    <w:next w:val="GrilTabel"/>
    <w:uiPriority w:val="59"/>
    <w:rsid w:val="003B1FA1"/>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elNormal"/>
    <w:next w:val="GrilTabel"/>
    <w:uiPriority w:val="59"/>
    <w:rsid w:val="00896750"/>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FCHeadingList1">
    <w:name w:val="AFC Heading List1"/>
    <w:uiPriority w:val="99"/>
    <w:rsid w:val="002B6231"/>
    <w:pPr>
      <w:numPr>
        <w:numId w:val="1"/>
      </w:numPr>
    </w:pPr>
  </w:style>
  <w:style w:type="table" w:customStyle="1" w:styleId="4">
    <w:name w:val="Сетка таблицы4"/>
    <w:basedOn w:val="TabelNormal"/>
    <w:next w:val="GrilTabel"/>
    <w:uiPriority w:val="59"/>
    <w:rsid w:val="006E1B6F"/>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uiPriority w:val="59"/>
    <w:rsid w:val="00807C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GrilTabel"/>
    <w:uiPriority w:val="59"/>
    <w:rsid w:val="002E760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elNormal"/>
    <w:next w:val="GrilTabel"/>
    <w:uiPriority w:val="59"/>
    <w:rsid w:val="00030A0B"/>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GrilTabel"/>
    <w:uiPriority w:val="59"/>
    <w:rsid w:val="00D12FFA"/>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semiHidden/>
    <w:unhideWhenUsed/>
    <w:rsid w:val="009665A3"/>
    <w:rPr>
      <w:sz w:val="16"/>
      <w:szCs w:val="16"/>
    </w:rPr>
  </w:style>
  <w:style w:type="paragraph" w:styleId="Textcomentariu">
    <w:name w:val="annotation text"/>
    <w:basedOn w:val="Normal"/>
    <w:link w:val="TextcomentariuCaracter"/>
    <w:unhideWhenUsed/>
    <w:rsid w:val="009665A3"/>
    <w:pPr>
      <w:spacing w:line="240" w:lineRule="auto"/>
    </w:pPr>
  </w:style>
  <w:style w:type="character" w:customStyle="1" w:styleId="TextcomentariuCaracter">
    <w:name w:val="Text comentariu Caracter"/>
    <w:basedOn w:val="Fontdeparagrafimplicit"/>
    <w:link w:val="Textcomentariu"/>
    <w:rsid w:val="009665A3"/>
    <w:rPr>
      <w:rFonts w:asciiTheme="minorHAnsi" w:hAnsiTheme="minorHAnsi"/>
      <w:sz w:val="20"/>
      <w:szCs w:val="20"/>
    </w:rPr>
  </w:style>
  <w:style w:type="paragraph" w:styleId="SubiectComentariu">
    <w:name w:val="annotation subject"/>
    <w:basedOn w:val="Textcomentariu"/>
    <w:next w:val="Textcomentariu"/>
    <w:link w:val="SubiectComentariuCaracter"/>
    <w:semiHidden/>
    <w:unhideWhenUsed/>
    <w:rsid w:val="009665A3"/>
    <w:rPr>
      <w:b/>
      <w:bCs/>
    </w:rPr>
  </w:style>
  <w:style w:type="character" w:customStyle="1" w:styleId="SubiectComentariuCaracter">
    <w:name w:val="Subiect Comentariu Caracter"/>
    <w:basedOn w:val="TextcomentariuCaracter"/>
    <w:link w:val="SubiectComentariu"/>
    <w:semiHidden/>
    <w:rsid w:val="009665A3"/>
    <w:rPr>
      <w:rFonts w:asciiTheme="minorHAnsi" w:hAnsiTheme="minorHAnsi"/>
      <w:b/>
      <w:bCs/>
      <w:sz w:val="20"/>
      <w:szCs w:val="20"/>
    </w:rPr>
  </w:style>
  <w:style w:type="table" w:customStyle="1" w:styleId="LightList-Accent121">
    <w:name w:val="Light List - Accent 121"/>
    <w:basedOn w:val="TabelNormal"/>
    <w:uiPriority w:val="61"/>
    <w:rsid w:val="0098275C"/>
    <w:pPr>
      <w:spacing w:after="0" w:line="240" w:lineRule="auto"/>
    </w:pPr>
    <w:tblPr>
      <w:tblStyleRowBandSize w:val="1"/>
      <w:tblStyleColBandSize w:val="1"/>
      <w:tblBorders>
        <w:top w:val="single" w:sz="8" w:space="0" w:color="00B1AC" w:themeColor="accent1"/>
        <w:left w:val="single" w:sz="8" w:space="0" w:color="00B1AC" w:themeColor="accent1"/>
        <w:bottom w:val="single" w:sz="8" w:space="0" w:color="00B1AC" w:themeColor="accent1"/>
        <w:right w:val="single" w:sz="8" w:space="0" w:color="00B1AC" w:themeColor="accent1"/>
      </w:tblBorders>
    </w:tblPr>
    <w:tblStylePr w:type="firstRow">
      <w:pPr>
        <w:spacing w:before="0" w:after="0" w:line="240" w:lineRule="auto"/>
      </w:pPr>
      <w:rPr>
        <w:b/>
        <w:bCs/>
        <w:color w:val="FFFFFF" w:themeColor="background1"/>
      </w:rPr>
      <w:tblPr/>
      <w:tcPr>
        <w:shd w:val="clear" w:color="auto" w:fill="00B1AC" w:themeFill="accent1"/>
      </w:tcPr>
    </w:tblStylePr>
    <w:tblStylePr w:type="lastRow">
      <w:pPr>
        <w:spacing w:before="0" w:after="0" w:line="240" w:lineRule="auto"/>
      </w:pPr>
      <w:rPr>
        <w:b/>
        <w:bCs/>
      </w:rPr>
      <w:tblPr/>
      <w:tcPr>
        <w:tcBorders>
          <w:top w:val="double" w:sz="6" w:space="0" w:color="00B1AC" w:themeColor="accent1"/>
          <w:left w:val="single" w:sz="8" w:space="0" w:color="00B1AC" w:themeColor="accent1"/>
          <w:bottom w:val="single" w:sz="8" w:space="0" w:color="00B1AC" w:themeColor="accent1"/>
          <w:right w:val="single" w:sz="8" w:space="0" w:color="00B1AC" w:themeColor="accent1"/>
        </w:tcBorders>
      </w:tcPr>
    </w:tblStylePr>
    <w:tblStylePr w:type="firstCol">
      <w:rPr>
        <w:b/>
        <w:bCs/>
      </w:rPr>
    </w:tblStylePr>
    <w:tblStylePr w:type="lastCol">
      <w:rPr>
        <w:b/>
        <w:bCs/>
      </w:rPr>
    </w:tblStylePr>
    <w:tblStylePr w:type="band1Vert">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tblStylePr w:type="band1Horz">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style>
  <w:style w:type="character" w:customStyle="1" w:styleId="hps">
    <w:name w:val="hps"/>
    <w:basedOn w:val="Fontdeparagrafimplicit"/>
    <w:rsid w:val="002E15D0"/>
    <w:rPr>
      <w:rFonts w:cs="Times New Roman"/>
    </w:rPr>
  </w:style>
  <w:style w:type="character" w:styleId="HyperlinkParcurs">
    <w:name w:val="FollowedHyperlink"/>
    <w:basedOn w:val="Fontdeparagrafimplicit"/>
    <w:unhideWhenUsed/>
    <w:rsid w:val="00A56CA5"/>
    <w:rPr>
      <w:color w:val="919191" w:themeColor="followedHyperlink"/>
      <w:u w:val="single"/>
    </w:rPr>
  </w:style>
  <w:style w:type="paragraph" w:customStyle="1" w:styleId="Tabletext">
    <w:name w:val="Table text"/>
    <w:basedOn w:val="Normal"/>
    <w:rsid w:val="002733CB"/>
    <w:pPr>
      <w:tabs>
        <w:tab w:val="right" w:pos="8504"/>
      </w:tabs>
      <w:spacing w:before="40" w:after="40" w:line="288" w:lineRule="auto"/>
      <w:jc w:val="both"/>
    </w:pPr>
    <w:rPr>
      <w:rFonts w:ascii="Arial" w:eastAsia="Times New Roman" w:hAnsi="Arial" w:cs="Times New Roman"/>
      <w:sz w:val="18"/>
      <w:lang w:val="de-DE" w:eastAsia="de-DE"/>
    </w:rPr>
  </w:style>
  <w:style w:type="paragraph" w:customStyle="1" w:styleId="ColorfulShading-Accent11">
    <w:name w:val="Colorful Shading - Accent 11"/>
    <w:hidden/>
    <w:semiHidden/>
    <w:rsid w:val="002733CB"/>
    <w:pPr>
      <w:spacing w:after="0" w:line="240" w:lineRule="auto"/>
    </w:pPr>
    <w:rPr>
      <w:rFonts w:ascii="Calibri" w:eastAsia="Times New Roman" w:hAnsi="Calibri" w:cs="Times New Roman"/>
      <w:lang w:val="en-US"/>
    </w:rPr>
  </w:style>
  <w:style w:type="paragraph" w:styleId="Plandocument">
    <w:name w:val="Document Map"/>
    <w:basedOn w:val="Normal"/>
    <w:link w:val="PlandocumentCaracter"/>
    <w:semiHidden/>
    <w:rsid w:val="002733CB"/>
    <w:pPr>
      <w:shd w:val="clear" w:color="auto" w:fill="000080"/>
    </w:pPr>
    <w:rPr>
      <w:rFonts w:ascii="Times New Roman" w:eastAsia="Calibri" w:hAnsi="Times New Roman" w:cs="Times New Roman"/>
      <w:sz w:val="2"/>
      <w:lang w:val="en-US"/>
    </w:rPr>
  </w:style>
  <w:style w:type="character" w:customStyle="1" w:styleId="PlandocumentCaracter">
    <w:name w:val="Plan document Caracter"/>
    <w:basedOn w:val="Fontdeparagrafimplicit"/>
    <w:link w:val="Plandocument"/>
    <w:semiHidden/>
    <w:rsid w:val="002733CB"/>
    <w:rPr>
      <w:rFonts w:ascii="Times New Roman" w:eastAsia="Calibri" w:hAnsi="Times New Roman" w:cs="Times New Roman"/>
      <w:sz w:val="2"/>
      <w:szCs w:val="20"/>
      <w:shd w:val="clear" w:color="auto" w:fill="000080"/>
      <w:lang w:val="en-US"/>
    </w:rPr>
  </w:style>
  <w:style w:type="paragraph" w:customStyle="1" w:styleId="astandardp9">
    <w:name w:val="a_standard_p9"/>
    <w:basedOn w:val="Normal"/>
    <w:rsid w:val="002733CB"/>
    <w:pPr>
      <w:spacing w:after="120" w:line="240" w:lineRule="auto"/>
      <w:jc w:val="both"/>
    </w:pPr>
    <w:rPr>
      <w:rFonts w:ascii="Times New Roman" w:eastAsia="Times New Roman" w:hAnsi="Times New Roman" w:cs="Times New Roman"/>
      <w:sz w:val="24"/>
      <w:szCs w:val="24"/>
      <w:lang w:val="en-GB" w:eastAsia="en-GB"/>
    </w:rPr>
  </w:style>
  <w:style w:type="character" w:customStyle="1" w:styleId="IntenseEmphasis1">
    <w:name w:val="Intense Emphasis1"/>
    <w:uiPriority w:val="21"/>
    <w:qFormat/>
    <w:rsid w:val="002733CB"/>
    <w:rPr>
      <w:b/>
      <w:bCs/>
      <w:i/>
      <w:iCs/>
      <w:color w:val="4F81BD"/>
    </w:rPr>
  </w:style>
  <w:style w:type="paragraph" w:customStyle="1" w:styleId="BodyText1">
    <w:name w:val="Body Text1"/>
    <w:rsid w:val="002733CB"/>
    <w:pPr>
      <w:spacing w:after="120" w:line="360" w:lineRule="auto"/>
    </w:pPr>
    <w:rPr>
      <w:rFonts w:ascii="Times New Roman" w:eastAsia="Times New Roman" w:hAnsi="Times New Roman" w:cs="Times New Roman"/>
      <w:szCs w:val="20"/>
      <w:lang w:val="en-GB"/>
    </w:rPr>
  </w:style>
  <w:style w:type="table" w:styleId="Listcolorat-Accentuare3">
    <w:name w:val="Colorful List Accent 3"/>
    <w:basedOn w:val="TabelNormal"/>
    <w:uiPriority w:val="72"/>
    <w:rsid w:val="002733CB"/>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zuire">
    <w:name w:val="Revision"/>
    <w:hidden/>
    <w:uiPriority w:val="99"/>
    <w:semiHidden/>
    <w:rsid w:val="002733CB"/>
    <w:pPr>
      <w:spacing w:after="0" w:line="240" w:lineRule="auto"/>
    </w:pPr>
    <w:rPr>
      <w:rFonts w:ascii="Calibri" w:eastAsia="Times New Roman" w:hAnsi="Calibri" w:cs="Times New Roman"/>
      <w:lang w:val="en-US"/>
    </w:rPr>
  </w:style>
  <w:style w:type="paragraph" w:styleId="PreformatatHTML">
    <w:name w:val="HTML Preformatted"/>
    <w:basedOn w:val="Normal"/>
    <w:link w:val="PreformatatHTMLCaracter"/>
    <w:uiPriority w:val="99"/>
    <w:unhideWhenUsed/>
    <w:rsid w:val="0027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US"/>
    </w:rPr>
  </w:style>
  <w:style w:type="character" w:customStyle="1" w:styleId="PreformatatHTMLCaracter">
    <w:name w:val="Preformatat HTML Caracter"/>
    <w:basedOn w:val="Fontdeparagrafimplicit"/>
    <w:link w:val="PreformatatHTML"/>
    <w:uiPriority w:val="99"/>
    <w:rsid w:val="002733CB"/>
    <w:rPr>
      <w:rFonts w:ascii="Courier New" w:eastAsia="Times New Roman" w:hAnsi="Courier New" w:cs="Courier New"/>
      <w:sz w:val="20"/>
      <w:szCs w:val="20"/>
      <w:lang w:val="en-US"/>
    </w:rPr>
  </w:style>
  <w:style w:type="character" w:customStyle="1" w:styleId="apple-converted-space">
    <w:name w:val="apple-converted-space"/>
    <w:basedOn w:val="Fontdeparagrafimplicit"/>
    <w:rsid w:val="00251DD4"/>
  </w:style>
  <w:style w:type="table" w:customStyle="1" w:styleId="TableGrid5">
    <w:name w:val="Table Grid5"/>
    <w:basedOn w:val="TabelNormal"/>
    <w:next w:val="GrilTabel"/>
    <w:uiPriority w:val="59"/>
    <w:rsid w:val="004B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Fontdeparagrafimplicit"/>
    <w:uiPriority w:val="99"/>
    <w:rsid w:val="00DA2514"/>
    <w:rPr>
      <w:rFonts w:ascii="Times New Roman" w:hAnsi="Times New Roman" w:cs="Times New Roman"/>
      <w:color w:val="000000"/>
      <w:sz w:val="20"/>
      <w:szCs w:val="20"/>
    </w:rPr>
  </w:style>
  <w:style w:type="table" w:styleId="Listcolorat-Accentuare1">
    <w:name w:val="Colorful List Accent 1"/>
    <w:basedOn w:val="TabelNormal"/>
    <w:uiPriority w:val="72"/>
    <w:rsid w:val="00566CAC"/>
    <w:pPr>
      <w:spacing w:after="0" w:line="240" w:lineRule="auto"/>
    </w:pPr>
    <w:rPr>
      <w:color w:val="000000" w:themeColor="text1"/>
    </w:rPr>
    <w:tblPr>
      <w:tblStyleRowBandSize w:val="1"/>
      <w:tblStyleColBandSize w:val="1"/>
    </w:tblPr>
    <w:tcPr>
      <w:shd w:val="clear" w:color="auto" w:fill="DEFFFD" w:themeFill="accent1" w:themeFillTint="19"/>
    </w:tcPr>
    <w:tblStylePr w:type="firstRow">
      <w:rPr>
        <w:b/>
        <w:bCs/>
        <w:color w:val="FFFFFF" w:themeColor="background1"/>
      </w:rPr>
      <w:tblPr/>
      <w:tcPr>
        <w:tcBorders>
          <w:bottom w:val="single" w:sz="12" w:space="0" w:color="FFFFFF" w:themeColor="background1"/>
        </w:tcBorders>
        <w:shd w:val="clear" w:color="auto" w:fill="002D84" w:themeFill="accent2" w:themeFillShade="CC"/>
      </w:tcPr>
    </w:tblStylePr>
    <w:tblStylePr w:type="lastRow">
      <w:rPr>
        <w:b/>
        <w:bCs/>
        <w:color w:val="002D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C" w:themeFill="accent1" w:themeFillTint="3F"/>
      </w:tcPr>
    </w:tblStylePr>
    <w:tblStylePr w:type="band1Horz">
      <w:tblPr/>
      <w:tcPr>
        <w:shd w:val="clear" w:color="auto" w:fill="BCFFFC"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Segoe U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1" w:qFormat="1"/>
    <w:lsdException w:name="annotation reference" w:uiPriority="0"/>
    <w:lsdException w:name="page number" w:uiPriority="0"/>
    <w:lsdException w:name="List Bullet" w:uiPriority="36"/>
    <w:lsdException w:name="List 5" w:uiPriority="0"/>
    <w:lsdException w:name="List Bullet 2" w:uiPriority="36"/>
    <w:lsdException w:name="List Bullet 3" w:uiPriority="36"/>
    <w:lsdException w:name="List Bullet 4" w:uiPriority="36"/>
    <w:lsdException w:name="List Bullet 5" w:uiPriority="36"/>
    <w:lsdException w:name="Title" w:semiHidden="0" w:uiPriority="0" w:unhideWhenUsed="0" w:qFormat="1"/>
    <w:lsdException w:name="Default Paragraph Font" w:uiPriority="1"/>
    <w:lsdException w:name="Subtitle" w:semiHidden="0" w:uiPriority="11" w:unhideWhenUsed="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3D effects 2"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21577"/>
  </w:style>
  <w:style w:type="paragraph" w:styleId="Titlu1">
    <w:name w:val="heading 1"/>
    <w:basedOn w:val="Normal"/>
    <w:next w:val="Normal"/>
    <w:link w:val="Titlu1Caracter"/>
    <w:qFormat/>
    <w:rsid w:val="006A114F"/>
    <w:pPr>
      <w:keepNext/>
      <w:numPr>
        <w:numId w:val="15"/>
      </w:numPr>
      <w:spacing w:after="160"/>
      <w:outlineLvl w:val="0"/>
    </w:pPr>
    <w:rPr>
      <w:rFonts w:ascii="Verdana" w:eastAsiaTheme="majorEastAsia" w:hAnsi="Verdana" w:cstheme="majorBidi"/>
      <w:b/>
      <w:bCs/>
      <w:noProof/>
      <w:color w:val="0090D0"/>
      <w:sz w:val="28"/>
      <w:szCs w:val="28"/>
      <w:lang w:val="en-GB"/>
    </w:rPr>
  </w:style>
  <w:style w:type="paragraph" w:styleId="Titlu2">
    <w:name w:val="heading 2"/>
    <w:basedOn w:val="Normal"/>
    <w:next w:val="Normal"/>
    <w:link w:val="Titlu2Caracter"/>
    <w:unhideWhenUsed/>
    <w:qFormat/>
    <w:rsid w:val="008D28E2"/>
    <w:pPr>
      <w:keepNext/>
      <w:numPr>
        <w:ilvl w:val="1"/>
        <w:numId w:val="15"/>
      </w:numPr>
      <w:spacing w:after="120"/>
      <w:outlineLvl w:val="1"/>
    </w:pPr>
    <w:rPr>
      <w:rFonts w:asciiTheme="majorHAnsi" w:eastAsiaTheme="majorEastAsia" w:hAnsiTheme="majorHAnsi" w:cstheme="majorBidi"/>
      <w:b/>
      <w:bCs/>
      <w:color w:val="F06050"/>
      <w:sz w:val="26"/>
      <w:szCs w:val="26"/>
    </w:rPr>
  </w:style>
  <w:style w:type="paragraph" w:styleId="Titlu3">
    <w:name w:val="heading 3"/>
    <w:basedOn w:val="Normal"/>
    <w:next w:val="Normal"/>
    <w:link w:val="Titlu3Caracter"/>
    <w:unhideWhenUsed/>
    <w:qFormat/>
    <w:rsid w:val="008D28E2"/>
    <w:pPr>
      <w:keepNext/>
      <w:numPr>
        <w:ilvl w:val="2"/>
        <w:numId w:val="15"/>
      </w:numPr>
      <w:spacing w:after="120"/>
      <w:outlineLvl w:val="2"/>
    </w:pPr>
    <w:rPr>
      <w:rFonts w:asciiTheme="majorHAnsi" w:hAnsiTheme="majorHAnsi"/>
      <w:color w:val="506070"/>
      <w:sz w:val="24"/>
    </w:rPr>
  </w:style>
  <w:style w:type="paragraph" w:styleId="Titlu4">
    <w:name w:val="heading 4"/>
    <w:basedOn w:val="Normal"/>
    <w:next w:val="Normal"/>
    <w:link w:val="Titlu4Caracter"/>
    <w:unhideWhenUsed/>
    <w:qFormat/>
    <w:rsid w:val="008D28E2"/>
    <w:pPr>
      <w:keepNext/>
      <w:numPr>
        <w:ilvl w:val="3"/>
        <w:numId w:val="15"/>
      </w:numPr>
      <w:spacing w:after="120"/>
      <w:ind w:left="1219"/>
      <w:outlineLvl w:val="3"/>
    </w:pPr>
    <w:rPr>
      <w:rFonts w:asciiTheme="majorHAnsi" w:hAnsiTheme="majorHAnsi"/>
      <w:bCs/>
      <w:iCs/>
      <w:color w:val="808070"/>
    </w:rPr>
  </w:style>
  <w:style w:type="paragraph" w:styleId="Titlu5">
    <w:name w:val="heading 5"/>
    <w:basedOn w:val="Normal"/>
    <w:next w:val="Normal"/>
    <w:link w:val="Titlu5Caracter"/>
    <w:unhideWhenUsed/>
    <w:qFormat/>
    <w:rsid w:val="000D2606"/>
    <w:pPr>
      <w:keepNext/>
      <w:numPr>
        <w:numId w:val="20"/>
      </w:numPr>
      <w:spacing w:after="120"/>
      <w:outlineLvl w:val="4"/>
    </w:pPr>
    <w:rPr>
      <w:rFonts w:asciiTheme="majorHAnsi" w:hAnsiTheme="majorHAnsi"/>
    </w:rPr>
  </w:style>
  <w:style w:type="paragraph" w:styleId="Titlu6">
    <w:name w:val="heading 6"/>
    <w:basedOn w:val="Normal"/>
    <w:next w:val="Normal"/>
    <w:link w:val="Titlu6Caracter"/>
    <w:unhideWhenUsed/>
    <w:qFormat/>
    <w:rsid w:val="00B94909"/>
    <w:pPr>
      <w:keepNext/>
      <w:numPr>
        <w:ilvl w:val="5"/>
        <w:numId w:val="15"/>
      </w:numPr>
      <w:spacing w:after="120"/>
      <w:outlineLvl w:val="5"/>
    </w:pPr>
    <w:rPr>
      <w:rFonts w:asciiTheme="majorHAnsi" w:hAnsiTheme="majorHAnsi"/>
      <w:iCs/>
    </w:rPr>
  </w:style>
  <w:style w:type="paragraph" w:styleId="Titlu7">
    <w:name w:val="heading 7"/>
    <w:basedOn w:val="Normal"/>
    <w:next w:val="Normal"/>
    <w:link w:val="Titlu7Caracter"/>
    <w:unhideWhenUsed/>
    <w:qFormat/>
    <w:rsid w:val="00B94909"/>
    <w:pPr>
      <w:keepNext/>
      <w:numPr>
        <w:ilvl w:val="6"/>
        <w:numId w:val="15"/>
      </w:numPr>
      <w:spacing w:after="120"/>
      <w:outlineLvl w:val="6"/>
    </w:pPr>
    <w:rPr>
      <w:rFonts w:asciiTheme="majorHAnsi" w:eastAsiaTheme="majorEastAsia" w:hAnsiTheme="majorHAnsi" w:cstheme="majorBidi"/>
      <w:iCs/>
    </w:rPr>
  </w:style>
  <w:style w:type="paragraph" w:styleId="Titlu8">
    <w:name w:val="heading 8"/>
    <w:basedOn w:val="Normal"/>
    <w:next w:val="Normal"/>
    <w:link w:val="Titlu8Caracter"/>
    <w:unhideWhenUsed/>
    <w:qFormat/>
    <w:rsid w:val="00B94909"/>
    <w:pPr>
      <w:keepNext/>
      <w:numPr>
        <w:ilvl w:val="7"/>
        <w:numId w:val="15"/>
      </w:numPr>
      <w:spacing w:after="120"/>
      <w:outlineLvl w:val="7"/>
    </w:pPr>
    <w:rPr>
      <w:rFonts w:asciiTheme="majorHAnsi" w:hAnsiTheme="majorHAnsi"/>
    </w:rPr>
  </w:style>
  <w:style w:type="paragraph" w:styleId="Titlu9">
    <w:name w:val="heading 9"/>
    <w:basedOn w:val="Normal"/>
    <w:next w:val="Normal"/>
    <w:link w:val="Titlu9Caracter"/>
    <w:unhideWhenUsed/>
    <w:qFormat/>
    <w:rsid w:val="00B94909"/>
    <w:pPr>
      <w:keepNext/>
      <w:numPr>
        <w:ilvl w:val="8"/>
        <w:numId w:val="18"/>
      </w:numPr>
      <w:spacing w:after="120"/>
      <w:ind w:left="1928" w:hanging="1928"/>
      <w:outlineLvl w:val="8"/>
    </w:pPr>
    <w:rPr>
      <w:rFonts w:asciiTheme="majorHAnsi" w:hAnsiTheme="majorHAns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A114F"/>
    <w:rPr>
      <w:rFonts w:ascii="Verdana" w:eastAsiaTheme="majorEastAsia" w:hAnsi="Verdana" w:cstheme="majorBidi"/>
      <w:b/>
      <w:bCs/>
      <w:noProof/>
      <w:color w:val="0090D0"/>
      <w:sz w:val="28"/>
      <w:szCs w:val="28"/>
      <w:lang w:val="en-GB"/>
    </w:rPr>
  </w:style>
  <w:style w:type="character" w:customStyle="1" w:styleId="Titlu2Caracter">
    <w:name w:val="Titlu 2 Caracter"/>
    <w:basedOn w:val="Fontdeparagrafimplicit"/>
    <w:link w:val="Titlu2"/>
    <w:rsid w:val="008D28E2"/>
    <w:rPr>
      <w:rFonts w:asciiTheme="majorHAnsi" w:eastAsiaTheme="majorEastAsia" w:hAnsiTheme="majorHAnsi" w:cstheme="majorBidi"/>
      <w:b/>
      <w:bCs/>
      <w:color w:val="F06050"/>
      <w:sz w:val="26"/>
      <w:szCs w:val="26"/>
    </w:rPr>
  </w:style>
  <w:style w:type="character" w:customStyle="1" w:styleId="Titlu3Caracter">
    <w:name w:val="Titlu 3 Caracter"/>
    <w:basedOn w:val="Fontdeparagrafimplicit"/>
    <w:link w:val="Titlu3"/>
    <w:rsid w:val="008D28E2"/>
    <w:rPr>
      <w:rFonts w:asciiTheme="majorHAnsi" w:hAnsiTheme="majorHAnsi"/>
      <w:color w:val="506070"/>
      <w:sz w:val="24"/>
    </w:rPr>
  </w:style>
  <w:style w:type="paragraph" w:styleId="Corptext">
    <w:name w:val="Body Text"/>
    <w:basedOn w:val="Normal"/>
    <w:link w:val="CorptextCaracter"/>
    <w:uiPriority w:val="99"/>
    <w:unhideWhenUsed/>
    <w:rsid w:val="00CD0A8B"/>
    <w:pPr>
      <w:spacing w:after="120"/>
    </w:pPr>
  </w:style>
  <w:style w:type="character" w:customStyle="1" w:styleId="CorptextCaracter">
    <w:name w:val="Corp text Caracter"/>
    <w:basedOn w:val="Fontdeparagrafimplicit"/>
    <w:link w:val="Corptext"/>
    <w:uiPriority w:val="99"/>
    <w:rsid w:val="00CD0A8B"/>
    <w:rPr>
      <w:rFonts w:asciiTheme="minorHAnsi" w:hAnsiTheme="minorHAnsi"/>
    </w:rPr>
  </w:style>
  <w:style w:type="paragraph" w:styleId="Indentnormal">
    <w:name w:val="Normal Indent"/>
    <w:basedOn w:val="Normal"/>
    <w:uiPriority w:val="99"/>
    <w:unhideWhenUsed/>
    <w:rsid w:val="00CD0A8B"/>
    <w:pPr>
      <w:ind w:left="708"/>
    </w:pPr>
  </w:style>
  <w:style w:type="paragraph" w:styleId="Corptext2">
    <w:name w:val="Body Text 2"/>
    <w:basedOn w:val="Normal"/>
    <w:link w:val="Corptext2Caracter"/>
    <w:uiPriority w:val="99"/>
    <w:unhideWhenUsed/>
    <w:rsid w:val="00CD0A8B"/>
    <w:pPr>
      <w:spacing w:after="120" w:line="480" w:lineRule="auto"/>
    </w:pPr>
  </w:style>
  <w:style w:type="character" w:customStyle="1" w:styleId="Corptext2Caracter">
    <w:name w:val="Corp text 2 Caracter"/>
    <w:basedOn w:val="Fontdeparagrafimplicit"/>
    <w:link w:val="Corptext2"/>
    <w:uiPriority w:val="99"/>
    <w:rsid w:val="00CD0A8B"/>
    <w:rPr>
      <w:rFonts w:asciiTheme="minorHAnsi" w:hAnsiTheme="minorHAnsi"/>
    </w:rPr>
  </w:style>
  <w:style w:type="paragraph" w:styleId="Corptext3">
    <w:name w:val="Body Text 3"/>
    <w:basedOn w:val="Normal"/>
    <w:link w:val="Corptext3Caracter"/>
    <w:uiPriority w:val="99"/>
    <w:unhideWhenUsed/>
    <w:rsid w:val="00CD0A8B"/>
    <w:pPr>
      <w:spacing w:after="120"/>
    </w:pPr>
    <w:rPr>
      <w:sz w:val="16"/>
      <w:szCs w:val="16"/>
    </w:rPr>
  </w:style>
  <w:style w:type="character" w:customStyle="1" w:styleId="Corptext3Caracter">
    <w:name w:val="Corp text 3 Caracter"/>
    <w:basedOn w:val="Fontdeparagrafimplicit"/>
    <w:link w:val="Corptext3"/>
    <w:uiPriority w:val="99"/>
    <w:rsid w:val="00CD0A8B"/>
    <w:rPr>
      <w:rFonts w:asciiTheme="minorHAnsi" w:hAnsiTheme="minorHAnsi"/>
      <w:sz w:val="16"/>
      <w:szCs w:val="16"/>
    </w:rPr>
  </w:style>
  <w:style w:type="paragraph" w:styleId="Indentcorptext2">
    <w:name w:val="Body Text Indent 2"/>
    <w:basedOn w:val="Normal"/>
    <w:link w:val="Indentcorptext2Caracter"/>
    <w:uiPriority w:val="99"/>
    <w:unhideWhenUsed/>
    <w:rsid w:val="00CD0A8B"/>
    <w:pPr>
      <w:spacing w:after="120" w:line="480" w:lineRule="auto"/>
      <w:ind w:left="283"/>
    </w:pPr>
  </w:style>
  <w:style w:type="character" w:customStyle="1" w:styleId="Indentcorptext2Caracter">
    <w:name w:val="Indent corp text 2 Caracter"/>
    <w:basedOn w:val="Fontdeparagrafimplicit"/>
    <w:link w:val="Indentcorptext2"/>
    <w:uiPriority w:val="99"/>
    <w:rsid w:val="00CD0A8B"/>
    <w:rPr>
      <w:rFonts w:asciiTheme="minorHAnsi" w:hAnsiTheme="minorHAnsi"/>
    </w:rPr>
  </w:style>
  <w:style w:type="paragraph" w:styleId="Indentcorptext3">
    <w:name w:val="Body Text Indent 3"/>
    <w:basedOn w:val="Normal"/>
    <w:link w:val="Indentcorptext3Caracter"/>
    <w:uiPriority w:val="99"/>
    <w:unhideWhenUsed/>
    <w:rsid w:val="00CD0A8B"/>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CD0A8B"/>
    <w:rPr>
      <w:rFonts w:asciiTheme="minorHAnsi" w:hAnsiTheme="minorHAnsi"/>
      <w:sz w:val="16"/>
      <w:szCs w:val="16"/>
    </w:rPr>
  </w:style>
  <w:style w:type="paragraph" w:styleId="Primindentpentrucorptext">
    <w:name w:val="Body Text First Indent"/>
    <w:basedOn w:val="Corptext"/>
    <w:link w:val="PrimindentpentrucorptextCaracter"/>
    <w:uiPriority w:val="99"/>
    <w:unhideWhenUsed/>
    <w:rsid w:val="00CD0A8B"/>
    <w:pPr>
      <w:spacing w:after="200"/>
      <w:ind w:firstLine="360"/>
    </w:pPr>
  </w:style>
  <w:style w:type="character" w:customStyle="1" w:styleId="PrimindentpentrucorptextCaracter">
    <w:name w:val="Prim indent pentru corp text Caracter"/>
    <w:basedOn w:val="CorptextCaracter"/>
    <w:link w:val="Primindentpentrucorptext"/>
    <w:uiPriority w:val="99"/>
    <w:rsid w:val="00CD0A8B"/>
    <w:rPr>
      <w:rFonts w:asciiTheme="minorHAnsi" w:hAnsiTheme="minorHAnsi"/>
    </w:rPr>
  </w:style>
  <w:style w:type="paragraph" w:styleId="Returplic">
    <w:name w:val="envelope return"/>
    <w:basedOn w:val="Normal"/>
    <w:uiPriority w:val="99"/>
    <w:unhideWhenUsed/>
    <w:rsid w:val="00CD0A8B"/>
    <w:pPr>
      <w:spacing w:after="0" w:line="240" w:lineRule="auto"/>
    </w:pPr>
    <w:rPr>
      <w:rFonts w:asciiTheme="majorHAnsi" w:eastAsiaTheme="majorEastAsia" w:hAnsiTheme="majorHAnsi" w:cstheme="majorBidi"/>
    </w:rPr>
  </w:style>
  <w:style w:type="paragraph" w:styleId="Frspaiere">
    <w:name w:val="No Spacing"/>
    <w:basedOn w:val="Normal"/>
    <w:uiPriority w:val="1"/>
    <w:rsid w:val="00B94909"/>
    <w:pPr>
      <w:spacing w:after="0"/>
    </w:pPr>
  </w:style>
  <w:style w:type="paragraph" w:styleId="Titlu">
    <w:name w:val="Title"/>
    <w:basedOn w:val="Normal"/>
    <w:next w:val="Normal"/>
    <w:link w:val="TitluCaracter"/>
    <w:qFormat/>
    <w:rsid w:val="00B94909"/>
    <w:pPr>
      <w:keepNext/>
      <w:spacing w:after="160"/>
    </w:pPr>
    <w:rPr>
      <w:rFonts w:asciiTheme="majorHAnsi" w:eastAsiaTheme="majorEastAsia" w:hAnsiTheme="majorHAnsi" w:cstheme="majorBidi"/>
      <w:spacing w:val="5"/>
      <w:kern w:val="28"/>
      <w:sz w:val="28"/>
      <w:szCs w:val="28"/>
    </w:rPr>
  </w:style>
  <w:style w:type="character" w:customStyle="1" w:styleId="TitluCaracter">
    <w:name w:val="Titlu Caracter"/>
    <w:basedOn w:val="Fontdeparagrafimplicit"/>
    <w:link w:val="Titlu"/>
    <w:rsid w:val="00B94909"/>
    <w:rPr>
      <w:rFonts w:asciiTheme="majorHAnsi" w:eastAsiaTheme="majorEastAsia" w:hAnsiTheme="majorHAnsi" w:cstheme="majorBidi"/>
      <w:spacing w:val="5"/>
      <w:kern w:val="28"/>
      <w:sz w:val="28"/>
      <w:szCs w:val="28"/>
    </w:rPr>
  </w:style>
  <w:style w:type="character" w:customStyle="1" w:styleId="Titlu4Caracter">
    <w:name w:val="Titlu 4 Caracter"/>
    <w:basedOn w:val="Fontdeparagrafimplicit"/>
    <w:link w:val="Titlu4"/>
    <w:rsid w:val="008D28E2"/>
    <w:rPr>
      <w:rFonts w:asciiTheme="majorHAnsi" w:hAnsiTheme="majorHAnsi"/>
      <w:bCs/>
      <w:iCs/>
      <w:color w:val="808070"/>
    </w:rPr>
  </w:style>
  <w:style w:type="character" w:styleId="Robust">
    <w:name w:val="Strong"/>
    <w:basedOn w:val="Fontdeparagrafimplicit"/>
    <w:uiPriority w:val="22"/>
    <w:qFormat/>
    <w:rsid w:val="00B94909"/>
    <w:rPr>
      <w:b/>
      <w:bCs/>
    </w:rPr>
  </w:style>
  <w:style w:type="character" w:customStyle="1" w:styleId="Titlu5Caracter">
    <w:name w:val="Titlu 5 Caracter"/>
    <w:basedOn w:val="Fontdeparagrafimplicit"/>
    <w:link w:val="Titlu5"/>
    <w:rsid w:val="000D2606"/>
    <w:rPr>
      <w:rFonts w:asciiTheme="majorHAnsi" w:hAnsiTheme="majorHAnsi"/>
      <w:sz w:val="20"/>
      <w:szCs w:val="20"/>
    </w:rPr>
  </w:style>
  <w:style w:type="character" w:customStyle="1" w:styleId="Titlu6Caracter">
    <w:name w:val="Titlu 6 Caracter"/>
    <w:basedOn w:val="Fontdeparagrafimplicit"/>
    <w:link w:val="Titlu6"/>
    <w:rsid w:val="00B94909"/>
    <w:rPr>
      <w:rFonts w:asciiTheme="majorHAnsi" w:hAnsiTheme="majorHAnsi"/>
      <w:iCs/>
      <w:sz w:val="20"/>
      <w:szCs w:val="20"/>
    </w:rPr>
  </w:style>
  <w:style w:type="character" w:customStyle="1" w:styleId="Titlu7Caracter">
    <w:name w:val="Titlu 7 Caracter"/>
    <w:basedOn w:val="Fontdeparagrafimplicit"/>
    <w:link w:val="Titlu7"/>
    <w:rsid w:val="00B94909"/>
    <w:rPr>
      <w:rFonts w:asciiTheme="majorHAnsi" w:eastAsiaTheme="majorEastAsia" w:hAnsiTheme="majorHAnsi" w:cstheme="majorBidi"/>
      <w:iCs/>
      <w:sz w:val="20"/>
      <w:szCs w:val="20"/>
    </w:rPr>
  </w:style>
  <w:style w:type="character" w:customStyle="1" w:styleId="Titlu8Caracter">
    <w:name w:val="Titlu 8 Caracter"/>
    <w:basedOn w:val="Fontdeparagrafimplicit"/>
    <w:link w:val="Titlu8"/>
    <w:rsid w:val="00B94909"/>
    <w:rPr>
      <w:rFonts w:asciiTheme="majorHAnsi" w:hAnsiTheme="majorHAnsi"/>
      <w:sz w:val="20"/>
      <w:szCs w:val="20"/>
    </w:rPr>
  </w:style>
  <w:style w:type="character" w:customStyle="1" w:styleId="Titlu9Caracter">
    <w:name w:val="Titlu 9 Caracter"/>
    <w:basedOn w:val="Fontdeparagrafimplicit"/>
    <w:link w:val="Titlu9"/>
    <w:rsid w:val="00B94909"/>
    <w:rPr>
      <w:rFonts w:asciiTheme="majorHAnsi" w:hAnsiTheme="majorHAnsi"/>
      <w:iCs/>
      <w:sz w:val="20"/>
      <w:szCs w:val="20"/>
    </w:rPr>
  </w:style>
  <w:style w:type="paragraph" w:styleId="Citat">
    <w:name w:val="Quote"/>
    <w:basedOn w:val="Normal"/>
    <w:next w:val="Normal"/>
    <w:link w:val="CitatCaracter"/>
    <w:uiPriority w:val="29"/>
    <w:rsid w:val="00B94909"/>
    <w:pPr>
      <w:ind w:left="1134"/>
    </w:pPr>
    <w:rPr>
      <w:i/>
      <w:iCs/>
      <w:color w:val="000000" w:themeColor="text1"/>
    </w:rPr>
  </w:style>
  <w:style w:type="character" w:customStyle="1" w:styleId="CitatCaracter">
    <w:name w:val="Citat Caracter"/>
    <w:basedOn w:val="Fontdeparagrafimplicit"/>
    <w:link w:val="Citat"/>
    <w:uiPriority w:val="29"/>
    <w:rsid w:val="00B94909"/>
    <w:rPr>
      <w:rFonts w:asciiTheme="minorHAnsi" w:hAnsiTheme="minorHAnsi"/>
      <w:i/>
      <w:iCs/>
      <w:color w:val="000000" w:themeColor="text1"/>
      <w:sz w:val="20"/>
      <w:szCs w:val="20"/>
    </w:rPr>
  </w:style>
  <w:style w:type="paragraph" w:styleId="Titlucuprins">
    <w:name w:val="TOC Heading"/>
    <w:basedOn w:val="Titlu1"/>
    <w:next w:val="Normal"/>
    <w:uiPriority w:val="39"/>
    <w:unhideWhenUsed/>
    <w:qFormat/>
    <w:rsid w:val="00982F52"/>
    <w:pPr>
      <w:numPr>
        <w:numId w:val="0"/>
      </w:numPr>
      <w:pBdr>
        <w:bottom w:val="single" w:sz="8" w:space="2" w:color="506070" w:themeColor="text2"/>
      </w:pBdr>
      <w:outlineLvl w:val="9"/>
    </w:pPr>
  </w:style>
  <w:style w:type="paragraph" w:styleId="Subtitlu">
    <w:name w:val="Subtitle"/>
    <w:basedOn w:val="Normal"/>
    <w:next w:val="Normal"/>
    <w:link w:val="SubtitluCaracter"/>
    <w:uiPriority w:val="11"/>
    <w:rsid w:val="00B94909"/>
    <w:pPr>
      <w:keepNext/>
      <w:numPr>
        <w:ilvl w:val="1"/>
      </w:numPr>
      <w:spacing w:after="120" w:line="288" w:lineRule="auto"/>
    </w:pPr>
    <w:rPr>
      <w:rFonts w:eastAsiaTheme="majorEastAsia" w:cstheme="majorBidi"/>
      <w:iCs/>
      <w:color w:val="595959" w:themeColor="text1" w:themeTint="A6"/>
      <w:spacing w:val="15"/>
      <w:szCs w:val="24"/>
    </w:rPr>
  </w:style>
  <w:style w:type="character" w:customStyle="1" w:styleId="SubtitluCaracter">
    <w:name w:val="Subtitlu Caracter"/>
    <w:basedOn w:val="Fontdeparagrafimplicit"/>
    <w:link w:val="Subtitlu"/>
    <w:uiPriority w:val="11"/>
    <w:rsid w:val="00B94909"/>
    <w:rPr>
      <w:rFonts w:asciiTheme="minorHAnsi" w:eastAsiaTheme="majorEastAsia" w:hAnsiTheme="minorHAnsi" w:cstheme="majorBidi"/>
      <w:iCs/>
      <w:color w:val="595959" w:themeColor="text1" w:themeTint="A6"/>
      <w:spacing w:val="15"/>
      <w:szCs w:val="24"/>
    </w:rPr>
  </w:style>
  <w:style w:type="numbering" w:customStyle="1" w:styleId="AFAnnexList">
    <w:name w:val="AF Annex List"/>
    <w:uiPriority w:val="99"/>
    <w:rsid w:val="00505F9C"/>
  </w:style>
  <w:style w:type="paragraph" w:styleId="TextnBalon">
    <w:name w:val="Balloon Text"/>
    <w:basedOn w:val="Normal"/>
    <w:link w:val="TextnBalonCaracter"/>
    <w:unhideWhenUsed/>
    <w:rsid w:val="001076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1076EB"/>
    <w:rPr>
      <w:rFonts w:ascii="Tahoma" w:hAnsi="Tahoma" w:cs="Tahoma"/>
      <w:sz w:val="16"/>
      <w:szCs w:val="16"/>
    </w:rPr>
  </w:style>
  <w:style w:type="paragraph" w:styleId="Legend">
    <w:name w:val="caption"/>
    <w:aliases w:val="~Caption"/>
    <w:basedOn w:val="Normal"/>
    <w:next w:val="Normal"/>
    <w:uiPriority w:val="1"/>
    <w:unhideWhenUsed/>
    <w:qFormat/>
    <w:rsid w:val="00B94909"/>
    <w:pPr>
      <w:pBdr>
        <w:bottom w:val="single" w:sz="6" w:space="4" w:color="595959" w:themeColor="text1" w:themeTint="A6"/>
      </w:pBdr>
      <w:spacing w:before="120" w:after="280" w:line="240" w:lineRule="auto"/>
    </w:pPr>
    <w:rPr>
      <w:bCs/>
      <w:color w:val="262626" w:themeColor="text1" w:themeTint="D9"/>
      <w:sz w:val="18"/>
      <w:szCs w:val="18"/>
    </w:rPr>
  </w:style>
  <w:style w:type="paragraph" w:styleId="Tabeldefiguri">
    <w:name w:val="table of figures"/>
    <w:basedOn w:val="Cuprins3"/>
    <w:next w:val="Normal"/>
    <w:uiPriority w:val="99"/>
    <w:unhideWhenUsed/>
    <w:rsid w:val="00DF3E87"/>
  </w:style>
  <w:style w:type="character" w:styleId="Hyperlink">
    <w:name w:val="Hyperlink"/>
    <w:basedOn w:val="Fontdeparagrafimplicit"/>
    <w:uiPriority w:val="99"/>
    <w:unhideWhenUsed/>
    <w:rsid w:val="001076EB"/>
    <w:rPr>
      <w:color w:val="5F5F5F" w:themeColor="hyperlink"/>
      <w:u w:val="single"/>
    </w:rPr>
  </w:style>
  <w:style w:type="character" w:styleId="Accentuat">
    <w:name w:val="Emphasis"/>
    <w:basedOn w:val="Fontdeparagrafimplicit"/>
    <w:uiPriority w:val="20"/>
    <w:qFormat/>
    <w:rsid w:val="00B94909"/>
    <w:rPr>
      <w:i/>
      <w:iCs/>
    </w:rPr>
  </w:style>
  <w:style w:type="character" w:styleId="Accentuareintens">
    <w:name w:val="Intense Emphasis"/>
    <w:basedOn w:val="Fontdeparagrafimplicit"/>
    <w:uiPriority w:val="21"/>
    <w:rsid w:val="00B94909"/>
    <w:rPr>
      <w:b/>
      <w:bCs/>
      <w:i/>
      <w:iCs/>
      <w:color w:val="00B1AC" w:themeColor="accent1"/>
    </w:rPr>
  </w:style>
  <w:style w:type="character" w:styleId="Accentuaresubtil">
    <w:name w:val="Subtle Emphasis"/>
    <w:basedOn w:val="Fontdeparagrafimplicit"/>
    <w:uiPriority w:val="19"/>
    <w:rsid w:val="007B5033"/>
    <w:rPr>
      <w:i/>
      <w:iCs/>
      <w:color w:val="595959" w:themeColor="text1" w:themeTint="A6"/>
    </w:rPr>
  </w:style>
  <w:style w:type="paragraph" w:styleId="Citatintens">
    <w:name w:val="Intense Quote"/>
    <w:basedOn w:val="Normal"/>
    <w:next w:val="Normal"/>
    <w:link w:val="CitatintensCaracter"/>
    <w:uiPriority w:val="30"/>
    <w:rsid w:val="00B94909"/>
    <w:pPr>
      <w:pBdr>
        <w:top w:val="single" w:sz="4" w:space="1" w:color="00B1AC" w:themeColor="accent1"/>
        <w:bottom w:val="single" w:sz="4" w:space="4" w:color="00B1AC" w:themeColor="accent1"/>
      </w:pBdr>
      <w:spacing w:after="280"/>
      <w:ind w:left="1134"/>
    </w:pPr>
    <w:rPr>
      <w:b/>
      <w:bCs/>
      <w:i/>
      <w:iCs/>
      <w:color w:val="00B1AC" w:themeColor="accent1"/>
    </w:rPr>
  </w:style>
  <w:style w:type="character" w:customStyle="1" w:styleId="CitatintensCaracter">
    <w:name w:val="Citat intens Caracter"/>
    <w:basedOn w:val="Fontdeparagrafimplicit"/>
    <w:link w:val="Citatintens"/>
    <w:uiPriority w:val="30"/>
    <w:rsid w:val="00B94909"/>
    <w:rPr>
      <w:rFonts w:asciiTheme="minorHAnsi" w:hAnsiTheme="minorHAnsi"/>
      <w:b/>
      <w:bCs/>
      <w:i/>
      <w:iCs/>
      <w:color w:val="00B1AC" w:themeColor="accent1"/>
      <w:sz w:val="20"/>
      <w:szCs w:val="20"/>
    </w:rPr>
  </w:style>
  <w:style w:type="character" w:styleId="Referiresubtil">
    <w:name w:val="Subtle Reference"/>
    <w:basedOn w:val="Fontdeparagrafimplicit"/>
    <w:uiPriority w:val="31"/>
    <w:rsid w:val="00B94909"/>
    <w:rPr>
      <w:smallCaps/>
      <w:color w:val="595959" w:themeColor="text1" w:themeTint="A6"/>
      <w:u w:val="none"/>
      <w:bdr w:val="none" w:sz="0" w:space="0" w:color="auto"/>
    </w:rPr>
  </w:style>
  <w:style w:type="character" w:styleId="Referireintens">
    <w:name w:val="Intense Reference"/>
    <w:basedOn w:val="Fontdeparagrafimplicit"/>
    <w:uiPriority w:val="32"/>
    <w:rsid w:val="00B94909"/>
    <w:rPr>
      <w:b/>
      <w:bCs/>
      <w:caps w:val="0"/>
      <w:smallCaps/>
      <w:color w:val="00B1AC" w:themeColor="accent1"/>
      <w:spacing w:val="5"/>
      <w:u w:val="none"/>
      <w:bdr w:val="none" w:sz="0" w:space="0" w:color="auto"/>
    </w:rPr>
  </w:style>
  <w:style w:type="character" w:styleId="Titlulcrii">
    <w:name w:val="Book Title"/>
    <w:basedOn w:val="Fontdeparagrafimplicit"/>
    <w:uiPriority w:val="33"/>
    <w:rsid w:val="00D6598B"/>
    <w:rPr>
      <w:b/>
      <w:bCs/>
      <w:smallCaps/>
      <w:spacing w:val="5"/>
    </w:rPr>
  </w:style>
  <w:style w:type="paragraph" w:styleId="Listparagraf">
    <w:name w:val="List Paragraph"/>
    <w:aliases w:val="List1,List Paragraph1,Numbered Indented Text,List Paragraph Char Char Char,List Paragraph Char Char,Bullet 1,lp1,List Paragraph11,Colorful List - Accent 11"/>
    <w:basedOn w:val="Normal"/>
    <w:link w:val="ListparagrafCaracter"/>
    <w:uiPriority w:val="34"/>
    <w:qFormat/>
    <w:rsid w:val="00ED1DEA"/>
    <w:pPr>
      <w:contextualSpacing/>
    </w:pPr>
  </w:style>
  <w:style w:type="paragraph" w:styleId="Cuprins1">
    <w:name w:val="toc 1"/>
    <w:basedOn w:val="Normal"/>
    <w:next w:val="Normal"/>
    <w:uiPriority w:val="39"/>
    <w:unhideWhenUsed/>
    <w:qFormat/>
    <w:rsid w:val="00200576"/>
    <w:pPr>
      <w:tabs>
        <w:tab w:val="left" w:pos="851"/>
        <w:tab w:val="right" w:leader="dot" w:pos="9514"/>
      </w:tabs>
      <w:spacing w:before="240" w:after="0"/>
      <w:ind w:left="851" w:hanging="851"/>
    </w:pPr>
    <w:rPr>
      <w:b/>
      <w:noProof/>
      <w:sz w:val="24"/>
      <w:lang w:val="en-GB"/>
    </w:rPr>
  </w:style>
  <w:style w:type="paragraph" w:styleId="Cuprins2">
    <w:name w:val="toc 2"/>
    <w:basedOn w:val="Normal"/>
    <w:next w:val="Normal"/>
    <w:uiPriority w:val="39"/>
    <w:unhideWhenUsed/>
    <w:qFormat/>
    <w:rsid w:val="00177664"/>
    <w:pPr>
      <w:tabs>
        <w:tab w:val="left" w:pos="851"/>
        <w:tab w:val="right" w:leader="dot" w:pos="9515"/>
      </w:tabs>
      <w:spacing w:before="160" w:after="0"/>
      <w:ind w:left="851" w:hanging="851"/>
    </w:pPr>
    <w:rPr>
      <w:b/>
      <w:noProof/>
      <w:lang w:val="en-GB"/>
    </w:rPr>
  </w:style>
  <w:style w:type="paragraph" w:styleId="Cuprins3">
    <w:name w:val="toc 3"/>
    <w:basedOn w:val="Normal"/>
    <w:next w:val="Normal"/>
    <w:uiPriority w:val="39"/>
    <w:unhideWhenUsed/>
    <w:qFormat/>
    <w:rsid w:val="00177664"/>
    <w:pPr>
      <w:tabs>
        <w:tab w:val="left" w:pos="851"/>
        <w:tab w:val="right" w:leader="dot" w:pos="9515"/>
      </w:tabs>
      <w:spacing w:after="0"/>
      <w:ind w:left="851" w:hanging="851"/>
    </w:pPr>
    <w:rPr>
      <w:noProof/>
      <w:lang w:val="en-GB"/>
    </w:rPr>
  </w:style>
  <w:style w:type="paragraph" w:styleId="Cuprins4">
    <w:name w:val="toc 4"/>
    <w:basedOn w:val="Cuprins8"/>
    <w:next w:val="Normal"/>
    <w:uiPriority w:val="39"/>
    <w:unhideWhenUsed/>
    <w:rsid w:val="00177664"/>
    <w:pPr>
      <w:spacing w:after="0"/>
      <w:ind w:left="851" w:hanging="851"/>
    </w:pPr>
  </w:style>
  <w:style w:type="paragraph" w:styleId="Cuprins5">
    <w:name w:val="toc 5"/>
    <w:basedOn w:val="Normal"/>
    <w:next w:val="Normal"/>
    <w:uiPriority w:val="39"/>
    <w:unhideWhenUsed/>
    <w:rsid w:val="00982F52"/>
    <w:pPr>
      <w:spacing w:after="100"/>
      <w:ind w:left="851" w:hanging="851"/>
    </w:pPr>
  </w:style>
  <w:style w:type="paragraph" w:styleId="Cuprins6">
    <w:name w:val="toc 6"/>
    <w:basedOn w:val="Normal"/>
    <w:next w:val="Normal"/>
    <w:uiPriority w:val="39"/>
    <w:semiHidden/>
    <w:unhideWhenUsed/>
    <w:rsid w:val="00982F52"/>
    <w:pPr>
      <w:spacing w:after="100"/>
    </w:pPr>
  </w:style>
  <w:style w:type="paragraph" w:styleId="Cuprins7">
    <w:name w:val="toc 7"/>
    <w:basedOn w:val="Normal"/>
    <w:next w:val="Normal"/>
    <w:uiPriority w:val="39"/>
    <w:semiHidden/>
    <w:unhideWhenUsed/>
    <w:rsid w:val="00982F52"/>
    <w:pPr>
      <w:spacing w:after="100"/>
    </w:pPr>
  </w:style>
  <w:style w:type="paragraph" w:styleId="Cuprins8">
    <w:name w:val="toc 8"/>
    <w:basedOn w:val="Normal"/>
    <w:next w:val="Normal"/>
    <w:uiPriority w:val="39"/>
    <w:unhideWhenUsed/>
    <w:rsid w:val="00982F52"/>
  </w:style>
  <w:style w:type="paragraph" w:styleId="Cuprins9">
    <w:name w:val="toc 9"/>
    <w:basedOn w:val="Normal"/>
    <w:next w:val="Normal"/>
    <w:uiPriority w:val="39"/>
    <w:semiHidden/>
    <w:unhideWhenUsed/>
    <w:rsid w:val="00982F52"/>
    <w:pPr>
      <w:spacing w:after="100"/>
    </w:pPr>
  </w:style>
  <w:style w:type="paragraph" w:styleId="Antetmesaj">
    <w:name w:val="Message Header"/>
    <w:basedOn w:val="Normal"/>
    <w:link w:val="AntetmesajCaracter"/>
    <w:uiPriority w:val="99"/>
    <w:unhideWhenUsed/>
    <w:rsid w:val="005560E8"/>
    <w:pPr>
      <w:pBdr>
        <w:top w:val="single" w:sz="6" w:space="1" w:color="506070" w:themeColor="text2"/>
        <w:bottom w:val="single" w:sz="6" w:space="1" w:color="506070" w:themeColor="text2"/>
      </w:pBdr>
      <w:shd w:val="clear" w:color="auto" w:fill="C4ECFF" w:themeFill="accent3" w:themeFillTint="33"/>
      <w:spacing w:line="240" w:lineRule="auto"/>
      <w:ind w:left="1134" w:hanging="1134"/>
    </w:pPr>
    <w:rPr>
      <w:rFonts w:asciiTheme="majorHAnsi" w:eastAsiaTheme="majorEastAsia" w:hAnsiTheme="majorHAnsi" w:cstheme="majorBidi"/>
      <w:sz w:val="24"/>
      <w:szCs w:val="24"/>
    </w:rPr>
  </w:style>
  <w:style w:type="character" w:customStyle="1" w:styleId="AntetmesajCaracter">
    <w:name w:val="Antet mesaj Caracter"/>
    <w:basedOn w:val="Fontdeparagrafimplicit"/>
    <w:link w:val="Antetmesaj"/>
    <w:uiPriority w:val="99"/>
    <w:rsid w:val="005560E8"/>
    <w:rPr>
      <w:rFonts w:asciiTheme="majorHAnsi" w:eastAsiaTheme="majorEastAsia" w:hAnsiTheme="majorHAnsi" w:cstheme="majorBidi"/>
      <w:sz w:val="24"/>
      <w:szCs w:val="24"/>
      <w:shd w:val="clear" w:color="auto" w:fill="C4ECFF" w:themeFill="accent3" w:themeFillTint="33"/>
    </w:rPr>
  </w:style>
  <w:style w:type="paragraph" w:styleId="Listcumarcatori">
    <w:name w:val="List Bullet"/>
    <w:basedOn w:val="Normal"/>
    <w:uiPriority w:val="36"/>
    <w:rsid w:val="00302DB3"/>
    <w:pPr>
      <w:numPr>
        <w:numId w:val="1"/>
      </w:numPr>
      <w:spacing w:after="120"/>
      <w:ind w:left="284" w:hanging="284"/>
      <w:contextualSpacing/>
      <w:outlineLvl w:val="0"/>
    </w:pPr>
  </w:style>
  <w:style w:type="paragraph" w:styleId="Listacumarcatori2">
    <w:name w:val="List Bullet 2"/>
    <w:basedOn w:val="Listcumarcatori"/>
    <w:uiPriority w:val="36"/>
    <w:unhideWhenUsed/>
    <w:rsid w:val="00302DB3"/>
    <w:pPr>
      <w:numPr>
        <w:numId w:val="2"/>
      </w:numPr>
      <w:ind w:left="568" w:hanging="284"/>
      <w:outlineLvl w:val="1"/>
    </w:pPr>
  </w:style>
  <w:style w:type="paragraph" w:styleId="Listacumarcatori3">
    <w:name w:val="List Bullet 3"/>
    <w:basedOn w:val="Listacumarcatori2"/>
    <w:uiPriority w:val="36"/>
    <w:unhideWhenUsed/>
    <w:rsid w:val="00302DB3"/>
    <w:pPr>
      <w:numPr>
        <w:numId w:val="3"/>
      </w:numPr>
      <w:ind w:left="851" w:hanging="284"/>
      <w:outlineLvl w:val="2"/>
    </w:pPr>
  </w:style>
  <w:style w:type="paragraph" w:styleId="Listacumarcatori4">
    <w:name w:val="List Bullet 4"/>
    <w:basedOn w:val="Listacumarcatori3"/>
    <w:uiPriority w:val="36"/>
    <w:unhideWhenUsed/>
    <w:rsid w:val="00E30DED"/>
    <w:pPr>
      <w:numPr>
        <w:numId w:val="4"/>
      </w:numPr>
      <w:ind w:left="1135" w:hanging="284"/>
    </w:pPr>
  </w:style>
  <w:style w:type="paragraph" w:styleId="Listacumarcatori5">
    <w:name w:val="List Bullet 5"/>
    <w:basedOn w:val="Listacumarcatori4"/>
    <w:uiPriority w:val="36"/>
    <w:unhideWhenUsed/>
    <w:rsid w:val="00E30DED"/>
    <w:pPr>
      <w:numPr>
        <w:numId w:val="5"/>
      </w:numPr>
      <w:ind w:left="1418" w:hanging="284"/>
    </w:pPr>
  </w:style>
  <w:style w:type="table" w:styleId="Umbriredeculoaredeschis-Accentuare3">
    <w:name w:val="Light Shading Accent 3"/>
    <w:basedOn w:val="TabelNormal"/>
    <w:uiPriority w:val="60"/>
    <w:rsid w:val="00670354"/>
    <w:pPr>
      <w:spacing w:after="0" w:line="240" w:lineRule="auto"/>
    </w:pPr>
    <w:rPr>
      <w:color w:val="006FA4" w:themeColor="accent3" w:themeShade="BF"/>
    </w:rPr>
    <w:tblPr>
      <w:tblStyleRowBandSize w:val="1"/>
      <w:tblStyleColBandSize w:val="1"/>
      <w:tblBorders>
        <w:top w:val="single" w:sz="8" w:space="0" w:color="0096DB" w:themeColor="accent3"/>
        <w:bottom w:val="single" w:sz="8" w:space="0" w:color="0096DB" w:themeColor="accent3"/>
      </w:tblBorders>
    </w:tblPr>
    <w:tblStylePr w:type="firstRow">
      <w:pPr>
        <w:spacing w:before="0" w:after="0" w:line="240" w:lineRule="auto"/>
      </w:pPr>
      <w:rPr>
        <w:b/>
        <w:bCs/>
      </w:rPr>
      <w:tblPr/>
      <w:tcPr>
        <w:tcBorders>
          <w:top w:val="single" w:sz="8" w:space="0" w:color="0096DB" w:themeColor="accent3"/>
          <w:left w:val="nil"/>
          <w:bottom w:val="single" w:sz="8" w:space="0" w:color="0096DB" w:themeColor="accent3"/>
          <w:right w:val="nil"/>
          <w:insideH w:val="nil"/>
          <w:insideV w:val="nil"/>
        </w:tcBorders>
      </w:tcPr>
    </w:tblStylePr>
    <w:tblStylePr w:type="lastRow">
      <w:pPr>
        <w:spacing w:before="0" w:after="0" w:line="240" w:lineRule="auto"/>
      </w:pPr>
      <w:rPr>
        <w:b/>
        <w:bCs/>
      </w:rPr>
      <w:tblPr/>
      <w:tcPr>
        <w:tcBorders>
          <w:top w:val="single" w:sz="8" w:space="0" w:color="0096DB" w:themeColor="accent3"/>
          <w:left w:val="nil"/>
          <w:bottom w:val="single" w:sz="8" w:space="0" w:color="0096D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hemeFill="accent3" w:themeFillTint="3F"/>
      </w:tcPr>
    </w:tblStylePr>
    <w:tblStylePr w:type="band1Horz">
      <w:tblPr/>
      <w:tcPr>
        <w:tcBorders>
          <w:left w:val="nil"/>
          <w:right w:val="nil"/>
          <w:insideH w:val="nil"/>
          <w:insideV w:val="nil"/>
        </w:tcBorders>
        <w:shd w:val="clear" w:color="auto" w:fill="B7E8FF" w:themeFill="accent3" w:themeFillTint="3F"/>
      </w:tcPr>
    </w:tblStylePr>
  </w:style>
  <w:style w:type="table" w:styleId="Umbriredeculoaredeschis-Accentuare2">
    <w:name w:val="Light Shading Accent 2"/>
    <w:basedOn w:val="TabelNormal"/>
    <w:uiPriority w:val="60"/>
    <w:rsid w:val="00670354"/>
    <w:pPr>
      <w:spacing w:after="0" w:line="240" w:lineRule="auto"/>
    </w:pPr>
    <w:rPr>
      <w:color w:val="002A7C" w:themeColor="accent2" w:themeShade="BF"/>
    </w:rPr>
    <w:tblPr>
      <w:tblStyleRowBandSize w:val="1"/>
      <w:tblStyleColBandSize w:val="1"/>
      <w:tblBorders>
        <w:top w:val="single" w:sz="8" w:space="0" w:color="0039A6" w:themeColor="accent2"/>
        <w:bottom w:val="single" w:sz="8" w:space="0" w:color="0039A6" w:themeColor="accent2"/>
      </w:tblBorders>
    </w:tblPr>
    <w:tblStylePr w:type="firstRow">
      <w:pPr>
        <w:spacing w:before="0" w:after="0" w:line="240" w:lineRule="auto"/>
      </w:pPr>
      <w:rPr>
        <w:b/>
        <w:bCs/>
      </w:rPr>
      <w:tblPr/>
      <w:tcPr>
        <w:tcBorders>
          <w:top w:val="single" w:sz="8" w:space="0" w:color="0039A6" w:themeColor="accent2"/>
          <w:left w:val="nil"/>
          <w:bottom w:val="single" w:sz="8" w:space="0" w:color="0039A6" w:themeColor="accent2"/>
          <w:right w:val="nil"/>
          <w:insideH w:val="nil"/>
          <w:insideV w:val="nil"/>
        </w:tcBorders>
      </w:tcPr>
    </w:tblStylePr>
    <w:tblStylePr w:type="lastRow">
      <w:pPr>
        <w:spacing w:before="0" w:after="0" w:line="240" w:lineRule="auto"/>
      </w:pPr>
      <w:rPr>
        <w:b/>
        <w:bCs/>
      </w:rPr>
      <w:tblPr/>
      <w:tcPr>
        <w:tcBorders>
          <w:top w:val="single" w:sz="8" w:space="0" w:color="0039A6" w:themeColor="accent2"/>
          <w:left w:val="nil"/>
          <w:bottom w:val="single" w:sz="8" w:space="0" w:color="0039A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C7FF" w:themeFill="accent2" w:themeFillTint="3F"/>
      </w:tcPr>
    </w:tblStylePr>
    <w:tblStylePr w:type="band1Horz">
      <w:tblPr/>
      <w:tcPr>
        <w:tcBorders>
          <w:left w:val="nil"/>
          <w:right w:val="nil"/>
          <w:insideH w:val="nil"/>
          <w:insideV w:val="nil"/>
        </w:tcBorders>
        <w:shd w:val="clear" w:color="auto" w:fill="AAC7FF" w:themeFill="accent2" w:themeFillTint="3F"/>
      </w:tcPr>
    </w:tblStylePr>
  </w:style>
  <w:style w:type="table" w:styleId="Umbriredeculoaredeschis-Accentuare4">
    <w:name w:val="Light Shading Accent 4"/>
    <w:basedOn w:val="TabelNormal"/>
    <w:uiPriority w:val="60"/>
    <w:rsid w:val="00670354"/>
    <w:pPr>
      <w:spacing w:after="0" w:line="240" w:lineRule="auto"/>
    </w:pPr>
    <w:rPr>
      <w:color w:val="4B8C1E" w:themeColor="accent4" w:themeShade="BF"/>
    </w:rPr>
    <w:tblPr>
      <w:tblStyleRowBandSize w:val="1"/>
      <w:tblStyleColBandSize w:val="1"/>
      <w:tblBorders>
        <w:top w:val="single" w:sz="8" w:space="0" w:color="66BC29" w:themeColor="accent4"/>
        <w:bottom w:val="single" w:sz="8" w:space="0" w:color="66BC29" w:themeColor="accent4"/>
      </w:tblBorders>
    </w:tblPr>
    <w:tblStylePr w:type="firstRow">
      <w:pPr>
        <w:spacing w:before="0" w:after="0" w:line="240" w:lineRule="auto"/>
      </w:pPr>
      <w:rPr>
        <w:b/>
        <w:bCs/>
      </w:rPr>
      <w:tblPr/>
      <w:tcPr>
        <w:tcBorders>
          <w:top w:val="single" w:sz="8" w:space="0" w:color="66BC29" w:themeColor="accent4"/>
          <w:left w:val="nil"/>
          <w:bottom w:val="single" w:sz="8" w:space="0" w:color="66BC29" w:themeColor="accent4"/>
          <w:right w:val="nil"/>
          <w:insideH w:val="nil"/>
          <w:insideV w:val="nil"/>
        </w:tcBorders>
      </w:tcPr>
    </w:tblStylePr>
    <w:tblStylePr w:type="lastRow">
      <w:pPr>
        <w:spacing w:before="0" w:after="0" w:line="240" w:lineRule="auto"/>
      </w:pPr>
      <w:rPr>
        <w:b/>
        <w:bCs/>
      </w:rPr>
      <w:tblPr/>
      <w:tcPr>
        <w:tcBorders>
          <w:top w:val="single" w:sz="8" w:space="0" w:color="66BC29" w:themeColor="accent4"/>
          <w:left w:val="nil"/>
          <w:bottom w:val="single" w:sz="8" w:space="0" w:color="66BC2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2C5" w:themeFill="accent4" w:themeFillTint="3F"/>
      </w:tcPr>
    </w:tblStylePr>
    <w:tblStylePr w:type="band1Horz">
      <w:tblPr/>
      <w:tcPr>
        <w:tcBorders>
          <w:left w:val="nil"/>
          <w:right w:val="nil"/>
          <w:insideH w:val="nil"/>
          <w:insideV w:val="nil"/>
        </w:tcBorders>
        <w:shd w:val="clear" w:color="auto" w:fill="D8F2C5" w:themeFill="accent4" w:themeFillTint="3F"/>
      </w:tcPr>
    </w:tblStylePr>
  </w:style>
  <w:style w:type="table" w:styleId="Umbriredeculoaredeschis-Accentuare5">
    <w:name w:val="Light Shading Accent 5"/>
    <w:basedOn w:val="TabelNormal"/>
    <w:uiPriority w:val="60"/>
    <w:rsid w:val="00670354"/>
    <w:pPr>
      <w:spacing w:after="0" w:line="240" w:lineRule="auto"/>
    </w:pPr>
    <w:rPr>
      <w:color w:val="801D7D" w:themeColor="accent5" w:themeShade="BF"/>
    </w:rPr>
    <w:tblPr>
      <w:tblStyleRowBandSize w:val="1"/>
      <w:tblStyleColBandSize w:val="1"/>
      <w:tblBorders>
        <w:top w:val="single" w:sz="8" w:space="0" w:color="AC27A8" w:themeColor="accent5"/>
        <w:bottom w:val="single" w:sz="8" w:space="0" w:color="AC27A8" w:themeColor="accent5"/>
      </w:tblBorders>
    </w:tblPr>
    <w:tblStylePr w:type="firstRow">
      <w:pPr>
        <w:spacing w:before="0" w:after="0" w:line="240" w:lineRule="auto"/>
      </w:pPr>
      <w:rPr>
        <w:b/>
        <w:bCs/>
      </w:rPr>
      <w:tblPr/>
      <w:tcPr>
        <w:tcBorders>
          <w:top w:val="single" w:sz="8" w:space="0" w:color="AC27A8" w:themeColor="accent5"/>
          <w:left w:val="nil"/>
          <w:bottom w:val="single" w:sz="8" w:space="0" w:color="AC27A8" w:themeColor="accent5"/>
          <w:right w:val="nil"/>
          <w:insideH w:val="nil"/>
          <w:insideV w:val="nil"/>
        </w:tcBorders>
      </w:tcPr>
    </w:tblStylePr>
    <w:tblStylePr w:type="lastRow">
      <w:pPr>
        <w:spacing w:before="0" w:after="0" w:line="240" w:lineRule="auto"/>
      </w:pPr>
      <w:rPr>
        <w:b/>
        <w:bCs/>
      </w:rPr>
      <w:tblPr/>
      <w:tcPr>
        <w:tcBorders>
          <w:top w:val="single" w:sz="8" w:space="0" w:color="AC27A8" w:themeColor="accent5"/>
          <w:left w:val="nil"/>
          <w:bottom w:val="single" w:sz="8" w:space="0" w:color="AC27A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2EF" w:themeFill="accent5" w:themeFillTint="3F"/>
      </w:tcPr>
    </w:tblStylePr>
    <w:tblStylePr w:type="band1Horz">
      <w:tblPr/>
      <w:tcPr>
        <w:tcBorders>
          <w:left w:val="nil"/>
          <w:right w:val="nil"/>
          <w:insideH w:val="nil"/>
          <w:insideV w:val="nil"/>
        </w:tcBorders>
        <w:shd w:val="clear" w:color="auto" w:fill="F1C2EF" w:themeFill="accent5" w:themeFillTint="3F"/>
      </w:tcPr>
    </w:tblStylePr>
  </w:style>
  <w:style w:type="table" w:customStyle="1" w:styleId="LightShading-Accent11">
    <w:name w:val="Light Shading - Accent 11"/>
    <w:basedOn w:val="TabelNormal"/>
    <w:uiPriority w:val="60"/>
    <w:rsid w:val="00670354"/>
    <w:pPr>
      <w:spacing w:after="0" w:line="240" w:lineRule="auto"/>
    </w:pPr>
    <w:rPr>
      <w:color w:val="008480" w:themeColor="accent1" w:themeShade="BF"/>
    </w:rPr>
    <w:tblPr>
      <w:tblStyleRowBandSize w:val="1"/>
      <w:tblStyleColBandSize w:val="1"/>
      <w:tblBorders>
        <w:top w:val="single" w:sz="8" w:space="0" w:color="00B1AC" w:themeColor="accent1"/>
        <w:bottom w:val="single" w:sz="8" w:space="0" w:color="00B1AC" w:themeColor="accent1"/>
      </w:tblBorders>
    </w:tblPr>
    <w:tblStylePr w:type="firstRow">
      <w:pPr>
        <w:spacing w:before="0" w:after="0" w:line="240" w:lineRule="auto"/>
      </w:pPr>
      <w:rPr>
        <w:b/>
        <w:bCs/>
      </w:rPr>
      <w:tblPr/>
      <w:tcPr>
        <w:tcBorders>
          <w:top w:val="single" w:sz="8" w:space="0" w:color="00B1AC" w:themeColor="accent1"/>
          <w:left w:val="nil"/>
          <w:bottom w:val="single" w:sz="8" w:space="0" w:color="00B1AC" w:themeColor="accent1"/>
          <w:right w:val="nil"/>
          <w:insideH w:val="nil"/>
          <w:insideV w:val="nil"/>
        </w:tcBorders>
      </w:tcPr>
    </w:tblStylePr>
    <w:tblStylePr w:type="lastRow">
      <w:pPr>
        <w:spacing w:before="0" w:after="0" w:line="240" w:lineRule="auto"/>
      </w:pPr>
      <w:rPr>
        <w:b/>
        <w:bCs/>
      </w:rPr>
      <w:tblPr/>
      <w:tcPr>
        <w:tcBorders>
          <w:top w:val="single" w:sz="8" w:space="0" w:color="00B1AC" w:themeColor="accent1"/>
          <w:left w:val="nil"/>
          <w:bottom w:val="single" w:sz="8" w:space="0" w:color="00B1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1" w:themeFillTint="3F"/>
      </w:tcPr>
    </w:tblStylePr>
    <w:tblStylePr w:type="band1Horz">
      <w:tblPr/>
      <w:tcPr>
        <w:tcBorders>
          <w:left w:val="nil"/>
          <w:right w:val="nil"/>
          <w:insideH w:val="nil"/>
          <w:insideV w:val="nil"/>
        </w:tcBorders>
        <w:shd w:val="clear" w:color="auto" w:fill="ACFFFC" w:themeFill="accent1" w:themeFillTint="3F"/>
      </w:tcPr>
    </w:tblStylePr>
  </w:style>
  <w:style w:type="table" w:customStyle="1" w:styleId="LightShading1">
    <w:name w:val="Light Shading1"/>
    <w:basedOn w:val="TabelNormal"/>
    <w:uiPriority w:val="60"/>
    <w:rsid w:val="006703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elNormal"/>
    <w:uiPriority w:val="61"/>
    <w:rsid w:val="00AC1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5">
    <w:name w:val="Light List Accent 5"/>
    <w:basedOn w:val="TabelNormal"/>
    <w:uiPriority w:val="61"/>
    <w:rsid w:val="00235B4B"/>
    <w:pPr>
      <w:spacing w:after="0" w:line="240" w:lineRule="auto"/>
    </w:pPr>
    <w:tblPr>
      <w:tblStyleRowBandSize w:val="1"/>
      <w:tblStyleColBandSize w:val="1"/>
      <w:tblBorders>
        <w:top w:val="single" w:sz="8" w:space="0" w:color="AC27A8" w:themeColor="accent5"/>
        <w:left w:val="single" w:sz="8" w:space="0" w:color="AC27A8" w:themeColor="accent5"/>
        <w:bottom w:val="single" w:sz="8" w:space="0" w:color="AC27A8" w:themeColor="accent5"/>
        <w:right w:val="single" w:sz="8" w:space="0" w:color="AC27A8" w:themeColor="accent5"/>
      </w:tblBorders>
    </w:tblPr>
    <w:tblStylePr w:type="firstRow">
      <w:pPr>
        <w:spacing w:before="0" w:after="0" w:line="240" w:lineRule="auto"/>
      </w:pPr>
      <w:rPr>
        <w:b/>
        <w:bCs/>
        <w:color w:val="FFFFFF" w:themeColor="background1"/>
      </w:rPr>
      <w:tblPr/>
      <w:tcPr>
        <w:shd w:val="clear" w:color="auto" w:fill="AC27A8" w:themeFill="accent5"/>
      </w:tcPr>
    </w:tblStylePr>
    <w:tblStylePr w:type="lastRow">
      <w:pPr>
        <w:spacing w:before="0" w:after="0" w:line="240" w:lineRule="auto"/>
      </w:pPr>
      <w:rPr>
        <w:b/>
        <w:bCs/>
      </w:rPr>
      <w:tblPr/>
      <w:tcPr>
        <w:tcBorders>
          <w:top w:val="double" w:sz="6" w:space="0" w:color="AC27A8" w:themeColor="accent5"/>
          <w:left w:val="single" w:sz="8" w:space="0" w:color="AC27A8" w:themeColor="accent5"/>
          <w:bottom w:val="single" w:sz="8" w:space="0" w:color="AC27A8" w:themeColor="accent5"/>
          <w:right w:val="single" w:sz="8" w:space="0" w:color="AC27A8" w:themeColor="accent5"/>
        </w:tcBorders>
      </w:tcPr>
    </w:tblStylePr>
    <w:tblStylePr w:type="firstCol">
      <w:rPr>
        <w:b/>
        <w:bCs/>
      </w:rPr>
    </w:tblStylePr>
    <w:tblStylePr w:type="lastCol">
      <w:rPr>
        <w:b/>
        <w:bCs/>
      </w:rPr>
    </w:tblStylePr>
    <w:tblStylePr w:type="band1Vert">
      <w:tblPr/>
      <w:tcPr>
        <w:tcBorders>
          <w:top w:val="single" w:sz="8" w:space="0" w:color="AC27A8" w:themeColor="accent5"/>
          <w:left w:val="single" w:sz="8" w:space="0" w:color="AC27A8" w:themeColor="accent5"/>
          <w:bottom w:val="single" w:sz="8" w:space="0" w:color="AC27A8" w:themeColor="accent5"/>
          <w:right w:val="single" w:sz="8" w:space="0" w:color="AC27A8" w:themeColor="accent5"/>
        </w:tcBorders>
      </w:tcPr>
    </w:tblStylePr>
    <w:tblStylePr w:type="band1Horz">
      <w:tblPr/>
      <w:tcPr>
        <w:tcBorders>
          <w:top w:val="single" w:sz="8" w:space="0" w:color="AC27A8" w:themeColor="accent5"/>
          <w:left w:val="single" w:sz="8" w:space="0" w:color="AC27A8" w:themeColor="accent5"/>
          <w:bottom w:val="single" w:sz="8" w:space="0" w:color="AC27A8" w:themeColor="accent5"/>
          <w:right w:val="single" w:sz="8" w:space="0" w:color="AC27A8" w:themeColor="accent5"/>
        </w:tcBorders>
      </w:tcPr>
    </w:tblStylePr>
  </w:style>
  <w:style w:type="table" w:styleId="Listdeculoaredeschis-Accentuare4">
    <w:name w:val="Light List Accent 4"/>
    <w:basedOn w:val="TabelNormal"/>
    <w:uiPriority w:val="61"/>
    <w:rsid w:val="00AC1122"/>
    <w:pPr>
      <w:spacing w:after="0" w:line="240" w:lineRule="auto"/>
    </w:pPr>
    <w:tblPr>
      <w:tblStyleRowBandSize w:val="1"/>
      <w:tblStyleColBandSize w:val="1"/>
      <w:tblBorders>
        <w:top w:val="single" w:sz="8" w:space="0" w:color="66BC29" w:themeColor="accent4"/>
        <w:left w:val="single" w:sz="8" w:space="0" w:color="66BC29" w:themeColor="accent4"/>
        <w:bottom w:val="single" w:sz="8" w:space="0" w:color="66BC29" w:themeColor="accent4"/>
        <w:right w:val="single" w:sz="8" w:space="0" w:color="66BC29" w:themeColor="accent4"/>
      </w:tblBorders>
    </w:tblPr>
    <w:tblStylePr w:type="firstRow">
      <w:pPr>
        <w:spacing w:before="0" w:after="0" w:line="240" w:lineRule="auto"/>
      </w:pPr>
      <w:rPr>
        <w:b/>
        <w:bCs/>
        <w:color w:val="FFFFFF" w:themeColor="background1"/>
      </w:rPr>
      <w:tblPr/>
      <w:tcPr>
        <w:shd w:val="clear" w:color="auto" w:fill="66BC29" w:themeFill="accent4"/>
      </w:tcPr>
    </w:tblStylePr>
    <w:tblStylePr w:type="lastRow">
      <w:pPr>
        <w:spacing w:before="0" w:after="0" w:line="240" w:lineRule="auto"/>
      </w:pPr>
      <w:rPr>
        <w:b/>
        <w:bCs/>
      </w:rPr>
      <w:tblPr/>
      <w:tcPr>
        <w:tcBorders>
          <w:top w:val="double" w:sz="6" w:space="0" w:color="66BC29" w:themeColor="accent4"/>
          <w:left w:val="single" w:sz="8" w:space="0" w:color="66BC29" w:themeColor="accent4"/>
          <w:bottom w:val="single" w:sz="8" w:space="0" w:color="66BC29" w:themeColor="accent4"/>
          <w:right w:val="single" w:sz="8" w:space="0" w:color="66BC29" w:themeColor="accent4"/>
        </w:tcBorders>
      </w:tcPr>
    </w:tblStylePr>
    <w:tblStylePr w:type="firstCol">
      <w:rPr>
        <w:b/>
        <w:bCs/>
      </w:rPr>
    </w:tblStylePr>
    <w:tblStylePr w:type="lastCol">
      <w:rPr>
        <w:b/>
        <w:bCs/>
      </w:rPr>
    </w:tblStylePr>
    <w:tblStylePr w:type="band1Vert">
      <w:tblPr/>
      <w:tcPr>
        <w:tcBorders>
          <w:top w:val="single" w:sz="8" w:space="0" w:color="66BC29" w:themeColor="accent4"/>
          <w:left w:val="single" w:sz="8" w:space="0" w:color="66BC29" w:themeColor="accent4"/>
          <w:bottom w:val="single" w:sz="8" w:space="0" w:color="66BC29" w:themeColor="accent4"/>
          <w:right w:val="single" w:sz="8" w:space="0" w:color="66BC29" w:themeColor="accent4"/>
        </w:tcBorders>
      </w:tcPr>
    </w:tblStylePr>
    <w:tblStylePr w:type="band1Horz">
      <w:tblPr/>
      <w:tcPr>
        <w:tcBorders>
          <w:top w:val="single" w:sz="8" w:space="0" w:color="66BC29" w:themeColor="accent4"/>
          <w:left w:val="single" w:sz="8" w:space="0" w:color="66BC29" w:themeColor="accent4"/>
          <w:bottom w:val="single" w:sz="8" w:space="0" w:color="66BC29" w:themeColor="accent4"/>
          <w:right w:val="single" w:sz="8" w:space="0" w:color="66BC29" w:themeColor="accent4"/>
        </w:tcBorders>
      </w:tcPr>
    </w:tblStylePr>
  </w:style>
  <w:style w:type="table" w:customStyle="1" w:styleId="LightList-Accent11">
    <w:name w:val="Light List - Accent 11"/>
    <w:basedOn w:val="TabelNormal"/>
    <w:uiPriority w:val="61"/>
    <w:rsid w:val="00AC1122"/>
    <w:pPr>
      <w:spacing w:after="0" w:line="240" w:lineRule="auto"/>
    </w:pPr>
    <w:tblPr>
      <w:tblStyleRowBandSize w:val="1"/>
      <w:tblStyleColBandSize w:val="1"/>
      <w:tblBorders>
        <w:top w:val="single" w:sz="8" w:space="0" w:color="00B1AC" w:themeColor="accent1"/>
        <w:left w:val="single" w:sz="8" w:space="0" w:color="00B1AC" w:themeColor="accent1"/>
        <w:bottom w:val="single" w:sz="8" w:space="0" w:color="00B1AC" w:themeColor="accent1"/>
        <w:right w:val="single" w:sz="8" w:space="0" w:color="00B1AC" w:themeColor="accent1"/>
      </w:tblBorders>
    </w:tblPr>
    <w:tblStylePr w:type="firstRow">
      <w:pPr>
        <w:spacing w:before="0" w:after="0" w:line="240" w:lineRule="auto"/>
      </w:pPr>
      <w:rPr>
        <w:b/>
        <w:bCs/>
        <w:color w:val="FFFFFF" w:themeColor="background1"/>
      </w:rPr>
      <w:tblPr/>
      <w:tcPr>
        <w:shd w:val="clear" w:color="auto" w:fill="00B1AC" w:themeFill="accent1"/>
      </w:tcPr>
    </w:tblStylePr>
    <w:tblStylePr w:type="lastRow">
      <w:pPr>
        <w:spacing w:before="0" w:after="0" w:line="240" w:lineRule="auto"/>
      </w:pPr>
      <w:rPr>
        <w:b/>
        <w:bCs/>
      </w:rPr>
      <w:tblPr/>
      <w:tcPr>
        <w:tcBorders>
          <w:top w:val="double" w:sz="6" w:space="0" w:color="00B1AC" w:themeColor="accent1"/>
          <w:left w:val="single" w:sz="8" w:space="0" w:color="00B1AC" w:themeColor="accent1"/>
          <w:bottom w:val="single" w:sz="8" w:space="0" w:color="00B1AC" w:themeColor="accent1"/>
          <w:right w:val="single" w:sz="8" w:space="0" w:color="00B1AC" w:themeColor="accent1"/>
        </w:tcBorders>
      </w:tcPr>
    </w:tblStylePr>
    <w:tblStylePr w:type="firstCol">
      <w:rPr>
        <w:b/>
        <w:bCs/>
      </w:rPr>
    </w:tblStylePr>
    <w:tblStylePr w:type="lastCol">
      <w:rPr>
        <w:b/>
        <w:bCs/>
      </w:rPr>
    </w:tblStylePr>
    <w:tblStylePr w:type="band1Vert">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tblStylePr w:type="band1Horz">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style>
  <w:style w:type="table" w:styleId="Listdeculoaredeschis-Accentuare2">
    <w:name w:val="Light List Accent 2"/>
    <w:basedOn w:val="TabelNormal"/>
    <w:uiPriority w:val="61"/>
    <w:rsid w:val="008F53C6"/>
    <w:pPr>
      <w:spacing w:after="0" w:line="240" w:lineRule="auto"/>
    </w:pPr>
    <w:tblPr>
      <w:tblStyleRowBandSize w:val="1"/>
      <w:tblStyleColBandSize w:val="1"/>
      <w:tblBorders>
        <w:top w:val="single" w:sz="8" w:space="0" w:color="0039A6" w:themeColor="accent2"/>
        <w:left w:val="single" w:sz="8" w:space="0" w:color="0039A6" w:themeColor="accent2"/>
        <w:bottom w:val="single" w:sz="8" w:space="0" w:color="0039A6" w:themeColor="accent2"/>
        <w:right w:val="single" w:sz="8" w:space="0" w:color="0039A6" w:themeColor="accent2"/>
      </w:tblBorders>
    </w:tblPr>
    <w:tblStylePr w:type="firstRow">
      <w:pPr>
        <w:spacing w:before="0" w:after="0" w:line="240" w:lineRule="auto"/>
      </w:pPr>
      <w:rPr>
        <w:b/>
        <w:bCs/>
        <w:color w:val="FFFFFF" w:themeColor="background1"/>
      </w:rPr>
      <w:tblPr/>
      <w:tcPr>
        <w:shd w:val="clear" w:color="auto" w:fill="0039A6" w:themeFill="accent2"/>
      </w:tcPr>
    </w:tblStylePr>
    <w:tblStylePr w:type="lastRow">
      <w:pPr>
        <w:spacing w:before="0" w:after="0" w:line="240" w:lineRule="auto"/>
      </w:pPr>
      <w:rPr>
        <w:b/>
        <w:bCs/>
      </w:rPr>
      <w:tblPr/>
      <w:tcPr>
        <w:tcBorders>
          <w:top w:val="double" w:sz="6" w:space="0" w:color="0039A6" w:themeColor="accent2"/>
          <w:left w:val="single" w:sz="8" w:space="0" w:color="0039A6" w:themeColor="accent2"/>
          <w:bottom w:val="single" w:sz="8" w:space="0" w:color="0039A6" w:themeColor="accent2"/>
          <w:right w:val="single" w:sz="8" w:space="0" w:color="0039A6" w:themeColor="accent2"/>
        </w:tcBorders>
      </w:tcPr>
    </w:tblStylePr>
    <w:tblStylePr w:type="firstCol">
      <w:rPr>
        <w:b/>
        <w:bCs/>
      </w:rPr>
    </w:tblStylePr>
    <w:tblStylePr w:type="lastCol">
      <w:rPr>
        <w:b/>
        <w:bCs/>
      </w:rPr>
    </w:tblStylePr>
    <w:tblStylePr w:type="band1Vert">
      <w:tblPr/>
      <w:tcPr>
        <w:tcBorders>
          <w:top w:val="single" w:sz="8" w:space="0" w:color="0039A6" w:themeColor="accent2"/>
          <w:left w:val="single" w:sz="8" w:space="0" w:color="0039A6" w:themeColor="accent2"/>
          <w:bottom w:val="single" w:sz="8" w:space="0" w:color="0039A6" w:themeColor="accent2"/>
          <w:right w:val="single" w:sz="8" w:space="0" w:color="0039A6" w:themeColor="accent2"/>
        </w:tcBorders>
      </w:tcPr>
    </w:tblStylePr>
    <w:tblStylePr w:type="band1Horz">
      <w:tblPr/>
      <w:tcPr>
        <w:tcBorders>
          <w:top w:val="single" w:sz="8" w:space="0" w:color="0039A6" w:themeColor="accent2"/>
          <w:left w:val="single" w:sz="8" w:space="0" w:color="0039A6" w:themeColor="accent2"/>
          <w:bottom w:val="single" w:sz="8" w:space="0" w:color="0039A6" w:themeColor="accent2"/>
          <w:right w:val="single" w:sz="8" w:space="0" w:color="0039A6" w:themeColor="accent2"/>
        </w:tcBorders>
      </w:tcPr>
    </w:tblStylePr>
  </w:style>
  <w:style w:type="table" w:styleId="Grilmedie2-Accentuare1">
    <w:name w:val="Medium Grid 2 Accent 1"/>
    <w:basedOn w:val="TabelNormal"/>
    <w:uiPriority w:val="68"/>
    <w:rsid w:val="008F53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1AC" w:themeColor="accent1"/>
        <w:left w:val="single" w:sz="8" w:space="0" w:color="00B1AC" w:themeColor="accent1"/>
        <w:bottom w:val="single" w:sz="8" w:space="0" w:color="00B1AC" w:themeColor="accent1"/>
        <w:right w:val="single" w:sz="8" w:space="0" w:color="00B1AC" w:themeColor="accent1"/>
        <w:insideH w:val="single" w:sz="8" w:space="0" w:color="00B1AC" w:themeColor="accent1"/>
        <w:insideV w:val="single" w:sz="8" w:space="0" w:color="00B1AC" w:themeColor="accent1"/>
      </w:tblBorders>
    </w:tblPr>
    <w:tcPr>
      <w:shd w:val="clear" w:color="auto" w:fill="ACFFFC" w:themeFill="accent1" w:themeFillTint="3F"/>
    </w:tcPr>
    <w:tblStylePr w:type="firstRow">
      <w:rPr>
        <w:b/>
        <w:bCs/>
        <w:color w:val="000000" w:themeColor="text1"/>
      </w:rPr>
      <w:tblPr/>
      <w:tcPr>
        <w:shd w:val="clear" w:color="auto" w:fill="DEFF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FC" w:themeFill="accent1" w:themeFillTint="33"/>
      </w:tcPr>
    </w:tblStylePr>
    <w:tblStylePr w:type="band1Vert">
      <w:tblPr/>
      <w:tcPr>
        <w:shd w:val="clear" w:color="auto" w:fill="59FFF9" w:themeFill="accent1" w:themeFillTint="7F"/>
      </w:tcPr>
    </w:tblStylePr>
    <w:tblStylePr w:type="band1Horz">
      <w:tblPr/>
      <w:tcPr>
        <w:tcBorders>
          <w:insideH w:val="single" w:sz="6" w:space="0" w:color="00B1AC" w:themeColor="accent1"/>
          <w:insideV w:val="single" w:sz="6" w:space="0" w:color="00B1AC" w:themeColor="accent1"/>
        </w:tcBorders>
        <w:shd w:val="clear" w:color="auto" w:fill="59FFF9" w:themeFill="accent1" w:themeFillTint="7F"/>
      </w:tcPr>
    </w:tblStylePr>
    <w:tblStylePr w:type="nwCell">
      <w:tblPr/>
      <w:tcPr>
        <w:shd w:val="clear" w:color="auto" w:fill="FFFFFF" w:themeFill="background1"/>
      </w:tcPr>
    </w:tblStylePr>
  </w:style>
  <w:style w:type="paragraph" w:styleId="Textbloc">
    <w:name w:val="Block Text"/>
    <w:basedOn w:val="Normal"/>
    <w:uiPriority w:val="99"/>
    <w:unhideWhenUsed/>
    <w:rsid w:val="005560E8"/>
    <w:pPr>
      <w:keepLines/>
      <w:pBdr>
        <w:top w:val="single" w:sz="2" w:space="10" w:color="00B1AC" w:themeColor="accent1"/>
        <w:left w:val="single" w:sz="2" w:space="10" w:color="00B1AC" w:themeColor="accent1"/>
        <w:bottom w:val="single" w:sz="2" w:space="10" w:color="00B1AC" w:themeColor="accent1"/>
        <w:right w:val="single" w:sz="2" w:space="10" w:color="00B1AC" w:themeColor="accent1"/>
      </w:pBdr>
      <w:ind w:left="1151" w:right="1151"/>
    </w:pPr>
    <w:rPr>
      <w:rFonts w:eastAsiaTheme="minorEastAsia" w:cstheme="minorBidi"/>
      <w:i/>
      <w:iCs/>
      <w:color w:val="00B1AC" w:themeColor="accent1"/>
    </w:rPr>
  </w:style>
  <w:style w:type="table" w:customStyle="1" w:styleId="ColorfulList1">
    <w:name w:val="Colorful List1"/>
    <w:basedOn w:val="TabelNormal"/>
    <w:uiPriority w:val="72"/>
    <w:rsid w:val="008F53C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D84" w:themeFill="accent2" w:themeFillShade="CC"/>
      </w:tcPr>
    </w:tblStylePr>
    <w:tblStylePr w:type="lastRow">
      <w:rPr>
        <w:b/>
        <w:bCs/>
        <w:color w:val="002D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Semnturnpotaelectronic">
    <w:name w:val="E-mail Signature"/>
    <w:basedOn w:val="Normal"/>
    <w:link w:val="SemnturnpotaelectronicCaracter"/>
    <w:uiPriority w:val="99"/>
    <w:unhideWhenUsed/>
    <w:rsid w:val="00406241"/>
    <w:pPr>
      <w:spacing w:after="0" w:line="240" w:lineRule="auto"/>
    </w:pPr>
  </w:style>
  <w:style w:type="character" w:customStyle="1" w:styleId="SemnturnpotaelectronicCaracter">
    <w:name w:val="Semnătură în poșta electronică Caracter"/>
    <w:basedOn w:val="Fontdeparagrafimplicit"/>
    <w:link w:val="Semnturnpotaelectronic"/>
    <w:uiPriority w:val="99"/>
    <w:rsid w:val="00406241"/>
    <w:rPr>
      <w:rFonts w:asciiTheme="minorHAnsi" w:hAnsiTheme="minorHAnsi"/>
      <w:sz w:val="20"/>
      <w:szCs w:val="20"/>
    </w:rPr>
  </w:style>
  <w:style w:type="paragraph" w:styleId="Textnotdefinal">
    <w:name w:val="endnote text"/>
    <w:basedOn w:val="Normal"/>
    <w:link w:val="TextnotdefinalCaracter"/>
    <w:uiPriority w:val="99"/>
    <w:unhideWhenUsed/>
    <w:rsid w:val="00406241"/>
    <w:pPr>
      <w:spacing w:after="0" w:line="240" w:lineRule="auto"/>
    </w:pPr>
  </w:style>
  <w:style w:type="character" w:customStyle="1" w:styleId="TextnotdefinalCaracter">
    <w:name w:val="Text notă de final Caracter"/>
    <w:basedOn w:val="Fontdeparagrafimplicit"/>
    <w:link w:val="Textnotdefinal"/>
    <w:uiPriority w:val="99"/>
    <w:rsid w:val="00406241"/>
    <w:rPr>
      <w:rFonts w:asciiTheme="minorHAnsi" w:hAnsiTheme="minorHAnsi"/>
      <w:sz w:val="20"/>
      <w:szCs w:val="20"/>
    </w:rPr>
  </w:style>
  <w:style w:type="character" w:styleId="Referinnotdefinal">
    <w:name w:val="endnote reference"/>
    <w:basedOn w:val="Fontdeparagrafimplicit"/>
    <w:uiPriority w:val="99"/>
    <w:unhideWhenUsed/>
    <w:rsid w:val="00406241"/>
    <w:rPr>
      <w:vertAlign w:val="superscript"/>
    </w:rPr>
  </w:style>
  <w:style w:type="paragraph" w:styleId="Titlunot">
    <w:name w:val="Note Heading"/>
    <w:basedOn w:val="Normal"/>
    <w:next w:val="Normal"/>
    <w:link w:val="TitlunotCaracter"/>
    <w:uiPriority w:val="99"/>
    <w:unhideWhenUsed/>
    <w:rsid w:val="00406241"/>
    <w:pPr>
      <w:spacing w:after="0" w:line="240" w:lineRule="auto"/>
    </w:pPr>
  </w:style>
  <w:style w:type="character" w:customStyle="1" w:styleId="TitlunotCaracter">
    <w:name w:val="Titlu notă Caracter"/>
    <w:basedOn w:val="Fontdeparagrafimplicit"/>
    <w:link w:val="Titlunot"/>
    <w:uiPriority w:val="99"/>
    <w:rsid w:val="00406241"/>
    <w:rPr>
      <w:rFonts w:asciiTheme="minorHAnsi" w:hAnsiTheme="minorHAnsi"/>
      <w:sz w:val="20"/>
      <w:szCs w:val="20"/>
    </w:rPr>
  </w:style>
  <w:style w:type="paragraph" w:styleId="Textnotdesubsol">
    <w:name w:val="footnote text"/>
    <w:basedOn w:val="Normal"/>
    <w:link w:val="TextnotdesubsolCaracter"/>
    <w:uiPriority w:val="99"/>
    <w:unhideWhenUsed/>
    <w:rsid w:val="00406241"/>
    <w:pPr>
      <w:spacing w:after="0" w:line="240" w:lineRule="auto"/>
    </w:pPr>
  </w:style>
  <w:style w:type="character" w:customStyle="1" w:styleId="TextnotdesubsolCaracter">
    <w:name w:val="Text notă de subsol Caracter"/>
    <w:basedOn w:val="Fontdeparagrafimplicit"/>
    <w:link w:val="Textnotdesubsol"/>
    <w:uiPriority w:val="99"/>
    <w:rsid w:val="00406241"/>
    <w:rPr>
      <w:rFonts w:asciiTheme="minorHAnsi" w:hAnsiTheme="minorHAnsi"/>
      <w:sz w:val="20"/>
      <w:szCs w:val="20"/>
    </w:rPr>
  </w:style>
  <w:style w:type="character" w:styleId="Referinnotdesubsol">
    <w:name w:val="footnote reference"/>
    <w:aliases w:val="SUPERS,BVI fnr,Footnote symbol,Footnote,Footnote Reference Superscript,(Footnote Reference),Footnote reference number,note TESI,EN Footnote Reference,Voetnootverwijzing,Times 10 Point,Exposant 3 Point,Appel note de bas de,No"/>
    <w:basedOn w:val="Fontdeparagrafimplicit"/>
    <w:uiPriority w:val="99"/>
    <w:unhideWhenUsed/>
    <w:rsid w:val="00406241"/>
    <w:rPr>
      <w:vertAlign w:val="superscript"/>
    </w:rPr>
  </w:style>
  <w:style w:type="paragraph" w:styleId="Subsol">
    <w:name w:val="footer"/>
    <w:basedOn w:val="Normal"/>
    <w:link w:val="SubsolCaracter"/>
    <w:unhideWhenUsed/>
    <w:qFormat/>
    <w:rsid w:val="00B94909"/>
    <w:pPr>
      <w:tabs>
        <w:tab w:val="center" w:pos="4536"/>
        <w:tab w:val="right" w:pos="9072"/>
      </w:tabs>
      <w:spacing w:after="0" w:line="240" w:lineRule="auto"/>
    </w:pPr>
    <w:rPr>
      <w:rFonts w:asciiTheme="majorHAnsi" w:hAnsiTheme="majorHAnsi"/>
      <w:sz w:val="16"/>
    </w:rPr>
  </w:style>
  <w:style w:type="character" w:customStyle="1" w:styleId="SubsolCaracter">
    <w:name w:val="Subsol Caracter"/>
    <w:basedOn w:val="Fontdeparagrafimplicit"/>
    <w:link w:val="Subsol"/>
    <w:rsid w:val="00B94909"/>
    <w:rPr>
      <w:rFonts w:asciiTheme="majorHAnsi" w:hAnsiTheme="majorHAnsi"/>
      <w:sz w:val="16"/>
      <w:szCs w:val="20"/>
    </w:rPr>
  </w:style>
  <w:style w:type="paragraph" w:styleId="Formuledencheiere">
    <w:name w:val="Closing"/>
    <w:basedOn w:val="Normal"/>
    <w:link w:val="FormuledencheiereCaracter"/>
    <w:uiPriority w:val="99"/>
    <w:unhideWhenUsed/>
    <w:rsid w:val="00406241"/>
    <w:pPr>
      <w:spacing w:after="0" w:line="240" w:lineRule="auto"/>
      <w:ind w:left="4252"/>
    </w:pPr>
  </w:style>
  <w:style w:type="character" w:customStyle="1" w:styleId="FormuledencheiereCaracter">
    <w:name w:val="Formule de încheiere Caracter"/>
    <w:basedOn w:val="Fontdeparagrafimplicit"/>
    <w:link w:val="Formuledencheiere"/>
    <w:uiPriority w:val="99"/>
    <w:rsid w:val="00406241"/>
    <w:rPr>
      <w:rFonts w:asciiTheme="minorHAnsi" w:hAnsiTheme="minorHAnsi"/>
      <w:sz w:val="20"/>
      <w:szCs w:val="20"/>
    </w:rPr>
  </w:style>
  <w:style w:type="paragraph" w:styleId="AdresHTML">
    <w:name w:val="HTML Address"/>
    <w:basedOn w:val="Normal"/>
    <w:link w:val="AdresHTMLCaracter"/>
    <w:uiPriority w:val="99"/>
    <w:unhideWhenUsed/>
    <w:rsid w:val="00406241"/>
    <w:pPr>
      <w:spacing w:after="0" w:line="240" w:lineRule="auto"/>
    </w:pPr>
    <w:rPr>
      <w:i/>
      <w:iCs/>
    </w:rPr>
  </w:style>
  <w:style w:type="character" w:customStyle="1" w:styleId="AdresHTMLCaracter">
    <w:name w:val="Adresă HTML Caracter"/>
    <w:basedOn w:val="Fontdeparagrafimplicit"/>
    <w:link w:val="AdresHTML"/>
    <w:uiPriority w:val="99"/>
    <w:rsid w:val="00406241"/>
    <w:rPr>
      <w:rFonts w:asciiTheme="minorHAnsi" w:hAnsiTheme="minorHAnsi"/>
      <w:i/>
      <w:iCs/>
      <w:sz w:val="20"/>
      <w:szCs w:val="20"/>
    </w:rPr>
  </w:style>
  <w:style w:type="character" w:styleId="AcronimHTML">
    <w:name w:val="HTML Acronym"/>
    <w:basedOn w:val="Fontdeparagrafimplicit"/>
    <w:uiPriority w:val="99"/>
    <w:unhideWhenUsed/>
    <w:rsid w:val="00406241"/>
  </w:style>
  <w:style w:type="character" w:styleId="MostrHTML">
    <w:name w:val="HTML Sample"/>
    <w:basedOn w:val="Fontdeparagrafimplicit"/>
    <w:uiPriority w:val="99"/>
    <w:unhideWhenUsed/>
    <w:rsid w:val="00406241"/>
    <w:rPr>
      <w:rFonts w:ascii="Consolas" w:hAnsi="Consolas" w:cs="Consolas"/>
      <w:sz w:val="24"/>
      <w:szCs w:val="24"/>
    </w:rPr>
  </w:style>
  <w:style w:type="paragraph" w:styleId="Dat">
    <w:name w:val="Date"/>
    <w:basedOn w:val="Normal"/>
    <w:next w:val="Normal"/>
    <w:link w:val="DatCaracter"/>
    <w:uiPriority w:val="99"/>
    <w:unhideWhenUsed/>
    <w:rsid w:val="00406241"/>
  </w:style>
  <w:style w:type="character" w:customStyle="1" w:styleId="DatCaracter">
    <w:name w:val="Dată Caracter"/>
    <w:basedOn w:val="Fontdeparagrafimplicit"/>
    <w:link w:val="Dat"/>
    <w:uiPriority w:val="99"/>
    <w:rsid w:val="00406241"/>
    <w:rPr>
      <w:rFonts w:asciiTheme="minorHAnsi" w:hAnsiTheme="minorHAnsi"/>
      <w:sz w:val="20"/>
      <w:szCs w:val="20"/>
    </w:rPr>
  </w:style>
  <w:style w:type="paragraph" w:styleId="Antet">
    <w:name w:val="header"/>
    <w:basedOn w:val="Normal"/>
    <w:link w:val="AntetCaracter"/>
    <w:unhideWhenUsed/>
    <w:rsid w:val="00637143"/>
    <w:pPr>
      <w:tabs>
        <w:tab w:val="center" w:pos="4536"/>
        <w:tab w:val="right" w:pos="9072"/>
      </w:tabs>
      <w:spacing w:after="0" w:line="240" w:lineRule="auto"/>
    </w:pPr>
  </w:style>
  <w:style w:type="character" w:customStyle="1" w:styleId="AntetCaracter">
    <w:name w:val="Antet Caracter"/>
    <w:basedOn w:val="Fontdeparagrafimplicit"/>
    <w:link w:val="Antet"/>
    <w:rsid w:val="00637143"/>
    <w:rPr>
      <w:rFonts w:asciiTheme="minorHAnsi" w:hAnsiTheme="minorHAnsi"/>
      <w:sz w:val="20"/>
      <w:szCs w:val="20"/>
    </w:rPr>
  </w:style>
  <w:style w:type="table" w:customStyle="1" w:styleId="Empty">
    <w:name w:val="Empty"/>
    <w:basedOn w:val="TabelNormal"/>
    <w:uiPriority w:val="99"/>
    <w:rsid w:val="00634C65"/>
    <w:pPr>
      <w:spacing w:after="0" w:line="240" w:lineRule="auto"/>
    </w:pPr>
    <w:tblPr>
      <w:tblCellMar>
        <w:left w:w="0" w:type="dxa"/>
        <w:right w:w="0" w:type="dxa"/>
      </w:tblCellMar>
    </w:tblPr>
  </w:style>
  <w:style w:type="character" w:styleId="Numrdepagin">
    <w:name w:val="page number"/>
    <w:basedOn w:val="Fontdeparagrafimplicit"/>
    <w:unhideWhenUsed/>
    <w:rsid w:val="0073429E"/>
  </w:style>
  <w:style w:type="character" w:styleId="Textsubstituent">
    <w:name w:val="Placeholder Text"/>
    <w:basedOn w:val="Fontdeparagrafimplicit"/>
    <w:uiPriority w:val="99"/>
    <w:rsid w:val="00D07AF0"/>
    <w:rPr>
      <w:color w:val="808080"/>
    </w:rPr>
  </w:style>
  <w:style w:type="table" w:styleId="GrilTabel">
    <w:name w:val="Table Grid"/>
    <w:basedOn w:val="TabelNormal"/>
    <w:uiPriority w:val="59"/>
    <w:rsid w:val="00FF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EE15BC"/>
    <w:pPr>
      <w:ind w:left="283" w:hanging="283"/>
      <w:contextualSpacing/>
    </w:pPr>
  </w:style>
  <w:style w:type="paragraph" w:styleId="Lista2">
    <w:name w:val="List 2"/>
    <w:basedOn w:val="Normal"/>
    <w:uiPriority w:val="99"/>
    <w:unhideWhenUsed/>
    <w:rsid w:val="00EE15BC"/>
    <w:pPr>
      <w:ind w:left="566" w:hanging="283"/>
      <w:contextualSpacing/>
    </w:pPr>
  </w:style>
  <w:style w:type="paragraph" w:styleId="Lista3">
    <w:name w:val="List 3"/>
    <w:basedOn w:val="Normal"/>
    <w:uiPriority w:val="99"/>
    <w:unhideWhenUsed/>
    <w:rsid w:val="00EE15BC"/>
    <w:pPr>
      <w:ind w:left="849" w:hanging="283"/>
      <w:contextualSpacing/>
    </w:pPr>
  </w:style>
  <w:style w:type="paragraph" w:styleId="Lista4">
    <w:name w:val="List 4"/>
    <w:basedOn w:val="Normal"/>
    <w:uiPriority w:val="99"/>
    <w:unhideWhenUsed/>
    <w:rsid w:val="00EE15BC"/>
    <w:pPr>
      <w:ind w:left="1132" w:hanging="283"/>
      <w:contextualSpacing/>
    </w:pPr>
  </w:style>
  <w:style w:type="paragraph" w:styleId="Lista5">
    <w:name w:val="List 5"/>
    <w:basedOn w:val="Normal"/>
    <w:unhideWhenUsed/>
    <w:rsid w:val="00EE15BC"/>
    <w:pPr>
      <w:ind w:left="1415" w:hanging="283"/>
      <w:contextualSpacing/>
    </w:pPr>
  </w:style>
  <w:style w:type="paragraph" w:styleId="Listcontinuare">
    <w:name w:val="List Continue"/>
    <w:basedOn w:val="Normal"/>
    <w:uiPriority w:val="99"/>
    <w:unhideWhenUsed/>
    <w:rsid w:val="00E30DED"/>
    <w:pPr>
      <w:spacing w:after="120"/>
      <w:ind w:left="283"/>
      <w:contextualSpacing/>
    </w:pPr>
  </w:style>
  <w:style w:type="paragraph" w:styleId="Listcontinuare2">
    <w:name w:val="List Continue 2"/>
    <w:basedOn w:val="Normal"/>
    <w:uiPriority w:val="99"/>
    <w:unhideWhenUsed/>
    <w:rsid w:val="00E30DED"/>
    <w:pPr>
      <w:spacing w:after="120"/>
      <w:ind w:left="566"/>
      <w:contextualSpacing/>
    </w:pPr>
  </w:style>
  <w:style w:type="paragraph" w:styleId="Listcontinuare3">
    <w:name w:val="List Continue 3"/>
    <w:basedOn w:val="Normal"/>
    <w:uiPriority w:val="99"/>
    <w:unhideWhenUsed/>
    <w:rsid w:val="00E30DED"/>
    <w:pPr>
      <w:spacing w:after="120"/>
      <w:ind w:left="849"/>
      <w:contextualSpacing/>
    </w:pPr>
  </w:style>
  <w:style w:type="paragraph" w:styleId="Index1">
    <w:name w:val="index 1"/>
    <w:basedOn w:val="Normal"/>
    <w:next w:val="Normal"/>
    <w:autoRedefine/>
    <w:uiPriority w:val="99"/>
    <w:unhideWhenUsed/>
    <w:rsid w:val="00E30DED"/>
    <w:pPr>
      <w:spacing w:after="0" w:line="240" w:lineRule="auto"/>
      <w:ind w:left="200" w:hanging="200"/>
    </w:pPr>
  </w:style>
  <w:style w:type="paragraph" w:styleId="Index2">
    <w:name w:val="index 2"/>
    <w:basedOn w:val="Normal"/>
    <w:next w:val="Normal"/>
    <w:autoRedefine/>
    <w:uiPriority w:val="99"/>
    <w:unhideWhenUsed/>
    <w:rsid w:val="00E30DED"/>
    <w:pPr>
      <w:spacing w:after="0" w:line="240" w:lineRule="auto"/>
      <w:ind w:left="400" w:hanging="200"/>
    </w:pPr>
  </w:style>
  <w:style w:type="paragraph" w:styleId="Indentcorptext">
    <w:name w:val="Body Text Indent"/>
    <w:basedOn w:val="Normal"/>
    <w:link w:val="IndentcorptextCaracter"/>
    <w:uiPriority w:val="99"/>
    <w:semiHidden/>
    <w:unhideWhenUsed/>
    <w:rsid w:val="00E30DED"/>
    <w:pPr>
      <w:spacing w:after="120"/>
      <w:ind w:left="283"/>
    </w:pPr>
  </w:style>
  <w:style w:type="character" w:customStyle="1" w:styleId="IndentcorptextCaracter">
    <w:name w:val="Indent corp text Caracter"/>
    <w:basedOn w:val="Fontdeparagrafimplicit"/>
    <w:link w:val="Indentcorptext"/>
    <w:uiPriority w:val="99"/>
    <w:semiHidden/>
    <w:rsid w:val="00E30DED"/>
    <w:rPr>
      <w:rFonts w:asciiTheme="minorHAnsi" w:hAnsiTheme="minorHAnsi"/>
      <w:sz w:val="20"/>
      <w:szCs w:val="20"/>
    </w:rPr>
  </w:style>
  <w:style w:type="paragraph" w:styleId="Primindentpentrucorptext2">
    <w:name w:val="Body Text First Indent 2"/>
    <w:basedOn w:val="Indentcorptext"/>
    <w:link w:val="Primindentpentrucorptext2Caracter"/>
    <w:uiPriority w:val="99"/>
    <w:unhideWhenUsed/>
    <w:rsid w:val="00E30DED"/>
    <w:pPr>
      <w:spacing w:after="200"/>
      <w:ind w:left="360" w:firstLine="360"/>
    </w:pPr>
  </w:style>
  <w:style w:type="character" w:customStyle="1" w:styleId="Primindentpentrucorptext2Caracter">
    <w:name w:val="Prim indent pentru corp text 2 Caracter"/>
    <w:basedOn w:val="IndentcorptextCaracter"/>
    <w:link w:val="Primindentpentrucorptext2"/>
    <w:uiPriority w:val="99"/>
    <w:rsid w:val="00E30DED"/>
    <w:rPr>
      <w:rFonts w:asciiTheme="minorHAnsi" w:hAnsiTheme="minorHAnsi"/>
      <w:sz w:val="20"/>
      <w:szCs w:val="20"/>
    </w:rPr>
  </w:style>
  <w:style w:type="character" w:styleId="Numrdelinie">
    <w:name w:val="line number"/>
    <w:basedOn w:val="Fontdeparagrafimplicit"/>
    <w:uiPriority w:val="99"/>
    <w:unhideWhenUsed/>
    <w:rsid w:val="00E30DED"/>
  </w:style>
  <w:style w:type="paragraph" w:styleId="Listanumerotat5">
    <w:name w:val="List Number 5"/>
    <w:basedOn w:val="Normal"/>
    <w:uiPriority w:val="99"/>
    <w:unhideWhenUsed/>
    <w:rsid w:val="00A93869"/>
    <w:pPr>
      <w:numPr>
        <w:numId w:val="10"/>
      </w:numPr>
      <w:tabs>
        <w:tab w:val="clear" w:pos="1492"/>
        <w:tab w:val="num" w:pos="2127"/>
      </w:tabs>
      <w:ind w:left="2127" w:hanging="426"/>
      <w:contextualSpacing/>
    </w:pPr>
  </w:style>
  <w:style w:type="paragraph" w:styleId="Listnumerotat">
    <w:name w:val="List Number"/>
    <w:basedOn w:val="Normal"/>
    <w:uiPriority w:val="99"/>
    <w:unhideWhenUsed/>
    <w:rsid w:val="00F01D41"/>
    <w:pPr>
      <w:numPr>
        <w:numId w:val="6"/>
      </w:numPr>
      <w:contextualSpacing/>
    </w:pPr>
  </w:style>
  <w:style w:type="paragraph" w:styleId="Listanumerotat2">
    <w:name w:val="List Number 2"/>
    <w:basedOn w:val="Normal"/>
    <w:uiPriority w:val="99"/>
    <w:unhideWhenUsed/>
    <w:rsid w:val="00917233"/>
    <w:pPr>
      <w:numPr>
        <w:numId w:val="7"/>
      </w:numPr>
      <w:tabs>
        <w:tab w:val="clear" w:pos="643"/>
        <w:tab w:val="left" w:pos="851"/>
      </w:tabs>
      <w:ind w:left="851" w:hanging="425"/>
      <w:contextualSpacing/>
    </w:pPr>
  </w:style>
  <w:style w:type="paragraph" w:styleId="Listanumerotat3">
    <w:name w:val="List Number 3"/>
    <w:basedOn w:val="Normal"/>
    <w:uiPriority w:val="99"/>
    <w:unhideWhenUsed/>
    <w:rsid w:val="00917233"/>
    <w:pPr>
      <w:numPr>
        <w:numId w:val="8"/>
      </w:numPr>
      <w:tabs>
        <w:tab w:val="clear" w:pos="926"/>
        <w:tab w:val="num" w:pos="1276"/>
      </w:tabs>
      <w:ind w:left="1276" w:hanging="425"/>
      <w:contextualSpacing/>
    </w:pPr>
  </w:style>
  <w:style w:type="paragraph" w:styleId="Listanumerotat4">
    <w:name w:val="List Number 4"/>
    <w:basedOn w:val="Normal"/>
    <w:uiPriority w:val="99"/>
    <w:unhideWhenUsed/>
    <w:rsid w:val="00917233"/>
    <w:pPr>
      <w:numPr>
        <w:numId w:val="9"/>
      </w:numPr>
      <w:tabs>
        <w:tab w:val="clear" w:pos="1209"/>
        <w:tab w:val="num" w:pos="1701"/>
      </w:tabs>
      <w:ind w:left="1701" w:hanging="425"/>
      <w:contextualSpacing/>
    </w:pPr>
  </w:style>
  <w:style w:type="numbering" w:customStyle="1" w:styleId="AFCList">
    <w:name w:val="AFC List"/>
    <w:uiPriority w:val="99"/>
    <w:rsid w:val="00812D1E"/>
    <w:pPr>
      <w:numPr>
        <w:numId w:val="11"/>
      </w:numPr>
    </w:pPr>
  </w:style>
  <w:style w:type="numbering" w:customStyle="1" w:styleId="AFCNumberedList">
    <w:name w:val="AFC Numbered List"/>
    <w:uiPriority w:val="99"/>
    <w:rsid w:val="00A93869"/>
    <w:pPr>
      <w:numPr>
        <w:numId w:val="12"/>
      </w:numPr>
    </w:pPr>
  </w:style>
  <w:style w:type="numbering" w:customStyle="1" w:styleId="AFCHeadingList">
    <w:name w:val="AFC Heading List"/>
    <w:uiPriority w:val="99"/>
    <w:rsid w:val="0002762C"/>
    <w:pPr>
      <w:numPr>
        <w:numId w:val="13"/>
      </w:numPr>
    </w:pPr>
  </w:style>
  <w:style w:type="numbering" w:customStyle="1" w:styleId="AFCAnnexList">
    <w:name w:val="AFC Annex List"/>
    <w:uiPriority w:val="99"/>
    <w:rsid w:val="00AA4BD5"/>
    <w:pPr>
      <w:numPr>
        <w:numId w:val="14"/>
      </w:numPr>
    </w:pPr>
  </w:style>
  <w:style w:type="paragraph" w:customStyle="1" w:styleId="Annex1">
    <w:name w:val="Annex 1"/>
    <w:basedOn w:val="Titlu1"/>
    <w:next w:val="Normal"/>
    <w:link w:val="Annex1Char"/>
    <w:uiPriority w:val="19"/>
    <w:rsid w:val="00505F9C"/>
    <w:pPr>
      <w:numPr>
        <w:numId w:val="16"/>
      </w:numPr>
      <w:outlineLvl w:val="9"/>
    </w:pPr>
    <w:rPr>
      <w:spacing w:val="5"/>
      <w:kern w:val="28"/>
    </w:rPr>
  </w:style>
  <w:style w:type="paragraph" w:customStyle="1" w:styleId="Annex2">
    <w:name w:val="Annex 2"/>
    <w:basedOn w:val="Titlu2"/>
    <w:next w:val="Normal"/>
    <w:link w:val="Annex2Char"/>
    <w:uiPriority w:val="19"/>
    <w:rsid w:val="00505F9C"/>
    <w:pPr>
      <w:numPr>
        <w:numId w:val="16"/>
      </w:numPr>
      <w:outlineLvl w:val="9"/>
    </w:pPr>
    <w:rPr>
      <w:spacing w:val="5"/>
      <w:kern w:val="28"/>
    </w:rPr>
  </w:style>
  <w:style w:type="character" w:customStyle="1" w:styleId="Annex1Char">
    <w:name w:val="Annex 1 Char"/>
    <w:basedOn w:val="TitluCaracter"/>
    <w:link w:val="Annex1"/>
    <w:uiPriority w:val="19"/>
    <w:rsid w:val="00505F9C"/>
    <w:rPr>
      <w:rFonts w:ascii="Verdana" w:eastAsiaTheme="majorEastAsia" w:hAnsi="Verdana" w:cstheme="majorBidi"/>
      <w:b/>
      <w:bCs/>
      <w:noProof/>
      <w:color w:val="0090D0"/>
      <w:spacing w:val="5"/>
      <w:kern w:val="28"/>
      <w:sz w:val="28"/>
      <w:szCs w:val="28"/>
      <w:lang w:val="en-GB"/>
    </w:rPr>
  </w:style>
  <w:style w:type="character" w:customStyle="1" w:styleId="Annex2Char">
    <w:name w:val="Annex 2 Char"/>
    <w:basedOn w:val="Annex1Char"/>
    <w:link w:val="Annex2"/>
    <w:uiPriority w:val="19"/>
    <w:rsid w:val="00505F9C"/>
    <w:rPr>
      <w:rFonts w:asciiTheme="majorHAnsi" w:eastAsiaTheme="majorEastAsia" w:hAnsiTheme="majorHAnsi" w:cstheme="majorBidi"/>
      <w:b/>
      <w:bCs/>
      <w:noProof/>
      <w:color w:val="F06050"/>
      <w:spacing w:val="5"/>
      <w:kern w:val="28"/>
      <w:sz w:val="26"/>
      <w:szCs w:val="26"/>
      <w:lang w:val="en-GB"/>
    </w:rPr>
  </w:style>
  <w:style w:type="paragraph" w:customStyle="1" w:styleId="Annex3">
    <w:name w:val="Annex 3"/>
    <w:basedOn w:val="Titlu3"/>
    <w:next w:val="Normal"/>
    <w:link w:val="Annex3Char"/>
    <w:uiPriority w:val="19"/>
    <w:rsid w:val="00505F9C"/>
    <w:pPr>
      <w:numPr>
        <w:numId w:val="17"/>
      </w:numPr>
      <w:outlineLvl w:val="9"/>
    </w:pPr>
  </w:style>
  <w:style w:type="character" w:customStyle="1" w:styleId="Annex3Char">
    <w:name w:val="Annex 3 Char"/>
    <w:basedOn w:val="Titlu3Caracter"/>
    <w:link w:val="Annex3"/>
    <w:uiPriority w:val="19"/>
    <w:rsid w:val="00505F9C"/>
    <w:rPr>
      <w:rFonts w:asciiTheme="majorHAnsi" w:hAnsiTheme="majorHAnsi"/>
      <w:color w:val="506070"/>
      <w:sz w:val="24"/>
      <w:szCs w:val="20"/>
    </w:rPr>
  </w:style>
  <w:style w:type="table" w:customStyle="1" w:styleId="AFTable">
    <w:name w:val="AF Table"/>
    <w:basedOn w:val="TabelNormal"/>
    <w:uiPriority w:val="59"/>
    <w:rsid w:val="005B616A"/>
    <w:pPr>
      <w:spacing w:after="0" w:line="240" w:lineRule="auto"/>
      <w:ind w:left="113" w:right="113"/>
    </w:pPr>
    <w:rPr>
      <w:rFonts w:asciiTheme="minorHAnsi" w:hAnsiTheme="minorHAnsi"/>
      <w:sz w:val="18"/>
      <w:szCs w:val="20"/>
    </w:rPr>
    <w:tblPr>
      <w:tblBorders>
        <w:bottom w:val="single" w:sz="6" w:space="0" w:color="595959" w:themeColor="text1" w:themeTint="A6"/>
        <w:insideH w:val="single" w:sz="4" w:space="0" w:color="595959" w:themeColor="text1" w:themeTint="A6"/>
      </w:tblBorders>
      <w:tblCellMar>
        <w:top w:w="57" w:type="dxa"/>
        <w:left w:w="0" w:type="dxa"/>
        <w:bottom w:w="28" w:type="dxa"/>
        <w:right w:w="0" w:type="dxa"/>
      </w:tblCellMar>
    </w:tblPr>
    <w:tcPr>
      <w:shd w:val="clear" w:color="auto" w:fill="auto"/>
    </w:tcPr>
    <w:tblStylePr w:type="firstRow">
      <w:pPr>
        <w:wordWrap/>
        <w:spacing w:beforeLines="0"/>
        <w:ind w:leftChars="0" w:left="113"/>
        <w:jc w:val="left"/>
      </w:pPr>
      <w:rPr>
        <w:rFonts w:asciiTheme="majorHAnsi" w:hAnsiTheme="majorHAnsi"/>
        <w:b w:val="0"/>
        <w:i w:val="0"/>
        <w:color w:val="auto"/>
        <w:sz w:val="18"/>
        <w:u w:val="none"/>
      </w:rPr>
      <w:tblPr/>
      <w:tcPr>
        <w:tcBorders>
          <w:top w:val="nil"/>
          <w:left w:val="nil"/>
          <w:bottom w:val="single" w:sz="12" w:space="0" w:color="595959" w:themeColor="text1" w:themeTint="A6"/>
          <w:right w:val="nil"/>
          <w:insideH w:val="nil"/>
          <w:insideV w:val="nil"/>
          <w:tl2br w:val="nil"/>
          <w:tr2bl w:val="nil"/>
        </w:tcBorders>
        <w:shd w:val="clear" w:color="auto" w:fill="8AD9FF" w:themeFill="accent3" w:themeFillTint="66"/>
      </w:tcPr>
    </w:tblStylePr>
    <w:tblStylePr w:type="lastRow">
      <w:pPr>
        <w:jc w:val="left"/>
      </w:pPr>
      <w:tblPr/>
      <w:tcPr>
        <w:tcBorders>
          <w:top w:val="nil"/>
          <w:left w:val="nil"/>
          <w:bottom w:val="single" w:sz="4" w:space="0" w:color="595959" w:themeColor="text1" w:themeTint="A6"/>
          <w:right w:val="nil"/>
          <w:insideH w:val="nil"/>
          <w:insideV w:val="nil"/>
          <w:tl2br w:val="nil"/>
          <w:tr2bl w:val="nil"/>
        </w:tcBorders>
        <w:shd w:val="clear" w:color="auto" w:fill="auto"/>
      </w:tcPr>
    </w:tblStylePr>
  </w:style>
  <w:style w:type="table" w:customStyle="1" w:styleId="AFListTable">
    <w:name w:val="AF List Table"/>
    <w:basedOn w:val="TabelNormal"/>
    <w:uiPriority w:val="59"/>
    <w:rsid w:val="005B616A"/>
    <w:pPr>
      <w:spacing w:after="0" w:line="240" w:lineRule="auto"/>
      <w:ind w:left="113" w:right="113"/>
    </w:pPr>
    <w:rPr>
      <w:rFonts w:asciiTheme="minorHAnsi" w:hAnsiTheme="minorHAnsi"/>
      <w:sz w:val="18"/>
      <w:szCs w:val="20"/>
    </w:rPr>
    <w:tblPr>
      <w:tblBorders>
        <w:top w:val="single" w:sz="8" w:space="0" w:color="595959" w:themeColor="text1" w:themeTint="A6"/>
        <w:bottom w:val="single" w:sz="8" w:space="0" w:color="595959" w:themeColor="text1" w:themeTint="A6"/>
        <w:insideH w:val="single" w:sz="4" w:space="0" w:color="595959" w:themeColor="text1" w:themeTint="A6"/>
      </w:tblBorders>
      <w:tblCellMar>
        <w:top w:w="57" w:type="dxa"/>
        <w:left w:w="0" w:type="dxa"/>
        <w:bottom w:w="28" w:type="dxa"/>
        <w:right w:w="0" w:type="dxa"/>
      </w:tblCellMar>
    </w:tblPr>
    <w:tcPr>
      <w:shd w:val="clear" w:color="auto" w:fill="auto"/>
    </w:tcPr>
    <w:tblStylePr w:type="firstRow">
      <w:pPr>
        <w:wordWrap/>
        <w:ind w:leftChars="0" w:left="113"/>
        <w:jc w:val="left"/>
      </w:pPr>
      <w:rPr>
        <w:rFonts w:asciiTheme="minorHAnsi" w:hAnsiTheme="minorHAnsi"/>
        <w:b w:val="0"/>
        <w:i w:val="0"/>
        <w:color w:val="auto"/>
        <w:sz w:val="18"/>
        <w:u w:val="none"/>
      </w:rPr>
      <w:tblPr/>
      <w:tcPr>
        <w:tcBorders>
          <w:top w:val="single" w:sz="8" w:space="0" w:color="506070" w:themeColor="text2"/>
        </w:tcBorders>
        <w:shd w:val="clear" w:color="auto" w:fill="auto"/>
      </w:tcPr>
    </w:tblStylePr>
    <w:tblStylePr w:type="lastRow">
      <w:pPr>
        <w:jc w:val="left"/>
      </w:pPr>
      <w:tblPr/>
      <w:tcPr>
        <w:tcBorders>
          <w:top w:val="single" w:sz="12" w:space="0" w:color="auto"/>
          <w:bottom w:val="single" w:sz="8" w:space="0" w:color="506070" w:themeColor="text2"/>
        </w:tcBorders>
        <w:shd w:val="clear" w:color="auto" w:fill="auto"/>
      </w:tcPr>
    </w:tblStylePr>
  </w:style>
  <w:style w:type="paragraph" w:customStyle="1" w:styleId="Textocaratula">
    <w:name w:val="Texto caratula"/>
    <w:basedOn w:val="Normal"/>
    <w:uiPriority w:val="1"/>
    <w:unhideWhenUsed/>
    <w:rsid w:val="00E752B7"/>
    <w:pPr>
      <w:spacing w:before="360" w:after="360" w:line="240" w:lineRule="auto"/>
      <w:jc w:val="center"/>
    </w:pPr>
    <w:rPr>
      <w:rFonts w:ascii="Calibri" w:eastAsia="Times New Roman" w:hAnsi="Calibri" w:cs="Times New Roman"/>
      <w:b/>
      <w:smallCaps/>
      <w:color w:val="00B1AC" w:themeColor="accent1"/>
      <w:sz w:val="32"/>
      <w:szCs w:val="32"/>
      <w:lang w:val="en-GB" w:eastAsia="es-ES"/>
    </w:rPr>
  </w:style>
  <w:style w:type="character" w:customStyle="1" w:styleId="ListparagrafCaracter">
    <w:name w:val="Listă paragraf Caracter"/>
    <w:aliases w:val="List1 Caracter,List Paragraph1 Caracter,Numbered Indented Text Caracter,List Paragraph Char Char Char Caracter,List Paragraph Char Char Caracter,Bullet 1 Caracter,lp1 Caracter,List Paragraph11 Caracter"/>
    <w:link w:val="Listparagraf"/>
    <w:uiPriority w:val="1"/>
    <w:locked/>
    <w:rsid w:val="00E752B7"/>
    <w:rPr>
      <w:rFonts w:asciiTheme="minorHAnsi" w:hAnsiTheme="minorHAnsi"/>
      <w:sz w:val="20"/>
      <w:szCs w:val="20"/>
    </w:rPr>
  </w:style>
  <w:style w:type="table" w:styleId="TabelEfecte3-D2">
    <w:name w:val="Table 3D effects 2"/>
    <w:basedOn w:val="TabelNormal"/>
    <w:rsid w:val="00E752B7"/>
    <w:pPr>
      <w:spacing w:before="120" w:after="120" w:line="240" w:lineRule="auto"/>
      <w:jc w:val="both"/>
    </w:pPr>
    <w:rPr>
      <w:rFonts w:ascii="Verdana" w:eastAsia="Times New Roman" w:hAnsi="Verdana" w:cs="Times New Roman"/>
      <w:sz w:val="20"/>
      <w:szCs w:val="20"/>
      <w:lang w:val="es-ES"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ource">
    <w:name w:val="Source"/>
    <w:link w:val="SourceChar"/>
    <w:rsid w:val="00E752B7"/>
    <w:pPr>
      <w:spacing w:before="60" w:after="120" w:line="240" w:lineRule="auto"/>
    </w:pPr>
    <w:rPr>
      <w:rFonts w:ascii="Calibri" w:eastAsia="Times New Roman" w:hAnsi="Calibri" w:cs="Tahoma"/>
      <w:i/>
      <w:sz w:val="18"/>
      <w:szCs w:val="16"/>
      <w:lang w:val="en-GB" w:eastAsia="es-ES"/>
    </w:rPr>
  </w:style>
  <w:style w:type="character" w:customStyle="1" w:styleId="SourceChar">
    <w:name w:val="Source Char"/>
    <w:basedOn w:val="Fontdeparagrafimplicit"/>
    <w:link w:val="Source"/>
    <w:rsid w:val="00E752B7"/>
    <w:rPr>
      <w:rFonts w:ascii="Calibri" w:eastAsia="Times New Roman" w:hAnsi="Calibri" w:cs="Tahoma"/>
      <w:i/>
      <w:sz w:val="18"/>
      <w:szCs w:val="16"/>
      <w:lang w:val="en-GB" w:eastAsia="es-ES"/>
    </w:rPr>
  </w:style>
  <w:style w:type="numbering" w:customStyle="1" w:styleId="StyleBulletedSymbolsymbolLeft063cmHanging063cm">
    <w:name w:val="Style Bulleted Symbol (symbol) Left:  0.63 cm Hanging:  0.63 cm"/>
    <w:basedOn w:val="FrListare"/>
    <w:rsid w:val="00E752B7"/>
    <w:pPr>
      <w:numPr>
        <w:numId w:val="19"/>
      </w:numPr>
    </w:pPr>
  </w:style>
  <w:style w:type="table" w:customStyle="1" w:styleId="LightShading-Accent111">
    <w:name w:val="Light Shading - Accent 111"/>
    <w:basedOn w:val="TabelNormal"/>
    <w:uiPriority w:val="60"/>
    <w:rsid w:val="00E752B7"/>
    <w:pPr>
      <w:spacing w:after="0" w:line="240" w:lineRule="auto"/>
      <w:jc w:val="center"/>
    </w:pPr>
    <w:rPr>
      <w:rFonts w:ascii="Calibri" w:eastAsia="Times New Roman" w:hAnsi="Calibri" w:cs="Times New Roman"/>
      <w:szCs w:val="20"/>
      <w:lang w:val="es-ES" w:eastAsia="es-ES"/>
    </w:rPr>
    <w:tblPr>
      <w:tblStyleRowBandSize w:val="1"/>
      <w:tblStyleColBandSize w:val="1"/>
      <w:tblBorders>
        <w:top w:val="single" w:sz="8" w:space="0" w:color="808070"/>
        <w:bottom w:val="single" w:sz="8" w:space="0" w:color="808070"/>
      </w:tblBorders>
    </w:tblPr>
    <w:tcPr>
      <w:vAlign w:val="center"/>
    </w:tcPr>
    <w:tblStylePr w:type="firstRow">
      <w:pPr>
        <w:spacing w:before="0" w:after="0" w:line="240" w:lineRule="auto"/>
      </w:pPr>
      <w:rPr>
        <w:rFonts w:ascii="Calibri" w:hAnsi="Calibri"/>
        <w:b/>
        <w:bCs/>
        <w:sz w:val="22"/>
      </w:rPr>
      <w:tblPr/>
      <w:tcPr>
        <w:tcBorders>
          <w:top w:val="single" w:sz="8" w:space="0" w:color="0039A6" w:themeColor="accent2"/>
          <w:left w:val="nil"/>
          <w:bottom w:val="single" w:sz="8" w:space="0" w:color="0039A6" w:themeColor="accent2"/>
          <w:right w:val="nil"/>
          <w:insideH w:val="nil"/>
          <w:insideV w:val="nil"/>
        </w:tcBorders>
      </w:tcPr>
    </w:tblStylePr>
    <w:tblStylePr w:type="lastRow">
      <w:pPr>
        <w:spacing w:before="0" w:after="0" w:line="240" w:lineRule="auto"/>
      </w:pPr>
      <w:rPr>
        <w:rFonts w:ascii="Calibri" w:hAnsi="Calibri"/>
        <w:b/>
        <w:bCs/>
        <w:sz w:val="22"/>
      </w:rPr>
      <w:tblPr/>
      <w:tcPr>
        <w:tcBorders>
          <w:top w:val="single" w:sz="8" w:space="0" w:color="0039A6" w:themeColor="accent2"/>
          <w:left w:val="nil"/>
          <w:bottom w:val="single" w:sz="8" w:space="0" w:color="0039A6" w:themeColor="accent2"/>
          <w:right w:val="nil"/>
          <w:insideH w:val="nil"/>
          <w:insideV w:val="nil"/>
        </w:tcBorders>
      </w:tcPr>
    </w:tblStylePr>
    <w:tblStylePr w:type="firstCol">
      <w:rPr>
        <w:rFonts w:ascii="Calibri" w:hAnsi="Calibri"/>
        <w:b/>
        <w:bCs/>
        <w:sz w:val="22"/>
      </w:rPr>
    </w:tblStylePr>
    <w:tblStylePr w:type="lastCol">
      <w:rPr>
        <w:rFonts w:ascii="Calibri" w:hAnsi="Calibri"/>
        <w:b/>
        <w:bCs/>
        <w:sz w:val="22"/>
      </w:rPr>
    </w:tblStylePr>
    <w:tblStylePr w:type="band1Vert">
      <w:rPr>
        <w:rFonts w:ascii="Calibri" w:hAnsi="Calibri"/>
        <w:sz w:val="22"/>
      </w:rPr>
      <w:tblPr/>
      <w:tcPr>
        <w:shd w:val="clear" w:color="auto" w:fill="C0B0A0" w:themeFill="background2"/>
      </w:tcPr>
    </w:tblStylePr>
    <w:tblStylePr w:type="band2Vert">
      <w:rPr>
        <w:rFonts w:ascii="Calibri" w:hAnsi="Calibri"/>
        <w:sz w:val="22"/>
      </w:rPr>
    </w:tblStylePr>
    <w:tblStylePr w:type="band1Horz">
      <w:rPr>
        <w:rFonts w:ascii="Calibri" w:hAnsi="Calibri"/>
        <w:sz w:val="22"/>
      </w:rPr>
      <w:tblPr/>
      <w:tcPr>
        <w:shd w:val="clear" w:color="auto" w:fill="C0B0A0" w:themeFill="background2"/>
      </w:tcPr>
    </w:tblStylePr>
    <w:tblStylePr w:type="band2Horz">
      <w:rPr>
        <w:rFonts w:ascii="Calibri" w:hAnsi="Calibri"/>
        <w:sz w:val="22"/>
      </w:rPr>
    </w:tblStylePr>
    <w:tblStylePr w:type="neCell">
      <w:rPr>
        <w:rFonts w:ascii="Calibri" w:hAnsi="Calibri"/>
        <w:sz w:val="22"/>
      </w:rPr>
    </w:tblStylePr>
    <w:tblStylePr w:type="nwCell">
      <w:rPr>
        <w:rFonts w:ascii="Calibri" w:hAnsi="Calibri"/>
        <w:sz w:val="22"/>
      </w:rPr>
    </w:tblStylePr>
    <w:tblStylePr w:type="seCell">
      <w:rPr>
        <w:rFonts w:ascii="Calibri" w:hAnsi="Calibri"/>
        <w:sz w:val="22"/>
      </w:rPr>
    </w:tblStylePr>
    <w:tblStylePr w:type="swCell">
      <w:rPr>
        <w:rFonts w:ascii="Calibri" w:hAnsi="Calibri"/>
        <w:sz w:val="22"/>
      </w:rPr>
    </w:tblStylePr>
  </w:style>
  <w:style w:type="paragraph" w:customStyle="1" w:styleId="AF-Mercados2015">
    <w:name w:val="AF-Mercados 2015"/>
    <w:basedOn w:val="Titlu1"/>
    <w:link w:val="AF-Mercados2015Char"/>
    <w:rsid w:val="00E752B7"/>
    <w:rPr>
      <w:color w:val="00B0F0"/>
    </w:rPr>
  </w:style>
  <w:style w:type="character" w:customStyle="1" w:styleId="AF-Mercados2015Char">
    <w:name w:val="AF-Mercados 2015 Char"/>
    <w:basedOn w:val="Titlu1Caracter"/>
    <w:link w:val="AF-Mercados2015"/>
    <w:rsid w:val="00E752B7"/>
    <w:rPr>
      <w:rFonts w:ascii="Verdana" w:eastAsiaTheme="majorEastAsia" w:hAnsi="Verdana" w:cstheme="majorBidi"/>
      <w:b/>
      <w:bCs/>
      <w:noProof/>
      <w:color w:val="00B0F0"/>
      <w:sz w:val="28"/>
      <w:szCs w:val="28"/>
      <w:lang w:val="en-GB"/>
    </w:rPr>
  </w:style>
  <w:style w:type="table" w:styleId="Listdeculoaredeschis-Accentuare6">
    <w:name w:val="Light List Accent 6"/>
    <w:basedOn w:val="TabelNormal"/>
    <w:uiPriority w:val="61"/>
    <w:rsid w:val="002C6FF1"/>
    <w:pPr>
      <w:spacing w:after="0" w:line="240" w:lineRule="auto"/>
    </w:pPr>
    <w:tblPr>
      <w:tblStyleRowBandSize w:val="1"/>
      <w:tblStyleColBandSize w:val="1"/>
      <w:tblBorders>
        <w:top w:val="single" w:sz="8" w:space="0" w:color="FB4357" w:themeColor="accent6"/>
        <w:left w:val="single" w:sz="8" w:space="0" w:color="FB4357" w:themeColor="accent6"/>
        <w:bottom w:val="single" w:sz="8" w:space="0" w:color="FB4357" w:themeColor="accent6"/>
        <w:right w:val="single" w:sz="8" w:space="0" w:color="FB4357" w:themeColor="accent6"/>
      </w:tblBorders>
    </w:tblPr>
    <w:tblStylePr w:type="firstRow">
      <w:pPr>
        <w:spacing w:before="0" w:after="0" w:line="240" w:lineRule="auto"/>
      </w:pPr>
      <w:rPr>
        <w:b/>
        <w:bCs/>
        <w:color w:val="FFFFFF" w:themeColor="background1"/>
      </w:rPr>
      <w:tblPr/>
      <w:tcPr>
        <w:shd w:val="clear" w:color="auto" w:fill="FB4357" w:themeFill="accent6"/>
      </w:tcPr>
    </w:tblStylePr>
    <w:tblStylePr w:type="lastRow">
      <w:pPr>
        <w:spacing w:before="0" w:after="0" w:line="240" w:lineRule="auto"/>
      </w:pPr>
      <w:rPr>
        <w:b/>
        <w:bCs/>
      </w:rPr>
      <w:tblPr/>
      <w:tcPr>
        <w:tcBorders>
          <w:top w:val="double" w:sz="6" w:space="0" w:color="FB4357" w:themeColor="accent6"/>
          <w:left w:val="single" w:sz="8" w:space="0" w:color="FB4357" w:themeColor="accent6"/>
          <w:bottom w:val="single" w:sz="8" w:space="0" w:color="FB4357" w:themeColor="accent6"/>
          <w:right w:val="single" w:sz="8" w:space="0" w:color="FB4357" w:themeColor="accent6"/>
        </w:tcBorders>
      </w:tcPr>
    </w:tblStylePr>
    <w:tblStylePr w:type="firstCol">
      <w:rPr>
        <w:b/>
        <w:bCs/>
      </w:rPr>
    </w:tblStylePr>
    <w:tblStylePr w:type="lastCol">
      <w:rPr>
        <w:b/>
        <w:bCs/>
      </w:rPr>
    </w:tblStylePr>
    <w:tblStylePr w:type="band1Vert">
      <w:tblPr/>
      <w:tcPr>
        <w:tcBorders>
          <w:top w:val="single" w:sz="8" w:space="0" w:color="FB4357" w:themeColor="accent6"/>
          <w:left w:val="single" w:sz="8" w:space="0" w:color="FB4357" w:themeColor="accent6"/>
          <w:bottom w:val="single" w:sz="8" w:space="0" w:color="FB4357" w:themeColor="accent6"/>
          <w:right w:val="single" w:sz="8" w:space="0" w:color="FB4357" w:themeColor="accent6"/>
        </w:tcBorders>
      </w:tcPr>
    </w:tblStylePr>
    <w:tblStylePr w:type="band1Horz">
      <w:tblPr/>
      <w:tcPr>
        <w:tcBorders>
          <w:top w:val="single" w:sz="8" w:space="0" w:color="FB4357" w:themeColor="accent6"/>
          <w:left w:val="single" w:sz="8" w:space="0" w:color="FB4357" w:themeColor="accent6"/>
          <w:bottom w:val="single" w:sz="8" w:space="0" w:color="FB4357" w:themeColor="accent6"/>
          <w:right w:val="single" w:sz="8" w:space="0" w:color="FB4357" w:themeColor="accent6"/>
        </w:tcBorders>
      </w:tcPr>
    </w:tblStylePr>
  </w:style>
  <w:style w:type="table" w:styleId="Umbriremedie1-Accentuare6">
    <w:name w:val="Medium Shading 1 Accent 6"/>
    <w:basedOn w:val="TabelNormal"/>
    <w:uiPriority w:val="63"/>
    <w:rsid w:val="008D28E2"/>
    <w:pPr>
      <w:spacing w:after="0" w:line="240" w:lineRule="auto"/>
    </w:pPr>
    <w:tblPr>
      <w:tblStyleRowBandSize w:val="1"/>
      <w:tblStyleColBandSize w:val="1"/>
      <w:tblBorders>
        <w:top w:val="single" w:sz="8" w:space="0" w:color="FC7280" w:themeColor="accent6" w:themeTint="BF"/>
        <w:left w:val="single" w:sz="8" w:space="0" w:color="FC7280" w:themeColor="accent6" w:themeTint="BF"/>
        <w:bottom w:val="single" w:sz="8" w:space="0" w:color="FC7280" w:themeColor="accent6" w:themeTint="BF"/>
        <w:right w:val="single" w:sz="8" w:space="0" w:color="FC7280" w:themeColor="accent6" w:themeTint="BF"/>
        <w:insideH w:val="single" w:sz="8" w:space="0" w:color="FC7280" w:themeColor="accent6" w:themeTint="BF"/>
      </w:tblBorders>
    </w:tblPr>
    <w:tblStylePr w:type="firstRow">
      <w:pPr>
        <w:spacing w:before="0" w:after="0" w:line="240" w:lineRule="auto"/>
      </w:pPr>
      <w:rPr>
        <w:b/>
        <w:bCs/>
        <w:color w:val="FFFFFF" w:themeColor="background1"/>
      </w:rPr>
      <w:tblPr/>
      <w:tcPr>
        <w:tcBorders>
          <w:top w:val="single" w:sz="8" w:space="0" w:color="FC7280" w:themeColor="accent6" w:themeTint="BF"/>
          <w:left w:val="single" w:sz="8" w:space="0" w:color="FC7280" w:themeColor="accent6" w:themeTint="BF"/>
          <w:bottom w:val="single" w:sz="8" w:space="0" w:color="FC7280" w:themeColor="accent6" w:themeTint="BF"/>
          <w:right w:val="single" w:sz="8" w:space="0" w:color="FC7280" w:themeColor="accent6" w:themeTint="BF"/>
          <w:insideH w:val="nil"/>
          <w:insideV w:val="nil"/>
        </w:tcBorders>
        <w:shd w:val="clear" w:color="auto" w:fill="FB4357" w:themeFill="accent6"/>
      </w:tcPr>
    </w:tblStylePr>
    <w:tblStylePr w:type="lastRow">
      <w:pPr>
        <w:spacing w:before="0" w:after="0" w:line="240" w:lineRule="auto"/>
      </w:pPr>
      <w:rPr>
        <w:b/>
        <w:bCs/>
      </w:rPr>
      <w:tblPr/>
      <w:tcPr>
        <w:tcBorders>
          <w:top w:val="double" w:sz="6" w:space="0" w:color="FC7280" w:themeColor="accent6" w:themeTint="BF"/>
          <w:left w:val="single" w:sz="8" w:space="0" w:color="FC7280" w:themeColor="accent6" w:themeTint="BF"/>
          <w:bottom w:val="single" w:sz="8" w:space="0" w:color="FC7280" w:themeColor="accent6" w:themeTint="BF"/>
          <w:right w:val="single" w:sz="8" w:space="0" w:color="FC72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D0D5" w:themeFill="accent6" w:themeFillTint="3F"/>
      </w:tcPr>
    </w:tblStylePr>
    <w:tblStylePr w:type="band1Horz">
      <w:tblPr/>
      <w:tcPr>
        <w:tcBorders>
          <w:insideH w:val="nil"/>
          <w:insideV w:val="nil"/>
        </w:tcBorders>
        <w:shd w:val="clear" w:color="auto" w:fill="FED0D5" w:themeFill="accent6" w:themeFillTint="3F"/>
      </w:tcPr>
    </w:tblStylePr>
    <w:tblStylePr w:type="band2Horz">
      <w:tblPr/>
      <w:tcPr>
        <w:tcBorders>
          <w:insideH w:val="nil"/>
          <w:insideV w:val="nil"/>
        </w:tcBorders>
      </w:tcPr>
    </w:tblStylePr>
  </w:style>
  <w:style w:type="table" w:customStyle="1" w:styleId="AFM">
    <w:name w:val="AFM"/>
    <w:basedOn w:val="LightShading-Accent111"/>
    <w:uiPriority w:val="99"/>
    <w:qFormat/>
    <w:rsid w:val="00107A78"/>
    <w:rPr>
      <w:rFonts w:ascii="Verdana" w:hAnsi="Verdana"/>
      <w:sz w:val="18"/>
    </w:rPr>
    <w:tblPr>
      <w:tblBorders>
        <w:top w:val="single" w:sz="8" w:space="0" w:color="0039A6" w:themeColor="accent2"/>
        <w:bottom w:val="single" w:sz="8" w:space="0" w:color="0039A6" w:themeColor="accent2"/>
      </w:tblBorders>
    </w:tblPr>
    <w:tblStylePr w:type="firstRow">
      <w:pPr>
        <w:spacing w:before="0" w:after="0" w:line="240" w:lineRule="auto"/>
      </w:pPr>
      <w:rPr>
        <w:rFonts w:ascii="Calibri" w:hAnsi="Calibri"/>
        <w:b/>
        <w:bCs/>
        <w:sz w:val="22"/>
      </w:rPr>
      <w:tblPr/>
      <w:tcPr>
        <w:tcBorders>
          <w:top w:val="single" w:sz="8" w:space="0" w:color="0039A6" w:themeColor="accent2"/>
          <w:left w:val="nil"/>
          <w:bottom w:val="single" w:sz="8" w:space="0" w:color="0039A6" w:themeColor="accent2"/>
          <w:right w:val="nil"/>
          <w:insideH w:val="nil"/>
          <w:insideV w:val="nil"/>
        </w:tcBorders>
      </w:tcPr>
    </w:tblStylePr>
    <w:tblStylePr w:type="lastRow">
      <w:pPr>
        <w:spacing w:before="0" w:after="0" w:line="240" w:lineRule="auto"/>
      </w:pPr>
      <w:rPr>
        <w:rFonts w:ascii="Calibri" w:hAnsi="Calibri"/>
        <w:b/>
        <w:bCs/>
        <w:sz w:val="22"/>
      </w:rPr>
      <w:tblPr/>
      <w:tcPr>
        <w:tcBorders>
          <w:top w:val="single" w:sz="8" w:space="0" w:color="0039A6" w:themeColor="accent2"/>
          <w:left w:val="nil"/>
          <w:bottom w:val="single" w:sz="8" w:space="0" w:color="0039A6" w:themeColor="accent2"/>
          <w:right w:val="nil"/>
          <w:insideH w:val="nil"/>
          <w:insideV w:val="nil"/>
        </w:tcBorders>
      </w:tcPr>
    </w:tblStylePr>
    <w:tblStylePr w:type="firstCol">
      <w:rPr>
        <w:rFonts w:ascii="Calibri" w:hAnsi="Calibri"/>
        <w:b/>
        <w:bCs/>
        <w:sz w:val="22"/>
      </w:rPr>
    </w:tblStylePr>
    <w:tblStylePr w:type="lastCol">
      <w:rPr>
        <w:rFonts w:ascii="Calibri" w:hAnsi="Calibri"/>
        <w:b/>
        <w:bCs/>
        <w:sz w:val="22"/>
      </w:rPr>
    </w:tblStylePr>
    <w:tblStylePr w:type="band1Vert">
      <w:rPr>
        <w:rFonts w:ascii="Calibri" w:hAnsi="Calibri"/>
        <w:sz w:val="22"/>
      </w:rPr>
      <w:tblPr/>
      <w:tcPr>
        <w:shd w:val="clear" w:color="auto" w:fill="C0B0A0" w:themeFill="background2"/>
      </w:tcPr>
    </w:tblStylePr>
    <w:tblStylePr w:type="band2Vert">
      <w:rPr>
        <w:rFonts w:ascii="Calibri" w:hAnsi="Calibri"/>
        <w:sz w:val="22"/>
      </w:rPr>
    </w:tblStylePr>
    <w:tblStylePr w:type="band1Horz">
      <w:rPr>
        <w:rFonts w:ascii="Calibri" w:hAnsi="Calibri"/>
        <w:sz w:val="22"/>
      </w:rPr>
      <w:tblPr/>
      <w:tcPr>
        <w:shd w:val="clear" w:color="auto" w:fill="C0B0A0" w:themeFill="background2"/>
      </w:tcPr>
    </w:tblStylePr>
    <w:tblStylePr w:type="band2Horz">
      <w:rPr>
        <w:rFonts w:ascii="Calibri" w:hAnsi="Calibri"/>
        <w:sz w:val="22"/>
      </w:rPr>
    </w:tblStylePr>
    <w:tblStylePr w:type="neCell">
      <w:rPr>
        <w:rFonts w:ascii="Calibri" w:hAnsi="Calibri"/>
        <w:sz w:val="22"/>
      </w:rPr>
    </w:tblStylePr>
    <w:tblStylePr w:type="nwCell">
      <w:rPr>
        <w:rFonts w:ascii="Calibri" w:hAnsi="Calibri"/>
        <w:sz w:val="22"/>
      </w:rPr>
    </w:tblStylePr>
    <w:tblStylePr w:type="seCell">
      <w:rPr>
        <w:rFonts w:ascii="Calibri" w:hAnsi="Calibri"/>
        <w:sz w:val="22"/>
      </w:rPr>
    </w:tblStylePr>
    <w:tblStylePr w:type="swCell">
      <w:rPr>
        <w:rFonts w:ascii="Calibri" w:hAnsi="Calibri"/>
        <w:sz w:val="22"/>
      </w:rPr>
    </w:tblStylePr>
  </w:style>
  <w:style w:type="table" w:customStyle="1" w:styleId="LightList-Accent12">
    <w:name w:val="Light List - Accent 12"/>
    <w:basedOn w:val="TabelNormal"/>
    <w:uiPriority w:val="61"/>
    <w:rsid w:val="00107A78"/>
    <w:pPr>
      <w:spacing w:after="0" w:line="240" w:lineRule="auto"/>
    </w:pPr>
    <w:tblPr>
      <w:tblStyleRowBandSize w:val="1"/>
      <w:tblStyleColBandSize w:val="1"/>
      <w:tblBorders>
        <w:top w:val="single" w:sz="8" w:space="0" w:color="00B1AC" w:themeColor="accent1"/>
        <w:left w:val="single" w:sz="8" w:space="0" w:color="00B1AC" w:themeColor="accent1"/>
        <w:bottom w:val="single" w:sz="8" w:space="0" w:color="00B1AC" w:themeColor="accent1"/>
        <w:right w:val="single" w:sz="8" w:space="0" w:color="00B1AC" w:themeColor="accent1"/>
      </w:tblBorders>
    </w:tblPr>
    <w:tblStylePr w:type="firstRow">
      <w:pPr>
        <w:spacing w:before="0" w:after="0" w:line="240" w:lineRule="auto"/>
      </w:pPr>
      <w:rPr>
        <w:b/>
        <w:bCs/>
        <w:color w:val="FFFFFF" w:themeColor="background1"/>
      </w:rPr>
      <w:tblPr/>
      <w:tcPr>
        <w:shd w:val="clear" w:color="auto" w:fill="00B1AC" w:themeFill="accent1"/>
      </w:tcPr>
    </w:tblStylePr>
    <w:tblStylePr w:type="lastRow">
      <w:pPr>
        <w:spacing w:before="0" w:after="0" w:line="240" w:lineRule="auto"/>
      </w:pPr>
      <w:rPr>
        <w:b/>
        <w:bCs/>
      </w:rPr>
      <w:tblPr/>
      <w:tcPr>
        <w:tcBorders>
          <w:top w:val="double" w:sz="6" w:space="0" w:color="00B1AC" w:themeColor="accent1"/>
          <w:left w:val="single" w:sz="8" w:space="0" w:color="00B1AC" w:themeColor="accent1"/>
          <w:bottom w:val="single" w:sz="8" w:space="0" w:color="00B1AC" w:themeColor="accent1"/>
          <w:right w:val="single" w:sz="8" w:space="0" w:color="00B1AC" w:themeColor="accent1"/>
        </w:tcBorders>
      </w:tcPr>
    </w:tblStylePr>
    <w:tblStylePr w:type="firstCol">
      <w:rPr>
        <w:b/>
        <w:bCs/>
      </w:rPr>
    </w:tblStylePr>
    <w:tblStylePr w:type="lastCol">
      <w:rPr>
        <w:b/>
        <w:bCs/>
      </w:rPr>
    </w:tblStylePr>
    <w:tblStylePr w:type="band1Vert">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tblStylePr w:type="band1Horz">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style>
  <w:style w:type="table" w:customStyle="1" w:styleId="MediumShading1-Accent31">
    <w:name w:val="Medium Shading 1 - Accent 31"/>
    <w:basedOn w:val="TabelNormal"/>
    <w:next w:val="Umbriremedie1-Accentuare3"/>
    <w:uiPriority w:val="63"/>
    <w:rsid w:val="003E12CC"/>
    <w:pPr>
      <w:spacing w:after="0" w:line="240" w:lineRule="auto"/>
    </w:pPr>
    <w:rPr>
      <w:rFonts w:asciiTheme="minorHAnsi" w:hAnsiTheme="minorHAnsi" w:cstheme="minorBidi"/>
      <w:sz w:val="18"/>
      <w:szCs w:val="18"/>
      <w:lang w:val="en-GB"/>
    </w:rPr>
    <w:tblPr>
      <w:tblStyleRowBandSize w:val="1"/>
      <w:tblStyleColBandSize w:val="1"/>
      <w:tblBorders>
        <w:top w:val="single" w:sz="8" w:space="0" w:color="1CB8FF"/>
        <w:left w:val="single" w:sz="8" w:space="0" w:color="1CB8FF"/>
        <w:bottom w:val="single" w:sz="8" w:space="0" w:color="1CB8FF"/>
        <w:right w:val="single" w:sz="8" w:space="0" w:color="1CB8FF"/>
        <w:insideH w:val="single" w:sz="8" w:space="0" w:color="1CB8FF"/>
      </w:tblBorders>
    </w:tblPr>
    <w:tblStylePr w:type="firstRow">
      <w:pPr>
        <w:spacing w:before="0" w:after="0" w:line="240" w:lineRule="auto"/>
      </w:pPr>
      <w:rPr>
        <w:b/>
        <w:bCs/>
        <w:color w:val="FFFFFF"/>
      </w:rPr>
      <w:tblPr/>
      <w:tcPr>
        <w:tcBorders>
          <w:top w:val="single" w:sz="8" w:space="0" w:color="1CB8FF"/>
          <w:left w:val="single" w:sz="8" w:space="0" w:color="1CB8FF"/>
          <w:bottom w:val="single" w:sz="8" w:space="0" w:color="1CB8FF"/>
          <w:right w:val="single" w:sz="8" w:space="0" w:color="1CB8FF"/>
          <w:insideH w:val="nil"/>
          <w:insideV w:val="nil"/>
        </w:tcBorders>
        <w:shd w:val="clear" w:color="auto" w:fill="0090D0"/>
      </w:tcPr>
    </w:tblStylePr>
    <w:tblStylePr w:type="lastRow">
      <w:pPr>
        <w:spacing w:before="0" w:after="0" w:line="240" w:lineRule="auto"/>
      </w:pPr>
      <w:rPr>
        <w:b/>
        <w:bCs/>
      </w:rPr>
      <w:tblPr/>
      <w:tcPr>
        <w:tcBorders>
          <w:top w:val="double" w:sz="6" w:space="0" w:color="1CB8FF"/>
          <w:left w:val="single" w:sz="8" w:space="0" w:color="1CB8FF"/>
          <w:bottom w:val="single" w:sz="8" w:space="0" w:color="1CB8FF"/>
          <w:right w:val="single" w:sz="8" w:space="0" w:color="1CB8FF"/>
          <w:insideH w:val="nil"/>
          <w:insideV w:val="nil"/>
        </w:tcBorders>
      </w:tcPr>
    </w:tblStylePr>
    <w:tblStylePr w:type="firstCol">
      <w:rPr>
        <w:b/>
        <w:bCs/>
      </w:rPr>
    </w:tblStylePr>
    <w:tblStylePr w:type="lastCol">
      <w:rPr>
        <w:b/>
        <w:bCs/>
      </w:rPr>
    </w:tblStylePr>
    <w:tblStylePr w:type="band1Vert">
      <w:tblPr/>
      <w:tcPr>
        <w:shd w:val="clear" w:color="auto" w:fill="B4E7FF"/>
      </w:tcPr>
    </w:tblStylePr>
    <w:tblStylePr w:type="band1Horz">
      <w:tblPr/>
      <w:tcPr>
        <w:tcBorders>
          <w:insideH w:val="nil"/>
          <w:insideV w:val="nil"/>
        </w:tcBorders>
        <w:shd w:val="clear" w:color="auto" w:fill="B4E7F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3E12CC"/>
    <w:pPr>
      <w:spacing w:after="0" w:line="240" w:lineRule="auto"/>
    </w:pPr>
    <w:tblPr>
      <w:tblStyleRowBandSize w:val="1"/>
      <w:tblStyleColBandSize w:val="1"/>
      <w:tblBorders>
        <w:top w:val="single" w:sz="8" w:space="0" w:color="25B9FF" w:themeColor="accent3" w:themeTint="BF"/>
        <w:left w:val="single" w:sz="8" w:space="0" w:color="25B9FF" w:themeColor="accent3" w:themeTint="BF"/>
        <w:bottom w:val="single" w:sz="8" w:space="0" w:color="25B9FF" w:themeColor="accent3" w:themeTint="BF"/>
        <w:right w:val="single" w:sz="8" w:space="0" w:color="25B9FF" w:themeColor="accent3" w:themeTint="BF"/>
        <w:insideH w:val="single" w:sz="8" w:space="0" w:color="25B9FF" w:themeColor="accent3" w:themeTint="BF"/>
      </w:tblBorders>
    </w:tblPr>
    <w:tblStylePr w:type="firstRow">
      <w:pPr>
        <w:spacing w:before="0" w:after="0" w:line="240" w:lineRule="auto"/>
      </w:pPr>
      <w:rPr>
        <w:b/>
        <w:bCs/>
        <w:color w:val="FFFFFF" w:themeColor="background1"/>
      </w:rPr>
      <w:tblPr/>
      <w:tcPr>
        <w:tcBorders>
          <w:top w:val="single" w:sz="8" w:space="0" w:color="25B9FF" w:themeColor="accent3" w:themeTint="BF"/>
          <w:left w:val="single" w:sz="8" w:space="0" w:color="25B9FF" w:themeColor="accent3" w:themeTint="BF"/>
          <w:bottom w:val="single" w:sz="8" w:space="0" w:color="25B9FF" w:themeColor="accent3" w:themeTint="BF"/>
          <w:right w:val="single" w:sz="8" w:space="0" w:color="25B9FF" w:themeColor="accent3" w:themeTint="BF"/>
          <w:insideH w:val="nil"/>
          <w:insideV w:val="nil"/>
        </w:tcBorders>
        <w:shd w:val="clear" w:color="auto" w:fill="0096DB" w:themeFill="accent3"/>
      </w:tcPr>
    </w:tblStylePr>
    <w:tblStylePr w:type="lastRow">
      <w:pPr>
        <w:spacing w:before="0" w:after="0" w:line="240" w:lineRule="auto"/>
      </w:pPr>
      <w:rPr>
        <w:b/>
        <w:bCs/>
      </w:rPr>
      <w:tblPr/>
      <w:tcPr>
        <w:tcBorders>
          <w:top w:val="double" w:sz="6" w:space="0" w:color="25B9FF" w:themeColor="accent3" w:themeTint="BF"/>
          <w:left w:val="single" w:sz="8" w:space="0" w:color="25B9FF" w:themeColor="accent3" w:themeTint="BF"/>
          <w:bottom w:val="single" w:sz="8" w:space="0" w:color="25B9FF" w:themeColor="accent3" w:themeTint="BF"/>
          <w:right w:val="single" w:sz="8" w:space="0" w:color="25B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7E8FF" w:themeFill="accent3" w:themeFillTint="3F"/>
      </w:tcPr>
    </w:tblStylePr>
    <w:tblStylePr w:type="band1Horz">
      <w:tblPr/>
      <w:tcPr>
        <w:tcBorders>
          <w:insideH w:val="nil"/>
          <w:insideV w:val="nil"/>
        </w:tcBorders>
        <w:shd w:val="clear" w:color="auto" w:fill="B7E8FF" w:themeFill="accent3" w:themeFillTint="3F"/>
      </w:tcPr>
    </w:tblStylePr>
    <w:tblStylePr w:type="band2Horz">
      <w:tblPr/>
      <w:tcPr>
        <w:tcBorders>
          <w:insideH w:val="nil"/>
          <w:insideV w:val="nil"/>
        </w:tcBorders>
      </w:tcPr>
    </w:tblStylePr>
  </w:style>
  <w:style w:type="table" w:customStyle="1" w:styleId="TableGrid1">
    <w:name w:val="Table Grid1"/>
    <w:basedOn w:val="TabelNormal"/>
    <w:next w:val="GrilTabel"/>
    <w:uiPriority w:val="59"/>
    <w:rsid w:val="00782CBA"/>
    <w:pPr>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GrilTabel"/>
    <w:uiPriority w:val="59"/>
    <w:rsid w:val="0015502C"/>
    <w:pPr>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редняя заливка 1 - Акцент 41"/>
    <w:basedOn w:val="TabelNormal"/>
    <w:next w:val="Umbriremedie1-Accentuare4"/>
    <w:uiPriority w:val="63"/>
    <w:rsid w:val="00212810"/>
    <w:pPr>
      <w:spacing w:after="0" w:line="240" w:lineRule="auto"/>
    </w:pPr>
    <w:rPr>
      <w:rFonts w:ascii="Calibri" w:hAnsi="Calibri" w:cs="Times New Roman"/>
      <w:sz w:val="18"/>
      <w:szCs w:val="18"/>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212810"/>
    <w:pPr>
      <w:spacing w:after="0" w:line="240" w:lineRule="auto"/>
    </w:pPr>
    <w:tblPr>
      <w:tblStyleRowBandSize w:val="1"/>
      <w:tblStyleColBandSize w:val="1"/>
      <w:tblBorders>
        <w:top w:val="single" w:sz="8" w:space="0" w:color="89D952" w:themeColor="accent4" w:themeTint="BF"/>
        <w:left w:val="single" w:sz="8" w:space="0" w:color="89D952" w:themeColor="accent4" w:themeTint="BF"/>
        <w:bottom w:val="single" w:sz="8" w:space="0" w:color="89D952" w:themeColor="accent4" w:themeTint="BF"/>
        <w:right w:val="single" w:sz="8" w:space="0" w:color="89D952" w:themeColor="accent4" w:themeTint="BF"/>
        <w:insideH w:val="single" w:sz="8" w:space="0" w:color="89D952" w:themeColor="accent4" w:themeTint="BF"/>
      </w:tblBorders>
    </w:tblPr>
    <w:tblStylePr w:type="firstRow">
      <w:pPr>
        <w:spacing w:before="0" w:after="0" w:line="240" w:lineRule="auto"/>
      </w:pPr>
      <w:rPr>
        <w:b/>
        <w:bCs/>
        <w:color w:val="FFFFFF" w:themeColor="background1"/>
      </w:rPr>
      <w:tblPr/>
      <w:tcPr>
        <w:tcBorders>
          <w:top w:val="single" w:sz="8" w:space="0" w:color="89D952" w:themeColor="accent4" w:themeTint="BF"/>
          <w:left w:val="single" w:sz="8" w:space="0" w:color="89D952" w:themeColor="accent4" w:themeTint="BF"/>
          <w:bottom w:val="single" w:sz="8" w:space="0" w:color="89D952" w:themeColor="accent4" w:themeTint="BF"/>
          <w:right w:val="single" w:sz="8" w:space="0" w:color="89D952" w:themeColor="accent4" w:themeTint="BF"/>
          <w:insideH w:val="nil"/>
          <w:insideV w:val="nil"/>
        </w:tcBorders>
        <w:shd w:val="clear" w:color="auto" w:fill="66BC29" w:themeFill="accent4"/>
      </w:tcPr>
    </w:tblStylePr>
    <w:tblStylePr w:type="lastRow">
      <w:pPr>
        <w:spacing w:before="0" w:after="0" w:line="240" w:lineRule="auto"/>
      </w:pPr>
      <w:rPr>
        <w:b/>
        <w:bCs/>
      </w:rPr>
      <w:tblPr/>
      <w:tcPr>
        <w:tcBorders>
          <w:top w:val="double" w:sz="6" w:space="0" w:color="89D952" w:themeColor="accent4" w:themeTint="BF"/>
          <w:left w:val="single" w:sz="8" w:space="0" w:color="89D952" w:themeColor="accent4" w:themeTint="BF"/>
          <w:bottom w:val="single" w:sz="8" w:space="0" w:color="89D952" w:themeColor="accent4" w:themeTint="BF"/>
          <w:right w:val="single" w:sz="8" w:space="0" w:color="89D95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F2C5" w:themeFill="accent4" w:themeFillTint="3F"/>
      </w:tcPr>
    </w:tblStylePr>
    <w:tblStylePr w:type="band1Horz">
      <w:tblPr/>
      <w:tcPr>
        <w:tcBorders>
          <w:insideH w:val="nil"/>
          <w:insideV w:val="nil"/>
        </w:tcBorders>
        <w:shd w:val="clear" w:color="auto" w:fill="D8F2C5" w:themeFill="accent4" w:themeFillTint="3F"/>
      </w:tcPr>
    </w:tblStylePr>
    <w:tblStylePr w:type="band2Horz">
      <w:tblPr/>
      <w:tcPr>
        <w:tcBorders>
          <w:insideH w:val="nil"/>
          <w:insideV w:val="nil"/>
        </w:tcBorders>
      </w:tcPr>
    </w:tblStylePr>
  </w:style>
  <w:style w:type="table" w:customStyle="1" w:styleId="TableGrid4">
    <w:name w:val="Table Grid4"/>
    <w:basedOn w:val="TabelNormal"/>
    <w:next w:val="GrilTabel"/>
    <w:uiPriority w:val="59"/>
    <w:rsid w:val="00B661D4"/>
    <w:pPr>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GrilTabel"/>
    <w:uiPriority w:val="59"/>
    <w:rsid w:val="00996E26"/>
    <w:pPr>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97F"/>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1">
    <w:name w:val="Сетка таблицы1"/>
    <w:basedOn w:val="TabelNormal"/>
    <w:next w:val="GrilTabel"/>
    <w:uiPriority w:val="59"/>
    <w:rsid w:val="00DD4977"/>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elNormal"/>
    <w:next w:val="GrilTabel"/>
    <w:uiPriority w:val="59"/>
    <w:rsid w:val="003B1FA1"/>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elNormal"/>
    <w:next w:val="GrilTabel"/>
    <w:uiPriority w:val="59"/>
    <w:rsid w:val="00896750"/>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FCHeadingList1">
    <w:name w:val="AFC Heading List1"/>
    <w:uiPriority w:val="99"/>
    <w:rsid w:val="002B6231"/>
    <w:pPr>
      <w:numPr>
        <w:numId w:val="1"/>
      </w:numPr>
    </w:pPr>
  </w:style>
  <w:style w:type="table" w:customStyle="1" w:styleId="4">
    <w:name w:val="Сетка таблицы4"/>
    <w:basedOn w:val="TabelNormal"/>
    <w:next w:val="GrilTabel"/>
    <w:uiPriority w:val="59"/>
    <w:rsid w:val="006E1B6F"/>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uiPriority w:val="59"/>
    <w:rsid w:val="00807C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GrilTabel"/>
    <w:uiPriority w:val="59"/>
    <w:rsid w:val="002E760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elNormal"/>
    <w:next w:val="GrilTabel"/>
    <w:uiPriority w:val="59"/>
    <w:rsid w:val="00030A0B"/>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GrilTabel"/>
    <w:uiPriority w:val="59"/>
    <w:rsid w:val="00D12FFA"/>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semiHidden/>
    <w:unhideWhenUsed/>
    <w:rsid w:val="009665A3"/>
    <w:rPr>
      <w:sz w:val="16"/>
      <w:szCs w:val="16"/>
    </w:rPr>
  </w:style>
  <w:style w:type="paragraph" w:styleId="Textcomentariu">
    <w:name w:val="annotation text"/>
    <w:basedOn w:val="Normal"/>
    <w:link w:val="TextcomentariuCaracter"/>
    <w:unhideWhenUsed/>
    <w:rsid w:val="009665A3"/>
    <w:pPr>
      <w:spacing w:line="240" w:lineRule="auto"/>
    </w:pPr>
  </w:style>
  <w:style w:type="character" w:customStyle="1" w:styleId="TextcomentariuCaracter">
    <w:name w:val="Text comentariu Caracter"/>
    <w:basedOn w:val="Fontdeparagrafimplicit"/>
    <w:link w:val="Textcomentariu"/>
    <w:rsid w:val="009665A3"/>
    <w:rPr>
      <w:rFonts w:asciiTheme="minorHAnsi" w:hAnsiTheme="minorHAnsi"/>
      <w:sz w:val="20"/>
      <w:szCs w:val="20"/>
    </w:rPr>
  </w:style>
  <w:style w:type="paragraph" w:styleId="SubiectComentariu">
    <w:name w:val="annotation subject"/>
    <w:basedOn w:val="Textcomentariu"/>
    <w:next w:val="Textcomentariu"/>
    <w:link w:val="SubiectComentariuCaracter"/>
    <w:semiHidden/>
    <w:unhideWhenUsed/>
    <w:rsid w:val="009665A3"/>
    <w:rPr>
      <w:b/>
      <w:bCs/>
    </w:rPr>
  </w:style>
  <w:style w:type="character" w:customStyle="1" w:styleId="SubiectComentariuCaracter">
    <w:name w:val="Subiect Comentariu Caracter"/>
    <w:basedOn w:val="TextcomentariuCaracter"/>
    <w:link w:val="SubiectComentariu"/>
    <w:semiHidden/>
    <w:rsid w:val="009665A3"/>
    <w:rPr>
      <w:rFonts w:asciiTheme="minorHAnsi" w:hAnsiTheme="minorHAnsi"/>
      <w:b/>
      <w:bCs/>
      <w:sz w:val="20"/>
      <w:szCs w:val="20"/>
    </w:rPr>
  </w:style>
  <w:style w:type="table" w:customStyle="1" w:styleId="LightList-Accent121">
    <w:name w:val="Light List - Accent 121"/>
    <w:basedOn w:val="TabelNormal"/>
    <w:uiPriority w:val="61"/>
    <w:rsid w:val="0098275C"/>
    <w:pPr>
      <w:spacing w:after="0" w:line="240" w:lineRule="auto"/>
    </w:pPr>
    <w:tblPr>
      <w:tblStyleRowBandSize w:val="1"/>
      <w:tblStyleColBandSize w:val="1"/>
      <w:tblBorders>
        <w:top w:val="single" w:sz="8" w:space="0" w:color="00B1AC" w:themeColor="accent1"/>
        <w:left w:val="single" w:sz="8" w:space="0" w:color="00B1AC" w:themeColor="accent1"/>
        <w:bottom w:val="single" w:sz="8" w:space="0" w:color="00B1AC" w:themeColor="accent1"/>
        <w:right w:val="single" w:sz="8" w:space="0" w:color="00B1AC" w:themeColor="accent1"/>
      </w:tblBorders>
    </w:tblPr>
    <w:tblStylePr w:type="firstRow">
      <w:pPr>
        <w:spacing w:before="0" w:after="0" w:line="240" w:lineRule="auto"/>
      </w:pPr>
      <w:rPr>
        <w:b/>
        <w:bCs/>
        <w:color w:val="FFFFFF" w:themeColor="background1"/>
      </w:rPr>
      <w:tblPr/>
      <w:tcPr>
        <w:shd w:val="clear" w:color="auto" w:fill="00B1AC" w:themeFill="accent1"/>
      </w:tcPr>
    </w:tblStylePr>
    <w:tblStylePr w:type="lastRow">
      <w:pPr>
        <w:spacing w:before="0" w:after="0" w:line="240" w:lineRule="auto"/>
      </w:pPr>
      <w:rPr>
        <w:b/>
        <w:bCs/>
      </w:rPr>
      <w:tblPr/>
      <w:tcPr>
        <w:tcBorders>
          <w:top w:val="double" w:sz="6" w:space="0" w:color="00B1AC" w:themeColor="accent1"/>
          <w:left w:val="single" w:sz="8" w:space="0" w:color="00B1AC" w:themeColor="accent1"/>
          <w:bottom w:val="single" w:sz="8" w:space="0" w:color="00B1AC" w:themeColor="accent1"/>
          <w:right w:val="single" w:sz="8" w:space="0" w:color="00B1AC" w:themeColor="accent1"/>
        </w:tcBorders>
      </w:tcPr>
    </w:tblStylePr>
    <w:tblStylePr w:type="firstCol">
      <w:rPr>
        <w:b/>
        <w:bCs/>
      </w:rPr>
    </w:tblStylePr>
    <w:tblStylePr w:type="lastCol">
      <w:rPr>
        <w:b/>
        <w:bCs/>
      </w:rPr>
    </w:tblStylePr>
    <w:tblStylePr w:type="band1Vert">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tblStylePr w:type="band1Horz">
      <w:tblPr/>
      <w:tcPr>
        <w:tcBorders>
          <w:top w:val="single" w:sz="8" w:space="0" w:color="00B1AC" w:themeColor="accent1"/>
          <w:left w:val="single" w:sz="8" w:space="0" w:color="00B1AC" w:themeColor="accent1"/>
          <w:bottom w:val="single" w:sz="8" w:space="0" w:color="00B1AC" w:themeColor="accent1"/>
          <w:right w:val="single" w:sz="8" w:space="0" w:color="00B1AC" w:themeColor="accent1"/>
        </w:tcBorders>
      </w:tcPr>
    </w:tblStylePr>
  </w:style>
  <w:style w:type="character" w:customStyle="1" w:styleId="hps">
    <w:name w:val="hps"/>
    <w:basedOn w:val="Fontdeparagrafimplicit"/>
    <w:rsid w:val="002E15D0"/>
    <w:rPr>
      <w:rFonts w:cs="Times New Roman"/>
    </w:rPr>
  </w:style>
  <w:style w:type="character" w:styleId="HyperlinkParcurs">
    <w:name w:val="FollowedHyperlink"/>
    <w:basedOn w:val="Fontdeparagrafimplicit"/>
    <w:unhideWhenUsed/>
    <w:rsid w:val="00A56CA5"/>
    <w:rPr>
      <w:color w:val="919191" w:themeColor="followedHyperlink"/>
      <w:u w:val="single"/>
    </w:rPr>
  </w:style>
  <w:style w:type="paragraph" w:customStyle="1" w:styleId="Tabletext">
    <w:name w:val="Table text"/>
    <w:basedOn w:val="Normal"/>
    <w:rsid w:val="002733CB"/>
    <w:pPr>
      <w:tabs>
        <w:tab w:val="right" w:pos="8504"/>
      </w:tabs>
      <w:spacing w:before="40" w:after="40" w:line="288" w:lineRule="auto"/>
      <w:jc w:val="both"/>
    </w:pPr>
    <w:rPr>
      <w:rFonts w:ascii="Arial" w:eastAsia="Times New Roman" w:hAnsi="Arial" w:cs="Times New Roman"/>
      <w:sz w:val="18"/>
      <w:lang w:val="de-DE" w:eastAsia="de-DE"/>
    </w:rPr>
  </w:style>
  <w:style w:type="paragraph" w:customStyle="1" w:styleId="ColorfulShading-Accent11">
    <w:name w:val="Colorful Shading - Accent 11"/>
    <w:hidden/>
    <w:semiHidden/>
    <w:rsid w:val="002733CB"/>
    <w:pPr>
      <w:spacing w:after="0" w:line="240" w:lineRule="auto"/>
    </w:pPr>
    <w:rPr>
      <w:rFonts w:ascii="Calibri" w:eastAsia="Times New Roman" w:hAnsi="Calibri" w:cs="Times New Roman"/>
      <w:lang w:val="en-US"/>
    </w:rPr>
  </w:style>
  <w:style w:type="paragraph" w:styleId="Plandocument">
    <w:name w:val="Document Map"/>
    <w:basedOn w:val="Normal"/>
    <w:link w:val="PlandocumentCaracter"/>
    <w:semiHidden/>
    <w:rsid w:val="002733CB"/>
    <w:pPr>
      <w:shd w:val="clear" w:color="auto" w:fill="000080"/>
    </w:pPr>
    <w:rPr>
      <w:rFonts w:ascii="Times New Roman" w:eastAsia="Calibri" w:hAnsi="Times New Roman" w:cs="Times New Roman"/>
      <w:sz w:val="2"/>
      <w:lang w:val="en-US"/>
    </w:rPr>
  </w:style>
  <w:style w:type="character" w:customStyle="1" w:styleId="PlandocumentCaracter">
    <w:name w:val="Plan document Caracter"/>
    <w:basedOn w:val="Fontdeparagrafimplicit"/>
    <w:link w:val="Plandocument"/>
    <w:semiHidden/>
    <w:rsid w:val="002733CB"/>
    <w:rPr>
      <w:rFonts w:ascii="Times New Roman" w:eastAsia="Calibri" w:hAnsi="Times New Roman" w:cs="Times New Roman"/>
      <w:sz w:val="2"/>
      <w:szCs w:val="20"/>
      <w:shd w:val="clear" w:color="auto" w:fill="000080"/>
      <w:lang w:val="en-US"/>
    </w:rPr>
  </w:style>
  <w:style w:type="paragraph" w:customStyle="1" w:styleId="astandardp9">
    <w:name w:val="a_standard_p9"/>
    <w:basedOn w:val="Normal"/>
    <w:rsid w:val="002733CB"/>
    <w:pPr>
      <w:spacing w:after="120" w:line="240" w:lineRule="auto"/>
      <w:jc w:val="both"/>
    </w:pPr>
    <w:rPr>
      <w:rFonts w:ascii="Times New Roman" w:eastAsia="Times New Roman" w:hAnsi="Times New Roman" w:cs="Times New Roman"/>
      <w:sz w:val="24"/>
      <w:szCs w:val="24"/>
      <w:lang w:val="en-GB" w:eastAsia="en-GB"/>
    </w:rPr>
  </w:style>
  <w:style w:type="character" w:customStyle="1" w:styleId="IntenseEmphasis1">
    <w:name w:val="Intense Emphasis1"/>
    <w:uiPriority w:val="21"/>
    <w:qFormat/>
    <w:rsid w:val="002733CB"/>
    <w:rPr>
      <w:b/>
      <w:bCs/>
      <w:i/>
      <w:iCs/>
      <w:color w:val="4F81BD"/>
    </w:rPr>
  </w:style>
  <w:style w:type="paragraph" w:customStyle="1" w:styleId="BodyText1">
    <w:name w:val="Body Text1"/>
    <w:rsid w:val="002733CB"/>
    <w:pPr>
      <w:spacing w:after="120" w:line="360" w:lineRule="auto"/>
    </w:pPr>
    <w:rPr>
      <w:rFonts w:ascii="Times New Roman" w:eastAsia="Times New Roman" w:hAnsi="Times New Roman" w:cs="Times New Roman"/>
      <w:szCs w:val="20"/>
      <w:lang w:val="en-GB"/>
    </w:rPr>
  </w:style>
  <w:style w:type="table" w:styleId="Listcolorat-Accentuare3">
    <w:name w:val="Colorful List Accent 3"/>
    <w:basedOn w:val="TabelNormal"/>
    <w:uiPriority w:val="72"/>
    <w:rsid w:val="002733CB"/>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zuire">
    <w:name w:val="Revision"/>
    <w:hidden/>
    <w:uiPriority w:val="99"/>
    <w:semiHidden/>
    <w:rsid w:val="002733CB"/>
    <w:pPr>
      <w:spacing w:after="0" w:line="240" w:lineRule="auto"/>
    </w:pPr>
    <w:rPr>
      <w:rFonts w:ascii="Calibri" w:eastAsia="Times New Roman" w:hAnsi="Calibri" w:cs="Times New Roman"/>
      <w:lang w:val="en-US"/>
    </w:rPr>
  </w:style>
  <w:style w:type="paragraph" w:styleId="PreformatatHTML">
    <w:name w:val="HTML Preformatted"/>
    <w:basedOn w:val="Normal"/>
    <w:link w:val="PreformatatHTMLCaracter"/>
    <w:uiPriority w:val="99"/>
    <w:unhideWhenUsed/>
    <w:rsid w:val="0027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US"/>
    </w:rPr>
  </w:style>
  <w:style w:type="character" w:customStyle="1" w:styleId="PreformatatHTMLCaracter">
    <w:name w:val="Preformatat HTML Caracter"/>
    <w:basedOn w:val="Fontdeparagrafimplicit"/>
    <w:link w:val="PreformatatHTML"/>
    <w:uiPriority w:val="99"/>
    <w:rsid w:val="002733CB"/>
    <w:rPr>
      <w:rFonts w:ascii="Courier New" w:eastAsia="Times New Roman" w:hAnsi="Courier New" w:cs="Courier New"/>
      <w:sz w:val="20"/>
      <w:szCs w:val="20"/>
      <w:lang w:val="en-US"/>
    </w:rPr>
  </w:style>
  <w:style w:type="character" w:customStyle="1" w:styleId="apple-converted-space">
    <w:name w:val="apple-converted-space"/>
    <w:basedOn w:val="Fontdeparagrafimplicit"/>
    <w:rsid w:val="00251DD4"/>
  </w:style>
  <w:style w:type="table" w:customStyle="1" w:styleId="TableGrid5">
    <w:name w:val="Table Grid5"/>
    <w:basedOn w:val="TabelNormal"/>
    <w:next w:val="GrilTabel"/>
    <w:uiPriority w:val="59"/>
    <w:rsid w:val="004B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Fontdeparagrafimplicit"/>
    <w:uiPriority w:val="99"/>
    <w:rsid w:val="00DA2514"/>
    <w:rPr>
      <w:rFonts w:ascii="Times New Roman" w:hAnsi="Times New Roman" w:cs="Times New Roman"/>
      <w:color w:val="000000"/>
      <w:sz w:val="20"/>
      <w:szCs w:val="20"/>
    </w:rPr>
  </w:style>
  <w:style w:type="table" w:styleId="Listcolorat-Accentuare1">
    <w:name w:val="Colorful List Accent 1"/>
    <w:basedOn w:val="TabelNormal"/>
    <w:uiPriority w:val="72"/>
    <w:rsid w:val="00566CAC"/>
    <w:pPr>
      <w:spacing w:after="0" w:line="240" w:lineRule="auto"/>
    </w:pPr>
    <w:rPr>
      <w:color w:val="000000" w:themeColor="text1"/>
    </w:rPr>
    <w:tblPr>
      <w:tblStyleRowBandSize w:val="1"/>
      <w:tblStyleColBandSize w:val="1"/>
    </w:tblPr>
    <w:tcPr>
      <w:shd w:val="clear" w:color="auto" w:fill="DEFFFD" w:themeFill="accent1" w:themeFillTint="19"/>
    </w:tcPr>
    <w:tblStylePr w:type="firstRow">
      <w:rPr>
        <w:b/>
        <w:bCs/>
        <w:color w:val="FFFFFF" w:themeColor="background1"/>
      </w:rPr>
      <w:tblPr/>
      <w:tcPr>
        <w:tcBorders>
          <w:bottom w:val="single" w:sz="12" w:space="0" w:color="FFFFFF" w:themeColor="background1"/>
        </w:tcBorders>
        <w:shd w:val="clear" w:color="auto" w:fill="002D84" w:themeFill="accent2" w:themeFillShade="CC"/>
      </w:tcPr>
    </w:tblStylePr>
    <w:tblStylePr w:type="lastRow">
      <w:rPr>
        <w:b/>
        <w:bCs/>
        <w:color w:val="002D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C" w:themeFill="accent1" w:themeFillTint="3F"/>
      </w:tcPr>
    </w:tblStylePr>
    <w:tblStylePr w:type="band1Horz">
      <w:tblPr/>
      <w:tcPr>
        <w:shd w:val="clear" w:color="auto" w:fill="BCFFF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3025">
      <w:bodyDiv w:val="1"/>
      <w:marLeft w:val="0"/>
      <w:marRight w:val="0"/>
      <w:marTop w:val="0"/>
      <w:marBottom w:val="0"/>
      <w:divBdr>
        <w:top w:val="none" w:sz="0" w:space="0" w:color="auto"/>
        <w:left w:val="none" w:sz="0" w:space="0" w:color="auto"/>
        <w:bottom w:val="none" w:sz="0" w:space="0" w:color="auto"/>
        <w:right w:val="none" w:sz="0" w:space="0" w:color="auto"/>
      </w:divBdr>
    </w:div>
    <w:div w:id="306326580">
      <w:bodyDiv w:val="1"/>
      <w:marLeft w:val="0"/>
      <w:marRight w:val="0"/>
      <w:marTop w:val="0"/>
      <w:marBottom w:val="0"/>
      <w:divBdr>
        <w:top w:val="none" w:sz="0" w:space="0" w:color="auto"/>
        <w:left w:val="none" w:sz="0" w:space="0" w:color="auto"/>
        <w:bottom w:val="none" w:sz="0" w:space="0" w:color="auto"/>
        <w:right w:val="none" w:sz="0" w:space="0" w:color="auto"/>
      </w:divBdr>
    </w:div>
    <w:div w:id="550649238">
      <w:bodyDiv w:val="1"/>
      <w:marLeft w:val="0"/>
      <w:marRight w:val="0"/>
      <w:marTop w:val="0"/>
      <w:marBottom w:val="0"/>
      <w:divBdr>
        <w:top w:val="none" w:sz="0" w:space="0" w:color="auto"/>
        <w:left w:val="none" w:sz="0" w:space="0" w:color="auto"/>
        <w:bottom w:val="none" w:sz="0" w:space="0" w:color="auto"/>
        <w:right w:val="none" w:sz="0" w:space="0" w:color="auto"/>
      </w:divBdr>
    </w:div>
    <w:div w:id="565843062">
      <w:bodyDiv w:val="1"/>
      <w:marLeft w:val="0"/>
      <w:marRight w:val="0"/>
      <w:marTop w:val="0"/>
      <w:marBottom w:val="0"/>
      <w:divBdr>
        <w:top w:val="none" w:sz="0" w:space="0" w:color="auto"/>
        <w:left w:val="none" w:sz="0" w:space="0" w:color="auto"/>
        <w:bottom w:val="none" w:sz="0" w:space="0" w:color="auto"/>
        <w:right w:val="none" w:sz="0" w:space="0" w:color="auto"/>
      </w:divBdr>
    </w:div>
    <w:div w:id="752776620">
      <w:bodyDiv w:val="1"/>
      <w:marLeft w:val="0"/>
      <w:marRight w:val="0"/>
      <w:marTop w:val="0"/>
      <w:marBottom w:val="0"/>
      <w:divBdr>
        <w:top w:val="none" w:sz="0" w:space="0" w:color="auto"/>
        <w:left w:val="none" w:sz="0" w:space="0" w:color="auto"/>
        <w:bottom w:val="none" w:sz="0" w:space="0" w:color="auto"/>
        <w:right w:val="none" w:sz="0" w:space="0" w:color="auto"/>
      </w:divBdr>
    </w:div>
    <w:div w:id="1483740518">
      <w:bodyDiv w:val="1"/>
      <w:marLeft w:val="0"/>
      <w:marRight w:val="0"/>
      <w:marTop w:val="0"/>
      <w:marBottom w:val="0"/>
      <w:divBdr>
        <w:top w:val="none" w:sz="0" w:space="0" w:color="auto"/>
        <w:left w:val="none" w:sz="0" w:space="0" w:color="auto"/>
        <w:bottom w:val="none" w:sz="0" w:space="0" w:color="auto"/>
        <w:right w:val="none" w:sz="0" w:space="0" w:color="auto"/>
      </w:divBdr>
    </w:div>
    <w:div w:id="17202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lex.justice.md/md/346670/"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hyperlink" Target="http://particip.gov.md/public/files/strategia/Moldova_2020_proiect.pdf"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md.undp.org/content/dam/moldova/docs/Project%20Documents/ESCO%20Moldova%20Project%20Document_EN.pdf" TargetMode="External"/></Relationships>
</file>

<file path=word/theme/theme1.xml><?xml version="1.0" encoding="utf-8"?>
<a:theme xmlns:a="http://schemas.openxmlformats.org/drawingml/2006/main" name="AF Word">
  <a:themeElements>
    <a:clrScheme name="ÅF Word">
      <a:dk1>
        <a:sysClr val="windowText" lastClr="000000"/>
      </a:dk1>
      <a:lt1>
        <a:sysClr val="window" lastClr="FFFFFF"/>
      </a:lt1>
      <a:dk2>
        <a:srgbClr val="506070"/>
      </a:dk2>
      <a:lt2>
        <a:srgbClr val="C0B0A0"/>
      </a:lt2>
      <a:accent1>
        <a:srgbClr val="00B1AC"/>
      </a:accent1>
      <a:accent2>
        <a:srgbClr val="0039A6"/>
      </a:accent2>
      <a:accent3>
        <a:srgbClr val="0096DB"/>
      </a:accent3>
      <a:accent4>
        <a:srgbClr val="66BC29"/>
      </a:accent4>
      <a:accent5>
        <a:srgbClr val="AC27A8"/>
      </a:accent5>
      <a:accent6>
        <a:srgbClr val="FB4357"/>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Apriie 2015</PublishDate>
  <Abstract/>
  <CompanyAddress/>
  <CompanyPhone/>
  <CompanyFax>December 2013</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016CCF-CF31-40EB-B89C-93BD9EE3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194</Pages>
  <Words>69509</Words>
  <Characters>403158</Characters>
  <Application>Microsoft Office Word</Application>
  <DocSecurity>0</DocSecurity>
  <Lines>3359</Lines>
  <Paragraphs>943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Proiectul Reforma şi îmbunătăţirea eficienţei sectorului energetic din Moldova</vt:lpstr>
      <vt:lpstr>Proiectul Reforma şi îmbunătăţirea eficienţei sectorului energetic din Moldova</vt:lpstr>
      <vt:lpstr>Proiectul Reforma şi îmbunătăţirea eficienţei sectorului energetic din Moldova</vt:lpstr>
    </vt:vector>
  </TitlesOfParts>
  <Company>AF-Mercados EM</Company>
  <LinksUpToDate>false</LinksUpToDate>
  <CharactersWithSpaces>471724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Proiectul Reforma şi îmbunătăţirea eficienţei sectorului energetic din Moldova</dc:title>
  <dc:subject>Planul naţional de acţiuni în domeniul eficienţei energetice pentru anii 2016 – 2018 (Versiune finala)</dc:subject>
  <dc:creator>Eugenia Seleskerova</dc:creator>
  <cp:keywords>Ministerul Economiei al Republicii Moldova</cp:keywords>
  <cp:lastModifiedBy>Denis TUMURUC</cp:lastModifiedBy>
  <cp:revision>49</cp:revision>
  <cp:lastPrinted>2016-05-04T08:22:00Z</cp:lastPrinted>
  <dcterms:created xsi:type="dcterms:W3CDTF">2016-04-27T16:31:00Z</dcterms:created>
  <dcterms:modified xsi:type="dcterms:W3CDTF">2016-06-04T13:03:00Z</dcterms:modified>
  <cp:category>53040015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_Toc374027247">
    <vt:lpwstr>Erstes Kapitel</vt:lpwstr>
  </property>
</Properties>
</file>